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B6FF" w14:textId="77777777" w:rsidR="00A678BF" w:rsidRPr="0028642B" w:rsidRDefault="00A678BF" w:rsidP="00A678BF">
      <w:pPr>
        <w:spacing w:line="360" w:lineRule="auto"/>
        <w:jc w:val="both"/>
        <w:rPr>
          <w:rFonts w:ascii="Palatino Linotype" w:eastAsiaTheme="minorEastAsia" w:hAnsi="Palatino Linotype"/>
          <w:lang w:val="es-ES_tradnl" w:eastAsia="es-ES"/>
        </w:rPr>
      </w:pPr>
      <w:r w:rsidRPr="0028642B">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treinta y uno </w:t>
      </w:r>
      <w:r w:rsidR="00022734" w:rsidRPr="0028642B">
        <w:rPr>
          <w:rFonts w:ascii="Palatino Linotype" w:eastAsiaTheme="minorEastAsia" w:hAnsi="Palatino Linotype"/>
          <w:lang w:val="es-ES_tradnl" w:eastAsia="es-ES"/>
        </w:rPr>
        <w:t xml:space="preserve">(31) </w:t>
      </w:r>
      <w:r w:rsidRPr="0028642B">
        <w:rPr>
          <w:rFonts w:ascii="Palatino Linotype" w:eastAsiaTheme="minorEastAsia" w:hAnsi="Palatino Linotype"/>
          <w:lang w:val="es-ES_tradnl" w:eastAsia="es-ES"/>
        </w:rPr>
        <w:t>de enero de dos mil veinticuatro.</w:t>
      </w:r>
    </w:p>
    <w:p w14:paraId="3BCC2FFA" w14:textId="77777777" w:rsidR="00A678BF" w:rsidRPr="0028642B" w:rsidRDefault="00A678BF" w:rsidP="00A678BF">
      <w:pPr>
        <w:spacing w:line="360" w:lineRule="auto"/>
        <w:jc w:val="both"/>
        <w:rPr>
          <w:rFonts w:ascii="Palatino Linotype" w:eastAsiaTheme="minorEastAsia" w:hAnsi="Palatino Linotype"/>
          <w:lang w:val="es-ES_tradnl" w:eastAsia="es-ES"/>
        </w:rPr>
      </w:pPr>
    </w:p>
    <w:p w14:paraId="23594D68" w14:textId="67BC96E6" w:rsidR="00A678BF" w:rsidRPr="0028642B" w:rsidRDefault="00A678BF" w:rsidP="00A678BF">
      <w:pPr>
        <w:spacing w:line="360" w:lineRule="auto"/>
        <w:jc w:val="both"/>
        <w:rPr>
          <w:rFonts w:ascii="Palatino Linotype" w:hAnsi="Palatino Linotype"/>
        </w:rPr>
      </w:pPr>
      <w:r w:rsidRPr="0028642B">
        <w:rPr>
          <w:rFonts w:ascii="Palatino Linotype" w:hAnsi="Palatino Linotype"/>
          <w:b/>
        </w:rPr>
        <w:t>VISTO</w:t>
      </w:r>
      <w:r w:rsidRPr="0028642B">
        <w:rPr>
          <w:rFonts w:ascii="Palatino Linotype" w:hAnsi="Palatino Linotype"/>
        </w:rPr>
        <w:t xml:space="preserve"> el expediente electrónico formado con motivo del recurso de revisión </w:t>
      </w:r>
      <w:r w:rsidRPr="0028642B">
        <w:rPr>
          <w:rFonts w:ascii="Palatino Linotype" w:hAnsi="Palatino Linotype"/>
          <w:b/>
        </w:rPr>
        <w:t>07933/INFOEM/IP/RR/2022,</w:t>
      </w:r>
      <w:r w:rsidRPr="0028642B">
        <w:rPr>
          <w:rFonts w:ascii="Palatino Linotype" w:hAnsi="Palatino Linotype" w:cs="Arial"/>
          <w:b/>
          <w:bCs/>
        </w:rPr>
        <w:t xml:space="preserve"> </w:t>
      </w:r>
      <w:r w:rsidRPr="0028642B">
        <w:rPr>
          <w:rFonts w:ascii="Palatino Linotype" w:eastAsiaTheme="minorEastAsia" w:hAnsi="Palatino Linotype"/>
          <w:lang w:val="es-ES_tradnl" w:eastAsia="es-ES"/>
        </w:rPr>
        <w:t xml:space="preserve">promovido por </w:t>
      </w:r>
      <w:r w:rsidR="00A51BD8">
        <w:rPr>
          <w:rFonts w:ascii="Palatino Linotype" w:eastAsiaTheme="minorEastAsia" w:hAnsi="Palatino Linotype"/>
          <w:b/>
          <w:bCs/>
          <w:lang w:eastAsia="es-ES"/>
        </w:rPr>
        <w:t>XXX XXX XXX</w:t>
      </w:r>
      <w:r w:rsidRPr="0028642B">
        <w:rPr>
          <w:rFonts w:ascii="Palatino Linotype" w:eastAsiaTheme="minorEastAsia" w:hAnsi="Palatino Linotype"/>
          <w:b/>
          <w:lang w:val="es-ES" w:eastAsia="es-ES"/>
        </w:rPr>
        <w:t>,</w:t>
      </w:r>
      <w:r w:rsidRPr="0028642B">
        <w:rPr>
          <w:rFonts w:ascii="Palatino Linotype" w:eastAsiaTheme="minorEastAsia" w:hAnsi="Palatino Linotype"/>
          <w:lang w:eastAsia="es-ES"/>
        </w:rPr>
        <w:t xml:space="preserve"> quien </w:t>
      </w:r>
      <w:r w:rsidRPr="0028642B">
        <w:rPr>
          <w:rFonts w:ascii="Palatino Linotype" w:hAnsi="Palatino Linotype"/>
        </w:rPr>
        <w:t xml:space="preserve">en lo sucesivo se identificará como </w:t>
      </w:r>
      <w:r w:rsidRPr="0028642B">
        <w:rPr>
          <w:rFonts w:ascii="Palatino Linotype" w:hAnsi="Palatino Linotype"/>
          <w:b/>
        </w:rPr>
        <w:t xml:space="preserve">EL </w:t>
      </w:r>
      <w:r w:rsidRPr="0028642B">
        <w:rPr>
          <w:rFonts w:ascii="Palatino Linotype" w:hAnsi="Palatino Linotype" w:cs="Arial"/>
          <w:b/>
        </w:rPr>
        <w:t>RECURRENTE</w:t>
      </w:r>
      <w:r w:rsidRPr="0028642B">
        <w:rPr>
          <w:rFonts w:ascii="Palatino Linotype" w:hAnsi="Palatino Linotype" w:cs="Arial"/>
        </w:rPr>
        <w:t xml:space="preserve">, en contra de la respuesta del </w:t>
      </w:r>
      <w:r w:rsidRPr="0028642B">
        <w:rPr>
          <w:rFonts w:ascii="Palatino Linotype" w:hAnsi="Palatino Linotype" w:cs="Arial"/>
          <w:b/>
          <w:bCs/>
        </w:rPr>
        <w:t>Ayuntamiento de San Martín de Las Pirámides</w:t>
      </w:r>
      <w:r w:rsidRPr="0028642B">
        <w:rPr>
          <w:rFonts w:ascii="Palatino Linotype" w:hAnsi="Palatino Linotype" w:cs="Arial"/>
          <w:b/>
        </w:rPr>
        <w:t>,</w:t>
      </w:r>
      <w:r w:rsidRPr="0028642B">
        <w:rPr>
          <w:rFonts w:ascii="Palatino Linotype" w:hAnsi="Palatino Linotype"/>
          <w:b/>
        </w:rPr>
        <w:t xml:space="preserve"> </w:t>
      </w:r>
      <w:r w:rsidRPr="0028642B">
        <w:rPr>
          <w:rFonts w:ascii="Palatino Linotype" w:hAnsi="Palatino Linotype"/>
        </w:rPr>
        <w:t xml:space="preserve">en </w:t>
      </w:r>
      <w:r w:rsidR="00022734" w:rsidRPr="0028642B">
        <w:rPr>
          <w:rFonts w:ascii="Palatino Linotype" w:hAnsi="Palatino Linotype"/>
        </w:rPr>
        <w:t>adelante</w:t>
      </w:r>
      <w:r w:rsidRPr="0028642B">
        <w:rPr>
          <w:rFonts w:ascii="Palatino Linotype" w:hAnsi="Palatino Linotype"/>
        </w:rPr>
        <w:t xml:space="preserve"> el</w:t>
      </w:r>
      <w:r w:rsidRPr="0028642B">
        <w:rPr>
          <w:rFonts w:ascii="Palatino Linotype" w:hAnsi="Palatino Linotype"/>
          <w:b/>
        </w:rPr>
        <w:t xml:space="preserve"> SUJETO OBLIGADO</w:t>
      </w:r>
      <w:r w:rsidRPr="0028642B">
        <w:rPr>
          <w:rFonts w:ascii="Palatino Linotype" w:hAnsi="Palatino Linotype"/>
        </w:rPr>
        <w:t>, por lo que se procede a dictar la presente resolución, con base en los siguientes:</w:t>
      </w:r>
    </w:p>
    <w:p w14:paraId="33FB627A" w14:textId="77777777" w:rsidR="00A678BF" w:rsidRPr="0028642B" w:rsidRDefault="00A678BF" w:rsidP="00A678BF">
      <w:pPr>
        <w:spacing w:line="360" w:lineRule="auto"/>
        <w:jc w:val="both"/>
        <w:rPr>
          <w:rFonts w:ascii="Palatino Linotype" w:hAnsi="Palatino Linotype"/>
        </w:rPr>
      </w:pPr>
    </w:p>
    <w:p w14:paraId="4DFDB80A" w14:textId="77777777" w:rsidR="00A678BF" w:rsidRPr="0028642B" w:rsidRDefault="00A678BF" w:rsidP="00A678BF">
      <w:pPr>
        <w:keepNext/>
        <w:keepLines/>
        <w:spacing w:line="360" w:lineRule="auto"/>
        <w:jc w:val="center"/>
        <w:outlineLvl w:val="0"/>
        <w:rPr>
          <w:rFonts w:ascii="Palatino Linotype" w:eastAsiaTheme="majorEastAsia" w:hAnsi="Palatino Linotype" w:cstheme="majorBidi"/>
          <w:b/>
        </w:rPr>
      </w:pPr>
      <w:bookmarkStart w:id="0" w:name="_Toc83301633"/>
      <w:r w:rsidRPr="0028642B">
        <w:rPr>
          <w:rFonts w:ascii="Palatino Linotype" w:eastAsiaTheme="majorEastAsia" w:hAnsi="Palatino Linotype" w:cstheme="majorBidi"/>
          <w:b/>
        </w:rPr>
        <w:t>ANTECEDENTES</w:t>
      </w:r>
      <w:bookmarkEnd w:id="0"/>
    </w:p>
    <w:p w14:paraId="198A29AF" w14:textId="77777777" w:rsidR="00A678BF" w:rsidRPr="0028642B" w:rsidRDefault="00A678BF" w:rsidP="00A678BF">
      <w:pPr>
        <w:spacing w:line="360" w:lineRule="auto"/>
        <w:rPr>
          <w:rFonts w:ascii="Palatino Linotype" w:eastAsiaTheme="minorEastAsia" w:hAnsi="Palatino Linotype"/>
        </w:rPr>
      </w:pPr>
    </w:p>
    <w:p w14:paraId="646DCE14" w14:textId="77777777" w:rsidR="00A678BF" w:rsidRPr="0028642B" w:rsidRDefault="00A678BF" w:rsidP="00A678BF">
      <w:pPr>
        <w:numPr>
          <w:ilvl w:val="0"/>
          <w:numId w:val="1"/>
        </w:numPr>
        <w:spacing w:line="360" w:lineRule="auto"/>
        <w:ind w:left="0" w:firstLine="0"/>
        <w:contextualSpacing/>
        <w:jc w:val="both"/>
        <w:rPr>
          <w:rFonts w:ascii="Palatino Linotype" w:hAnsi="Palatino Linotype" w:cs="Arial"/>
          <w:lang w:val="es-ES" w:eastAsia="es-ES"/>
        </w:rPr>
      </w:pPr>
      <w:r w:rsidRPr="0028642B">
        <w:rPr>
          <w:rFonts w:ascii="Palatino Linotype" w:eastAsia="Calibri" w:hAnsi="Palatino Linotype" w:cs="Arial"/>
          <w:lang w:val="es-ES" w:eastAsia="es-ES"/>
        </w:rPr>
        <w:t>El dieciocho (18) de abril de dos mil veintidós,</w:t>
      </w:r>
      <w:r w:rsidRPr="0028642B">
        <w:rPr>
          <w:rFonts w:ascii="Palatino Linotype" w:eastAsia="Calibri" w:hAnsi="Palatino Linotype"/>
          <w:lang w:val="es-ES" w:eastAsia="es-ES"/>
        </w:rPr>
        <w:t xml:space="preserve"> </w:t>
      </w:r>
      <w:r w:rsidRPr="0028642B">
        <w:rPr>
          <w:rFonts w:ascii="Palatino Linotype" w:eastAsia="Calibri" w:hAnsi="Palatino Linotype"/>
          <w:b/>
          <w:lang w:val="es-ES" w:eastAsia="es-ES"/>
        </w:rPr>
        <w:t>EL RECURRENTE</w:t>
      </w:r>
      <w:r w:rsidRPr="0028642B">
        <w:rPr>
          <w:rFonts w:ascii="Palatino Linotype" w:eastAsiaTheme="minorEastAsia" w:hAnsi="Palatino Linotype"/>
          <w:b/>
          <w:lang w:val="es-ES_tradnl" w:eastAsia="es-ES"/>
        </w:rPr>
        <w:t>,</w:t>
      </w:r>
      <w:r w:rsidRPr="0028642B">
        <w:rPr>
          <w:rFonts w:ascii="Palatino Linotype" w:eastAsia="Calibri" w:hAnsi="Palatino Linotype" w:cs="Arial"/>
          <w:lang w:val="es-ES" w:eastAsia="es-ES"/>
        </w:rPr>
        <w:t xml:space="preserve"> ante el </w:t>
      </w:r>
      <w:r w:rsidRPr="0028642B">
        <w:rPr>
          <w:rFonts w:ascii="Palatino Linotype" w:eastAsia="Calibri" w:hAnsi="Palatino Linotype" w:cs="Arial"/>
          <w:b/>
          <w:lang w:val="es-ES" w:eastAsia="es-ES"/>
        </w:rPr>
        <w:t>SUJETO OBLIGADO</w:t>
      </w:r>
      <w:r w:rsidRPr="0028642B">
        <w:rPr>
          <w:rFonts w:ascii="Palatino Linotype" w:eastAsia="Calibri" w:hAnsi="Palatino Linotype" w:cs="Arial"/>
          <w:lang w:val="es-ES_tradnl" w:eastAsia="es-ES"/>
        </w:rPr>
        <w:t xml:space="preserve"> vía </w:t>
      </w:r>
      <w:r w:rsidRPr="0028642B">
        <w:rPr>
          <w:rFonts w:ascii="Palatino Linotype" w:eastAsia="Calibri" w:hAnsi="Palatino Linotype" w:cs="Arial"/>
          <w:lang w:val="es-ES" w:eastAsia="es-ES"/>
        </w:rPr>
        <w:t>Sistema de Acceso a la Información Mexiquense (</w:t>
      </w:r>
      <w:r w:rsidRPr="0028642B">
        <w:rPr>
          <w:rFonts w:ascii="Palatino Linotype" w:eastAsia="Calibri" w:hAnsi="Palatino Linotype" w:cs="Arial"/>
          <w:b/>
          <w:lang w:val="es-ES" w:eastAsia="es-ES"/>
        </w:rPr>
        <w:t>SAIMEX)</w:t>
      </w:r>
      <w:r w:rsidRPr="0028642B">
        <w:rPr>
          <w:rFonts w:ascii="Palatino Linotype" w:eastAsia="Calibri" w:hAnsi="Palatino Linotype" w:cs="Arial"/>
          <w:lang w:val="es-ES" w:eastAsia="es-ES"/>
        </w:rPr>
        <w:t xml:space="preserve">, presentó una solicitud de información registrada con el número </w:t>
      </w:r>
      <w:r w:rsidRPr="0028642B">
        <w:rPr>
          <w:rFonts w:ascii="Palatino Linotype" w:hAnsi="Palatino Linotype"/>
          <w:b/>
          <w:bCs/>
        </w:rPr>
        <w:t>00105/MARTIPIR/IP/2022</w:t>
      </w:r>
      <w:r w:rsidRPr="0028642B">
        <w:rPr>
          <w:rFonts w:ascii="Palatino Linotype" w:eastAsiaTheme="minorEastAsia" w:hAnsi="Palatino Linotype"/>
          <w:b/>
          <w:lang w:val="es-ES_tradnl" w:eastAsia="es-ES"/>
        </w:rPr>
        <w:t xml:space="preserve">, </w:t>
      </w:r>
      <w:r w:rsidR="00022734" w:rsidRPr="0028642B">
        <w:rPr>
          <w:rFonts w:ascii="Palatino Linotype" w:eastAsia="Calibri" w:hAnsi="Palatino Linotype" w:cs="Arial"/>
          <w:lang w:val="es-ES" w:eastAsia="es-ES"/>
        </w:rPr>
        <w:t>en la que</w:t>
      </w:r>
      <w:r w:rsidRPr="0028642B">
        <w:rPr>
          <w:rFonts w:ascii="Palatino Linotype" w:eastAsia="Calibri" w:hAnsi="Palatino Linotype" w:cs="Arial"/>
          <w:lang w:val="es-ES" w:eastAsia="es-ES"/>
        </w:rPr>
        <w:t xml:space="preserve"> solicitó lo siguiente:</w:t>
      </w:r>
    </w:p>
    <w:p w14:paraId="6387B53F" w14:textId="77777777" w:rsidR="00A678BF" w:rsidRPr="0028642B" w:rsidRDefault="00A678BF" w:rsidP="00A678BF">
      <w:pPr>
        <w:spacing w:line="360" w:lineRule="auto"/>
        <w:contextualSpacing/>
        <w:jc w:val="both"/>
        <w:rPr>
          <w:rFonts w:ascii="Palatino Linotype" w:hAnsi="Palatino Linotype" w:cs="Arial"/>
          <w:lang w:val="es-ES" w:eastAsia="es-ES"/>
        </w:rPr>
      </w:pPr>
    </w:p>
    <w:p w14:paraId="684125E0" w14:textId="77777777" w:rsidR="00A678BF" w:rsidRPr="0028642B" w:rsidRDefault="00A678BF" w:rsidP="00A678BF">
      <w:pPr>
        <w:pStyle w:val="Prrafodelista"/>
        <w:spacing w:line="360" w:lineRule="auto"/>
        <w:ind w:left="1069" w:right="567"/>
        <w:jc w:val="both"/>
        <w:rPr>
          <w:rFonts w:ascii="Palatino Linotype" w:hAnsi="Palatino Linotype"/>
          <w:i/>
          <w:color w:val="000000"/>
          <w:sz w:val="24"/>
        </w:rPr>
      </w:pPr>
      <w:r w:rsidRPr="0028642B">
        <w:rPr>
          <w:rFonts w:ascii="Palatino Linotype" w:hAnsi="Palatino Linotype"/>
          <w:i/>
          <w:color w:val="000000"/>
          <w:sz w:val="24"/>
        </w:rPr>
        <w:t xml:space="preserve"> “Solicito la información requerida de lo anexado abajo. - Solicito saber si los miembros del Ayuntamiento y los directores son titulados de alguna carrera, si es así, especificar nombre, número de cédula profesional, carrera y universidad donde se realizaron dichos estudios. - ¿Cuáles son los listados de los beneficiarios de programas sociales? Y ¿Qué estudios socioeconómicos se les aplicaron? Solicito copia del formato de estudio socioeconómico - Solicito </w:t>
      </w:r>
      <w:r w:rsidRPr="0028642B">
        <w:rPr>
          <w:rFonts w:ascii="Palatino Linotype" w:hAnsi="Palatino Linotype"/>
          <w:i/>
          <w:color w:val="000000"/>
          <w:sz w:val="24"/>
        </w:rPr>
        <w:lastRenderedPageBreak/>
        <w:t xml:space="preserve">saber cuáles bienes inmuebles ha adquirido el ayuntamiento, ¿Cuál fue el costo de los mismos de enero del 2021 a la fecha? ¿Cuándo fueron ingresados al patrimonio municipal? Solicito copia de las actas y contratos - ¿Qué bienes se han dado de baja del patrimonio municipal desde enero de 2022? Especificando cada bien y motivos de la baja - ¿Qué obras públicas se ha realizado de enero del 2022 a la fecha? ¿Cómo fue el proceso de licitación para la realización de la misma y que costo tuvo cada obra? - ¿Qué bienes inmuebles renta el h. ayuntamiento y que costo mensual tienen? Copia del contrato - ¿Qué vehículos fueron adquiridos de enero del 2022 a la fecha? qué uso se les atribuye a los mismos y el costo que estos generan?” (Sic) </w:t>
      </w:r>
    </w:p>
    <w:p w14:paraId="2656E31C" w14:textId="77777777" w:rsidR="00A678BF" w:rsidRPr="0028642B" w:rsidRDefault="00A678BF" w:rsidP="00A678BF">
      <w:pPr>
        <w:pStyle w:val="Prrafodelista"/>
        <w:spacing w:line="360" w:lineRule="auto"/>
        <w:ind w:left="1069" w:right="567"/>
        <w:jc w:val="both"/>
        <w:rPr>
          <w:rFonts w:ascii="Palatino Linotype" w:hAnsi="Palatino Linotype"/>
          <w:i/>
          <w:color w:val="000000"/>
          <w:sz w:val="24"/>
        </w:rPr>
      </w:pPr>
    </w:p>
    <w:p w14:paraId="6E536FC0" w14:textId="77777777" w:rsidR="00A678BF" w:rsidRPr="0028642B" w:rsidRDefault="00A678BF" w:rsidP="00A678BF">
      <w:pPr>
        <w:numPr>
          <w:ilvl w:val="0"/>
          <w:numId w:val="1"/>
        </w:numPr>
        <w:spacing w:line="360" w:lineRule="auto"/>
        <w:ind w:left="0" w:firstLine="0"/>
        <w:contextualSpacing/>
        <w:jc w:val="both"/>
        <w:rPr>
          <w:rFonts w:ascii="Palatino Linotype" w:eastAsia="Calibri" w:hAnsi="Palatino Linotype"/>
          <w:lang w:val="es-ES" w:eastAsia="es-ES"/>
        </w:rPr>
      </w:pPr>
      <w:r w:rsidRPr="0028642B">
        <w:rPr>
          <w:rFonts w:ascii="Palatino Linotype" w:eastAsia="Calibri" w:hAnsi="Palatino Linotype"/>
          <w:lang w:val="es-ES" w:eastAsia="es-ES"/>
        </w:rPr>
        <w:t>Se eligió como modalidad de entrega a través de la plataforma SAIMEX.</w:t>
      </w:r>
    </w:p>
    <w:p w14:paraId="11F31D00" w14:textId="77777777" w:rsidR="00A678BF" w:rsidRPr="0028642B" w:rsidRDefault="00A678BF" w:rsidP="00A678BF">
      <w:pPr>
        <w:spacing w:line="360" w:lineRule="auto"/>
        <w:contextualSpacing/>
        <w:jc w:val="both"/>
        <w:rPr>
          <w:rFonts w:ascii="Palatino Linotype" w:eastAsia="Calibri" w:hAnsi="Palatino Linotype"/>
          <w:lang w:val="es-ES" w:eastAsia="es-ES"/>
        </w:rPr>
      </w:pPr>
    </w:p>
    <w:p w14:paraId="36AC5368" w14:textId="77777777" w:rsidR="00A678BF" w:rsidRPr="0028642B" w:rsidRDefault="00A678BF" w:rsidP="00A678BF">
      <w:pPr>
        <w:numPr>
          <w:ilvl w:val="0"/>
          <w:numId w:val="1"/>
        </w:numPr>
        <w:spacing w:line="360" w:lineRule="auto"/>
        <w:ind w:left="0" w:firstLine="0"/>
        <w:contextualSpacing/>
        <w:jc w:val="both"/>
        <w:rPr>
          <w:rFonts w:ascii="Palatino Linotype" w:eastAsia="Calibri" w:hAnsi="Palatino Linotype"/>
          <w:lang w:val="es-ES" w:eastAsia="es-ES"/>
        </w:rPr>
      </w:pPr>
      <w:r w:rsidRPr="0028642B">
        <w:rPr>
          <w:rFonts w:ascii="Palatino Linotype" w:eastAsiaTheme="minorEastAsia" w:hAnsi="Palatino Linotype"/>
          <w:lang w:val="es-ES_tradnl" w:eastAsia="es-ES"/>
        </w:rPr>
        <w:t xml:space="preserve">El doce (12) de mayo de dos mil veintidós, </w:t>
      </w:r>
      <w:r w:rsidRPr="0028642B">
        <w:rPr>
          <w:rFonts w:ascii="Palatino Linotype" w:eastAsia="Calibri" w:hAnsi="Palatino Linotype"/>
          <w:lang w:val="es-ES" w:eastAsia="es-ES"/>
        </w:rPr>
        <w:t xml:space="preserve">el </w:t>
      </w:r>
      <w:r w:rsidRPr="0028642B">
        <w:rPr>
          <w:rFonts w:ascii="Palatino Linotype" w:eastAsia="Calibri" w:hAnsi="Palatino Linotype" w:cs="Arial"/>
          <w:b/>
          <w:lang w:val="es-AR" w:eastAsia="es-ES"/>
        </w:rPr>
        <w:t>SUJETO OBLIGADO</w:t>
      </w:r>
      <w:r w:rsidRPr="0028642B">
        <w:rPr>
          <w:rFonts w:ascii="Palatino Linotype" w:eastAsia="Calibri" w:hAnsi="Palatino Linotype" w:cs="Arial"/>
          <w:b/>
          <w:i/>
          <w:lang w:val="es-AR" w:eastAsia="es-ES"/>
        </w:rPr>
        <w:t xml:space="preserve"> </w:t>
      </w:r>
      <w:r w:rsidRPr="0028642B">
        <w:rPr>
          <w:rFonts w:ascii="Palatino Linotype" w:hAnsi="Palatino Linotype" w:cs="Arial"/>
          <w:lang w:val="es-ES" w:eastAsia="es-ES"/>
        </w:rPr>
        <w:t>dio respuesta a la solicitud de información en los siguientes términos:</w:t>
      </w:r>
    </w:p>
    <w:p w14:paraId="0C087E6C" w14:textId="77777777" w:rsidR="00A678BF" w:rsidRPr="0028642B" w:rsidRDefault="00A678BF" w:rsidP="00A678BF">
      <w:pPr>
        <w:spacing w:line="360" w:lineRule="auto"/>
        <w:contextualSpacing/>
        <w:jc w:val="both"/>
        <w:rPr>
          <w:rFonts w:ascii="Palatino Linotype" w:eastAsia="Calibri" w:hAnsi="Palatino Linotype"/>
          <w:sz w:val="22"/>
          <w:lang w:val="es-ES" w:eastAsia="es-ES"/>
        </w:rPr>
      </w:pPr>
    </w:p>
    <w:tbl>
      <w:tblPr>
        <w:tblW w:w="7676" w:type="dxa"/>
        <w:jc w:val="center"/>
        <w:tblCellSpacing w:w="0" w:type="dxa"/>
        <w:tblCellMar>
          <w:left w:w="0" w:type="dxa"/>
          <w:right w:w="0" w:type="dxa"/>
        </w:tblCellMar>
        <w:tblLook w:val="04A0" w:firstRow="1" w:lastRow="0" w:firstColumn="1" w:lastColumn="0" w:noHBand="0" w:noVBand="1"/>
      </w:tblPr>
      <w:tblGrid>
        <w:gridCol w:w="7676"/>
      </w:tblGrid>
      <w:tr w:rsidR="00A678BF" w:rsidRPr="0028642B" w14:paraId="788F9807" w14:textId="77777777" w:rsidTr="003C30C6">
        <w:trPr>
          <w:trHeight w:val="511"/>
          <w:tblCellSpacing w:w="0" w:type="dxa"/>
          <w:jc w:val="center"/>
        </w:trPr>
        <w:tc>
          <w:tcPr>
            <w:tcW w:w="0" w:type="auto"/>
            <w:vAlign w:val="center"/>
            <w:hideMark/>
          </w:tcPr>
          <w:p w14:paraId="3CE6AD35" w14:textId="77777777" w:rsidR="00A678BF" w:rsidRPr="0028642B" w:rsidRDefault="00A678BF" w:rsidP="003C30C6">
            <w:pPr>
              <w:spacing w:line="360" w:lineRule="auto"/>
              <w:ind w:right="567"/>
              <w:jc w:val="right"/>
              <w:rPr>
                <w:rFonts w:ascii="Palatino Linotype" w:hAnsi="Palatino Linotype"/>
                <w:i/>
                <w:sz w:val="22"/>
              </w:rPr>
            </w:pPr>
            <w:r w:rsidRPr="0028642B">
              <w:rPr>
                <w:rFonts w:ascii="Palatino Linotype" w:hAnsi="Palatino Linotype"/>
                <w:i/>
                <w:sz w:val="22"/>
              </w:rPr>
              <w:t>San Martín de Las Pirámides, México a 12 de Mayo de 2022</w:t>
            </w:r>
          </w:p>
        </w:tc>
      </w:tr>
      <w:tr w:rsidR="00A678BF" w:rsidRPr="0028642B" w14:paraId="16618366" w14:textId="77777777" w:rsidTr="003C30C6">
        <w:trPr>
          <w:trHeight w:val="511"/>
          <w:tblCellSpacing w:w="0" w:type="dxa"/>
          <w:jc w:val="center"/>
        </w:trPr>
        <w:tc>
          <w:tcPr>
            <w:tcW w:w="0" w:type="auto"/>
            <w:vAlign w:val="center"/>
            <w:hideMark/>
          </w:tcPr>
          <w:p w14:paraId="37C83336" w14:textId="77777777" w:rsidR="00A678BF" w:rsidRPr="0028642B" w:rsidRDefault="00A678BF" w:rsidP="003C30C6">
            <w:pPr>
              <w:spacing w:line="360" w:lineRule="auto"/>
              <w:ind w:right="567"/>
              <w:jc w:val="right"/>
              <w:rPr>
                <w:rFonts w:ascii="Palatino Linotype" w:hAnsi="Palatino Linotype"/>
                <w:i/>
                <w:sz w:val="22"/>
              </w:rPr>
            </w:pPr>
            <w:r w:rsidRPr="0028642B">
              <w:rPr>
                <w:rFonts w:ascii="Palatino Linotype" w:hAnsi="Palatino Linotype"/>
                <w:i/>
                <w:sz w:val="22"/>
              </w:rPr>
              <w:t>Nombre del solicitante: C. Solicitante</w:t>
            </w:r>
          </w:p>
        </w:tc>
      </w:tr>
      <w:tr w:rsidR="00A678BF" w:rsidRPr="0028642B" w14:paraId="1224BB7E" w14:textId="77777777" w:rsidTr="003C30C6">
        <w:trPr>
          <w:trHeight w:val="511"/>
          <w:tblCellSpacing w:w="0" w:type="dxa"/>
          <w:jc w:val="center"/>
        </w:trPr>
        <w:tc>
          <w:tcPr>
            <w:tcW w:w="0" w:type="auto"/>
            <w:vAlign w:val="center"/>
            <w:hideMark/>
          </w:tcPr>
          <w:p w14:paraId="35FA9F4C" w14:textId="77777777" w:rsidR="00A678BF" w:rsidRPr="0028642B" w:rsidRDefault="00A678BF" w:rsidP="003C30C6">
            <w:pPr>
              <w:spacing w:line="360" w:lineRule="auto"/>
              <w:ind w:right="567"/>
              <w:jc w:val="right"/>
              <w:rPr>
                <w:rFonts w:ascii="Palatino Linotype" w:hAnsi="Palatino Linotype"/>
                <w:i/>
                <w:sz w:val="22"/>
              </w:rPr>
            </w:pPr>
            <w:r w:rsidRPr="0028642B">
              <w:rPr>
                <w:rFonts w:ascii="Palatino Linotype" w:hAnsi="Palatino Linotype"/>
                <w:i/>
                <w:sz w:val="22"/>
              </w:rPr>
              <w:t>Folio de la solicitud: 00105/MARTIPIR/IP/2022</w:t>
            </w:r>
          </w:p>
          <w:p w14:paraId="6ABDE5C6" w14:textId="77777777" w:rsidR="00A678BF" w:rsidRPr="0028642B" w:rsidRDefault="00A678BF" w:rsidP="003C30C6">
            <w:pPr>
              <w:spacing w:line="360" w:lineRule="auto"/>
              <w:ind w:right="567"/>
              <w:jc w:val="right"/>
              <w:rPr>
                <w:rFonts w:ascii="Palatino Linotype" w:hAnsi="Palatino Linotype"/>
                <w:i/>
                <w:sz w:val="22"/>
              </w:rPr>
            </w:pPr>
          </w:p>
        </w:tc>
      </w:tr>
      <w:tr w:rsidR="00A678BF" w:rsidRPr="0028642B" w14:paraId="08E68DAA" w14:textId="77777777" w:rsidTr="003C30C6">
        <w:trPr>
          <w:trHeight w:val="255"/>
          <w:tblCellSpacing w:w="0" w:type="dxa"/>
          <w:jc w:val="center"/>
        </w:trPr>
        <w:tc>
          <w:tcPr>
            <w:tcW w:w="0" w:type="auto"/>
            <w:vAlign w:val="center"/>
            <w:hideMark/>
          </w:tcPr>
          <w:p w14:paraId="26398D18" w14:textId="77777777" w:rsidR="00A678BF" w:rsidRPr="0028642B" w:rsidRDefault="00A678BF" w:rsidP="003C30C6">
            <w:pPr>
              <w:spacing w:line="360" w:lineRule="auto"/>
              <w:ind w:right="567"/>
              <w:jc w:val="both"/>
              <w:rPr>
                <w:rFonts w:ascii="Palatino Linotype" w:hAnsi="Palatino Linotype"/>
                <w:i/>
                <w:sz w:val="22"/>
              </w:rPr>
            </w:pPr>
            <w:r w:rsidRPr="0028642B">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A678BF" w:rsidRPr="0028642B" w14:paraId="0A8BC8C8" w14:textId="77777777" w:rsidTr="003C30C6">
        <w:trPr>
          <w:trHeight w:val="639"/>
          <w:tblCellSpacing w:w="0" w:type="dxa"/>
          <w:jc w:val="center"/>
        </w:trPr>
        <w:tc>
          <w:tcPr>
            <w:tcW w:w="0" w:type="auto"/>
            <w:vAlign w:val="center"/>
            <w:hideMark/>
          </w:tcPr>
          <w:p w14:paraId="0FD5723A" w14:textId="77777777" w:rsidR="00A678BF" w:rsidRPr="0028642B" w:rsidRDefault="00A678BF" w:rsidP="003C30C6">
            <w:pPr>
              <w:spacing w:line="360" w:lineRule="auto"/>
              <w:ind w:right="567"/>
              <w:jc w:val="both"/>
              <w:rPr>
                <w:rFonts w:ascii="Palatino Linotype" w:hAnsi="Palatino Linotype"/>
                <w:i/>
                <w:sz w:val="22"/>
              </w:rPr>
            </w:pPr>
          </w:p>
        </w:tc>
      </w:tr>
      <w:tr w:rsidR="00A678BF" w:rsidRPr="0028642B" w14:paraId="005D3B38" w14:textId="77777777" w:rsidTr="003C30C6">
        <w:trPr>
          <w:trHeight w:val="255"/>
          <w:tblCellSpacing w:w="0" w:type="dxa"/>
          <w:jc w:val="center"/>
        </w:trPr>
        <w:tc>
          <w:tcPr>
            <w:tcW w:w="0" w:type="auto"/>
            <w:vAlign w:val="center"/>
            <w:hideMark/>
          </w:tcPr>
          <w:p w14:paraId="2FA24C7E" w14:textId="77777777" w:rsidR="00A678BF" w:rsidRPr="0028642B" w:rsidRDefault="00A678BF" w:rsidP="003C30C6">
            <w:pPr>
              <w:spacing w:line="360" w:lineRule="auto"/>
              <w:ind w:right="567"/>
              <w:jc w:val="both"/>
              <w:rPr>
                <w:rFonts w:ascii="Palatino Linotype" w:hAnsi="Palatino Linotype"/>
                <w:i/>
                <w:sz w:val="22"/>
              </w:rPr>
            </w:pPr>
            <w:r w:rsidRPr="0028642B">
              <w:rPr>
                <w:rFonts w:ascii="Palatino Linotype" w:hAnsi="Palatino Linotype"/>
                <w:i/>
                <w:sz w:val="22"/>
              </w:rPr>
              <w:lastRenderedPageBreak/>
              <w:t>Envio informacion solicitada</w:t>
            </w:r>
          </w:p>
        </w:tc>
      </w:tr>
      <w:tr w:rsidR="00A678BF" w:rsidRPr="0028642B" w14:paraId="35B17B96" w14:textId="77777777" w:rsidTr="003C30C6">
        <w:trPr>
          <w:trHeight w:val="639"/>
          <w:tblCellSpacing w:w="0" w:type="dxa"/>
          <w:jc w:val="center"/>
        </w:trPr>
        <w:tc>
          <w:tcPr>
            <w:tcW w:w="0" w:type="auto"/>
            <w:vAlign w:val="center"/>
            <w:hideMark/>
          </w:tcPr>
          <w:p w14:paraId="13B584B9" w14:textId="77777777" w:rsidR="00A678BF" w:rsidRPr="0028642B" w:rsidRDefault="00A678BF" w:rsidP="003C30C6">
            <w:pPr>
              <w:spacing w:line="360" w:lineRule="auto"/>
              <w:ind w:right="567"/>
              <w:jc w:val="both"/>
              <w:rPr>
                <w:rFonts w:ascii="Palatino Linotype" w:hAnsi="Palatino Linotype"/>
                <w:i/>
                <w:sz w:val="22"/>
              </w:rPr>
            </w:pPr>
          </w:p>
        </w:tc>
      </w:tr>
      <w:tr w:rsidR="00A678BF" w:rsidRPr="0028642B" w14:paraId="26F1573F" w14:textId="77777777" w:rsidTr="003C30C6">
        <w:trPr>
          <w:trHeight w:val="255"/>
          <w:tblCellSpacing w:w="0" w:type="dxa"/>
          <w:jc w:val="center"/>
        </w:trPr>
        <w:tc>
          <w:tcPr>
            <w:tcW w:w="0" w:type="auto"/>
            <w:vAlign w:val="center"/>
            <w:hideMark/>
          </w:tcPr>
          <w:p w14:paraId="74DEEB2F" w14:textId="77777777" w:rsidR="00A678BF" w:rsidRPr="0028642B" w:rsidRDefault="00A678BF" w:rsidP="003C30C6">
            <w:pPr>
              <w:spacing w:line="360" w:lineRule="auto"/>
              <w:ind w:right="567"/>
              <w:jc w:val="both"/>
              <w:rPr>
                <w:rFonts w:ascii="Palatino Linotype" w:hAnsi="Palatino Linotype"/>
                <w:i/>
                <w:sz w:val="22"/>
              </w:rPr>
            </w:pPr>
          </w:p>
        </w:tc>
      </w:tr>
      <w:tr w:rsidR="00A678BF" w:rsidRPr="0028642B" w14:paraId="68F63943" w14:textId="77777777" w:rsidTr="003C30C6">
        <w:trPr>
          <w:trHeight w:val="255"/>
          <w:tblCellSpacing w:w="0" w:type="dxa"/>
          <w:jc w:val="center"/>
        </w:trPr>
        <w:tc>
          <w:tcPr>
            <w:tcW w:w="0" w:type="auto"/>
            <w:vAlign w:val="center"/>
            <w:hideMark/>
          </w:tcPr>
          <w:p w14:paraId="13ACD864" w14:textId="77777777" w:rsidR="00A678BF" w:rsidRPr="0028642B" w:rsidRDefault="00A678BF" w:rsidP="003C30C6">
            <w:pPr>
              <w:spacing w:line="360" w:lineRule="auto"/>
              <w:ind w:right="567"/>
              <w:jc w:val="both"/>
              <w:rPr>
                <w:rFonts w:ascii="Palatino Linotype" w:hAnsi="Palatino Linotype"/>
                <w:i/>
                <w:sz w:val="22"/>
              </w:rPr>
            </w:pPr>
            <w:r w:rsidRPr="0028642B">
              <w:rPr>
                <w:rFonts w:ascii="Palatino Linotype" w:hAnsi="Palatino Linotype"/>
                <w:i/>
                <w:sz w:val="22"/>
              </w:rPr>
              <w:t>ATENTAMENTE</w:t>
            </w:r>
          </w:p>
        </w:tc>
      </w:tr>
      <w:tr w:rsidR="00A678BF" w:rsidRPr="0028642B" w14:paraId="11454425" w14:textId="77777777" w:rsidTr="003C30C6">
        <w:trPr>
          <w:trHeight w:val="383"/>
          <w:tblCellSpacing w:w="0" w:type="dxa"/>
          <w:jc w:val="center"/>
        </w:trPr>
        <w:tc>
          <w:tcPr>
            <w:tcW w:w="0" w:type="auto"/>
            <w:vAlign w:val="center"/>
            <w:hideMark/>
          </w:tcPr>
          <w:p w14:paraId="48FF9D60" w14:textId="77777777" w:rsidR="00A678BF" w:rsidRPr="0028642B" w:rsidRDefault="00A678BF" w:rsidP="003C30C6">
            <w:pPr>
              <w:spacing w:line="360" w:lineRule="auto"/>
              <w:ind w:right="567"/>
              <w:jc w:val="both"/>
              <w:rPr>
                <w:rFonts w:ascii="Palatino Linotype" w:hAnsi="Palatino Linotype"/>
                <w:i/>
                <w:sz w:val="22"/>
              </w:rPr>
            </w:pPr>
          </w:p>
        </w:tc>
      </w:tr>
      <w:tr w:rsidR="00A678BF" w:rsidRPr="0028642B" w14:paraId="1472B4DB" w14:textId="77777777" w:rsidTr="003C30C6">
        <w:trPr>
          <w:trHeight w:val="255"/>
          <w:tblCellSpacing w:w="0" w:type="dxa"/>
          <w:jc w:val="center"/>
        </w:trPr>
        <w:tc>
          <w:tcPr>
            <w:tcW w:w="0" w:type="auto"/>
            <w:vAlign w:val="center"/>
            <w:hideMark/>
          </w:tcPr>
          <w:p w14:paraId="2953F1DF" w14:textId="77777777" w:rsidR="00A678BF" w:rsidRPr="0028642B" w:rsidRDefault="00A678BF" w:rsidP="003C30C6">
            <w:pPr>
              <w:spacing w:line="360" w:lineRule="auto"/>
              <w:ind w:right="567"/>
              <w:jc w:val="both"/>
              <w:rPr>
                <w:rFonts w:ascii="Palatino Linotype" w:hAnsi="Palatino Linotype"/>
                <w:i/>
                <w:sz w:val="22"/>
              </w:rPr>
            </w:pPr>
            <w:r w:rsidRPr="0028642B">
              <w:rPr>
                <w:rFonts w:ascii="Palatino Linotype" w:hAnsi="Palatino Linotype"/>
                <w:i/>
                <w:sz w:val="22"/>
              </w:rPr>
              <w:t>C. GRECIA MARTINEZ ESPINOZA</w:t>
            </w:r>
          </w:p>
        </w:tc>
      </w:tr>
    </w:tbl>
    <w:p w14:paraId="0F90FBEB" w14:textId="77777777" w:rsidR="00A678BF" w:rsidRPr="0028642B" w:rsidRDefault="00A678BF" w:rsidP="00A678BF">
      <w:pPr>
        <w:spacing w:line="360" w:lineRule="auto"/>
        <w:ind w:right="567"/>
        <w:jc w:val="both"/>
        <w:rPr>
          <w:rFonts w:ascii="Palatino Linotype" w:hAnsi="Palatino Linotype"/>
          <w:i/>
        </w:rPr>
      </w:pPr>
    </w:p>
    <w:p w14:paraId="481D2F5A" w14:textId="77777777" w:rsidR="00A678BF" w:rsidRPr="0028642B" w:rsidRDefault="00A678BF" w:rsidP="00A678BF">
      <w:pPr>
        <w:spacing w:line="360" w:lineRule="auto"/>
        <w:ind w:right="567"/>
        <w:jc w:val="both"/>
        <w:rPr>
          <w:rFonts w:ascii="Palatino Linotype" w:hAnsi="Palatino Linotype"/>
          <w:sz w:val="22"/>
        </w:rPr>
      </w:pPr>
      <w:r w:rsidRPr="0028642B">
        <w:rPr>
          <w:rFonts w:ascii="Palatino Linotype" w:hAnsi="Palatino Linotype"/>
          <w:sz w:val="22"/>
        </w:rPr>
        <w:t>A la respuesta se adjuntaron los archivos que se describen enseguida:</w:t>
      </w:r>
    </w:p>
    <w:p w14:paraId="22AE6664" w14:textId="77777777" w:rsidR="00A678BF" w:rsidRPr="0028642B" w:rsidRDefault="00A678BF" w:rsidP="00A678BF">
      <w:pPr>
        <w:spacing w:line="360" w:lineRule="auto"/>
        <w:ind w:right="567"/>
        <w:jc w:val="both"/>
        <w:rPr>
          <w:rFonts w:ascii="Palatino Linotype" w:hAnsi="Palatino Linotype"/>
          <w:sz w:val="22"/>
        </w:rPr>
      </w:pPr>
    </w:p>
    <w:p w14:paraId="179AC3E0" w14:textId="77777777" w:rsidR="00A678BF" w:rsidRPr="0028642B" w:rsidRDefault="00A678BF" w:rsidP="00A678BF">
      <w:pPr>
        <w:pStyle w:val="Prrafodelista"/>
        <w:numPr>
          <w:ilvl w:val="0"/>
          <w:numId w:val="4"/>
        </w:numPr>
        <w:spacing w:line="360" w:lineRule="auto"/>
        <w:ind w:right="567"/>
        <w:jc w:val="both"/>
        <w:rPr>
          <w:rFonts w:ascii="Palatino Linotype" w:hAnsi="Palatino Linotype" w:cs="Arial"/>
          <w:bCs/>
          <w:i/>
        </w:rPr>
      </w:pPr>
      <w:r w:rsidRPr="0028642B">
        <w:rPr>
          <w:rFonts w:ascii="Palatino Linotype" w:eastAsiaTheme="majorEastAsia" w:hAnsi="Palatino Linotype" w:cs="Arial"/>
          <w:b/>
          <w:bCs/>
        </w:rPr>
        <w:t>contestacion.pdf</w:t>
      </w:r>
      <w:r w:rsidRPr="0028642B">
        <w:rPr>
          <w:rFonts w:ascii="Palatino Linotype" w:hAnsi="Palatino Linotype"/>
        </w:rPr>
        <w:t>: oficio DDS/058/04/2022 de fecha veintiuno de abril de dos mil veintidós, suscrito por la Directora de Desarrollo Social en el que señaló</w:t>
      </w:r>
      <w:r w:rsidRPr="0028642B">
        <w:rPr>
          <w:rFonts w:ascii="Palatino Linotype" w:hAnsi="Palatino Linotype" w:cs="Arial"/>
          <w:b/>
          <w:bCs/>
          <w:i/>
        </w:rPr>
        <w:t xml:space="preserve">: </w:t>
      </w:r>
      <w:r w:rsidRPr="0028642B">
        <w:rPr>
          <w:rFonts w:ascii="Palatino Linotype" w:hAnsi="Palatino Linotype" w:cs="Arial"/>
          <w:bCs/>
          <w:i/>
        </w:rPr>
        <w:t>“¿Cuáles son los listados de los beneficiarios de programas sociales?</w:t>
      </w:r>
    </w:p>
    <w:p w14:paraId="27592F09"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Por el momento no se llevan a cabo entrega de apoyos sociales, sin embargo se lleva a cabo la venta de productos de canasta básica a bajo costo en coordinación con DICONSA tienda móvil, recorriendo las comunidades del municipio, el propósito de contribuir a la superación de la pobreza alimentaria, mediante el abasto de productos básicos y complementarios a localidades rurales de alta y muy alta marginación, con base en la organización y la participación comunitaria</w:t>
      </w:r>
    </w:p>
    <w:p w14:paraId="236E2AC3"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¿Qué estudios socioeconómicos se les aplicaron?</w:t>
      </w:r>
    </w:p>
    <w:p w14:paraId="546B410C"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No se llevó a cabo ningún estudio socioeconómico ya que está dirigido a las diferentes comunidades del municipio público en general”</w:t>
      </w:r>
    </w:p>
    <w:p w14:paraId="31AB4AC4" w14:textId="77777777" w:rsidR="00A678BF" w:rsidRPr="0028642B" w:rsidRDefault="00A678BF" w:rsidP="00A678BF">
      <w:pPr>
        <w:pStyle w:val="Prrafodelista"/>
        <w:spacing w:line="360" w:lineRule="auto"/>
        <w:ind w:right="567"/>
        <w:jc w:val="both"/>
        <w:rPr>
          <w:rFonts w:ascii="Palatino Linotype" w:hAnsi="Palatino Linotype" w:cs="Arial"/>
          <w:b/>
          <w:bCs/>
          <w:i/>
        </w:rPr>
      </w:pPr>
    </w:p>
    <w:p w14:paraId="13602024" w14:textId="77777777" w:rsidR="00A678BF" w:rsidRPr="0028642B" w:rsidRDefault="00A678BF" w:rsidP="00A678BF">
      <w:pPr>
        <w:pStyle w:val="Prrafodelista"/>
        <w:numPr>
          <w:ilvl w:val="0"/>
          <w:numId w:val="4"/>
        </w:numPr>
        <w:spacing w:line="360" w:lineRule="auto"/>
        <w:ind w:right="567"/>
        <w:jc w:val="both"/>
        <w:rPr>
          <w:rFonts w:ascii="Palatino Linotype" w:hAnsi="Palatino Linotype" w:cs="Arial"/>
          <w:b/>
          <w:bCs/>
          <w:i/>
        </w:rPr>
      </w:pPr>
      <w:r w:rsidRPr="0028642B">
        <w:rPr>
          <w:rFonts w:ascii="Palatino Linotype" w:eastAsiaTheme="majorEastAsia" w:hAnsi="Palatino Linotype" w:cs="Arial"/>
          <w:b/>
          <w:bCs/>
        </w:rPr>
        <w:t>SAIMEX.docx</w:t>
      </w:r>
      <w:r w:rsidRPr="0028642B">
        <w:rPr>
          <w:rFonts w:ascii="Palatino Linotype" w:hAnsi="Palatino Linotype"/>
        </w:rPr>
        <w:t xml:space="preserve">: documento en formato Word que refiere los datos curriculares de los miembros del cabildo en el que se advierte nombre, área, cédula profesional, institución y carrera. </w:t>
      </w:r>
    </w:p>
    <w:p w14:paraId="69BDBDDF" w14:textId="77777777" w:rsidR="00A678BF" w:rsidRPr="0028642B" w:rsidRDefault="00A678BF" w:rsidP="00A678BF">
      <w:pPr>
        <w:pStyle w:val="Prrafodelista"/>
        <w:numPr>
          <w:ilvl w:val="0"/>
          <w:numId w:val="4"/>
        </w:numPr>
        <w:spacing w:line="360" w:lineRule="auto"/>
        <w:ind w:right="567"/>
        <w:jc w:val="both"/>
        <w:rPr>
          <w:rFonts w:ascii="Palatino Linotype" w:hAnsi="Palatino Linotype" w:cs="Arial"/>
          <w:b/>
          <w:bCs/>
          <w:i/>
        </w:rPr>
      </w:pPr>
      <w:r w:rsidRPr="0028642B">
        <w:rPr>
          <w:rFonts w:ascii="Palatino Linotype" w:eastAsiaTheme="majorEastAsia" w:hAnsi="Palatino Linotype" w:cs="Arial"/>
          <w:b/>
          <w:bCs/>
        </w:rPr>
        <w:t>00105.pdf</w:t>
      </w:r>
      <w:r w:rsidRPr="0028642B">
        <w:rPr>
          <w:rFonts w:ascii="Palatino Linotype" w:hAnsi="Palatino Linotype" w:cs="Arial"/>
          <w:b/>
          <w:bCs/>
          <w:i/>
        </w:rPr>
        <w:t xml:space="preserve">: oficio SMP/UT/022/2022, </w:t>
      </w:r>
      <w:r w:rsidRPr="0028642B">
        <w:rPr>
          <w:rFonts w:ascii="Palatino Linotype" w:hAnsi="Palatino Linotype" w:cs="Arial"/>
          <w:bCs/>
        </w:rPr>
        <w:t>de fecha doce de mayo de dos mil veintidós, suscrito por la Titular de la Unidad de Transparencia en el que refirió:</w:t>
      </w:r>
    </w:p>
    <w:p w14:paraId="2F2A0814" w14:textId="77777777" w:rsidR="00A678BF" w:rsidRPr="0028642B" w:rsidRDefault="00A678BF" w:rsidP="00A678BF">
      <w:pPr>
        <w:pStyle w:val="Prrafodelista"/>
        <w:rPr>
          <w:rFonts w:ascii="Palatino Linotype" w:hAnsi="Palatino Linotype" w:cs="Arial"/>
          <w:b/>
          <w:bCs/>
          <w:i/>
        </w:rPr>
      </w:pPr>
    </w:p>
    <w:p w14:paraId="7A84A89A"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1.Solicito saber si los miembros del Ayuntamiento y los directores son titulados de alguna carrera, si es así, especificar nombre, número de cédula profesional, carrera y universidad donde se realizaron dichos estudios. </w:t>
      </w:r>
    </w:p>
    <w:p w14:paraId="4E4504C5"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Se anexa pdf con la información. </w:t>
      </w:r>
    </w:p>
    <w:p w14:paraId="48D4D7E7"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2. ¿Cuáles son los listados de los beneficiarios de programas sociales? Y ¿Qué estudios socioeconómicos se les aplicaron? Solicito copia del formato de estudio socioeconómico </w:t>
      </w:r>
    </w:p>
    <w:p w14:paraId="286B86B2"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Se anexa pdf con la respuesta </w:t>
      </w:r>
    </w:p>
    <w:p w14:paraId="401B22F8"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3. Solicito saber cuáles bienes inmuebles ha adquirido el ayuntamiento, ¿Cuál fue el costo de los mismos de enero del 2021 a la fecha? ¿Cuándo fueron ingresados al patrimonio municipal? Solicito copia de las actas y contratos </w:t>
      </w:r>
    </w:p>
    <w:p w14:paraId="6C1968CC"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Solo se ha adquirido el predio denominado “la barranca” que era el que serviría para panteón municipal. Se anexa información en pdf </w:t>
      </w:r>
    </w:p>
    <w:p w14:paraId="25D638BF"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4. ¿Qué bienes se han dado de baja del patrimonio municipal desde enero de 2022? Especificando cada bien y motivos de la baja </w:t>
      </w:r>
    </w:p>
    <w:p w14:paraId="264BBAC0"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En este Primer Trimestre no se ha dado de baja ningún bien. </w:t>
      </w:r>
    </w:p>
    <w:p w14:paraId="4248168A"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5.¿Qué obras públicas se ha realizado de enero del 2022 a la fecha? ¿Cómo fue el proceso de licitación para la realización de la misma y que costo tuvo cada obra? </w:t>
      </w:r>
    </w:p>
    <w:p w14:paraId="62958E36"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En respuesta a su solicitud, le informo que a la fecha no se ha realizado obra pública, por lo que hasta el momento no existe proceso ni contratación alguna. </w:t>
      </w:r>
    </w:p>
    <w:p w14:paraId="1E7DA4E8"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6.¿Qué bienes inmuebles renta el h. ayuntamiento y que costo mensual tienen? Copia del contrato </w:t>
      </w:r>
    </w:p>
    <w:p w14:paraId="552C125A"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cs="Arial"/>
          <w:bCs/>
          <w:i/>
        </w:rPr>
        <w:t xml:space="preserve">R: No se renta ningún bien inmueble hasta la fecha. </w:t>
      </w:r>
    </w:p>
    <w:p w14:paraId="16C8D7C5" w14:textId="77777777" w:rsidR="00A678BF" w:rsidRPr="0028642B" w:rsidRDefault="00A678BF" w:rsidP="00A678BF">
      <w:pPr>
        <w:pStyle w:val="Prrafodelista"/>
        <w:spacing w:line="360" w:lineRule="auto"/>
        <w:ind w:right="567"/>
        <w:jc w:val="both"/>
        <w:rPr>
          <w:rFonts w:ascii="Palatino Linotype" w:hAnsi="Palatino Linotype"/>
          <w:i/>
        </w:rPr>
      </w:pPr>
      <w:r w:rsidRPr="0028642B">
        <w:rPr>
          <w:rFonts w:ascii="Palatino Linotype" w:hAnsi="Palatino Linotype"/>
          <w:i/>
        </w:rPr>
        <w:t xml:space="preserve">7.- ¿Qué vehículos fueron adquiridos de enero del 2022 a la fecha? qué uso se les atribuye a los mismos y el costo que estos generan? </w:t>
      </w:r>
    </w:p>
    <w:p w14:paraId="320A6893" w14:textId="77777777" w:rsidR="00A678BF" w:rsidRPr="0028642B" w:rsidRDefault="00A678BF" w:rsidP="00A678BF">
      <w:pPr>
        <w:pStyle w:val="Prrafodelista"/>
        <w:spacing w:line="360" w:lineRule="auto"/>
        <w:ind w:right="567"/>
        <w:jc w:val="both"/>
        <w:rPr>
          <w:rFonts w:ascii="Palatino Linotype" w:hAnsi="Palatino Linotype" w:cs="Arial"/>
          <w:bCs/>
          <w:i/>
        </w:rPr>
      </w:pPr>
      <w:r w:rsidRPr="0028642B">
        <w:rPr>
          <w:rFonts w:ascii="Palatino Linotype" w:hAnsi="Palatino Linotype"/>
          <w:i/>
        </w:rPr>
        <w:t>R: En el primer trimestre no se ha adquirido ningún vehículo.</w:t>
      </w:r>
    </w:p>
    <w:p w14:paraId="545A983B" w14:textId="77777777" w:rsidR="00A678BF" w:rsidRPr="0028642B" w:rsidRDefault="00A678BF" w:rsidP="00A678BF">
      <w:pPr>
        <w:spacing w:line="360" w:lineRule="auto"/>
        <w:ind w:right="567"/>
        <w:jc w:val="both"/>
        <w:rPr>
          <w:rFonts w:ascii="Palatino Linotype" w:hAnsi="Palatino Linotype"/>
          <w:b/>
        </w:rPr>
      </w:pPr>
    </w:p>
    <w:p w14:paraId="328EFE8E"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28642B">
        <w:rPr>
          <w:rFonts w:ascii="Palatino Linotype" w:eastAsia="Calibri" w:hAnsi="Palatino Linotype" w:cs="Arial"/>
          <w:lang w:val="es-AR" w:eastAsia="es-ES"/>
        </w:rPr>
        <w:lastRenderedPageBreak/>
        <w:t>El dieciséis (16) de mayo de dos mil veintidós</w:t>
      </w:r>
      <w:r w:rsidRPr="0028642B">
        <w:rPr>
          <w:rFonts w:ascii="Palatino Linotype" w:hAnsi="Palatino Linotype" w:cs="Arial"/>
          <w:lang w:val="es-ES" w:eastAsia="es-ES"/>
        </w:rPr>
        <w:t xml:space="preserve">, </w:t>
      </w:r>
      <w:r w:rsidRPr="0028642B">
        <w:rPr>
          <w:rFonts w:ascii="Palatino Linotype" w:eastAsiaTheme="minorEastAsia" w:hAnsi="Palatino Linotype"/>
          <w:b/>
          <w:lang w:val="es-ES_tradnl" w:eastAsia="es-ES"/>
        </w:rPr>
        <w:t>EL RECURRENTE</w:t>
      </w:r>
      <w:r w:rsidRPr="0028642B">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32C84F60" w14:textId="77777777" w:rsidR="00A678BF" w:rsidRPr="0028642B" w:rsidRDefault="00A678BF" w:rsidP="00A678BF">
      <w:pPr>
        <w:spacing w:line="360" w:lineRule="auto"/>
        <w:ind w:left="567" w:right="567"/>
        <w:contextualSpacing/>
        <w:jc w:val="both"/>
        <w:rPr>
          <w:rFonts w:ascii="Palatino Linotype" w:eastAsia="Calibri" w:hAnsi="Palatino Linotype" w:cs="Arial"/>
          <w:i/>
          <w:sz w:val="22"/>
          <w:lang w:val="es-ES" w:eastAsia="es-ES"/>
        </w:rPr>
      </w:pPr>
      <w:r w:rsidRPr="0028642B">
        <w:rPr>
          <w:rFonts w:ascii="Palatino Linotype" w:eastAsiaTheme="minorEastAsia" w:hAnsi="Palatino Linotype"/>
          <w:b/>
          <w:sz w:val="22"/>
          <w:lang w:val="es-ES_tradnl" w:eastAsia="es-ES"/>
        </w:rPr>
        <w:t>Acto impugnado</w:t>
      </w:r>
      <w:r w:rsidRPr="0028642B">
        <w:rPr>
          <w:rFonts w:ascii="Palatino Linotype" w:eastAsiaTheme="minorEastAsia" w:hAnsi="Palatino Linotype"/>
          <w:b/>
          <w:i/>
          <w:sz w:val="22"/>
          <w:lang w:val="es-ES_tradnl" w:eastAsia="es-ES"/>
        </w:rPr>
        <w:t>:</w:t>
      </w:r>
      <w:r w:rsidRPr="0028642B">
        <w:rPr>
          <w:rFonts w:ascii="Palatino Linotype" w:hAnsi="Palatino Linotype"/>
          <w:i/>
          <w:color w:val="000000"/>
          <w:sz w:val="22"/>
        </w:rPr>
        <w:t xml:space="preserve"> “Se anexa en el documento” </w:t>
      </w:r>
      <w:r w:rsidRPr="0028642B">
        <w:rPr>
          <w:rFonts w:ascii="Palatino Linotype" w:hAnsi="Palatino Linotype"/>
          <w:color w:val="000000"/>
          <w:sz w:val="22"/>
        </w:rPr>
        <w:t>(Sic)</w:t>
      </w:r>
    </w:p>
    <w:p w14:paraId="4999DBC8" w14:textId="77777777" w:rsidR="00A678BF" w:rsidRPr="0028642B" w:rsidRDefault="00A678BF" w:rsidP="00A678BF">
      <w:pPr>
        <w:spacing w:line="360" w:lineRule="auto"/>
        <w:ind w:left="567" w:right="567"/>
        <w:contextualSpacing/>
        <w:jc w:val="both"/>
        <w:rPr>
          <w:rFonts w:ascii="Palatino Linotype" w:eastAsia="Calibri" w:hAnsi="Palatino Linotype" w:cs="Arial"/>
          <w:sz w:val="22"/>
          <w:lang w:val="es-ES" w:eastAsia="es-ES"/>
        </w:rPr>
      </w:pPr>
    </w:p>
    <w:p w14:paraId="2E91738E" w14:textId="77777777" w:rsidR="00A678BF" w:rsidRPr="0028642B" w:rsidRDefault="00A678BF" w:rsidP="00A678BF">
      <w:pPr>
        <w:spacing w:line="360" w:lineRule="auto"/>
        <w:ind w:left="567" w:right="567"/>
        <w:contextualSpacing/>
        <w:jc w:val="both"/>
        <w:rPr>
          <w:rFonts w:ascii="Palatino Linotype" w:hAnsi="Palatino Linotype"/>
          <w:i/>
          <w:color w:val="000000"/>
          <w:sz w:val="22"/>
        </w:rPr>
      </w:pPr>
      <w:r w:rsidRPr="0028642B">
        <w:rPr>
          <w:rFonts w:ascii="Palatino Linotype" w:eastAsiaTheme="minorEastAsia" w:hAnsi="Palatino Linotype"/>
          <w:b/>
          <w:sz w:val="22"/>
          <w:lang w:val="es-ES_tradnl" w:eastAsia="es-ES"/>
        </w:rPr>
        <w:t>Razones o Motivos de inconformidad: “</w:t>
      </w:r>
      <w:r w:rsidRPr="0028642B">
        <w:rPr>
          <w:rFonts w:ascii="Palatino Linotype" w:hAnsi="Palatino Linotype"/>
          <w:i/>
          <w:color w:val="000000"/>
          <w:sz w:val="22"/>
        </w:rPr>
        <w:t xml:space="preserve">Se anexa en el documento” </w:t>
      </w:r>
      <w:r w:rsidRPr="0028642B">
        <w:rPr>
          <w:rFonts w:ascii="Palatino Linotype" w:hAnsi="Palatino Linotype"/>
          <w:color w:val="000000"/>
          <w:sz w:val="22"/>
        </w:rPr>
        <w:t>(Sic)</w:t>
      </w:r>
    </w:p>
    <w:bookmarkEnd w:id="1"/>
    <w:bookmarkEnd w:id="2"/>
    <w:bookmarkEnd w:id="3"/>
    <w:p w14:paraId="1D0AD7A5" w14:textId="77777777" w:rsidR="00A678BF" w:rsidRPr="0028642B" w:rsidRDefault="00A678BF" w:rsidP="00A678BF">
      <w:pPr>
        <w:numPr>
          <w:ilvl w:val="0"/>
          <w:numId w:val="5"/>
        </w:numPr>
        <w:spacing w:before="100" w:beforeAutospacing="1" w:after="100" w:afterAutospacing="1" w:line="360" w:lineRule="auto"/>
        <w:rPr>
          <w:rFonts w:ascii="Palatino Linotype" w:hAnsi="Palatino Linotype" w:cs="Arial"/>
          <w:sz w:val="22"/>
        </w:rPr>
      </w:pPr>
      <w:r w:rsidRPr="0028642B">
        <w:rPr>
          <w:rFonts w:ascii="Palatino Linotype" w:eastAsia="Calibri" w:hAnsi="Palatino Linotype" w:cs="Arial"/>
          <w:sz w:val="22"/>
          <w:lang w:val="es-AR" w:eastAsia="es-ES"/>
        </w:rPr>
        <w:t xml:space="preserve">A la interposición del recurso se adjuntó el archivo </w:t>
      </w:r>
      <w:hyperlink r:id="rId7" w:tgtFrame="_blank" w:history="1">
        <w:r w:rsidRPr="0028642B">
          <w:rPr>
            <w:rStyle w:val="Hipervnculo"/>
            <w:rFonts w:ascii="Palatino Linotype" w:eastAsiaTheme="majorEastAsia" w:hAnsi="Palatino Linotype" w:cs="Arial"/>
            <w:b/>
            <w:bCs/>
            <w:sz w:val="22"/>
          </w:rPr>
          <w:t>RECURSO DE REVISION.docx</w:t>
        </w:r>
      </w:hyperlink>
      <w:r w:rsidRPr="0028642B">
        <w:rPr>
          <w:rFonts w:ascii="Palatino Linotype" w:hAnsi="Palatino Linotype" w:cs="Arial"/>
          <w:sz w:val="22"/>
        </w:rPr>
        <w:t>, que describe lo siguiente:</w:t>
      </w:r>
    </w:p>
    <w:p w14:paraId="43FF8C3D" w14:textId="77777777" w:rsidR="00A678BF" w:rsidRPr="0028642B" w:rsidRDefault="00A678BF" w:rsidP="00A678BF">
      <w:pPr>
        <w:ind w:left="851" w:right="822"/>
        <w:jc w:val="center"/>
        <w:rPr>
          <w:rFonts w:ascii="Palatino Linotype" w:hAnsi="Palatino Linotype"/>
          <w:b/>
          <w:bCs/>
          <w:i/>
          <w:sz w:val="22"/>
        </w:rPr>
      </w:pPr>
      <w:r w:rsidRPr="0028642B">
        <w:rPr>
          <w:rFonts w:ascii="Palatino Linotype" w:hAnsi="Palatino Linotype" w:cs="Arial"/>
          <w:i/>
          <w:color w:val="333333"/>
          <w:sz w:val="22"/>
        </w:rPr>
        <w:t>“</w:t>
      </w:r>
      <w:r w:rsidRPr="0028642B">
        <w:rPr>
          <w:rFonts w:ascii="Palatino Linotype" w:hAnsi="Palatino Linotype"/>
          <w:b/>
          <w:bCs/>
          <w:i/>
          <w:sz w:val="22"/>
        </w:rPr>
        <w:t>EL ACTO QUE SE OCURRE</w:t>
      </w:r>
    </w:p>
    <w:p w14:paraId="3DB3DBF3" w14:textId="77777777" w:rsidR="00A678BF" w:rsidRPr="0028642B" w:rsidRDefault="00A678BF" w:rsidP="00A678BF">
      <w:pPr>
        <w:ind w:left="851" w:right="822"/>
        <w:jc w:val="both"/>
        <w:rPr>
          <w:rFonts w:ascii="Palatino Linotype" w:hAnsi="Palatino Linotype"/>
          <w:i/>
          <w:sz w:val="22"/>
        </w:rPr>
      </w:pPr>
      <w:r w:rsidRPr="0028642B">
        <w:rPr>
          <w:rFonts w:ascii="Palatino Linotype" w:hAnsi="Palatino Linotype"/>
          <w:i/>
          <w:sz w:val="22"/>
        </w:rPr>
        <w:t xml:space="preserve">Se ha realizado una solicitud de acceso a la información pública el día16/04/2022, donde se anexaron un numero de preguntas para recibir una respuesta por parte del Ayuntamiento de San Martin de las Pirámides, siendo el sujeto obligado, siendo preguntas de índole administrativo. El día 12 de Mayo del presente año, se presentó por parte de la </w:t>
      </w:r>
      <w:r w:rsidRPr="0028642B">
        <w:rPr>
          <w:rFonts w:ascii="Palatino Linotype" w:hAnsi="Palatino Linotype"/>
          <w:b/>
          <w:bCs/>
          <w:i/>
          <w:sz w:val="22"/>
        </w:rPr>
        <w:t>LIC. GRECIA MARTINEZ ESPINOZA</w:t>
      </w:r>
      <w:r w:rsidRPr="0028642B">
        <w:rPr>
          <w:rFonts w:ascii="Palatino Linotype" w:hAnsi="Palatino Linotype"/>
          <w:i/>
          <w:sz w:val="22"/>
        </w:rPr>
        <w:t xml:space="preserve"> las respuestas solicitadas en casi su totalidad, a excepción de la siguiente pregunta:</w:t>
      </w:r>
    </w:p>
    <w:p w14:paraId="3809C04F" w14:textId="77777777" w:rsidR="00A678BF" w:rsidRPr="0028642B" w:rsidRDefault="00A678BF" w:rsidP="00A678BF">
      <w:pPr>
        <w:ind w:left="851" w:right="822"/>
        <w:jc w:val="both"/>
        <w:rPr>
          <w:rFonts w:ascii="Palatino Linotype" w:hAnsi="Palatino Linotype"/>
          <w:i/>
          <w:iCs/>
          <w:sz w:val="22"/>
        </w:rPr>
      </w:pPr>
      <w:r w:rsidRPr="0028642B">
        <w:rPr>
          <w:rFonts w:ascii="Palatino Linotype" w:hAnsi="Palatino Linotype"/>
          <w:i/>
          <w:iCs/>
          <w:sz w:val="22"/>
        </w:rPr>
        <w:t>“Solicito saber cuáles bienes inmuebles ha adquirido el ayuntamiento,  ¿cuál fue el costo de los mismos de enero del 2021 a la fecha?  ¿Cuándo fueron ingresados al patrimonio municipal? Solicito copia de las actas y contratos?”</w:t>
      </w:r>
    </w:p>
    <w:p w14:paraId="69237807" w14:textId="77777777" w:rsidR="00A678BF" w:rsidRPr="0028642B" w:rsidRDefault="00A678BF" w:rsidP="00A678BF">
      <w:pPr>
        <w:ind w:left="851" w:right="822"/>
        <w:jc w:val="both"/>
        <w:rPr>
          <w:rFonts w:ascii="Palatino Linotype" w:hAnsi="Palatino Linotype"/>
          <w:i/>
          <w:sz w:val="22"/>
        </w:rPr>
      </w:pPr>
      <w:r w:rsidRPr="0028642B">
        <w:rPr>
          <w:rFonts w:ascii="Palatino Linotype" w:hAnsi="Palatino Linotype"/>
          <w:i/>
          <w:sz w:val="22"/>
        </w:rPr>
        <w:t xml:space="preserve">Se obtuvo una respuesta explicando la situación y lo solicitado, y poniendo textualmente que se anexaría un archivo PDF con la información, archivo que no se anexó en la solicitud de información. </w:t>
      </w:r>
    </w:p>
    <w:p w14:paraId="10C0A2E0" w14:textId="77777777" w:rsidR="00A678BF" w:rsidRPr="0028642B" w:rsidRDefault="00A678BF" w:rsidP="00A678BF">
      <w:pPr>
        <w:ind w:left="851" w:right="822"/>
        <w:jc w:val="both"/>
        <w:rPr>
          <w:rFonts w:ascii="Palatino Linotype" w:hAnsi="Palatino Linotype"/>
          <w:i/>
          <w:sz w:val="22"/>
        </w:rPr>
      </w:pPr>
      <w:r w:rsidRPr="0028642B">
        <w:rPr>
          <w:rFonts w:ascii="Palatino Linotype" w:hAnsi="Palatino Linotype"/>
          <w:i/>
          <w:sz w:val="22"/>
        </w:rPr>
        <w:t>Por ello, el sujeto obligado ha incurrido en uno de los motivos establecidos en el artículo 179 fracción V de la Ley de Transparencia, Acceso a la Información Pública y Rendición de Cuentas del Estado de México y Municipios, que impiden ejercer mi derecho al acceso a la información publica establecido en los artículos 4, 6 y 7 de la ley mencionada, motivo para solicitar un recurso de revisión.”</w:t>
      </w:r>
    </w:p>
    <w:p w14:paraId="4935284B" w14:textId="77777777" w:rsidR="00A678BF" w:rsidRPr="0028642B" w:rsidRDefault="00A678BF" w:rsidP="00A678BF">
      <w:pPr>
        <w:tabs>
          <w:tab w:val="left" w:pos="6197"/>
        </w:tabs>
        <w:spacing w:line="360" w:lineRule="auto"/>
        <w:jc w:val="both"/>
        <w:rPr>
          <w:rFonts w:ascii="Palatino Linotype" w:eastAsia="Calibri" w:hAnsi="Palatino Linotype" w:cs="Arial"/>
          <w:lang w:val="es-AR" w:eastAsia="es-ES"/>
        </w:rPr>
      </w:pPr>
    </w:p>
    <w:p w14:paraId="17579293" w14:textId="77777777" w:rsidR="00A678BF" w:rsidRPr="0028642B" w:rsidRDefault="00A678BF" w:rsidP="00A678BF">
      <w:pPr>
        <w:numPr>
          <w:ilvl w:val="0"/>
          <w:numId w:val="1"/>
        </w:numPr>
        <w:spacing w:line="360" w:lineRule="auto"/>
        <w:ind w:left="0" w:firstLine="0"/>
        <w:contextualSpacing/>
        <w:jc w:val="both"/>
        <w:rPr>
          <w:rFonts w:ascii="Palatino Linotype" w:eastAsia="Calibri" w:hAnsi="Palatino Linotype" w:cs="Arial"/>
          <w:lang w:val="es-AR" w:eastAsia="es-ES"/>
        </w:rPr>
      </w:pPr>
      <w:r w:rsidRPr="0028642B">
        <w:rPr>
          <w:rFonts w:ascii="Palatino Linotype" w:hAnsi="Palatino Linotype" w:cs="Arial"/>
          <w:lang w:val="es-ES" w:eastAsia="es-ES"/>
        </w:rPr>
        <w:t xml:space="preserve">Se registró el recurso de revisión bajo el número de expediente </w:t>
      </w:r>
      <w:r w:rsidRPr="0028642B">
        <w:rPr>
          <w:rFonts w:ascii="Palatino Linotype" w:eastAsiaTheme="minorEastAsia" w:hAnsi="Palatino Linotype" w:cs="Arial"/>
          <w:bCs/>
          <w:lang w:val="es-ES_tradnl" w:eastAsia="es-ES"/>
        </w:rPr>
        <w:t xml:space="preserve">al rubro indicado, asimismo con fundamento en lo dispuesto por el </w:t>
      </w:r>
      <w:r w:rsidRPr="0028642B">
        <w:rPr>
          <w:rFonts w:ascii="Palatino Linotype" w:eastAsia="Calibri" w:hAnsi="Palatino Linotype" w:cs="Arial"/>
          <w:lang w:val="es-ES" w:eastAsia="es-ES"/>
        </w:rPr>
        <w:t xml:space="preserve">artículo 185 fracción I de la </w:t>
      </w:r>
      <w:r w:rsidRPr="0028642B">
        <w:rPr>
          <w:rFonts w:ascii="Palatino Linotype" w:eastAsia="Calibri" w:hAnsi="Palatino Linotype" w:cs="Arial"/>
          <w:b/>
          <w:lang w:val="es-ES" w:eastAsia="es-ES"/>
        </w:rPr>
        <w:t xml:space="preserve">Ley de Transparencia y Acceso a la Información Pública del Estado de México y </w:t>
      </w:r>
      <w:r w:rsidRPr="0028642B">
        <w:rPr>
          <w:rFonts w:ascii="Palatino Linotype" w:eastAsia="Calibri" w:hAnsi="Palatino Linotype" w:cs="Arial"/>
          <w:b/>
          <w:lang w:val="es-ES" w:eastAsia="es-ES"/>
        </w:rPr>
        <w:lastRenderedPageBreak/>
        <w:t xml:space="preserve">Municipios </w:t>
      </w:r>
      <w:r w:rsidRPr="0028642B">
        <w:rPr>
          <w:rFonts w:ascii="Palatino Linotype" w:hAnsi="Palatino Linotype" w:cs="Arial"/>
          <w:lang w:val="es-ES" w:eastAsia="es-ES"/>
        </w:rPr>
        <w:t xml:space="preserve">se turnó a la </w:t>
      </w:r>
      <w:r w:rsidRPr="0028642B">
        <w:rPr>
          <w:rFonts w:ascii="Palatino Linotype" w:hAnsi="Palatino Linotype" w:cs="Arial"/>
          <w:b/>
          <w:lang w:val="es-ES" w:eastAsia="es-ES"/>
        </w:rPr>
        <w:t xml:space="preserve">Comisionada María del Rosario Mejía Ayala, </w:t>
      </w:r>
      <w:r w:rsidR="00022734" w:rsidRPr="0028642B">
        <w:rPr>
          <w:rFonts w:ascii="Palatino Linotype" w:hAnsi="Palatino Linotype" w:cs="Arial"/>
          <w:lang w:val="es-ES" w:eastAsia="es-ES"/>
        </w:rPr>
        <w:t>para</w:t>
      </w:r>
      <w:r w:rsidRPr="0028642B">
        <w:rPr>
          <w:rFonts w:ascii="Palatino Linotype" w:hAnsi="Palatino Linotype" w:cs="Arial"/>
          <w:lang w:val="es-ES" w:eastAsia="es-ES"/>
        </w:rPr>
        <w:t xml:space="preserve"> </w:t>
      </w:r>
      <w:r w:rsidRPr="0028642B">
        <w:rPr>
          <w:rFonts w:ascii="Palatino Linotype" w:hAnsi="Palatino Linotype" w:cs="Arial"/>
          <w:lang w:eastAsia="es-ES"/>
        </w:rPr>
        <w:t xml:space="preserve">su análisis. </w:t>
      </w:r>
    </w:p>
    <w:p w14:paraId="159ED644" w14:textId="77777777" w:rsidR="00A678BF" w:rsidRPr="0028642B" w:rsidRDefault="00A678BF" w:rsidP="00A678BF">
      <w:pPr>
        <w:spacing w:line="360" w:lineRule="auto"/>
        <w:contextualSpacing/>
        <w:jc w:val="both"/>
        <w:rPr>
          <w:rFonts w:ascii="Palatino Linotype" w:eastAsia="Calibri" w:hAnsi="Palatino Linotype" w:cs="Arial"/>
          <w:lang w:val="es-AR" w:eastAsia="es-ES"/>
        </w:rPr>
      </w:pPr>
    </w:p>
    <w:p w14:paraId="098E9F69" w14:textId="77777777" w:rsidR="00A678BF" w:rsidRPr="0028642B" w:rsidRDefault="00022734" w:rsidP="00A678BF">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28642B">
        <w:rPr>
          <w:rFonts w:ascii="Palatino Linotype" w:eastAsia="Calibri" w:hAnsi="Palatino Linotype" w:cs="Arial"/>
          <w:lang w:val="es-ES" w:eastAsia="es-ES"/>
        </w:rPr>
        <w:t>La Comisionada</w:t>
      </w:r>
      <w:r w:rsidR="00A678BF" w:rsidRPr="0028642B">
        <w:rPr>
          <w:rFonts w:ascii="Palatino Linotype" w:eastAsia="Calibri" w:hAnsi="Palatino Linotype" w:cs="Arial"/>
          <w:lang w:val="es-ES" w:eastAsia="es-ES"/>
        </w:rPr>
        <w:t xml:space="preserve"> Ponente</w:t>
      </w:r>
      <w:r w:rsidRPr="0028642B">
        <w:rPr>
          <w:rFonts w:ascii="Palatino Linotype" w:eastAsia="Calibri" w:hAnsi="Palatino Linotype" w:cs="Arial"/>
          <w:lang w:val="es-ES" w:eastAsia="es-ES"/>
        </w:rPr>
        <w:t>,</w:t>
      </w:r>
      <w:r w:rsidR="00A678BF" w:rsidRPr="0028642B">
        <w:rPr>
          <w:rFonts w:ascii="Palatino Linotype" w:eastAsia="Calibri" w:hAnsi="Palatino Linotype" w:cs="Arial"/>
          <w:lang w:val="es-ES" w:eastAsia="es-ES"/>
        </w:rPr>
        <w:t xml:space="preserve"> con fundamento en lo dispuesto por el artículo 185 fracción II de la ley de la materia, a través del acuerdo de admisión de fecha veintitrés (23) de mayo de dos mil veintidós, puso a disposición de las partes el expediente electrónico </w:t>
      </w:r>
      <w:r w:rsidR="00A678BF" w:rsidRPr="0028642B">
        <w:rPr>
          <w:rFonts w:ascii="Palatino Linotype" w:eastAsia="Calibri" w:hAnsi="Palatino Linotype" w:cs="Arial"/>
          <w:lang w:val="es-ES_tradnl" w:eastAsia="es-ES"/>
        </w:rPr>
        <w:t xml:space="preserve">vía </w:t>
      </w:r>
      <w:r w:rsidR="00A678BF" w:rsidRPr="0028642B">
        <w:rPr>
          <w:rFonts w:ascii="Palatino Linotype" w:eastAsia="Calibri" w:hAnsi="Palatino Linotype" w:cs="Arial"/>
          <w:b/>
          <w:lang w:val="es-ES" w:eastAsia="es-ES"/>
        </w:rPr>
        <w:t xml:space="preserve">SAIMEX </w:t>
      </w:r>
      <w:r w:rsidR="00A678BF" w:rsidRPr="0028642B">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A678BF" w:rsidRPr="0028642B">
        <w:rPr>
          <w:rFonts w:ascii="Palatino Linotype" w:eastAsia="Calibri" w:hAnsi="Palatino Linotype" w:cs="Arial"/>
          <w:b/>
          <w:lang w:val="es-ES" w:eastAsia="es-ES"/>
        </w:rPr>
        <w:t>SUJETO OBLIGADO</w:t>
      </w:r>
      <w:r w:rsidR="00A678BF" w:rsidRPr="0028642B">
        <w:rPr>
          <w:rFonts w:ascii="Palatino Linotype" w:eastAsia="Calibri" w:hAnsi="Palatino Linotype" w:cs="Arial"/>
          <w:lang w:val="es-ES" w:eastAsia="es-ES"/>
        </w:rPr>
        <w:t xml:space="preserve"> presentara el informe justificado procedente. </w:t>
      </w:r>
    </w:p>
    <w:p w14:paraId="3F86352B" w14:textId="77777777" w:rsidR="00A678BF" w:rsidRPr="0028642B" w:rsidRDefault="00A678BF" w:rsidP="00A678BF">
      <w:pPr>
        <w:pStyle w:val="Prrafodelista"/>
        <w:rPr>
          <w:rFonts w:ascii="Palatino Linotype" w:eastAsia="Calibri" w:hAnsi="Palatino Linotype" w:cs="Arial"/>
          <w:sz w:val="24"/>
          <w:lang w:val="es-ES" w:eastAsia="es-ES"/>
        </w:rPr>
      </w:pPr>
    </w:p>
    <w:p w14:paraId="1AB28B0A"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28642B">
        <w:rPr>
          <w:rFonts w:ascii="Palatino Linotype" w:eastAsia="Calibri" w:hAnsi="Palatino Linotype" w:cs="Arial"/>
          <w:lang w:val="es-ES" w:eastAsia="es-ES"/>
        </w:rPr>
        <w:t>De las constancias se advierte, que el particular no realizó manifestaciones; por su parte, el Sujeto Obligado remitió informe justificado el veinticinco de mayo de dos mil veintidós, a través de los archivos que se describen enseguida:</w:t>
      </w:r>
    </w:p>
    <w:p w14:paraId="4E8CBEFF" w14:textId="77777777" w:rsidR="00A678BF" w:rsidRPr="0028642B" w:rsidRDefault="00A678BF" w:rsidP="00A678BF">
      <w:pPr>
        <w:pStyle w:val="Prrafodelista"/>
        <w:rPr>
          <w:rFonts w:ascii="Palatino Linotype" w:eastAsiaTheme="minorEastAsia" w:hAnsi="Palatino Linotype" w:cstheme="minorBidi"/>
          <w:i/>
          <w:color w:val="000000"/>
          <w:sz w:val="24"/>
          <w:lang w:val="es-ES_tradnl" w:eastAsia="es-ES"/>
        </w:rPr>
      </w:pPr>
    </w:p>
    <w:p w14:paraId="0888179A" w14:textId="77777777" w:rsidR="00A678BF" w:rsidRPr="0028642B" w:rsidRDefault="00A678BF" w:rsidP="00A678BF">
      <w:pPr>
        <w:pStyle w:val="Prrafodelista"/>
        <w:numPr>
          <w:ilvl w:val="0"/>
          <w:numId w:val="6"/>
        </w:numPr>
        <w:spacing w:line="360" w:lineRule="auto"/>
        <w:jc w:val="both"/>
        <w:rPr>
          <w:rFonts w:ascii="Palatino Linotype" w:eastAsiaTheme="minorEastAsia" w:hAnsi="Palatino Linotype" w:cstheme="minorBidi"/>
          <w:b/>
          <w:lang w:val="es-ES_tradnl" w:eastAsia="es-ES"/>
        </w:rPr>
      </w:pPr>
      <w:r w:rsidRPr="0028642B">
        <w:rPr>
          <w:rFonts w:ascii="Palatino Linotype" w:eastAsiaTheme="minorEastAsia" w:hAnsi="Palatino Linotype" w:cstheme="minorBidi"/>
          <w:b/>
          <w:lang w:val="es-ES_tradnl" w:eastAsia="es-ES"/>
        </w:rPr>
        <w:t>PATRIMONIO.pdf, que consta de los siguientes documentos</w:t>
      </w:r>
      <w:r w:rsidR="00B022C3" w:rsidRPr="0028642B">
        <w:rPr>
          <w:rFonts w:ascii="Palatino Linotype" w:eastAsiaTheme="minorEastAsia" w:hAnsi="Palatino Linotype" w:cstheme="minorBidi"/>
          <w:b/>
          <w:lang w:val="es-ES_tradnl" w:eastAsia="es-ES"/>
        </w:rPr>
        <w:t xml:space="preserve"> (archivo que no se puso a la vista por contener información clasificada)</w:t>
      </w:r>
      <w:r w:rsidRPr="0028642B">
        <w:rPr>
          <w:rFonts w:ascii="Palatino Linotype" w:eastAsiaTheme="minorEastAsia" w:hAnsi="Palatino Linotype" w:cstheme="minorBidi"/>
          <w:b/>
          <w:lang w:val="es-ES_tradnl" w:eastAsia="es-ES"/>
        </w:rPr>
        <w:t>:</w:t>
      </w:r>
    </w:p>
    <w:p w14:paraId="67FE360D" w14:textId="77777777" w:rsidR="00B022C3" w:rsidRPr="0028642B" w:rsidRDefault="00B022C3" w:rsidP="00B022C3">
      <w:pPr>
        <w:pStyle w:val="Prrafodelista"/>
        <w:spacing w:line="360" w:lineRule="auto"/>
        <w:jc w:val="both"/>
        <w:rPr>
          <w:rFonts w:ascii="Palatino Linotype" w:eastAsiaTheme="minorEastAsia" w:hAnsi="Palatino Linotype" w:cstheme="minorBidi"/>
          <w:b/>
          <w:lang w:val="es-ES_tradnl" w:eastAsia="es-ES"/>
        </w:rPr>
      </w:pPr>
    </w:p>
    <w:p w14:paraId="1E6C7906" w14:textId="77777777" w:rsidR="00A678BF" w:rsidRPr="0028642B" w:rsidRDefault="00A678BF" w:rsidP="00A678BF">
      <w:pPr>
        <w:pStyle w:val="Prrafodelista"/>
        <w:numPr>
          <w:ilvl w:val="0"/>
          <w:numId w:val="7"/>
        </w:numPr>
        <w:spacing w:line="360" w:lineRule="auto"/>
        <w:jc w:val="both"/>
        <w:rPr>
          <w:rFonts w:ascii="Palatino Linotype" w:eastAsiaTheme="minorEastAsia" w:hAnsi="Palatino Linotype" w:cstheme="minorBidi"/>
          <w:b/>
          <w:lang w:val="es-ES_tradnl" w:eastAsia="es-ES"/>
        </w:rPr>
      </w:pPr>
      <w:r w:rsidRPr="0028642B">
        <w:rPr>
          <w:rFonts w:ascii="Palatino Linotype" w:eastAsiaTheme="minorEastAsia" w:hAnsi="Palatino Linotype" w:cstheme="minorBidi"/>
          <w:lang w:val="es-ES_tradnl" w:eastAsia="es-ES"/>
        </w:rPr>
        <w:t>Oficio</w:t>
      </w:r>
      <w:r w:rsidRPr="0028642B">
        <w:rPr>
          <w:rFonts w:ascii="Palatino Linotype" w:eastAsiaTheme="minorEastAsia" w:hAnsi="Palatino Linotype" w:cstheme="minorBidi"/>
          <w:b/>
          <w:lang w:val="es-ES_tradnl" w:eastAsia="es-ES"/>
        </w:rPr>
        <w:t xml:space="preserve"> SMP/DOO-2/006/05/2022 </w:t>
      </w:r>
      <w:r w:rsidRPr="0028642B">
        <w:rPr>
          <w:rFonts w:ascii="Palatino Linotype" w:eastAsiaTheme="minorEastAsia" w:hAnsi="Palatino Linotype" w:cstheme="minorBidi"/>
          <w:lang w:val="es-ES_tradnl" w:eastAsia="es-ES"/>
        </w:rPr>
        <w:t>suscrito por el Encargado del Archivo Municipal y Control Patrimonial en el que señaló:</w:t>
      </w:r>
    </w:p>
    <w:p w14:paraId="426BAF06"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“…me permito de manera muy respetuosa poner a su disposición, la siguiente documentación misma que hasta el día de hoy nos hizo favor de poner a nuestro alcance la oficia de Sindicatura, y que es:</w:t>
      </w:r>
    </w:p>
    <w:p w14:paraId="38265CD6"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ACTA DE CABILDO NUM, 91 DE FECHA 18 DE MARZO DE 2021.</w:t>
      </w:r>
    </w:p>
    <w:p w14:paraId="32C4478C"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 xml:space="preserve">ACTA DE SESIÓN EXTRAORDINARIA NÚMERO 01 DEL COMITE DE ARRENDAMIENTOS, ADQUISICIONES DE INMUEBLES Y </w:t>
      </w:r>
      <w:r w:rsidRPr="0028642B">
        <w:rPr>
          <w:rFonts w:ascii="Palatino Linotype" w:eastAsiaTheme="minorEastAsia" w:hAnsi="Palatino Linotype" w:cstheme="minorBidi"/>
          <w:lang w:val="es-ES_tradnl" w:eastAsia="es-ES"/>
        </w:rPr>
        <w:lastRenderedPageBreak/>
        <w:t>ENAJENACIONES DEL MUNICIPIO DE SAN MARTÍN DE LAS PIRÁMIDES DE FECHA 23 DE AGOSTO DE 2021.</w:t>
      </w:r>
    </w:p>
    <w:p w14:paraId="2EF99C7A"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CONTRATO PRIVADO DE COMPRAVENTA DE FECHA 29 DE SEPTIEMBRE DE 2021.</w:t>
      </w:r>
    </w:p>
    <w:p w14:paraId="38F4CD43"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CEDULA DE BIENES INMUEBLES, QUE GENERAL EL SISTEMA CREG PATRIMONIAL DE ESTE H. AYUNTAMIENTO, CON LOS DATOS DEL PREDIO DENOMINADO "BARRANCA" (PANTEON MUNICIPAL).</w:t>
      </w:r>
    </w:p>
    <w:p w14:paraId="22734E1F"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p>
    <w:p w14:paraId="3C88B961"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Siendo en estos dos últimos documentos donde se expresa la cantidad de la operación de dicha adquisición y del monto de dicho bien, en el cual se encuentra registrado en el patrimonio municipal, con la fecha de adquisición y de registro así como del valor catastral y la clave catastral con la que se encuentra registrado en el Sistema de Gestión Catastral.</w:t>
      </w:r>
    </w:p>
    <w:p w14:paraId="643C87F7"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b/>
          <w:lang w:val="es-ES_tradnl" w:eastAsia="es-ES"/>
        </w:rPr>
      </w:pPr>
    </w:p>
    <w:p w14:paraId="013904BF" w14:textId="77777777" w:rsidR="00A678BF" w:rsidRPr="0028642B" w:rsidRDefault="00A678BF" w:rsidP="00A678BF">
      <w:pPr>
        <w:pStyle w:val="Prrafodelista"/>
        <w:numPr>
          <w:ilvl w:val="0"/>
          <w:numId w:val="7"/>
        </w:numPr>
        <w:spacing w:line="360" w:lineRule="auto"/>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ACTA DE SESIÓN EXTRAORDINARIA NÚMERO 01 DEL COMITE DE ARRENDAMIENTOS, ADQUISICIONES DE INMUEBLES Y ENAJENACIONES DEL MUNICIPIO DE SAN MARTÍN DE LAS PIRÁMIDES de fecha 23 de agosto de 2021, en la que se aprueba la compra del predio denominado “BARRANCA”.</w:t>
      </w:r>
    </w:p>
    <w:p w14:paraId="0377CA17" w14:textId="77777777" w:rsidR="00A678BF" w:rsidRPr="0028642B" w:rsidRDefault="00A678BF" w:rsidP="00A678BF">
      <w:pPr>
        <w:pStyle w:val="Prrafodelista"/>
        <w:numPr>
          <w:ilvl w:val="0"/>
          <w:numId w:val="7"/>
        </w:numPr>
        <w:spacing w:line="360" w:lineRule="auto"/>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Contrato privado de compraventa de fecha 29 de septiembre de 2021, del predio denominado “BARRANCA”.</w:t>
      </w:r>
    </w:p>
    <w:p w14:paraId="25907866" w14:textId="77777777" w:rsidR="00A678BF" w:rsidRPr="0028642B" w:rsidRDefault="00A678BF" w:rsidP="00A678BF">
      <w:pPr>
        <w:pStyle w:val="Prrafodelista"/>
        <w:numPr>
          <w:ilvl w:val="0"/>
          <w:numId w:val="7"/>
        </w:numPr>
        <w:spacing w:line="360" w:lineRule="auto"/>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Cedula de Bienes Inmuebles del predio denominado “BARRANCA”.</w:t>
      </w:r>
    </w:p>
    <w:p w14:paraId="3267AE31" w14:textId="77777777" w:rsidR="00A678BF" w:rsidRPr="0028642B" w:rsidRDefault="00A678BF" w:rsidP="00A678BF">
      <w:pPr>
        <w:pStyle w:val="Prrafodelista"/>
        <w:spacing w:line="360" w:lineRule="auto"/>
        <w:ind w:left="1440"/>
        <w:jc w:val="both"/>
        <w:rPr>
          <w:rFonts w:ascii="Palatino Linotype" w:eastAsiaTheme="minorEastAsia" w:hAnsi="Palatino Linotype" w:cstheme="minorBidi"/>
          <w:b/>
          <w:lang w:val="es-ES_tradnl" w:eastAsia="es-ES"/>
        </w:rPr>
      </w:pPr>
    </w:p>
    <w:p w14:paraId="4E924CC7" w14:textId="77777777" w:rsidR="00A678BF" w:rsidRPr="0028642B" w:rsidRDefault="00A678BF" w:rsidP="00A678BF">
      <w:pPr>
        <w:pStyle w:val="Prrafodelista"/>
        <w:spacing w:line="360" w:lineRule="auto"/>
        <w:jc w:val="both"/>
        <w:rPr>
          <w:rFonts w:ascii="Palatino Linotype" w:eastAsiaTheme="minorEastAsia" w:hAnsi="Palatino Linotype" w:cstheme="minorBidi"/>
          <w:b/>
          <w:lang w:val="es-ES_tradnl" w:eastAsia="es-ES"/>
        </w:rPr>
      </w:pPr>
    </w:p>
    <w:p w14:paraId="5D984E9D" w14:textId="77777777" w:rsidR="00A678BF" w:rsidRPr="0028642B" w:rsidRDefault="00B76EFB" w:rsidP="00A678BF">
      <w:pPr>
        <w:pStyle w:val="Prrafodelista"/>
        <w:numPr>
          <w:ilvl w:val="0"/>
          <w:numId w:val="6"/>
        </w:numPr>
        <w:spacing w:line="360" w:lineRule="auto"/>
        <w:jc w:val="both"/>
        <w:rPr>
          <w:rFonts w:ascii="Palatino Linotype" w:eastAsiaTheme="minorEastAsia" w:hAnsi="Palatino Linotype" w:cstheme="minorBidi"/>
          <w:b/>
          <w:lang w:val="es-ES_tradnl" w:eastAsia="es-ES"/>
        </w:rPr>
      </w:pPr>
      <w:hyperlink r:id="rId8" w:history="1">
        <w:r w:rsidR="00A678BF" w:rsidRPr="0028642B">
          <w:rPr>
            <w:rStyle w:val="Hipervnculo"/>
            <w:rFonts w:ascii="Palatino Linotype" w:eastAsiaTheme="minorEastAsia" w:hAnsi="Palatino Linotype" w:cstheme="minorBidi"/>
            <w:b/>
            <w:bCs/>
            <w:color w:val="auto"/>
            <w:lang w:eastAsia="es-ES"/>
          </w:rPr>
          <w:t>07933 R.R.pdf</w:t>
        </w:r>
      </w:hyperlink>
      <w:r w:rsidR="00A678BF" w:rsidRPr="0028642B">
        <w:rPr>
          <w:rFonts w:ascii="Palatino Linotype" w:eastAsiaTheme="minorEastAsia" w:hAnsi="Palatino Linotype" w:cstheme="minorBidi"/>
          <w:b/>
          <w:lang w:val="es-ES_tradnl" w:eastAsia="es-ES"/>
        </w:rPr>
        <w:t xml:space="preserve">: </w:t>
      </w:r>
      <w:r w:rsidR="00A678BF" w:rsidRPr="0028642B">
        <w:rPr>
          <w:rFonts w:ascii="Palatino Linotype" w:eastAsiaTheme="minorEastAsia" w:hAnsi="Palatino Linotype" w:cstheme="minorBidi"/>
          <w:lang w:val="es-ES_tradnl" w:eastAsia="es-ES"/>
        </w:rPr>
        <w:lastRenderedPageBreak/>
        <w:t>Oficio</w:t>
      </w:r>
      <w:r w:rsidR="00A678BF" w:rsidRPr="0028642B">
        <w:rPr>
          <w:rFonts w:ascii="Palatino Linotype" w:eastAsiaTheme="minorEastAsia" w:hAnsi="Palatino Linotype" w:cstheme="minorBidi"/>
          <w:b/>
          <w:lang w:val="es-ES_tradnl" w:eastAsia="es-ES"/>
        </w:rPr>
        <w:t xml:space="preserve"> </w:t>
      </w:r>
      <w:r w:rsidR="00A678BF" w:rsidRPr="0028642B">
        <w:rPr>
          <w:rFonts w:ascii="Palatino Linotype" w:hAnsi="Palatino Linotype"/>
        </w:rPr>
        <w:t xml:space="preserve">SMP/UT/RR/0002/2022, suscrito por la Titular de la Unidad de Transparencia en la que señaló anexar información solicitada. </w:t>
      </w:r>
    </w:p>
    <w:p w14:paraId="370CB6CD"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7DCDA12C"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eastAsiaTheme="minorEastAsia" w:hAnsi="Palatino Linotype"/>
          <w:lang w:val="es-ES_tradnl" w:eastAsia="es-ES"/>
        </w:rPr>
        <w:t xml:space="preserve">El doce (12) de diciembre de dos mil veintidós, se notificó el acuerdo mediante el cual se aprobó la ampliación de plazo para emitir resolución. </w:t>
      </w:r>
    </w:p>
    <w:p w14:paraId="54AD18DB"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0F9F7DC7"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4A8E433"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0E477F7A"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7F2240A"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4F5D80BA"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1204B64"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5EF923C7"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6DE6B14"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6DBE9350"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8642B">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432654FB" w14:textId="77777777" w:rsidR="00A678BF" w:rsidRPr="0028642B" w:rsidRDefault="00022734" w:rsidP="00A678BF">
      <w:pPr>
        <w:pStyle w:val="Prrafodelista"/>
        <w:spacing w:before="240" w:after="240" w:line="360" w:lineRule="auto"/>
        <w:ind w:left="284"/>
        <w:jc w:val="both"/>
        <w:rPr>
          <w:rFonts w:ascii="Palatino Linotype" w:hAnsi="Palatino Linotype"/>
        </w:rPr>
      </w:pPr>
      <w:r w:rsidRPr="0028642B">
        <w:rPr>
          <w:rFonts w:ascii="Palatino Linotype" w:hAnsi="Palatino Linotype"/>
        </w:rPr>
        <w:t xml:space="preserve">a)  </w:t>
      </w:r>
      <w:r w:rsidR="00A678BF" w:rsidRPr="0028642B">
        <w:rPr>
          <w:rFonts w:ascii="Palatino Linotype" w:hAnsi="Palatino Linotype"/>
        </w:rPr>
        <w:t>Complejidad del asunto: La complejidad de la prueba, la pluralidad de sujetos procesales, el tiempo transcurrido, las características y contexto del recurso.</w:t>
      </w:r>
    </w:p>
    <w:p w14:paraId="3096F0D5" w14:textId="77777777" w:rsidR="00A678BF" w:rsidRPr="0028642B" w:rsidRDefault="00A678BF" w:rsidP="00A678BF">
      <w:pPr>
        <w:pStyle w:val="Prrafodelista"/>
        <w:spacing w:before="240" w:after="240" w:line="360" w:lineRule="auto"/>
        <w:ind w:left="284"/>
        <w:jc w:val="both"/>
        <w:rPr>
          <w:rFonts w:ascii="Palatino Linotype" w:hAnsi="Palatino Linotype"/>
        </w:rPr>
      </w:pPr>
      <w:r w:rsidRPr="0028642B">
        <w:rPr>
          <w:rFonts w:ascii="Palatino Linotype" w:hAnsi="Palatino Linotype"/>
        </w:rPr>
        <w:t>b)    Actividad Procesal del interesado: Acciones u omisiones del interesado.</w:t>
      </w:r>
    </w:p>
    <w:p w14:paraId="29A1F871" w14:textId="77777777" w:rsidR="00A678BF" w:rsidRPr="0028642B" w:rsidRDefault="00022734" w:rsidP="00A678BF">
      <w:pPr>
        <w:pStyle w:val="Prrafodelista"/>
        <w:spacing w:before="240" w:after="240" w:line="360" w:lineRule="auto"/>
        <w:ind w:left="284"/>
        <w:jc w:val="both"/>
        <w:rPr>
          <w:rFonts w:ascii="Palatino Linotype" w:hAnsi="Palatino Linotype"/>
        </w:rPr>
      </w:pPr>
      <w:r w:rsidRPr="0028642B">
        <w:rPr>
          <w:rFonts w:ascii="Palatino Linotype" w:hAnsi="Palatino Linotype"/>
        </w:rPr>
        <w:t xml:space="preserve">c)     </w:t>
      </w:r>
      <w:r w:rsidR="00A678BF" w:rsidRPr="0028642B">
        <w:rPr>
          <w:rFonts w:ascii="Palatino Linotype" w:hAnsi="Palatino Linotype"/>
        </w:rPr>
        <w:t>Conducta de la Autoridad: Las Acciones u omisiones realizadas en el procedimiento. Así como si la autoridad actuó con la debida diligencia.</w:t>
      </w:r>
    </w:p>
    <w:p w14:paraId="45C4D174" w14:textId="77777777" w:rsidR="00A678BF" w:rsidRPr="0028642B" w:rsidRDefault="00A678BF" w:rsidP="00A678BF">
      <w:pPr>
        <w:pStyle w:val="Prrafodelista"/>
        <w:spacing w:before="240" w:after="240" w:line="360" w:lineRule="auto"/>
        <w:ind w:left="284"/>
        <w:jc w:val="both"/>
        <w:rPr>
          <w:rFonts w:ascii="Palatino Linotype" w:hAnsi="Palatino Linotype"/>
        </w:rPr>
      </w:pPr>
      <w:r w:rsidRPr="0028642B">
        <w:rPr>
          <w:rFonts w:ascii="Palatino Linotype" w:hAnsi="Palatino Linotype"/>
        </w:rPr>
        <w:t xml:space="preserve">d) </w:t>
      </w:r>
      <w:r w:rsidR="00022734" w:rsidRPr="0028642B">
        <w:rPr>
          <w:rFonts w:ascii="Palatino Linotype" w:hAnsi="Palatino Linotype"/>
        </w:rPr>
        <w:t xml:space="preserve">    </w:t>
      </w:r>
      <w:r w:rsidRPr="0028642B">
        <w:rPr>
          <w:rFonts w:ascii="Palatino Linotype" w:hAnsi="Palatino Linotype"/>
        </w:rPr>
        <w:t>La afectación generada en la situación jurídica de la persona involucrada en el proceso: Violación a sus derechos humanos.</w:t>
      </w:r>
    </w:p>
    <w:p w14:paraId="2AA43725" w14:textId="77777777" w:rsidR="00A678BF" w:rsidRPr="0028642B" w:rsidRDefault="00A678BF" w:rsidP="00A678BF">
      <w:pPr>
        <w:pStyle w:val="Prrafodelista"/>
        <w:spacing w:before="240" w:after="240" w:line="360" w:lineRule="auto"/>
        <w:ind w:left="0"/>
        <w:jc w:val="both"/>
        <w:rPr>
          <w:rFonts w:ascii="Palatino Linotype" w:hAnsi="Palatino Linotype"/>
          <w:sz w:val="24"/>
        </w:rPr>
      </w:pPr>
    </w:p>
    <w:p w14:paraId="78E43E69" w14:textId="77777777" w:rsidR="00A678BF" w:rsidRPr="0028642B" w:rsidRDefault="00A678BF" w:rsidP="00A678BF">
      <w:pPr>
        <w:pStyle w:val="Prrafodelista"/>
        <w:numPr>
          <w:ilvl w:val="0"/>
          <w:numId w:val="1"/>
        </w:numPr>
        <w:spacing w:before="240" w:after="240" w:line="360" w:lineRule="auto"/>
        <w:ind w:left="0" w:firstLine="0"/>
        <w:jc w:val="both"/>
        <w:rPr>
          <w:rFonts w:ascii="Palatino Linotype" w:hAnsi="Palatino Linotype"/>
          <w:sz w:val="24"/>
        </w:rPr>
      </w:pPr>
      <w:r w:rsidRPr="0028642B">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73B3648" w14:textId="77777777" w:rsidR="00A678BF" w:rsidRPr="0028642B" w:rsidRDefault="00A678BF" w:rsidP="00A678BF">
      <w:pPr>
        <w:pStyle w:val="Prrafodelista"/>
        <w:spacing w:before="240" w:after="240" w:line="360" w:lineRule="auto"/>
        <w:ind w:left="0"/>
        <w:jc w:val="both"/>
        <w:rPr>
          <w:rFonts w:ascii="Palatino Linotype" w:hAnsi="Palatino Linotype"/>
          <w:sz w:val="24"/>
        </w:rPr>
      </w:pPr>
    </w:p>
    <w:p w14:paraId="659E56F9" w14:textId="77777777" w:rsidR="00A678BF" w:rsidRPr="0028642B" w:rsidRDefault="00A678BF" w:rsidP="00A678BF">
      <w:pPr>
        <w:pStyle w:val="Prrafodelista"/>
        <w:numPr>
          <w:ilvl w:val="0"/>
          <w:numId w:val="1"/>
        </w:numPr>
        <w:spacing w:before="240" w:after="240" w:line="360" w:lineRule="auto"/>
        <w:ind w:left="0" w:firstLine="0"/>
        <w:jc w:val="both"/>
        <w:rPr>
          <w:rFonts w:ascii="Palatino Linotype" w:hAnsi="Palatino Linotype"/>
          <w:sz w:val="24"/>
        </w:rPr>
      </w:pPr>
      <w:r w:rsidRPr="0028642B">
        <w:rPr>
          <w:rFonts w:ascii="Palatino Linotype" w:hAnsi="Palatino Linotype"/>
          <w:sz w:val="24"/>
        </w:rPr>
        <w:t xml:space="preserve">Argumento que encuentra sustento en la jurisprudencia P./J. 32/92 emitida por el Pleno de la Suprema Corte de Justicia de la Nación de rubro “TÉRMINOS </w:t>
      </w:r>
      <w:r w:rsidRPr="0028642B">
        <w:rPr>
          <w:rFonts w:ascii="Palatino Linotype" w:hAnsi="Palatino Linotype"/>
          <w:sz w:val="24"/>
        </w:rPr>
        <w:lastRenderedPageBreak/>
        <w:t>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67B811A" w14:textId="77777777" w:rsidR="00A678BF" w:rsidRPr="0028642B" w:rsidRDefault="00A678BF" w:rsidP="00A678BF">
      <w:pPr>
        <w:pStyle w:val="Prrafodelista"/>
        <w:ind w:left="0"/>
        <w:rPr>
          <w:rFonts w:ascii="Palatino Linotype" w:hAnsi="Palatino Linotype"/>
          <w:sz w:val="24"/>
        </w:rPr>
      </w:pPr>
    </w:p>
    <w:p w14:paraId="4B147279" w14:textId="77777777" w:rsidR="00A678BF" w:rsidRPr="0028642B" w:rsidRDefault="00A678BF" w:rsidP="00A678BF">
      <w:pPr>
        <w:pStyle w:val="Prrafodelista"/>
        <w:numPr>
          <w:ilvl w:val="0"/>
          <w:numId w:val="1"/>
        </w:numPr>
        <w:spacing w:before="240" w:after="240" w:line="360" w:lineRule="auto"/>
        <w:ind w:left="0" w:firstLine="0"/>
        <w:jc w:val="both"/>
        <w:rPr>
          <w:rFonts w:ascii="Palatino Linotype" w:hAnsi="Palatino Linotype"/>
          <w:sz w:val="24"/>
        </w:rPr>
      </w:pPr>
      <w:r w:rsidRPr="0028642B">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78765A" w14:textId="77777777" w:rsidR="00A678BF" w:rsidRPr="0028642B" w:rsidRDefault="00A678BF" w:rsidP="00A678BF">
      <w:pPr>
        <w:pStyle w:val="Prrafodelista"/>
        <w:spacing w:before="240" w:after="240" w:line="360" w:lineRule="auto"/>
        <w:ind w:left="0"/>
        <w:jc w:val="both"/>
        <w:rPr>
          <w:rFonts w:ascii="Palatino Linotype" w:hAnsi="Palatino Linotype"/>
          <w:sz w:val="24"/>
        </w:rPr>
      </w:pPr>
    </w:p>
    <w:p w14:paraId="2A615834" w14:textId="77777777" w:rsidR="00A678BF" w:rsidRPr="0028642B" w:rsidRDefault="00A678BF" w:rsidP="00A678BF">
      <w:pPr>
        <w:pStyle w:val="Prrafodelista"/>
        <w:numPr>
          <w:ilvl w:val="0"/>
          <w:numId w:val="1"/>
        </w:numPr>
        <w:spacing w:before="240" w:after="240" w:line="360" w:lineRule="auto"/>
        <w:ind w:left="0" w:firstLine="0"/>
        <w:jc w:val="both"/>
        <w:rPr>
          <w:rFonts w:ascii="Palatino Linotype" w:hAnsi="Palatino Linotype"/>
          <w:sz w:val="24"/>
        </w:rPr>
      </w:pPr>
      <w:r w:rsidRPr="0028642B">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3817FE1" w14:textId="77777777" w:rsidR="00A678BF" w:rsidRPr="0028642B" w:rsidRDefault="00A678BF" w:rsidP="00A678BF">
      <w:pPr>
        <w:pStyle w:val="Prrafodelista"/>
        <w:rPr>
          <w:rFonts w:ascii="Palatino Linotype" w:hAnsi="Palatino Linotype"/>
          <w:sz w:val="24"/>
        </w:rPr>
      </w:pPr>
    </w:p>
    <w:p w14:paraId="4A13D565" w14:textId="77777777" w:rsidR="00A678BF" w:rsidRPr="0028642B" w:rsidRDefault="00A678BF" w:rsidP="00A678BF">
      <w:pPr>
        <w:pStyle w:val="Prrafodelista"/>
        <w:spacing w:before="240" w:after="240" w:line="360" w:lineRule="auto"/>
        <w:ind w:left="567"/>
        <w:jc w:val="both"/>
        <w:rPr>
          <w:rFonts w:ascii="Palatino Linotype" w:hAnsi="Palatino Linotype"/>
        </w:rPr>
      </w:pPr>
      <w:r w:rsidRPr="0028642B">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75EE6ADD" w14:textId="77777777" w:rsidR="00A678BF" w:rsidRPr="0028642B" w:rsidRDefault="00A678BF" w:rsidP="00A678BF">
      <w:pPr>
        <w:pStyle w:val="Prrafodelista"/>
        <w:spacing w:before="240" w:after="240" w:line="360" w:lineRule="auto"/>
        <w:ind w:left="567"/>
        <w:jc w:val="both"/>
        <w:rPr>
          <w:rFonts w:ascii="Palatino Linotype" w:hAnsi="Palatino Linotype"/>
        </w:rPr>
      </w:pPr>
      <w:r w:rsidRPr="0028642B">
        <w:rPr>
          <w:rFonts w:ascii="Palatino Linotype" w:hAnsi="Palatino Linotype"/>
        </w:rPr>
        <w:t xml:space="preserve">“PLAZO RAZONABLE PARA RESOLVER. CONCEPTO Y ELEMENTOS QUE LO INTEGRAN A LA LUZ DEL DERECHO INTERNACIONAL DE LOS DERECHOS </w:t>
      </w:r>
      <w:r w:rsidRPr="0028642B">
        <w:rPr>
          <w:rFonts w:ascii="Palatino Linotype" w:hAnsi="Palatino Linotype"/>
        </w:rPr>
        <w:lastRenderedPageBreak/>
        <w:t>HUMANOS.”, visible en el Seminario Judicial de la Federación y su gaceta, con el registro digital 2002350.</w:t>
      </w:r>
    </w:p>
    <w:p w14:paraId="5686A50F" w14:textId="77777777" w:rsidR="00A678BF" w:rsidRPr="0028642B" w:rsidRDefault="00A678BF" w:rsidP="00A678BF">
      <w:pPr>
        <w:pStyle w:val="Prrafodelista"/>
        <w:spacing w:before="240" w:after="240" w:line="360" w:lineRule="auto"/>
        <w:ind w:left="708"/>
        <w:jc w:val="both"/>
        <w:rPr>
          <w:rFonts w:ascii="Palatino Linotype" w:hAnsi="Palatino Linotype"/>
          <w:sz w:val="24"/>
        </w:rPr>
      </w:pPr>
    </w:p>
    <w:p w14:paraId="06770532" w14:textId="77777777" w:rsidR="00A678BF" w:rsidRPr="0028642B" w:rsidRDefault="00A678BF" w:rsidP="00A678BF">
      <w:pPr>
        <w:pStyle w:val="Prrafodelista"/>
        <w:numPr>
          <w:ilvl w:val="0"/>
          <w:numId w:val="1"/>
        </w:numPr>
        <w:spacing w:line="360" w:lineRule="auto"/>
        <w:ind w:left="0" w:firstLine="0"/>
        <w:jc w:val="both"/>
        <w:rPr>
          <w:rFonts w:ascii="Palatino Linotype" w:hAnsi="Palatino Linotype" w:cs="Tahoma"/>
          <w:sz w:val="24"/>
        </w:rPr>
      </w:pPr>
      <w:r w:rsidRPr="0028642B">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1F0F135A"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2066226A" w14:textId="77777777" w:rsidR="00A678BF" w:rsidRPr="0028642B" w:rsidRDefault="00A678BF" w:rsidP="00A678BF">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28642B">
        <w:rPr>
          <w:rFonts w:ascii="Palatino Linotype" w:eastAsiaTheme="minorEastAsia" w:hAnsi="Palatino Linotype"/>
          <w:lang w:val="es-ES_tradnl" w:eastAsia="es-ES"/>
        </w:rPr>
        <w:t>El Comisionado Ponente decretó el cierre de instrucción</w:t>
      </w:r>
      <w:r w:rsidRPr="0028642B">
        <w:rPr>
          <w:rFonts w:ascii="Palatino Linotype" w:eastAsiaTheme="minorEastAsia" w:hAnsi="Palatino Linotype" w:cs="Arial"/>
          <w:lang w:val="es-ES_tradnl" w:eastAsia="es-ES"/>
        </w:rPr>
        <w:t xml:space="preserve"> </w:t>
      </w:r>
      <w:r w:rsidRPr="0028642B">
        <w:rPr>
          <w:rFonts w:ascii="Palatino Linotype" w:eastAsiaTheme="minorEastAsia" w:hAnsi="Palatino Linotype"/>
          <w:lang w:val="es-ES_tradnl" w:eastAsia="es-ES"/>
        </w:rPr>
        <w:t xml:space="preserve">mediante el acuerdo de fecha treinta de enero de dos mil veinticuatro. </w:t>
      </w:r>
    </w:p>
    <w:p w14:paraId="0942F143" w14:textId="77777777" w:rsidR="00A678BF" w:rsidRPr="0028642B" w:rsidRDefault="00A678BF" w:rsidP="00A678BF">
      <w:pPr>
        <w:pStyle w:val="Prrafodelista"/>
        <w:spacing w:line="360" w:lineRule="auto"/>
        <w:ind w:left="0"/>
        <w:jc w:val="both"/>
        <w:rPr>
          <w:rFonts w:ascii="Palatino Linotype" w:eastAsiaTheme="minorEastAsia" w:hAnsi="Palatino Linotype"/>
          <w:i/>
          <w:color w:val="000000"/>
          <w:sz w:val="24"/>
          <w:lang w:val="es-ES_tradnl" w:eastAsia="es-ES"/>
        </w:rPr>
      </w:pPr>
    </w:p>
    <w:p w14:paraId="682E4605" w14:textId="77777777" w:rsidR="00A678BF" w:rsidRPr="0028642B" w:rsidRDefault="00A678BF" w:rsidP="00A678BF">
      <w:pPr>
        <w:keepNext/>
        <w:keepLines/>
        <w:spacing w:line="360" w:lineRule="auto"/>
        <w:jc w:val="center"/>
        <w:outlineLvl w:val="0"/>
        <w:rPr>
          <w:rFonts w:ascii="Palatino Linotype" w:eastAsiaTheme="majorEastAsia" w:hAnsi="Palatino Linotype" w:cstheme="majorBidi"/>
        </w:rPr>
      </w:pPr>
      <w:bookmarkStart w:id="4" w:name="_Toc83301634"/>
      <w:r w:rsidRPr="0028642B">
        <w:rPr>
          <w:rFonts w:ascii="Palatino Linotype" w:eastAsiaTheme="majorEastAsia" w:hAnsi="Palatino Linotype" w:cstheme="majorBidi"/>
          <w:b/>
        </w:rPr>
        <w:t>CONSIDERANDO</w:t>
      </w:r>
      <w:bookmarkEnd w:id="4"/>
      <w:r w:rsidRPr="0028642B">
        <w:rPr>
          <w:rFonts w:ascii="Palatino Linotype" w:eastAsiaTheme="majorEastAsia" w:hAnsi="Palatino Linotype" w:cstheme="majorBidi"/>
          <w:b/>
        </w:rPr>
        <w:t xml:space="preserve"> </w:t>
      </w:r>
    </w:p>
    <w:p w14:paraId="52410DE0" w14:textId="77777777" w:rsidR="00A678BF" w:rsidRPr="0028642B" w:rsidRDefault="00A678BF" w:rsidP="00A678BF">
      <w:pPr>
        <w:spacing w:line="360" w:lineRule="auto"/>
        <w:rPr>
          <w:rFonts w:ascii="Palatino Linotype" w:eastAsiaTheme="minorEastAsia" w:hAnsi="Palatino Linotype"/>
        </w:rPr>
      </w:pPr>
    </w:p>
    <w:p w14:paraId="24BE1EF9" w14:textId="77777777" w:rsidR="00A678BF" w:rsidRPr="0028642B" w:rsidRDefault="00A678BF" w:rsidP="00A678BF">
      <w:pPr>
        <w:keepNext/>
        <w:keepLines/>
        <w:spacing w:line="360" w:lineRule="auto"/>
        <w:outlineLvl w:val="1"/>
        <w:rPr>
          <w:rFonts w:ascii="Palatino Linotype" w:eastAsiaTheme="majorEastAsia" w:hAnsi="Palatino Linotype" w:cstheme="majorBidi"/>
          <w:b/>
        </w:rPr>
      </w:pPr>
      <w:bookmarkStart w:id="5" w:name="_Toc83301635"/>
      <w:r w:rsidRPr="0028642B">
        <w:rPr>
          <w:rFonts w:ascii="Palatino Linotype" w:eastAsiaTheme="majorEastAsia" w:hAnsi="Palatino Linotype" w:cstheme="majorBidi"/>
          <w:b/>
        </w:rPr>
        <w:t>PRIMERO. De la competencia</w:t>
      </w:r>
      <w:bookmarkEnd w:id="5"/>
    </w:p>
    <w:p w14:paraId="2CB6ECB5" w14:textId="77777777" w:rsidR="00A678BF" w:rsidRPr="0028642B" w:rsidRDefault="00A678BF" w:rsidP="00A678BF">
      <w:pPr>
        <w:pStyle w:val="Prrafodelista"/>
        <w:numPr>
          <w:ilvl w:val="0"/>
          <w:numId w:val="1"/>
        </w:numPr>
        <w:spacing w:line="360" w:lineRule="auto"/>
        <w:ind w:left="0" w:firstLine="0"/>
        <w:jc w:val="both"/>
        <w:rPr>
          <w:rFonts w:ascii="Palatino Linotype" w:hAnsi="Palatino Linotype"/>
          <w:sz w:val="24"/>
        </w:rPr>
      </w:pPr>
      <w:r w:rsidRPr="0028642B">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0A3A2B7" w14:textId="77777777" w:rsidR="00A678BF" w:rsidRPr="0028642B" w:rsidRDefault="00A678BF" w:rsidP="00A678BF">
      <w:pPr>
        <w:spacing w:line="360" w:lineRule="auto"/>
        <w:contextualSpacing/>
        <w:jc w:val="both"/>
        <w:rPr>
          <w:rFonts w:ascii="Palatino Linotype" w:eastAsiaTheme="minorEastAsia" w:hAnsi="Palatino Linotype"/>
          <w:lang w:val="es-ES_tradnl" w:eastAsia="es-ES"/>
        </w:rPr>
      </w:pPr>
    </w:p>
    <w:p w14:paraId="20A5FA7C" w14:textId="77777777" w:rsidR="00A678BF" w:rsidRPr="0028642B" w:rsidRDefault="00A678BF" w:rsidP="00A678BF">
      <w:pPr>
        <w:keepNext/>
        <w:keepLines/>
        <w:spacing w:line="360" w:lineRule="auto"/>
        <w:outlineLvl w:val="1"/>
        <w:rPr>
          <w:rFonts w:ascii="Palatino Linotype" w:eastAsiaTheme="majorEastAsia" w:hAnsi="Palatino Linotype" w:cstheme="majorBidi"/>
          <w:b/>
        </w:rPr>
      </w:pPr>
      <w:bookmarkStart w:id="6" w:name="_Toc83301636"/>
      <w:r w:rsidRPr="0028642B">
        <w:rPr>
          <w:rFonts w:ascii="Palatino Linotype" w:eastAsiaTheme="majorEastAsia" w:hAnsi="Palatino Linotype" w:cstheme="majorBidi"/>
          <w:b/>
        </w:rPr>
        <w:lastRenderedPageBreak/>
        <w:t>SEGUNDO. De la oportunidad y procedencia.</w:t>
      </w:r>
      <w:bookmarkEnd w:id="6"/>
    </w:p>
    <w:p w14:paraId="1A871CC6" w14:textId="77777777" w:rsidR="00A678BF" w:rsidRPr="0028642B" w:rsidRDefault="00A678BF" w:rsidP="00A678B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eastAsia="Calibri" w:hAnsi="Palatino Linotype" w:cs="Arial"/>
          <w:lang w:val="es-ES_tradnl" w:eastAsia="es-ES"/>
        </w:rPr>
        <w:t xml:space="preserve">El medio de impugnación fue presentado a través del </w:t>
      </w:r>
      <w:r w:rsidRPr="0028642B">
        <w:rPr>
          <w:rFonts w:ascii="Palatino Linotype" w:eastAsia="Calibri" w:hAnsi="Palatino Linotype" w:cs="Arial"/>
          <w:b/>
          <w:lang w:val="es-ES_tradnl" w:eastAsia="es-ES"/>
        </w:rPr>
        <w:t>SAIMEX,</w:t>
      </w:r>
      <w:r w:rsidRPr="0028642B">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28642B">
        <w:rPr>
          <w:rFonts w:ascii="Palatino Linotype" w:eastAsia="Calibri" w:hAnsi="Palatino Linotype" w:cs="Arial"/>
          <w:b/>
          <w:lang w:val="es-ES_tradnl" w:eastAsia="es-ES"/>
        </w:rPr>
        <w:t>SUJETO OBLIGADO</w:t>
      </w:r>
      <w:r w:rsidRPr="0028642B">
        <w:rPr>
          <w:rFonts w:ascii="Palatino Linotype" w:eastAsia="Calibri" w:hAnsi="Palatino Linotype" w:cs="Arial"/>
          <w:lang w:val="es-ES_tradnl" w:eastAsia="es-ES"/>
        </w:rPr>
        <w:t xml:space="preserve"> entregó respuesta a la solicitud el día doce (12) de mayo de dos mil veintidós, </w:t>
      </w:r>
      <w:r w:rsidRPr="0028642B">
        <w:rPr>
          <w:rFonts w:ascii="Palatino Linotype" w:eastAsiaTheme="minorEastAsia" w:hAnsi="Palatino Linotype" w:cs="Arial"/>
          <w:lang w:val="es-ES_tradnl" w:eastAsia="es-ES"/>
        </w:rPr>
        <w:t xml:space="preserve">de tal forma que el plazo para interponer el recurso de revisión transcurrió del trece (13) de mayo al dos (02) de junio de dos mil veintidós; en consecuencia, presentó su inconformidad el día dieciséis (16) de mayo de dos mil veintidós, por lo que se encuentra dentro de los márgenes temporales previstos en el artículo 178 de la </w:t>
      </w:r>
      <w:r w:rsidRPr="0028642B">
        <w:rPr>
          <w:rFonts w:ascii="Palatino Linotype" w:eastAsiaTheme="minorEastAsia" w:hAnsi="Palatino Linotype" w:cs="Arial"/>
          <w:b/>
          <w:lang w:val="es-ES_tradnl" w:eastAsia="es-ES"/>
        </w:rPr>
        <w:t xml:space="preserve">Ley de Transparencia y Acceso a la Información Pública del Estado de México y Municipios </w:t>
      </w:r>
      <w:r w:rsidRPr="0028642B">
        <w:rPr>
          <w:rFonts w:ascii="Palatino Linotype" w:eastAsiaTheme="minorEastAsia" w:hAnsi="Palatino Linotype" w:cs="Arial"/>
          <w:lang w:val="es-ES_tradnl" w:eastAsia="es-ES"/>
        </w:rPr>
        <w:t>vigente.</w:t>
      </w:r>
    </w:p>
    <w:p w14:paraId="4C679FF9" w14:textId="77777777" w:rsidR="00022734" w:rsidRPr="0028642B" w:rsidRDefault="00022734" w:rsidP="00022734">
      <w:pPr>
        <w:spacing w:line="360" w:lineRule="auto"/>
        <w:ind w:right="49"/>
        <w:contextualSpacing/>
        <w:jc w:val="both"/>
        <w:rPr>
          <w:rFonts w:ascii="Palatino Linotype" w:eastAsiaTheme="minorEastAsia" w:hAnsi="Palatino Linotype"/>
          <w:lang w:val="es-ES_tradnl" w:eastAsia="es-ES"/>
        </w:rPr>
      </w:pPr>
    </w:p>
    <w:p w14:paraId="3E70F2F4" w14:textId="77777777" w:rsidR="00A678BF" w:rsidRPr="0028642B" w:rsidRDefault="00A678BF" w:rsidP="00A678B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0E25548F" w14:textId="77777777" w:rsidR="00A678BF" w:rsidRPr="0028642B" w:rsidRDefault="00A678BF" w:rsidP="00A678BF">
      <w:pPr>
        <w:spacing w:line="360" w:lineRule="auto"/>
        <w:ind w:right="49"/>
        <w:contextualSpacing/>
        <w:jc w:val="both"/>
        <w:rPr>
          <w:rFonts w:ascii="Palatino Linotype" w:eastAsiaTheme="minorEastAsia" w:hAnsi="Palatino Linotype"/>
          <w:lang w:val="es-ES_tradnl" w:eastAsia="es-ES"/>
        </w:rPr>
      </w:pPr>
    </w:p>
    <w:p w14:paraId="4929A43A" w14:textId="77777777" w:rsidR="00A678BF" w:rsidRPr="0028642B" w:rsidRDefault="00A678BF" w:rsidP="00A678BF">
      <w:pPr>
        <w:spacing w:line="360" w:lineRule="auto"/>
        <w:ind w:right="49"/>
        <w:contextualSpacing/>
        <w:jc w:val="both"/>
        <w:rPr>
          <w:rFonts w:ascii="Palatino Linotype" w:eastAsia="MS Gothic" w:hAnsi="Palatino Linotype" w:cstheme="majorBidi"/>
          <w:b/>
          <w:lang w:eastAsia="es-ES"/>
        </w:rPr>
      </w:pPr>
      <w:r w:rsidRPr="0028642B">
        <w:rPr>
          <w:rFonts w:ascii="Palatino Linotype" w:eastAsia="MS Gothic" w:hAnsi="Palatino Linotype" w:cstheme="majorBidi"/>
          <w:b/>
          <w:lang w:val="es-ES_tradnl" w:eastAsia="es-ES"/>
        </w:rPr>
        <w:t>TERCERO. Planteamiento de la Litis</w:t>
      </w:r>
      <w:r w:rsidRPr="0028642B">
        <w:rPr>
          <w:rFonts w:ascii="Palatino Linotype" w:eastAsia="MS Gothic" w:hAnsi="Palatino Linotype" w:cstheme="majorBidi"/>
          <w:b/>
          <w:lang w:eastAsia="es-ES"/>
        </w:rPr>
        <w:t>.</w:t>
      </w:r>
      <w:bookmarkEnd w:id="7"/>
      <w:bookmarkEnd w:id="8"/>
    </w:p>
    <w:p w14:paraId="5D8E1A56"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28642B">
        <w:rPr>
          <w:rFonts w:ascii="Palatino Linotype" w:eastAsia="MS Gothic" w:hAnsi="Palatino Linotype" w:cstheme="majorBidi"/>
          <w:lang w:eastAsia="es-ES"/>
        </w:rPr>
        <w:t>El particular solicitó:</w:t>
      </w:r>
    </w:p>
    <w:p w14:paraId="2F954A35"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 xml:space="preserve">Saber si los miembros del Ayuntamiento y los directores son titulados de alguna carrera, si es así, especificar nombre, número de cédula profesional, carrera y universidad donde se realizaron dichos estudios; </w:t>
      </w:r>
    </w:p>
    <w:p w14:paraId="0D4C9B7D"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Listados de los beneficiarios de programas sociales, conocer que  estudios socioeconómicos se les aplicaron, copia del formato de estudio socioeconómico;</w:t>
      </w:r>
    </w:p>
    <w:p w14:paraId="4EF5C1C8"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lastRenderedPageBreak/>
        <w:t xml:space="preserve">Bienes inmuebles adquiridos por el ayuntamiento,  el costo de los mismos, fecha en que fueron ingresados al patrimonio municipal y copia de las actas y contratos de enero del 2021 a la fecha de la solicitud; </w:t>
      </w:r>
    </w:p>
    <w:p w14:paraId="4517F869"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 xml:space="preserve">Bienes se han dado de baja del patrimonio municipal desde enero de 2022, especificando cada bien y motivos de la baja </w:t>
      </w:r>
    </w:p>
    <w:p w14:paraId="43A1BD6B"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Obras públicas que se han realizado de enero del 2022 a la fecha, su proceso de licitación para la realización y costo tuvo cada obra;</w:t>
      </w:r>
    </w:p>
    <w:p w14:paraId="2EEC9394"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Bienes inmuebles que renta el H. Ayuntamiento y que costo mensual tienen, copia del contrato;</w:t>
      </w:r>
    </w:p>
    <w:p w14:paraId="44E66936"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Vehículos que fueron adquiridos de enero del 2022 a la fecha, qué uso se les atribuye  y el costo que estos generan.</w:t>
      </w:r>
    </w:p>
    <w:p w14:paraId="565F0B4A" w14:textId="77777777" w:rsidR="00A678BF" w:rsidRPr="0028642B" w:rsidRDefault="00A678BF" w:rsidP="00A678BF">
      <w:pPr>
        <w:spacing w:line="360" w:lineRule="auto"/>
        <w:ind w:right="822"/>
        <w:contextualSpacing/>
        <w:jc w:val="both"/>
        <w:rPr>
          <w:rFonts w:ascii="Palatino Linotype" w:hAnsi="Palatino Linotype"/>
          <w:color w:val="000000"/>
        </w:rPr>
      </w:pPr>
    </w:p>
    <w:p w14:paraId="17410B73"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28642B">
        <w:rPr>
          <w:rFonts w:ascii="Palatino Linotype" w:eastAsia="MS Gothic" w:hAnsi="Palatino Linotype" w:cstheme="majorBidi"/>
          <w:iCs/>
          <w:lang w:eastAsia="es-ES"/>
        </w:rPr>
        <w:t xml:space="preserve">En respuesta, el Sujeto Obligado adjuntó documentos con los datos curriculares de los miembros del ayuntamiento; sobre el programa de beneficiarios refirió que no se han llevado a cabo entrega de apoyos sociales; en relación a los inmuebles adquiridos refirió que solo se adquirió el predio denominado "BARRANCA” y manifestó anexar documentación en pdf; sobre los bienes dados de baja, señaló no se han dado de baja bienes; sobre las obras realizadas, dijo que no se han realizado obras públicas; y sobre la renta de inmuebles por parte del ayuntamiento manifestó que a la fecha no se renta ningún inmueble. </w:t>
      </w:r>
    </w:p>
    <w:p w14:paraId="3560EE07" w14:textId="77777777" w:rsidR="00A678BF" w:rsidRPr="0028642B" w:rsidRDefault="00A678BF" w:rsidP="00A678BF">
      <w:pPr>
        <w:spacing w:line="360" w:lineRule="auto"/>
        <w:ind w:right="49"/>
        <w:contextualSpacing/>
        <w:jc w:val="both"/>
        <w:rPr>
          <w:rFonts w:ascii="Palatino Linotype" w:eastAsia="MS Gothic" w:hAnsi="Palatino Linotype" w:cstheme="majorBidi"/>
          <w:i/>
          <w:lang w:val="es-ES_tradnl" w:eastAsia="es-ES"/>
        </w:rPr>
      </w:pPr>
    </w:p>
    <w:p w14:paraId="629865AC"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28642B">
        <w:rPr>
          <w:rFonts w:ascii="Palatino Linotype" w:eastAsia="MS Gothic" w:hAnsi="Palatino Linotype" w:cstheme="majorBidi"/>
          <w:iCs/>
          <w:lang w:eastAsia="es-ES"/>
        </w:rPr>
        <w:t xml:space="preserve">Derivado de la respuesta, el hoy Recurrente se informó porque no se anexó la información sobre el bien inmueble adquirido, en consecuencia, se entiende que se inconformó por la entrega de información incompleta. </w:t>
      </w:r>
    </w:p>
    <w:p w14:paraId="0B815D3E" w14:textId="77777777" w:rsidR="00A678BF" w:rsidRPr="0028642B" w:rsidRDefault="00A678BF" w:rsidP="00A678BF">
      <w:pPr>
        <w:spacing w:line="360" w:lineRule="auto"/>
        <w:ind w:right="49"/>
        <w:contextualSpacing/>
        <w:jc w:val="both"/>
        <w:rPr>
          <w:rFonts w:ascii="Palatino Linotype" w:eastAsia="MS Gothic" w:hAnsi="Palatino Linotype" w:cstheme="majorBidi"/>
          <w:lang w:eastAsia="es-ES"/>
        </w:rPr>
      </w:pPr>
    </w:p>
    <w:p w14:paraId="7CE2BA42"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28642B">
        <w:rPr>
          <w:rFonts w:ascii="Palatino Linotype" w:eastAsia="MS Gothic" w:hAnsi="Palatino Linotype" w:cstheme="majorBidi"/>
          <w:lang w:eastAsia="es-ES"/>
        </w:rPr>
        <w:lastRenderedPageBreak/>
        <w:t>En consecuencia, la Litis a resolver en este recurso, se circunscribe a determinar si la respuesta colma con lo solicitado o si se actualiza la causal de procedencia prevista en el artículo 179, fracción I y V de la Ley de Transparencia y Acceso a la Información Pública del Estado de México y Municipios; que establece la negativa de la información y la entrega de información incompleta.</w:t>
      </w:r>
    </w:p>
    <w:p w14:paraId="211072A9" w14:textId="77777777" w:rsidR="00A678BF" w:rsidRPr="0028642B" w:rsidRDefault="00A678BF" w:rsidP="00A678BF">
      <w:pPr>
        <w:spacing w:line="360" w:lineRule="auto"/>
        <w:ind w:right="49"/>
        <w:contextualSpacing/>
        <w:jc w:val="both"/>
        <w:rPr>
          <w:rFonts w:ascii="Palatino Linotype" w:eastAsia="MS Gothic" w:hAnsi="Palatino Linotype"/>
        </w:rPr>
      </w:pPr>
    </w:p>
    <w:p w14:paraId="0F0B7A77" w14:textId="77777777" w:rsidR="00A678BF" w:rsidRPr="0028642B" w:rsidRDefault="00A678BF" w:rsidP="00A678BF">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28642B">
        <w:rPr>
          <w:rFonts w:ascii="Palatino Linotype" w:eastAsia="MS Gothic" w:hAnsi="Palatino Linotype" w:cstheme="majorBidi"/>
          <w:b/>
          <w:lang w:val="es-ES_tradnl" w:eastAsia="es-ES"/>
        </w:rPr>
        <w:t>CUARTO. Del estudio y resolución del recurso de revisión.</w:t>
      </w:r>
      <w:bookmarkEnd w:id="12"/>
      <w:bookmarkEnd w:id="13"/>
      <w:bookmarkEnd w:id="14"/>
    </w:p>
    <w:p w14:paraId="4665DC21" w14:textId="77777777" w:rsidR="00A678BF" w:rsidRPr="0028642B" w:rsidRDefault="00A678BF" w:rsidP="00A678BF">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28642B">
        <w:rPr>
          <w:rFonts w:ascii="Palatino Linotype" w:eastAsia="Calibri" w:hAnsi="Palatino Linotype" w:cs="Arial"/>
          <w:lang w:val="es-ES"/>
        </w:rPr>
        <w:t>Ley de Transparencia y Acceso a la Información Pública del Estado de México y Municipios</w:t>
      </w:r>
      <w:r w:rsidRPr="0028642B">
        <w:rPr>
          <w:rFonts w:ascii="Palatino Linotype" w:hAnsi="Palatino Linotype" w:cs="Arial"/>
          <w:lang w:val="es-ES"/>
        </w:rPr>
        <w:t>.</w:t>
      </w:r>
    </w:p>
    <w:p w14:paraId="4CBAC0F8" w14:textId="77777777" w:rsidR="00A678BF" w:rsidRPr="0028642B" w:rsidRDefault="00A678BF" w:rsidP="00A678BF">
      <w:pPr>
        <w:spacing w:line="360" w:lineRule="auto"/>
        <w:ind w:right="49"/>
        <w:contextualSpacing/>
        <w:jc w:val="both"/>
        <w:rPr>
          <w:rFonts w:ascii="Palatino Linotype" w:eastAsiaTheme="minorEastAsia" w:hAnsi="Palatino Linotype"/>
          <w:lang w:val="es-ES_tradnl" w:eastAsia="es-ES"/>
        </w:rPr>
      </w:pPr>
    </w:p>
    <w:p w14:paraId="3389C1E9" w14:textId="77777777" w:rsidR="00A678BF" w:rsidRPr="0028642B" w:rsidRDefault="00A678BF" w:rsidP="00A678BF">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28642B">
        <w:rPr>
          <w:rFonts w:ascii="Palatino Linotype" w:hAnsi="Palatino Linotype" w:cs="Arial"/>
          <w:lang w:val="es-ES"/>
        </w:rPr>
        <w:t>En este caso, el particular solicitó:</w:t>
      </w:r>
    </w:p>
    <w:p w14:paraId="46E0DCFD"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 xml:space="preserve">Saber si los miembros del Ayuntamiento y los directores son titulados de alguna carrera, si es así, especificar nombre, número de cédula profesional, carrera y universidad donde se realizaron dichos estudios; </w:t>
      </w:r>
    </w:p>
    <w:p w14:paraId="3B8AAB7B"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Listados de los beneficiarios de programas sociales, conocer que  estudios socioeconómicos se les aplicaron, copia del formato de estudio socioeconómico;</w:t>
      </w:r>
    </w:p>
    <w:p w14:paraId="51E151CB"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 xml:space="preserve">Bienes inmuebles adquiridos por el ayuntamiento,  el costo de los mismos, fecha en que fueron ingresados al patrimonio municipal y copia de las actas y contratos de enero del 2021 a la fecha de la solicitud; </w:t>
      </w:r>
    </w:p>
    <w:p w14:paraId="4C0BB6DB"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 xml:space="preserve">Bienes se han dado de baja del patrimonio municipal desde enero de 2022, especificando cada bien y motivos de la baja </w:t>
      </w:r>
    </w:p>
    <w:p w14:paraId="7872CECA"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Obras públicas que se han realizado de enero del 2022 a la fecha, su proceso de licitación para la realización y costo tuvo cada obra;</w:t>
      </w:r>
    </w:p>
    <w:p w14:paraId="6774166A"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lastRenderedPageBreak/>
        <w:t>Bienes inmuebles que renta el H. Ayuntamiento y que costo mensual tienen, copia del contrato;</w:t>
      </w:r>
    </w:p>
    <w:p w14:paraId="6B8CC43C" w14:textId="77777777" w:rsidR="00A678BF" w:rsidRPr="0028642B" w:rsidRDefault="00A678BF" w:rsidP="00A678BF">
      <w:pPr>
        <w:pStyle w:val="Prrafodelista"/>
        <w:numPr>
          <w:ilvl w:val="0"/>
          <w:numId w:val="6"/>
        </w:numPr>
        <w:spacing w:line="360" w:lineRule="auto"/>
        <w:ind w:right="49"/>
        <w:jc w:val="both"/>
        <w:rPr>
          <w:rFonts w:ascii="Palatino Linotype" w:eastAsia="MS Gothic" w:hAnsi="Palatino Linotype" w:cstheme="majorBidi"/>
          <w:lang w:val="es-ES_tradnl" w:eastAsia="es-ES"/>
        </w:rPr>
      </w:pPr>
      <w:r w:rsidRPr="0028642B">
        <w:rPr>
          <w:rFonts w:ascii="Palatino Linotype" w:hAnsi="Palatino Linotype"/>
          <w:color w:val="000000"/>
        </w:rPr>
        <w:t>Vehículos que fueron adquiridos de enero del 2022 a la fecha, qué uso se les atribuye  y el costo que estos generan.</w:t>
      </w:r>
    </w:p>
    <w:p w14:paraId="125128F0" w14:textId="77777777" w:rsidR="00A678BF" w:rsidRPr="0028642B" w:rsidRDefault="00A678BF" w:rsidP="00A678BF">
      <w:pPr>
        <w:spacing w:line="360" w:lineRule="auto"/>
        <w:ind w:right="822"/>
        <w:contextualSpacing/>
        <w:jc w:val="both"/>
        <w:rPr>
          <w:rFonts w:ascii="Palatino Linotype" w:hAnsi="Palatino Linotype"/>
          <w:color w:val="000000"/>
        </w:rPr>
      </w:pPr>
    </w:p>
    <w:p w14:paraId="4E9C2B78"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28642B">
        <w:rPr>
          <w:rFonts w:ascii="Palatino Linotype" w:eastAsia="MS Gothic" w:hAnsi="Palatino Linotype" w:cstheme="majorBidi"/>
          <w:iCs/>
          <w:lang w:eastAsia="es-ES"/>
        </w:rPr>
        <w:t>En respuesta, el Sujeto Obligado adjuntó documentos con los datos curriculares de los miembros del ayuntamiento; sobre el programa de beneficiarios refirió que no se han llevado a cabo entrega de apoyos sociales; en relación a los inmuebles adquiridos refirió que solo se adquirió el predio denominado "BARRANCA” y manifestó anexar documentación en pdf; sobre los bienes dados de baja, señaló no se han dado de baja bienes; sobre las obras realizadas, dijo que no se han realizado obras públicas; y sobre la renta de inmuebles por parte del ayuntamiento manifestó que a la fecha no se renta ningún inmueble. Derivado de la respuesta, el hoy Recurrente se informó porque no se anexó la información sobre el bien inmueble adquirido.</w:t>
      </w:r>
    </w:p>
    <w:p w14:paraId="583C81D8" w14:textId="77777777" w:rsidR="00A678BF" w:rsidRPr="0028642B" w:rsidRDefault="00A678BF" w:rsidP="00A678BF">
      <w:pPr>
        <w:pStyle w:val="Prrafodelista"/>
        <w:spacing w:line="360" w:lineRule="auto"/>
        <w:ind w:left="0"/>
        <w:jc w:val="both"/>
        <w:rPr>
          <w:rFonts w:ascii="Palatino Linotype" w:eastAsia="Arial Unicode MS" w:hAnsi="Palatino Linotype" w:cs="Arial"/>
          <w:sz w:val="24"/>
          <w:lang w:eastAsia="en-US"/>
        </w:rPr>
      </w:pPr>
    </w:p>
    <w:p w14:paraId="244E20D9" w14:textId="77777777" w:rsidR="00A24488" w:rsidRPr="0028642B" w:rsidRDefault="00A678BF" w:rsidP="00A2448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28642B">
        <w:rPr>
          <w:rFonts w:ascii="Palatino Linotype" w:eastAsia="MS Mincho" w:hAnsi="Palatino Linotype" w:cs="Arial"/>
          <w:sz w:val="24"/>
          <w:lang w:eastAsia="es-ES"/>
        </w:rPr>
        <w:t xml:space="preserve">Ahora bien, la inconformidad del RECURRENTE radica en que la información remitida es incompleta, es decir, que el particular no se inconformó por las documentales emitidas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644EF574" w14:textId="77777777" w:rsidR="00A24488" w:rsidRPr="0028642B" w:rsidRDefault="00A24488" w:rsidP="00A24488">
      <w:pPr>
        <w:pStyle w:val="Prrafodelista"/>
        <w:rPr>
          <w:rFonts w:ascii="Palatino Linotype" w:eastAsia="MS Mincho" w:hAnsi="Palatino Linotype" w:cs="Arial"/>
          <w:sz w:val="24"/>
          <w:lang w:eastAsia="es-ES"/>
        </w:rPr>
      </w:pPr>
    </w:p>
    <w:p w14:paraId="442B4E10" w14:textId="77777777" w:rsidR="00A678BF" w:rsidRPr="0028642B" w:rsidRDefault="00A678BF" w:rsidP="00A2448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28642B">
        <w:rPr>
          <w:rFonts w:ascii="Palatino Linotype" w:eastAsia="MS Mincho" w:hAnsi="Palatino Linotype" w:cs="Arial"/>
          <w:sz w:val="24"/>
          <w:lang w:eastAsia="es-ES"/>
        </w:rPr>
        <w:lastRenderedPageBreak/>
        <w:t>Sirve de sustento, la tesis jurisprudencial número VI.3o.C. J/60, publicada en el Semanario Judicial de la Federación y su Gaceta bajo el número de registro 176,608 que a la letra dice:</w:t>
      </w:r>
    </w:p>
    <w:p w14:paraId="4C5E9D5E" w14:textId="77777777" w:rsidR="00A678BF" w:rsidRPr="0028642B" w:rsidRDefault="00A678BF" w:rsidP="00A678BF">
      <w:pPr>
        <w:pStyle w:val="Prrafodelista"/>
        <w:spacing w:before="240" w:after="240" w:line="360" w:lineRule="auto"/>
        <w:ind w:left="0" w:right="48"/>
        <w:jc w:val="both"/>
        <w:rPr>
          <w:rFonts w:ascii="Palatino Linotype" w:eastAsia="MS Mincho" w:hAnsi="Palatino Linotype" w:cs="Arial"/>
          <w:lang w:eastAsia="es-ES"/>
        </w:rPr>
      </w:pPr>
    </w:p>
    <w:p w14:paraId="64C80C04" w14:textId="77777777" w:rsidR="00A678BF" w:rsidRPr="0028642B" w:rsidRDefault="00A678BF" w:rsidP="00A678BF">
      <w:pPr>
        <w:pStyle w:val="Prrafodelista"/>
        <w:spacing w:before="240" w:after="240" w:line="360" w:lineRule="auto"/>
        <w:ind w:left="851" w:right="822"/>
        <w:jc w:val="both"/>
        <w:rPr>
          <w:rFonts w:ascii="Palatino Linotype" w:eastAsia="MS Mincho" w:hAnsi="Palatino Linotype" w:cs="Arial"/>
          <w:i/>
          <w:lang w:eastAsia="es-ES"/>
        </w:rPr>
      </w:pPr>
      <w:r w:rsidRPr="0028642B">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81F2BB" w14:textId="77777777" w:rsidR="00A678BF" w:rsidRPr="0028642B" w:rsidRDefault="00A678BF" w:rsidP="00A678BF">
      <w:pPr>
        <w:pStyle w:val="Prrafodelista"/>
        <w:spacing w:before="240" w:after="240" w:line="360" w:lineRule="auto"/>
        <w:ind w:left="851" w:right="822"/>
        <w:jc w:val="both"/>
        <w:rPr>
          <w:rFonts w:ascii="Palatino Linotype" w:eastAsia="MS Mincho" w:hAnsi="Palatino Linotype" w:cs="Arial"/>
          <w:i/>
          <w:sz w:val="24"/>
          <w:lang w:eastAsia="es-ES"/>
        </w:rPr>
      </w:pPr>
    </w:p>
    <w:p w14:paraId="3949E4BF" w14:textId="77777777" w:rsidR="00A24488" w:rsidRPr="0028642B" w:rsidRDefault="00A678BF" w:rsidP="00A24488">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28642B">
        <w:rPr>
          <w:rFonts w:ascii="Palatino Linotype" w:eastAsia="MS Mincho" w:hAnsi="Palatino Linotype" w:cs="Arial"/>
          <w:sz w:val="24"/>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62D9540B" w14:textId="77777777" w:rsidR="00A24488" w:rsidRPr="0028642B" w:rsidRDefault="00A24488" w:rsidP="00A24488">
      <w:pPr>
        <w:pStyle w:val="Prrafodelista"/>
        <w:spacing w:before="240" w:after="240" w:line="360" w:lineRule="auto"/>
        <w:ind w:left="0" w:right="48"/>
        <w:jc w:val="both"/>
        <w:rPr>
          <w:rFonts w:ascii="Palatino Linotype" w:eastAsia="MS Mincho" w:hAnsi="Palatino Linotype" w:cs="Arial"/>
          <w:sz w:val="24"/>
          <w:lang w:eastAsia="es-ES"/>
        </w:rPr>
      </w:pPr>
    </w:p>
    <w:p w14:paraId="467A0FF9" w14:textId="77777777" w:rsidR="00A678BF" w:rsidRPr="0028642B" w:rsidRDefault="00A678BF" w:rsidP="00A24488">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28642B">
        <w:rPr>
          <w:rFonts w:ascii="Palatino Linotype" w:eastAsia="MS Mincho" w:hAnsi="Palatino Linotype" w:cs="Arial"/>
          <w:sz w:val="24"/>
          <w:lang w:eastAsia="es-ES"/>
        </w:rPr>
        <w:t>Atento a ello, es importante traer a contexto la Tesis Jurisprudencial Número 3ª./J.7/91, Publicada en el Semanario Judicial de la Federación y su Gaceta bajo el número de registro 174,177, que establece lo siguiente:</w:t>
      </w:r>
    </w:p>
    <w:p w14:paraId="53C3A576" w14:textId="77777777" w:rsidR="00A678BF" w:rsidRPr="0028642B" w:rsidRDefault="00A678BF" w:rsidP="00A678BF">
      <w:pPr>
        <w:pStyle w:val="Prrafodelista"/>
        <w:spacing w:before="240" w:after="240" w:line="360" w:lineRule="auto"/>
        <w:ind w:left="0" w:right="48"/>
        <w:jc w:val="both"/>
        <w:rPr>
          <w:rFonts w:ascii="Palatino Linotype" w:eastAsia="MS Mincho" w:hAnsi="Palatino Linotype" w:cs="Arial"/>
          <w:lang w:eastAsia="es-ES"/>
        </w:rPr>
      </w:pPr>
    </w:p>
    <w:p w14:paraId="13AF9030" w14:textId="77777777" w:rsidR="00A678BF" w:rsidRPr="0028642B" w:rsidRDefault="00A678BF" w:rsidP="00A678BF">
      <w:pPr>
        <w:pStyle w:val="Prrafodelista"/>
        <w:spacing w:before="240" w:after="240" w:line="360" w:lineRule="auto"/>
        <w:ind w:left="851" w:right="822"/>
        <w:jc w:val="both"/>
        <w:rPr>
          <w:rFonts w:ascii="Palatino Linotype" w:eastAsia="MS Mincho" w:hAnsi="Palatino Linotype" w:cs="Arial"/>
          <w:i/>
          <w:lang w:eastAsia="es-ES"/>
        </w:rPr>
      </w:pPr>
      <w:r w:rsidRPr="0028642B">
        <w:rPr>
          <w:rFonts w:ascii="Palatino Linotype" w:eastAsia="MS Mincho" w:hAnsi="Palatino Linotype" w:cs="Arial"/>
          <w:i/>
          <w:lang w:eastAsia="es-ES"/>
        </w:rPr>
        <w:t xml:space="preserve">“REVISIÓN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w:t>
      </w:r>
      <w:r w:rsidRPr="0028642B">
        <w:rPr>
          <w:rFonts w:ascii="Palatino Linotype" w:eastAsia="MS Mincho" w:hAnsi="Palatino Linotype" w:cs="Arial"/>
          <w:i/>
          <w:lang w:eastAsia="es-ES"/>
        </w:rPr>
        <w:lastRenderedPageBreak/>
        <w:t>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13B3FA1" w14:textId="77777777" w:rsidR="00A24488" w:rsidRPr="0028642B" w:rsidRDefault="00A678BF" w:rsidP="00A24488">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6904D42F" w14:textId="77777777" w:rsidR="00A24488" w:rsidRPr="0028642B" w:rsidRDefault="00A24488" w:rsidP="00A24488">
      <w:pPr>
        <w:spacing w:line="360" w:lineRule="auto"/>
        <w:ind w:right="49"/>
        <w:contextualSpacing/>
        <w:jc w:val="both"/>
        <w:rPr>
          <w:rFonts w:ascii="Palatino Linotype" w:eastAsiaTheme="minorEastAsia" w:hAnsi="Palatino Linotype"/>
          <w:lang w:val="es-ES_tradnl" w:eastAsia="es-ES"/>
        </w:rPr>
      </w:pPr>
    </w:p>
    <w:p w14:paraId="794D00F6" w14:textId="77777777" w:rsidR="00A678BF" w:rsidRPr="0028642B" w:rsidRDefault="00A678BF" w:rsidP="00A24488">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hAnsi="Palatino Linotype" w:cs="Tahoma"/>
          <w:bCs/>
          <w:iCs/>
          <w:lang w:eastAsia="es-ES"/>
        </w:rPr>
        <w:t>En este co</w:t>
      </w:r>
      <w:r w:rsidR="00A24488" w:rsidRPr="0028642B">
        <w:rPr>
          <w:rFonts w:ascii="Palatino Linotype" w:hAnsi="Palatino Linotype" w:cs="Tahoma"/>
          <w:bCs/>
          <w:iCs/>
          <w:lang w:eastAsia="es-ES"/>
        </w:rPr>
        <w:t>ntexto, se hará pronunciamiento</w:t>
      </w:r>
      <w:r w:rsidRPr="0028642B">
        <w:rPr>
          <w:rFonts w:ascii="Palatino Linotype" w:hAnsi="Palatino Linotype" w:cs="Tahoma"/>
          <w:bCs/>
          <w:iCs/>
          <w:lang w:eastAsia="es-ES"/>
        </w:rPr>
        <w:t xml:space="preserve"> únicamente </w:t>
      </w:r>
      <w:r w:rsidR="00A24488" w:rsidRPr="0028642B">
        <w:rPr>
          <w:rFonts w:ascii="Palatino Linotype" w:hAnsi="Palatino Linotype" w:cs="Tahoma"/>
          <w:bCs/>
          <w:iCs/>
          <w:lang w:eastAsia="es-ES"/>
        </w:rPr>
        <w:t xml:space="preserve">por la parte de la solicitud en la que el particular requiere los bienes inmuebles adquiridos por el ayuntamiento,  el costo de los mismos, fecha en que </w:t>
      </w:r>
      <w:r w:rsidR="002E173E" w:rsidRPr="0028642B">
        <w:rPr>
          <w:rFonts w:ascii="Palatino Linotype" w:hAnsi="Palatino Linotype" w:cs="Tahoma"/>
          <w:bCs/>
          <w:iCs/>
          <w:lang w:eastAsia="es-ES"/>
        </w:rPr>
        <w:t>fueron ingre</w:t>
      </w:r>
      <w:r w:rsidR="00A24488" w:rsidRPr="0028642B">
        <w:rPr>
          <w:rFonts w:ascii="Palatino Linotype" w:hAnsi="Palatino Linotype" w:cs="Tahoma"/>
          <w:bCs/>
          <w:iCs/>
          <w:lang w:eastAsia="es-ES"/>
        </w:rPr>
        <w:t>sados al patrimonio municipal y</w:t>
      </w:r>
      <w:r w:rsidR="002E173E" w:rsidRPr="0028642B">
        <w:rPr>
          <w:rFonts w:ascii="Palatino Linotype" w:hAnsi="Palatino Linotype" w:cs="Tahoma"/>
          <w:bCs/>
          <w:iCs/>
          <w:lang w:eastAsia="es-ES"/>
        </w:rPr>
        <w:t xml:space="preserve"> c</w:t>
      </w:r>
      <w:r w:rsidR="00A24488" w:rsidRPr="0028642B">
        <w:rPr>
          <w:rFonts w:ascii="Palatino Linotype" w:hAnsi="Palatino Linotype" w:cs="Tahoma"/>
          <w:bCs/>
          <w:iCs/>
          <w:lang w:eastAsia="es-ES"/>
        </w:rPr>
        <w:t>opia de las actas y contratos de enero del 2021 a la fecha de la solicitud.</w:t>
      </w:r>
    </w:p>
    <w:p w14:paraId="1A2AE12B" w14:textId="77777777" w:rsidR="00A24488" w:rsidRPr="0028642B" w:rsidRDefault="00A24488" w:rsidP="00A24488">
      <w:pPr>
        <w:pStyle w:val="Prrafodelista"/>
        <w:rPr>
          <w:rFonts w:ascii="Palatino Linotype" w:eastAsiaTheme="minorEastAsia" w:hAnsi="Palatino Linotype"/>
          <w:sz w:val="24"/>
          <w:lang w:val="es-ES_tradnl" w:eastAsia="es-ES"/>
        </w:rPr>
      </w:pPr>
    </w:p>
    <w:p w14:paraId="7A0CF593" w14:textId="77777777" w:rsidR="006E440E" w:rsidRPr="0028642B" w:rsidRDefault="00B022C3" w:rsidP="006E440E">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eastAsiaTheme="minorEastAsia" w:hAnsi="Palatino Linotype"/>
          <w:lang w:val="es-ES_tradnl" w:eastAsia="es-ES"/>
        </w:rPr>
        <w:t>Ahora bien</w:t>
      </w:r>
      <w:r w:rsidR="00A24488" w:rsidRPr="0028642B">
        <w:rPr>
          <w:rFonts w:ascii="Palatino Linotype" w:eastAsiaTheme="minorEastAsia" w:hAnsi="Palatino Linotype"/>
          <w:lang w:val="es-ES_tradnl" w:eastAsia="es-ES"/>
        </w:rPr>
        <w:t>, debemos recordar que mediante respuesta, el Sujeto Obligado señaló que el único bien inmueble adquirido corresponde al predio denominado “BARRANCA” y señaló que se anexaba la documentación en pdf</w:t>
      </w:r>
      <w:r w:rsidRPr="0028642B">
        <w:rPr>
          <w:rFonts w:ascii="Palatino Linotype" w:eastAsiaTheme="minorEastAsia" w:hAnsi="Palatino Linotype"/>
          <w:lang w:val="es-ES_tradnl" w:eastAsia="es-ES"/>
        </w:rPr>
        <w:t>., sin embar</w:t>
      </w:r>
      <w:r w:rsidR="00A24488" w:rsidRPr="0028642B">
        <w:rPr>
          <w:rFonts w:ascii="Palatino Linotype" w:eastAsiaTheme="minorEastAsia" w:hAnsi="Palatino Linotype"/>
          <w:lang w:val="es-ES_tradnl" w:eastAsia="es-ES"/>
        </w:rPr>
        <w:t>go, no se adjuntó la información referida.</w:t>
      </w:r>
    </w:p>
    <w:p w14:paraId="5E360921" w14:textId="77777777" w:rsidR="00A24488" w:rsidRPr="0028642B" w:rsidRDefault="00A24488" w:rsidP="00A24488">
      <w:pPr>
        <w:pStyle w:val="Prrafodelista"/>
        <w:rPr>
          <w:rFonts w:ascii="Palatino Linotype" w:eastAsiaTheme="minorEastAsia" w:hAnsi="Palatino Linotype"/>
          <w:sz w:val="24"/>
          <w:lang w:val="es-ES_tradnl" w:eastAsia="es-ES"/>
        </w:rPr>
      </w:pPr>
    </w:p>
    <w:p w14:paraId="5A091339" w14:textId="77777777" w:rsidR="00A24488" w:rsidRPr="0028642B" w:rsidRDefault="00A24488" w:rsidP="00A24488">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8642B">
        <w:rPr>
          <w:rFonts w:ascii="Palatino Linotype" w:eastAsiaTheme="minorEastAsia" w:hAnsi="Palatino Linotype"/>
          <w:lang w:val="es-ES_tradnl" w:eastAsia="es-ES"/>
        </w:rPr>
        <w:t>Consecuentemente, mediante informe justificad</w:t>
      </w:r>
      <w:r w:rsidR="00B022C3" w:rsidRPr="0028642B">
        <w:rPr>
          <w:rFonts w:ascii="Palatino Linotype" w:eastAsiaTheme="minorEastAsia" w:hAnsi="Palatino Linotype"/>
          <w:lang w:val="es-ES_tradnl" w:eastAsia="es-ES"/>
        </w:rPr>
        <w:t>o</w:t>
      </w:r>
      <w:r w:rsidRPr="0028642B">
        <w:rPr>
          <w:rFonts w:ascii="Palatino Linotype" w:eastAsiaTheme="minorEastAsia" w:hAnsi="Palatino Linotype"/>
          <w:lang w:val="es-ES_tradnl" w:eastAsia="es-ES"/>
        </w:rPr>
        <w:t xml:space="preserve"> el Sujeto Obligado señaló:</w:t>
      </w:r>
    </w:p>
    <w:p w14:paraId="2933628D" w14:textId="77777777" w:rsidR="00A24488" w:rsidRPr="0028642B" w:rsidRDefault="00A24488" w:rsidP="00A24488">
      <w:pPr>
        <w:pStyle w:val="Prrafodelista"/>
        <w:rPr>
          <w:rFonts w:ascii="Palatino Linotype" w:eastAsiaTheme="minorEastAsia" w:hAnsi="Palatino Linotype"/>
          <w:sz w:val="24"/>
          <w:lang w:val="es-ES_tradnl" w:eastAsia="es-ES"/>
        </w:rPr>
      </w:pPr>
    </w:p>
    <w:p w14:paraId="335883D4"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“…me permito de manera muy respetuosa poner a su disposición, la siguiente documentación misma que hasta el día de hoy nos hizo favor de poner a nuestro alcance la oficia de Sindicatura, y que es:</w:t>
      </w:r>
    </w:p>
    <w:p w14:paraId="65C6363A"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ACTA DE CABILDO NUM, 91 DE FECHA 18 DE MARZO DE 2021.</w:t>
      </w:r>
    </w:p>
    <w:p w14:paraId="001B4397"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lastRenderedPageBreak/>
        <w:t>ACTA DE SESIÓN EXTRAORDINARIA NÚMERO 01 DEL COMITE DE ARRENDAMIENTOS, ADQUISICIONES DE INMUEBLES Y ENAJENACIONES DEL MUNICIPIO DE SAN MARTÍN DE LAS PIRÁMIDES DE FECHA 23 DE AGOSTO DE 2021.</w:t>
      </w:r>
    </w:p>
    <w:p w14:paraId="30FC9647"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CONTRATO PRIVADO DE COMPRAVENTA DE FECHA 29 DE SEPTIEMBRE DE 2021.</w:t>
      </w:r>
    </w:p>
    <w:p w14:paraId="651DF1E4"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CEDULA DE BIENES INMUEBLES, QUE GENERAL EL SISTEMA CREG PATRIMONIAL DE ESTE H. AYUNTAMIENTO, CON LOS DATOS DEL PREDIO DENOMINADO "BARRANCA" (PANTEON MUNICIPAL).</w:t>
      </w:r>
    </w:p>
    <w:p w14:paraId="48D5A6B9"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p>
    <w:p w14:paraId="4769DA74" w14:textId="77777777" w:rsidR="00A24488" w:rsidRPr="0028642B" w:rsidRDefault="00A24488" w:rsidP="00A24488">
      <w:pPr>
        <w:pStyle w:val="Prrafodelista"/>
        <w:spacing w:line="360" w:lineRule="auto"/>
        <w:ind w:left="851" w:right="822"/>
        <w:jc w:val="both"/>
        <w:rPr>
          <w:rFonts w:ascii="Palatino Linotype" w:eastAsiaTheme="minorEastAsia" w:hAnsi="Palatino Linotype" w:cstheme="minorBidi"/>
          <w:lang w:val="es-ES_tradnl" w:eastAsia="es-ES"/>
        </w:rPr>
      </w:pPr>
      <w:r w:rsidRPr="0028642B">
        <w:rPr>
          <w:rFonts w:ascii="Palatino Linotype" w:eastAsiaTheme="minorEastAsia" w:hAnsi="Palatino Linotype" w:cstheme="minorBidi"/>
          <w:lang w:val="es-ES_tradnl" w:eastAsia="es-ES"/>
        </w:rPr>
        <w:t>Siendo en estos dos últimos documentos donde se expresa la cantidad de la operación de dicha adquisición y del monto de dicho bien, en el cual se encuentra registrado en el patrimonio municipal, con la fecha de adquisición y de registro así como del valor catastral y la clave catastral con la que se encuentra registrado en el Sistema de Gestión Catastral.</w:t>
      </w:r>
    </w:p>
    <w:p w14:paraId="42EE6669" w14:textId="77777777" w:rsidR="00A24488" w:rsidRPr="0028642B" w:rsidRDefault="00A24488" w:rsidP="00B022C3">
      <w:pPr>
        <w:spacing w:line="360" w:lineRule="auto"/>
        <w:ind w:right="49"/>
        <w:contextualSpacing/>
        <w:jc w:val="both"/>
        <w:rPr>
          <w:rFonts w:ascii="Palatino Linotype" w:eastAsiaTheme="minorEastAsia" w:hAnsi="Palatino Linotype"/>
          <w:lang w:val="es-ES_tradnl" w:eastAsia="es-ES"/>
        </w:rPr>
      </w:pPr>
    </w:p>
    <w:p w14:paraId="4EDBB4EB" w14:textId="77777777" w:rsidR="00B022C3" w:rsidRPr="0028642B" w:rsidRDefault="008F3E87" w:rsidP="00B022C3">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28642B">
        <w:rPr>
          <w:rFonts w:ascii="Palatino Linotype" w:eastAsia="Arial Unicode MS" w:hAnsi="Palatino Linotype" w:cs="Arial"/>
          <w:sz w:val="24"/>
          <w:lang w:eastAsia="en-US"/>
        </w:rPr>
        <w:t xml:space="preserve">Del </w:t>
      </w:r>
      <w:r w:rsidR="00B022C3" w:rsidRPr="0028642B">
        <w:rPr>
          <w:rFonts w:ascii="Palatino Linotype" w:eastAsia="Arial Unicode MS" w:hAnsi="Palatino Linotype" w:cs="Arial"/>
          <w:sz w:val="24"/>
          <w:lang w:eastAsia="en-US"/>
        </w:rPr>
        <w:t>informe justificado, se advierte que esta puede colmar con la solicitud de información del particular, sin embargo, no se puso a la vista por co</w:t>
      </w:r>
      <w:r w:rsidRPr="0028642B">
        <w:rPr>
          <w:rFonts w:ascii="Palatino Linotype" w:eastAsia="Arial Unicode MS" w:hAnsi="Palatino Linotype" w:cs="Arial"/>
          <w:sz w:val="24"/>
          <w:lang w:eastAsia="en-US"/>
        </w:rPr>
        <w:t xml:space="preserve">ntener nombres y firmas de particulares, </w:t>
      </w:r>
      <w:r w:rsidR="00B022C3" w:rsidRPr="0028642B">
        <w:rPr>
          <w:rFonts w:ascii="Palatino Linotype" w:eastAsia="Arial Unicode MS" w:hAnsi="Palatino Linotype" w:cs="Arial"/>
          <w:sz w:val="24"/>
          <w:lang w:eastAsia="en-US"/>
        </w:rPr>
        <w:t>información que de acuerdo a su naturaleza es clasificada como confidencial.</w:t>
      </w:r>
    </w:p>
    <w:p w14:paraId="5DB86EFD" w14:textId="77777777" w:rsidR="00B022C3" w:rsidRPr="0028642B" w:rsidRDefault="00B022C3" w:rsidP="00B022C3">
      <w:pPr>
        <w:pStyle w:val="Prrafodelista"/>
        <w:spacing w:line="360" w:lineRule="auto"/>
        <w:ind w:left="0"/>
        <w:jc w:val="both"/>
        <w:rPr>
          <w:rFonts w:ascii="Palatino Linotype" w:eastAsia="Arial Unicode MS" w:hAnsi="Palatino Linotype" w:cs="Arial"/>
          <w:sz w:val="24"/>
          <w:lang w:eastAsia="en-US"/>
        </w:rPr>
      </w:pPr>
    </w:p>
    <w:p w14:paraId="0786D507" w14:textId="77777777" w:rsidR="00A24488" w:rsidRPr="0028642B" w:rsidRDefault="00B022C3" w:rsidP="00A2448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28642B">
        <w:rPr>
          <w:rFonts w:ascii="Palatino Linotype" w:eastAsia="Arial Unicode MS" w:hAnsi="Palatino Linotype" w:cs="Arial"/>
          <w:sz w:val="24"/>
          <w:lang w:eastAsia="en-US"/>
        </w:rPr>
        <w:t xml:space="preserve">Ahora bien, </w:t>
      </w:r>
      <w:r w:rsidR="00A24488" w:rsidRPr="0028642B">
        <w:rPr>
          <w:rFonts w:ascii="Palatino Linotype" w:eastAsia="Arial Unicode MS" w:hAnsi="Palatino Linotype" w:cs="Arial"/>
          <w:sz w:val="24"/>
          <w:lang w:eastAsia="en-US"/>
        </w:rPr>
        <w:t xml:space="preserve"> el Sujeto Obligado ya acepto </w:t>
      </w:r>
      <w:r w:rsidRPr="0028642B">
        <w:rPr>
          <w:rFonts w:ascii="Palatino Linotype" w:hAnsi="Palatino Linotype"/>
          <w:sz w:val="24"/>
        </w:rPr>
        <w:t>que posee y administra la información solicitada</w:t>
      </w:r>
      <w:r w:rsidR="00A24488" w:rsidRPr="0028642B">
        <w:rPr>
          <w:rFonts w:ascii="Palatino Linotype" w:hAnsi="Palatino Linotype"/>
          <w:sz w:val="24"/>
        </w:rPr>
        <w:t>, dado que éste ha asumido la misma,</w:t>
      </w:r>
      <w:r w:rsidRPr="0028642B">
        <w:rPr>
          <w:rFonts w:ascii="Palatino Linotype" w:hAnsi="Palatino Linotype"/>
          <w:sz w:val="24"/>
        </w:rPr>
        <w:t xml:space="preserve"> en razón de que en su informe justificado</w:t>
      </w:r>
      <w:r w:rsidR="00A24488" w:rsidRPr="0028642B">
        <w:rPr>
          <w:rFonts w:ascii="Palatino Linotype" w:hAnsi="Palatino Linotype"/>
          <w:sz w:val="24"/>
        </w:rPr>
        <w:t xml:space="preserve"> admitió contar con dicha información.</w:t>
      </w:r>
    </w:p>
    <w:p w14:paraId="5AA71D59" w14:textId="77777777" w:rsidR="00A24488" w:rsidRPr="0028642B" w:rsidRDefault="00A24488" w:rsidP="00A24488">
      <w:pPr>
        <w:pStyle w:val="Prrafodelista"/>
        <w:spacing w:line="360" w:lineRule="auto"/>
        <w:ind w:left="0"/>
        <w:jc w:val="both"/>
        <w:rPr>
          <w:rFonts w:ascii="Palatino Linotype" w:eastAsia="Arial Unicode MS" w:hAnsi="Palatino Linotype" w:cs="Arial"/>
          <w:sz w:val="24"/>
          <w:lang w:eastAsia="en-US"/>
        </w:rPr>
      </w:pPr>
    </w:p>
    <w:p w14:paraId="581DB4D3" w14:textId="77777777" w:rsidR="00A24488" w:rsidRPr="0028642B" w:rsidRDefault="00A24488" w:rsidP="00A24488">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28642B">
        <w:rPr>
          <w:rFonts w:ascii="Palatino Linotype" w:hAnsi="Palatino Linotype"/>
          <w:sz w:val="24"/>
        </w:rPr>
        <w:lastRenderedPageBreak/>
        <w:t xml:space="preserve">En efecto, el hecho de que </w:t>
      </w:r>
      <w:r w:rsidRPr="0028642B">
        <w:rPr>
          <w:rFonts w:ascii="Palatino Linotype" w:hAnsi="Palatino Linotype"/>
          <w:b/>
          <w:bCs/>
          <w:sz w:val="24"/>
        </w:rPr>
        <w:t>EL SUJETO OBLIGADO</w:t>
      </w:r>
      <w:r w:rsidRPr="0028642B">
        <w:rPr>
          <w:rFonts w:ascii="Palatino Linotype" w:hAnsi="Palatino Linotype"/>
          <w:sz w:val="24"/>
        </w:rPr>
        <w:t xml:space="preserve"> haya admitido contar con la información pública solicitada, acepta que l</w:t>
      </w:r>
      <w:bookmarkStart w:id="15" w:name="_Hlk94787977"/>
      <w:r w:rsidRPr="0028642B">
        <w:rPr>
          <w:rFonts w:ascii="Palatino Linotype" w:hAnsi="Palatino Linotype"/>
          <w:sz w:val="24"/>
        </w:rPr>
        <w:t>a genera, posee y administra, en ejercicio de sus funciones</w:t>
      </w:r>
      <w:bookmarkEnd w:id="15"/>
      <w:r w:rsidRPr="0028642B">
        <w:rPr>
          <w:rFonts w:ascii="Palatino Linotype" w:hAnsi="Palatino Linotype"/>
          <w:sz w:val="24"/>
        </w:rPr>
        <w:t xml:space="preserve"> de derecho público, motivo por el cual se actualiza el supuesto jurídico, previsto en el artículo 12 de la Ley de Transparencia y Acceso a la Información Pública del Estado de México y Municipios.</w:t>
      </w:r>
    </w:p>
    <w:p w14:paraId="06AEE629" w14:textId="77777777" w:rsidR="00A24488" w:rsidRPr="0028642B" w:rsidRDefault="00A24488" w:rsidP="00A24488">
      <w:pPr>
        <w:pStyle w:val="Prrafodelista"/>
        <w:ind w:left="851" w:right="822"/>
        <w:jc w:val="both"/>
        <w:rPr>
          <w:rFonts w:ascii="Palatino Linotype" w:hAnsi="Palatino Linotype"/>
          <w:i/>
          <w:iCs/>
        </w:rPr>
      </w:pPr>
      <w:r w:rsidRPr="0028642B">
        <w:rPr>
          <w:rFonts w:ascii="Palatino Linotype" w:hAnsi="Palatino Linotype"/>
          <w:i/>
          <w:iCs/>
        </w:rPr>
        <w:t>“</w:t>
      </w:r>
      <w:r w:rsidRPr="0028642B">
        <w:rPr>
          <w:rFonts w:ascii="Palatino Linotype" w:hAnsi="Palatino Linotype"/>
          <w:b/>
          <w:bCs/>
          <w:i/>
          <w:iCs/>
        </w:rPr>
        <w:t>Artículo 12.</w:t>
      </w:r>
      <w:r w:rsidRPr="0028642B">
        <w:rPr>
          <w:rFonts w:ascii="Palatino Linotype" w:hAnsi="Palatino Linotype"/>
          <w:i/>
          <w:iCs/>
        </w:rPr>
        <w:t> Quienes generen, recopilen, administren, manejen, procesen, archiven o conserven información pública serán responsables de la misma en los términos de las disposiciones jurídicas aplicables.</w:t>
      </w:r>
    </w:p>
    <w:p w14:paraId="7EC06EC2" w14:textId="77777777" w:rsidR="00A24488" w:rsidRPr="0028642B" w:rsidRDefault="00A24488" w:rsidP="00A24488">
      <w:pPr>
        <w:pStyle w:val="Prrafodelista"/>
        <w:ind w:left="851" w:right="822"/>
        <w:jc w:val="both"/>
        <w:rPr>
          <w:rFonts w:ascii="Palatino Linotype" w:hAnsi="Palatino Linotype"/>
          <w:i/>
          <w:iCs/>
        </w:rPr>
      </w:pPr>
    </w:p>
    <w:p w14:paraId="37660DB3" w14:textId="77777777" w:rsidR="00A24488" w:rsidRPr="0028642B" w:rsidRDefault="00A24488" w:rsidP="00A24488">
      <w:pPr>
        <w:pStyle w:val="Prrafodelista"/>
        <w:ind w:left="851" w:right="822"/>
        <w:jc w:val="both"/>
        <w:rPr>
          <w:rFonts w:ascii="Palatino Linotype" w:hAnsi="Palatino Linotype"/>
          <w:i/>
          <w:iCs/>
        </w:rPr>
      </w:pPr>
      <w:r w:rsidRPr="0028642B">
        <w:rPr>
          <w:rFonts w:ascii="Palatino Linotype" w:hAnsi="Palatino Linotype"/>
          <w:i/>
          <w:iC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128645E" w14:textId="77777777" w:rsidR="00A24488" w:rsidRPr="0028642B" w:rsidRDefault="00A24488" w:rsidP="00A24488">
      <w:pPr>
        <w:pStyle w:val="Prrafodelista"/>
        <w:ind w:left="644" w:right="902"/>
        <w:jc w:val="both"/>
        <w:rPr>
          <w:rFonts w:ascii="Palatino Linotype" w:hAnsi="Palatino Linotype"/>
          <w:i/>
          <w:iCs/>
        </w:rPr>
      </w:pPr>
    </w:p>
    <w:p w14:paraId="659F49E8" w14:textId="77777777" w:rsidR="00B022C3" w:rsidRPr="0028642B" w:rsidRDefault="00B022C3" w:rsidP="00B022C3">
      <w:pPr>
        <w:pStyle w:val="Prrafodelista"/>
        <w:spacing w:line="360" w:lineRule="auto"/>
        <w:ind w:left="0"/>
        <w:jc w:val="both"/>
        <w:rPr>
          <w:rFonts w:ascii="Palatino Linotype" w:eastAsia="Arial Unicode MS" w:hAnsi="Palatino Linotype" w:cs="Arial"/>
          <w:sz w:val="24"/>
          <w:lang w:eastAsia="en-US"/>
        </w:rPr>
      </w:pPr>
    </w:p>
    <w:p w14:paraId="2AE3285E" w14:textId="77777777" w:rsidR="00A678BF" w:rsidRPr="0028642B" w:rsidRDefault="006E440E" w:rsidP="006E440E">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28642B">
        <w:rPr>
          <w:rFonts w:ascii="Palatino Linotype" w:hAnsi="Palatino Linotype"/>
          <w:color w:val="000000" w:themeColor="text1"/>
          <w:sz w:val="24"/>
        </w:rPr>
        <w:t>Así, u</w:t>
      </w:r>
      <w:r w:rsidR="00A678BF" w:rsidRPr="0028642B">
        <w:rPr>
          <w:rFonts w:ascii="Palatino Linotype" w:hAnsi="Palatino Linotype"/>
          <w:color w:val="000000" w:themeColor="text1"/>
          <w:sz w:val="24"/>
        </w:rPr>
        <w:t xml:space="preserve">na vez analizadas las constancias que forman el expediente electrónico, </w:t>
      </w:r>
      <w:r w:rsidR="00A678BF" w:rsidRPr="0028642B">
        <w:rPr>
          <w:rFonts w:ascii="Palatino Linotype" w:eastAsia="MS Mincho" w:hAnsi="Palatino Linotype" w:cstheme="majorBidi"/>
          <w:sz w:val="24"/>
          <w:lang w:val="es-ES"/>
        </w:rPr>
        <w:t xml:space="preserve">resultan parcialmente fundadas las razones o motivos de inconformidad hechos valer por el </w:t>
      </w:r>
      <w:r w:rsidR="00A678BF" w:rsidRPr="0028642B">
        <w:rPr>
          <w:rFonts w:ascii="Palatino Linotype" w:eastAsia="MS Mincho" w:hAnsi="Palatino Linotype" w:cstheme="majorBidi"/>
          <w:b/>
          <w:sz w:val="24"/>
          <w:lang w:val="es-ES"/>
        </w:rPr>
        <w:t>RECURRENTE</w:t>
      </w:r>
      <w:r w:rsidR="00A678BF" w:rsidRPr="0028642B">
        <w:rPr>
          <w:rFonts w:ascii="Palatino Linotype" w:eastAsia="MS Mincho" w:hAnsi="Palatino Linotype" w:cstheme="majorBidi"/>
          <w:sz w:val="24"/>
          <w:lang w:val="es-ES"/>
        </w:rPr>
        <w:t xml:space="preserve"> dentro del recurso de revisión </w:t>
      </w:r>
      <w:r w:rsidRPr="0028642B">
        <w:rPr>
          <w:rFonts w:ascii="Palatino Linotype" w:eastAsia="MS Mincho" w:hAnsi="Palatino Linotype" w:cstheme="majorBidi"/>
          <w:b/>
          <w:bCs/>
          <w:sz w:val="24"/>
          <w:lang w:val="es-ES"/>
        </w:rPr>
        <w:t>07933</w:t>
      </w:r>
      <w:r w:rsidR="00A678BF" w:rsidRPr="0028642B">
        <w:rPr>
          <w:rFonts w:ascii="Palatino Linotype" w:eastAsia="MS Mincho" w:hAnsi="Palatino Linotype" w:cstheme="majorBidi"/>
          <w:b/>
          <w:bCs/>
          <w:sz w:val="24"/>
          <w:lang w:val="es-ES"/>
        </w:rPr>
        <w:t>/INFOEM/IP/RR/2022,</w:t>
      </w:r>
      <w:r w:rsidR="00A678BF" w:rsidRPr="0028642B">
        <w:rPr>
          <w:rFonts w:ascii="Palatino Linotype" w:eastAsia="MS Mincho" w:hAnsi="Palatino Linotype" w:cstheme="majorBidi"/>
          <w:bCs/>
          <w:sz w:val="24"/>
          <w:lang w:val="es-ES"/>
        </w:rPr>
        <w:t xml:space="preserve"> al determinarse que la información remitida en respuesta es incompleta</w:t>
      </w:r>
      <w:r w:rsidR="00A678BF" w:rsidRPr="0028642B">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A678BF" w:rsidRPr="0028642B">
        <w:rPr>
          <w:rFonts w:ascii="Palatino Linotype" w:eastAsia="MS Mincho" w:hAnsi="Palatino Linotype" w:cstheme="majorBidi"/>
          <w:b/>
          <w:sz w:val="24"/>
          <w:lang w:val="es-ES"/>
        </w:rPr>
        <w:t>MODIFICA</w:t>
      </w:r>
      <w:r w:rsidR="00A678BF" w:rsidRPr="0028642B">
        <w:rPr>
          <w:rFonts w:ascii="Palatino Linotype" w:eastAsia="MS Mincho" w:hAnsi="Palatino Linotype" w:cstheme="majorBidi"/>
          <w:sz w:val="24"/>
          <w:lang w:val="es-ES"/>
        </w:rPr>
        <w:t xml:space="preserve"> la respuesta del Sujeto Obligado y se ordena la entrega, de ser procedente en versión pública, </w:t>
      </w:r>
      <w:r w:rsidR="001833A9" w:rsidRPr="0028642B">
        <w:rPr>
          <w:rFonts w:ascii="Palatino Linotype" w:eastAsia="MS Mincho" w:hAnsi="Palatino Linotype" w:cstheme="majorBidi"/>
          <w:sz w:val="24"/>
          <w:lang w:val="es-ES"/>
        </w:rPr>
        <w:t>lo siguiente:</w:t>
      </w:r>
    </w:p>
    <w:p w14:paraId="679064E1" w14:textId="77777777" w:rsidR="001833A9" w:rsidRPr="0028642B" w:rsidRDefault="001833A9" w:rsidP="001833A9">
      <w:pPr>
        <w:pStyle w:val="Prrafodelista"/>
        <w:numPr>
          <w:ilvl w:val="0"/>
          <w:numId w:val="10"/>
        </w:numPr>
        <w:spacing w:line="360" w:lineRule="auto"/>
        <w:ind w:right="49"/>
        <w:jc w:val="both"/>
        <w:rPr>
          <w:rFonts w:ascii="Palatino Linotype" w:eastAsia="MS Gothic" w:hAnsi="Palatino Linotype" w:cstheme="majorBidi"/>
          <w:b/>
          <w:lang w:val="es-ES_tradnl" w:eastAsia="es-ES"/>
        </w:rPr>
      </w:pPr>
      <w:r w:rsidRPr="0028642B">
        <w:rPr>
          <w:rFonts w:ascii="Palatino Linotype" w:eastAsia="MS Gothic" w:hAnsi="Palatino Linotype" w:cstheme="majorBidi"/>
          <w:b/>
          <w:lang w:val="es-ES_tradnl" w:eastAsia="es-ES"/>
        </w:rPr>
        <w:t>Del bien inmueble adquirido por el Ayuntamiento de San Martín de las Pirámides, referido en respuesta el documento donde conste:</w:t>
      </w:r>
    </w:p>
    <w:p w14:paraId="297AF790" w14:textId="77777777" w:rsidR="001833A9" w:rsidRPr="0028642B" w:rsidRDefault="001833A9" w:rsidP="001833A9">
      <w:pPr>
        <w:pStyle w:val="Prrafodelista"/>
        <w:numPr>
          <w:ilvl w:val="0"/>
          <w:numId w:val="11"/>
        </w:numPr>
        <w:spacing w:line="360" w:lineRule="auto"/>
        <w:ind w:right="49"/>
        <w:jc w:val="both"/>
        <w:rPr>
          <w:rFonts w:ascii="Palatino Linotype" w:eastAsia="MS Gothic" w:hAnsi="Palatino Linotype" w:cstheme="majorBidi"/>
          <w:b/>
          <w:lang w:val="es-ES_tradnl" w:eastAsia="es-ES"/>
        </w:rPr>
      </w:pPr>
      <w:r w:rsidRPr="0028642B">
        <w:rPr>
          <w:rFonts w:ascii="Palatino Linotype" w:eastAsia="MS Gothic" w:hAnsi="Palatino Linotype" w:cstheme="majorBidi"/>
          <w:b/>
          <w:lang w:val="es-ES_tradnl" w:eastAsia="es-ES"/>
        </w:rPr>
        <w:t>El costo</w:t>
      </w:r>
    </w:p>
    <w:p w14:paraId="6D781166" w14:textId="77777777" w:rsidR="001833A9" w:rsidRPr="0028642B" w:rsidRDefault="001833A9" w:rsidP="001833A9">
      <w:pPr>
        <w:pStyle w:val="Prrafodelista"/>
        <w:numPr>
          <w:ilvl w:val="0"/>
          <w:numId w:val="11"/>
        </w:numPr>
        <w:spacing w:line="360" w:lineRule="auto"/>
        <w:ind w:right="49"/>
        <w:jc w:val="both"/>
        <w:rPr>
          <w:rFonts w:ascii="Palatino Linotype" w:eastAsia="MS Gothic" w:hAnsi="Palatino Linotype" w:cstheme="majorBidi"/>
          <w:b/>
          <w:lang w:val="es-ES_tradnl" w:eastAsia="es-ES"/>
        </w:rPr>
      </w:pPr>
      <w:r w:rsidRPr="0028642B">
        <w:rPr>
          <w:rFonts w:ascii="Palatino Linotype" w:eastAsia="MS Gothic" w:hAnsi="Palatino Linotype" w:cstheme="majorBidi"/>
          <w:b/>
          <w:lang w:val="es-ES_tradnl" w:eastAsia="es-ES"/>
        </w:rPr>
        <w:t>Fecha en que fue ingresado como patrimonio municipal.</w:t>
      </w:r>
    </w:p>
    <w:p w14:paraId="324057D6" w14:textId="77777777" w:rsidR="001833A9" w:rsidRPr="0028642B" w:rsidRDefault="001833A9" w:rsidP="001833A9">
      <w:pPr>
        <w:pStyle w:val="Prrafodelista"/>
        <w:numPr>
          <w:ilvl w:val="0"/>
          <w:numId w:val="10"/>
        </w:numPr>
        <w:spacing w:line="360" w:lineRule="auto"/>
        <w:ind w:right="49"/>
        <w:jc w:val="both"/>
        <w:rPr>
          <w:rFonts w:ascii="Palatino Linotype" w:eastAsia="MS Gothic" w:hAnsi="Palatino Linotype" w:cstheme="majorBidi"/>
          <w:b/>
          <w:lang w:val="es-ES_tradnl" w:eastAsia="es-ES"/>
        </w:rPr>
      </w:pPr>
      <w:r w:rsidRPr="0028642B">
        <w:rPr>
          <w:rFonts w:ascii="Palatino Linotype" w:eastAsia="MS Gothic" w:hAnsi="Palatino Linotype" w:cstheme="majorBidi"/>
          <w:b/>
          <w:lang w:val="es-ES_tradnl" w:eastAsia="es-ES"/>
        </w:rPr>
        <w:t xml:space="preserve">Actas y contratos sobre la adquisición del inmueble referido en respuesta. </w:t>
      </w:r>
    </w:p>
    <w:p w14:paraId="6976883A" w14:textId="77777777" w:rsidR="00022734" w:rsidRPr="0028642B" w:rsidRDefault="00022734" w:rsidP="00022734">
      <w:pPr>
        <w:spacing w:line="360" w:lineRule="auto"/>
        <w:ind w:left="360" w:right="49"/>
        <w:jc w:val="both"/>
        <w:rPr>
          <w:rFonts w:ascii="Palatino Linotype" w:eastAsia="MS Gothic" w:hAnsi="Palatino Linotype" w:cstheme="majorBidi"/>
          <w:b/>
          <w:lang w:val="es-ES_tradnl" w:eastAsia="es-ES"/>
        </w:rPr>
      </w:pPr>
    </w:p>
    <w:p w14:paraId="035510F6" w14:textId="77777777" w:rsidR="00A678BF" w:rsidRPr="0028642B" w:rsidRDefault="00A678BF" w:rsidP="00A678BF">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28642B">
        <w:rPr>
          <w:rFonts w:ascii="Palatino Linotype" w:hAnsi="Palatino Linotype"/>
          <w:sz w:val="24"/>
          <w:lang w:val="es-ES"/>
        </w:rPr>
        <w:t xml:space="preserve">Por otra parte, derivado de la información que se ordena entregar, en esta pudiera obrar información susceptible de clasificarse, por ello, se debe atender al siguiente considerando de la versión pública. </w:t>
      </w:r>
    </w:p>
    <w:p w14:paraId="71785274" w14:textId="77777777" w:rsidR="00A678BF" w:rsidRPr="0028642B" w:rsidRDefault="00A678BF" w:rsidP="00A678BF">
      <w:pPr>
        <w:spacing w:line="360" w:lineRule="auto"/>
        <w:ind w:right="49"/>
        <w:contextualSpacing/>
        <w:jc w:val="both"/>
        <w:rPr>
          <w:rFonts w:ascii="Palatino Linotype" w:eastAsia="MS Mincho" w:hAnsi="Palatino Linotype" w:cs="Arial"/>
          <w:lang w:val="es-ES_tradnl" w:eastAsia="es-ES"/>
        </w:rPr>
      </w:pPr>
    </w:p>
    <w:p w14:paraId="300028FA" w14:textId="77777777" w:rsidR="00A678BF" w:rsidRPr="0028642B" w:rsidRDefault="00A678BF" w:rsidP="00A678BF">
      <w:pPr>
        <w:spacing w:line="360" w:lineRule="auto"/>
        <w:ind w:right="49"/>
        <w:contextualSpacing/>
        <w:jc w:val="both"/>
        <w:rPr>
          <w:rFonts w:ascii="Palatino Linotype" w:eastAsia="MS Gothic" w:hAnsi="Palatino Linotype" w:cstheme="majorBidi"/>
          <w:lang w:val="es-ES_tradnl" w:eastAsia="es-ES"/>
        </w:rPr>
      </w:pPr>
      <w:bookmarkStart w:id="16" w:name="_Toc89350464"/>
      <w:bookmarkStart w:id="17" w:name="_Toc94119619"/>
      <w:r w:rsidRPr="0028642B">
        <w:rPr>
          <w:rFonts w:ascii="Palatino Linotype" w:hAnsi="Palatino Linotype"/>
          <w:b/>
          <w:bCs/>
          <w:color w:val="000000" w:themeColor="text1"/>
        </w:rPr>
        <w:t>QUINTO. De la versión pública.</w:t>
      </w:r>
      <w:bookmarkEnd w:id="16"/>
      <w:bookmarkEnd w:id="17"/>
    </w:p>
    <w:p w14:paraId="1130BA8B" w14:textId="77777777" w:rsidR="00A678BF" w:rsidRPr="0028642B" w:rsidRDefault="00A678BF" w:rsidP="00A678BF">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28642B">
        <w:rPr>
          <w:rFonts w:ascii="Palatino Linotype" w:hAnsi="Palatino Linotype"/>
          <w:color w:val="000000" w:themeColor="text1"/>
          <w:sz w:val="24"/>
        </w:rPr>
        <w:t>Debe destacarse que, debido a la naturaleza de la información solicitada</w:t>
      </w:r>
      <w:r w:rsidRPr="0028642B">
        <w:rPr>
          <w:rFonts w:ascii="Palatino Linotype" w:hAnsi="Palatino Linotype"/>
          <w:b/>
          <w:color w:val="000000" w:themeColor="text1"/>
          <w:sz w:val="24"/>
        </w:rPr>
        <w:t xml:space="preserve"> </w:t>
      </w:r>
      <w:r w:rsidRPr="0028642B">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571110F" w14:textId="77777777" w:rsidR="00A678BF" w:rsidRPr="0028642B" w:rsidRDefault="00A678BF" w:rsidP="00A678BF">
      <w:pPr>
        <w:pStyle w:val="Prrafodelista"/>
        <w:tabs>
          <w:tab w:val="left" w:pos="426"/>
        </w:tabs>
        <w:spacing w:line="360" w:lineRule="auto"/>
        <w:ind w:left="0" w:right="51"/>
        <w:jc w:val="both"/>
        <w:rPr>
          <w:rFonts w:ascii="Palatino Linotype" w:hAnsi="Palatino Linotype"/>
          <w:color w:val="000000" w:themeColor="text1"/>
          <w:sz w:val="24"/>
        </w:rPr>
      </w:pPr>
    </w:p>
    <w:p w14:paraId="2DA82685" w14:textId="77777777" w:rsidR="00A678BF" w:rsidRPr="0028642B" w:rsidRDefault="00A678BF" w:rsidP="00A678BF">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28642B">
        <w:rPr>
          <w:rFonts w:ascii="Palatino Linotype" w:hAnsi="Palatino Linotype"/>
          <w:color w:val="000000" w:themeColor="text1"/>
          <w:sz w:val="24"/>
        </w:rPr>
        <w:t xml:space="preserve">La </w:t>
      </w:r>
      <w:r w:rsidRPr="0028642B">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26DA8D64" w14:textId="77777777" w:rsidR="00A678BF" w:rsidRPr="0028642B" w:rsidRDefault="00A678BF" w:rsidP="00A678BF">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A678BF" w:rsidRPr="0028642B" w14:paraId="337E1FD3" w14:textId="77777777" w:rsidTr="003C3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6EFD56" w14:textId="77777777" w:rsidR="00A678BF" w:rsidRPr="0028642B" w:rsidRDefault="00A678BF" w:rsidP="003C30C6">
            <w:pPr>
              <w:spacing w:line="360" w:lineRule="auto"/>
              <w:rPr>
                <w:rFonts w:ascii="Palatino Linotype" w:hAnsi="Palatino Linotype"/>
                <w:sz w:val="20"/>
              </w:rPr>
            </w:pPr>
            <w:r w:rsidRPr="0028642B">
              <w:rPr>
                <w:rFonts w:ascii="Palatino Linotype" w:hAnsi="Palatino Linotype" w:cstheme="majorBidi"/>
                <w:b w:val="0"/>
                <w:sz w:val="20"/>
              </w:rPr>
              <w:t>a) Requisitos previos.</w:t>
            </w:r>
          </w:p>
        </w:tc>
        <w:tc>
          <w:tcPr>
            <w:tcW w:w="6990" w:type="dxa"/>
          </w:tcPr>
          <w:p w14:paraId="21F99513" w14:textId="77777777" w:rsidR="00A678BF" w:rsidRPr="0028642B" w:rsidRDefault="00A678BF" w:rsidP="003C30C6">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Los artículos 100 y 122 de la Ley Estatal y de la Ley General, respectivamente, señalan que si los </w:t>
            </w:r>
            <w:r w:rsidRPr="0028642B">
              <w:rPr>
                <w:rFonts w:ascii="Palatino Linotype" w:hAnsi="Palatino Linotype" w:cs="Arial"/>
                <w:b w:val="0"/>
                <w:color w:val="000000"/>
                <w:sz w:val="20"/>
              </w:rPr>
              <w:t>Sujetos Obligados</w:t>
            </w:r>
            <w:r w:rsidRPr="0028642B">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7ED8C2A7" w14:textId="77777777" w:rsidR="00A678BF" w:rsidRPr="0028642B" w:rsidRDefault="00A678BF" w:rsidP="003C30C6">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Al hacerlo tienen que precisar de qué información se trata, señalando el supuesto de clasificación (confidencialidad o reserva).</w:t>
            </w:r>
          </w:p>
          <w:p w14:paraId="5CB08F2E" w14:textId="77777777" w:rsidR="00A678BF" w:rsidRPr="0028642B" w:rsidRDefault="00A678BF" w:rsidP="003C30C6">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Además, se debe señalar el procedimiento, de los tres que establecen los artículos 132 y 106 de la Ley Estatal y General, respectivamente.</w:t>
            </w:r>
          </w:p>
          <w:p w14:paraId="7C71C421" w14:textId="77777777" w:rsidR="00A678BF" w:rsidRPr="0028642B" w:rsidRDefault="00A678BF" w:rsidP="003C30C6">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28642B">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28642B">
              <w:rPr>
                <w:rFonts w:ascii="Palatino Linotype" w:hAnsi="Palatino Linotype" w:cs="Arial"/>
                <w:b w:val="0"/>
                <w:color w:val="000000"/>
                <w:sz w:val="20"/>
                <w:u w:val="single"/>
              </w:rPr>
              <w:t xml:space="preserve">no se puede hacer un acuerdo para clasificar de manera general todos los documentos de un expediente o área,  </w:t>
            </w:r>
            <w:r w:rsidRPr="0028642B">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A678BF" w:rsidRPr="0028642B" w14:paraId="16CCC410" w14:textId="77777777" w:rsidTr="003C3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97A29E" w14:textId="77777777" w:rsidR="00A678BF" w:rsidRPr="0028642B" w:rsidRDefault="00A678BF" w:rsidP="003C30C6">
            <w:pPr>
              <w:spacing w:line="360" w:lineRule="auto"/>
              <w:rPr>
                <w:rFonts w:ascii="Palatino Linotype" w:hAnsi="Palatino Linotype"/>
                <w:sz w:val="20"/>
              </w:rPr>
            </w:pPr>
            <w:r w:rsidRPr="0028642B">
              <w:rPr>
                <w:rFonts w:ascii="Palatino Linotype" w:hAnsi="Palatino Linotype" w:cstheme="majorBidi"/>
                <w:b w:val="0"/>
                <w:sz w:val="20"/>
              </w:rPr>
              <w:lastRenderedPageBreak/>
              <w:t>b) Supuestos de clasificación.</w:t>
            </w:r>
          </w:p>
        </w:tc>
        <w:tc>
          <w:tcPr>
            <w:tcW w:w="6990" w:type="dxa"/>
          </w:tcPr>
          <w:p w14:paraId="3C464D62"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7013751A"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58051BE" w14:textId="77777777" w:rsidR="00A678BF" w:rsidRPr="0028642B" w:rsidRDefault="00A678BF" w:rsidP="003C30C6">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28642B">
              <w:rPr>
                <w:rFonts w:ascii="Palatino Linotype" w:hAnsi="Palatino Linotype" w:cs="Arial"/>
                <w:color w:val="000000"/>
                <w:sz w:val="20"/>
              </w:rPr>
              <w:t xml:space="preserve">El </w:t>
            </w:r>
            <w:r w:rsidRPr="0028642B">
              <w:rPr>
                <w:rFonts w:ascii="Palatino Linotype" w:hAnsi="Palatino Linotype" w:cs="Arial"/>
                <w:b/>
                <w:color w:val="000000"/>
                <w:sz w:val="20"/>
              </w:rPr>
              <w:t>SUJETO OBLIGADO</w:t>
            </w:r>
            <w:r w:rsidRPr="0028642B">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678BF" w:rsidRPr="0028642B" w14:paraId="31648370" w14:textId="77777777" w:rsidTr="003C30C6">
        <w:tc>
          <w:tcPr>
            <w:cnfStyle w:val="001000000000" w:firstRow="0" w:lastRow="0" w:firstColumn="1" w:lastColumn="0" w:oddVBand="0" w:evenVBand="0" w:oddHBand="0" w:evenHBand="0" w:firstRowFirstColumn="0" w:firstRowLastColumn="0" w:lastRowFirstColumn="0" w:lastRowLastColumn="0"/>
            <w:tcW w:w="1838" w:type="dxa"/>
          </w:tcPr>
          <w:p w14:paraId="488A4BB7" w14:textId="77777777" w:rsidR="00A678BF" w:rsidRPr="0028642B" w:rsidRDefault="00A678BF" w:rsidP="003C30C6">
            <w:pPr>
              <w:spacing w:line="360" w:lineRule="auto"/>
              <w:rPr>
                <w:rFonts w:ascii="Palatino Linotype" w:hAnsi="Palatino Linotype"/>
                <w:sz w:val="20"/>
              </w:rPr>
            </w:pPr>
            <w:r w:rsidRPr="0028642B">
              <w:rPr>
                <w:rFonts w:ascii="Palatino Linotype" w:hAnsi="Palatino Linotype" w:cstheme="majorBidi"/>
                <w:b w:val="0"/>
                <w:sz w:val="20"/>
              </w:rPr>
              <w:t>c) Formalidades para emitir el acuerdo de clasificación.</w:t>
            </w:r>
          </w:p>
        </w:tc>
        <w:tc>
          <w:tcPr>
            <w:tcW w:w="6990" w:type="dxa"/>
          </w:tcPr>
          <w:p w14:paraId="7C878444" w14:textId="77777777" w:rsidR="00A678BF" w:rsidRPr="0028642B" w:rsidRDefault="00A678BF" w:rsidP="003C30C6">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75EA2E45" w14:textId="77777777" w:rsidR="00A678BF" w:rsidRPr="0028642B" w:rsidRDefault="00A678BF" w:rsidP="003C30C6">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Es necesario que </w:t>
            </w:r>
            <w:r w:rsidRPr="0028642B">
              <w:rPr>
                <w:rFonts w:ascii="Palatino Linotype" w:hAnsi="Palatino Linotype" w:cs="Arial"/>
                <w:b/>
                <w:color w:val="000000"/>
                <w:sz w:val="20"/>
                <w:u w:val="single"/>
              </w:rPr>
              <w:t>el acto reúna con los requisitos elementales</w:t>
            </w:r>
            <w:r w:rsidRPr="0028642B">
              <w:rPr>
                <w:rFonts w:ascii="Palatino Linotype" w:hAnsi="Palatino Linotype" w:cs="Arial"/>
                <w:color w:val="000000"/>
                <w:sz w:val="20"/>
              </w:rPr>
              <w:t>, entre ellos, que la autoridad que va a emitir el acto de autoridad sea la legalmente facultada para ello.</w:t>
            </w:r>
          </w:p>
          <w:p w14:paraId="33FDF9CA" w14:textId="77777777" w:rsidR="00A678BF" w:rsidRPr="0028642B" w:rsidRDefault="00A678BF" w:rsidP="003C30C6">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28642B">
              <w:rPr>
                <w:rFonts w:ascii="Palatino Linotype" w:hAnsi="Palatino Linotype" w:cs="Arial"/>
                <w:color w:val="000000"/>
                <w:sz w:val="20"/>
              </w:rPr>
              <w:t xml:space="preserve">La decisión de aprobar, modificar o revocar la clasificación deberá de asentarse en un documento que registre la determinación a la que se llegue </w:t>
            </w:r>
            <w:r w:rsidRPr="0028642B">
              <w:rPr>
                <w:rFonts w:ascii="Palatino Linotype" w:hAnsi="Palatino Linotype" w:cs="Arial"/>
                <w:color w:val="000000"/>
                <w:sz w:val="20"/>
              </w:rPr>
              <w:lastRenderedPageBreak/>
              <w:t>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678BF" w:rsidRPr="0028642B" w14:paraId="414A448A" w14:textId="77777777" w:rsidTr="003C3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8133D58" w14:textId="77777777" w:rsidR="00A678BF" w:rsidRPr="0028642B" w:rsidRDefault="00A678BF" w:rsidP="003C30C6">
            <w:pPr>
              <w:spacing w:line="360" w:lineRule="auto"/>
              <w:rPr>
                <w:rFonts w:ascii="Palatino Linotype" w:hAnsi="Palatino Linotype"/>
                <w:b w:val="0"/>
                <w:sz w:val="20"/>
              </w:rPr>
            </w:pPr>
          </w:p>
          <w:p w14:paraId="15255B1F" w14:textId="77777777" w:rsidR="00A678BF" w:rsidRPr="0028642B" w:rsidRDefault="00A678BF" w:rsidP="003C30C6">
            <w:pPr>
              <w:spacing w:line="360" w:lineRule="auto"/>
              <w:jc w:val="both"/>
              <w:rPr>
                <w:rFonts w:ascii="Palatino Linotype" w:hAnsi="Palatino Linotype"/>
                <w:b w:val="0"/>
                <w:sz w:val="20"/>
              </w:rPr>
            </w:pPr>
            <w:r w:rsidRPr="0028642B">
              <w:rPr>
                <w:rFonts w:ascii="Palatino Linotype" w:hAnsi="Palatino Linotype" w:cs="Arial"/>
                <w:b w:val="0"/>
                <w:color w:val="000000"/>
                <w:sz w:val="20"/>
              </w:rPr>
              <w:t xml:space="preserve">d) Requisitos de fondo del acuerdo de clasificación. </w:t>
            </w:r>
          </w:p>
        </w:tc>
        <w:tc>
          <w:tcPr>
            <w:tcW w:w="6990" w:type="dxa"/>
          </w:tcPr>
          <w:p w14:paraId="55257B5E"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8642B">
              <w:rPr>
                <w:rFonts w:ascii="Palatino Linotype" w:hAnsi="Palatino Linotype" w:cs="Arial"/>
                <w:b/>
                <w:color w:val="000000"/>
                <w:sz w:val="20"/>
              </w:rPr>
              <w:t>Sujetos Obligados</w:t>
            </w:r>
            <w:r w:rsidRPr="0028642B">
              <w:rPr>
                <w:rFonts w:ascii="Palatino Linotype" w:hAnsi="Palatino Linotype" w:cs="Arial"/>
                <w:color w:val="000000"/>
                <w:sz w:val="20"/>
              </w:rPr>
              <w:t xml:space="preserve">, por lo que deberán fundar y motivar debidamente la clasificación. </w:t>
            </w:r>
          </w:p>
          <w:p w14:paraId="19FAAD74"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De lo anterior, se desprende que para una correcta </w:t>
            </w:r>
            <w:r w:rsidRPr="0028642B">
              <w:rPr>
                <w:rFonts w:ascii="Palatino Linotype" w:hAnsi="Palatino Linotype" w:cs="Arial"/>
                <w:b/>
                <w:color w:val="000000"/>
                <w:sz w:val="20"/>
              </w:rPr>
              <w:t>clasificación total o parcial</w:t>
            </w:r>
            <w:r w:rsidRPr="0028642B">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0DCE89F"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5D4FF6A"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075775AE" w14:textId="77777777" w:rsidR="00A678BF" w:rsidRPr="0028642B" w:rsidRDefault="00A678BF" w:rsidP="003C30C6">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Ahora bien, </w:t>
            </w:r>
            <w:r w:rsidRPr="0028642B">
              <w:rPr>
                <w:rFonts w:ascii="Palatino Linotype" w:hAnsi="Palatino Linotype" w:cs="Arial"/>
                <w:b/>
                <w:color w:val="000000"/>
                <w:sz w:val="20"/>
                <w:u w:val="single"/>
              </w:rPr>
              <w:t>para cada caso además de fundar y motivar</w:t>
            </w:r>
            <w:r w:rsidRPr="0028642B">
              <w:rPr>
                <w:rFonts w:ascii="Palatino Linotype" w:hAnsi="Palatino Linotype" w:cs="Arial"/>
                <w:color w:val="000000"/>
                <w:sz w:val="20"/>
              </w:rPr>
              <w:t xml:space="preserve">, se debe identificar con claridad que datos contenidos en las documentales que son susceptibles </w:t>
            </w:r>
            <w:r w:rsidRPr="0028642B">
              <w:rPr>
                <w:rFonts w:ascii="Palatino Linotype" w:hAnsi="Palatino Linotype" w:cs="Arial"/>
                <w:color w:val="000000"/>
                <w:sz w:val="20"/>
              </w:rPr>
              <w:lastRenderedPageBreak/>
              <w:t xml:space="preserve">de suprimirse, por ejemplo; </w:t>
            </w:r>
            <w:r w:rsidRPr="0028642B">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678BF" w:rsidRPr="0028642B" w14:paraId="335E61D1" w14:textId="77777777" w:rsidTr="003C30C6">
        <w:tc>
          <w:tcPr>
            <w:cnfStyle w:val="001000000000" w:firstRow="0" w:lastRow="0" w:firstColumn="1" w:lastColumn="0" w:oddVBand="0" w:evenVBand="0" w:oddHBand="0" w:evenHBand="0" w:firstRowFirstColumn="0" w:firstRowLastColumn="0" w:lastRowFirstColumn="0" w:lastRowLastColumn="0"/>
            <w:tcW w:w="1838" w:type="dxa"/>
          </w:tcPr>
          <w:p w14:paraId="5934420A" w14:textId="77777777" w:rsidR="00A678BF" w:rsidRPr="0028642B" w:rsidRDefault="00A678BF" w:rsidP="003C30C6">
            <w:pPr>
              <w:spacing w:line="360" w:lineRule="auto"/>
              <w:ind w:right="49"/>
              <w:jc w:val="both"/>
              <w:rPr>
                <w:rFonts w:ascii="Palatino Linotype" w:hAnsi="Palatino Linotype" w:cs="Arial"/>
                <w:color w:val="000000"/>
                <w:sz w:val="20"/>
              </w:rPr>
            </w:pPr>
            <w:r w:rsidRPr="0028642B">
              <w:rPr>
                <w:rFonts w:ascii="Palatino Linotype" w:eastAsia="MS Gothic" w:hAnsi="Palatino Linotype"/>
                <w:b w:val="0"/>
                <w:sz w:val="20"/>
              </w:rPr>
              <w:lastRenderedPageBreak/>
              <w:t xml:space="preserve">e) Condiciones especiales de la clasificación de la información como confidencial. </w:t>
            </w:r>
          </w:p>
          <w:p w14:paraId="44D666A7" w14:textId="77777777" w:rsidR="00A678BF" w:rsidRPr="0028642B" w:rsidRDefault="00A678BF" w:rsidP="003C30C6">
            <w:pPr>
              <w:spacing w:line="360" w:lineRule="auto"/>
              <w:rPr>
                <w:rFonts w:ascii="Palatino Linotype" w:hAnsi="Palatino Linotype"/>
                <w:sz w:val="20"/>
              </w:rPr>
            </w:pPr>
          </w:p>
        </w:tc>
        <w:tc>
          <w:tcPr>
            <w:tcW w:w="6990" w:type="dxa"/>
          </w:tcPr>
          <w:p w14:paraId="702CF985" w14:textId="77777777" w:rsidR="00A678BF" w:rsidRPr="0028642B" w:rsidRDefault="00A678BF" w:rsidP="003C30C6">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086D4FE4" w14:textId="77777777" w:rsidR="00A678BF" w:rsidRPr="0028642B" w:rsidRDefault="00A678BF" w:rsidP="003C30C6">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28642B">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49E98F2" w14:textId="77777777" w:rsidR="00A678BF" w:rsidRPr="0028642B" w:rsidRDefault="00A678BF" w:rsidP="003C30C6">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28642B">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6DB69F7" w14:textId="77777777" w:rsidR="00F91573" w:rsidRPr="0028642B" w:rsidRDefault="00F91573" w:rsidP="00F91573">
      <w:pPr>
        <w:tabs>
          <w:tab w:val="left" w:pos="426"/>
        </w:tabs>
        <w:spacing w:line="360" w:lineRule="auto"/>
        <w:ind w:right="49"/>
        <w:jc w:val="both"/>
        <w:rPr>
          <w:rFonts w:ascii="Palatino Linotype" w:eastAsia="Calibri" w:hAnsi="Palatino Linotype"/>
        </w:rPr>
      </w:pPr>
    </w:p>
    <w:p w14:paraId="6A7CF6CE" w14:textId="77777777" w:rsidR="005B0107" w:rsidRPr="0028642B" w:rsidRDefault="005B0107" w:rsidP="00C834B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Por otro lado, es determinante advertir que los documentos entregados mediante informe justificado contienen información considerada como confidencia, entre las que se advierten nombres y firmas de particulares, por lo que es necesario abordar ese tema para la correcta versión pública que se entreguen en cumplimiento a la resolución.</w:t>
      </w:r>
    </w:p>
    <w:p w14:paraId="57152104" w14:textId="77777777" w:rsidR="005B0107" w:rsidRPr="0028642B" w:rsidRDefault="005B0107" w:rsidP="00967142">
      <w:pPr>
        <w:spacing w:line="360" w:lineRule="auto"/>
        <w:ind w:right="49"/>
        <w:contextualSpacing/>
        <w:jc w:val="both"/>
        <w:rPr>
          <w:rFonts w:ascii="Palatino Linotype" w:eastAsia="MS Gothic" w:hAnsi="Palatino Linotype" w:cstheme="majorBidi"/>
          <w:lang w:val="es-ES_tradnl" w:eastAsia="es-ES"/>
        </w:rPr>
      </w:pPr>
    </w:p>
    <w:p w14:paraId="60A06AAC" w14:textId="77777777" w:rsidR="00967142" w:rsidRPr="0028642B" w:rsidRDefault="00967142" w:rsidP="0096714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Ahora bien, sobre el nombre de particulares</w:t>
      </w:r>
      <w:r w:rsidR="005B0107" w:rsidRPr="0028642B">
        <w:rPr>
          <w:rFonts w:ascii="Palatino Linotype" w:eastAsia="MS Gothic" w:hAnsi="Palatino Linotype" w:cstheme="majorBidi"/>
          <w:lang w:val="es-ES_tradnl" w:eastAsia="es-ES"/>
        </w:rPr>
        <w:t xml:space="preserve"> </w:t>
      </w:r>
      <w:r w:rsidRPr="0028642B">
        <w:rPr>
          <w:rFonts w:ascii="Palatino Linotype" w:eastAsia="MS Gothic" w:hAnsi="Palatino Linotype" w:cstheme="majorBidi"/>
          <w:lang w:val="es-ES_tradnl" w:eastAsia="es-ES"/>
        </w:rPr>
        <w:t xml:space="preserve">este se </w:t>
      </w:r>
      <w:r w:rsidR="005B0107" w:rsidRPr="0028642B">
        <w:rPr>
          <w:rFonts w:ascii="Palatino Linotype" w:eastAsia="MS Gothic" w:hAnsi="Palatino Linotype" w:cstheme="majorBidi"/>
          <w:lang w:val="es-ES_tradnl" w:eastAsia="es-ES"/>
        </w:rPr>
        <w:t xml:space="preserve">integra con el sustantivo propio y el primer apellido de los padres, en el orden que, de común acuerdo determinen; asimismo es la manifestación principal del derecho subjetivo a la </w:t>
      </w:r>
      <w:r w:rsidR="005B0107" w:rsidRPr="0028642B">
        <w:rPr>
          <w:rFonts w:ascii="Palatino Linotype" w:eastAsia="MS Gothic" w:hAnsi="Palatino Linotype" w:cstheme="majorBidi"/>
          <w:lang w:val="es-ES_tradnl" w:eastAsia="es-ES"/>
        </w:rPr>
        <w:lastRenderedPageBreak/>
        <w:t>personalidad y atributo de esta en términos del artículo 2.3 del Código Civil del Estado de México, de tal suerte, el nombre per se es un elemento que hace a una persona física identificada o identificable, por lo que, se considera un dato personal.</w:t>
      </w:r>
    </w:p>
    <w:p w14:paraId="0529289F" w14:textId="77777777" w:rsidR="00967142" w:rsidRPr="0028642B" w:rsidRDefault="00967142" w:rsidP="00967142">
      <w:pPr>
        <w:pStyle w:val="Prrafodelista"/>
        <w:rPr>
          <w:rFonts w:ascii="Palatino Linotype" w:eastAsia="Calibri" w:hAnsi="Palatino Linotype" w:cs="Tahoma"/>
          <w:bCs/>
          <w:sz w:val="24"/>
          <w:lang w:eastAsia="en-US"/>
        </w:rPr>
      </w:pPr>
    </w:p>
    <w:p w14:paraId="170810F7" w14:textId="77777777" w:rsidR="005B0107" w:rsidRPr="0028642B" w:rsidRDefault="005B0107" w:rsidP="0096714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Calibri" w:hAnsi="Palatino Linotype" w:cs="Tahoma"/>
          <w:bCs/>
          <w:lang w:eastAsia="en-US"/>
        </w:rPr>
        <w:t xml:space="preserve">Al respecto </w:t>
      </w:r>
      <w:r w:rsidRPr="0028642B">
        <w:rPr>
          <w:rFonts w:ascii="Palatino Linotype" w:eastAsia="Calibri" w:hAnsi="Palatino Linotype" w:cs="Tahoma"/>
          <w:bCs/>
          <w:lang w:val="es-ES" w:eastAsia="en-US"/>
        </w:rPr>
        <w:t xml:space="preserve">cabe señalar lo previsto en la tesis aislada número 1a. CCXIV/2009, emitida por la Primera Sala de la Suprema Corte de Justicia de la Nación, publicada </w:t>
      </w:r>
      <w:r w:rsidRPr="0028642B">
        <w:rPr>
          <w:rFonts w:ascii="Palatino Linotype" w:eastAsia="Calibri" w:hAnsi="Palatino Linotype" w:cs="Tahoma"/>
          <w:bCs/>
          <w:iCs/>
          <w:lang w:val="es-ES" w:eastAsia="en-US"/>
        </w:rPr>
        <w:t>en la Gaceta del Semanario Judicial de la Federación, Tomo XXX, de diciembre de 2009, página 277, de la Novena Época, materia constitucional,</w:t>
      </w:r>
      <w:r w:rsidRPr="0028642B">
        <w:rPr>
          <w:rFonts w:ascii="Palatino Linotype" w:eastAsia="Calibri" w:hAnsi="Palatino Linotype" w:cs="Tahoma"/>
          <w:bCs/>
          <w:lang w:val="es-ES" w:eastAsia="en-US"/>
        </w:rPr>
        <w:t xml:space="preserve"> que establece lo siguiente:</w:t>
      </w:r>
    </w:p>
    <w:p w14:paraId="2B7F85DC" w14:textId="77777777" w:rsidR="005B0107" w:rsidRPr="0028642B" w:rsidRDefault="005B0107" w:rsidP="005B0107">
      <w:pPr>
        <w:pStyle w:val="Prrafodelista"/>
        <w:spacing w:line="360" w:lineRule="auto"/>
        <w:ind w:left="644" w:right="-93"/>
        <w:jc w:val="both"/>
        <w:rPr>
          <w:rFonts w:ascii="Palatino Linotype" w:eastAsia="Calibri" w:hAnsi="Palatino Linotype" w:cs="Tahoma"/>
          <w:bCs/>
          <w:lang w:val="es-ES" w:eastAsia="en-US"/>
        </w:rPr>
      </w:pPr>
    </w:p>
    <w:p w14:paraId="563F1041" w14:textId="77777777" w:rsidR="005B0107" w:rsidRPr="0028642B" w:rsidRDefault="005B0107" w:rsidP="00967142">
      <w:pPr>
        <w:spacing w:line="360" w:lineRule="auto"/>
        <w:ind w:left="851" w:right="822"/>
        <w:jc w:val="both"/>
        <w:rPr>
          <w:rFonts w:ascii="Palatino Linotype" w:eastAsia="Calibri" w:hAnsi="Palatino Linotype" w:cs="Tahoma"/>
          <w:bCs/>
          <w:i/>
          <w:sz w:val="22"/>
          <w:lang w:val="es-ES" w:eastAsia="en-US"/>
        </w:rPr>
      </w:pPr>
      <w:r w:rsidRPr="0028642B">
        <w:rPr>
          <w:rFonts w:ascii="Palatino Linotype" w:eastAsia="Calibri" w:hAnsi="Palatino Linotype" w:cs="Tahoma"/>
          <w:bCs/>
          <w:i/>
          <w:sz w:val="22"/>
          <w:lang w:val="es-ES" w:eastAsia="en-US"/>
        </w:rPr>
        <w:t>“</w:t>
      </w:r>
      <w:r w:rsidRPr="0028642B">
        <w:rPr>
          <w:rFonts w:ascii="Palatino Linotype" w:eastAsia="Calibri" w:hAnsi="Palatino Linotype" w:cs="Tahoma"/>
          <w:b/>
          <w:bCs/>
          <w:i/>
          <w:sz w:val="22"/>
          <w:lang w:val="es-ES" w:eastAsia="en-US"/>
        </w:rPr>
        <w:t xml:space="preserve">DERECHO A LA VIDA PRIVADA. SU CONTENIDO GENERAL Y LA IMPORTANCIA DE NO DESCONTEXTUALIZAR LAS REFERENCIAS A LA MISMA. </w:t>
      </w:r>
      <w:r w:rsidRPr="0028642B">
        <w:rPr>
          <w:rFonts w:ascii="Palatino Linotype" w:eastAsia="Calibri" w:hAnsi="Palatino Linotype" w:cs="Tahoma"/>
          <w:bCs/>
          <w:i/>
          <w:sz w:val="22"/>
          <w:lang w:val="es-ES"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w:t>
      </w:r>
      <w:r w:rsidRPr="0028642B">
        <w:rPr>
          <w:rFonts w:ascii="Palatino Linotype" w:eastAsia="Calibri" w:hAnsi="Palatino Linotype" w:cs="Tahoma"/>
          <w:bCs/>
          <w:i/>
          <w:sz w:val="22"/>
          <w:lang w:val="es-ES" w:eastAsia="en-US"/>
        </w:rPr>
        <w:lastRenderedPageBreak/>
        <w:t xml:space="preserve">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28642B">
        <w:rPr>
          <w:rFonts w:ascii="Palatino Linotype" w:eastAsia="Calibri" w:hAnsi="Palatino Linotype" w:cs="Tahoma"/>
          <w:b/>
          <w:bCs/>
          <w:i/>
          <w:sz w:val="22"/>
          <w:lang w:val="es-ES"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28642B">
        <w:rPr>
          <w:rFonts w:ascii="Palatino Linotype" w:eastAsia="Calibri" w:hAnsi="Palatino Linotype" w:cs="Tahoma"/>
          <w:bCs/>
          <w:i/>
          <w:sz w:val="22"/>
          <w:lang w:val="es-ES"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28642B">
        <w:rPr>
          <w:rFonts w:ascii="Palatino Linotype" w:eastAsia="Calibri" w:hAnsi="Palatino Linotype" w:cs="Tahoma"/>
          <w:b/>
          <w:bCs/>
          <w:i/>
          <w:sz w:val="22"/>
          <w:lang w:val="es-ES" w:eastAsia="en-US"/>
        </w:rPr>
        <w:t>En un sentido amplio, entonces, la protección constitucional de la vida privada implica poder conducir parte de la vida de uno protegido de la mirada y las injerencias de los demás</w:t>
      </w:r>
      <w:r w:rsidRPr="0028642B">
        <w:rPr>
          <w:rFonts w:ascii="Palatino Linotype" w:eastAsia="Calibri" w:hAnsi="Palatino Linotype" w:cs="Tahoma"/>
          <w:bCs/>
          <w:i/>
          <w:sz w:val="22"/>
          <w:lang w:val="es-ES" w:eastAsia="en-US"/>
        </w:rPr>
        <w:t xml:space="preserve">, y guarda conexiones de variado tipo con pretensiones más concretas que los textos constitucionales actuales reconocen a veces como </w:t>
      </w:r>
      <w:r w:rsidRPr="0028642B">
        <w:rPr>
          <w:rFonts w:ascii="Palatino Linotype" w:eastAsia="Calibri" w:hAnsi="Palatino Linotype" w:cs="Tahoma"/>
          <w:bCs/>
          <w:i/>
          <w:sz w:val="22"/>
          <w:lang w:val="es-ES" w:eastAsia="en-US"/>
        </w:rPr>
        <w:lastRenderedPageBreak/>
        <w:t>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4C5F6474" w14:textId="77777777" w:rsidR="005B0107" w:rsidRPr="0028642B" w:rsidRDefault="005B0107" w:rsidP="005B0107">
      <w:pPr>
        <w:pStyle w:val="Prrafodelista"/>
        <w:spacing w:line="360" w:lineRule="auto"/>
        <w:ind w:left="644" w:right="-93"/>
        <w:jc w:val="both"/>
        <w:rPr>
          <w:rFonts w:ascii="Palatino Linotype" w:eastAsia="Calibri" w:hAnsi="Palatino Linotype" w:cs="Tahoma"/>
          <w:bCs/>
          <w:sz w:val="24"/>
          <w:lang w:val="es-ES" w:eastAsia="en-US"/>
        </w:rPr>
      </w:pPr>
    </w:p>
    <w:p w14:paraId="029DA3FD" w14:textId="77777777" w:rsidR="005B0107" w:rsidRPr="0028642B" w:rsidRDefault="00967142" w:rsidP="00967142">
      <w:pPr>
        <w:pStyle w:val="Prrafodelista"/>
        <w:numPr>
          <w:ilvl w:val="0"/>
          <w:numId w:val="1"/>
        </w:numPr>
        <w:spacing w:line="360" w:lineRule="auto"/>
        <w:ind w:left="0" w:right="-93" w:firstLine="0"/>
        <w:jc w:val="both"/>
        <w:rPr>
          <w:rFonts w:ascii="Palatino Linotype" w:eastAsia="Calibri" w:hAnsi="Palatino Linotype" w:cs="Tahoma"/>
          <w:bCs/>
          <w:sz w:val="24"/>
          <w:lang w:val="es-ES" w:eastAsia="en-US"/>
        </w:rPr>
      </w:pPr>
      <w:r w:rsidRPr="0028642B">
        <w:rPr>
          <w:rFonts w:ascii="Palatino Linotype" w:eastAsia="Calibri" w:hAnsi="Palatino Linotype" w:cs="Tahoma"/>
          <w:bCs/>
          <w:sz w:val="24"/>
          <w:lang w:val="es-ES" w:eastAsia="en-US"/>
        </w:rPr>
        <w:t xml:space="preserve">En concordancia con lo señalado, se puede determinar que el nombre de los particulares es confidencial, pues </w:t>
      </w:r>
      <w:r w:rsidR="00022734" w:rsidRPr="0028642B">
        <w:rPr>
          <w:rFonts w:ascii="Palatino Linotype" w:eastAsia="Calibri" w:hAnsi="Palatino Linotype" w:cs="Tahoma"/>
          <w:bCs/>
          <w:sz w:val="24"/>
          <w:lang w:val="es-ES" w:eastAsia="en-US"/>
        </w:rPr>
        <w:t>toda</w:t>
      </w:r>
      <w:r w:rsidRPr="0028642B">
        <w:rPr>
          <w:rFonts w:ascii="Palatino Linotype" w:eastAsia="Calibri" w:hAnsi="Palatino Linotype" w:cs="Tahoma"/>
          <w:bCs/>
          <w:sz w:val="24"/>
          <w:lang w:val="es-ES" w:eastAsia="en-US"/>
        </w:rPr>
        <w:t xml:space="preserve"> actividad que realicen no pertenece al interés público, es decir, que procede su clasificación en razón del derecho a la vida privada. </w:t>
      </w:r>
    </w:p>
    <w:p w14:paraId="74A8DF53" w14:textId="77777777" w:rsidR="005B0107" w:rsidRPr="0028642B" w:rsidRDefault="005B0107" w:rsidP="005B0107">
      <w:pPr>
        <w:spacing w:line="360" w:lineRule="auto"/>
        <w:ind w:right="49"/>
        <w:contextualSpacing/>
        <w:jc w:val="both"/>
        <w:rPr>
          <w:rFonts w:ascii="Palatino Linotype" w:eastAsia="MS Gothic" w:hAnsi="Palatino Linotype" w:cstheme="majorBidi"/>
          <w:lang w:val="es-ES_tradnl" w:eastAsia="es-ES"/>
        </w:rPr>
      </w:pPr>
    </w:p>
    <w:p w14:paraId="0D8C58C3" w14:textId="77777777" w:rsidR="00967142" w:rsidRPr="0028642B" w:rsidRDefault="00F60DC7" w:rsidP="005B0107">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 xml:space="preserve"> </w:t>
      </w:r>
      <w:r w:rsidR="005B0107" w:rsidRPr="0028642B">
        <w:rPr>
          <w:rFonts w:ascii="Palatino Linotype" w:eastAsia="MS Gothic" w:hAnsi="Palatino Linotype" w:cstheme="majorBidi"/>
          <w:lang w:val="es-ES_tradnl" w:eastAsia="es-ES"/>
        </w:rPr>
        <w:t xml:space="preserve">En cuanto a la firma, </w:t>
      </w:r>
      <w:r w:rsidR="00967142" w:rsidRPr="0028642B">
        <w:rPr>
          <w:rFonts w:ascii="Palatino Linotype" w:eastAsia="MS Gothic" w:hAnsi="Palatino Linotype" w:cstheme="majorBidi"/>
          <w:lang w:val="es-ES_tradnl" w:eastAsia="es-ES"/>
        </w:rPr>
        <w:t xml:space="preserve">la real Academia Española </w:t>
      </w:r>
      <w:r w:rsidR="00B73F13" w:rsidRPr="0028642B">
        <w:rPr>
          <w:rFonts w:ascii="Palatino Linotype" w:eastAsia="MS Gothic" w:hAnsi="Palatino Linotype" w:cstheme="majorBidi"/>
          <w:lang w:val="es-ES_tradnl" w:eastAsia="es-ES"/>
        </w:rPr>
        <w:t>lo establece como “</w:t>
      </w:r>
      <w:r w:rsidR="00B73F13" w:rsidRPr="0028642B">
        <w:rPr>
          <w:rFonts w:ascii="Palatino Linotype" w:eastAsia="Arial Unicode MS" w:hAnsi="Palatino Linotype" w:cs="Arial Unicode MS"/>
          <w:color w:val="000000"/>
          <w:spacing w:val="4"/>
          <w:shd w:val="clear" w:color="auto" w:fill="FFFFFF"/>
        </w:rPr>
        <w:t>Rasgo o conjunto de rasgos, realizados siempre de la misma manera, que identifican a una persona y sustituyen a su nombre y apellidos para aprobar o dar autenticidad a un documento”, en ese sentido, se trata de un dato personal.</w:t>
      </w:r>
    </w:p>
    <w:p w14:paraId="5C35E0B8" w14:textId="77777777" w:rsidR="00B73F13" w:rsidRPr="0028642B" w:rsidRDefault="00B73F13" w:rsidP="00B73F13">
      <w:pPr>
        <w:pStyle w:val="Prrafodelista"/>
        <w:rPr>
          <w:rFonts w:ascii="Palatino Linotype" w:eastAsia="MS Gothic" w:hAnsi="Palatino Linotype" w:cstheme="majorBidi"/>
          <w:sz w:val="24"/>
          <w:lang w:val="es-ES_tradnl" w:eastAsia="es-ES"/>
        </w:rPr>
      </w:pPr>
    </w:p>
    <w:p w14:paraId="19FACF4F" w14:textId="77777777" w:rsidR="00F60DC7" w:rsidRPr="0028642B" w:rsidRDefault="00B73F13" w:rsidP="00B73F13">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Ahora bien, tratándose de servidores públicos</w:t>
      </w:r>
      <w:r w:rsidR="00F60DC7" w:rsidRPr="0028642B">
        <w:rPr>
          <w:rFonts w:ascii="Palatino Linotype" w:eastAsia="MS Gothic" w:hAnsi="Palatino Linotype" w:cstheme="majorBidi"/>
          <w:lang w:val="es-ES_tradnl" w:eastAsia="es-ES"/>
        </w:rPr>
        <w:t xml:space="preserve"> el Criterio SO/002/2019, emitido por el Instituto Nacional de Transparencia, Acceso a la Información y Protección de Datos </w:t>
      </w:r>
      <w:r w:rsidRPr="0028642B">
        <w:rPr>
          <w:rFonts w:ascii="Palatino Linotype" w:eastAsia="MS Gothic" w:hAnsi="Palatino Linotype" w:cstheme="majorBidi"/>
          <w:lang w:val="es-ES_tradnl" w:eastAsia="es-ES"/>
        </w:rPr>
        <w:t xml:space="preserve">Personales, </w:t>
      </w:r>
      <w:r w:rsidR="00F60DC7" w:rsidRPr="0028642B">
        <w:rPr>
          <w:rFonts w:ascii="Palatino Linotype" w:eastAsia="MS Gothic" w:hAnsi="Palatino Linotype" w:cstheme="majorBidi"/>
          <w:lang w:val="es-ES_tradnl" w:eastAsia="es-ES"/>
        </w:rPr>
        <w:t>establece lo siguiente:</w:t>
      </w:r>
    </w:p>
    <w:p w14:paraId="45EFC2B8" w14:textId="77777777" w:rsidR="00F60DC7" w:rsidRPr="0028642B" w:rsidRDefault="00F60DC7" w:rsidP="00C834B2">
      <w:pPr>
        <w:spacing w:line="360" w:lineRule="auto"/>
        <w:ind w:right="49"/>
        <w:contextualSpacing/>
        <w:jc w:val="both"/>
        <w:rPr>
          <w:rFonts w:ascii="Palatino Linotype" w:eastAsia="MS Gothic" w:hAnsi="Palatino Linotype" w:cstheme="majorBidi"/>
          <w:sz w:val="22"/>
          <w:lang w:val="es-ES_tradnl" w:eastAsia="es-ES"/>
        </w:rPr>
      </w:pPr>
    </w:p>
    <w:p w14:paraId="1A0DEF74" w14:textId="77777777" w:rsidR="00F60DC7" w:rsidRPr="0028642B" w:rsidRDefault="00F60DC7" w:rsidP="00B73F13">
      <w:pPr>
        <w:spacing w:line="360" w:lineRule="auto"/>
        <w:ind w:left="851" w:right="822"/>
        <w:contextualSpacing/>
        <w:jc w:val="both"/>
        <w:rPr>
          <w:rFonts w:ascii="Palatino Linotype" w:eastAsia="MS Gothic" w:hAnsi="Palatino Linotype" w:cstheme="majorBidi"/>
          <w:sz w:val="22"/>
          <w:lang w:val="es-ES_tradnl" w:eastAsia="es-ES"/>
        </w:rPr>
      </w:pPr>
      <w:r w:rsidRPr="0028642B">
        <w:rPr>
          <w:rFonts w:ascii="Palatino Linotype" w:eastAsia="MS Gothic" w:hAnsi="Palatino Linotype" w:cstheme="majorBidi"/>
          <w:sz w:val="22"/>
          <w:lang w:val="es-ES_tradnl" w:eastAsia="es-ES"/>
        </w:rPr>
        <w:t>“Firma y rúbrica de servidores públicos. Si bien la firma y la rúbrica son datos</w:t>
      </w:r>
      <w:r w:rsidR="00C834B2" w:rsidRPr="0028642B">
        <w:rPr>
          <w:rFonts w:ascii="Palatino Linotype" w:eastAsia="MS Gothic" w:hAnsi="Palatino Linotype" w:cstheme="majorBidi"/>
          <w:sz w:val="22"/>
          <w:lang w:val="es-ES_tradnl" w:eastAsia="es-ES"/>
        </w:rPr>
        <w:t xml:space="preserve"> </w:t>
      </w:r>
      <w:r w:rsidRPr="0028642B">
        <w:rPr>
          <w:rFonts w:ascii="Palatino Linotype" w:eastAsia="MS Gothic" w:hAnsi="Palatino Linotype" w:cstheme="majorBidi"/>
          <w:sz w:val="22"/>
          <w:lang w:val="es-ES_tradnl" w:eastAsia="es-ES"/>
        </w:rPr>
        <w:t>personales confidenciales, cuando un servidor público emite un acto como autoridad,</w:t>
      </w:r>
      <w:r w:rsidR="00C834B2" w:rsidRPr="0028642B">
        <w:rPr>
          <w:rFonts w:ascii="Palatino Linotype" w:eastAsia="MS Gothic" w:hAnsi="Palatino Linotype" w:cstheme="majorBidi"/>
          <w:sz w:val="22"/>
          <w:lang w:val="es-ES_tradnl" w:eastAsia="es-ES"/>
        </w:rPr>
        <w:t xml:space="preserve"> </w:t>
      </w:r>
      <w:r w:rsidRPr="0028642B">
        <w:rPr>
          <w:rFonts w:ascii="Palatino Linotype" w:eastAsia="MS Gothic" w:hAnsi="Palatino Linotype" w:cstheme="majorBidi"/>
          <w:sz w:val="22"/>
          <w:lang w:val="es-ES_tradnl" w:eastAsia="es-ES"/>
        </w:rPr>
        <w:t>en ejercicio de las funciones que tiene conferidas, la firma o rúbrica mediante la cual</w:t>
      </w:r>
      <w:r w:rsidR="00C834B2" w:rsidRPr="0028642B">
        <w:rPr>
          <w:rFonts w:ascii="Palatino Linotype" w:eastAsia="MS Gothic" w:hAnsi="Palatino Linotype" w:cstheme="majorBidi"/>
          <w:sz w:val="22"/>
          <w:lang w:val="es-ES_tradnl" w:eastAsia="es-ES"/>
        </w:rPr>
        <w:t xml:space="preserve"> </w:t>
      </w:r>
      <w:r w:rsidRPr="0028642B">
        <w:rPr>
          <w:rFonts w:ascii="Palatino Linotype" w:eastAsia="MS Gothic" w:hAnsi="Palatino Linotype" w:cstheme="majorBidi"/>
          <w:sz w:val="22"/>
          <w:lang w:val="es-ES_tradnl" w:eastAsia="es-ES"/>
        </w:rPr>
        <w:t>se valida dicho acto es pública.”</w:t>
      </w:r>
    </w:p>
    <w:p w14:paraId="23A7EA1E" w14:textId="77777777" w:rsidR="00F60DC7" w:rsidRPr="0028642B" w:rsidRDefault="00F60DC7" w:rsidP="00C834B2">
      <w:pPr>
        <w:spacing w:line="360" w:lineRule="auto"/>
        <w:ind w:right="49"/>
        <w:contextualSpacing/>
        <w:jc w:val="both"/>
        <w:rPr>
          <w:rFonts w:ascii="Palatino Linotype" w:eastAsia="MS Gothic" w:hAnsi="Palatino Linotype" w:cstheme="majorBidi"/>
          <w:lang w:val="es-ES_tradnl" w:eastAsia="es-ES"/>
        </w:rPr>
      </w:pPr>
    </w:p>
    <w:p w14:paraId="7BCD447B" w14:textId="77777777" w:rsidR="00B73F13" w:rsidRPr="0028642B" w:rsidRDefault="00B73F13" w:rsidP="00C834B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 xml:space="preserve">Como ya lo refiere el Criterio señalado, la firma es un dato personal confidencial y solo será publica para el caso de los servidores públicos en el ejercicio de sus funciones. </w:t>
      </w:r>
    </w:p>
    <w:p w14:paraId="0CC91CBF" w14:textId="77777777" w:rsidR="00B73F13" w:rsidRPr="0028642B" w:rsidRDefault="00B73F13" w:rsidP="00B73F13">
      <w:pPr>
        <w:spacing w:line="360" w:lineRule="auto"/>
        <w:ind w:right="49"/>
        <w:contextualSpacing/>
        <w:jc w:val="both"/>
        <w:rPr>
          <w:rFonts w:ascii="Palatino Linotype" w:eastAsia="MS Gothic" w:hAnsi="Palatino Linotype" w:cstheme="majorBidi"/>
          <w:lang w:val="es-ES_tradnl" w:eastAsia="es-ES"/>
        </w:rPr>
      </w:pPr>
    </w:p>
    <w:p w14:paraId="1A607AD2" w14:textId="77777777" w:rsidR="00F91573" w:rsidRPr="0028642B" w:rsidRDefault="00F60DC7" w:rsidP="00C834B2">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 xml:space="preserve">Conforme a lo expuesto, en el presente caso, </w:t>
      </w:r>
      <w:r w:rsidR="00B73F13" w:rsidRPr="0028642B">
        <w:rPr>
          <w:rFonts w:ascii="Palatino Linotype" w:eastAsia="MS Gothic" w:hAnsi="Palatino Linotype" w:cstheme="majorBidi"/>
          <w:lang w:val="es-ES_tradnl" w:eastAsia="es-ES"/>
        </w:rPr>
        <w:t xml:space="preserve">es </w:t>
      </w:r>
      <w:r w:rsidRPr="0028642B">
        <w:rPr>
          <w:rFonts w:ascii="Palatino Linotype" w:eastAsia="MS Gothic" w:hAnsi="Palatino Linotype" w:cstheme="majorBidi"/>
          <w:lang w:val="es-ES_tradnl" w:eastAsia="es-ES"/>
        </w:rPr>
        <w:t>procede</w:t>
      </w:r>
      <w:r w:rsidR="00B73F13" w:rsidRPr="0028642B">
        <w:rPr>
          <w:rFonts w:ascii="Palatino Linotype" w:eastAsia="MS Gothic" w:hAnsi="Palatino Linotype" w:cstheme="majorBidi"/>
          <w:lang w:val="es-ES_tradnl" w:eastAsia="es-ES"/>
        </w:rPr>
        <w:t>nte</w:t>
      </w:r>
      <w:r w:rsidRPr="0028642B">
        <w:rPr>
          <w:rFonts w:ascii="Palatino Linotype" w:eastAsia="MS Gothic" w:hAnsi="Palatino Linotype" w:cstheme="majorBidi"/>
          <w:lang w:val="es-ES_tradnl" w:eastAsia="es-ES"/>
        </w:rPr>
        <w:t xml:space="preserve"> la clasificación, en términos del artículo 143, fracción I de la Ley de Transparencia y Acceso a la Información Pública del Estado de México y Municipios, </w:t>
      </w:r>
      <w:r w:rsidR="00B73F13" w:rsidRPr="0028642B">
        <w:rPr>
          <w:rFonts w:ascii="Palatino Linotype" w:eastAsia="MS Gothic" w:hAnsi="Palatino Linotype" w:cstheme="majorBidi"/>
          <w:lang w:val="es-ES_tradnl" w:eastAsia="es-ES"/>
        </w:rPr>
        <w:t xml:space="preserve">tratándose de nombres y firma de particulares. </w:t>
      </w:r>
    </w:p>
    <w:p w14:paraId="02547CF2" w14:textId="77777777" w:rsidR="005F115F" w:rsidRPr="0028642B" w:rsidRDefault="005F115F" w:rsidP="005F115F">
      <w:pPr>
        <w:pStyle w:val="Prrafodelista"/>
        <w:rPr>
          <w:rFonts w:ascii="Palatino Linotype" w:eastAsia="MS Gothic" w:hAnsi="Palatino Linotype" w:cstheme="majorBidi"/>
          <w:sz w:val="24"/>
          <w:lang w:val="es-ES_tradnl" w:eastAsia="es-ES"/>
        </w:rPr>
      </w:pPr>
    </w:p>
    <w:p w14:paraId="7E49FB4B" w14:textId="77777777" w:rsidR="005F115F" w:rsidRPr="0028642B" w:rsidRDefault="005F115F" w:rsidP="005F115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 xml:space="preserve">Por otro lado, referente a la clave catastral, </w:t>
      </w:r>
      <w:r w:rsidRPr="0028642B">
        <w:rPr>
          <w:rFonts w:ascii="Palatino Linotype" w:hAnsi="Palatino Linotype"/>
        </w:rPr>
        <w:t>Código Financiero del Estado de México y Municipios refiere que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w:t>
      </w:r>
    </w:p>
    <w:p w14:paraId="773A72F7" w14:textId="77777777" w:rsidR="005F115F" w:rsidRPr="0028642B" w:rsidRDefault="005F115F" w:rsidP="005F115F">
      <w:pPr>
        <w:pStyle w:val="Prrafodelista"/>
        <w:rPr>
          <w:rFonts w:ascii="Palatino Linotype" w:eastAsia="MS Gothic" w:hAnsi="Palatino Linotype" w:cstheme="majorBidi"/>
          <w:sz w:val="24"/>
          <w:lang w:val="es-ES_tradnl" w:eastAsia="es-ES"/>
        </w:rPr>
      </w:pPr>
    </w:p>
    <w:p w14:paraId="18597547" w14:textId="77777777" w:rsidR="005F115F" w:rsidRPr="0028642B" w:rsidRDefault="005F115F" w:rsidP="005F115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hAnsi="Palatino Linotype"/>
        </w:rPr>
        <w:t xml:space="preserve">El “Diccionario de Datos catastrales Escala 1:1000” del Instituto Nacional de Estadística y Geografía (INEGI), contempla en su Glosario la definición de la Clave Catastral, la cual, apunta lo siguiente: </w:t>
      </w:r>
    </w:p>
    <w:p w14:paraId="3AF4EEE6" w14:textId="77777777" w:rsidR="005F115F" w:rsidRPr="0028642B" w:rsidRDefault="005F115F" w:rsidP="005F115F">
      <w:pPr>
        <w:pStyle w:val="Prrafodelista"/>
        <w:rPr>
          <w:rFonts w:ascii="Palatino Linotype" w:eastAsia="MS Gothic" w:hAnsi="Palatino Linotype" w:cstheme="majorBidi"/>
          <w:lang w:val="es-ES_tradnl" w:eastAsia="es-ES"/>
        </w:rPr>
      </w:pPr>
    </w:p>
    <w:p w14:paraId="617DB9AE" w14:textId="77777777" w:rsidR="005F115F" w:rsidRPr="0028642B" w:rsidRDefault="005F115F" w:rsidP="005F115F">
      <w:pPr>
        <w:spacing w:line="360" w:lineRule="auto"/>
        <w:ind w:left="851" w:right="822"/>
        <w:contextualSpacing/>
        <w:jc w:val="both"/>
        <w:rPr>
          <w:rFonts w:ascii="Palatino Linotype" w:hAnsi="Palatino Linotype"/>
          <w:i/>
          <w:sz w:val="22"/>
        </w:rPr>
      </w:pPr>
      <w:r w:rsidRPr="0028642B">
        <w:rPr>
          <w:rFonts w:ascii="Palatino Linotype" w:hAnsi="Palatino Linotype"/>
          <w:i/>
          <w:sz w:val="22"/>
        </w:rPr>
        <w:t xml:space="preserve">Clave Catastral: El código que identifica al predio de forma única para su localización geográfica, mismo que es asignado a cada uno de ellos en el momento de su inscripción en el padrón catastral por las Unidades del Estado con atribuciones catastrales. </w:t>
      </w:r>
    </w:p>
    <w:p w14:paraId="2F493708" w14:textId="77777777" w:rsidR="005F115F" w:rsidRPr="0028642B" w:rsidRDefault="005F115F" w:rsidP="005F115F">
      <w:pPr>
        <w:pStyle w:val="Prrafodelista"/>
        <w:rPr>
          <w:sz w:val="24"/>
        </w:rPr>
      </w:pPr>
    </w:p>
    <w:p w14:paraId="26D0FA2F" w14:textId="77777777" w:rsidR="00D919E1" w:rsidRPr="0028642B" w:rsidRDefault="005F115F" w:rsidP="005F115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hAnsi="Palatino Linotype"/>
        </w:rPr>
        <w:t xml:space="preserve">Asimismo, dicho diccionario hace referencia a dos tipos de Claves Catastrales, siendo éstas la Estándar y la Original, que se definen como se observa a continuación: </w:t>
      </w:r>
    </w:p>
    <w:p w14:paraId="3A1AB378" w14:textId="77777777" w:rsidR="00D919E1" w:rsidRPr="0028642B" w:rsidRDefault="00D919E1" w:rsidP="00D919E1">
      <w:pPr>
        <w:spacing w:line="360" w:lineRule="auto"/>
        <w:ind w:right="49"/>
        <w:contextualSpacing/>
        <w:jc w:val="both"/>
        <w:rPr>
          <w:rFonts w:ascii="Palatino Linotype" w:hAnsi="Palatino Linotype"/>
          <w:sz w:val="22"/>
        </w:rPr>
      </w:pPr>
    </w:p>
    <w:p w14:paraId="2D63C6A1" w14:textId="77777777" w:rsidR="00D919E1" w:rsidRPr="0028642B" w:rsidRDefault="005F115F" w:rsidP="00D919E1">
      <w:pPr>
        <w:spacing w:line="360" w:lineRule="auto"/>
        <w:ind w:left="851" w:right="822"/>
        <w:contextualSpacing/>
        <w:jc w:val="both"/>
        <w:rPr>
          <w:rFonts w:ascii="Palatino Linotype" w:hAnsi="Palatino Linotype"/>
          <w:i/>
          <w:sz w:val="22"/>
        </w:rPr>
      </w:pPr>
      <w:r w:rsidRPr="0028642B">
        <w:rPr>
          <w:rFonts w:ascii="Palatino Linotype" w:hAnsi="Palatino Linotype"/>
          <w:i/>
          <w:sz w:val="22"/>
        </w:rPr>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 </w:t>
      </w:r>
    </w:p>
    <w:p w14:paraId="67C7E5A1" w14:textId="77777777" w:rsidR="00D919E1" w:rsidRPr="0028642B" w:rsidRDefault="00D919E1" w:rsidP="00D919E1">
      <w:pPr>
        <w:spacing w:line="360" w:lineRule="auto"/>
        <w:ind w:left="851" w:right="822"/>
        <w:contextualSpacing/>
        <w:jc w:val="both"/>
        <w:rPr>
          <w:rFonts w:ascii="Palatino Linotype" w:hAnsi="Palatino Linotype"/>
          <w:i/>
          <w:sz w:val="22"/>
        </w:rPr>
      </w:pPr>
    </w:p>
    <w:p w14:paraId="7AC134D7" w14:textId="77777777" w:rsidR="00F91573" w:rsidRPr="0028642B" w:rsidRDefault="005F115F" w:rsidP="00D919E1">
      <w:pPr>
        <w:spacing w:line="360" w:lineRule="auto"/>
        <w:ind w:left="851" w:right="822"/>
        <w:contextualSpacing/>
        <w:jc w:val="both"/>
        <w:rPr>
          <w:rFonts w:ascii="Palatino Linotype" w:eastAsia="MS Gothic" w:hAnsi="Palatino Linotype" w:cstheme="majorBidi"/>
          <w:i/>
          <w:sz w:val="22"/>
          <w:lang w:val="es-ES_tradnl" w:eastAsia="es-ES"/>
        </w:rPr>
      </w:pPr>
      <w:r w:rsidRPr="0028642B">
        <w:rPr>
          <w:rFonts w:ascii="Palatino Linotype" w:hAnsi="Palatino Linotype"/>
          <w:i/>
          <w:sz w:val="22"/>
        </w:rPr>
        <w:t>CLAVE CATASTRAL ORIGINAL: Código que identifica al objeto espacial, el cual es asignado por el Catastro Estatal, Municipal o por el Registro Agrario Nacional.</w:t>
      </w:r>
    </w:p>
    <w:p w14:paraId="611516C3" w14:textId="77777777" w:rsidR="005F115F" w:rsidRPr="0028642B" w:rsidRDefault="005F115F" w:rsidP="005F115F">
      <w:pPr>
        <w:spacing w:line="360" w:lineRule="auto"/>
        <w:ind w:right="49"/>
        <w:contextualSpacing/>
        <w:jc w:val="both"/>
        <w:rPr>
          <w:rFonts w:ascii="Palatino Linotype" w:eastAsia="MS Gothic" w:hAnsi="Palatino Linotype" w:cstheme="majorBidi"/>
          <w:lang w:val="es-ES_tradnl" w:eastAsia="es-ES"/>
        </w:rPr>
      </w:pPr>
    </w:p>
    <w:p w14:paraId="01171E05" w14:textId="77777777" w:rsidR="005F115F" w:rsidRPr="0028642B" w:rsidRDefault="005F115F" w:rsidP="005F115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MS Gothic" w:hAnsi="Palatino Linotype" w:cstheme="majorBidi"/>
          <w:lang w:val="es-ES_tradnl" w:eastAsia="es-ES"/>
        </w:rPr>
        <w:t xml:space="preserve">Así, del criterio mayoritario del Pleno se ha sostenido que es un elemento que se debe testar, sin embargo, al tratarse de la clave catastral de un bien inmueble del municipio, se debe considerar como información pública, por lo tanto, no corresponde su clasificación. </w:t>
      </w:r>
    </w:p>
    <w:p w14:paraId="6EE75DDC" w14:textId="77777777" w:rsidR="005F115F" w:rsidRPr="0028642B" w:rsidRDefault="005F115F" w:rsidP="005F115F">
      <w:pPr>
        <w:spacing w:line="360" w:lineRule="auto"/>
        <w:ind w:right="49"/>
        <w:contextualSpacing/>
        <w:jc w:val="both"/>
        <w:rPr>
          <w:rFonts w:ascii="Palatino Linotype" w:eastAsia="MS Gothic" w:hAnsi="Palatino Linotype" w:cstheme="majorBidi"/>
          <w:lang w:val="es-ES_tradnl" w:eastAsia="es-ES"/>
        </w:rPr>
      </w:pPr>
    </w:p>
    <w:p w14:paraId="3D08BC08" w14:textId="77777777" w:rsidR="00A678BF" w:rsidRPr="0028642B" w:rsidRDefault="00A678BF" w:rsidP="00A678BF">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28642B">
        <w:rPr>
          <w:rFonts w:ascii="Palatino Linotype" w:eastAsia="Calibri" w:hAnsi="Palatino Linotype"/>
        </w:rPr>
        <w:t xml:space="preserve">Por lo anteriormente expuesto y fundado, este </w:t>
      </w:r>
      <w:r w:rsidRPr="0028642B">
        <w:rPr>
          <w:rFonts w:ascii="Palatino Linotype" w:eastAsia="Calibri" w:hAnsi="Palatino Linotype"/>
          <w:b/>
          <w:bCs/>
        </w:rPr>
        <w:t>ÓRGANO GARANTE</w:t>
      </w:r>
      <w:r w:rsidRPr="0028642B">
        <w:rPr>
          <w:rFonts w:ascii="Palatino Linotype" w:eastAsia="Calibri" w:hAnsi="Palatino Linotype"/>
        </w:rPr>
        <w:t xml:space="preserve"> emite los siguientes:</w:t>
      </w:r>
    </w:p>
    <w:p w14:paraId="13224EB5" w14:textId="77777777" w:rsidR="00A678BF" w:rsidRPr="0028642B" w:rsidRDefault="00A678BF" w:rsidP="00A678BF">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8" w:name="_Toc528153792"/>
      <w:bookmarkStart w:id="19" w:name="_Toc71158406"/>
      <w:bookmarkStart w:id="20" w:name="_Toc83301643"/>
      <w:r w:rsidRPr="0028642B">
        <w:rPr>
          <w:rFonts w:ascii="Palatino Linotype" w:eastAsiaTheme="majorEastAsia" w:hAnsi="Palatino Linotype" w:cstheme="majorBidi"/>
          <w:b/>
          <w:color w:val="000000" w:themeColor="text1"/>
          <w:lang w:eastAsia="en-US"/>
        </w:rPr>
        <w:t>R E S O L U T I V O S</w:t>
      </w:r>
      <w:bookmarkEnd w:id="18"/>
      <w:bookmarkEnd w:id="19"/>
      <w:bookmarkEnd w:id="20"/>
    </w:p>
    <w:p w14:paraId="26323A64" w14:textId="77777777" w:rsidR="00A678BF" w:rsidRPr="0028642B" w:rsidRDefault="00A678BF" w:rsidP="00A678BF">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6FF6D07D" w14:textId="77777777" w:rsidR="00A678BF" w:rsidRPr="0028642B" w:rsidRDefault="00A678BF" w:rsidP="00A678BF">
      <w:pPr>
        <w:spacing w:line="360" w:lineRule="auto"/>
        <w:ind w:right="48"/>
        <w:jc w:val="both"/>
        <w:rPr>
          <w:rFonts w:ascii="Palatino Linotype" w:hAnsi="Palatino Linotype" w:cs="Arial"/>
          <w:bCs/>
        </w:rPr>
      </w:pPr>
      <w:r w:rsidRPr="0028642B">
        <w:rPr>
          <w:rFonts w:ascii="Palatino Linotype" w:hAnsi="Palatino Linotype" w:cs="Arial"/>
          <w:b/>
        </w:rPr>
        <w:t xml:space="preserve">PRIMERO. </w:t>
      </w:r>
      <w:r w:rsidRPr="0028642B">
        <w:rPr>
          <w:rFonts w:ascii="Palatino Linotype" w:hAnsi="Palatino Linotype" w:cs="Arial"/>
        </w:rPr>
        <w:t>Resultan parcialmente fundadas las</w:t>
      </w:r>
      <w:r w:rsidRPr="0028642B">
        <w:rPr>
          <w:rFonts w:ascii="Palatino Linotype" w:hAnsi="Palatino Linotype" w:cs="Arial"/>
          <w:b/>
        </w:rPr>
        <w:t xml:space="preserve"> </w:t>
      </w:r>
      <w:r w:rsidRPr="0028642B">
        <w:rPr>
          <w:rFonts w:ascii="Palatino Linotype" w:hAnsi="Palatino Linotype" w:cs="Arial"/>
          <w:lang w:val="es-ES"/>
        </w:rPr>
        <w:t xml:space="preserve">razones o motivos de inconformidad hechos valer </w:t>
      </w:r>
      <w:r w:rsidRPr="0028642B">
        <w:rPr>
          <w:rFonts w:ascii="Palatino Linotype" w:eastAsia="Calibri" w:hAnsi="Palatino Linotype" w:cs="Arial"/>
          <w:lang w:val="es-ES"/>
        </w:rPr>
        <w:t xml:space="preserve">en el recurso de revisión </w:t>
      </w:r>
      <w:r w:rsidR="006E440E" w:rsidRPr="0028642B">
        <w:rPr>
          <w:rFonts w:ascii="Palatino Linotype" w:hAnsi="Palatino Linotype" w:cs="Arial"/>
          <w:b/>
          <w:bCs/>
        </w:rPr>
        <w:t>07933</w:t>
      </w:r>
      <w:r w:rsidRPr="0028642B">
        <w:rPr>
          <w:rFonts w:ascii="Palatino Linotype" w:hAnsi="Palatino Linotype" w:cs="Arial"/>
          <w:b/>
          <w:bCs/>
        </w:rPr>
        <w:t xml:space="preserve">/INFOEM/IP/RR/2022, </w:t>
      </w:r>
      <w:r w:rsidRPr="0028642B">
        <w:rPr>
          <w:rFonts w:ascii="Palatino Linotype" w:hAnsi="Palatino Linotype" w:cs="Arial"/>
          <w:bCs/>
        </w:rPr>
        <w:t>en términos de</w:t>
      </w:r>
      <w:r w:rsidR="00022734" w:rsidRPr="0028642B">
        <w:rPr>
          <w:rFonts w:ascii="Palatino Linotype" w:hAnsi="Palatino Linotype" w:cs="Arial"/>
          <w:bCs/>
        </w:rPr>
        <w:t xml:space="preserve"> </w:t>
      </w:r>
      <w:r w:rsidRPr="0028642B">
        <w:rPr>
          <w:rFonts w:ascii="Palatino Linotype" w:hAnsi="Palatino Linotype" w:cs="Arial"/>
          <w:bCs/>
        </w:rPr>
        <w:t>l</w:t>
      </w:r>
      <w:r w:rsidR="00022734" w:rsidRPr="0028642B">
        <w:rPr>
          <w:rFonts w:ascii="Palatino Linotype" w:hAnsi="Palatino Linotype" w:cs="Arial"/>
          <w:bCs/>
        </w:rPr>
        <w:t>os</w:t>
      </w:r>
      <w:r w:rsidRPr="0028642B">
        <w:rPr>
          <w:rFonts w:ascii="Palatino Linotype" w:hAnsi="Palatino Linotype" w:cs="Arial"/>
          <w:bCs/>
        </w:rPr>
        <w:t xml:space="preserve"> </w:t>
      </w:r>
      <w:r w:rsidR="00022734" w:rsidRPr="0028642B">
        <w:rPr>
          <w:rFonts w:ascii="Palatino Linotype" w:hAnsi="Palatino Linotype" w:cs="Arial"/>
          <w:bCs/>
        </w:rPr>
        <w:t>c</w:t>
      </w:r>
      <w:r w:rsidRPr="0028642B">
        <w:rPr>
          <w:rFonts w:ascii="Palatino Linotype" w:hAnsi="Palatino Linotype" w:cs="Arial"/>
          <w:b/>
          <w:bCs/>
        </w:rPr>
        <w:t>onsiderando</w:t>
      </w:r>
      <w:r w:rsidR="00022734" w:rsidRPr="0028642B">
        <w:rPr>
          <w:rFonts w:ascii="Palatino Linotype" w:hAnsi="Palatino Linotype" w:cs="Arial"/>
          <w:b/>
          <w:bCs/>
        </w:rPr>
        <w:t>s</w:t>
      </w:r>
      <w:r w:rsidRPr="0028642B">
        <w:rPr>
          <w:rFonts w:ascii="Palatino Linotype" w:hAnsi="Palatino Linotype" w:cs="Arial"/>
          <w:bCs/>
        </w:rPr>
        <w:t xml:space="preserve"> </w:t>
      </w:r>
      <w:r w:rsidRPr="0028642B">
        <w:rPr>
          <w:rFonts w:ascii="Palatino Linotype" w:hAnsi="Palatino Linotype" w:cs="Arial"/>
          <w:b/>
          <w:bCs/>
        </w:rPr>
        <w:t xml:space="preserve">CUARTO y QUINTO </w:t>
      </w:r>
      <w:r w:rsidRPr="0028642B">
        <w:rPr>
          <w:rFonts w:ascii="Palatino Linotype" w:hAnsi="Palatino Linotype" w:cs="Arial"/>
          <w:bCs/>
        </w:rPr>
        <w:t>de la presente resolución.</w:t>
      </w:r>
    </w:p>
    <w:p w14:paraId="6AA93428" w14:textId="77777777" w:rsidR="00A678BF" w:rsidRPr="0028642B" w:rsidRDefault="00A678BF" w:rsidP="00A678BF">
      <w:pPr>
        <w:spacing w:line="360" w:lineRule="auto"/>
        <w:ind w:right="48"/>
        <w:jc w:val="both"/>
        <w:rPr>
          <w:rFonts w:ascii="Palatino Linotype" w:hAnsi="Palatino Linotype" w:cs="Arial"/>
          <w:bCs/>
        </w:rPr>
      </w:pPr>
    </w:p>
    <w:p w14:paraId="7842E055" w14:textId="77777777" w:rsidR="00A678BF" w:rsidRPr="0028642B" w:rsidRDefault="00A678BF" w:rsidP="00A678BF">
      <w:pPr>
        <w:spacing w:line="360" w:lineRule="auto"/>
        <w:ind w:right="48"/>
        <w:jc w:val="both"/>
        <w:rPr>
          <w:rFonts w:ascii="Palatino Linotype" w:hAnsi="Palatino Linotype" w:cs="Arial"/>
          <w:bCs/>
        </w:rPr>
      </w:pPr>
      <w:bookmarkStart w:id="21" w:name="_Toc477891768"/>
      <w:bookmarkStart w:id="22" w:name="_Toc477891858"/>
      <w:bookmarkStart w:id="23" w:name="_Toc481576259"/>
      <w:bookmarkStart w:id="24" w:name="_Toc492590391"/>
      <w:bookmarkStart w:id="25" w:name="_Toc462653937"/>
      <w:bookmarkStart w:id="26" w:name="_Toc453696502"/>
      <w:bookmarkStart w:id="27" w:name="_Toc454301155"/>
      <w:r w:rsidRPr="0028642B">
        <w:rPr>
          <w:rFonts w:ascii="Palatino Linotype" w:hAnsi="Palatino Linotype"/>
          <w:b/>
        </w:rPr>
        <w:lastRenderedPageBreak/>
        <w:t>SEGUNDO.</w:t>
      </w:r>
      <w:r w:rsidRPr="0028642B">
        <w:rPr>
          <w:rStyle w:val="Ttulo2Car"/>
          <w:rFonts w:ascii="Palatino Linotype" w:hAnsi="Palatino Linotype"/>
          <w:sz w:val="24"/>
          <w:szCs w:val="24"/>
        </w:rPr>
        <w:t xml:space="preserve"> </w:t>
      </w:r>
      <w:bookmarkEnd w:id="21"/>
      <w:bookmarkEnd w:id="22"/>
      <w:bookmarkEnd w:id="23"/>
      <w:bookmarkEnd w:id="24"/>
      <w:bookmarkEnd w:id="25"/>
      <w:bookmarkEnd w:id="26"/>
      <w:bookmarkEnd w:id="27"/>
      <w:r w:rsidRPr="0028642B">
        <w:rPr>
          <w:rFonts w:ascii="Palatino Linotype" w:eastAsia="Calibri" w:hAnsi="Palatino Linotype" w:cs="Arial"/>
          <w:lang w:val="es-ES"/>
        </w:rPr>
        <w:t>Se</w:t>
      </w:r>
      <w:r w:rsidRPr="0028642B">
        <w:rPr>
          <w:rFonts w:ascii="Palatino Linotype" w:eastAsia="Calibri" w:hAnsi="Palatino Linotype" w:cs="Arial"/>
          <w:b/>
          <w:lang w:val="es-ES"/>
        </w:rPr>
        <w:t xml:space="preserve"> MODIFICA </w:t>
      </w:r>
      <w:r w:rsidRPr="0028642B">
        <w:rPr>
          <w:rFonts w:ascii="Palatino Linotype" w:eastAsia="Calibri" w:hAnsi="Palatino Linotype" w:cs="Arial"/>
          <w:lang w:val="es-ES"/>
        </w:rPr>
        <w:t>l</w:t>
      </w:r>
      <w:r w:rsidR="006E440E" w:rsidRPr="0028642B">
        <w:rPr>
          <w:rFonts w:ascii="Palatino Linotype" w:eastAsia="Calibri" w:hAnsi="Palatino Linotype" w:cs="Arial"/>
          <w:lang w:val="es-ES"/>
        </w:rPr>
        <w:t>a respuesta emitida por el</w:t>
      </w:r>
      <w:r w:rsidRPr="0028642B">
        <w:rPr>
          <w:rFonts w:ascii="Palatino Linotype" w:eastAsia="Calibri" w:hAnsi="Palatino Linotype" w:cs="Arial"/>
          <w:lang w:val="es-ES"/>
        </w:rPr>
        <w:t xml:space="preserve"> </w:t>
      </w:r>
      <w:r w:rsidR="006E440E" w:rsidRPr="0028642B">
        <w:rPr>
          <w:rFonts w:ascii="Palatino Linotype" w:hAnsi="Palatino Linotype" w:cs="Arial"/>
          <w:b/>
          <w:bCs/>
        </w:rPr>
        <w:t>Ayuntamiento de San Martín de Las Pirámides</w:t>
      </w:r>
      <w:r w:rsidRPr="0028642B">
        <w:rPr>
          <w:rFonts w:ascii="Palatino Linotype" w:hAnsi="Palatino Linotype" w:cs="Arial"/>
          <w:b/>
        </w:rPr>
        <w:t xml:space="preserve"> </w:t>
      </w:r>
      <w:r w:rsidRPr="0028642B">
        <w:rPr>
          <w:rFonts w:ascii="Palatino Linotype" w:eastAsia="Calibri" w:hAnsi="Palatino Linotype" w:cs="Arial"/>
          <w:lang w:val="es-ES"/>
        </w:rPr>
        <w:t>y se</w:t>
      </w:r>
      <w:r w:rsidRPr="0028642B">
        <w:rPr>
          <w:rFonts w:ascii="Palatino Linotype" w:eastAsia="Calibri" w:hAnsi="Palatino Linotype" w:cs="Arial"/>
          <w:b/>
          <w:lang w:val="es-ES"/>
        </w:rPr>
        <w:t xml:space="preserve"> ORDENA </w:t>
      </w:r>
      <w:r w:rsidRPr="0028642B">
        <w:rPr>
          <w:rFonts w:ascii="Palatino Linotype" w:hAnsi="Palatino Linotype" w:cs="Arial"/>
          <w:lang w:val="es-ES"/>
        </w:rPr>
        <w:t>entregar vía</w:t>
      </w:r>
      <w:r w:rsidRPr="0028642B">
        <w:rPr>
          <w:rFonts w:ascii="Palatino Linotype" w:eastAsia="Calibri" w:hAnsi="Palatino Linotype" w:cs="Arial"/>
          <w:lang w:val="es-ES"/>
        </w:rPr>
        <w:t xml:space="preserve"> </w:t>
      </w:r>
      <w:r w:rsidRPr="0028642B">
        <w:rPr>
          <w:rFonts w:ascii="Palatino Linotype" w:eastAsia="Calibri" w:hAnsi="Palatino Linotype" w:cs="Arial"/>
          <w:b/>
          <w:lang w:val="es-ES"/>
        </w:rPr>
        <w:t>SAIMEX</w:t>
      </w:r>
      <w:r w:rsidRPr="0028642B">
        <w:rPr>
          <w:rFonts w:ascii="Palatino Linotype" w:eastAsia="Calibri" w:hAnsi="Palatino Linotype" w:cs="Arial"/>
          <w:lang w:val="es-ES"/>
        </w:rPr>
        <w:t>, de ser procedente en versión pública,</w:t>
      </w:r>
      <w:r w:rsidR="006E440E" w:rsidRPr="0028642B">
        <w:rPr>
          <w:rFonts w:ascii="Palatino Linotype" w:hAnsi="Palatino Linotype" w:cs="Arial"/>
          <w:bCs/>
        </w:rPr>
        <w:t xml:space="preserve"> la siguiente información: </w:t>
      </w:r>
    </w:p>
    <w:p w14:paraId="38A51C1C" w14:textId="77777777" w:rsidR="00A678BF" w:rsidRPr="0028642B" w:rsidRDefault="00A678BF" w:rsidP="00A678BF">
      <w:pPr>
        <w:spacing w:line="360" w:lineRule="auto"/>
        <w:ind w:right="48"/>
        <w:jc w:val="both"/>
        <w:rPr>
          <w:rFonts w:ascii="Palatino Linotype" w:hAnsi="Palatino Linotype" w:cs="Arial"/>
          <w:b/>
          <w:bCs/>
        </w:rPr>
      </w:pPr>
    </w:p>
    <w:p w14:paraId="31342222" w14:textId="77777777" w:rsidR="006E440E" w:rsidRPr="0028642B" w:rsidRDefault="006E440E" w:rsidP="006E440E">
      <w:pPr>
        <w:pStyle w:val="Prrafodelista"/>
        <w:numPr>
          <w:ilvl w:val="0"/>
          <w:numId w:val="8"/>
        </w:numPr>
        <w:spacing w:line="360" w:lineRule="auto"/>
        <w:ind w:right="49"/>
        <w:jc w:val="both"/>
        <w:rPr>
          <w:rFonts w:ascii="Palatino Linotype" w:eastAsia="MS Gothic" w:hAnsi="Palatino Linotype" w:cstheme="majorBidi"/>
          <w:b/>
          <w:sz w:val="24"/>
          <w:lang w:val="es-ES_tradnl" w:eastAsia="es-ES"/>
        </w:rPr>
      </w:pPr>
      <w:bookmarkStart w:id="28" w:name="_Toc460947013"/>
      <w:r w:rsidRPr="0028642B">
        <w:rPr>
          <w:rFonts w:ascii="Palatino Linotype" w:eastAsia="MS Gothic" w:hAnsi="Palatino Linotype" w:cstheme="majorBidi"/>
          <w:b/>
          <w:sz w:val="24"/>
          <w:lang w:val="es-ES_tradnl" w:eastAsia="es-ES"/>
        </w:rPr>
        <w:t>Del bien inmueble adquirido por el Ayuntamiento de San Martín de las Pirámides, referido en respuesta el documento donde conste:</w:t>
      </w:r>
    </w:p>
    <w:p w14:paraId="380E4287" w14:textId="77777777" w:rsidR="006E440E" w:rsidRPr="0028642B" w:rsidRDefault="006E440E" w:rsidP="006E440E">
      <w:pPr>
        <w:pStyle w:val="Prrafodelista"/>
        <w:numPr>
          <w:ilvl w:val="0"/>
          <w:numId w:val="9"/>
        </w:numPr>
        <w:spacing w:line="360" w:lineRule="auto"/>
        <w:ind w:right="49"/>
        <w:jc w:val="both"/>
        <w:rPr>
          <w:rFonts w:ascii="Palatino Linotype" w:eastAsia="MS Gothic" w:hAnsi="Palatino Linotype" w:cstheme="majorBidi"/>
          <w:b/>
          <w:sz w:val="24"/>
          <w:lang w:val="es-ES_tradnl" w:eastAsia="es-ES"/>
        </w:rPr>
      </w:pPr>
      <w:r w:rsidRPr="0028642B">
        <w:rPr>
          <w:rFonts w:ascii="Palatino Linotype" w:eastAsia="MS Gothic" w:hAnsi="Palatino Linotype" w:cstheme="majorBidi"/>
          <w:b/>
          <w:sz w:val="24"/>
          <w:lang w:val="es-ES_tradnl" w:eastAsia="es-ES"/>
        </w:rPr>
        <w:t>El costo</w:t>
      </w:r>
    </w:p>
    <w:p w14:paraId="161AF629" w14:textId="77777777" w:rsidR="006E440E" w:rsidRPr="0028642B" w:rsidRDefault="006E440E" w:rsidP="006E440E">
      <w:pPr>
        <w:pStyle w:val="Prrafodelista"/>
        <w:numPr>
          <w:ilvl w:val="0"/>
          <w:numId w:val="9"/>
        </w:numPr>
        <w:spacing w:line="360" w:lineRule="auto"/>
        <w:ind w:right="49"/>
        <w:jc w:val="both"/>
        <w:rPr>
          <w:rFonts w:ascii="Palatino Linotype" w:eastAsia="MS Gothic" w:hAnsi="Palatino Linotype" w:cstheme="majorBidi"/>
          <w:b/>
          <w:sz w:val="24"/>
          <w:lang w:val="es-ES_tradnl" w:eastAsia="es-ES"/>
        </w:rPr>
      </w:pPr>
      <w:r w:rsidRPr="0028642B">
        <w:rPr>
          <w:rFonts w:ascii="Palatino Linotype" w:eastAsia="MS Gothic" w:hAnsi="Palatino Linotype" w:cstheme="majorBidi"/>
          <w:b/>
          <w:sz w:val="24"/>
          <w:lang w:val="es-ES_tradnl" w:eastAsia="es-ES"/>
        </w:rPr>
        <w:t>Fecha en que fue ingresado como patrimonio municipal.</w:t>
      </w:r>
    </w:p>
    <w:p w14:paraId="23623074" w14:textId="77777777" w:rsidR="006E440E" w:rsidRPr="0028642B" w:rsidRDefault="006E440E" w:rsidP="006E440E">
      <w:pPr>
        <w:pStyle w:val="Prrafodelista"/>
        <w:numPr>
          <w:ilvl w:val="0"/>
          <w:numId w:val="8"/>
        </w:numPr>
        <w:spacing w:line="360" w:lineRule="auto"/>
        <w:ind w:right="49"/>
        <w:jc w:val="both"/>
        <w:rPr>
          <w:rFonts w:ascii="Palatino Linotype" w:eastAsia="MS Gothic" w:hAnsi="Palatino Linotype" w:cstheme="majorBidi"/>
          <w:b/>
          <w:sz w:val="24"/>
          <w:lang w:val="es-ES_tradnl" w:eastAsia="es-ES"/>
        </w:rPr>
      </w:pPr>
      <w:r w:rsidRPr="0028642B">
        <w:rPr>
          <w:rFonts w:ascii="Palatino Linotype" w:eastAsia="MS Gothic" w:hAnsi="Palatino Linotype" w:cstheme="majorBidi"/>
          <w:b/>
          <w:sz w:val="24"/>
          <w:lang w:val="es-ES_tradnl" w:eastAsia="es-ES"/>
        </w:rPr>
        <w:t xml:space="preserve">Actas y contratos sobre la adquisición del inmueble referido en respuesta. </w:t>
      </w:r>
    </w:p>
    <w:p w14:paraId="08E99667" w14:textId="77777777" w:rsidR="00A678BF" w:rsidRPr="0028642B" w:rsidRDefault="00A678BF" w:rsidP="00A678BF">
      <w:pPr>
        <w:spacing w:line="360" w:lineRule="auto"/>
        <w:ind w:right="48"/>
        <w:jc w:val="both"/>
        <w:rPr>
          <w:rFonts w:ascii="Palatino Linotype" w:eastAsia="Palatino Linotype" w:hAnsi="Palatino Linotype" w:cs="Palatino Linotype"/>
          <w:b/>
          <w:lang w:val="es-ES_tradnl"/>
        </w:rPr>
      </w:pPr>
    </w:p>
    <w:p w14:paraId="043BB31B" w14:textId="77777777" w:rsidR="00A678BF" w:rsidRPr="0028642B" w:rsidRDefault="00A678BF" w:rsidP="00A678BF">
      <w:pPr>
        <w:spacing w:line="360" w:lineRule="auto"/>
        <w:jc w:val="both"/>
        <w:rPr>
          <w:rFonts w:ascii="Palatino Linotype" w:eastAsia="Calibri" w:hAnsi="Palatino Linotype" w:cs="Arial"/>
          <w:b/>
        </w:rPr>
      </w:pPr>
      <w:r w:rsidRPr="0028642B">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28642B">
        <w:rPr>
          <w:rFonts w:ascii="Palatino Linotype" w:eastAsia="Calibri" w:hAnsi="Palatino Linotype" w:cs="Arial"/>
          <w:b/>
        </w:rPr>
        <w:t>RECURRENTE.</w:t>
      </w:r>
    </w:p>
    <w:p w14:paraId="0152C371" w14:textId="77777777" w:rsidR="00A678BF" w:rsidRPr="0028642B" w:rsidRDefault="00A678BF" w:rsidP="00A678BF">
      <w:pPr>
        <w:spacing w:line="360" w:lineRule="auto"/>
        <w:ind w:right="48"/>
        <w:jc w:val="both"/>
        <w:rPr>
          <w:rFonts w:ascii="Palatino Linotype" w:eastAsia="Palatino Linotype" w:hAnsi="Palatino Linotype" w:cs="Palatino Linotype"/>
          <w:b/>
        </w:rPr>
      </w:pPr>
    </w:p>
    <w:p w14:paraId="5F20751B" w14:textId="77777777" w:rsidR="00A678BF" w:rsidRPr="0028642B" w:rsidRDefault="00A678BF" w:rsidP="00A678BF">
      <w:pPr>
        <w:tabs>
          <w:tab w:val="left" w:pos="8080"/>
        </w:tabs>
        <w:spacing w:line="360" w:lineRule="auto"/>
        <w:ind w:right="48"/>
        <w:contextualSpacing/>
        <w:jc w:val="both"/>
        <w:rPr>
          <w:rFonts w:ascii="Palatino Linotype" w:hAnsi="Palatino Linotype"/>
          <w:color w:val="222222"/>
          <w:shd w:val="clear" w:color="auto" w:fill="FFFFFF"/>
        </w:rPr>
      </w:pPr>
      <w:r w:rsidRPr="0028642B">
        <w:rPr>
          <w:rFonts w:ascii="Palatino Linotype" w:eastAsia="Palatino Linotype" w:hAnsi="Palatino Linotype" w:cs="Palatino Linotype"/>
          <w:b/>
        </w:rPr>
        <w:t xml:space="preserve">TERCERO. Notifíquese </w:t>
      </w:r>
      <w:r w:rsidRPr="0028642B">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28642B">
        <w:rPr>
          <w:rFonts w:ascii="Palatino Linotype" w:eastAsia="Palatino Linotype" w:hAnsi="Palatino Linotype" w:cs="Palatino Linotype"/>
          <w:b/>
        </w:rPr>
        <w:t>dé cumplimiento a lo ordenado dentro del plazo de diez días hábiles</w:t>
      </w:r>
      <w:r w:rsidRPr="0028642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w:t>
      </w:r>
      <w:r w:rsidRPr="0028642B">
        <w:rPr>
          <w:rFonts w:ascii="Palatino Linotype" w:eastAsia="Palatino Linotype" w:hAnsi="Palatino Linotype" w:cs="Palatino Linotype"/>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7B396958" w14:textId="77777777" w:rsidR="00A678BF" w:rsidRPr="0028642B" w:rsidRDefault="00A678BF" w:rsidP="00A678BF">
      <w:pPr>
        <w:tabs>
          <w:tab w:val="left" w:pos="8080"/>
        </w:tabs>
        <w:spacing w:line="360" w:lineRule="auto"/>
        <w:ind w:right="48"/>
        <w:contextualSpacing/>
        <w:jc w:val="both"/>
        <w:rPr>
          <w:rFonts w:ascii="Palatino Linotype" w:hAnsi="Palatino Linotype"/>
          <w:color w:val="222222"/>
          <w:shd w:val="clear" w:color="auto" w:fill="FFFFFF"/>
        </w:rPr>
      </w:pPr>
    </w:p>
    <w:p w14:paraId="648B46C8" w14:textId="77777777" w:rsidR="00A678BF" w:rsidRPr="0028642B" w:rsidRDefault="00A678BF" w:rsidP="00A678BF">
      <w:pPr>
        <w:shd w:val="clear" w:color="auto" w:fill="FFFFFF"/>
        <w:spacing w:line="360" w:lineRule="auto"/>
        <w:ind w:right="48"/>
        <w:jc w:val="both"/>
        <w:rPr>
          <w:rFonts w:ascii="Palatino Linotype" w:hAnsi="Palatino Linotype"/>
        </w:rPr>
      </w:pPr>
      <w:r w:rsidRPr="0028642B">
        <w:rPr>
          <w:rFonts w:ascii="Palatino Linotype" w:hAnsi="Palatino Linotype" w:cs="Arial"/>
          <w:b/>
        </w:rPr>
        <w:t xml:space="preserve">CUARTO. </w:t>
      </w:r>
      <w:r w:rsidRPr="0028642B">
        <w:rPr>
          <w:rFonts w:ascii="Palatino Linotype" w:hAnsi="Palatino Linotype"/>
          <w:b/>
          <w:bCs/>
          <w:lang w:val="es-ES"/>
        </w:rPr>
        <w:t>Notifíquese al RECURRENTE</w:t>
      </w:r>
      <w:r w:rsidRPr="0028642B">
        <w:rPr>
          <w:rFonts w:ascii="Palatino Linotype" w:hAnsi="Palatino Linotype"/>
        </w:rPr>
        <w:t xml:space="preserve"> la presente resolución vía SAIMEX.</w:t>
      </w:r>
    </w:p>
    <w:p w14:paraId="4E276390" w14:textId="77777777" w:rsidR="00A678BF" w:rsidRPr="0028642B" w:rsidRDefault="00A678BF" w:rsidP="00A678BF">
      <w:pPr>
        <w:shd w:val="clear" w:color="auto" w:fill="FFFFFF"/>
        <w:spacing w:line="360" w:lineRule="auto"/>
        <w:ind w:right="48"/>
        <w:jc w:val="both"/>
        <w:rPr>
          <w:rFonts w:ascii="Palatino Linotype" w:hAnsi="Palatino Linotype"/>
          <w:b/>
          <w:color w:val="FF0000"/>
        </w:rPr>
      </w:pPr>
    </w:p>
    <w:bookmarkEnd w:id="28"/>
    <w:p w14:paraId="58235D48" w14:textId="77777777" w:rsidR="00A678BF" w:rsidRPr="0028642B" w:rsidRDefault="00A678BF" w:rsidP="00A678BF">
      <w:pPr>
        <w:spacing w:line="360" w:lineRule="auto"/>
        <w:ind w:right="48"/>
        <w:jc w:val="both"/>
        <w:rPr>
          <w:rFonts w:ascii="Palatino Linotype" w:eastAsia="MS Mincho" w:hAnsi="Palatino Linotype"/>
          <w:lang w:val="es-ES"/>
        </w:rPr>
      </w:pPr>
      <w:r w:rsidRPr="0028642B">
        <w:rPr>
          <w:rFonts w:ascii="Palatino Linotype" w:eastAsia="MS Mincho" w:hAnsi="Palatino Linotype"/>
          <w:b/>
        </w:rPr>
        <w:t>QUINTO.</w:t>
      </w:r>
      <w:r w:rsidRPr="0028642B">
        <w:rPr>
          <w:rFonts w:ascii="Palatino Linotype" w:eastAsia="MS Mincho" w:hAnsi="Palatino Linotype"/>
        </w:rPr>
        <w:t xml:space="preserve"> </w:t>
      </w:r>
      <w:r w:rsidRPr="0028642B">
        <w:rPr>
          <w:rFonts w:ascii="Palatino Linotype" w:eastAsia="MS Mincho" w:hAnsi="Palatino Linotype"/>
          <w:lang w:val="es-ES"/>
        </w:rPr>
        <w:t xml:space="preserve">Se hace del conocimiento del </w:t>
      </w:r>
      <w:r w:rsidRPr="0028642B">
        <w:rPr>
          <w:rFonts w:ascii="Palatino Linotype" w:hAnsi="Palatino Linotype"/>
          <w:b/>
        </w:rPr>
        <w:t>RECURRENTE</w:t>
      </w:r>
      <w:r w:rsidRPr="0028642B">
        <w:rPr>
          <w:rFonts w:ascii="Palatino Linotype" w:hAnsi="Palatino Linotype"/>
        </w:rPr>
        <w:t xml:space="preserve"> </w:t>
      </w:r>
      <w:r w:rsidRPr="0028642B">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8642B">
        <w:rPr>
          <w:rFonts w:ascii="Palatino Linotype" w:eastAsia="MS Mincho" w:hAnsi="Palatino Linotype"/>
          <w:bCs/>
          <w:lang w:val="es-ES"/>
        </w:rPr>
        <w:t>vía juicio de amparo</w:t>
      </w:r>
      <w:r w:rsidRPr="0028642B">
        <w:rPr>
          <w:rFonts w:ascii="Palatino Linotype" w:eastAsia="MS Mincho" w:hAnsi="Palatino Linotype"/>
          <w:lang w:val="es-ES"/>
        </w:rPr>
        <w:t> en los términos de las leyes aplicables.</w:t>
      </w:r>
    </w:p>
    <w:p w14:paraId="5FBE886B" w14:textId="77777777" w:rsidR="00A678BF" w:rsidRPr="0028642B" w:rsidRDefault="00A678BF" w:rsidP="00A678BF">
      <w:pPr>
        <w:spacing w:line="360" w:lineRule="auto"/>
        <w:ind w:right="48"/>
        <w:jc w:val="both"/>
        <w:rPr>
          <w:rFonts w:ascii="Palatino Linotype" w:hAnsi="Palatino Linotype"/>
          <w:color w:val="000000"/>
          <w:shd w:val="clear" w:color="auto" w:fill="FFFFFF"/>
        </w:rPr>
      </w:pPr>
    </w:p>
    <w:p w14:paraId="2B8454FA" w14:textId="77777777" w:rsidR="00A678BF" w:rsidRPr="0028642B" w:rsidRDefault="00A678BF" w:rsidP="00A678BF">
      <w:pPr>
        <w:spacing w:line="360" w:lineRule="auto"/>
        <w:ind w:right="48"/>
        <w:jc w:val="both"/>
        <w:rPr>
          <w:rFonts w:ascii="Palatino Linotype" w:eastAsia="Calibri" w:hAnsi="Palatino Linotype" w:cs="Arial"/>
          <w:bCs/>
        </w:rPr>
      </w:pPr>
      <w:r w:rsidRPr="0028642B">
        <w:rPr>
          <w:rFonts w:ascii="Palatino Linotype" w:hAnsi="Palatino Linotype"/>
          <w:b/>
          <w:color w:val="000000"/>
          <w:shd w:val="clear" w:color="auto" w:fill="FFFFFF"/>
        </w:rPr>
        <w:t xml:space="preserve">SEXTO. </w:t>
      </w:r>
      <w:r w:rsidRPr="0028642B">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BCC813" w14:textId="77777777" w:rsidR="00A678BF" w:rsidRPr="0028642B" w:rsidRDefault="00A678BF" w:rsidP="00A678BF">
      <w:pPr>
        <w:spacing w:line="360" w:lineRule="auto"/>
        <w:ind w:right="48"/>
        <w:jc w:val="both"/>
        <w:rPr>
          <w:rFonts w:ascii="Palatino Linotype" w:hAnsi="Palatino Linotype"/>
        </w:rPr>
      </w:pPr>
    </w:p>
    <w:p w14:paraId="7B543ECA" w14:textId="77777777" w:rsidR="00022734" w:rsidRDefault="00022734" w:rsidP="00022734">
      <w:pPr>
        <w:spacing w:before="240" w:after="240" w:line="360" w:lineRule="auto"/>
        <w:ind w:firstLine="1"/>
        <w:jc w:val="both"/>
        <w:rPr>
          <w:rStyle w:val="Referenciasutil"/>
          <w:rFonts w:ascii="Palatino Linotype" w:eastAsiaTheme="majorEastAsia" w:hAnsi="Palatino Linotype"/>
          <w:color w:val="auto"/>
        </w:rPr>
      </w:pPr>
      <w:bookmarkStart w:id="29" w:name="_Hlk129792997"/>
      <w:r w:rsidRPr="0028642B">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(31) DE ENERO DE DOS MIL </w:t>
      </w:r>
      <w:r w:rsidRPr="0028642B">
        <w:rPr>
          <w:rStyle w:val="Referenciasutil"/>
          <w:rFonts w:ascii="Palatino Linotype" w:eastAsiaTheme="majorEastAsia" w:hAnsi="Palatino Linotype"/>
          <w:color w:val="auto"/>
        </w:rPr>
        <w:lastRenderedPageBreak/>
        <w:t xml:space="preserve">VEINTICUATRO, ANTE EL SECRETARIO TÉCNICO DEL PLENO ALEXIS TAPIA </w:t>
      </w:r>
      <w:r w:rsidR="0028642B" w:rsidRPr="0028642B">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78A0485F" wp14:editId="38056CCF">
                <wp:simplePos x="0" y="0"/>
                <wp:positionH relativeFrom="column">
                  <wp:posOffset>12346</wp:posOffset>
                </wp:positionH>
                <wp:positionV relativeFrom="paragraph">
                  <wp:posOffset>695517</wp:posOffset>
                </wp:positionV>
                <wp:extent cx="5720316" cy="6677246"/>
                <wp:effectExtent l="0" t="0" r="33020" b="28575"/>
                <wp:wrapNone/>
                <wp:docPr id="1" name="Conector recto 1"/>
                <wp:cNvGraphicFramePr/>
                <a:graphic xmlns:a="http://schemas.openxmlformats.org/drawingml/2006/main">
                  <a:graphicData uri="http://schemas.microsoft.com/office/word/2010/wordprocessingShape">
                    <wps:wsp>
                      <wps:cNvCnPr/>
                      <wps:spPr>
                        <a:xfrm>
                          <a:off x="0" y="0"/>
                          <a:ext cx="5720316" cy="6677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D906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54.75pt" to="451.3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" strokecolor="#5b9bd5 [3204]" strokeweight=".5pt">
                <v:stroke joinstyle="miter"/>
              </v:line>
            </w:pict>
          </mc:Fallback>
        </mc:AlternateContent>
      </w:r>
      <w:r w:rsidRPr="0028642B">
        <w:rPr>
          <w:rStyle w:val="Referenciasutil"/>
          <w:rFonts w:ascii="Palatino Linotype" w:eastAsiaTheme="majorEastAsia" w:hAnsi="Palatino Linotype"/>
          <w:color w:val="auto"/>
        </w:rPr>
        <w:t>RAMÍREZ.</w:t>
      </w:r>
      <w:r w:rsidRPr="00022734">
        <w:rPr>
          <w:rStyle w:val="Referenciasutil"/>
          <w:rFonts w:ascii="Palatino Linotype" w:eastAsiaTheme="majorEastAsia" w:hAnsi="Palatino Linotype"/>
          <w:color w:val="auto"/>
        </w:rPr>
        <w:t xml:space="preserve"> </w:t>
      </w:r>
      <w:bookmarkEnd w:id="29"/>
    </w:p>
    <w:p w14:paraId="69F9CCEE" w14:textId="77777777" w:rsidR="0028642B" w:rsidRDefault="0028642B" w:rsidP="00022734">
      <w:pPr>
        <w:spacing w:before="240" w:after="240" w:line="360" w:lineRule="auto"/>
        <w:ind w:firstLine="1"/>
        <w:jc w:val="both"/>
        <w:rPr>
          <w:rStyle w:val="Referenciasutil"/>
          <w:rFonts w:ascii="Palatino Linotype" w:eastAsiaTheme="majorEastAsia" w:hAnsi="Palatino Linotype"/>
          <w:color w:val="auto"/>
        </w:rPr>
      </w:pPr>
    </w:p>
    <w:p w14:paraId="2F37C8EA" w14:textId="77777777" w:rsidR="0028642B" w:rsidRDefault="0028642B">
      <w:pPr>
        <w:spacing w:after="160" w:line="259" w:lineRule="auto"/>
        <w:rPr>
          <w:rStyle w:val="Referenciasutil"/>
          <w:rFonts w:ascii="Palatino Linotype" w:eastAsiaTheme="majorEastAsia" w:hAnsi="Palatino Linotype"/>
          <w:color w:val="auto"/>
        </w:rPr>
      </w:pPr>
      <w:r>
        <w:rPr>
          <w:rStyle w:val="Referenciasutil"/>
          <w:rFonts w:ascii="Palatino Linotype" w:eastAsiaTheme="majorEastAsia" w:hAnsi="Palatino Linotype"/>
          <w:color w:val="auto"/>
        </w:rPr>
        <w:br w:type="page"/>
      </w:r>
    </w:p>
    <w:p w14:paraId="0A23758E" w14:textId="77777777" w:rsidR="0028642B" w:rsidRPr="00022734" w:rsidRDefault="0028642B" w:rsidP="00022734">
      <w:pPr>
        <w:spacing w:before="240" w:after="240" w:line="360" w:lineRule="auto"/>
        <w:ind w:firstLine="1"/>
        <w:jc w:val="both"/>
        <w:rPr>
          <w:rStyle w:val="Referenciasutil"/>
          <w:rFonts w:ascii="Palatino Linotype" w:eastAsiaTheme="majorEastAsia" w:hAnsi="Palatino Linotype"/>
          <w:color w:val="auto"/>
        </w:rPr>
      </w:pPr>
    </w:p>
    <w:p w14:paraId="0D617313" w14:textId="77777777" w:rsidR="00A678BF" w:rsidRPr="00022734" w:rsidRDefault="00A678BF" w:rsidP="00A678BF">
      <w:pPr>
        <w:spacing w:line="360" w:lineRule="auto"/>
        <w:ind w:right="48"/>
        <w:rPr>
          <w:rFonts w:ascii="Palatino Linotype" w:hAnsi="Palatino Linotype"/>
        </w:rPr>
      </w:pPr>
    </w:p>
    <w:p w14:paraId="6E885300"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7EE5228E"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376B8FA8"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3472F36D"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38F17CCE"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234DCD5E"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7ACC6384"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0E12AD07"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7D849292"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61F7F19C" w14:textId="77777777" w:rsidR="00A678BF" w:rsidRPr="00022734" w:rsidRDefault="00A678BF" w:rsidP="00A678BF">
      <w:pPr>
        <w:spacing w:line="360" w:lineRule="auto"/>
        <w:ind w:right="49"/>
        <w:jc w:val="both"/>
        <w:rPr>
          <w:rFonts w:ascii="Palatino Linotype" w:eastAsiaTheme="minorEastAsia" w:hAnsi="Palatino Linotype" w:cs="Arial"/>
          <w:lang w:val="es-ES_tradnl" w:eastAsia="es-ES"/>
        </w:rPr>
      </w:pPr>
    </w:p>
    <w:p w14:paraId="7FFCD033" w14:textId="77777777" w:rsidR="00A678BF" w:rsidRPr="00022734" w:rsidRDefault="00A678BF" w:rsidP="00A678BF">
      <w:pPr>
        <w:spacing w:line="360" w:lineRule="auto"/>
        <w:rPr>
          <w:rFonts w:ascii="Palatino Linotype" w:hAnsi="Palatino Linotype"/>
        </w:rPr>
      </w:pPr>
    </w:p>
    <w:p w14:paraId="20CC2F43" w14:textId="77777777" w:rsidR="00A678BF" w:rsidRPr="00022734" w:rsidRDefault="00A678BF" w:rsidP="00A678BF"/>
    <w:p w14:paraId="543DE532" w14:textId="77777777" w:rsidR="00A678BF" w:rsidRPr="00022734" w:rsidRDefault="00A678BF" w:rsidP="00A678BF"/>
    <w:p w14:paraId="658E906B" w14:textId="77777777" w:rsidR="00A678BF" w:rsidRPr="00022734" w:rsidRDefault="00A678BF" w:rsidP="00A678BF"/>
    <w:p w14:paraId="2947503C" w14:textId="77777777" w:rsidR="00A678BF" w:rsidRPr="00022734" w:rsidRDefault="00A678BF" w:rsidP="00A678BF"/>
    <w:p w14:paraId="2FDDCED6" w14:textId="77777777" w:rsidR="00A678BF" w:rsidRPr="00022734" w:rsidRDefault="00A678BF" w:rsidP="00A678BF"/>
    <w:p w14:paraId="6B54B4B1" w14:textId="77777777" w:rsidR="00A678BF" w:rsidRPr="00022734" w:rsidRDefault="00A678BF" w:rsidP="00A678BF"/>
    <w:p w14:paraId="2BA4D90C" w14:textId="77777777" w:rsidR="00A678BF" w:rsidRPr="00022734" w:rsidRDefault="00A678BF" w:rsidP="00A678BF"/>
    <w:p w14:paraId="6E2766D1" w14:textId="77777777" w:rsidR="003C2CDC" w:rsidRPr="00022734" w:rsidRDefault="003C2CDC"/>
    <w:sectPr w:rsidR="003C2CDC" w:rsidRPr="00022734" w:rsidSect="00E84FDD">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19CF" w14:textId="77777777" w:rsidR="00B76EFB" w:rsidRDefault="00B76EFB" w:rsidP="006E440E">
      <w:r>
        <w:separator/>
      </w:r>
    </w:p>
  </w:endnote>
  <w:endnote w:type="continuationSeparator" w:id="0">
    <w:p w14:paraId="75D227FF" w14:textId="77777777" w:rsidR="00B76EFB" w:rsidRDefault="00B76EFB" w:rsidP="006E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5A8" w14:textId="77777777" w:rsidR="00D8603D" w:rsidRDefault="002E173E">
    <w:pPr>
      <w:pStyle w:val="Piedepgina"/>
      <w:jc w:val="right"/>
    </w:pPr>
    <w:r>
      <w:rPr>
        <w:lang w:val="es-ES"/>
      </w:rPr>
      <w:t xml:space="preserve">Página </w:t>
    </w:r>
    <w:r>
      <w:rPr>
        <w:b/>
        <w:bCs/>
      </w:rPr>
      <w:fldChar w:fldCharType="begin"/>
    </w:r>
    <w:r>
      <w:rPr>
        <w:b/>
        <w:bCs/>
      </w:rPr>
      <w:instrText>PAGE</w:instrText>
    </w:r>
    <w:r>
      <w:rPr>
        <w:b/>
        <w:bCs/>
      </w:rPr>
      <w:fldChar w:fldCharType="separate"/>
    </w:r>
    <w:r w:rsidR="0028642B">
      <w:rPr>
        <w:b/>
        <w:bCs/>
        <w:noProof/>
      </w:rPr>
      <w:t>30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642B">
      <w:rPr>
        <w:b/>
        <w:bCs/>
        <w:noProof/>
      </w:rPr>
      <w:t>32</w:t>
    </w:r>
    <w:r>
      <w:rPr>
        <w:b/>
        <w:bCs/>
      </w:rPr>
      <w:fldChar w:fldCharType="end"/>
    </w:r>
  </w:p>
  <w:p w14:paraId="1D5FD64D" w14:textId="77777777" w:rsidR="00D8603D" w:rsidRDefault="00B76E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4A1" w14:textId="77777777" w:rsidR="00D8603D" w:rsidRDefault="002E173E">
    <w:pPr>
      <w:pStyle w:val="Piedepgina"/>
      <w:jc w:val="right"/>
    </w:pPr>
    <w:r>
      <w:rPr>
        <w:lang w:val="es-ES"/>
      </w:rPr>
      <w:t xml:space="preserve">Página </w:t>
    </w:r>
    <w:r>
      <w:rPr>
        <w:b/>
        <w:bCs/>
      </w:rPr>
      <w:fldChar w:fldCharType="begin"/>
    </w:r>
    <w:r>
      <w:rPr>
        <w:b/>
        <w:bCs/>
      </w:rPr>
      <w:instrText>PAGE</w:instrText>
    </w:r>
    <w:r>
      <w:rPr>
        <w:b/>
        <w:bCs/>
      </w:rPr>
      <w:fldChar w:fldCharType="separate"/>
    </w:r>
    <w:r w:rsidR="0028642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642B">
      <w:rPr>
        <w:b/>
        <w:bCs/>
        <w:noProof/>
      </w:rPr>
      <w:t>32</w:t>
    </w:r>
    <w:r>
      <w:rPr>
        <w:b/>
        <w:bCs/>
      </w:rPr>
      <w:fldChar w:fldCharType="end"/>
    </w:r>
  </w:p>
  <w:p w14:paraId="08975FD6" w14:textId="77777777" w:rsidR="00D8603D" w:rsidRDefault="00B76E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E508" w14:textId="77777777" w:rsidR="00B76EFB" w:rsidRDefault="00B76EFB" w:rsidP="006E440E">
      <w:r>
        <w:separator/>
      </w:r>
    </w:p>
  </w:footnote>
  <w:footnote w:type="continuationSeparator" w:id="0">
    <w:p w14:paraId="21B5FA81" w14:textId="77777777" w:rsidR="00B76EFB" w:rsidRDefault="00B76EFB" w:rsidP="006E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A374" w14:textId="77777777" w:rsidR="00D8603D" w:rsidRDefault="00B76EFB">
    <w:pPr>
      <w:pStyle w:val="Encabezado"/>
    </w:pPr>
    <w:r>
      <w:rPr>
        <w:noProof/>
      </w:rPr>
      <w:pict w14:anchorId="2CBCD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D8603D" w:rsidRPr="005C106F" w14:paraId="265A6B71" w14:textId="77777777" w:rsidTr="00E84FDD">
      <w:trPr>
        <w:trHeight w:val="1435"/>
      </w:trPr>
      <w:tc>
        <w:tcPr>
          <w:tcW w:w="2268" w:type="dxa"/>
          <w:shd w:val="clear" w:color="auto" w:fill="auto"/>
        </w:tcPr>
        <w:p w14:paraId="2507DADF" w14:textId="77777777" w:rsidR="00D8603D" w:rsidRPr="005C106F" w:rsidRDefault="00B76EFB" w:rsidP="00E84FDD">
          <w:pPr>
            <w:tabs>
              <w:tab w:val="right" w:pos="4273"/>
            </w:tabs>
            <w:rPr>
              <w:rFonts w:ascii="Garamond" w:eastAsia="Calibri" w:hAnsi="Garamond"/>
              <w:sz w:val="16"/>
              <w:szCs w:val="16"/>
              <w:lang w:eastAsia="en-US"/>
            </w:rPr>
          </w:pPr>
        </w:p>
      </w:tc>
      <w:tc>
        <w:tcPr>
          <w:tcW w:w="6946" w:type="dxa"/>
          <w:shd w:val="clear" w:color="auto" w:fill="auto"/>
        </w:tcPr>
        <w:tbl>
          <w:tblPr>
            <w:tblW w:w="5812" w:type="dxa"/>
            <w:tblInd w:w="743" w:type="dxa"/>
            <w:tblLayout w:type="fixed"/>
            <w:tblLook w:val="0420" w:firstRow="1" w:lastRow="0" w:firstColumn="0" w:lastColumn="0" w:noHBand="0" w:noVBand="1"/>
          </w:tblPr>
          <w:tblGrid>
            <w:gridCol w:w="2551"/>
            <w:gridCol w:w="3261"/>
          </w:tblGrid>
          <w:tr w:rsidR="00D8603D" w14:paraId="6F1BE891" w14:textId="77777777" w:rsidTr="00022734">
            <w:trPr>
              <w:trHeight w:val="150"/>
            </w:trPr>
            <w:tc>
              <w:tcPr>
                <w:tcW w:w="2551" w:type="dxa"/>
                <w:shd w:val="clear" w:color="auto" w:fill="auto"/>
              </w:tcPr>
              <w:p w14:paraId="396459B4" w14:textId="77777777" w:rsidR="00D8603D" w:rsidRPr="00020E73" w:rsidRDefault="002E173E"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261" w:type="dxa"/>
                <w:shd w:val="clear" w:color="auto" w:fill="auto"/>
              </w:tcPr>
              <w:p w14:paraId="59D22D2C" w14:textId="77777777" w:rsidR="00D8603D" w:rsidRPr="00020E73" w:rsidRDefault="002E173E" w:rsidP="00022734">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07933/INFOEM/IP/RR/2022</w:t>
                </w:r>
              </w:p>
            </w:tc>
          </w:tr>
          <w:tr w:rsidR="00D8603D" w14:paraId="65714A17" w14:textId="77777777" w:rsidTr="00022734">
            <w:trPr>
              <w:trHeight w:val="295"/>
            </w:trPr>
            <w:tc>
              <w:tcPr>
                <w:tcW w:w="2551" w:type="dxa"/>
                <w:shd w:val="clear" w:color="auto" w:fill="auto"/>
              </w:tcPr>
              <w:p w14:paraId="1CB5FEFC" w14:textId="77777777" w:rsidR="00D8603D" w:rsidRPr="00020E73" w:rsidRDefault="002E173E"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261" w:type="dxa"/>
                <w:shd w:val="clear" w:color="auto" w:fill="auto"/>
              </w:tcPr>
              <w:p w14:paraId="0D03CA37" w14:textId="77777777" w:rsidR="00D8603D" w:rsidRPr="005E50F9" w:rsidRDefault="002E173E" w:rsidP="00022734">
                <w:pPr>
                  <w:tabs>
                    <w:tab w:val="left" w:pos="2834"/>
                    <w:tab w:val="right" w:pos="8838"/>
                  </w:tabs>
                  <w:ind w:left="-108" w:right="-102"/>
                  <w:rPr>
                    <w:rFonts w:ascii="Palatino Linotype" w:eastAsia="Calibri" w:hAnsi="Palatino Linotype" w:cs="Tahoma"/>
                    <w:sz w:val="22"/>
                    <w:szCs w:val="22"/>
                    <w:lang w:val="es-ES" w:eastAsia="en-US"/>
                  </w:rPr>
                </w:pPr>
                <w:r w:rsidRPr="005E50F9">
                  <w:rPr>
                    <w:rFonts w:ascii="Palatino Linotype" w:eastAsia="Calibri" w:hAnsi="Palatino Linotype" w:cs="Tahoma"/>
                    <w:bCs/>
                    <w:sz w:val="22"/>
                    <w:szCs w:val="22"/>
                    <w:lang w:eastAsia="en-US"/>
                  </w:rPr>
                  <w:t>Ayuntamiento de San Martín de Las Pirámides</w:t>
                </w:r>
              </w:p>
            </w:tc>
          </w:tr>
          <w:tr w:rsidR="00D8603D" w14:paraId="6F045B17" w14:textId="77777777" w:rsidTr="00022734">
            <w:trPr>
              <w:trHeight w:val="295"/>
            </w:trPr>
            <w:tc>
              <w:tcPr>
                <w:tcW w:w="2551" w:type="dxa"/>
                <w:shd w:val="clear" w:color="auto" w:fill="auto"/>
              </w:tcPr>
              <w:p w14:paraId="46343157" w14:textId="77777777" w:rsidR="00D8603D" w:rsidRPr="00020E73" w:rsidRDefault="002E173E" w:rsidP="00E84FD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261" w:type="dxa"/>
                <w:shd w:val="clear" w:color="auto" w:fill="auto"/>
              </w:tcPr>
              <w:p w14:paraId="5B55C067" w14:textId="77777777" w:rsidR="00D8603D" w:rsidRPr="00020E73" w:rsidRDefault="002E173E" w:rsidP="00022734">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3C31B8B" w14:textId="77777777" w:rsidR="00D8603D" w:rsidRPr="00020E73" w:rsidRDefault="00B76EFB" w:rsidP="00022734">
                <w:pPr>
                  <w:tabs>
                    <w:tab w:val="right" w:pos="8838"/>
                  </w:tabs>
                  <w:ind w:left="-108" w:right="171"/>
                  <w:rPr>
                    <w:rFonts w:ascii="Palatino Linotype" w:eastAsia="Calibri" w:hAnsi="Palatino Linotype" w:cs="Tahoma"/>
                    <w:b/>
                    <w:sz w:val="22"/>
                    <w:szCs w:val="22"/>
                    <w:lang w:val="es-ES" w:eastAsia="en-US"/>
                  </w:rPr>
                </w:pPr>
              </w:p>
            </w:tc>
          </w:tr>
        </w:tbl>
        <w:p w14:paraId="15277905" w14:textId="77777777" w:rsidR="00D8603D" w:rsidRPr="005C106F" w:rsidRDefault="00B76EFB" w:rsidP="00E84FDD">
          <w:pPr>
            <w:tabs>
              <w:tab w:val="right" w:pos="8838"/>
            </w:tabs>
            <w:ind w:left="-28"/>
            <w:jc w:val="both"/>
            <w:rPr>
              <w:rFonts w:ascii="Arial" w:eastAsia="Calibri" w:hAnsi="Arial" w:cs="Arial"/>
              <w:b/>
              <w:sz w:val="22"/>
              <w:szCs w:val="22"/>
              <w:lang w:eastAsia="en-US"/>
            </w:rPr>
          </w:pPr>
        </w:p>
      </w:tc>
    </w:tr>
  </w:tbl>
  <w:p w14:paraId="75D8917C" w14:textId="77777777" w:rsidR="00D8603D" w:rsidRPr="00443C6B" w:rsidRDefault="00B76EFB" w:rsidP="00E84FDD">
    <w:pPr>
      <w:pStyle w:val="Encabezado"/>
      <w:rPr>
        <w:sz w:val="14"/>
      </w:rPr>
    </w:pPr>
    <w:r>
      <w:rPr>
        <w:noProof/>
        <w:sz w:val="14"/>
      </w:rPr>
      <w:pict w14:anchorId="629FD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D8603D" w:rsidRPr="00330DA7" w14:paraId="676144ED" w14:textId="77777777" w:rsidTr="00E84FDD">
      <w:trPr>
        <w:trHeight w:val="1435"/>
      </w:trPr>
      <w:tc>
        <w:tcPr>
          <w:tcW w:w="2268" w:type="dxa"/>
          <w:shd w:val="clear" w:color="auto" w:fill="auto"/>
        </w:tcPr>
        <w:p w14:paraId="070EFE43" w14:textId="77777777" w:rsidR="00D8603D" w:rsidRPr="00330DA7" w:rsidRDefault="00B76EFB" w:rsidP="00E84FDD">
          <w:pPr>
            <w:tabs>
              <w:tab w:val="right" w:pos="4273"/>
            </w:tabs>
            <w:rPr>
              <w:rFonts w:ascii="Garamond" w:eastAsia="Calibri" w:hAnsi="Garamond"/>
              <w:sz w:val="22"/>
              <w:szCs w:val="22"/>
              <w:lang w:eastAsia="en-US"/>
            </w:rPr>
          </w:pPr>
        </w:p>
      </w:tc>
      <w:tc>
        <w:tcPr>
          <w:tcW w:w="6804" w:type="dxa"/>
          <w:shd w:val="clear" w:color="auto" w:fill="auto"/>
        </w:tcPr>
        <w:tbl>
          <w:tblPr>
            <w:tblW w:w="5811" w:type="dxa"/>
            <w:tblInd w:w="885" w:type="dxa"/>
            <w:tblLayout w:type="fixed"/>
            <w:tblLook w:val="0420" w:firstRow="1" w:lastRow="0" w:firstColumn="0" w:lastColumn="0" w:noHBand="0" w:noVBand="1"/>
          </w:tblPr>
          <w:tblGrid>
            <w:gridCol w:w="2444"/>
            <w:gridCol w:w="3367"/>
          </w:tblGrid>
          <w:tr w:rsidR="00D8603D" w:rsidRPr="00330DA7" w14:paraId="5B865187" w14:textId="77777777" w:rsidTr="00022734">
            <w:trPr>
              <w:trHeight w:val="144"/>
            </w:trPr>
            <w:tc>
              <w:tcPr>
                <w:tcW w:w="2444" w:type="dxa"/>
                <w:shd w:val="clear" w:color="auto" w:fill="auto"/>
              </w:tcPr>
              <w:p w14:paraId="653D16B2" w14:textId="77777777" w:rsidR="00D8603D" w:rsidRPr="00020E73" w:rsidRDefault="002E173E" w:rsidP="00E84FD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367" w:type="dxa"/>
                <w:shd w:val="clear" w:color="auto" w:fill="auto"/>
              </w:tcPr>
              <w:p w14:paraId="739CA582" w14:textId="77777777" w:rsidR="00D8603D" w:rsidRPr="005E50F9" w:rsidRDefault="002E173E" w:rsidP="00022734">
                <w:pPr>
                  <w:tabs>
                    <w:tab w:val="right" w:pos="8838"/>
                  </w:tabs>
                  <w:ind w:right="-105"/>
                  <w:rPr>
                    <w:rFonts w:ascii="Palatino Linotype" w:eastAsia="Calibri" w:hAnsi="Palatino Linotype" w:cs="Tahoma"/>
                    <w:bCs/>
                    <w:sz w:val="22"/>
                    <w:szCs w:val="22"/>
                    <w:lang w:val="es-ES" w:eastAsia="en-US"/>
                  </w:rPr>
                </w:pPr>
                <w:r w:rsidRPr="005E50F9">
                  <w:rPr>
                    <w:rFonts w:ascii="Palatino Linotype" w:eastAsia="Calibri" w:hAnsi="Palatino Linotype" w:cs="Tahoma"/>
                    <w:sz w:val="22"/>
                    <w:szCs w:val="22"/>
                    <w:lang w:eastAsia="en-US"/>
                  </w:rPr>
                  <w:t>07933/INFOEM/IP/RR/2022</w:t>
                </w:r>
                <w:r w:rsidRPr="005E50F9">
                  <w:rPr>
                    <w:rFonts w:ascii="Palatino Linotype" w:eastAsia="Calibri" w:hAnsi="Palatino Linotype" w:cs="Tahoma"/>
                    <w:bCs/>
                    <w:sz w:val="22"/>
                    <w:szCs w:val="22"/>
                    <w:lang w:eastAsia="en-US"/>
                  </w:rPr>
                  <w:t xml:space="preserve"> </w:t>
                </w:r>
              </w:p>
            </w:tc>
          </w:tr>
          <w:tr w:rsidR="00D8603D" w:rsidRPr="00330DA7" w14:paraId="0B28D0F5" w14:textId="77777777" w:rsidTr="00022734">
            <w:trPr>
              <w:trHeight w:val="144"/>
            </w:trPr>
            <w:tc>
              <w:tcPr>
                <w:tcW w:w="2444" w:type="dxa"/>
                <w:shd w:val="clear" w:color="auto" w:fill="auto"/>
              </w:tcPr>
              <w:p w14:paraId="4AF2980F" w14:textId="77777777" w:rsidR="00D8603D" w:rsidRPr="00020E73" w:rsidRDefault="002E173E"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3367" w:type="dxa"/>
                <w:shd w:val="clear" w:color="auto" w:fill="auto"/>
              </w:tcPr>
              <w:p w14:paraId="57C0667E" w14:textId="61E2AEC0" w:rsidR="00D8603D" w:rsidRPr="005E50F9" w:rsidRDefault="002E173E" w:rsidP="00022734">
                <w:pPr>
                  <w:tabs>
                    <w:tab w:val="left" w:pos="3122"/>
                    <w:tab w:val="right" w:pos="8838"/>
                  </w:tabs>
                  <w:ind w:left="-74" w:right="-105"/>
                  <w:rPr>
                    <w:rFonts w:ascii="Palatino Linotype" w:eastAsia="Calibri" w:hAnsi="Palatino Linotype" w:cs="Tahoma"/>
                    <w:sz w:val="22"/>
                    <w:szCs w:val="22"/>
                    <w:lang w:val="es-ES" w:eastAsia="en-US"/>
                  </w:rPr>
                </w:pPr>
                <w:r w:rsidRPr="005E50F9">
                  <w:rPr>
                    <w:rFonts w:ascii="Palatino Linotype" w:eastAsia="Calibri" w:hAnsi="Palatino Linotype" w:cs="Tahoma"/>
                    <w:sz w:val="22"/>
                    <w:szCs w:val="22"/>
                    <w:lang w:val="es-ES" w:eastAsia="en-US"/>
                  </w:rPr>
                  <w:t xml:space="preserve"> </w:t>
                </w:r>
                <w:r w:rsidR="00A51BD8">
                  <w:rPr>
                    <w:rFonts w:ascii="Palatino Linotype" w:eastAsia="Calibri" w:hAnsi="Palatino Linotype" w:cs="Tahoma"/>
                    <w:bCs/>
                    <w:sz w:val="22"/>
                    <w:szCs w:val="22"/>
                    <w:lang w:eastAsia="en-US"/>
                  </w:rPr>
                  <w:t>XXX XXX XXX</w:t>
                </w:r>
              </w:p>
            </w:tc>
          </w:tr>
          <w:tr w:rsidR="00D8603D" w:rsidRPr="00330DA7" w14:paraId="3719878A" w14:textId="77777777" w:rsidTr="00022734">
            <w:trPr>
              <w:trHeight w:val="283"/>
            </w:trPr>
            <w:tc>
              <w:tcPr>
                <w:tcW w:w="2444" w:type="dxa"/>
                <w:shd w:val="clear" w:color="auto" w:fill="auto"/>
              </w:tcPr>
              <w:p w14:paraId="37E51109" w14:textId="77777777" w:rsidR="00D8603D" w:rsidRPr="00020E73" w:rsidRDefault="002E173E"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367" w:type="dxa"/>
                <w:shd w:val="clear" w:color="auto" w:fill="auto"/>
              </w:tcPr>
              <w:p w14:paraId="69CB4B6D" w14:textId="77777777" w:rsidR="00D8603D" w:rsidRPr="005E50F9" w:rsidRDefault="002E173E" w:rsidP="00022734">
                <w:pPr>
                  <w:tabs>
                    <w:tab w:val="left" w:pos="2834"/>
                    <w:tab w:val="right" w:pos="8838"/>
                  </w:tabs>
                  <w:ind w:left="-74" w:right="-105"/>
                  <w:rPr>
                    <w:rFonts w:ascii="Palatino Linotype" w:eastAsia="Calibri" w:hAnsi="Palatino Linotype" w:cs="Tahoma"/>
                    <w:sz w:val="22"/>
                    <w:szCs w:val="22"/>
                    <w:lang w:val="es-ES" w:eastAsia="en-US"/>
                  </w:rPr>
                </w:pPr>
                <w:r w:rsidRPr="005E50F9">
                  <w:rPr>
                    <w:rFonts w:ascii="Palatino Linotype" w:eastAsia="Calibri" w:hAnsi="Palatino Linotype" w:cs="Tahoma"/>
                    <w:bCs/>
                    <w:sz w:val="22"/>
                    <w:szCs w:val="22"/>
                    <w:lang w:eastAsia="en-US"/>
                  </w:rPr>
                  <w:t>Ayuntamiento de San Martín de Las Pirámides</w:t>
                </w:r>
              </w:p>
            </w:tc>
          </w:tr>
          <w:tr w:rsidR="00D8603D" w:rsidRPr="00330DA7" w14:paraId="0A005CC1" w14:textId="77777777" w:rsidTr="00022734">
            <w:trPr>
              <w:trHeight w:val="283"/>
            </w:trPr>
            <w:tc>
              <w:tcPr>
                <w:tcW w:w="2444" w:type="dxa"/>
                <w:shd w:val="clear" w:color="auto" w:fill="auto"/>
              </w:tcPr>
              <w:p w14:paraId="69718508" w14:textId="77777777" w:rsidR="00D8603D" w:rsidRPr="00020E73" w:rsidRDefault="002E173E" w:rsidP="00E84FD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367" w:type="dxa"/>
                <w:shd w:val="clear" w:color="auto" w:fill="auto"/>
              </w:tcPr>
              <w:p w14:paraId="4309842F" w14:textId="77777777" w:rsidR="00D8603D" w:rsidRPr="005E50F9" w:rsidRDefault="002E173E" w:rsidP="00022734">
                <w:pPr>
                  <w:tabs>
                    <w:tab w:val="right" w:pos="8838"/>
                  </w:tabs>
                  <w:ind w:left="-74" w:right="-105"/>
                  <w:rPr>
                    <w:rFonts w:ascii="Palatino Linotype" w:eastAsia="Calibri" w:hAnsi="Palatino Linotype" w:cs="Tahoma"/>
                    <w:sz w:val="22"/>
                    <w:szCs w:val="22"/>
                    <w:lang w:val="es-ES" w:eastAsia="en-US"/>
                  </w:rPr>
                </w:pPr>
                <w:r w:rsidRPr="005E50F9">
                  <w:rPr>
                    <w:rFonts w:ascii="Palatino Linotype" w:eastAsia="Calibri" w:hAnsi="Palatino Linotype" w:cs="Tahoma"/>
                    <w:sz w:val="22"/>
                    <w:szCs w:val="22"/>
                    <w:lang w:val="es-ES" w:eastAsia="en-US"/>
                  </w:rPr>
                  <w:t>María del Rosario Mejía Ayala</w:t>
                </w:r>
              </w:p>
              <w:p w14:paraId="5F20D7B6" w14:textId="77777777" w:rsidR="00D8603D" w:rsidRPr="005E50F9" w:rsidRDefault="00B76EFB" w:rsidP="00022734">
                <w:pPr>
                  <w:tabs>
                    <w:tab w:val="right" w:pos="8838"/>
                  </w:tabs>
                  <w:ind w:left="-74" w:right="-105"/>
                  <w:rPr>
                    <w:rFonts w:ascii="Palatino Linotype" w:eastAsia="Calibri" w:hAnsi="Palatino Linotype" w:cs="Tahoma"/>
                    <w:sz w:val="22"/>
                    <w:szCs w:val="22"/>
                    <w:lang w:val="es-ES" w:eastAsia="en-US"/>
                  </w:rPr>
                </w:pPr>
              </w:p>
            </w:tc>
          </w:tr>
        </w:tbl>
        <w:p w14:paraId="4AF30059" w14:textId="77777777" w:rsidR="00D8603D" w:rsidRPr="00330DA7" w:rsidRDefault="00B76EFB" w:rsidP="00E84FDD">
          <w:pPr>
            <w:tabs>
              <w:tab w:val="right" w:pos="8838"/>
            </w:tabs>
            <w:ind w:left="-28"/>
            <w:jc w:val="both"/>
            <w:rPr>
              <w:rFonts w:ascii="Arial" w:eastAsia="Calibri" w:hAnsi="Arial" w:cs="Arial"/>
              <w:b/>
              <w:sz w:val="22"/>
              <w:szCs w:val="22"/>
              <w:lang w:eastAsia="en-US"/>
            </w:rPr>
          </w:pPr>
        </w:p>
      </w:tc>
    </w:tr>
  </w:tbl>
  <w:p w14:paraId="199E15D6" w14:textId="77777777" w:rsidR="00D8603D" w:rsidRPr="00827FA0" w:rsidRDefault="00B76EFB" w:rsidP="00E84FDD">
    <w:pPr>
      <w:pStyle w:val="Encabezado"/>
      <w:rPr>
        <w:sz w:val="2"/>
        <w:szCs w:val="22"/>
      </w:rPr>
    </w:pPr>
    <w:r>
      <w:rPr>
        <w:noProof/>
        <w:sz w:val="2"/>
        <w:szCs w:val="22"/>
      </w:rPr>
      <w:pict w14:anchorId="28E81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C4"/>
    <w:multiLevelType w:val="hybridMultilevel"/>
    <w:tmpl w:val="0BBA30DC"/>
    <w:lvl w:ilvl="0" w:tplc="346207D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D61314"/>
    <w:multiLevelType w:val="hybridMultilevel"/>
    <w:tmpl w:val="DAC65CF0"/>
    <w:lvl w:ilvl="0" w:tplc="0C0A0001">
      <w:start w:val="1"/>
      <w:numFmt w:val="bullet"/>
      <w:lvlText w:val=""/>
      <w:lvlJc w:val="left"/>
      <w:pPr>
        <w:ind w:left="1571" w:hanging="360"/>
      </w:pPr>
      <w:rPr>
        <w:rFonts w:ascii="Symbol" w:hAnsi="Symbol" w:hint="default"/>
      </w:rPr>
    </w:lvl>
    <w:lvl w:ilvl="1" w:tplc="B7443454">
      <w:numFmt w:val="bullet"/>
      <w:lvlText w:val="-"/>
      <w:lvlJc w:val="left"/>
      <w:pPr>
        <w:ind w:left="2291" w:hanging="360"/>
      </w:pPr>
      <w:rPr>
        <w:rFonts w:ascii="Palatino Linotype" w:eastAsia="Times New Roman" w:hAnsi="Palatino Linotype" w:cs="Times New Roman"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17C1763D"/>
    <w:multiLevelType w:val="hybridMultilevel"/>
    <w:tmpl w:val="B70CBBC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193202C"/>
    <w:multiLevelType w:val="hybridMultilevel"/>
    <w:tmpl w:val="07BE4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D2A12"/>
    <w:multiLevelType w:val="hybridMultilevel"/>
    <w:tmpl w:val="84BA3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135774"/>
    <w:multiLevelType w:val="hybridMultilevel"/>
    <w:tmpl w:val="A7CE0B80"/>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4F54101F"/>
    <w:multiLevelType w:val="hybridMultilevel"/>
    <w:tmpl w:val="42D697C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5CFF761C"/>
    <w:multiLevelType w:val="hybridMultilevel"/>
    <w:tmpl w:val="A9D011A4"/>
    <w:lvl w:ilvl="0" w:tplc="C45A33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1317066"/>
    <w:multiLevelType w:val="hybridMultilevel"/>
    <w:tmpl w:val="41887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E83C1F"/>
    <w:multiLevelType w:val="multilevel"/>
    <w:tmpl w:val="620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913007">
    <w:abstractNumId w:val="4"/>
  </w:num>
  <w:num w:numId="2" w16cid:durableId="268240599">
    <w:abstractNumId w:val="1"/>
  </w:num>
  <w:num w:numId="3" w16cid:durableId="697043620">
    <w:abstractNumId w:val="7"/>
  </w:num>
  <w:num w:numId="4" w16cid:durableId="1358387739">
    <w:abstractNumId w:val="5"/>
  </w:num>
  <w:num w:numId="5" w16cid:durableId="2102674630">
    <w:abstractNumId w:val="10"/>
  </w:num>
  <w:num w:numId="6" w16cid:durableId="709887625">
    <w:abstractNumId w:val="9"/>
  </w:num>
  <w:num w:numId="7" w16cid:durableId="544415122">
    <w:abstractNumId w:val="2"/>
  </w:num>
  <w:num w:numId="8" w16cid:durableId="2025008591">
    <w:abstractNumId w:val="8"/>
  </w:num>
  <w:num w:numId="9" w16cid:durableId="540555494">
    <w:abstractNumId w:val="0"/>
  </w:num>
  <w:num w:numId="10" w16cid:durableId="405030205">
    <w:abstractNumId w:val="3"/>
  </w:num>
  <w:num w:numId="11" w16cid:durableId="1442798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BF"/>
    <w:rsid w:val="00022734"/>
    <w:rsid w:val="001833A9"/>
    <w:rsid w:val="00202B34"/>
    <w:rsid w:val="0028642B"/>
    <w:rsid w:val="002E173E"/>
    <w:rsid w:val="00371968"/>
    <w:rsid w:val="003C2CDC"/>
    <w:rsid w:val="0044550E"/>
    <w:rsid w:val="00573753"/>
    <w:rsid w:val="005B0107"/>
    <w:rsid w:val="005F115F"/>
    <w:rsid w:val="006E440E"/>
    <w:rsid w:val="008F3E87"/>
    <w:rsid w:val="00967142"/>
    <w:rsid w:val="00990FEF"/>
    <w:rsid w:val="00A24488"/>
    <w:rsid w:val="00A51BD8"/>
    <w:rsid w:val="00A678BF"/>
    <w:rsid w:val="00A908A6"/>
    <w:rsid w:val="00B022C3"/>
    <w:rsid w:val="00B73F13"/>
    <w:rsid w:val="00B76EFB"/>
    <w:rsid w:val="00C834B2"/>
    <w:rsid w:val="00D919E1"/>
    <w:rsid w:val="00F60DC7"/>
    <w:rsid w:val="00F91573"/>
    <w:rsid w:val="00FF69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DACD"/>
  <w15:chartTrackingRefBased/>
  <w15:docId w15:val="{DA24E1B1-74CA-4EE8-8A30-B3BE713E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BF"/>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A678B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78B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678BF"/>
    <w:pPr>
      <w:tabs>
        <w:tab w:val="center" w:pos="4419"/>
        <w:tab w:val="right" w:pos="8838"/>
      </w:tabs>
    </w:pPr>
  </w:style>
  <w:style w:type="character" w:customStyle="1" w:styleId="EncabezadoCar">
    <w:name w:val="Encabezado Car"/>
    <w:basedOn w:val="Fuentedeprrafopredeter"/>
    <w:link w:val="Encabezado"/>
    <w:uiPriority w:val="99"/>
    <w:rsid w:val="00A678B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678BF"/>
    <w:pPr>
      <w:tabs>
        <w:tab w:val="center" w:pos="4419"/>
        <w:tab w:val="right" w:pos="8838"/>
      </w:tabs>
    </w:pPr>
  </w:style>
  <w:style w:type="character" w:customStyle="1" w:styleId="PiedepginaCar">
    <w:name w:val="Pie de página Car"/>
    <w:basedOn w:val="Fuentedeprrafopredeter"/>
    <w:link w:val="Piedepgina"/>
    <w:uiPriority w:val="99"/>
    <w:rsid w:val="00A678B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678B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678B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A678BF"/>
    <w:rPr>
      <w:color w:val="0563C1"/>
      <w:u w:val="single"/>
    </w:rPr>
  </w:style>
  <w:style w:type="table" w:styleId="Tablaconcuadrcula6concolores">
    <w:name w:val="Grid Table 6 Colorful"/>
    <w:basedOn w:val="Tablanormal"/>
    <w:uiPriority w:val="51"/>
    <w:rsid w:val="00A678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678BF"/>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02273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51600.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1438857.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7309</Words>
  <Characters>40200</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5</cp:revision>
  <cp:lastPrinted>2024-02-02T01:04:00Z</cp:lastPrinted>
  <dcterms:created xsi:type="dcterms:W3CDTF">2024-01-30T20:14:00Z</dcterms:created>
  <dcterms:modified xsi:type="dcterms:W3CDTF">2024-02-09T16:42:00Z</dcterms:modified>
</cp:coreProperties>
</file>