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17FC0" w:rsidRDefault="00AE3DA7" w:rsidP="00A17FC0">
          <w:pPr>
            <w:pStyle w:val="TtuloTDC"/>
            <w:spacing w:before="0" w:line="240" w:lineRule="auto"/>
            <w:rPr>
              <w:rFonts w:ascii="Palatino Linotype" w:hAnsi="Palatino Linotype"/>
              <w:color w:val="auto"/>
              <w:sz w:val="24"/>
              <w:szCs w:val="24"/>
              <w:lang w:val="es-ES"/>
            </w:rPr>
          </w:pPr>
          <w:r w:rsidRPr="00A17FC0">
            <w:rPr>
              <w:rFonts w:ascii="Palatino Linotype" w:hAnsi="Palatino Linotype"/>
              <w:color w:val="auto"/>
              <w:sz w:val="24"/>
              <w:szCs w:val="24"/>
              <w:lang w:val="es-ES"/>
            </w:rPr>
            <w:t>Contenido</w:t>
          </w:r>
        </w:p>
        <w:p w14:paraId="3EB312A7" w14:textId="77777777" w:rsidR="00AA6EA9" w:rsidRPr="00A17FC0" w:rsidRDefault="00AA6EA9" w:rsidP="00A17FC0">
          <w:pPr>
            <w:spacing w:line="240" w:lineRule="auto"/>
            <w:rPr>
              <w:sz w:val="16"/>
              <w:szCs w:val="16"/>
              <w:lang w:val="es-ES" w:eastAsia="es-MX"/>
            </w:rPr>
          </w:pPr>
        </w:p>
        <w:p w14:paraId="37F8EEBE" w14:textId="10F31B86" w:rsidR="00A17FC0" w:rsidRDefault="00AE3DA7">
          <w:pPr>
            <w:pStyle w:val="TDC1"/>
            <w:tabs>
              <w:tab w:val="right" w:leader="dot" w:pos="9034"/>
            </w:tabs>
            <w:rPr>
              <w:rFonts w:asciiTheme="minorHAnsi" w:eastAsiaTheme="minorEastAsia" w:hAnsiTheme="minorHAnsi" w:cstheme="minorBidi"/>
              <w:noProof/>
              <w:szCs w:val="22"/>
              <w:lang w:eastAsia="es-MX"/>
            </w:rPr>
          </w:pPr>
          <w:r w:rsidRPr="00A17FC0">
            <w:rPr>
              <w:sz w:val="16"/>
              <w:szCs w:val="16"/>
            </w:rPr>
            <w:fldChar w:fldCharType="begin"/>
          </w:r>
          <w:r w:rsidRPr="00A17FC0">
            <w:rPr>
              <w:sz w:val="16"/>
              <w:szCs w:val="16"/>
            </w:rPr>
            <w:instrText xml:space="preserve"> TOC \o "1-3" \h \z \u </w:instrText>
          </w:r>
          <w:r w:rsidRPr="00A17FC0">
            <w:rPr>
              <w:sz w:val="16"/>
              <w:szCs w:val="16"/>
            </w:rPr>
            <w:fldChar w:fldCharType="separate"/>
          </w:r>
          <w:hyperlink w:anchor="_Toc177655595" w:history="1">
            <w:r w:rsidR="00A17FC0" w:rsidRPr="00F8691A">
              <w:rPr>
                <w:rStyle w:val="Hipervnculo"/>
                <w:noProof/>
              </w:rPr>
              <w:t>ANTECEDENTES</w:t>
            </w:r>
            <w:r w:rsidR="00A17FC0">
              <w:rPr>
                <w:noProof/>
                <w:webHidden/>
              </w:rPr>
              <w:tab/>
            </w:r>
            <w:r w:rsidR="00A17FC0">
              <w:rPr>
                <w:noProof/>
                <w:webHidden/>
              </w:rPr>
              <w:fldChar w:fldCharType="begin"/>
            </w:r>
            <w:r w:rsidR="00A17FC0">
              <w:rPr>
                <w:noProof/>
                <w:webHidden/>
              </w:rPr>
              <w:instrText xml:space="preserve"> PAGEREF _Toc177655595 \h </w:instrText>
            </w:r>
            <w:r w:rsidR="00A17FC0">
              <w:rPr>
                <w:noProof/>
                <w:webHidden/>
              </w:rPr>
            </w:r>
            <w:r w:rsidR="00A17FC0">
              <w:rPr>
                <w:noProof/>
                <w:webHidden/>
              </w:rPr>
              <w:fldChar w:fldCharType="separate"/>
            </w:r>
            <w:r w:rsidR="000477FB">
              <w:rPr>
                <w:noProof/>
                <w:webHidden/>
              </w:rPr>
              <w:t>1</w:t>
            </w:r>
            <w:r w:rsidR="00A17FC0">
              <w:rPr>
                <w:noProof/>
                <w:webHidden/>
              </w:rPr>
              <w:fldChar w:fldCharType="end"/>
            </w:r>
          </w:hyperlink>
        </w:p>
        <w:p w14:paraId="63EBBF1F" w14:textId="24F02D11" w:rsidR="00A17FC0" w:rsidRDefault="00471ACB">
          <w:pPr>
            <w:pStyle w:val="TDC2"/>
            <w:rPr>
              <w:rFonts w:asciiTheme="minorHAnsi" w:eastAsiaTheme="minorEastAsia" w:hAnsiTheme="minorHAnsi" w:cstheme="minorBidi"/>
              <w:noProof/>
              <w:szCs w:val="22"/>
              <w:lang w:eastAsia="es-MX"/>
            </w:rPr>
          </w:pPr>
          <w:hyperlink w:anchor="_Toc177655596" w:history="1">
            <w:r w:rsidR="00A17FC0" w:rsidRPr="00F8691A">
              <w:rPr>
                <w:rStyle w:val="Hipervnculo"/>
                <w:noProof/>
              </w:rPr>
              <w:t>DE LA SOLICITUD DE INFORMACIÓN</w:t>
            </w:r>
            <w:r w:rsidR="00A17FC0">
              <w:rPr>
                <w:noProof/>
                <w:webHidden/>
              </w:rPr>
              <w:tab/>
            </w:r>
            <w:r w:rsidR="00A17FC0">
              <w:rPr>
                <w:noProof/>
                <w:webHidden/>
              </w:rPr>
              <w:fldChar w:fldCharType="begin"/>
            </w:r>
            <w:r w:rsidR="00A17FC0">
              <w:rPr>
                <w:noProof/>
                <w:webHidden/>
              </w:rPr>
              <w:instrText xml:space="preserve"> PAGEREF _Toc177655596 \h </w:instrText>
            </w:r>
            <w:r w:rsidR="00A17FC0">
              <w:rPr>
                <w:noProof/>
                <w:webHidden/>
              </w:rPr>
            </w:r>
            <w:r w:rsidR="00A17FC0">
              <w:rPr>
                <w:noProof/>
                <w:webHidden/>
              </w:rPr>
              <w:fldChar w:fldCharType="separate"/>
            </w:r>
            <w:r w:rsidR="000477FB">
              <w:rPr>
                <w:noProof/>
                <w:webHidden/>
              </w:rPr>
              <w:t>1</w:t>
            </w:r>
            <w:r w:rsidR="00A17FC0">
              <w:rPr>
                <w:noProof/>
                <w:webHidden/>
              </w:rPr>
              <w:fldChar w:fldCharType="end"/>
            </w:r>
          </w:hyperlink>
        </w:p>
        <w:p w14:paraId="660FE8C4" w14:textId="7E2C5D99" w:rsidR="00A17FC0" w:rsidRDefault="00471ACB">
          <w:pPr>
            <w:pStyle w:val="TDC3"/>
            <w:rPr>
              <w:rFonts w:asciiTheme="minorHAnsi" w:eastAsiaTheme="minorEastAsia" w:hAnsiTheme="minorHAnsi" w:cstheme="minorBidi"/>
              <w:noProof/>
              <w:szCs w:val="22"/>
              <w:lang w:eastAsia="es-MX"/>
            </w:rPr>
          </w:pPr>
          <w:hyperlink w:anchor="_Toc177655597" w:history="1">
            <w:r w:rsidR="00A17FC0" w:rsidRPr="00F8691A">
              <w:rPr>
                <w:rStyle w:val="Hipervnculo"/>
                <w:noProof/>
              </w:rPr>
              <w:t>a) Solicitud de información</w:t>
            </w:r>
            <w:r w:rsidR="00A17FC0">
              <w:rPr>
                <w:noProof/>
                <w:webHidden/>
              </w:rPr>
              <w:tab/>
            </w:r>
            <w:r w:rsidR="00A17FC0">
              <w:rPr>
                <w:noProof/>
                <w:webHidden/>
              </w:rPr>
              <w:fldChar w:fldCharType="begin"/>
            </w:r>
            <w:r w:rsidR="00A17FC0">
              <w:rPr>
                <w:noProof/>
                <w:webHidden/>
              </w:rPr>
              <w:instrText xml:space="preserve"> PAGEREF _Toc177655597 \h </w:instrText>
            </w:r>
            <w:r w:rsidR="00A17FC0">
              <w:rPr>
                <w:noProof/>
                <w:webHidden/>
              </w:rPr>
            </w:r>
            <w:r w:rsidR="00A17FC0">
              <w:rPr>
                <w:noProof/>
                <w:webHidden/>
              </w:rPr>
              <w:fldChar w:fldCharType="separate"/>
            </w:r>
            <w:r w:rsidR="000477FB">
              <w:rPr>
                <w:noProof/>
                <w:webHidden/>
              </w:rPr>
              <w:t>1</w:t>
            </w:r>
            <w:r w:rsidR="00A17FC0">
              <w:rPr>
                <w:noProof/>
                <w:webHidden/>
              </w:rPr>
              <w:fldChar w:fldCharType="end"/>
            </w:r>
          </w:hyperlink>
        </w:p>
        <w:p w14:paraId="0B61A59C" w14:textId="57DFD59C" w:rsidR="00A17FC0" w:rsidRDefault="00471ACB">
          <w:pPr>
            <w:pStyle w:val="TDC3"/>
            <w:rPr>
              <w:rFonts w:asciiTheme="minorHAnsi" w:eastAsiaTheme="minorEastAsia" w:hAnsiTheme="minorHAnsi" w:cstheme="minorBidi"/>
              <w:noProof/>
              <w:szCs w:val="22"/>
              <w:lang w:eastAsia="es-MX"/>
            </w:rPr>
          </w:pPr>
          <w:hyperlink w:anchor="_Toc177655598" w:history="1">
            <w:r w:rsidR="00A17FC0" w:rsidRPr="00F8691A">
              <w:rPr>
                <w:rStyle w:val="Hipervnculo"/>
                <w:noProof/>
              </w:rPr>
              <w:t>b) Turno de la solicitud de información</w:t>
            </w:r>
            <w:r w:rsidR="00A17FC0">
              <w:rPr>
                <w:noProof/>
                <w:webHidden/>
              </w:rPr>
              <w:tab/>
            </w:r>
            <w:r w:rsidR="00A17FC0">
              <w:rPr>
                <w:noProof/>
                <w:webHidden/>
              </w:rPr>
              <w:fldChar w:fldCharType="begin"/>
            </w:r>
            <w:r w:rsidR="00A17FC0">
              <w:rPr>
                <w:noProof/>
                <w:webHidden/>
              </w:rPr>
              <w:instrText xml:space="preserve"> PAGEREF _Toc177655598 \h </w:instrText>
            </w:r>
            <w:r w:rsidR="00A17FC0">
              <w:rPr>
                <w:noProof/>
                <w:webHidden/>
              </w:rPr>
            </w:r>
            <w:r w:rsidR="00A17FC0">
              <w:rPr>
                <w:noProof/>
                <w:webHidden/>
              </w:rPr>
              <w:fldChar w:fldCharType="separate"/>
            </w:r>
            <w:r w:rsidR="000477FB">
              <w:rPr>
                <w:noProof/>
                <w:webHidden/>
              </w:rPr>
              <w:t>2</w:t>
            </w:r>
            <w:r w:rsidR="00A17FC0">
              <w:rPr>
                <w:noProof/>
                <w:webHidden/>
              </w:rPr>
              <w:fldChar w:fldCharType="end"/>
            </w:r>
          </w:hyperlink>
        </w:p>
        <w:p w14:paraId="3C1B158F" w14:textId="23F62159" w:rsidR="00A17FC0" w:rsidRDefault="00471ACB">
          <w:pPr>
            <w:pStyle w:val="TDC3"/>
            <w:rPr>
              <w:rFonts w:asciiTheme="minorHAnsi" w:eastAsiaTheme="minorEastAsia" w:hAnsiTheme="minorHAnsi" w:cstheme="minorBidi"/>
              <w:noProof/>
              <w:szCs w:val="22"/>
              <w:lang w:eastAsia="es-MX"/>
            </w:rPr>
          </w:pPr>
          <w:hyperlink w:anchor="_Toc177655599" w:history="1">
            <w:r w:rsidR="00A17FC0" w:rsidRPr="00F8691A">
              <w:rPr>
                <w:rStyle w:val="Hipervnculo"/>
                <w:noProof/>
                <w:lang w:val="es-ES"/>
              </w:rPr>
              <w:t xml:space="preserve">c) Respuesta </w:t>
            </w:r>
            <w:r w:rsidR="00A17FC0" w:rsidRPr="00F8691A">
              <w:rPr>
                <w:rStyle w:val="Hipervnculo"/>
                <w:rFonts w:eastAsia="Calibri"/>
                <w:noProof/>
                <w:lang w:eastAsia="en-US"/>
              </w:rPr>
              <w:t>del Sujeto Obligado</w:t>
            </w:r>
            <w:r w:rsidR="00A17FC0">
              <w:rPr>
                <w:noProof/>
                <w:webHidden/>
              </w:rPr>
              <w:tab/>
            </w:r>
            <w:r w:rsidR="00A17FC0">
              <w:rPr>
                <w:noProof/>
                <w:webHidden/>
              </w:rPr>
              <w:fldChar w:fldCharType="begin"/>
            </w:r>
            <w:r w:rsidR="00A17FC0">
              <w:rPr>
                <w:noProof/>
                <w:webHidden/>
              </w:rPr>
              <w:instrText xml:space="preserve"> PAGEREF _Toc177655599 \h </w:instrText>
            </w:r>
            <w:r w:rsidR="00A17FC0">
              <w:rPr>
                <w:noProof/>
                <w:webHidden/>
              </w:rPr>
            </w:r>
            <w:r w:rsidR="00A17FC0">
              <w:rPr>
                <w:noProof/>
                <w:webHidden/>
              </w:rPr>
              <w:fldChar w:fldCharType="separate"/>
            </w:r>
            <w:r w:rsidR="000477FB">
              <w:rPr>
                <w:noProof/>
                <w:webHidden/>
              </w:rPr>
              <w:t>2</w:t>
            </w:r>
            <w:r w:rsidR="00A17FC0">
              <w:rPr>
                <w:noProof/>
                <w:webHidden/>
              </w:rPr>
              <w:fldChar w:fldCharType="end"/>
            </w:r>
          </w:hyperlink>
        </w:p>
        <w:p w14:paraId="7616D827" w14:textId="231289A4" w:rsidR="00A17FC0" w:rsidRDefault="00471ACB">
          <w:pPr>
            <w:pStyle w:val="TDC2"/>
            <w:rPr>
              <w:rFonts w:asciiTheme="minorHAnsi" w:eastAsiaTheme="minorEastAsia" w:hAnsiTheme="minorHAnsi" w:cstheme="minorBidi"/>
              <w:noProof/>
              <w:szCs w:val="22"/>
              <w:lang w:eastAsia="es-MX"/>
            </w:rPr>
          </w:pPr>
          <w:hyperlink w:anchor="_Toc177655600" w:history="1">
            <w:r w:rsidR="00A17FC0" w:rsidRPr="00F8691A">
              <w:rPr>
                <w:rStyle w:val="Hipervnculo"/>
                <w:noProof/>
              </w:rPr>
              <w:t>DEL RECURSO DE REVISIÓN</w:t>
            </w:r>
            <w:r w:rsidR="00A17FC0">
              <w:rPr>
                <w:noProof/>
                <w:webHidden/>
              </w:rPr>
              <w:tab/>
            </w:r>
            <w:r w:rsidR="00A17FC0">
              <w:rPr>
                <w:noProof/>
                <w:webHidden/>
              </w:rPr>
              <w:fldChar w:fldCharType="begin"/>
            </w:r>
            <w:r w:rsidR="00A17FC0">
              <w:rPr>
                <w:noProof/>
                <w:webHidden/>
              </w:rPr>
              <w:instrText xml:space="preserve"> PAGEREF _Toc177655600 \h </w:instrText>
            </w:r>
            <w:r w:rsidR="00A17FC0">
              <w:rPr>
                <w:noProof/>
                <w:webHidden/>
              </w:rPr>
            </w:r>
            <w:r w:rsidR="00A17FC0">
              <w:rPr>
                <w:noProof/>
                <w:webHidden/>
              </w:rPr>
              <w:fldChar w:fldCharType="separate"/>
            </w:r>
            <w:r w:rsidR="000477FB">
              <w:rPr>
                <w:noProof/>
                <w:webHidden/>
              </w:rPr>
              <w:t>4</w:t>
            </w:r>
            <w:r w:rsidR="00A17FC0">
              <w:rPr>
                <w:noProof/>
                <w:webHidden/>
              </w:rPr>
              <w:fldChar w:fldCharType="end"/>
            </w:r>
          </w:hyperlink>
        </w:p>
        <w:p w14:paraId="656F3BC3" w14:textId="0FC16033" w:rsidR="00A17FC0" w:rsidRDefault="00471ACB">
          <w:pPr>
            <w:pStyle w:val="TDC3"/>
            <w:rPr>
              <w:rFonts w:asciiTheme="minorHAnsi" w:eastAsiaTheme="minorEastAsia" w:hAnsiTheme="minorHAnsi" w:cstheme="minorBidi"/>
              <w:noProof/>
              <w:szCs w:val="22"/>
              <w:lang w:eastAsia="es-MX"/>
            </w:rPr>
          </w:pPr>
          <w:hyperlink w:anchor="_Toc177655601" w:history="1">
            <w:r w:rsidR="00A17FC0" w:rsidRPr="00F8691A">
              <w:rPr>
                <w:rStyle w:val="Hipervnculo"/>
                <w:noProof/>
              </w:rPr>
              <w:t>a) Interposición del Recurso de Revisión</w:t>
            </w:r>
            <w:r w:rsidR="00A17FC0">
              <w:rPr>
                <w:noProof/>
                <w:webHidden/>
              </w:rPr>
              <w:tab/>
            </w:r>
            <w:r w:rsidR="00A17FC0">
              <w:rPr>
                <w:noProof/>
                <w:webHidden/>
              </w:rPr>
              <w:fldChar w:fldCharType="begin"/>
            </w:r>
            <w:r w:rsidR="00A17FC0">
              <w:rPr>
                <w:noProof/>
                <w:webHidden/>
              </w:rPr>
              <w:instrText xml:space="preserve"> PAGEREF _Toc177655601 \h </w:instrText>
            </w:r>
            <w:r w:rsidR="00A17FC0">
              <w:rPr>
                <w:noProof/>
                <w:webHidden/>
              </w:rPr>
            </w:r>
            <w:r w:rsidR="00A17FC0">
              <w:rPr>
                <w:noProof/>
                <w:webHidden/>
              </w:rPr>
              <w:fldChar w:fldCharType="separate"/>
            </w:r>
            <w:r w:rsidR="000477FB">
              <w:rPr>
                <w:noProof/>
                <w:webHidden/>
              </w:rPr>
              <w:t>4</w:t>
            </w:r>
            <w:r w:rsidR="00A17FC0">
              <w:rPr>
                <w:noProof/>
                <w:webHidden/>
              </w:rPr>
              <w:fldChar w:fldCharType="end"/>
            </w:r>
          </w:hyperlink>
        </w:p>
        <w:p w14:paraId="7754A1BF" w14:textId="3CF97268" w:rsidR="00A17FC0" w:rsidRDefault="00471ACB">
          <w:pPr>
            <w:pStyle w:val="TDC3"/>
            <w:rPr>
              <w:rFonts w:asciiTheme="minorHAnsi" w:eastAsiaTheme="minorEastAsia" w:hAnsiTheme="minorHAnsi" w:cstheme="minorBidi"/>
              <w:noProof/>
              <w:szCs w:val="22"/>
              <w:lang w:eastAsia="es-MX"/>
            </w:rPr>
          </w:pPr>
          <w:hyperlink w:anchor="_Toc177655602" w:history="1">
            <w:r w:rsidR="00A17FC0" w:rsidRPr="00F8691A">
              <w:rPr>
                <w:rStyle w:val="Hipervnculo"/>
                <w:noProof/>
              </w:rPr>
              <w:t>b) Turno del Recurso de Revisión</w:t>
            </w:r>
            <w:r w:rsidR="00A17FC0">
              <w:rPr>
                <w:noProof/>
                <w:webHidden/>
              </w:rPr>
              <w:tab/>
            </w:r>
            <w:r w:rsidR="00A17FC0">
              <w:rPr>
                <w:noProof/>
                <w:webHidden/>
              </w:rPr>
              <w:fldChar w:fldCharType="begin"/>
            </w:r>
            <w:r w:rsidR="00A17FC0">
              <w:rPr>
                <w:noProof/>
                <w:webHidden/>
              </w:rPr>
              <w:instrText xml:space="preserve"> PAGEREF _Toc177655602 \h </w:instrText>
            </w:r>
            <w:r w:rsidR="00A17FC0">
              <w:rPr>
                <w:noProof/>
                <w:webHidden/>
              </w:rPr>
            </w:r>
            <w:r w:rsidR="00A17FC0">
              <w:rPr>
                <w:noProof/>
                <w:webHidden/>
              </w:rPr>
              <w:fldChar w:fldCharType="separate"/>
            </w:r>
            <w:r w:rsidR="000477FB">
              <w:rPr>
                <w:noProof/>
                <w:webHidden/>
              </w:rPr>
              <w:t>4</w:t>
            </w:r>
            <w:r w:rsidR="00A17FC0">
              <w:rPr>
                <w:noProof/>
                <w:webHidden/>
              </w:rPr>
              <w:fldChar w:fldCharType="end"/>
            </w:r>
          </w:hyperlink>
        </w:p>
        <w:p w14:paraId="04CE0A89" w14:textId="1C8F235D" w:rsidR="00A17FC0" w:rsidRDefault="00471ACB">
          <w:pPr>
            <w:pStyle w:val="TDC3"/>
            <w:rPr>
              <w:rFonts w:asciiTheme="minorHAnsi" w:eastAsiaTheme="minorEastAsia" w:hAnsiTheme="minorHAnsi" w:cstheme="minorBidi"/>
              <w:noProof/>
              <w:szCs w:val="22"/>
              <w:lang w:eastAsia="es-MX"/>
            </w:rPr>
          </w:pPr>
          <w:hyperlink w:anchor="_Toc177655603" w:history="1">
            <w:r w:rsidR="00A17FC0" w:rsidRPr="00F8691A">
              <w:rPr>
                <w:rStyle w:val="Hipervnculo"/>
                <w:noProof/>
              </w:rPr>
              <w:t>c) Admisión del Recurso de Revisión</w:t>
            </w:r>
            <w:r w:rsidR="00A17FC0">
              <w:rPr>
                <w:noProof/>
                <w:webHidden/>
              </w:rPr>
              <w:tab/>
            </w:r>
            <w:r w:rsidR="00A17FC0">
              <w:rPr>
                <w:noProof/>
                <w:webHidden/>
              </w:rPr>
              <w:fldChar w:fldCharType="begin"/>
            </w:r>
            <w:r w:rsidR="00A17FC0">
              <w:rPr>
                <w:noProof/>
                <w:webHidden/>
              </w:rPr>
              <w:instrText xml:space="preserve"> PAGEREF _Toc177655603 \h </w:instrText>
            </w:r>
            <w:r w:rsidR="00A17FC0">
              <w:rPr>
                <w:noProof/>
                <w:webHidden/>
              </w:rPr>
            </w:r>
            <w:r w:rsidR="00A17FC0">
              <w:rPr>
                <w:noProof/>
                <w:webHidden/>
              </w:rPr>
              <w:fldChar w:fldCharType="separate"/>
            </w:r>
            <w:r w:rsidR="000477FB">
              <w:rPr>
                <w:noProof/>
                <w:webHidden/>
              </w:rPr>
              <w:t>5</w:t>
            </w:r>
            <w:r w:rsidR="00A17FC0">
              <w:rPr>
                <w:noProof/>
                <w:webHidden/>
              </w:rPr>
              <w:fldChar w:fldCharType="end"/>
            </w:r>
          </w:hyperlink>
        </w:p>
        <w:p w14:paraId="6F76DDD8" w14:textId="0D7D2ABA" w:rsidR="00A17FC0" w:rsidRDefault="00471ACB">
          <w:pPr>
            <w:pStyle w:val="TDC3"/>
            <w:rPr>
              <w:rFonts w:asciiTheme="minorHAnsi" w:eastAsiaTheme="minorEastAsia" w:hAnsiTheme="minorHAnsi" w:cstheme="minorBidi"/>
              <w:noProof/>
              <w:szCs w:val="22"/>
              <w:lang w:eastAsia="es-MX"/>
            </w:rPr>
          </w:pPr>
          <w:hyperlink w:anchor="_Toc177655604" w:history="1">
            <w:r w:rsidR="00A17FC0" w:rsidRPr="00F8691A">
              <w:rPr>
                <w:rStyle w:val="Hipervnculo"/>
                <w:noProof/>
              </w:rPr>
              <w:t>d) Informe Justificado del Sujeto Obligado</w:t>
            </w:r>
            <w:r w:rsidR="00A17FC0">
              <w:rPr>
                <w:noProof/>
                <w:webHidden/>
              </w:rPr>
              <w:tab/>
            </w:r>
            <w:r w:rsidR="00A17FC0">
              <w:rPr>
                <w:noProof/>
                <w:webHidden/>
              </w:rPr>
              <w:fldChar w:fldCharType="begin"/>
            </w:r>
            <w:r w:rsidR="00A17FC0">
              <w:rPr>
                <w:noProof/>
                <w:webHidden/>
              </w:rPr>
              <w:instrText xml:space="preserve"> PAGEREF _Toc177655604 \h </w:instrText>
            </w:r>
            <w:r w:rsidR="00A17FC0">
              <w:rPr>
                <w:noProof/>
                <w:webHidden/>
              </w:rPr>
            </w:r>
            <w:r w:rsidR="00A17FC0">
              <w:rPr>
                <w:noProof/>
                <w:webHidden/>
              </w:rPr>
              <w:fldChar w:fldCharType="separate"/>
            </w:r>
            <w:r w:rsidR="000477FB">
              <w:rPr>
                <w:noProof/>
                <w:webHidden/>
              </w:rPr>
              <w:t>5</w:t>
            </w:r>
            <w:r w:rsidR="00A17FC0">
              <w:rPr>
                <w:noProof/>
                <w:webHidden/>
              </w:rPr>
              <w:fldChar w:fldCharType="end"/>
            </w:r>
          </w:hyperlink>
        </w:p>
        <w:p w14:paraId="3E298A86" w14:textId="1EF6197A" w:rsidR="00A17FC0" w:rsidRDefault="00471ACB">
          <w:pPr>
            <w:pStyle w:val="TDC3"/>
            <w:rPr>
              <w:rFonts w:asciiTheme="minorHAnsi" w:eastAsiaTheme="minorEastAsia" w:hAnsiTheme="minorHAnsi" w:cstheme="minorBidi"/>
              <w:noProof/>
              <w:szCs w:val="22"/>
              <w:lang w:eastAsia="es-MX"/>
            </w:rPr>
          </w:pPr>
          <w:hyperlink w:anchor="_Toc177655605" w:history="1">
            <w:r w:rsidR="00A17FC0" w:rsidRPr="00F8691A">
              <w:rPr>
                <w:rStyle w:val="Hipervnculo"/>
                <w:rFonts w:eastAsia="Calibri"/>
                <w:bCs/>
                <w:noProof/>
                <w:lang w:eastAsia="en-US"/>
              </w:rPr>
              <w:t>e)</w:t>
            </w:r>
            <w:r w:rsidR="00A17FC0" w:rsidRPr="00F8691A">
              <w:rPr>
                <w:rStyle w:val="Hipervnculo"/>
                <w:noProof/>
              </w:rPr>
              <w:t xml:space="preserve"> </w:t>
            </w:r>
            <w:r w:rsidR="00A17FC0" w:rsidRPr="00F8691A">
              <w:rPr>
                <w:rStyle w:val="Hipervnculo"/>
                <w:noProof/>
                <w:lang w:val="es-ES"/>
              </w:rPr>
              <w:t>Manifestaciones de la Parte Recurrente</w:t>
            </w:r>
            <w:r w:rsidR="00A17FC0">
              <w:rPr>
                <w:noProof/>
                <w:webHidden/>
              </w:rPr>
              <w:tab/>
            </w:r>
            <w:r w:rsidR="00A17FC0">
              <w:rPr>
                <w:noProof/>
                <w:webHidden/>
              </w:rPr>
              <w:fldChar w:fldCharType="begin"/>
            </w:r>
            <w:r w:rsidR="00A17FC0">
              <w:rPr>
                <w:noProof/>
                <w:webHidden/>
              </w:rPr>
              <w:instrText xml:space="preserve"> PAGEREF _Toc177655605 \h </w:instrText>
            </w:r>
            <w:r w:rsidR="00A17FC0">
              <w:rPr>
                <w:noProof/>
                <w:webHidden/>
              </w:rPr>
            </w:r>
            <w:r w:rsidR="00A17FC0">
              <w:rPr>
                <w:noProof/>
                <w:webHidden/>
              </w:rPr>
              <w:fldChar w:fldCharType="separate"/>
            </w:r>
            <w:r w:rsidR="000477FB">
              <w:rPr>
                <w:noProof/>
                <w:webHidden/>
              </w:rPr>
              <w:t>6</w:t>
            </w:r>
            <w:r w:rsidR="00A17FC0">
              <w:rPr>
                <w:noProof/>
                <w:webHidden/>
              </w:rPr>
              <w:fldChar w:fldCharType="end"/>
            </w:r>
          </w:hyperlink>
        </w:p>
        <w:p w14:paraId="5AB4159D" w14:textId="49F5F8D7" w:rsidR="00A17FC0" w:rsidRDefault="00471ACB">
          <w:pPr>
            <w:pStyle w:val="TDC3"/>
            <w:rPr>
              <w:rFonts w:asciiTheme="minorHAnsi" w:eastAsiaTheme="minorEastAsia" w:hAnsiTheme="minorHAnsi" w:cstheme="minorBidi"/>
              <w:noProof/>
              <w:szCs w:val="22"/>
              <w:lang w:eastAsia="es-MX"/>
            </w:rPr>
          </w:pPr>
          <w:hyperlink w:anchor="_Toc177655606" w:history="1">
            <w:r w:rsidR="00A17FC0" w:rsidRPr="00F8691A">
              <w:rPr>
                <w:rStyle w:val="Hipervnculo"/>
                <w:rFonts w:eastAsia="Calibri"/>
                <w:noProof/>
              </w:rPr>
              <w:t>f) Ampliación de plazo para resolver el Recurso de Revisión</w:t>
            </w:r>
            <w:r w:rsidR="00A17FC0">
              <w:rPr>
                <w:noProof/>
                <w:webHidden/>
              </w:rPr>
              <w:tab/>
            </w:r>
            <w:r w:rsidR="00A17FC0">
              <w:rPr>
                <w:noProof/>
                <w:webHidden/>
              </w:rPr>
              <w:fldChar w:fldCharType="begin"/>
            </w:r>
            <w:r w:rsidR="00A17FC0">
              <w:rPr>
                <w:noProof/>
                <w:webHidden/>
              </w:rPr>
              <w:instrText xml:space="preserve"> PAGEREF _Toc177655606 \h </w:instrText>
            </w:r>
            <w:r w:rsidR="00A17FC0">
              <w:rPr>
                <w:noProof/>
                <w:webHidden/>
              </w:rPr>
            </w:r>
            <w:r w:rsidR="00A17FC0">
              <w:rPr>
                <w:noProof/>
                <w:webHidden/>
              </w:rPr>
              <w:fldChar w:fldCharType="separate"/>
            </w:r>
            <w:r w:rsidR="000477FB">
              <w:rPr>
                <w:noProof/>
                <w:webHidden/>
              </w:rPr>
              <w:t>6</w:t>
            </w:r>
            <w:r w:rsidR="00A17FC0">
              <w:rPr>
                <w:noProof/>
                <w:webHidden/>
              </w:rPr>
              <w:fldChar w:fldCharType="end"/>
            </w:r>
          </w:hyperlink>
        </w:p>
        <w:p w14:paraId="49AE0732" w14:textId="38234404" w:rsidR="00A17FC0" w:rsidRDefault="00471ACB">
          <w:pPr>
            <w:pStyle w:val="TDC3"/>
            <w:rPr>
              <w:rFonts w:asciiTheme="minorHAnsi" w:eastAsiaTheme="minorEastAsia" w:hAnsiTheme="minorHAnsi" w:cstheme="minorBidi"/>
              <w:noProof/>
              <w:szCs w:val="22"/>
              <w:lang w:eastAsia="es-MX"/>
            </w:rPr>
          </w:pPr>
          <w:hyperlink w:anchor="_Toc177655607" w:history="1">
            <w:r w:rsidR="00A17FC0" w:rsidRPr="00F8691A">
              <w:rPr>
                <w:rStyle w:val="Hipervnculo"/>
                <w:noProof/>
              </w:rPr>
              <w:t>g) Cierre de instrucción</w:t>
            </w:r>
            <w:r w:rsidR="00A17FC0">
              <w:rPr>
                <w:noProof/>
                <w:webHidden/>
              </w:rPr>
              <w:tab/>
            </w:r>
            <w:r w:rsidR="00A17FC0">
              <w:rPr>
                <w:noProof/>
                <w:webHidden/>
              </w:rPr>
              <w:fldChar w:fldCharType="begin"/>
            </w:r>
            <w:r w:rsidR="00A17FC0">
              <w:rPr>
                <w:noProof/>
                <w:webHidden/>
              </w:rPr>
              <w:instrText xml:space="preserve"> PAGEREF _Toc177655607 \h </w:instrText>
            </w:r>
            <w:r w:rsidR="00A17FC0">
              <w:rPr>
                <w:noProof/>
                <w:webHidden/>
              </w:rPr>
            </w:r>
            <w:r w:rsidR="00A17FC0">
              <w:rPr>
                <w:noProof/>
                <w:webHidden/>
              </w:rPr>
              <w:fldChar w:fldCharType="separate"/>
            </w:r>
            <w:r w:rsidR="000477FB">
              <w:rPr>
                <w:noProof/>
                <w:webHidden/>
              </w:rPr>
              <w:t>9</w:t>
            </w:r>
            <w:r w:rsidR="00A17FC0">
              <w:rPr>
                <w:noProof/>
                <w:webHidden/>
              </w:rPr>
              <w:fldChar w:fldCharType="end"/>
            </w:r>
          </w:hyperlink>
        </w:p>
        <w:p w14:paraId="3456D6DE" w14:textId="2912C04B" w:rsidR="00A17FC0" w:rsidRDefault="00471ACB">
          <w:pPr>
            <w:pStyle w:val="TDC1"/>
            <w:tabs>
              <w:tab w:val="right" w:leader="dot" w:pos="9034"/>
            </w:tabs>
            <w:rPr>
              <w:rFonts w:asciiTheme="minorHAnsi" w:eastAsiaTheme="minorEastAsia" w:hAnsiTheme="minorHAnsi" w:cstheme="minorBidi"/>
              <w:noProof/>
              <w:szCs w:val="22"/>
              <w:lang w:eastAsia="es-MX"/>
            </w:rPr>
          </w:pPr>
          <w:hyperlink w:anchor="_Toc177655608" w:history="1">
            <w:r w:rsidR="00A17FC0" w:rsidRPr="00F8691A">
              <w:rPr>
                <w:rStyle w:val="Hipervnculo"/>
                <w:rFonts w:eastAsiaTheme="minorHAnsi"/>
                <w:noProof/>
                <w:lang w:eastAsia="en-US"/>
              </w:rPr>
              <w:t>CONSIDERANDOS</w:t>
            </w:r>
            <w:r w:rsidR="00A17FC0">
              <w:rPr>
                <w:noProof/>
                <w:webHidden/>
              </w:rPr>
              <w:tab/>
            </w:r>
            <w:r w:rsidR="00A17FC0">
              <w:rPr>
                <w:noProof/>
                <w:webHidden/>
              </w:rPr>
              <w:fldChar w:fldCharType="begin"/>
            </w:r>
            <w:r w:rsidR="00A17FC0">
              <w:rPr>
                <w:noProof/>
                <w:webHidden/>
              </w:rPr>
              <w:instrText xml:space="preserve"> PAGEREF _Toc177655608 \h </w:instrText>
            </w:r>
            <w:r w:rsidR="00A17FC0">
              <w:rPr>
                <w:noProof/>
                <w:webHidden/>
              </w:rPr>
            </w:r>
            <w:r w:rsidR="00A17FC0">
              <w:rPr>
                <w:noProof/>
                <w:webHidden/>
              </w:rPr>
              <w:fldChar w:fldCharType="separate"/>
            </w:r>
            <w:r w:rsidR="000477FB">
              <w:rPr>
                <w:noProof/>
                <w:webHidden/>
              </w:rPr>
              <w:t>9</w:t>
            </w:r>
            <w:r w:rsidR="00A17FC0">
              <w:rPr>
                <w:noProof/>
                <w:webHidden/>
              </w:rPr>
              <w:fldChar w:fldCharType="end"/>
            </w:r>
          </w:hyperlink>
        </w:p>
        <w:p w14:paraId="027DC3FD" w14:textId="160C93CF" w:rsidR="00A17FC0" w:rsidRDefault="00471ACB">
          <w:pPr>
            <w:pStyle w:val="TDC2"/>
            <w:rPr>
              <w:rFonts w:asciiTheme="minorHAnsi" w:eastAsiaTheme="minorEastAsia" w:hAnsiTheme="minorHAnsi" w:cstheme="minorBidi"/>
              <w:noProof/>
              <w:szCs w:val="22"/>
              <w:lang w:eastAsia="es-MX"/>
            </w:rPr>
          </w:pPr>
          <w:hyperlink w:anchor="_Toc177655609" w:history="1">
            <w:r w:rsidR="00A17FC0" w:rsidRPr="00F8691A">
              <w:rPr>
                <w:rStyle w:val="Hipervnculo"/>
                <w:rFonts w:eastAsia="Batang"/>
                <w:noProof/>
              </w:rPr>
              <w:t>PRIMERO. Procedibilidad</w:t>
            </w:r>
            <w:r w:rsidR="00A17FC0">
              <w:rPr>
                <w:noProof/>
                <w:webHidden/>
              </w:rPr>
              <w:tab/>
            </w:r>
            <w:r w:rsidR="00A17FC0">
              <w:rPr>
                <w:noProof/>
                <w:webHidden/>
              </w:rPr>
              <w:fldChar w:fldCharType="begin"/>
            </w:r>
            <w:r w:rsidR="00A17FC0">
              <w:rPr>
                <w:noProof/>
                <w:webHidden/>
              </w:rPr>
              <w:instrText xml:space="preserve"> PAGEREF _Toc177655609 \h </w:instrText>
            </w:r>
            <w:r w:rsidR="00A17FC0">
              <w:rPr>
                <w:noProof/>
                <w:webHidden/>
              </w:rPr>
            </w:r>
            <w:r w:rsidR="00A17FC0">
              <w:rPr>
                <w:noProof/>
                <w:webHidden/>
              </w:rPr>
              <w:fldChar w:fldCharType="separate"/>
            </w:r>
            <w:r w:rsidR="000477FB">
              <w:rPr>
                <w:noProof/>
                <w:webHidden/>
              </w:rPr>
              <w:t>9</w:t>
            </w:r>
            <w:r w:rsidR="00A17FC0">
              <w:rPr>
                <w:noProof/>
                <w:webHidden/>
              </w:rPr>
              <w:fldChar w:fldCharType="end"/>
            </w:r>
          </w:hyperlink>
        </w:p>
        <w:p w14:paraId="2DD4835F" w14:textId="1A3D9E1B" w:rsidR="00A17FC0" w:rsidRDefault="00471ACB">
          <w:pPr>
            <w:pStyle w:val="TDC3"/>
            <w:rPr>
              <w:rFonts w:asciiTheme="minorHAnsi" w:eastAsiaTheme="minorEastAsia" w:hAnsiTheme="minorHAnsi" w:cstheme="minorBidi"/>
              <w:noProof/>
              <w:szCs w:val="22"/>
              <w:lang w:eastAsia="es-MX"/>
            </w:rPr>
          </w:pPr>
          <w:hyperlink w:anchor="_Toc177655610" w:history="1">
            <w:r w:rsidR="00A17FC0" w:rsidRPr="00F8691A">
              <w:rPr>
                <w:rStyle w:val="Hipervnculo"/>
                <w:noProof/>
              </w:rPr>
              <w:t>a) Competencia del Instituto</w:t>
            </w:r>
            <w:r w:rsidR="00A17FC0">
              <w:rPr>
                <w:noProof/>
                <w:webHidden/>
              </w:rPr>
              <w:tab/>
            </w:r>
            <w:r w:rsidR="00A17FC0">
              <w:rPr>
                <w:noProof/>
                <w:webHidden/>
              </w:rPr>
              <w:fldChar w:fldCharType="begin"/>
            </w:r>
            <w:r w:rsidR="00A17FC0">
              <w:rPr>
                <w:noProof/>
                <w:webHidden/>
              </w:rPr>
              <w:instrText xml:space="preserve"> PAGEREF _Toc177655610 \h </w:instrText>
            </w:r>
            <w:r w:rsidR="00A17FC0">
              <w:rPr>
                <w:noProof/>
                <w:webHidden/>
              </w:rPr>
            </w:r>
            <w:r w:rsidR="00A17FC0">
              <w:rPr>
                <w:noProof/>
                <w:webHidden/>
              </w:rPr>
              <w:fldChar w:fldCharType="separate"/>
            </w:r>
            <w:r w:rsidR="000477FB">
              <w:rPr>
                <w:noProof/>
                <w:webHidden/>
              </w:rPr>
              <w:t>9</w:t>
            </w:r>
            <w:r w:rsidR="00A17FC0">
              <w:rPr>
                <w:noProof/>
                <w:webHidden/>
              </w:rPr>
              <w:fldChar w:fldCharType="end"/>
            </w:r>
          </w:hyperlink>
        </w:p>
        <w:p w14:paraId="4CC0B1C6" w14:textId="71B188B9" w:rsidR="00A17FC0" w:rsidRDefault="00471ACB">
          <w:pPr>
            <w:pStyle w:val="TDC3"/>
            <w:rPr>
              <w:rFonts w:asciiTheme="minorHAnsi" w:eastAsiaTheme="minorEastAsia" w:hAnsiTheme="minorHAnsi" w:cstheme="minorBidi"/>
              <w:noProof/>
              <w:szCs w:val="22"/>
              <w:lang w:eastAsia="es-MX"/>
            </w:rPr>
          </w:pPr>
          <w:hyperlink w:anchor="_Toc177655611" w:history="1">
            <w:r w:rsidR="00A17FC0" w:rsidRPr="00F8691A">
              <w:rPr>
                <w:rStyle w:val="Hipervnculo"/>
                <w:noProof/>
              </w:rPr>
              <w:t>b) Legitimidad de la parte recurrente</w:t>
            </w:r>
            <w:r w:rsidR="00A17FC0">
              <w:rPr>
                <w:noProof/>
                <w:webHidden/>
              </w:rPr>
              <w:tab/>
            </w:r>
            <w:r w:rsidR="00A17FC0">
              <w:rPr>
                <w:noProof/>
                <w:webHidden/>
              </w:rPr>
              <w:fldChar w:fldCharType="begin"/>
            </w:r>
            <w:r w:rsidR="00A17FC0">
              <w:rPr>
                <w:noProof/>
                <w:webHidden/>
              </w:rPr>
              <w:instrText xml:space="preserve"> PAGEREF _Toc177655611 \h </w:instrText>
            </w:r>
            <w:r w:rsidR="00A17FC0">
              <w:rPr>
                <w:noProof/>
                <w:webHidden/>
              </w:rPr>
            </w:r>
            <w:r w:rsidR="00A17FC0">
              <w:rPr>
                <w:noProof/>
                <w:webHidden/>
              </w:rPr>
              <w:fldChar w:fldCharType="separate"/>
            </w:r>
            <w:r w:rsidR="000477FB">
              <w:rPr>
                <w:noProof/>
                <w:webHidden/>
              </w:rPr>
              <w:t>10</w:t>
            </w:r>
            <w:r w:rsidR="00A17FC0">
              <w:rPr>
                <w:noProof/>
                <w:webHidden/>
              </w:rPr>
              <w:fldChar w:fldCharType="end"/>
            </w:r>
          </w:hyperlink>
        </w:p>
        <w:p w14:paraId="1770D6BE" w14:textId="3A2A2421" w:rsidR="00A17FC0" w:rsidRDefault="00471ACB">
          <w:pPr>
            <w:pStyle w:val="TDC3"/>
            <w:rPr>
              <w:rFonts w:asciiTheme="minorHAnsi" w:eastAsiaTheme="minorEastAsia" w:hAnsiTheme="minorHAnsi" w:cstheme="minorBidi"/>
              <w:noProof/>
              <w:szCs w:val="22"/>
              <w:lang w:eastAsia="es-MX"/>
            </w:rPr>
          </w:pPr>
          <w:hyperlink w:anchor="_Toc177655612" w:history="1">
            <w:r w:rsidR="00A17FC0" w:rsidRPr="00F8691A">
              <w:rPr>
                <w:rStyle w:val="Hipervnculo"/>
                <w:rFonts w:eastAsia="Calibri"/>
                <w:noProof/>
                <w:lang w:eastAsia="es-ES_tradnl"/>
              </w:rPr>
              <w:t>c) Plazo para interponer el recurso</w:t>
            </w:r>
            <w:r w:rsidR="00A17FC0">
              <w:rPr>
                <w:noProof/>
                <w:webHidden/>
              </w:rPr>
              <w:tab/>
            </w:r>
            <w:r w:rsidR="00A17FC0">
              <w:rPr>
                <w:noProof/>
                <w:webHidden/>
              </w:rPr>
              <w:fldChar w:fldCharType="begin"/>
            </w:r>
            <w:r w:rsidR="00A17FC0">
              <w:rPr>
                <w:noProof/>
                <w:webHidden/>
              </w:rPr>
              <w:instrText xml:space="preserve"> PAGEREF _Toc177655612 \h </w:instrText>
            </w:r>
            <w:r w:rsidR="00A17FC0">
              <w:rPr>
                <w:noProof/>
                <w:webHidden/>
              </w:rPr>
            </w:r>
            <w:r w:rsidR="00A17FC0">
              <w:rPr>
                <w:noProof/>
                <w:webHidden/>
              </w:rPr>
              <w:fldChar w:fldCharType="separate"/>
            </w:r>
            <w:r w:rsidR="000477FB">
              <w:rPr>
                <w:noProof/>
                <w:webHidden/>
              </w:rPr>
              <w:t>10</w:t>
            </w:r>
            <w:r w:rsidR="00A17FC0">
              <w:rPr>
                <w:noProof/>
                <w:webHidden/>
              </w:rPr>
              <w:fldChar w:fldCharType="end"/>
            </w:r>
          </w:hyperlink>
        </w:p>
        <w:p w14:paraId="5EEAFA62" w14:textId="483FC15C" w:rsidR="00A17FC0" w:rsidRDefault="00471ACB">
          <w:pPr>
            <w:pStyle w:val="TDC3"/>
            <w:rPr>
              <w:rFonts w:asciiTheme="minorHAnsi" w:eastAsiaTheme="minorEastAsia" w:hAnsiTheme="minorHAnsi" w:cstheme="minorBidi"/>
              <w:noProof/>
              <w:szCs w:val="22"/>
              <w:lang w:eastAsia="es-MX"/>
            </w:rPr>
          </w:pPr>
          <w:hyperlink w:anchor="_Toc177655613" w:history="1">
            <w:r w:rsidR="00A17FC0" w:rsidRPr="00F8691A">
              <w:rPr>
                <w:rStyle w:val="Hipervnculo"/>
                <w:rFonts w:eastAsia="Calibri"/>
                <w:noProof/>
                <w:lang w:eastAsia="es-ES_tradnl"/>
              </w:rPr>
              <w:t>d) Causal de procedencia</w:t>
            </w:r>
            <w:r w:rsidR="00A17FC0">
              <w:rPr>
                <w:noProof/>
                <w:webHidden/>
              </w:rPr>
              <w:tab/>
            </w:r>
            <w:r w:rsidR="00A17FC0">
              <w:rPr>
                <w:noProof/>
                <w:webHidden/>
              </w:rPr>
              <w:fldChar w:fldCharType="begin"/>
            </w:r>
            <w:r w:rsidR="00A17FC0">
              <w:rPr>
                <w:noProof/>
                <w:webHidden/>
              </w:rPr>
              <w:instrText xml:space="preserve"> PAGEREF _Toc177655613 \h </w:instrText>
            </w:r>
            <w:r w:rsidR="00A17FC0">
              <w:rPr>
                <w:noProof/>
                <w:webHidden/>
              </w:rPr>
            </w:r>
            <w:r w:rsidR="00A17FC0">
              <w:rPr>
                <w:noProof/>
                <w:webHidden/>
              </w:rPr>
              <w:fldChar w:fldCharType="separate"/>
            </w:r>
            <w:r w:rsidR="000477FB">
              <w:rPr>
                <w:noProof/>
                <w:webHidden/>
              </w:rPr>
              <w:t>11</w:t>
            </w:r>
            <w:r w:rsidR="00A17FC0">
              <w:rPr>
                <w:noProof/>
                <w:webHidden/>
              </w:rPr>
              <w:fldChar w:fldCharType="end"/>
            </w:r>
          </w:hyperlink>
        </w:p>
        <w:p w14:paraId="779466C0" w14:textId="5D1D802F" w:rsidR="00A17FC0" w:rsidRDefault="00471ACB">
          <w:pPr>
            <w:pStyle w:val="TDC3"/>
            <w:rPr>
              <w:rFonts w:asciiTheme="minorHAnsi" w:eastAsiaTheme="minorEastAsia" w:hAnsiTheme="minorHAnsi" w:cstheme="minorBidi"/>
              <w:noProof/>
              <w:szCs w:val="22"/>
              <w:lang w:eastAsia="es-MX"/>
            </w:rPr>
          </w:pPr>
          <w:hyperlink w:anchor="_Toc177655614" w:history="1">
            <w:r w:rsidR="00A17FC0" w:rsidRPr="00F8691A">
              <w:rPr>
                <w:rStyle w:val="Hipervnculo"/>
                <w:noProof/>
              </w:rPr>
              <w:t>e) Requisitos formales para la interposición del recurso</w:t>
            </w:r>
            <w:r w:rsidR="00A17FC0">
              <w:rPr>
                <w:noProof/>
                <w:webHidden/>
              </w:rPr>
              <w:tab/>
            </w:r>
            <w:r w:rsidR="00A17FC0">
              <w:rPr>
                <w:noProof/>
                <w:webHidden/>
              </w:rPr>
              <w:fldChar w:fldCharType="begin"/>
            </w:r>
            <w:r w:rsidR="00A17FC0">
              <w:rPr>
                <w:noProof/>
                <w:webHidden/>
              </w:rPr>
              <w:instrText xml:space="preserve"> PAGEREF _Toc177655614 \h </w:instrText>
            </w:r>
            <w:r w:rsidR="00A17FC0">
              <w:rPr>
                <w:noProof/>
                <w:webHidden/>
              </w:rPr>
            </w:r>
            <w:r w:rsidR="00A17FC0">
              <w:rPr>
                <w:noProof/>
                <w:webHidden/>
              </w:rPr>
              <w:fldChar w:fldCharType="separate"/>
            </w:r>
            <w:r w:rsidR="000477FB">
              <w:rPr>
                <w:noProof/>
                <w:webHidden/>
              </w:rPr>
              <w:t>11</w:t>
            </w:r>
            <w:r w:rsidR="00A17FC0">
              <w:rPr>
                <w:noProof/>
                <w:webHidden/>
              </w:rPr>
              <w:fldChar w:fldCharType="end"/>
            </w:r>
          </w:hyperlink>
        </w:p>
        <w:p w14:paraId="1336DC33" w14:textId="34F18F71" w:rsidR="00A17FC0" w:rsidRDefault="00471ACB">
          <w:pPr>
            <w:pStyle w:val="TDC2"/>
            <w:rPr>
              <w:rFonts w:asciiTheme="minorHAnsi" w:eastAsiaTheme="minorEastAsia" w:hAnsiTheme="minorHAnsi" w:cstheme="minorBidi"/>
              <w:noProof/>
              <w:szCs w:val="22"/>
              <w:lang w:eastAsia="es-MX"/>
            </w:rPr>
          </w:pPr>
          <w:hyperlink w:anchor="_Toc177655615" w:history="1">
            <w:r w:rsidR="00A17FC0" w:rsidRPr="00F8691A">
              <w:rPr>
                <w:rStyle w:val="Hipervnculo"/>
                <w:noProof/>
              </w:rPr>
              <w:t>SEGUNDO. Estudio de Fondo</w:t>
            </w:r>
            <w:r w:rsidR="00A17FC0">
              <w:rPr>
                <w:noProof/>
                <w:webHidden/>
              </w:rPr>
              <w:tab/>
            </w:r>
            <w:r w:rsidR="00A17FC0">
              <w:rPr>
                <w:noProof/>
                <w:webHidden/>
              </w:rPr>
              <w:fldChar w:fldCharType="begin"/>
            </w:r>
            <w:r w:rsidR="00A17FC0">
              <w:rPr>
                <w:noProof/>
                <w:webHidden/>
              </w:rPr>
              <w:instrText xml:space="preserve"> PAGEREF _Toc177655615 \h </w:instrText>
            </w:r>
            <w:r w:rsidR="00A17FC0">
              <w:rPr>
                <w:noProof/>
                <w:webHidden/>
              </w:rPr>
            </w:r>
            <w:r w:rsidR="00A17FC0">
              <w:rPr>
                <w:noProof/>
                <w:webHidden/>
              </w:rPr>
              <w:fldChar w:fldCharType="separate"/>
            </w:r>
            <w:r w:rsidR="000477FB">
              <w:rPr>
                <w:noProof/>
                <w:webHidden/>
              </w:rPr>
              <w:t>11</w:t>
            </w:r>
            <w:r w:rsidR="00A17FC0">
              <w:rPr>
                <w:noProof/>
                <w:webHidden/>
              </w:rPr>
              <w:fldChar w:fldCharType="end"/>
            </w:r>
          </w:hyperlink>
        </w:p>
        <w:p w14:paraId="3AAA3B2A" w14:textId="495C11B2" w:rsidR="00A17FC0" w:rsidRDefault="00471ACB">
          <w:pPr>
            <w:pStyle w:val="TDC3"/>
            <w:rPr>
              <w:rFonts w:asciiTheme="minorHAnsi" w:eastAsiaTheme="minorEastAsia" w:hAnsiTheme="minorHAnsi" w:cstheme="minorBidi"/>
              <w:noProof/>
              <w:szCs w:val="22"/>
              <w:lang w:eastAsia="es-MX"/>
            </w:rPr>
          </w:pPr>
          <w:hyperlink w:anchor="_Toc177655616" w:history="1">
            <w:r w:rsidR="00A17FC0" w:rsidRPr="00F8691A">
              <w:rPr>
                <w:rStyle w:val="Hipervnculo"/>
                <w:noProof/>
              </w:rPr>
              <w:t>a) Mandato de transparencia y responsabilidad del Sujeto Obligado</w:t>
            </w:r>
            <w:r w:rsidR="00A17FC0">
              <w:rPr>
                <w:noProof/>
                <w:webHidden/>
              </w:rPr>
              <w:tab/>
            </w:r>
            <w:r w:rsidR="00A17FC0">
              <w:rPr>
                <w:noProof/>
                <w:webHidden/>
              </w:rPr>
              <w:fldChar w:fldCharType="begin"/>
            </w:r>
            <w:r w:rsidR="00A17FC0">
              <w:rPr>
                <w:noProof/>
                <w:webHidden/>
              </w:rPr>
              <w:instrText xml:space="preserve"> PAGEREF _Toc177655616 \h </w:instrText>
            </w:r>
            <w:r w:rsidR="00A17FC0">
              <w:rPr>
                <w:noProof/>
                <w:webHidden/>
              </w:rPr>
            </w:r>
            <w:r w:rsidR="00A17FC0">
              <w:rPr>
                <w:noProof/>
                <w:webHidden/>
              </w:rPr>
              <w:fldChar w:fldCharType="separate"/>
            </w:r>
            <w:r w:rsidR="000477FB">
              <w:rPr>
                <w:noProof/>
                <w:webHidden/>
              </w:rPr>
              <w:t>11</w:t>
            </w:r>
            <w:r w:rsidR="00A17FC0">
              <w:rPr>
                <w:noProof/>
                <w:webHidden/>
              </w:rPr>
              <w:fldChar w:fldCharType="end"/>
            </w:r>
          </w:hyperlink>
        </w:p>
        <w:p w14:paraId="2FAC7B4C" w14:textId="4384F80C" w:rsidR="00A17FC0" w:rsidRDefault="00471ACB">
          <w:pPr>
            <w:pStyle w:val="TDC3"/>
            <w:rPr>
              <w:rFonts w:asciiTheme="minorHAnsi" w:eastAsiaTheme="minorEastAsia" w:hAnsiTheme="minorHAnsi" w:cstheme="minorBidi"/>
              <w:noProof/>
              <w:szCs w:val="22"/>
              <w:lang w:eastAsia="es-MX"/>
            </w:rPr>
          </w:pPr>
          <w:hyperlink w:anchor="_Toc177655617" w:history="1">
            <w:r w:rsidR="00A17FC0" w:rsidRPr="00F8691A">
              <w:rPr>
                <w:rStyle w:val="Hipervnculo"/>
                <w:rFonts w:eastAsia="Calibri"/>
                <w:noProof/>
                <w:lang w:eastAsia="es-ES_tradnl"/>
              </w:rPr>
              <w:t>b) Controversia a resolver</w:t>
            </w:r>
            <w:r w:rsidR="00A17FC0">
              <w:rPr>
                <w:noProof/>
                <w:webHidden/>
              </w:rPr>
              <w:tab/>
            </w:r>
            <w:r w:rsidR="00A17FC0">
              <w:rPr>
                <w:noProof/>
                <w:webHidden/>
              </w:rPr>
              <w:fldChar w:fldCharType="begin"/>
            </w:r>
            <w:r w:rsidR="00A17FC0">
              <w:rPr>
                <w:noProof/>
                <w:webHidden/>
              </w:rPr>
              <w:instrText xml:space="preserve"> PAGEREF _Toc177655617 \h </w:instrText>
            </w:r>
            <w:r w:rsidR="00A17FC0">
              <w:rPr>
                <w:noProof/>
                <w:webHidden/>
              </w:rPr>
            </w:r>
            <w:r w:rsidR="00A17FC0">
              <w:rPr>
                <w:noProof/>
                <w:webHidden/>
              </w:rPr>
              <w:fldChar w:fldCharType="separate"/>
            </w:r>
            <w:r w:rsidR="000477FB">
              <w:rPr>
                <w:noProof/>
                <w:webHidden/>
              </w:rPr>
              <w:t>14</w:t>
            </w:r>
            <w:r w:rsidR="00A17FC0">
              <w:rPr>
                <w:noProof/>
                <w:webHidden/>
              </w:rPr>
              <w:fldChar w:fldCharType="end"/>
            </w:r>
          </w:hyperlink>
        </w:p>
        <w:p w14:paraId="0702DF91" w14:textId="409A8904" w:rsidR="00A17FC0" w:rsidRDefault="00471ACB">
          <w:pPr>
            <w:pStyle w:val="TDC3"/>
            <w:rPr>
              <w:rFonts w:asciiTheme="minorHAnsi" w:eastAsiaTheme="minorEastAsia" w:hAnsiTheme="minorHAnsi" w:cstheme="minorBidi"/>
              <w:noProof/>
              <w:szCs w:val="22"/>
              <w:lang w:eastAsia="es-MX"/>
            </w:rPr>
          </w:pPr>
          <w:hyperlink w:anchor="_Toc177655618" w:history="1">
            <w:r w:rsidR="00A17FC0" w:rsidRPr="00F8691A">
              <w:rPr>
                <w:rStyle w:val="Hipervnculo"/>
                <w:noProof/>
              </w:rPr>
              <w:t>c) Estudio de la controversia</w:t>
            </w:r>
            <w:r w:rsidR="00A17FC0">
              <w:rPr>
                <w:noProof/>
                <w:webHidden/>
              </w:rPr>
              <w:tab/>
            </w:r>
            <w:r w:rsidR="00A17FC0">
              <w:rPr>
                <w:noProof/>
                <w:webHidden/>
              </w:rPr>
              <w:fldChar w:fldCharType="begin"/>
            </w:r>
            <w:r w:rsidR="00A17FC0">
              <w:rPr>
                <w:noProof/>
                <w:webHidden/>
              </w:rPr>
              <w:instrText xml:space="preserve"> PAGEREF _Toc177655618 \h </w:instrText>
            </w:r>
            <w:r w:rsidR="00A17FC0">
              <w:rPr>
                <w:noProof/>
                <w:webHidden/>
              </w:rPr>
            </w:r>
            <w:r w:rsidR="00A17FC0">
              <w:rPr>
                <w:noProof/>
                <w:webHidden/>
              </w:rPr>
              <w:fldChar w:fldCharType="separate"/>
            </w:r>
            <w:r w:rsidR="000477FB">
              <w:rPr>
                <w:noProof/>
                <w:webHidden/>
              </w:rPr>
              <w:t>15</w:t>
            </w:r>
            <w:r w:rsidR="00A17FC0">
              <w:rPr>
                <w:noProof/>
                <w:webHidden/>
              </w:rPr>
              <w:fldChar w:fldCharType="end"/>
            </w:r>
          </w:hyperlink>
        </w:p>
        <w:p w14:paraId="14475FB2" w14:textId="229F2B2C" w:rsidR="00A17FC0" w:rsidRDefault="00471ACB">
          <w:pPr>
            <w:pStyle w:val="TDC3"/>
            <w:rPr>
              <w:rFonts w:asciiTheme="minorHAnsi" w:eastAsiaTheme="minorEastAsia" w:hAnsiTheme="minorHAnsi" w:cstheme="minorBidi"/>
              <w:noProof/>
              <w:szCs w:val="22"/>
              <w:lang w:eastAsia="es-MX"/>
            </w:rPr>
          </w:pPr>
          <w:hyperlink w:anchor="_Toc177655619" w:history="1">
            <w:r w:rsidR="00A17FC0" w:rsidRPr="00F8691A">
              <w:rPr>
                <w:rStyle w:val="Hipervnculo"/>
                <w:noProof/>
              </w:rPr>
              <w:t>d) Conclusión</w:t>
            </w:r>
            <w:r w:rsidR="00A17FC0">
              <w:rPr>
                <w:noProof/>
                <w:webHidden/>
              </w:rPr>
              <w:tab/>
            </w:r>
            <w:r w:rsidR="00A17FC0">
              <w:rPr>
                <w:noProof/>
                <w:webHidden/>
              </w:rPr>
              <w:fldChar w:fldCharType="begin"/>
            </w:r>
            <w:r w:rsidR="00A17FC0">
              <w:rPr>
                <w:noProof/>
                <w:webHidden/>
              </w:rPr>
              <w:instrText xml:space="preserve"> PAGEREF _Toc177655619 \h </w:instrText>
            </w:r>
            <w:r w:rsidR="00A17FC0">
              <w:rPr>
                <w:noProof/>
                <w:webHidden/>
              </w:rPr>
            </w:r>
            <w:r w:rsidR="00A17FC0">
              <w:rPr>
                <w:noProof/>
                <w:webHidden/>
              </w:rPr>
              <w:fldChar w:fldCharType="separate"/>
            </w:r>
            <w:r w:rsidR="000477FB">
              <w:rPr>
                <w:noProof/>
                <w:webHidden/>
              </w:rPr>
              <w:t>32</w:t>
            </w:r>
            <w:r w:rsidR="00A17FC0">
              <w:rPr>
                <w:noProof/>
                <w:webHidden/>
              </w:rPr>
              <w:fldChar w:fldCharType="end"/>
            </w:r>
          </w:hyperlink>
        </w:p>
        <w:p w14:paraId="112EF4FA" w14:textId="3D8F1FD4" w:rsidR="00A17FC0" w:rsidRDefault="00471ACB">
          <w:pPr>
            <w:pStyle w:val="TDC1"/>
            <w:tabs>
              <w:tab w:val="right" w:leader="dot" w:pos="9034"/>
            </w:tabs>
            <w:rPr>
              <w:rFonts w:asciiTheme="minorHAnsi" w:eastAsiaTheme="minorEastAsia" w:hAnsiTheme="minorHAnsi" w:cstheme="minorBidi"/>
              <w:noProof/>
              <w:szCs w:val="22"/>
              <w:lang w:eastAsia="es-MX"/>
            </w:rPr>
          </w:pPr>
          <w:hyperlink w:anchor="_Toc177655620" w:history="1">
            <w:r w:rsidR="00A17FC0" w:rsidRPr="00F8691A">
              <w:rPr>
                <w:rStyle w:val="Hipervnculo"/>
                <w:noProof/>
              </w:rPr>
              <w:t>RESUELVE</w:t>
            </w:r>
            <w:r w:rsidR="00A17FC0">
              <w:rPr>
                <w:noProof/>
                <w:webHidden/>
              </w:rPr>
              <w:tab/>
            </w:r>
            <w:r w:rsidR="00A17FC0">
              <w:rPr>
                <w:noProof/>
                <w:webHidden/>
              </w:rPr>
              <w:fldChar w:fldCharType="begin"/>
            </w:r>
            <w:r w:rsidR="00A17FC0">
              <w:rPr>
                <w:noProof/>
                <w:webHidden/>
              </w:rPr>
              <w:instrText xml:space="preserve"> PAGEREF _Toc177655620 \h </w:instrText>
            </w:r>
            <w:r w:rsidR="00A17FC0">
              <w:rPr>
                <w:noProof/>
                <w:webHidden/>
              </w:rPr>
            </w:r>
            <w:r w:rsidR="00A17FC0">
              <w:rPr>
                <w:noProof/>
                <w:webHidden/>
              </w:rPr>
              <w:fldChar w:fldCharType="separate"/>
            </w:r>
            <w:r w:rsidR="000477FB">
              <w:rPr>
                <w:noProof/>
                <w:webHidden/>
              </w:rPr>
              <w:t>32</w:t>
            </w:r>
            <w:r w:rsidR="00A17FC0">
              <w:rPr>
                <w:noProof/>
                <w:webHidden/>
              </w:rPr>
              <w:fldChar w:fldCharType="end"/>
            </w:r>
          </w:hyperlink>
        </w:p>
        <w:p w14:paraId="0C82FD7A" w14:textId="5178CEF8" w:rsidR="009B2945" w:rsidRPr="00A17FC0" w:rsidRDefault="00AE3DA7" w:rsidP="00A17FC0">
          <w:pPr>
            <w:spacing w:line="240" w:lineRule="auto"/>
            <w:rPr>
              <w:b/>
              <w:bCs/>
              <w:lang w:val="es-ES"/>
            </w:rPr>
          </w:pPr>
          <w:r w:rsidRPr="00A17FC0">
            <w:rPr>
              <w:b/>
              <w:bCs/>
              <w:sz w:val="16"/>
              <w:szCs w:val="16"/>
              <w:lang w:val="es-ES"/>
            </w:rPr>
            <w:fldChar w:fldCharType="end"/>
          </w:r>
        </w:p>
      </w:sdtContent>
    </w:sdt>
    <w:p w14:paraId="603A07E2" w14:textId="77777777" w:rsidR="00646436" w:rsidRPr="00A17FC0" w:rsidRDefault="00646436" w:rsidP="00A17FC0">
      <w:pPr>
        <w:rPr>
          <w:rFonts w:cs="Tahoma"/>
          <w:szCs w:val="22"/>
        </w:rPr>
        <w:sectPr w:rsidR="00646436" w:rsidRPr="00A17FC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3FBE97F" w:rsidR="00775BFC" w:rsidRPr="00A17FC0" w:rsidRDefault="00775BFC" w:rsidP="00A17FC0">
      <w:pPr>
        <w:rPr>
          <w:b/>
        </w:rPr>
      </w:pPr>
      <w:r w:rsidRPr="00A17FC0">
        <w:lastRenderedPageBreak/>
        <w:t xml:space="preserve">Resolución del Pleno del Instituto de Transparencia, Acceso a la Información Pública y Protección de Datos Personales del Estado de México y Municipios, con domicilio en Metepec, Estado de México, de </w:t>
      </w:r>
      <w:r w:rsidR="00604E23" w:rsidRPr="00A17FC0">
        <w:rPr>
          <w:b/>
        </w:rPr>
        <w:t>diecinueve</w:t>
      </w:r>
      <w:r w:rsidR="00382A5D" w:rsidRPr="00A17FC0">
        <w:rPr>
          <w:b/>
        </w:rPr>
        <w:t xml:space="preserve"> de septiembre</w:t>
      </w:r>
      <w:r w:rsidR="00DB02DB" w:rsidRPr="00A17FC0">
        <w:rPr>
          <w:b/>
        </w:rPr>
        <w:t xml:space="preserve"> de dos mil veinticuatro.</w:t>
      </w:r>
    </w:p>
    <w:p w14:paraId="0AF3AAC4" w14:textId="77777777" w:rsidR="00775BFC" w:rsidRPr="00A17FC0" w:rsidRDefault="00775BFC" w:rsidP="00A17FC0">
      <w:pPr>
        <w:rPr>
          <w:b/>
        </w:rPr>
      </w:pPr>
    </w:p>
    <w:p w14:paraId="2116968C" w14:textId="621C8C33" w:rsidR="00775BFC" w:rsidRPr="00A17FC0" w:rsidRDefault="00775BFC" w:rsidP="00A17FC0">
      <w:r w:rsidRPr="00A17FC0">
        <w:rPr>
          <w:b/>
        </w:rPr>
        <w:t xml:space="preserve">VISTO </w:t>
      </w:r>
      <w:r w:rsidRPr="00A17FC0">
        <w:t xml:space="preserve">el expediente formado con motivo del Recurso de Revisión </w:t>
      </w:r>
      <w:r w:rsidR="00604E23" w:rsidRPr="00A17FC0">
        <w:rPr>
          <w:rFonts w:eastAsia="Calibri"/>
          <w:b/>
          <w:lang w:eastAsia="en-US"/>
        </w:rPr>
        <w:t>03172/INFOEM/IP/RR/2024</w:t>
      </w:r>
      <w:r w:rsidRPr="00A17FC0">
        <w:rPr>
          <w:rFonts w:eastAsia="Calibri"/>
          <w:lang w:eastAsia="en-US"/>
        </w:rPr>
        <w:t xml:space="preserve"> </w:t>
      </w:r>
      <w:r w:rsidRPr="00A17FC0">
        <w:t xml:space="preserve">interpuesto </w:t>
      </w:r>
      <w:r w:rsidR="00382A5D" w:rsidRPr="00A17FC0">
        <w:t xml:space="preserve">por </w:t>
      </w:r>
      <w:bookmarkStart w:id="2" w:name="_GoBack"/>
      <w:r w:rsidR="00A71603">
        <w:rPr>
          <w:b/>
        </w:rPr>
        <w:t>XXXX XXXX XXXXXX XXXXX</w:t>
      </w:r>
      <w:bookmarkEnd w:id="2"/>
      <w:r w:rsidRPr="00A17FC0">
        <w:t xml:space="preserve">, a quien en lo subsecuente se le denominará </w:t>
      </w:r>
      <w:r w:rsidRPr="00A17FC0">
        <w:rPr>
          <w:b/>
          <w:bCs/>
        </w:rPr>
        <w:t>LA PARTE RECURRENTE</w:t>
      </w:r>
      <w:r w:rsidRPr="00A17FC0">
        <w:t xml:space="preserve">, en contra de la respuesta emitida por </w:t>
      </w:r>
      <w:r w:rsidR="00604E23" w:rsidRPr="00A17FC0">
        <w:rPr>
          <w:b/>
          <w:bCs/>
        </w:rPr>
        <w:t>Tribunal de Justicia Administrativa del Estado de México</w:t>
      </w:r>
      <w:r w:rsidRPr="00A17FC0">
        <w:t xml:space="preserve">, en adelante </w:t>
      </w:r>
      <w:r w:rsidRPr="00A17FC0">
        <w:rPr>
          <w:b/>
          <w:bCs/>
        </w:rPr>
        <w:t>EL SUJETO OBLIGADO</w:t>
      </w:r>
      <w:r w:rsidRPr="00A17FC0">
        <w:rPr>
          <w:rFonts w:eastAsia="Calibri"/>
          <w:lang w:eastAsia="en-US"/>
        </w:rPr>
        <w:t xml:space="preserve">, </w:t>
      </w:r>
      <w:r w:rsidRPr="00A17FC0">
        <w:t>se emite la presente Resolución con base en los Antecedentes y Considerandos que se exponen a continuación:</w:t>
      </w:r>
    </w:p>
    <w:p w14:paraId="3A336572" w14:textId="77777777" w:rsidR="00C223AE" w:rsidRPr="00A17FC0" w:rsidRDefault="00C223AE" w:rsidP="00A17FC0"/>
    <w:p w14:paraId="5A444FB6" w14:textId="639D3567" w:rsidR="00664420" w:rsidRPr="00A17FC0" w:rsidRDefault="00664420" w:rsidP="00A17FC0">
      <w:pPr>
        <w:pStyle w:val="Ttulo1"/>
      </w:pPr>
      <w:bookmarkStart w:id="3" w:name="_Toc177655595"/>
      <w:r w:rsidRPr="00A17FC0">
        <w:t>ANTECEDENTES</w:t>
      </w:r>
      <w:bookmarkEnd w:id="3"/>
    </w:p>
    <w:p w14:paraId="5CB5034E" w14:textId="77777777" w:rsidR="00AC2DB8" w:rsidRPr="00A17FC0" w:rsidRDefault="00AC2DB8" w:rsidP="00A17FC0"/>
    <w:p w14:paraId="09B2D38F" w14:textId="6E49D146" w:rsidR="00664420" w:rsidRPr="00A17FC0" w:rsidRDefault="00E37A3F" w:rsidP="00A17FC0">
      <w:pPr>
        <w:pStyle w:val="Ttulo2"/>
        <w:jc w:val="left"/>
      </w:pPr>
      <w:bookmarkStart w:id="4" w:name="_Toc177655596"/>
      <w:r w:rsidRPr="00A17FC0">
        <w:t>DE LA SOLICITUD DE INFORMACIÓN</w:t>
      </w:r>
      <w:bookmarkEnd w:id="4"/>
    </w:p>
    <w:p w14:paraId="7B7535DF" w14:textId="77777777" w:rsidR="00E37A3F" w:rsidRPr="00A17FC0" w:rsidRDefault="00E37A3F" w:rsidP="00A17FC0"/>
    <w:p w14:paraId="2C6AD1A5" w14:textId="0405B3CD" w:rsidR="00664420" w:rsidRPr="00A17FC0" w:rsidRDefault="00E37A3F" w:rsidP="00A17FC0">
      <w:pPr>
        <w:pStyle w:val="Ttulo3"/>
      </w:pPr>
      <w:bookmarkStart w:id="5" w:name="_Toc177655597"/>
      <w:r w:rsidRPr="00A17FC0">
        <w:t xml:space="preserve">a) </w:t>
      </w:r>
      <w:r w:rsidR="006B10B0" w:rsidRPr="00A17FC0">
        <w:t>S</w:t>
      </w:r>
      <w:r w:rsidR="00664420" w:rsidRPr="00A17FC0">
        <w:t xml:space="preserve">olicitud de </w:t>
      </w:r>
      <w:r w:rsidR="006B10B0" w:rsidRPr="00A17FC0">
        <w:t>i</w:t>
      </w:r>
      <w:r w:rsidR="00664420" w:rsidRPr="00A17FC0">
        <w:t>nformación</w:t>
      </w:r>
      <w:bookmarkEnd w:id="5"/>
    </w:p>
    <w:p w14:paraId="06DCD29D" w14:textId="7FE165BA" w:rsidR="009A2D78" w:rsidRPr="00A17FC0" w:rsidRDefault="006B10B0" w:rsidP="00A17FC0">
      <w:pPr>
        <w:pStyle w:val="Prrafodelista"/>
        <w:tabs>
          <w:tab w:val="left" w:pos="0"/>
        </w:tabs>
        <w:ind w:left="0"/>
        <w:contextualSpacing w:val="0"/>
        <w:rPr>
          <w:rFonts w:cs="Tahoma"/>
        </w:rPr>
      </w:pPr>
      <w:r w:rsidRPr="00A17FC0">
        <w:rPr>
          <w:rFonts w:cs="Tahoma"/>
        </w:rPr>
        <w:t>El</w:t>
      </w:r>
      <w:r w:rsidR="00664420" w:rsidRPr="00A17FC0">
        <w:rPr>
          <w:rFonts w:cs="Tahoma"/>
        </w:rPr>
        <w:t xml:space="preserve"> </w:t>
      </w:r>
      <w:r w:rsidR="00D7015C" w:rsidRPr="00A17FC0">
        <w:rPr>
          <w:rFonts w:cs="Tahoma"/>
          <w:b/>
          <w:bCs/>
        </w:rPr>
        <w:t>ocho de abril</w:t>
      </w:r>
      <w:r w:rsidR="00DB02DB" w:rsidRPr="00A17FC0">
        <w:rPr>
          <w:rFonts w:cs="Tahoma"/>
          <w:b/>
          <w:bCs/>
        </w:rPr>
        <w:t xml:space="preserve"> de dos mil veinticuatro,</w:t>
      </w:r>
      <w:r w:rsidR="00664420" w:rsidRPr="00A17FC0">
        <w:rPr>
          <w:rFonts w:cs="Tahoma"/>
        </w:rPr>
        <w:t xml:space="preserve"> </w:t>
      </w:r>
      <w:r w:rsidRPr="00A17FC0">
        <w:rPr>
          <w:b/>
          <w:bCs/>
        </w:rPr>
        <w:t>LA PARTE RECURRENTE</w:t>
      </w:r>
      <w:r w:rsidR="00664420" w:rsidRPr="00A17FC0">
        <w:rPr>
          <w:rFonts w:cs="Tahoma"/>
        </w:rPr>
        <w:t xml:space="preserve"> presentó una solicitud de acceso a la información pública </w:t>
      </w:r>
      <w:r w:rsidR="001F3515" w:rsidRPr="00A17FC0">
        <w:rPr>
          <w:rFonts w:cs="Tahoma"/>
        </w:rPr>
        <w:t xml:space="preserve">ante el </w:t>
      </w:r>
      <w:r w:rsidR="001F3515" w:rsidRPr="00A17FC0">
        <w:rPr>
          <w:rFonts w:cs="Tahoma"/>
          <w:b/>
          <w:bCs/>
        </w:rPr>
        <w:t>SUJETO OBLIGADO</w:t>
      </w:r>
      <w:r w:rsidR="001F3515" w:rsidRPr="00A17FC0">
        <w:rPr>
          <w:rFonts w:cs="Tahoma"/>
        </w:rPr>
        <w:t xml:space="preserve">, </w:t>
      </w:r>
      <w:r w:rsidR="00664420" w:rsidRPr="00A17FC0">
        <w:rPr>
          <w:rFonts w:cs="Tahoma"/>
        </w:rPr>
        <w:t>a través del Sistema de Acceso a la Información Mexiquense</w:t>
      </w:r>
      <w:r w:rsidRPr="00A17FC0">
        <w:rPr>
          <w:rFonts w:cs="Tahoma"/>
        </w:rPr>
        <w:t xml:space="preserve"> </w:t>
      </w:r>
      <w:r w:rsidR="009A2D78" w:rsidRPr="00A17FC0">
        <w:rPr>
          <w:rFonts w:cs="Tahoma"/>
        </w:rPr>
        <w:t>(</w:t>
      </w:r>
      <w:r w:rsidRPr="00A17FC0">
        <w:rPr>
          <w:rFonts w:cs="Tahoma"/>
        </w:rPr>
        <w:t>SAIMEX</w:t>
      </w:r>
      <w:r w:rsidR="009A2D78" w:rsidRPr="00A17FC0">
        <w:rPr>
          <w:rFonts w:cs="Tahoma"/>
        </w:rPr>
        <w:t>). Dicha solicitud quedó</w:t>
      </w:r>
      <w:r w:rsidRPr="00A17FC0">
        <w:rPr>
          <w:rFonts w:cs="Tahoma"/>
        </w:rPr>
        <w:t xml:space="preserve"> registrada c</w:t>
      </w:r>
      <w:r w:rsidR="00664420" w:rsidRPr="00A17FC0">
        <w:rPr>
          <w:rFonts w:cs="Tahoma"/>
        </w:rPr>
        <w:t>on el número de folio</w:t>
      </w:r>
      <w:r w:rsidR="00664420" w:rsidRPr="00A17FC0">
        <w:rPr>
          <w:rFonts w:cs="Tahoma"/>
          <w:b/>
          <w:bCs/>
        </w:rPr>
        <w:t xml:space="preserve"> </w:t>
      </w:r>
      <w:r w:rsidR="00D7015C" w:rsidRPr="00A17FC0">
        <w:rPr>
          <w:rFonts w:cs="Tahoma"/>
          <w:b/>
          <w:bCs/>
        </w:rPr>
        <w:t>00177/TRIJAEM/IP/2024</w:t>
      </w:r>
      <w:r w:rsidR="002A3601" w:rsidRPr="00A17FC0">
        <w:rPr>
          <w:rFonts w:cs="Tahoma"/>
        </w:rPr>
        <w:t xml:space="preserve"> y en ella </w:t>
      </w:r>
      <w:r w:rsidR="009A2D78" w:rsidRPr="00A17FC0">
        <w:rPr>
          <w:rFonts w:cs="Tahoma"/>
        </w:rPr>
        <w:t>se requirió la siguiente información:</w:t>
      </w:r>
    </w:p>
    <w:p w14:paraId="0459D6AC" w14:textId="77777777" w:rsidR="00664420" w:rsidRPr="00A17FC0" w:rsidRDefault="00664420" w:rsidP="00A17FC0">
      <w:pPr>
        <w:tabs>
          <w:tab w:val="left" w:pos="4667"/>
        </w:tabs>
        <w:ind w:left="567" w:right="567"/>
        <w:rPr>
          <w:rFonts w:cs="Tahoma"/>
          <w:b/>
          <w:bCs/>
        </w:rPr>
      </w:pPr>
    </w:p>
    <w:p w14:paraId="179FB369" w14:textId="4CA35A65" w:rsidR="00664420" w:rsidRPr="00A17FC0" w:rsidRDefault="00AF2426" w:rsidP="00A17FC0">
      <w:pPr>
        <w:pStyle w:val="Ttulo"/>
      </w:pPr>
      <w:r w:rsidRPr="00A17FC0">
        <w:t>“</w:t>
      </w:r>
      <w:r w:rsidR="00D7015C" w:rsidRPr="00A17FC0">
        <w:t xml:space="preserve">DE CONFORMIDAD CON; los artículos 6 segundo párrafo, apartado A de la Constitución Política de Los Estados Unidos Mexicanos, 11, 12 y 13 de la Ley General de Transparencia y Acceso a la Información Pública, 4, 5, 11 y 12 de la Ley de Transparencia y Acceso a la Información Pública del Estado de México y Municipios, al Capítulos IX de </w:t>
      </w:r>
      <w:r w:rsidR="00D7015C" w:rsidRPr="00A17FC0">
        <w:lastRenderedPageBreak/>
        <w:t>los LINEAMIENTOS GENERALES EN MATERIA DE CLASIFICACIÓN Y DESCLASIFICACIÓN DE LA INFORMACIÓN, PARA LA ELABORACIÓN DE VERSIONES PÚBLICAS, una vez que el expediente solicitado ha causado ejecutoria por Ministerio de Ley, para todos los efectos a que haya lugar, solicito SE ME ENVIE VIA SAIMEX LA INFORMACION PUBLICA SIGUIENTE; 1.- EL EXPEDIENTE DEL JUICIO ADMINISTRATIVO: 1047/2021 LLEVADO A CABO EN LA PRIMERA SALA REGIONAL DEL TRIBUNAL DE JUSTICIA ADMINISTRATIVA DEL ESTADO DE MEXICO CON SEDE EN TOLUCA, ESTADO DE MEXICO.</w:t>
      </w:r>
      <w:r w:rsidRPr="00A17FC0">
        <w:t>”</w:t>
      </w:r>
    </w:p>
    <w:p w14:paraId="64B27DE3" w14:textId="77777777" w:rsidR="00664420" w:rsidRPr="00A17FC0" w:rsidRDefault="00664420" w:rsidP="00A17FC0">
      <w:pPr>
        <w:tabs>
          <w:tab w:val="left" w:pos="4667"/>
        </w:tabs>
        <w:ind w:left="567" w:right="567"/>
        <w:rPr>
          <w:rFonts w:cs="Tahoma"/>
          <w:bCs/>
          <w:i/>
          <w:szCs w:val="22"/>
        </w:rPr>
      </w:pPr>
    </w:p>
    <w:p w14:paraId="2C4045D7" w14:textId="454298C1" w:rsidR="00AF03C4" w:rsidRPr="00A17FC0" w:rsidRDefault="009A2D78" w:rsidP="00A17FC0">
      <w:pPr>
        <w:tabs>
          <w:tab w:val="left" w:pos="4667"/>
        </w:tabs>
        <w:ind w:left="567" w:right="567"/>
        <w:rPr>
          <w:rFonts w:cs="Tahoma"/>
          <w:bCs/>
          <w:i/>
          <w:szCs w:val="22"/>
        </w:rPr>
      </w:pPr>
      <w:r w:rsidRPr="00A17FC0">
        <w:rPr>
          <w:rFonts w:cs="Tahoma"/>
          <w:b/>
          <w:bCs/>
          <w:szCs w:val="22"/>
        </w:rPr>
        <w:t>Modalidad de entrega</w:t>
      </w:r>
      <w:r w:rsidRPr="00A17FC0">
        <w:rPr>
          <w:rFonts w:cs="Tahoma"/>
          <w:bCs/>
          <w:szCs w:val="22"/>
        </w:rPr>
        <w:t>: a</w:t>
      </w:r>
      <w:r w:rsidR="00664420" w:rsidRPr="00A17FC0">
        <w:rPr>
          <w:rFonts w:cs="Tahoma"/>
          <w:bCs/>
          <w:i/>
          <w:szCs w:val="22"/>
        </w:rPr>
        <w:t xml:space="preserve"> través del </w:t>
      </w:r>
      <w:r w:rsidR="00664420" w:rsidRPr="00A17FC0">
        <w:rPr>
          <w:rFonts w:cs="Tahoma"/>
          <w:b/>
          <w:bCs/>
          <w:i/>
          <w:szCs w:val="22"/>
        </w:rPr>
        <w:t>SAIMEX</w:t>
      </w:r>
      <w:r w:rsidRPr="00A17FC0">
        <w:rPr>
          <w:rFonts w:cs="Tahoma"/>
          <w:bCs/>
          <w:i/>
          <w:szCs w:val="22"/>
        </w:rPr>
        <w:t>.</w:t>
      </w:r>
    </w:p>
    <w:p w14:paraId="26EAF8B6" w14:textId="77777777" w:rsidR="00AF2426" w:rsidRPr="00A17FC0" w:rsidRDefault="00AF2426" w:rsidP="00A17FC0">
      <w:pPr>
        <w:tabs>
          <w:tab w:val="left" w:pos="4667"/>
        </w:tabs>
        <w:ind w:right="567"/>
        <w:rPr>
          <w:rFonts w:cs="Tahoma"/>
          <w:bCs/>
          <w:szCs w:val="22"/>
        </w:rPr>
      </w:pPr>
    </w:p>
    <w:p w14:paraId="6D3CC97A" w14:textId="77777777" w:rsidR="00382A5D" w:rsidRPr="00A17FC0" w:rsidRDefault="00382A5D" w:rsidP="00A17FC0">
      <w:pPr>
        <w:pStyle w:val="Ttulo3"/>
      </w:pPr>
      <w:bookmarkStart w:id="6" w:name="_Toc170985407"/>
      <w:bookmarkStart w:id="7" w:name="_Toc177655598"/>
      <w:r w:rsidRPr="00A17FC0">
        <w:t>b) Turno de la solicitud de información</w:t>
      </w:r>
      <w:bookmarkEnd w:id="6"/>
      <w:bookmarkEnd w:id="7"/>
    </w:p>
    <w:p w14:paraId="500A3A6A" w14:textId="26F86DC0" w:rsidR="00382A5D" w:rsidRPr="00A17FC0" w:rsidRDefault="00382A5D" w:rsidP="00A17FC0">
      <w:r w:rsidRPr="00A17FC0">
        <w:t xml:space="preserve">En cumplimiento al artículo 162 de la Ley de Transparencia y Acceso a la Información Pública del Estado de México y Municipios, el </w:t>
      </w:r>
      <w:r w:rsidR="00D7015C" w:rsidRPr="00A17FC0">
        <w:rPr>
          <w:rFonts w:eastAsia="Palatino Linotype" w:cs="Palatino Linotype"/>
          <w:b/>
        </w:rPr>
        <w:t>ocho de abril</w:t>
      </w:r>
      <w:r w:rsidRPr="00A17FC0">
        <w:rPr>
          <w:rFonts w:eastAsia="Palatino Linotype" w:cs="Palatino Linotype"/>
          <w:b/>
        </w:rPr>
        <w:t xml:space="preserve"> de dos mil veinti</w:t>
      </w:r>
      <w:r w:rsidR="00AA0703" w:rsidRPr="00A17FC0">
        <w:rPr>
          <w:rFonts w:eastAsia="Palatino Linotype" w:cs="Palatino Linotype"/>
          <w:b/>
        </w:rPr>
        <w:t>cuatro</w:t>
      </w:r>
      <w:r w:rsidRPr="00A17FC0">
        <w:t xml:space="preserve">, el Titular de la Unidad de Transparencia del </w:t>
      </w:r>
      <w:r w:rsidRPr="00A17FC0">
        <w:rPr>
          <w:b/>
        </w:rPr>
        <w:t>SUJETO OBLIGADO</w:t>
      </w:r>
      <w:r w:rsidRPr="00A17FC0">
        <w:t xml:space="preserve"> turnó la solicitud de información </w:t>
      </w:r>
      <w:r w:rsidR="00D7015C" w:rsidRPr="00A17FC0">
        <w:t>al servidor público</w:t>
      </w:r>
      <w:r w:rsidRPr="00A17FC0">
        <w:t xml:space="preserve"> que estimó pertinente.</w:t>
      </w:r>
    </w:p>
    <w:p w14:paraId="5114EC93" w14:textId="77777777" w:rsidR="00382A5D" w:rsidRPr="00A17FC0" w:rsidRDefault="00382A5D" w:rsidP="00A17FC0">
      <w:pPr>
        <w:tabs>
          <w:tab w:val="left" w:pos="4667"/>
        </w:tabs>
        <w:ind w:right="567"/>
        <w:rPr>
          <w:rFonts w:cs="Tahoma"/>
          <w:bCs/>
          <w:szCs w:val="22"/>
        </w:rPr>
      </w:pPr>
    </w:p>
    <w:p w14:paraId="3212BA4D" w14:textId="1D62FAD0" w:rsidR="00664420" w:rsidRPr="00A17FC0" w:rsidRDefault="00382A5D" w:rsidP="00A17FC0">
      <w:pPr>
        <w:pStyle w:val="Ttulo3"/>
        <w:rPr>
          <w:rFonts w:eastAsia="Calibri"/>
          <w:lang w:eastAsia="en-US"/>
        </w:rPr>
      </w:pPr>
      <w:bookmarkStart w:id="8" w:name="_Toc177655599"/>
      <w:r w:rsidRPr="00A17FC0">
        <w:rPr>
          <w:lang w:val="es-ES"/>
        </w:rPr>
        <w:t>c</w:t>
      </w:r>
      <w:r w:rsidR="00E37A3F" w:rsidRPr="00A17FC0">
        <w:rPr>
          <w:lang w:val="es-ES"/>
        </w:rPr>
        <w:t xml:space="preserve">) </w:t>
      </w:r>
      <w:r w:rsidR="00664420" w:rsidRPr="00A17FC0">
        <w:rPr>
          <w:lang w:val="es-ES"/>
        </w:rPr>
        <w:t xml:space="preserve">Respuesta </w:t>
      </w:r>
      <w:r w:rsidR="00664420" w:rsidRPr="00A17FC0">
        <w:rPr>
          <w:rFonts w:eastAsia="Calibri"/>
          <w:lang w:eastAsia="en-US"/>
        </w:rPr>
        <w:t>del Sujeto Obligado</w:t>
      </w:r>
      <w:bookmarkEnd w:id="8"/>
    </w:p>
    <w:p w14:paraId="79199CC1" w14:textId="43EF55B7" w:rsidR="00664420" w:rsidRPr="00A17FC0" w:rsidRDefault="00664420" w:rsidP="00A17FC0">
      <w:pPr>
        <w:pStyle w:val="Sinespaciado"/>
        <w:spacing w:line="360" w:lineRule="auto"/>
        <w:rPr>
          <w:lang w:val="es-ES"/>
        </w:rPr>
      </w:pPr>
      <w:r w:rsidRPr="00A17FC0">
        <w:rPr>
          <w:lang w:val="es-ES"/>
        </w:rPr>
        <w:t xml:space="preserve">El </w:t>
      </w:r>
      <w:r w:rsidR="00D7015C" w:rsidRPr="00A17FC0">
        <w:rPr>
          <w:b/>
          <w:bCs/>
          <w:lang w:val="es-ES"/>
        </w:rPr>
        <w:t>veintiséis de abril</w:t>
      </w:r>
      <w:r w:rsidR="00251911" w:rsidRPr="00A17FC0">
        <w:rPr>
          <w:b/>
          <w:bCs/>
          <w:lang w:val="es-ES"/>
        </w:rPr>
        <w:t xml:space="preserve"> de dos mil veinticuatro</w:t>
      </w:r>
      <w:r w:rsidRPr="00A17FC0">
        <w:rPr>
          <w:lang w:val="es-ES"/>
        </w:rPr>
        <w:t xml:space="preserve">, </w:t>
      </w:r>
      <w:r w:rsidR="00F07EE6" w:rsidRPr="00A17FC0">
        <w:rPr>
          <w:lang w:val="es-ES"/>
        </w:rPr>
        <w:t xml:space="preserve">el Titular de la Unidad de Transparencia del </w:t>
      </w:r>
      <w:r w:rsidR="00F07EE6" w:rsidRPr="00A17FC0">
        <w:rPr>
          <w:b/>
          <w:lang w:val="es-ES"/>
        </w:rPr>
        <w:t>SUJETO OBLIGADO</w:t>
      </w:r>
      <w:r w:rsidR="00F07EE6" w:rsidRPr="00A17FC0">
        <w:rPr>
          <w:lang w:val="es-ES"/>
        </w:rPr>
        <w:t xml:space="preserve"> notificó la siguiente respuesta a través del </w:t>
      </w:r>
      <w:r w:rsidRPr="00A17FC0">
        <w:rPr>
          <w:lang w:val="es-ES"/>
        </w:rPr>
        <w:t>SAIMEX</w:t>
      </w:r>
      <w:r w:rsidR="00F07EE6" w:rsidRPr="00A17FC0">
        <w:rPr>
          <w:lang w:val="es-ES"/>
        </w:rPr>
        <w:t>:</w:t>
      </w:r>
    </w:p>
    <w:p w14:paraId="46042BBA" w14:textId="77777777" w:rsidR="00D7015C" w:rsidRPr="00A17FC0" w:rsidRDefault="00D7015C" w:rsidP="00A17FC0">
      <w:pPr>
        <w:pStyle w:val="Ttulo"/>
      </w:pPr>
      <w:r w:rsidRPr="00A17FC0">
        <w:t>En respuesta a la solicitud recibida, nos permitimos hacer de su conocimiento que con fundamento en el artículo 53, Fracciones: II, V y VI de la Ley de Transparencia y Acceso a la Información Pública del Estado de México y Municipios, le contestamos que:</w:t>
      </w:r>
    </w:p>
    <w:p w14:paraId="43B8E85E" w14:textId="77777777" w:rsidR="00F66FCA" w:rsidRPr="00A17FC0" w:rsidRDefault="00F66FCA" w:rsidP="00A17FC0">
      <w:pPr>
        <w:spacing w:line="240" w:lineRule="auto"/>
      </w:pPr>
    </w:p>
    <w:p w14:paraId="290E53FE" w14:textId="77777777" w:rsidR="00D7015C" w:rsidRPr="00A17FC0" w:rsidRDefault="00D7015C" w:rsidP="00A17FC0">
      <w:pPr>
        <w:pStyle w:val="Ttulo"/>
      </w:pPr>
      <w:r w:rsidRPr="00A17FC0">
        <w:t>Se notifica respuesta</w:t>
      </w:r>
    </w:p>
    <w:p w14:paraId="27B73943" w14:textId="77777777" w:rsidR="00F66FCA" w:rsidRPr="00A17FC0" w:rsidRDefault="00F66FCA" w:rsidP="00A17FC0">
      <w:pPr>
        <w:spacing w:line="240" w:lineRule="auto"/>
      </w:pPr>
    </w:p>
    <w:p w14:paraId="25B8ED73" w14:textId="77777777" w:rsidR="00D7015C" w:rsidRPr="00A17FC0" w:rsidRDefault="00D7015C" w:rsidP="00A17FC0">
      <w:pPr>
        <w:pStyle w:val="Ttulo"/>
      </w:pPr>
      <w:r w:rsidRPr="00A17FC0">
        <w:t>ATENTAMENTE</w:t>
      </w:r>
    </w:p>
    <w:p w14:paraId="3B1C9462" w14:textId="77777777" w:rsidR="00F66FCA" w:rsidRPr="00A17FC0" w:rsidRDefault="00F66FCA" w:rsidP="00A17FC0">
      <w:pPr>
        <w:spacing w:line="240" w:lineRule="auto"/>
      </w:pPr>
    </w:p>
    <w:p w14:paraId="042FE73D" w14:textId="427A14C4" w:rsidR="00F07EE6" w:rsidRPr="00A17FC0" w:rsidRDefault="00D7015C" w:rsidP="00A17FC0">
      <w:pPr>
        <w:pStyle w:val="Ttulo"/>
      </w:pPr>
      <w:r w:rsidRPr="00A17FC0">
        <w:t>LIC. LESLIE ADRIANA SERRANO FLORES</w:t>
      </w:r>
    </w:p>
    <w:p w14:paraId="70920289" w14:textId="1734249B" w:rsidR="00664420" w:rsidRPr="00A17FC0" w:rsidRDefault="00F07EE6" w:rsidP="00A17FC0">
      <w:pPr>
        <w:autoSpaceDE w:val="0"/>
        <w:autoSpaceDN w:val="0"/>
        <w:adjustRightInd w:val="0"/>
        <w:ind w:right="-28"/>
        <w:rPr>
          <w:rFonts w:cs="Tahoma"/>
          <w:bCs/>
          <w:szCs w:val="22"/>
          <w:lang w:val="es-ES"/>
        </w:rPr>
      </w:pPr>
      <w:r w:rsidRPr="00A17FC0">
        <w:rPr>
          <w:rFonts w:cs="Tahoma"/>
          <w:bCs/>
          <w:szCs w:val="22"/>
          <w:lang w:val="es-ES"/>
        </w:rPr>
        <w:lastRenderedPageBreak/>
        <w:t xml:space="preserve">Asimismo, </w:t>
      </w:r>
      <w:r w:rsidRPr="00A17FC0">
        <w:rPr>
          <w:rFonts w:cs="Tahoma"/>
          <w:b/>
          <w:szCs w:val="22"/>
          <w:lang w:val="es-ES"/>
        </w:rPr>
        <w:t xml:space="preserve">EL SUJETO OBLIGADO </w:t>
      </w:r>
      <w:r w:rsidRPr="00A17FC0">
        <w:rPr>
          <w:rFonts w:cs="Tahoma"/>
          <w:bCs/>
          <w:szCs w:val="22"/>
          <w:lang w:val="es-ES"/>
        </w:rPr>
        <w:t>adjuntó a su respuesta los archivos electrónicos que se describen a continuación</w:t>
      </w:r>
      <w:r w:rsidR="00664420" w:rsidRPr="00A17FC0">
        <w:rPr>
          <w:rFonts w:cs="Tahoma"/>
          <w:bCs/>
          <w:szCs w:val="22"/>
          <w:lang w:val="es-ES"/>
        </w:rPr>
        <w:t>:</w:t>
      </w:r>
    </w:p>
    <w:p w14:paraId="2C78354F" w14:textId="77777777" w:rsidR="00664420" w:rsidRPr="00A17FC0" w:rsidRDefault="00664420" w:rsidP="00A17FC0">
      <w:pPr>
        <w:autoSpaceDE w:val="0"/>
        <w:autoSpaceDN w:val="0"/>
        <w:adjustRightInd w:val="0"/>
        <w:ind w:right="-28"/>
        <w:rPr>
          <w:rFonts w:cs="Tahoma"/>
          <w:bCs/>
          <w:szCs w:val="22"/>
          <w:lang w:val="es-ES"/>
        </w:rPr>
      </w:pPr>
    </w:p>
    <w:p w14:paraId="18890BFD" w14:textId="12FDC4B7" w:rsidR="00DE1133" w:rsidRPr="00A17FC0" w:rsidRDefault="00D7015C" w:rsidP="00A17FC0">
      <w:pPr>
        <w:pStyle w:val="Prrafodelista"/>
        <w:numPr>
          <w:ilvl w:val="0"/>
          <w:numId w:val="22"/>
        </w:numPr>
        <w:autoSpaceDE w:val="0"/>
        <w:autoSpaceDN w:val="0"/>
        <w:adjustRightInd w:val="0"/>
        <w:ind w:right="-28"/>
        <w:rPr>
          <w:rFonts w:cs="Tahoma"/>
          <w:bCs/>
          <w:szCs w:val="22"/>
          <w:lang w:val="es-ES"/>
        </w:rPr>
      </w:pPr>
      <w:r w:rsidRPr="00A17FC0">
        <w:rPr>
          <w:rFonts w:cs="Tahoma"/>
          <w:b/>
          <w:bCs/>
          <w:szCs w:val="22"/>
          <w:lang w:val="es-ES"/>
        </w:rPr>
        <w:t>RESPUESTA SOLICITUD 00177 (OFICIO).</w:t>
      </w:r>
      <w:proofErr w:type="spellStart"/>
      <w:r w:rsidRPr="00A17FC0">
        <w:rPr>
          <w:rFonts w:cs="Tahoma"/>
          <w:b/>
          <w:bCs/>
          <w:szCs w:val="22"/>
          <w:lang w:val="es-ES"/>
        </w:rPr>
        <w:t>pdf</w:t>
      </w:r>
      <w:proofErr w:type="spellEnd"/>
      <w:r w:rsidR="00251911" w:rsidRPr="00A17FC0">
        <w:rPr>
          <w:rFonts w:cs="Tahoma"/>
          <w:bCs/>
          <w:szCs w:val="22"/>
          <w:lang w:val="es-ES"/>
        </w:rPr>
        <w:t xml:space="preserve">: </w:t>
      </w:r>
      <w:r w:rsidR="00382A5D" w:rsidRPr="00A17FC0">
        <w:rPr>
          <w:rFonts w:cs="Tahoma"/>
          <w:bCs/>
          <w:szCs w:val="22"/>
          <w:lang w:val="es-ES"/>
        </w:rPr>
        <w:t xml:space="preserve">Consiste en el documento digital, emitido </w:t>
      </w:r>
      <w:r w:rsidRPr="00A17FC0">
        <w:rPr>
          <w:rFonts w:cs="Tahoma"/>
          <w:bCs/>
          <w:szCs w:val="22"/>
          <w:lang w:val="es-ES"/>
        </w:rPr>
        <w:t xml:space="preserve">por el servidor público habilitado de la primera sala regional del Tribunal de Justicia Administrativa del Estado de México, en donde medularmente somete a consideración del Comité de Transparencia la clasificación de expediente solicitado, como información reservada, presentando los fundamentos y argumentos respectivos para dar sustento a la clasificación de la información. </w:t>
      </w:r>
    </w:p>
    <w:p w14:paraId="0CB43D33" w14:textId="77777777" w:rsidR="004D1D10" w:rsidRPr="00A17FC0" w:rsidRDefault="00D7015C" w:rsidP="00A17FC0">
      <w:pPr>
        <w:pStyle w:val="Prrafodelista"/>
        <w:numPr>
          <w:ilvl w:val="0"/>
          <w:numId w:val="22"/>
        </w:numPr>
        <w:autoSpaceDE w:val="0"/>
        <w:autoSpaceDN w:val="0"/>
        <w:adjustRightInd w:val="0"/>
        <w:ind w:right="-28"/>
        <w:rPr>
          <w:rFonts w:cs="Tahoma"/>
          <w:b/>
          <w:bCs/>
          <w:szCs w:val="22"/>
          <w:lang w:val="es-ES"/>
        </w:rPr>
      </w:pPr>
      <w:r w:rsidRPr="00A17FC0">
        <w:rPr>
          <w:rFonts w:cs="Tahoma"/>
          <w:b/>
          <w:bCs/>
          <w:szCs w:val="22"/>
          <w:lang w:val="es-ES"/>
        </w:rPr>
        <w:t xml:space="preserve">ACTA 7MA ORD 2024.pdf: </w:t>
      </w:r>
      <w:r w:rsidR="004D1D10" w:rsidRPr="00A17FC0">
        <w:rPr>
          <w:rFonts w:cs="Tahoma"/>
          <w:bCs/>
          <w:szCs w:val="22"/>
          <w:lang w:val="es-ES"/>
        </w:rPr>
        <w:t xml:space="preserve">Acta de la Séptima Sesión Ordinaria del Comité de Transparencia en donde medularmente se aprueba por unanimidad de votos el acuerdo TJAEM/CT/III/ORD-07/2024 por el que se clasifica como información reservada la relativa al expediente requerido a través de la solicitud de acceso a la información pública. </w:t>
      </w:r>
    </w:p>
    <w:p w14:paraId="2C7066EA" w14:textId="1B67BB8A" w:rsidR="00D7015C" w:rsidRPr="00A17FC0" w:rsidRDefault="004D1D10" w:rsidP="00A17FC0">
      <w:pPr>
        <w:pStyle w:val="Prrafodelista"/>
        <w:numPr>
          <w:ilvl w:val="0"/>
          <w:numId w:val="22"/>
        </w:numPr>
        <w:autoSpaceDE w:val="0"/>
        <w:autoSpaceDN w:val="0"/>
        <w:adjustRightInd w:val="0"/>
        <w:ind w:right="-28"/>
        <w:rPr>
          <w:rFonts w:cs="Tahoma"/>
          <w:b/>
          <w:bCs/>
          <w:szCs w:val="22"/>
          <w:lang w:val="es-ES"/>
        </w:rPr>
      </w:pPr>
      <w:r w:rsidRPr="00A17FC0">
        <w:rPr>
          <w:rFonts w:cs="Tahoma"/>
          <w:b/>
          <w:bCs/>
          <w:szCs w:val="22"/>
          <w:lang w:val="es-ES"/>
        </w:rPr>
        <w:t xml:space="preserve">III. ACUERDO SOL 177.pdf: </w:t>
      </w:r>
      <w:r w:rsidRPr="00A17FC0">
        <w:rPr>
          <w:rFonts w:cs="Tahoma"/>
          <w:bCs/>
          <w:szCs w:val="22"/>
          <w:lang w:val="es-ES"/>
        </w:rPr>
        <w:t xml:space="preserve">Documento digital que consiste en el acuerdo número TJAEM/CT/III/ORD-07/2024, en donde se enlistan los antecedentes del caso en particular, así como los argumentos, fundamentos y motivos que dan pauta a la clasificación de la información requerida, como reservada. </w:t>
      </w:r>
    </w:p>
    <w:p w14:paraId="5816D55D" w14:textId="0B4802DC" w:rsidR="004D1D10" w:rsidRPr="00A17FC0" w:rsidRDefault="004D1D10" w:rsidP="00A17FC0">
      <w:pPr>
        <w:pStyle w:val="Prrafodelista"/>
        <w:numPr>
          <w:ilvl w:val="0"/>
          <w:numId w:val="22"/>
        </w:numPr>
        <w:autoSpaceDE w:val="0"/>
        <w:autoSpaceDN w:val="0"/>
        <w:adjustRightInd w:val="0"/>
        <w:ind w:right="-28"/>
        <w:rPr>
          <w:rFonts w:cs="Tahoma"/>
          <w:b/>
          <w:bCs/>
          <w:szCs w:val="22"/>
          <w:lang w:val="es-ES"/>
        </w:rPr>
      </w:pPr>
      <w:r w:rsidRPr="00A17FC0">
        <w:rPr>
          <w:rFonts w:cs="Tahoma"/>
          <w:b/>
          <w:bCs/>
          <w:szCs w:val="22"/>
          <w:lang w:val="es-ES"/>
        </w:rPr>
        <w:t xml:space="preserve">Prueba de daño.pdf: </w:t>
      </w:r>
      <w:r w:rsidRPr="00A17FC0">
        <w:rPr>
          <w:rFonts w:cs="Tahoma"/>
          <w:bCs/>
          <w:szCs w:val="22"/>
          <w:lang w:val="es-ES"/>
        </w:rPr>
        <w:t xml:space="preserve">Consiste en la prueba de daño presentada por el servidor público habilitado de la primera sala regional del Tribunal de Justicia Administrativa del Estado de México, para dar sustento a la clasificación requerida. </w:t>
      </w:r>
    </w:p>
    <w:p w14:paraId="52460699" w14:textId="77777777" w:rsidR="00664420" w:rsidRPr="00A17FC0" w:rsidRDefault="00664420" w:rsidP="00A17FC0">
      <w:pPr>
        <w:autoSpaceDE w:val="0"/>
        <w:autoSpaceDN w:val="0"/>
        <w:adjustRightInd w:val="0"/>
        <w:ind w:right="-28"/>
        <w:rPr>
          <w:rFonts w:cs="Tahoma"/>
          <w:bCs/>
          <w:szCs w:val="22"/>
          <w:lang w:val="es-ES"/>
        </w:rPr>
      </w:pPr>
    </w:p>
    <w:p w14:paraId="0CA09A84" w14:textId="77777777" w:rsidR="008D4785" w:rsidRPr="00A17FC0" w:rsidRDefault="008D4785" w:rsidP="00A17FC0">
      <w:pPr>
        <w:autoSpaceDE w:val="0"/>
        <w:autoSpaceDN w:val="0"/>
        <w:adjustRightInd w:val="0"/>
        <w:ind w:right="-28"/>
        <w:rPr>
          <w:rFonts w:cs="Tahoma"/>
          <w:bCs/>
          <w:szCs w:val="22"/>
          <w:lang w:val="es-ES"/>
        </w:rPr>
      </w:pPr>
    </w:p>
    <w:p w14:paraId="5A5DAB9E" w14:textId="77777777" w:rsidR="00E37A3F" w:rsidRPr="00A17FC0" w:rsidRDefault="00E37A3F" w:rsidP="00A17FC0">
      <w:pPr>
        <w:pStyle w:val="Ttulo2"/>
        <w:jc w:val="left"/>
      </w:pPr>
      <w:bookmarkStart w:id="9" w:name="_Toc177655600"/>
      <w:r w:rsidRPr="00A17FC0">
        <w:lastRenderedPageBreak/>
        <w:t>DEL RECURSO DE REVISIÓN</w:t>
      </w:r>
      <w:bookmarkEnd w:id="9"/>
    </w:p>
    <w:p w14:paraId="0B17CD08" w14:textId="77777777" w:rsidR="00664420" w:rsidRPr="00A17FC0" w:rsidRDefault="00664420" w:rsidP="00A17FC0">
      <w:pPr>
        <w:autoSpaceDE w:val="0"/>
        <w:autoSpaceDN w:val="0"/>
        <w:adjustRightInd w:val="0"/>
        <w:ind w:right="-28"/>
        <w:rPr>
          <w:rFonts w:cs="Tahoma"/>
          <w:bCs/>
          <w:szCs w:val="22"/>
          <w:lang w:val="es-ES"/>
        </w:rPr>
      </w:pPr>
    </w:p>
    <w:p w14:paraId="2B216813" w14:textId="61ADBB2B" w:rsidR="00664420" w:rsidRPr="00A17FC0" w:rsidRDefault="006E25BC" w:rsidP="00A17FC0">
      <w:pPr>
        <w:pStyle w:val="Ttulo3"/>
      </w:pPr>
      <w:bookmarkStart w:id="10" w:name="_Toc177655601"/>
      <w:r w:rsidRPr="00A17FC0">
        <w:rPr>
          <w:szCs w:val="32"/>
        </w:rPr>
        <w:t>a)</w:t>
      </w:r>
      <w:r w:rsidRPr="00A17FC0">
        <w:t xml:space="preserve"> </w:t>
      </w:r>
      <w:r w:rsidR="00664420" w:rsidRPr="00A17FC0">
        <w:t>Interposición del Recurso de Revisión</w:t>
      </w:r>
      <w:bookmarkEnd w:id="10"/>
    </w:p>
    <w:p w14:paraId="6279C622" w14:textId="70C63D62" w:rsidR="00664420" w:rsidRPr="00A17FC0" w:rsidRDefault="00664420" w:rsidP="00A17FC0">
      <w:pPr>
        <w:autoSpaceDE w:val="0"/>
        <w:autoSpaceDN w:val="0"/>
        <w:adjustRightInd w:val="0"/>
        <w:ind w:right="-28"/>
        <w:rPr>
          <w:rFonts w:cs="Tahoma"/>
          <w:szCs w:val="22"/>
        </w:rPr>
      </w:pPr>
      <w:r w:rsidRPr="00A17FC0">
        <w:rPr>
          <w:rFonts w:cs="Tahoma"/>
          <w:szCs w:val="22"/>
        </w:rPr>
        <w:t xml:space="preserve">El </w:t>
      </w:r>
      <w:r w:rsidR="004D1D10" w:rsidRPr="00A17FC0">
        <w:rPr>
          <w:rFonts w:cs="Tahoma"/>
          <w:b/>
          <w:bCs/>
          <w:szCs w:val="22"/>
        </w:rPr>
        <w:t>veinte de mayo</w:t>
      </w:r>
      <w:r w:rsidR="00C135F9" w:rsidRPr="00A17FC0">
        <w:rPr>
          <w:rFonts w:cs="Tahoma"/>
          <w:b/>
          <w:bCs/>
          <w:szCs w:val="22"/>
        </w:rPr>
        <w:t xml:space="preserve"> de dos mil veinticuatro</w:t>
      </w:r>
      <w:r w:rsidRPr="00A17FC0">
        <w:rPr>
          <w:rFonts w:cs="Tahoma"/>
          <w:szCs w:val="22"/>
        </w:rPr>
        <w:t xml:space="preserve"> </w:t>
      </w:r>
      <w:r w:rsidR="00F75D23" w:rsidRPr="00A17FC0">
        <w:rPr>
          <w:rFonts w:cs="Tahoma"/>
          <w:b/>
          <w:bCs/>
          <w:szCs w:val="22"/>
        </w:rPr>
        <w:t>LA PARTE RECURRENTE</w:t>
      </w:r>
      <w:r w:rsidR="00F75D23" w:rsidRPr="00A17FC0">
        <w:rPr>
          <w:rFonts w:cs="Tahoma"/>
          <w:szCs w:val="22"/>
        </w:rPr>
        <w:t xml:space="preserve"> interpuso el recurso de revisión en contra de la respuesta emitida por el </w:t>
      </w:r>
      <w:r w:rsidR="00F75D23" w:rsidRPr="00A17FC0">
        <w:rPr>
          <w:rFonts w:cs="Tahoma"/>
          <w:b/>
          <w:bCs/>
          <w:szCs w:val="22"/>
        </w:rPr>
        <w:t>SUJETO OBLIGADO</w:t>
      </w:r>
      <w:r w:rsidR="00953430" w:rsidRPr="00A17FC0">
        <w:rPr>
          <w:rFonts w:cs="Tahoma"/>
          <w:szCs w:val="22"/>
        </w:rPr>
        <w:t xml:space="preserve">, mismo que fue registrado en el SAIMEX con el número de expediente </w:t>
      </w:r>
      <w:r w:rsidR="004D1D10" w:rsidRPr="00A17FC0">
        <w:rPr>
          <w:rFonts w:cs="Tahoma"/>
          <w:b/>
          <w:bCs/>
          <w:szCs w:val="22"/>
        </w:rPr>
        <w:t>03172/INFOEM/IP/RR/2024</w:t>
      </w:r>
      <w:r w:rsidR="00953430" w:rsidRPr="00A17FC0">
        <w:rPr>
          <w:rFonts w:cs="Tahoma"/>
          <w:szCs w:val="22"/>
        </w:rPr>
        <w:t>, y en el cual manifiesta lo siguiente</w:t>
      </w:r>
      <w:r w:rsidRPr="00A17FC0">
        <w:rPr>
          <w:rFonts w:cs="Tahoma"/>
          <w:szCs w:val="22"/>
        </w:rPr>
        <w:t>:</w:t>
      </w:r>
    </w:p>
    <w:p w14:paraId="74B30008" w14:textId="77777777" w:rsidR="00664420" w:rsidRPr="00A17FC0" w:rsidRDefault="00664420" w:rsidP="00A17FC0">
      <w:pPr>
        <w:tabs>
          <w:tab w:val="left" w:pos="4667"/>
        </w:tabs>
        <w:ind w:right="539"/>
        <w:rPr>
          <w:rFonts w:cs="Tahoma"/>
          <w:szCs w:val="22"/>
        </w:rPr>
      </w:pPr>
    </w:p>
    <w:p w14:paraId="527553A9" w14:textId="77777777" w:rsidR="00F66FCA" w:rsidRPr="00A17FC0" w:rsidRDefault="00664420" w:rsidP="00A17FC0">
      <w:pPr>
        <w:tabs>
          <w:tab w:val="left" w:pos="4667"/>
        </w:tabs>
        <w:ind w:left="567" w:right="539"/>
        <w:rPr>
          <w:rFonts w:cs="Tahoma"/>
          <w:b/>
          <w:iCs/>
        </w:rPr>
      </w:pPr>
      <w:r w:rsidRPr="00A17FC0">
        <w:rPr>
          <w:rFonts w:cs="Tahoma"/>
          <w:b/>
          <w:iCs/>
        </w:rPr>
        <w:t>ACTO IMPUGNADO</w:t>
      </w:r>
    </w:p>
    <w:p w14:paraId="12153283" w14:textId="7A174EFC" w:rsidR="00664420" w:rsidRPr="00A17FC0" w:rsidRDefault="00664420" w:rsidP="00A17FC0">
      <w:pPr>
        <w:tabs>
          <w:tab w:val="left" w:pos="4667"/>
        </w:tabs>
        <w:ind w:left="567" w:right="539"/>
        <w:rPr>
          <w:rFonts w:cs="Tahoma"/>
          <w:b/>
          <w:iCs/>
        </w:rPr>
      </w:pPr>
      <w:r w:rsidRPr="00A17FC0">
        <w:rPr>
          <w:rFonts w:cs="Tahoma"/>
          <w:b/>
          <w:iCs/>
        </w:rPr>
        <w:tab/>
      </w:r>
    </w:p>
    <w:p w14:paraId="523F8BF4" w14:textId="3B5A79EA" w:rsidR="00664420" w:rsidRPr="00A17FC0" w:rsidRDefault="00C135F9" w:rsidP="00A17FC0">
      <w:pPr>
        <w:pStyle w:val="Ttulo"/>
      </w:pPr>
      <w:r w:rsidRPr="00A17FC0">
        <w:t>“</w:t>
      </w:r>
      <w:r w:rsidR="004D1D10" w:rsidRPr="00A17FC0">
        <w:t>Se clasifica inadecuadamente la información publica solicitada</w:t>
      </w:r>
      <w:r w:rsidRPr="00A17FC0">
        <w:t>”</w:t>
      </w:r>
    </w:p>
    <w:p w14:paraId="6AE8EA9A" w14:textId="77777777" w:rsidR="00664420" w:rsidRPr="00A17FC0" w:rsidRDefault="00664420" w:rsidP="00A17FC0">
      <w:pPr>
        <w:tabs>
          <w:tab w:val="left" w:pos="4667"/>
        </w:tabs>
        <w:ind w:left="567" w:right="539"/>
        <w:rPr>
          <w:rFonts w:cs="Tahoma"/>
          <w:bCs/>
          <w:i/>
        </w:rPr>
      </w:pPr>
    </w:p>
    <w:p w14:paraId="047D036B" w14:textId="77777777" w:rsidR="00664420" w:rsidRPr="00A17FC0" w:rsidRDefault="00664420" w:rsidP="00A17FC0">
      <w:pPr>
        <w:tabs>
          <w:tab w:val="left" w:pos="4667"/>
        </w:tabs>
        <w:ind w:left="567" w:right="539"/>
        <w:rPr>
          <w:rFonts w:cs="Tahoma"/>
          <w:b/>
          <w:iCs/>
        </w:rPr>
      </w:pPr>
      <w:r w:rsidRPr="00A17FC0">
        <w:rPr>
          <w:rFonts w:cs="Tahoma"/>
          <w:b/>
          <w:iCs/>
        </w:rPr>
        <w:t>RAZONES O MOTIVOS DE LA INCONFORMIDAD</w:t>
      </w:r>
      <w:r w:rsidRPr="00A17FC0">
        <w:rPr>
          <w:rFonts w:cs="Tahoma"/>
          <w:b/>
          <w:iCs/>
        </w:rPr>
        <w:tab/>
      </w:r>
    </w:p>
    <w:p w14:paraId="6B3E1C85" w14:textId="77777777" w:rsidR="00F66FCA" w:rsidRPr="00A17FC0" w:rsidRDefault="00F66FCA" w:rsidP="00A17FC0">
      <w:pPr>
        <w:tabs>
          <w:tab w:val="left" w:pos="4667"/>
        </w:tabs>
        <w:ind w:left="567" w:right="539"/>
        <w:rPr>
          <w:rFonts w:cs="Tahoma"/>
          <w:b/>
          <w:iCs/>
        </w:rPr>
      </w:pPr>
    </w:p>
    <w:p w14:paraId="1DAE2563" w14:textId="54BBAA20" w:rsidR="00953430" w:rsidRPr="00A17FC0" w:rsidRDefault="00C135F9" w:rsidP="00A17FC0">
      <w:pPr>
        <w:pStyle w:val="Ttulo"/>
      </w:pPr>
      <w:r w:rsidRPr="00A17FC0">
        <w:t>“</w:t>
      </w:r>
      <w:r w:rsidR="004D1D10" w:rsidRPr="00A17FC0">
        <w:t>Sin tomar en cuenta que se esta violentando un derecho humano fundamental establecido en el articulo 4 párrafo quinto de la Constitución Política de los Estados Unidos Mexicanos y contradice el primer principio de la Declaración de Estocolmo que establece: “El hombre tiene el derecho fundamental a la libertad, la igualdad y el disfrute de las condiciones de vida adecuadas en un medio de calidad tal que le permita llevar una vida digna y gozar de bienestar, y tiene la solemne obligación de proteger y mejorar el ambiente para las generaciones presentes y futuras”.</w:t>
      </w:r>
      <w:r w:rsidRPr="00A17FC0">
        <w:t>”</w:t>
      </w:r>
    </w:p>
    <w:p w14:paraId="48FE75EA" w14:textId="77777777" w:rsidR="00664420" w:rsidRPr="00A17FC0" w:rsidRDefault="00664420" w:rsidP="00A17FC0">
      <w:pPr>
        <w:tabs>
          <w:tab w:val="left" w:pos="4667"/>
        </w:tabs>
        <w:ind w:right="567"/>
        <w:rPr>
          <w:rFonts w:cs="Tahoma"/>
          <w:b/>
          <w:bCs/>
        </w:rPr>
      </w:pPr>
    </w:p>
    <w:p w14:paraId="6804DEF1" w14:textId="3C4F6CB5" w:rsidR="00664420" w:rsidRPr="00A17FC0" w:rsidRDefault="006E25BC" w:rsidP="00A17FC0">
      <w:pPr>
        <w:pStyle w:val="Ttulo3"/>
      </w:pPr>
      <w:bookmarkStart w:id="11" w:name="_Toc177655602"/>
      <w:r w:rsidRPr="00A17FC0">
        <w:t>b</w:t>
      </w:r>
      <w:r w:rsidR="00664420" w:rsidRPr="00A17FC0">
        <w:t>) Turno del Recurso de Revisión</w:t>
      </w:r>
      <w:bookmarkEnd w:id="11"/>
    </w:p>
    <w:p w14:paraId="1173671B" w14:textId="7EA5FEFE" w:rsidR="00C72DAA" w:rsidRPr="00A17FC0" w:rsidRDefault="00C72DAA" w:rsidP="00A17FC0">
      <w:r w:rsidRPr="00A17FC0">
        <w:t>Con fundamento en el artículo 185, fracción I de la Ley de Transparencia y Acceso a la Información Pública del Estado de México y Municipios, el</w:t>
      </w:r>
      <w:r w:rsidRPr="00A17FC0">
        <w:rPr>
          <w:b/>
          <w:bCs/>
        </w:rPr>
        <w:t xml:space="preserve"> </w:t>
      </w:r>
      <w:r w:rsidR="008F555B" w:rsidRPr="00A17FC0">
        <w:rPr>
          <w:rFonts w:eastAsia="Palatino Linotype" w:cs="Palatino Linotype"/>
          <w:b/>
        </w:rPr>
        <w:t>veinte de mayo</w:t>
      </w:r>
      <w:r w:rsidR="00C135F9" w:rsidRPr="00A17FC0">
        <w:rPr>
          <w:rFonts w:eastAsia="Palatino Linotype" w:cs="Palatino Linotype"/>
          <w:b/>
        </w:rPr>
        <w:t xml:space="preserve"> de dos mil </w:t>
      </w:r>
      <w:r w:rsidR="00C135F9" w:rsidRPr="00A17FC0">
        <w:rPr>
          <w:rFonts w:eastAsia="Palatino Linotype" w:cs="Palatino Linotype"/>
          <w:b/>
        </w:rPr>
        <w:lastRenderedPageBreak/>
        <w:t xml:space="preserve">veinticuatro </w:t>
      </w:r>
      <w:r w:rsidRPr="00A17FC0">
        <w:t>se turnó el recurso de revisión a través del</w:t>
      </w:r>
      <w:r w:rsidRPr="00A17FC0">
        <w:rPr>
          <w:rFonts w:eastAsia="Arial Unicode MS"/>
        </w:rPr>
        <w:t xml:space="preserve"> </w:t>
      </w:r>
      <w:r w:rsidRPr="00A17FC0">
        <w:rPr>
          <w:rFonts w:eastAsia="Arial Unicode MS"/>
          <w:bCs/>
        </w:rPr>
        <w:t>SAIMEX</w:t>
      </w:r>
      <w:r w:rsidRPr="00A17FC0">
        <w:t xml:space="preserve"> a la </w:t>
      </w:r>
      <w:r w:rsidRPr="00A17FC0">
        <w:rPr>
          <w:b/>
        </w:rPr>
        <w:t>Comisionada Sharon Cristina Morales Martínez</w:t>
      </w:r>
      <w:r w:rsidRPr="00A17FC0">
        <w:rPr>
          <w:bCs/>
        </w:rPr>
        <w:t xml:space="preserve">, </w:t>
      </w:r>
      <w:r w:rsidRPr="00A17FC0">
        <w:t xml:space="preserve">a efecto de decretar su admisión o desechamiento. </w:t>
      </w:r>
    </w:p>
    <w:p w14:paraId="18F305CB" w14:textId="77777777" w:rsidR="00664420" w:rsidRPr="00A17FC0" w:rsidRDefault="00664420" w:rsidP="00A17FC0">
      <w:pPr>
        <w:rPr>
          <w:rFonts w:eastAsia="Batang" w:cs="Tahoma"/>
          <w:bCs/>
          <w:szCs w:val="22"/>
        </w:rPr>
      </w:pPr>
    </w:p>
    <w:p w14:paraId="3E31EC2D" w14:textId="295256A1" w:rsidR="00664420" w:rsidRPr="00A17FC0" w:rsidRDefault="006E25BC" w:rsidP="00A17FC0">
      <w:pPr>
        <w:pStyle w:val="Ttulo3"/>
      </w:pPr>
      <w:bookmarkStart w:id="12" w:name="_Toc177655603"/>
      <w:r w:rsidRPr="00A17FC0">
        <w:t>c</w:t>
      </w:r>
      <w:r w:rsidR="00664420" w:rsidRPr="00A17FC0">
        <w:t>) Admisión del Recurso de Revisión</w:t>
      </w:r>
      <w:bookmarkEnd w:id="12"/>
    </w:p>
    <w:p w14:paraId="240447D5" w14:textId="39497DD9" w:rsidR="000E09C4" w:rsidRPr="00A17FC0" w:rsidRDefault="000E09C4" w:rsidP="00A17FC0">
      <w:pPr>
        <w:rPr>
          <w:rFonts w:cs="Arial"/>
        </w:rPr>
      </w:pPr>
      <w:r w:rsidRPr="00A17FC0">
        <w:rPr>
          <w:rFonts w:cs="Arial"/>
        </w:rPr>
        <w:t xml:space="preserve">El </w:t>
      </w:r>
      <w:r w:rsidR="008F555B" w:rsidRPr="00A17FC0">
        <w:rPr>
          <w:rFonts w:eastAsia="Palatino Linotype" w:cs="Palatino Linotype"/>
          <w:b/>
        </w:rPr>
        <w:t>veintidós de mayo</w:t>
      </w:r>
      <w:r w:rsidR="00C135F9" w:rsidRPr="00A17FC0">
        <w:rPr>
          <w:rFonts w:eastAsia="Palatino Linotype" w:cs="Palatino Linotype"/>
          <w:b/>
        </w:rPr>
        <w:t xml:space="preserve"> de dos mil veinticuatro</w:t>
      </w:r>
      <w:r w:rsidRPr="00A17FC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17FC0">
        <w:rPr>
          <w:rFonts w:cs="Arial"/>
        </w:rPr>
        <w:t>, fracción II</w:t>
      </w:r>
      <w:r w:rsidRPr="00A17FC0">
        <w:rPr>
          <w:rFonts w:cs="Arial"/>
        </w:rPr>
        <w:t xml:space="preserve"> de la Ley de Transparencia y Acceso a la Información Pública del Estado de México y Municipios.</w:t>
      </w:r>
    </w:p>
    <w:p w14:paraId="09B589C5" w14:textId="77777777" w:rsidR="00664420" w:rsidRPr="00A17FC0" w:rsidRDefault="00664420" w:rsidP="00A17FC0">
      <w:pPr>
        <w:rPr>
          <w:rFonts w:cs="Tahoma"/>
          <w:b/>
          <w:szCs w:val="22"/>
        </w:rPr>
      </w:pPr>
    </w:p>
    <w:p w14:paraId="66BA6FC7" w14:textId="0C734DEB" w:rsidR="00865CF4" w:rsidRPr="00A17FC0" w:rsidRDefault="00C135F9" w:rsidP="00A17FC0">
      <w:pPr>
        <w:pStyle w:val="Ttulo3"/>
      </w:pPr>
      <w:bookmarkStart w:id="13" w:name="_Toc177655604"/>
      <w:r w:rsidRPr="00A17FC0">
        <w:t>d</w:t>
      </w:r>
      <w:r w:rsidR="00664420" w:rsidRPr="00A17FC0">
        <w:t xml:space="preserve">) </w:t>
      </w:r>
      <w:r w:rsidR="00865CF4" w:rsidRPr="00A17FC0">
        <w:t>Informe Justificado del Sujeto Obligado</w:t>
      </w:r>
      <w:bookmarkEnd w:id="13"/>
    </w:p>
    <w:p w14:paraId="195F0D72" w14:textId="4B057268" w:rsidR="00865CF4" w:rsidRPr="00A17FC0" w:rsidRDefault="00865CF4" w:rsidP="00A17FC0">
      <w:pPr>
        <w:rPr>
          <w:rFonts w:eastAsia="Calibri" w:cs="Tahoma"/>
          <w:szCs w:val="22"/>
          <w:lang w:eastAsia="en-US"/>
        </w:rPr>
      </w:pPr>
      <w:r w:rsidRPr="00A17FC0">
        <w:rPr>
          <w:rFonts w:cs="Tahoma"/>
          <w:bCs/>
          <w:szCs w:val="24"/>
        </w:rPr>
        <w:t xml:space="preserve">El </w:t>
      </w:r>
      <w:r w:rsidR="00F66FCA" w:rsidRPr="00A17FC0">
        <w:rPr>
          <w:rFonts w:cs="Tahoma"/>
          <w:b/>
          <w:szCs w:val="24"/>
        </w:rPr>
        <w:t xml:space="preserve">treinta y uno de mayo </w:t>
      </w:r>
      <w:r w:rsidR="00C135F9" w:rsidRPr="00A17FC0">
        <w:rPr>
          <w:rFonts w:cs="Tahoma"/>
          <w:b/>
          <w:szCs w:val="24"/>
        </w:rPr>
        <w:t>de dos mil veinticuatro</w:t>
      </w:r>
      <w:r w:rsidRPr="00A17FC0">
        <w:rPr>
          <w:rFonts w:cs="Tahoma"/>
          <w:b/>
          <w:szCs w:val="24"/>
        </w:rPr>
        <w:t xml:space="preserve"> EL SUJETO OBLIGADO</w:t>
      </w:r>
      <w:r w:rsidRPr="00A17FC0">
        <w:rPr>
          <w:rFonts w:cs="Tahoma"/>
          <w:bCs/>
          <w:szCs w:val="24"/>
        </w:rPr>
        <w:t xml:space="preserve"> rindió su informe justificado a través del SAIMEX, </w:t>
      </w:r>
      <w:r w:rsidR="008F555B" w:rsidRPr="00A17FC0">
        <w:rPr>
          <w:rFonts w:eastAsia="Calibri" w:cs="Tahoma"/>
          <w:szCs w:val="22"/>
          <w:lang w:eastAsia="en-US"/>
        </w:rPr>
        <w:t>en donde medularmente ratifica la respuesta primigenia, acompañando dicho documento con los archivos digitales remitidos en la respuesta primigenia.</w:t>
      </w:r>
    </w:p>
    <w:p w14:paraId="26C9F6F0" w14:textId="77777777" w:rsidR="00865CF4" w:rsidRPr="00A17FC0" w:rsidRDefault="00865CF4" w:rsidP="00A17FC0">
      <w:pPr>
        <w:rPr>
          <w:rFonts w:eastAsia="Calibri" w:cs="Tahoma"/>
          <w:szCs w:val="22"/>
          <w:lang w:eastAsia="en-US"/>
        </w:rPr>
      </w:pPr>
    </w:p>
    <w:p w14:paraId="2D130A9D" w14:textId="0F3FDA5A" w:rsidR="00865CF4" w:rsidRPr="00A17FC0" w:rsidRDefault="00865CF4" w:rsidP="00A17FC0">
      <w:pPr>
        <w:rPr>
          <w:rFonts w:cs="Tahoma"/>
          <w:bCs/>
          <w:szCs w:val="24"/>
        </w:rPr>
      </w:pPr>
      <w:r w:rsidRPr="00A17FC0">
        <w:rPr>
          <w:rFonts w:cs="Tahoma"/>
          <w:bCs/>
          <w:szCs w:val="24"/>
        </w:rPr>
        <w:t xml:space="preserve">Esta información fue puesta a la vista de </w:t>
      </w:r>
      <w:r w:rsidRPr="00A17FC0">
        <w:rPr>
          <w:rFonts w:cs="Tahoma"/>
          <w:b/>
          <w:szCs w:val="24"/>
        </w:rPr>
        <w:t xml:space="preserve">LA PARTE RECURRENTE </w:t>
      </w:r>
      <w:r w:rsidRPr="00A17FC0">
        <w:rPr>
          <w:rFonts w:cs="Tahoma"/>
          <w:bCs/>
          <w:szCs w:val="24"/>
        </w:rPr>
        <w:t xml:space="preserve">el </w:t>
      </w:r>
      <w:r w:rsidR="008F555B" w:rsidRPr="00A17FC0">
        <w:rPr>
          <w:rFonts w:cs="Tahoma"/>
          <w:b/>
          <w:szCs w:val="24"/>
        </w:rPr>
        <w:t>nueve de septiembre</w:t>
      </w:r>
      <w:r w:rsidR="00C135F9" w:rsidRPr="00A17FC0">
        <w:rPr>
          <w:rFonts w:cs="Tahoma"/>
          <w:b/>
          <w:szCs w:val="24"/>
        </w:rPr>
        <w:t xml:space="preserve"> de dos mil veinticuatro</w:t>
      </w:r>
      <w:r w:rsidRPr="00A17FC0">
        <w:rPr>
          <w:rFonts w:cs="Tahoma"/>
          <w:bCs/>
          <w:szCs w:val="24"/>
        </w:rPr>
        <w:t xml:space="preserve"> para que, en un plazo de tres días hábiles, manifestara lo que a su derecho conviniera, de conformidad con lo establecido en el </w:t>
      </w:r>
      <w:r w:rsidRPr="00A17FC0">
        <w:rPr>
          <w:rFonts w:cs="Arial"/>
        </w:rPr>
        <w:t>artículo 185, fracción III de la Ley de Transparencia y Acceso a la Información Pública del Estado de México y Municipios</w:t>
      </w:r>
      <w:r w:rsidRPr="00A17FC0">
        <w:rPr>
          <w:rFonts w:cs="Tahoma"/>
          <w:bCs/>
          <w:szCs w:val="24"/>
        </w:rPr>
        <w:t>.</w:t>
      </w:r>
    </w:p>
    <w:p w14:paraId="3B386B4C" w14:textId="77777777" w:rsidR="003A40C1" w:rsidRPr="00A17FC0" w:rsidRDefault="003A40C1" w:rsidP="00A17FC0">
      <w:pPr>
        <w:ind w:right="539"/>
        <w:rPr>
          <w:rFonts w:cs="Tahoma"/>
          <w:bCs/>
          <w:szCs w:val="24"/>
        </w:rPr>
      </w:pPr>
    </w:p>
    <w:p w14:paraId="755B7730" w14:textId="7A8348ED" w:rsidR="00664420" w:rsidRPr="00A17FC0" w:rsidRDefault="00C135F9" w:rsidP="00A17FC0">
      <w:pPr>
        <w:pStyle w:val="Ttulo3"/>
        <w:rPr>
          <w:lang w:val="es-ES"/>
        </w:rPr>
      </w:pPr>
      <w:bookmarkStart w:id="14" w:name="_Toc177655605"/>
      <w:r w:rsidRPr="00A17FC0">
        <w:rPr>
          <w:rFonts w:eastAsia="Calibri"/>
          <w:bCs/>
          <w:lang w:eastAsia="en-US"/>
        </w:rPr>
        <w:lastRenderedPageBreak/>
        <w:t>e</w:t>
      </w:r>
      <w:r w:rsidR="00664420" w:rsidRPr="00A17FC0">
        <w:rPr>
          <w:rFonts w:eastAsia="Calibri"/>
          <w:bCs/>
          <w:lang w:eastAsia="en-US"/>
        </w:rPr>
        <w:t>)</w:t>
      </w:r>
      <w:r w:rsidR="00664420" w:rsidRPr="00A17FC0">
        <w:t xml:space="preserve"> </w:t>
      </w:r>
      <w:r w:rsidR="00865CF4" w:rsidRPr="00A17FC0">
        <w:rPr>
          <w:lang w:val="es-ES"/>
        </w:rPr>
        <w:t>Manifestaciones de la Parte Recurrente</w:t>
      </w:r>
      <w:bookmarkEnd w:id="14"/>
    </w:p>
    <w:p w14:paraId="4E8AF011" w14:textId="77777777" w:rsidR="00865CF4" w:rsidRPr="00A17FC0" w:rsidRDefault="00865CF4" w:rsidP="00A17FC0">
      <w:pPr>
        <w:rPr>
          <w:rFonts w:eastAsia="Arial Unicode MS" w:cs="Arial"/>
        </w:rPr>
      </w:pPr>
      <w:r w:rsidRPr="00A17FC0">
        <w:rPr>
          <w:rFonts w:cs="Tahoma"/>
          <w:b/>
          <w:szCs w:val="24"/>
        </w:rPr>
        <w:t xml:space="preserve">LA PARTE RECURRENTE </w:t>
      </w:r>
      <w:r w:rsidRPr="00A17FC0">
        <w:rPr>
          <w:rFonts w:eastAsia="Arial Unicode MS" w:cs="Arial"/>
        </w:rPr>
        <w:t>no realizó manifestación alguna dentro del término legalmente concedido para tal efecto, ni presentó pruebas o alegatos.</w:t>
      </w:r>
    </w:p>
    <w:p w14:paraId="6923684C" w14:textId="77777777" w:rsidR="00664420" w:rsidRPr="00A17FC0" w:rsidRDefault="00664420" w:rsidP="00A17FC0">
      <w:pPr>
        <w:rPr>
          <w:rFonts w:cs="Tahoma"/>
          <w:szCs w:val="22"/>
        </w:rPr>
      </w:pPr>
    </w:p>
    <w:p w14:paraId="0B6CC0A9" w14:textId="0F16B2E5" w:rsidR="00C223AE" w:rsidRPr="00A17FC0" w:rsidRDefault="00C223AE" w:rsidP="00A17FC0">
      <w:pPr>
        <w:pStyle w:val="Ttulo3"/>
        <w:rPr>
          <w:rFonts w:eastAsia="Calibri"/>
        </w:rPr>
      </w:pPr>
      <w:bookmarkStart w:id="15" w:name="_Toc165402868"/>
      <w:bookmarkStart w:id="16" w:name="_Toc177655606"/>
      <w:r w:rsidRPr="00A17FC0">
        <w:rPr>
          <w:rFonts w:eastAsia="Calibri"/>
        </w:rPr>
        <w:t>f) Ampliación de plazo para resolver el Recurso de Revisión</w:t>
      </w:r>
      <w:bookmarkEnd w:id="15"/>
      <w:bookmarkEnd w:id="16"/>
    </w:p>
    <w:p w14:paraId="610CAB04" w14:textId="2DA48FD0" w:rsidR="00BF3ECC" w:rsidRPr="00A17FC0" w:rsidRDefault="00BF3ECC" w:rsidP="00A17FC0">
      <w:pPr>
        <w:rPr>
          <w:rFonts w:eastAsia="Palatino Linotype" w:cs="Palatino Linotype"/>
        </w:rPr>
      </w:pPr>
      <w:r w:rsidRPr="00A17FC0">
        <w:rPr>
          <w:rFonts w:eastAsia="Palatino Linotype" w:cs="Palatino Linotype"/>
        </w:rPr>
        <w:t xml:space="preserve">El </w:t>
      </w:r>
      <w:r w:rsidRPr="00A17FC0">
        <w:rPr>
          <w:rFonts w:eastAsia="Palatino Linotype" w:cs="Palatino Linotype"/>
          <w:b/>
        </w:rPr>
        <w:t>doce de septiembre de dos mil veinti</w:t>
      </w:r>
      <w:r w:rsidR="00AA0703" w:rsidRPr="00A17FC0">
        <w:rPr>
          <w:rFonts w:eastAsia="Palatino Linotype" w:cs="Palatino Linotype"/>
          <w:b/>
        </w:rPr>
        <w:t>cuatro</w:t>
      </w:r>
      <w:r w:rsidRPr="00A17FC0">
        <w:rPr>
          <w:rFonts w:eastAsia="Palatino Linotype" w:cs="Palatino Linotype"/>
        </w:rPr>
        <w:t>, se notificó el acuerdo de ampliación de plazo para resolver los presentes Recursos de Revisión, previsto en el artículo 181, tercer párrafo de la Ley de Transparencia y Acceso a la Información Pública del Estado de México y Municipios.</w:t>
      </w:r>
    </w:p>
    <w:p w14:paraId="3E09AE2A" w14:textId="77777777" w:rsidR="00BF3ECC" w:rsidRPr="00A17FC0" w:rsidRDefault="00BF3ECC" w:rsidP="00A17FC0">
      <w:pPr>
        <w:rPr>
          <w:rFonts w:eastAsia="Palatino Linotype" w:cs="Palatino Linotype"/>
        </w:rPr>
      </w:pPr>
    </w:p>
    <w:p w14:paraId="146B68D0" w14:textId="77777777" w:rsidR="00BF3ECC" w:rsidRPr="00A17FC0" w:rsidRDefault="00BF3ECC" w:rsidP="00A17FC0">
      <w:pPr>
        <w:rPr>
          <w:rFonts w:cs="Arial"/>
          <w:lang w:eastAsia="es-MX"/>
        </w:rPr>
      </w:pPr>
      <w:r w:rsidRPr="00A17FC0">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7A0A816" w14:textId="77777777" w:rsidR="00BF3ECC" w:rsidRPr="00A17FC0" w:rsidRDefault="00BF3ECC" w:rsidP="00A17FC0">
      <w:pPr>
        <w:rPr>
          <w:rFonts w:cs="Arial"/>
          <w:lang w:eastAsia="es-MX"/>
        </w:rPr>
      </w:pPr>
    </w:p>
    <w:p w14:paraId="695D3A7E" w14:textId="77777777" w:rsidR="00BF3ECC" w:rsidRPr="00A17FC0" w:rsidRDefault="00BF3ECC" w:rsidP="00A17FC0">
      <w:pPr>
        <w:rPr>
          <w:rFonts w:cs="Arial"/>
          <w:lang w:eastAsia="es-MX"/>
        </w:rPr>
      </w:pPr>
      <w:r w:rsidRPr="00A17FC0">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899E032" w14:textId="77777777" w:rsidR="00BF3ECC" w:rsidRPr="00A17FC0" w:rsidRDefault="00BF3ECC" w:rsidP="00A17FC0">
      <w:pPr>
        <w:rPr>
          <w:rFonts w:cs="Arial"/>
          <w:lang w:eastAsia="es-MX"/>
        </w:rPr>
      </w:pPr>
    </w:p>
    <w:p w14:paraId="023AB1A3" w14:textId="77777777" w:rsidR="00BF3ECC" w:rsidRPr="00A17FC0" w:rsidRDefault="00BF3ECC" w:rsidP="00A17FC0">
      <w:pPr>
        <w:rPr>
          <w:rFonts w:cs="Arial"/>
          <w:lang w:eastAsia="es-MX"/>
        </w:rPr>
      </w:pPr>
      <w:r w:rsidRPr="00A17FC0">
        <w:rPr>
          <w:rFonts w:cs="Arial"/>
          <w:lang w:eastAsia="es-MX"/>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A17FC0">
        <w:rPr>
          <w:rFonts w:cs="Arial"/>
          <w:lang w:eastAsia="es-MX"/>
        </w:rPr>
        <w:lastRenderedPageBreak/>
        <w:t>cuasi jurisdiccionales, tanto por la complejidad de los hechos, como por el número de casos que conocen.</w:t>
      </w:r>
    </w:p>
    <w:p w14:paraId="20BD7B08" w14:textId="77777777" w:rsidR="00BF3ECC" w:rsidRPr="00A17FC0" w:rsidRDefault="00BF3ECC" w:rsidP="00A17FC0">
      <w:pPr>
        <w:rPr>
          <w:rFonts w:cs="Arial"/>
          <w:lang w:eastAsia="es-MX"/>
        </w:rPr>
      </w:pPr>
    </w:p>
    <w:p w14:paraId="202599F5" w14:textId="77777777" w:rsidR="00BF3ECC" w:rsidRPr="00A17FC0" w:rsidRDefault="00BF3ECC" w:rsidP="00A17FC0">
      <w:pPr>
        <w:rPr>
          <w:rFonts w:cs="Arial"/>
          <w:lang w:eastAsia="es-MX"/>
        </w:rPr>
      </w:pPr>
      <w:r w:rsidRPr="00A17FC0">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5D901163" w14:textId="77777777" w:rsidR="00BF3ECC" w:rsidRPr="00A17FC0" w:rsidRDefault="00BF3ECC" w:rsidP="00A17FC0">
      <w:pPr>
        <w:rPr>
          <w:rFonts w:cs="Arial"/>
          <w:lang w:eastAsia="es-MX"/>
        </w:rPr>
      </w:pPr>
    </w:p>
    <w:p w14:paraId="7AF7E471" w14:textId="77777777" w:rsidR="00BF3ECC" w:rsidRPr="00A17FC0" w:rsidRDefault="00BF3ECC" w:rsidP="00A17FC0">
      <w:pPr>
        <w:pStyle w:val="Prrafodelista"/>
        <w:numPr>
          <w:ilvl w:val="0"/>
          <w:numId w:val="25"/>
        </w:numPr>
        <w:contextualSpacing w:val="0"/>
        <w:rPr>
          <w:rFonts w:cs="Arial"/>
          <w:lang w:eastAsia="es-MX"/>
        </w:rPr>
      </w:pPr>
      <w:r w:rsidRPr="00A17FC0">
        <w:rPr>
          <w:rFonts w:cs="Arial"/>
          <w:b/>
          <w:lang w:eastAsia="es-MX"/>
        </w:rPr>
        <w:t>Complejidad del asunto:</w:t>
      </w:r>
      <w:r w:rsidRPr="00A17FC0">
        <w:rPr>
          <w:rFonts w:cs="Arial"/>
          <w:lang w:eastAsia="es-MX"/>
        </w:rPr>
        <w:t xml:space="preserve"> La complejidad de la prueba, la pluralidad de sujetos procesales, el tiempo transcurrido, las características y contexto del recurso.</w:t>
      </w:r>
    </w:p>
    <w:p w14:paraId="1303CF52" w14:textId="77777777" w:rsidR="00BF3ECC" w:rsidRPr="00A17FC0" w:rsidRDefault="00BF3ECC" w:rsidP="00A17FC0">
      <w:pPr>
        <w:pStyle w:val="Prrafodelista"/>
        <w:numPr>
          <w:ilvl w:val="0"/>
          <w:numId w:val="25"/>
        </w:numPr>
        <w:contextualSpacing w:val="0"/>
        <w:rPr>
          <w:rFonts w:cs="Arial"/>
          <w:lang w:eastAsia="es-MX"/>
        </w:rPr>
      </w:pPr>
      <w:r w:rsidRPr="00A17FC0">
        <w:rPr>
          <w:rFonts w:cs="Arial"/>
          <w:b/>
          <w:lang w:eastAsia="es-MX"/>
        </w:rPr>
        <w:t>Actividad Procesal del interesado:</w:t>
      </w:r>
      <w:r w:rsidRPr="00A17FC0">
        <w:rPr>
          <w:rFonts w:cs="Arial"/>
          <w:lang w:eastAsia="es-MX"/>
        </w:rPr>
        <w:t xml:space="preserve"> Acciones u omisiones del interesado.</w:t>
      </w:r>
    </w:p>
    <w:p w14:paraId="14353177" w14:textId="77777777" w:rsidR="00BF3ECC" w:rsidRPr="00A17FC0" w:rsidRDefault="00BF3ECC" w:rsidP="00A17FC0">
      <w:pPr>
        <w:pStyle w:val="Prrafodelista"/>
        <w:numPr>
          <w:ilvl w:val="0"/>
          <w:numId w:val="25"/>
        </w:numPr>
        <w:contextualSpacing w:val="0"/>
        <w:rPr>
          <w:rFonts w:cs="Arial"/>
          <w:lang w:eastAsia="es-MX"/>
        </w:rPr>
      </w:pPr>
      <w:r w:rsidRPr="00A17FC0">
        <w:rPr>
          <w:rFonts w:cs="Arial"/>
          <w:b/>
          <w:lang w:eastAsia="es-MX"/>
        </w:rPr>
        <w:t>Conducta de la Autoridad:</w:t>
      </w:r>
      <w:r w:rsidRPr="00A17FC0">
        <w:rPr>
          <w:rFonts w:cs="Arial"/>
          <w:lang w:eastAsia="es-MX"/>
        </w:rPr>
        <w:t xml:space="preserve"> Las Acciones u omisiones realizadas en el procedimiento. Así como si la autoridad actuó con la debida diligencia.</w:t>
      </w:r>
    </w:p>
    <w:p w14:paraId="57B7704E" w14:textId="77777777" w:rsidR="00BF3ECC" w:rsidRPr="00A17FC0" w:rsidRDefault="00BF3ECC" w:rsidP="00A17FC0">
      <w:pPr>
        <w:pStyle w:val="Prrafodelista"/>
        <w:numPr>
          <w:ilvl w:val="0"/>
          <w:numId w:val="25"/>
        </w:numPr>
        <w:contextualSpacing w:val="0"/>
        <w:rPr>
          <w:rFonts w:cs="Arial"/>
          <w:lang w:eastAsia="es-MX"/>
        </w:rPr>
      </w:pPr>
      <w:r w:rsidRPr="00A17FC0">
        <w:rPr>
          <w:rFonts w:cs="Arial"/>
          <w:b/>
          <w:lang w:eastAsia="es-MX"/>
        </w:rPr>
        <w:t xml:space="preserve">La afectación generada en la situación jurídica de la persona involucrada en el proceso: </w:t>
      </w:r>
      <w:r w:rsidRPr="00A17FC0">
        <w:rPr>
          <w:rFonts w:cs="Arial"/>
          <w:lang w:eastAsia="es-MX"/>
        </w:rPr>
        <w:t>Violación a sus derechos humanos.</w:t>
      </w:r>
    </w:p>
    <w:p w14:paraId="335C4484" w14:textId="77777777" w:rsidR="00BF3ECC" w:rsidRPr="00A17FC0" w:rsidRDefault="00BF3ECC" w:rsidP="00A17FC0">
      <w:pPr>
        <w:rPr>
          <w:rFonts w:cs="Arial"/>
          <w:lang w:eastAsia="es-MX"/>
        </w:rPr>
      </w:pPr>
    </w:p>
    <w:p w14:paraId="75BD502B" w14:textId="77777777" w:rsidR="00BF3ECC" w:rsidRPr="00A17FC0" w:rsidRDefault="00BF3ECC" w:rsidP="00A17FC0">
      <w:pPr>
        <w:rPr>
          <w:rFonts w:cs="Arial"/>
          <w:lang w:eastAsia="es-MX"/>
        </w:rPr>
      </w:pPr>
      <w:r w:rsidRPr="00A17FC0">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B9881D" w14:textId="77777777" w:rsidR="00BF3ECC" w:rsidRPr="00A17FC0" w:rsidRDefault="00BF3ECC" w:rsidP="00A17FC0">
      <w:pPr>
        <w:rPr>
          <w:rFonts w:cs="Arial"/>
          <w:lang w:eastAsia="es-MX"/>
        </w:rPr>
      </w:pPr>
    </w:p>
    <w:p w14:paraId="3AA7C289" w14:textId="77777777" w:rsidR="00BF3ECC" w:rsidRPr="00A17FC0" w:rsidRDefault="00BF3ECC" w:rsidP="00A17FC0">
      <w:pPr>
        <w:rPr>
          <w:rFonts w:cs="Arial"/>
          <w:lang w:eastAsia="es-MX"/>
        </w:rPr>
      </w:pPr>
      <w:r w:rsidRPr="00A17FC0">
        <w:rPr>
          <w:rFonts w:cs="Arial"/>
          <w:lang w:eastAsia="es-MX"/>
        </w:rPr>
        <w:t xml:space="preserve">Argumento que encuentra sustento en la jurisprudencia P./J. 32/92 emitida por el Pleno de la Suprema Corte de Justicia de la Nación de rubro “TÉRMINOS PROCESALES. PARA DETERMINAR SI UN FUNCIONARIO JUDICIAL ACTUÓ INDEBIDAMENTE POR NO </w:t>
      </w:r>
      <w:r w:rsidRPr="00A17FC0">
        <w:rPr>
          <w:rFonts w:cs="Arial"/>
          <w:lang w:eastAsia="es-MX"/>
        </w:rPr>
        <w:lastRenderedPageBreak/>
        <w:t>RESPETARLOS SE DEBE ATENDER AL PRESUPUESTO QUE CONSIDERÓ EL LEGISLADOR AL FIJARLOS Y LAS CARACTERÍSTICAS DEL CASO.”, visible en la Gaceta del Seminario Judicial de la Federación con el registro digital 205635.</w:t>
      </w:r>
    </w:p>
    <w:p w14:paraId="50DEE14D" w14:textId="77777777" w:rsidR="00BF3ECC" w:rsidRPr="00A17FC0" w:rsidRDefault="00BF3ECC" w:rsidP="00A17FC0">
      <w:pPr>
        <w:rPr>
          <w:rFonts w:cs="Arial"/>
          <w:lang w:eastAsia="es-MX"/>
        </w:rPr>
      </w:pPr>
    </w:p>
    <w:p w14:paraId="11763785" w14:textId="77777777" w:rsidR="00BF3ECC" w:rsidRPr="00A17FC0" w:rsidRDefault="00BF3ECC" w:rsidP="00A17FC0">
      <w:pPr>
        <w:rPr>
          <w:rFonts w:cs="Arial"/>
          <w:lang w:eastAsia="es-MX"/>
        </w:rPr>
      </w:pPr>
      <w:r w:rsidRPr="00A17FC0">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3C960C" w14:textId="77777777" w:rsidR="00BF3ECC" w:rsidRPr="00A17FC0" w:rsidRDefault="00BF3ECC" w:rsidP="00A17FC0">
      <w:pPr>
        <w:rPr>
          <w:rFonts w:cs="Arial"/>
          <w:lang w:eastAsia="es-MX"/>
        </w:rPr>
      </w:pPr>
    </w:p>
    <w:p w14:paraId="5255350E" w14:textId="77777777" w:rsidR="00BF3ECC" w:rsidRPr="00A17FC0" w:rsidRDefault="00BF3ECC" w:rsidP="00A17FC0">
      <w:pPr>
        <w:rPr>
          <w:rFonts w:cs="Arial"/>
          <w:lang w:eastAsia="es-MX"/>
        </w:rPr>
      </w:pPr>
      <w:r w:rsidRPr="00A17FC0">
        <w:rPr>
          <w:rFonts w:cs="Arial"/>
          <w:lang w:eastAsia="es-MX"/>
        </w:rPr>
        <w:t>Al respecto, también son de considerar los criterios sostenidos por el Cuarto Tribunal Colegiado en Materia Administrativa del Primer Circuito, cuyos rubros y datos de identificación son los siguientes:</w:t>
      </w:r>
    </w:p>
    <w:p w14:paraId="29E14D1A" w14:textId="77777777" w:rsidR="00BF3ECC" w:rsidRPr="00A17FC0" w:rsidRDefault="00BF3ECC" w:rsidP="00A17FC0">
      <w:pPr>
        <w:rPr>
          <w:rFonts w:cs="Arial"/>
          <w:lang w:eastAsia="es-MX"/>
        </w:rPr>
      </w:pPr>
    </w:p>
    <w:p w14:paraId="4357B151" w14:textId="77777777" w:rsidR="00BF3ECC" w:rsidRPr="00A17FC0" w:rsidRDefault="00BF3ECC" w:rsidP="00A17FC0">
      <w:pPr>
        <w:pStyle w:val="Ttulo"/>
        <w:rPr>
          <w:lang w:eastAsia="es-MX"/>
        </w:rPr>
      </w:pPr>
      <w:r w:rsidRPr="00A17FC0">
        <w:rPr>
          <w:lang w:eastAsia="es-MX"/>
        </w:rPr>
        <w:t>“</w:t>
      </w:r>
      <w:r w:rsidRPr="00A17FC0">
        <w:rPr>
          <w:b/>
          <w:lang w:eastAsia="es-MX"/>
        </w:rPr>
        <w:t>PLAZO RAZONABLE PARA RESOLVER. DIMENSIÓN Y EFECTOS DE ESTE CONCEPTO CUANDO SE ADUCE EXCESIVA CARGA DE TRABAJO.”</w:t>
      </w:r>
      <w:r w:rsidRPr="00A17FC0">
        <w:rPr>
          <w:lang w:eastAsia="es-MX"/>
        </w:rPr>
        <w:t xml:space="preserve"> consultable en el Seminario Judicial de la Federación y su gaceta, con el registro digital 2002351.</w:t>
      </w:r>
    </w:p>
    <w:p w14:paraId="163A4639" w14:textId="77777777" w:rsidR="00BF3ECC" w:rsidRPr="00A17FC0" w:rsidRDefault="00BF3ECC" w:rsidP="00A17FC0">
      <w:pPr>
        <w:pStyle w:val="Ttulo"/>
        <w:rPr>
          <w:lang w:eastAsia="es-MX"/>
        </w:rPr>
      </w:pPr>
    </w:p>
    <w:p w14:paraId="54A4AB5C" w14:textId="77777777" w:rsidR="00BF3ECC" w:rsidRPr="00A17FC0" w:rsidRDefault="00BF3ECC" w:rsidP="00A17FC0">
      <w:pPr>
        <w:pStyle w:val="Ttulo"/>
        <w:rPr>
          <w:lang w:eastAsia="es-MX"/>
        </w:rPr>
      </w:pPr>
      <w:r w:rsidRPr="00A17FC0">
        <w:rPr>
          <w:lang w:eastAsia="es-MX"/>
        </w:rPr>
        <w:t>“</w:t>
      </w:r>
      <w:r w:rsidRPr="00A17FC0">
        <w:rPr>
          <w:b/>
          <w:lang w:eastAsia="es-MX"/>
        </w:rPr>
        <w:t>PLAZO RAZONABLE PARA RESOLVER. CONCEPTO Y ELEMENTOS QUE LO INTEGRAN A LA LUZ DEL DERECHO INTERNACIONAL DE LOS DERECHOS HUMANOS.”</w:t>
      </w:r>
      <w:r w:rsidRPr="00A17FC0">
        <w:rPr>
          <w:lang w:eastAsia="es-MX"/>
        </w:rPr>
        <w:t>, visible en el Seminario Judicial de la Federación y su gaceta, con el registro digital 2002350.</w:t>
      </w:r>
    </w:p>
    <w:p w14:paraId="4C4EBA2B" w14:textId="77777777" w:rsidR="00BF3ECC" w:rsidRPr="00A17FC0" w:rsidRDefault="00BF3ECC" w:rsidP="00A17FC0">
      <w:pPr>
        <w:rPr>
          <w:rFonts w:cs="Arial"/>
          <w:lang w:eastAsia="es-MX"/>
        </w:rPr>
      </w:pPr>
    </w:p>
    <w:p w14:paraId="0348E3FC" w14:textId="77777777" w:rsidR="00BF3ECC" w:rsidRPr="00A17FC0" w:rsidRDefault="00BF3ECC" w:rsidP="00A17FC0">
      <w:pPr>
        <w:rPr>
          <w:rFonts w:cs="Arial"/>
          <w:lang w:eastAsia="es-MX"/>
        </w:rPr>
      </w:pPr>
      <w:r w:rsidRPr="00A17FC0">
        <w:rPr>
          <w:rFonts w:cs="Arial"/>
          <w:lang w:eastAsia="es-MX"/>
        </w:rPr>
        <w:t>Por ello, este organismo garante comprometido con la tutela de los derechos humanos confiados señala que este exceso del plazo legal para resolver el asunto resulta de carácter excepcional.</w:t>
      </w:r>
    </w:p>
    <w:p w14:paraId="60C78BB9" w14:textId="77777777" w:rsidR="00C223AE" w:rsidRPr="00A17FC0" w:rsidRDefault="00C223AE" w:rsidP="00A17FC0">
      <w:pPr>
        <w:rPr>
          <w:rFonts w:cs="Tahoma"/>
          <w:szCs w:val="22"/>
        </w:rPr>
      </w:pPr>
    </w:p>
    <w:p w14:paraId="0E651988" w14:textId="741D67A7" w:rsidR="00664420" w:rsidRPr="00A17FC0" w:rsidRDefault="00C223AE" w:rsidP="00A17FC0">
      <w:pPr>
        <w:pStyle w:val="Ttulo3"/>
      </w:pPr>
      <w:bookmarkStart w:id="17" w:name="_Toc177655607"/>
      <w:r w:rsidRPr="00A17FC0">
        <w:t>g</w:t>
      </w:r>
      <w:r w:rsidR="00664420" w:rsidRPr="00A17FC0">
        <w:t>) Cierre de instrucción</w:t>
      </w:r>
      <w:bookmarkEnd w:id="17"/>
    </w:p>
    <w:p w14:paraId="79AF95DC" w14:textId="1EE19F15" w:rsidR="00664420" w:rsidRPr="00A17FC0" w:rsidRDefault="00BF091A" w:rsidP="00A17FC0">
      <w:r w:rsidRPr="00A17FC0">
        <w:rPr>
          <w:rFonts w:cs="Tahoma"/>
          <w:szCs w:val="22"/>
        </w:rPr>
        <w:t>Al no existir diligencias pendientes por desahogar</w:t>
      </w:r>
      <w:r w:rsidRPr="00A17FC0">
        <w:rPr>
          <w:rFonts w:cs="Arial"/>
        </w:rPr>
        <w:t xml:space="preserve">, el </w:t>
      </w:r>
      <w:r w:rsidR="008F555B" w:rsidRPr="00A17FC0">
        <w:rPr>
          <w:rFonts w:cs="Arial"/>
          <w:b/>
        </w:rPr>
        <w:t>dieciocho de septiembre</w:t>
      </w:r>
      <w:r w:rsidR="00E25A67" w:rsidRPr="00A17FC0">
        <w:rPr>
          <w:rFonts w:cs="Arial"/>
          <w:b/>
        </w:rPr>
        <w:t xml:space="preserve"> de dos mil veinticuatro</w:t>
      </w:r>
      <w:r w:rsidRPr="00A17FC0">
        <w:rPr>
          <w:rFonts w:cs="Arial"/>
        </w:rPr>
        <w:t xml:space="preserve"> la </w:t>
      </w:r>
      <w:r w:rsidRPr="00A17FC0">
        <w:rPr>
          <w:rFonts w:cs="Arial"/>
          <w:b/>
          <w:bCs/>
        </w:rPr>
        <w:t xml:space="preserve">Comisionada </w:t>
      </w:r>
      <w:r w:rsidRPr="00A17FC0">
        <w:rPr>
          <w:b/>
        </w:rPr>
        <w:t xml:space="preserve">Sharon Cristina Morales Martínez </w:t>
      </w:r>
      <w:r w:rsidRPr="00A17FC0">
        <w:rPr>
          <w:rFonts w:cs="Arial"/>
        </w:rPr>
        <w:t>acordó el cierre de instrucción</w:t>
      </w:r>
      <w:r w:rsidR="0011350D" w:rsidRPr="00A17FC0">
        <w:rPr>
          <w:rFonts w:cs="Arial"/>
        </w:rPr>
        <w:t xml:space="preserve"> y</w:t>
      </w:r>
      <w:r w:rsidRPr="00A17FC0">
        <w:rPr>
          <w:rFonts w:cs="Arial"/>
        </w:rPr>
        <w:t xml:space="preserve"> </w:t>
      </w:r>
      <w:r w:rsidR="0011350D" w:rsidRPr="00A17FC0">
        <w:rPr>
          <w:rFonts w:cs="Arial"/>
        </w:rPr>
        <w:t xml:space="preserve">la </w:t>
      </w:r>
      <w:r w:rsidRPr="00A17FC0">
        <w:rPr>
          <w:rFonts w:cs="Arial"/>
        </w:rPr>
        <w:t>remisión del expediente a efecto de ser resuelto, de conformidad con lo establecido en el artículo 185 fracciones VI y VIII de la Ley de Transparencia y Acceso a la Información Pública del Estado de México y Municipios</w:t>
      </w:r>
      <w:r w:rsidRPr="00A17FC0">
        <w:t>.</w:t>
      </w:r>
      <w:r w:rsidR="0011350D" w:rsidRPr="00A17FC0">
        <w:t xml:space="preserve"> Dicho acuerdo </w:t>
      </w:r>
      <w:r w:rsidR="00664420" w:rsidRPr="00A17FC0">
        <w:rPr>
          <w:rFonts w:cs="Tahoma"/>
          <w:szCs w:val="22"/>
        </w:rPr>
        <w:t xml:space="preserve">fue notificado a las partes el mismo día a través del </w:t>
      </w:r>
      <w:r w:rsidR="00664420" w:rsidRPr="00A17FC0">
        <w:rPr>
          <w:rFonts w:cs="Tahoma"/>
          <w:szCs w:val="22"/>
          <w:lang w:val="es-ES"/>
        </w:rPr>
        <w:t>SAIMEX</w:t>
      </w:r>
      <w:r w:rsidR="00664420" w:rsidRPr="00A17FC0">
        <w:rPr>
          <w:rFonts w:cs="Tahoma"/>
          <w:szCs w:val="22"/>
        </w:rPr>
        <w:t>.</w:t>
      </w:r>
    </w:p>
    <w:p w14:paraId="741683E3" w14:textId="77777777" w:rsidR="0011350D" w:rsidRPr="00A17FC0" w:rsidRDefault="0011350D" w:rsidP="00A17FC0">
      <w:pPr>
        <w:rPr>
          <w:rFonts w:cs="Tahoma"/>
          <w:szCs w:val="22"/>
        </w:rPr>
      </w:pPr>
    </w:p>
    <w:p w14:paraId="7A9629DE" w14:textId="77777777" w:rsidR="00664420" w:rsidRPr="00A17FC0" w:rsidRDefault="00664420" w:rsidP="00A17FC0">
      <w:pPr>
        <w:pStyle w:val="Ttulo1"/>
        <w:rPr>
          <w:rFonts w:eastAsiaTheme="minorHAnsi"/>
          <w:lang w:eastAsia="en-US"/>
        </w:rPr>
      </w:pPr>
      <w:bookmarkStart w:id="18" w:name="_Toc177655608"/>
      <w:r w:rsidRPr="00A17FC0">
        <w:rPr>
          <w:rFonts w:eastAsiaTheme="minorHAnsi"/>
          <w:lang w:eastAsia="en-US"/>
        </w:rPr>
        <w:t>CONSIDERANDOS</w:t>
      </w:r>
      <w:bookmarkEnd w:id="18"/>
    </w:p>
    <w:p w14:paraId="6DD1243B" w14:textId="77777777" w:rsidR="00664420" w:rsidRPr="00A17FC0" w:rsidRDefault="00664420" w:rsidP="00A17FC0">
      <w:pPr>
        <w:contextualSpacing/>
        <w:jc w:val="center"/>
        <w:rPr>
          <w:rFonts w:eastAsiaTheme="minorHAnsi" w:cs="Tahoma"/>
          <w:b/>
          <w:szCs w:val="22"/>
          <w:lang w:eastAsia="en-US"/>
        </w:rPr>
      </w:pPr>
    </w:p>
    <w:p w14:paraId="0B67CB92" w14:textId="2E307D3B" w:rsidR="00664420" w:rsidRPr="00A17FC0" w:rsidRDefault="00664420" w:rsidP="00A17FC0">
      <w:pPr>
        <w:pStyle w:val="Ttulo2"/>
        <w:rPr>
          <w:rFonts w:eastAsia="Batang"/>
        </w:rPr>
      </w:pPr>
      <w:bookmarkStart w:id="19" w:name="_Toc177655609"/>
      <w:r w:rsidRPr="00A17FC0">
        <w:rPr>
          <w:rFonts w:eastAsia="Batang"/>
        </w:rPr>
        <w:t xml:space="preserve">PRIMERO. </w:t>
      </w:r>
      <w:r w:rsidR="00BA55A8" w:rsidRPr="00A17FC0">
        <w:rPr>
          <w:rFonts w:eastAsia="Batang"/>
        </w:rPr>
        <w:t>Procedibilidad</w:t>
      </w:r>
      <w:bookmarkEnd w:id="19"/>
    </w:p>
    <w:p w14:paraId="39C52BC1" w14:textId="56FCC20D" w:rsidR="00BA55A8" w:rsidRPr="00A17FC0" w:rsidRDefault="00BA55A8" w:rsidP="00A17FC0">
      <w:pPr>
        <w:pStyle w:val="Ttulo3"/>
      </w:pPr>
      <w:bookmarkStart w:id="20" w:name="_Toc177655610"/>
      <w:r w:rsidRPr="00A17FC0">
        <w:t>a) Competencia</w:t>
      </w:r>
      <w:r w:rsidR="00150C49" w:rsidRPr="00A17FC0">
        <w:t xml:space="preserve"> del Instituto</w:t>
      </w:r>
      <w:bookmarkEnd w:id="20"/>
    </w:p>
    <w:p w14:paraId="56E64942" w14:textId="6572EDF7" w:rsidR="0011350D" w:rsidRPr="00A17FC0" w:rsidRDefault="0011350D" w:rsidP="00A17FC0">
      <w:pPr>
        <w:rPr>
          <w:rFonts w:cs="Arial"/>
        </w:rPr>
      </w:pPr>
      <w:r w:rsidRPr="00A17FC0">
        <w:t xml:space="preserve">Este Instituto de Transparencia, Acceso a la Información Pública y Protección de Datos Personales del Estado de México y Municipios es competente para conocer y resolver </w:t>
      </w:r>
      <w:r w:rsidR="005F65B7" w:rsidRPr="00A17FC0">
        <w:t xml:space="preserve">el </w:t>
      </w:r>
      <w:r w:rsidRPr="00A17FC0">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A17FC0">
        <w:lastRenderedPageBreak/>
        <w:t>de México y Municipios</w:t>
      </w:r>
      <w:r w:rsidRPr="00A17FC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A17FC0" w:rsidRDefault="006946E4" w:rsidP="00A17FC0">
      <w:pPr>
        <w:rPr>
          <w:rFonts w:cs="Arial"/>
        </w:rPr>
      </w:pPr>
    </w:p>
    <w:p w14:paraId="517A2DD6" w14:textId="4169BE4D" w:rsidR="00664420" w:rsidRPr="00A17FC0" w:rsidRDefault="00BA55A8" w:rsidP="00A17FC0">
      <w:pPr>
        <w:pStyle w:val="Ttulo3"/>
      </w:pPr>
      <w:bookmarkStart w:id="21" w:name="_Toc177655611"/>
      <w:r w:rsidRPr="00A17FC0">
        <w:t>b)</w:t>
      </w:r>
      <w:r w:rsidR="00664420" w:rsidRPr="00A17FC0">
        <w:t xml:space="preserve"> </w:t>
      </w:r>
      <w:r w:rsidR="00D91CB4" w:rsidRPr="00A17FC0">
        <w:t>Legitimidad</w:t>
      </w:r>
      <w:r w:rsidRPr="00A17FC0">
        <w:t xml:space="preserve"> de la parte recurrente</w:t>
      </w:r>
      <w:bookmarkEnd w:id="21"/>
    </w:p>
    <w:p w14:paraId="26FEA382" w14:textId="0B06695C" w:rsidR="00D91CB4" w:rsidRPr="00A17FC0" w:rsidRDefault="00D91CB4" w:rsidP="00A17FC0">
      <w:pPr>
        <w:rPr>
          <w:rFonts w:cs="Arial"/>
          <w:bCs/>
        </w:rPr>
      </w:pPr>
      <w:r w:rsidRPr="00A17FC0">
        <w:rPr>
          <w:rFonts w:cs="Arial"/>
          <w:bCs/>
        </w:rPr>
        <w:t>El recurso de revisión fue interpuesto por parte legítima, ya que se presentó por la misma persona que formuló la solicitud de acceso a la Información Pública,</w:t>
      </w:r>
      <w:r w:rsidRPr="00A17FC0">
        <w:rPr>
          <w:rFonts w:cs="Arial"/>
          <w:b/>
          <w:bCs/>
        </w:rPr>
        <w:t xml:space="preserve"> </w:t>
      </w:r>
      <w:r w:rsidRPr="00A17FC0">
        <w:rPr>
          <w:rFonts w:cs="Arial"/>
        </w:rPr>
        <w:t>debido a que los datos de acceso</w:t>
      </w:r>
      <w:r w:rsidRPr="00A17FC0">
        <w:rPr>
          <w:rFonts w:cs="Arial"/>
          <w:b/>
          <w:bCs/>
        </w:rPr>
        <w:t xml:space="preserve"> </w:t>
      </w:r>
      <w:r w:rsidRPr="00A17FC0">
        <w:rPr>
          <w:rFonts w:cs="Arial"/>
        </w:rPr>
        <w:t>SAIMEX</w:t>
      </w:r>
      <w:r w:rsidRPr="00A17FC0">
        <w:rPr>
          <w:rFonts w:eastAsia="Calibri" w:cs="Arial"/>
          <w:lang w:eastAsia="en-US"/>
        </w:rPr>
        <w:t xml:space="preserve"> son personales e irrepetibles.</w:t>
      </w:r>
    </w:p>
    <w:p w14:paraId="2C367810" w14:textId="77777777" w:rsidR="00D91CB4" w:rsidRPr="00A17FC0" w:rsidRDefault="00D91CB4" w:rsidP="00A17FC0"/>
    <w:p w14:paraId="496490FC" w14:textId="1A5F3FDB" w:rsidR="00D91CB4" w:rsidRPr="00A17FC0" w:rsidRDefault="00BA55A8" w:rsidP="00A17FC0">
      <w:pPr>
        <w:pStyle w:val="Ttulo3"/>
        <w:rPr>
          <w:rFonts w:eastAsia="Calibri"/>
          <w:lang w:eastAsia="es-ES_tradnl"/>
        </w:rPr>
      </w:pPr>
      <w:bookmarkStart w:id="22" w:name="_Toc177655612"/>
      <w:r w:rsidRPr="00A17FC0">
        <w:rPr>
          <w:rFonts w:eastAsia="Calibri"/>
          <w:lang w:eastAsia="es-ES_tradnl"/>
        </w:rPr>
        <w:t>c)</w:t>
      </w:r>
      <w:r w:rsidR="00664420" w:rsidRPr="00A17FC0">
        <w:rPr>
          <w:rFonts w:eastAsia="Calibri"/>
          <w:lang w:eastAsia="es-ES_tradnl"/>
        </w:rPr>
        <w:t xml:space="preserve"> </w:t>
      </w:r>
      <w:r w:rsidR="00D91CB4" w:rsidRPr="00A17FC0">
        <w:rPr>
          <w:rFonts w:eastAsia="Calibri"/>
          <w:lang w:eastAsia="es-ES_tradnl"/>
        </w:rPr>
        <w:t>Plazo para interponer el recurso</w:t>
      </w:r>
      <w:bookmarkEnd w:id="22"/>
    </w:p>
    <w:p w14:paraId="106D37EE" w14:textId="3564870D" w:rsidR="00D91CB4" w:rsidRPr="00A17FC0" w:rsidRDefault="00D91CB4" w:rsidP="00A17FC0">
      <w:pPr>
        <w:rPr>
          <w:rFonts w:eastAsia="Calibri"/>
          <w:lang w:eastAsia="es-ES_tradnl"/>
        </w:rPr>
      </w:pPr>
      <w:r w:rsidRPr="00A17FC0">
        <w:rPr>
          <w:rFonts w:cs="Arial"/>
          <w:b/>
        </w:rPr>
        <w:t>EL SUJETO OBLIGADO</w:t>
      </w:r>
      <w:r w:rsidRPr="00A17FC0">
        <w:rPr>
          <w:rFonts w:cs="Arial"/>
        </w:rPr>
        <w:t xml:space="preserve"> notificó la respuesta a la solicitud de acceso a la Información Pública el </w:t>
      </w:r>
      <w:r w:rsidR="004B1D9C" w:rsidRPr="00A17FC0">
        <w:rPr>
          <w:rFonts w:eastAsia="Palatino Linotype" w:cs="Palatino Linotype"/>
          <w:b/>
        </w:rPr>
        <w:t>veintiséis de abril</w:t>
      </w:r>
      <w:r w:rsidR="00652EE8" w:rsidRPr="00A17FC0">
        <w:rPr>
          <w:rFonts w:eastAsia="Palatino Linotype" w:cs="Palatino Linotype"/>
          <w:b/>
        </w:rPr>
        <w:t xml:space="preserve"> de dos mil veinticuatro</w:t>
      </w:r>
      <w:r w:rsidRPr="00A17FC0">
        <w:rPr>
          <w:rFonts w:cs="Arial"/>
        </w:rPr>
        <w:t xml:space="preserve"> </w:t>
      </w:r>
      <w:r w:rsidR="00A53315" w:rsidRPr="00A17FC0">
        <w:rPr>
          <w:rFonts w:cs="Arial"/>
        </w:rPr>
        <w:t xml:space="preserve">y el recurso </w:t>
      </w:r>
      <w:r w:rsidR="00A53315" w:rsidRPr="00A17FC0">
        <w:rPr>
          <w:rFonts w:eastAsia="Palatino Linotype" w:cs="Palatino Linotype"/>
        </w:rPr>
        <w:t xml:space="preserve">que nos ocupa se interpuso el </w:t>
      </w:r>
      <w:r w:rsidR="004B1D9C" w:rsidRPr="00A17FC0">
        <w:rPr>
          <w:rFonts w:eastAsia="Palatino Linotype" w:cs="Palatino Linotype"/>
          <w:b/>
        </w:rPr>
        <w:t>veinte de mayo</w:t>
      </w:r>
      <w:r w:rsidR="00652EE8" w:rsidRPr="00A17FC0">
        <w:rPr>
          <w:rFonts w:eastAsia="Palatino Linotype" w:cs="Palatino Linotype"/>
          <w:b/>
        </w:rPr>
        <w:t xml:space="preserve"> de dos mil veinticuatro</w:t>
      </w:r>
      <w:r w:rsidR="00A53315" w:rsidRPr="00A17FC0">
        <w:rPr>
          <w:rFonts w:eastAsia="Palatino Linotype" w:cs="Palatino Linotype"/>
          <w:bCs/>
        </w:rPr>
        <w:t>;</w:t>
      </w:r>
      <w:r w:rsidR="00A53315" w:rsidRPr="00A17FC0">
        <w:rPr>
          <w:rFonts w:eastAsia="Palatino Linotype" w:cs="Palatino Linotype"/>
        </w:rPr>
        <w:t xml:space="preserve"> por lo tanto, éste se encuentra dentro del margen temporal previsto en el artículo 178 de la </w:t>
      </w:r>
      <w:r w:rsidR="00A53315" w:rsidRPr="00A17FC0">
        <w:rPr>
          <w:rFonts w:cs="Arial"/>
        </w:rPr>
        <w:t xml:space="preserve">Ley de Transparencia y Acceso a la Información Pública del Estado de México y Municipios, </w:t>
      </w:r>
      <w:r w:rsidR="00A53315" w:rsidRPr="00A17FC0">
        <w:rPr>
          <w:rFonts w:eastAsia="Calibri"/>
          <w:lang w:eastAsia="es-ES_tradnl"/>
        </w:rPr>
        <w:t xml:space="preserve">el cual </w:t>
      </w:r>
      <w:r w:rsidRPr="00A17FC0">
        <w:rPr>
          <w:rFonts w:cs="Arial"/>
        </w:rPr>
        <w:t xml:space="preserve">transcurrió del </w:t>
      </w:r>
      <w:r w:rsidR="004B1D9C" w:rsidRPr="00A17FC0">
        <w:rPr>
          <w:rFonts w:cs="Arial"/>
          <w:b/>
        </w:rPr>
        <w:t>veintinueve de abril al veintiuno de mayo</w:t>
      </w:r>
      <w:r w:rsidR="00652EE8" w:rsidRPr="00A17FC0">
        <w:rPr>
          <w:rFonts w:cs="Arial"/>
          <w:b/>
        </w:rPr>
        <w:t xml:space="preserve"> de dos mil veinticuatro</w:t>
      </w:r>
      <w:r w:rsidRPr="00A17FC0">
        <w:rPr>
          <w:rFonts w:cs="Arial"/>
        </w:rPr>
        <w:t xml:space="preserve">, </w:t>
      </w:r>
      <w:r w:rsidR="0023177F" w:rsidRPr="00A17FC0">
        <w:rPr>
          <w:rFonts w:eastAsiaTheme="minorEastAsia" w:cs="Arial"/>
          <w:lang w:val="es-ES_tradnl"/>
        </w:rPr>
        <w:t xml:space="preserve">sin contemplar en el cómputo los días </w:t>
      </w:r>
      <w:bookmarkStart w:id="23" w:name="_Hlk62134391"/>
      <w:r w:rsidR="0023177F" w:rsidRPr="00A17FC0">
        <w:rPr>
          <w:rFonts w:eastAsiaTheme="minorEastAsia" w:cs="Arial"/>
          <w:lang w:val="es-ES_tradnl"/>
        </w:rPr>
        <w:t xml:space="preserve">sábados, domingos y aquellos considerados como días inhábiles en términos del </w:t>
      </w:r>
      <w:bookmarkEnd w:id="23"/>
      <w:r w:rsidR="0023177F" w:rsidRPr="00A17FC0">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A17FC0">
        <w:rPr>
          <w:rFonts w:eastAsiaTheme="minorEastAsia" w:cs="Arial"/>
          <w:lang w:val="es-ES_tradnl"/>
        </w:rPr>
        <w:t>.</w:t>
      </w:r>
    </w:p>
    <w:p w14:paraId="49076992" w14:textId="77777777" w:rsidR="00D91CB4" w:rsidRPr="00A17FC0" w:rsidRDefault="00D91CB4" w:rsidP="00A17FC0">
      <w:pPr>
        <w:rPr>
          <w:rFonts w:eastAsia="Palatino Linotype" w:cs="Palatino Linotype"/>
        </w:rPr>
      </w:pPr>
    </w:p>
    <w:p w14:paraId="46C0EB3A" w14:textId="040C9154" w:rsidR="00A53315" w:rsidRPr="00A17FC0" w:rsidRDefault="00BA55A8" w:rsidP="00A17FC0">
      <w:pPr>
        <w:pStyle w:val="Ttulo3"/>
        <w:rPr>
          <w:rFonts w:eastAsia="Calibri"/>
          <w:lang w:eastAsia="es-ES_tradnl"/>
        </w:rPr>
      </w:pPr>
      <w:bookmarkStart w:id="24" w:name="_Toc177655613"/>
      <w:r w:rsidRPr="00A17FC0">
        <w:rPr>
          <w:rFonts w:eastAsia="Calibri"/>
          <w:lang w:eastAsia="es-ES_tradnl"/>
        </w:rPr>
        <w:lastRenderedPageBreak/>
        <w:t>d)</w:t>
      </w:r>
      <w:r w:rsidR="00D91CB4" w:rsidRPr="00A17FC0">
        <w:rPr>
          <w:rFonts w:eastAsia="Calibri"/>
          <w:lang w:eastAsia="es-ES_tradnl"/>
        </w:rPr>
        <w:t xml:space="preserve"> </w:t>
      </w:r>
      <w:r w:rsidR="00B06AB1" w:rsidRPr="00A17FC0">
        <w:rPr>
          <w:rFonts w:eastAsia="Calibri"/>
          <w:lang w:eastAsia="es-ES_tradnl"/>
        </w:rPr>
        <w:t>Causal de procedencia</w:t>
      </w:r>
      <w:bookmarkEnd w:id="24"/>
      <w:r w:rsidR="00B06AB1" w:rsidRPr="00A17FC0">
        <w:rPr>
          <w:rFonts w:eastAsia="Calibri"/>
          <w:lang w:eastAsia="es-ES_tradnl"/>
        </w:rPr>
        <w:t xml:space="preserve"> </w:t>
      </w:r>
    </w:p>
    <w:p w14:paraId="190404A6" w14:textId="6C9DCD72" w:rsidR="00BA55A8" w:rsidRPr="00A17FC0" w:rsidRDefault="00BA55A8" w:rsidP="00A17FC0">
      <w:r w:rsidRPr="00A17FC0">
        <w:rPr>
          <w:rFonts w:cs="Arial"/>
        </w:rPr>
        <w:t xml:space="preserve">Resulta procedente la interposición del recurso de revisión, ya que </w:t>
      </w:r>
      <w:r w:rsidRPr="00A17FC0">
        <w:rPr>
          <w:rFonts w:eastAsia="Calibri" w:cs="Tahoma"/>
          <w:szCs w:val="22"/>
          <w:lang w:eastAsia="es-MX"/>
        </w:rPr>
        <w:t xml:space="preserve">se actualiza la causal de procedencia señalada en el artículo 179, fracción </w:t>
      </w:r>
      <w:r w:rsidR="00B06AB1" w:rsidRPr="00A17FC0">
        <w:rPr>
          <w:rFonts w:eastAsia="Calibri" w:cs="Tahoma"/>
          <w:szCs w:val="22"/>
          <w:lang w:eastAsia="es-MX"/>
        </w:rPr>
        <w:t>I</w:t>
      </w:r>
      <w:r w:rsidR="004B1D9C" w:rsidRPr="00A17FC0">
        <w:rPr>
          <w:rFonts w:eastAsia="Calibri" w:cs="Tahoma"/>
          <w:szCs w:val="22"/>
          <w:lang w:eastAsia="es-MX"/>
        </w:rPr>
        <w:t>I</w:t>
      </w:r>
      <w:r w:rsidRPr="00A17FC0">
        <w:rPr>
          <w:rFonts w:cs="Arial"/>
        </w:rPr>
        <w:t xml:space="preserve"> de la </w:t>
      </w:r>
      <w:r w:rsidRPr="00A17FC0">
        <w:t>Ley de Transparencia y Acceso a la Información Pública del Estado de México y Municipios.</w:t>
      </w:r>
    </w:p>
    <w:p w14:paraId="0EFF7141" w14:textId="77777777" w:rsidR="00362A11" w:rsidRPr="00A17FC0" w:rsidRDefault="00362A11" w:rsidP="00A17FC0"/>
    <w:p w14:paraId="2284D7EB" w14:textId="3EE1D036" w:rsidR="00BA55A8" w:rsidRPr="00A17FC0" w:rsidRDefault="00362A11" w:rsidP="00A17FC0">
      <w:pPr>
        <w:pStyle w:val="Ttulo3"/>
      </w:pPr>
      <w:bookmarkStart w:id="25" w:name="_Toc177655614"/>
      <w:r w:rsidRPr="00A17FC0">
        <w:t>e) Requisitos formales para la interposición del recurso</w:t>
      </w:r>
      <w:bookmarkEnd w:id="25"/>
    </w:p>
    <w:p w14:paraId="6390674A" w14:textId="78A894DD" w:rsidR="00BA55A8" w:rsidRPr="00A17FC0" w:rsidRDefault="00BA55A8" w:rsidP="00A17FC0">
      <w:pPr>
        <w:rPr>
          <w:rFonts w:cs="Arial"/>
        </w:rPr>
      </w:pPr>
      <w:r w:rsidRPr="00A17FC0">
        <w:rPr>
          <w:rFonts w:cs="Arial"/>
          <w:b/>
          <w:bCs/>
        </w:rPr>
        <w:t xml:space="preserve">LA PARTE RECURRENTE </w:t>
      </w:r>
      <w:r w:rsidRPr="00A17FC0">
        <w:rPr>
          <w:rFonts w:cs="Arial"/>
        </w:rPr>
        <w:t>acreditó todos y cada uno de los elementos formales exigidos por el artículo 180 de la misma normatividad.</w:t>
      </w:r>
    </w:p>
    <w:p w14:paraId="3A121826" w14:textId="77777777" w:rsidR="00C461EC" w:rsidRPr="00A17FC0" w:rsidRDefault="00C461EC" w:rsidP="00A17FC0">
      <w:pPr>
        <w:rPr>
          <w:bCs/>
          <w:lang w:val="es-ES_tradnl"/>
        </w:rPr>
      </w:pPr>
    </w:p>
    <w:p w14:paraId="457548E9" w14:textId="3F7AF03B" w:rsidR="00C71CEF" w:rsidRPr="00A17FC0" w:rsidRDefault="00C71CEF" w:rsidP="00A17FC0">
      <w:pPr>
        <w:pStyle w:val="Ttulo2"/>
      </w:pPr>
      <w:bookmarkStart w:id="26" w:name="_Toc177655615"/>
      <w:r w:rsidRPr="00A17FC0">
        <w:t>SEGUNDO. Estudio de Fondo</w:t>
      </w:r>
      <w:bookmarkEnd w:id="26"/>
    </w:p>
    <w:p w14:paraId="2A308F59" w14:textId="0FF373F0" w:rsidR="00C049E2" w:rsidRPr="00A17FC0" w:rsidRDefault="00C71CEF" w:rsidP="00A17FC0">
      <w:pPr>
        <w:pStyle w:val="Ttulo3"/>
      </w:pPr>
      <w:bookmarkStart w:id="27" w:name="_Toc177655616"/>
      <w:r w:rsidRPr="00A17FC0">
        <w:t>a</w:t>
      </w:r>
      <w:r w:rsidR="00C049E2" w:rsidRPr="00A17FC0">
        <w:t>) Mandato de transparencia y responsabilidad del Sujeto Obligado</w:t>
      </w:r>
      <w:bookmarkEnd w:id="27"/>
    </w:p>
    <w:p w14:paraId="6901A889" w14:textId="59EEDAE1" w:rsidR="00C049E2" w:rsidRPr="00A17FC0" w:rsidRDefault="00C049E2" w:rsidP="00A17FC0">
      <w:pPr>
        <w:rPr>
          <w:rFonts w:eastAsia="Palatino Linotype"/>
        </w:rPr>
      </w:pPr>
      <w:r w:rsidRPr="00A17FC0">
        <w:rPr>
          <w:rFonts w:eastAsia="Palatino Linotype"/>
        </w:rPr>
        <w:t xml:space="preserve">El </w:t>
      </w:r>
      <w:r w:rsidR="00717E59" w:rsidRPr="00A17FC0">
        <w:rPr>
          <w:rFonts w:eastAsia="Palatino Linotype"/>
        </w:rPr>
        <w:t>d</w:t>
      </w:r>
      <w:r w:rsidRPr="00A17FC0">
        <w:rPr>
          <w:rFonts w:eastAsia="Palatino Linotype"/>
        </w:rPr>
        <w:t xml:space="preserve">erecho de </w:t>
      </w:r>
      <w:r w:rsidR="00717E59" w:rsidRPr="00A17FC0">
        <w:rPr>
          <w:rFonts w:eastAsia="Palatino Linotype"/>
        </w:rPr>
        <w:t>a</w:t>
      </w:r>
      <w:r w:rsidRPr="00A17FC0">
        <w:rPr>
          <w:rFonts w:eastAsia="Palatino Linotype"/>
        </w:rPr>
        <w:t xml:space="preserve">cceso a la </w:t>
      </w:r>
      <w:r w:rsidR="00717E59" w:rsidRPr="00A17FC0">
        <w:rPr>
          <w:rFonts w:eastAsia="Palatino Linotype"/>
        </w:rPr>
        <w:t>i</w:t>
      </w:r>
      <w:r w:rsidRPr="00A17FC0">
        <w:rPr>
          <w:rFonts w:eastAsia="Palatino Linotype"/>
        </w:rPr>
        <w:t xml:space="preserve">nformación </w:t>
      </w:r>
      <w:r w:rsidR="00717E59" w:rsidRPr="00A17FC0">
        <w:rPr>
          <w:rFonts w:eastAsia="Palatino Linotype"/>
        </w:rPr>
        <w:t>p</w:t>
      </w:r>
      <w:r w:rsidRPr="00A17FC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17FC0">
        <w:rPr>
          <w:rFonts w:eastAsia="Palatino Linotype"/>
        </w:rPr>
        <w:t>:</w:t>
      </w:r>
    </w:p>
    <w:p w14:paraId="7FAB8D32" w14:textId="77777777" w:rsidR="00C049E2" w:rsidRPr="00A17FC0" w:rsidRDefault="00C049E2" w:rsidP="00A17FC0">
      <w:pPr>
        <w:rPr>
          <w:rFonts w:eastAsia="Palatino Linotype"/>
        </w:rPr>
      </w:pPr>
    </w:p>
    <w:p w14:paraId="05320813" w14:textId="77777777" w:rsidR="00C049E2" w:rsidRPr="00A17FC0" w:rsidRDefault="00C049E2" w:rsidP="00A17FC0">
      <w:pPr>
        <w:spacing w:line="240" w:lineRule="auto"/>
        <w:ind w:left="567" w:right="539"/>
        <w:rPr>
          <w:rFonts w:eastAsia="Palatino Linotype"/>
          <w:b/>
          <w:i/>
        </w:rPr>
      </w:pPr>
      <w:r w:rsidRPr="00A17FC0">
        <w:rPr>
          <w:rFonts w:eastAsia="Palatino Linotype"/>
          <w:b/>
          <w:i/>
        </w:rPr>
        <w:t>Constitución Política de los Estados Unidos Mexicanos</w:t>
      </w:r>
    </w:p>
    <w:p w14:paraId="6B6C67B6" w14:textId="77777777" w:rsidR="00C049E2" w:rsidRPr="00A17FC0" w:rsidRDefault="00C049E2" w:rsidP="00A17FC0">
      <w:pPr>
        <w:spacing w:line="240" w:lineRule="auto"/>
        <w:ind w:left="567" w:right="539"/>
        <w:rPr>
          <w:rFonts w:eastAsia="Palatino Linotype"/>
          <w:b/>
          <w:i/>
        </w:rPr>
      </w:pPr>
      <w:r w:rsidRPr="00A17FC0">
        <w:rPr>
          <w:rFonts w:eastAsia="Palatino Linotype"/>
          <w:b/>
          <w:i/>
        </w:rPr>
        <w:t>“Artículo 6.</w:t>
      </w:r>
    </w:p>
    <w:p w14:paraId="38D3B4C4" w14:textId="77777777" w:rsidR="00C049E2" w:rsidRPr="00A17FC0" w:rsidRDefault="00C049E2" w:rsidP="00A17FC0">
      <w:pPr>
        <w:spacing w:line="240" w:lineRule="auto"/>
        <w:ind w:left="567" w:right="539"/>
        <w:rPr>
          <w:rFonts w:eastAsia="Palatino Linotype"/>
          <w:i/>
        </w:rPr>
      </w:pPr>
      <w:r w:rsidRPr="00A17FC0">
        <w:rPr>
          <w:rFonts w:eastAsia="Palatino Linotype"/>
          <w:i/>
        </w:rPr>
        <w:t>(…)</w:t>
      </w:r>
    </w:p>
    <w:p w14:paraId="2CCAA297" w14:textId="6602827B" w:rsidR="00C049E2" w:rsidRPr="00A17FC0" w:rsidRDefault="00C049E2" w:rsidP="00A17FC0">
      <w:pPr>
        <w:spacing w:line="240" w:lineRule="auto"/>
        <w:ind w:left="567" w:right="539"/>
        <w:rPr>
          <w:rFonts w:eastAsia="Palatino Linotype"/>
          <w:i/>
        </w:rPr>
      </w:pPr>
      <w:r w:rsidRPr="00A17FC0">
        <w:rPr>
          <w:rFonts w:eastAsia="Palatino Linotype"/>
          <w:i/>
        </w:rPr>
        <w:t>Para efectos de lo dispuesto en el presente artículo se observará lo siguiente:</w:t>
      </w:r>
    </w:p>
    <w:p w14:paraId="74CC3718" w14:textId="77777777" w:rsidR="00C049E2" w:rsidRPr="00A17FC0" w:rsidRDefault="00C049E2" w:rsidP="00A17FC0">
      <w:pPr>
        <w:spacing w:line="240" w:lineRule="auto"/>
        <w:ind w:left="567" w:right="539"/>
        <w:rPr>
          <w:rFonts w:eastAsia="Palatino Linotype"/>
          <w:b/>
          <w:i/>
        </w:rPr>
      </w:pPr>
      <w:r w:rsidRPr="00A17FC0">
        <w:rPr>
          <w:rFonts w:eastAsia="Palatino Linotype"/>
          <w:b/>
          <w:i/>
        </w:rPr>
        <w:t>A</w:t>
      </w:r>
      <w:r w:rsidRPr="00A17FC0">
        <w:rPr>
          <w:rFonts w:eastAsia="Palatino Linotype"/>
          <w:i/>
        </w:rPr>
        <w:t xml:space="preserve">. </w:t>
      </w:r>
      <w:r w:rsidRPr="00A17FC0">
        <w:rPr>
          <w:rFonts w:eastAsia="Palatino Linotype"/>
          <w:b/>
          <w:i/>
        </w:rPr>
        <w:t>Para el ejercicio del derecho de acceso a la información</w:t>
      </w:r>
      <w:r w:rsidRPr="00A17FC0">
        <w:rPr>
          <w:rFonts w:eastAsia="Palatino Linotype"/>
          <w:i/>
        </w:rPr>
        <w:t xml:space="preserve">, la Federación y </w:t>
      </w:r>
      <w:r w:rsidRPr="00A17FC0">
        <w:rPr>
          <w:rFonts w:eastAsia="Palatino Linotype"/>
          <w:b/>
          <w:i/>
        </w:rPr>
        <w:t>las entidades federativas, en el ámbito de sus respectivas competencias, se regirán por los siguientes principios y bases:</w:t>
      </w:r>
    </w:p>
    <w:p w14:paraId="596A956B" w14:textId="77777777" w:rsidR="00C049E2" w:rsidRPr="00A17FC0" w:rsidRDefault="00C049E2" w:rsidP="00A17FC0">
      <w:pPr>
        <w:spacing w:line="240" w:lineRule="auto"/>
        <w:ind w:left="567" w:right="539"/>
        <w:rPr>
          <w:rFonts w:eastAsia="Palatino Linotype"/>
          <w:i/>
        </w:rPr>
      </w:pPr>
      <w:r w:rsidRPr="00A17FC0">
        <w:rPr>
          <w:rFonts w:eastAsia="Palatino Linotype"/>
          <w:b/>
          <w:i/>
        </w:rPr>
        <w:t xml:space="preserve">I. </w:t>
      </w:r>
      <w:r w:rsidRPr="00A17FC0">
        <w:rPr>
          <w:rFonts w:eastAsia="Palatino Linotype"/>
          <w:b/>
          <w:i/>
        </w:rPr>
        <w:tab/>
        <w:t>Toda la información en posesión de cualquier</w:t>
      </w:r>
      <w:r w:rsidRPr="00A17FC0">
        <w:rPr>
          <w:rFonts w:eastAsia="Palatino Linotype"/>
          <w:i/>
        </w:rPr>
        <w:t xml:space="preserve"> </w:t>
      </w:r>
      <w:r w:rsidRPr="00A17FC0">
        <w:rPr>
          <w:rFonts w:eastAsia="Palatino Linotype"/>
          <w:b/>
          <w:i/>
        </w:rPr>
        <w:t>autoridad</w:t>
      </w:r>
      <w:r w:rsidRPr="00A17FC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7FC0">
        <w:rPr>
          <w:rFonts w:eastAsia="Palatino Linotype"/>
          <w:b/>
          <w:i/>
        </w:rPr>
        <w:t>municipal</w:t>
      </w:r>
      <w:r w:rsidRPr="00A17FC0">
        <w:rPr>
          <w:rFonts w:eastAsia="Palatino Linotype"/>
          <w:i/>
        </w:rPr>
        <w:t xml:space="preserve">, </w:t>
      </w:r>
      <w:r w:rsidRPr="00A17FC0">
        <w:rPr>
          <w:rFonts w:eastAsia="Palatino Linotype"/>
          <w:b/>
          <w:i/>
        </w:rPr>
        <w:t>es pública</w:t>
      </w:r>
      <w:r w:rsidRPr="00A17FC0">
        <w:rPr>
          <w:rFonts w:eastAsia="Palatino Linotype"/>
          <w:i/>
        </w:rPr>
        <w:t xml:space="preserve"> y sólo podrá ser reservada temporalmente por </w:t>
      </w:r>
      <w:r w:rsidRPr="00A17FC0">
        <w:rPr>
          <w:rFonts w:eastAsia="Palatino Linotype"/>
          <w:i/>
        </w:rPr>
        <w:lastRenderedPageBreak/>
        <w:t xml:space="preserve">razones de interés público y seguridad nacional, en los términos que fijen las leyes. </w:t>
      </w:r>
      <w:r w:rsidRPr="00A17FC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17FC0">
        <w:rPr>
          <w:rFonts w:eastAsia="Palatino Linotype"/>
          <w:i/>
        </w:rPr>
        <w:t>, la ley determinará los supuestos específicos bajo los cuales procederá la declaración de inexistencia de la información.”</w:t>
      </w:r>
    </w:p>
    <w:p w14:paraId="68F313E4" w14:textId="77777777" w:rsidR="00C049E2" w:rsidRPr="00A17FC0" w:rsidRDefault="00C049E2" w:rsidP="00A17FC0">
      <w:pPr>
        <w:spacing w:line="240" w:lineRule="auto"/>
        <w:ind w:left="567" w:right="539"/>
        <w:rPr>
          <w:rFonts w:eastAsia="Palatino Linotype"/>
          <w:b/>
          <w:i/>
        </w:rPr>
      </w:pPr>
    </w:p>
    <w:p w14:paraId="504F12DB" w14:textId="77777777" w:rsidR="00C049E2" w:rsidRPr="00A17FC0" w:rsidRDefault="00C049E2" w:rsidP="00A17FC0">
      <w:pPr>
        <w:spacing w:line="240" w:lineRule="auto"/>
        <w:ind w:left="567" w:right="539"/>
        <w:rPr>
          <w:rFonts w:eastAsia="Palatino Linotype"/>
          <w:b/>
          <w:i/>
        </w:rPr>
      </w:pPr>
      <w:r w:rsidRPr="00A17FC0">
        <w:rPr>
          <w:rFonts w:eastAsia="Palatino Linotype"/>
          <w:b/>
          <w:i/>
        </w:rPr>
        <w:t>Constitución Política del Estado Libre y Soberano de México</w:t>
      </w:r>
    </w:p>
    <w:p w14:paraId="04932D29" w14:textId="77777777" w:rsidR="00C049E2" w:rsidRPr="00A17FC0" w:rsidRDefault="00C049E2" w:rsidP="00A17FC0">
      <w:pPr>
        <w:spacing w:line="240" w:lineRule="auto"/>
        <w:ind w:left="567" w:right="539"/>
        <w:rPr>
          <w:rFonts w:eastAsia="Palatino Linotype"/>
          <w:i/>
        </w:rPr>
      </w:pPr>
      <w:r w:rsidRPr="00A17FC0">
        <w:rPr>
          <w:rFonts w:eastAsia="Palatino Linotype"/>
          <w:b/>
          <w:i/>
        </w:rPr>
        <w:t>“Artículo 5</w:t>
      </w:r>
      <w:r w:rsidRPr="00A17FC0">
        <w:rPr>
          <w:rFonts w:eastAsia="Palatino Linotype"/>
          <w:i/>
        </w:rPr>
        <w:t xml:space="preserve">.- </w:t>
      </w:r>
    </w:p>
    <w:p w14:paraId="1D3829F4" w14:textId="77777777" w:rsidR="00C049E2" w:rsidRPr="00A17FC0" w:rsidRDefault="00C049E2" w:rsidP="00A17FC0">
      <w:pPr>
        <w:spacing w:line="240" w:lineRule="auto"/>
        <w:ind w:left="567" w:right="539"/>
        <w:rPr>
          <w:rFonts w:eastAsia="Palatino Linotype"/>
          <w:i/>
        </w:rPr>
      </w:pPr>
      <w:r w:rsidRPr="00A17FC0">
        <w:rPr>
          <w:rFonts w:eastAsia="Palatino Linotype"/>
          <w:i/>
        </w:rPr>
        <w:t>(…)</w:t>
      </w:r>
    </w:p>
    <w:p w14:paraId="0EAE47FD" w14:textId="77777777" w:rsidR="00C049E2" w:rsidRPr="00A17FC0" w:rsidRDefault="00C049E2" w:rsidP="00A17FC0">
      <w:pPr>
        <w:spacing w:line="240" w:lineRule="auto"/>
        <w:ind w:left="567" w:right="539"/>
        <w:rPr>
          <w:rFonts w:eastAsia="Palatino Linotype"/>
          <w:i/>
        </w:rPr>
      </w:pPr>
      <w:r w:rsidRPr="00A17FC0">
        <w:rPr>
          <w:rFonts w:eastAsia="Palatino Linotype"/>
          <w:b/>
          <w:i/>
        </w:rPr>
        <w:t>El derecho a la información será garantizado por el Estado. La ley establecerá las previsiones que permitan asegurar la protección, el respeto y la difusión de este derecho</w:t>
      </w:r>
      <w:r w:rsidRPr="00A17FC0">
        <w:rPr>
          <w:rFonts w:eastAsia="Palatino Linotype"/>
          <w:i/>
        </w:rPr>
        <w:t>.</w:t>
      </w:r>
    </w:p>
    <w:p w14:paraId="4F0C804A" w14:textId="77777777" w:rsidR="00C049E2" w:rsidRPr="00A17FC0" w:rsidRDefault="00C049E2" w:rsidP="00A17FC0">
      <w:pPr>
        <w:spacing w:line="240" w:lineRule="auto"/>
        <w:ind w:left="567" w:right="539"/>
        <w:rPr>
          <w:rFonts w:eastAsia="Palatino Linotype"/>
          <w:i/>
        </w:rPr>
      </w:pPr>
      <w:r w:rsidRPr="00A17FC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17FC0" w:rsidRDefault="00C049E2" w:rsidP="00A17FC0">
      <w:pPr>
        <w:spacing w:line="240" w:lineRule="auto"/>
        <w:ind w:left="567" w:right="539"/>
        <w:rPr>
          <w:rFonts w:eastAsia="Palatino Linotype"/>
          <w:i/>
        </w:rPr>
      </w:pPr>
      <w:r w:rsidRPr="00A17FC0">
        <w:rPr>
          <w:rFonts w:eastAsia="Palatino Linotype"/>
          <w:b/>
          <w:i/>
        </w:rPr>
        <w:t>Este derecho se regirá por los principios y bases siguientes</w:t>
      </w:r>
      <w:r w:rsidRPr="00A17FC0">
        <w:rPr>
          <w:rFonts w:eastAsia="Palatino Linotype"/>
          <w:i/>
        </w:rPr>
        <w:t>:</w:t>
      </w:r>
    </w:p>
    <w:p w14:paraId="4A3E8CBA" w14:textId="77777777" w:rsidR="00C049E2" w:rsidRPr="00A17FC0" w:rsidRDefault="00C049E2" w:rsidP="00A17FC0">
      <w:pPr>
        <w:spacing w:line="240" w:lineRule="auto"/>
        <w:ind w:left="567" w:right="539"/>
        <w:rPr>
          <w:rFonts w:eastAsia="Palatino Linotype"/>
          <w:i/>
        </w:rPr>
      </w:pPr>
      <w:r w:rsidRPr="00A17FC0">
        <w:rPr>
          <w:rFonts w:eastAsia="Palatino Linotype"/>
          <w:b/>
          <w:i/>
        </w:rPr>
        <w:t>I. Toda la información en posesión de cualquier autoridad, entidad, órgano y organismos de los</w:t>
      </w:r>
      <w:r w:rsidRPr="00A17FC0">
        <w:rPr>
          <w:rFonts w:eastAsia="Palatino Linotype"/>
          <w:i/>
        </w:rPr>
        <w:t xml:space="preserve"> Poderes Ejecutivo, Legislativo y Judicial, órganos autónomos, partidos políticos, fideicomisos y fondos públicos estatales y </w:t>
      </w:r>
      <w:r w:rsidRPr="00A17FC0">
        <w:rPr>
          <w:rFonts w:eastAsia="Palatino Linotype"/>
          <w:b/>
          <w:i/>
        </w:rPr>
        <w:t>municipales</w:t>
      </w:r>
      <w:r w:rsidRPr="00A17FC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7FC0">
        <w:rPr>
          <w:rFonts w:eastAsia="Palatino Linotype"/>
          <w:b/>
          <w:i/>
        </w:rPr>
        <w:t>es pública</w:t>
      </w:r>
      <w:r w:rsidRPr="00A17FC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17FC0">
        <w:rPr>
          <w:rFonts w:eastAsia="Palatino Linotype"/>
          <w:b/>
          <w:i/>
        </w:rPr>
        <w:t>En la interpretación de este derecho deberá prevalecer el principio de máxima publicidad</w:t>
      </w:r>
      <w:r w:rsidRPr="00A17FC0">
        <w:rPr>
          <w:rFonts w:eastAsia="Palatino Linotype"/>
          <w:i/>
        </w:rPr>
        <w:t xml:space="preserve">. </w:t>
      </w:r>
      <w:r w:rsidRPr="00A17FC0">
        <w:rPr>
          <w:rFonts w:eastAsia="Palatino Linotype"/>
          <w:b/>
          <w:i/>
        </w:rPr>
        <w:t>Los sujetos obligados deberán documentar todo acto que derive del ejercicio de sus facultades, competencias o funciones</w:t>
      </w:r>
      <w:r w:rsidRPr="00A17FC0">
        <w:rPr>
          <w:rFonts w:eastAsia="Palatino Linotype"/>
          <w:i/>
        </w:rPr>
        <w:t>, la ley determinará los supuestos específicos bajo los cuales procederá la declaración de inexistencia de la información.”</w:t>
      </w:r>
    </w:p>
    <w:p w14:paraId="5CA98E37" w14:textId="77777777" w:rsidR="00C049E2" w:rsidRPr="00A17FC0" w:rsidRDefault="00C049E2" w:rsidP="00A17FC0">
      <w:pPr>
        <w:rPr>
          <w:rFonts w:eastAsia="Palatino Linotype"/>
          <w:b/>
          <w:i/>
        </w:rPr>
      </w:pPr>
    </w:p>
    <w:p w14:paraId="6FC1BB3B" w14:textId="3BF4A33D" w:rsidR="00C049E2" w:rsidRPr="00A17FC0" w:rsidRDefault="00717E59" w:rsidP="00A17FC0">
      <w:pPr>
        <w:rPr>
          <w:rFonts w:eastAsia="Palatino Linotype"/>
          <w:i/>
        </w:rPr>
      </w:pPr>
      <w:r w:rsidRPr="00A17FC0">
        <w:rPr>
          <w:rFonts w:eastAsia="Palatino Linotype"/>
        </w:rPr>
        <w:t xml:space="preserve">Asimismo, </w:t>
      </w:r>
      <w:r w:rsidR="00C049E2" w:rsidRPr="00A17FC0">
        <w:rPr>
          <w:rFonts w:eastAsia="Palatino Linotype"/>
        </w:rPr>
        <w:t>el artículo 150 de la Ley de Transparencia y Acceso a la Información Pública del Estado de México y Municipios</w:t>
      </w:r>
      <w:r w:rsidR="00057B2D" w:rsidRPr="00A17FC0">
        <w:rPr>
          <w:rFonts w:eastAsia="Palatino Linotype"/>
        </w:rPr>
        <w:t xml:space="preserve"> </w:t>
      </w:r>
      <w:r w:rsidR="00E9335C" w:rsidRPr="00A17FC0">
        <w:rPr>
          <w:rFonts w:eastAsia="Palatino Linotype"/>
        </w:rPr>
        <w:t xml:space="preserve">indica </w:t>
      </w:r>
      <w:r w:rsidR="00057B2D" w:rsidRPr="00A17FC0">
        <w:rPr>
          <w:rFonts w:eastAsia="Palatino Linotype"/>
        </w:rPr>
        <w:t>que</w:t>
      </w:r>
      <w:r w:rsidR="00C049E2" w:rsidRPr="00A17FC0">
        <w:rPr>
          <w:rFonts w:eastAsia="Palatino Linotype"/>
        </w:rPr>
        <w:t xml:space="preserve"> la solicitud es la garantía primaria del Derecho de Acceso a la Información, además, establece que se regirá </w:t>
      </w:r>
      <w:r w:rsidR="00C049E2" w:rsidRPr="00A17FC0">
        <w:rPr>
          <w:rFonts w:eastAsia="Palatino Linotype"/>
          <w:i/>
        </w:rPr>
        <w:t>por los principios de simplicidad, rapidez</w:t>
      </w:r>
      <w:r w:rsidR="005F65B7" w:rsidRPr="00A17FC0">
        <w:rPr>
          <w:rFonts w:eastAsia="Palatino Linotype"/>
          <w:i/>
        </w:rPr>
        <w:t>,</w:t>
      </w:r>
      <w:r w:rsidR="00C049E2" w:rsidRPr="00A17FC0">
        <w:rPr>
          <w:rFonts w:eastAsia="Palatino Linotype"/>
          <w:i/>
        </w:rPr>
        <w:t xml:space="preserve"> gratuidad del procedimiento, auxilio y orientación a los particulare</w:t>
      </w:r>
      <w:r w:rsidR="001A58B3" w:rsidRPr="00A17FC0">
        <w:rPr>
          <w:rFonts w:eastAsia="Palatino Linotype"/>
          <w:i/>
        </w:rPr>
        <w:t>s.</w:t>
      </w:r>
    </w:p>
    <w:p w14:paraId="033466A6" w14:textId="77777777" w:rsidR="001A58B3" w:rsidRPr="00A17FC0" w:rsidRDefault="001A58B3" w:rsidP="00A17FC0">
      <w:pPr>
        <w:rPr>
          <w:rFonts w:eastAsia="Palatino Linotype"/>
          <w:i/>
        </w:rPr>
      </w:pPr>
    </w:p>
    <w:p w14:paraId="04ADA10B" w14:textId="574A944A" w:rsidR="001A58B3" w:rsidRPr="00A17FC0" w:rsidRDefault="00233F17" w:rsidP="00A17FC0">
      <w:pPr>
        <w:rPr>
          <w:rFonts w:eastAsia="Palatino Linotype" w:cs="Palatino Linotype"/>
          <w:i/>
          <w:szCs w:val="22"/>
        </w:rPr>
      </w:pPr>
      <w:r w:rsidRPr="00A17FC0">
        <w:rPr>
          <w:rFonts w:eastAsia="Palatino Linotype" w:cs="Palatino Linotype"/>
        </w:rPr>
        <w:t xml:space="preserve">Por su parte, el artículo 4 de </w:t>
      </w:r>
      <w:r w:rsidR="001A58B3" w:rsidRPr="00A17FC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17FC0">
        <w:rPr>
          <w:rFonts w:eastAsia="Palatino Linotype" w:cs="Palatino Linotype"/>
        </w:rPr>
        <w:t>.</w:t>
      </w:r>
    </w:p>
    <w:p w14:paraId="1407DBB8" w14:textId="77777777" w:rsidR="001A58B3" w:rsidRPr="00A17FC0" w:rsidRDefault="001A58B3" w:rsidP="00A17FC0">
      <w:pPr>
        <w:rPr>
          <w:rFonts w:eastAsia="Palatino Linotype" w:cs="Palatino Linotype"/>
        </w:rPr>
      </w:pPr>
    </w:p>
    <w:p w14:paraId="7552AA79" w14:textId="5C52E4A4" w:rsidR="001A58B3" w:rsidRPr="00A17FC0" w:rsidRDefault="001A58B3" w:rsidP="00A17FC0">
      <w:pPr>
        <w:rPr>
          <w:rFonts w:eastAsia="Palatino Linotype" w:cs="Palatino Linotype"/>
        </w:rPr>
      </w:pPr>
      <w:r w:rsidRPr="00A17FC0">
        <w:rPr>
          <w:rFonts w:eastAsia="Palatino Linotype" w:cs="Palatino Linotype"/>
        </w:rPr>
        <w:t xml:space="preserve">Esto es, que los Sujetos Obligados </w:t>
      </w:r>
      <w:r w:rsidR="00FA5957" w:rsidRPr="00A17FC0">
        <w:rPr>
          <w:rFonts w:eastAsia="Palatino Linotype" w:cs="Palatino Linotype"/>
        </w:rPr>
        <w:t>deben</w:t>
      </w:r>
      <w:r w:rsidRPr="00A17FC0">
        <w:rPr>
          <w:rFonts w:eastAsia="Palatino Linotype" w:cs="Palatino Linotype"/>
        </w:rPr>
        <w:t xml:space="preserve"> atender las solicitudes de acceso a la información pública que se les </w:t>
      </w:r>
      <w:r w:rsidR="00FA5957" w:rsidRPr="00A17FC0">
        <w:rPr>
          <w:rFonts w:eastAsia="Palatino Linotype" w:cs="Palatino Linotype"/>
        </w:rPr>
        <w:t>sean realizadas,</w:t>
      </w:r>
      <w:r w:rsidRPr="00A17FC0">
        <w:rPr>
          <w:rFonts w:eastAsia="Palatino Linotype" w:cs="Palatino Linotype"/>
        </w:rPr>
        <w:t xml:space="preserve"> y proporcionar la información pública que obre en su poder</w:t>
      </w:r>
      <w:r w:rsidR="00FA5957" w:rsidRPr="00A17FC0">
        <w:rPr>
          <w:rFonts w:eastAsia="Palatino Linotype" w:cs="Palatino Linotype"/>
        </w:rPr>
        <w:t>,</w:t>
      </w:r>
      <w:r w:rsidRPr="00A17FC0">
        <w:rPr>
          <w:rFonts w:eastAsia="Palatino Linotype" w:cs="Palatino Linotype"/>
        </w:rPr>
        <w:t xml:space="preserve"> conforme </w:t>
      </w:r>
      <w:r w:rsidR="00FA5957" w:rsidRPr="00A17FC0">
        <w:rPr>
          <w:rFonts w:eastAsia="Palatino Linotype" w:cs="Palatino Linotype"/>
        </w:rPr>
        <w:t>a</w:t>
      </w:r>
      <w:r w:rsidRPr="00A17FC0">
        <w:rPr>
          <w:rFonts w:eastAsia="Palatino Linotype" w:cs="Palatino Linotype"/>
        </w:rPr>
        <w:t xml:space="preserve">l estado </w:t>
      </w:r>
      <w:r w:rsidR="00FA5957" w:rsidRPr="00A17FC0">
        <w:rPr>
          <w:rFonts w:eastAsia="Palatino Linotype" w:cs="Palatino Linotype"/>
        </w:rPr>
        <w:t xml:space="preserve">en </w:t>
      </w:r>
      <w:r w:rsidRPr="00A17FC0">
        <w:rPr>
          <w:rFonts w:eastAsia="Palatino Linotype" w:cs="Palatino Linotype"/>
        </w:rPr>
        <w:t>que se encuentr</w:t>
      </w:r>
      <w:r w:rsidR="00FA5957" w:rsidRPr="00A17FC0">
        <w:rPr>
          <w:rFonts w:eastAsia="Palatino Linotype" w:cs="Palatino Linotype"/>
        </w:rPr>
        <w:t>e, sin que sea necesario</w:t>
      </w:r>
      <w:r w:rsidRPr="00A17FC0">
        <w:rPr>
          <w:rFonts w:eastAsia="Palatino Linotype" w:cs="Palatino Linotype"/>
        </w:rPr>
        <w:t xml:space="preserve"> </w:t>
      </w:r>
      <w:r w:rsidR="00FA5957" w:rsidRPr="00A17FC0">
        <w:rPr>
          <w:rFonts w:eastAsia="Palatino Linotype" w:cs="Palatino Linotype"/>
        </w:rPr>
        <w:t>procesar</w:t>
      </w:r>
      <w:r w:rsidRPr="00A17FC0">
        <w:rPr>
          <w:rFonts w:eastAsia="Palatino Linotype" w:cs="Palatino Linotype"/>
        </w:rPr>
        <w:t xml:space="preserve"> la misma, ni presentarla conforme al interés del solicitante; </w:t>
      </w:r>
      <w:r w:rsidR="00FA5957" w:rsidRPr="00A17FC0">
        <w:rPr>
          <w:rFonts w:eastAsia="Palatino Linotype" w:cs="Palatino Linotype"/>
        </w:rPr>
        <w:t>tal y como</w:t>
      </w:r>
      <w:r w:rsidRPr="00A17FC0">
        <w:rPr>
          <w:rFonts w:eastAsia="Palatino Linotype" w:cs="Palatino Linotype"/>
        </w:rPr>
        <w:t xml:space="preserve"> lo establece el artículo 12 de la Ley de Transparencia y Acceso a la Información Pública del Estado de México y Municipios</w:t>
      </w:r>
      <w:r w:rsidR="00970EB3" w:rsidRPr="00A17FC0">
        <w:rPr>
          <w:rFonts w:eastAsia="Palatino Linotype" w:cs="Palatino Linotype"/>
        </w:rPr>
        <w:t>.</w:t>
      </w:r>
    </w:p>
    <w:p w14:paraId="73245195" w14:textId="77777777" w:rsidR="00970EB3" w:rsidRPr="00A17FC0" w:rsidRDefault="00970EB3" w:rsidP="00A17FC0">
      <w:pPr>
        <w:rPr>
          <w:rFonts w:eastAsia="Palatino Linotype" w:cs="Palatino Linotype"/>
        </w:rPr>
      </w:pPr>
    </w:p>
    <w:p w14:paraId="7F62D4DF" w14:textId="775730E1" w:rsidR="001A58B3" w:rsidRPr="00A17FC0" w:rsidRDefault="001A58B3" w:rsidP="00A17FC0">
      <w:pPr>
        <w:rPr>
          <w:rFonts w:eastAsia="Palatino Linotype" w:cs="Palatino Linotype"/>
        </w:rPr>
      </w:pPr>
      <w:r w:rsidRPr="00A17FC0">
        <w:rPr>
          <w:rFonts w:eastAsia="Palatino Linotype" w:cs="Palatino Linotype"/>
        </w:rPr>
        <w:t>Es decir, que todo sujeto obligado que genere, recopile, administre, procese, archive, posea o conserven, son responsables de la misma</w:t>
      </w:r>
      <w:r w:rsidR="00970EB3" w:rsidRPr="00A17FC0">
        <w:rPr>
          <w:rFonts w:eastAsia="Palatino Linotype" w:cs="Palatino Linotype"/>
        </w:rPr>
        <w:t>,</w:t>
      </w:r>
      <w:r w:rsidRPr="00A17FC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17FC0">
        <w:rPr>
          <w:rFonts w:eastAsia="Palatino Linotype" w:cs="Palatino Linotype"/>
        </w:rPr>
        <w:t>o</w:t>
      </w:r>
      <w:r w:rsidRPr="00A17FC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17FC0" w:rsidRDefault="001A58B3" w:rsidP="00A17FC0">
      <w:pPr>
        <w:rPr>
          <w:rFonts w:eastAsia="Palatino Linotype" w:cs="Palatino Linotype"/>
        </w:rPr>
      </w:pPr>
    </w:p>
    <w:p w14:paraId="04E42DFE" w14:textId="573F1198" w:rsidR="001A58B3" w:rsidRPr="00A17FC0" w:rsidRDefault="001A58B3" w:rsidP="00A17FC0">
      <w:pPr>
        <w:rPr>
          <w:rFonts w:eastAsia="Palatino Linotype" w:cs="Palatino Linotype"/>
        </w:rPr>
      </w:pPr>
      <w:r w:rsidRPr="00A17FC0">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A17FC0">
        <w:rPr>
          <w:rFonts w:eastAsia="Palatino Linotype" w:cs="Palatino Linotype"/>
        </w:rPr>
        <w:lastRenderedPageBreak/>
        <w:t>garantizar el Derecho de Acceso a la Información Pública</w:t>
      </w:r>
      <w:r w:rsidR="00331F35" w:rsidRPr="00A17FC0">
        <w:rPr>
          <w:rFonts w:eastAsia="Palatino Linotype" w:cs="Palatino Linotype"/>
        </w:rPr>
        <w:t>, s</w:t>
      </w:r>
      <w:r w:rsidRPr="00A17FC0">
        <w:rPr>
          <w:rFonts w:eastAsia="Palatino Linotype" w:cs="Palatino Linotype"/>
        </w:rPr>
        <w:t xml:space="preserve">iempre y cuando no se trate de información reservada o </w:t>
      </w:r>
      <w:r w:rsidR="00331F35" w:rsidRPr="00A17FC0">
        <w:rPr>
          <w:rFonts w:eastAsia="Palatino Linotype" w:cs="Palatino Linotype"/>
        </w:rPr>
        <w:t>confidencial.</w:t>
      </w:r>
    </w:p>
    <w:p w14:paraId="40C5219F" w14:textId="77777777" w:rsidR="001A58B3" w:rsidRPr="00A17FC0" w:rsidRDefault="001A58B3" w:rsidP="00A17FC0">
      <w:pPr>
        <w:rPr>
          <w:rFonts w:eastAsia="Palatino Linotype" w:cs="Palatino Linotype"/>
        </w:rPr>
      </w:pPr>
    </w:p>
    <w:p w14:paraId="2E629608" w14:textId="01727E15" w:rsidR="00C049E2" w:rsidRPr="00A17FC0" w:rsidRDefault="006067C7" w:rsidP="00A17FC0">
      <w:pPr>
        <w:rPr>
          <w:rFonts w:eastAsia="Palatino Linotype"/>
        </w:rPr>
      </w:pPr>
      <w:bookmarkStart w:id="28" w:name="_heading=h.2s8eyo1" w:colFirst="0" w:colLast="0"/>
      <w:bookmarkEnd w:id="28"/>
      <w:r w:rsidRPr="00A17FC0">
        <w:rPr>
          <w:rFonts w:eastAsia="Palatino Linotype"/>
        </w:rPr>
        <w:t>Con base en lo anterior</w:t>
      </w:r>
      <w:r w:rsidR="00B22A80" w:rsidRPr="00A17FC0">
        <w:rPr>
          <w:rFonts w:eastAsia="Palatino Linotype"/>
        </w:rPr>
        <w:t>, se considera que</w:t>
      </w:r>
      <w:r w:rsidR="00C049E2" w:rsidRPr="00A17FC0">
        <w:rPr>
          <w:rFonts w:eastAsia="Palatino Linotype"/>
        </w:rPr>
        <w:t xml:space="preserve"> </w:t>
      </w:r>
      <w:r w:rsidR="00B22A80" w:rsidRPr="00A17FC0">
        <w:rPr>
          <w:rFonts w:eastAsia="Palatino Linotype"/>
          <w:b/>
          <w:bCs/>
        </w:rPr>
        <w:t>EL</w:t>
      </w:r>
      <w:r w:rsidR="00C049E2" w:rsidRPr="00A17FC0">
        <w:rPr>
          <w:rFonts w:eastAsia="Palatino Linotype"/>
        </w:rPr>
        <w:t xml:space="preserve"> </w:t>
      </w:r>
      <w:r w:rsidR="00C049E2" w:rsidRPr="00A17FC0">
        <w:rPr>
          <w:rFonts w:eastAsia="Palatino Linotype"/>
          <w:b/>
        </w:rPr>
        <w:t>SUJETO OBLIGADO</w:t>
      </w:r>
      <w:r w:rsidR="00C049E2" w:rsidRPr="00A17FC0">
        <w:rPr>
          <w:rFonts w:eastAsia="Palatino Linotype"/>
        </w:rPr>
        <w:t xml:space="preserve"> </w:t>
      </w:r>
      <w:r w:rsidR="00B22A80" w:rsidRPr="00A17FC0">
        <w:rPr>
          <w:rFonts w:eastAsia="Palatino Linotype"/>
        </w:rPr>
        <w:t xml:space="preserve">se </w:t>
      </w:r>
      <w:r w:rsidR="00717E59" w:rsidRPr="00A17FC0">
        <w:rPr>
          <w:rFonts w:eastAsia="Palatino Linotype"/>
        </w:rPr>
        <w:t>encontraba</w:t>
      </w:r>
      <w:r w:rsidR="00B22A80" w:rsidRPr="00A17FC0">
        <w:rPr>
          <w:rFonts w:eastAsia="Palatino Linotype"/>
        </w:rPr>
        <w:t xml:space="preserve"> compelido a</w:t>
      </w:r>
      <w:r w:rsidR="00C049E2" w:rsidRPr="00A17FC0">
        <w:rPr>
          <w:rFonts w:eastAsia="Palatino Linotype"/>
        </w:rPr>
        <w:t xml:space="preserve"> atender la solicitud de acceso a la información </w:t>
      </w:r>
      <w:r w:rsidR="00B22A80" w:rsidRPr="00A17FC0">
        <w:rPr>
          <w:rFonts w:eastAsia="Palatino Linotype"/>
        </w:rPr>
        <w:t xml:space="preserve">realizada por </w:t>
      </w:r>
      <w:r w:rsidR="00B22A80" w:rsidRPr="00A17FC0">
        <w:rPr>
          <w:rFonts w:eastAsia="Palatino Linotype"/>
          <w:b/>
          <w:bCs/>
        </w:rPr>
        <w:t>LA PARTE RECURRENTE</w:t>
      </w:r>
      <w:r w:rsidR="00331F35" w:rsidRPr="00A17FC0">
        <w:rPr>
          <w:rFonts w:eastAsia="Palatino Linotype"/>
        </w:rPr>
        <w:t>.</w:t>
      </w:r>
    </w:p>
    <w:p w14:paraId="3AFB9FAE" w14:textId="77777777" w:rsidR="00AA26B0" w:rsidRPr="00A17FC0" w:rsidRDefault="00AA26B0" w:rsidP="00A17FC0">
      <w:pPr>
        <w:rPr>
          <w:rFonts w:eastAsia="Palatino Linotype"/>
        </w:rPr>
      </w:pPr>
    </w:p>
    <w:p w14:paraId="51A0E8B4" w14:textId="676DCA47" w:rsidR="00664420" w:rsidRPr="00A17FC0" w:rsidRDefault="00C71CEF" w:rsidP="00A17FC0">
      <w:pPr>
        <w:pStyle w:val="Ttulo3"/>
        <w:rPr>
          <w:rFonts w:eastAsia="Calibri"/>
          <w:lang w:eastAsia="es-ES_tradnl"/>
        </w:rPr>
      </w:pPr>
      <w:bookmarkStart w:id="29" w:name="_Toc177655617"/>
      <w:r w:rsidRPr="00A17FC0">
        <w:rPr>
          <w:rFonts w:eastAsia="Calibri"/>
          <w:lang w:eastAsia="es-ES_tradnl"/>
        </w:rPr>
        <w:t>b)</w:t>
      </w:r>
      <w:r w:rsidR="00A53315" w:rsidRPr="00A17FC0">
        <w:rPr>
          <w:rFonts w:eastAsia="Calibri"/>
          <w:lang w:eastAsia="es-ES_tradnl"/>
        </w:rPr>
        <w:t xml:space="preserve"> </w:t>
      </w:r>
      <w:r w:rsidR="00A21A20" w:rsidRPr="00A17FC0">
        <w:rPr>
          <w:rFonts w:eastAsia="Calibri"/>
          <w:lang w:eastAsia="es-ES_tradnl"/>
        </w:rPr>
        <w:t>Controversia a resolver</w:t>
      </w:r>
      <w:bookmarkEnd w:id="29"/>
    </w:p>
    <w:p w14:paraId="5DAE2A65" w14:textId="382C31A9" w:rsidR="00664420" w:rsidRPr="00A17FC0" w:rsidRDefault="00664420" w:rsidP="00A17FC0">
      <w:pPr>
        <w:rPr>
          <w:rFonts w:eastAsia="Calibri"/>
          <w:lang w:eastAsia="es-ES_tradnl"/>
        </w:rPr>
      </w:pPr>
      <w:r w:rsidRPr="00A17FC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17FC0">
        <w:rPr>
          <w:rFonts w:eastAsia="Calibri"/>
          <w:b/>
          <w:bCs/>
          <w:lang w:eastAsia="es-ES_tradnl"/>
        </w:rPr>
        <w:t>LA PARTE RECURRENTE</w:t>
      </w:r>
      <w:r w:rsidRPr="00A17FC0">
        <w:rPr>
          <w:rFonts w:eastAsia="Calibri"/>
          <w:lang w:eastAsia="es-ES_tradnl"/>
        </w:rPr>
        <w:t xml:space="preserve"> solicitó lo siguiente:</w:t>
      </w:r>
    </w:p>
    <w:p w14:paraId="7D9D559B" w14:textId="77777777" w:rsidR="00664420" w:rsidRPr="00A17FC0" w:rsidRDefault="00664420" w:rsidP="00A17FC0">
      <w:pPr>
        <w:tabs>
          <w:tab w:val="left" w:pos="4962"/>
        </w:tabs>
        <w:contextualSpacing/>
        <w:rPr>
          <w:rFonts w:eastAsia="Calibri" w:cs="Tahoma"/>
          <w:iCs/>
          <w:szCs w:val="22"/>
          <w:lang w:eastAsia="es-ES_tradnl"/>
        </w:rPr>
      </w:pPr>
    </w:p>
    <w:p w14:paraId="705D1DE2" w14:textId="3F918F74" w:rsidR="002E58DF" w:rsidRPr="00A17FC0" w:rsidRDefault="004B1D9C" w:rsidP="00A17FC0">
      <w:pPr>
        <w:pStyle w:val="Prrafodelista"/>
        <w:numPr>
          <w:ilvl w:val="0"/>
          <w:numId w:val="21"/>
        </w:numPr>
        <w:tabs>
          <w:tab w:val="left" w:pos="4962"/>
        </w:tabs>
        <w:ind w:left="709"/>
        <w:rPr>
          <w:rFonts w:eastAsia="Calibri" w:cs="Tahoma"/>
          <w:iCs/>
          <w:szCs w:val="22"/>
          <w:lang w:eastAsia="es-ES_tradnl"/>
        </w:rPr>
      </w:pPr>
      <w:r w:rsidRPr="00A17FC0">
        <w:rPr>
          <w:rFonts w:eastAsia="Calibri" w:cs="Tahoma"/>
          <w:iCs/>
          <w:szCs w:val="22"/>
          <w:lang w:eastAsia="es-ES_tradnl"/>
        </w:rPr>
        <w:t>EXPEDIENTE DEL JUICIO ADMINISTRATIVO: 1047/2021 LLEVADO A CABO EN LA PRIMERA SALA REGIONAL DEL TRIBUNAL DE JUSTICIA ADMINISTRATIVA DEL ESTADO DE MEXICO CON SEDE EN TOLUCA, ESTADO DE MEXICO</w:t>
      </w:r>
      <w:r w:rsidR="00BF3ECC" w:rsidRPr="00A17FC0">
        <w:rPr>
          <w:rFonts w:eastAsia="Calibri" w:cs="Tahoma"/>
          <w:iCs/>
          <w:szCs w:val="22"/>
          <w:lang w:eastAsia="es-ES_tradnl"/>
        </w:rPr>
        <w:t>.</w:t>
      </w:r>
    </w:p>
    <w:p w14:paraId="1ACD5B6E" w14:textId="77777777" w:rsidR="0022409E" w:rsidRPr="00A17FC0" w:rsidRDefault="0022409E" w:rsidP="00A17FC0">
      <w:pPr>
        <w:tabs>
          <w:tab w:val="left" w:pos="4962"/>
        </w:tabs>
        <w:contextualSpacing/>
        <w:rPr>
          <w:rFonts w:eastAsiaTheme="minorHAnsi" w:cs="Tahoma"/>
          <w:bCs/>
          <w:iCs/>
          <w:szCs w:val="22"/>
          <w:lang w:eastAsia="en-US"/>
        </w:rPr>
      </w:pPr>
    </w:p>
    <w:p w14:paraId="1CED052A" w14:textId="2E0373B4" w:rsidR="00664420" w:rsidRPr="00A17FC0" w:rsidRDefault="00664420" w:rsidP="00A17FC0">
      <w:pPr>
        <w:autoSpaceDE w:val="0"/>
        <w:autoSpaceDN w:val="0"/>
        <w:adjustRightInd w:val="0"/>
        <w:ind w:right="-28"/>
        <w:rPr>
          <w:rFonts w:cs="Tahoma"/>
          <w:bCs/>
          <w:szCs w:val="22"/>
          <w:lang w:val="es-ES"/>
        </w:rPr>
      </w:pPr>
      <w:r w:rsidRPr="00A17FC0">
        <w:rPr>
          <w:rFonts w:eastAsiaTheme="minorHAnsi" w:cs="Tahoma"/>
          <w:bCs/>
          <w:iCs/>
          <w:szCs w:val="22"/>
          <w:lang w:eastAsia="en-US"/>
        </w:rPr>
        <w:t xml:space="preserve">En respuesta, </w:t>
      </w:r>
      <w:r w:rsidR="005D5A50" w:rsidRPr="00A17FC0">
        <w:rPr>
          <w:rFonts w:eastAsiaTheme="minorHAnsi" w:cs="Tahoma"/>
          <w:b/>
          <w:iCs/>
          <w:szCs w:val="22"/>
          <w:lang w:eastAsia="en-US"/>
        </w:rPr>
        <w:t>EL SUJETO OBLIGADO</w:t>
      </w:r>
      <w:r w:rsidRPr="00A17FC0">
        <w:rPr>
          <w:rFonts w:eastAsiaTheme="minorHAnsi" w:cs="Tahoma"/>
          <w:bCs/>
          <w:iCs/>
          <w:szCs w:val="22"/>
          <w:lang w:eastAsia="en-US"/>
        </w:rPr>
        <w:t xml:space="preserve"> se pronunció por conducto de</w:t>
      </w:r>
      <w:r w:rsidR="004B1D9C" w:rsidRPr="00A17FC0">
        <w:rPr>
          <w:rFonts w:eastAsiaTheme="minorHAnsi" w:cs="Tahoma"/>
          <w:bCs/>
          <w:iCs/>
          <w:szCs w:val="22"/>
          <w:lang w:eastAsia="en-US"/>
        </w:rPr>
        <w:t xml:space="preserve"> la</w:t>
      </w:r>
      <w:r w:rsidRPr="00A17FC0">
        <w:rPr>
          <w:rFonts w:eastAsiaTheme="minorHAnsi" w:cs="Tahoma"/>
          <w:bCs/>
          <w:iCs/>
          <w:szCs w:val="22"/>
          <w:lang w:eastAsia="en-US"/>
        </w:rPr>
        <w:t xml:space="preserve"> </w:t>
      </w:r>
      <w:r w:rsidR="002E58DF" w:rsidRPr="00A17FC0">
        <w:rPr>
          <w:rFonts w:cs="Tahoma"/>
          <w:bCs/>
          <w:szCs w:val="22"/>
          <w:lang w:val="es-ES"/>
        </w:rPr>
        <w:t xml:space="preserve">Titular </w:t>
      </w:r>
      <w:r w:rsidR="004B1D9C" w:rsidRPr="00A17FC0">
        <w:rPr>
          <w:rFonts w:cs="Tahoma"/>
          <w:bCs/>
          <w:szCs w:val="22"/>
          <w:lang w:val="es-ES"/>
        </w:rPr>
        <w:t>la Titular de la Unidad de Transparencia, en conjunto con el servidor público habilitado de la primera sala regional del Tribunal de Justicia Administrativa del Estado de México, en donde medularmente clasifican el expediente solicitado, como información reservada.</w:t>
      </w:r>
    </w:p>
    <w:p w14:paraId="4BEBD880" w14:textId="77777777" w:rsidR="00664420" w:rsidRPr="00A17FC0" w:rsidRDefault="00664420" w:rsidP="00A17FC0">
      <w:pPr>
        <w:tabs>
          <w:tab w:val="left" w:pos="4962"/>
        </w:tabs>
        <w:rPr>
          <w:rFonts w:eastAsiaTheme="minorHAnsi" w:cs="Tahoma"/>
          <w:bCs/>
          <w:iCs/>
          <w:szCs w:val="22"/>
          <w:lang w:eastAsia="en-US"/>
        </w:rPr>
      </w:pPr>
    </w:p>
    <w:p w14:paraId="31DD81D7" w14:textId="08171C1C" w:rsidR="00664420" w:rsidRPr="00A17FC0" w:rsidRDefault="00CF7586" w:rsidP="00A17FC0">
      <w:pPr>
        <w:tabs>
          <w:tab w:val="left" w:pos="4962"/>
        </w:tabs>
        <w:contextualSpacing/>
        <w:rPr>
          <w:rFonts w:eastAsiaTheme="minorHAnsi" w:cs="Tahoma"/>
          <w:bCs/>
          <w:iCs/>
          <w:szCs w:val="22"/>
          <w:lang w:eastAsia="en-US"/>
        </w:rPr>
      </w:pPr>
      <w:r w:rsidRPr="00A17FC0">
        <w:rPr>
          <w:rFonts w:eastAsiaTheme="minorHAnsi" w:cs="Tahoma"/>
          <w:bCs/>
          <w:iCs/>
          <w:szCs w:val="22"/>
          <w:lang w:eastAsia="en-US"/>
        </w:rPr>
        <w:t xml:space="preserve">Ahora bien, en la interposición del presente recurso </w:t>
      </w:r>
      <w:r w:rsidRPr="00A17FC0">
        <w:rPr>
          <w:rFonts w:eastAsiaTheme="minorHAnsi" w:cs="Tahoma"/>
          <w:b/>
          <w:iCs/>
          <w:szCs w:val="22"/>
          <w:lang w:eastAsia="en-US"/>
        </w:rPr>
        <w:t>LA PARTE RECURRENTE</w:t>
      </w:r>
      <w:r w:rsidR="00664420" w:rsidRPr="00A17FC0">
        <w:rPr>
          <w:rFonts w:eastAsiaTheme="minorHAnsi" w:cs="Tahoma"/>
          <w:bCs/>
          <w:iCs/>
          <w:szCs w:val="22"/>
          <w:lang w:eastAsia="en-US"/>
        </w:rPr>
        <w:t xml:space="preserve"> se inconformó de </w:t>
      </w:r>
      <w:r w:rsidR="0022409E" w:rsidRPr="00A17FC0">
        <w:rPr>
          <w:rFonts w:eastAsiaTheme="minorHAnsi" w:cs="Tahoma"/>
          <w:bCs/>
          <w:iCs/>
          <w:szCs w:val="22"/>
          <w:lang w:eastAsia="en-US"/>
        </w:rPr>
        <w:t xml:space="preserve">la </w:t>
      </w:r>
      <w:r w:rsidR="004B1D9C" w:rsidRPr="00A17FC0">
        <w:rPr>
          <w:rFonts w:eastAsiaTheme="minorHAnsi" w:cs="Tahoma"/>
          <w:bCs/>
          <w:iCs/>
          <w:szCs w:val="22"/>
          <w:lang w:eastAsia="en-US"/>
        </w:rPr>
        <w:t>clasificación de la información señalada con anterioridad</w:t>
      </w:r>
      <w:r w:rsidR="002D50A3" w:rsidRPr="00A17FC0">
        <w:rPr>
          <w:rFonts w:eastAsiaTheme="minorHAnsi" w:cs="Tahoma"/>
          <w:bCs/>
          <w:iCs/>
          <w:szCs w:val="22"/>
          <w:lang w:eastAsia="en-US"/>
        </w:rPr>
        <w:t>.</w:t>
      </w:r>
      <w:r w:rsidR="00D2790D" w:rsidRPr="00A17FC0">
        <w:rPr>
          <w:rFonts w:eastAsiaTheme="minorHAnsi" w:cs="Tahoma"/>
          <w:bCs/>
          <w:iCs/>
          <w:szCs w:val="22"/>
          <w:lang w:eastAsia="en-US"/>
        </w:rPr>
        <w:t xml:space="preserve"> </w:t>
      </w:r>
    </w:p>
    <w:p w14:paraId="3F1C720B" w14:textId="77777777" w:rsidR="00664420" w:rsidRPr="00A17FC0" w:rsidRDefault="00664420" w:rsidP="00A17FC0">
      <w:pPr>
        <w:contextualSpacing/>
        <w:rPr>
          <w:rFonts w:cs="Tahoma"/>
          <w:szCs w:val="22"/>
          <w:lang w:eastAsia="es-MX"/>
        </w:rPr>
      </w:pPr>
    </w:p>
    <w:p w14:paraId="395FB891" w14:textId="272D180A" w:rsidR="002F51F5" w:rsidRPr="00A17FC0" w:rsidRDefault="00A21A20" w:rsidP="00A17FC0">
      <w:pPr>
        <w:pStyle w:val="Ttulo3"/>
      </w:pPr>
      <w:bookmarkStart w:id="30" w:name="_Toc177655618"/>
      <w:r w:rsidRPr="00A17FC0">
        <w:lastRenderedPageBreak/>
        <w:t>c)</w:t>
      </w:r>
      <w:r w:rsidR="00664420" w:rsidRPr="00A17FC0">
        <w:t xml:space="preserve"> </w:t>
      </w:r>
      <w:r w:rsidRPr="00A17FC0">
        <w:t>Estudio de la controversia</w:t>
      </w:r>
      <w:bookmarkEnd w:id="30"/>
    </w:p>
    <w:p w14:paraId="70F9081F" w14:textId="02A9F706" w:rsidR="00AD4F69" w:rsidRPr="00A17FC0" w:rsidRDefault="00D51285" w:rsidP="00A17FC0">
      <w:pPr>
        <w:ind w:right="-93"/>
        <w:rPr>
          <w:rFonts w:cs="Tahoma"/>
          <w:bCs/>
          <w:szCs w:val="22"/>
        </w:rPr>
      </w:pPr>
      <w:r w:rsidRPr="00A17FC0">
        <w:rPr>
          <w:rFonts w:cs="Tahoma"/>
          <w:bCs/>
          <w:szCs w:val="22"/>
        </w:rPr>
        <w:t>Acotado lo anterior, e</w:t>
      </w:r>
      <w:r w:rsidR="002D50A3" w:rsidRPr="00A17FC0">
        <w:rPr>
          <w:rFonts w:cs="Tahoma"/>
          <w:bCs/>
          <w:szCs w:val="22"/>
        </w:rPr>
        <w:t xml:space="preserve">s necesario establecer si la unidad administrativa que se pronunció respecto de la información solicitada, resulta ser la competente para dar atención a los requerimientos solicitados por </w:t>
      </w:r>
      <w:r w:rsidR="002D50A3" w:rsidRPr="00A17FC0">
        <w:rPr>
          <w:rFonts w:cs="Tahoma"/>
          <w:b/>
          <w:bCs/>
          <w:szCs w:val="22"/>
        </w:rPr>
        <w:t>LA PARTE RECURRENTE</w:t>
      </w:r>
      <w:r w:rsidR="002D50A3" w:rsidRPr="00A17FC0">
        <w:rPr>
          <w:rFonts w:cs="Tahoma"/>
          <w:bCs/>
          <w:szCs w:val="22"/>
        </w:rPr>
        <w:t xml:space="preserve">, en ese sentido </w:t>
      </w:r>
      <w:r w:rsidRPr="00A17FC0">
        <w:rPr>
          <w:rFonts w:cs="Tahoma"/>
          <w:bCs/>
          <w:szCs w:val="22"/>
        </w:rPr>
        <w:t>de conformidad con</w:t>
      </w:r>
      <w:r w:rsidR="000239CB" w:rsidRPr="00A17FC0">
        <w:rPr>
          <w:rFonts w:cs="Tahoma"/>
          <w:bCs/>
          <w:szCs w:val="22"/>
        </w:rPr>
        <w:t xml:space="preserve"> lo establecido en el Reglamento Interior del Tribunal de Justicia Administrativa del Estado De México tenemos que el precepto normativo número 40 textualmente señala lo siguiente:</w:t>
      </w:r>
    </w:p>
    <w:p w14:paraId="10DEA4B8" w14:textId="77777777" w:rsidR="000239CB" w:rsidRPr="00A17FC0" w:rsidRDefault="000239CB" w:rsidP="00A17FC0">
      <w:pPr>
        <w:ind w:right="-93"/>
        <w:rPr>
          <w:rFonts w:cs="Tahoma"/>
          <w:bCs/>
          <w:szCs w:val="22"/>
        </w:rPr>
      </w:pPr>
    </w:p>
    <w:p w14:paraId="4D764DD6" w14:textId="733FE0B5" w:rsidR="000239CB" w:rsidRPr="00A17FC0" w:rsidRDefault="0094428C" w:rsidP="00A17FC0">
      <w:pPr>
        <w:spacing w:line="240" w:lineRule="auto"/>
        <w:ind w:left="851" w:right="822"/>
        <w:rPr>
          <w:rFonts w:cs="Tahoma"/>
          <w:bCs/>
          <w:i/>
          <w:szCs w:val="22"/>
        </w:rPr>
      </w:pPr>
      <w:r w:rsidRPr="00A17FC0">
        <w:rPr>
          <w:b/>
          <w:i/>
        </w:rPr>
        <w:t xml:space="preserve">Artículo 40. </w:t>
      </w:r>
      <w:r w:rsidRPr="00A17FC0">
        <w:rPr>
          <w:i/>
        </w:rPr>
        <w:t>La Primera y Séptima Salas Regionales residirán en el municipio de Toluca. Conocerán indistintamente de los juicios administrativos que se promuevan en contra de los actos y disposiciones generales de carácter administrativo o fiscal que dicten, ordenen, ejecuten o traten de ejecutar las autoridades del Poder Ejecutivo del Estado, de los municipios y de los organismos auxiliares de carácter estatal y municipal, cuando el domicilio del actor se ubique en los municipios de: Acambay, Aculco, Almoloya de Alquisiras, Almoloya de Juárez, Almoloya del Río, Amanalco, Amatepec, Atizapán, Atlacomulco, Calimaya, Capulhuac, Coatepec Harinas, Chapultepec, Donato Guerra, El Oro, lxtapan de la Sal, lxtapan del Oro, lxtlahuaca, Jiquipilco, Jocotitlán, Joquicingo, Lerma, Luvianos, Malinalco, Metepec, Mexicaltzingo, Morelos, Ocoyoacac, Ocuilan, Otzoloapan, Otzolotepec, Rayón, San Antonio La Isla, San Felipe del Progreso, San José del Rincón, San Mateo Atenco, San Simón de Guerrero, Santo Tomás, Sultepec, Tejupilco, Temascalcingo, Temascaltepec, Temoaya, Tenancingo, Tenango del Valle, Texcaltitlán, Texcalyacac, Tianguistenco, Timilpan, Tlatlaya, Toluca, Tonatico, Valle de Bravo, Villa de Allende, Villa Guerrero, Villa Victoria, Xalatlaco, Xonacatlán, Zacazonapan, Zacualpan, Zinacantepec y Zumpahuacán.</w:t>
      </w:r>
    </w:p>
    <w:p w14:paraId="4861E901" w14:textId="77777777" w:rsidR="000239CB" w:rsidRPr="00A17FC0" w:rsidRDefault="000239CB" w:rsidP="00A17FC0">
      <w:pPr>
        <w:ind w:right="-93"/>
        <w:rPr>
          <w:rFonts w:cs="Tahoma"/>
          <w:bCs/>
          <w:szCs w:val="22"/>
        </w:rPr>
      </w:pPr>
    </w:p>
    <w:p w14:paraId="24DEA2A6" w14:textId="07ABAF14" w:rsidR="0094428C" w:rsidRPr="00A17FC0" w:rsidRDefault="0094428C" w:rsidP="00A17FC0">
      <w:pPr>
        <w:ind w:right="-93"/>
      </w:pPr>
      <w:r w:rsidRPr="00A17FC0">
        <w:rPr>
          <w:rFonts w:cs="Tahoma"/>
          <w:bCs/>
          <w:szCs w:val="22"/>
        </w:rPr>
        <w:t xml:space="preserve">En ese sentido, al existir un pronunciamiento respecto de lo requerido, a través del servidor público habilitado de la primera sala regional del Tribunal de Justicia Administrativa, se considera la atención y cumplimiento al procedimiento que todos los </w:t>
      </w:r>
      <w:r w:rsidR="00BF3ECC" w:rsidRPr="00A17FC0">
        <w:rPr>
          <w:rFonts w:cs="Tahoma"/>
          <w:bCs/>
          <w:szCs w:val="22"/>
        </w:rPr>
        <w:t xml:space="preserve">Sujetos Obligados </w:t>
      </w:r>
      <w:r w:rsidRPr="00A17FC0">
        <w:rPr>
          <w:rFonts w:cs="Tahoma"/>
          <w:bCs/>
          <w:szCs w:val="22"/>
        </w:rPr>
        <w:t xml:space="preserve">deben seguir, conforme a lo establecido en el artículo 162 de la Ley de Transparencia Local, ya que la Titular de la Unidad de Transparencia turno los requerimientos respectivos a la unidad </w:t>
      </w:r>
      <w:r w:rsidR="00532D45" w:rsidRPr="00A17FC0">
        <w:rPr>
          <w:rFonts w:cs="Tahoma"/>
          <w:bCs/>
          <w:szCs w:val="22"/>
        </w:rPr>
        <w:lastRenderedPageBreak/>
        <w:t>administrativa</w:t>
      </w:r>
      <w:r w:rsidRPr="00A17FC0">
        <w:rPr>
          <w:rFonts w:cs="Tahoma"/>
          <w:bCs/>
          <w:szCs w:val="22"/>
        </w:rPr>
        <w:t xml:space="preserve"> competente para tal efecto, ya que esta es la encargada de </w:t>
      </w:r>
      <w:r w:rsidR="00532D45" w:rsidRPr="00A17FC0">
        <w:t>conocer sobre los juicios administrativos que se promuevan en contra de los actos y disposiciones generales de carácter administrativo o fiscal que dicten, ordenen, ejecuten o traten de ejecutar las autoridades del Poder Ejecutivo del Estado, de los municipios y de los organismos auxiliares de carácter estatal y municipal.</w:t>
      </w:r>
    </w:p>
    <w:p w14:paraId="75870595" w14:textId="77777777" w:rsidR="00532D45" w:rsidRPr="00A17FC0" w:rsidRDefault="00532D45" w:rsidP="00A17FC0">
      <w:pPr>
        <w:ind w:right="-93"/>
      </w:pPr>
    </w:p>
    <w:p w14:paraId="5CDA7430" w14:textId="51C3E39A" w:rsidR="00532D45" w:rsidRPr="00A17FC0" w:rsidRDefault="00532D45" w:rsidP="00A17FC0">
      <w:pPr>
        <w:rPr>
          <w:rFonts w:cs="Arial"/>
        </w:rPr>
      </w:pPr>
      <w:r w:rsidRPr="00A17FC0">
        <w:rPr>
          <w:rFonts w:cs="Tahoma"/>
          <w:bCs/>
          <w:szCs w:val="22"/>
        </w:rPr>
        <w:t xml:space="preserve">Ahora bien, dada la clasificación de la información que </w:t>
      </w:r>
      <w:r w:rsidR="00BF3ECC" w:rsidRPr="00A17FC0">
        <w:rPr>
          <w:rFonts w:cs="Tahoma"/>
          <w:b/>
          <w:bCs/>
          <w:szCs w:val="22"/>
        </w:rPr>
        <w:t>EL</w:t>
      </w:r>
      <w:r w:rsidR="00BF3ECC" w:rsidRPr="00A17FC0">
        <w:rPr>
          <w:rFonts w:cs="Tahoma"/>
          <w:bCs/>
          <w:szCs w:val="22"/>
        </w:rPr>
        <w:t xml:space="preserve"> </w:t>
      </w:r>
      <w:r w:rsidRPr="00A17FC0">
        <w:rPr>
          <w:rFonts w:cs="Tahoma"/>
          <w:b/>
          <w:bCs/>
          <w:szCs w:val="22"/>
        </w:rPr>
        <w:t>SUJETO OBLIGADO</w:t>
      </w:r>
      <w:r w:rsidRPr="00A17FC0">
        <w:rPr>
          <w:rFonts w:cs="Tahoma"/>
          <w:bCs/>
          <w:szCs w:val="22"/>
        </w:rPr>
        <w:t xml:space="preserve"> remitió a través de la respuesta, viene a colación </w:t>
      </w:r>
      <w:r w:rsidRPr="00A17FC0">
        <w:rPr>
          <w:rFonts w:cs="Arial"/>
        </w:rPr>
        <w:t>lo dispuesto por el artículo 5, párrafo vigésimo segundo, fracción I de la Constitución Política del Estado Libre y Soberano de México, el cual dispone:</w:t>
      </w:r>
    </w:p>
    <w:p w14:paraId="2DA57B8B" w14:textId="77777777" w:rsidR="00532D45" w:rsidRPr="00A17FC0" w:rsidRDefault="00532D45" w:rsidP="00A17FC0">
      <w:pPr>
        <w:rPr>
          <w:rFonts w:cs="Arial"/>
        </w:rPr>
      </w:pPr>
    </w:p>
    <w:p w14:paraId="3B6B3A7F" w14:textId="77777777" w:rsidR="00532D45" w:rsidRPr="00A17FC0" w:rsidRDefault="00532D45" w:rsidP="00A17FC0">
      <w:pPr>
        <w:autoSpaceDE w:val="0"/>
        <w:autoSpaceDN w:val="0"/>
        <w:adjustRightInd w:val="0"/>
        <w:spacing w:line="240" w:lineRule="auto"/>
        <w:ind w:left="851" w:right="902"/>
        <w:rPr>
          <w:rFonts w:cs="Arial"/>
          <w:b/>
          <w:i/>
        </w:rPr>
      </w:pPr>
      <w:r w:rsidRPr="00A17FC0">
        <w:rPr>
          <w:rFonts w:cs="Arial"/>
          <w:b/>
          <w:i/>
        </w:rPr>
        <w:t>“Artículo 5.-...</w:t>
      </w:r>
    </w:p>
    <w:p w14:paraId="1BAFE990" w14:textId="77777777" w:rsidR="00532D45" w:rsidRPr="00A17FC0" w:rsidRDefault="00532D45" w:rsidP="00A17FC0">
      <w:pPr>
        <w:autoSpaceDE w:val="0"/>
        <w:autoSpaceDN w:val="0"/>
        <w:adjustRightInd w:val="0"/>
        <w:spacing w:line="240" w:lineRule="auto"/>
        <w:ind w:left="851" w:right="902"/>
        <w:rPr>
          <w:rFonts w:cs="Arial"/>
          <w:i/>
        </w:rPr>
      </w:pPr>
      <w:r w:rsidRPr="00A17FC0">
        <w:rPr>
          <w:rFonts w:cs="Arial"/>
          <w:i/>
        </w:rPr>
        <w:t>...</w:t>
      </w:r>
    </w:p>
    <w:p w14:paraId="46A00178" w14:textId="77777777" w:rsidR="00532D45" w:rsidRPr="00A17FC0" w:rsidRDefault="00532D45" w:rsidP="00A17FC0">
      <w:pPr>
        <w:autoSpaceDE w:val="0"/>
        <w:autoSpaceDN w:val="0"/>
        <w:adjustRightInd w:val="0"/>
        <w:spacing w:line="240" w:lineRule="auto"/>
        <w:ind w:left="851" w:right="902"/>
        <w:rPr>
          <w:rFonts w:cs="Arial"/>
          <w:i/>
        </w:rPr>
      </w:pPr>
      <w:r w:rsidRPr="00A17FC0">
        <w:rPr>
          <w:rFonts w:cs="Arial"/>
          <w:i/>
        </w:rPr>
        <w:t>Este derecho se regirá por los siguientes principios y bases siguientes:</w:t>
      </w:r>
    </w:p>
    <w:p w14:paraId="03652F5D" w14:textId="77777777" w:rsidR="00532D45" w:rsidRPr="00A17FC0" w:rsidRDefault="00532D45" w:rsidP="00A17FC0">
      <w:pPr>
        <w:spacing w:line="240" w:lineRule="auto"/>
        <w:ind w:left="709" w:right="757"/>
        <w:contextualSpacing/>
        <w:rPr>
          <w:rFonts w:cs="Arial"/>
          <w:i/>
        </w:rPr>
      </w:pPr>
    </w:p>
    <w:p w14:paraId="5BD6C34C" w14:textId="77777777" w:rsidR="00532D45" w:rsidRPr="00A17FC0" w:rsidRDefault="00532D45" w:rsidP="00A17FC0">
      <w:pPr>
        <w:autoSpaceDE w:val="0"/>
        <w:autoSpaceDN w:val="0"/>
        <w:adjustRightInd w:val="0"/>
        <w:spacing w:line="240" w:lineRule="auto"/>
        <w:ind w:left="851" w:right="902"/>
        <w:rPr>
          <w:rFonts w:cs="Arial"/>
          <w:i/>
        </w:rPr>
      </w:pPr>
      <w:r w:rsidRPr="00A17FC0">
        <w:rPr>
          <w:rFonts w:cs="Arial"/>
          <w:i/>
        </w:rPr>
        <w:t xml:space="preserve">I. </w:t>
      </w:r>
      <w:r w:rsidRPr="00A17FC0">
        <w:rPr>
          <w:b/>
          <w:i/>
        </w:rPr>
        <w:t>Toda la información en posesión de cualquier autoridad, entidad, órgano y organismos de los Poderes Ejecutivo, Legislativo y Judicial, órganos autónomos</w:t>
      </w:r>
      <w:r w:rsidRPr="00A17FC0">
        <w:rPr>
          <w:i/>
        </w:rPr>
        <w:t xml:space="preserve">, </w:t>
      </w:r>
      <w:r w:rsidRPr="00A17FC0">
        <w:rPr>
          <w:b/>
          <w:bCs/>
          <w:i/>
        </w:rPr>
        <w:t xml:space="preserve">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w:t>
      </w:r>
      <w:r w:rsidRPr="00A17FC0">
        <w:rPr>
          <w:i/>
        </w:rPr>
        <w:t>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A17FC0">
        <w:rPr>
          <w:rFonts w:cs="Arial"/>
          <w:i/>
        </w:rPr>
        <w:t>;</w:t>
      </w:r>
    </w:p>
    <w:p w14:paraId="590F2382" w14:textId="77777777" w:rsidR="00532D45" w:rsidRPr="00A17FC0" w:rsidRDefault="00532D45" w:rsidP="00A17FC0">
      <w:pPr>
        <w:autoSpaceDE w:val="0"/>
        <w:autoSpaceDN w:val="0"/>
        <w:adjustRightInd w:val="0"/>
        <w:spacing w:line="240" w:lineRule="auto"/>
        <w:ind w:left="851" w:right="902"/>
        <w:rPr>
          <w:rFonts w:cs="Arial"/>
          <w:i/>
        </w:rPr>
      </w:pPr>
      <w:r w:rsidRPr="00A17FC0">
        <w:rPr>
          <w:rFonts w:cs="Arial"/>
          <w:i/>
        </w:rPr>
        <w:t>...”</w:t>
      </w:r>
    </w:p>
    <w:p w14:paraId="40814CC7" w14:textId="77777777" w:rsidR="00532D45" w:rsidRPr="00A17FC0" w:rsidRDefault="00532D45" w:rsidP="00A17FC0"/>
    <w:p w14:paraId="3126729B" w14:textId="46C0D957" w:rsidR="00532D45" w:rsidRPr="00A17FC0" w:rsidRDefault="00532D45" w:rsidP="00A17FC0">
      <w:pPr>
        <w:rPr>
          <w:rFonts w:cs="Arial"/>
        </w:rPr>
      </w:pPr>
      <w:r w:rsidRPr="00A17FC0">
        <w:rPr>
          <w:rFonts w:cs="Arial"/>
        </w:rPr>
        <w:lastRenderedPageBreak/>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la Ley de la materia, es decir, el derecho de acceso a la información pública no es absoluto pero su restricción debe estar sujeta a un sistema rígido de excepciones, en el que los </w:t>
      </w:r>
      <w:r w:rsidRPr="00A17FC0">
        <w:rPr>
          <w:rFonts w:cs="Arial"/>
          <w:b/>
        </w:rPr>
        <w:t>SUJETOS OBLIGADOS</w:t>
      </w:r>
      <w:r w:rsidRPr="00A17FC0">
        <w:rPr>
          <w:rFonts w:cs="Arial"/>
        </w:rPr>
        <w:t xml:space="preserve"> deben fundar y motivar las causas de interés público que se ponen en riesgo al liberarse la información.</w:t>
      </w:r>
    </w:p>
    <w:p w14:paraId="7ADAA630" w14:textId="77777777" w:rsidR="00532D45" w:rsidRPr="00A17FC0" w:rsidRDefault="00532D45" w:rsidP="00A17FC0"/>
    <w:p w14:paraId="7439C069" w14:textId="77777777" w:rsidR="00532D45" w:rsidRPr="00A17FC0" w:rsidRDefault="00532D45" w:rsidP="00A17FC0">
      <w:r w:rsidRPr="00A17FC0">
        <w:t xml:space="preserve">Asimismo, el reservar la información, implica el reconocimiento por parte del </w:t>
      </w:r>
      <w:r w:rsidRPr="00A17FC0">
        <w:rPr>
          <w:rFonts w:cs="Arial"/>
          <w:b/>
        </w:rPr>
        <w:t>SUJETO OBLIGADO</w:t>
      </w:r>
      <w:r w:rsidRPr="00A17FC0">
        <w:t xml:space="preserve"> de que se encuentra dentro de sus archivos, por lo que tiene el carácter de público y sí es susceptible de entregarse, es decir, de transparentarse; empero, advierte que existen causas presentes que impiden la publicidad de la información durante cierto periodo de tiempo.</w:t>
      </w:r>
    </w:p>
    <w:p w14:paraId="2B075ED4" w14:textId="77777777" w:rsidR="00532D45" w:rsidRPr="00A17FC0" w:rsidRDefault="00532D45" w:rsidP="00A17FC0"/>
    <w:p w14:paraId="33D3B191" w14:textId="6F5EB140" w:rsidR="00532D45" w:rsidRPr="00A17FC0" w:rsidRDefault="00532D45" w:rsidP="00A17FC0">
      <w:r w:rsidRPr="00A17FC0">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5B4FCAF6" w14:textId="77777777" w:rsidR="00532D45" w:rsidRPr="00A17FC0" w:rsidRDefault="00532D45" w:rsidP="00A17FC0"/>
    <w:p w14:paraId="1F2A1D8E" w14:textId="1EC2CB81" w:rsidR="00532D45" w:rsidRPr="00A17FC0" w:rsidRDefault="00532D45" w:rsidP="00A17FC0">
      <w:pPr>
        <w:rPr>
          <w:bCs/>
        </w:rPr>
      </w:pPr>
      <w:r w:rsidRPr="00A17FC0">
        <w:rPr>
          <w:bCs/>
        </w:rPr>
        <w:t xml:space="preserve">Por todo lo anterior, la reserva de la información implica una clasificación, la cual debe entenderse como el proceso mediante el cual </w:t>
      </w:r>
      <w:r w:rsidRPr="00A17FC0">
        <w:rPr>
          <w:b/>
          <w:bCs/>
        </w:rPr>
        <w:t>EL SUJETO OBLIGADO</w:t>
      </w:r>
      <w:r w:rsidRPr="00A17FC0">
        <w:rPr>
          <w:bCs/>
        </w:rPr>
        <w:t xml:space="preserve"> determina que la información en su poder actualiza alguno de los supuestos conforme a las normas aplicables.</w:t>
      </w:r>
    </w:p>
    <w:p w14:paraId="2DBC906D" w14:textId="77777777" w:rsidR="00532D45" w:rsidRPr="00A17FC0" w:rsidRDefault="00532D45" w:rsidP="00A17FC0">
      <w:pPr>
        <w:rPr>
          <w:bCs/>
        </w:rPr>
      </w:pPr>
    </w:p>
    <w:p w14:paraId="35FD7626" w14:textId="12A34B4B" w:rsidR="00532D45" w:rsidRPr="00A17FC0" w:rsidRDefault="00532D45" w:rsidP="00A17FC0">
      <w:r w:rsidRPr="00A17FC0">
        <w:lastRenderedPageBreak/>
        <w:t xml:space="preserve">En tal virtud, conforme al artículo 49, fracción VIII, de la </w:t>
      </w:r>
      <w:r w:rsidRPr="00A17FC0">
        <w:rPr>
          <w:rFonts w:cs="Arial"/>
        </w:rPr>
        <w:t>Ley de Transparencia y Acceso a la Información Pública del Estado de México y Municipios</w:t>
      </w:r>
      <w:r w:rsidRPr="00A17FC0">
        <w:t>, los Comités de Transparencia tienen la atribución de aprobar, modificar o revocar la clasificación de la información</w:t>
      </w:r>
      <w:r w:rsidR="00350F76" w:rsidRPr="00A17FC0">
        <w:t>;</w:t>
      </w:r>
      <w:r w:rsidRPr="00A17FC0">
        <w:t xml:space="preserve">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A17FC0">
        <w:rPr>
          <w:b/>
        </w:rPr>
        <w:t>SUJETO OBLIGADO</w:t>
      </w:r>
      <w:r w:rsidRPr="00A17FC0">
        <w:t xml:space="preserve"> a concluir que el caso particular se ajusta al supuesto previsto por la norma legal invocada como fundamento; siendo que, además, </w:t>
      </w:r>
      <w:r w:rsidRPr="00A17FC0">
        <w:rPr>
          <w:b/>
        </w:rPr>
        <w:t>EL SUJETO OBLIGADO</w:t>
      </w:r>
      <w:r w:rsidRPr="00A17FC0">
        <w:t xml:space="preserve"> debe, en todo momento, aplicar una prueba de daño.</w:t>
      </w:r>
    </w:p>
    <w:p w14:paraId="57AA4D65" w14:textId="77777777" w:rsidR="00532D45" w:rsidRPr="00A17FC0" w:rsidRDefault="00532D45" w:rsidP="00A17FC0"/>
    <w:p w14:paraId="3B68015F" w14:textId="1D8C3857" w:rsidR="00532D45" w:rsidRPr="00A17FC0" w:rsidRDefault="00532D45" w:rsidP="00A17FC0">
      <w:r w:rsidRPr="00A17FC0">
        <w:t xml:space="preserve">Dicho lo anterior, es necesario definir a la prueba de daño como la responsabilidad de los </w:t>
      </w:r>
      <w:r w:rsidRPr="00A17FC0">
        <w:rPr>
          <w:b/>
        </w:rPr>
        <w:t>SUJETOS OBLIGADOS</w:t>
      </w:r>
      <w:r w:rsidRPr="00A17FC0">
        <w:t xml:space="preserve">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20095FA6" w14:textId="77777777" w:rsidR="00532D45" w:rsidRPr="00A17FC0" w:rsidRDefault="00532D45" w:rsidP="00A17FC0"/>
    <w:p w14:paraId="22A71762" w14:textId="77777777" w:rsidR="00532D45" w:rsidRPr="00A17FC0" w:rsidRDefault="00532D45" w:rsidP="00A17FC0">
      <w:r w:rsidRPr="00A17FC0">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F38C74A" w14:textId="77777777" w:rsidR="00532D45" w:rsidRPr="00A17FC0" w:rsidRDefault="00532D45" w:rsidP="00A17FC0"/>
    <w:p w14:paraId="40426708" w14:textId="77777777" w:rsidR="00532D45" w:rsidRPr="00A17FC0" w:rsidRDefault="00532D45" w:rsidP="00A17FC0">
      <w:pPr>
        <w:numPr>
          <w:ilvl w:val="0"/>
          <w:numId w:val="23"/>
        </w:numPr>
        <w:ind w:left="1429"/>
      </w:pPr>
      <w:r w:rsidRPr="00A17FC0">
        <w:t>Se reciba una solicitud de acceso a la información.</w:t>
      </w:r>
    </w:p>
    <w:p w14:paraId="4E776F34" w14:textId="77777777" w:rsidR="00532D45" w:rsidRPr="00A17FC0" w:rsidRDefault="00532D45" w:rsidP="00A17FC0">
      <w:pPr>
        <w:numPr>
          <w:ilvl w:val="0"/>
          <w:numId w:val="23"/>
        </w:numPr>
        <w:ind w:left="1429"/>
      </w:pPr>
      <w:r w:rsidRPr="00A17FC0">
        <w:t>Se determine mediante resolución de autoridad competente.</w:t>
      </w:r>
    </w:p>
    <w:p w14:paraId="56F1FACD" w14:textId="77777777" w:rsidR="00532D45" w:rsidRPr="00A17FC0" w:rsidRDefault="00532D45" w:rsidP="00A17FC0">
      <w:pPr>
        <w:numPr>
          <w:ilvl w:val="0"/>
          <w:numId w:val="23"/>
        </w:numPr>
        <w:ind w:left="1429"/>
      </w:pPr>
      <w:r w:rsidRPr="00A17FC0">
        <w:t>Se generen versiones públicas para dar cumplimiento a las obligaciones de transparencia previstas en la Ley.</w:t>
      </w:r>
    </w:p>
    <w:p w14:paraId="1C2F6D4E" w14:textId="77777777" w:rsidR="00532D45" w:rsidRPr="00A17FC0" w:rsidRDefault="00532D45" w:rsidP="00A17FC0">
      <w:pPr>
        <w:ind w:left="1429"/>
      </w:pPr>
    </w:p>
    <w:p w14:paraId="62811337" w14:textId="49CA2B8E" w:rsidR="00532D45" w:rsidRPr="00A17FC0" w:rsidRDefault="00532D45" w:rsidP="00A17FC0">
      <w:r w:rsidRPr="00A17FC0">
        <w:t>Situación que se robustece con lo previsto en el artículo 141 de citada Ley, que señala que las causales de reserva previstas se deberán fundar y motivar a través de la aplicación de la prueba de daño.</w:t>
      </w:r>
    </w:p>
    <w:p w14:paraId="0CCB0292" w14:textId="77777777" w:rsidR="00532D45" w:rsidRPr="00A17FC0" w:rsidRDefault="00532D45" w:rsidP="00A17FC0"/>
    <w:p w14:paraId="632E497E" w14:textId="6BF5B987" w:rsidR="00532D45" w:rsidRPr="00A17FC0" w:rsidRDefault="00532D45" w:rsidP="00A17FC0">
      <w:r w:rsidRPr="00A17FC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01C6584B" w14:textId="77777777" w:rsidR="00532D45" w:rsidRPr="00A17FC0" w:rsidRDefault="00532D45" w:rsidP="00A17FC0"/>
    <w:p w14:paraId="3135EFD7" w14:textId="77777777" w:rsidR="00532D45" w:rsidRPr="00A17FC0" w:rsidRDefault="00532D45" w:rsidP="00A17FC0">
      <w:pPr>
        <w:numPr>
          <w:ilvl w:val="0"/>
          <w:numId w:val="24"/>
        </w:numPr>
        <w:ind w:left="1429"/>
      </w:pPr>
      <w:r w:rsidRPr="00A17FC0">
        <w:t>La divulgación de la información representa un riesgo real, demostrable e identificable del perjuicio significativo al interés público o a la seguridad pública;</w:t>
      </w:r>
    </w:p>
    <w:p w14:paraId="7D3EE698" w14:textId="77777777" w:rsidR="00532D45" w:rsidRPr="00A17FC0" w:rsidRDefault="00532D45" w:rsidP="00A17FC0">
      <w:pPr>
        <w:numPr>
          <w:ilvl w:val="0"/>
          <w:numId w:val="24"/>
        </w:numPr>
        <w:ind w:left="1429"/>
      </w:pPr>
      <w:r w:rsidRPr="00A17FC0">
        <w:t>El riesgo de perjuicio que supondría la divulgación supera el interés público general de que se difunda; y</w:t>
      </w:r>
    </w:p>
    <w:p w14:paraId="71213DBE" w14:textId="77777777" w:rsidR="00532D45" w:rsidRPr="00A17FC0" w:rsidRDefault="00532D45" w:rsidP="00A17FC0">
      <w:pPr>
        <w:numPr>
          <w:ilvl w:val="0"/>
          <w:numId w:val="24"/>
        </w:numPr>
        <w:ind w:left="1429"/>
      </w:pPr>
      <w:r w:rsidRPr="00A17FC0">
        <w:t xml:space="preserve">La limitación se adecua al principio de proporcionalidad y representa el medio menos restrictivo disponible para evitar el perjuicio. </w:t>
      </w:r>
    </w:p>
    <w:p w14:paraId="234A8ADA" w14:textId="77777777" w:rsidR="00532D45" w:rsidRPr="00A17FC0" w:rsidRDefault="00532D45" w:rsidP="00A17FC0">
      <w:pPr>
        <w:ind w:left="1429"/>
      </w:pPr>
    </w:p>
    <w:p w14:paraId="7DBD852A" w14:textId="77777777" w:rsidR="00532D45" w:rsidRPr="00A17FC0" w:rsidRDefault="00532D45" w:rsidP="00A17FC0">
      <w:pPr>
        <w:rPr>
          <w:rFonts w:eastAsia="Calibri" w:cs="Arial"/>
        </w:rPr>
      </w:pPr>
      <w:r w:rsidRPr="00A17FC0">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AAA9065" w14:textId="77777777" w:rsidR="00532D45" w:rsidRPr="00A17FC0" w:rsidRDefault="00532D45" w:rsidP="00A17FC0">
      <w:pPr>
        <w:rPr>
          <w:rFonts w:eastAsia="Calibri" w:cs="Arial"/>
        </w:rPr>
      </w:pPr>
    </w:p>
    <w:p w14:paraId="2C726183" w14:textId="77777777" w:rsidR="00532D45" w:rsidRPr="00A17FC0" w:rsidRDefault="00532D45" w:rsidP="00A17FC0">
      <w:pPr>
        <w:rPr>
          <w:rFonts w:eastAsia="Calibri" w:cs="Arial"/>
          <w:bCs/>
        </w:rPr>
      </w:pPr>
      <w:r w:rsidRPr="00A17FC0">
        <w:rPr>
          <w:rFonts w:eastAsia="Calibri" w:cs="Arial"/>
        </w:rPr>
        <w:t>Lo anterior encuentra sustento en la Tesis de la Décima Época, publicada en la Gaceta del Semanario Judicial de la Federación, sección Tribunales Colegiados de Circuito, Libro 5, de fecha abril de 2014, pág. 1523, Registro, 2, 006,299. I.1o.A.E.3 K (10a.)</w:t>
      </w:r>
      <w:r w:rsidRPr="00A17FC0">
        <w:rPr>
          <w:rFonts w:eastAsia="Arial Unicode MS" w:cs="Arial"/>
        </w:rPr>
        <w:t>,</w:t>
      </w:r>
      <w:r w:rsidRPr="00A17FC0">
        <w:rPr>
          <w:rFonts w:eastAsia="Calibri" w:cs="Arial"/>
          <w:bCs/>
        </w:rPr>
        <w:t xml:space="preserve"> que literalmente señala:</w:t>
      </w:r>
    </w:p>
    <w:p w14:paraId="3B13AADE" w14:textId="77777777" w:rsidR="00532D45" w:rsidRPr="00A17FC0" w:rsidRDefault="00532D45" w:rsidP="00A17FC0">
      <w:pPr>
        <w:rPr>
          <w:rFonts w:eastAsia="Calibri" w:cs="Arial"/>
        </w:rPr>
      </w:pPr>
    </w:p>
    <w:p w14:paraId="7C8EDD0A" w14:textId="77777777" w:rsidR="00532D45" w:rsidRPr="00A17FC0" w:rsidRDefault="00532D45" w:rsidP="00A17FC0">
      <w:pPr>
        <w:spacing w:line="240" w:lineRule="auto"/>
        <w:ind w:left="851" w:right="899"/>
        <w:rPr>
          <w:rFonts w:eastAsia="Calibri"/>
          <w:i/>
          <w:szCs w:val="22"/>
        </w:rPr>
      </w:pPr>
      <w:r w:rsidRPr="00A17FC0">
        <w:rPr>
          <w:rFonts w:eastAsia="Calibri"/>
          <w:i/>
          <w:szCs w:val="22"/>
        </w:rPr>
        <w:t>“</w:t>
      </w:r>
      <w:r w:rsidRPr="00A17FC0">
        <w:rPr>
          <w:rFonts w:eastAsia="Calibri"/>
          <w:b/>
          <w:i/>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A17FC0">
        <w:rPr>
          <w:rFonts w:eastAsia="Calibri"/>
          <w:i/>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0FC2B309" w14:textId="77777777" w:rsidR="00532D45" w:rsidRPr="00A17FC0" w:rsidRDefault="00532D45" w:rsidP="00A17FC0">
      <w:pPr>
        <w:ind w:left="851" w:right="899"/>
        <w:rPr>
          <w:rFonts w:eastAsia="Calibri" w:cs="Arial"/>
          <w:i/>
          <w:szCs w:val="22"/>
        </w:rPr>
      </w:pPr>
    </w:p>
    <w:p w14:paraId="3B5B110C" w14:textId="4CDB732B" w:rsidR="00532D45" w:rsidRPr="00A17FC0" w:rsidRDefault="00532D45" w:rsidP="00A17FC0">
      <w:pPr>
        <w:rPr>
          <w:b/>
        </w:rPr>
      </w:pPr>
      <w:r w:rsidRPr="00A17FC0">
        <w:t xml:space="preserve">Por lo que, podemos advertir que la prueba de daño realizada por </w:t>
      </w:r>
      <w:r w:rsidRPr="00A17FC0">
        <w:rPr>
          <w:b/>
        </w:rPr>
        <w:t>EL SUJETO OBLIGADO</w:t>
      </w:r>
      <w:r w:rsidRPr="00A17FC0">
        <w:t xml:space="preserve"> cobra relevancia puesto </w:t>
      </w:r>
      <w:r w:rsidRPr="00A17FC0">
        <w:rPr>
          <w:b/>
        </w:rPr>
        <w:t>que sí ésta no arroja resultados contundentes sobre un posible peligro, deberá de publicarse la información.</w:t>
      </w:r>
    </w:p>
    <w:p w14:paraId="2FA9DCB7" w14:textId="77777777" w:rsidR="00532D45" w:rsidRPr="00A17FC0" w:rsidRDefault="00532D45" w:rsidP="00A17FC0"/>
    <w:p w14:paraId="22852CC7" w14:textId="77777777" w:rsidR="00532D45" w:rsidRPr="00A17FC0" w:rsidRDefault="00532D45" w:rsidP="00A17FC0">
      <w:r w:rsidRPr="00A17FC0">
        <w:lastRenderedPageBreak/>
        <w:t xml:space="preserve">Siendo que, los </w:t>
      </w:r>
      <w:r w:rsidRPr="00A17FC0">
        <w:rPr>
          <w:b/>
        </w:rPr>
        <w:t>SUJETOS OBLIGADOS</w:t>
      </w:r>
      <w:r w:rsidRPr="00A17FC0">
        <w:t xml:space="preserve">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6A138F07" w14:textId="77777777" w:rsidR="00532D45" w:rsidRPr="00A17FC0" w:rsidRDefault="00532D45" w:rsidP="00A17FC0"/>
    <w:p w14:paraId="0B62FD5A" w14:textId="77777777" w:rsidR="00532D45" w:rsidRPr="00A17FC0" w:rsidRDefault="00532D45" w:rsidP="00A17FC0">
      <w:r w:rsidRPr="00A17FC0">
        <w:t xml:space="preserve">Asimismo, los </w:t>
      </w:r>
      <w:r w:rsidRPr="00A17FC0">
        <w:rPr>
          <w:b/>
        </w:rPr>
        <w:t>SUJETOS OBLIGADOS</w:t>
      </w:r>
      <w:r w:rsidRPr="00A17FC0">
        <w:t xml:space="preserve"> no pueden emitir acuerdos de carácter general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6F9E1832" w14:textId="77777777" w:rsidR="00532D45" w:rsidRPr="00A17FC0" w:rsidRDefault="00532D45" w:rsidP="00A17FC0"/>
    <w:p w14:paraId="1F132057" w14:textId="77777777" w:rsidR="00532D45" w:rsidRPr="00A17FC0" w:rsidRDefault="00532D45" w:rsidP="00A17FC0">
      <w:r w:rsidRPr="00A17FC0">
        <w:t xml:space="preserve">De este modo, es necesario que </w:t>
      </w:r>
      <w:r w:rsidRPr="00A17FC0">
        <w:rPr>
          <w:b/>
        </w:rPr>
        <w:t>EL SUJETO OBLIGADO</w:t>
      </w:r>
      <w:r w:rsidRPr="00A17FC0">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3BCC6BEB" w14:textId="77777777" w:rsidR="00532D45" w:rsidRPr="00A17FC0" w:rsidRDefault="00532D45" w:rsidP="00A17FC0"/>
    <w:p w14:paraId="2C54E6B2" w14:textId="77777777" w:rsidR="00532D45" w:rsidRPr="00A17FC0" w:rsidRDefault="00532D45" w:rsidP="00A17FC0">
      <w:r w:rsidRPr="00A17FC0">
        <w:t xml:space="preserve">Aunado a lo anterior, es importante señalar el contenido del numeral Octavo de los Lineamientos Generales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w:t>
      </w:r>
      <w:r w:rsidRPr="00A17FC0">
        <w:lastRenderedPageBreak/>
        <w:t>reservada, así como especificando las razones o circunstancias especiales que lo llevaron a concluir que el caso particular se ajusta al supuesto previsto por la norma legal invocada como fundamento.</w:t>
      </w:r>
    </w:p>
    <w:p w14:paraId="502309B6" w14:textId="77777777" w:rsidR="00532D45" w:rsidRPr="00A17FC0" w:rsidRDefault="00532D45" w:rsidP="00A17FC0"/>
    <w:p w14:paraId="6B387D28" w14:textId="77777777" w:rsidR="00532D45" w:rsidRPr="00A17FC0" w:rsidRDefault="00532D45" w:rsidP="00A17FC0">
      <w:r w:rsidRPr="00A17FC0">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712652E7" w14:textId="77777777" w:rsidR="00532D45" w:rsidRPr="00A17FC0" w:rsidRDefault="00532D45" w:rsidP="00A17FC0"/>
    <w:p w14:paraId="66474CFF" w14:textId="77777777" w:rsidR="00532D45" w:rsidRPr="00A17FC0" w:rsidRDefault="00532D45" w:rsidP="00A17FC0">
      <w:pPr>
        <w:rPr>
          <w:rFonts w:cs="Arial"/>
        </w:rPr>
      </w:pPr>
      <w:r w:rsidRPr="00A17FC0">
        <w:rPr>
          <w:rFonts w:cs="Arial"/>
        </w:rPr>
        <w:t>Por tanto, la fundamentación y motivación consiste en la obligación que tiene todo ente público de expresar los preceptos jurídicos aplicables al asunto motivo del acto y las razones o argumentos de su actuar.</w:t>
      </w:r>
    </w:p>
    <w:p w14:paraId="5861ADD3" w14:textId="77777777" w:rsidR="00532D45" w:rsidRPr="00A17FC0" w:rsidRDefault="00532D45" w:rsidP="00A17FC0">
      <w:pPr>
        <w:rPr>
          <w:rFonts w:cs="Arial"/>
        </w:rPr>
      </w:pPr>
    </w:p>
    <w:p w14:paraId="365653AA" w14:textId="77777777" w:rsidR="00532D45" w:rsidRPr="00A17FC0" w:rsidRDefault="00532D45" w:rsidP="00A17FC0">
      <w:pPr>
        <w:rPr>
          <w:rFonts w:cs="Arial"/>
        </w:rPr>
      </w:pPr>
      <w:r w:rsidRPr="00A17FC0">
        <w:rPr>
          <w:rFonts w:cs="Arial"/>
        </w:rPr>
        <w:t>Al respecto, el máximo tribunal del país ha establecido jurisprudencia respecto a qué debe entenderse por fundamentación y motivación, en los siguientes términos:</w:t>
      </w:r>
    </w:p>
    <w:p w14:paraId="28D47CB2" w14:textId="77777777" w:rsidR="00532D45" w:rsidRPr="00A17FC0" w:rsidRDefault="00532D45" w:rsidP="00A17FC0">
      <w:pPr>
        <w:rPr>
          <w:rFonts w:cs="Arial"/>
        </w:rPr>
      </w:pPr>
    </w:p>
    <w:p w14:paraId="7AC08DA1" w14:textId="77777777" w:rsidR="00532D45" w:rsidRPr="00A17FC0" w:rsidRDefault="00532D45" w:rsidP="00A17FC0">
      <w:pPr>
        <w:spacing w:line="240" w:lineRule="auto"/>
        <w:ind w:left="851" w:right="899"/>
        <w:contextualSpacing/>
        <w:rPr>
          <w:rFonts w:cs="Arial"/>
          <w:i/>
        </w:rPr>
      </w:pPr>
      <w:r w:rsidRPr="00A17FC0">
        <w:rPr>
          <w:rFonts w:cs="Arial"/>
          <w:i/>
        </w:rPr>
        <w:t>“</w:t>
      </w:r>
      <w:r w:rsidRPr="00A17FC0">
        <w:rPr>
          <w:rFonts w:cs="Arial"/>
          <w:b/>
          <w:i/>
        </w:rPr>
        <w:t xml:space="preserve">FUNDAMENTACION Y MOTIVACION. </w:t>
      </w:r>
      <w:r w:rsidRPr="00A17FC0">
        <w:rPr>
          <w:rFonts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480658F1" w14:textId="77777777" w:rsidR="00532D45" w:rsidRPr="00A17FC0" w:rsidRDefault="00532D45" w:rsidP="00A17FC0">
      <w:pPr>
        <w:rPr>
          <w:rFonts w:cs="Arial"/>
          <w:i/>
        </w:rPr>
      </w:pPr>
    </w:p>
    <w:p w14:paraId="245A62D0" w14:textId="4DA15627" w:rsidR="00532D45" w:rsidRPr="00A17FC0" w:rsidRDefault="00532D45" w:rsidP="00A17FC0">
      <w:pPr>
        <w:rPr>
          <w:rFonts w:cs="Arial"/>
        </w:rPr>
      </w:pPr>
      <w:r w:rsidRPr="00A17FC0">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A8D8BEC" w14:textId="77777777" w:rsidR="00532D45" w:rsidRPr="00A17FC0" w:rsidRDefault="00532D45" w:rsidP="00A17FC0">
      <w:pPr>
        <w:rPr>
          <w:rFonts w:cs="Arial"/>
        </w:rPr>
      </w:pPr>
      <w:r w:rsidRPr="00A17FC0">
        <w:rPr>
          <w:rFonts w:cs="Arial"/>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633DA5B6" w14:textId="77777777" w:rsidR="00532D45" w:rsidRPr="00A17FC0" w:rsidRDefault="00532D45" w:rsidP="00A17FC0">
      <w:pPr>
        <w:rPr>
          <w:rFonts w:cs="Arial"/>
        </w:rPr>
      </w:pPr>
    </w:p>
    <w:p w14:paraId="4F0B342C" w14:textId="77777777" w:rsidR="00532D45" w:rsidRPr="00A17FC0" w:rsidRDefault="00532D45" w:rsidP="00A17FC0">
      <w:pPr>
        <w:spacing w:line="240" w:lineRule="auto"/>
        <w:ind w:left="851" w:right="899"/>
        <w:contextualSpacing/>
        <w:rPr>
          <w:rFonts w:cs="Arial"/>
          <w:i/>
        </w:rPr>
      </w:pPr>
      <w:r w:rsidRPr="00A17FC0">
        <w:rPr>
          <w:rFonts w:cs="Arial"/>
          <w:b/>
          <w:i/>
        </w:rPr>
        <w:t>“FUNDAMENTACIÓN Y MOTIVACIÓN. EL ASPECTO FORMAL DE LA GARANTÍA Y SU FINALIDAD SE TRADUCEN EN EXPLICAR, JUSTIFICAR, POSIBILITAR LA DEFENSA Y COMUNICAR LA DECISIÓN</w:t>
      </w:r>
      <w:r w:rsidRPr="00A17FC0">
        <w:rPr>
          <w:rFonts w:cs="Arial"/>
          <w:i/>
        </w:rPr>
        <w:t xml:space="preserve">. El contenido formal de la garantía de legalidad prevista en el artículo 16 constitucional relativa a la </w:t>
      </w:r>
      <w:r w:rsidRPr="00A17FC0">
        <w:rPr>
          <w:rFonts w:cs="Arial"/>
          <w:b/>
          <w:i/>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A17FC0">
        <w:rPr>
          <w:rFonts w:cs="Arial"/>
          <w:i/>
        </w:rPr>
        <w:t xml:space="preserve">. Por tanto, </w:t>
      </w:r>
      <w:r w:rsidRPr="00A17FC0">
        <w:rPr>
          <w:rFonts w:cs="Arial"/>
          <w:b/>
          <w:i/>
        </w:rPr>
        <w:t>no basta que el acto de autoridad apenas observe una motivación pro forma pero de una manera incongruente, insuficiente o imprecisa</w:t>
      </w:r>
      <w:r w:rsidRPr="00A17FC0">
        <w:rPr>
          <w:rFonts w:cs="Arial"/>
          <w:i/>
        </w:rPr>
        <w:t>, que impida la finalidad del conocimiento, comprobación y defensa pertinente</w:t>
      </w:r>
      <w:r w:rsidRPr="00A17FC0">
        <w:rPr>
          <w:rFonts w:cs="Arial"/>
          <w:b/>
          <w:i/>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A17FC0">
        <w:rPr>
          <w:rFonts w:cs="Arial"/>
          <w:i/>
        </w:rPr>
        <w:t>.”(Sic)</w:t>
      </w:r>
    </w:p>
    <w:p w14:paraId="7BDD5BE4" w14:textId="77777777" w:rsidR="00532D45" w:rsidRPr="00A17FC0" w:rsidRDefault="00532D45" w:rsidP="00A17FC0">
      <w:pPr>
        <w:rPr>
          <w:rFonts w:cs="Arial"/>
          <w:i/>
        </w:rPr>
      </w:pPr>
    </w:p>
    <w:p w14:paraId="761B26D9" w14:textId="19DE0DAB" w:rsidR="00532D45" w:rsidRPr="00A17FC0" w:rsidRDefault="00532D45" w:rsidP="00A17FC0">
      <w:pPr>
        <w:rPr>
          <w:rFonts w:cs="Arial"/>
        </w:rPr>
      </w:pPr>
      <w:r w:rsidRPr="00A17FC0">
        <w:rPr>
          <w:rFonts w:cs="Arial"/>
        </w:rPr>
        <w:t>En consecuencia, la fundamentación y motivación implica que</w:t>
      </w:r>
      <w:r w:rsidR="00350F76" w:rsidRPr="00A17FC0">
        <w:rPr>
          <w:rFonts w:cs="Arial"/>
        </w:rPr>
        <w:t>,</w:t>
      </w:r>
      <w:r w:rsidRPr="00A17FC0">
        <w:rPr>
          <w:rFonts w:cs="Arial"/>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AAE37C4" w14:textId="77777777" w:rsidR="00532D45" w:rsidRPr="00A17FC0" w:rsidRDefault="00532D45" w:rsidP="00A17FC0">
      <w:pPr>
        <w:rPr>
          <w:rFonts w:cs="Arial"/>
        </w:rPr>
      </w:pPr>
    </w:p>
    <w:p w14:paraId="589E0117" w14:textId="7EECFC15" w:rsidR="00532D45" w:rsidRPr="00A17FC0" w:rsidRDefault="00532D45" w:rsidP="00A17FC0">
      <w:pPr>
        <w:rPr>
          <w:rFonts w:cs="Arial"/>
        </w:rPr>
      </w:pPr>
      <w:r w:rsidRPr="00A17FC0">
        <w:rPr>
          <w:bCs/>
        </w:rPr>
        <w:lastRenderedPageBreak/>
        <w:t xml:space="preserve">Atento a lo anterior, </w:t>
      </w:r>
      <w:r w:rsidRPr="00A17FC0">
        <w:rPr>
          <w:rFonts w:cs="Arial"/>
          <w:lang w:eastAsia="es-MX"/>
        </w:rPr>
        <w:t>es necesario hacer hincapié</w:t>
      </w:r>
      <w:r w:rsidR="00350F76" w:rsidRPr="00A17FC0">
        <w:rPr>
          <w:rFonts w:cs="Arial"/>
          <w:lang w:eastAsia="es-MX"/>
        </w:rPr>
        <w:t xml:space="preserve"> en</w:t>
      </w:r>
      <w:r w:rsidRPr="00A17FC0">
        <w:rPr>
          <w:rFonts w:cs="Arial"/>
          <w:lang w:eastAsia="es-MX"/>
        </w:rPr>
        <w:t xml:space="preserve"> que</w:t>
      </w:r>
      <w:r w:rsidR="00350F76" w:rsidRPr="00A17FC0">
        <w:rPr>
          <w:rFonts w:cs="Arial"/>
          <w:lang w:eastAsia="es-MX"/>
        </w:rPr>
        <w:t>,</w:t>
      </w:r>
      <w:r w:rsidRPr="00A17FC0">
        <w:rPr>
          <w:rFonts w:cs="Arial"/>
          <w:lang w:eastAsia="es-MX"/>
        </w:rPr>
        <w:t xml:space="preserve"> para clasificar la información </w:t>
      </w:r>
      <w:r w:rsidRPr="00A17FC0">
        <w:rPr>
          <w:rFonts w:cs="Arial"/>
        </w:rPr>
        <w:t xml:space="preserve">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409CB39C" w14:textId="77777777" w:rsidR="00532D45" w:rsidRPr="00A17FC0" w:rsidRDefault="00532D45" w:rsidP="00A17FC0"/>
    <w:p w14:paraId="56A342DC" w14:textId="0AF3F3B7" w:rsidR="00532D45" w:rsidRPr="00A17FC0" w:rsidRDefault="00532D45" w:rsidP="00A17FC0">
      <w:pPr>
        <w:rPr>
          <w:rFonts w:eastAsia="Palatino Linotype" w:cs="Palatino Linotype"/>
        </w:rPr>
      </w:pPr>
      <w:r w:rsidRPr="00A17FC0">
        <w:rPr>
          <w:rFonts w:cs="Arial"/>
          <w:lang w:eastAsia="es-MX"/>
        </w:rPr>
        <w:t xml:space="preserve">En ese contexto, </w:t>
      </w:r>
      <w:r w:rsidRPr="00A17FC0">
        <w:rPr>
          <w:rFonts w:eastAsia="Palatino Linotype" w:cs="Palatino Linotype"/>
        </w:rPr>
        <w:t>resulta necesario analizar el Acuerdo de Reserva</w:t>
      </w:r>
      <w:r w:rsidR="008E46D6" w:rsidRPr="00A17FC0">
        <w:rPr>
          <w:rFonts w:eastAsia="Palatino Linotype" w:cs="Palatino Linotype"/>
        </w:rPr>
        <w:t xml:space="preserve"> y la prueba de daño, como documentos anexos del acta en donde se aprueba la clasificación de la reserva de información</w:t>
      </w:r>
      <w:r w:rsidRPr="00A17FC0">
        <w:rPr>
          <w:rFonts w:eastAsia="Palatino Linotype" w:cs="Palatino Linotype"/>
        </w:rPr>
        <w:t xml:space="preserve">, a fin de establecer si el Comité de Transparencia cumplió cabalmente con las formalidades referidas anteriormente: </w:t>
      </w:r>
    </w:p>
    <w:p w14:paraId="5048CDEF" w14:textId="77777777" w:rsidR="00532D45" w:rsidRPr="00A17FC0" w:rsidRDefault="00532D45" w:rsidP="00A17FC0">
      <w:pPr>
        <w:rPr>
          <w:bCs/>
        </w:rPr>
      </w:pPr>
    </w:p>
    <w:tbl>
      <w:tblPr>
        <w:tblW w:w="932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696"/>
        <w:gridCol w:w="6090"/>
      </w:tblGrid>
      <w:tr w:rsidR="00A17FC0" w:rsidRPr="00A17FC0" w14:paraId="57D683AC" w14:textId="77777777" w:rsidTr="00F66FCA">
        <w:tc>
          <w:tcPr>
            <w:tcW w:w="1535" w:type="dxa"/>
            <w:tcBorders>
              <w:top w:val="nil"/>
              <w:left w:val="nil"/>
            </w:tcBorders>
          </w:tcPr>
          <w:p w14:paraId="141125C4" w14:textId="77777777" w:rsidR="00532D45" w:rsidRPr="00A17FC0" w:rsidRDefault="00532D45" w:rsidP="00A17FC0">
            <w:pPr>
              <w:pBdr>
                <w:top w:val="nil"/>
                <w:left w:val="nil"/>
                <w:bottom w:val="nil"/>
                <w:right w:val="nil"/>
                <w:between w:val="nil"/>
              </w:pBdr>
              <w:ind w:left="47"/>
              <w:rPr>
                <w:rFonts w:eastAsia="Palatino Linotype" w:cs="Palatino Linotype"/>
                <w:b/>
                <w:szCs w:val="22"/>
              </w:rPr>
            </w:pPr>
          </w:p>
        </w:tc>
        <w:tc>
          <w:tcPr>
            <w:tcW w:w="1696" w:type="dxa"/>
            <w:tcBorders>
              <w:bottom w:val="single" w:sz="4" w:space="0" w:color="000000"/>
            </w:tcBorders>
            <w:shd w:val="clear" w:color="auto" w:fill="BFBFBF"/>
            <w:vAlign w:val="bottom"/>
          </w:tcPr>
          <w:p w14:paraId="70E27ECE" w14:textId="77777777" w:rsidR="00532D45" w:rsidRPr="00A17FC0" w:rsidRDefault="00532D45" w:rsidP="00A17FC0">
            <w:pPr>
              <w:pBdr>
                <w:top w:val="nil"/>
                <w:left w:val="nil"/>
                <w:bottom w:val="nil"/>
                <w:right w:val="nil"/>
                <w:between w:val="nil"/>
              </w:pBdr>
              <w:ind w:left="47"/>
              <w:jc w:val="center"/>
              <w:rPr>
                <w:rFonts w:eastAsia="Palatino Linotype" w:cs="Palatino Linotype"/>
                <w:b/>
                <w:szCs w:val="22"/>
              </w:rPr>
            </w:pPr>
            <w:r w:rsidRPr="00A17FC0">
              <w:rPr>
                <w:rFonts w:eastAsia="Palatino Linotype" w:cs="Palatino Linotype"/>
                <w:b/>
                <w:szCs w:val="22"/>
              </w:rPr>
              <w:t>Cumplió:</w:t>
            </w:r>
          </w:p>
        </w:tc>
        <w:tc>
          <w:tcPr>
            <w:tcW w:w="6090" w:type="dxa"/>
            <w:tcBorders>
              <w:bottom w:val="single" w:sz="4" w:space="0" w:color="000000"/>
            </w:tcBorders>
            <w:shd w:val="clear" w:color="auto" w:fill="BFBFBF"/>
            <w:vAlign w:val="bottom"/>
          </w:tcPr>
          <w:p w14:paraId="3C27A44A" w14:textId="77777777" w:rsidR="00532D45" w:rsidRPr="00A17FC0" w:rsidRDefault="00532D45" w:rsidP="00A17FC0">
            <w:pPr>
              <w:pBdr>
                <w:top w:val="nil"/>
                <w:left w:val="nil"/>
                <w:bottom w:val="nil"/>
                <w:right w:val="nil"/>
                <w:between w:val="nil"/>
              </w:pBdr>
              <w:ind w:left="47"/>
              <w:jc w:val="center"/>
              <w:rPr>
                <w:rFonts w:eastAsia="Palatino Linotype" w:cs="Palatino Linotype"/>
                <w:b/>
                <w:szCs w:val="22"/>
              </w:rPr>
            </w:pPr>
            <w:r w:rsidRPr="00A17FC0">
              <w:rPr>
                <w:rFonts w:eastAsia="Palatino Linotype" w:cs="Palatino Linotype"/>
                <w:b/>
                <w:szCs w:val="22"/>
              </w:rPr>
              <w:t>Contenido</w:t>
            </w:r>
          </w:p>
        </w:tc>
      </w:tr>
      <w:tr w:rsidR="00A17FC0" w:rsidRPr="00A17FC0" w14:paraId="14B15192" w14:textId="77777777" w:rsidTr="00F66FCA">
        <w:tc>
          <w:tcPr>
            <w:tcW w:w="1535" w:type="dxa"/>
            <w:vAlign w:val="center"/>
          </w:tcPr>
          <w:p w14:paraId="5B8640B0"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t>Número de folio de la solicitud</w:t>
            </w:r>
          </w:p>
        </w:tc>
        <w:tc>
          <w:tcPr>
            <w:tcW w:w="1696" w:type="dxa"/>
            <w:tcBorders>
              <w:top w:val="single" w:sz="4" w:space="0" w:color="000000"/>
            </w:tcBorders>
            <w:vAlign w:val="center"/>
          </w:tcPr>
          <w:p w14:paraId="486C8CA9" w14:textId="77777777" w:rsidR="00532D45" w:rsidRPr="00A17FC0" w:rsidRDefault="00532D45" w:rsidP="00A17FC0">
            <w:pPr>
              <w:ind w:left="47"/>
              <w:jc w:val="center"/>
              <w:rPr>
                <w:rFonts w:eastAsia="Palatino Linotype" w:cs="Palatino Linotype"/>
                <w:b/>
                <w:szCs w:val="22"/>
              </w:rPr>
            </w:pPr>
            <w:r w:rsidRPr="00A17FC0">
              <w:rPr>
                <w:rFonts w:eastAsia="Palatino Linotype" w:cs="Palatino Linotype"/>
                <w:b/>
                <w:szCs w:val="22"/>
              </w:rPr>
              <w:t>Sí</w:t>
            </w:r>
          </w:p>
        </w:tc>
        <w:tc>
          <w:tcPr>
            <w:tcW w:w="6090" w:type="dxa"/>
            <w:tcBorders>
              <w:top w:val="single" w:sz="4" w:space="0" w:color="000000"/>
            </w:tcBorders>
            <w:vAlign w:val="center"/>
          </w:tcPr>
          <w:p w14:paraId="075CF861" w14:textId="5DC5124A" w:rsidR="00532D45" w:rsidRPr="00A17FC0" w:rsidRDefault="008E46D6" w:rsidP="00A17FC0">
            <w:pPr>
              <w:ind w:left="-115"/>
              <w:jc w:val="center"/>
              <w:rPr>
                <w:rFonts w:eastAsia="Palatino Linotype" w:cs="Palatino Linotype"/>
                <w:szCs w:val="22"/>
              </w:rPr>
            </w:pPr>
            <w:r w:rsidRPr="00A17FC0">
              <w:rPr>
                <w:noProof/>
                <w:szCs w:val="22"/>
                <w:lang w:eastAsia="es-MX"/>
              </w:rPr>
              <w:drawing>
                <wp:inline distT="0" distB="0" distL="0" distR="0" wp14:anchorId="6C5B93BF" wp14:editId="103FF1B0">
                  <wp:extent cx="3729990" cy="50673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9990" cy="506730"/>
                          </a:xfrm>
                          <a:prstGeom prst="rect">
                            <a:avLst/>
                          </a:prstGeom>
                        </pic:spPr>
                      </pic:pic>
                    </a:graphicData>
                  </a:graphic>
                </wp:inline>
              </w:drawing>
            </w:r>
            <w:r w:rsidR="00532D45" w:rsidRPr="00A17FC0">
              <w:rPr>
                <w:noProof/>
                <w:szCs w:val="22"/>
                <w:lang w:eastAsia="es-MX"/>
              </w:rPr>
              <w:t xml:space="preserve"> </w:t>
            </w:r>
          </w:p>
        </w:tc>
      </w:tr>
      <w:tr w:rsidR="00A17FC0" w:rsidRPr="00A17FC0" w14:paraId="622FA379" w14:textId="77777777" w:rsidTr="00F66FCA">
        <w:trPr>
          <w:trHeight w:val="1825"/>
        </w:trPr>
        <w:tc>
          <w:tcPr>
            <w:tcW w:w="1535" w:type="dxa"/>
            <w:vAlign w:val="center"/>
          </w:tcPr>
          <w:p w14:paraId="71930795"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t>Referencia de la información solicitada</w:t>
            </w:r>
          </w:p>
        </w:tc>
        <w:tc>
          <w:tcPr>
            <w:tcW w:w="1696" w:type="dxa"/>
            <w:vAlign w:val="center"/>
          </w:tcPr>
          <w:p w14:paraId="3096CC27" w14:textId="77777777" w:rsidR="00532D45" w:rsidRPr="00A17FC0" w:rsidRDefault="00532D45" w:rsidP="00A17FC0">
            <w:pPr>
              <w:ind w:left="47"/>
              <w:jc w:val="center"/>
              <w:rPr>
                <w:rFonts w:eastAsia="Palatino Linotype" w:cs="Palatino Linotype"/>
                <w:b/>
                <w:szCs w:val="22"/>
              </w:rPr>
            </w:pPr>
            <w:r w:rsidRPr="00A17FC0">
              <w:rPr>
                <w:rFonts w:eastAsia="Palatino Linotype" w:cs="Palatino Linotype"/>
                <w:b/>
                <w:szCs w:val="22"/>
              </w:rPr>
              <w:t>Sí</w:t>
            </w:r>
          </w:p>
        </w:tc>
        <w:tc>
          <w:tcPr>
            <w:tcW w:w="6090" w:type="dxa"/>
            <w:vAlign w:val="center"/>
          </w:tcPr>
          <w:p w14:paraId="2422B2BC" w14:textId="7DBF207D" w:rsidR="00532D45" w:rsidRPr="00A17FC0" w:rsidRDefault="008E46D6" w:rsidP="00A17FC0">
            <w:pPr>
              <w:rPr>
                <w:rFonts w:eastAsia="Palatino Linotype" w:cs="Palatino Linotype"/>
                <w:b/>
                <w:szCs w:val="22"/>
              </w:rPr>
            </w:pPr>
            <w:r w:rsidRPr="00A17FC0">
              <w:rPr>
                <w:noProof/>
                <w:szCs w:val="22"/>
                <w:lang w:eastAsia="es-MX"/>
              </w:rPr>
              <w:drawing>
                <wp:inline distT="0" distB="0" distL="0" distR="0" wp14:anchorId="284E66EE" wp14:editId="62CF7454">
                  <wp:extent cx="3729990" cy="1803400"/>
                  <wp:effectExtent l="0" t="0" r="381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9990" cy="1803400"/>
                          </a:xfrm>
                          <a:prstGeom prst="rect">
                            <a:avLst/>
                          </a:prstGeom>
                        </pic:spPr>
                      </pic:pic>
                    </a:graphicData>
                  </a:graphic>
                </wp:inline>
              </w:drawing>
            </w:r>
          </w:p>
        </w:tc>
      </w:tr>
      <w:tr w:rsidR="00A17FC0" w:rsidRPr="00A17FC0" w14:paraId="76D302FC" w14:textId="77777777" w:rsidTr="00F66FCA">
        <w:tc>
          <w:tcPr>
            <w:tcW w:w="1535" w:type="dxa"/>
            <w:vAlign w:val="center"/>
          </w:tcPr>
          <w:p w14:paraId="589F363E"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lastRenderedPageBreak/>
              <w:t>Causal aplicable del artículo 113 de la Ley General, vinculándola con el Lineamiento específico del presente ordenamiento y, cuando corresponda, el supuesto normativo que expresamente le otorga el carácter de información reservada</w:t>
            </w:r>
          </w:p>
        </w:tc>
        <w:tc>
          <w:tcPr>
            <w:tcW w:w="1696" w:type="dxa"/>
            <w:vAlign w:val="center"/>
          </w:tcPr>
          <w:p w14:paraId="6EF0C7D4" w14:textId="6347ACBB" w:rsidR="00532D45" w:rsidRPr="00A17FC0" w:rsidRDefault="00C20919" w:rsidP="00A17FC0">
            <w:pPr>
              <w:ind w:left="47"/>
              <w:jc w:val="center"/>
              <w:rPr>
                <w:rFonts w:eastAsia="Palatino Linotype" w:cs="Palatino Linotype"/>
                <w:szCs w:val="22"/>
              </w:rPr>
            </w:pPr>
            <w:r w:rsidRPr="00A17FC0">
              <w:rPr>
                <w:rFonts w:eastAsia="Palatino Linotype" w:cs="Palatino Linotype"/>
                <w:b/>
                <w:szCs w:val="22"/>
              </w:rPr>
              <w:t>Parcialmente</w:t>
            </w:r>
          </w:p>
        </w:tc>
        <w:tc>
          <w:tcPr>
            <w:tcW w:w="6090" w:type="dxa"/>
            <w:vAlign w:val="center"/>
          </w:tcPr>
          <w:p w14:paraId="370EA96D" w14:textId="77777777" w:rsidR="00532D45" w:rsidRPr="00A17FC0" w:rsidRDefault="008E46D6" w:rsidP="00A17FC0">
            <w:pPr>
              <w:jc w:val="center"/>
              <w:rPr>
                <w:rFonts w:eastAsia="Palatino Linotype" w:cs="Palatino Linotype"/>
                <w:szCs w:val="22"/>
              </w:rPr>
            </w:pPr>
            <w:r w:rsidRPr="00A17FC0">
              <w:rPr>
                <w:rFonts w:eastAsia="Palatino Linotype" w:cs="Palatino Linotype"/>
                <w:noProof/>
                <w:szCs w:val="22"/>
                <w:lang w:eastAsia="es-MX"/>
              </w:rPr>
              <w:drawing>
                <wp:inline distT="0" distB="0" distL="0" distR="0" wp14:anchorId="040C7E59" wp14:editId="6E57BD86">
                  <wp:extent cx="3729990" cy="1993265"/>
                  <wp:effectExtent l="0" t="0" r="381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9990" cy="1993265"/>
                          </a:xfrm>
                          <a:prstGeom prst="rect">
                            <a:avLst/>
                          </a:prstGeom>
                        </pic:spPr>
                      </pic:pic>
                    </a:graphicData>
                  </a:graphic>
                </wp:inline>
              </w:drawing>
            </w:r>
          </w:p>
          <w:p w14:paraId="262F1205" w14:textId="7880A707" w:rsidR="008E46D6" w:rsidRPr="00A17FC0" w:rsidRDefault="008E46D6" w:rsidP="00A17FC0">
            <w:pPr>
              <w:jc w:val="center"/>
              <w:rPr>
                <w:rFonts w:eastAsia="Palatino Linotype" w:cs="Palatino Linotype"/>
                <w:szCs w:val="22"/>
              </w:rPr>
            </w:pPr>
            <w:r w:rsidRPr="00A17FC0">
              <w:rPr>
                <w:rFonts w:eastAsia="Palatino Linotype" w:cs="Palatino Linotype"/>
                <w:noProof/>
                <w:szCs w:val="22"/>
                <w:lang w:eastAsia="es-MX"/>
              </w:rPr>
              <w:drawing>
                <wp:inline distT="0" distB="0" distL="0" distR="0" wp14:anchorId="7A94BFFC" wp14:editId="37961DE9">
                  <wp:extent cx="3729990" cy="2607310"/>
                  <wp:effectExtent l="0" t="0" r="381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29990" cy="2607310"/>
                          </a:xfrm>
                          <a:prstGeom prst="rect">
                            <a:avLst/>
                          </a:prstGeom>
                        </pic:spPr>
                      </pic:pic>
                    </a:graphicData>
                  </a:graphic>
                </wp:inline>
              </w:drawing>
            </w:r>
          </w:p>
        </w:tc>
      </w:tr>
      <w:tr w:rsidR="00A17FC0" w:rsidRPr="00A17FC0" w14:paraId="31AB09C1" w14:textId="77777777" w:rsidTr="00F66FCA">
        <w:tc>
          <w:tcPr>
            <w:tcW w:w="1535" w:type="dxa"/>
            <w:vAlign w:val="center"/>
          </w:tcPr>
          <w:p w14:paraId="18266E18" w14:textId="77777777" w:rsidR="00532D45" w:rsidRPr="00A17FC0" w:rsidRDefault="00532D45" w:rsidP="00A17FC0">
            <w:pPr>
              <w:tabs>
                <w:tab w:val="left" w:pos="317"/>
              </w:tabs>
              <w:jc w:val="center"/>
              <w:rPr>
                <w:rFonts w:eastAsia="Palatino Linotype" w:cs="Palatino Linotype"/>
                <w:b/>
                <w:szCs w:val="22"/>
              </w:rPr>
            </w:pPr>
            <w:r w:rsidRPr="00A17FC0">
              <w:rPr>
                <w:rFonts w:eastAsia="Palatino Linotype" w:cs="Palatino Linotype"/>
                <w:b/>
                <w:szCs w:val="22"/>
              </w:rPr>
              <w:lastRenderedPageBreak/>
              <w:t>Fundamento y Motivación Legal</w:t>
            </w:r>
          </w:p>
        </w:tc>
        <w:tc>
          <w:tcPr>
            <w:tcW w:w="1696" w:type="dxa"/>
            <w:vAlign w:val="center"/>
          </w:tcPr>
          <w:p w14:paraId="155A3B9B" w14:textId="00CEB5A9" w:rsidR="00532D45" w:rsidRPr="00A17FC0" w:rsidRDefault="00532D45" w:rsidP="00A17FC0">
            <w:pPr>
              <w:ind w:left="47"/>
              <w:jc w:val="center"/>
              <w:rPr>
                <w:rFonts w:eastAsia="Palatino Linotype" w:cs="Palatino Linotype"/>
                <w:b/>
                <w:szCs w:val="22"/>
              </w:rPr>
            </w:pPr>
            <w:r w:rsidRPr="00A17FC0">
              <w:rPr>
                <w:rFonts w:eastAsia="Palatino Linotype" w:cs="Palatino Linotype"/>
                <w:b/>
                <w:szCs w:val="22"/>
              </w:rPr>
              <w:t>S</w:t>
            </w:r>
            <w:r w:rsidR="00350F76" w:rsidRPr="00A17FC0">
              <w:rPr>
                <w:rFonts w:eastAsia="Palatino Linotype" w:cs="Palatino Linotype"/>
                <w:b/>
                <w:szCs w:val="22"/>
              </w:rPr>
              <w:t>í</w:t>
            </w:r>
            <w:r w:rsidRPr="00A17FC0">
              <w:rPr>
                <w:rFonts w:eastAsia="Palatino Linotype" w:cs="Palatino Linotype"/>
                <w:b/>
                <w:szCs w:val="22"/>
              </w:rPr>
              <w:t xml:space="preserve"> </w:t>
            </w:r>
          </w:p>
        </w:tc>
        <w:tc>
          <w:tcPr>
            <w:tcW w:w="6090" w:type="dxa"/>
            <w:vAlign w:val="center"/>
          </w:tcPr>
          <w:p w14:paraId="643749BD" w14:textId="77777777" w:rsidR="00532D45" w:rsidRPr="00A17FC0" w:rsidRDefault="005E3AC4" w:rsidP="00A17FC0">
            <w:pPr>
              <w:rPr>
                <w:rFonts w:eastAsia="Palatino Linotype" w:cs="Palatino Linotype"/>
                <w:szCs w:val="22"/>
              </w:rPr>
            </w:pPr>
            <w:r w:rsidRPr="00A17FC0">
              <w:rPr>
                <w:rFonts w:eastAsia="Palatino Linotype" w:cs="Palatino Linotype"/>
                <w:noProof/>
                <w:szCs w:val="22"/>
                <w:lang w:eastAsia="es-MX"/>
              </w:rPr>
              <w:drawing>
                <wp:inline distT="0" distB="0" distL="0" distR="0" wp14:anchorId="728DACFD" wp14:editId="4032496A">
                  <wp:extent cx="3729990" cy="2202180"/>
                  <wp:effectExtent l="0" t="0" r="381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29990" cy="2202180"/>
                          </a:xfrm>
                          <a:prstGeom prst="rect">
                            <a:avLst/>
                          </a:prstGeom>
                        </pic:spPr>
                      </pic:pic>
                    </a:graphicData>
                  </a:graphic>
                </wp:inline>
              </w:drawing>
            </w:r>
          </w:p>
          <w:p w14:paraId="41AD5538" w14:textId="2321A3E8" w:rsidR="005E3AC4" w:rsidRPr="00A17FC0" w:rsidRDefault="005E3AC4" w:rsidP="00A17FC0">
            <w:pPr>
              <w:rPr>
                <w:rFonts w:eastAsia="Palatino Linotype" w:cs="Palatino Linotype"/>
                <w:szCs w:val="22"/>
              </w:rPr>
            </w:pPr>
            <w:r w:rsidRPr="00A17FC0">
              <w:rPr>
                <w:rFonts w:eastAsia="Palatino Linotype" w:cs="Palatino Linotype"/>
                <w:noProof/>
                <w:szCs w:val="22"/>
                <w:lang w:eastAsia="es-MX"/>
              </w:rPr>
              <w:drawing>
                <wp:inline distT="0" distB="0" distL="0" distR="0" wp14:anchorId="5C99B008" wp14:editId="0F02F7F4">
                  <wp:extent cx="3729990" cy="628650"/>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29990" cy="628650"/>
                          </a:xfrm>
                          <a:prstGeom prst="rect">
                            <a:avLst/>
                          </a:prstGeom>
                        </pic:spPr>
                      </pic:pic>
                    </a:graphicData>
                  </a:graphic>
                </wp:inline>
              </w:drawing>
            </w:r>
          </w:p>
        </w:tc>
      </w:tr>
      <w:tr w:rsidR="00A17FC0" w:rsidRPr="00A17FC0" w14:paraId="279C6F0C" w14:textId="77777777" w:rsidTr="00F66FCA">
        <w:tc>
          <w:tcPr>
            <w:tcW w:w="9321" w:type="dxa"/>
            <w:gridSpan w:val="3"/>
            <w:shd w:val="clear" w:color="auto" w:fill="D9D9D9"/>
            <w:vAlign w:val="center"/>
          </w:tcPr>
          <w:p w14:paraId="09A204BD" w14:textId="77777777" w:rsidR="00532D45" w:rsidRPr="00A17FC0" w:rsidRDefault="00532D45" w:rsidP="00A17FC0">
            <w:pPr>
              <w:pBdr>
                <w:top w:val="nil"/>
                <w:left w:val="nil"/>
                <w:bottom w:val="nil"/>
                <w:right w:val="nil"/>
                <w:between w:val="nil"/>
              </w:pBdr>
              <w:ind w:left="29" w:firstLine="18"/>
              <w:jc w:val="center"/>
              <w:rPr>
                <w:rFonts w:eastAsia="Palatino Linotype" w:cs="Palatino Linotype"/>
                <w:szCs w:val="22"/>
              </w:rPr>
            </w:pPr>
            <w:r w:rsidRPr="00A17FC0">
              <w:rPr>
                <w:rFonts w:eastAsia="Palatino Linotype" w:cs="Palatino Linotype"/>
                <w:b/>
                <w:szCs w:val="22"/>
              </w:rPr>
              <w:t>Prueba de Daño</w:t>
            </w:r>
          </w:p>
        </w:tc>
      </w:tr>
      <w:tr w:rsidR="00A17FC0" w:rsidRPr="00A17FC0" w14:paraId="07257791" w14:textId="77777777" w:rsidTr="00F66FCA">
        <w:trPr>
          <w:trHeight w:val="2218"/>
        </w:trPr>
        <w:tc>
          <w:tcPr>
            <w:tcW w:w="1535" w:type="dxa"/>
            <w:vAlign w:val="center"/>
          </w:tcPr>
          <w:p w14:paraId="375CF587"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t>Riesgo Real, Demostrable e Identificable</w:t>
            </w:r>
          </w:p>
          <w:p w14:paraId="0444118A"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t>(Modo, Tiempo y Lugar)</w:t>
            </w:r>
          </w:p>
        </w:tc>
        <w:tc>
          <w:tcPr>
            <w:tcW w:w="1696" w:type="dxa"/>
            <w:vAlign w:val="center"/>
          </w:tcPr>
          <w:p w14:paraId="42619846" w14:textId="4F987A13" w:rsidR="00532D45" w:rsidRPr="00A17FC0" w:rsidRDefault="009169CF" w:rsidP="00A17FC0">
            <w:pPr>
              <w:pBdr>
                <w:top w:val="nil"/>
                <w:left w:val="nil"/>
                <w:bottom w:val="nil"/>
                <w:right w:val="nil"/>
                <w:between w:val="nil"/>
              </w:pBdr>
              <w:ind w:left="29" w:firstLine="18"/>
              <w:jc w:val="center"/>
              <w:rPr>
                <w:rFonts w:eastAsia="Palatino Linotype" w:cs="Palatino Linotype"/>
                <w:b/>
                <w:szCs w:val="22"/>
              </w:rPr>
            </w:pPr>
            <w:r w:rsidRPr="00A17FC0">
              <w:rPr>
                <w:rFonts w:eastAsia="Palatino Linotype" w:cs="Palatino Linotype"/>
                <w:b/>
                <w:szCs w:val="22"/>
              </w:rPr>
              <w:t>Parcialmente</w:t>
            </w:r>
          </w:p>
        </w:tc>
        <w:tc>
          <w:tcPr>
            <w:tcW w:w="6090" w:type="dxa"/>
            <w:vAlign w:val="center"/>
          </w:tcPr>
          <w:p w14:paraId="351B97A9" w14:textId="381A3C13" w:rsidR="00532D45" w:rsidRPr="00A17FC0" w:rsidRDefault="008E46D6" w:rsidP="00A17FC0">
            <w:pPr>
              <w:rPr>
                <w:rFonts w:eastAsia="Palatino Linotype" w:cs="Palatino Linotype"/>
                <w:szCs w:val="22"/>
              </w:rPr>
            </w:pPr>
            <w:r w:rsidRPr="00A17FC0">
              <w:rPr>
                <w:rFonts w:eastAsia="Palatino Linotype" w:cs="Palatino Linotype"/>
                <w:noProof/>
                <w:szCs w:val="22"/>
                <w:lang w:eastAsia="es-MX"/>
              </w:rPr>
              <w:drawing>
                <wp:inline distT="0" distB="0" distL="0" distR="0" wp14:anchorId="617F86D5" wp14:editId="67BDEA93">
                  <wp:extent cx="3695700" cy="33623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95700" cy="3362325"/>
                          </a:xfrm>
                          <a:prstGeom prst="rect">
                            <a:avLst/>
                          </a:prstGeom>
                        </pic:spPr>
                      </pic:pic>
                    </a:graphicData>
                  </a:graphic>
                </wp:inline>
              </w:drawing>
            </w:r>
          </w:p>
          <w:p w14:paraId="45FFF34C" w14:textId="7FEF0555" w:rsidR="00532D45" w:rsidRPr="00A17FC0" w:rsidRDefault="008E46D6" w:rsidP="00A17FC0">
            <w:pPr>
              <w:rPr>
                <w:rFonts w:eastAsia="Palatino Linotype" w:cs="Palatino Linotype"/>
                <w:szCs w:val="22"/>
              </w:rPr>
            </w:pPr>
            <w:r w:rsidRPr="00A17FC0">
              <w:rPr>
                <w:rFonts w:eastAsia="Palatino Linotype" w:cs="Palatino Linotype"/>
                <w:noProof/>
                <w:szCs w:val="22"/>
                <w:lang w:eastAsia="es-MX"/>
              </w:rPr>
              <w:lastRenderedPageBreak/>
              <w:drawing>
                <wp:inline distT="0" distB="0" distL="0" distR="0" wp14:anchorId="32A2E314" wp14:editId="2DEE46F7">
                  <wp:extent cx="3729990" cy="3245485"/>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9990" cy="3245485"/>
                          </a:xfrm>
                          <a:prstGeom prst="rect">
                            <a:avLst/>
                          </a:prstGeom>
                        </pic:spPr>
                      </pic:pic>
                    </a:graphicData>
                  </a:graphic>
                </wp:inline>
              </w:drawing>
            </w:r>
          </w:p>
        </w:tc>
      </w:tr>
      <w:tr w:rsidR="00A17FC0" w:rsidRPr="00A17FC0" w14:paraId="2A0F021E" w14:textId="77777777" w:rsidTr="00F66FCA">
        <w:trPr>
          <w:trHeight w:val="1875"/>
        </w:trPr>
        <w:tc>
          <w:tcPr>
            <w:tcW w:w="1535" w:type="dxa"/>
            <w:vAlign w:val="center"/>
          </w:tcPr>
          <w:p w14:paraId="436897B1" w14:textId="77777777" w:rsidR="00532D45" w:rsidRPr="00A17FC0" w:rsidRDefault="00532D45" w:rsidP="00A17FC0">
            <w:pPr>
              <w:jc w:val="center"/>
              <w:rPr>
                <w:rFonts w:eastAsia="Palatino Linotype" w:cs="Palatino Linotype"/>
                <w:b/>
                <w:szCs w:val="22"/>
              </w:rPr>
            </w:pPr>
            <w:r w:rsidRPr="00A17FC0">
              <w:rPr>
                <w:rFonts w:eastAsia="Palatino Linotype" w:cs="Palatino Linotype"/>
                <w:b/>
                <w:szCs w:val="22"/>
              </w:rPr>
              <w:lastRenderedPageBreak/>
              <w:t>Temporalidad de la Reserva de la información.</w:t>
            </w:r>
          </w:p>
        </w:tc>
        <w:tc>
          <w:tcPr>
            <w:tcW w:w="1696" w:type="dxa"/>
            <w:shd w:val="clear" w:color="auto" w:fill="auto"/>
            <w:vAlign w:val="center"/>
          </w:tcPr>
          <w:p w14:paraId="1E904CFA" w14:textId="28707775" w:rsidR="00532D45" w:rsidRPr="00A17FC0" w:rsidRDefault="00532D45" w:rsidP="00A17FC0">
            <w:pPr>
              <w:pBdr>
                <w:top w:val="nil"/>
                <w:left w:val="nil"/>
                <w:bottom w:val="nil"/>
                <w:right w:val="nil"/>
                <w:between w:val="nil"/>
              </w:pBdr>
              <w:ind w:left="29" w:firstLine="18"/>
              <w:jc w:val="center"/>
              <w:rPr>
                <w:rFonts w:eastAsia="Palatino Linotype" w:cs="Palatino Linotype"/>
                <w:b/>
                <w:szCs w:val="22"/>
              </w:rPr>
            </w:pPr>
            <w:r w:rsidRPr="00A17FC0">
              <w:rPr>
                <w:rFonts w:eastAsia="Palatino Linotype" w:cs="Palatino Linotype"/>
                <w:b/>
                <w:szCs w:val="22"/>
              </w:rPr>
              <w:t>S</w:t>
            </w:r>
            <w:r w:rsidR="00350F76" w:rsidRPr="00A17FC0">
              <w:rPr>
                <w:rFonts w:eastAsia="Palatino Linotype" w:cs="Palatino Linotype"/>
                <w:b/>
                <w:szCs w:val="22"/>
              </w:rPr>
              <w:t>í</w:t>
            </w:r>
          </w:p>
        </w:tc>
        <w:tc>
          <w:tcPr>
            <w:tcW w:w="6090" w:type="dxa"/>
            <w:vAlign w:val="center"/>
          </w:tcPr>
          <w:p w14:paraId="20E5C6F9" w14:textId="78D7D925" w:rsidR="00532D45" w:rsidRPr="00A17FC0" w:rsidRDefault="008E46D6" w:rsidP="00A17FC0">
            <w:pPr>
              <w:rPr>
                <w:szCs w:val="22"/>
              </w:rPr>
            </w:pPr>
            <w:r w:rsidRPr="00A17FC0">
              <w:rPr>
                <w:noProof/>
                <w:szCs w:val="22"/>
                <w:lang w:eastAsia="es-MX"/>
              </w:rPr>
              <w:drawing>
                <wp:inline distT="0" distB="0" distL="0" distR="0" wp14:anchorId="0BB269CA" wp14:editId="56911BE9">
                  <wp:extent cx="3729990" cy="643890"/>
                  <wp:effectExtent l="0" t="0" r="381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29990" cy="643890"/>
                          </a:xfrm>
                          <a:prstGeom prst="rect">
                            <a:avLst/>
                          </a:prstGeom>
                        </pic:spPr>
                      </pic:pic>
                    </a:graphicData>
                  </a:graphic>
                </wp:inline>
              </w:drawing>
            </w:r>
          </w:p>
        </w:tc>
      </w:tr>
      <w:tr w:rsidR="00532D45" w:rsidRPr="00A17FC0" w14:paraId="2EF4B386" w14:textId="77777777" w:rsidTr="00F66FCA">
        <w:trPr>
          <w:trHeight w:val="2867"/>
        </w:trPr>
        <w:tc>
          <w:tcPr>
            <w:tcW w:w="1535" w:type="dxa"/>
            <w:vAlign w:val="center"/>
          </w:tcPr>
          <w:p w14:paraId="1CD11390" w14:textId="77777777" w:rsidR="00532D45" w:rsidRPr="00A17FC0" w:rsidRDefault="00532D45" w:rsidP="00A17FC0">
            <w:pPr>
              <w:tabs>
                <w:tab w:val="left" w:pos="317"/>
              </w:tabs>
              <w:jc w:val="center"/>
              <w:rPr>
                <w:rFonts w:eastAsia="Palatino Linotype" w:cs="Palatino Linotype"/>
                <w:b/>
                <w:szCs w:val="22"/>
              </w:rPr>
            </w:pPr>
            <w:r w:rsidRPr="00A17FC0">
              <w:rPr>
                <w:rFonts w:eastAsia="Palatino Linotype" w:cs="Palatino Linotype"/>
                <w:b/>
                <w:szCs w:val="22"/>
              </w:rPr>
              <w:lastRenderedPageBreak/>
              <w:t>Autoridades competentes.</w:t>
            </w:r>
          </w:p>
        </w:tc>
        <w:tc>
          <w:tcPr>
            <w:tcW w:w="1696" w:type="dxa"/>
            <w:vAlign w:val="center"/>
          </w:tcPr>
          <w:p w14:paraId="1BE84CE9" w14:textId="77777777" w:rsidR="00532D45" w:rsidRPr="00A17FC0" w:rsidRDefault="00532D45" w:rsidP="00A17FC0">
            <w:pPr>
              <w:pBdr>
                <w:top w:val="nil"/>
                <w:left w:val="nil"/>
                <w:bottom w:val="nil"/>
                <w:right w:val="nil"/>
                <w:between w:val="nil"/>
              </w:pBdr>
              <w:ind w:left="29" w:firstLine="18"/>
              <w:jc w:val="center"/>
              <w:rPr>
                <w:rFonts w:eastAsia="Palatino Linotype" w:cs="Palatino Linotype"/>
                <w:b/>
                <w:szCs w:val="22"/>
              </w:rPr>
            </w:pPr>
            <w:r w:rsidRPr="00A17FC0">
              <w:rPr>
                <w:rFonts w:eastAsia="Palatino Linotype" w:cs="Palatino Linotype"/>
                <w:b/>
                <w:szCs w:val="22"/>
              </w:rPr>
              <w:t>Sí</w:t>
            </w:r>
          </w:p>
        </w:tc>
        <w:tc>
          <w:tcPr>
            <w:tcW w:w="6090" w:type="dxa"/>
          </w:tcPr>
          <w:p w14:paraId="39DB5911" w14:textId="07D26F63" w:rsidR="00532D45" w:rsidRPr="00A17FC0" w:rsidRDefault="005E3AC4" w:rsidP="00A17FC0">
            <w:pPr>
              <w:rPr>
                <w:szCs w:val="22"/>
              </w:rPr>
            </w:pPr>
            <w:r w:rsidRPr="00A17FC0">
              <w:rPr>
                <w:noProof/>
                <w:szCs w:val="22"/>
                <w:lang w:eastAsia="es-MX"/>
              </w:rPr>
              <w:drawing>
                <wp:inline distT="0" distB="0" distL="0" distR="0" wp14:anchorId="2F07E73B" wp14:editId="5D3E9A19">
                  <wp:extent cx="3729990" cy="2549525"/>
                  <wp:effectExtent l="0" t="0" r="381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29990" cy="2549525"/>
                          </a:xfrm>
                          <a:prstGeom prst="rect">
                            <a:avLst/>
                          </a:prstGeom>
                        </pic:spPr>
                      </pic:pic>
                    </a:graphicData>
                  </a:graphic>
                </wp:inline>
              </w:drawing>
            </w:r>
          </w:p>
        </w:tc>
      </w:tr>
    </w:tbl>
    <w:p w14:paraId="7C97E70E" w14:textId="77777777" w:rsidR="00532D45" w:rsidRPr="00A17FC0" w:rsidRDefault="00532D45" w:rsidP="00A17FC0">
      <w:pPr>
        <w:rPr>
          <w:rFonts w:cs="Arial"/>
        </w:rPr>
      </w:pPr>
    </w:p>
    <w:p w14:paraId="678D53C6" w14:textId="04E3AE27" w:rsidR="00532D45" w:rsidRPr="00A17FC0" w:rsidRDefault="005E3AC4" w:rsidP="00A17FC0">
      <w:r w:rsidRPr="00A17FC0">
        <w:t>Por lo anterior, este Órgano Garante considera que, en el caso en particular resulta aplicable la reserva de la información refe</w:t>
      </w:r>
      <w:r w:rsidR="009169CF" w:rsidRPr="00A17FC0">
        <w:t xml:space="preserve">rente al expediente solicitado bajo el argumento del curso del procedimiento para la sustanciación del soporte documental referido, sin </w:t>
      </w:r>
      <w:r w:rsidR="00163220" w:rsidRPr="00A17FC0">
        <w:t>embargo,</w:t>
      </w:r>
      <w:r w:rsidR="009169CF" w:rsidRPr="00A17FC0">
        <w:t xml:space="preserve"> del Acuerdo de Clasificación y la prueba de daño, no es posible advertir que estos cuentan con los elementos de validez suficientes para acreditar la reserva de información que se remite en calidad de respuesta.</w:t>
      </w:r>
    </w:p>
    <w:p w14:paraId="130476FF" w14:textId="77777777" w:rsidR="009169CF" w:rsidRPr="00A17FC0" w:rsidRDefault="009169CF" w:rsidP="00A17FC0"/>
    <w:p w14:paraId="601708C3" w14:textId="77777777" w:rsidR="00F674E0" w:rsidRPr="00A17FC0" w:rsidRDefault="009169CF" w:rsidP="00A17FC0">
      <w:r w:rsidRPr="00A17FC0">
        <w:t xml:space="preserve">Atento a lo anterior, es posible dilucidar que, en primera instancia la propuesta de clasificación remitida por el servidor público habilitado carece de la debida fundamentación y motivación que de sustento a la reserva de información, tomando en cuenta que de manera enunciativa mas no limitativa, es posible invocar y aplicar al caso en concreto lo dispuesto en </w:t>
      </w:r>
      <w:r w:rsidR="00F674E0" w:rsidRPr="00A17FC0">
        <w:t xml:space="preserve">el artículo </w:t>
      </w:r>
      <w:r w:rsidRPr="00A17FC0">
        <w:t xml:space="preserve"> 113 </w:t>
      </w:r>
      <w:r w:rsidR="00F674E0" w:rsidRPr="00A17FC0">
        <w:t xml:space="preserve">fracciones IX y X y numeral 140 fracción VI de la Ley de Transparencia Local, los cuales contemplan la vigilancia del debido proceso en expedientes judiciales o administrativos, por </w:t>
      </w:r>
      <w:r w:rsidR="00F674E0" w:rsidRPr="00A17FC0">
        <w:lastRenderedPageBreak/>
        <w:t xml:space="preserve">ende es posible concluir que EL SUJETO OBLIGADO no contempló todos los elementos aplicables para fortalecer la clasificación de la información como reservada. </w:t>
      </w:r>
    </w:p>
    <w:p w14:paraId="2842FB65" w14:textId="77777777" w:rsidR="00F674E0" w:rsidRPr="00A17FC0" w:rsidRDefault="00F674E0" w:rsidP="00A17FC0"/>
    <w:p w14:paraId="64F074F6" w14:textId="50C90815" w:rsidR="00F674E0" w:rsidRPr="00A17FC0" w:rsidRDefault="00F674E0" w:rsidP="00A17FC0">
      <w:r w:rsidRPr="00A17FC0">
        <w:rPr>
          <w:sz w:val="24"/>
          <w:szCs w:val="24"/>
        </w:rPr>
        <w:t xml:space="preserve">Bajo este contexto, sirve traer a colación lo que surge del Tercer Tribunal Colegiado en Materia Civil del Primer Circuito, a través de la jurisprudencia con número de registro digital </w:t>
      </w:r>
      <w:r w:rsidRPr="00A17FC0">
        <w:rPr>
          <w:b/>
          <w:sz w:val="24"/>
          <w:szCs w:val="24"/>
        </w:rPr>
        <w:t xml:space="preserve">170307 </w:t>
      </w:r>
      <w:r w:rsidRPr="00A17FC0">
        <w:rPr>
          <w:sz w:val="24"/>
          <w:szCs w:val="24"/>
        </w:rPr>
        <w:t>de la Novena Época, visible en el Semanario Judicial de la Federación y su Gaceta, Tomo XXVII, de febrero de 2008, tesis I.3o.C. J/47 en materia común, en la que establece lo siguiente:</w:t>
      </w:r>
    </w:p>
    <w:p w14:paraId="77C3E95D" w14:textId="77777777" w:rsidR="00F674E0" w:rsidRPr="00A17FC0" w:rsidRDefault="00F674E0" w:rsidP="00A17FC0">
      <w:pPr>
        <w:pStyle w:val="Citas"/>
        <w:spacing w:line="240" w:lineRule="auto"/>
        <w:rPr>
          <w:b/>
        </w:rPr>
      </w:pPr>
      <w:r w:rsidRPr="00A17FC0">
        <w:rPr>
          <w:b/>
        </w:rPr>
        <w:t>“FUNDAMENTACIÓN Y MOTIVACIÓN. LA DIFERENCIA ENTRE LA FALTA Y LA INDEBIDA SATISFACCIÓN DE AMBOS REQUISITOS CONSTITUCIONALES TRASCIENDE AL ORDEN EN QUE DEBEN ESTUDIARSE LOS CONCEPTOS DE VIOLACIÓN Y A LOS EFECTOS DEL FALLO PROTECTOR.</w:t>
      </w:r>
    </w:p>
    <w:p w14:paraId="31DC997C" w14:textId="77777777" w:rsidR="00F674E0" w:rsidRPr="00A17FC0" w:rsidRDefault="00F674E0" w:rsidP="00A17FC0">
      <w:pPr>
        <w:pStyle w:val="Citas"/>
        <w:spacing w:line="240" w:lineRule="auto"/>
      </w:pPr>
      <w:r w:rsidRPr="00A17FC0">
        <w:t>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w:t>
      </w:r>
      <w:hyperlink r:id="rId24" w:history="1">
        <w:r w:rsidRPr="00A17FC0">
          <w:t>16 constitucional</w:t>
        </w:r>
      </w:hyperlink>
      <w:r w:rsidRPr="00A17FC0">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w:t>
      </w:r>
      <w:r w:rsidRPr="00A17FC0">
        <w:lastRenderedPageBreak/>
        <w:t>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05CEADDC" w14:textId="77777777" w:rsidR="00F674E0" w:rsidRPr="00A17FC0" w:rsidRDefault="00F674E0" w:rsidP="00A17FC0"/>
    <w:p w14:paraId="6E04EF8C" w14:textId="6A540540" w:rsidR="00F674E0" w:rsidRPr="00A17FC0" w:rsidRDefault="00F674E0" w:rsidP="00A17FC0">
      <w:r w:rsidRPr="00A17FC0">
        <w:t xml:space="preserve">Por otro lado tenemos que, en el desglose de la prueba de daño remitida por </w:t>
      </w:r>
      <w:r w:rsidRPr="00A17FC0">
        <w:rPr>
          <w:b/>
        </w:rPr>
        <w:t>EL SUJETO OBLIGADO</w:t>
      </w:r>
      <w:r w:rsidRPr="00A17FC0">
        <w:t xml:space="preserve"> únicamente se contempla el hecho </w:t>
      </w:r>
      <w:r w:rsidR="00B51EDD" w:rsidRPr="00A17FC0">
        <w:t xml:space="preserve">de que el expediente solicitado se encuentra en curso, es decir este no ha causado estado, sin embargo dicha autoridad no aporta mayores elementos que encuadren en el caso aplicable, ya que estos no demuestran de que forma el </w:t>
      </w:r>
      <w:r w:rsidR="00B51EDD" w:rsidRPr="00A17FC0">
        <w:lastRenderedPageBreak/>
        <w:t xml:space="preserve">divulgar la información solicitada pueda causar un daño real, demostrable e identificable, en el una de las partes pueda obtener un mayor beneficio en la substanciación del procedimiento respectivo. </w:t>
      </w:r>
    </w:p>
    <w:p w14:paraId="345A5533" w14:textId="77777777" w:rsidR="00B51EDD" w:rsidRPr="00A17FC0" w:rsidRDefault="00B51EDD" w:rsidP="00A17FC0"/>
    <w:p w14:paraId="08834884" w14:textId="32C6D666" w:rsidR="00B51EDD" w:rsidRPr="00A17FC0" w:rsidRDefault="00B51EDD" w:rsidP="00A17FC0">
      <w:r w:rsidRPr="00A17FC0">
        <w:t xml:space="preserve">Atento a lo anterior es posible dilucidar que el contexto argumentativo inmerso en la prueba de daño, no es suficiente para sustentar la decisión de la clasificación ejecutada por el cuerpo colegiado en materia de transparencia, en virtud de que no pueden visualizarse las razones y justificaciones adecuadas para sustentar la reserva de información lo que conlleva a una falta de claridad en la decisión aplicada. </w:t>
      </w:r>
    </w:p>
    <w:p w14:paraId="4F93B87B" w14:textId="77777777" w:rsidR="00B51EDD" w:rsidRPr="00A17FC0" w:rsidRDefault="00B51EDD" w:rsidP="00A17FC0"/>
    <w:p w14:paraId="711937D3" w14:textId="34E0340E" w:rsidR="00B51EDD" w:rsidRPr="00A17FC0" w:rsidRDefault="00B51EDD" w:rsidP="00A17FC0">
      <w:r w:rsidRPr="00A17FC0">
        <w:t xml:space="preserve">Ahora bien, este Órgano Garante, en aras de contar con mayores elementos para la emisión de una adecuada resolución, privilegiando en todo momento los principios de máxima publicidad y certeza, realizó un requerimiento de información </w:t>
      </w:r>
      <w:r w:rsidR="003637CF" w:rsidRPr="00A17FC0">
        <w:t xml:space="preserve">en fecha 17 de septiembre de 2024, </w:t>
      </w:r>
      <w:r w:rsidRPr="00A17FC0">
        <w:t>al</w:t>
      </w:r>
      <w:r w:rsidR="003637CF" w:rsidRPr="00A17FC0">
        <w:t xml:space="preserve"> SUJETO OBLIGADO en el sentido</w:t>
      </w:r>
      <w:r w:rsidRPr="00A17FC0">
        <w:t xml:space="preserve"> de esclarecer lo siguiente:</w:t>
      </w:r>
    </w:p>
    <w:p w14:paraId="50497913" w14:textId="77777777" w:rsidR="00B51EDD" w:rsidRPr="00A17FC0" w:rsidRDefault="00B51EDD" w:rsidP="00A17FC0"/>
    <w:p w14:paraId="6290CF89" w14:textId="01AE0C75" w:rsidR="00B51EDD" w:rsidRPr="00A17FC0" w:rsidRDefault="00B51EDD" w:rsidP="00A17FC0">
      <w:pPr>
        <w:pStyle w:val="Ttulo"/>
      </w:pPr>
      <w:r w:rsidRPr="00A17FC0">
        <w:t xml:space="preserve">“1. Etapa procesal en que se encontraba el expediente 1047/2021 a la fecha de la solicitud de acceso a información pública. </w:t>
      </w:r>
    </w:p>
    <w:p w14:paraId="2DB6BD9F" w14:textId="3EB39AB2" w:rsidR="00B51EDD" w:rsidRPr="00A17FC0" w:rsidRDefault="00B51EDD" w:rsidP="00A17FC0">
      <w:pPr>
        <w:pStyle w:val="Ttulo"/>
      </w:pPr>
      <w:r w:rsidRPr="00A17FC0">
        <w:t>2. Si el expediente 1047/2021 llevado a cabo en la primera sala regional del Tribunal de Justicia administrativa del Estado de México se encuentra relacionado con alguno de los supuestos establecidos en el artículo 142 de la Ley de Transparencia y Acceso a la información Pública del Estado de México y Municipios.”</w:t>
      </w:r>
    </w:p>
    <w:p w14:paraId="40FFA63D" w14:textId="77777777" w:rsidR="00B51EDD" w:rsidRPr="00A17FC0" w:rsidRDefault="00B51EDD" w:rsidP="00A17FC0"/>
    <w:p w14:paraId="1839C2EC" w14:textId="3876A5E8" w:rsidR="003637CF" w:rsidRPr="00A17FC0" w:rsidRDefault="003637CF" w:rsidP="00A17FC0">
      <w:r w:rsidRPr="00A17FC0">
        <w:t xml:space="preserve">A lo que en respuesta a tales requerimientos, </w:t>
      </w:r>
      <w:r w:rsidRPr="00A17FC0">
        <w:rPr>
          <w:b/>
        </w:rPr>
        <w:t>EL SUJETO OBLIGADO</w:t>
      </w:r>
      <w:r w:rsidRPr="00A17FC0">
        <w:t xml:space="preserve"> a través de la Titular de la Unidad de Información, Planeación, Programación </w:t>
      </w:r>
      <w:r w:rsidR="008028AC" w:rsidRPr="00A17FC0">
        <w:t xml:space="preserve">y </w:t>
      </w:r>
      <w:r w:rsidRPr="00A17FC0">
        <w:t xml:space="preserve">Evaluación </w:t>
      </w:r>
      <w:r w:rsidR="00C20919" w:rsidRPr="00A17FC0">
        <w:t xml:space="preserve">manifestó que, respecto del numeral 1, a la fecha de la solicitud de información el expediente solicitado se encontraba en la etapa de cumplimiento a resolución emitida y por otro lado por cuanto hace al numeral </w:t>
      </w:r>
      <w:r w:rsidR="00C20919" w:rsidRPr="00A17FC0">
        <w:lastRenderedPageBreak/>
        <w:t>2, el expediente requerido no encuentra en ninguno de los supuestos inmersos en el artículo 142 de la Ley de Transparencia Local.</w:t>
      </w:r>
    </w:p>
    <w:p w14:paraId="62ED38F7" w14:textId="77777777" w:rsidR="00CF2D8B" w:rsidRPr="00A17FC0" w:rsidRDefault="00CF2D8B" w:rsidP="00A17FC0">
      <w:pPr>
        <w:ind w:right="-93"/>
        <w:rPr>
          <w:rFonts w:cs="Tahoma"/>
          <w:bCs/>
          <w:szCs w:val="22"/>
        </w:rPr>
      </w:pPr>
    </w:p>
    <w:p w14:paraId="08265D41" w14:textId="1C05F18C" w:rsidR="00876DBC" w:rsidRPr="00A17FC0" w:rsidRDefault="00A21A20" w:rsidP="00A17FC0">
      <w:pPr>
        <w:pStyle w:val="Ttulo3"/>
      </w:pPr>
      <w:bookmarkStart w:id="31" w:name="_Toc177655619"/>
      <w:r w:rsidRPr="00A17FC0">
        <w:t>d) Conclusión</w:t>
      </w:r>
      <w:bookmarkEnd w:id="31"/>
    </w:p>
    <w:p w14:paraId="4FEB5419" w14:textId="3E39EF07" w:rsidR="00B51EDD" w:rsidRPr="00A17FC0" w:rsidRDefault="00B51EDD" w:rsidP="00A17FC0">
      <w:pPr>
        <w:ind w:right="-93"/>
        <w:rPr>
          <w:rFonts w:cs="Tahoma"/>
          <w:bCs/>
          <w:szCs w:val="22"/>
        </w:rPr>
      </w:pPr>
      <w:r w:rsidRPr="00A17FC0">
        <w:rPr>
          <w:rFonts w:eastAsia="Palatino Linotype" w:cs="Palatino Linotype"/>
        </w:rPr>
        <w:t xml:space="preserve">Derivado de lo anterior, podemos advertir que si bien se comparte la clasificación de la información como reservada y a su vez </w:t>
      </w:r>
      <w:r w:rsidRPr="00A17FC0">
        <w:rPr>
          <w:rFonts w:eastAsia="Palatino Linotype" w:cs="Palatino Linotype"/>
          <w:b/>
        </w:rPr>
        <w:t>EL SUJETO OBLIGADO</w:t>
      </w:r>
      <w:r w:rsidRPr="00A17FC0">
        <w:rPr>
          <w:rFonts w:eastAsia="Palatino Linotype" w:cs="Palatino Linotype"/>
        </w:rPr>
        <w:t xml:space="preserve"> actuó de manera garante y privilegiando en todo momento el derecho de acceso a la información pública y de igual forma a la protección de los datos personales en su posesión, este Órgano Garante considera que, dicha autoridad debe hacer entrega del acuerdo celebrado por el Comité de Transparencia, en donde de manera fundada y motivada se apruebe la clasificación de la información referente al expediente referido, como reservada.</w:t>
      </w:r>
    </w:p>
    <w:p w14:paraId="72CDD405" w14:textId="77777777" w:rsidR="00BF3ECC" w:rsidRPr="00A17FC0" w:rsidRDefault="00BF3ECC" w:rsidP="00A17FC0">
      <w:pPr>
        <w:ind w:right="-93"/>
        <w:rPr>
          <w:rFonts w:cs="Tahoma"/>
          <w:bCs/>
          <w:szCs w:val="22"/>
        </w:rPr>
      </w:pPr>
    </w:p>
    <w:p w14:paraId="52ED721C" w14:textId="2D9CB61B" w:rsidR="00A21A20" w:rsidRPr="00A17FC0" w:rsidRDefault="002568F8" w:rsidP="00A17FC0">
      <w:pPr>
        <w:ind w:right="-93"/>
        <w:rPr>
          <w:rFonts w:cs="Tahoma"/>
          <w:bCs/>
          <w:szCs w:val="22"/>
        </w:rPr>
      </w:pPr>
      <w:r w:rsidRPr="00A17FC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97E156" w14:textId="77777777" w:rsidR="003637CF" w:rsidRPr="00A17FC0" w:rsidRDefault="003637CF" w:rsidP="00A17FC0">
      <w:pPr>
        <w:ind w:right="-93"/>
        <w:rPr>
          <w:rFonts w:cs="Tahoma"/>
          <w:bCs/>
          <w:szCs w:val="22"/>
        </w:rPr>
      </w:pPr>
    </w:p>
    <w:p w14:paraId="5C396097" w14:textId="2AC71BBE" w:rsidR="00664420" w:rsidRPr="00A17FC0" w:rsidRDefault="00664420" w:rsidP="00A17FC0">
      <w:pPr>
        <w:pStyle w:val="Ttulo1"/>
      </w:pPr>
      <w:bookmarkStart w:id="32" w:name="_Toc177655620"/>
      <w:r w:rsidRPr="00A17FC0">
        <w:t>RESUELVE</w:t>
      </w:r>
      <w:bookmarkEnd w:id="32"/>
    </w:p>
    <w:p w14:paraId="203B7093" w14:textId="77777777" w:rsidR="00664420" w:rsidRPr="00A17FC0" w:rsidRDefault="00664420" w:rsidP="00A17FC0">
      <w:pPr>
        <w:ind w:right="113"/>
        <w:rPr>
          <w:rFonts w:cs="Arial"/>
          <w:b/>
          <w:szCs w:val="22"/>
        </w:rPr>
      </w:pPr>
    </w:p>
    <w:p w14:paraId="40DE562B" w14:textId="36900B25" w:rsidR="00FC3CE0" w:rsidRPr="00A17FC0" w:rsidRDefault="00FC3CE0" w:rsidP="00A17FC0">
      <w:pPr>
        <w:widowControl w:val="0"/>
        <w:rPr>
          <w:rFonts w:eastAsia="Calibri" w:cs="Tahoma"/>
          <w:bCs/>
          <w:szCs w:val="22"/>
          <w:lang w:eastAsia="en-US"/>
        </w:rPr>
      </w:pPr>
      <w:r w:rsidRPr="00A17FC0">
        <w:rPr>
          <w:b/>
          <w:bCs/>
        </w:rPr>
        <w:t>PRIMERO.</w:t>
      </w:r>
      <w:r w:rsidRPr="00A17FC0">
        <w:t xml:space="preserve"> </w:t>
      </w:r>
      <w:r w:rsidR="003637CF" w:rsidRPr="00A17FC0">
        <w:rPr>
          <w:rFonts w:cs="Tahoma"/>
          <w:szCs w:val="22"/>
        </w:rPr>
        <w:t xml:space="preserve">Se </w:t>
      </w:r>
      <w:r w:rsidR="003637CF" w:rsidRPr="00A17FC0">
        <w:rPr>
          <w:rFonts w:cs="Tahoma"/>
          <w:b/>
          <w:bCs/>
          <w:szCs w:val="22"/>
        </w:rPr>
        <w:t xml:space="preserve">MODIFICA </w:t>
      </w:r>
      <w:r w:rsidR="003637CF" w:rsidRPr="00A17FC0">
        <w:rPr>
          <w:rFonts w:cs="Tahoma"/>
          <w:szCs w:val="22"/>
        </w:rPr>
        <w:t xml:space="preserve">la respuesta entregada por el </w:t>
      </w:r>
      <w:r w:rsidR="003637CF" w:rsidRPr="00A17FC0">
        <w:rPr>
          <w:rFonts w:cs="Tahoma"/>
          <w:b/>
          <w:bCs/>
          <w:szCs w:val="22"/>
        </w:rPr>
        <w:t>SUJETO OBLIGADO</w:t>
      </w:r>
      <w:r w:rsidR="003637CF" w:rsidRPr="00A17FC0">
        <w:rPr>
          <w:rFonts w:cs="Tahoma"/>
          <w:szCs w:val="22"/>
        </w:rPr>
        <w:t xml:space="preserve"> en la solicitud de información </w:t>
      </w:r>
      <w:r w:rsidR="003637CF" w:rsidRPr="00A17FC0">
        <w:rPr>
          <w:rFonts w:cs="Tahoma"/>
          <w:b/>
        </w:rPr>
        <w:t>00177/TRIJAEM/IP/2024</w:t>
      </w:r>
      <w:r w:rsidR="003637CF" w:rsidRPr="00A17FC0">
        <w:rPr>
          <w:rFonts w:cs="Tahoma"/>
          <w:bCs/>
          <w:szCs w:val="22"/>
        </w:rPr>
        <w:t xml:space="preserve">, </w:t>
      </w:r>
      <w:r w:rsidR="003637CF" w:rsidRPr="00A17FC0">
        <w:rPr>
          <w:rFonts w:eastAsia="Calibri" w:cs="Tahoma"/>
          <w:bCs/>
          <w:szCs w:val="22"/>
          <w:lang w:eastAsia="en-US"/>
        </w:rPr>
        <w:t xml:space="preserve">por resultar </w:t>
      </w:r>
      <w:r w:rsidR="003637CF" w:rsidRPr="00A17FC0">
        <w:rPr>
          <w:rFonts w:eastAsia="Calibri" w:cs="Tahoma"/>
          <w:b/>
          <w:bCs/>
          <w:szCs w:val="22"/>
          <w:lang w:eastAsia="en-US"/>
        </w:rPr>
        <w:t>PARCIALMENTE FUNDADAS</w:t>
      </w:r>
      <w:r w:rsidR="003637CF" w:rsidRPr="00A17FC0">
        <w:rPr>
          <w:rFonts w:eastAsia="Calibri" w:cs="Tahoma"/>
          <w:bCs/>
          <w:szCs w:val="22"/>
          <w:lang w:eastAsia="en-US"/>
        </w:rPr>
        <w:t xml:space="preserve"> las razones o motivos de inconformidad hechos valer por </w:t>
      </w:r>
      <w:r w:rsidR="003637CF" w:rsidRPr="00A17FC0">
        <w:rPr>
          <w:rFonts w:eastAsia="Calibri" w:cs="Tahoma"/>
          <w:b/>
          <w:szCs w:val="22"/>
          <w:lang w:eastAsia="en-US"/>
        </w:rPr>
        <w:t>LA PARTE RECURRENTE</w:t>
      </w:r>
      <w:r w:rsidR="003637CF" w:rsidRPr="00A17FC0">
        <w:rPr>
          <w:rFonts w:eastAsia="Calibri" w:cs="Tahoma"/>
          <w:bCs/>
          <w:szCs w:val="22"/>
          <w:lang w:eastAsia="en-US"/>
        </w:rPr>
        <w:t xml:space="preserve"> en el Recurso de Revisión </w:t>
      </w:r>
      <w:r w:rsidR="003637CF" w:rsidRPr="00A17FC0">
        <w:rPr>
          <w:rFonts w:eastAsiaTheme="minorHAnsi" w:cstheme="minorBidi"/>
          <w:b/>
          <w:bCs/>
          <w:szCs w:val="22"/>
          <w:lang w:eastAsia="en-US"/>
        </w:rPr>
        <w:t>03172/INFOEM/IP/RR/2024</w:t>
      </w:r>
      <w:r w:rsidR="003637CF" w:rsidRPr="00A17FC0">
        <w:rPr>
          <w:rFonts w:eastAsiaTheme="minorHAnsi" w:cstheme="minorBidi"/>
          <w:szCs w:val="22"/>
          <w:lang w:eastAsia="en-US"/>
        </w:rPr>
        <w:t>,</w:t>
      </w:r>
      <w:r w:rsidR="003637CF" w:rsidRPr="00A17FC0">
        <w:rPr>
          <w:rFonts w:cs="Tahoma"/>
          <w:b/>
          <w:szCs w:val="22"/>
        </w:rPr>
        <w:t xml:space="preserve"> </w:t>
      </w:r>
      <w:r w:rsidR="003637CF" w:rsidRPr="00A17FC0">
        <w:rPr>
          <w:rFonts w:eastAsia="Calibri" w:cs="Tahoma"/>
          <w:bCs/>
          <w:szCs w:val="22"/>
          <w:lang w:eastAsia="en-US"/>
        </w:rPr>
        <w:t xml:space="preserve">en términos del considerando </w:t>
      </w:r>
      <w:r w:rsidR="003637CF" w:rsidRPr="00A17FC0">
        <w:rPr>
          <w:rFonts w:eastAsia="Calibri" w:cs="Tahoma"/>
          <w:b/>
          <w:szCs w:val="22"/>
          <w:lang w:eastAsia="en-US"/>
        </w:rPr>
        <w:t>SEGUNDO</w:t>
      </w:r>
      <w:r w:rsidR="003637CF" w:rsidRPr="00A17FC0">
        <w:rPr>
          <w:rFonts w:eastAsia="Calibri" w:cs="Tahoma"/>
          <w:bCs/>
          <w:szCs w:val="22"/>
          <w:lang w:eastAsia="en-US"/>
        </w:rPr>
        <w:t xml:space="preserve"> </w:t>
      </w:r>
      <w:r w:rsidR="003637CF" w:rsidRPr="00A17FC0">
        <w:rPr>
          <w:rFonts w:eastAsia="Calibri" w:cs="Tahoma"/>
          <w:bCs/>
          <w:szCs w:val="22"/>
          <w:lang w:eastAsia="en-US"/>
        </w:rPr>
        <w:lastRenderedPageBreak/>
        <w:t>de la presente Resolución.</w:t>
      </w:r>
    </w:p>
    <w:p w14:paraId="78D4A482" w14:textId="77777777" w:rsidR="00FC3CE0" w:rsidRPr="00A17FC0" w:rsidRDefault="00FC3CE0" w:rsidP="00A17FC0">
      <w:pPr>
        <w:widowControl w:val="0"/>
        <w:rPr>
          <w:rFonts w:eastAsia="Calibri" w:cs="Tahoma"/>
          <w:bCs/>
          <w:szCs w:val="22"/>
          <w:lang w:eastAsia="en-US"/>
        </w:rPr>
      </w:pPr>
    </w:p>
    <w:p w14:paraId="0B820921" w14:textId="1F607F09" w:rsidR="00FC3CE0" w:rsidRPr="00A17FC0" w:rsidRDefault="00FC3CE0" w:rsidP="00A17FC0">
      <w:pPr>
        <w:ind w:right="-93"/>
        <w:rPr>
          <w:rFonts w:eastAsia="Calibri" w:cs="Tahoma"/>
          <w:bCs/>
          <w:szCs w:val="22"/>
          <w:lang w:eastAsia="en-US"/>
        </w:rPr>
      </w:pPr>
      <w:r w:rsidRPr="00A17FC0">
        <w:rPr>
          <w:rFonts w:eastAsia="Calibri" w:cs="Tahoma"/>
          <w:b/>
          <w:bCs/>
          <w:szCs w:val="22"/>
          <w:lang w:eastAsia="en-US"/>
        </w:rPr>
        <w:t>SEGUNDO.</w:t>
      </w:r>
      <w:r w:rsidRPr="00A17FC0">
        <w:rPr>
          <w:rFonts w:eastAsia="Calibri" w:cs="Tahoma"/>
          <w:szCs w:val="22"/>
          <w:lang w:eastAsia="es-MX"/>
        </w:rPr>
        <w:t xml:space="preserve"> </w:t>
      </w:r>
      <w:r w:rsidR="003637CF" w:rsidRPr="00A17FC0">
        <w:rPr>
          <w:rFonts w:eastAsia="Calibri" w:cs="Tahoma"/>
          <w:szCs w:val="22"/>
          <w:lang w:eastAsia="es-MX"/>
        </w:rPr>
        <w:t xml:space="preserve">Se </w:t>
      </w:r>
      <w:r w:rsidR="003637CF" w:rsidRPr="00A17FC0">
        <w:rPr>
          <w:rFonts w:eastAsia="Calibri" w:cs="Tahoma"/>
          <w:b/>
          <w:szCs w:val="22"/>
          <w:lang w:eastAsia="es-MX"/>
        </w:rPr>
        <w:t xml:space="preserve">ORDENA </w:t>
      </w:r>
      <w:r w:rsidR="003637CF" w:rsidRPr="00A17FC0">
        <w:rPr>
          <w:rFonts w:eastAsia="Calibri" w:cs="Tahoma"/>
          <w:szCs w:val="22"/>
          <w:lang w:eastAsia="es-MX"/>
        </w:rPr>
        <w:t xml:space="preserve">al </w:t>
      </w:r>
      <w:r w:rsidR="003637CF" w:rsidRPr="00A17FC0">
        <w:rPr>
          <w:rFonts w:eastAsia="Calibri" w:cs="Tahoma"/>
          <w:b/>
          <w:bCs/>
          <w:szCs w:val="22"/>
          <w:lang w:eastAsia="es-MX"/>
        </w:rPr>
        <w:t>SUJETO OBLIGADO</w:t>
      </w:r>
      <w:r w:rsidR="003637CF" w:rsidRPr="00A17FC0">
        <w:rPr>
          <w:rFonts w:eastAsia="Calibri" w:cs="Tahoma"/>
          <w:szCs w:val="22"/>
          <w:lang w:eastAsia="es-MX"/>
        </w:rPr>
        <w:t xml:space="preserve">, </w:t>
      </w:r>
      <w:r w:rsidR="003637CF" w:rsidRPr="00A17FC0">
        <w:rPr>
          <w:rFonts w:eastAsia="Calibri" w:cs="Tahoma"/>
          <w:bCs/>
          <w:szCs w:val="22"/>
          <w:lang w:eastAsia="en-US"/>
        </w:rPr>
        <w:t xml:space="preserve">entregue a través del </w:t>
      </w:r>
      <w:r w:rsidR="003637CF" w:rsidRPr="00A17FC0">
        <w:rPr>
          <w:rFonts w:eastAsia="Calibri" w:cs="Tahoma"/>
          <w:b/>
          <w:bCs/>
          <w:szCs w:val="22"/>
          <w:lang w:eastAsia="en-US"/>
        </w:rPr>
        <w:t>SAIMEX</w:t>
      </w:r>
      <w:r w:rsidR="003637CF" w:rsidRPr="00A17FC0">
        <w:rPr>
          <w:rFonts w:eastAsia="Calibri" w:cs="Tahoma"/>
          <w:bCs/>
          <w:szCs w:val="22"/>
          <w:lang w:eastAsia="en-US"/>
        </w:rPr>
        <w:t>, lo siguiente:</w:t>
      </w:r>
    </w:p>
    <w:p w14:paraId="53F6440D" w14:textId="77777777" w:rsidR="003637CF" w:rsidRPr="00A17FC0" w:rsidRDefault="003637CF" w:rsidP="00A17FC0">
      <w:pPr>
        <w:ind w:right="-93"/>
        <w:rPr>
          <w:rFonts w:eastAsia="Calibri" w:cs="Tahoma"/>
          <w:bCs/>
          <w:szCs w:val="22"/>
          <w:lang w:eastAsia="en-US"/>
        </w:rPr>
      </w:pPr>
    </w:p>
    <w:p w14:paraId="7D2B1FA0" w14:textId="6E20C184" w:rsidR="003637CF" w:rsidRPr="00A17FC0" w:rsidRDefault="003637CF" w:rsidP="00A17FC0">
      <w:pPr>
        <w:pStyle w:val="Ttulo"/>
        <w:rPr>
          <w:rFonts w:cs="Times New Roman"/>
        </w:rPr>
      </w:pPr>
      <w:r w:rsidRPr="00A17FC0">
        <w:t>El Acuerdo de Clasificación por medio del cual el Comité de Transparencia  clasifique como información reservada el expediente precisado en la solicitud, en términos de los ordinales 49, fracción VIII, 129, 140 y 141 de la Ley de Transparencia y Acceso a la Información pública del Estado de México y Municipios.</w:t>
      </w:r>
    </w:p>
    <w:p w14:paraId="299D8103" w14:textId="77777777" w:rsidR="003637CF" w:rsidRPr="00A17FC0" w:rsidRDefault="003637CF" w:rsidP="00A17FC0">
      <w:pPr>
        <w:ind w:right="-93"/>
      </w:pPr>
    </w:p>
    <w:p w14:paraId="16A4F4E2" w14:textId="21F8F72F" w:rsidR="00FC3CE0" w:rsidRPr="00A17FC0" w:rsidRDefault="008C48EE" w:rsidP="00A17FC0">
      <w:r w:rsidRPr="00A17FC0">
        <w:rPr>
          <w:b/>
          <w:bCs/>
        </w:rPr>
        <w:t>TERCERO</w:t>
      </w:r>
      <w:r w:rsidR="00FC3CE0" w:rsidRPr="00A17FC0">
        <w:rPr>
          <w:b/>
          <w:bCs/>
        </w:rPr>
        <w:t>.</w:t>
      </w:r>
      <w:r w:rsidR="00FC3CE0" w:rsidRPr="00A17FC0">
        <w:t xml:space="preserve"> </w:t>
      </w:r>
      <w:r w:rsidR="003637CF" w:rsidRPr="00A17FC0">
        <w:t xml:space="preserve">Notifíquese la presente resolución al Titular de la Unidad de Transparencia del </w:t>
      </w:r>
      <w:r w:rsidR="003637CF" w:rsidRPr="00A17FC0">
        <w:rPr>
          <w:b/>
          <w:bCs/>
        </w:rPr>
        <w:t xml:space="preserve">SUJETO OBLIGADO </w:t>
      </w:r>
      <w:r w:rsidR="003637CF" w:rsidRPr="00A17FC0">
        <w:t>vía Sistema de Acceso a la Información Mexiquense (</w:t>
      </w:r>
      <w:r w:rsidR="003637CF" w:rsidRPr="00A17FC0">
        <w:rPr>
          <w:b/>
        </w:rPr>
        <w:t>SAIMEX</w:t>
      </w:r>
      <w:r w:rsidR="003637CF" w:rsidRPr="00A17FC0">
        <w:t xml:space="preserve">), para que conforme al artículo 186 último párrafo, 189 segundo párrafo y 194 de la Ley de Transparencia y Acceso a la Información Pública del Estado de México y Municipios, dé cumplimiento a lo ordenado dentro del plazo de </w:t>
      </w:r>
      <w:r w:rsidR="003637CF" w:rsidRPr="00A17FC0">
        <w:rPr>
          <w:b/>
          <w:bCs/>
        </w:rPr>
        <w:t>diez días hábiles</w:t>
      </w:r>
      <w:r w:rsidR="003637CF" w:rsidRPr="00A17FC0">
        <w:t xml:space="preserve">, e informe a este Instituto en un plazo de </w:t>
      </w:r>
      <w:r w:rsidR="003637CF" w:rsidRPr="00A17FC0">
        <w:rPr>
          <w:b/>
          <w:bCs/>
        </w:rPr>
        <w:t>tres días hábiles</w:t>
      </w:r>
      <w:r w:rsidR="003637CF" w:rsidRPr="00A17FC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FC3CE0" w:rsidRPr="00A17FC0">
        <w:t>.</w:t>
      </w:r>
    </w:p>
    <w:p w14:paraId="515336ED" w14:textId="77777777" w:rsidR="00FC3CE0" w:rsidRPr="00A17FC0" w:rsidRDefault="00FC3CE0" w:rsidP="00A17FC0"/>
    <w:p w14:paraId="6F00E635" w14:textId="77777777" w:rsidR="003637CF" w:rsidRPr="00A17FC0" w:rsidRDefault="008C48EE" w:rsidP="00A17FC0">
      <w:r w:rsidRPr="00A17FC0">
        <w:rPr>
          <w:b/>
          <w:bCs/>
        </w:rPr>
        <w:t>CUARTO</w:t>
      </w:r>
      <w:r w:rsidR="00FC3CE0" w:rsidRPr="00A17FC0">
        <w:t xml:space="preserve">. </w:t>
      </w:r>
      <w:r w:rsidR="003637CF" w:rsidRPr="00A17FC0">
        <w:t xml:space="preserve">Notifíquese a </w:t>
      </w:r>
      <w:r w:rsidR="003637CF" w:rsidRPr="00A17FC0">
        <w:rPr>
          <w:b/>
          <w:bCs/>
        </w:rPr>
        <w:t>LA PARTE RECURRENTE</w:t>
      </w:r>
      <w:r w:rsidR="003637CF" w:rsidRPr="00A17FC0">
        <w:t xml:space="preserve"> la presente resolución vía Sistema de Acceso a la Información Mexiquense (</w:t>
      </w:r>
      <w:r w:rsidR="003637CF" w:rsidRPr="00A17FC0">
        <w:rPr>
          <w:b/>
        </w:rPr>
        <w:t>SAIMEX</w:t>
      </w:r>
      <w:r w:rsidR="003637CF" w:rsidRPr="00A17FC0">
        <w:t>).</w:t>
      </w:r>
    </w:p>
    <w:p w14:paraId="2BC8564F" w14:textId="679F8D69" w:rsidR="00FC3CE0" w:rsidRPr="00A17FC0" w:rsidRDefault="00FC3CE0" w:rsidP="00A17FC0">
      <w:pPr>
        <w:widowControl w:val="0"/>
        <w:autoSpaceDE w:val="0"/>
        <w:autoSpaceDN w:val="0"/>
        <w:adjustRightInd w:val="0"/>
        <w:rPr>
          <w:rFonts w:cs="Arial"/>
          <w:b/>
          <w:szCs w:val="22"/>
        </w:rPr>
      </w:pPr>
    </w:p>
    <w:p w14:paraId="103F690B" w14:textId="77777777" w:rsidR="003637CF" w:rsidRPr="00A17FC0" w:rsidRDefault="003637CF" w:rsidP="00A17FC0">
      <w:pPr>
        <w:widowControl w:val="0"/>
        <w:autoSpaceDE w:val="0"/>
        <w:autoSpaceDN w:val="0"/>
        <w:adjustRightInd w:val="0"/>
        <w:rPr>
          <w:b/>
        </w:rPr>
      </w:pPr>
      <w:r w:rsidRPr="00A17FC0">
        <w:rPr>
          <w:b/>
          <w:bCs/>
        </w:rPr>
        <w:t>QUINTO</w:t>
      </w:r>
      <w:r w:rsidRPr="00A17FC0">
        <w:t xml:space="preserve">. </w:t>
      </w:r>
      <w:r w:rsidRPr="00A17FC0">
        <w:rPr>
          <w:b/>
          <w:szCs w:val="17"/>
          <w:lang w:eastAsia="es-ES_tradnl"/>
        </w:rPr>
        <w:t>Hágase</w:t>
      </w:r>
      <w:r w:rsidRPr="00A17FC0">
        <w:rPr>
          <w:szCs w:val="17"/>
          <w:lang w:eastAsia="es-ES_tradnl"/>
        </w:rPr>
        <w:t xml:space="preserve"> </w:t>
      </w:r>
      <w:r w:rsidRPr="00A17FC0">
        <w:rPr>
          <w:b/>
          <w:szCs w:val="17"/>
          <w:lang w:eastAsia="es-ES_tradnl"/>
        </w:rPr>
        <w:t>del conocimiento</w:t>
      </w:r>
      <w:r w:rsidRPr="00A17FC0">
        <w:rPr>
          <w:szCs w:val="17"/>
          <w:lang w:eastAsia="es-ES_tradnl"/>
        </w:rPr>
        <w:t xml:space="preserve"> </w:t>
      </w:r>
      <w:r w:rsidRPr="00A17FC0">
        <w:t>del</w:t>
      </w:r>
      <w:r w:rsidRPr="00A17FC0">
        <w:rPr>
          <w:rFonts w:cs="Arial"/>
          <w:b/>
        </w:rPr>
        <w:t xml:space="preserve"> RECURRENTE</w:t>
      </w:r>
      <w:r w:rsidRPr="00A17FC0">
        <w:rPr>
          <w:rFonts w:eastAsiaTheme="minorEastAsia"/>
          <w:szCs w:val="17"/>
          <w:lang w:eastAsia="es-ES_tradnl"/>
        </w:rPr>
        <w:t xml:space="preserve">, que de conformidad con lo establecido en el artículo 196 de la Ley de Transparencia y Acceso a la Información Pública del </w:t>
      </w:r>
      <w:r w:rsidRPr="00A17FC0">
        <w:rPr>
          <w:rFonts w:eastAsiaTheme="minorEastAsia"/>
          <w:szCs w:val="17"/>
          <w:lang w:eastAsia="es-ES_tradnl"/>
        </w:rPr>
        <w:lastRenderedPageBreak/>
        <w:t>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6BAD8284" w14:textId="77777777" w:rsidR="003637CF" w:rsidRPr="00A17FC0" w:rsidRDefault="003637CF" w:rsidP="00A17FC0"/>
    <w:p w14:paraId="7A74F2A4" w14:textId="77777777" w:rsidR="003637CF" w:rsidRPr="00A17FC0" w:rsidRDefault="003637CF" w:rsidP="00A17FC0">
      <w:r w:rsidRPr="00A17FC0">
        <w:rPr>
          <w:b/>
          <w:bCs/>
        </w:rPr>
        <w:t>SEXTO.</w:t>
      </w:r>
      <w:r w:rsidRPr="00A17FC0">
        <w:t xml:space="preserve"> De conformidad con el artículo 198 de la Ley de Transparencia y Acceso a la Información Pública del Estado de México y Municipios, el </w:t>
      </w:r>
      <w:r w:rsidRPr="00A17FC0">
        <w:rPr>
          <w:b/>
          <w:bCs/>
        </w:rPr>
        <w:t>SUJETO OBLIGADO</w:t>
      </w:r>
      <w:r w:rsidRPr="00A17FC0">
        <w:t xml:space="preserve"> podrá solicitar una ampliación de plazo de manera fundada y motivada, para el cumplimiento de la presente resolución.</w:t>
      </w:r>
    </w:p>
    <w:p w14:paraId="108C8322" w14:textId="77777777" w:rsidR="003637CF" w:rsidRPr="00A17FC0" w:rsidRDefault="003637CF" w:rsidP="00A17FC0">
      <w:pPr>
        <w:widowControl w:val="0"/>
        <w:autoSpaceDE w:val="0"/>
        <w:autoSpaceDN w:val="0"/>
        <w:adjustRightInd w:val="0"/>
        <w:rPr>
          <w:rFonts w:cs="Arial"/>
          <w:b/>
          <w:szCs w:val="22"/>
        </w:rPr>
      </w:pPr>
    </w:p>
    <w:p w14:paraId="719A5C63" w14:textId="335A8B50" w:rsidR="00664420" w:rsidRPr="00A17FC0" w:rsidRDefault="00664420" w:rsidP="00A17FC0">
      <w:pPr>
        <w:rPr>
          <w:rFonts w:eastAsia="Palatino Linotype" w:cs="Palatino Linotype"/>
          <w:szCs w:val="22"/>
        </w:rPr>
      </w:pPr>
      <w:r w:rsidRPr="00A17FC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17FC0">
        <w:rPr>
          <w:rFonts w:eastAsia="Palatino Linotype" w:cs="Palatino Linotype"/>
          <w:szCs w:val="22"/>
        </w:rPr>
        <w:t xml:space="preserve"> EMITIENDO VOTO PARTICULAR</w:t>
      </w:r>
      <w:r w:rsidRPr="00A17FC0">
        <w:rPr>
          <w:rFonts w:eastAsia="Palatino Linotype" w:cs="Palatino Linotype"/>
          <w:szCs w:val="22"/>
        </w:rPr>
        <w:t>, SHARON CRISTINA MORALES MARTÍNEZ, LUIS GUSTAVO PARRA NORIEGA</w:t>
      </w:r>
      <w:r w:rsidR="00A17FC0">
        <w:rPr>
          <w:rFonts w:eastAsia="Palatino Linotype" w:cs="Palatino Linotype"/>
          <w:szCs w:val="22"/>
        </w:rPr>
        <w:t xml:space="preserve"> EMITIENDO VOTO PARTICULAR</w:t>
      </w:r>
      <w:r w:rsidRPr="00A17FC0">
        <w:rPr>
          <w:rFonts w:eastAsia="Palatino Linotype" w:cs="Palatino Linotype"/>
          <w:szCs w:val="22"/>
        </w:rPr>
        <w:t xml:space="preserve"> Y GUADALUPE RAMÍREZ PEÑA</w:t>
      </w:r>
      <w:r w:rsidR="00A17FC0">
        <w:rPr>
          <w:rFonts w:eastAsia="Palatino Linotype" w:cs="Palatino Linotype"/>
          <w:szCs w:val="22"/>
        </w:rPr>
        <w:t xml:space="preserve"> </w:t>
      </w:r>
      <w:r w:rsidR="00A17FC0">
        <w:rPr>
          <w:rFonts w:cs="Arial"/>
        </w:rPr>
        <w:t>(AUSENCIA JUSTIFICADA)</w:t>
      </w:r>
      <w:r w:rsidRPr="00A17FC0">
        <w:rPr>
          <w:rFonts w:eastAsia="Palatino Linotype" w:cs="Palatino Linotype"/>
          <w:szCs w:val="22"/>
        </w:rPr>
        <w:t xml:space="preserve">, EN LA </w:t>
      </w:r>
      <w:r w:rsidR="006F36BA" w:rsidRPr="00A17FC0">
        <w:rPr>
          <w:rFonts w:eastAsia="Palatino Linotype" w:cs="Palatino Linotype"/>
          <w:szCs w:val="22"/>
        </w:rPr>
        <w:t xml:space="preserve">TRIGÉSIMA </w:t>
      </w:r>
      <w:r w:rsidR="005E3AC4" w:rsidRPr="00A17FC0">
        <w:rPr>
          <w:rFonts w:eastAsia="Palatino Linotype" w:cs="Palatino Linotype"/>
          <w:szCs w:val="22"/>
        </w:rPr>
        <w:t>TERCERA</w:t>
      </w:r>
      <w:r w:rsidR="0051696F" w:rsidRPr="00A17FC0">
        <w:rPr>
          <w:rFonts w:eastAsia="Palatino Linotype" w:cs="Palatino Linotype"/>
          <w:szCs w:val="22"/>
        </w:rPr>
        <w:t xml:space="preserve"> </w:t>
      </w:r>
      <w:r w:rsidRPr="00A17FC0">
        <w:rPr>
          <w:rFonts w:eastAsia="Palatino Linotype" w:cs="Palatino Linotype"/>
          <w:szCs w:val="22"/>
        </w:rPr>
        <w:t xml:space="preserve">SESIÓN ORDINARIA, CELEBRADA EL </w:t>
      </w:r>
      <w:r w:rsidR="005E3AC4" w:rsidRPr="00A17FC0">
        <w:rPr>
          <w:rFonts w:eastAsia="Palatino Linotype" w:cs="Palatino Linotype"/>
          <w:szCs w:val="22"/>
        </w:rPr>
        <w:t xml:space="preserve">DIECINUEVE </w:t>
      </w:r>
      <w:r w:rsidR="0051696F" w:rsidRPr="00A17FC0">
        <w:rPr>
          <w:rFonts w:eastAsia="Palatino Linotype" w:cs="Palatino Linotype"/>
          <w:szCs w:val="22"/>
        </w:rPr>
        <w:t>DE SEPTIEMBRE</w:t>
      </w:r>
      <w:r w:rsidR="006F36BA" w:rsidRPr="00A17FC0">
        <w:rPr>
          <w:rFonts w:eastAsia="Palatino Linotype" w:cs="Palatino Linotype"/>
          <w:szCs w:val="22"/>
        </w:rPr>
        <w:t xml:space="preserve"> DE DOS MIL VEINTICUATRO</w:t>
      </w:r>
      <w:r w:rsidRPr="00A17FC0">
        <w:rPr>
          <w:rFonts w:eastAsia="Palatino Linotype" w:cs="Palatino Linotype"/>
          <w:szCs w:val="22"/>
        </w:rPr>
        <w:t>, ANTE EL SECRETARIO TÉCNICO DEL PLENO, ALEXIS TAPIA RAMÍREZ.</w:t>
      </w:r>
    </w:p>
    <w:p w14:paraId="49D72DA3" w14:textId="2AF1031A" w:rsidR="00664420" w:rsidRPr="00A17FC0" w:rsidRDefault="006F36BA" w:rsidP="00A17FC0">
      <w:pPr>
        <w:ind w:right="-93"/>
        <w:rPr>
          <w:rFonts w:eastAsia="Calibri" w:cs="Tahoma"/>
          <w:bCs/>
          <w:szCs w:val="22"/>
          <w:lang w:eastAsia="en-US"/>
        </w:rPr>
      </w:pPr>
      <w:r w:rsidRPr="00A17FC0">
        <w:rPr>
          <w:rFonts w:eastAsia="Palatino Linotype" w:cs="Palatino Linotype"/>
          <w:sz w:val="20"/>
        </w:rPr>
        <w:t>SCMM/AGZ/DEMF/CDFE</w:t>
      </w:r>
    </w:p>
    <w:p w14:paraId="5EFEA0CD" w14:textId="77777777" w:rsidR="00664420" w:rsidRPr="00A17FC0" w:rsidRDefault="00664420" w:rsidP="00A17FC0">
      <w:pPr>
        <w:ind w:right="-93"/>
        <w:rPr>
          <w:rFonts w:eastAsia="Calibri" w:cs="Tahoma"/>
          <w:szCs w:val="22"/>
          <w:lang w:val="es-ES"/>
        </w:rPr>
      </w:pPr>
    </w:p>
    <w:p w14:paraId="696BC976" w14:textId="77777777" w:rsidR="00664420" w:rsidRPr="00A17FC0" w:rsidRDefault="00664420" w:rsidP="00A17FC0">
      <w:pPr>
        <w:ind w:right="-93"/>
        <w:rPr>
          <w:rFonts w:eastAsia="Calibri" w:cs="Tahoma"/>
          <w:bCs/>
          <w:szCs w:val="22"/>
          <w:lang w:val="es-ES" w:eastAsia="en-US"/>
        </w:rPr>
      </w:pPr>
    </w:p>
    <w:p w14:paraId="671CB0C5" w14:textId="77777777" w:rsidR="00664420" w:rsidRPr="00A17FC0" w:rsidRDefault="00664420" w:rsidP="00A17FC0">
      <w:pPr>
        <w:ind w:right="-93"/>
        <w:rPr>
          <w:rFonts w:eastAsia="Calibri" w:cs="Tahoma"/>
          <w:bCs/>
          <w:szCs w:val="22"/>
          <w:lang w:val="es-ES_tradnl" w:eastAsia="en-US"/>
        </w:rPr>
      </w:pPr>
    </w:p>
    <w:p w14:paraId="6BD461DC" w14:textId="77777777" w:rsidR="00664420" w:rsidRPr="00A17FC0" w:rsidRDefault="00664420" w:rsidP="00A17FC0">
      <w:pPr>
        <w:tabs>
          <w:tab w:val="center" w:pos="4568"/>
        </w:tabs>
        <w:ind w:right="-93"/>
        <w:rPr>
          <w:rFonts w:eastAsia="Calibri" w:cs="Tahoma"/>
          <w:bCs/>
          <w:szCs w:val="22"/>
          <w:lang w:eastAsia="en-US"/>
        </w:rPr>
      </w:pPr>
    </w:p>
    <w:p w14:paraId="4DBB1727" w14:textId="77777777" w:rsidR="00664420" w:rsidRPr="00A17FC0" w:rsidRDefault="00664420" w:rsidP="00A17FC0">
      <w:pPr>
        <w:tabs>
          <w:tab w:val="center" w:pos="4568"/>
        </w:tabs>
        <w:ind w:right="-93"/>
        <w:rPr>
          <w:rFonts w:eastAsia="Calibri" w:cs="Tahoma"/>
          <w:bCs/>
          <w:szCs w:val="22"/>
          <w:lang w:eastAsia="en-US"/>
        </w:rPr>
      </w:pPr>
    </w:p>
    <w:p w14:paraId="1D74121B" w14:textId="77777777" w:rsidR="00664420" w:rsidRPr="00A17FC0" w:rsidRDefault="00664420" w:rsidP="00A17FC0">
      <w:pPr>
        <w:tabs>
          <w:tab w:val="center" w:pos="4568"/>
        </w:tabs>
        <w:ind w:right="-93"/>
        <w:rPr>
          <w:rFonts w:eastAsia="Calibri" w:cs="Tahoma"/>
          <w:bCs/>
          <w:szCs w:val="22"/>
          <w:lang w:eastAsia="en-US"/>
        </w:rPr>
      </w:pPr>
    </w:p>
    <w:p w14:paraId="7147F06B" w14:textId="77777777" w:rsidR="00664420" w:rsidRPr="00A17FC0" w:rsidRDefault="00664420" w:rsidP="00A17FC0">
      <w:pPr>
        <w:tabs>
          <w:tab w:val="center" w:pos="4568"/>
        </w:tabs>
        <w:ind w:right="-93"/>
        <w:rPr>
          <w:rFonts w:eastAsia="Calibri" w:cs="Tahoma"/>
          <w:bCs/>
          <w:szCs w:val="22"/>
          <w:lang w:eastAsia="en-US"/>
        </w:rPr>
      </w:pPr>
    </w:p>
    <w:p w14:paraId="6FDF3D7E" w14:textId="77777777" w:rsidR="00664420" w:rsidRPr="00A17FC0" w:rsidRDefault="00664420" w:rsidP="00A17FC0">
      <w:pPr>
        <w:tabs>
          <w:tab w:val="center" w:pos="4568"/>
        </w:tabs>
        <w:ind w:right="-93"/>
        <w:rPr>
          <w:rFonts w:eastAsia="Calibri" w:cs="Tahoma"/>
          <w:bCs/>
          <w:szCs w:val="22"/>
          <w:lang w:eastAsia="en-US"/>
        </w:rPr>
      </w:pPr>
    </w:p>
    <w:p w14:paraId="6246F818" w14:textId="77777777" w:rsidR="00664420" w:rsidRPr="00A17FC0" w:rsidRDefault="00664420" w:rsidP="00A17FC0">
      <w:pPr>
        <w:tabs>
          <w:tab w:val="center" w:pos="4568"/>
        </w:tabs>
        <w:ind w:right="-93"/>
        <w:rPr>
          <w:rFonts w:eastAsia="Calibri" w:cs="Tahoma"/>
          <w:bCs/>
          <w:szCs w:val="22"/>
          <w:lang w:eastAsia="en-US"/>
        </w:rPr>
      </w:pPr>
    </w:p>
    <w:p w14:paraId="57A88B28" w14:textId="77777777" w:rsidR="00664420" w:rsidRPr="00A17FC0" w:rsidRDefault="00664420" w:rsidP="00A17FC0">
      <w:pPr>
        <w:tabs>
          <w:tab w:val="center" w:pos="4568"/>
        </w:tabs>
        <w:ind w:right="-93"/>
        <w:rPr>
          <w:rFonts w:eastAsia="Calibri" w:cs="Tahoma"/>
          <w:bCs/>
          <w:szCs w:val="22"/>
          <w:lang w:eastAsia="en-US"/>
        </w:rPr>
      </w:pPr>
    </w:p>
    <w:p w14:paraId="77EF6095" w14:textId="77777777" w:rsidR="00664420" w:rsidRPr="00A17FC0" w:rsidRDefault="00664420" w:rsidP="00A17FC0">
      <w:pPr>
        <w:tabs>
          <w:tab w:val="center" w:pos="4568"/>
        </w:tabs>
        <w:ind w:right="-93"/>
        <w:rPr>
          <w:rFonts w:eastAsia="Calibri" w:cs="Tahoma"/>
          <w:bCs/>
          <w:szCs w:val="22"/>
          <w:lang w:eastAsia="en-US"/>
        </w:rPr>
      </w:pPr>
    </w:p>
    <w:p w14:paraId="35593947" w14:textId="77777777" w:rsidR="00664420" w:rsidRPr="00A17FC0" w:rsidRDefault="00664420" w:rsidP="00A17FC0">
      <w:pPr>
        <w:tabs>
          <w:tab w:val="center" w:pos="4568"/>
        </w:tabs>
        <w:ind w:right="-93"/>
        <w:rPr>
          <w:rFonts w:eastAsia="Calibri" w:cs="Tahoma"/>
          <w:bCs/>
          <w:szCs w:val="22"/>
          <w:lang w:eastAsia="en-US"/>
        </w:rPr>
      </w:pPr>
    </w:p>
    <w:p w14:paraId="3AF72A17" w14:textId="77777777" w:rsidR="00664420" w:rsidRPr="00A17FC0" w:rsidRDefault="00664420" w:rsidP="00A17FC0">
      <w:pPr>
        <w:tabs>
          <w:tab w:val="center" w:pos="4568"/>
        </w:tabs>
        <w:ind w:right="-93"/>
        <w:rPr>
          <w:rFonts w:eastAsia="Calibri" w:cs="Tahoma"/>
          <w:bCs/>
          <w:szCs w:val="22"/>
          <w:lang w:eastAsia="en-US"/>
        </w:rPr>
      </w:pPr>
    </w:p>
    <w:p w14:paraId="180D7A0A" w14:textId="77777777" w:rsidR="0051696F" w:rsidRPr="00A17FC0" w:rsidRDefault="0051696F" w:rsidP="00A17FC0">
      <w:pPr>
        <w:tabs>
          <w:tab w:val="center" w:pos="4568"/>
        </w:tabs>
        <w:ind w:right="-93"/>
        <w:rPr>
          <w:rFonts w:eastAsia="Calibri" w:cs="Tahoma"/>
          <w:bCs/>
          <w:szCs w:val="22"/>
          <w:lang w:eastAsia="en-US"/>
        </w:rPr>
      </w:pPr>
    </w:p>
    <w:p w14:paraId="580F7FB6" w14:textId="77777777" w:rsidR="0051696F" w:rsidRPr="00A17FC0" w:rsidRDefault="0051696F" w:rsidP="00A17FC0">
      <w:pPr>
        <w:tabs>
          <w:tab w:val="center" w:pos="4568"/>
        </w:tabs>
        <w:ind w:right="-93"/>
        <w:rPr>
          <w:rFonts w:eastAsia="Calibri" w:cs="Tahoma"/>
          <w:bCs/>
          <w:szCs w:val="22"/>
          <w:lang w:eastAsia="en-US"/>
        </w:rPr>
      </w:pPr>
    </w:p>
    <w:p w14:paraId="65A35E27" w14:textId="77777777" w:rsidR="0051696F" w:rsidRPr="00A17FC0" w:rsidRDefault="0051696F" w:rsidP="00A17FC0">
      <w:pPr>
        <w:tabs>
          <w:tab w:val="center" w:pos="4568"/>
        </w:tabs>
        <w:ind w:right="-93"/>
        <w:rPr>
          <w:rFonts w:eastAsia="Calibri" w:cs="Tahoma"/>
          <w:bCs/>
          <w:szCs w:val="22"/>
          <w:lang w:eastAsia="en-US"/>
        </w:rPr>
      </w:pPr>
    </w:p>
    <w:p w14:paraId="475FF3BB" w14:textId="77777777" w:rsidR="0051696F" w:rsidRPr="00A17FC0" w:rsidRDefault="0051696F" w:rsidP="00A17FC0">
      <w:pPr>
        <w:tabs>
          <w:tab w:val="center" w:pos="4568"/>
        </w:tabs>
        <w:ind w:right="-93"/>
        <w:rPr>
          <w:rFonts w:eastAsia="Calibri" w:cs="Tahoma"/>
          <w:bCs/>
          <w:szCs w:val="22"/>
          <w:lang w:eastAsia="en-US"/>
        </w:rPr>
      </w:pPr>
    </w:p>
    <w:p w14:paraId="4716268C" w14:textId="77777777" w:rsidR="0051696F" w:rsidRPr="00A17FC0" w:rsidRDefault="0051696F" w:rsidP="00A17FC0">
      <w:pPr>
        <w:tabs>
          <w:tab w:val="center" w:pos="4568"/>
        </w:tabs>
        <w:ind w:right="-93"/>
        <w:rPr>
          <w:rFonts w:eastAsia="Calibri" w:cs="Tahoma"/>
          <w:bCs/>
          <w:szCs w:val="22"/>
          <w:lang w:eastAsia="en-US"/>
        </w:rPr>
      </w:pPr>
    </w:p>
    <w:p w14:paraId="37D1ABFE" w14:textId="77777777" w:rsidR="0051696F" w:rsidRPr="00A17FC0" w:rsidRDefault="0051696F" w:rsidP="00A17FC0">
      <w:pPr>
        <w:tabs>
          <w:tab w:val="center" w:pos="4568"/>
        </w:tabs>
        <w:ind w:right="-93"/>
        <w:rPr>
          <w:rFonts w:eastAsia="Calibri" w:cs="Tahoma"/>
          <w:bCs/>
          <w:szCs w:val="22"/>
          <w:lang w:eastAsia="en-US"/>
        </w:rPr>
      </w:pPr>
    </w:p>
    <w:p w14:paraId="01BFEEAB" w14:textId="77777777" w:rsidR="0051696F" w:rsidRPr="00A17FC0" w:rsidRDefault="0051696F" w:rsidP="00A17FC0">
      <w:pPr>
        <w:tabs>
          <w:tab w:val="center" w:pos="4568"/>
        </w:tabs>
        <w:ind w:right="-93"/>
        <w:rPr>
          <w:rFonts w:eastAsia="Calibri" w:cs="Tahoma"/>
          <w:bCs/>
          <w:szCs w:val="22"/>
          <w:lang w:eastAsia="en-US"/>
        </w:rPr>
      </w:pPr>
    </w:p>
    <w:p w14:paraId="3B33BCDC" w14:textId="77777777" w:rsidR="0051696F" w:rsidRPr="00A17FC0" w:rsidRDefault="0051696F" w:rsidP="00A17FC0">
      <w:pPr>
        <w:tabs>
          <w:tab w:val="center" w:pos="4568"/>
        </w:tabs>
        <w:ind w:right="-93"/>
        <w:rPr>
          <w:rFonts w:eastAsia="Calibri" w:cs="Tahoma"/>
          <w:bCs/>
          <w:szCs w:val="22"/>
          <w:lang w:eastAsia="en-US"/>
        </w:rPr>
      </w:pPr>
    </w:p>
    <w:p w14:paraId="37169144" w14:textId="77777777" w:rsidR="00664420" w:rsidRPr="00A17FC0" w:rsidRDefault="00664420" w:rsidP="00A17FC0">
      <w:pPr>
        <w:tabs>
          <w:tab w:val="center" w:pos="4568"/>
        </w:tabs>
        <w:ind w:right="-93"/>
        <w:rPr>
          <w:rFonts w:eastAsia="Calibri" w:cs="Tahoma"/>
          <w:bCs/>
          <w:szCs w:val="22"/>
          <w:lang w:eastAsia="en-US"/>
        </w:rPr>
      </w:pPr>
    </w:p>
    <w:p w14:paraId="77CFC088" w14:textId="77777777" w:rsidR="00664420" w:rsidRPr="00A17FC0" w:rsidRDefault="00664420" w:rsidP="00A17FC0">
      <w:pPr>
        <w:tabs>
          <w:tab w:val="center" w:pos="4568"/>
        </w:tabs>
        <w:ind w:right="-93"/>
        <w:rPr>
          <w:rFonts w:eastAsia="Calibri" w:cs="Tahoma"/>
          <w:bCs/>
          <w:szCs w:val="22"/>
          <w:lang w:eastAsia="en-US"/>
        </w:rPr>
      </w:pPr>
    </w:p>
    <w:p w14:paraId="781A11A5" w14:textId="77777777" w:rsidR="00664420" w:rsidRPr="00A17FC0" w:rsidRDefault="00664420" w:rsidP="00A17FC0">
      <w:pPr>
        <w:tabs>
          <w:tab w:val="center" w:pos="4568"/>
        </w:tabs>
        <w:ind w:right="-93"/>
        <w:rPr>
          <w:rFonts w:eastAsia="Calibri" w:cs="Tahoma"/>
          <w:bCs/>
          <w:szCs w:val="22"/>
          <w:lang w:eastAsia="en-US"/>
        </w:rPr>
      </w:pPr>
    </w:p>
    <w:p w14:paraId="5B4ADFF3" w14:textId="77777777" w:rsidR="00A131AC" w:rsidRPr="00A17FC0" w:rsidRDefault="00A131AC" w:rsidP="00A17FC0"/>
    <w:sectPr w:rsidR="00A131AC" w:rsidRPr="00A17FC0" w:rsidSect="008B09E4">
      <w:footerReference w:type="default" r:id="rId2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5992" w14:textId="77777777" w:rsidR="00471ACB" w:rsidRDefault="00471ACB" w:rsidP="00664420">
      <w:pPr>
        <w:spacing w:line="240" w:lineRule="auto"/>
      </w:pPr>
      <w:r>
        <w:separator/>
      </w:r>
    </w:p>
  </w:endnote>
  <w:endnote w:type="continuationSeparator" w:id="0">
    <w:p w14:paraId="3F616513" w14:textId="77777777" w:rsidR="00471ACB" w:rsidRDefault="00471AC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B51EDD" w:rsidRDefault="00B51EDD">
    <w:pPr>
      <w:tabs>
        <w:tab w:val="center" w:pos="4550"/>
        <w:tab w:val="left" w:pos="5818"/>
      </w:tabs>
      <w:ind w:right="260"/>
      <w:jc w:val="right"/>
      <w:rPr>
        <w:color w:val="071320" w:themeColor="text2" w:themeShade="80"/>
        <w:sz w:val="24"/>
        <w:szCs w:val="24"/>
      </w:rPr>
    </w:pPr>
  </w:p>
  <w:p w14:paraId="1BCA7F23" w14:textId="77777777" w:rsidR="00B51EDD" w:rsidRDefault="00B51E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B51EDD" w:rsidRDefault="00B51ED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477FB" w:rsidRPr="000477FB">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477FB" w:rsidRPr="000477FB">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B51EDD" w:rsidRDefault="00B51E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A486" w14:textId="77777777" w:rsidR="00471ACB" w:rsidRDefault="00471ACB" w:rsidP="00664420">
      <w:pPr>
        <w:spacing w:line="240" w:lineRule="auto"/>
      </w:pPr>
      <w:r>
        <w:separator/>
      </w:r>
    </w:p>
  </w:footnote>
  <w:footnote w:type="continuationSeparator" w:id="0">
    <w:p w14:paraId="654378C6" w14:textId="77777777" w:rsidR="00471ACB" w:rsidRDefault="00471ACB"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51EDD" w:rsidRPr="00330DA7" w14:paraId="070A4B18" w14:textId="77777777" w:rsidTr="003F35FD">
      <w:trPr>
        <w:trHeight w:val="144"/>
        <w:jc w:val="right"/>
      </w:trPr>
      <w:tc>
        <w:tcPr>
          <w:tcW w:w="2727" w:type="dxa"/>
        </w:tcPr>
        <w:p w14:paraId="62B7493A" w14:textId="77777777" w:rsidR="00B51EDD" w:rsidRPr="00330DA7" w:rsidRDefault="00B51ED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B0796EF" w:rsidR="00B51EDD" w:rsidRPr="00A90C72" w:rsidRDefault="00B51EDD" w:rsidP="003F35FD">
          <w:pPr>
            <w:tabs>
              <w:tab w:val="right" w:pos="8838"/>
            </w:tabs>
            <w:ind w:left="-74" w:right="-105"/>
            <w:rPr>
              <w:rFonts w:eastAsia="Calibri" w:cs="Tahoma"/>
              <w:szCs w:val="22"/>
              <w:lang w:eastAsia="en-US"/>
            </w:rPr>
          </w:pPr>
          <w:r w:rsidRPr="00604E23">
            <w:rPr>
              <w:rFonts w:eastAsia="Calibri" w:cs="Tahoma"/>
              <w:szCs w:val="22"/>
              <w:lang w:eastAsia="en-US"/>
            </w:rPr>
            <w:t>03172/INFOEM/IP/RR/2024</w:t>
          </w:r>
        </w:p>
      </w:tc>
    </w:tr>
    <w:tr w:rsidR="00B51EDD" w:rsidRPr="00330DA7" w14:paraId="4521E058" w14:textId="77777777" w:rsidTr="003F35FD">
      <w:trPr>
        <w:trHeight w:val="283"/>
        <w:jc w:val="right"/>
      </w:trPr>
      <w:tc>
        <w:tcPr>
          <w:tcW w:w="2727" w:type="dxa"/>
        </w:tcPr>
        <w:p w14:paraId="0B68C086" w14:textId="77777777" w:rsidR="00B51EDD" w:rsidRPr="00330DA7" w:rsidRDefault="00B51ED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250FEBE" w:rsidR="00B51EDD" w:rsidRPr="00952DD0" w:rsidRDefault="00B51EDD" w:rsidP="003F35FD">
          <w:pPr>
            <w:tabs>
              <w:tab w:val="left" w:pos="2834"/>
              <w:tab w:val="right" w:pos="8838"/>
            </w:tabs>
            <w:ind w:left="-108" w:right="-105"/>
            <w:rPr>
              <w:rFonts w:eastAsia="Calibri" w:cs="Tahoma"/>
              <w:szCs w:val="22"/>
              <w:lang w:eastAsia="en-US"/>
            </w:rPr>
          </w:pPr>
          <w:r w:rsidRPr="00604E23">
            <w:rPr>
              <w:rFonts w:eastAsia="Calibri" w:cs="Tahoma"/>
              <w:szCs w:val="22"/>
              <w:lang w:eastAsia="en-US"/>
            </w:rPr>
            <w:t>Tribunal de Justicia Administrativa del Estado de México</w:t>
          </w:r>
        </w:p>
      </w:tc>
    </w:tr>
    <w:tr w:rsidR="00B51EDD" w:rsidRPr="00330DA7" w14:paraId="6331D9B6" w14:textId="77777777" w:rsidTr="003F35FD">
      <w:trPr>
        <w:trHeight w:val="283"/>
        <w:jc w:val="right"/>
      </w:trPr>
      <w:tc>
        <w:tcPr>
          <w:tcW w:w="2727" w:type="dxa"/>
        </w:tcPr>
        <w:p w14:paraId="3FA86BAE" w14:textId="07BF75D3" w:rsidR="00B51EDD" w:rsidRPr="00330DA7" w:rsidRDefault="00B51ED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51EDD" w:rsidRPr="00EA66FC" w:rsidRDefault="00B51ED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B51EDD" w:rsidRPr="00443C6B" w:rsidRDefault="00B51ED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B51EDD" w:rsidRPr="00330DA7" w14:paraId="29CFF901" w14:textId="77777777" w:rsidTr="00251911">
      <w:trPr>
        <w:trHeight w:val="1435"/>
      </w:trPr>
      <w:tc>
        <w:tcPr>
          <w:tcW w:w="283" w:type="dxa"/>
          <w:shd w:val="clear" w:color="auto" w:fill="auto"/>
        </w:tcPr>
        <w:p w14:paraId="046B9F8F" w14:textId="77777777" w:rsidR="00B51EDD" w:rsidRPr="00330DA7" w:rsidRDefault="00B51EDD"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51EDD" w:rsidRPr="00330DA7" w14:paraId="04F272D2" w14:textId="77777777" w:rsidTr="00251911">
            <w:trPr>
              <w:trHeight w:val="144"/>
            </w:trPr>
            <w:tc>
              <w:tcPr>
                <w:tcW w:w="2727" w:type="dxa"/>
              </w:tcPr>
              <w:p w14:paraId="2FD4DBF6" w14:textId="77777777" w:rsidR="00B51EDD" w:rsidRPr="00330DA7" w:rsidRDefault="00B51EDD"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746F98B" w:rsidR="00B51EDD" w:rsidRPr="00A90C72" w:rsidRDefault="00B51EDD" w:rsidP="00251911">
                <w:pPr>
                  <w:tabs>
                    <w:tab w:val="right" w:pos="8838"/>
                  </w:tabs>
                  <w:ind w:left="-74" w:right="-105"/>
                  <w:rPr>
                    <w:rFonts w:eastAsia="Calibri" w:cs="Tahoma"/>
                    <w:szCs w:val="22"/>
                    <w:lang w:eastAsia="en-US"/>
                  </w:rPr>
                </w:pPr>
                <w:r w:rsidRPr="00604E23">
                  <w:rPr>
                    <w:rFonts w:eastAsia="Calibri" w:cs="Tahoma"/>
                    <w:szCs w:val="22"/>
                    <w:lang w:eastAsia="en-US"/>
                  </w:rPr>
                  <w:t>03172/INFOEM/IP/RR/2024</w:t>
                </w:r>
              </w:p>
            </w:tc>
            <w:tc>
              <w:tcPr>
                <w:tcW w:w="3402" w:type="dxa"/>
              </w:tcPr>
              <w:p w14:paraId="71DEA1CF" w14:textId="77777777" w:rsidR="00B51EDD" w:rsidRDefault="00B51EDD" w:rsidP="00251911">
                <w:pPr>
                  <w:tabs>
                    <w:tab w:val="right" w:pos="8838"/>
                  </w:tabs>
                  <w:ind w:left="-74" w:right="-105"/>
                  <w:rPr>
                    <w:rFonts w:eastAsia="Calibri" w:cs="Tahoma"/>
                    <w:szCs w:val="22"/>
                    <w:lang w:eastAsia="en-US"/>
                  </w:rPr>
                </w:pPr>
              </w:p>
            </w:tc>
          </w:tr>
          <w:tr w:rsidR="00B51EDD" w:rsidRPr="00330DA7" w14:paraId="05C58951" w14:textId="77777777" w:rsidTr="00251911">
            <w:trPr>
              <w:trHeight w:val="144"/>
            </w:trPr>
            <w:tc>
              <w:tcPr>
                <w:tcW w:w="2727" w:type="dxa"/>
              </w:tcPr>
              <w:p w14:paraId="642B9610" w14:textId="77777777" w:rsidR="00B51EDD" w:rsidRPr="00330DA7" w:rsidRDefault="00B51EDD"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BE00B70" w:rsidR="00B51EDD" w:rsidRPr="005F19B1" w:rsidRDefault="00A71603" w:rsidP="00251911">
                <w:pPr>
                  <w:tabs>
                    <w:tab w:val="left" w:pos="3122"/>
                    <w:tab w:val="right" w:pos="8838"/>
                  </w:tabs>
                  <w:ind w:left="-105"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 XXXXX</w:t>
                </w:r>
              </w:p>
            </w:tc>
            <w:tc>
              <w:tcPr>
                <w:tcW w:w="3402" w:type="dxa"/>
              </w:tcPr>
              <w:p w14:paraId="73F47F53" w14:textId="77777777" w:rsidR="00B51EDD" w:rsidRPr="005F19B1" w:rsidRDefault="00B51EDD" w:rsidP="00251911">
                <w:pPr>
                  <w:tabs>
                    <w:tab w:val="left" w:pos="3122"/>
                    <w:tab w:val="right" w:pos="8838"/>
                  </w:tabs>
                  <w:ind w:left="-105" w:right="-105"/>
                  <w:rPr>
                    <w:rFonts w:eastAsia="Calibri" w:cs="Tahoma"/>
                    <w:szCs w:val="22"/>
                    <w:lang w:eastAsia="en-US"/>
                  </w:rPr>
                </w:pPr>
              </w:p>
            </w:tc>
          </w:tr>
          <w:bookmarkEnd w:id="1"/>
          <w:tr w:rsidR="00B51EDD" w:rsidRPr="00330DA7" w14:paraId="00E6CDC1" w14:textId="77777777" w:rsidTr="00251911">
            <w:trPr>
              <w:trHeight w:val="283"/>
            </w:trPr>
            <w:tc>
              <w:tcPr>
                <w:tcW w:w="2727" w:type="dxa"/>
              </w:tcPr>
              <w:p w14:paraId="0631AD24" w14:textId="77777777" w:rsidR="00B51EDD" w:rsidRPr="00330DA7" w:rsidRDefault="00B51EDD"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9D83634" w:rsidR="00B51EDD" w:rsidRPr="00952DD0" w:rsidRDefault="00B51EDD" w:rsidP="00251911">
                <w:pPr>
                  <w:tabs>
                    <w:tab w:val="left" w:pos="2834"/>
                    <w:tab w:val="right" w:pos="8838"/>
                  </w:tabs>
                  <w:ind w:left="-108" w:right="-105"/>
                  <w:rPr>
                    <w:rFonts w:eastAsia="Calibri" w:cs="Tahoma"/>
                    <w:szCs w:val="22"/>
                    <w:lang w:eastAsia="en-US"/>
                  </w:rPr>
                </w:pPr>
                <w:r w:rsidRPr="00604E23">
                  <w:rPr>
                    <w:rFonts w:eastAsia="Calibri" w:cs="Tahoma"/>
                    <w:szCs w:val="22"/>
                    <w:lang w:eastAsia="en-US"/>
                  </w:rPr>
                  <w:t>Tribunal de Justicia Administrativa del Estado de México</w:t>
                </w:r>
              </w:p>
            </w:tc>
            <w:tc>
              <w:tcPr>
                <w:tcW w:w="3402" w:type="dxa"/>
              </w:tcPr>
              <w:p w14:paraId="3A7DA319" w14:textId="77777777" w:rsidR="00B51EDD" w:rsidRPr="00A90C72" w:rsidRDefault="00B51EDD" w:rsidP="00251911">
                <w:pPr>
                  <w:tabs>
                    <w:tab w:val="left" w:pos="2834"/>
                    <w:tab w:val="right" w:pos="8838"/>
                  </w:tabs>
                  <w:ind w:left="-108" w:right="-105"/>
                  <w:rPr>
                    <w:rFonts w:eastAsia="Calibri" w:cs="Tahoma"/>
                    <w:szCs w:val="22"/>
                    <w:lang w:eastAsia="en-US"/>
                  </w:rPr>
                </w:pPr>
              </w:p>
            </w:tc>
          </w:tr>
          <w:tr w:rsidR="00B51EDD" w:rsidRPr="00330DA7" w14:paraId="0F6CD8D2" w14:textId="77777777" w:rsidTr="00251911">
            <w:trPr>
              <w:trHeight w:val="283"/>
            </w:trPr>
            <w:tc>
              <w:tcPr>
                <w:tcW w:w="2727" w:type="dxa"/>
              </w:tcPr>
              <w:p w14:paraId="31700628" w14:textId="3D5A1F2D" w:rsidR="00B51EDD" w:rsidRPr="00330DA7" w:rsidRDefault="00B51EDD" w:rsidP="00251911">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A17FC0">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51EDD" w:rsidRPr="00EA66FC" w:rsidRDefault="00B51EDD"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51EDD" w:rsidRPr="00330DA7" w:rsidRDefault="00B51EDD" w:rsidP="00251911">
                <w:pPr>
                  <w:tabs>
                    <w:tab w:val="right" w:pos="8838"/>
                  </w:tabs>
                  <w:ind w:left="-108" w:right="-105"/>
                  <w:rPr>
                    <w:rFonts w:eastAsia="Calibri" w:cs="Tahoma"/>
                    <w:szCs w:val="22"/>
                    <w:lang w:eastAsia="en-US"/>
                  </w:rPr>
                </w:pPr>
              </w:p>
            </w:tc>
          </w:tr>
        </w:tbl>
        <w:p w14:paraId="5DC6AC61" w14:textId="77777777" w:rsidR="00B51EDD" w:rsidRPr="00330DA7" w:rsidRDefault="00B51EDD" w:rsidP="00251911">
          <w:pPr>
            <w:tabs>
              <w:tab w:val="right" w:pos="8838"/>
            </w:tabs>
            <w:ind w:left="-28"/>
            <w:rPr>
              <w:rFonts w:ascii="Arial" w:eastAsia="Calibri" w:hAnsi="Arial" w:cs="Arial"/>
              <w:b/>
              <w:szCs w:val="22"/>
              <w:lang w:eastAsia="en-US"/>
            </w:rPr>
          </w:pPr>
        </w:p>
      </w:tc>
    </w:tr>
  </w:tbl>
  <w:p w14:paraId="2A906731" w14:textId="77777777" w:rsidR="00B51EDD" w:rsidRPr="00765661" w:rsidRDefault="00471ACB"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0A1DB8"/>
    <w:multiLevelType w:val="hybridMultilevel"/>
    <w:tmpl w:val="B9F0C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2"/>
  </w:num>
  <w:num w:numId="4">
    <w:abstractNumId w:val="6"/>
  </w:num>
  <w:num w:numId="5">
    <w:abstractNumId w:val="2"/>
  </w:num>
  <w:num w:numId="6">
    <w:abstractNumId w:val="23"/>
  </w:num>
  <w:num w:numId="7">
    <w:abstractNumId w:val="14"/>
  </w:num>
  <w:num w:numId="8">
    <w:abstractNumId w:val="4"/>
  </w:num>
  <w:num w:numId="9">
    <w:abstractNumId w:val="13"/>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3"/>
  </w:num>
  <w:num w:numId="15">
    <w:abstractNumId w:val="15"/>
  </w:num>
  <w:num w:numId="16">
    <w:abstractNumId w:val="18"/>
  </w:num>
  <w:num w:numId="17">
    <w:abstractNumId w:val="21"/>
  </w:num>
  <w:num w:numId="18">
    <w:abstractNumId w:val="10"/>
  </w:num>
  <w:num w:numId="19">
    <w:abstractNumId w:val="19"/>
  </w:num>
  <w:num w:numId="20">
    <w:abstractNumId w:val="17"/>
  </w:num>
  <w:num w:numId="21">
    <w:abstractNumId w:val="7"/>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239CB"/>
    <w:rsid w:val="0002500A"/>
    <w:rsid w:val="000318BC"/>
    <w:rsid w:val="000477FB"/>
    <w:rsid w:val="00057B2D"/>
    <w:rsid w:val="000D0D67"/>
    <w:rsid w:val="000E052E"/>
    <w:rsid w:val="000E09C4"/>
    <w:rsid w:val="0011350D"/>
    <w:rsid w:val="00141876"/>
    <w:rsid w:val="00150C49"/>
    <w:rsid w:val="00163220"/>
    <w:rsid w:val="001A58B3"/>
    <w:rsid w:val="001A633B"/>
    <w:rsid w:val="001C7688"/>
    <w:rsid w:val="001F3515"/>
    <w:rsid w:val="0022409E"/>
    <w:rsid w:val="0023177F"/>
    <w:rsid w:val="00233005"/>
    <w:rsid w:val="002338D4"/>
    <w:rsid w:val="00233F17"/>
    <w:rsid w:val="00251911"/>
    <w:rsid w:val="002568F8"/>
    <w:rsid w:val="002A3601"/>
    <w:rsid w:val="002B7C6F"/>
    <w:rsid w:val="002C2588"/>
    <w:rsid w:val="002D50A3"/>
    <w:rsid w:val="002E58DF"/>
    <w:rsid w:val="002F51F5"/>
    <w:rsid w:val="00302476"/>
    <w:rsid w:val="0030416A"/>
    <w:rsid w:val="00331F35"/>
    <w:rsid w:val="0034218F"/>
    <w:rsid w:val="00350F76"/>
    <w:rsid w:val="00362A11"/>
    <w:rsid w:val="003637CF"/>
    <w:rsid w:val="00380417"/>
    <w:rsid w:val="00382A5D"/>
    <w:rsid w:val="003A40C1"/>
    <w:rsid w:val="003F35FD"/>
    <w:rsid w:val="0040558E"/>
    <w:rsid w:val="00411550"/>
    <w:rsid w:val="0041385B"/>
    <w:rsid w:val="0043255A"/>
    <w:rsid w:val="00441BFA"/>
    <w:rsid w:val="00454FBD"/>
    <w:rsid w:val="00471ACB"/>
    <w:rsid w:val="004B1D9C"/>
    <w:rsid w:val="004D1D10"/>
    <w:rsid w:val="004D7CD8"/>
    <w:rsid w:val="004E5068"/>
    <w:rsid w:val="004F7A00"/>
    <w:rsid w:val="0051696F"/>
    <w:rsid w:val="00532D45"/>
    <w:rsid w:val="005365FA"/>
    <w:rsid w:val="005723CB"/>
    <w:rsid w:val="00575400"/>
    <w:rsid w:val="005941FB"/>
    <w:rsid w:val="005A0A5F"/>
    <w:rsid w:val="005B18AF"/>
    <w:rsid w:val="005D5A50"/>
    <w:rsid w:val="005E3AC4"/>
    <w:rsid w:val="005F5301"/>
    <w:rsid w:val="005F65B7"/>
    <w:rsid w:val="00604E23"/>
    <w:rsid w:val="006067C7"/>
    <w:rsid w:val="006136CC"/>
    <w:rsid w:val="00615506"/>
    <w:rsid w:val="006159AD"/>
    <w:rsid w:val="00646436"/>
    <w:rsid w:val="00652EE8"/>
    <w:rsid w:val="00664420"/>
    <w:rsid w:val="00685AD3"/>
    <w:rsid w:val="00686AEE"/>
    <w:rsid w:val="006929E7"/>
    <w:rsid w:val="006946E4"/>
    <w:rsid w:val="006B10B0"/>
    <w:rsid w:val="006E25BC"/>
    <w:rsid w:val="006E6BBC"/>
    <w:rsid w:val="006F36BA"/>
    <w:rsid w:val="006F7768"/>
    <w:rsid w:val="00717E59"/>
    <w:rsid w:val="00775BFC"/>
    <w:rsid w:val="007B36C9"/>
    <w:rsid w:val="007B6074"/>
    <w:rsid w:val="007C5C93"/>
    <w:rsid w:val="007D1C55"/>
    <w:rsid w:val="007D317F"/>
    <w:rsid w:val="007F326B"/>
    <w:rsid w:val="007F5D06"/>
    <w:rsid w:val="00800920"/>
    <w:rsid w:val="008028AC"/>
    <w:rsid w:val="0084341B"/>
    <w:rsid w:val="00865CF4"/>
    <w:rsid w:val="00876DBC"/>
    <w:rsid w:val="008A4F68"/>
    <w:rsid w:val="008A6003"/>
    <w:rsid w:val="008A6F88"/>
    <w:rsid w:val="008B09E4"/>
    <w:rsid w:val="008B1E16"/>
    <w:rsid w:val="008C48EE"/>
    <w:rsid w:val="008D4785"/>
    <w:rsid w:val="008E46D6"/>
    <w:rsid w:val="008F555B"/>
    <w:rsid w:val="00900C44"/>
    <w:rsid w:val="00910FD2"/>
    <w:rsid w:val="009169CF"/>
    <w:rsid w:val="00931437"/>
    <w:rsid w:val="0094428C"/>
    <w:rsid w:val="00953430"/>
    <w:rsid w:val="009578F9"/>
    <w:rsid w:val="00970EB3"/>
    <w:rsid w:val="00987A72"/>
    <w:rsid w:val="009950D7"/>
    <w:rsid w:val="009A2D78"/>
    <w:rsid w:val="009A7C10"/>
    <w:rsid w:val="009B2945"/>
    <w:rsid w:val="009D0146"/>
    <w:rsid w:val="009F797C"/>
    <w:rsid w:val="00A131AC"/>
    <w:rsid w:val="00A16D85"/>
    <w:rsid w:val="00A17059"/>
    <w:rsid w:val="00A17FC0"/>
    <w:rsid w:val="00A203C6"/>
    <w:rsid w:val="00A21A20"/>
    <w:rsid w:val="00A2795D"/>
    <w:rsid w:val="00A53315"/>
    <w:rsid w:val="00A65695"/>
    <w:rsid w:val="00A713F6"/>
    <w:rsid w:val="00A71603"/>
    <w:rsid w:val="00A9208D"/>
    <w:rsid w:val="00AA0703"/>
    <w:rsid w:val="00AA26B0"/>
    <w:rsid w:val="00AA6EA9"/>
    <w:rsid w:val="00AC2DB8"/>
    <w:rsid w:val="00AC3CA0"/>
    <w:rsid w:val="00AD4CAB"/>
    <w:rsid w:val="00AD4F69"/>
    <w:rsid w:val="00AE3DA7"/>
    <w:rsid w:val="00AF03C4"/>
    <w:rsid w:val="00AF2426"/>
    <w:rsid w:val="00B06AB1"/>
    <w:rsid w:val="00B22A80"/>
    <w:rsid w:val="00B259F4"/>
    <w:rsid w:val="00B4750F"/>
    <w:rsid w:val="00B51EDD"/>
    <w:rsid w:val="00B62B67"/>
    <w:rsid w:val="00BA55A8"/>
    <w:rsid w:val="00BB2ABF"/>
    <w:rsid w:val="00BB64F4"/>
    <w:rsid w:val="00BD3F4F"/>
    <w:rsid w:val="00BF0221"/>
    <w:rsid w:val="00BF091A"/>
    <w:rsid w:val="00BF3ECC"/>
    <w:rsid w:val="00C049E2"/>
    <w:rsid w:val="00C135F9"/>
    <w:rsid w:val="00C20919"/>
    <w:rsid w:val="00C223AE"/>
    <w:rsid w:val="00C36795"/>
    <w:rsid w:val="00C461EC"/>
    <w:rsid w:val="00C507D4"/>
    <w:rsid w:val="00C66918"/>
    <w:rsid w:val="00C71CEF"/>
    <w:rsid w:val="00C72DAA"/>
    <w:rsid w:val="00CC73E5"/>
    <w:rsid w:val="00CD0B92"/>
    <w:rsid w:val="00CE29D3"/>
    <w:rsid w:val="00CF2D8B"/>
    <w:rsid w:val="00CF7586"/>
    <w:rsid w:val="00D036D3"/>
    <w:rsid w:val="00D2063D"/>
    <w:rsid w:val="00D2790D"/>
    <w:rsid w:val="00D51285"/>
    <w:rsid w:val="00D51ECD"/>
    <w:rsid w:val="00D6170E"/>
    <w:rsid w:val="00D7015C"/>
    <w:rsid w:val="00D91CB4"/>
    <w:rsid w:val="00DB02DB"/>
    <w:rsid w:val="00DD5F50"/>
    <w:rsid w:val="00DD6EF3"/>
    <w:rsid w:val="00DE1133"/>
    <w:rsid w:val="00DF03AD"/>
    <w:rsid w:val="00E06F53"/>
    <w:rsid w:val="00E16BF5"/>
    <w:rsid w:val="00E25A67"/>
    <w:rsid w:val="00E37A3F"/>
    <w:rsid w:val="00E62E6A"/>
    <w:rsid w:val="00E652F0"/>
    <w:rsid w:val="00E83EF5"/>
    <w:rsid w:val="00E9335C"/>
    <w:rsid w:val="00E937AE"/>
    <w:rsid w:val="00E96341"/>
    <w:rsid w:val="00EA0D03"/>
    <w:rsid w:val="00EA4E2C"/>
    <w:rsid w:val="00ED1C1E"/>
    <w:rsid w:val="00F07EE6"/>
    <w:rsid w:val="00F1385D"/>
    <w:rsid w:val="00F33CC8"/>
    <w:rsid w:val="00F66FCA"/>
    <w:rsid w:val="00F674E0"/>
    <w:rsid w:val="00F75D23"/>
    <w:rsid w:val="00F8195E"/>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F674E0"/>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17201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8A3B9CA-D93C-BB44-A3E1-881E860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8183</Words>
  <Characters>45009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2024-09-23T19:52:00Z</cp:lastPrinted>
  <dcterms:created xsi:type="dcterms:W3CDTF">2024-09-18T02:08:00Z</dcterms:created>
  <dcterms:modified xsi:type="dcterms:W3CDTF">2024-10-24T04:04:00Z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