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D2661" w:rsidRDefault="00AE3DA7" w:rsidP="001D2661">
          <w:pPr>
            <w:pStyle w:val="TtulodeTDC"/>
            <w:spacing w:before="0" w:line="240" w:lineRule="auto"/>
            <w:rPr>
              <w:rFonts w:ascii="Palatino Linotype" w:hAnsi="Palatino Linotype"/>
              <w:color w:val="auto"/>
              <w:sz w:val="24"/>
              <w:szCs w:val="24"/>
              <w:lang w:val="es-ES"/>
            </w:rPr>
          </w:pPr>
          <w:r w:rsidRPr="001D2661">
            <w:rPr>
              <w:rFonts w:ascii="Palatino Linotype" w:hAnsi="Palatino Linotype"/>
              <w:color w:val="auto"/>
              <w:sz w:val="24"/>
              <w:szCs w:val="24"/>
              <w:lang w:val="es-ES"/>
            </w:rPr>
            <w:t>Contenido</w:t>
          </w:r>
        </w:p>
        <w:p w14:paraId="3EB312A7" w14:textId="77777777" w:rsidR="00AA6EA9" w:rsidRPr="001D2661" w:rsidRDefault="00AA6EA9" w:rsidP="001D2661">
          <w:pPr>
            <w:spacing w:line="240" w:lineRule="auto"/>
            <w:rPr>
              <w:sz w:val="16"/>
              <w:szCs w:val="16"/>
              <w:lang w:val="es-ES" w:eastAsia="es-MX"/>
            </w:rPr>
          </w:pPr>
        </w:p>
        <w:p w14:paraId="70D6C475" w14:textId="77777777" w:rsidR="00910977" w:rsidRPr="001D2661" w:rsidRDefault="00AE3DA7" w:rsidP="001D2661">
          <w:pPr>
            <w:pStyle w:val="TDC1"/>
            <w:tabs>
              <w:tab w:val="right" w:leader="dot" w:pos="9034"/>
            </w:tabs>
            <w:rPr>
              <w:rFonts w:asciiTheme="minorHAnsi" w:eastAsiaTheme="minorEastAsia" w:hAnsiTheme="minorHAnsi" w:cstheme="minorBidi"/>
              <w:noProof/>
              <w:szCs w:val="22"/>
              <w:lang w:eastAsia="es-MX"/>
            </w:rPr>
          </w:pPr>
          <w:r w:rsidRPr="001D2661">
            <w:rPr>
              <w:sz w:val="16"/>
              <w:szCs w:val="16"/>
            </w:rPr>
            <w:fldChar w:fldCharType="begin"/>
          </w:r>
          <w:r w:rsidRPr="001D2661">
            <w:rPr>
              <w:sz w:val="16"/>
              <w:szCs w:val="16"/>
            </w:rPr>
            <w:instrText xml:space="preserve"> TOC \o "1-3" \h \z \u </w:instrText>
          </w:r>
          <w:r w:rsidRPr="001D2661">
            <w:rPr>
              <w:sz w:val="16"/>
              <w:szCs w:val="16"/>
            </w:rPr>
            <w:fldChar w:fldCharType="separate"/>
          </w:r>
          <w:hyperlink w:anchor="_Toc180603220" w:history="1">
            <w:r w:rsidR="00910977" w:rsidRPr="001D2661">
              <w:rPr>
                <w:rStyle w:val="Hipervnculo"/>
                <w:noProof/>
                <w:color w:val="auto"/>
              </w:rPr>
              <w:t>ANTECEDENTES</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_Toc180603220 \h </w:instrText>
            </w:r>
            <w:r w:rsidR="00910977" w:rsidRPr="001D2661">
              <w:rPr>
                <w:noProof/>
                <w:webHidden/>
              </w:rPr>
            </w:r>
            <w:r w:rsidR="00910977" w:rsidRPr="001D2661">
              <w:rPr>
                <w:noProof/>
                <w:webHidden/>
              </w:rPr>
              <w:fldChar w:fldCharType="separate"/>
            </w:r>
            <w:r w:rsidR="00D24D29">
              <w:rPr>
                <w:noProof/>
                <w:webHidden/>
              </w:rPr>
              <w:t>1</w:t>
            </w:r>
            <w:r w:rsidR="00910977" w:rsidRPr="001D2661">
              <w:rPr>
                <w:noProof/>
                <w:webHidden/>
              </w:rPr>
              <w:fldChar w:fldCharType="end"/>
            </w:r>
          </w:hyperlink>
        </w:p>
        <w:p w14:paraId="7A3BB67C" w14:textId="77777777" w:rsidR="00910977" w:rsidRPr="001D2661" w:rsidRDefault="00AC2618" w:rsidP="001D2661">
          <w:pPr>
            <w:pStyle w:val="TDC2"/>
            <w:rPr>
              <w:rFonts w:asciiTheme="minorHAnsi" w:eastAsiaTheme="minorEastAsia" w:hAnsiTheme="minorHAnsi" w:cstheme="minorBidi"/>
              <w:noProof/>
              <w:szCs w:val="22"/>
              <w:lang w:eastAsia="es-MX"/>
            </w:rPr>
          </w:pPr>
          <w:hyperlink w:anchor="_Toc180603221" w:history="1">
            <w:r w:rsidR="00910977" w:rsidRPr="001D2661">
              <w:rPr>
                <w:rStyle w:val="Hipervnculo"/>
                <w:noProof/>
                <w:color w:val="auto"/>
              </w:rPr>
              <w:t>DE LA SOLICITUD DE INFORMACIÓN</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_Toc180603221 \h </w:instrText>
            </w:r>
            <w:r w:rsidR="00910977" w:rsidRPr="001D2661">
              <w:rPr>
                <w:noProof/>
                <w:webHidden/>
              </w:rPr>
            </w:r>
            <w:r w:rsidR="00910977" w:rsidRPr="001D2661">
              <w:rPr>
                <w:noProof/>
                <w:webHidden/>
              </w:rPr>
              <w:fldChar w:fldCharType="separate"/>
            </w:r>
            <w:r w:rsidR="00D24D29">
              <w:rPr>
                <w:noProof/>
                <w:webHidden/>
              </w:rPr>
              <w:t>1</w:t>
            </w:r>
            <w:r w:rsidR="00910977" w:rsidRPr="001D2661">
              <w:rPr>
                <w:noProof/>
                <w:webHidden/>
              </w:rPr>
              <w:fldChar w:fldCharType="end"/>
            </w:r>
          </w:hyperlink>
        </w:p>
        <w:p w14:paraId="5FD4A828"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22" w:history="1">
            <w:r w:rsidR="00910977" w:rsidRPr="001D2661">
              <w:rPr>
                <w:rStyle w:val="Hipervnculo"/>
                <w:noProof/>
                <w:color w:val="auto"/>
              </w:rPr>
              <w:t>a) Solicitud de información</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_Toc180603222 \h </w:instrText>
            </w:r>
            <w:r w:rsidR="00910977" w:rsidRPr="001D2661">
              <w:rPr>
                <w:noProof/>
                <w:webHidden/>
              </w:rPr>
            </w:r>
            <w:r w:rsidR="00910977" w:rsidRPr="001D2661">
              <w:rPr>
                <w:noProof/>
                <w:webHidden/>
              </w:rPr>
              <w:fldChar w:fldCharType="separate"/>
            </w:r>
            <w:r w:rsidR="00D24D29">
              <w:rPr>
                <w:noProof/>
                <w:webHidden/>
              </w:rPr>
              <w:t>1</w:t>
            </w:r>
            <w:r w:rsidR="00910977" w:rsidRPr="001D2661">
              <w:rPr>
                <w:noProof/>
                <w:webHidden/>
              </w:rPr>
              <w:fldChar w:fldCharType="end"/>
            </w:r>
          </w:hyperlink>
        </w:p>
        <w:p w14:paraId="7C440322"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23" w:history="1">
            <w:r w:rsidR="00910977" w:rsidRPr="001D2661">
              <w:rPr>
                <w:rStyle w:val="Hipervnculo"/>
                <w:noProof/>
                <w:color w:val="auto"/>
              </w:rPr>
              <w:t>b) Turno de la solicitud de información</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_Toc180603223 \h </w:instrText>
            </w:r>
            <w:r w:rsidR="00910977" w:rsidRPr="001D2661">
              <w:rPr>
                <w:noProof/>
                <w:webHidden/>
              </w:rPr>
            </w:r>
            <w:r w:rsidR="00910977" w:rsidRPr="001D2661">
              <w:rPr>
                <w:noProof/>
                <w:webHidden/>
              </w:rPr>
              <w:fldChar w:fldCharType="separate"/>
            </w:r>
            <w:r w:rsidR="00D24D29">
              <w:rPr>
                <w:noProof/>
                <w:webHidden/>
              </w:rPr>
              <w:t>2</w:t>
            </w:r>
            <w:r w:rsidR="00910977" w:rsidRPr="001D2661">
              <w:rPr>
                <w:noProof/>
                <w:webHidden/>
              </w:rPr>
              <w:fldChar w:fldCharType="end"/>
            </w:r>
          </w:hyperlink>
        </w:p>
        <w:p w14:paraId="5839322D"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24" w:history="1">
            <w:r w:rsidR="00910977" w:rsidRPr="001D2661">
              <w:rPr>
                <w:rStyle w:val="Hipervnculo"/>
                <w:noProof/>
                <w:color w:val="auto"/>
                <w:lang w:val="es-ES"/>
              </w:rPr>
              <w:t xml:space="preserve">c) Respuesta </w:t>
            </w:r>
            <w:r w:rsidR="00910977" w:rsidRPr="001D2661">
              <w:rPr>
                <w:rStyle w:val="Hipervnculo"/>
                <w:rFonts w:eastAsia="Calibri"/>
                <w:noProof/>
                <w:color w:val="auto"/>
                <w:lang w:eastAsia="en-US"/>
              </w:rPr>
              <w:t>del Sujeto Obligado</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_Toc180603224 \h </w:instrText>
            </w:r>
            <w:r w:rsidR="00910977" w:rsidRPr="001D2661">
              <w:rPr>
                <w:noProof/>
                <w:webHidden/>
              </w:rPr>
            </w:r>
            <w:r w:rsidR="00910977" w:rsidRPr="001D2661">
              <w:rPr>
                <w:noProof/>
                <w:webHidden/>
              </w:rPr>
              <w:fldChar w:fldCharType="separate"/>
            </w:r>
            <w:r w:rsidR="00D24D29">
              <w:rPr>
                <w:noProof/>
                <w:webHidden/>
              </w:rPr>
              <w:t>2</w:t>
            </w:r>
            <w:r w:rsidR="00910977" w:rsidRPr="001D2661">
              <w:rPr>
                <w:noProof/>
                <w:webHidden/>
              </w:rPr>
              <w:fldChar w:fldCharType="end"/>
            </w:r>
          </w:hyperlink>
        </w:p>
        <w:p w14:paraId="2546C7E2" w14:textId="77777777" w:rsidR="00910977" w:rsidRPr="001D2661" w:rsidRDefault="00AC2618" w:rsidP="001D2661">
          <w:pPr>
            <w:pStyle w:val="TDC2"/>
            <w:rPr>
              <w:rFonts w:asciiTheme="minorHAnsi" w:eastAsiaTheme="minorEastAsia" w:hAnsiTheme="minorHAnsi" w:cstheme="minorBidi"/>
              <w:noProof/>
              <w:szCs w:val="22"/>
              <w:lang w:eastAsia="es-MX"/>
            </w:rPr>
          </w:pPr>
          <w:hyperlink w:anchor="_Toc180603225" w:history="1">
            <w:r w:rsidR="00910977" w:rsidRPr="001D2661">
              <w:rPr>
                <w:rStyle w:val="Hipervnculo"/>
                <w:noProof/>
                <w:color w:val="auto"/>
              </w:rPr>
              <w:t>DEL RECURSO DE REVISIÓN</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_Toc180603225 \h </w:instrText>
            </w:r>
            <w:r w:rsidR="00910977" w:rsidRPr="001D2661">
              <w:rPr>
                <w:noProof/>
                <w:webHidden/>
              </w:rPr>
            </w:r>
            <w:r w:rsidR="00910977" w:rsidRPr="001D2661">
              <w:rPr>
                <w:noProof/>
                <w:webHidden/>
              </w:rPr>
              <w:fldChar w:fldCharType="separate"/>
            </w:r>
            <w:r w:rsidR="00D24D29">
              <w:rPr>
                <w:noProof/>
                <w:webHidden/>
              </w:rPr>
              <w:t>3</w:t>
            </w:r>
            <w:r w:rsidR="00910977" w:rsidRPr="001D2661">
              <w:rPr>
                <w:noProof/>
                <w:webHidden/>
              </w:rPr>
              <w:fldChar w:fldCharType="end"/>
            </w:r>
          </w:hyperlink>
        </w:p>
        <w:p w14:paraId="276EF348"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26" w:history="1">
            <w:r w:rsidR="00910977" w:rsidRPr="001D2661">
              <w:rPr>
                <w:rStyle w:val="Hipervnculo"/>
                <w:noProof/>
                <w:color w:val="auto"/>
              </w:rPr>
              <w:t>a) Interposición del Recurso de Revisión</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_Toc180603226 \h </w:instrText>
            </w:r>
            <w:r w:rsidR="00910977" w:rsidRPr="001D2661">
              <w:rPr>
                <w:noProof/>
                <w:webHidden/>
              </w:rPr>
            </w:r>
            <w:r w:rsidR="00910977" w:rsidRPr="001D2661">
              <w:rPr>
                <w:noProof/>
                <w:webHidden/>
              </w:rPr>
              <w:fldChar w:fldCharType="separate"/>
            </w:r>
            <w:r w:rsidR="00D24D29">
              <w:rPr>
                <w:noProof/>
                <w:webHidden/>
              </w:rPr>
              <w:t>3</w:t>
            </w:r>
            <w:r w:rsidR="00910977" w:rsidRPr="001D2661">
              <w:rPr>
                <w:noProof/>
                <w:webHidden/>
              </w:rPr>
              <w:fldChar w:fldCharType="end"/>
            </w:r>
          </w:hyperlink>
        </w:p>
        <w:p w14:paraId="6677E440"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27" w:history="1">
            <w:r w:rsidR="00910977" w:rsidRPr="001D2661">
              <w:rPr>
                <w:rStyle w:val="Hipervnculo"/>
                <w:noProof/>
                <w:color w:val="auto"/>
              </w:rPr>
              <w:t>b) Turno del Recurso de Revisión</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_Toc180603227 \h </w:instrText>
            </w:r>
            <w:r w:rsidR="00910977" w:rsidRPr="001D2661">
              <w:rPr>
                <w:noProof/>
                <w:webHidden/>
              </w:rPr>
            </w:r>
            <w:r w:rsidR="00910977" w:rsidRPr="001D2661">
              <w:rPr>
                <w:noProof/>
                <w:webHidden/>
              </w:rPr>
              <w:fldChar w:fldCharType="separate"/>
            </w:r>
            <w:r w:rsidR="00D24D29">
              <w:rPr>
                <w:noProof/>
                <w:webHidden/>
              </w:rPr>
              <w:t>4</w:t>
            </w:r>
            <w:r w:rsidR="00910977" w:rsidRPr="001D2661">
              <w:rPr>
                <w:noProof/>
                <w:webHidden/>
              </w:rPr>
              <w:fldChar w:fldCharType="end"/>
            </w:r>
          </w:hyperlink>
        </w:p>
        <w:p w14:paraId="207C55F3"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28" w:history="1">
            <w:r w:rsidR="00910977" w:rsidRPr="001D2661">
              <w:rPr>
                <w:rStyle w:val="Hipervnculo"/>
                <w:noProof/>
                <w:color w:val="auto"/>
              </w:rPr>
              <w:t>c) Admisión del Recurso de Revisión</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_Toc180603228 \h </w:instrText>
            </w:r>
            <w:r w:rsidR="00910977" w:rsidRPr="001D2661">
              <w:rPr>
                <w:noProof/>
                <w:webHidden/>
              </w:rPr>
            </w:r>
            <w:r w:rsidR="00910977" w:rsidRPr="001D2661">
              <w:rPr>
                <w:noProof/>
                <w:webHidden/>
              </w:rPr>
              <w:fldChar w:fldCharType="separate"/>
            </w:r>
            <w:r w:rsidR="00D24D29">
              <w:rPr>
                <w:noProof/>
                <w:webHidden/>
              </w:rPr>
              <w:t>5</w:t>
            </w:r>
            <w:r w:rsidR="00910977" w:rsidRPr="001D2661">
              <w:rPr>
                <w:noProof/>
                <w:webHidden/>
              </w:rPr>
              <w:fldChar w:fldCharType="end"/>
            </w:r>
          </w:hyperlink>
        </w:p>
        <w:p w14:paraId="5CFA17ED"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29" w:history="1">
            <w:r w:rsidR="00910977" w:rsidRPr="001D2661">
              <w:rPr>
                <w:rStyle w:val="Hipervnculo"/>
                <w:noProof/>
                <w:color w:val="auto"/>
              </w:rPr>
              <w:t>d) Informe Justificado del Sujeto Obligado</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_Toc180603229 \h </w:instrText>
            </w:r>
            <w:r w:rsidR="00910977" w:rsidRPr="001D2661">
              <w:rPr>
                <w:noProof/>
                <w:webHidden/>
              </w:rPr>
            </w:r>
            <w:r w:rsidR="00910977" w:rsidRPr="001D2661">
              <w:rPr>
                <w:noProof/>
                <w:webHidden/>
              </w:rPr>
              <w:fldChar w:fldCharType="separate"/>
            </w:r>
            <w:r w:rsidR="00D24D29">
              <w:rPr>
                <w:noProof/>
                <w:webHidden/>
              </w:rPr>
              <w:t>5</w:t>
            </w:r>
            <w:r w:rsidR="00910977" w:rsidRPr="001D2661">
              <w:rPr>
                <w:noProof/>
                <w:webHidden/>
              </w:rPr>
              <w:fldChar w:fldCharType="end"/>
            </w:r>
          </w:hyperlink>
        </w:p>
        <w:p w14:paraId="0174D856"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30" w:history="1">
            <w:r w:rsidR="00910977" w:rsidRPr="001D2661">
              <w:rPr>
                <w:rStyle w:val="Hipervnculo"/>
                <w:rFonts w:eastAsia="Calibri"/>
                <w:bCs/>
                <w:noProof/>
                <w:color w:val="auto"/>
                <w:lang w:eastAsia="en-US"/>
              </w:rPr>
              <w:t>e)</w:t>
            </w:r>
            <w:r w:rsidR="00910977" w:rsidRPr="001D2661">
              <w:rPr>
                <w:rStyle w:val="Hipervnculo"/>
                <w:noProof/>
                <w:color w:val="auto"/>
              </w:rPr>
              <w:t xml:space="preserve"> </w:t>
            </w:r>
            <w:r w:rsidR="00910977" w:rsidRPr="001D2661">
              <w:rPr>
                <w:rStyle w:val="Hipervnculo"/>
                <w:noProof/>
                <w:color w:val="auto"/>
                <w:lang w:val="es-ES"/>
              </w:rPr>
              <w:t>Manifestaciones de la Parte Recurrente</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_Toc180603230 \h </w:instrText>
            </w:r>
            <w:r w:rsidR="00910977" w:rsidRPr="001D2661">
              <w:rPr>
                <w:noProof/>
                <w:webHidden/>
              </w:rPr>
            </w:r>
            <w:r w:rsidR="00910977" w:rsidRPr="001D2661">
              <w:rPr>
                <w:noProof/>
                <w:webHidden/>
              </w:rPr>
              <w:fldChar w:fldCharType="separate"/>
            </w:r>
            <w:r w:rsidR="00D24D29">
              <w:rPr>
                <w:noProof/>
                <w:webHidden/>
              </w:rPr>
              <w:t>5</w:t>
            </w:r>
            <w:r w:rsidR="00910977" w:rsidRPr="001D2661">
              <w:rPr>
                <w:noProof/>
                <w:webHidden/>
              </w:rPr>
              <w:fldChar w:fldCharType="end"/>
            </w:r>
          </w:hyperlink>
        </w:p>
        <w:p w14:paraId="7A9C0AAB"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31" w:history="1">
            <w:r w:rsidR="00910977" w:rsidRPr="001D2661">
              <w:rPr>
                <w:rStyle w:val="Hipervnculo"/>
                <w:noProof/>
                <w:color w:val="auto"/>
              </w:rPr>
              <w:t>f) Cierre de instrucción</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_Toc180603231 \h </w:instrText>
            </w:r>
            <w:r w:rsidR="00910977" w:rsidRPr="001D2661">
              <w:rPr>
                <w:noProof/>
                <w:webHidden/>
              </w:rPr>
            </w:r>
            <w:r w:rsidR="00910977" w:rsidRPr="001D2661">
              <w:rPr>
                <w:noProof/>
                <w:webHidden/>
              </w:rPr>
              <w:fldChar w:fldCharType="separate"/>
            </w:r>
            <w:r w:rsidR="00D24D29">
              <w:rPr>
                <w:noProof/>
                <w:webHidden/>
              </w:rPr>
              <w:t>5</w:t>
            </w:r>
            <w:r w:rsidR="00910977" w:rsidRPr="001D2661">
              <w:rPr>
                <w:noProof/>
                <w:webHidden/>
              </w:rPr>
              <w:fldChar w:fldCharType="end"/>
            </w:r>
          </w:hyperlink>
        </w:p>
        <w:p w14:paraId="4F524180" w14:textId="77777777" w:rsidR="00910977" w:rsidRPr="001D2661" w:rsidRDefault="00AC2618" w:rsidP="001D2661">
          <w:pPr>
            <w:pStyle w:val="TDC1"/>
            <w:tabs>
              <w:tab w:val="right" w:leader="dot" w:pos="9034"/>
            </w:tabs>
            <w:rPr>
              <w:rFonts w:asciiTheme="minorHAnsi" w:eastAsiaTheme="minorEastAsia" w:hAnsiTheme="minorHAnsi" w:cstheme="minorBidi"/>
              <w:noProof/>
              <w:szCs w:val="22"/>
              <w:lang w:eastAsia="es-MX"/>
            </w:rPr>
          </w:pPr>
          <w:hyperlink w:anchor="_Toc180603232" w:history="1">
            <w:r w:rsidR="00910977" w:rsidRPr="001D2661">
              <w:rPr>
                <w:rStyle w:val="Hipervnculo"/>
                <w:rFonts w:eastAsiaTheme="minorHAnsi"/>
                <w:noProof/>
                <w:color w:val="auto"/>
                <w:lang w:eastAsia="en-US"/>
              </w:rPr>
              <w:t>CONSIDERANDOS</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_Toc180603232 \h </w:instrText>
            </w:r>
            <w:r w:rsidR="00910977" w:rsidRPr="001D2661">
              <w:rPr>
                <w:noProof/>
                <w:webHidden/>
              </w:rPr>
            </w:r>
            <w:r w:rsidR="00910977" w:rsidRPr="001D2661">
              <w:rPr>
                <w:noProof/>
                <w:webHidden/>
              </w:rPr>
              <w:fldChar w:fldCharType="separate"/>
            </w:r>
            <w:r w:rsidR="00D24D29">
              <w:rPr>
                <w:noProof/>
                <w:webHidden/>
              </w:rPr>
              <w:t>5</w:t>
            </w:r>
            <w:r w:rsidR="00910977" w:rsidRPr="001D2661">
              <w:rPr>
                <w:noProof/>
                <w:webHidden/>
              </w:rPr>
              <w:fldChar w:fldCharType="end"/>
            </w:r>
          </w:hyperlink>
        </w:p>
        <w:p w14:paraId="21A7A8CA" w14:textId="77777777" w:rsidR="00910977" w:rsidRPr="001D2661" w:rsidRDefault="00AC2618" w:rsidP="001D2661">
          <w:pPr>
            <w:pStyle w:val="TDC2"/>
            <w:rPr>
              <w:rFonts w:asciiTheme="minorHAnsi" w:eastAsiaTheme="minorEastAsia" w:hAnsiTheme="minorHAnsi" w:cstheme="minorBidi"/>
              <w:noProof/>
              <w:szCs w:val="22"/>
              <w:lang w:eastAsia="es-MX"/>
            </w:rPr>
          </w:pPr>
          <w:hyperlink w:anchor="_Toc180603233" w:history="1">
            <w:r w:rsidR="00910977" w:rsidRPr="001D2661">
              <w:rPr>
                <w:rStyle w:val="Hipervnculo"/>
                <w:rFonts w:eastAsia="Batang"/>
                <w:noProof/>
                <w:color w:val="auto"/>
              </w:rPr>
              <w:t>PRIMERO. Procedibilidad</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_Toc180603233 \h </w:instrText>
            </w:r>
            <w:r w:rsidR="00910977" w:rsidRPr="001D2661">
              <w:rPr>
                <w:noProof/>
                <w:webHidden/>
              </w:rPr>
            </w:r>
            <w:r w:rsidR="00910977" w:rsidRPr="001D2661">
              <w:rPr>
                <w:noProof/>
                <w:webHidden/>
              </w:rPr>
              <w:fldChar w:fldCharType="separate"/>
            </w:r>
            <w:r w:rsidR="00D24D29">
              <w:rPr>
                <w:noProof/>
                <w:webHidden/>
              </w:rPr>
              <w:t>6</w:t>
            </w:r>
            <w:r w:rsidR="00910977" w:rsidRPr="001D2661">
              <w:rPr>
                <w:noProof/>
                <w:webHidden/>
              </w:rPr>
              <w:fldChar w:fldCharType="end"/>
            </w:r>
          </w:hyperlink>
        </w:p>
        <w:p w14:paraId="38030654"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34" w:history="1">
            <w:r w:rsidR="00910977" w:rsidRPr="001D2661">
              <w:rPr>
                <w:rStyle w:val="Hipervnculo"/>
                <w:noProof/>
                <w:color w:val="auto"/>
              </w:rPr>
              <w:t>a) Competencia del Instituto</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_Toc180603234 \h </w:instrText>
            </w:r>
            <w:r w:rsidR="00910977" w:rsidRPr="001D2661">
              <w:rPr>
                <w:noProof/>
                <w:webHidden/>
              </w:rPr>
            </w:r>
            <w:r w:rsidR="00910977" w:rsidRPr="001D2661">
              <w:rPr>
                <w:noProof/>
                <w:webHidden/>
              </w:rPr>
              <w:fldChar w:fldCharType="separate"/>
            </w:r>
            <w:r w:rsidR="00D24D29">
              <w:rPr>
                <w:noProof/>
                <w:webHidden/>
              </w:rPr>
              <w:t>6</w:t>
            </w:r>
            <w:r w:rsidR="00910977" w:rsidRPr="001D2661">
              <w:rPr>
                <w:noProof/>
                <w:webHidden/>
              </w:rPr>
              <w:fldChar w:fldCharType="end"/>
            </w:r>
          </w:hyperlink>
        </w:p>
        <w:p w14:paraId="6716A027"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35" w:history="1">
            <w:r w:rsidR="00910977" w:rsidRPr="001D2661">
              <w:rPr>
                <w:rStyle w:val="Hipervnculo"/>
                <w:noProof/>
                <w:color w:val="auto"/>
              </w:rPr>
              <w:t>b) Legitimidad de la parte recurrente</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_Toc180603235 \h </w:instrText>
            </w:r>
            <w:r w:rsidR="00910977" w:rsidRPr="001D2661">
              <w:rPr>
                <w:noProof/>
                <w:webHidden/>
              </w:rPr>
            </w:r>
            <w:r w:rsidR="00910977" w:rsidRPr="001D2661">
              <w:rPr>
                <w:noProof/>
                <w:webHidden/>
              </w:rPr>
              <w:fldChar w:fldCharType="separate"/>
            </w:r>
            <w:r w:rsidR="00D24D29">
              <w:rPr>
                <w:noProof/>
                <w:webHidden/>
              </w:rPr>
              <w:t>6</w:t>
            </w:r>
            <w:r w:rsidR="00910977" w:rsidRPr="001D2661">
              <w:rPr>
                <w:noProof/>
                <w:webHidden/>
              </w:rPr>
              <w:fldChar w:fldCharType="end"/>
            </w:r>
          </w:hyperlink>
        </w:p>
        <w:p w14:paraId="6A0AD7A0"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36" w:history="1">
            <w:r w:rsidR="00910977" w:rsidRPr="001D2661">
              <w:rPr>
                <w:rStyle w:val="Hipervnculo"/>
                <w:rFonts w:eastAsia="Calibri"/>
                <w:noProof/>
                <w:color w:val="auto"/>
                <w:lang w:eastAsia="es-ES_tradnl"/>
              </w:rPr>
              <w:t>c) Plazo para interponer el recurso</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_Toc180603236 \h </w:instrText>
            </w:r>
            <w:r w:rsidR="00910977" w:rsidRPr="001D2661">
              <w:rPr>
                <w:noProof/>
                <w:webHidden/>
              </w:rPr>
            </w:r>
            <w:r w:rsidR="00910977" w:rsidRPr="001D2661">
              <w:rPr>
                <w:noProof/>
                <w:webHidden/>
              </w:rPr>
              <w:fldChar w:fldCharType="separate"/>
            </w:r>
            <w:r w:rsidR="00D24D29">
              <w:rPr>
                <w:noProof/>
                <w:webHidden/>
              </w:rPr>
              <w:t>6</w:t>
            </w:r>
            <w:r w:rsidR="00910977" w:rsidRPr="001D2661">
              <w:rPr>
                <w:noProof/>
                <w:webHidden/>
              </w:rPr>
              <w:fldChar w:fldCharType="end"/>
            </w:r>
          </w:hyperlink>
        </w:p>
        <w:p w14:paraId="3CFEFEB3"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37" w:history="1">
            <w:r w:rsidR="00910977" w:rsidRPr="001D2661">
              <w:rPr>
                <w:rStyle w:val="Hipervnculo"/>
                <w:rFonts w:eastAsia="Calibri"/>
                <w:noProof/>
                <w:color w:val="auto"/>
                <w:lang w:eastAsia="es-ES_tradnl"/>
              </w:rPr>
              <w:t>d) Causal de procedencia.</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_Toc180603237 \h </w:instrText>
            </w:r>
            <w:r w:rsidR="00910977" w:rsidRPr="001D2661">
              <w:rPr>
                <w:noProof/>
                <w:webHidden/>
              </w:rPr>
            </w:r>
            <w:r w:rsidR="00910977" w:rsidRPr="001D2661">
              <w:rPr>
                <w:noProof/>
                <w:webHidden/>
              </w:rPr>
              <w:fldChar w:fldCharType="separate"/>
            </w:r>
            <w:r w:rsidR="00D24D29">
              <w:rPr>
                <w:noProof/>
                <w:webHidden/>
              </w:rPr>
              <w:t>7</w:t>
            </w:r>
            <w:r w:rsidR="00910977" w:rsidRPr="001D2661">
              <w:rPr>
                <w:noProof/>
                <w:webHidden/>
              </w:rPr>
              <w:fldChar w:fldCharType="end"/>
            </w:r>
          </w:hyperlink>
        </w:p>
        <w:p w14:paraId="1D7DF03F"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38" w:history="1">
            <w:r w:rsidR="00910977" w:rsidRPr="001D2661">
              <w:rPr>
                <w:rStyle w:val="Hipervnculo"/>
                <w:noProof/>
                <w:color w:val="auto"/>
              </w:rPr>
              <w:t>e) Requisitos formales para la interposición del recurso</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_Toc180603238 \h </w:instrText>
            </w:r>
            <w:r w:rsidR="00910977" w:rsidRPr="001D2661">
              <w:rPr>
                <w:noProof/>
                <w:webHidden/>
              </w:rPr>
            </w:r>
            <w:r w:rsidR="00910977" w:rsidRPr="001D2661">
              <w:rPr>
                <w:noProof/>
                <w:webHidden/>
              </w:rPr>
              <w:fldChar w:fldCharType="separate"/>
            </w:r>
            <w:r w:rsidR="00D24D29">
              <w:rPr>
                <w:noProof/>
                <w:webHidden/>
              </w:rPr>
              <w:t>7</w:t>
            </w:r>
            <w:r w:rsidR="00910977" w:rsidRPr="001D2661">
              <w:rPr>
                <w:noProof/>
                <w:webHidden/>
              </w:rPr>
              <w:fldChar w:fldCharType="end"/>
            </w:r>
          </w:hyperlink>
        </w:p>
        <w:p w14:paraId="037664DA" w14:textId="77777777" w:rsidR="00910977" w:rsidRPr="001D2661" w:rsidRDefault="00AC2618" w:rsidP="001D2661">
          <w:pPr>
            <w:pStyle w:val="TDC2"/>
            <w:rPr>
              <w:rFonts w:asciiTheme="minorHAnsi" w:eastAsiaTheme="minorEastAsia" w:hAnsiTheme="minorHAnsi" w:cstheme="minorBidi"/>
              <w:noProof/>
              <w:szCs w:val="22"/>
              <w:lang w:eastAsia="es-MX"/>
            </w:rPr>
          </w:pPr>
          <w:hyperlink w:anchor="_Toc180603239" w:history="1">
            <w:r w:rsidR="00910977" w:rsidRPr="001D2661">
              <w:rPr>
                <w:rStyle w:val="Hipervnculo"/>
                <w:noProof/>
                <w:color w:val="auto"/>
              </w:rPr>
              <w:t>SEGUNDO. Estudio de Fondo</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_Toc180603239 \h </w:instrText>
            </w:r>
            <w:r w:rsidR="00910977" w:rsidRPr="001D2661">
              <w:rPr>
                <w:noProof/>
                <w:webHidden/>
              </w:rPr>
            </w:r>
            <w:r w:rsidR="00910977" w:rsidRPr="001D2661">
              <w:rPr>
                <w:noProof/>
                <w:webHidden/>
              </w:rPr>
              <w:fldChar w:fldCharType="separate"/>
            </w:r>
            <w:r w:rsidR="00D24D29">
              <w:rPr>
                <w:noProof/>
                <w:webHidden/>
              </w:rPr>
              <w:t>7</w:t>
            </w:r>
            <w:r w:rsidR="00910977" w:rsidRPr="001D2661">
              <w:rPr>
                <w:noProof/>
                <w:webHidden/>
              </w:rPr>
              <w:fldChar w:fldCharType="end"/>
            </w:r>
          </w:hyperlink>
        </w:p>
        <w:p w14:paraId="7007A901"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40" w:history="1">
            <w:r w:rsidR="00910977" w:rsidRPr="001D2661">
              <w:rPr>
                <w:rStyle w:val="Hipervnculo"/>
                <w:noProof/>
                <w:color w:val="auto"/>
              </w:rPr>
              <w:t>a) Mandato de transparencia y responsabilidad del Sujeto Obligado</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_Toc180603240 \h </w:instrText>
            </w:r>
            <w:r w:rsidR="00910977" w:rsidRPr="001D2661">
              <w:rPr>
                <w:noProof/>
                <w:webHidden/>
              </w:rPr>
            </w:r>
            <w:r w:rsidR="00910977" w:rsidRPr="001D2661">
              <w:rPr>
                <w:noProof/>
                <w:webHidden/>
              </w:rPr>
              <w:fldChar w:fldCharType="separate"/>
            </w:r>
            <w:r w:rsidR="00D24D29">
              <w:rPr>
                <w:noProof/>
                <w:webHidden/>
              </w:rPr>
              <w:t>7</w:t>
            </w:r>
            <w:r w:rsidR="00910977" w:rsidRPr="001D2661">
              <w:rPr>
                <w:noProof/>
                <w:webHidden/>
              </w:rPr>
              <w:fldChar w:fldCharType="end"/>
            </w:r>
          </w:hyperlink>
        </w:p>
        <w:p w14:paraId="70EB72D6"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41" w:history="1">
            <w:r w:rsidR="00910977" w:rsidRPr="001D2661">
              <w:rPr>
                <w:rStyle w:val="Hipervnculo"/>
                <w:rFonts w:eastAsia="Calibri"/>
                <w:noProof/>
                <w:color w:val="auto"/>
                <w:lang w:eastAsia="es-ES_tradnl"/>
              </w:rPr>
              <w:t>b) Controversia a resolver</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_Toc180603241 \h </w:instrText>
            </w:r>
            <w:r w:rsidR="00910977" w:rsidRPr="001D2661">
              <w:rPr>
                <w:noProof/>
                <w:webHidden/>
              </w:rPr>
            </w:r>
            <w:r w:rsidR="00910977" w:rsidRPr="001D2661">
              <w:rPr>
                <w:noProof/>
                <w:webHidden/>
              </w:rPr>
              <w:fldChar w:fldCharType="separate"/>
            </w:r>
            <w:r w:rsidR="00D24D29">
              <w:rPr>
                <w:noProof/>
                <w:webHidden/>
              </w:rPr>
              <w:t>10</w:t>
            </w:r>
            <w:r w:rsidR="00910977" w:rsidRPr="001D2661">
              <w:rPr>
                <w:noProof/>
                <w:webHidden/>
              </w:rPr>
              <w:fldChar w:fldCharType="end"/>
            </w:r>
          </w:hyperlink>
        </w:p>
        <w:p w14:paraId="13A1761A"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42" w:history="1">
            <w:r w:rsidR="00910977" w:rsidRPr="001D2661">
              <w:rPr>
                <w:rStyle w:val="Hipervnculo"/>
                <w:noProof/>
                <w:color w:val="auto"/>
              </w:rPr>
              <w:t>c) Estudio de la controversia</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_Toc180603242 \h </w:instrText>
            </w:r>
            <w:r w:rsidR="00910977" w:rsidRPr="001D2661">
              <w:rPr>
                <w:noProof/>
                <w:webHidden/>
              </w:rPr>
            </w:r>
            <w:r w:rsidR="00910977" w:rsidRPr="001D2661">
              <w:rPr>
                <w:noProof/>
                <w:webHidden/>
              </w:rPr>
              <w:fldChar w:fldCharType="separate"/>
            </w:r>
            <w:r w:rsidR="00D24D29">
              <w:rPr>
                <w:noProof/>
                <w:webHidden/>
              </w:rPr>
              <w:t>11</w:t>
            </w:r>
            <w:r w:rsidR="00910977" w:rsidRPr="001D2661">
              <w:rPr>
                <w:noProof/>
                <w:webHidden/>
              </w:rPr>
              <w:fldChar w:fldCharType="end"/>
            </w:r>
          </w:hyperlink>
        </w:p>
        <w:p w14:paraId="343C8EC0" w14:textId="77777777" w:rsidR="00910977" w:rsidRPr="001D2661" w:rsidRDefault="00AC2618" w:rsidP="001D2661">
          <w:pPr>
            <w:pStyle w:val="TDC3"/>
            <w:rPr>
              <w:rFonts w:asciiTheme="minorHAnsi" w:eastAsiaTheme="minorEastAsia" w:hAnsiTheme="minorHAnsi" w:cstheme="minorBidi"/>
              <w:noProof/>
              <w:szCs w:val="22"/>
              <w:lang w:eastAsia="es-MX"/>
            </w:rPr>
          </w:pPr>
          <w:hyperlink w:anchor="_Toc180603243" w:history="1">
            <w:r w:rsidR="00910977" w:rsidRPr="001D2661">
              <w:rPr>
                <w:rStyle w:val="Hipervnculo"/>
                <w:noProof/>
                <w:color w:val="auto"/>
              </w:rPr>
              <w:t>e) Conclusión</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_Toc180603243 \h </w:instrText>
            </w:r>
            <w:r w:rsidR="00910977" w:rsidRPr="001D2661">
              <w:rPr>
                <w:noProof/>
                <w:webHidden/>
              </w:rPr>
            </w:r>
            <w:r w:rsidR="00910977" w:rsidRPr="001D2661">
              <w:rPr>
                <w:noProof/>
                <w:webHidden/>
              </w:rPr>
              <w:fldChar w:fldCharType="separate"/>
            </w:r>
            <w:r w:rsidR="00D24D29">
              <w:rPr>
                <w:noProof/>
                <w:webHidden/>
              </w:rPr>
              <w:t>16</w:t>
            </w:r>
            <w:r w:rsidR="00910977" w:rsidRPr="001D2661">
              <w:rPr>
                <w:noProof/>
                <w:webHidden/>
              </w:rPr>
              <w:fldChar w:fldCharType="end"/>
            </w:r>
          </w:hyperlink>
        </w:p>
        <w:p w14:paraId="123D2449" w14:textId="77777777" w:rsidR="00910977" w:rsidRPr="001D2661" w:rsidRDefault="00AC2618" w:rsidP="001D2661">
          <w:pPr>
            <w:pStyle w:val="TDC1"/>
            <w:tabs>
              <w:tab w:val="right" w:leader="dot" w:pos="9034"/>
            </w:tabs>
            <w:rPr>
              <w:rFonts w:asciiTheme="minorHAnsi" w:eastAsiaTheme="minorEastAsia" w:hAnsiTheme="minorHAnsi" w:cstheme="minorBidi"/>
              <w:noProof/>
              <w:szCs w:val="22"/>
              <w:lang w:eastAsia="es-MX"/>
            </w:rPr>
          </w:pPr>
          <w:hyperlink w:anchor="_Toc180603244" w:history="1">
            <w:r w:rsidR="00910977" w:rsidRPr="001D2661">
              <w:rPr>
                <w:rStyle w:val="Hipervnculo"/>
                <w:noProof/>
                <w:color w:val="auto"/>
              </w:rPr>
              <w:t>RESUELVE</w:t>
            </w:r>
            <w:r w:rsidR="00910977" w:rsidRPr="001D2661">
              <w:rPr>
                <w:noProof/>
                <w:webHidden/>
              </w:rPr>
              <w:tab/>
            </w:r>
            <w:r w:rsidR="00910977" w:rsidRPr="001D2661">
              <w:rPr>
                <w:noProof/>
                <w:webHidden/>
              </w:rPr>
              <w:fldChar w:fldCharType="begin"/>
            </w:r>
            <w:r w:rsidR="00910977" w:rsidRPr="001D2661">
              <w:rPr>
                <w:noProof/>
                <w:webHidden/>
              </w:rPr>
              <w:instrText xml:space="preserve"> PAGEREF _Toc180603244 \h </w:instrText>
            </w:r>
            <w:r w:rsidR="00910977" w:rsidRPr="001D2661">
              <w:rPr>
                <w:noProof/>
                <w:webHidden/>
              </w:rPr>
            </w:r>
            <w:r w:rsidR="00910977" w:rsidRPr="001D2661">
              <w:rPr>
                <w:noProof/>
                <w:webHidden/>
              </w:rPr>
              <w:fldChar w:fldCharType="separate"/>
            </w:r>
            <w:r w:rsidR="00D24D29">
              <w:rPr>
                <w:noProof/>
                <w:webHidden/>
              </w:rPr>
              <w:t>17</w:t>
            </w:r>
            <w:r w:rsidR="00910977" w:rsidRPr="001D2661">
              <w:rPr>
                <w:noProof/>
                <w:webHidden/>
              </w:rPr>
              <w:fldChar w:fldCharType="end"/>
            </w:r>
          </w:hyperlink>
        </w:p>
        <w:p w14:paraId="0C82FD7A" w14:textId="56536608" w:rsidR="009B2945" w:rsidRPr="001D2661" w:rsidRDefault="00AE3DA7" w:rsidP="001D2661">
          <w:pPr>
            <w:spacing w:line="240" w:lineRule="auto"/>
            <w:rPr>
              <w:b/>
              <w:bCs/>
              <w:lang w:val="es-ES"/>
            </w:rPr>
          </w:pPr>
          <w:r w:rsidRPr="001D2661">
            <w:rPr>
              <w:b/>
              <w:bCs/>
              <w:sz w:val="16"/>
              <w:szCs w:val="16"/>
              <w:lang w:val="es-ES"/>
            </w:rPr>
            <w:fldChar w:fldCharType="end"/>
          </w:r>
        </w:p>
      </w:sdtContent>
    </w:sdt>
    <w:p w14:paraId="603A07E2" w14:textId="77777777" w:rsidR="00646436" w:rsidRPr="001D2661" w:rsidRDefault="00646436" w:rsidP="001D2661">
      <w:pPr>
        <w:rPr>
          <w:rFonts w:cs="Tahoma"/>
          <w:szCs w:val="22"/>
        </w:rPr>
        <w:sectPr w:rsidR="00646436" w:rsidRPr="001D266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F60A681" w:rsidR="00775BFC" w:rsidRPr="001D2661" w:rsidRDefault="00775BFC" w:rsidP="001D2661">
      <w:pPr>
        <w:rPr>
          <w:b/>
        </w:rPr>
      </w:pPr>
      <w:r w:rsidRPr="001D2661">
        <w:lastRenderedPageBreak/>
        <w:t xml:space="preserve">Resolución del Pleno del Instituto de Transparencia, Acceso a la Información Pública y Protección de Datos Personales del Estado de México y Municipios, con domicilio en Metepec, Estado de México, de </w:t>
      </w:r>
      <w:r w:rsidR="006B6FCB" w:rsidRPr="001D2661">
        <w:rPr>
          <w:b/>
        </w:rPr>
        <w:t>seis de noviembre</w:t>
      </w:r>
      <w:r w:rsidR="00E85A73" w:rsidRPr="001D2661">
        <w:rPr>
          <w:b/>
        </w:rPr>
        <w:t xml:space="preserve"> de dos mil veinticuatro</w:t>
      </w:r>
      <w:r w:rsidR="004D2924" w:rsidRPr="001D2661">
        <w:rPr>
          <w:b/>
        </w:rPr>
        <w:t>.</w:t>
      </w:r>
    </w:p>
    <w:p w14:paraId="0AF3AAC4" w14:textId="77777777" w:rsidR="00775BFC" w:rsidRPr="001D2661" w:rsidRDefault="00775BFC" w:rsidP="001D2661"/>
    <w:p w14:paraId="40EAE038" w14:textId="06992823" w:rsidR="00775BFC" w:rsidRPr="001D2661" w:rsidRDefault="00775BFC" w:rsidP="001D2661">
      <w:r w:rsidRPr="001D2661">
        <w:rPr>
          <w:b/>
        </w:rPr>
        <w:t xml:space="preserve">VISTO </w:t>
      </w:r>
      <w:r w:rsidRPr="001D2661">
        <w:t xml:space="preserve">el expediente formado con motivo del Recurso de Revisión </w:t>
      </w:r>
      <w:r w:rsidR="00BF467D" w:rsidRPr="001D2661">
        <w:rPr>
          <w:rFonts w:eastAsia="Calibri"/>
          <w:b/>
          <w:lang w:eastAsia="en-US"/>
        </w:rPr>
        <w:t>05922/INFOEM/IP/RR/2024</w:t>
      </w:r>
      <w:r w:rsidR="00E85A73" w:rsidRPr="001D2661">
        <w:rPr>
          <w:rFonts w:eastAsia="Calibri"/>
          <w:b/>
          <w:lang w:eastAsia="en-US"/>
        </w:rPr>
        <w:t xml:space="preserve"> </w:t>
      </w:r>
      <w:r w:rsidRPr="001D2661">
        <w:t xml:space="preserve">interpuesto </w:t>
      </w:r>
      <w:r w:rsidR="00A91BC5" w:rsidRPr="001D2661">
        <w:t xml:space="preserve">por </w:t>
      </w:r>
      <w:bookmarkStart w:id="2" w:name="_GoBack"/>
      <w:r w:rsidR="00D81744">
        <w:rPr>
          <w:b/>
        </w:rPr>
        <w:t>XXXXX XXXXXXXXX XXXXXX</w:t>
      </w:r>
      <w:bookmarkEnd w:id="2"/>
      <w:r w:rsidRPr="001D2661">
        <w:t xml:space="preserve">, a quien en lo subsecuente se le denominará </w:t>
      </w:r>
      <w:r w:rsidRPr="001D2661">
        <w:rPr>
          <w:b/>
          <w:bCs/>
        </w:rPr>
        <w:t>LA PARTE RECURRENTE</w:t>
      </w:r>
      <w:r w:rsidRPr="001D2661">
        <w:t xml:space="preserve">, en contra de la respuesta emitida por </w:t>
      </w:r>
      <w:r w:rsidR="00BF467D" w:rsidRPr="001D2661">
        <w:rPr>
          <w:b/>
          <w:bCs/>
        </w:rPr>
        <w:t>Ayuntamiento de Tultitlán</w:t>
      </w:r>
      <w:r w:rsidRPr="001D2661">
        <w:t xml:space="preserve">, en adelante </w:t>
      </w:r>
      <w:r w:rsidRPr="001D2661">
        <w:rPr>
          <w:b/>
          <w:bCs/>
        </w:rPr>
        <w:t>EL SUJETO OBLIGADO</w:t>
      </w:r>
      <w:r w:rsidRPr="001D2661">
        <w:rPr>
          <w:rFonts w:eastAsia="Calibri"/>
          <w:lang w:eastAsia="en-US"/>
        </w:rPr>
        <w:t xml:space="preserve">, </w:t>
      </w:r>
      <w:r w:rsidRPr="001D2661">
        <w:t>se emite la presente Resolución con base en los Antecedentes y Considerandos que se exponen a continuación:</w:t>
      </w:r>
    </w:p>
    <w:p w14:paraId="2116968C" w14:textId="77777777" w:rsidR="00775BFC" w:rsidRPr="001D2661" w:rsidRDefault="00775BFC" w:rsidP="001D2661"/>
    <w:p w14:paraId="5A444FB6" w14:textId="639D3567" w:rsidR="00664420" w:rsidRPr="001D2661" w:rsidRDefault="00664420" w:rsidP="001D2661">
      <w:pPr>
        <w:pStyle w:val="Ttulo1"/>
      </w:pPr>
      <w:bookmarkStart w:id="3" w:name="_Toc180603220"/>
      <w:r w:rsidRPr="001D2661">
        <w:t>ANTECEDENTES</w:t>
      </w:r>
      <w:bookmarkEnd w:id="3"/>
    </w:p>
    <w:p w14:paraId="5CB5034E" w14:textId="77777777" w:rsidR="00AC2DB8" w:rsidRPr="001D2661" w:rsidRDefault="00AC2DB8" w:rsidP="001D2661"/>
    <w:p w14:paraId="09B2D38F" w14:textId="6E49D146" w:rsidR="00664420" w:rsidRPr="001D2661" w:rsidRDefault="00E37A3F" w:rsidP="001D2661">
      <w:pPr>
        <w:pStyle w:val="Ttulo2"/>
      </w:pPr>
      <w:bookmarkStart w:id="4" w:name="_Toc180603221"/>
      <w:r w:rsidRPr="001D2661">
        <w:t>DE LA SOLICITUD DE INFORMACIÓN</w:t>
      </w:r>
      <w:bookmarkEnd w:id="4"/>
    </w:p>
    <w:p w14:paraId="7B7535DF" w14:textId="77777777" w:rsidR="00E37A3F" w:rsidRPr="001D2661" w:rsidRDefault="00E37A3F" w:rsidP="001D2661"/>
    <w:p w14:paraId="2C6AD1A5" w14:textId="0405B3CD" w:rsidR="00664420" w:rsidRPr="001D2661" w:rsidRDefault="00E37A3F" w:rsidP="001D2661">
      <w:pPr>
        <w:pStyle w:val="Ttulo3"/>
      </w:pPr>
      <w:bookmarkStart w:id="5" w:name="_Toc180603222"/>
      <w:r w:rsidRPr="001D2661">
        <w:t xml:space="preserve">a) </w:t>
      </w:r>
      <w:r w:rsidR="006B10B0" w:rsidRPr="001D2661">
        <w:t>S</w:t>
      </w:r>
      <w:r w:rsidR="00664420" w:rsidRPr="001D2661">
        <w:t xml:space="preserve">olicitud de </w:t>
      </w:r>
      <w:r w:rsidR="006B10B0" w:rsidRPr="001D2661">
        <w:t>i</w:t>
      </w:r>
      <w:r w:rsidR="00664420" w:rsidRPr="001D2661">
        <w:t>nformación</w:t>
      </w:r>
      <w:bookmarkEnd w:id="5"/>
    </w:p>
    <w:p w14:paraId="06DCD29D" w14:textId="7858CF60" w:rsidR="009A2D78" w:rsidRPr="001D2661" w:rsidRDefault="006B10B0" w:rsidP="001D2661">
      <w:pPr>
        <w:pStyle w:val="Prrafodelista"/>
        <w:tabs>
          <w:tab w:val="left" w:pos="0"/>
        </w:tabs>
        <w:ind w:left="0"/>
        <w:contextualSpacing w:val="0"/>
        <w:rPr>
          <w:rFonts w:cs="Tahoma"/>
        </w:rPr>
      </w:pPr>
      <w:r w:rsidRPr="001D2661">
        <w:rPr>
          <w:rFonts w:cs="Tahoma"/>
        </w:rPr>
        <w:t>El</w:t>
      </w:r>
      <w:r w:rsidR="00664420" w:rsidRPr="001D2661">
        <w:rPr>
          <w:rFonts w:cs="Tahoma"/>
        </w:rPr>
        <w:t xml:space="preserve"> </w:t>
      </w:r>
      <w:r w:rsidR="00BF467D" w:rsidRPr="001D2661">
        <w:rPr>
          <w:rFonts w:cs="Tahoma"/>
          <w:b/>
          <w:bCs/>
        </w:rPr>
        <w:t>cinco de septiembre</w:t>
      </w:r>
      <w:r w:rsidR="001D2957" w:rsidRPr="001D2661">
        <w:rPr>
          <w:rFonts w:cs="Tahoma"/>
          <w:b/>
          <w:bCs/>
        </w:rPr>
        <w:t xml:space="preserve"> de mayo</w:t>
      </w:r>
      <w:r w:rsidR="00E85A73" w:rsidRPr="001D2661">
        <w:rPr>
          <w:rFonts w:cs="Tahoma"/>
          <w:b/>
          <w:bCs/>
        </w:rPr>
        <w:t xml:space="preserve"> de dos mil veinticuatro</w:t>
      </w:r>
      <w:r w:rsidR="00664420" w:rsidRPr="001D2661">
        <w:rPr>
          <w:rFonts w:cs="Tahoma"/>
        </w:rPr>
        <w:t xml:space="preserve">, </w:t>
      </w:r>
      <w:r w:rsidRPr="001D2661">
        <w:rPr>
          <w:b/>
          <w:bCs/>
        </w:rPr>
        <w:t>LA PARTE RECURRENTE</w:t>
      </w:r>
      <w:r w:rsidR="00664420" w:rsidRPr="001D2661">
        <w:rPr>
          <w:rFonts w:cs="Tahoma"/>
        </w:rPr>
        <w:t xml:space="preserve"> presentó una solicitud de acceso a la información pública </w:t>
      </w:r>
      <w:r w:rsidR="001F3515" w:rsidRPr="001D2661">
        <w:rPr>
          <w:rFonts w:cs="Tahoma"/>
        </w:rPr>
        <w:t xml:space="preserve">ante el </w:t>
      </w:r>
      <w:r w:rsidR="001F3515" w:rsidRPr="001D2661">
        <w:rPr>
          <w:rFonts w:cs="Tahoma"/>
          <w:b/>
          <w:bCs/>
        </w:rPr>
        <w:t>SUJETO OBLIGADO</w:t>
      </w:r>
      <w:r w:rsidR="001F3515" w:rsidRPr="001D2661">
        <w:rPr>
          <w:rFonts w:cs="Tahoma"/>
        </w:rPr>
        <w:t xml:space="preserve">, </w:t>
      </w:r>
      <w:r w:rsidR="00E85A73" w:rsidRPr="001D2661">
        <w:rPr>
          <w:rFonts w:cs="Tahoma"/>
        </w:rPr>
        <w:t xml:space="preserve">a través </w:t>
      </w:r>
      <w:r w:rsidRPr="001D2661">
        <w:rPr>
          <w:rFonts w:cs="Tahoma"/>
        </w:rPr>
        <w:t>de</w:t>
      </w:r>
      <w:r w:rsidR="009565E8" w:rsidRPr="001D2661">
        <w:rPr>
          <w:rFonts w:cs="Tahoma"/>
        </w:rPr>
        <w:t>l</w:t>
      </w:r>
      <w:r w:rsidRPr="001D2661">
        <w:rPr>
          <w:rFonts w:cs="Tahoma"/>
        </w:rPr>
        <w:t xml:space="preserve"> Sistema de Acceso a la Información Mexiquense</w:t>
      </w:r>
      <w:r w:rsidR="009A2D78" w:rsidRPr="001D2661">
        <w:rPr>
          <w:rFonts w:cs="Tahoma"/>
        </w:rPr>
        <w:t xml:space="preserve"> (</w:t>
      </w:r>
      <w:r w:rsidRPr="001D2661">
        <w:rPr>
          <w:rFonts w:cs="Tahoma"/>
        </w:rPr>
        <w:t>SAIMEX</w:t>
      </w:r>
      <w:r w:rsidR="009A2D78" w:rsidRPr="001D2661">
        <w:rPr>
          <w:rFonts w:cs="Tahoma"/>
        </w:rPr>
        <w:t>). Dicha solicitud quedó</w:t>
      </w:r>
      <w:r w:rsidRPr="001D2661">
        <w:rPr>
          <w:rFonts w:cs="Tahoma"/>
        </w:rPr>
        <w:t xml:space="preserve"> registrada c</w:t>
      </w:r>
      <w:r w:rsidR="00664420" w:rsidRPr="001D2661">
        <w:rPr>
          <w:rFonts w:cs="Tahoma"/>
        </w:rPr>
        <w:t>on el número de folio</w:t>
      </w:r>
      <w:r w:rsidR="00664420" w:rsidRPr="001D2661">
        <w:rPr>
          <w:rFonts w:cs="Tahoma"/>
          <w:b/>
          <w:bCs/>
        </w:rPr>
        <w:t xml:space="preserve"> </w:t>
      </w:r>
      <w:r w:rsidR="00BF467D" w:rsidRPr="001D2661">
        <w:rPr>
          <w:rFonts w:cs="Tahoma"/>
          <w:b/>
          <w:bCs/>
        </w:rPr>
        <w:t>00340/TULTITLA/IP/2024</w:t>
      </w:r>
      <w:r w:rsidR="00307D18" w:rsidRPr="001D2661">
        <w:rPr>
          <w:rFonts w:cs="Tahoma"/>
          <w:b/>
          <w:bCs/>
        </w:rPr>
        <w:t xml:space="preserve"> </w:t>
      </w:r>
      <w:r w:rsidR="002A3601" w:rsidRPr="001D2661">
        <w:rPr>
          <w:rFonts w:cs="Tahoma"/>
        </w:rPr>
        <w:t xml:space="preserve"> y en ella </w:t>
      </w:r>
      <w:r w:rsidR="009A2D78" w:rsidRPr="001D2661">
        <w:rPr>
          <w:rFonts w:cs="Tahoma"/>
        </w:rPr>
        <w:t>se requirió la siguiente información:</w:t>
      </w:r>
    </w:p>
    <w:p w14:paraId="0459D6AC" w14:textId="77777777" w:rsidR="00664420" w:rsidRPr="001D2661" w:rsidRDefault="00664420" w:rsidP="001D2661">
      <w:pPr>
        <w:tabs>
          <w:tab w:val="left" w:pos="4667"/>
        </w:tabs>
        <w:ind w:left="567" w:right="567"/>
        <w:rPr>
          <w:rFonts w:cs="Tahoma"/>
          <w:b/>
          <w:bCs/>
        </w:rPr>
      </w:pPr>
    </w:p>
    <w:p w14:paraId="179FB369" w14:textId="316BB615" w:rsidR="00664420" w:rsidRPr="001D2661" w:rsidRDefault="009565E8" w:rsidP="001D2661">
      <w:pPr>
        <w:pStyle w:val="Puesto"/>
      </w:pPr>
      <w:r w:rsidRPr="001D2661">
        <w:t>“</w:t>
      </w:r>
      <w:r w:rsidR="00BF467D" w:rsidRPr="001D2661">
        <w:t xml:space="preserve">1.- que me informe el área jurídica con todo y fundamento que pasa en el caso de que un servidor publico ejecute u ordene actos que no estén dentro de sus funciones, y en caso de ser un delito, que delito sería. 2.- si tengo conocimiento de que un servidor publico ordene o ejecute actos que no son sus funciones cual es el procedimiento que tengo que seguir para que sea sancionado, pero buscando que sea anónimo por el temor a las represalias. l3.- a contraloría es un medio para realizar la denuncia en el caso anterior, tiene obligación o es </w:t>
      </w:r>
      <w:r w:rsidR="00BF467D" w:rsidRPr="001D2661">
        <w:lastRenderedPageBreak/>
        <w:t>solo opcional?? y 4.- si esa autoridad (contraloría )no le da seguimiento que puedo hacer, tiene un superior?</w:t>
      </w:r>
      <w:r w:rsidRPr="001D2661">
        <w:t>”</w:t>
      </w:r>
    </w:p>
    <w:p w14:paraId="64B27DE3" w14:textId="77777777" w:rsidR="00664420" w:rsidRPr="001D2661" w:rsidRDefault="00664420" w:rsidP="001D2661">
      <w:pPr>
        <w:tabs>
          <w:tab w:val="left" w:pos="4667"/>
        </w:tabs>
        <w:ind w:left="567" w:right="567"/>
        <w:rPr>
          <w:rFonts w:cs="Tahoma"/>
          <w:bCs/>
          <w:i/>
          <w:szCs w:val="22"/>
        </w:rPr>
      </w:pPr>
    </w:p>
    <w:p w14:paraId="0BD6321D" w14:textId="0EC6F607" w:rsidR="00664420" w:rsidRPr="001D2661" w:rsidRDefault="009A2D78" w:rsidP="001D2661">
      <w:pPr>
        <w:tabs>
          <w:tab w:val="left" w:pos="4667"/>
        </w:tabs>
        <w:ind w:left="567" w:right="567"/>
        <w:rPr>
          <w:rFonts w:cs="Tahoma"/>
          <w:b/>
          <w:bCs/>
          <w:szCs w:val="22"/>
        </w:rPr>
      </w:pPr>
      <w:r w:rsidRPr="001D2661">
        <w:rPr>
          <w:rFonts w:cs="Tahoma"/>
          <w:b/>
          <w:bCs/>
          <w:szCs w:val="22"/>
        </w:rPr>
        <w:t>Modalidad de entrega</w:t>
      </w:r>
      <w:r w:rsidRPr="001D2661">
        <w:rPr>
          <w:rFonts w:cs="Tahoma"/>
          <w:bCs/>
          <w:szCs w:val="22"/>
        </w:rPr>
        <w:t xml:space="preserve">: </w:t>
      </w:r>
      <w:r w:rsidR="004D2924" w:rsidRPr="001D2661">
        <w:rPr>
          <w:rFonts w:cs="Tahoma"/>
          <w:bCs/>
          <w:szCs w:val="22"/>
        </w:rPr>
        <w:t xml:space="preserve">Vía </w:t>
      </w:r>
      <w:r w:rsidR="004D2924" w:rsidRPr="001D2661">
        <w:rPr>
          <w:rFonts w:cs="Tahoma"/>
          <w:b/>
          <w:bCs/>
          <w:szCs w:val="22"/>
        </w:rPr>
        <w:t xml:space="preserve">SAIMEX. </w:t>
      </w:r>
    </w:p>
    <w:p w14:paraId="766E7150" w14:textId="77777777" w:rsidR="00773AD0" w:rsidRPr="001D2661" w:rsidRDefault="00773AD0" w:rsidP="001D2661">
      <w:pPr>
        <w:rPr>
          <w:lang w:val="es-ES"/>
        </w:rPr>
      </w:pPr>
    </w:p>
    <w:p w14:paraId="4B9D638F" w14:textId="77777777" w:rsidR="00BF467D" w:rsidRPr="001D2661" w:rsidRDefault="00BF467D" w:rsidP="001D2661">
      <w:pPr>
        <w:pStyle w:val="Ttulo3"/>
      </w:pPr>
      <w:bookmarkStart w:id="6" w:name="_Toc165402856"/>
      <w:bookmarkStart w:id="7" w:name="_Toc180603223"/>
      <w:r w:rsidRPr="001D2661">
        <w:t>b) Turno de la solicitud de información</w:t>
      </w:r>
      <w:bookmarkEnd w:id="6"/>
      <w:bookmarkEnd w:id="7"/>
    </w:p>
    <w:p w14:paraId="70014DFF" w14:textId="52EF0FDF" w:rsidR="00BF467D" w:rsidRPr="001D2661" w:rsidRDefault="00BF467D" w:rsidP="001D2661">
      <w:r w:rsidRPr="001D2661">
        <w:t xml:space="preserve">En cumplimiento al artículo 162 de la Ley de Transparencia y Acceso a la Información Pública del Estado de México y Municipios, el </w:t>
      </w:r>
      <w:r w:rsidRPr="001D2661">
        <w:rPr>
          <w:rFonts w:eastAsia="Palatino Linotype" w:cs="Palatino Linotype"/>
          <w:b/>
        </w:rPr>
        <w:t>cinco de septiembre de dos mil veinticuatro</w:t>
      </w:r>
      <w:r w:rsidRPr="001D2661">
        <w:t xml:space="preserve">, el Titular de la Unidad de Transparencia del </w:t>
      </w:r>
      <w:r w:rsidRPr="001D2661">
        <w:rPr>
          <w:b/>
        </w:rPr>
        <w:t>SUJETO OBLIGADO</w:t>
      </w:r>
      <w:r w:rsidRPr="001D2661">
        <w:t xml:space="preserve"> turnó la solicitud de información a la servidora pública que estimo conveniente.</w:t>
      </w:r>
    </w:p>
    <w:p w14:paraId="4F0D4859" w14:textId="77777777" w:rsidR="00BF467D" w:rsidRPr="001D2661" w:rsidRDefault="00BF467D" w:rsidP="001D2661">
      <w:pPr>
        <w:rPr>
          <w:lang w:val="es-ES"/>
        </w:rPr>
      </w:pPr>
    </w:p>
    <w:p w14:paraId="3212BA4D" w14:textId="0705D185" w:rsidR="00664420" w:rsidRPr="001D2661" w:rsidRDefault="00BF467D" w:rsidP="001D2661">
      <w:pPr>
        <w:pStyle w:val="Ttulo3"/>
        <w:rPr>
          <w:rFonts w:eastAsia="Calibri"/>
          <w:lang w:eastAsia="en-US"/>
        </w:rPr>
      </w:pPr>
      <w:bookmarkStart w:id="8" w:name="_Toc180603224"/>
      <w:r w:rsidRPr="001D2661">
        <w:rPr>
          <w:lang w:val="es-ES"/>
        </w:rPr>
        <w:t>c</w:t>
      </w:r>
      <w:r w:rsidR="00E37A3F" w:rsidRPr="001D2661">
        <w:rPr>
          <w:lang w:val="es-ES"/>
        </w:rPr>
        <w:t xml:space="preserve">) </w:t>
      </w:r>
      <w:r w:rsidR="00664420" w:rsidRPr="001D2661">
        <w:rPr>
          <w:lang w:val="es-ES"/>
        </w:rPr>
        <w:t xml:space="preserve">Respuesta </w:t>
      </w:r>
      <w:r w:rsidR="00664420" w:rsidRPr="001D2661">
        <w:rPr>
          <w:rFonts w:eastAsia="Calibri"/>
          <w:lang w:eastAsia="en-US"/>
        </w:rPr>
        <w:t>del Sujeto Obligado</w:t>
      </w:r>
      <w:bookmarkEnd w:id="8"/>
    </w:p>
    <w:p w14:paraId="79199CC1" w14:textId="4FA1CB49" w:rsidR="00664420" w:rsidRPr="001D2661" w:rsidRDefault="00664420" w:rsidP="001D2661">
      <w:pPr>
        <w:pStyle w:val="Sinespaciado"/>
        <w:spacing w:line="360" w:lineRule="auto"/>
        <w:rPr>
          <w:lang w:val="es-ES"/>
        </w:rPr>
      </w:pPr>
      <w:r w:rsidRPr="001D2661">
        <w:rPr>
          <w:lang w:val="es-ES"/>
        </w:rPr>
        <w:t xml:space="preserve">El </w:t>
      </w:r>
      <w:r w:rsidR="00BF467D" w:rsidRPr="001D2661">
        <w:rPr>
          <w:b/>
          <w:bCs/>
          <w:lang w:val="es-ES"/>
        </w:rPr>
        <w:t>veintitrés de septiembre</w:t>
      </w:r>
      <w:r w:rsidR="00773AD0" w:rsidRPr="001D2661">
        <w:rPr>
          <w:b/>
          <w:bCs/>
          <w:lang w:val="es-ES"/>
        </w:rPr>
        <w:t xml:space="preserve"> de dos mil veinticuatro</w:t>
      </w:r>
      <w:r w:rsidRPr="001D2661">
        <w:rPr>
          <w:lang w:val="es-ES"/>
        </w:rPr>
        <w:t xml:space="preserve"> </w:t>
      </w:r>
      <w:r w:rsidR="00F07EE6" w:rsidRPr="001D2661">
        <w:rPr>
          <w:lang w:val="es-ES"/>
        </w:rPr>
        <w:t xml:space="preserve">el Titular de la Unidad de Transparencia del </w:t>
      </w:r>
      <w:r w:rsidR="00F07EE6" w:rsidRPr="001D2661">
        <w:rPr>
          <w:b/>
          <w:lang w:val="es-ES"/>
        </w:rPr>
        <w:t>SUJETO OBLIGADO</w:t>
      </w:r>
      <w:r w:rsidR="00F07EE6" w:rsidRPr="001D2661">
        <w:rPr>
          <w:lang w:val="es-ES"/>
        </w:rPr>
        <w:t xml:space="preserve"> notificó la siguiente respuesta a través del </w:t>
      </w:r>
      <w:r w:rsidRPr="001D2661">
        <w:rPr>
          <w:lang w:val="es-ES"/>
        </w:rPr>
        <w:t>SAIMEX</w:t>
      </w:r>
      <w:r w:rsidR="00F07EE6" w:rsidRPr="001D2661">
        <w:rPr>
          <w:lang w:val="es-ES"/>
        </w:rPr>
        <w:t>:</w:t>
      </w:r>
    </w:p>
    <w:p w14:paraId="669F7EFD" w14:textId="77777777" w:rsidR="00664420" w:rsidRPr="001D2661" w:rsidRDefault="00664420" w:rsidP="001D2661">
      <w:pPr>
        <w:tabs>
          <w:tab w:val="left" w:pos="4667"/>
        </w:tabs>
        <w:ind w:left="567" w:right="567"/>
        <w:rPr>
          <w:rFonts w:cs="Tahoma"/>
          <w:b/>
          <w:bCs/>
        </w:rPr>
      </w:pPr>
    </w:p>
    <w:p w14:paraId="43C57F9B" w14:textId="77777777" w:rsidR="00BF467D" w:rsidRPr="001D2661" w:rsidRDefault="00BF467D" w:rsidP="001D2661">
      <w:pPr>
        <w:pStyle w:val="Puesto"/>
      </w:pPr>
      <w:r w:rsidRPr="001D2661">
        <w:t>En respuesta a la solicitud recibida, nos permitimos hacer de su conocimiento que con fundamento en el artículo 53, Fracciones: II, V y VI de la Ley de Transparencia y Acceso a la Información Pública del Estado de México y Municipios, le contestamos que:</w:t>
      </w:r>
    </w:p>
    <w:p w14:paraId="0ABD2A60" w14:textId="77777777" w:rsidR="00BF467D" w:rsidRPr="001D2661" w:rsidRDefault="00BF467D" w:rsidP="001D2661">
      <w:pPr>
        <w:pStyle w:val="Puesto"/>
      </w:pPr>
      <w:r w:rsidRPr="001D2661">
        <w:t>POR ESTE MEDIO RECIBA UN CORDIAL SALUDO AL TIEMPO QUE OFREZCO RESPUESTA A SU SOLICITUD DE INFORMACIÓN INGRESADA POR MEDIO DE ESTA PLATAFORMA DE ACCESO A LA INFORMACIÓN MEXIQUENSE (SAIMEX) CON EL FOLIO 00340/TULTITLA/IP/2024 CON ATENCIÓN DEL ÓRGANO INTERNO DE CONTROL MUNICIPAL (SOPORTE DOCUMENTAL ANEXO A LA PRESENTE) SIN MÁS POR EL MOMENTO QUEDO A SUS ORDENES EN EL TELEFONO 26208900 EXTENSIÓN 1106</w:t>
      </w:r>
    </w:p>
    <w:p w14:paraId="160F6491" w14:textId="77777777" w:rsidR="00BF467D" w:rsidRPr="001D2661" w:rsidRDefault="00BF467D" w:rsidP="001D2661">
      <w:pPr>
        <w:pStyle w:val="Puesto"/>
      </w:pPr>
      <w:r w:rsidRPr="001D2661">
        <w:t>ATENTAMENTE</w:t>
      </w:r>
    </w:p>
    <w:p w14:paraId="5D11024C" w14:textId="6791D149" w:rsidR="00664420" w:rsidRPr="001D2661" w:rsidRDefault="00BF467D" w:rsidP="001D2661">
      <w:pPr>
        <w:pStyle w:val="Puesto"/>
      </w:pPr>
      <w:r w:rsidRPr="001D2661">
        <w:t>C. AARON MANUEL RUIZ ZUBIETA</w:t>
      </w:r>
    </w:p>
    <w:p w14:paraId="7FE019C6" w14:textId="77777777" w:rsidR="00475248" w:rsidRPr="001D2661" w:rsidRDefault="00475248" w:rsidP="001D2661">
      <w:pPr>
        <w:autoSpaceDE w:val="0"/>
        <w:autoSpaceDN w:val="0"/>
        <w:adjustRightInd w:val="0"/>
        <w:ind w:right="-28"/>
        <w:rPr>
          <w:rFonts w:cs="Tahoma"/>
          <w:bCs/>
          <w:szCs w:val="22"/>
        </w:rPr>
      </w:pPr>
    </w:p>
    <w:p w14:paraId="70920289" w14:textId="6F844C3A" w:rsidR="00664420" w:rsidRPr="001D2661" w:rsidRDefault="00F07EE6" w:rsidP="001D2661">
      <w:pPr>
        <w:autoSpaceDE w:val="0"/>
        <w:autoSpaceDN w:val="0"/>
        <w:adjustRightInd w:val="0"/>
        <w:ind w:right="-28"/>
        <w:rPr>
          <w:rFonts w:cs="Tahoma"/>
          <w:bCs/>
          <w:szCs w:val="22"/>
          <w:lang w:val="es-ES"/>
        </w:rPr>
      </w:pPr>
      <w:r w:rsidRPr="001D2661">
        <w:rPr>
          <w:rFonts w:cs="Tahoma"/>
          <w:bCs/>
          <w:szCs w:val="22"/>
          <w:lang w:val="es-ES"/>
        </w:rPr>
        <w:t xml:space="preserve">Asimismo, </w:t>
      </w:r>
      <w:r w:rsidRPr="001D2661">
        <w:rPr>
          <w:rFonts w:cs="Tahoma"/>
          <w:b/>
          <w:szCs w:val="22"/>
          <w:lang w:val="es-ES"/>
        </w:rPr>
        <w:t xml:space="preserve">EL SUJETO OBLIGADO </w:t>
      </w:r>
      <w:r w:rsidRPr="001D2661">
        <w:rPr>
          <w:rFonts w:cs="Tahoma"/>
          <w:bCs/>
          <w:szCs w:val="22"/>
          <w:lang w:val="es-ES"/>
        </w:rPr>
        <w:t xml:space="preserve">adjuntó a su respuesta </w:t>
      </w:r>
      <w:r w:rsidR="00A91BC5" w:rsidRPr="001D2661">
        <w:rPr>
          <w:rFonts w:cs="Tahoma"/>
          <w:bCs/>
          <w:szCs w:val="22"/>
          <w:lang w:val="es-ES"/>
        </w:rPr>
        <w:t>los documentos</w:t>
      </w:r>
      <w:r w:rsidRPr="001D2661">
        <w:rPr>
          <w:rFonts w:cs="Tahoma"/>
          <w:bCs/>
          <w:szCs w:val="22"/>
          <w:lang w:val="es-ES"/>
        </w:rPr>
        <w:t xml:space="preserve"> que se describen a continuación</w:t>
      </w:r>
      <w:r w:rsidR="00664420" w:rsidRPr="001D2661">
        <w:rPr>
          <w:rFonts w:cs="Tahoma"/>
          <w:bCs/>
          <w:szCs w:val="22"/>
          <w:lang w:val="es-ES"/>
        </w:rPr>
        <w:t>:</w:t>
      </w:r>
    </w:p>
    <w:p w14:paraId="18890BFD" w14:textId="2A5497FD" w:rsidR="00DE1133" w:rsidRPr="001D2661" w:rsidRDefault="00BF467D" w:rsidP="001D2661">
      <w:pPr>
        <w:pStyle w:val="Prrafodelista"/>
        <w:numPr>
          <w:ilvl w:val="0"/>
          <w:numId w:val="16"/>
        </w:numPr>
        <w:autoSpaceDE w:val="0"/>
        <w:autoSpaceDN w:val="0"/>
        <w:adjustRightInd w:val="0"/>
        <w:ind w:right="-28"/>
        <w:rPr>
          <w:rFonts w:cs="Tahoma"/>
          <w:b/>
          <w:bCs/>
          <w:szCs w:val="22"/>
          <w:lang w:val="es-ES"/>
        </w:rPr>
      </w:pPr>
      <w:r w:rsidRPr="001D2661">
        <w:rPr>
          <w:rFonts w:cs="Tahoma"/>
          <w:b/>
          <w:bCs/>
          <w:szCs w:val="22"/>
          <w:lang w:val="es-ES"/>
        </w:rPr>
        <w:lastRenderedPageBreak/>
        <w:t>S340 CONTRALORIA.pdf</w:t>
      </w:r>
      <w:r w:rsidR="00475248" w:rsidRPr="001D2661">
        <w:rPr>
          <w:rFonts w:cs="Tahoma"/>
          <w:b/>
          <w:bCs/>
          <w:szCs w:val="22"/>
          <w:lang w:val="es-ES"/>
        </w:rPr>
        <w:t xml:space="preserve">: </w:t>
      </w:r>
      <w:r w:rsidRPr="001D2661">
        <w:rPr>
          <w:rFonts w:cs="Tahoma"/>
          <w:bCs/>
          <w:szCs w:val="22"/>
          <w:lang w:val="es-ES"/>
        </w:rPr>
        <w:t xml:space="preserve">Documento digital que contiene el oficio emitido por la Jefatura de Oficina de Manifestación y Transparencia en donde hace del conocimiento que, se adjunta la respuesta emitida; de igual forma en dicho documento electrónico que proporciona una captura de pantalla que consiste en la respuesta al turno realizado a </w:t>
      </w:r>
      <w:r w:rsidR="008F42C0" w:rsidRPr="001D2661">
        <w:rPr>
          <w:rFonts w:cs="Tahoma"/>
          <w:bCs/>
          <w:szCs w:val="22"/>
          <w:lang w:val="es-ES"/>
        </w:rPr>
        <w:t>través</w:t>
      </w:r>
      <w:r w:rsidRPr="001D2661">
        <w:rPr>
          <w:rFonts w:cs="Tahoma"/>
          <w:bCs/>
          <w:szCs w:val="22"/>
          <w:lang w:val="es-ES"/>
        </w:rPr>
        <w:t xml:space="preserve"> del detalle de seguimiento del expediente electrónico del Sai</w:t>
      </w:r>
      <w:r w:rsidR="00F11C00" w:rsidRPr="001D2661">
        <w:rPr>
          <w:rFonts w:cs="Tahoma"/>
          <w:bCs/>
          <w:szCs w:val="22"/>
          <w:lang w:val="es-ES"/>
        </w:rPr>
        <w:t>mex, en donde se menciona que, respecto de la pregunta consistente en si la Contraloría es un medio para realizar denuncias, de acuerdo al Reglamento Orgánico de la Administración Pública Municipal, dicha unidad es la encargada de practicar de oficio y/o denuncia, las investigaciones sobre incumplimiento a obligaciones de las y los servidores públicos adscritos, de igual forma se menciona que la Persona Titular de la Presidencia Municipal tiene la facultad de aplicar las sanciones correspondientes ante infracciones cometidas y en su caso remitirlos ante las autoridad correspondientes. Atento a lo anterior sirve de sustento la siguiente captura de pantalla:</w:t>
      </w:r>
    </w:p>
    <w:p w14:paraId="54CEABDC" w14:textId="1C108E15" w:rsidR="00F11C00" w:rsidRPr="001D2661" w:rsidRDefault="00F11C00" w:rsidP="001D2661">
      <w:pPr>
        <w:pStyle w:val="Prrafodelista"/>
        <w:autoSpaceDE w:val="0"/>
        <w:autoSpaceDN w:val="0"/>
        <w:adjustRightInd w:val="0"/>
        <w:ind w:right="-28"/>
        <w:rPr>
          <w:rFonts w:cs="Tahoma"/>
          <w:b/>
          <w:bCs/>
          <w:szCs w:val="22"/>
          <w:lang w:val="es-ES"/>
        </w:rPr>
      </w:pPr>
      <w:r w:rsidRPr="001D2661">
        <w:rPr>
          <w:rFonts w:cs="Tahoma"/>
          <w:b/>
          <w:bCs/>
          <w:noProof/>
          <w:szCs w:val="22"/>
          <w:lang w:eastAsia="es-MX"/>
        </w:rPr>
        <w:drawing>
          <wp:inline distT="0" distB="0" distL="0" distR="0" wp14:anchorId="348724F6" wp14:editId="4C8F5ED6">
            <wp:extent cx="5343525" cy="1619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43525" cy="1619250"/>
                    </a:xfrm>
                    <a:prstGeom prst="rect">
                      <a:avLst/>
                    </a:prstGeom>
                  </pic:spPr>
                </pic:pic>
              </a:graphicData>
            </a:graphic>
          </wp:inline>
        </w:drawing>
      </w:r>
    </w:p>
    <w:p w14:paraId="54B4A917" w14:textId="77777777" w:rsidR="008252A0" w:rsidRPr="001D2661" w:rsidRDefault="008252A0" w:rsidP="001D2661">
      <w:pPr>
        <w:autoSpaceDE w:val="0"/>
        <w:autoSpaceDN w:val="0"/>
        <w:adjustRightInd w:val="0"/>
        <w:ind w:right="-28"/>
        <w:rPr>
          <w:rFonts w:cs="Tahoma"/>
          <w:bCs/>
          <w:szCs w:val="22"/>
          <w:lang w:val="es-ES"/>
        </w:rPr>
      </w:pPr>
    </w:p>
    <w:p w14:paraId="0B17CD08" w14:textId="42277D6B" w:rsidR="00664420" w:rsidRPr="001D2661" w:rsidRDefault="00E37A3F" w:rsidP="001D2661">
      <w:pPr>
        <w:pStyle w:val="Ttulo2"/>
        <w:jc w:val="left"/>
      </w:pPr>
      <w:bookmarkStart w:id="9" w:name="_Toc180603225"/>
      <w:r w:rsidRPr="001D2661">
        <w:t>DEL RECURSO DE REVISIÓN</w:t>
      </w:r>
      <w:bookmarkEnd w:id="9"/>
    </w:p>
    <w:p w14:paraId="2B216813" w14:textId="61ADBB2B" w:rsidR="00664420" w:rsidRPr="001D2661" w:rsidRDefault="006E25BC" w:rsidP="001D2661">
      <w:pPr>
        <w:pStyle w:val="Ttulo3"/>
      </w:pPr>
      <w:bookmarkStart w:id="10" w:name="_Toc180603226"/>
      <w:r w:rsidRPr="001D2661">
        <w:rPr>
          <w:szCs w:val="32"/>
        </w:rPr>
        <w:t>a)</w:t>
      </w:r>
      <w:r w:rsidRPr="001D2661">
        <w:t xml:space="preserve"> </w:t>
      </w:r>
      <w:r w:rsidR="00664420" w:rsidRPr="001D2661">
        <w:t>Interposición del Recurso de Revisión</w:t>
      </w:r>
      <w:bookmarkEnd w:id="10"/>
    </w:p>
    <w:p w14:paraId="6279C622" w14:textId="61706C2D" w:rsidR="00664420" w:rsidRPr="001D2661" w:rsidRDefault="00664420" w:rsidP="001D2661">
      <w:pPr>
        <w:autoSpaceDE w:val="0"/>
        <w:autoSpaceDN w:val="0"/>
        <w:adjustRightInd w:val="0"/>
        <w:ind w:right="-28"/>
        <w:rPr>
          <w:rFonts w:cs="Tahoma"/>
          <w:szCs w:val="22"/>
        </w:rPr>
      </w:pPr>
      <w:r w:rsidRPr="001D2661">
        <w:rPr>
          <w:rFonts w:cs="Tahoma"/>
          <w:szCs w:val="22"/>
        </w:rPr>
        <w:t xml:space="preserve">El </w:t>
      </w:r>
      <w:r w:rsidR="00F11C00" w:rsidRPr="001D2661">
        <w:rPr>
          <w:rFonts w:cs="Tahoma"/>
          <w:b/>
          <w:bCs/>
          <w:szCs w:val="22"/>
        </w:rPr>
        <w:t>treinta de septiembre</w:t>
      </w:r>
      <w:r w:rsidR="000C47C5" w:rsidRPr="001D2661">
        <w:rPr>
          <w:rFonts w:cs="Tahoma"/>
          <w:b/>
          <w:bCs/>
          <w:szCs w:val="22"/>
        </w:rPr>
        <w:t xml:space="preserve"> de dos mil veinticuatro</w:t>
      </w:r>
      <w:r w:rsidRPr="001D2661">
        <w:rPr>
          <w:rFonts w:cs="Tahoma"/>
          <w:szCs w:val="22"/>
        </w:rPr>
        <w:t xml:space="preserve"> </w:t>
      </w:r>
      <w:r w:rsidR="00F75D23" w:rsidRPr="001D2661">
        <w:rPr>
          <w:rFonts w:cs="Tahoma"/>
          <w:b/>
          <w:bCs/>
          <w:szCs w:val="22"/>
        </w:rPr>
        <w:t>LA PARTE RECURRENTE</w:t>
      </w:r>
      <w:r w:rsidR="00F75D23" w:rsidRPr="001D2661">
        <w:rPr>
          <w:rFonts w:cs="Tahoma"/>
          <w:szCs w:val="22"/>
        </w:rPr>
        <w:t xml:space="preserve"> interpuso el recurso de revisión en contra de la respuesta emitida por el </w:t>
      </w:r>
      <w:r w:rsidR="00F75D23" w:rsidRPr="001D2661">
        <w:rPr>
          <w:rFonts w:cs="Tahoma"/>
          <w:b/>
          <w:bCs/>
          <w:szCs w:val="22"/>
        </w:rPr>
        <w:t>SUJETO OBLIGADO</w:t>
      </w:r>
      <w:r w:rsidR="00953430" w:rsidRPr="001D2661">
        <w:rPr>
          <w:rFonts w:cs="Tahoma"/>
          <w:szCs w:val="22"/>
        </w:rPr>
        <w:t xml:space="preserve">, mismo que </w:t>
      </w:r>
      <w:r w:rsidR="00953430" w:rsidRPr="001D2661">
        <w:rPr>
          <w:rFonts w:cs="Tahoma"/>
          <w:szCs w:val="22"/>
        </w:rPr>
        <w:lastRenderedPageBreak/>
        <w:t xml:space="preserve">fue registrado en el SAIMEX con el número de expediente </w:t>
      </w:r>
      <w:r w:rsidR="00F11C00" w:rsidRPr="001D2661">
        <w:rPr>
          <w:rFonts w:cs="Tahoma"/>
          <w:b/>
          <w:bCs/>
          <w:szCs w:val="22"/>
        </w:rPr>
        <w:t>05922/INFOEM/IP/RR/2024</w:t>
      </w:r>
      <w:r w:rsidR="00953430" w:rsidRPr="001D2661">
        <w:rPr>
          <w:rFonts w:cs="Tahoma"/>
          <w:szCs w:val="22"/>
        </w:rPr>
        <w:t>, y en el cual manifiesta lo siguiente</w:t>
      </w:r>
      <w:r w:rsidRPr="001D2661">
        <w:rPr>
          <w:rFonts w:cs="Tahoma"/>
          <w:szCs w:val="22"/>
        </w:rPr>
        <w:t>:</w:t>
      </w:r>
    </w:p>
    <w:p w14:paraId="74B30008" w14:textId="77777777" w:rsidR="00664420" w:rsidRPr="001D2661" w:rsidRDefault="00664420" w:rsidP="001D2661">
      <w:pPr>
        <w:tabs>
          <w:tab w:val="left" w:pos="4667"/>
        </w:tabs>
        <w:ind w:right="539"/>
        <w:rPr>
          <w:rFonts w:cs="Tahoma"/>
          <w:szCs w:val="22"/>
        </w:rPr>
      </w:pPr>
    </w:p>
    <w:p w14:paraId="12153283" w14:textId="30EEB748" w:rsidR="00664420" w:rsidRPr="001D2661" w:rsidRDefault="00664420" w:rsidP="001D2661">
      <w:pPr>
        <w:tabs>
          <w:tab w:val="left" w:pos="4667"/>
        </w:tabs>
        <w:ind w:left="567" w:right="539"/>
        <w:rPr>
          <w:rFonts w:cs="Tahoma"/>
          <w:b/>
          <w:iCs/>
        </w:rPr>
      </w:pPr>
      <w:r w:rsidRPr="001D2661">
        <w:rPr>
          <w:rFonts w:cs="Tahoma"/>
          <w:b/>
          <w:iCs/>
        </w:rPr>
        <w:t>ACTO IMPUGNADO</w:t>
      </w:r>
      <w:r w:rsidRPr="001D2661">
        <w:rPr>
          <w:rFonts w:cs="Tahoma"/>
          <w:b/>
          <w:iCs/>
        </w:rPr>
        <w:tab/>
      </w:r>
    </w:p>
    <w:p w14:paraId="523F8BF4" w14:textId="7C44FEC4" w:rsidR="00664420" w:rsidRPr="001D2661" w:rsidRDefault="00E82927" w:rsidP="001D2661">
      <w:pPr>
        <w:pStyle w:val="Puesto"/>
      </w:pPr>
      <w:r w:rsidRPr="001D2661">
        <w:t>“</w:t>
      </w:r>
      <w:r w:rsidR="00F11C00" w:rsidRPr="001D2661">
        <w:t>la incompleta contestación que se diera a mi solicitud presentada el día cinco de septiembre del presente año y que quedara guardada como 00340/TULTITLA/IP/2024</w:t>
      </w:r>
      <w:r w:rsidRPr="001D2661">
        <w:t>”</w:t>
      </w:r>
    </w:p>
    <w:p w14:paraId="24A64C18" w14:textId="77777777" w:rsidR="00E82927" w:rsidRPr="001D2661" w:rsidRDefault="00E82927" w:rsidP="001D2661">
      <w:pPr>
        <w:tabs>
          <w:tab w:val="left" w:pos="4667"/>
        </w:tabs>
        <w:ind w:right="539"/>
        <w:rPr>
          <w:rFonts w:cs="Tahoma"/>
          <w:b/>
          <w:iCs/>
        </w:rPr>
      </w:pPr>
    </w:p>
    <w:p w14:paraId="41AC2642" w14:textId="1AC1E859" w:rsidR="00E82927" w:rsidRPr="001D2661" w:rsidRDefault="00E82927" w:rsidP="001D2661">
      <w:pPr>
        <w:tabs>
          <w:tab w:val="left" w:pos="4667"/>
        </w:tabs>
        <w:ind w:left="567" w:right="539"/>
        <w:rPr>
          <w:rFonts w:cs="Tahoma"/>
          <w:b/>
          <w:iCs/>
        </w:rPr>
      </w:pPr>
      <w:r w:rsidRPr="001D2661">
        <w:rPr>
          <w:rFonts w:cs="Tahoma"/>
          <w:b/>
          <w:iCs/>
        </w:rPr>
        <w:t>RAZONES O MOTIVOS DE LA INCONFORMIDAD</w:t>
      </w:r>
      <w:r w:rsidRPr="001D2661">
        <w:rPr>
          <w:rFonts w:cs="Tahoma"/>
          <w:b/>
          <w:iCs/>
        </w:rPr>
        <w:tab/>
      </w:r>
    </w:p>
    <w:p w14:paraId="1B2A5283" w14:textId="2C707144" w:rsidR="00E82927" w:rsidRPr="001D2661" w:rsidRDefault="00E82927" w:rsidP="001D2661">
      <w:pPr>
        <w:pStyle w:val="Puesto"/>
      </w:pPr>
      <w:r w:rsidRPr="001D2661">
        <w:t>“</w:t>
      </w:r>
      <w:r w:rsidR="00F11C00" w:rsidRPr="001D2661">
        <w:t>ya que únicamente se me indica que el superior para sancionar a la contraloría lo es la presidente; sin embargo ésta de forma especifica no fundamenta en reglamento alguno el procedimiento a seguir, aunado a que en la respuesta que se me diera no dieron contestación a lo siguiente: 1.- que me informe el área jurídica con todo y fundamento que pasa en el caso de que un servidor publico ejecute u ordene actos que no estén dentro de sus funciones, y en caso de ser un delito, que delito sería. 2.- si tengo conocimiento de que un servidor publico ordene o ejecute actos que no son sus funciones cual es el procedimiento que tengo que seguir para que sea sancionado, pero buscando que sea anónimo por el temor a las represalias. 3.- saber sí la contraloría es un medio para realizar la denuncia en el caso anterior, tiene obligación o es solo opcional?? y 4.- si esa autoridad (contraloría )no le da seguimiento que puedo hacer, tiene un superior ? pero por obvias razones que lo pueda sancionar; ya que en la contestación la contraloría parece que mas bien pretende cubrir la forma en que los servidores públicos son sancionados, entonces donde esta la autoridad anticorrupción. por lo que se solicita se tenga como prueba la contestación que ya obra en éste sistema y que se subiera por transparencia como S340 CONTRALORIA.pdf, respecto a mi solicitud registrafda como 00340/TULTITLA/IP/2024.</w:t>
      </w:r>
      <w:r w:rsidRPr="001D2661">
        <w:t>”</w:t>
      </w:r>
    </w:p>
    <w:p w14:paraId="27436410" w14:textId="77777777" w:rsidR="000C47C5" w:rsidRPr="001D2661" w:rsidRDefault="000C47C5" w:rsidP="001D2661">
      <w:pPr>
        <w:tabs>
          <w:tab w:val="left" w:pos="4667"/>
        </w:tabs>
        <w:ind w:right="567"/>
        <w:rPr>
          <w:rFonts w:cs="Tahoma"/>
          <w:b/>
          <w:bCs/>
        </w:rPr>
      </w:pPr>
    </w:p>
    <w:p w14:paraId="6804DEF1" w14:textId="3C4F6CB5" w:rsidR="00664420" w:rsidRPr="001D2661" w:rsidRDefault="006E25BC" w:rsidP="001D2661">
      <w:pPr>
        <w:pStyle w:val="Ttulo3"/>
      </w:pPr>
      <w:bookmarkStart w:id="11" w:name="_Toc180603227"/>
      <w:r w:rsidRPr="001D2661">
        <w:t>b</w:t>
      </w:r>
      <w:r w:rsidR="00664420" w:rsidRPr="001D2661">
        <w:t>) Turno del Recurso de Revisión</w:t>
      </w:r>
      <w:bookmarkEnd w:id="11"/>
    </w:p>
    <w:p w14:paraId="1173671B" w14:textId="0BAD17E0" w:rsidR="00C72DAA" w:rsidRPr="001D2661" w:rsidRDefault="00C72DAA" w:rsidP="001D2661">
      <w:r w:rsidRPr="001D2661">
        <w:t>Con fundamento en el artículo 185, fracción I de la Ley de Transparencia y Acceso a la Información Pública del Estado de México y Municipios, el</w:t>
      </w:r>
      <w:r w:rsidRPr="001D2661">
        <w:rPr>
          <w:b/>
          <w:bCs/>
        </w:rPr>
        <w:t xml:space="preserve"> </w:t>
      </w:r>
      <w:r w:rsidR="00F11C00" w:rsidRPr="001D2661">
        <w:rPr>
          <w:rFonts w:eastAsia="Palatino Linotype" w:cs="Palatino Linotype"/>
          <w:b/>
        </w:rPr>
        <w:t>treinta de septiembre</w:t>
      </w:r>
      <w:r w:rsidR="002A3D44" w:rsidRPr="001D2661">
        <w:rPr>
          <w:rFonts w:eastAsia="Palatino Linotype" w:cs="Palatino Linotype"/>
          <w:b/>
        </w:rPr>
        <w:t xml:space="preserve"> de dos mil veinticuatro</w:t>
      </w:r>
      <w:r w:rsidRPr="001D2661">
        <w:t xml:space="preserve"> se turnó el recurso de revisión a través del</w:t>
      </w:r>
      <w:r w:rsidRPr="001D2661">
        <w:rPr>
          <w:rFonts w:eastAsia="Arial Unicode MS"/>
        </w:rPr>
        <w:t xml:space="preserve"> </w:t>
      </w:r>
      <w:r w:rsidRPr="001D2661">
        <w:rPr>
          <w:rFonts w:eastAsia="Arial Unicode MS"/>
          <w:bCs/>
        </w:rPr>
        <w:t>SAIMEX</w:t>
      </w:r>
      <w:r w:rsidRPr="001D2661">
        <w:t xml:space="preserve"> a la </w:t>
      </w:r>
      <w:r w:rsidRPr="001D2661">
        <w:rPr>
          <w:b/>
        </w:rPr>
        <w:t>Comisionada Sharon Cristina Morales Martínez</w:t>
      </w:r>
      <w:r w:rsidRPr="001D2661">
        <w:rPr>
          <w:bCs/>
        </w:rPr>
        <w:t xml:space="preserve">, </w:t>
      </w:r>
      <w:r w:rsidRPr="001D2661">
        <w:t xml:space="preserve">a efecto de decretar su admisión o desechamiento. </w:t>
      </w:r>
    </w:p>
    <w:p w14:paraId="18F305CB" w14:textId="77777777" w:rsidR="00664420" w:rsidRPr="001D2661" w:rsidRDefault="00664420" w:rsidP="001D2661">
      <w:pPr>
        <w:rPr>
          <w:rFonts w:eastAsia="Batang" w:cs="Tahoma"/>
          <w:bCs/>
          <w:szCs w:val="22"/>
        </w:rPr>
      </w:pPr>
    </w:p>
    <w:p w14:paraId="3E31EC2D" w14:textId="295256A1" w:rsidR="00664420" w:rsidRPr="001D2661" w:rsidRDefault="006E25BC" w:rsidP="001D2661">
      <w:pPr>
        <w:pStyle w:val="Ttulo3"/>
      </w:pPr>
      <w:bookmarkStart w:id="12" w:name="_Toc180603228"/>
      <w:r w:rsidRPr="001D2661">
        <w:lastRenderedPageBreak/>
        <w:t>c</w:t>
      </w:r>
      <w:r w:rsidR="00664420" w:rsidRPr="001D2661">
        <w:t>) Admisión del Recurso de Revisión</w:t>
      </w:r>
      <w:bookmarkEnd w:id="12"/>
    </w:p>
    <w:p w14:paraId="240447D5" w14:textId="260E80F5" w:rsidR="000E09C4" w:rsidRPr="001D2661" w:rsidRDefault="000E09C4" w:rsidP="001D2661">
      <w:pPr>
        <w:rPr>
          <w:rFonts w:cs="Arial"/>
        </w:rPr>
      </w:pPr>
      <w:r w:rsidRPr="001D2661">
        <w:rPr>
          <w:rFonts w:cs="Arial"/>
        </w:rPr>
        <w:t xml:space="preserve">El </w:t>
      </w:r>
      <w:r w:rsidR="00F11C00" w:rsidRPr="001D2661">
        <w:rPr>
          <w:rFonts w:eastAsia="Palatino Linotype" w:cs="Palatino Linotype"/>
          <w:b/>
        </w:rPr>
        <w:t>tres de octubre</w:t>
      </w:r>
      <w:r w:rsidR="002A3D44" w:rsidRPr="001D2661">
        <w:rPr>
          <w:rFonts w:eastAsia="Palatino Linotype" w:cs="Palatino Linotype"/>
          <w:b/>
        </w:rPr>
        <w:t xml:space="preserve"> de dos mil veinticuatro</w:t>
      </w:r>
      <w:r w:rsidRPr="001D2661">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D2661">
        <w:rPr>
          <w:rFonts w:cs="Arial"/>
        </w:rPr>
        <w:t>, fracción II</w:t>
      </w:r>
      <w:r w:rsidRPr="001D2661">
        <w:rPr>
          <w:rFonts w:cs="Arial"/>
        </w:rPr>
        <w:t xml:space="preserve"> de la Ley de Transparencia y Acceso a la Información Pública del Estado de México y Municipios.</w:t>
      </w:r>
    </w:p>
    <w:p w14:paraId="09B589C5" w14:textId="77777777" w:rsidR="00664420" w:rsidRPr="001D2661" w:rsidRDefault="00664420" w:rsidP="001D2661">
      <w:pPr>
        <w:rPr>
          <w:rFonts w:cs="Tahoma"/>
          <w:b/>
          <w:szCs w:val="22"/>
        </w:rPr>
      </w:pPr>
    </w:p>
    <w:p w14:paraId="3B820F58" w14:textId="31B2FA39" w:rsidR="00865CF4" w:rsidRPr="001D2661" w:rsidRDefault="002A3D44" w:rsidP="001D2661">
      <w:pPr>
        <w:pStyle w:val="Ttulo3"/>
      </w:pPr>
      <w:bookmarkStart w:id="13" w:name="_Toc180603229"/>
      <w:r w:rsidRPr="001D2661">
        <w:t>d</w:t>
      </w:r>
      <w:r w:rsidR="00664420" w:rsidRPr="001D2661">
        <w:t xml:space="preserve">) </w:t>
      </w:r>
      <w:r w:rsidR="00865CF4" w:rsidRPr="001D2661">
        <w:t>Informe Justificado del Sujeto Obligado</w:t>
      </w:r>
      <w:bookmarkEnd w:id="13"/>
    </w:p>
    <w:p w14:paraId="73386FEF" w14:textId="6C3673ED" w:rsidR="00BA1782" w:rsidRPr="001D2661" w:rsidRDefault="00F11C00" w:rsidP="001D2661">
      <w:pPr>
        <w:rPr>
          <w:rFonts w:eastAsia="Calibri" w:cs="Tahoma"/>
          <w:b/>
          <w:szCs w:val="22"/>
          <w:lang w:eastAsia="en-US"/>
        </w:rPr>
      </w:pPr>
      <w:r w:rsidRPr="001D2661">
        <w:rPr>
          <w:rFonts w:cs="Tahoma"/>
          <w:b/>
          <w:szCs w:val="24"/>
        </w:rPr>
        <w:t xml:space="preserve">EL SUJETO OBLIGADO </w:t>
      </w:r>
      <w:r w:rsidRPr="001D2661">
        <w:rPr>
          <w:rFonts w:eastAsia="Arial Unicode MS" w:cs="Arial"/>
        </w:rPr>
        <w:t>no rindió su informe justificado dentro del término legalmente concedido para tal efecto.</w:t>
      </w:r>
    </w:p>
    <w:p w14:paraId="24F87764" w14:textId="77777777" w:rsidR="00664420" w:rsidRPr="001D2661" w:rsidRDefault="00664420" w:rsidP="001D2661">
      <w:pPr>
        <w:rPr>
          <w:rFonts w:cs="Tahoma"/>
          <w:bCs/>
          <w:szCs w:val="24"/>
        </w:rPr>
      </w:pPr>
    </w:p>
    <w:p w14:paraId="1F631C0A" w14:textId="7193ECC6" w:rsidR="004D2924" w:rsidRPr="001D2661" w:rsidRDefault="004D2924" w:rsidP="001D2661">
      <w:pPr>
        <w:pStyle w:val="Ttulo3"/>
        <w:rPr>
          <w:lang w:val="es-ES"/>
        </w:rPr>
      </w:pPr>
      <w:bookmarkStart w:id="14" w:name="_Toc165402867"/>
      <w:bookmarkStart w:id="15" w:name="_Toc180603230"/>
      <w:r w:rsidRPr="001D2661">
        <w:rPr>
          <w:rFonts w:eastAsia="Calibri"/>
          <w:bCs/>
          <w:lang w:eastAsia="en-US"/>
        </w:rPr>
        <w:t>e)</w:t>
      </w:r>
      <w:r w:rsidRPr="001D2661">
        <w:t xml:space="preserve"> </w:t>
      </w:r>
      <w:r w:rsidRPr="001D2661">
        <w:rPr>
          <w:lang w:val="es-ES"/>
        </w:rPr>
        <w:t>Manifestaciones de la Parte Recurrente</w:t>
      </w:r>
      <w:bookmarkEnd w:id="14"/>
      <w:bookmarkEnd w:id="15"/>
    </w:p>
    <w:p w14:paraId="6923684C" w14:textId="2CE889B8" w:rsidR="00664420" w:rsidRPr="001D2661" w:rsidRDefault="00551383" w:rsidP="001D2661">
      <w:pPr>
        <w:rPr>
          <w:rFonts w:cs="Tahoma"/>
          <w:szCs w:val="24"/>
        </w:rPr>
      </w:pPr>
      <w:r w:rsidRPr="001D2661">
        <w:rPr>
          <w:rFonts w:cs="Tahoma"/>
          <w:b/>
          <w:szCs w:val="24"/>
        </w:rPr>
        <w:t>LA PARTE RECURRENTE</w:t>
      </w:r>
      <w:r w:rsidRPr="001D2661">
        <w:rPr>
          <w:rFonts w:cs="Tahoma"/>
          <w:szCs w:val="24"/>
        </w:rPr>
        <w:t xml:space="preserve"> no realizó manifestación alguna dentro del término legalmente concedido para tal efecto, ni presentó pruebas o alegatos.</w:t>
      </w:r>
    </w:p>
    <w:p w14:paraId="6FF82205" w14:textId="77777777" w:rsidR="00551383" w:rsidRPr="001D2661" w:rsidRDefault="00551383" w:rsidP="001D2661">
      <w:pPr>
        <w:rPr>
          <w:rFonts w:eastAsia="Arial Unicode MS" w:cs="Arial"/>
        </w:rPr>
      </w:pPr>
    </w:p>
    <w:p w14:paraId="0E651988" w14:textId="234783EB" w:rsidR="00664420" w:rsidRPr="001D2661" w:rsidRDefault="00AA1429" w:rsidP="001D2661">
      <w:pPr>
        <w:pStyle w:val="Ttulo3"/>
      </w:pPr>
      <w:bookmarkStart w:id="16" w:name="_Toc180603231"/>
      <w:r w:rsidRPr="001D2661">
        <w:t>f</w:t>
      </w:r>
      <w:r w:rsidR="00664420" w:rsidRPr="001D2661">
        <w:t>) Cierre de instrucción</w:t>
      </w:r>
      <w:bookmarkEnd w:id="16"/>
    </w:p>
    <w:p w14:paraId="79AF95DC" w14:textId="39B240B3" w:rsidR="00664420" w:rsidRPr="001D2661" w:rsidRDefault="00BF091A" w:rsidP="001D2661">
      <w:pPr>
        <w:rPr>
          <w:rFonts w:cs="Tahoma"/>
          <w:szCs w:val="22"/>
        </w:rPr>
      </w:pPr>
      <w:r w:rsidRPr="001D2661">
        <w:rPr>
          <w:rFonts w:cs="Tahoma"/>
          <w:szCs w:val="22"/>
        </w:rPr>
        <w:t>Al no existir diligencias pendientes por desahogar</w:t>
      </w:r>
      <w:r w:rsidRPr="001D2661">
        <w:rPr>
          <w:rFonts w:cs="Arial"/>
        </w:rPr>
        <w:t xml:space="preserve">, el </w:t>
      </w:r>
      <w:r w:rsidR="00F11C00" w:rsidRPr="001D2661">
        <w:rPr>
          <w:rFonts w:cs="Arial"/>
          <w:b/>
        </w:rPr>
        <w:t>quince</w:t>
      </w:r>
      <w:r w:rsidR="005C3DBB" w:rsidRPr="001D2661">
        <w:rPr>
          <w:rFonts w:cs="Arial"/>
          <w:b/>
        </w:rPr>
        <w:t xml:space="preserve"> de octubre</w:t>
      </w:r>
      <w:r w:rsidR="006B498E" w:rsidRPr="001D2661">
        <w:rPr>
          <w:rFonts w:cs="Arial"/>
          <w:b/>
        </w:rPr>
        <w:t xml:space="preserve"> de dos mil veinticuatro</w:t>
      </w:r>
      <w:r w:rsidRPr="001D2661">
        <w:rPr>
          <w:rFonts w:cs="Arial"/>
        </w:rPr>
        <w:t xml:space="preserve"> la </w:t>
      </w:r>
      <w:r w:rsidRPr="001D2661">
        <w:rPr>
          <w:rFonts w:cs="Arial"/>
          <w:b/>
          <w:bCs/>
        </w:rPr>
        <w:t xml:space="preserve">Comisionada </w:t>
      </w:r>
      <w:r w:rsidRPr="001D2661">
        <w:rPr>
          <w:b/>
        </w:rPr>
        <w:t xml:space="preserve">Sharon Cristina Morales Martínez </w:t>
      </w:r>
      <w:r w:rsidRPr="001D2661">
        <w:rPr>
          <w:rFonts w:cs="Arial"/>
        </w:rPr>
        <w:t>acordó el cierre de instrucción</w:t>
      </w:r>
      <w:r w:rsidR="0011350D" w:rsidRPr="001D2661">
        <w:rPr>
          <w:rFonts w:cs="Arial"/>
        </w:rPr>
        <w:t xml:space="preserve"> y</w:t>
      </w:r>
      <w:r w:rsidRPr="001D2661">
        <w:rPr>
          <w:rFonts w:cs="Arial"/>
        </w:rPr>
        <w:t xml:space="preserve"> </w:t>
      </w:r>
      <w:r w:rsidR="0011350D" w:rsidRPr="001D2661">
        <w:rPr>
          <w:rFonts w:cs="Arial"/>
        </w:rPr>
        <w:t xml:space="preserve">la </w:t>
      </w:r>
      <w:r w:rsidRPr="001D2661">
        <w:rPr>
          <w:rFonts w:cs="Arial"/>
        </w:rPr>
        <w:t>remisión del expediente a efecto de ser resuelto, de conformidad con lo establecido en el artículo 185 fracciones VI y VIII de la Ley de Transparencia y Acceso a la Información Pública del Estado de México y Municipios</w:t>
      </w:r>
      <w:r w:rsidRPr="001D2661">
        <w:t>.</w:t>
      </w:r>
      <w:r w:rsidR="0011350D" w:rsidRPr="001D2661">
        <w:t xml:space="preserve"> Dicho acuerdo </w:t>
      </w:r>
      <w:r w:rsidR="00664420" w:rsidRPr="001D2661">
        <w:rPr>
          <w:rFonts w:cs="Tahoma"/>
          <w:szCs w:val="22"/>
        </w:rPr>
        <w:t xml:space="preserve">fue notificado a las partes el mismo día a través del </w:t>
      </w:r>
      <w:r w:rsidR="00664420" w:rsidRPr="001D2661">
        <w:rPr>
          <w:rFonts w:cs="Tahoma"/>
          <w:szCs w:val="22"/>
          <w:lang w:val="es-ES"/>
        </w:rPr>
        <w:t>SAIMEX</w:t>
      </w:r>
      <w:r w:rsidR="00664420" w:rsidRPr="001D2661">
        <w:rPr>
          <w:rFonts w:cs="Tahoma"/>
          <w:szCs w:val="22"/>
        </w:rPr>
        <w:t>.</w:t>
      </w:r>
    </w:p>
    <w:p w14:paraId="741683E3" w14:textId="77777777" w:rsidR="0011350D" w:rsidRPr="001D2661" w:rsidRDefault="0011350D" w:rsidP="001D2661">
      <w:pPr>
        <w:rPr>
          <w:rFonts w:cs="Tahoma"/>
          <w:szCs w:val="22"/>
        </w:rPr>
      </w:pPr>
    </w:p>
    <w:p w14:paraId="7A9629DE" w14:textId="77777777" w:rsidR="00664420" w:rsidRPr="001D2661" w:rsidRDefault="00664420" w:rsidP="001D2661">
      <w:pPr>
        <w:pStyle w:val="Ttulo1"/>
        <w:rPr>
          <w:rFonts w:eastAsiaTheme="minorHAnsi"/>
          <w:lang w:eastAsia="en-US"/>
        </w:rPr>
      </w:pPr>
      <w:bookmarkStart w:id="17" w:name="_Toc180603232"/>
      <w:r w:rsidRPr="001D2661">
        <w:rPr>
          <w:rFonts w:eastAsiaTheme="minorHAnsi"/>
          <w:lang w:eastAsia="en-US"/>
        </w:rPr>
        <w:t>CONSIDERANDOS</w:t>
      </w:r>
      <w:bookmarkEnd w:id="17"/>
    </w:p>
    <w:p w14:paraId="6DD1243B" w14:textId="77777777" w:rsidR="00664420" w:rsidRPr="001D2661" w:rsidRDefault="00664420" w:rsidP="001D2661">
      <w:pPr>
        <w:contextualSpacing/>
        <w:jc w:val="center"/>
        <w:rPr>
          <w:rFonts w:eastAsiaTheme="minorHAnsi" w:cs="Tahoma"/>
          <w:b/>
          <w:szCs w:val="22"/>
          <w:lang w:eastAsia="en-US"/>
        </w:rPr>
      </w:pPr>
    </w:p>
    <w:p w14:paraId="0B67CB92" w14:textId="2E307D3B" w:rsidR="00664420" w:rsidRPr="001D2661" w:rsidRDefault="00664420" w:rsidP="001D2661">
      <w:pPr>
        <w:pStyle w:val="Ttulo2"/>
        <w:rPr>
          <w:rFonts w:eastAsia="Batang"/>
        </w:rPr>
      </w:pPr>
      <w:bookmarkStart w:id="18" w:name="_Toc180603233"/>
      <w:r w:rsidRPr="001D2661">
        <w:rPr>
          <w:rFonts w:eastAsia="Batang"/>
        </w:rPr>
        <w:lastRenderedPageBreak/>
        <w:t xml:space="preserve">PRIMERO. </w:t>
      </w:r>
      <w:r w:rsidR="00BA55A8" w:rsidRPr="001D2661">
        <w:rPr>
          <w:rFonts w:eastAsia="Batang"/>
        </w:rPr>
        <w:t>Procedibilidad</w:t>
      </w:r>
      <w:bookmarkEnd w:id="18"/>
    </w:p>
    <w:p w14:paraId="39C52BC1" w14:textId="56FCC20D" w:rsidR="00BA55A8" w:rsidRPr="001D2661" w:rsidRDefault="00BA55A8" w:rsidP="001D2661">
      <w:pPr>
        <w:pStyle w:val="Ttulo3"/>
      </w:pPr>
      <w:bookmarkStart w:id="19" w:name="_Toc180603234"/>
      <w:r w:rsidRPr="001D2661">
        <w:t>a) Competencia</w:t>
      </w:r>
      <w:r w:rsidR="00150C49" w:rsidRPr="001D2661">
        <w:t xml:space="preserve"> del Instituto</w:t>
      </w:r>
      <w:bookmarkEnd w:id="19"/>
    </w:p>
    <w:p w14:paraId="56E64942" w14:textId="6572EDF7" w:rsidR="0011350D" w:rsidRPr="001D2661" w:rsidRDefault="0011350D" w:rsidP="001D2661">
      <w:pPr>
        <w:rPr>
          <w:rFonts w:cs="Arial"/>
        </w:rPr>
      </w:pPr>
      <w:r w:rsidRPr="001D2661">
        <w:t xml:space="preserve">Este Instituto de Transparencia, Acceso a la Información Pública y Protección de Datos Personales del Estado de México y Municipios es competente para conocer y resolver </w:t>
      </w:r>
      <w:r w:rsidR="005F65B7" w:rsidRPr="001D2661">
        <w:t xml:space="preserve">el </w:t>
      </w:r>
      <w:r w:rsidRPr="001D266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D2661">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D2661" w:rsidRDefault="00DB1C09" w:rsidP="001D2661">
      <w:pPr>
        <w:rPr>
          <w:rFonts w:cs="Arial"/>
        </w:rPr>
      </w:pPr>
    </w:p>
    <w:p w14:paraId="517A2DD6" w14:textId="4169BE4D" w:rsidR="00664420" w:rsidRPr="001D2661" w:rsidRDefault="00BA55A8" w:rsidP="001D2661">
      <w:pPr>
        <w:pStyle w:val="Ttulo3"/>
      </w:pPr>
      <w:bookmarkStart w:id="20" w:name="_Toc180603235"/>
      <w:r w:rsidRPr="001D2661">
        <w:t>b)</w:t>
      </w:r>
      <w:r w:rsidR="00664420" w:rsidRPr="001D2661">
        <w:t xml:space="preserve"> </w:t>
      </w:r>
      <w:r w:rsidR="00D91CB4" w:rsidRPr="001D2661">
        <w:t>Legitimidad</w:t>
      </w:r>
      <w:r w:rsidRPr="001D2661">
        <w:t xml:space="preserve"> de la parte recurrente</w:t>
      </w:r>
      <w:bookmarkEnd w:id="20"/>
    </w:p>
    <w:p w14:paraId="26FEA382" w14:textId="0B06695C" w:rsidR="00D91CB4" w:rsidRPr="001D2661" w:rsidRDefault="00D91CB4" w:rsidP="001D2661">
      <w:pPr>
        <w:rPr>
          <w:rFonts w:cs="Arial"/>
          <w:bCs/>
        </w:rPr>
      </w:pPr>
      <w:r w:rsidRPr="001D2661">
        <w:rPr>
          <w:rFonts w:cs="Arial"/>
          <w:bCs/>
        </w:rPr>
        <w:t>El recurso de revisión fue interpuesto por parte legítima, ya que se presentó por la misma persona que formuló la solicitud de acceso a la Información Pública,</w:t>
      </w:r>
      <w:r w:rsidRPr="001D2661">
        <w:rPr>
          <w:rFonts w:cs="Arial"/>
          <w:b/>
          <w:bCs/>
        </w:rPr>
        <w:t xml:space="preserve"> </w:t>
      </w:r>
      <w:r w:rsidRPr="001D2661">
        <w:rPr>
          <w:rFonts w:cs="Arial"/>
        </w:rPr>
        <w:t>debido a que los datos de acceso</w:t>
      </w:r>
      <w:r w:rsidRPr="001D2661">
        <w:rPr>
          <w:rFonts w:cs="Arial"/>
          <w:b/>
          <w:bCs/>
        </w:rPr>
        <w:t xml:space="preserve"> </w:t>
      </w:r>
      <w:r w:rsidRPr="001D2661">
        <w:rPr>
          <w:rFonts w:cs="Arial"/>
        </w:rPr>
        <w:t>SAIMEX</w:t>
      </w:r>
      <w:r w:rsidRPr="001D2661">
        <w:rPr>
          <w:rFonts w:eastAsia="Calibri" w:cs="Arial"/>
          <w:lang w:eastAsia="en-US"/>
        </w:rPr>
        <w:t xml:space="preserve"> son personales e irrepetibles.</w:t>
      </w:r>
    </w:p>
    <w:p w14:paraId="2C367810" w14:textId="77777777" w:rsidR="00D91CB4" w:rsidRPr="001D2661" w:rsidRDefault="00D91CB4" w:rsidP="001D2661"/>
    <w:p w14:paraId="496490FC" w14:textId="1A5F3FDB" w:rsidR="00D91CB4" w:rsidRPr="001D2661" w:rsidRDefault="00BA55A8" w:rsidP="001D2661">
      <w:pPr>
        <w:pStyle w:val="Ttulo3"/>
        <w:rPr>
          <w:rFonts w:eastAsia="Calibri"/>
          <w:lang w:eastAsia="es-ES_tradnl"/>
        </w:rPr>
      </w:pPr>
      <w:bookmarkStart w:id="21" w:name="_Toc180603236"/>
      <w:r w:rsidRPr="001D2661">
        <w:rPr>
          <w:rFonts w:eastAsia="Calibri"/>
          <w:lang w:eastAsia="es-ES_tradnl"/>
        </w:rPr>
        <w:t>c)</w:t>
      </w:r>
      <w:r w:rsidR="00664420" w:rsidRPr="001D2661">
        <w:rPr>
          <w:rFonts w:eastAsia="Calibri"/>
          <w:lang w:eastAsia="es-ES_tradnl"/>
        </w:rPr>
        <w:t xml:space="preserve"> </w:t>
      </w:r>
      <w:r w:rsidR="00D91CB4" w:rsidRPr="001D2661">
        <w:rPr>
          <w:rFonts w:eastAsia="Calibri"/>
          <w:lang w:eastAsia="es-ES_tradnl"/>
        </w:rPr>
        <w:t>Plazo para interponer el recurso</w:t>
      </w:r>
      <w:bookmarkEnd w:id="21"/>
    </w:p>
    <w:p w14:paraId="106D37EE" w14:textId="7C47988F" w:rsidR="00D91CB4" w:rsidRPr="001D2661" w:rsidRDefault="00D91CB4" w:rsidP="001D2661">
      <w:pPr>
        <w:rPr>
          <w:rFonts w:eastAsiaTheme="minorEastAsia" w:cs="Arial"/>
          <w:lang w:val="es-ES_tradnl"/>
        </w:rPr>
      </w:pPr>
      <w:r w:rsidRPr="001D2661">
        <w:rPr>
          <w:rFonts w:cs="Arial"/>
          <w:b/>
        </w:rPr>
        <w:t>EL SUJETO OBLIGADO</w:t>
      </w:r>
      <w:r w:rsidRPr="001D2661">
        <w:rPr>
          <w:rFonts w:cs="Arial"/>
        </w:rPr>
        <w:t xml:space="preserve"> notificó la respuesta a la solicitud de acceso a la Información Pública el </w:t>
      </w:r>
      <w:r w:rsidR="008F42C0" w:rsidRPr="001D2661">
        <w:rPr>
          <w:rFonts w:eastAsia="Palatino Linotype" w:cs="Palatino Linotype"/>
          <w:b/>
        </w:rPr>
        <w:t>veintitrés de septiembre</w:t>
      </w:r>
      <w:r w:rsidR="006B498E" w:rsidRPr="001D2661">
        <w:rPr>
          <w:rFonts w:eastAsia="Palatino Linotype" w:cs="Palatino Linotype"/>
          <w:b/>
        </w:rPr>
        <w:t xml:space="preserve"> de dos mil veinticuatro</w:t>
      </w:r>
      <w:r w:rsidRPr="001D2661">
        <w:rPr>
          <w:rFonts w:cs="Arial"/>
        </w:rPr>
        <w:t xml:space="preserve"> </w:t>
      </w:r>
      <w:r w:rsidR="00A53315" w:rsidRPr="001D2661">
        <w:rPr>
          <w:rFonts w:cs="Arial"/>
        </w:rPr>
        <w:t xml:space="preserve">y el recurso </w:t>
      </w:r>
      <w:r w:rsidR="00A53315" w:rsidRPr="001D2661">
        <w:rPr>
          <w:rFonts w:eastAsia="Palatino Linotype" w:cs="Palatino Linotype"/>
        </w:rPr>
        <w:t xml:space="preserve">que nos ocupa se interpuso el </w:t>
      </w:r>
      <w:r w:rsidR="008F42C0" w:rsidRPr="001D2661">
        <w:rPr>
          <w:rFonts w:eastAsia="Palatino Linotype" w:cs="Palatino Linotype"/>
          <w:b/>
        </w:rPr>
        <w:t>treinta de septiembre</w:t>
      </w:r>
      <w:r w:rsidR="006B498E" w:rsidRPr="001D2661">
        <w:rPr>
          <w:rFonts w:eastAsia="Palatino Linotype" w:cs="Palatino Linotype"/>
          <w:b/>
        </w:rPr>
        <w:t xml:space="preserve"> de dos mil veinticuatro</w:t>
      </w:r>
      <w:r w:rsidR="00A53315" w:rsidRPr="001D2661">
        <w:rPr>
          <w:rFonts w:eastAsia="Palatino Linotype" w:cs="Palatino Linotype"/>
          <w:bCs/>
        </w:rPr>
        <w:t>;</w:t>
      </w:r>
      <w:r w:rsidR="00A53315" w:rsidRPr="001D2661">
        <w:rPr>
          <w:rFonts w:eastAsia="Palatino Linotype" w:cs="Palatino Linotype"/>
        </w:rPr>
        <w:t xml:space="preserve"> por lo tanto, éste se encuentra dentro del margen temporal previsto en el artículo 178 de la </w:t>
      </w:r>
      <w:r w:rsidR="00A53315" w:rsidRPr="001D2661">
        <w:rPr>
          <w:rFonts w:cs="Arial"/>
        </w:rPr>
        <w:t xml:space="preserve">Ley de Transparencia y Acceso a la Información Pública del Estado de México y Municipios, </w:t>
      </w:r>
      <w:r w:rsidR="00A53315" w:rsidRPr="001D2661">
        <w:rPr>
          <w:rFonts w:eastAsia="Calibri"/>
          <w:lang w:eastAsia="es-ES_tradnl"/>
        </w:rPr>
        <w:t xml:space="preserve">el cual </w:t>
      </w:r>
      <w:r w:rsidRPr="001D2661">
        <w:rPr>
          <w:rFonts w:cs="Arial"/>
        </w:rPr>
        <w:t xml:space="preserve">transcurrió del </w:t>
      </w:r>
      <w:r w:rsidR="008F42C0" w:rsidRPr="001D2661">
        <w:rPr>
          <w:rFonts w:cs="Arial"/>
          <w:b/>
        </w:rPr>
        <w:t>veinticuatro de septiembre al quince de octubre</w:t>
      </w:r>
      <w:r w:rsidR="00FC62FC" w:rsidRPr="001D2661">
        <w:rPr>
          <w:rFonts w:cs="Arial"/>
          <w:b/>
        </w:rPr>
        <w:t xml:space="preserve"> </w:t>
      </w:r>
      <w:r w:rsidR="00ED58AB" w:rsidRPr="001D2661">
        <w:rPr>
          <w:rFonts w:cs="Arial"/>
          <w:b/>
        </w:rPr>
        <w:t>de dos mil veinticuatro</w:t>
      </w:r>
      <w:r w:rsidRPr="001D2661">
        <w:rPr>
          <w:rFonts w:cs="Arial"/>
        </w:rPr>
        <w:t xml:space="preserve">, </w:t>
      </w:r>
      <w:r w:rsidRPr="001D2661">
        <w:rPr>
          <w:rFonts w:eastAsiaTheme="minorEastAsia" w:cs="Arial"/>
          <w:lang w:val="es-ES_tradnl"/>
        </w:rPr>
        <w:t xml:space="preserve">sin contemplar en el cómputo </w:t>
      </w:r>
      <w:r w:rsidRPr="001D2661">
        <w:rPr>
          <w:rFonts w:eastAsiaTheme="minorEastAsia" w:cs="Arial"/>
          <w:lang w:val="es-ES_tradnl"/>
        </w:rPr>
        <w:lastRenderedPageBreak/>
        <w:t xml:space="preserve">los días </w:t>
      </w:r>
      <w:bookmarkStart w:id="22" w:name="_Hlk62134391"/>
      <w:r w:rsidRPr="001D2661">
        <w:rPr>
          <w:rFonts w:eastAsiaTheme="minorEastAsia" w:cs="Arial"/>
          <w:lang w:val="es-ES_tradnl"/>
        </w:rPr>
        <w:t>sábados</w:t>
      </w:r>
      <w:r w:rsidR="00CB7E9A" w:rsidRPr="001D2661">
        <w:rPr>
          <w:rFonts w:eastAsiaTheme="minorEastAsia" w:cs="Arial"/>
          <w:lang w:val="es-ES_tradnl"/>
        </w:rPr>
        <w:t xml:space="preserve">, </w:t>
      </w:r>
      <w:r w:rsidRPr="001D2661">
        <w:rPr>
          <w:rFonts w:eastAsiaTheme="minorEastAsia" w:cs="Arial"/>
          <w:lang w:val="es-ES_tradnl"/>
        </w:rPr>
        <w:t>domingos</w:t>
      </w:r>
      <w:r w:rsidR="00CB7E9A" w:rsidRPr="001D2661">
        <w:rPr>
          <w:rFonts w:eastAsiaTheme="minorEastAsia" w:cs="Arial"/>
          <w:lang w:val="es-ES_tradnl"/>
        </w:rPr>
        <w:t xml:space="preserve"> y aquellos</w:t>
      </w:r>
      <w:r w:rsidRPr="001D2661">
        <w:rPr>
          <w:rFonts w:eastAsiaTheme="minorEastAsia" w:cs="Arial"/>
          <w:lang w:val="es-ES_tradnl"/>
        </w:rPr>
        <w:t xml:space="preserve"> considerados como días inhábiles</w:t>
      </w:r>
      <w:r w:rsidR="00CB7E9A" w:rsidRPr="001D2661">
        <w:rPr>
          <w:rFonts w:eastAsiaTheme="minorEastAsia" w:cs="Arial"/>
          <w:lang w:val="es-ES_tradnl"/>
        </w:rPr>
        <w:t xml:space="preserve"> </w:t>
      </w:r>
      <w:r w:rsidRPr="001D2661">
        <w:rPr>
          <w:rFonts w:eastAsiaTheme="minorEastAsia" w:cs="Arial"/>
          <w:lang w:val="es-ES_tradnl"/>
        </w:rPr>
        <w:t xml:space="preserve">en términos del </w:t>
      </w:r>
      <w:bookmarkEnd w:id="22"/>
      <w:r w:rsidRPr="001D2661">
        <w:rPr>
          <w:rFonts w:eastAsiaTheme="minorEastAsia" w:cs="Arial"/>
          <w:lang w:val="es-ES_tradnl"/>
        </w:rPr>
        <w:t>Calendario oficia</w:t>
      </w:r>
      <w:r w:rsidR="00CB7E9A" w:rsidRPr="001D2661">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1D2661" w:rsidRDefault="00D91CB4" w:rsidP="001D2661">
      <w:pPr>
        <w:rPr>
          <w:rFonts w:eastAsia="Palatino Linotype" w:cs="Palatino Linotype"/>
        </w:rPr>
      </w:pPr>
    </w:p>
    <w:p w14:paraId="46C0EB3A" w14:textId="6A82E2BB" w:rsidR="00A53315" w:rsidRPr="001D2661" w:rsidRDefault="00BA55A8" w:rsidP="001D2661">
      <w:pPr>
        <w:pStyle w:val="Ttulo3"/>
        <w:rPr>
          <w:rFonts w:eastAsia="Calibri"/>
          <w:lang w:eastAsia="es-ES_tradnl"/>
        </w:rPr>
      </w:pPr>
      <w:bookmarkStart w:id="23" w:name="_Toc180603237"/>
      <w:r w:rsidRPr="001D2661">
        <w:rPr>
          <w:rFonts w:eastAsia="Calibri"/>
          <w:lang w:eastAsia="es-ES_tradnl"/>
        </w:rPr>
        <w:t>d)</w:t>
      </w:r>
      <w:r w:rsidR="00D91CB4" w:rsidRPr="001D2661">
        <w:rPr>
          <w:rFonts w:eastAsia="Calibri"/>
          <w:lang w:eastAsia="es-ES_tradnl"/>
        </w:rPr>
        <w:t xml:space="preserve"> </w:t>
      </w:r>
      <w:r w:rsidR="00987005" w:rsidRPr="001D2661">
        <w:rPr>
          <w:rFonts w:eastAsia="Calibri"/>
          <w:lang w:eastAsia="es-ES_tradnl"/>
        </w:rPr>
        <w:t>Causal de procedencia.</w:t>
      </w:r>
      <w:bookmarkEnd w:id="23"/>
    </w:p>
    <w:p w14:paraId="190404A6" w14:textId="08B496FF" w:rsidR="00BA55A8" w:rsidRPr="001D2661" w:rsidRDefault="00BA55A8" w:rsidP="001D2661">
      <w:r w:rsidRPr="001D2661">
        <w:rPr>
          <w:rFonts w:cs="Arial"/>
        </w:rPr>
        <w:t xml:space="preserve">Resulta procedente la interposición del recurso de revisión, ya que </w:t>
      </w:r>
      <w:r w:rsidRPr="001D2661">
        <w:rPr>
          <w:rFonts w:eastAsia="Calibri" w:cs="Tahoma"/>
          <w:szCs w:val="22"/>
          <w:lang w:eastAsia="es-MX"/>
        </w:rPr>
        <w:t xml:space="preserve">se actualiza la causal de procedencia señalada en el artículo 179, fracción </w:t>
      </w:r>
      <w:r w:rsidR="000448F1" w:rsidRPr="001D2661">
        <w:rPr>
          <w:rFonts w:eastAsia="Calibri" w:cs="Tahoma"/>
          <w:szCs w:val="22"/>
          <w:lang w:eastAsia="es-MX"/>
        </w:rPr>
        <w:t>VI</w:t>
      </w:r>
      <w:r w:rsidRPr="001D2661">
        <w:rPr>
          <w:rFonts w:cs="Arial"/>
        </w:rPr>
        <w:t xml:space="preserve"> de la </w:t>
      </w:r>
      <w:r w:rsidRPr="001D2661">
        <w:t>Ley de Transparencia y Acceso a la Información Pública del Estado de México y Municipios.</w:t>
      </w:r>
    </w:p>
    <w:p w14:paraId="0EFF7141" w14:textId="77777777" w:rsidR="00362A11" w:rsidRPr="001D2661" w:rsidRDefault="00362A11" w:rsidP="001D2661"/>
    <w:p w14:paraId="2284D7EB" w14:textId="3EE1D036" w:rsidR="00BA55A8" w:rsidRPr="001D2661" w:rsidRDefault="00362A11" w:rsidP="001D2661">
      <w:pPr>
        <w:pStyle w:val="Ttulo3"/>
      </w:pPr>
      <w:bookmarkStart w:id="24" w:name="_Toc180603238"/>
      <w:r w:rsidRPr="001D2661">
        <w:t>e) Requisitos formales para la interposición del recurso</w:t>
      </w:r>
      <w:bookmarkEnd w:id="24"/>
    </w:p>
    <w:p w14:paraId="6390674A" w14:textId="78A894DD" w:rsidR="00BA55A8" w:rsidRPr="001D2661" w:rsidRDefault="00BA55A8" w:rsidP="001D2661">
      <w:pPr>
        <w:rPr>
          <w:rFonts w:cs="Arial"/>
        </w:rPr>
      </w:pPr>
      <w:r w:rsidRPr="001D2661">
        <w:rPr>
          <w:rFonts w:cs="Arial"/>
          <w:b/>
          <w:bCs/>
        </w:rPr>
        <w:t xml:space="preserve">LA PARTE RECURRENTE </w:t>
      </w:r>
      <w:r w:rsidRPr="001D2661">
        <w:rPr>
          <w:rFonts w:cs="Arial"/>
        </w:rPr>
        <w:t>acreditó todos y cada uno de los elementos formales exigidos por el artículo 180 de la misma normatividad.</w:t>
      </w:r>
    </w:p>
    <w:p w14:paraId="3A121826" w14:textId="77777777" w:rsidR="00C461EC" w:rsidRPr="001D2661" w:rsidRDefault="00C461EC" w:rsidP="001D2661">
      <w:pPr>
        <w:rPr>
          <w:bCs/>
          <w:lang w:val="es-ES_tradnl"/>
        </w:rPr>
      </w:pPr>
    </w:p>
    <w:p w14:paraId="457548E9" w14:textId="3F7AF03B" w:rsidR="00C71CEF" w:rsidRPr="001D2661" w:rsidRDefault="00C71CEF" w:rsidP="001D2661">
      <w:pPr>
        <w:pStyle w:val="Ttulo2"/>
      </w:pPr>
      <w:bookmarkStart w:id="25" w:name="_Toc180603239"/>
      <w:r w:rsidRPr="001D2661">
        <w:t>SEGUNDO. Estudio de Fondo</w:t>
      </w:r>
      <w:bookmarkEnd w:id="25"/>
    </w:p>
    <w:p w14:paraId="2A308F59" w14:textId="0FF373F0" w:rsidR="00C049E2" w:rsidRPr="001D2661" w:rsidRDefault="00C71CEF" w:rsidP="001D2661">
      <w:pPr>
        <w:pStyle w:val="Ttulo3"/>
      </w:pPr>
      <w:bookmarkStart w:id="26" w:name="_Toc180603240"/>
      <w:r w:rsidRPr="001D2661">
        <w:t>a</w:t>
      </w:r>
      <w:r w:rsidR="00C049E2" w:rsidRPr="001D2661">
        <w:t>) Mandato de transparencia y responsabilidad del Sujeto Obligado</w:t>
      </w:r>
      <w:bookmarkEnd w:id="26"/>
    </w:p>
    <w:p w14:paraId="6901A889" w14:textId="59EEDAE1" w:rsidR="00C049E2" w:rsidRPr="001D2661" w:rsidRDefault="00C049E2" w:rsidP="001D2661">
      <w:pPr>
        <w:rPr>
          <w:rFonts w:eastAsia="Palatino Linotype"/>
        </w:rPr>
      </w:pPr>
      <w:r w:rsidRPr="001D2661">
        <w:rPr>
          <w:rFonts w:eastAsia="Palatino Linotype"/>
        </w:rPr>
        <w:t xml:space="preserve">El </w:t>
      </w:r>
      <w:r w:rsidR="00717E59" w:rsidRPr="001D2661">
        <w:rPr>
          <w:rFonts w:eastAsia="Palatino Linotype"/>
        </w:rPr>
        <w:t>d</w:t>
      </w:r>
      <w:r w:rsidRPr="001D2661">
        <w:rPr>
          <w:rFonts w:eastAsia="Palatino Linotype"/>
        </w:rPr>
        <w:t xml:space="preserve">erecho de </w:t>
      </w:r>
      <w:r w:rsidR="00717E59" w:rsidRPr="001D2661">
        <w:rPr>
          <w:rFonts w:eastAsia="Palatino Linotype"/>
        </w:rPr>
        <w:t>a</w:t>
      </w:r>
      <w:r w:rsidRPr="001D2661">
        <w:rPr>
          <w:rFonts w:eastAsia="Palatino Linotype"/>
        </w:rPr>
        <w:t xml:space="preserve">cceso a la </w:t>
      </w:r>
      <w:r w:rsidR="00717E59" w:rsidRPr="001D2661">
        <w:rPr>
          <w:rFonts w:eastAsia="Palatino Linotype"/>
        </w:rPr>
        <w:t>i</w:t>
      </w:r>
      <w:r w:rsidRPr="001D2661">
        <w:rPr>
          <w:rFonts w:eastAsia="Palatino Linotype"/>
        </w:rPr>
        <w:t xml:space="preserve">nformación </w:t>
      </w:r>
      <w:r w:rsidR="00717E59" w:rsidRPr="001D2661">
        <w:rPr>
          <w:rFonts w:eastAsia="Palatino Linotype"/>
        </w:rPr>
        <w:t>p</w:t>
      </w:r>
      <w:r w:rsidRPr="001D266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D2661">
        <w:rPr>
          <w:rFonts w:eastAsia="Palatino Linotype"/>
        </w:rPr>
        <w:t>:</w:t>
      </w:r>
    </w:p>
    <w:p w14:paraId="7FAB8D32" w14:textId="77777777" w:rsidR="00C049E2" w:rsidRPr="001D2661" w:rsidRDefault="00C049E2" w:rsidP="001D2661">
      <w:pPr>
        <w:rPr>
          <w:rFonts w:eastAsia="Palatino Linotype"/>
        </w:rPr>
      </w:pPr>
    </w:p>
    <w:p w14:paraId="05320813" w14:textId="77777777" w:rsidR="00C049E2" w:rsidRPr="001D2661" w:rsidRDefault="00C049E2" w:rsidP="001D2661">
      <w:pPr>
        <w:spacing w:line="240" w:lineRule="auto"/>
        <w:ind w:left="567" w:right="539"/>
        <w:rPr>
          <w:rFonts w:eastAsia="Palatino Linotype"/>
          <w:b/>
          <w:i/>
        </w:rPr>
      </w:pPr>
      <w:r w:rsidRPr="001D2661">
        <w:rPr>
          <w:rFonts w:eastAsia="Palatino Linotype"/>
          <w:b/>
          <w:i/>
        </w:rPr>
        <w:t>Constitución Política de los Estados Unidos Mexicanos</w:t>
      </w:r>
    </w:p>
    <w:p w14:paraId="6B6C67B6" w14:textId="77777777" w:rsidR="00C049E2" w:rsidRPr="001D2661" w:rsidRDefault="00C049E2" w:rsidP="001D2661">
      <w:pPr>
        <w:spacing w:line="240" w:lineRule="auto"/>
        <w:ind w:left="567" w:right="539"/>
        <w:rPr>
          <w:rFonts w:eastAsia="Palatino Linotype"/>
          <w:b/>
          <w:i/>
        </w:rPr>
      </w:pPr>
      <w:r w:rsidRPr="001D2661">
        <w:rPr>
          <w:rFonts w:eastAsia="Palatino Linotype"/>
          <w:b/>
          <w:i/>
        </w:rPr>
        <w:t>“Artículo 6.</w:t>
      </w:r>
    </w:p>
    <w:p w14:paraId="38D3B4C4" w14:textId="77777777" w:rsidR="00C049E2" w:rsidRPr="001D2661" w:rsidRDefault="00C049E2" w:rsidP="001D2661">
      <w:pPr>
        <w:spacing w:line="240" w:lineRule="auto"/>
        <w:ind w:left="567" w:right="539"/>
        <w:rPr>
          <w:rFonts w:eastAsia="Palatino Linotype"/>
          <w:i/>
        </w:rPr>
      </w:pPr>
      <w:r w:rsidRPr="001D2661">
        <w:rPr>
          <w:rFonts w:eastAsia="Palatino Linotype"/>
          <w:i/>
        </w:rPr>
        <w:t>(…)</w:t>
      </w:r>
    </w:p>
    <w:p w14:paraId="2CCAA297" w14:textId="6602827B" w:rsidR="00C049E2" w:rsidRPr="001D2661" w:rsidRDefault="00C049E2" w:rsidP="001D2661">
      <w:pPr>
        <w:spacing w:line="240" w:lineRule="auto"/>
        <w:ind w:left="567" w:right="539"/>
        <w:rPr>
          <w:rFonts w:eastAsia="Palatino Linotype"/>
          <w:i/>
        </w:rPr>
      </w:pPr>
      <w:r w:rsidRPr="001D2661">
        <w:rPr>
          <w:rFonts w:eastAsia="Palatino Linotype"/>
          <w:i/>
        </w:rPr>
        <w:t>Para efectos de lo dispuesto en el presente artículo se observará lo siguiente:</w:t>
      </w:r>
    </w:p>
    <w:p w14:paraId="74CC3718" w14:textId="77777777" w:rsidR="00C049E2" w:rsidRPr="001D2661" w:rsidRDefault="00C049E2" w:rsidP="001D2661">
      <w:pPr>
        <w:spacing w:line="240" w:lineRule="auto"/>
        <w:ind w:left="567" w:right="539"/>
        <w:rPr>
          <w:rFonts w:eastAsia="Palatino Linotype"/>
          <w:b/>
          <w:i/>
        </w:rPr>
      </w:pPr>
      <w:r w:rsidRPr="001D2661">
        <w:rPr>
          <w:rFonts w:eastAsia="Palatino Linotype"/>
          <w:b/>
          <w:i/>
        </w:rPr>
        <w:t>A</w:t>
      </w:r>
      <w:r w:rsidRPr="001D2661">
        <w:rPr>
          <w:rFonts w:eastAsia="Palatino Linotype"/>
          <w:i/>
        </w:rPr>
        <w:t xml:space="preserve">. </w:t>
      </w:r>
      <w:r w:rsidRPr="001D2661">
        <w:rPr>
          <w:rFonts w:eastAsia="Palatino Linotype"/>
          <w:b/>
          <w:i/>
        </w:rPr>
        <w:t>Para el ejercicio del derecho de acceso a la información</w:t>
      </w:r>
      <w:r w:rsidRPr="001D2661">
        <w:rPr>
          <w:rFonts w:eastAsia="Palatino Linotype"/>
          <w:i/>
        </w:rPr>
        <w:t xml:space="preserve">, la Federación y </w:t>
      </w:r>
      <w:r w:rsidRPr="001D2661">
        <w:rPr>
          <w:rFonts w:eastAsia="Palatino Linotype"/>
          <w:b/>
          <w:i/>
        </w:rPr>
        <w:t>las entidades federativas, en el ámbito de sus respectivas competencias, se regirán por los siguientes principios y bases:</w:t>
      </w:r>
    </w:p>
    <w:p w14:paraId="596A956B" w14:textId="77777777" w:rsidR="00C049E2" w:rsidRPr="001D2661" w:rsidRDefault="00C049E2" w:rsidP="001D2661">
      <w:pPr>
        <w:spacing w:line="240" w:lineRule="auto"/>
        <w:ind w:left="567" w:right="539"/>
        <w:rPr>
          <w:rFonts w:eastAsia="Palatino Linotype"/>
          <w:i/>
        </w:rPr>
      </w:pPr>
      <w:r w:rsidRPr="001D2661">
        <w:rPr>
          <w:rFonts w:eastAsia="Palatino Linotype"/>
          <w:b/>
          <w:i/>
        </w:rPr>
        <w:t xml:space="preserve">I. </w:t>
      </w:r>
      <w:r w:rsidRPr="001D2661">
        <w:rPr>
          <w:rFonts w:eastAsia="Palatino Linotype"/>
          <w:b/>
          <w:i/>
        </w:rPr>
        <w:tab/>
        <w:t>Toda la información en posesión de cualquier</w:t>
      </w:r>
      <w:r w:rsidRPr="001D2661">
        <w:rPr>
          <w:rFonts w:eastAsia="Palatino Linotype"/>
          <w:i/>
        </w:rPr>
        <w:t xml:space="preserve"> </w:t>
      </w:r>
      <w:r w:rsidRPr="001D2661">
        <w:rPr>
          <w:rFonts w:eastAsia="Palatino Linotype"/>
          <w:b/>
          <w:i/>
        </w:rPr>
        <w:t>autoridad</w:t>
      </w:r>
      <w:r w:rsidRPr="001D2661">
        <w:rPr>
          <w:rFonts w:eastAsia="Palatino Linotype"/>
          <w:i/>
        </w:rPr>
        <w:t xml:space="preserve">, entidad, órgano y organismo de los Poderes Ejecutivo, Legislativo y Judicial, órganos autónomos, partidos </w:t>
      </w:r>
      <w:r w:rsidRPr="001D2661">
        <w:rPr>
          <w:rFonts w:eastAsia="Palatino Linotype"/>
          <w:i/>
        </w:rPr>
        <w:lastRenderedPageBreak/>
        <w:t xml:space="preserve">políticos, fideicomisos y fondos públicos, así como de cualquier persona física, moral o sindicato que reciba y ejerza recursos públicos o realice actos de autoridad en el ámbito federal, estatal y </w:t>
      </w:r>
      <w:r w:rsidRPr="001D2661">
        <w:rPr>
          <w:rFonts w:eastAsia="Palatino Linotype"/>
          <w:b/>
          <w:i/>
        </w:rPr>
        <w:t>municipal</w:t>
      </w:r>
      <w:r w:rsidRPr="001D2661">
        <w:rPr>
          <w:rFonts w:eastAsia="Palatino Linotype"/>
          <w:i/>
        </w:rPr>
        <w:t xml:space="preserve">, </w:t>
      </w:r>
      <w:r w:rsidRPr="001D2661">
        <w:rPr>
          <w:rFonts w:eastAsia="Palatino Linotype"/>
          <w:b/>
          <w:i/>
        </w:rPr>
        <w:t>es pública</w:t>
      </w:r>
      <w:r w:rsidRPr="001D2661">
        <w:rPr>
          <w:rFonts w:eastAsia="Palatino Linotype"/>
          <w:i/>
        </w:rPr>
        <w:t xml:space="preserve"> y sólo podrá ser reservada temporalmente por razones de interés público y seguridad nacional, en los términos que fijen las leyes. </w:t>
      </w:r>
      <w:r w:rsidRPr="001D2661">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D2661">
        <w:rPr>
          <w:rFonts w:eastAsia="Palatino Linotype"/>
          <w:i/>
        </w:rPr>
        <w:t>, la ley determinará los supuestos específicos bajo los cuales procederá la declaración de inexistencia de la información.”</w:t>
      </w:r>
    </w:p>
    <w:p w14:paraId="68F313E4" w14:textId="77777777" w:rsidR="00C049E2" w:rsidRPr="001D2661" w:rsidRDefault="00C049E2" w:rsidP="001D2661">
      <w:pPr>
        <w:spacing w:line="240" w:lineRule="auto"/>
        <w:ind w:left="567" w:right="539"/>
        <w:rPr>
          <w:rFonts w:eastAsia="Palatino Linotype"/>
          <w:b/>
          <w:i/>
        </w:rPr>
      </w:pPr>
    </w:p>
    <w:p w14:paraId="504F12DB" w14:textId="77777777" w:rsidR="00C049E2" w:rsidRPr="001D2661" w:rsidRDefault="00C049E2" w:rsidP="001D2661">
      <w:pPr>
        <w:spacing w:line="240" w:lineRule="auto"/>
        <w:ind w:left="567" w:right="539"/>
        <w:rPr>
          <w:rFonts w:eastAsia="Palatino Linotype"/>
          <w:b/>
          <w:i/>
        </w:rPr>
      </w:pPr>
      <w:r w:rsidRPr="001D2661">
        <w:rPr>
          <w:rFonts w:eastAsia="Palatino Linotype"/>
          <w:b/>
          <w:i/>
        </w:rPr>
        <w:t>Constitución Política del Estado Libre y Soberano de México</w:t>
      </w:r>
    </w:p>
    <w:p w14:paraId="04932D29" w14:textId="77777777" w:rsidR="00C049E2" w:rsidRPr="001D2661" w:rsidRDefault="00C049E2" w:rsidP="001D2661">
      <w:pPr>
        <w:spacing w:line="240" w:lineRule="auto"/>
        <w:ind w:left="567" w:right="539"/>
        <w:rPr>
          <w:rFonts w:eastAsia="Palatino Linotype"/>
          <w:i/>
        </w:rPr>
      </w:pPr>
      <w:r w:rsidRPr="001D2661">
        <w:rPr>
          <w:rFonts w:eastAsia="Palatino Linotype"/>
          <w:b/>
          <w:i/>
        </w:rPr>
        <w:t>“Artículo 5</w:t>
      </w:r>
      <w:r w:rsidRPr="001D2661">
        <w:rPr>
          <w:rFonts w:eastAsia="Palatino Linotype"/>
          <w:i/>
        </w:rPr>
        <w:t xml:space="preserve">.- </w:t>
      </w:r>
    </w:p>
    <w:p w14:paraId="1D3829F4" w14:textId="77777777" w:rsidR="00C049E2" w:rsidRPr="001D2661" w:rsidRDefault="00C049E2" w:rsidP="001D2661">
      <w:pPr>
        <w:spacing w:line="240" w:lineRule="auto"/>
        <w:ind w:left="567" w:right="539"/>
        <w:rPr>
          <w:rFonts w:eastAsia="Palatino Linotype"/>
          <w:i/>
        </w:rPr>
      </w:pPr>
      <w:r w:rsidRPr="001D2661">
        <w:rPr>
          <w:rFonts w:eastAsia="Palatino Linotype"/>
          <w:i/>
        </w:rPr>
        <w:t>(…)</w:t>
      </w:r>
    </w:p>
    <w:p w14:paraId="0EAE47FD" w14:textId="77777777" w:rsidR="00C049E2" w:rsidRPr="001D2661" w:rsidRDefault="00C049E2" w:rsidP="001D2661">
      <w:pPr>
        <w:spacing w:line="240" w:lineRule="auto"/>
        <w:ind w:left="567" w:right="539"/>
        <w:rPr>
          <w:rFonts w:eastAsia="Palatino Linotype"/>
          <w:i/>
        </w:rPr>
      </w:pPr>
      <w:r w:rsidRPr="001D2661">
        <w:rPr>
          <w:rFonts w:eastAsia="Palatino Linotype"/>
          <w:b/>
          <w:i/>
        </w:rPr>
        <w:t>El derecho a la información será garantizado por el Estado. La ley establecerá las previsiones que permitan asegurar la protección, el respeto y la difusión de este derecho</w:t>
      </w:r>
      <w:r w:rsidRPr="001D2661">
        <w:rPr>
          <w:rFonts w:eastAsia="Palatino Linotype"/>
          <w:i/>
        </w:rPr>
        <w:t>.</w:t>
      </w:r>
    </w:p>
    <w:p w14:paraId="4F0C804A" w14:textId="77777777" w:rsidR="00C049E2" w:rsidRPr="001D2661" w:rsidRDefault="00C049E2" w:rsidP="001D2661">
      <w:pPr>
        <w:spacing w:line="240" w:lineRule="auto"/>
        <w:ind w:left="567" w:right="539"/>
        <w:rPr>
          <w:rFonts w:eastAsia="Palatino Linotype"/>
          <w:i/>
        </w:rPr>
      </w:pPr>
      <w:r w:rsidRPr="001D266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D2661" w:rsidRDefault="00C049E2" w:rsidP="001D2661">
      <w:pPr>
        <w:spacing w:line="240" w:lineRule="auto"/>
        <w:ind w:left="567" w:right="539"/>
        <w:rPr>
          <w:rFonts w:eastAsia="Palatino Linotype"/>
          <w:i/>
        </w:rPr>
      </w:pPr>
      <w:r w:rsidRPr="001D2661">
        <w:rPr>
          <w:rFonts w:eastAsia="Palatino Linotype"/>
          <w:b/>
          <w:i/>
        </w:rPr>
        <w:t>Este derecho se regirá por los principios y bases siguientes</w:t>
      </w:r>
      <w:r w:rsidRPr="001D2661">
        <w:rPr>
          <w:rFonts w:eastAsia="Palatino Linotype"/>
          <w:i/>
        </w:rPr>
        <w:t>:</w:t>
      </w:r>
    </w:p>
    <w:p w14:paraId="4A3E8CBA" w14:textId="77777777" w:rsidR="00C049E2" w:rsidRPr="001D2661" w:rsidRDefault="00C049E2" w:rsidP="001D2661">
      <w:pPr>
        <w:spacing w:line="240" w:lineRule="auto"/>
        <w:ind w:left="567" w:right="539"/>
        <w:rPr>
          <w:rFonts w:eastAsia="Palatino Linotype"/>
          <w:i/>
        </w:rPr>
      </w:pPr>
      <w:r w:rsidRPr="001D2661">
        <w:rPr>
          <w:rFonts w:eastAsia="Palatino Linotype"/>
          <w:b/>
          <w:i/>
        </w:rPr>
        <w:t>I. Toda la información en posesión de cualquier autoridad, entidad, órgano y organismos de los</w:t>
      </w:r>
      <w:r w:rsidRPr="001D2661">
        <w:rPr>
          <w:rFonts w:eastAsia="Palatino Linotype"/>
          <w:i/>
        </w:rPr>
        <w:t xml:space="preserve"> Poderes Ejecutivo, Legislativo y Judicial, órganos autónomos, partidos políticos, fideicomisos y fondos públicos estatales y </w:t>
      </w:r>
      <w:r w:rsidRPr="001D2661">
        <w:rPr>
          <w:rFonts w:eastAsia="Palatino Linotype"/>
          <w:b/>
          <w:i/>
        </w:rPr>
        <w:t>municipales</w:t>
      </w:r>
      <w:r w:rsidRPr="001D266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D2661">
        <w:rPr>
          <w:rFonts w:eastAsia="Palatino Linotype"/>
          <w:b/>
          <w:i/>
        </w:rPr>
        <w:t>es pública</w:t>
      </w:r>
      <w:r w:rsidRPr="001D2661">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D2661">
        <w:rPr>
          <w:rFonts w:eastAsia="Palatino Linotype"/>
          <w:b/>
          <w:i/>
        </w:rPr>
        <w:t>En la interpretación de este derecho deberá prevalecer el principio de máxima publicidad</w:t>
      </w:r>
      <w:r w:rsidRPr="001D2661">
        <w:rPr>
          <w:rFonts w:eastAsia="Palatino Linotype"/>
          <w:i/>
        </w:rPr>
        <w:t xml:space="preserve">. </w:t>
      </w:r>
      <w:r w:rsidRPr="001D2661">
        <w:rPr>
          <w:rFonts w:eastAsia="Palatino Linotype"/>
          <w:b/>
          <w:i/>
        </w:rPr>
        <w:t>Los sujetos obligados deberán documentar todo acto que derive del ejercicio de sus facultades, competencias o funciones</w:t>
      </w:r>
      <w:r w:rsidRPr="001D2661">
        <w:rPr>
          <w:rFonts w:eastAsia="Palatino Linotype"/>
          <w:i/>
        </w:rPr>
        <w:t>, la ley determinará los supuestos específicos bajo los cuales procederá la declaración de inexistencia de la información.”</w:t>
      </w:r>
    </w:p>
    <w:p w14:paraId="5CA98E37" w14:textId="77777777" w:rsidR="00C049E2" w:rsidRPr="001D2661" w:rsidRDefault="00C049E2" w:rsidP="001D2661">
      <w:pPr>
        <w:rPr>
          <w:rFonts w:eastAsia="Palatino Linotype"/>
          <w:b/>
          <w:i/>
        </w:rPr>
      </w:pPr>
    </w:p>
    <w:p w14:paraId="6FC1BB3B" w14:textId="3BF4A33D" w:rsidR="00C049E2" w:rsidRPr="001D2661" w:rsidRDefault="00717E59" w:rsidP="001D2661">
      <w:pPr>
        <w:rPr>
          <w:rFonts w:eastAsia="Palatino Linotype"/>
          <w:i/>
        </w:rPr>
      </w:pPr>
      <w:r w:rsidRPr="001D2661">
        <w:rPr>
          <w:rFonts w:eastAsia="Palatino Linotype"/>
        </w:rPr>
        <w:t xml:space="preserve">Asimismo, </w:t>
      </w:r>
      <w:r w:rsidR="00C049E2" w:rsidRPr="001D2661">
        <w:rPr>
          <w:rFonts w:eastAsia="Palatino Linotype"/>
        </w:rPr>
        <w:t>el artículo 150 de la Ley de Transparencia y Acceso a la Información Pública del Estado de México y Municipios</w:t>
      </w:r>
      <w:r w:rsidR="00057B2D" w:rsidRPr="001D2661">
        <w:rPr>
          <w:rFonts w:eastAsia="Palatino Linotype"/>
        </w:rPr>
        <w:t xml:space="preserve"> </w:t>
      </w:r>
      <w:r w:rsidR="00E9335C" w:rsidRPr="001D2661">
        <w:rPr>
          <w:rFonts w:eastAsia="Palatino Linotype"/>
        </w:rPr>
        <w:t xml:space="preserve">indica </w:t>
      </w:r>
      <w:r w:rsidR="00057B2D" w:rsidRPr="001D2661">
        <w:rPr>
          <w:rFonts w:eastAsia="Palatino Linotype"/>
        </w:rPr>
        <w:t>que</w:t>
      </w:r>
      <w:r w:rsidR="00C049E2" w:rsidRPr="001D2661">
        <w:rPr>
          <w:rFonts w:eastAsia="Palatino Linotype"/>
        </w:rPr>
        <w:t xml:space="preserve"> la solicitud es la garantía primaria del Derecho de Acceso a la Información, además, establece que se regirá </w:t>
      </w:r>
      <w:r w:rsidR="00C049E2" w:rsidRPr="001D2661">
        <w:rPr>
          <w:rFonts w:eastAsia="Palatino Linotype"/>
          <w:i/>
        </w:rPr>
        <w:t>por los principios de simplicidad, rapidez</w:t>
      </w:r>
      <w:r w:rsidR="005F65B7" w:rsidRPr="001D2661">
        <w:rPr>
          <w:rFonts w:eastAsia="Palatino Linotype"/>
          <w:i/>
        </w:rPr>
        <w:t>,</w:t>
      </w:r>
      <w:r w:rsidR="00C049E2" w:rsidRPr="001D2661">
        <w:rPr>
          <w:rFonts w:eastAsia="Palatino Linotype"/>
          <w:i/>
        </w:rPr>
        <w:t xml:space="preserve"> gratuidad del procedimiento, auxilio y orientación a los particulare</w:t>
      </w:r>
      <w:r w:rsidR="001A58B3" w:rsidRPr="001D2661">
        <w:rPr>
          <w:rFonts w:eastAsia="Palatino Linotype"/>
          <w:i/>
        </w:rPr>
        <w:t>s.</w:t>
      </w:r>
    </w:p>
    <w:p w14:paraId="033466A6" w14:textId="77777777" w:rsidR="001A58B3" w:rsidRPr="001D2661" w:rsidRDefault="001A58B3" w:rsidP="001D2661">
      <w:pPr>
        <w:rPr>
          <w:rFonts w:eastAsia="Palatino Linotype"/>
          <w:i/>
        </w:rPr>
      </w:pPr>
    </w:p>
    <w:p w14:paraId="04ADA10B" w14:textId="574A944A" w:rsidR="001A58B3" w:rsidRPr="001D2661" w:rsidRDefault="00233F17" w:rsidP="001D2661">
      <w:pPr>
        <w:rPr>
          <w:rFonts w:eastAsia="Palatino Linotype" w:cs="Palatino Linotype"/>
          <w:i/>
          <w:szCs w:val="22"/>
        </w:rPr>
      </w:pPr>
      <w:r w:rsidRPr="001D2661">
        <w:rPr>
          <w:rFonts w:eastAsia="Palatino Linotype" w:cs="Palatino Linotype"/>
        </w:rPr>
        <w:t xml:space="preserve">Por su parte, el artículo 4 de </w:t>
      </w:r>
      <w:r w:rsidR="001A58B3" w:rsidRPr="001D266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D2661">
        <w:rPr>
          <w:rFonts w:eastAsia="Palatino Linotype" w:cs="Palatino Linotype"/>
        </w:rPr>
        <w:t>.</w:t>
      </w:r>
    </w:p>
    <w:p w14:paraId="1407DBB8" w14:textId="77777777" w:rsidR="001A58B3" w:rsidRPr="001D2661" w:rsidRDefault="001A58B3" w:rsidP="001D2661">
      <w:pPr>
        <w:rPr>
          <w:rFonts w:eastAsia="Palatino Linotype" w:cs="Palatino Linotype"/>
        </w:rPr>
      </w:pPr>
    </w:p>
    <w:p w14:paraId="7552AA79" w14:textId="5C52E4A4" w:rsidR="001A58B3" w:rsidRPr="001D2661" w:rsidRDefault="001A58B3" w:rsidP="001D2661">
      <w:pPr>
        <w:rPr>
          <w:rFonts w:eastAsia="Palatino Linotype" w:cs="Palatino Linotype"/>
        </w:rPr>
      </w:pPr>
      <w:r w:rsidRPr="001D2661">
        <w:rPr>
          <w:rFonts w:eastAsia="Palatino Linotype" w:cs="Palatino Linotype"/>
        </w:rPr>
        <w:t xml:space="preserve">Esto es, que los Sujetos Obligados </w:t>
      </w:r>
      <w:r w:rsidR="00FA5957" w:rsidRPr="001D2661">
        <w:rPr>
          <w:rFonts w:eastAsia="Palatino Linotype" w:cs="Palatino Linotype"/>
        </w:rPr>
        <w:t>deben</w:t>
      </w:r>
      <w:r w:rsidRPr="001D2661">
        <w:rPr>
          <w:rFonts w:eastAsia="Palatino Linotype" w:cs="Palatino Linotype"/>
        </w:rPr>
        <w:t xml:space="preserve"> atender las solicitudes de acceso a la información pública que se les </w:t>
      </w:r>
      <w:r w:rsidR="00FA5957" w:rsidRPr="001D2661">
        <w:rPr>
          <w:rFonts w:eastAsia="Palatino Linotype" w:cs="Palatino Linotype"/>
        </w:rPr>
        <w:t>sean realizadas,</w:t>
      </w:r>
      <w:r w:rsidRPr="001D2661">
        <w:rPr>
          <w:rFonts w:eastAsia="Palatino Linotype" w:cs="Palatino Linotype"/>
        </w:rPr>
        <w:t xml:space="preserve"> y proporcionar la información pública que obre en su poder</w:t>
      </w:r>
      <w:r w:rsidR="00FA5957" w:rsidRPr="001D2661">
        <w:rPr>
          <w:rFonts w:eastAsia="Palatino Linotype" w:cs="Palatino Linotype"/>
        </w:rPr>
        <w:t>,</w:t>
      </w:r>
      <w:r w:rsidRPr="001D2661">
        <w:rPr>
          <w:rFonts w:eastAsia="Palatino Linotype" w:cs="Palatino Linotype"/>
        </w:rPr>
        <w:t xml:space="preserve"> conforme </w:t>
      </w:r>
      <w:r w:rsidR="00FA5957" w:rsidRPr="001D2661">
        <w:rPr>
          <w:rFonts w:eastAsia="Palatino Linotype" w:cs="Palatino Linotype"/>
        </w:rPr>
        <w:t>a</w:t>
      </w:r>
      <w:r w:rsidRPr="001D2661">
        <w:rPr>
          <w:rFonts w:eastAsia="Palatino Linotype" w:cs="Palatino Linotype"/>
        </w:rPr>
        <w:t xml:space="preserve">l estado </w:t>
      </w:r>
      <w:r w:rsidR="00FA5957" w:rsidRPr="001D2661">
        <w:rPr>
          <w:rFonts w:eastAsia="Palatino Linotype" w:cs="Palatino Linotype"/>
        </w:rPr>
        <w:t xml:space="preserve">en </w:t>
      </w:r>
      <w:r w:rsidRPr="001D2661">
        <w:rPr>
          <w:rFonts w:eastAsia="Palatino Linotype" w:cs="Palatino Linotype"/>
        </w:rPr>
        <w:t>que se encuentr</w:t>
      </w:r>
      <w:r w:rsidR="00FA5957" w:rsidRPr="001D2661">
        <w:rPr>
          <w:rFonts w:eastAsia="Palatino Linotype" w:cs="Palatino Linotype"/>
        </w:rPr>
        <w:t>e, sin que sea necesario</w:t>
      </w:r>
      <w:r w:rsidRPr="001D2661">
        <w:rPr>
          <w:rFonts w:eastAsia="Palatino Linotype" w:cs="Palatino Linotype"/>
        </w:rPr>
        <w:t xml:space="preserve"> </w:t>
      </w:r>
      <w:r w:rsidR="00FA5957" w:rsidRPr="001D2661">
        <w:rPr>
          <w:rFonts w:eastAsia="Palatino Linotype" w:cs="Palatino Linotype"/>
        </w:rPr>
        <w:t>procesar</w:t>
      </w:r>
      <w:r w:rsidRPr="001D2661">
        <w:rPr>
          <w:rFonts w:eastAsia="Palatino Linotype" w:cs="Palatino Linotype"/>
        </w:rPr>
        <w:t xml:space="preserve"> la misma, ni presentarla conforme al interés del solicitante; </w:t>
      </w:r>
      <w:r w:rsidR="00FA5957" w:rsidRPr="001D2661">
        <w:rPr>
          <w:rFonts w:eastAsia="Palatino Linotype" w:cs="Palatino Linotype"/>
        </w:rPr>
        <w:t>tal y como</w:t>
      </w:r>
      <w:r w:rsidRPr="001D2661">
        <w:rPr>
          <w:rFonts w:eastAsia="Palatino Linotype" w:cs="Palatino Linotype"/>
        </w:rPr>
        <w:t xml:space="preserve"> lo establece el artículo 12 de la Ley de Transparencia y Acceso a la Información Pública del Estado de México y Municipios</w:t>
      </w:r>
      <w:r w:rsidR="00970EB3" w:rsidRPr="001D2661">
        <w:rPr>
          <w:rFonts w:eastAsia="Palatino Linotype" w:cs="Palatino Linotype"/>
        </w:rPr>
        <w:t>.</w:t>
      </w:r>
    </w:p>
    <w:p w14:paraId="73245195" w14:textId="77777777" w:rsidR="00970EB3" w:rsidRPr="001D2661" w:rsidRDefault="00970EB3" w:rsidP="001D2661">
      <w:pPr>
        <w:rPr>
          <w:rFonts w:eastAsia="Palatino Linotype" w:cs="Palatino Linotype"/>
        </w:rPr>
      </w:pPr>
    </w:p>
    <w:p w14:paraId="7F62D4DF" w14:textId="775730E1" w:rsidR="001A58B3" w:rsidRPr="001D2661" w:rsidRDefault="001A58B3" w:rsidP="001D2661">
      <w:pPr>
        <w:rPr>
          <w:rFonts w:eastAsia="Palatino Linotype" w:cs="Palatino Linotype"/>
        </w:rPr>
      </w:pPr>
      <w:r w:rsidRPr="001D2661">
        <w:rPr>
          <w:rFonts w:eastAsia="Palatino Linotype" w:cs="Palatino Linotype"/>
        </w:rPr>
        <w:t>Es decir, que todo sujeto obligado que genere, recopile, administre, procese, archive, posea o conserven, son responsables de la misma</w:t>
      </w:r>
      <w:r w:rsidR="00970EB3" w:rsidRPr="001D2661">
        <w:rPr>
          <w:rFonts w:eastAsia="Palatino Linotype" w:cs="Palatino Linotype"/>
        </w:rPr>
        <w:t>,</w:t>
      </w:r>
      <w:r w:rsidRPr="001D266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D2661">
        <w:rPr>
          <w:rFonts w:eastAsia="Palatino Linotype" w:cs="Palatino Linotype"/>
        </w:rPr>
        <w:t>o</w:t>
      </w:r>
      <w:r w:rsidRPr="001D266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D2661" w:rsidRDefault="001A58B3" w:rsidP="001D2661">
      <w:pPr>
        <w:rPr>
          <w:rFonts w:eastAsia="Palatino Linotype" w:cs="Palatino Linotype"/>
        </w:rPr>
      </w:pPr>
    </w:p>
    <w:p w14:paraId="04E42DFE" w14:textId="573F1198" w:rsidR="001A58B3" w:rsidRPr="001D2661" w:rsidRDefault="001A58B3" w:rsidP="001D2661">
      <w:pPr>
        <w:rPr>
          <w:rFonts w:eastAsia="Palatino Linotype" w:cs="Palatino Linotype"/>
        </w:rPr>
      </w:pPr>
      <w:r w:rsidRPr="001D2661">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D2661">
        <w:rPr>
          <w:rFonts w:eastAsia="Palatino Linotype" w:cs="Palatino Linotype"/>
        </w:rPr>
        <w:t>, s</w:t>
      </w:r>
      <w:r w:rsidRPr="001D2661">
        <w:rPr>
          <w:rFonts w:eastAsia="Palatino Linotype" w:cs="Palatino Linotype"/>
        </w:rPr>
        <w:t xml:space="preserve">iempre y cuando no se trate de información reservada o </w:t>
      </w:r>
      <w:r w:rsidR="00331F35" w:rsidRPr="001D2661">
        <w:rPr>
          <w:rFonts w:eastAsia="Palatino Linotype" w:cs="Palatino Linotype"/>
        </w:rPr>
        <w:t>confidencial.</w:t>
      </w:r>
    </w:p>
    <w:p w14:paraId="40C5219F" w14:textId="77777777" w:rsidR="001A58B3" w:rsidRPr="001D2661" w:rsidRDefault="001A58B3" w:rsidP="001D2661">
      <w:pPr>
        <w:rPr>
          <w:rFonts w:eastAsia="Palatino Linotype" w:cs="Palatino Linotype"/>
        </w:rPr>
      </w:pPr>
    </w:p>
    <w:p w14:paraId="2E629608" w14:textId="01727E15" w:rsidR="00C049E2" w:rsidRPr="001D2661" w:rsidRDefault="006067C7" w:rsidP="001D2661">
      <w:pPr>
        <w:rPr>
          <w:rFonts w:eastAsia="Palatino Linotype"/>
        </w:rPr>
      </w:pPr>
      <w:bookmarkStart w:id="27" w:name="_heading=h.2s8eyo1" w:colFirst="0" w:colLast="0"/>
      <w:bookmarkEnd w:id="27"/>
      <w:r w:rsidRPr="001D2661">
        <w:rPr>
          <w:rFonts w:eastAsia="Palatino Linotype"/>
        </w:rPr>
        <w:t>Con base en lo anterior</w:t>
      </w:r>
      <w:r w:rsidR="00B22A80" w:rsidRPr="001D2661">
        <w:rPr>
          <w:rFonts w:eastAsia="Palatino Linotype"/>
        </w:rPr>
        <w:t>, se considera que</w:t>
      </w:r>
      <w:r w:rsidR="00C049E2" w:rsidRPr="001D2661">
        <w:rPr>
          <w:rFonts w:eastAsia="Palatino Linotype"/>
        </w:rPr>
        <w:t xml:space="preserve"> </w:t>
      </w:r>
      <w:r w:rsidR="00B22A80" w:rsidRPr="001D2661">
        <w:rPr>
          <w:rFonts w:eastAsia="Palatino Linotype"/>
          <w:b/>
          <w:bCs/>
        </w:rPr>
        <w:t>EL</w:t>
      </w:r>
      <w:r w:rsidR="00C049E2" w:rsidRPr="001D2661">
        <w:rPr>
          <w:rFonts w:eastAsia="Palatino Linotype"/>
        </w:rPr>
        <w:t xml:space="preserve"> </w:t>
      </w:r>
      <w:r w:rsidR="00C049E2" w:rsidRPr="001D2661">
        <w:rPr>
          <w:rFonts w:eastAsia="Palatino Linotype"/>
          <w:b/>
        </w:rPr>
        <w:t>SUJETO OBLIGADO</w:t>
      </w:r>
      <w:r w:rsidR="00C049E2" w:rsidRPr="001D2661">
        <w:rPr>
          <w:rFonts w:eastAsia="Palatino Linotype"/>
        </w:rPr>
        <w:t xml:space="preserve"> </w:t>
      </w:r>
      <w:r w:rsidR="00B22A80" w:rsidRPr="001D2661">
        <w:rPr>
          <w:rFonts w:eastAsia="Palatino Linotype"/>
        </w:rPr>
        <w:t xml:space="preserve">se </w:t>
      </w:r>
      <w:r w:rsidR="00717E59" w:rsidRPr="001D2661">
        <w:rPr>
          <w:rFonts w:eastAsia="Palatino Linotype"/>
        </w:rPr>
        <w:t>encontraba</w:t>
      </w:r>
      <w:r w:rsidR="00B22A80" w:rsidRPr="001D2661">
        <w:rPr>
          <w:rFonts w:eastAsia="Palatino Linotype"/>
        </w:rPr>
        <w:t xml:space="preserve"> compelido a</w:t>
      </w:r>
      <w:r w:rsidR="00C049E2" w:rsidRPr="001D2661">
        <w:rPr>
          <w:rFonts w:eastAsia="Palatino Linotype"/>
        </w:rPr>
        <w:t xml:space="preserve"> atender la solicitud de acceso a la información </w:t>
      </w:r>
      <w:r w:rsidR="00B22A80" w:rsidRPr="001D2661">
        <w:rPr>
          <w:rFonts w:eastAsia="Palatino Linotype"/>
        </w:rPr>
        <w:t xml:space="preserve">realizada por </w:t>
      </w:r>
      <w:r w:rsidR="00B22A80" w:rsidRPr="001D2661">
        <w:rPr>
          <w:rFonts w:eastAsia="Palatino Linotype"/>
          <w:b/>
          <w:bCs/>
        </w:rPr>
        <w:t>LA PARTE RECURRENTE</w:t>
      </w:r>
      <w:r w:rsidR="00331F35" w:rsidRPr="001D2661">
        <w:rPr>
          <w:rFonts w:eastAsia="Palatino Linotype"/>
        </w:rPr>
        <w:t>.</w:t>
      </w:r>
    </w:p>
    <w:p w14:paraId="1611F147" w14:textId="77777777" w:rsidR="00BD5A7C" w:rsidRPr="001D2661" w:rsidRDefault="00BD5A7C" w:rsidP="001D2661">
      <w:pPr>
        <w:rPr>
          <w:rFonts w:eastAsia="Palatino Linotype"/>
        </w:rPr>
      </w:pPr>
    </w:p>
    <w:p w14:paraId="51A0E8B4" w14:textId="676DCA47" w:rsidR="00664420" w:rsidRPr="001D2661" w:rsidRDefault="00C71CEF" w:rsidP="001D2661">
      <w:pPr>
        <w:pStyle w:val="Ttulo3"/>
        <w:rPr>
          <w:rFonts w:eastAsia="Calibri"/>
          <w:lang w:eastAsia="es-ES_tradnl"/>
        </w:rPr>
      </w:pPr>
      <w:bookmarkStart w:id="28" w:name="_Toc180603241"/>
      <w:r w:rsidRPr="001D2661">
        <w:rPr>
          <w:rFonts w:eastAsia="Calibri"/>
          <w:lang w:eastAsia="es-ES_tradnl"/>
        </w:rPr>
        <w:t>b)</w:t>
      </w:r>
      <w:r w:rsidR="00A53315" w:rsidRPr="001D2661">
        <w:rPr>
          <w:rFonts w:eastAsia="Calibri"/>
          <w:lang w:eastAsia="es-ES_tradnl"/>
        </w:rPr>
        <w:t xml:space="preserve"> </w:t>
      </w:r>
      <w:r w:rsidR="00A21A20" w:rsidRPr="001D2661">
        <w:rPr>
          <w:rFonts w:eastAsia="Calibri"/>
          <w:lang w:eastAsia="es-ES_tradnl"/>
        </w:rPr>
        <w:t>Controversia a resolver</w:t>
      </w:r>
      <w:bookmarkEnd w:id="28"/>
    </w:p>
    <w:p w14:paraId="5DAE2A65" w14:textId="559A996F" w:rsidR="00664420" w:rsidRPr="001D2661" w:rsidRDefault="00664420" w:rsidP="001D2661">
      <w:pPr>
        <w:rPr>
          <w:rFonts w:eastAsia="Calibri"/>
          <w:lang w:eastAsia="es-ES_tradnl"/>
        </w:rPr>
      </w:pPr>
      <w:r w:rsidRPr="001D2661">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D2661">
        <w:rPr>
          <w:rFonts w:eastAsia="Calibri"/>
          <w:b/>
          <w:bCs/>
          <w:lang w:eastAsia="es-ES_tradnl"/>
        </w:rPr>
        <w:t>LA PARTE RECURRENTE</w:t>
      </w:r>
      <w:r w:rsidRPr="001D2661">
        <w:rPr>
          <w:rFonts w:eastAsia="Calibri"/>
          <w:lang w:eastAsia="es-ES_tradnl"/>
        </w:rPr>
        <w:t xml:space="preserve"> </w:t>
      </w:r>
      <w:r w:rsidR="008F42C0" w:rsidRPr="001D2661">
        <w:rPr>
          <w:rFonts w:eastAsia="Calibri"/>
          <w:lang w:eastAsia="es-ES_tradnl"/>
        </w:rPr>
        <w:t>a través de la solicitud de información, presentó los siguientes cuestionamientos</w:t>
      </w:r>
      <w:r w:rsidRPr="001D2661">
        <w:rPr>
          <w:rFonts w:eastAsia="Calibri"/>
          <w:lang w:eastAsia="es-ES_tradnl"/>
        </w:rPr>
        <w:t>:</w:t>
      </w:r>
    </w:p>
    <w:p w14:paraId="10D9D722" w14:textId="77777777" w:rsidR="000448F1" w:rsidRPr="001D2661" w:rsidRDefault="000448F1" w:rsidP="001D2661">
      <w:pPr>
        <w:rPr>
          <w:rFonts w:eastAsia="Calibri"/>
          <w:lang w:eastAsia="es-ES_tradnl"/>
        </w:rPr>
      </w:pPr>
    </w:p>
    <w:p w14:paraId="101EE183" w14:textId="4A14DC42" w:rsidR="000448F1" w:rsidRPr="001D2661" w:rsidRDefault="008F42C0" w:rsidP="001D2661">
      <w:pPr>
        <w:pStyle w:val="Prrafodelista"/>
        <w:numPr>
          <w:ilvl w:val="0"/>
          <w:numId w:val="24"/>
        </w:numPr>
        <w:rPr>
          <w:rFonts w:eastAsia="Calibri"/>
          <w:lang w:eastAsia="es-ES_tradnl"/>
        </w:rPr>
      </w:pPr>
      <w:r w:rsidRPr="001D2661">
        <w:rPr>
          <w:rFonts w:eastAsia="Calibri"/>
          <w:lang w:eastAsia="es-ES_tradnl"/>
        </w:rPr>
        <w:t>Se informe a través  del área jurídica con base al fundamento legal, ¿Qué pasa en el caso de que un servidor público ejecute u ordene actos que no estén dentro de sus funciones, y en caso de ser un delito, que delito sería?</w:t>
      </w:r>
    </w:p>
    <w:p w14:paraId="1D529CEE" w14:textId="6ABE7BC3" w:rsidR="008F42C0" w:rsidRPr="001D2661" w:rsidRDefault="008F42C0" w:rsidP="001D2661">
      <w:pPr>
        <w:pStyle w:val="Prrafodelista"/>
        <w:numPr>
          <w:ilvl w:val="0"/>
          <w:numId w:val="24"/>
        </w:numPr>
        <w:rPr>
          <w:rFonts w:eastAsia="Calibri"/>
          <w:lang w:eastAsia="es-ES_tradnl"/>
        </w:rPr>
      </w:pPr>
      <w:r w:rsidRPr="001D2661">
        <w:rPr>
          <w:rFonts w:eastAsia="Calibri"/>
          <w:lang w:eastAsia="es-ES_tradnl"/>
        </w:rPr>
        <w:t>Si tengo conocimiento de que un servidor público ordena o ejecuta actos que no son sus funciones ¿Cuál es el procedimiento que tengo que seguir para que sea sancionado? Buscando que la denuncia sea anónima por el temor a las represalias.</w:t>
      </w:r>
    </w:p>
    <w:p w14:paraId="289ED264" w14:textId="6FE3EE87" w:rsidR="008F42C0" w:rsidRPr="001D2661" w:rsidRDefault="008F42C0" w:rsidP="001D2661">
      <w:pPr>
        <w:pStyle w:val="Prrafodelista"/>
        <w:numPr>
          <w:ilvl w:val="0"/>
          <w:numId w:val="24"/>
        </w:numPr>
        <w:rPr>
          <w:rFonts w:eastAsia="Calibri"/>
          <w:lang w:eastAsia="es-ES_tradnl"/>
        </w:rPr>
      </w:pPr>
      <w:r w:rsidRPr="001D2661">
        <w:rPr>
          <w:rFonts w:eastAsia="Calibri"/>
          <w:lang w:eastAsia="es-ES_tradnl"/>
        </w:rPr>
        <w:t>¿La contraloría es un medio para realizar la denuncia en el caso anterior, tiene obligación o es solo opcional?</w:t>
      </w:r>
    </w:p>
    <w:p w14:paraId="1642B4B2" w14:textId="20CAB4F8" w:rsidR="008F42C0" w:rsidRPr="001D2661" w:rsidRDefault="008F42C0" w:rsidP="001D2661">
      <w:pPr>
        <w:pStyle w:val="Prrafodelista"/>
        <w:numPr>
          <w:ilvl w:val="0"/>
          <w:numId w:val="24"/>
        </w:numPr>
        <w:rPr>
          <w:rFonts w:eastAsia="Calibri"/>
          <w:lang w:eastAsia="es-ES_tradnl"/>
        </w:rPr>
      </w:pPr>
      <w:r w:rsidRPr="001D2661">
        <w:rPr>
          <w:rFonts w:eastAsia="Calibri"/>
          <w:lang w:eastAsia="es-ES_tradnl"/>
        </w:rPr>
        <w:t>¿Si la Contraloría Interna no le da seguimiento que puedo hacer?, ¿Tiene un superior?</w:t>
      </w:r>
    </w:p>
    <w:p w14:paraId="7D9D559B" w14:textId="77777777" w:rsidR="00664420" w:rsidRPr="001D2661" w:rsidRDefault="00664420" w:rsidP="001D2661">
      <w:pPr>
        <w:tabs>
          <w:tab w:val="left" w:pos="4962"/>
        </w:tabs>
        <w:contextualSpacing/>
        <w:rPr>
          <w:rFonts w:eastAsia="Calibri" w:cs="Tahoma"/>
          <w:iCs/>
          <w:szCs w:val="22"/>
          <w:lang w:eastAsia="es-ES_tradnl"/>
        </w:rPr>
      </w:pPr>
    </w:p>
    <w:p w14:paraId="5504AF2F" w14:textId="5B55F507" w:rsidR="00BD6882" w:rsidRPr="001D2661" w:rsidRDefault="00664420" w:rsidP="001D2661">
      <w:pPr>
        <w:tabs>
          <w:tab w:val="left" w:pos="4962"/>
        </w:tabs>
        <w:contextualSpacing/>
        <w:rPr>
          <w:rFonts w:eastAsiaTheme="minorHAnsi" w:cs="Tahoma"/>
          <w:bCs/>
          <w:iCs/>
          <w:szCs w:val="22"/>
          <w:lang w:eastAsia="en-US"/>
        </w:rPr>
      </w:pPr>
      <w:r w:rsidRPr="001D2661">
        <w:rPr>
          <w:rFonts w:eastAsiaTheme="minorHAnsi" w:cs="Tahoma"/>
          <w:bCs/>
          <w:iCs/>
          <w:szCs w:val="22"/>
          <w:lang w:eastAsia="en-US"/>
        </w:rPr>
        <w:t xml:space="preserve">En respuesta, </w:t>
      </w:r>
      <w:r w:rsidR="005D5A50" w:rsidRPr="001D2661">
        <w:rPr>
          <w:rFonts w:eastAsiaTheme="minorHAnsi" w:cs="Tahoma"/>
          <w:b/>
          <w:iCs/>
          <w:szCs w:val="22"/>
          <w:lang w:eastAsia="en-US"/>
        </w:rPr>
        <w:t>EL SUJETO OBLIGADO</w:t>
      </w:r>
      <w:r w:rsidRPr="001D2661">
        <w:rPr>
          <w:rFonts w:eastAsiaTheme="minorHAnsi" w:cs="Tahoma"/>
          <w:bCs/>
          <w:iCs/>
          <w:szCs w:val="22"/>
          <w:lang w:eastAsia="en-US"/>
        </w:rPr>
        <w:t xml:space="preserve"> </w:t>
      </w:r>
      <w:r w:rsidR="008F42C0" w:rsidRPr="001D2661">
        <w:rPr>
          <w:rFonts w:eastAsiaTheme="minorHAnsi" w:cs="Tahoma"/>
          <w:bCs/>
          <w:iCs/>
          <w:szCs w:val="22"/>
          <w:lang w:eastAsia="en-US"/>
        </w:rPr>
        <w:t xml:space="preserve">adjuntó la respuesta emitida por la </w:t>
      </w:r>
      <w:r w:rsidR="008F42C0" w:rsidRPr="001D2661">
        <w:rPr>
          <w:rFonts w:cs="Tahoma"/>
          <w:bCs/>
          <w:szCs w:val="22"/>
          <w:lang w:val="es-ES"/>
        </w:rPr>
        <w:t xml:space="preserve">Jefatura de Oficina de Manifestación y Transparencia, en la cual se acompaña la captura de pantalla consistente en la respuesta al turno emitido por dicha unidad administrativa, dicho documento digital consiste en diversas manifestaciones en las cuales se expresa: “…respecto de la pregunta consistente en si la Contraloría es un medio para realizar denuncias, de acuerdo al Reglamento Orgánico de la Administración Pública Municipal, dicha unidad es la encargada de practicar </w:t>
      </w:r>
      <w:r w:rsidR="008F42C0" w:rsidRPr="001D2661">
        <w:rPr>
          <w:rFonts w:cs="Tahoma"/>
          <w:bCs/>
          <w:szCs w:val="22"/>
          <w:lang w:val="es-ES"/>
        </w:rPr>
        <w:lastRenderedPageBreak/>
        <w:t>de oficio y/o denuncia, las investigaciones sobre incumplimiento a obligaciones de las y los servidores públicos adscritos, de igual forma se menciona que la Persona Titular de la Presidencia Municipal tiene la facultad de aplicar las sanciones correspondientes ante infracciones cometidas y en su caso remitirlos ante las autoridad correspondientes…”</w:t>
      </w:r>
    </w:p>
    <w:p w14:paraId="303D6F27" w14:textId="2FC186FA" w:rsidR="00595228" w:rsidRPr="001D2661" w:rsidRDefault="00BD6882" w:rsidP="001D2661">
      <w:pPr>
        <w:tabs>
          <w:tab w:val="left" w:pos="4962"/>
        </w:tabs>
        <w:contextualSpacing/>
        <w:rPr>
          <w:rFonts w:eastAsiaTheme="minorHAnsi" w:cs="Tahoma"/>
          <w:bCs/>
          <w:iCs/>
          <w:szCs w:val="22"/>
          <w:lang w:eastAsia="en-US"/>
        </w:rPr>
      </w:pPr>
      <w:r w:rsidRPr="001D2661">
        <w:rPr>
          <w:rFonts w:eastAsiaTheme="minorHAnsi" w:cs="Tahoma"/>
          <w:bCs/>
          <w:iCs/>
          <w:szCs w:val="22"/>
          <w:lang w:eastAsia="en-US"/>
        </w:rPr>
        <w:t xml:space="preserve"> </w:t>
      </w:r>
    </w:p>
    <w:p w14:paraId="31DD81D7" w14:textId="2BF1C2CD" w:rsidR="00664420" w:rsidRPr="001D2661" w:rsidRDefault="00CF7586" w:rsidP="001D2661">
      <w:pPr>
        <w:tabs>
          <w:tab w:val="left" w:pos="4962"/>
        </w:tabs>
        <w:contextualSpacing/>
        <w:rPr>
          <w:rFonts w:eastAsiaTheme="minorHAnsi" w:cs="Tahoma"/>
          <w:bCs/>
          <w:iCs/>
          <w:szCs w:val="22"/>
          <w:lang w:eastAsia="en-US"/>
        </w:rPr>
      </w:pPr>
      <w:r w:rsidRPr="001D2661">
        <w:rPr>
          <w:rFonts w:eastAsiaTheme="minorHAnsi" w:cs="Tahoma"/>
          <w:bCs/>
          <w:iCs/>
          <w:szCs w:val="22"/>
          <w:lang w:eastAsia="en-US"/>
        </w:rPr>
        <w:t xml:space="preserve">Ahora bien, en la interposición del presente recurso </w:t>
      </w:r>
      <w:r w:rsidRPr="001D2661">
        <w:rPr>
          <w:rFonts w:eastAsiaTheme="minorHAnsi" w:cs="Tahoma"/>
          <w:b/>
          <w:iCs/>
          <w:szCs w:val="22"/>
          <w:lang w:eastAsia="en-US"/>
        </w:rPr>
        <w:t>LA PARTE RECURRENTE</w:t>
      </w:r>
      <w:r w:rsidR="00081B94" w:rsidRPr="001D2661">
        <w:rPr>
          <w:rFonts w:eastAsiaTheme="minorHAnsi" w:cs="Tahoma"/>
          <w:bCs/>
          <w:iCs/>
          <w:szCs w:val="22"/>
          <w:lang w:eastAsia="en-US"/>
        </w:rPr>
        <w:t xml:space="preserve"> se inconformó </w:t>
      </w:r>
      <w:r w:rsidR="000448F1" w:rsidRPr="001D2661">
        <w:rPr>
          <w:rFonts w:eastAsiaTheme="minorHAnsi" w:cs="Tahoma"/>
          <w:bCs/>
          <w:iCs/>
          <w:szCs w:val="22"/>
          <w:lang w:eastAsia="en-US"/>
        </w:rPr>
        <w:t xml:space="preserve">sobre la respuesta proporcionada haciendo mención que lo entregado no corresponde a lo solicitado, por ende el estudio del presente fallo versara en el sentido de dilucidar si la información remitida colma con las pretensiones de </w:t>
      </w:r>
      <w:r w:rsidR="000448F1" w:rsidRPr="001D2661">
        <w:rPr>
          <w:rFonts w:eastAsiaTheme="minorHAnsi" w:cs="Tahoma"/>
          <w:b/>
          <w:bCs/>
          <w:iCs/>
          <w:szCs w:val="22"/>
          <w:lang w:eastAsia="en-US"/>
        </w:rPr>
        <w:t>LA PARTE RECURRENTE</w:t>
      </w:r>
      <w:r w:rsidR="004E1875" w:rsidRPr="001D2661">
        <w:rPr>
          <w:rFonts w:eastAsiaTheme="minorHAnsi" w:cs="Tahoma"/>
          <w:bCs/>
          <w:iCs/>
          <w:szCs w:val="22"/>
          <w:lang w:eastAsia="en-US"/>
        </w:rPr>
        <w:t>.</w:t>
      </w:r>
    </w:p>
    <w:p w14:paraId="69916E4B" w14:textId="77777777" w:rsidR="004E1875" w:rsidRPr="001D2661" w:rsidRDefault="004E1875" w:rsidP="001D2661">
      <w:pPr>
        <w:tabs>
          <w:tab w:val="left" w:pos="4962"/>
        </w:tabs>
        <w:contextualSpacing/>
        <w:rPr>
          <w:rFonts w:eastAsiaTheme="minorHAnsi" w:cs="Tahoma"/>
          <w:bCs/>
          <w:iCs/>
          <w:szCs w:val="22"/>
          <w:lang w:eastAsia="en-US"/>
        </w:rPr>
      </w:pPr>
    </w:p>
    <w:p w14:paraId="0B412391" w14:textId="340F013E" w:rsidR="004E1875" w:rsidRPr="001D2661" w:rsidRDefault="00A21A20" w:rsidP="001D2661">
      <w:pPr>
        <w:pStyle w:val="Ttulo3"/>
      </w:pPr>
      <w:bookmarkStart w:id="29" w:name="_Toc180603242"/>
      <w:r w:rsidRPr="001D2661">
        <w:t>c)</w:t>
      </w:r>
      <w:r w:rsidR="00664420" w:rsidRPr="001D2661">
        <w:t xml:space="preserve"> </w:t>
      </w:r>
      <w:r w:rsidRPr="001D2661">
        <w:t>Estudio de la controversia</w:t>
      </w:r>
      <w:bookmarkEnd w:id="29"/>
    </w:p>
    <w:p w14:paraId="3F8320E2" w14:textId="7D99DBE6" w:rsidR="00197DFC" w:rsidRPr="001D2661" w:rsidRDefault="00704239" w:rsidP="001D2661">
      <w:pPr>
        <w:pStyle w:val="Prrafodelista"/>
        <w:widowControl w:val="0"/>
        <w:autoSpaceDE w:val="0"/>
        <w:autoSpaceDN w:val="0"/>
        <w:adjustRightInd w:val="0"/>
        <w:ind w:left="0"/>
      </w:pPr>
      <w:r w:rsidRPr="001D2661">
        <w:t xml:space="preserve">En primera instancia es de señalar que la pretensión de </w:t>
      </w:r>
      <w:r w:rsidRPr="001D2661">
        <w:rPr>
          <w:b/>
        </w:rPr>
        <w:t>LA PARTE RECURRENTE</w:t>
      </w:r>
      <w:r w:rsidRPr="001D2661">
        <w:t xml:space="preserve"> es obtener un pronunciamiento específico respecto a una situación en particular, situación por la cual nos lleva a recordar que el artículo 12 de la Ley de Transparencia y Acceso a la Información Pública del Estado de México y Municipios, establece que </w:t>
      </w:r>
      <w:r w:rsidRPr="001D2661">
        <w:rPr>
          <w:b/>
        </w:rPr>
        <w:t>LOS SUJETOS OBLIGADOS</w:t>
      </w:r>
      <w:r w:rsidRPr="001D2661">
        <w:t xml:space="preserve"> únicamente están constreñidos a entregar los documentos que obren en sus archivos en el estado en que estos se encuentren, lo que no comprende entregar la información conforme al interés del solicitante.</w:t>
      </w:r>
    </w:p>
    <w:p w14:paraId="5551E457" w14:textId="77777777" w:rsidR="00704239" w:rsidRPr="001D2661" w:rsidRDefault="00704239" w:rsidP="001D2661">
      <w:pPr>
        <w:pStyle w:val="Prrafodelista"/>
        <w:widowControl w:val="0"/>
        <w:autoSpaceDE w:val="0"/>
        <w:autoSpaceDN w:val="0"/>
        <w:adjustRightInd w:val="0"/>
        <w:ind w:left="0"/>
      </w:pPr>
    </w:p>
    <w:p w14:paraId="5603AF0B" w14:textId="1C2F91A9" w:rsidR="00704239" w:rsidRPr="001D2661" w:rsidRDefault="00704239" w:rsidP="001D2661">
      <w:pPr>
        <w:pStyle w:val="Prrafodelista"/>
        <w:widowControl w:val="0"/>
        <w:autoSpaceDE w:val="0"/>
        <w:autoSpaceDN w:val="0"/>
        <w:adjustRightInd w:val="0"/>
        <w:ind w:left="0"/>
      </w:pPr>
      <w:r w:rsidRPr="001D2661">
        <w:t>Robustece lo anterior, el Criterio 03/17 emitido por el Instituto Nacional de Transparencia, Acceso a la Información y Protección de Datos Personales, el cual establece lo siguiente:</w:t>
      </w:r>
    </w:p>
    <w:p w14:paraId="0BA5E297" w14:textId="77777777" w:rsidR="008F42C0" w:rsidRPr="001D2661" w:rsidRDefault="008F42C0" w:rsidP="001D2661">
      <w:pPr>
        <w:pStyle w:val="Prrafodelista"/>
        <w:widowControl w:val="0"/>
        <w:autoSpaceDE w:val="0"/>
        <w:autoSpaceDN w:val="0"/>
        <w:adjustRightInd w:val="0"/>
        <w:ind w:left="0"/>
      </w:pPr>
    </w:p>
    <w:p w14:paraId="75F2748C" w14:textId="0B8D4B18" w:rsidR="008F42C0" w:rsidRPr="001D2661" w:rsidRDefault="00704239" w:rsidP="001D2661">
      <w:pPr>
        <w:pStyle w:val="Prrafodelista"/>
        <w:widowControl w:val="0"/>
        <w:autoSpaceDE w:val="0"/>
        <w:autoSpaceDN w:val="0"/>
        <w:adjustRightInd w:val="0"/>
        <w:spacing w:line="240" w:lineRule="auto"/>
        <w:ind w:left="851" w:right="822"/>
        <w:rPr>
          <w:i/>
        </w:rPr>
      </w:pPr>
      <w:r w:rsidRPr="001D2661">
        <w:rPr>
          <w:b/>
          <w:i/>
        </w:rPr>
        <w:t>No existe obligación de elaborar documentos ad hoc para atender las solicitudes de acceso a la informació</w:t>
      </w:r>
      <w:r w:rsidRPr="001D2661">
        <w:rPr>
          <w:i/>
        </w:rPr>
        <w:t xml:space="preserve">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w:t>
      </w:r>
      <w:r w:rsidRPr="001D2661">
        <w:rPr>
          <w:i/>
        </w:rPr>
        <w:lastRenderedPageBreak/>
        <w:t>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7EBAC0A" w14:textId="77777777" w:rsidR="008F42C0" w:rsidRPr="001D2661" w:rsidRDefault="008F42C0" w:rsidP="001D2661">
      <w:pPr>
        <w:pStyle w:val="Prrafodelista"/>
        <w:widowControl w:val="0"/>
        <w:autoSpaceDE w:val="0"/>
        <w:autoSpaceDN w:val="0"/>
        <w:adjustRightInd w:val="0"/>
        <w:ind w:left="0"/>
      </w:pPr>
    </w:p>
    <w:p w14:paraId="12B6D3D9" w14:textId="6366044B" w:rsidR="00704239" w:rsidRPr="001D2661" w:rsidRDefault="00704239" w:rsidP="001D2661">
      <w:pPr>
        <w:pStyle w:val="Prrafodelista"/>
        <w:widowControl w:val="0"/>
        <w:autoSpaceDE w:val="0"/>
        <w:autoSpaceDN w:val="0"/>
        <w:adjustRightInd w:val="0"/>
        <w:ind w:left="0"/>
      </w:pPr>
      <w:r w:rsidRPr="001D2661">
        <w:t xml:space="preserve">Por otro lado, es importante mencionar que el requerimiento de </w:t>
      </w:r>
      <w:r w:rsidRPr="001D2661">
        <w:rPr>
          <w:b/>
        </w:rPr>
        <w:t>LA PARTE RECURRENTE</w:t>
      </w:r>
      <w:r w:rsidRPr="001D2661">
        <w:t xml:space="preserve"> es tendiente a obligar a la autoridad a que actúe en el sentido de contestar lo solicitado, lo cual no es factible atenderse vía acceso a la información pública, toda vez, que la atención a dichos requerimientos no se pueden colmar con documentos que obren en los archivos del </w:t>
      </w:r>
      <w:r w:rsidRPr="001D2661">
        <w:rPr>
          <w:b/>
        </w:rPr>
        <w:t>SUJETO OBLIGADO</w:t>
      </w:r>
      <w:r w:rsidRPr="001D2661">
        <w:t xml:space="preserve">, ya que no se encontró fuente obligacional que establezca que dicha autoridad deba generar, poseer o administrar un documento en el que conste el pronunciamiento solicitado por </w:t>
      </w:r>
      <w:r w:rsidRPr="001D2661">
        <w:rPr>
          <w:b/>
        </w:rPr>
        <w:t>LA PARTE RECURRENTE</w:t>
      </w:r>
      <w:r w:rsidRPr="001D2661">
        <w:t>.</w:t>
      </w:r>
    </w:p>
    <w:p w14:paraId="6BE99015" w14:textId="77777777" w:rsidR="00704239" w:rsidRPr="001D2661" w:rsidRDefault="00704239" w:rsidP="001D2661">
      <w:pPr>
        <w:pStyle w:val="Prrafodelista"/>
        <w:widowControl w:val="0"/>
        <w:autoSpaceDE w:val="0"/>
        <w:autoSpaceDN w:val="0"/>
        <w:adjustRightInd w:val="0"/>
        <w:ind w:left="0"/>
      </w:pPr>
    </w:p>
    <w:p w14:paraId="7A495589" w14:textId="16419C6A" w:rsidR="00704239" w:rsidRPr="001D2661" w:rsidRDefault="00704239" w:rsidP="001D2661">
      <w:pPr>
        <w:pStyle w:val="Prrafodelista"/>
        <w:widowControl w:val="0"/>
        <w:autoSpaceDE w:val="0"/>
        <w:autoSpaceDN w:val="0"/>
        <w:adjustRightInd w:val="0"/>
        <w:ind w:left="0"/>
      </w:pPr>
      <w:r w:rsidRPr="001D2661">
        <w:t>Es por lo anterior que se advierte que la solicitud no constituye un derecho de acceso a la información y por lo tanto, no es atendible mediante una solicitud de acceso a la información pública, ya que se tratan de una petición de</w:t>
      </w:r>
      <w:r w:rsidRPr="001D2661">
        <w:rPr>
          <w:b/>
        </w:rPr>
        <w:t xml:space="preserve"> LA PARTE RECURRENTE</w:t>
      </w:r>
      <w:r w:rsidRPr="001D2661">
        <w:t>, situación que conlleva a afirmar que se está en presencia del ejercicio del derecho a la libre expresión y en todo caso a un derecho de petición.</w:t>
      </w:r>
    </w:p>
    <w:p w14:paraId="6E1A4BB9" w14:textId="77777777" w:rsidR="00704239" w:rsidRPr="001D2661" w:rsidRDefault="00704239" w:rsidP="001D2661">
      <w:pPr>
        <w:pStyle w:val="Prrafodelista"/>
        <w:widowControl w:val="0"/>
        <w:autoSpaceDE w:val="0"/>
        <w:autoSpaceDN w:val="0"/>
        <w:adjustRightInd w:val="0"/>
        <w:ind w:left="0"/>
      </w:pPr>
    </w:p>
    <w:p w14:paraId="530BF917" w14:textId="2ABDC5A9" w:rsidR="00704239" w:rsidRPr="001D2661" w:rsidRDefault="00704239" w:rsidP="001D2661">
      <w:pPr>
        <w:pStyle w:val="Prrafodelista"/>
        <w:widowControl w:val="0"/>
        <w:autoSpaceDE w:val="0"/>
        <w:autoSpaceDN w:val="0"/>
        <w:adjustRightInd w:val="0"/>
        <w:ind w:left="0"/>
        <w:rPr>
          <w:rFonts w:eastAsia="Palatino Linotype" w:cs="Palatino Linotype"/>
        </w:rPr>
      </w:pPr>
      <w:r w:rsidRPr="001D2661">
        <w:t>Así las cosas, M</w:t>
      </w:r>
      <w:r w:rsidRPr="001D2661">
        <w:rPr>
          <w:rFonts w:eastAsia="Palatino Linotype" w:cs="Palatino Linotype"/>
        </w:rPr>
        <w:t xml:space="preserve">iguel Carbonell en su libro “Los derechos fundamentales” refiere que el </w:t>
      </w:r>
      <w:r w:rsidRPr="001D2661">
        <w:rPr>
          <w:rFonts w:eastAsia="Palatino Linotype" w:cs="Palatino Linotype"/>
          <w:u w:val="single"/>
        </w:rPr>
        <w:t>derecho de petición se ha entendido de dos distintitas maneras</w:t>
      </w:r>
      <w:r w:rsidRPr="001D2661">
        <w:rPr>
          <w:rFonts w:eastAsia="Palatino Linotype" w:cs="Palatino Linotype"/>
        </w:rPr>
        <w:t xml:space="preserve">, a saber: como un derecho fundamental de participación política ya que </w:t>
      </w:r>
      <w:r w:rsidRPr="001D2661">
        <w:rPr>
          <w:rFonts w:eastAsia="Palatino Linotype" w:cs="Palatino Linotype"/>
          <w:u w:val="single"/>
        </w:rPr>
        <w:t xml:space="preserve">permite a los particulares trasladar a las autoridades sus </w:t>
      </w:r>
      <w:r w:rsidRPr="001D2661">
        <w:rPr>
          <w:rFonts w:eastAsia="Palatino Linotype" w:cs="Palatino Linotype"/>
          <w:b/>
          <w:u w:val="single"/>
        </w:rPr>
        <w:t>inquietudes, quejas</w:t>
      </w:r>
      <w:r w:rsidRPr="001D2661">
        <w:rPr>
          <w:rFonts w:eastAsia="Palatino Linotype" w:cs="Palatino Linotype"/>
          <w:u w:val="single"/>
        </w:rPr>
        <w:t>, sugerencias</w:t>
      </w:r>
      <w:r w:rsidRPr="001D2661">
        <w:rPr>
          <w:rFonts w:eastAsia="Palatino Linotype" w:cs="Palatino Linotype"/>
        </w:rPr>
        <w:t xml:space="preserve"> y requerimientos en cualquier materia o asunto; y como una </w:t>
      </w:r>
      <w:r w:rsidRPr="001D2661">
        <w:rPr>
          <w:rFonts w:eastAsia="Palatino Linotype" w:cs="Palatino Linotype"/>
          <w:b/>
        </w:rPr>
        <w:t>forma específica de la libertad de expresión</w:t>
      </w:r>
      <w:r w:rsidRPr="001D2661">
        <w:rPr>
          <w:rFonts w:eastAsia="Palatino Linotype" w:cs="Palatino Linotype"/>
        </w:rPr>
        <w:t xml:space="preserve">, en tanto que permite expresarse frente a las autoridades. De igual manera que el derecho de petición se traduce en la obligación de todos los funcionarios y autoridades de permitir a los ciudadanos de dirigirse </w:t>
      </w:r>
      <w:r w:rsidRPr="001D2661">
        <w:rPr>
          <w:rFonts w:eastAsia="Palatino Linotype" w:cs="Palatino Linotype"/>
        </w:rPr>
        <w:lastRenderedPageBreak/>
        <w:t>a ellos en demanda de lo que deseen expresar o solicitar y responder de dicha demanda por escrito, de forma congruente y en un plazo breve.</w:t>
      </w:r>
      <w:r w:rsidRPr="001D2661">
        <w:rPr>
          <w:rFonts w:eastAsia="Palatino Linotype" w:cs="Palatino Linotype"/>
          <w:vertAlign w:val="superscript"/>
        </w:rPr>
        <w:footnoteReference w:id="1"/>
      </w:r>
    </w:p>
    <w:p w14:paraId="0D5FB835" w14:textId="77777777" w:rsidR="00704239" w:rsidRPr="001D2661" w:rsidRDefault="00704239" w:rsidP="001D2661">
      <w:pPr>
        <w:spacing w:before="240" w:after="240"/>
        <w:contextualSpacing/>
        <w:rPr>
          <w:rFonts w:eastAsia="Palatino Linotype" w:cs="Palatino Linotype"/>
        </w:rPr>
      </w:pPr>
    </w:p>
    <w:p w14:paraId="2C2A7C5B" w14:textId="77777777" w:rsidR="00704239" w:rsidRPr="001D2661" w:rsidRDefault="00704239" w:rsidP="001D2661">
      <w:pPr>
        <w:spacing w:before="240" w:after="240"/>
        <w:ind w:right="99"/>
        <w:contextualSpacing/>
        <w:rPr>
          <w:rFonts w:eastAsia="Palatino Linotype" w:cs="Palatino Linotype"/>
        </w:rPr>
      </w:pPr>
      <w:r w:rsidRPr="001D2661">
        <w:rPr>
          <w:rFonts w:eastAsia="Palatino Linotype" w:cs="Palatino Linotype"/>
        </w:rPr>
        <w:t xml:space="preserve">Por otro lado, el autor anteriormente citado, indica que el </w:t>
      </w:r>
      <w:r w:rsidRPr="001D2661">
        <w:rPr>
          <w:rFonts w:eastAsia="Palatino Linotype" w:cs="Palatino Linotype"/>
          <w:b/>
          <w:u w:val="single"/>
        </w:rPr>
        <w:t>derecho de acceso a la información pública</w:t>
      </w:r>
      <w:r w:rsidRPr="001D2661">
        <w:rPr>
          <w:rFonts w:eastAsia="Palatino Linotype" w:cs="Palatino Linotype"/>
        </w:rPr>
        <w:t xml:space="preserve"> es el derecho de conocer la </w:t>
      </w:r>
      <w:r w:rsidRPr="001D2661">
        <w:rPr>
          <w:rFonts w:eastAsia="Palatino Linotype" w:cs="Palatino Linotype"/>
          <w:u w:val="single"/>
        </w:rPr>
        <w:t>información de carácter público que se genera o está en posesión de los órganos del poder público</w:t>
      </w:r>
      <w:r w:rsidRPr="001D2661">
        <w:rPr>
          <w:rFonts w:eastAsia="Palatino Linotype" w:cs="Palatino Linotype"/>
        </w:rPr>
        <w:t xml:space="preserve"> o de los sujetos que utilizan o se benefician con recursos provenientes del Estado, es el derecho que tienen los ciudadanos para acceder a documentos y datos que obren en el poder del gobierno.</w:t>
      </w:r>
    </w:p>
    <w:p w14:paraId="74F18440" w14:textId="77777777" w:rsidR="00704239" w:rsidRPr="001D2661" w:rsidRDefault="00704239" w:rsidP="001D2661">
      <w:pPr>
        <w:spacing w:before="240" w:after="240"/>
        <w:ind w:right="99"/>
        <w:contextualSpacing/>
        <w:rPr>
          <w:rFonts w:eastAsia="Palatino Linotype" w:cs="Palatino Linotype"/>
        </w:rPr>
      </w:pPr>
    </w:p>
    <w:p w14:paraId="706B793E" w14:textId="77777777" w:rsidR="00704239" w:rsidRPr="001D2661" w:rsidRDefault="00704239" w:rsidP="001D2661">
      <w:pPr>
        <w:spacing w:before="240" w:after="240"/>
        <w:ind w:right="99"/>
        <w:contextualSpacing/>
        <w:rPr>
          <w:rFonts w:eastAsia="Palatino Linotype" w:cs="Palatino Linotype"/>
        </w:rPr>
      </w:pPr>
      <w:r w:rsidRPr="001D2661">
        <w:rPr>
          <w:rFonts w:eastAsia="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1D2661">
        <w:rPr>
          <w:rFonts w:eastAsia="Palatino Linotype" w:cs="Palatino Linotype"/>
          <w:vertAlign w:val="superscript"/>
        </w:rPr>
        <w:footnoteReference w:id="2"/>
      </w:r>
    </w:p>
    <w:p w14:paraId="6617323D" w14:textId="77777777" w:rsidR="00704239" w:rsidRPr="001D2661" w:rsidRDefault="00704239" w:rsidP="001D2661">
      <w:pPr>
        <w:spacing w:before="240" w:after="240"/>
        <w:ind w:right="99"/>
        <w:contextualSpacing/>
        <w:rPr>
          <w:rFonts w:eastAsia="Palatino Linotype" w:cs="Palatino Linotype"/>
        </w:rPr>
      </w:pPr>
    </w:p>
    <w:p w14:paraId="6928A7C4" w14:textId="77777777" w:rsidR="00704239" w:rsidRPr="001D2661" w:rsidRDefault="00704239" w:rsidP="001D2661">
      <w:pPr>
        <w:spacing w:before="240" w:after="240"/>
        <w:ind w:right="99"/>
        <w:contextualSpacing/>
        <w:rPr>
          <w:rFonts w:eastAsia="Palatino Linotype" w:cs="Palatino Linotype"/>
        </w:rPr>
      </w:pPr>
      <w:r w:rsidRPr="001D2661">
        <w:rPr>
          <w:rFonts w:eastAsia="Palatino Linotype" w:cs="Palatino Linotype"/>
        </w:rPr>
        <w:t xml:space="preserve">De lo anterior se puede concluir que la distinción entre el </w:t>
      </w:r>
      <w:r w:rsidRPr="001D2661">
        <w:rPr>
          <w:rFonts w:eastAsia="Palatino Linotype" w:cs="Palatino Linotype"/>
          <w:b/>
        </w:rPr>
        <w:t>derecho de petición</w:t>
      </w:r>
      <w:r w:rsidRPr="001D2661">
        <w:rPr>
          <w:rFonts w:eastAsia="Palatino Linotype" w:cs="Palatino Linotype"/>
        </w:rPr>
        <w:t xml:space="preserve"> y el derecho de acceso a la información descansa, principalmente, en que </w:t>
      </w:r>
      <w:r w:rsidRPr="001D2661">
        <w:rPr>
          <w:rFonts w:eastAsia="Palatino Linotype" w:cs="Palatino Linotype"/>
          <w:u w:val="single"/>
        </w:rPr>
        <w:t xml:space="preserve">la pretensión del peticionario consiste generalmente en obligar a la autoridad responsable a que actúe </w:t>
      </w:r>
      <w:r w:rsidRPr="001D2661">
        <w:rPr>
          <w:rFonts w:eastAsia="Palatino Linotype" w:cs="Palatino Linotype"/>
        </w:rPr>
        <w:t xml:space="preserve">en el sentido de contestar lo solicitado, mientras que en el derecho de acceso a la información pública la pretensión radica en que se permita el acceso a datos y todo tipo de documentación que tenga </w:t>
      </w:r>
      <w:r w:rsidRPr="001D2661">
        <w:rPr>
          <w:rFonts w:eastAsia="Palatino Linotype" w:cs="Palatino Linotype"/>
        </w:rPr>
        <w:lastRenderedPageBreak/>
        <w:t>el carácter de información pública, que sea generada, administrada o se encuentre en posesión de los considerados Sujetos Obligados por la Ley de la Materia.</w:t>
      </w:r>
    </w:p>
    <w:p w14:paraId="6D0E14C6" w14:textId="77777777" w:rsidR="00704239" w:rsidRPr="001D2661" w:rsidRDefault="00704239" w:rsidP="001D2661">
      <w:pPr>
        <w:spacing w:before="240" w:after="240"/>
        <w:ind w:right="99"/>
        <w:contextualSpacing/>
        <w:rPr>
          <w:rFonts w:eastAsia="Palatino Linotype" w:cs="Palatino Linotype"/>
        </w:rPr>
      </w:pPr>
    </w:p>
    <w:p w14:paraId="01D7E169" w14:textId="57B8F14E" w:rsidR="00704239" w:rsidRPr="001D2661" w:rsidRDefault="00704239" w:rsidP="001D2661">
      <w:pPr>
        <w:spacing w:before="240" w:after="240"/>
        <w:ind w:right="99"/>
        <w:contextualSpacing/>
        <w:rPr>
          <w:rFonts w:eastAsia="Palatino Linotype" w:cs="Palatino Linotype"/>
        </w:rPr>
      </w:pPr>
      <w:r w:rsidRPr="001D2661">
        <w:rPr>
          <w:rFonts w:eastAsia="Palatino Linotype" w:cs="Palatino Linotype"/>
        </w:rPr>
        <w:t xml:space="preserve">Por lo tanto,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1D2661">
        <w:rPr>
          <w:rFonts w:eastAsia="Palatino Linotype" w:cs="Palatino Linotype"/>
          <w:b/>
          <w:u w:val="single"/>
        </w:rPr>
        <w:t>interrogantes, inquietudes, quejas y manifestaciones</w:t>
      </w:r>
      <w:r w:rsidRPr="001D2661">
        <w:rPr>
          <w:rFonts w:eastAsia="Palatino Linotype" w:cs="Palatino Linotype"/>
        </w:rPr>
        <w:t xml:space="preserve"> resultan estar encaminadas a ser satisfechas en ejercicio del derecho de petición.</w:t>
      </w:r>
    </w:p>
    <w:p w14:paraId="503FEF28" w14:textId="77777777" w:rsidR="00704239" w:rsidRPr="001D2661" w:rsidRDefault="00704239" w:rsidP="001D2661">
      <w:pPr>
        <w:spacing w:before="240" w:after="240"/>
        <w:ind w:right="99"/>
        <w:contextualSpacing/>
        <w:rPr>
          <w:rFonts w:eastAsia="Palatino Linotype" w:cs="Palatino Linotype"/>
        </w:rPr>
      </w:pPr>
    </w:p>
    <w:p w14:paraId="3FC6BBDB" w14:textId="4C172848" w:rsidR="00704239" w:rsidRPr="001D2661" w:rsidRDefault="00704239" w:rsidP="001D2661">
      <w:pPr>
        <w:spacing w:before="240" w:after="240"/>
        <w:ind w:right="99"/>
        <w:contextualSpacing/>
        <w:rPr>
          <w:rFonts w:eastAsia="Palatino Linotype" w:cs="Palatino Linotype"/>
        </w:rPr>
      </w:pPr>
      <w:r w:rsidRPr="001D2661">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IV del artículo 191 del ordenamiento legal en cita, los que se transcriben a continuación, para un mejor entendimiento:</w:t>
      </w:r>
    </w:p>
    <w:p w14:paraId="0F80CB8F" w14:textId="77777777" w:rsidR="00704239" w:rsidRPr="001D2661" w:rsidRDefault="00704239" w:rsidP="001D2661">
      <w:pPr>
        <w:pStyle w:val="Prrafodelista"/>
        <w:widowControl w:val="0"/>
        <w:autoSpaceDE w:val="0"/>
        <w:autoSpaceDN w:val="0"/>
        <w:adjustRightInd w:val="0"/>
        <w:spacing w:line="240" w:lineRule="auto"/>
        <w:ind w:left="851" w:right="822"/>
        <w:rPr>
          <w:i/>
        </w:rPr>
      </w:pPr>
      <w:r w:rsidRPr="001D2661">
        <w:rPr>
          <w:i/>
        </w:rPr>
        <w:t xml:space="preserve">“Artículo 191. El recurso será desechado por improcedente cuando: </w:t>
      </w:r>
    </w:p>
    <w:p w14:paraId="3F9DF94D" w14:textId="6A832357" w:rsidR="00704239" w:rsidRPr="001D2661" w:rsidRDefault="00704239" w:rsidP="001D2661">
      <w:pPr>
        <w:pStyle w:val="Prrafodelista"/>
        <w:widowControl w:val="0"/>
        <w:autoSpaceDE w:val="0"/>
        <w:autoSpaceDN w:val="0"/>
        <w:adjustRightInd w:val="0"/>
        <w:spacing w:line="240" w:lineRule="auto"/>
        <w:ind w:left="851" w:right="822"/>
        <w:rPr>
          <w:i/>
        </w:rPr>
      </w:pPr>
      <w:r w:rsidRPr="001D2661">
        <w:rPr>
          <w:i/>
        </w:rPr>
        <w:t xml:space="preserve">(…) </w:t>
      </w:r>
    </w:p>
    <w:p w14:paraId="6ED09BA0" w14:textId="77777777" w:rsidR="00704239" w:rsidRPr="001D2661" w:rsidRDefault="00704239" w:rsidP="001D2661">
      <w:pPr>
        <w:pStyle w:val="Prrafodelista"/>
        <w:widowControl w:val="0"/>
        <w:autoSpaceDE w:val="0"/>
        <w:autoSpaceDN w:val="0"/>
        <w:adjustRightInd w:val="0"/>
        <w:spacing w:line="240" w:lineRule="auto"/>
        <w:ind w:left="851" w:right="822"/>
        <w:rPr>
          <w:i/>
        </w:rPr>
      </w:pPr>
      <w:r w:rsidRPr="001D2661">
        <w:rPr>
          <w:b/>
          <w:i/>
        </w:rPr>
        <w:t>VI. Se trate de una consulta, o trámite en específico</w:t>
      </w:r>
      <w:r w:rsidRPr="001D2661">
        <w:rPr>
          <w:i/>
        </w:rPr>
        <w:t xml:space="preserve">; </w:t>
      </w:r>
    </w:p>
    <w:p w14:paraId="1C3EFFE3" w14:textId="5F239E1D" w:rsidR="00704239" w:rsidRPr="001D2661" w:rsidRDefault="00704239" w:rsidP="001D2661">
      <w:pPr>
        <w:pStyle w:val="Prrafodelista"/>
        <w:widowControl w:val="0"/>
        <w:autoSpaceDE w:val="0"/>
        <w:autoSpaceDN w:val="0"/>
        <w:adjustRightInd w:val="0"/>
        <w:spacing w:line="240" w:lineRule="auto"/>
        <w:ind w:left="851" w:right="822"/>
        <w:rPr>
          <w:i/>
        </w:rPr>
      </w:pPr>
      <w:r w:rsidRPr="001D2661">
        <w:rPr>
          <w:i/>
        </w:rPr>
        <w:t xml:space="preserve">(…) </w:t>
      </w:r>
    </w:p>
    <w:p w14:paraId="5BA94783" w14:textId="37EB7371" w:rsidR="00704239" w:rsidRPr="001D2661" w:rsidRDefault="00704239" w:rsidP="001D2661">
      <w:pPr>
        <w:pStyle w:val="Prrafodelista"/>
        <w:widowControl w:val="0"/>
        <w:autoSpaceDE w:val="0"/>
        <w:autoSpaceDN w:val="0"/>
        <w:adjustRightInd w:val="0"/>
        <w:spacing w:line="240" w:lineRule="auto"/>
        <w:ind w:left="851" w:right="822"/>
        <w:rPr>
          <w:i/>
        </w:rPr>
      </w:pPr>
      <w:r w:rsidRPr="001D2661">
        <w:rPr>
          <w:i/>
        </w:rPr>
        <w:t>Artículo 192. El recurso será sobreseído, en todo o en parte, cuando una vez admitido, se actualicen alguno de los siguientes supuestos:</w:t>
      </w:r>
    </w:p>
    <w:p w14:paraId="2EAA6465" w14:textId="21BE1BDD" w:rsidR="00704239" w:rsidRPr="001D2661" w:rsidRDefault="00704239" w:rsidP="001D2661">
      <w:pPr>
        <w:pStyle w:val="Prrafodelista"/>
        <w:widowControl w:val="0"/>
        <w:autoSpaceDE w:val="0"/>
        <w:autoSpaceDN w:val="0"/>
        <w:adjustRightInd w:val="0"/>
        <w:spacing w:line="240" w:lineRule="auto"/>
        <w:ind w:left="851" w:right="822"/>
        <w:rPr>
          <w:i/>
        </w:rPr>
      </w:pPr>
      <w:r w:rsidRPr="001D2661">
        <w:rPr>
          <w:i/>
        </w:rPr>
        <w:t xml:space="preserve">(…) </w:t>
      </w:r>
    </w:p>
    <w:p w14:paraId="74759885" w14:textId="59DA5480" w:rsidR="00704239" w:rsidRPr="001D2661" w:rsidRDefault="00704239" w:rsidP="001D2661">
      <w:pPr>
        <w:pStyle w:val="Prrafodelista"/>
        <w:widowControl w:val="0"/>
        <w:autoSpaceDE w:val="0"/>
        <w:autoSpaceDN w:val="0"/>
        <w:adjustRightInd w:val="0"/>
        <w:spacing w:line="240" w:lineRule="auto"/>
        <w:ind w:left="851" w:right="822"/>
      </w:pPr>
      <w:r w:rsidRPr="001D2661">
        <w:rPr>
          <w:b/>
          <w:i/>
        </w:rPr>
        <w:t>IV. Admitido el recurso de revisión, aparezca alguna causal de improcedencia en los términos de la presente Ley.</w:t>
      </w:r>
      <w:r w:rsidRPr="001D2661">
        <w:rPr>
          <w:i/>
        </w:rPr>
        <w:t xml:space="preserve"> “</w:t>
      </w:r>
    </w:p>
    <w:p w14:paraId="08295AAA" w14:textId="77777777" w:rsidR="00704239" w:rsidRPr="001D2661" w:rsidRDefault="00704239" w:rsidP="001D2661">
      <w:pPr>
        <w:pStyle w:val="Prrafodelista"/>
        <w:widowControl w:val="0"/>
        <w:autoSpaceDE w:val="0"/>
        <w:autoSpaceDN w:val="0"/>
        <w:adjustRightInd w:val="0"/>
        <w:ind w:left="0"/>
      </w:pPr>
    </w:p>
    <w:p w14:paraId="7D3BA52F" w14:textId="77777777" w:rsidR="00704239" w:rsidRPr="001D2661" w:rsidRDefault="00704239" w:rsidP="001D2661">
      <w:pPr>
        <w:pStyle w:val="Prrafodelista"/>
        <w:widowControl w:val="0"/>
        <w:autoSpaceDE w:val="0"/>
        <w:autoSpaceDN w:val="0"/>
        <w:adjustRightInd w:val="0"/>
        <w:ind w:left="0"/>
      </w:pPr>
    </w:p>
    <w:p w14:paraId="743CFD2C" w14:textId="3A27952B" w:rsidR="00704239" w:rsidRPr="001D2661" w:rsidRDefault="00704239" w:rsidP="001D2661">
      <w:pPr>
        <w:pStyle w:val="Prrafodelista"/>
        <w:widowControl w:val="0"/>
        <w:autoSpaceDE w:val="0"/>
        <w:autoSpaceDN w:val="0"/>
        <w:adjustRightInd w:val="0"/>
        <w:ind w:left="0"/>
      </w:pPr>
      <w:r w:rsidRPr="001D2661">
        <w:lastRenderedPageBreak/>
        <w:t>Siendo el sobreseimiento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1B92638C" w14:textId="77777777" w:rsidR="00704239" w:rsidRPr="001D2661" w:rsidRDefault="00704239" w:rsidP="001D2661">
      <w:pPr>
        <w:pStyle w:val="Prrafodelista"/>
        <w:widowControl w:val="0"/>
        <w:autoSpaceDE w:val="0"/>
        <w:autoSpaceDN w:val="0"/>
        <w:adjustRightInd w:val="0"/>
        <w:ind w:left="0"/>
      </w:pPr>
    </w:p>
    <w:p w14:paraId="0432BB80" w14:textId="77777777" w:rsidR="00704239" w:rsidRPr="001D2661" w:rsidRDefault="00704239" w:rsidP="001D2661">
      <w:pPr>
        <w:pStyle w:val="Prrafodelista"/>
        <w:widowControl w:val="0"/>
        <w:autoSpaceDE w:val="0"/>
        <w:autoSpaceDN w:val="0"/>
        <w:adjustRightInd w:val="0"/>
        <w:ind w:left="851" w:right="822"/>
        <w:rPr>
          <w:i/>
        </w:rPr>
      </w:pPr>
      <w:r w:rsidRPr="001D2661">
        <w:rPr>
          <w:i/>
        </w:rPr>
        <w:t>“</w:t>
      </w:r>
      <w:r w:rsidRPr="001D2661">
        <w:rPr>
          <w:b/>
          <w:i/>
        </w:rPr>
        <w:t>SOBRESEIMIENTO, NO PERMITE ENTRAR AL ESTUDIO DE LAS CUESTIONES DE FONDO</w:t>
      </w:r>
      <w:r w:rsidRPr="001D2661">
        <w:rPr>
          <w:i/>
        </w:rPr>
        <w:t xml:space="preserve"> </w:t>
      </w:r>
    </w:p>
    <w:p w14:paraId="5A01ABED" w14:textId="294FCCDB" w:rsidR="00704239" w:rsidRPr="001D2661" w:rsidRDefault="00704239" w:rsidP="001D2661">
      <w:pPr>
        <w:pStyle w:val="Prrafodelista"/>
        <w:widowControl w:val="0"/>
        <w:autoSpaceDE w:val="0"/>
        <w:autoSpaceDN w:val="0"/>
        <w:adjustRightInd w:val="0"/>
        <w:ind w:left="851" w:right="822"/>
        <w:rPr>
          <w:i/>
        </w:rPr>
      </w:pPr>
      <w:r w:rsidRPr="001D2661">
        <w:rPr>
          <w:i/>
        </w:rPr>
        <w:t>Localización: 213609. II.2o.183 K. Tribunales Colegiados de Circuito. Octava Época. Semanario Judicial de la Federación. Tomo XIII, Febrero de 1994, Pág. 420 Cuerpo de tesis: No causa agravio la sentencia que no se ocupa de los razonamientos tendientes a demostrar la inconstitucionalidad de los actos reclamados de las autoridades responsables, que constituyen el problema de fondo, si se decreta el sobreseimiento del juicio.”</w:t>
      </w:r>
    </w:p>
    <w:p w14:paraId="7F81E65D" w14:textId="77777777" w:rsidR="00704239" w:rsidRPr="001D2661" w:rsidRDefault="00704239" w:rsidP="001D2661">
      <w:pPr>
        <w:pStyle w:val="Prrafodelista"/>
        <w:widowControl w:val="0"/>
        <w:autoSpaceDE w:val="0"/>
        <w:autoSpaceDN w:val="0"/>
        <w:adjustRightInd w:val="0"/>
        <w:ind w:left="0"/>
      </w:pPr>
    </w:p>
    <w:p w14:paraId="7572BF9A" w14:textId="16743AEA" w:rsidR="00704239" w:rsidRPr="001D2661" w:rsidRDefault="00704239" w:rsidP="001D2661">
      <w:pPr>
        <w:pStyle w:val="Prrafodelista"/>
        <w:widowControl w:val="0"/>
        <w:autoSpaceDE w:val="0"/>
        <w:autoSpaceDN w:val="0"/>
        <w:adjustRightInd w:val="0"/>
        <w:ind w:left="0"/>
      </w:pPr>
      <w:r w:rsidRPr="001D2661">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404EC71" w14:textId="77777777" w:rsidR="00704239" w:rsidRPr="001D2661" w:rsidRDefault="00704239" w:rsidP="001D2661">
      <w:pPr>
        <w:pStyle w:val="Prrafodelista"/>
        <w:widowControl w:val="0"/>
        <w:autoSpaceDE w:val="0"/>
        <w:autoSpaceDN w:val="0"/>
        <w:adjustRightInd w:val="0"/>
        <w:ind w:left="0"/>
      </w:pPr>
    </w:p>
    <w:p w14:paraId="4BEF5ED3" w14:textId="017D4B2D" w:rsidR="00704239" w:rsidRPr="001D2661" w:rsidRDefault="00704239" w:rsidP="001D2661">
      <w:pPr>
        <w:pStyle w:val="Prrafodelista"/>
        <w:widowControl w:val="0"/>
        <w:autoSpaceDE w:val="0"/>
        <w:autoSpaceDN w:val="0"/>
        <w:adjustRightInd w:val="0"/>
        <w:spacing w:line="240" w:lineRule="auto"/>
        <w:ind w:left="851" w:right="822"/>
        <w:rPr>
          <w:i/>
        </w:rPr>
      </w:pPr>
      <w:r w:rsidRPr="001D2661">
        <w:rPr>
          <w:i/>
        </w:rPr>
        <w:t>“</w:t>
      </w:r>
      <w:r w:rsidRPr="001D2661">
        <w:rPr>
          <w:b/>
          <w:i/>
        </w:rPr>
        <w:t>DESECHAMIENTO O SOBRESEIMIENTO EN EL JUICIO DE AMPARO. NO IMPLICA DENEGACIÓN DE JUSTICIA NI GENERA INSEGURIDAD JURÍDICA</w:t>
      </w:r>
      <w:r w:rsidRPr="001D2661">
        <w:rPr>
          <w:i/>
        </w:rPr>
        <w:t xml:space="preserve">”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w:t>
      </w:r>
      <w:r w:rsidRPr="001D2661">
        <w:rPr>
          <w:i/>
        </w:rPr>
        <w:lastRenderedPageBreak/>
        <w:t>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p w14:paraId="4E2D732D" w14:textId="77777777" w:rsidR="00704239" w:rsidRPr="001D2661" w:rsidRDefault="00704239" w:rsidP="001D2661">
      <w:pPr>
        <w:pStyle w:val="Prrafodelista"/>
        <w:widowControl w:val="0"/>
        <w:autoSpaceDE w:val="0"/>
        <w:autoSpaceDN w:val="0"/>
        <w:adjustRightInd w:val="0"/>
        <w:ind w:left="0"/>
      </w:pPr>
    </w:p>
    <w:p w14:paraId="6CD05AC4" w14:textId="06EF0B2E" w:rsidR="00BD5A7C" w:rsidRPr="001D2661" w:rsidRDefault="00705CAF" w:rsidP="001D2661">
      <w:pPr>
        <w:pStyle w:val="Ttulo3"/>
      </w:pPr>
      <w:bookmarkStart w:id="30" w:name="_Toc180603243"/>
      <w:r w:rsidRPr="001D2661">
        <w:t>e</w:t>
      </w:r>
      <w:r w:rsidR="00BD5A7C" w:rsidRPr="001D2661">
        <w:t>) Conclusión</w:t>
      </w:r>
      <w:bookmarkEnd w:id="30"/>
    </w:p>
    <w:p w14:paraId="3E38E14E" w14:textId="2E9E5557" w:rsidR="002C22A3" w:rsidRPr="001D2661" w:rsidRDefault="00197DFC" w:rsidP="001D2661">
      <w:pPr>
        <w:ind w:right="-93"/>
        <w:rPr>
          <w:rFonts w:eastAsia="Palatino Linotype" w:cs="Palatino Linotype"/>
        </w:rPr>
      </w:pPr>
      <w:bookmarkStart w:id="31" w:name="_Hlk165381027"/>
      <w:r w:rsidRPr="001D2661">
        <w:rPr>
          <w:rFonts w:eastAsia="Palatino Linotype" w:cs="Palatino Linotype"/>
        </w:rPr>
        <w:t xml:space="preserve">Derivado de lo anterior, podemos advertir </w:t>
      </w:r>
      <w:r w:rsidR="00704239" w:rsidRPr="001D2661">
        <w:rPr>
          <w:rFonts w:eastAsia="Palatino Linotype" w:cs="Palatino Linotype"/>
        </w:rPr>
        <w:t xml:space="preserve">que, los cuestionamientos inmersos en la solicitud de información, no pueden ser atendidos a través del ejercicio del derecho de acceso a información pública, ya que tal como ha quedado plasmado en el presente considerando, estos versan en </w:t>
      </w:r>
      <w:r w:rsidR="00C04A71" w:rsidRPr="001D2661">
        <w:rPr>
          <w:rFonts w:eastAsia="Palatino Linotype" w:cs="Palatino Linotype"/>
        </w:rPr>
        <w:t>interrogativas que consisten en un derecho de petición</w:t>
      </w:r>
      <w:r w:rsidRPr="001D2661">
        <w:rPr>
          <w:rFonts w:eastAsia="Palatino Linotype" w:cs="Palatino Linotype"/>
        </w:rPr>
        <w:t>.</w:t>
      </w:r>
    </w:p>
    <w:p w14:paraId="36782A37" w14:textId="77777777" w:rsidR="00197DFC" w:rsidRPr="001D2661" w:rsidRDefault="00197DFC" w:rsidP="001D2661">
      <w:pPr>
        <w:ind w:right="-93"/>
        <w:rPr>
          <w:rFonts w:cs="Tahoma"/>
          <w:bCs/>
          <w:szCs w:val="22"/>
        </w:rPr>
      </w:pPr>
    </w:p>
    <w:p w14:paraId="3AF84C8F" w14:textId="711D77CC" w:rsidR="00197DFC" w:rsidRPr="001D2661" w:rsidRDefault="00197DFC" w:rsidP="001D2661">
      <w:pPr>
        <w:ind w:right="-93"/>
        <w:rPr>
          <w:rFonts w:cs="Tahoma"/>
          <w:bCs/>
          <w:szCs w:val="22"/>
        </w:rPr>
      </w:pPr>
      <w:r w:rsidRPr="001D2661">
        <w:rPr>
          <w:rFonts w:eastAsia="Palatino Linotype" w:cs="Palatino Linotype"/>
        </w:rPr>
        <w:t>Bajo ese teno</w:t>
      </w:r>
      <w:r w:rsidR="00C04A71" w:rsidRPr="001D2661">
        <w:rPr>
          <w:rFonts w:eastAsia="Palatino Linotype" w:cs="Palatino Linotype"/>
        </w:rPr>
        <w:t>r y en términos del artículo 192 fracción IV, en relación con la fracción VI del numeral 191 de la Ley de Transparencia Local,</w:t>
      </w:r>
      <w:r w:rsidRPr="001D2661">
        <w:rPr>
          <w:rFonts w:eastAsia="Palatino Linotype" w:cs="Palatino Linotype"/>
        </w:rPr>
        <w:t xml:space="preserve"> este Pleno determina el </w:t>
      </w:r>
      <w:r w:rsidRPr="001D2661">
        <w:rPr>
          <w:rFonts w:eastAsia="Palatino Linotype" w:cs="Palatino Linotype"/>
          <w:b/>
        </w:rPr>
        <w:t xml:space="preserve">SOBRESEIMIENTO </w:t>
      </w:r>
      <w:r w:rsidRPr="001D2661">
        <w:rPr>
          <w:rFonts w:eastAsia="Palatino Linotype" w:cs="Palatino Linotype"/>
        </w:rPr>
        <w:t>d</w:t>
      </w:r>
      <w:r w:rsidR="00C04A71" w:rsidRPr="001D2661">
        <w:rPr>
          <w:rFonts w:eastAsia="Palatino Linotype" w:cs="Palatino Linotype"/>
        </w:rPr>
        <w:t>el presente Recurso de Revisión</w:t>
      </w:r>
      <w:r w:rsidRPr="001D2661">
        <w:rPr>
          <w:rFonts w:eastAsia="Palatino Linotype" w:cs="Palatino Linotype"/>
        </w:rPr>
        <w:t>.</w:t>
      </w:r>
    </w:p>
    <w:p w14:paraId="5D857A77" w14:textId="77777777" w:rsidR="00197DFC" w:rsidRPr="001D2661" w:rsidRDefault="00197DFC" w:rsidP="001D2661">
      <w:pPr>
        <w:ind w:right="-93"/>
        <w:rPr>
          <w:rFonts w:cs="Tahoma"/>
          <w:bCs/>
          <w:szCs w:val="22"/>
        </w:rPr>
      </w:pPr>
    </w:p>
    <w:p w14:paraId="6C4C444E" w14:textId="16F1DC79" w:rsidR="00BD5A7C" w:rsidRPr="001D2661" w:rsidRDefault="00BD5A7C" w:rsidP="001D2661">
      <w:pPr>
        <w:ind w:right="-93"/>
        <w:rPr>
          <w:rFonts w:cs="Tahoma"/>
          <w:bCs/>
          <w:szCs w:val="22"/>
        </w:rPr>
      </w:pPr>
      <w:r w:rsidRPr="001D266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EA5B167" w14:textId="77777777" w:rsidR="00910977" w:rsidRPr="001D2661" w:rsidRDefault="00910977" w:rsidP="001D2661">
      <w:pPr>
        <w:ind w:right="-93"/>
        <w:rPr>
          <w:rFonts w:cs="Tahoma"/>
          <w:bCs/>
          <w:szCs w:val="22"/>
        </w:rPr>
      </w:pPr>
    </w:p>
    <w:p w14:paraId="22BD1669" w14:textId="77777777" w:rsidR="00910977" w:rsidRPr="001D2661" w:rsidRDefault="00910977" w:rsidP="001D2661">
      <w:pPr>
        <w:ind w:right="-93"/>
        <w:rPr>
          <w:rFonts w:cs="Tahoma"/>
          <w:bCs/>
          <w:szCs w:val="22"/>
        </w:rPr>
      </w:pPr>
    </w:p>
    <w:bookmarkEnd w:id="31"/>
    <w:p w14:paraId="7C13D1A0" w14:textId="77777777" w:rsidR="00BD5A7C" w:rsidRPr="001D2661" w:rsidRDefault="00BD5A7C" w:rsidP="001D2661"/>
    <w:p w14:paraId="5C396097" w14:textId="684A0E4F" w:rsidR="00664420" w:rsidRPr="001D2661" w:rsidRDefault="00664420" w:rsidP="001D2661">
      <w:pPr>
        <w:pStyle w:val="Ttulo1"/>
      </w:pPr>
      <w:bookmarkStart w:id="32" w:name="_Toc180603244"/>
      <w:r w:rsidRPr="001D2661">
        <w:lastRenderedPageBreak/>
        <w:t>RESUELVE</w:t>
      </w:r>
      <w:bookmarkEnd w:id="32"/>
    </w:p>
    <w:p w14:paraId="203B7093" w14:textId="77777777" w:rsidR="00664420" w:rsidRPr="001D2661" w:rsidRDefault="00664420" w:rsidP="001D2661">
      <w:pPr>
        <w:ind w:right="113"/>
        <w:rPr>
          <w:rFonts w:cs="Arial"/>
          <w:b/>
          <w:szCs w:val="22"/>
        </w:rPr>
      </w:pPr>
    </w:p>
    <w:p w14:paraId="40DE562B" w14:textId="31DDEB3C" w:rsidR="00FC3CE0" w:rsidRPr="001D2661" w:rsidRDefault="00FC3CE0" w:rsidP="001D2661">
      <w:pPr>
        <w:widowControl w:val="0"/>
        <w:rPr>
          <w:rFonts w:eastAsia="Calibri" w:cs="Tahoma"/>
          <w:bCs/>
          <w:szCs w:val="22"/>
          <w:lang w:eastAsia="en-US"/>
        </w:rPr>
      </w:pPr>
      <w:r w:rsidRPr="001D2661">
        <w:rPr>
          <w:b/>
          <w:bCs/>
        </w:rPr>
        <w:t>PRIMERO.</w:t>
      </w:r>
      <w:r w:rsidRPr="001D2661">
        <w:t xml:space="preserve"> </w:t>
      </w:r>
      <w:r w:rsidR="00197DFC" w:rsidRPr="001D2661">
        <w:rPr>
          <w:rFonts w:cs="Arial"/>
          <w:b/>
          <w:szCs w:val="28"/>
        </w:rPr>
        <w:t>SOBRESEE</w:t>
      </w:r>
      <w:r w:rsidR="00197DFC" w:rsidRPr="001D2661">
        <w:rPr>
          <w:rFonts w:cs="Arial"/>
          <w:szCs w:val="28"/>
        </w:rPr>
        <w:t xml:space="preserve"> el Recurso de Revisión número </w:t>
      </w:r>
      <w:r w:rsidR="00C04A71" w:rsidRPr="001D2661">
        <w:rPr>
          <w:rFonts w:eastAsia="Palatino Linotype" w:cs="Palatino Linotype"/>
          <w:b/>
        </w:rPr>
        <w:t>05922/INFOEM/IP/RR/2024</w:t>
      </w:r>
      <w:r w:rsidR="00197DFC" w:rsidRPr="001D2661">
        <w:rPr>
          <w:rFonts w:eastAsia="Palatino Linotype" w:cs="Palatino Linotype"/>
          <w:b/>
        </w:rPr>
        <w:t xml:space="preserve"> </w:t>
      </w:r>
      <w:r w:rsidR="00C04A71" w:rsidRPr="001D2661">
        <w:t xml:space="preserve">porque una vez admitido se actualizó la causal de improcedencia prevista en artículo 192 fracción IV, en relación con la fracción VI del artículo 191, de la Ley de Transparencia y Acceso a la Información Pública del Estado de México y Municipios, en términos del Considerando </w:t>
      </w:r>
      <w:r w:rsidR="00C04A71" w:rsidRPr="001D2661">
        <w:rPr>
          <w:b/>
        </w:rPr>
        <w:t>Segundo</w:t>
      </w:r>
      <w:r w:rsidR="00C04A71" w:rsidRPr="001D2661">
        <w:t xml:space="preserve"> de la presente resolución</w:t>
      </w:r>
      <w:r w:rsidRPr="001D2661">
        <w:rPr>
          <w:rFonts w:eastAsia="Calibri" w:cs="Tahoma"/>
          <w:bCs/>
          <w:szCs w:val="22"/>
          <w:lang w:eastAsia="en-US"/>
        </w:rPr>
        <w:t>.</w:t>
      </w:r>
    </w:p>
    <w:p w14:paraId="78D4A482" w14:textId="77777777" w:rsidR="00FC3CE0" w:rsidRPr="001D2661" w:rsidRDefault="00FC3CE0" w:rsidP="001D2661">
      <w:pPr>
        <w:widowControl w:val="0"/>
        <w:rPr>
          <w:rFonts w:eastAsia="Calibri" w:cs="Tahoma"/>
          <w:bCs/>
          <w:szCs w:val="22"/>
          <w:lang w:eastAsia="en-US"/>
        </w:rPr>
      </w:pPr>
    </w:p>
    <w:p w14:paraId="564F0CD0" w14:textId="77777777" w:rsidR="00197DFC" w:rsidRPr="001D2661" w:rsidRDefault="00FC3CE0" w:rsidP="001D2661">
      <w:pPr>
        <w:ind w:right="-93"/>
      </w:pPr>
      <w:r w:rsidRPr="001D2661">
        <w:rPr>
          <w:rFonts w:eastAsia="Calibri" w:cs="Tahoma"/>
          <w:b/>
          <w:bCs/>
          <w:szCs w:val="22"/>
          <w:lang w:eastAsia="en-US"/>
        </w:rPr>
        <w:t>SEGUNDO.</w:t>
      </w:r>
      <w:r w:rsidRPr="001D2661">
        <w:rPr>
          <w:rFonts w:eastAsia="Calibri" w:cs="Tahoma"/>
          <w:szCs w:val="22"/>
          <w:lang w:eastAsia="es-MX"/>
        </w:rPr>
        <w:t xml:space="preserve"> </w:t>
      </w:r>
      <w:r w:rsidR="00197DFC" w:rsidRPr="001D2661">
        <w:t xml:space="preserve">Notifíquese la presente resolución mediante Sistema de Acceso a la Información Mexiquense al Titular de la Unidad de Transparencia del </w:t>
      </w:r>
      <w:r w:rsidR="00197DFC" w:rsidRPr="001D2661">
        <w:rPr>
          <w:b/>
          <w:bCs/>
        </w:rPr>
        <w:t>SUJETO OBLIGADO</w:t>
      </w:r>
      <w:r w:rsidR="00197DFC" w:rsidRPr="001D2661">
        <w:t>, para su conocimiento.</w:t>
      </w:r>
    </w:p>
    <w:p w14:paraId="3E0EF1EA" w14:textId="77777777" w:rsidR="00F45E99" w:rsidRPr="001D2661" w:rsidRDefault="00F45E99" w:rsidP="001D2661">
      <w:pPr>
        <w:widowControl w:val="0"/>
        <w:rPr>
          <w:rFonts w:eastAsia="Calibri" w:cs="Tahoma"/>
          <w:bCs/>
          <w:szCs w:val="22"/>
          <w:lang w:eastAsia="en-US"/>
        </w:rPr>
      </w:pPr>
    </w:p>
    <w:p w14:paraId="14C2AD60" w14:textId="6E27B277" w:rsidR="00FC3CE0" w:rsidRPr="001D2661" w:rsidRDefault="00FC3CE0" w:rsidP="001D2661">
      <w:r w:rsidRPr="001D2661">
        <w:rPr>
          <w:b/>
          <w:bCs/>
        </w:rPr>
        <w:t>TERCERO.</w:t>
      </w:r>
      <w:r w:rsidRPr="001D2661">
        <w:t xml:space="preserve"> </w:t>
      </w:r>
      <w:r w:rsidR="00197DFC" w:rsidRPr="001D2661">
        <w:t xml:space="preserve">Notifíquese a </w:t>
      </w:r>
      <w:r w:rsidR="00197DFC" w:rsidRPr="001D2661">
        <w:rPr>
          <w:b/>
          <w:bCs/>
        </w:rPr>
        <w:t>LA PARTE RECURRENTE</w:t>
      </w:r>
      <w:r w:rsidR="00197DFC" w:rsidRPr="001D2661">
        <w:t xml:space="preserve"> la presente resolución vía Sistema de Acceso a la Información Mexiquense (SAIMEX).</w:t>
      </w:r>
    </w:p>
    <w:p w14:paraId="0B820921" w14:textId="77777777" w:rsidR="00FC3CE0" w:rsidRPr="001D2661" w:rsidRDefault="00FC3CE0" w:rsidP="001D2661"/>
    <w:p w14:paraId="5F03BF6B" w14:textId="77777777" w:rsidR="00197DFC" w:rsidRPr="001D2661" w:rsidRDefault="00FC3CE0" w:rsidP="001D2661">
      <w:r w:rsidRPr="001D2661">
        <w:rPr>
          <w:b/>
          <w:bCs/>
        </w:rPr>
        <w:t>CUARTO.</w:t>
      </w:r>
      <w:r w:rsidRPr="001D2661">
        <w:t xml:space="preserve"> </w:t>
      </w:r>
      <w:r w:rsidR="00197DFC" w:rsidRPr="001D2661">
        <w:t xml:space="preserve">Hágase del conocimiento a </w:t>
      </w:r>
      <w:r w:rsidR="00197DFC" w:rsidRPr="001D2661">
        <w:rPr>
          <w:b/>
          <w:bCs/>
        </w:rPr>
        <w:t>LA PARTE RECURRENTE</w:t>
      </w:r>
      <w:r w:rsidR="00197DFC" w:rsidRPr="001D266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C8564F" w14:textId="77777777" w:rsidR="00FC3CE0" w:rsidRPr="001D2661" w:rsidRDefault="00FC3CE0" w:rsidP="001D2661">
      <w:pPr>
        <w:ind w:right="113"/>
        <w:rPr>
          <w:rFonts w:cs="Arial"/>
          <w:b/>
          <w:szCs w:val="22"/>
        </w:rPr>
      </w:pPr>
    </w:p>
    <w:p w14:paraId="7A6C8516" w14:textId="77777777" w:rsidR="00910977" w:rsidRPr="001D2661" w:rsidRDefault="00910977" w:rsidP="001D2661">
      <w:pPr>
        <w:ind w:right="113"/>
        <w:rPr>
          <w:rFonts w:cs="Arial"/>
          <w:b/>
          <w:szCs w:val="22"/>
        </w:rPr>
      </w:pPr>
    </w:p>
    <w:p w14:paraId="7B0716C1" w14:textId="77777777" w:rsidR="00910977" w:rsidRPr="001D2661" w:rsidRDefault="00910977" w:rsidP="001D2661">
      <w:pPr>
        <w:ind w:right="113"/>
        <w:rPr>
          <w:rFonts w:cs="Arial"/>
          <w:b/>
          <w:szCs w:val="22"/>
        </w:rPr>
      </w:pPr>
    </w:p>
    <w:p w14:paraId="5A00DE2D" w14:textId="77777777" w:rsidR="00910977" w:rsidRPr="001D2661" w:rsidRDefault="00910977" w:rsidP="001D2661">
      <w:pPr>
        <w:ind w:right="113"/>
        <w:rPr>
          <w:rFonts w:cs="Arial"/>
          <w:b/>
          <w:szCs w:val="22"/>
        </w:rPr>
      </w:pPr>
    </w:p>
    <w:p w14:paraId="6E584C1F" w14:textId="77777777" w:rsidR="00910977" w:rsidRPr="001D2661" w:rsidRDefault="00910977" w:rsidP="001D2661">
      <w:pPr>
        <w:ind w:right="113"/>
        <w:rPr>
          <w:rFonts w:cs="Arial"/>
          <w:b/>
          <w:szCs w:val="22"/>
        </w:rPr>
      </w:pPr>
    </w:p>
    <w:p w14:paraId="4C6D310E" w14:textId="77777777" w:rsidR="00910977" w:rsidRPr="001D2661" w:rsidRDefault="00910977" w:rsidP="001D2661">
      <w:pPr>
        <w:ind w:right="113"/>
        <w:rPr>
          <w:rFonts w:cs="Arial"/>
          <w:b/>
          <w:szCs w:val="22"/>
        </w:rPr>
      </w:pPr>
    </w:p>
    <w:p w14:paraId="719A5C63" w14:textId="49F78F36" w:rsidR="00664420" w:rsidRPr="001D2661" w:rsidRDefault="00664420" w:rsidP="001D2661">
      <w:pPr>
        <w:rPr>
          <w:rFonts w:eastAsia="Palatino Linotype" w:cs="Palatino Linotype"/>
          <w:szCs w:val="22"/>
        </w:rPr>
      </w:pPr>
      <w:r w:rsidRPr="001D2661">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A7339" w:rsidRPr="001D2661">
        <w:rPr>
          <w:rFonts w:eastAsia="Palatino Linotype" w:cs="Palatino Linotype"/>
          <w:szCs w:val="22"/>
        </w:rPr>
        <w:t>TRIGÉSIMA</w:t>
      </w:r>
      <w:r w:rsidR="001E196B" w:rsidRPr="001D2661">
        <w:rPr>
          <w:rFonts w:eastAsia="Palatino Linotype" w:cs="Palatino Linotype"/>
          <w:szCs w:val="22"/>
        </w:rPr>
        <w:t xml:space="preserve"> </w:t>
      </w:r>
      <w:r w:rsidR="00C04A71" w:rsidRPr="001D2661">
        <w:rPr>
          <w:rFonts w:eastAsia="Palatino Linotype" w:cs="Palatino Linotype"/>
          <w:szCs w:val="22"/>
        </w:rPr>
        <w:t>OCTAVA</w:t>
      </w:r>
      <w:r w:rsidR="000D5439" w:rsidRPr="001D2661">
        <w:rPr>
          <w:rFonts w:eastAsia="Palatino Linotype" w:cs="Palatino Linotype"/>
          <w:szCs w:val="22"/>
        </w:rPr>
        <w:t xml:space="preserve"> </w:t>
      </w:r>
      <w:r w:rsidRPr="001D2661">
        <w:rPr>
          <w:rFonts w:eastAsia="Palatino Linotype" w:cs="Palatino Linotype"/>
          <w:szCs w:val="22"/>
        </w:rPr>
        <w:t xml:space="preserve">SESIÓN ORDINARIA, CELEBRADA EL </w:t>
      </w:r>
      <w:r w:rsidR="006B6FCB" w:rsidRPr="001D2661">
        <w:rPr>
          <w:rFonts w:eastAsia="Palatino Linotype" w:cs="Palatino Linotype"/>
          <w:szCs w:val="22"/>
        </w:rPr>
        <w:t>SEIS DE NOVIEMBRE</w:t>
      </w:r>
      <w:r w:rsidR="001E196B" w:rsidRPr="001D2661">
        <w:rPr>
          <w:rFonts w:eastAsia="Palatino Linotype" w:cs="Palatino Linotype"/>
          <w:szCs w:val="22"/>
        </w:rPr>
        <w:t xml:space="preserve"> DE DOS MIL VEINTICUATRO</w:t>
      </w:r>
      <w:r w:rsidRPr="001D2661">
        <w:rPr>
          <w:rFonts w:eastAsia="Palatino Linotype" w:cs="Palatino Linotype"/>
          <w:szCs w:val="22"/>
        </w:rPr>
        <w:t>, ANTE EL SECRETARIO TÉCNICO DEL PLENO, ALEXIS TAPIA RAMÍREZ.</w:t>
      </w:r>
    </w:p>
    <w:p w14:paraId="49D72DA3" w14:textId="30BDE11B" w:rsidR="00664420" w:rsidRPr="001D2661" w:rsidRDefault="001E196B" w:rsidP="001D2661">
      <w:pPr>
        <w:ind w:right="-93"/>
        <w:rPr>
          <w:rFonts w:eastAsia="Calibri" w:cs="Tahoma"/>
          <w:bCs/>
          <w:szCs w:val="22"/>
          <w:lang w:eastAsia="en-US"/>
        </w:rPr>
      </w:pPr>
      <w:r w:rsidRPr="001D2661">
        <w:rPr>
          <w:rFonts w:eastAsia="Palatino Linotype" w:cs="Palatino Linotype"/>
          <w:sz w:val="20"/>
        </w:rPr>
        <w:t>SCMM/AGZ/DEMF/CDFE</w:t>
      </w:r>
      <w:r w:rsidRPr="001D2661">
        <w:br w:type="page"/>
      </w:r>
    </w:p>
    <w:p w14:paraId="5EFEA0CD" w14:textId="77777777" w:rsidR="00664420" w:rsidRPr="001D2661" w:rsidRDefault="00664420" w:rsidP="001D2661">
      <w:pPr>
        <w:ind w:right="-93"/>
        <w:rPr>
          <w:rFonts w:eastAsia="Calibri" w:cs="Tahoma"/>
          <w:szCs w:val="22"/>
          <w:lang w:val="es-ES"/>
        </w:rPr>
      </w:pPr>
    </w:p>
    <w:p w14:paraId="696BC976" w14:textId="77777777" w:rsidR="00664420" w:rsidRPr="001D2661" w:rsidRDefault="00664420" w:rsidP="001D2661">
      <w:pPr>
        <w:ind w:right="-93"/>
        <w:rPr>
          <w:rFonts w:eastAsia="Calibri" w:cs="Tahoma"/>
          <w:bCs/>
          <w:szCs w:val="22"/>
          <w:lang w:val="es-ES" w:eastAsia="en-US"/>
        </w:rPr>
      </w:pPr>
    </w:p>
    <w:p w14:paraId="671CB0C5" w14:textId="77777777" w:rsidR="00664420" w:rsidRPr="001D2661" w:rsidRDefault="00664420" w:rsidP="001D2661">
      <w:pPr>
        <w:ind w:right="-93"/>
        <w:rPr>
          <w:rFonts w:eastAsia="Calibri" w:cs="Tahoma"/>
          <w:bCs/>
          <w:szCs w:val="22"/>
          <w:lang w:val="es-ES_tradnl" w:eastAsia="en-US"/>
        </w:rPr>
      </w:pPr>
    </w:p>
    <w:p w14:paraId="52B66DE7" w14:textId="77777777" w:rsidR="00664420" w:rsidRPr="001D2661" w:rsidRDefault="00664420" w:rsidP="001D2661">
      <w:pPr>
        <w:ind w:right="-93"/>
        <w:rPr>
          <w:rFonts w:eastAsia="Calibri" w:cs="Tahoma"/>
          <w:bCs/>
          <w:szCs w:val="22"/>
          <w:lang w:val="es-ES_tradnl" w:eastAsia="en-US"/>
        </w:rPr>
      </w:pPr>
    </w:p>
    <w:p w14:paraId="3BA305D1" w14:textId="77777777" w:rsidR="00664420" w:rsidRPr="001D2661" w:rsidRDefault="00664420" w:rsidP="001D2661">
      <w:pPr>
        <w:ind w:right="-93"/>
        <w:rPr>
          <w:rFonts w:eastAsia="Calibri" w:cs="Tahoma"/>
          <w:bCs/>
          <w:szCs w:val="22"/>
          <w:lang w:val="es-ES_tradnl" w:eastAsia="en-US"/>
        </w:rPr>
      </w:pPr>
    </w:p>
    <w:p w14:paraId="78230707" w14:textId="77777777" w:rsidR="00664420" w:rsidRPr="001D2661" w:rsidRDefault="00664420" w:rsidP="001D2661">
      <w:pPr>
        <w:ind w:right="-93"/>
        <w:rPr>
          <w:rFonts w:eastAsia="Calibri" w:cs="Tahoma"/>
          <w:bCs/>
          <w:szCs w:val="22"/>
          <w:lang w:val="es-ES_tradnl" w:eastAsia="en-US"/>
        </w:rPr>
      </w:pPr>
    </w:p>
    <w:p w14:paraId="72D18B28" w14:textId="77777777" w:rsidR="00664420" w:rsidRPr="001D2661" w:rsidRDefault="00664420" w:rsidP="001D2661">
      <w:pPr>
        <w:ind w:right="-93"/>
        <w:rPr>
          <w:rFonts w:eastAsia="Calibri" w:cs="Tahoma"/>
          <w:bCs/>
          <w:szCs w:val="22"/>
          <w:lang w:val="es-ES_tradnl" w:eastAsia="en-US"/>
        </w:rPr>
      </w:pPr>
    </w:p>
    <w:p w14:paraId="6BD461DC" w14:textId="77777777" w:rsidR="00664420" w:rsidRPr="001D2661" w:rsidRDefault="00664420" w:rsidP="001D2661">
      <w:pPr>
        <w:tabs>
          <w:tab w:val="center" w:pos="4568"/>
        </w:tabs>
        <w:ind w:right="-93"/>
        <w:rPr>
          <w:rFonts w:eastAsia="Calibri" w:cs="Tahoma"/>
          <w:bCs/>
          <w:szCs w:val="22"/>
          <w:lang w:eastAsia="en-US"/>
        </w:rPr>
      </w:pPr>
    </w:p>
    <w:p w14:paraId="4DBB1727" w14:textId="77777777" w:rsidR="00664420" w:rsidRPr="001D2661" w:rsidRDefault="00664420" w:rsidP="001D2661">
      <w:pPr>
        <w:tabs>
          <w:tab w:val="center" w:pos="4568"/>
        </w:tabs>
        <w:ind w:right="-93"/>
        <w:rPr>
          <w:rFonts w:eastAsia="Calibri" w:cs="Tahoma"/>
          <w:bCs/>
          <w:szCs w:val="22"/>
          <w:lang w:eastAsia="en-US"/>
        </w:rPr>
      </w:pPr>
    </w:p>
    <w:p w14:paraId="1D74121B" w14:textId="77777777" w:rsidR="00664420" w:rsidRPr="001D2661" w:rsidRDefault="00664420" w:rsidP="001D2661">
      <w:pPr>
        <w:tabs>
          <w:tab w:val="center" w:pos="4568"/>
        </w:tabs>
        <w:ind w:right="-93"/>
        <w:rPr>
          <w:rFonts w:eastAsia="Calibri" w:cs="Tahoma"/>
          <w:bCs/>
          <w:szCs w:val="22"/>
          <w:lang w:eastAsia="en-US"/>
        </w:rPr>
      </w:pPr>
    </w:p>
    <w:p w14:paraId="08E74E9C" w14:textId="77777777" w:rsidR="00664420" w:rsidRPr="001D2661" w:rsidRDefault="00664420" w:rsidP="001D2661">
      <w:pPr>
        <w:tabs>
          <w:tab w:val="center" w:pos="4568"/>
        </w:tabs>
        <w:ind w:right="-93"/>
        <w:rPr>
          <w:rFonts w:eastAsia="Calibri" w:cs="Tahoma"/>
          <w:bCs/>
          <w:szCs w:val="22"/>
          <w:lang w:eastAsia="en-US"/>
        </w:rPr>
      </w:pPr>
    </w:p>
    <w:p w14:paraId="2CBF5E03" w14:textId="77777777" w:rsidR="00664420" w:rsidRPr="001D2661" w:rsidRDefault="00664420" w:rsidP="001D2661">
      <w:pPr>
        <w:tabs>
          <w:tab w:val="center" w:pos="4568"/>
        </w:tabs>
        <w:ind w:right="-93"/>
        <w:rPr>
          <w:rFonts w:eastAsia="Calibri" w:cs="Tahoma"/>
          <w:bCs/>
          <w:szCs w:val="22"/>
          <w:lang w:eastAsia="en-US"/>
        </w:rPr>
      </w:pPr>
    </w:p>
    <w:p w14:paraId="44865A6D" w14:textId="77777777" w:rsidR="00664420" w:rsidRPr="001D2661" w:rsidRDefault="00664420" w:rsidP="001D2661">
      <w:pPr>
        <w:tabs>
          <w:tab w:val="center" w:pos="4568"/>
        </w:tabs>
        <w:ind w:right="-93"/>
        <w:rPr>
          <w:rFonts w:eastAsia="Calibri" w:cs="Tahoma"/>
          <w:bCs/>
          <w:szCs w:val="22"/>
          <w:lang w:eastAsia="en-US"/>
        </w:rPr>
      </w:pPr>
    </w:p>
    <w:p w14:paraId="7147F06B" w14:textId="77777777" w:rsidR="00664420" w:rsidRPr="001D2661" w:rsidRDefault="00664420" w:rsidP="001D2661">
      <w:pPr>
        <w:tabs>
          <w:tab w:val="center" w:pos="4568"/>
        </w:tabs>
        <w:ind w:right="-93"/>
        <w:rPr>
          <w:rFonts w:eastAsia="Calibri" w:cs="Tahoma"/>
          <w:bCs/>
          <w:szCs w:val="22"/>
          <w:lang w:eastAsia="en-US"/>
        </w:rPr>
      </w:pPr>
    </w:p>
    <w:p w14:paraId="6FDF3D7E" w14:textId="77777777" w:rsidR="00664420" w:rsidRPr="001D2661" w:rsidRDefault="00664420" w:rsidP="001D2661">
      <w:pPr>
        <w:tabs>
          <w:tab w:val="center" w:pos="4568"/>
        </w:tabs>
        <w:ind w:right="-93"/>
        <w:rPr>
          <w:rFonts w:eastAsia="Calibri" w:cs="Tahoma"/>
          <w:bCs/>
          <w:szCs w:val="22"/>
          <w:lang w:eastAsia="en-US"/>
        </w:rPr>
      </w:pPr>
    </w:p>
    <w:p w14:paraId="6246F818" w14:textId="77777777" w:rsidR="00664420" w:rsidRPr="001D2661" w:rsidRDefault="00664420" w:rsidP="001D2661">
      <w:pPr>
        <w:tabs>
          <w:tab w:val="center" w:pos="4568"/>
        </w:tabs>
        <w:ind w:right="-93"/>
        <w:rPr>
          <w:rFonts w:eastAsia="Calibri" w:cs="Tahoma"/>
          <w:bCs/>
          <w:szCs w:val="22"/>
          <w:lang w:eastAsia="en-US"/>
        </w:rPr>
      </w:pPr>
    </w:p>
    <w:p w14:paraId="57A88B28" w14:textId="77777777" w:rsidR="00664420" w:rsidRPr="001D2661" w:rsidRDefault="00664420" w:rsidP="001D2661">
      <w:pPr>
        <w:tabs>
          <w:tab w:val="center" w:pos="4568"/>
        </w:tabs>
        <w:ind w:right="-93"/>
        <w:rPr>
          <w:rFonts w:eastAsia="Calibri" w:cs="Tahoma"/>
          <w:bCs/>
          <w:szCs w:val="22"/>
          <w:lang w:eastAsia="en-US"/>
        </w:rPr>
      </w:pPr>
    </w:p>
    <w:p w14:paraId="77EF6095" w14:textId="77777777" w:rsidR="00664420" w:rsidRPr="001D2661" w:rsidRDefault="00664420" w:rsidP="001D2661">
      <w:pPr>
        <w:tabs>
          <w:tab w:val="center" w:pos="4568"/>
        </w:tabs>
        <w:ind w:right="-93"/>
        <w:rPr>
          <w:rFonts w:eastAsia="Calibri" w:cs="Tahoma"/>
          <w:bCs/>
          <w:szCs w:val="22"/>
          <w:lang w:eastAsia="en-US"/>
        </w:rPr>
      </w:pPr>
    </w:p>
    <w:p w14:paraId="35593947" w14:textId="77777777" w:rsidR="00664420" w:rsidRPr="001D2661" w:rsidRDefault="00664420" w:rsidP="001D2661">
      <w:pPr>
        <w:tabs>
          <w:tab w:val="center" w:pos="4568"/>
        </w:tabs>
        <w:ind w:right="-93"/>
        <w:rPr>
          <w:rFonts w:eastAsia="Calibri" w:cs="Tahoma"/>
          <w:bCs/>
          <w:szCs w:val="22"/>
          <w:lang w:eastAsia="en-US"/>
        </w:rPr>
      </w:pPr>
    </w:p>
    <w:p w14:paraId="3AF72A17" w14:textId="77777777" w:rsidR="00664420" w:rsidRPr="001D2661" w:rsidRDefault="00664420" w:rsidP="001D2661">
      <w:pPr>
        <w:tabs>
          <w:tab w:val="center" w:pos="4568"/>
        </w:tabs>
        <w:ind w:right="-93"/>
        <w:rPr>
          <w:rFonts w:eastAsia="Calibri" w:cs="Tahoma"/>
          <w:bCs/>
          <w:szCs w:val="22"/>
          <w:lang w:eastAsia="en-US"/>
        </w:rPr>
      </w:pPr>
    </w:p>
    <w:p w14:paraId="37169144" w14:textId="77777777" w:rsidR="00664420" w:rsidRPr="001D2661" w:rsidRDefault="00664420" w:rsidP="001D2661">
      <w:pPr>
        <w:tabs>
          <w:tab w:val="center" w:pos="4568"/>
        </w:tabs>
        <w:ind w:right="-93"/>
        <w:rPr>
          <w:rFonts w:eastAsia="Calibri" w:cs="Tahoma"/>
          <w:bCs/>
          <w:szCs w:val="22"/>
          <w:lang w:eastAsia="en-US"/>
        </w:rPr>
      </w:pPr>
    </w:p>
    <w:p w14:paraId="77CFC088" w14:textId="77777777" w:rsidR="00664420" w:rsidRPr="001D2661" w:rsidRDefault="00664420" w:rsidP="001D2661">
      <w:pPr>
        <w:tabs>
          <w:tab w:val="center" w:pos="4568"/>
        </w:tabs>
        <w:ind w:right="-93"/>
        <w:rPr>
          <w:rFonts w:eastAsia="Calibri" w:cs="Tahoma"/>
          <w:bCs/>
          <w:szCs w:val="22"/>
          <w:lang w:eastAsia="en-US"/>
        </w:rPr>
      </w:pPr>
    </w:p>
    <w:p w14:paraId="781A11A5" w14:textId="77777777" w:rsidR="00664420" w:rsidRPr="001D2661" w:rsidRDefault="00664420" w:rsidP="001D2661">
      <w:pPr>
        <w:tabs>
          <w:tab w:val="center" w:pos="4568"/>
        </w:tabs>
        <w:ind w:right="-93"/>
        <w:rPr>
          <w:rFonts w:eastAsia="Calibri" w:cs="Tahoma"/>
          <w:bCs/>
          <w:szCs w:val="22"/>
          <w:lang w:eastAsia="en-US"/>
        </w:rPr>
      </w:pPr>
    </w:p>
    <w:p w14:paraId="5B4ADFF3" w14:textId="77777777" w:rsidR="00A131AC" w:rsidRPr="001D2661" w:rsidRDefault="00A131AC" w:rsidP="001D2661"/>
    <w:sectPr w:rsidR="00A131AC" w:rsidRPr="001D2661"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E2808" w14:textId="77777777" w:rsidR="00AC2618" w:rsidRDefault="00AC2618" w:rsidP="00664420">
      <w:pPr>
        <w:spacing w:line="240" w:lineRule="auto"/>
      </w:pPr>
      <w:r>
        <w:separator/>
      </w:r>
    </w:p>
  </w:endnote>
  <w:endnote w:type="continuationSeparator" w:id="0">
    <w:p w14:paraId="12FF8E44" w14:textId="77777777" w:rsidR="00AC2618" w:rsidRDefault="00AC261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F42C0" w:rsidRDefault="008F42C0">
    <w:pPr>
      <w:tabs>
        <w:tab w:val="center" w:pos="4550"/>
        <w:tab w:val="left" w:pos="5818"/>
      </w:tabs>
      <w:ind w:right="260"/>
      <w:jc w:val="right"/>
      <w:rPr>
        <w:color w:val="071320" w:themeColor="text2" w:themeShade="80"/>
        <w:sz w:val="24"/>
        <w:szCs w:val="24"/>
      </w:rPr>
    </w:pPr>
  </w:p>
  <w:p w14:paraId="1BCA7F23" w14:textId="77777777" w:rsidR="008F42C0" w:rsidRDefault="008F42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F42C0" w:rsidRDefault="008F42C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81744" w:rsidRPr="00D81744">
      <w:rPr>
        <w:noProof/>
        <w:color w:val="0A1D30" w:themeColor="text2" w:themeShade="BF"/>
        <w:sz w:val="24"/>
        <w:szCs w:val="24"/>
        <w:lang w:val="es-ES"/>
      </w:rPr>
      <w:t>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81744" w:rsidRPr="00D81744">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8F42C0" w:rsidRDefault="008F42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B22AE" w14:textId="77777777" w:rsidR="00AC2618" w:rsidRDefault="00AC2618" w:rsidP="00664420">
      <w:pPr>
        <w:spacing w:line="240" w:lineRule="auto"/>
      </w:pPr>
      <w:r>
        <w:separator/>
      </w:r>
    </w:p>
  </w:footnote>
  <w:footnote w:type="continuationSeparator" w:id="0">
    <w:p w14:paraId="2433A30E" w14:textId="77777777" w:rsidR="00AC2618" w:rsidRDefault="00AC2618" w:rsidP="00664420">
      <w:pPr>
        <w:spacing w:line="240" w:lineRule="auto"/>
      </w:pPr>
      <w:r>
        <w:continuationSeparator/>
      </w:r>
    </w:p>
  </w:footnote>
  <w:footnote w:id="1">
    <w:p w14:paraId="72680D55" w14:textId="77777777" w:rsidR="00704239" w:rsidRDefault="00704239" w:rsidP="00704239">
      <w:pPr>
        <w:spacing w:before="240" w:after="240"/>
        <w:rPr>
          <w:rFonts w:eastAsia="Palatino Linotype" w:cs="Palatino Linotype"/>
          <w:sz w:val="16"/>
          <w:szCs w:val="16"/>
        </w:rPr>
      </w:pPr>
      <w:r>
        <w:rPr>
          <w:vertAlign w:val="superscript"/>
        </w:rPr>
        <w:footnoteRef/>
      </w:r>
      <w:r>
        <w:rPr>
          <w:rFonts w:eastAsia="Palatino Linotype" w:cs="Palatino Linotype"/>
          <w:sz w:val="16"/>
          <w:szCs w:val="16"/>
        </w:rPr>
        <w:t xml:space="preserve"> Carbonell, M. (2004). Los Derechos Fundamentales (Primera Edición ed.), México: Instituto de investigaciones Jurídicas.</w:t>
      </w:r>
    </w:p>
  </w:footnote>
  <w:footnote w:id="2">
    <w:p w14:paraId="1CD45869" w14:textId="77777777" w:rsidR="00704239" w:rsidRDefault="00704239" w:rsidP="00704239">
      <w:pPr>
        <w:spacing w:after="120" w:line="196" w:lineRule="auto"/>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VILLANUEVA VILLANUEVA Ernesto, Derecho de la Información, Ed, Porrúa S.A., México. 2006, pág.270.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F42C0" w:rsidRPr="00330DA7" w14:paraId="070A4B18" w14:textId="77777777" w:rsidTr="003F35FD">
      <w:trPr>
        <w:trHeight w:val="144"/>
        <w:jc w:val="right"/>
      </w:trPr>
      <w:tc>
        <w:tcPr>
          <w:tcW w:w="2727" w:type="dxa"/>
        </w:tcPr>
        <w:p w14:paraId="62B7493A" w14:textId="77777777" w:rsidR="008F42C0" w:rsidRPr="00330DA7" w:rsidRDefault="008F42C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C28686B" w:rsidR="008F42C0" w:rsidRPr="00A90C72" w:rsidRDefault="008F42C0" w:rsidP="003F35FD">
          <w:pPr>
            <w:tabs>
              <w:tab w:val="right" w:pos="8838"/>
            </w:tabs>
            <w:ind w:left="-74" w:right="-105"/>
            <w:rPr>
              <w:rFonts w:eastAsia="Calibri" w:cs="Tahoma"/>
              <w:szCs w:val="22"/>
              <w:lang w:eastAsia="en-US"/>
            </w:rPr>
          </w:pPr>
          <w:r w:rsidRPr="00BF467D">
            <w:rPr>
              <w:rFonts w:eastAsia="Calibri" w:cs="Tahoma"/>
              <w:szCs w:val="22"/>
              <w:lang w:eastAsia="en-US"/>
            </w:rPr>
            <w:t>05922/INFOEM/IP/RR/2024</w:t>
          </w:r>
        </w:p>
      </w:tc>
    </w:tr>
    <w:tr w:rsidR="008F42C0" w:rsidRPr="00330DA7" w14:paraId="4521E058" w14:textId="77777777" w:rsidTr="003F35FD">
      <w:trPr>
        <w:trHeight w:val="283"/>
        <w:jc w:val="right"/>
      </w:trPr>
      <w:tc>
        <w:tcPr>
          <w:tcW w:w="2727" w:type="dxa"/>
        </w:tcPr>
        <w:p w14:paraId="0B68C086" w14:textId="77777777" w:rsidR="008F42C0" w:rsidRPr="00330DA7" w:rsidRDefault="008F42C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14DF99D" w:rsidR="008F42C0" w:rsidRPr="00952DD0" w:rsidRDefault="008F42C0" w:rsidP="003F35FD">
          <w:pPr>
            <w:tabs>
              <w:tab w:val="left" w:pos="2834"/>
              <w:tab w:val="right" w:pos="8838"/>
            </w:tabs>
            <w:ind w:left="-108" w:right="-105"/>
            <w:rPr>
              <w:rFonts w:eastAsia="Calibri" w:cs="Tahoma"/>
              <w:szCs w:val="22"/>
              <w:lang w:eastAsia="en-US"/>
            </w:rPr>
          </w:pPr>
          <w:r w:rsidRPr="00BF467D">
            <w:rPr>
              <w:rFonts w:eastAsia="Calibri" w:cs="Tahoma"/>
              <w:szCs w:val="22"/>
              <w:lang w:eastAsia="en-US"/>
            </w:rPr>
            <w:t>Ayuntamiento de Tultitlán</w:t>
          </w:r>
        </w:p>
      </w:tc>
    </w:tr>
    <w:tr w:rsidR="008F42C0" w:rsidRPr="00330DA7" w14:paraId="6331D9B6" w14:textId="77777777" w:rsidTr="003F35FD">
      <w:trPr>
        <w:trHeight w:val="283"/>
        <w:jc w:val="right"/>
      </w:trPr>
      <w:tc>
        <w:tcPr>
          <w:tcW w:w="2727" w:type="dxa"/>
        </w:tcPr>
        <w:p w14:paraId="3FA86BAE" w14:textId="4D08C655" w:rsidR="008F42C0" w:rsidRPr="00330DA7" w:rsidRDefault="008F42C0"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8F42C0" w:rsidRPr="00EA66FC" w:rsidRDefault="008F42C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F42C0" w:rsidRPr="00443C6B" w:rsidRDefault="008F42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F42C0" w:rsidRPr="00330DA7" w14:paraId="29CFF901" w14:textId="77777777" w:rsidTr="00E85A73">
      <w:trPr>
        <w:trHeight w:val="1435"/>
      </w:trPr>
      <w:tc>
        <w:tcPr>
          <w:tcW w:w="283" w:type="dxa"/>
          <w:shd w:val="clear" w:color="auto" w:fill="auto"/>
        </w:tcPr>
        <w:p w14:paraId="046B9F8F" w14:textId="77777777" w:rsidR="008F42C0" w:rsidRPr="00330DA7" w:rsidRDefault="008F42C0"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F42C0" w:rsidRPr="00330DA7" w14:paraId="04F272D2" w14:textId="77777777" w:rsidTr="00E85A73">
            <w:trPr>
              <w:trHeight w:val="144"/>
            </w:trPr>
            <w:tc>
              <w:tcPr>
                <w:tcW w:w="2727" w:type="dxa"/>
              </w:tcPr>
              <w:p w14:paraId="2FD4DBF6" w14:textId="77777777" w:rsidR="008F42C0" w:rsidRPr="00330DA7" w:rsidRDefault="008F42C0"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CBA42B1" w:rsidR="008F42C0" w:rsidRPr="00A90C72" w:rsidRDefault="008F42C0" w:rsidP="00E85A73">
                <w:pPr>
                  <w:tabs>
                    <w:tab w:val="right" w:pos="8838"/>
                  </w:tabs>
                  <w:ind w:left="-74" w:right="-105"/>
                  <w:rPr>
                    <w:rFonts w:eastAsia="Calibri" w:cs="Tahoma"/>
                    <w:szCs w:val="22"/>
                    <w:lang w:eastAsia="en-US"/>
                  </w:rPr>
                </w:pPr>
                <w:r w:rsidRPr="00BF467D">
                  <w:rPr>
                    <w:rFonts w:eastAsia="Calibri" w:cs="Tahoma"/>
                    <w:szCs w:val="22"/>
                    <w:lang w:eastAsia="en-US"/>
                  </w:rPr>
                  <w:t>05922/INFOEM/IP/RR/2024</w:t>
                </w:r>
              </w:p>
            </w:tc>
            <w:tc>
              <w:tcPr>
                <w:tcW w:w="3402" w:type="dxa"/>
              </w:tcPr>
              <w:p w14:paraId="71DEA1CF" w14:textId="77777777" w:rsidR="008F42C0" w:rsidRDefault="008F42C0" w:rsidP="00E85A73">
                <w:pPr>
                  <w:tabs>
                    <w:tab w:val="right" w:pos="8838"/>
                  </w:tabs>
                  <w:ind w:left="-74" w:right="-105"/>
                  <w:rPr>
                    <w:rFonts w:eastAsia="Calibri" w:cs="Tahoma"/>
                    <w:szCs w:val="22"/>
                    <w:lang w:eastAsia="en-US"/>
                  </w:rPr>
                </w:pPr>
              </w:p>
            </w:tc>
          </w:tr>
          <w:tr w:rsidR="008F42C0" w:rsidRPr="00330DA7" w14:paraId="05C58951" w14:textId="77777777" w:rsidTr="00E85A73">
            <w:trPr>
              <w:trHeight w:val="144"/>
            </w:trPr>
            <w:tc>
              <w:tcPr>
                <w:tcW w:w="2727" w:type="dxa"/>
              </w:tcPr>
              <w:p w14:paraId="642B9610" w14:textId="77777777" w:rsidR="008F42C0" w:rsidRPr="00330DA7" w:rsidRDefault="008F42C0"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5C166DB" w:rsidR="008F42C0" w:rsidRPr="005F19B1" w:rsidRDefault="00D81744" w:rsidP="00E85A73">
                <w:pPr>
                  <w:tabs>
                    <w:tab w:val="left" w:pos="3122"/>
                    <w:tab w:val="right" w:pos="8838"/>
                  </w:tabs>
                  <w:ind w:left="-105" w:right="-105"/>
                  <w:rPr>
                    <w:rFonts w:eastAsia="Calibri" w:cs="Tahoma"/>
                    <w:szCs w:val="22"/>
                    <w:lang w:eastAsia="en-US"/>
                  </w:rPr>
                </w:pPr>
                <w:r>
                  <w:rPr>
                    <w:rFonts w:eastAsia="Calibri" w:cs="Tahoma"/>
                    <w:szCs w:val="22"/>
                    <w:lang w:eastAsia="en-US"/>
                  </w:rPr>
                  <w:t>XXXXX XXXXXXXXX XXXXXX</w:t>
                </w:r>
              </w:p>
            </w:tc>
            <w:tc>
              <w:tcPr>
                <w:tcW w:w="3402" w:type="dxa"/>
              </w:tcPr>
              <w:p w14:paraId="73F47F53" w14:textId="77777777" w:rsidR="008F42C0" w:rsidRPr="005F19B1" w:rsidRDefault="008F42C0" w:rsidP="00E85A73">
                <w:pPr>
                  <w:tabs>
                    <w:tab w:val="left" w:pos="3122"/>
                    <w:tab w:val="right" w:pos="8838"/>
                  </w:tabs>
                  <w:ind w:left="-105" w:right="-105"/>
                  <w:rPr>
                    <w:rFonts w:eastAsia="Calibri" w:cs="Tahoma"/>
                    <w:szCs w:val="22"/>
                    <w:lang w:eastAsia="en-US"/>
                  </w:rPr>
                </w:pPr>
              </w:p>
            </w:tc>
          </w:tr>
          <w:bookmarkEnd w:id="1"/>
          <w:tr w:rsidR="008F42C0" w:rsidRPr="00330DA7" w14:paraId="00E6CDC1" w14:textId="77777777" w:rsidTr="00E85A73">
            <w:trPr>
              <w:trHeight w:val="283"/>
            </w:trPr>
            <w:tc>
              <w:tcPr>
                <w:tcW w:w="2727" w:type="dxa"/>
              </w:tcPr>
              <w:p w14:paraId="0631AD24" w14:textId="77777777" w:rsidR="008F42C0" w:rsidRPr="00330DA7" w:rsidRDefault="008F42C0"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FFC321F" w:rsidR="008F42C0" w:rsidRPr="00952DD0" w:rsidRDefault="008F42C0" w:rsidP="00E85A73">
                <w:pPr>
                  <w:tabs>
                    <w:tab w:val="left" w:pos="2834"/>
                    <w:tab w:val="right" w:pos="8838"/>
                  </w:tabs>
                  <w:ind w:left="-108" w:right="-105"/>
                  <w:rPr>
                    <w:rFonts w:eastAsia="Calibri" w:cs="Tahoma"/>
                    <w:szCs w:val="22"/>
                    <w:lang w:eastAsia="en-US"/>
                  </w:rPr>
                </w:pPr>
                <w:r w:rsidRPr="00BF467D">
                  <w:rPr>
                    <w:rFonts w:eastAsia="Calibri" w:cs="Tahoma"/>
                    <w:szCs w:val="22"/>
                    <w:lang w:eastAsia="en-US"/>
                  </w:rPr>
                  <w:t>Ayuntamiento de Tultitlán</w:t>
                </w:r>
              </w:p>
            </w:tc>
            <w:tc>
              <w:tcPr>
                <w:tcW w:w="3402" w:type="dxa"/>
              </w:tcPr>
              <w:p w14:paraId="3A7DA319" w14:textId="77777777" w:rsidR="008F42C0" w:rsidRPr="00A90C72" w:rsidRDefault="008F42C0" w:rsidP="00E85A73">
                <w:pPr>
                  <w:tabs>
                    <w:tab w:val="left" w:pos="2834"/>
                    <w:tab w:val="right" w:pos="8838"/>
                  </w:tabs>
                  <w:ind w:left="-108" w:right="-105"/>
                  <w:rPr>
                    <w:rFonts w:eastAsia="Calibri" w:cs="Tahoma"/>
                    <w:szCs w:val="22"/>
                    <w:lang w:eastAsia="en-US"/>
                  </w:rPr>
                </w:pPr>
              </w:p>
            </w:tc>
          </w:tr>
          <w:tr w:rsidR="008F42C0" w:rsidRPr="00330DA7" w14:paraId="0F6CD8D2" w14:textId="77777777" w:rsidTr="00E85A73">
            <w:trPr>
              <w:trHeight w:val="283"/>
            </w:trPr>
            <w:tc>
              <w:tcPr>
                <w:tcW w:w="2727" w:type="dxa"/>
              </w:tcPr>
              <w:p w14:paraId="31700628" w14:textId="6134F782" w:rsidR="008F42C0" w:rsidRPr="00330DA7" w:rsidRDefault="008F42C0"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8F42C0" w:rsidRPr="00EA66FC" w:rsidRDefault="008F42C0"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F42C0" w:rsidRPr="00330DA7" w:rsidRDefault="008F42C0" w:rsidP="00E85A73">
                <w:pPr>
                  <w:tabs>
                    <w:tab w:val="right" w:pos="8838"/>
                  </w:tabs>
                  <w:ind w:left="-108" w:right="-105"/>
                  <w:rPr>
                    <w:rFonts w:eastAsia="Calibri" w:cs="Tahoma"/>
                    <w:szCs w:val="22"/>
                    <w:lang w:eastAsia="en-US"/>
                  </w:rPr>
                </w:pPr>
              </w:p>
            </w:tc>
          </w:tr>
        </w:tbl>
        <w:p w14:paraId="5DC6AC61" w14:textId="77777777" w:rsidR="008F42C0" w:rsidRPr="00330DA7" w:rsidRDefault="008F42C0" w:rsidP="00E85A73">
          <w:pPr>
            <w:tabs>
              <w:tab w:val="right" w:pos="8838"/>
            </w:tabs>
            <w:ind w:left="-28"/>
            <w:rPr>
              <w:rFonts w:ascii="Arial" w:eastAsia="Calibri" w:hAnsi="Arial" w:cs="Arial"/>
              <w:b/>
              <w:szCs w:val="22"/>
              <w:lang w:eastAsia="en-US"/>
            </w:rPr>
          </w:pPr>
        </w:p>
      </w:tc>
    </w:tr>
  </w:tbl>
  <w:p w14:paraId="2A906731" w14:textId="77777777" w:rsidR="008F42C0" w:rsidRPr="00765661" w:rsidRDefault="00AC2618"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47.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B9C3DAB"/>
    <w:multiLevelType w:val="hybridMultilevel"/>
    <w:tmpl w:val="14DA3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3494FE4"/>
    <w:multiLevelType w:val="hybridMultilevel"/>
    <w:tmpl w:val="6F28E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7"/>
  </w:num>
  <w:num w:numId="3">
    <w:abstractNumId w:val="21"/>
  </w:num>
  <w:num w:numId="4">
    <w:abstractNumId w:val="6"/>
  </w:num>
  <w:num w:numId="5">
    <w:abstractNumId w:val="3"/>
  </w:num>
  <w:num w:numId="6">
    <w:abstractNumId w:val="22"/>
  </w:num>
  <w:num w:numId="7">
    <w:abstractNumId w:val="14"/>
  </w:num>
  <w:num w:numId="8">
    <w:abstractNumId w:val="5"/>
  </w:num>
  <w:num w:numId="9">
    <w:abstractNumId w:val="1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5"/>
  </w:num>
  <w:num w:numId="16">
    <w:abstractNumId w:val="18"/>
  </w:num>
  <w:num w:numId="17">
    <w:abstractNumId w:val="10"/>
  </w:num>
  <w:num w:numId="18">
    <w:abstractNumId w:val="19"/>
  </w:num>
  <w:num w:numId="19">
    <w:abstractNumId w:val="2"/>
  </w:num>
  <w:num w:numId="20">
    <w:abstractNumId w:val="16"/>
  </w:num>
  <w:num w:numId="21">
    <w:abstractNumId w:val="20"/>
  </w:num>
  <w:num w:numId="22">
    <w:abstractNumId w:val="11"/>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48F1"/>
    <w:rsid w:val="00057B2D"/>
    <w:rsid w:val="00074B52"/>
    <w:rsid w:val="00080071"/>
    <w:rsid w:val="00081B94"/>
    <w:rsid w:val="000A666D"/>
    <w:rsid w:val="000C47C5"/>
    <w:rsid w:val="000D0D67"/>
    <w:rsid w:val="000D5439"/>
    <w:rsid w:val="000E09C4"/>
    <w:rsid w:val="0011350D"/>
    <w:rsid w:val="00135EF3"/>
    <w:rsid w:val="00141876"/>
    <w:rsid w:val="0014207B"/>
    <w:rsid w:val="00150C49"/>
    <w:rsid w:val="00156FD8"/>
    <w:rsid w:val="00165FE9"/>
    <w:rsid w:val="00193090"/>
    <w:rsid w:val="00193F73"/>
    <w:rsid w:val="00197DFC"/>
    <w:rsid w:val="001A58B3"/>
    <w:rsid w:val="001C7688"/>
    <w:rsid w:val="001D19F2"/>
    <w:rsid w:val="001D2661"/>
    <w:rsid w:val="001D2957"/>
    <w:rsid w:val="001E196B"/>
    <w:rsid w:val="001F3515"/>
    <w:rsid w:val="001F6646"/>
    <w:rsid w:val="0021451A"/>
    <w:rsid w:val="00233005"/>
    <w:rsid w:val="00233F17"/>
    <w:rsid w:val="002347F3"/>
    <w:rsid w:val="002778F0"/>
    <w:rsid w:val="002A3601"/>
    <w:rsid w:val="002A3D44"/>
    <w:rsid w:val="002A7339"/>
    <w:rsid w:val="002B3956"/>
    <w:rsid w:val="002B7C6F"/>
    <w:rsid w:val="002C22A3"/>
    <w:rsid w:val="002C53EE"/>
    <w:rsid w:val="002D111C"/>
    <w:rsid w:val="00302476"/>
    <w:rsid w:val="00304E8E"/>
    <w:rsid w:val="00307D18"/>
    <w:rsid w:val="00325871"/>
    <w:rsid w:val="00331F35"/>
    <w:rsid w:val="0033375C"/>
    <w:rsid w:val="00335CDF"/>
    <w:rsid w:val="00362A11"/>
    <w:rsid w:val="00366345"/>
    <w:rsid w:val="0038133E"/>
    <w:rsid w:val="00396412"/>
    <w:rsid w:val="003A40C1"/>
    <w:rsid w:val="003B5D3E"/>
    <w:rsid w:val="003D3133"/>
    <w:rsid w:val="003E2BA6"/>
    <w:rsid w:val="003F35FD"/>
    <w:rsid w:val="0040367B"/>
    <w:rsid w:val="0041385B"/>
    <w:rsid w:val="00441BFA"/>
    <w:rsid w:val="00454FBD"/>
    <w:rsid w:val="0046619F"/>
    <w:rsid w:val="00475248"/>
    <w:rsid w:val="004A131B"/>
    <w:rsid w:val="004A5973"/>
    <w:rsid w:val="004C04EC"/>
    <w:rsid w:val="004D2924"/>
    <w:rsid w:val="004D7CD8"/>
    <w:rsid w:val="004E1875"/>
    <w:rsid w:val="004E5068"/>
    <w:rsid w:val="004E50F8"/>
    <w:rsid w:val="004F7A00"/>
    <w:rsid w:val="00523F48"/>
    <w:rsid w:val="005365FA"/>
    <w:rsid w:val="00536E63"/>
    <w:rsid w:val="00551383"/>
    <w:rsid w:val="005723CB"/>
    <w:rsid w:val="00575400"/>
    <w:rsid w:val="00587141"/>
    <w:rsid w:val="00595228"/>
    <w:rsid w:val="005A3789"/>
    <w:rsid w:val="005B18AF"/>
    <w:rsid w:val="005B5153"/>
    <w:rsid w:val="005C3DBB"/>
    <w:rsid w:val="005D5A50"/>
    <w:rsid w:val="005F5301"/>
    <w:rsid w:val="005F65B7"/>
    <w:rsid w:val="006067C7"/>
    <w:rsid w:val="006159AD"/>
    <w:rsid w:val="0064167D"/>
    <w:rsid w:val="00646436"/>
    <w:rsid w:val="00664420"/>
    <w:rsid w:val="00664DAC"/>
    <w:rsid w:val="006A646A"/>
    <w:rsid w:val="006B0482"/>
    <w:rsid w:val="006B10B0"/>
    <w:rsid w:val="006B498E"/>
    <w:rsid w:val="006B6FCB"/>
    <w:rsid w:val="006C3A73"/>
    <w:rsid w:val="006E220B"/>
    <w:rsid w:val="006E25BC"/>
    <w:rsid w:val="006E6BBC"/>
    <w:rsid w:val="006F7768"/>
    <w:rsid w:val="00704239"/>
    <w:rsid w:val="007048A3"/>
    <w:rsid w:val="00705CAF"/>
    <w:rsid w:val="00717E59"/>
    <w:rsid w:val="00727D22"/>
    <w:rsid w:val="00773AD0"/>
    <w:rsid w:val="00775BFC"/>
    <w:rsid w:val="007A094A"/>
    <w:rsid w:val="007A3459"/>
    <w:rsid w:val="007B6074"/>
    <w:rsid w:val="007D1C55"/>
    <w:rsid w:val="007D317F"/>
    <w:rsid w:val="007F5D06"/>
    <w:rsid w:val="00803187"/>
    <w:rsid w:val="00805A6E"/>
    <w:rsid w:val="008252A0"/>
    <w:rsid w:val="008307AD"/>
    <w:rsid w:val="00865CF4"/>
    <w:rsid w:val="00876DBC"/>
    <w:rsid w:val="0088440B"/>
    <w:rsid w:val="008A6003"/>
    <w:rsid w:val="008A6F88"/>
    <w:rsid w:val="008B1E16"/>
    <w:rsid w:val="008B534F"/>
    <w:rsid w:val="008B7FE7"/>
    <w:rsid w:val="008E1316"/>
    <w:rsid w:val="008E6902"/>
    <w:rsid w:val="008F42C0"/>
    <w:rsid w:val="00910977"/>
    <w:rsid w:val="00910FD2"/>
    <w:rsid w:val="009260E7"/>
    <w:rsid w:val="00931437"/>
    <w:rsid w:val="00932610"/>
    <w:rsid w:val="00933717"/>
    <w:rsid w:val="00953430"/>
    <w:rsid w:val="009565E8"/>
    <w:rsid w:val="00970EB3"/>
    <w:rsid w:val="00982F40"/>
    <w:rsid w:val="00987005"/>
    <w:rsid w:val="009A2D78"/>
    <w:rsid w:val="009A7C10"/>
    <w:rsid w:val="009B23DF"/>
    <w:rsid w:val="009B2945"/>
    <w:rsid w:val="009D4604"/>
    <w:rsid w:val="009E2DEE"/>
    <w:rsid w:val="009F695E"/>
    <w:rsid w:val="009F797C"/>
    <w:rsid w:val="00A131AC"/>
    <w:rsid w:val="00A16D85"/>
    <w:rsid w:val="00A21A20"/>
    <w:rsid w:val="00A36A99"/>
    <w:rsid w:val="00A53315"/>
    <w:rsid w:val="00A65B54"/>
    <w:rsid w:val="00A70EF0"/>
    <w:rsid w:val="00A73F3B"/>
    <w:rsid w:val="00A91BC5"/>
    <w:rsid w:val="00A9208D"/>
    <w:rsid w:val="00AA1429"/>
    <w:rsid w:val="00AA6EA9"/>
    <w:rsid w:val="00AC2618"/>
    <w:rsid w:val="00AC2DB8"/>
    <w:rsid w:val="00AC3CA0"/>
    <w:rsid w:val="00AE3DA7"/>
    <w:rsid w:val="00AF03C4"/>
    <w:rsid w:val="00B22A80"/>
    <w:rsid w:val="00B56B55"/>
    <w:rsid w:val="00B653A1"/>
    <w:rsid w:val="00B854B7"/>
    <w:rsid w:val="00BA1782"/>
    <w:rsid w:val="00BA55A8"/>
    <w:rsid w:val="00BB2ABF"/>
    <w:rsid w:val="00BB64F4"/>
    <w:rsid w:val="00BD0187"/>
    <w:rsid w:val="00BD1158"/>
    <w:rsid w:val="00BD3F4F"/>
    <w:rsid w:val="00BD5A7C"/>
    <w:rsid w:val="00BD6882"/>
    <w:rsid w:val="00BE7A1B"/>
    <w:rsid w:val="00BF0221"/>
    <w:rsid w:val="00BF091A"/>
    <w:rsid w:val="00BF467D"/>
    <w:rsid w:val="00BF4EAD"/>
    <w:rsid w:val="00C049E2"/>
    <w:rsid w:val="00C04A71"/>
    <w:rsid w:val="00C06130"/>
    <w:rsid w:val="00C36795"/>
    <w:rsid w:val="00C461EC"/>
    <w:rsid w:val="00C507D4"/>
    <w:rsid w:val="00C71CEF"/>
    <w:rsid w:val="00C72DAA"/>
    <w:rsid w:val="00C80B14"/>
    <w:rsid w:val="00C92CB3"/>
    <w:rsid w:val="00CB7E9A"/>
    <w:rsid w:val="00CD0B92"/>
    <w:rsid w:val="00CE29D3"/>
    <w:rsid w:val="00CE74A5"/>
    <w:rsid w:val="00CF130E"/>
    <w:rsid w:val="00CF2D8B"/>
    <w:rsid w:val="00CF6C4F"/>
    <w:rsid w:val="00CF7586"/>
    <w:rsid w:val="00D036D3"/>
    <w:rsid w:val="00D172FE"/>
    <w:rsid w:val="00D24D29"/>
    <w:rsid w:val="00D2790D"/>
    <w:rsid w:val="00D37D7E"/>
    <w:rsid w:val="00D51ECD"/>
    <w:rsid w:val="00D6170E"/>
    <w:rsid w:val="00D7225D"/>
    <w:rsid w:val="00D740A1"/>
    <w:rsid w:val="00D81744"/>
    <w:rsid w:val="00D91CB4"/>
    <w:rsid w:val="00DA11A0"/>
    <w:rsid w:val="00DB1C09"/>
    <w:rsid w:val="00DB3207"/>
    <w:rsid w:val="00DE1133"/>
    <w:rsid w:val="00E16BF5"/>
    <w:rsid w:val="00E37138"/>
    <w:rsid w:val="00E37A3F"/>
    <w:rsid w:val="00E37D3C"/>
    <w:rsid w:val="00E62E6A"/>
    <w:rsid w:val="00E73984"/>
    <w:rsid w:val="00E82927"/>
    <w:rsid w:val="00E83EF5"/>
    <w:rsid w:val="00E85A73"/>
    <w:rsid w:val="00E9335C"/>
    <w:rsid w:val="00EB1019"/>
    <w:rsid w:val="00EB319A"/>
    <w:rsid w:val="00EB35D7"/>
    <w:rsid w:val="00ED1C1E"/>
    <w:rsid w:val="00ED58AB"/>
    <w:rsid w:val="00EE2AF2"/>
    <w:rsid w:val="00F07EE6"/>
    <w:rsid w:val="00F11C00"/>
    <w:rsid w:val="00F141D2"/>
    <w:rsid w:val="00F15127"/>
    <w:rsid w:val="00F33CC8"/>
    <w:rsid w:val="00F4481C"/>
    <w:rsid w:val="00F45E99"/>
    <w:rsid w:val="00F566BD"/>
    <w:rsid w:val="00F655F1"/>
    <w:rsid w:val="00F75D23"/>
    <w:rsid w:val="00F952FF"/>
    <w:rsid w:val="00FA5957"/>
    <w:rsid w:val="00FC3CE0"/>
    <w:rsid w:val="00FC4385"/>
    <w:rsid w:val="00FC62FC"/>
    <w:rsid w:val="00FD06A8"/>
    <w:rsid w:val="00FE24AC"/>
    <w:rsid w:val="00FF3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55595166">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312032708">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854616707">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105272654">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846820295">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71612058">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708053-D339-4CF1-83CC-BB77AE52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20</Pages>
  <Words>4933</Words>
  <Characters>27134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24</cp:revision>
  <cp:lastPrinted>2024-10-25T17:16:00Z</cp:lastPrinted>
  <dcterms:created xsi:type="dcterms:W3CDTF">2024-07-11T18:07:00Z</dcterms:created>
  <dcterms:modified xsi:type="dcterms:W3CDTF">2025-01-13T18:34:00Z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