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6011C4F4"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02A90">
        <w:rPr>
          <w:rFonts w:ascii="Palatino Linotype" w:eastAsia="Times New Roman" w:hAnsi="Palatino Linotype" w:cs="Arial"/>
          <w:color w:val="000000"/>
          <w:sz w:val="24"/>
          <w:szCs w:val="24"/>
          <w:lang w:eastAsia="es-MX"/>
        </w:rPr>
        <w:t>veintiuno de agosto</w:t>
      </w:r>
      <w:r w:rsidR="0061125D" w:rsidRPr="007947A9">
        <w:rPr>
          <w:rFonts w:ascii="Palatino Linotype" w:eastAsia="Times New Roman" w:hAnsi="Palatino Linotype" w:cs="Arial"/>
          <w:color w:val="000000"/>
          <w:sz w:val="24"/>
          <w:szCs w:val="24"/>
          <w:lang w:eastAsia="es-MX"/>
        </w:rPr>
        <w:t xml:space="preserve"> </w:t>
      </w:r>
      <w:r w:rsidRPr="007947A9">
        <w:rPr>
          <w:rFonts w:ascii="Palatino Linotype" w:eastAsia="Times New Roman" w:hAnsi="Palatino Linotype" w:cs="Arial"/>
          <w:color w:val="000000"/>
          <w:sz w:val="24"/>
          <w:szCs w:val="24"/>
          <w:lang w:eastAsia="es-MX"/>
        </w:rPr>
        <w:t xml:space="preserve">de dos mil </w:t>
      </w:r>
      <w:r w:rsidR="00F02A90">
        <w:rPr>
          <w:rFonts w:ascii="Palatino Linotype" w:eastAsia="Times New Roman" w:hAnsi="Palatino Linotype" w:cs="Arial"/>
          <w:color w:val="000000"/>
          <w:sz w:val="24"/>
          <w:szCs w:val="24"/>
          <w:lang w:eastAsia="es-MX"/>
        </w:rPr>
        <w:t>veinticuatro</w:t>
      </w:r>
      <w:r w:rsidRPr="007947A9">
        <w:rPr>
          <w:rFonts w:ascii="Palatino Linotype" w:eastAsia="Times New Roman" w:hAnsi="Palatino Linotype" w:cs="Arial"/>
          <w:color w:val="000000"/>
          <w:sz w:val="24"/>
          <w:szCs w:val="24"/>
          <w:lang w:eastAsia="es-MX"/>
        </w:rPr>
        <w:t>.</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194C11A8"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expediente electrónico del recurso de revisión con número </w:t>
      </w:r>
      <w:r w:rsidR="007275D0">
        <w:rPr>
          <w:rFonts w:ascii="Palatino Linotype" w:hAnsi="Palatino Linotype" w:cs="Arial"/>
          <w:b/>
          <w:sz w:val="24"/>
          <w:szCs w:val="24"/>
        </w:rPr>
        <w:t>0</w:t>
      </w:r>
      <w:r w:rsidR="00BE0DEC">
        <w:rPr>
          <w:rFonts w:ascii="Palatino Linotype" w:hAnsi="Palatino Linotype" w:cs="Arial"/>
          <w:b/>
          <w:bCs/>
          <w:sz w:val="24"/>
          <w:szCs w:val="24"/>
          <w:lang w:eastAsia="es-MX"/>
        </w:rPr>
        <w:t>4240</w:t>
      </w:r>
      <w:r w:rsidR="006E6DC1" w:rsidRPr="007947A9">
        <w:rPr>
          <w:rFonts w:ascii="Palatino Linotype" w:hAnsi="Palatino Linotype" w:cs="Arial"/>
          <w:b/>
          <w:bCs/>
          <w:sz w:val="24"/>
          <w:szCs w:val="24"/>
          <w:lang w:eastAsia="es-MX"/>
        </w:rPr>
        <w:t>/INFOEM/IP/RR/202</w:t>
      </w:r>
      <w:r w:rsidR="00BE0DEC">
        <w:rPr>
          <w:rFonts w:ascii="Palatino Linotype" w:hAnsi="Palatino Linotype" w:cs="Arial"/>
          <w:b/>
          <w:bCs/>
          <w:sz w:val="24"/>
          <w:szCs w:val="24"/>
          <w:lang w:eastAsia="es-MX"/>
        </w:rPr>
        <w:t>4</w:t>
      </w:r>
      <w:r w:rsidRPr="007947A9">
        <w:rPr>
          <w:rFonts w:ascii="Palatino Linotype" w:hAnsi="Palatino Linotype" w:cs="Arial"/>
          <w:sz w:val="24"/>
          <w:szCs w:val="24"/>
        </w:rPr>
        <w:t xml:space="preserve">, </w:t>
      </w:r>
      <w:r w:rsidRPr="007947A9">
        <w:rPr>
          <w:rFonts w:ascii="Palatino Linotype" w:eastAsia="Palatino Linotype" w:hAnsi="Palatino Linotype" w:cs="Palatino Linotype"/>
          <w:color w:val="000000"/>
          <w:sz w:val="24"/>
          <w:szCs w:val="24"/>
        </w:rPr>
        <w:t xml:space="preserve">interpuesto por </w:t>
      </w:r>
      <w:r w:rsidR="0061125D" w:rsidRPr="007947A9">
        <w:rPr>
          <w:rFonts w:ascii="Palatino Linotype" w:eastAsia="Palatino Linotype" w:hAnsi="Palatino Linotype" w:cs="Palatino Linotype"/>
          <w:color w:val="000000"/>
          <w:sz w:val="24"/>
          <w:szCs w:val="24"/>
        </w:rPr>
        <w:t xml:space="preserve">un particular </w:t>
      </w:r>
      <w:r w:rsidR="00BE0DEC">
        <w:rPr>
          <w:rFonts w:ascii="Palatino Linotype" w:eastAsia="Palatino Linotype" w:hAnsi="Palatino Linotype" w:cs="Palatino Linotype"/>
          <w:color w:val="000000"/>
          <w:sz w:val="24"/>
          <w:szCs w:val="24"/>
        </w:rPr>
        <w:t xml:space="preserve">que señala como seudónimo </w:t>
      </w:r>
      <w:r w:rsidR="00B212F8">
        <w:rPr>
          <w:rFonts w:ascii="Palatino Linotype" w:eastAsia="Palatino Linotype" w:hAnsi="Palatino Linotype" w:cs="Palatino Linotype"/>
          <w:b/>
          <w:bCs/>
          <w:color w:val="000000"/>
          <w:sz w:val="24"/>
          <w:szCs w:val="24"/>
        </w:rPr>
        <w:t>XXXXXXXXXXXX</w:t>
      </w:r>
      <w:bookmarkStart w:id="0" w:name="_GoBack"/>
      <w:bookmarkEnd w:id="0"/>
      <w:r w:rsidRPr="007947A9">
        <w:rPr>
          <w:rFonts w:ascii="Palatino Linotype" w:eastAsia="Palatino Linotype" w:hAnsi="Palatino Linotype" w:cs="Palatino Linotype"/>
          <w:color w:val="000000"/>
          <w:sz w:val="24"/>
          <w:szCs w:val="24"/>
        </w:rPr>
        <w:t>,</w:t>
      </w:r>
      <w:r w:rsidR="0061125D" w:rsidRPr="007947A9">
        <w:rPr>
          <w:rFonts w:ascii="Palatino Linotype" w:eastAsia="Palatino Linotype" w:hAnsi="Palatino Linotype" w:cs="Palatino Linotype"/>
          <w:color w:val="000000"/>
          <w:sz w:val="24"/>
          <w:szCs w:val="24"/>
        </w:rPr>
        <w:t xml:space="preserve"> quien </w:t>
      </w:r>
      <w:r w:rsidRPr="007947A9">
        <w:rPr>
          <w:rFonts w:ascii="Palatino Linotype" w:eastAsia="Palatino Linotype" w:hAnsi="Palatino Linotype" w:cs="Palatino Linotype"/>
          <w:color w:val="000000"/>
          <w:sz w:val="24"/>
          <w:szCs w:val="24"/>
        </w:rPr>
        <w:t xml:space="preserve">en lo sucesivo </w:t>
      </w:r>
      <w:r w:rsidR="0061125D" w:rsidRPr="007947A9">
        <w:rPr>
          <w:rFonts w:ascii="Palatino Linotype" w:eastAsia="Palatino Linotype" w:hAnsi="Palatino Linotype" w:cs="Palatino Linotype"/>
          <w:color w:val="000000"/>
          <w:sz w:val="24"/>
          <w:szCs w:val="24"/>
        </w:rPr>
        <w:t xml:space="preserve">se le denominara como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 xml:space="preserve">en contra de la falta de respuesta del </w:t>
      </w:r>
      <w:r w:rsidR="00AB4904" w:rsidRPr="00AB4904">
        <w:rPr>
          <w:rFonts w:ascii="Palatino Linotype" w:hAnsi="Palatino Linotype" w:cs="Arial"/>
          <w:b/>
          <w:bCs/>
          <w:sz w:val="24"/>
          <w:szCs w:val="24"/>
        </w:rPr>
        <w:t>Organismo Público Descentralizado para la Prestación de Los Servicios de Agua Potable Alcantarillado y Saneamiento del Municipio de la Paz México, OPDAPAS</w:t>
      </w:r>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75D84FDD" w14:textId="63CEE02B"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BC58AC">
        <w:rPr>
          <w:rFonts w:ascii="Palatino Linotype" w:hAnsi="Palatino Linotype" w:cs="Arial"/>
          <w:sz w:val="24"/>
          <w:szCs w:val="24"/>
        </w:rPr>
        <w:t>diecisiete de junio</w:t>
      </w:r>
      <w:r w:rsidR="009477CE" w:rsidRPr="007947A9">
        <w:rPr>
          <w:rFonts w:ascii="Palatino Linotype" w:hAnsi="Palatino Linotype" w:cs="Arial"/>
          <w:sz w:val="24"/>
          <w:szCs w:val="24"/>
        </w:rPr>
        <w:t xml:space="preserve"> </w:t>
      </w:r>
      <w:r w:rsidR="0061125D" w:rsidRPr="007947A9">
        <w:rPr>
          <w:rFonts w:ascii="Palatino Linotype" w:hAnsi="Palatino Linotype" w:cs="Arial"/>
          <w:sz w:val="24"/>
          <w:szCs w:val="24"/>
        </w:rPr>
        <w:t>d</w:t>
      </w:r>
      <w:r w:rsidR="0009491C" w:rsidRPr="007947A9">
        <w:rPr>
          <w:rFonts w:ascii="Palatino Linotype" w:hAnsi="Palatino Linotype" w:cs="Arial"/>
          <w:sz w:val="24"/>
          <w:szCs w:val="24"/>
        </w:rPr>
        <w:t xml:space="preserve">e dos mil </w:t>
      </w:r>
      <w:r w:rsidR="00BC58AC">
        <w:rPr>
          <w:rFonts w:ascii="Palatino Linotype" w:hAnsi="Palatino Linotype" w:cs="Arial"/>
          <w:sz w:val="24"/>
          <w:szCs w:val="24"/>
        </w:rPr>
        <w:t>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a través del Sistema de Acceso a la Información Mexiquense</w:t>
      </w:r>
      <w:r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sidR="0009491C" w:rsidRPr="007947A9">
        <w:rPr>
          <w:rFonts w:ascii="Palatino Linotype" w:hAnsi="Palatino Linotype" w:cs="Arial"/>
          <w:sz w:val="24"/>
          <w:szCs w:val="24"/>
        </w:rPr>
        <w:t xml:space="preserve"> solicitud de acceso a la </w:t>
      </w:r>
      <w:proofErr w:type="gramStart"/>
      <w:r w:rsidR="0009491C" w:rsidRPr="007947A9">
        <w:rPr>
          <w:rFonts w:ascii="Palatino Linotype" w:hAnsi="Palatino Linotype" w:cs="Arial"/>
          <w:sz w:val="24"/>
          <w:szCs w:val="24"/>
        </w:rPr>
        <w:t>información</w:t>
      </w:r>
      <w:proofErr w:type="gramEnd"/>
      <w:r w:rsidR="0009491C" w:rsidRPr="007947A9">
        <w:rPr>
          <w:rFonts w:ascii="Palatino Linotype" w:hAnsi="Palatino Linotype" w:cs="Arial"/>
          <w:sz w:val="24"/>
          <w:szCs w:val="24"/>
        </w:rPr>
        <w:t xml:space="preserve"> pública, </w:t>
      </w:r>
      <w:r w:rsidR="000B12F7" w:rsidRPr="007947A9">
        <w:rPr>
          <w:rFonts w:ascii="Palatino Linotype" w:hAnsi="Palatino Linotype" w:cs="Arial"/>
          <w:sz w:val="24"/>
          <w:szCs w:val="24"/>
        </w:rPr>
        <w:t xml:space="preserve">con número de folio </w:t>
      </w:r>
      <w:r w:rsidR="00252C57" w:rsidRPr="00252C57">
        <w:rPr>
          <w:rFonts w:ascii="Palatino Linotype" w:hAnsi="Palatino Linotype" w:cs="Arial"/>
          <w:b/>
          <w:bCs/>
          <w:sz w:val="24"/>
          <w:szCs w:val="24"/>
        </w:rPr>
        <w:t>00097/OASLAPAZ/IP/2024</w:t>
      </w:r>
      <w:r w:rsidR="0059361F" w:rsidRPr="007947A9">
        <w:rPr>
          <w:rFonts w:ascii="Palatino Linotype" w:hAnsi="Palatino Linotype" w:cs="Arial"/>
          <w:sz w:val="24"/>
          <w:szCs w:val="24"/>
          <w:lang w:eastAsia="es-MX"/>
        </w:rPr>
        <w:t xml:space="preserve">, lo siguiente: </w:t>
      </w:r>
    </w:p>
    <w:p w14:paraId="067CBE3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1317666" w14:textId="09AB677A" w:rsidR="0009491C" w:rsidRPr="007947A9" w:rsidRDefault="0009491C" w:rsidP="00252C57">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r w:rsidRPr="007947A9">
        <w:rPr>
          <w:rFonts w:ascii="Palatino Linotype" w:eastAsia="Times New Roman" w:hAnsi="Palatino Linotype" w:cs="Times New Roman"/>
          <w:i/>
          <w:sz w:val="24"/>
          <w:szCs w:val="24"/>
          <w:lang w:val="es-ES_tradnl" w:eastAsia="es-ES"/>
        </w:rPr>
        <w:t>“</w:t>
      </w:r>
      <w:r w:rsidR="00252C57" w:rsidRPr="00252C57">
        <w:rPr>
          <w:rFonts w:ascii="Palatino Linotype" w:eastAsia="Times New Roman" w:hAnsi="Palatino Linotype" w:cs="Times New Roman"/>
          <w:i/>
          <w:sz w:val="24"/>
          <w:szCs w:val="24"/>
          <w:lang w:eastAsia="es-ES"/>
        </w:rPr>
        <w:t xml:space="preserve">POR QUE LA UNIDAD DE TRANSPARENCIA DE OPDAPAS NO CUMPLE CON LA INFORMACION QUE SE LE SOLICITA, SU SUPERIOR JERARQUICO SABE DE LAS ACTUACIONES QUE REALIZA LA TITULAR DE LA UNIDAD DE TRANSPARENCIA, REALMENTE LA TITULAR DE LA </w:t>
      </w:r>
      <w:r w:rsidR="00252C57" w:rsidRPr="00252C57">
        <w:rPr>
          <w:rFonts w:ascii="Palatino Linotype" w:eastAsia="Times New Roman" w:hAnsi="Palatino Linotype" w:cs="Times New Roman"/>
          <w:i/>
          <w:sz w:val="24"/>
          <w:szCs w:val="24"/>
          <w:lang w:eastAsia="es-ES"/>
        </w:rPr>
        <w:lastRenderedPageBreak/>
        <w:t>UNIDAD DE TRANSPARENCIA DE OPDAPAS CUENTA CON LA CAPACIDAD, CONOCIMIENTO Y APTITUDES PARA LLEVAR LAS RIENDAS DE LA UNIDAD DE TRANSPARENCIA</w:t>
      </w:r>
      <w:proofErr w:type="gramStart"/>
      <w:r w:rsidR="00252C57" w:rsidRPr="00252C57">
        <w:rPr>
          <w:rFonts w:ascii="Palatino Linotype" w:eastAsia="Times New Roman" w:hAnsi="Palatino Linotype" w:cs="Times New Roman"/>
          <w:i/>
          <w:sz w:val="24"/>
          <w:szCs w:val="24"/>
          <w:lang w:eastAsia="es-ES"/>
        </w:rPr>
        <w:t>,.</w:t>
      </w:r>
      <w:proofErr w:type="gramEnd"/>
      <w:r w:rsidR="00252C57" w:rsidRPr="00252C57">
        <w:rPr>
          <w:rFonts w:ascii="Palatino Linotype" w:eastAsia="Times New Roman" w:hAnsi="Palatino Linotype" w:cs="Times New Roman"/>
          <w:i/>
          <w:sz w:val="24"/>
          <w:szCs w:val="24"/>
          <w:lang w:eastAsia="es-ES"/>
        </w:rPr>
        <w:t xml:space="preserve"> SI NO QUE RENUNCIE Y QUE PONGAN A ALGUIEN QUE SI SEPA</w:t>
      </w:r>
      <w:r w:rsidR="006E6DC1" w:rsidRPr="007947A9">
        <w:rPr>
          <w:rFonts w:ascii="Palatino Linotype" w:eastAsia="Times New Roman" w:hAnsi="Palatino Linotype" w:cs="Times New Roman"/>
          <w:i/>
          <w:sz w:val="24"/>
          <w:szCs w:val="24"/>
          <w:lang w:eastAsia="es-ES"/>
        </w:rPr>
        <w:t>.</w:t>
      </w:r>
      <w:r w:rsidRPr="007947A9">
        <w:rPr>
          <w:rFonts w:ascii="Palatino Linotype" w:eastAsia="Times New Roman" w:hAnsi="Palatino Linotype" w:cs="Times New Roman"/>
          <w:i/>
          <w:sz w:val="24"/>
          <w:szCs w:val="24"/>
          <w:lang w:val="es-ES_tradnl" w:eastAsia="es-ES"/>
        </w:rPr>
        <w:t>”</w:t>
      </w:r>
    </w:p>
    <w:p w14:paraId="21980C5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611EEF13" w14:textId="101F959A" w:rsidR="0009491C" w:rsidRPr="007947A9" w:rsidRDefault="008A04A3" w:rsidP="00B34049">
      <w:pPr>
        <w:spacing w:after="0" w:line="360" w:lineRule="auto"/>
        <w:jc w:val="both"/>
        <w:rPr>
          <w:rFonts w:ascii="Palatino Linotype" w:eastAsia="Times New Roman" w:hAnsi="Palatino Linotype" w:cs="Times New Roman"/>
          <w:sz w:val="24"/>
          <w:szCs w:val="24"/>
          <w:lang w:val="es-ES_tradnl" w:eastAsia="es-ES"/>
        </w:rPr>
      </w:pPr>
      <w:r w:rsidRPr="007947A9">
        <w:rPr>
          <w:rFonts w:ascii="Palatino Linotype" w:eastAsia="Times New Roman" w:hAnsi="Palatino Linotype" w:cs="Times New Roman"/>
          <w:sz w:val="24"/>
          <w:szCs w:val="24"/>
          <w:lang w:val="es-ES_tradnl" w:eastAsia="es-ES"/>
        </w:rPr>
        <w:t>Asimismo, eligió como m</w:t>
      </w:r>
      <w:r w:rsidR="0009491C" w:rsidRPr="007947A9">
        <w:rPr>
          <w:rFonts w:ascii="Palatino Linotype" w:eastAsia="Times New Roman" w:hAnsi="Palatino Linotype" w:cs="Times New Roman"/>
          <w:sz w:val="24"/>
          <w:szCs w:val="24"/>
          <w:lang w:val="es-ES_tradnl" w:eastAsia="es-ES"/>
        </w:rPr>
        <w:t>odalidad de entrega</w:t>
      </w:r>
      <w:r w:rsidR="00252C57">
        <w:rPr>
          <w:rFonts w:ascii="Palatino Linotype" w:eastAsia="Times New Roman" w:hAnsi="Palatino Linotype" w:cs="Times New Roman"/>
          <w:sz w:val="24"/>
          <w:szCs w:val="24"/>
          <w:lang w:val="es-ES_tradnl" w:eastAsia="es-ES"/>
        </w:rPr>
        <w:t xml:space="preserve"> a través del </w:t>
      </w:r>
      <w:r w:rsidR="00252C57" w:rsidRPr="00252C57">
        <w:rPr>
          <w:rFonts w:ascii="Palatino Linotype" w:eastAsia="Times New Roman" w:hAnsi="Palatino Linotype" w:cs="Times New Roman"/>
          <w:sz w:val="24"/>
          <w:szCs w:val="24"/>
          <w:lang w:val="es-ES_tradnl" w:eastAsia="es-ES"/>
        </w:rPr>
        <w:t>Sistema de Acceso a la Información Mexiquense SAIMEX.</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1D83D191" w14:textId="01A6C534"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231BE4">
        <w:rPr>
          <w:rFonts w:ascii="Palatino Linotype" w:hAnsi="Palatino Linotype" w:cs="Arial"/>
          <w:sz w:val="24"/>
          <w:szCs w:val="24"/>
        </w:rPr>
        <w:t>nueve de julio de dos mil veinticuatro</w:t>
      </w:r>
      <w:r w:rsidR="0009491C" w:rsidRPr="007947A9">
        <w:rPr>
          <w:rFonts w:ascii="Palatino Linotype" w:hAnsi="Palatino Linotype" w:cs="Arial"/>
          <w:sz w:val="24"/>
          <w:szCs w:val="24"/>
        </w:rPr>
        <w:t>, registrado</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7947A9">
        <w:rPr>
          <w:rFonts w:ascii="Palatino Linotype" w:hAnsi="Palatino Linotype" w:cs="Arial"/>
          <w:sz w:val="24"/>
          <w:szCs w:val="24"/>
        </w:rPr>
        <w:t xml:space="preserve">SAIMEX </w:t>
      </w:r>
      <w:r w:rsidR="0009491C" w:rsidRPr="007947A9">
        <w:rPr>
          <w:rFonts w:ascii="Palatino Linotype" w:hAnsi="Palatino Linotype" w:cs="Arial"/>
          <w:sz w:val="24"/>
          <w:szCs w:val="24"/>
        </w:rPr>
        <w:t xml:space="preserve">con número de expediente </w:t>
      </w:r>
      <w:r w:rsidR="006E6DC1" w:rsidRPr="007947A9">
        <w:rPr>
          <w:rFonts w:ascii="Palatino Linotype" w:hAnsi="Palatino Linotype" w:cs="Arial"/>
          <w:b/>
          <w:bCs/>
          <w:sz w:val="24"/>
          <w:szCs w:val="24"/>
          <w:lang w:eastAsia="es-MX"/>
        </w:rPr>
        <w:t>0</w:t>
      </w:r>
      <w:r w:rsidR="00231BE4">
        <w:rPr>
          <w:rFonts w:ascii="Palatino Linotype" w:hAnsi="Palatino Linotype" w:cs="Arial"/>
          <w:b/>
          <w:bCs/>
          <w:sz w:val="24"/>
          <w:szCs w:val="24"/>
          <w:lang w:eastAsia="es-MX"/>
        </w:rPr>
        <w:t>4240</w:t>
      </w:r>
      <w:r w:rsidR="006E6DC1" w:rsidRPr="007947A9">
        <w:rPr>
          <w:rFonts w:ascii="Palatino Linotype" w:hAnsi="Palatino Linotype" w:cs="Arial"/>
          <w:b/>
          <w:bCs/>
          <w:sz w:val="24"/>
          <w:szCs w:val="24"/>
          <w:lang w:eastAsia="es-MX"/>
        </w:rPr>
        <w:t>/INFOEM/IP/RR/202</w:t>
      </w:r>
      <w:r w:rsidR="00231BE4">
        <w:rPr>
          <w:rFonts w:ascii="Palatino Linotype" w:hAnsi="Palatino Linotype" w:cs="Arial"/>
          <w:b/>
          <w:bCs/>
          <w:sz w:val="24"/>
          <w:szCs w:val="24"/>
          <w:lang w:eastAsia="es-MX"/>
        </w:rPr>
        <w:t>4</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5BFA52F9"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1C4DB291" w:rsidR="0007277A" w:rsidRPr="007947A9" w:rsidRDefault="0007277A" w:rsidP="0007277A">
      <w:pPr>
        <w:pStyle w:val="Prrafodelista"/>
        <w:numPr>
          <w:ilvl w:val="0"/>
          <w:numId w:val="4"/>
        </w:numPr>
        <w:pBdr>
          <w:top w:val="nil"/>
          <w:left w:val="nil"/>
          <w:bottom w:val="nil"/>
          <w:right w:val="nil"/>
          <w:between w:val="nil"/>
        </w:pBdr>
        <w:spacing w:line="360" w:lineRule="auto"/>
        <w:jc w:val="both"/>
        <w:rPr>
          <w:rFonts w:eastAsia="Palatino Linotype"/>
        </w:rPr>
      </w:pPr>
      <w:r w:rsidRPr="007947A9">
        <w:rPr>
          <w:rFonts w:ascii="Palatino Linotype" w:eastAsia="Palatino Linotype" w:hAnsi="Palatino Linotype" w:cs="Palatino Linotype"/>
          <w:b/>
          <w:color w:val="000000"/>
          <w:lang w:val="es-ES_tradnl"/>
        </w:rPr>
        <w:t xml:space="preserve">Acto Impugnado: </w:t>
      </w:r>
      <w:r w:rsidRPr="007947A9">
        <w:rPr>
          <w:rFonts w:ascii="Palatino Linotype" w:eastAsia="Palatino Linotype" w:hAnsi="Palatino Linotype"/>
        </w:rPr>
        <w:t>“</w:t>
      </w:r>
      <w:r w:rsidR="00231BE4" w:rsidRPr="00231BE4">
        <w:rPr>
          <w:rFonts w:ascii="Palatino Linotype" w:eastAsia="Palatino Linotype" w:hAnsi="Palatino Linotype"/>
        </w:rPr>
        <w:t>LA NEGATIVA A LA ENTREGA DE INFORMACIÓN</w:t>
      </w:r>
      <w:r w:rsidRPr="007947A9">
        <w:rPr>
          <w:rFonts w:ascii="Palatino Linotype" w:eastAsia="Palatino Linotype" w:hAnsi="Palatino Linotype"/>
        </w:rPr>
        <w:t>” (Sic)</w:t>
      </w:r>
      <w:r w:rsidRPr="007947A9">
        <w:rPr>
          <w:rFonts w:eastAsia="Palatino Linotype"/>
        </w:rPr>
        <w:t xml:space="preserve"> </w:t>
      </w:r>
    </w:p>
    <w:p w14:paraId="7461C388" w14:textId="52F807D7" w:rsidR="0007277A" w:rsidRPr="007947A9" w:rsidRDefault="0007277A" w:rsidP="0007277A">
      <w:pPr>
        <w:pStyle w:val="Prrafodelista"/>
        <w:numPr>
          <w:ilvl w:val="0"/>
          <w:numId w:val="4"/>
        </w:numPr>
        <w:pBdr>
          <w:top w:val="nil"/>
          <w:left w:val="nil"/>
          <w:bottom w:val="nil"/>
          <w:right w:val="nil"/>
          <w:between w:val="nil"/>
        </w:pBdr>
        <w:spacing w:line="360" w:lineRule="auto"/>
        <w:jc w:val="both"/>
        <w:rPr>
          <w:rFonts w:eastAsia="Palatino Linotype"/>
          <w:lang w:val="es-ES_tradnl"/>
        </w:rPr>
      </w:pPr>
      <w:r w:rsidRPr="007947A9">
        <w:rPr>
          <w:rFonts w:ascii="Palatino Linotype" w:eastAsia="Palatino Linotype" w:hAnsi="Palatino Linotype" w:cs="Palatino Linotype"/>
          <w:b/>
          <w:color w:val="000000"/>
          <w:lang w:val="es-ES_tradnl"/>
        </w:rPr>
        <w:t>Razones o Motivos de Inconformidad</w:t>
      </w:r>
      <w:r w:rsidRPr="007947A9">
        <w:rPr>
          <w:rFonts w:ascii="Palatino Linotype" w:eastAsia="Palatino Linotype" w:hAnsi="Palatino Linotype" w:cs="Palatino Linotype"/>
          <w:color w:val="000000"/>
          <w:lang w:val="es-ES_tradnl"/>
        </w:rPr>
        <w:t xml:space="preserve">: </w:t>
      </w:r>
      <w:r w:rsidRPr="007947A9">
        <w:rPr>
          <w:rFonts w:ascii="Palatino Linotype" w:eastAsia="Palatino Linotype" w:hAnsi="Palatino Linotype"/>
          <w:lang w:val="es-ES_tradnl"/>
        </w:rPr>
        <w:t>“</w:t>
      </w:r>
      <w:r w:rsidR="00231BE4" w:rsidRPr="00231BE4">
        <w:rPr>
          <w:rFonts w:ascii="Palatino Linotype" w:eastAsia="Palatino Linotype" w:hAnsi="Palatino Linotype"/>
          <w:lang w:val="es-ES_tradnl"/>
        </w:rPr>
        <w:t xml:space="preserve">El OPDAPAS de la paz nuevamente insiste en ignorar las solicitudes de información de la ciudadanía, es importante resaltar que si bien es cierto el plazo de 15 días hábiles para interponer mi </w:t>
      </w:r>
      <w:r w:rsidR="00231BE4" w:rsidRPr="00231BE4">
        <w:rPr>
          <w:rFonts w:ascii="Palatino Linotype" w:eastAsia="Palatino Linotype" w:hAnsi="Palatino Linotype"/>
          <w:lang w:val="es-ES_tradnl"/>
        </w:rPr>
        <w:lastRenderedPageBreak/>
        <w:t>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7947A9">
        <w:rPr>
          <w:rFonts w:ascii="Palatino Linotype" w:eastAsia="Palatino Linotype" w:hAnsi="Palatino Linotype"/>
          <w:lang w:val="es-ES_tradnl"/>
        </w:rPr>
        <w:t>” (Sic)</w:t>
      </w:r>
      <w:r w:rsidRPr="007947A9">
        <w:rPr>
          <w:rFonts w:eastAsia="Palatino Linotype"/>
          <w:lang w:val="es-ES_tradnl"/>
        </w:rPr>
        <w:t xml:space="preserve"> </w:t>
      </w:r>
    </w:p>
    <w:p w14:paraId="65972640" w14:textId="77777777" w:rsidR="0007277A" w:rsidRPr="007947A9" w:rsidRDefault="0007277A"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641A5672"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CF4E0A">
        <w:rPr>
          <w:rFonts w:ascii="Palatino Linotype" w:eastAsia="Palatino Linotype" w:hAnsi="Palatino Linotype" w:cs="Palatino Linotype"/>
          <w:color w:val="000000"/>
          <w:sz w:val="24"/>
          <w:szCs w:val="24"/>
          <w:lang w:val="es-ES_tradnl"/>
        </w:rPr>
        <w:t>doce de julio de</w:t>
      </w:r>
      <w:r w:rsidR="0007277A" w:rsidRPr="007947A9">
        <w:rPr>
          <w:rFonts w:ascii="Palatino Linotype" w:eastAsia="Palatino Linotype" w:hAnsi="Palatino Linotype" w:cs="Palatino Linotype"/>
          <w:color w:val="000000"/>
          <w:sz w:val="24"/>
          <w:szCs w:val="24"/>
          <w:lang w:val="es-ES_tradnl"/>
        </w:rPr>
        <w:t xml:space="preserve"> dos mil veinticuatro, 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CF4E0A"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CF4E0A" w:rsidRPr="007947A9">
        <w:rPr>
          <w:rFonts w:ascii="Palatino Linotype" w:hAnsi="Palatino Linotype"/>
          <w:sz w:val="24"/>
          <w:szCs w:val="24"/>
        </w:rPr>
        <w:t>máximo</w:t>
      </w:r>
      <w:r w:rsidRPr="007947A9">
        <w:rPr>
          <w:rFonts w:ascii="Palatino Linotype" w:hAnsi="Palatino Linotype"/>
          <w:sz w:val="24"/>
          <w:szCs w:val="24"/>
        </w:rPr>
        <w:t xml:space="preserve"> de siete </w:t>
      </w:r>
      <w:r w:rsidR="00CF4E0A" w:rsidRPr="007947A9">
        <w:rPr>
          <w:rFonts w:ascii="Palatino Linotype" w:hAnsi="Palatino Linotype"/>
          <w:sz w:val="24"/>
          <w:szCs w:val="24"/>
        </w:rPr>
        <w:t>días</w:t>
      </w:r>
      <w:r w:rsidRPr="007947A9">
        <w:rPr>
          <w:rFonts w:ascii="Palatino Linotype" w:hAnsi="Palatino Linotype"/>
          <w:sz w:val="24"/>
          <w:szCs w:val="24"/>
        </w:rPr>
        <w:t xml:space="preserve"> </w:t>
      </w:r>
      <w:r w:rsidR="00CF4E0A"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0F121A5F"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7947A9">
        <w:rPr>
          <w:rFonts w:ascii="Palatino Linotype" w:eastAsia="Palatino Linotype" w:hAnsi="Palatino Linotype" w:cs="Palatino Linotype"/>
          <w:color w:val="000000"/>
          <w:sz w:val="24"/>
          <w:szCs w:val="24"/>
          <w:lang w:val="es-ES_tradnl"/>
        </w:rPr>
        <w:t xml:space="preserve">l </w:t>
      </w:r>
      <w:r w:rsidR="00CF4E0A">
        <w:rPr>
          <w:rFonts w:ascii="Palatino Linotype" w:eastAsia="Palatino Linotype" w:hAnsi="Palatino Linotype" w:cs="Palatino Linotype"/>
          <w:color w:val="000000"/>
          <w:sz w:val="24"/>
          <w:szCs w:val="24"/>
          <w:lang w:val="es-ES_tradnl"/>
        </w:rPr>
        <w:t>siete de agosto</w:t>
      </w:r>
      <w:r w:rsidR="0007277A" w:rsidRPr="007947A9">
        <w:rPr>
          <w:rFonts w:ascii="Palatino Linotype" w:eastAsia="Palatino Linotype" w:hAnsi="Palatino Linotype" w:cs="Palatino Linotype"/>
          <w:color w:val="000000"/>
          <w:sz w:val="24"/>
          <w:szCs w:val="24"/>
          <w:lang w:val="es-ES_tradnl"/>
        </w:rPr>
        <w:t xml:space="preserve"> de dos </w:t>
      </w:r>
      <w:r w:rsidR="0007277A" w:rsidRPr="007947A9">
        <w:rPr>
          <w:rFonts w:ascii="Palatino Linotype" w:eastAsia="Palatino Linotype" w:hAnsi="Palatino Linotype" w:cs="Palatino Linotype"/>
          <w:color w:val="000000"/>
          <w:sz w:val="24"/>
          <w:szCs w:val="24"/>
          <w:lang w:val="es-ES_tradnl"/>
        </w:rPr>
        <w:lastRenderedPageBreak/>
        <w:t xml:space="preserve">mil veinticuatro 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1C2132B7"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B662B"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B662B"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B662B"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B662B"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w:t>
      </w:r>
      <w:r w:rsidRPr="007947A9">
        <w:rPr>
          <w:rFonts w:ascii="Palatino Linotype" w:hAnsi="Palatino Linotype"/>
          <w:sz w:val="24"/>
          <w:szCs w:val="24"/>
        </w:rPr>
        <w:lastRenderedPageBreak/>
        <w:t xml:space="preserve">solicitud dentro de los quince </w:t>
      </w:r>
      <w:r w:rsidR="00AB662B" w:rsidRPr="007947A9">
        <w:rPr>
          <w:rFonts w:ascii="Palatino Linotype" w:hAnsi="Palatino Linotype"/>
          <w:sz w:val="24"/>
          <w:szCs w:val="24"/>
        </w:rPr>
        <w:t>días</w:t>
      </w:r>
      <w:r w:rsidRPr="007947A9">
        <w:rPr>
          <w:rFonts w:ascii="Palatino Linotype" w:hAnsi="Palatino Linotype"/>
          <w:sz w:val="24"/>
          <w:szCs w:val="24"/>
        </w:rPr>
        <w:t xml:space="preserve"> </w:t>
      </w:r>
      <w:r w:rsidR="00AB662B"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B662B"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B662B" w:rsidRPr="007947A9">
        <w:rPr>
          <w:rFonts w:ascii="Palatino Linotype" w:hAnsi="Palatino Linotype"/>
          <w:sz w:val="24"/>
          <w:szCs w:val="24"/>
        </w:rPr>
        <w:t>información</w:t>
      </w:r>
      <w:r w:rsidRPr="007947A9">
        <w:rPr>
          <w:rFonts w:ascii="Palatino Linotype" w:hAnsi="Palatino Linotype"/>
          <w:sz w:val="24"/>
          <w:szCs w:val="24"/>
        </w:rPr>
        <w:t xml:space="preserve"> </w:t>
      </w:r>
      <w:proofErr w:type="spellStart"/>
      <w:r w:rsidR="00AB662B" w:rsidRPr="007947A9">
        <w:rPr>
          <w:rFonts w:ascii="Palatino Linotype" w:hAnsi="Palatino Linotype"/>
          <w:sz w:val="24"/>
          <w:szCs w:val="24"/>
        </w:rPr>
        <w:t>publica</w:t>
      </w:r>
      <w:proofErr w:type="spellEnd"/>
      <w:r w:rsidRPr="007947A9">
        <w:rPr>
          <w:rFonts w:ascii="Palatino Linotype" w:hAnsi="Palatino Linotype"/>
          <w:sz w:val="24"/>
          <w:szCs w:val="24"/>
        </w:rPr>
        <w:t xml:space="preserve">, el recurso </w:t>
      </w:r>
      <w:r w:rsidR="00AB662B"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0988B854"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xml:space="preserve">. </w:t>
      </w:r>
      <w:r w:rsidR="00CF19A6">
        <w:rPr>
          <w:rFonts w:ascii="Palatino Linotype" w:eastAsia="Times New Roman" w:hAnsi="Palatino Linotype" w:cs="Arial"/>
          <w:b/>
          <w:sz w:val="28"/>
          <w:szCs w:val="28"/>
          <w:lang w:val="es-ES" w:eastAsia="es-ES"/>
        </w:rPr>
        <w:t>De las causales de improcedencia</w:t>
      </w:r>
      <w:r w:rsidR="0009491C" w:rsidRPr="00360DF2">
        <w:rPr>
          <w:rFonts w:ascii="Palatino Linotype" w:eastAsia="Times New Roman" w:hAnsi="Palatino Linotype" w:cs="Times New Roman"/>
          <w:b/>
          <w:sz w:val="28"/>
          <w:szCs w:val="28"/>
          <w:lang w:val="es-ES" w:eastAsia="es-ES"/>
        </w:rPr>
        <w:t xml:space="preserve">. </w:t>
      </w:r>
    </w:p>
    <w:p w14:paraId="5C9C8A9D" w14:textId="77777777" w:rsidR="00077590" w:rsidRDefault="00077590" w:rsidP="00077590">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r w:rsidRPr="00773F59">
        <w:rPr>
          <w:rFonts w:ascii="Palatino Linotype" w:eastAsiaTheme="minorEastAsia" w:hAnsi="Palatino Linotype" w:cs="Arial"/>
          <w:sz w:val="24"/>
          <w:szCs w:val="24"/>
          <w:lang w:eastAsia="es-ES"/>
        </w:rPr>
        <w:t xml:space="preserve">Es menester resaltar que en el procedimiento de acceso a la información pública y de los medios de impugnación de la materia, se advierten diversos supuestos de </w:t>
      </w:r>
      <w:proofErr w:type="spellStart"/>
      <w:r w:rsidRPr="00773F59">
        <w:rPr>
          <w:rFonts w:ascii="Palatino Linotype" w:eastAsiaTheme="minorEastAsia" w:hAnsi="Palatino Linotype" w:cs="Arial"/>
          <w:sz w:val="24"/>
          <w:szCs w:val="24"/>
          <w:lang w:eastAsia="es-ES"/>
        </w:rPr>
        <w:t>procedibilidad</w:t>
      </w:r>
      <w:proofErr w:type="spellEnd"/>
      <w:r w:rsidRPr="00773F59">
        <w:rPr>
          <w:rFonts w:ascii="Palatino Linotype" w:eastAsiaTheme="minorEastAsia" w:hAnsi="Palatino Linotype" w:cs="Arial"/>
          <w:sz w:val="24"/>
          <w:szCs w:val="24"/>
          <w:lang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C7E892A" w14:textId="77777777" w:rsidR="00077590" w:rsidRPr="00773F59" w:rsidRDefault="00077590" w:rsidP="00077590">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1D611230" w14:textId="77777777" w:rsidR="00077590" w:rsidRPr="00773F59" w:rsidRDefault="00077590" w:rsidP="00077590">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eastAsia="es-ES"/>
        </w:rPr>
      </w:pPr>
      <w:r w:rsidRPr="00773F59">
        <w:rPr>
          <w:rFonts w:ascii="Palatino Linotype" w:eastAsiaTheme="minorEastAsia" w:hAnsi="Palatino Linotype" w:cs="Arial"/>
          <w:sz w:val="24"/>
          <w:szCs w:val="24"/>
          <w:lang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30036DB7" w14:textId="77777777" w:rsidR="00077590" w:rsidRPr="00773F59" w:rsidRDefault="00077590" w:rsidP="00077590">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0E94DAC1" w14:textId="77777777" w:rsidR="00077590" w:rsidRPr="00773F59" w:rsidRDefault="00077590" w:rsidP="00077590">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eastAsia="es-ES"/>
        </w:rPr>
      </w:pPr>
      <w:r w:rsidRPr="00773F59">
        <w:rPr>
          <w:rFonts w:ascii="Palatino Linotype" w:eastAsiaTheme="minorEastAsia" w:hAnsi="Palatino Linotype" w:cs="Arial"/>
          <w:i/>
          <w:szCs w:val="24"/>
          <w:lang w:eastAsia="es-ES"/>
        </w:rPr>
        <w:t>“</w:t>
      </w:r>
      <w:r w:rsidRPr="00773F59">
        <w:rPr>
          <w:rFonts w:ascii="Palatino Linotype" w:eastAsiaTheme="minorEastAsia" w:hAnsi="Palatino Linotype" w:cs="Arial"/>
          <w:b/>
          <w:i/>
          <w:szCs w:val="24"/>
          <w:lang w:eastAsia="es-ES"/>
        </w:rPr>
        <w:t>IMPROCEDENCIA, CAUSALES DE. EN EL JUICIO DE AMPARO.</w:t>
      </w:r>
      <w:r w:rsidRPr="00773F59">
        <w:rPr>
          <w:rFonts w:ascii="Palatino Linotype" w:eastAsiaTheme="minorEastAsia" w:hAnsi="Palatino Linotype" w:cs="Arial"/>
          <w:i/>
          <w:szCs w:val="24"/>
          <w:lang w:eastAsia="es-ES"/>
        </w:rPr>
        <w:t xml:space="preserve"> Las causales de improcedencia del juicio de amparo, por ser de orden público deben estudiarse previamente, lo aleguen o no las partes, cualquiera que sea la instancia”.</w:t>
      </w:r>
    </w:p>
    <w:p w14:paraId="7F98C659" w14:textId="77777777" w:rsidR="00077590" w:rsidRPr="00773F59" w:rsidRDefault="00077590" w:rsidP="00077590">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22FE32EE" w14:textId="77777777" w:rsidR="00077590" w:rsidRDefault="00077590" w:rsidP="00077590">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r w:rsidRPr="00773F59">
        <w:rPr>
          <w:rFonts w:ascii="Palatino Linotype" w:eastAsiaTheme="minorEastAsia" w:hAnsi="Palatino Linotype" w:cs="Arial"/>
          <w:sz w:val="24"/>
          <w:szCs w:val="24"/>
          <w:lang w:eastAsia="es-ES"/>
        </w:rPr>
        <w:t xml:space="preserve">Siendo una facultad legal entrar al estudio de las causas de improcedencia que hagan valer las partes o que se adviertan de oficio por este </w:t>
      </w:r>
      <w:proofErr w:type="spellStart"/>
      <w:r w:rsidRPr="00773F59">
        <w:rPr>
          <w:rFonts w:ascii="Palatino Linotype" w:eastAsiaTheme="minorEastAsia" w:hAnsi="Palatino Linotype" w:cs="Arial"/>
          <w:sz w:val="24"/>
          <w:szCs w:val="24"/>
          <w:lang w:eastAsia="es-ES"/>
        </w:rPr>
        <w:t>Resolutor</w:t>
      </w:r>
      <w:proofErr w:type="spellEnd"/>
      <w:r w:rsidRPr="00773F59">
        <w:rPr>
          <w:rFonts w:ascii="Palatino Linotype" w:eastAsiaTheme="minorEastAsia" w:hAnsi="Palatino Linotype" w:cs="Arial"/>
          <w:sz w:val="24"/>
          <w:szCs w:val="24"/>
          <w:lang w:eastAsia="es-ES"/>
        </w:rPr>
        <w:t xml:space="preserve">; presupuestos procesales de inicio o trámite de un proceso que dotan de seguridad jurídica las resoluciones emitidas por este órgano colegiado, máxime que se trata de una figura procesal adoptada en la ley de la materia, la cual permite dilucidar alguna causal que impida el </w:t>
      </w:r>
      <w:r w:rsidRPr="00773F59">
        <w:rPr>
          <w:rFonts w:ascii="Palatino Linotype" w:eastAsiaTheme="minorEastAsia" w:hAnsi="Palatino Linotype" w:cs="Arial"/>
          <w:sz w:val="24"/>
          <w:szCs w:val="24"/>
          <w:lang w:eastAsia="es-ES"/>
        </w:rPr>
        <w:lastRenderedPageBreak/>
        <w:t>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773F59">
        <w:rPr>
          <w:rFonts w:ascii="Palatino Linotype" w:eastAsiaTheme="minorEastAsia" w:hAnsi="Palatino Linotype" w:cs="Arial"/>
          <w:sz w:val="24"/>
          <w:szCs w:val="24"/>
          <w:vertAlign w:val="superscript"/>
          <w:lang w:eastAsia="es-ES"/>
        </w:rPr>
        <w:footnoteReference w:id="1"/>
      </w:r>
      <w:r w:rsidRPr="00773F59">
        <w:rPr>
          <w:rFonts w:ascii="Palatino Linotype" w:eastAsiaTheme="minorEastAsia" w:hAnsi="Palatino Linotype" w:cs="Arial"/>
          <w:sz w:val="24"/>
          <w:szCs w:val="24"/>
          <w:lang w:eastAsia="es-ES"/>
        </w:rPr>
        <w:t>.</w:t>
      </w:r>
    </w:p>
    <w:p w14:paraId="0CF48BD6" w14:textId="77777777" w:rsidR="00077590" w:rsidRPr="00773F59" w:rsidRDefault="00077590" w:rsidP="00077590">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1CA54D23" w14:textId="77777777" w:rsidR="00077590" w:rsidRPr="0014447C" w:rsidRDefault="00077590" w:rsidP="00077590">
      <w:pPr>
        <w:pStyle w:val="Sinespaciado"/>
        <w:spacing w:line="360" w:lineRule="auto"/>
        <w:jc w:val="both"/>
        <w:rPr>
          <w:rFonts w:ascii="Palatino Linotype" w:hAnsi="Palatino Linotype"/>
          <w:sz w:val="24"/>
          <w:szCs w:val="24"/>
        </w:rPr>
      </w:pPr>
      <w:r w:rsidRPr="004860F7">
        <w:rPr>
          <w:rFonts w:ascii="Palatino Linotype" w:eastAsia="Times New Roman" w:hAnsi="Palatino Linotype" w:cs="Arial"/>
          <w:sz w:val="24"/>
          <w:szCs w:val="24"/>
          <w:lang w:val="es-ES" w:eastAsia="es-ES"/>
        </w:rPr>
        <w:t xml:space="preserve">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w:t>
      </w:r>
      <w:r w:rsidRPr="004860F7">
        <w:rPr>
          <w:rFonts w:ascii="Palatino Linotype" w:eastAsia="Times New Roman" w:hAnsi="Palatino Linotype" w:cs="Arial"/>
          <w:sz w:val="24"/>
          <w:szCs w:val="24"/>
          <w:lang w:val="es-ES" w:eastAsia="es-ES"/>
        </w:rPr>
        <w:lastRenderedPageBreak/>
        <w:t>en los tratados internacionales en los que el Estado Mexicano sea parte, en concordancia con el artículo 8° de la Ley de Transparencia local.</w:t>
      </w:r>
    </w:p>
    <w:p w14:paraId="0C8CFAA1" w14:textId="77777777" w:rsidR="00077590" w:rsidRPr="0014447C" w:rsidRDefault="00077590" w:rsidP="00077590">
      <w:pPr>
        <w:pStyle w:val="Sinespaciado"/>
        <w:spacing w:line="360" w:lineRule="auto"/>
        <w:jc w:val="both"/>
        <w:rPr>
          <w:rFonts w:ascii="Palatino Linotype" w:hAnsi="Palatino Linotype"/>
          <w:sz w:val="24"/>
          <w:szCs w:val="24"/>
        </w:rPr>
      </w:pPr>
    </w:p>
    <w:p w14:paraId="1777ADD6" w14:textId="33CD209D" w:rsidR="00077590" w:rsidRDefault="00077590" w:rsidP="00077590">
      <w:pPr>
        <w:pStyle w:val="Sinespaciado"/>
        <w:spacing w:line="360" w:lineRule="auto"/>
        <w:jc w:val="both"/>
        <w:rPr>
          <w:rFonts w:ascii="Palatino Linotype" w:hAnsi="Palatino Linotype"/>
          <w:sz w:val="24"/>
          <w:szCs w:val="24"/>
        </w:rPr>
      </w:pPr>
      <w:r w:rsidRPr="00823454">
        <w:rPr>
          <w:rFonts w:ascii="Palatino Linotype" w:hAnsi="Palatino Linotype"/>
          <w:sz w:val="24"/>
          <w:szCs w:val="24"/>
        </w:rPr>
        <w:t>Por tanto, es conveniente recordar que</w:t>
      </w:r>
      <w:r>
        <w:rPr>
          <w:rFonts w:ascii="Palatino Linotype" w:hAnsi="Palatino Linotype"/>
          <w:sz w:val="24"/>
          <w:szCs w:val="24"/>
        </w:rPr>
        <w:t xml:space="preserve"> el hoy Recurrente </w:t>
      </w:r>
      <w:r w:rsidR="00173B56">
        <w:rPr>
          <w:rFonts w:ascii="Palatino Linotype" w:hAnsi="Palatino Linotype"/>
          <w:sz w:val="24"/>
          <w:szCs w:val="24"/>
        </w:rPr>
        <w:t>ingreso su solicitud de acceso a la información en los términos siguientes</w:t>
      </w:r>
      <w:r>
        <w:rPr>
          <w:rFonts w:ascii="Palatino Linotype" w:hAnsi="Palatino Linotype"/>
          <w:sz w:val="24"/>
          <w:szCs w:val="24"/>
        </w:rPr>
        <w:t>:</w:t>
      </w:r>
    </w:p>
    <w:p w14:paraId="5F68EAD8" w14:textId="42AFB2AA" w:rsidR="00173B56" w:rsidRPr="003121B8" w:rsidRDefault="00173B56" w:rsidP="00077590">
      <w:pPr>
        <w:pStyle w:val="Sinespaciado"/>
        <w:spacing w:line="360" w:lineRule="auto"/>
        <w:jc w:val="both"/>
        <w:rPr>
          <w:rFonts w:ascii="Palatino Linotype" w:hAnsi="Palatino Linotype"/>
          <w:i/>
          <w:iCs/>
          <w:sz w:val="24"/>
          <w:szCs w:val="24"/>
        </w:rPr>
      </w:pPr>
      <w:r>
        <w:rPr>
          <w:rFonts w:ascii="Palatino Linotype" w:hAnsi="Palatino Linotype"/>
          <w:sz w:val="24"/>
          <w:szCs w:val="24"/>
        </w:rPr>
        <w:t>“</w:t>
      </w:r>
      <w:r w:rsidRPr="00173B56">
        <w:rPr>
          <w:rFonts w:ascii="Palatino Linotype" w:hAnsi="Palatino Linotype"/>
          <w:i/>
          <w:iCs/>
          <w:sz w:val="24"/>
          <w:szCs w:val="24"/>
        </w:rPr>
        <w:t xml:space="preserve">POR QUE LA UNIDAD DE TRANSPARENCIA DE OPDAPAS NO CUMPLE CON LA INFORMACION QUE SE LE SOLICITA, SU SUPERIOR JERARQUICO SABE DE LAS ACTUACIONES QUE REALIZA LA TITULAR DE LA UNIDAD DE TRANSPARENCIA, REALMENTE LA TITULAR DE LA UNIDAD DE TRANSPARENCIA DE OPDAPAS CUENTA CON LA CAPACIDAD, CONOCIMIENTO Y APTITUDES PARA LLEVAR LAS RIENDAS DE LA UNIDAD DE </w:t>
      </w:r>
      <w:r w:rsidRPr="003121B8">
        <w:rPr>
          <w:rFonts w:ascii="Palatino Linotype" w:hAnsi="Palatino Linotype"/>
          <w:i/>
          <w:iCs/>
          <w:sz w:val="24"/>
          <w:szCs w:val="24"/>
        </w:rPr>
        <w:t>TRANSPARENCIA</w:t>
      </w:r>
      <w:proofErr w:type="gramStart"/>
      <w:r w:rsidRPr="003121B8">
        <w:rPr>
          <w:rFonts w:ascii="Palatino Linotype" w:hAnsi="Palatino Linotype"/>
          <w:i/>
          <w:iCs/>
          <w:sz w:val="24"/>
          <w:szCs w:val="24"/>
        </w:rPr>
        <w:t>,.</w:t>
      </w:r>
      <w:proofErr w:type="gramEnd"/>
      <w:r w:rsidRPr="003121B8">
        <w:rPr>
          <w:rFonts w:ascii="Palatino Linotype" w:hAnsi="Palatino Linotype"/>
          <w:i/>
          <w:iCs/>
          <w:sz w:val="24"/>
          <w:szCs w:val="24"/>
        </w:rPr>
        <w:t xml:space="preserve"> SI NO QUE RENUNCIE Y QUE PONGAN A ALGUIEN QUE SI SEPA” (Si</w:t>
      </w:r>
      <w:r w:rsidR="001F6ACD" w:rsidRPr="003121B8">
        <w:rPr>
          <w:rFonts w:ascii="Palatino Linotype" w:hAnsi="Palatino Linotype"/>
          <w:i/>
          <w:iCs/>
          <w:sz w:val="24"/>
          <w:szCs w:val="24"/>
        </w:rPr>
        <w:t>c</w:t>
      </w:r>
      <w:r w:rsidRPr="003121B8">
        <w:rPr>
          <w:rFonts w:ascii="Palatino Linotype" w:hAnsi="Palatino Linotype"/>
          <w:i/>
          <w:iCs/>
          <w:sz w:val="24"/>
          <w:szCs w:val="24"/>
        </w:rPr>
        <w:t>.)</w:t>
      </w:r>
    </w:p>
    <w:p w14:paraId="6965EF35" w14:textId="77777777" w:rsidR="002774B6" w:rsidRPr="003121B8" w:rsidRDefault="002774B6" w:rsidP="00077590">
      <w:pPr>
        <w:pStyle w:val="Sinespaciado"/>
        <w:spacing w:line="360" w:lineRule="auto"/>
        <w:jc w:val="both"/>
        <w:rPr>
          <w:rFonts w:ascii="Palatino Linotype" w:hAnsi="Palatino Linotype"/>
          <w:i/>
          <w:iCs/>
          <w:sz w:val="24"/>
          <w:szCs w:val="24"/>
        </w:rPr>
      </w:pPr>
    </w:p>
    <w:p w14:paraId="72943556" w14:textId="100F2AF9" w:rsidR="00173B56" w:rsidRPr="003121B8" w:rsidRDefault="00173B56" w:rsidP="00077590">
      <w:pPr>
        <w:pStyle w:val="Sinespaciado"/>
        <w:spacing w:line="360" w:lineRule="auto"/>
        <w:jc w:val="both"/>
        <w:rPr>
          <w:rFonts w:ascii="Palatino Linotype" w:hAnsi="Palatino Linotype"/>
          <w:sz w:val="24"/>
          <w:szCs w:val="24"/>
        </w:rPr>
      </w:pPr>
      <w:r w:rsidRPr="003121B8">
        <w:rPr>
          <w:rFonts w:ascii="Palatino Linotype" w:hAnsi="Palatino Linotype"/>
          <w:sz w:val="24"/>
          <w:szCs w:val="24"/>
        </w:rPr>
        <w:t xml:space="preserve">Pronunciamientos vertidos </w:t>
      </w:r>
      <w:r w:rsidR="001F6ACD" w:rsidRPr="003121B8">
        <w:rPr>
          <w:rFonts w:ascii="Palatino Linotype" w:hAnsi="Palatino Linotype"/>
          <w:sz w:val="24"/>
          <w:szCs w:val="24"/>
        </w:rPr>
        <w:t xml:space="preserve">de los cuales no se puede observar </w:t>
      </w:r>
      <w:r w:rsidR="00313F00" w:rsidRPr="003121B8">
        <w:rPr>
          <w:rFonts w:ascii="Palatino Linotype" w:hAnsi="Palatino Linotype"/>
          <w:sz w:val="24"/>
          <w:szCs w:val="24"/>
        </w:rPr>
        <w:t>que el Recurrente des</w:t>
      </w:r>
      <w:r w:rsidR="002774B6" w:rsidRPr="003121B8">
        <w:rPr>
          <w:rFonts w:ascii="Palatino Linotype" w:hAnsi="Palatino Linotype"/>
          <w:sz w:val="24"/>
          <w:szCs w:val="24"/>
        </w:rPr>
        <w:t>e</w:t>
      </w:r>
      <w:r w:rsidR="00313F00" w:rsidRPr="003121B8">
        <w:rPr>
          <w:rFonts w:ascii="Palatino Linotype" w:hAnsi="Palatino Linotype"/>
          <w:sz w:val="24"/>
          <w:szCs w:val="24"/>
        </w:rPr>
        <w:t xml:space="preserve">a acceder a documento alguno, ni tampoco a </w:t>
      </w:r>
      <w:r w:rsidR="002774B6" w:rsidRPr="003121B8">
        <w:rPr>
          <w:rFonts w:ascii="Palatino Linotype" w:hAnsi="Palatino Linotype"/>
          <w:sz w:val="24"/>
          <w:szCs w:val="24"/>
        </w:rPr>
        <w:t>información</w:t>
      </w:r>
      <w:r w:rsidR="00313F00" w:rsidRPr="003121B8">
        <w:rPr>
          <w:rFonts w:ascii="Palatino Linotype" w:hAnsi="Palatino Linotype"/>
          <w:sz w:val="24"/>
          <w:szCs w:val="24"/>
        </w:rPr>
        <w:t xml:space="preserve"> de naturaleza pública, </w:t>
      </w:r>
      <w:proofErr w:type="spellStart"/>
      <w:proofErr w:type="gramStart"/>
      <w:r w:rsidR="00313F00" w:rsidRPr="003121B8">
        <w:rPr>
          <w:rFonts w:ascii="Palatino Linotype" w:hAnsi="Palatino Linotype"/>
          <w:sz w:val="24"/>
          <w:szCs w:val="24"/>
        </w:rPr>
        <w:t>mas</w:t>
      </w:r>
      <w:proofErr w:type="spellEnd"/>
      <w:proofErr w:type="gramEnd"/>
      <w:r w:rsidR="00313F00" w:rsidRPr="003121B8">
        <w:rPr>
          <w:rFonts w:ascii="Palatino Linotype" w:hAnsi="Palatino Linotype"/>
          <w:sz w:val="24"/>
          <w:szCs w:val="24"/>
        </w:rPr>
        <w:t xml:space="preserve"> bien se aprecian </w:t>
      </w:r>
      <w:r w:rsidR="002774B6" w:rsidRPr="003121B8">
        <w:rPr>
          <w:rFonts w:ascii="Palatino Linotype" w:hAnsi="Palatino Linotype"/>
          <w:sz w:val="24"/>
          <w:szCs w:val="24"/>
        </w:rPr>
        <w:t xml:space="preserve">manifestaciones subjetivas </w:t>
      </w:r>
      <w:r w:rsidR="00F85D94" w:rsidRPr="003121B8">
        <w:rPr>
          <w:rFonts w:ascii="Palatino Linotype" w:hAnsi="Palatino Linotype"/>
          <w:sz w:val="24"/>
          <w:szCs w:val="24"/>
        </w:rPr>
        <w:t>emitidas en relación a la libertad de expresión</w:t>
      </w:r>
      <w:r w:rsidR="00A92B83" w:rsidRPr="003121B8">
        <w:rPr>
          <w:rFonts w:ascii="Palatino Linotype" w:hAnsi="Palatino Linotype"/>
          <w:sz w:val="24"/>
          <w:szCs w:val="24"/>
        </w:rPr>
        <w:t xml:space="preserve"> y del derecho de petición</w:t>
      </w:r>
      <w:r w:rsidR="00F85D94" w:rsidRPr="003121B8">
        <w:rPr>
          <w:rFonts w:ascii="Palatino Linotype" w:hAnsi="Palatino Linotype"/>
          <w:sz w:val="24"/>
          <w:szCs w:val="24"/>
        </w:rPr>
        <w:t>.</w:t>
      </w:r>
    </w:p>
    <w:p w14:paraId="30F048C8" w14:textId="77777777" w:rsidR="005F7624" w:rsidRPr="003121B8" w:rsidRDefault="005F7624" w:rsidP="00077590">
      <w:pPr>
        <w:pStyle w:val="Sinespaciado"/>
        <w:spacing w:line="360" w:lineRule="auto"/>
        <w:jc w:val="both"/>
        <w:rPr>
          <w:rFonts w:ascii="Palatino Linotype" w:hAnsi="Palatino Linotype"/>
          <w:sz w:val="24"/>
          <w:szCs w:val="24"/>
        </w:rPr>
      </w:pPr>
    </w:p>
    <w:p w14:paraId="366D8584" w14:textId="77777777" w:rsidR="005F7624" w:rsidRPr="005F7624" w:rsidRDefault="005F7624" w:rsidP="005F7624">
      <w:pPr>
        <w:autoSpaceDE w:val="0"/>
        <w:autoSpaceDN w:val="0"/>
        <w:adjustRightInd w:val="0"/>
        <w:spacing w:after="0" w:line="360" w:lineRule="auto"/>
        <w:jc w:val="both"/>
        <w:rPr>
          <w:rFonts w:ascii="Palatino Linotype" w:eastAsia="MS Mincho" w:hAnsi="Palatino Linotype" w:cs="Times New Roman"/>
          <w:b/>
          <w:i/>
          <w:sz w:val="24"/>
          <w:szCs w:val="24"/>
          <w:lang w:val="es-ES_tradnl" w:eastAsia="es-ES"/>
        </w:rPr>
      </w:pPr>
      <w:r w:rsidRPr="005F7624">
        <w:rPr>
          <w:rFonts w:ascii="Palatino Linotype" w:eastAsia="Times New Roman" w:hAnsi="Palatino Linotype" w:cs="Times New Roman"/>
          <w:color w:val="000000"/>
          <w:sz w:val="24"/>
          <w:szCs w:val="24"/>
          <w:lang w:val="es-ES_tradnl" w:eastAsia="es-ES"/>
        </w:rPr>
        <w:t xml:space="preserve">En las generalizaciones anteriores y con referencia al derecho de petición, el </w:t>
      </w:r>
      <w:r w:rsidRPr="005F7624">
        <w:rPr>
          <w:rFonts w:ascii="Palatino Linotype" w:eastAsia="MS Mincho" w:hAnsi="Palatino Linotype" w:cs="Times New Roman"/>
          <w:sz w:val="24"/>
          <w:szCs w:val="24"/>
          <w:lang w:val="es-ES_tradnl" w:eastAsia="es-ES"/>
        </w:rPr>
        <w:t>Maestro Ignacio Burgoa Orihuela refiere: “…</w:t>
      </w:r>
      <w:r w:rsidRPr="005F7624">
        <w:rPr>
          <w:rFonts w:ascii="Palatino Linotype" w:eastAsia="MS Mincho" w:hAnsi="Palatino Linotype" w:cs="Times New Roman"/>
          <w:i/>
          <w:sz w:val="24"/>
          <w:szCs w:val="24"/>
          <w:lang w:val="es-ES_tradnl" w:eastAsia="es-ES"/>
        </w:rPr>
        <w:t xml:space="preserve">es un Derecho Público subjetivo individual de la Garantía Respectiva Consagrada en el Artículo 8 de la Ley Fundamental. En tal virtud, la persona tiene la facultad de acudir a cualquier autoridad, formulando una solicitud o instancia </w:t>
      </w:r>
      <w:r w:rsidRPr="005F7624">
        <w:rPr>
          <w:rFonts w:ascii="Palatino Linotype" w:eastAsia="MS Mincho" w:hAnsi="Palatino Linotype" w:cs="Times New Roman"/>
          <w:i/>
          <w:sz w:val="24"/>
          <w:szCs w:val="24"/>
          <w:lang w:val="es-ES_tradnl" w:eastAsia="es-ES"/>
        </w:rPr>
        <w:lastRenderedPageBreak/>
        <w:t>escrito de cualquier índole, la cual adopta, específicamente, el carácter de simple petición administrativa, acción o recurso, etc.</w:t>
      </w:r>
      <w:r w:rsidRPr="005F7624">
        <w:rPr>
          <w:rFonts w:ascii="Palatino Linotype" w:eastAsia="MS Mincho" w:hAnsi="Palatino Linotype" w:cs="Times New Roman"/>
          <w:i/>
          <w:sz w:val="24"/>
          <w:szCs w:val="24"/>
          <w:vertAlign w:val="superscript"/>
          <w:lang w:val="es-ES_tradnl" w:eastAsia="es-ES"/>
        </w:rPr>
        <w:footnoteReference w:id="2"/>
      </w:r>
      <w:r w:rsidRPr="005F7624">
        <w:rPr>
          <w:rFonts w:ascii="Palatino Linotype" w:eastAsia="MS Mincho" w:hAnsi="Palatino Linotype" w:cs="Times New Roman"/>
          <w:i/>
          <w:sz w:val="24"/>
          <w:szCs w:val="24"/>
          <w:lang w:val="es-ES_tradnl" w:eastAsia="es-ES"/>
        </w:rPr>
        <w:t xml:space="preserve">  “</w:t>
      </w:r>
      <w:r w:rsidRPr="005F7624">
        <w:rPr>
          <w:rFonts w:ascii="Palatino Linotype" w:eastAsia="MS Mincho" w:hAnsi="Palatino Linotype" w:cs="Times New Roman"/>
          <w:b/>
          <w:i/>
          <w:sz w:val="24"/>
          <w:szCs w:val="24"/>
          <w:lang w:val="es-ES_tradnl" w:eastAsia="es-ES"/>
        </w:rPr>
        <w:t>[Sic]</w:t>
      </w:r>
    </w:p>
    <w:p w14:paraId="22A7F56B" w14:textId="77777777" w:rsidR="005F7624" w:rsidRPr="005F7624" w:rsidRDefault="005F7624" w:rsidP="005F7624">
      <w:pPr>
        <w:spacing w:after="0" w:line="360" w:lineRule="auto"/>
        <w:jc w:val="both"/>
        <w:rPr>
          <w:rFonts w:ascii="Palatino Linotype" w:hAnsi="Palatino Linotype"/>
          <w:sz w:val="24"/>
          <w:lang w:val="es-ES_tradnl"/>
        </w:rPr>
      </w:pPr>
    </w:p>
    <w:p w14:paraId="207EC2E5" w14:textId="77777777" w:rsidR="005F7624" w:rsidRPr="005F7624" w:rsidRDefault="005F7624" w:rsidP="005F7624">
      <w:pPr>
        <w:spacing w:after="0" w:line="360" w:lineRule="auto"/>
        <w:jc w:val="both"/>
        <w:rPr>
          <w:rFonts w:ascii="Palatino Linotype" w:hAnsi="Palatino Linotype"/>
          <w:b/>
          <w:lang w:val="es-ES_tradnl"/>
        </w:rPr>
      </w:pPr>
      <w:r w:rsidRPr="005F7624">
        <w:rPr>
          <w:rFonts w:ascii="Palatino Linotype" w:hAnsi="Palatino Linotype"/>
          <w:sz w:val="24"/>
          <w:lang w:val="es-ES_tradnl"/>
        </w:rPr>
        <w:t xml:space="preserve">Por su parte, David Cienfuegos Salgado, concibe al derecho de petición como </w:t>
      </w:r>
      <w:r w:rsidRPr="005F7624">
        <w:rPr>
          <w:rFonts w:ascii="Palatino Linotype" w:hAnsi="Palatino Linotype"/>
          <w:i/>
          <w:sz w:val="24"/>
          <w:lang w:val="es-ES_tradnl"/>
        </w:rPr>
        <w:t>“el derecho de toda persona a ser escuchado por quienes ejercen el poder público.</w:t>
      </w:r>
      <w:r w:rsidRPr="005F7624">
        <w:rPr>
          <w:rFonts w:ascii="Palatino Linotype" w:hAnsi="Palatino Linotype"/>
          <w:i/>
          <w:sz w:val="24"/>
          <w:vertAlign w:val="superscript"/>
          <w:lang w:val="es-ES_tradnl"/>
        </w:rPr>
        <w:footnoteReference w:id="3"/>
      </w:r>
      <w:r w:rsidRPr="005F7624">
        <w:rPr>
          <w:rFonts w:ascii="Palatino Linotype" w:hAnsi="Palatino Linotype"/>
          <w:i/>
          <w:sz w:val="24"/>
          <w:lang w:val="es-ES_tradnl"/>
        </w:rPr>
        <w:t xml:space="preserve">” </w:t>
      </w:r>
      <w:r w:rsidRPr="005F7624">
        <w:rPr>
          <w:rFonts w:ascii="Palatino Linotype" w:hAnsi="Palatino Linotype"/>
          <w:b/>
          <w:i/>
          <w:sz w:val="24"/>
          <w:lang w:val="es-ES_tradnl"/>
        </w:rPr>
        <w:t>[Sic]</w:t>
      </w:r>
    </w:p>
    <w:p w14:paraId="3A07876F" w14:textId="77777777" w:rsidR="005F7624" w:rsidRPr="005F7624" w:rsidRDefault="005F7624" w:rsidP="005F7624">
      <w:pPr>
        <w:spacing w:after="0" w:line="360" w:lineRule="auto"/>
        <w:jc w:val="both"/>
        <w:rPr>
          <w:rFonts w:ascii="Palatino Linotype" w:hAnsi="Palatino Linotype"/>
          <w:lang w:val="es-ES_tradnl"/>
        </w:rPr>
      </w:pPr>
    </w:p>
    <w:p w14:paraId="4DE388A9" w14:textId="77777777" w:rsidR="005F7624" w:rsidRPr="005F7624" w:rsidRDefault="005F7624" w:rsidP="005F7624">
      <w:pPr>
        <w:spacing w:after="0" w:line="360" w:lineRule="auto"/>
        <w:jc w:val="both"/>
        <w:rPr>
          <w:rFonts w:ascii="Palatino Linotype" w:hAnsi="Palatino Linotype"/>
          <w:i/>
          <w:lang w:val="es-ES_tradnl"/>
        </w:rPr>
      </w:pPr>
      <w:r w:rsidRPr="005F7624">
        <w:rPr>
          <w:rFonts w:ascii="Palatino Linotype" w:hAnsi="Palatino Linotype"/>
          <w:sz w:val="24"/>
          <w:lang w:val="es-ES_tradnl"/>
        </w:rPr>
        <w:t xml:space="preserve">A este respecto, y para diferenciar el derecho de petición al derecho de acceso a la información, resulta conducente señalar que José Guadalupe Robles, conceptualiza el derecho a la información como </w:t>
      </w:r>
      <w:r w:rsidRPr="005F7624">
        <w:rPr>
          <w:rFonts w:ascii="Palatino Linotype" w:hAnsi="Palatino Linotype"/>
          <w:i/>
          <w:sz w:val="24"/>
          <w:lang w:val="es-ES_tradnl"/>
        </w:rPr>
        <w:t xml:space="preserve">“un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5F7624">
        <w:rPr>
          <w:rFonts w:ascii="Palatino Linotype" w:hAnsi="Palatino Linotype"/>
          <w:i/>
          <w:sz w:val="24"/>
          <w:vertAlign w:val="superscript"/>
          <w:lang w:val="es-ES_tradnl"/>
        </w:rPr>
        <w:footnoteReference w:id="4"/>
      </w:r>
      <w:r w:rsidRPr="005F7624">
        <w:rPr>
          <w:rFonts w:ascii="Palatino Linotype" w:hAnsi="Palatino Linotype"/>
          <w:i/>
          <w:sz w:val="24"/>
          <w:lang w:val="es-ES_tradnl"/>
        </w:rPr>
        <w:t>“</w:t>
      </w:r>
      <w:r w:rsidRPr="005F7624">
        <w:rPr>
          <w:rFonts w:ascii="Palatino Linotype" w:hAnsi="Palatino Linotype"/>
          <w:b/>
          <w:i/>
          <w:sz w:val="24"/>
          <w:lang w:val="es-ES_tradnl"/>
        </w:rPr>
        <w:t>[Sic]</w:t>
      </w:r>
      <w:r w:rsidRPr="005F7624">
        <w:rPr>
          <w:rFonts w:ascii="Palatino Linotype" w:hAnsi="Palatino Linotype"/>
          <w:i/>
          <w:sz w:val="24"/>
          <w:lang w:val="es-ES_tradnl"/>
        </w:rPr>
        <w:t xml:space="preserve"> </w:t>
      </w:r>
    </w:p>
    <w:p w14:paraId="2CFEA558" w14:textId="77777777" w:rsidR="005F7624" w:rsidRPr="005F7624" w:rsidRDefault="005F7624" w:rsidP="005F7624">
      <w:pPr>
        <w:spacing w:after="0" w:line="360" w:lineRule="auto"/>
        <w:jc w:val="both"/>
        <w:rPr>
          <w:rFonts w:ascii="Palatino Linotype" w:hAnsi="Palatino Linotype"/>
          <w:i/>
          <w:lang w:val="es-ES_tradnl"/>
        </w:rPr>
      </w:pPr>
    </w:p>
    <w:p w14:paraId="4019F4AA" w14:textId="77777777" w:rsidR="005F7624" w:rsidRPr="005F7624" w:rsidRDefault="005F7624" w:rsidP="005F7624">
      <w:pPr>
        <w:spacing w:after="0" w:line="360" w:lineRule="auto"/>
        <w:jc w:val="both"/>
        <w:rPr>
          <w:rFonts w:ascii="Palatino Linotype" w:hAnsi="Palatino Linotype"/>
          <w:i/>
          <w:sz w:val="24"/>
          <w:szCs w:val="24"/>
          <w:lang w:val="es-ES_tradnl"/>
        </w:rPr>
      </w:pPr>
      <w:r w:rsidRPr="005F7624">
        <w:rPr>
          <w:rFonts w:ascii="Palatino Linotype" w:hAnsi="Palatino Linotype"/>
          <w:sz w:val="24"/>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5F7624">
        <w:rPr>
          <w:rFonts w:ascii="Palatino Linotype" w:hAnsi="Palatino Linotype"/>
          <w:sz w:val="24"/>
          <w:lang w:val="es-ES_tradnl"/>
        </w:rPr>
        <w:t>Villanueva</w:t>
      </w:r>
      <w:proofErr w:type="spellEnd"/>
      <w:r w:rsidRPr="005F7624">
        <w:rPr>
          <w:rFonts w:ascii="Palatino Linotype" w:hAnsi="Palatino Linotype"/>
          <w:sz w:val="24"/>
          <w:lang w:val="es-ES_tradnl"/>
        </w:rPr>
        <w:t xml:space="preserve"> que dice: </w:t>
      </w:r>
      <w:r w:rsidRPr="005F7624">
        <w:rPr>
          <w:rFonts w:ascii="Palatino Linotype" w:hAnsi="Palatino Linotype"/>
          <w:i/>
          <w:sz w:val="24"/>
          <w:szCs w:val="24"/>
          <w:lang w:val="es-ES_tradnl"/>
        </w:rPr>
        <w:t xml:space="preserve">“la prerrogativa de la persona para acceder a datos, registros y todo tipo de informaciones en poder de entidades públicas y </w:t>
      </w:r>
      <w:r w:rsidRPr="005F7624">
        <w:rPr>
          <w:rFonts w:ascii="Palatino Linotype" w:hAnsi="Palatino Linotype"/>
          <w:i/>
          <w:sz w:val="24"/>
          <w:szCs w:val="24"/>
          <w:lang w:val="es-ES_tradnl"/>
        </w:rPr>
        <w:lastRenderedPageBreak/>
        <w:t>empresas privadas que ejercen gasto público o cumplen funciones de autoridad, con las excepciones taxativas que establezca la ley en una sociedad democrática.</w:t>
      </w:r>
      <w:r w:rsidRPr="005F7624">
        <w:rPr>
          <w:rFonts w:ascii="Palatino Linotype" w:hAnsi="Palatino Linotype"/>
          <w:i/>
          <w:sz w:val="24"/>
          <w:szCs w:val="24"/>
          <w:vertAlign w:val="superscript"/>
          <w:lang w:val="es-ES_tradnl"/>
        </w:rPr>
        <w:footnoteReference w:id="5"/>
      </w:r>
      <w:r w:rsidRPr="005F7624">
        <w:rPr>
          <w:rFonts w:ascii="Palatino Linotype" w:hAnsi="Palatino Linotype"/>
          <w:i/>
          <w:sz w:val="24"/>
          <w:szCs w:val="24"/>
          <w:lang w:val="es-ES_tradnl"/>
        </w:rPr>
        <w:t xml:space="preserve">” </w:t>
      </w:r>
      <w:r w:rsidRPr="005F7624">
        <w:rPr>
          <w:rFonts w:ascii="Palatino Linotype" w:hAnsi="Palatino Linotype"/>
          <w:b/>
          <w:i/>
          <w:sz w:val="24"/>
          <w:szCs w:val="24"/>
          <w:lang w:val="es-ES_tradnl"/>
        </w:rPr>
        <w:t>[Sic]</w:t>
      </w:r>
    </w:p>
    <w:p w14:paraId="3ECBF37A" w14:textId="77777777" w:rsidR="005F7624" w:rsidRPr="005F7624" w:rsidRDefault="005F7624" w:rsidP="005F7624">
      <w:pPr>
        <w:autoSpaceDE w:val="0"/>
        <w:autoSpaceDN w:val="0"/>
        <w:adjustRightInd w:val="0"/>
        <w:spacing w:after="0" w:line="360" w:lineRule="auto"/>
        <w:jc w:val="both"/>
        <w:rPr>
          <w:rFonts w:ascii="Palatino Linotype" w:eastAsia="Times New Roman" w:hAnsi="Palatino Linotype" w:cs="Arial"/>
          <w:i/>
          <w:iCs/>
          <w:sz w:val="24"/>
          <w:szCs w:val="24"/>
          <w:lang w:val="es-ES" w:eastAsia="es-ES"/>
        </w:rPr>
      </w:pPr>
    </w:p>
    <w:p w14:paraId="3148615E" w14:textId="77777777" w:rsidR="005F7624" w:rsidRPr="005F7624" w:rsidRDefault="005F7624" w:rsidP="005F7624">
      <w:pPr>
        <w:spacing w:after="0" w:line="360" w:lineRule="auto"/>
        <w:jc w:val="both"/>
        <w:rPr>
          <w:rFonts w:ascii="Palatino Linotype" w:hAnsi="Palatino Linotype" w:cs="Arial"/>
          <w:sz w:val="24"/>
          <w:szCs w:val="24"/>
        </w:rPr>
      </w:pPr>
      <w:r w:rsidRPr="005F7624">
        <w:rPr>
          <w:rFonts w:ascii="Palatino Linotype" w:hAnsi="Palatino Linotype" w:cs="Arial"/>
          <w:sz w:val="24"/>
          <w:szCs w:val="24"/>
        </w:rPr>
        <w:t xml:space="preserve">Ahora bien, para entender los alcances de la información pública se considera importante citar el criterio </w:t>
      </w:r>
      <w:r w:rsidRPr="005F7624">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5F7624">
        <w:rPr>
          <w:rFonts w:ascii="Palatino Linotype" w:hAnsi="Palatino Linotype" w:cs="Arial"/>
          <w:sz w:val="24"/>
          <w:szCs w:val="24"/>
        </w:rPr>
        <w:t>cuyo rubro y texto dispone:</w:t>
      </w:r>
    </w:p>
    <w:p w14:paraId="40CC2904" w14:textId="77777777" w:rsidR="005F7624" w:rsidRPr="005F7624" w:rsidRDefault="005F7624" w:rsidP="005F7624">
      <w:pPr>
        <w:spacing w:before="240" w:line="360" w:lineRule="auto"/>
        <w:ind w:left="851" w:right="851"/>
        <w:jc w:val="both"/>
        <w:rPr>
          <w:rFonts w:ascii="Palatino Linotype" w:hAnsi="Palatino Linotype" w:cs="Arial"/>
          <w:b/>
          <w:i/>
          <w:lang w:eastAsia="es-MX"/>
        </w:rPr>
      </w:pPr>
      <w:r w:rsidRPr="005F7624">
        <w:rPr>
          <w:rFonts w:ascii="Palatino Linotype" w:hAnsi="Palatino Linotype" w:cs="Arial"/>
          <w:b/>
          <w:i/>
          <w:lang w:eastAsia="es-MX"/>
        </w:rPr>
        <w:t xml:space="preserve">“INFORMACIÓN PÚBLICA, CONCEPTO DE, EN MATERIA DE TRANSPARENCIA. INTERPRETACIÓN TEMÁTICA DE LOS ARTÍCULOS 2, FRACCIÓN </w:t>
      </w:r>
      <w:r w:rsidRPr="005F7624">
        <w:rPr>
          <w:rFonts w:ascii="Palatino Linotype" w:hAnsi="Palatino Linotype" w:cs="Arial"/>
          <w:b/>
          <w:bCs/>
          <w:i/>
          <w:lang w:eastAsia="es-MX"/>
        </w:rPr>
        <w:t xml:space="preserve">V, XV, Y XVI, </w:t>
      </w:r>
      <w:r w:rsidRPr="005F7624">
        <w:rPr>
          <w:rFonts w:ascii="Palatino Linotype" w:hAnsi="Palatino Linotype" w:cs="Arial"/>
          <w:b/>
          <w:i/>
          <w:lang w:eastAsia="es-MX"/>
        </w:rPr>
        <w:t xml:space="preserve">32, 4,11 Y 41. </w:t>
      </w:r>
    </w:p>
    <w:p w14:paraId="734E5E6F" w14:textId="77777777" w:rsidR="005F7624" w:rsidRPr="005F7624" w:rsidRDefault="005F7624" w:rsidP="005F7624">
      <w:pPr>
        <w:spacing w:before="240" w:line="360" w:lineRule="auto"/>
        <w:ind w:left="851" w:right="851"/>
        <w:jc w:val="both"/>
        <w:rPr>
          <w:rFonts w:ascii="Palatino Linotype" w:hAnsi="Palatino Linotype" w:cs="Arial"/>
          <w:i/>
          <w:lang w:eastAsia="es-MX"/>
        </w:rPr>
      </w:pPr>
      <w:r w:rsidRPr="005F7624">
        <w:rPr>
          <w:rFonts w:ascii="Palatino Linotype" w:hAnsi="Palatino Linotype" w:cs="Arial"/>
          <w:i/>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89BC51" w14:textId="77777777" w:rsidR="005F7624" w:rsidRPr="005F7624" w:rsidRDefault="005F7624" w:rsidP="005F7624">
      <w:pPr>
        <w:spacing w:before="240" w:line="360" w:lineRule="auto"/>
        <w:ind w:left="851" w:right="851"/>
        <w:jc w:val="both"/>
        <w:rPr>
          <w:rFonts w:ascii="Palatino Linotype" w:hAnsi="Palatino Linotype" w:cs="Arial"/>
          <w:i/>
          <w:lang w:eastAsia="es-MX"/>
        </w:rPr>
      </w:pPr>
      <w:r w:rsidRPr="005F7624">
        <w:rPr>
          <w:rFonts w:ascii="Palatino Linotype" w:hAnsi="Palatino Linotype" w:cs="Arial"/>
          <w:i/>
          <w:lang w:eastAsia="es-MX"/>
        </w:rPr>
        <w:t>En consecuencia el acceso a la información se refiere a que se cumplan cualquiera de los siguientes tres supuestos:</w:t>
      </w:r>
    </w:p>
    <w:p w14:paraId="5F0A29CB" w14:textId="77777777" w:rsidR="005F7624" w:rsidRPr="005F7624" w:rsidRDefault="005F7624" w:rsidP="005F7624">
      <w:pPr>
        <w:spacing w:before="240" w:line="360" w:lineRule="auto"/>
        <w:ind w:left="851" w:right="851"/>
        <w:jc w:val="both"/>
        <w:rPr>
          <w:rFonts w:ascii="Palatino Linotype" w:hAnsi="Palatino Linotype" w:cs="Arial"/>
          <w:i/>
          <w:lang w:eastAsia="es-MX"/>
        </w:rPr>
      </w:pPr>
      <w:r w:rsidRPr="005F7624">
        <w:rPr>
          <w:rFonts w:ascii="Palatino Linotype" w:hAnsi="Palatino Linotype" w:cs="Arial"/>
          <w:i/>
          <w:lang w:eastAsia="es-MX"/>
        </w:rPr>
        <w:lastRenderedPageBreak/>
        <w:t>Que se trate de información registrada en cualquier soporte documental, que en ejercicio de las atribuciones conferidas, sea generada por los Sujetos Obligados;</w:t>
      </w:r>
    </w:p>
    <w:p w14:paraId="23F23DB2" w14:textId="77777777" w:rsidR="005F7624" w:rsidRPr="005F7624" w:rsidRDefault="005F7624" w:rsidP="005F7624">
      <w:pPr>
        <w:spacing w:before="240" w:line="360" w:lineRule="auto"/>
        <w:ind w:left="851" w:right="851"/>
        <w:jc w:val="both"/>
        <w:rPr>
          <w:rFonts w:ascii="Palatino Linotype" w:hAnsi="Palatino Linotype" w:cs="Arial"/>
          <w:i/>
          <w:lang w:eastAsia="es-MX"/>
        </w:rPr>
      </w:pPr>
      <w:r w:rsidRPr="005F7624">
        <w:rPr>
          <w:rFonts w:ascii="Palatino Linotype" w:hAnsi="Palatino Linotype" w:cs="Arial"/>
          <w:i/>
          <w:lang w:eastAsia="es-MX"/>
        </w:rPr>
        <w:t>Que se trate de información registrada en cualquier soporte documental, que en ejercicio de las atribuciones conferidas, sea administrada por los Sujetos Obligados, y</w:t>
      </w:r>
    </w:p>
    <w:p w14:paraId="1F358D30" w14:textId="77777777" w:rsidR="005F7624" w:rsidRPr="005F7624" w:rsidRDefault="005F7624" w:rsidP="005F7624">
      <w:pPr>
        <w:spacing w:before="240" w:line="360" w:lineRule="auto"/>
        <w:ind w:left="851" w:right="851"/>
        <w:jc w:val="both"/>
        <w:rPr>
          <w:rFonts w:ascii="Palatino Linotype" w:hAnsi="Palatino Linotype" w:cs="Arial"/>
          <w:b/>
          <w:i/>
          <w:lang w:eastAsia="es-MX"/>
        </w:rPr>
      </w:pPr>
      <w:r w:rsidRPr="005F7624">
        <w:rPr>
          <w:rFonts w:ascii="Palatino Linotype" w:hAnsi="Palatino Linotype" w:cs="Arial"/>
          <w:i/>
          <w:lang w:eastAsia="es-MX"/>
        </w:rPr>
        <w:t xml:space="preserve">Que se trate de información registrada en cualquier soporte documental, que en ejercicio de las atribuciones conferidas, se encuentre en posesión de los Sujetos Obligados.” </w:t>
      </w:r>
      <w:r w:rsidRPr="005F7624">
        <w:rPr>
          <w:rFonts w:ascii="Palatino Linotype" w:hAnsi="Palatino Linotype" w:cs="Arial"/>
          <w:b/>
          <w:i/>
          <w:lang w:eastAsia="es-MX"/>
        </w:rPr>
        <w:t>[Sic]</w:t>
      </w:r>
    </w:p>
    <w:p w14:paraId="647634C4" w14:textId="77777777" w:rsidR="005F7624" w:rsidRPr="005F7624" w:rsidRDefault="005F7624" w:rsidP="005F7624">
      <w:pPr>
        <w:spacing w:after="0" w:line="360" w:lineRule="auto"/>
        <w:jc w:val="both"/>
        <w:rPr>
          <w:rFonts w:ascii="Palatino Linotype" w:hAnsi="Palatino Linotype"/>
          <w:lang w:eastAsia="es-MX"/>
        </w:rPr>
      </w:pPr>
    </w:p>
    <w:p w14:paraId="25D3243D" w14:textId="77777777" w:rsidR="005F7624" w:rsidRPr="005F7624" w:rsidRDefault="005F7624" w:rsidP="005F7624">
      <w:pPr>
        <w:spacing w:after="0" w:line="360" w:lineRule="auto"/>
        <w:jc w:val="both"/>
        <w:rPr>
          <w:rFonts w:ascii="Palatino Linotype" w:hAnsi="Palatino Linotype"/>
          <w:i/>
          <w:lang w:eastAsia="es-MX"/>
        </w:rPr>
      </w:pPr>
      <w:r w:rsidRPr="005F7624">
        <w:rPr>
          <w:rFonts w:ascii="Palatino Linotype" w:hAnsi="Palatino Linotype"/>
          <w:sz w:val="24"/>
          <w:lang w:eastAsia="es-MX"/>
        </w:rPr>
        <w:t xml:space="preserve">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5F7624">
        <w:rPr>
          <w:rFonts w:ascii="Palatino Linotype" w:hAnsi="Palatino Linotype"/>
          <w:sz w:val="24"/>
          <w:lang w:eastAsia="es-MX"/>
        </w:rPr>
        <w:t>Villanueva</w:t>
      </w:r>
      <w:proofErr w:type="spellEnd"/>
      <w:r w:rsidRPr="005F7624">
        <w:rPr>
          <w:rFonts w:ascii="Palatino Linotype" w:hAnsi="Palatino Linotype"/>
          <w:sz w:val="24"/>
          <w:lang w:eastAsia="es-MX"/>
        </w:rPr>
        <w:t xml:space="preserve"> que dice:</w:t>
      </w:r>
      <w:r w:rsidRPr="005F7624">
        <w:rPr>
          <w:rFonts w:ascii="Palatino Linotype" w:hAnsi="Palatino Linotype"/>
          <w:lang w:eastAsia="es-MX"/>
        </w:rPr>
        <w:t xml:space="preserve"> </w:t>
      </w:r>
      <w:r w:rsidRPr="005F7624">
        <w:rPr>
          <w:rFonts w:ascii="Palatino Linotype" w:hAnsi="Palatino Linotype"/>
          <w:sz w:val="24"/>
          <w:lang w:eastAsia="es-MX"/>
        </w:rPr>
        <w:t>“</w:t>
      </w:r>
      <w:r w:rsidRPr="005F7624">
        <w:rPr>
          <w:rFonts w:ascii="Palatino Linotype" w:hAnsi="Palatino Linotype"/>
          <w:i/>
          <w:sz w:val="24"/>
          <w:lang w:eastAsia="es-MX"/>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5F7624">
        <w:rPr>
          <w:rFonts w:ascii="Palatino Linotype" w:hAnsi="Palatino Linotype"/>
          <w:b/>
          <w:i/>
          <w:sz w:val="24"/>
          <w:lang w:val="es-ES_tradnl"/>
        </w:rPr>
        <w:t>[Sic]</w:t>
      </w:r>
    </w:p>
    <w:p w14:paraId="3021F441" w14:textId="77777777" w:rsidR="005F7624" w:rsidRPr="005F7624" w:rsidRDefault="005F7624" w:rsidP="005F7624">
      <w:pPr>
        <w:spacing w:after="0" w:line="360" w:lineRule="auto"/>
        <w:jc w:val="both"/>
        <w:rPr>
          <w:rFonts w:ascii="Palatino Linotype" w:eastAsia="Times New Roman" w:hAnsi="Palatino Linotype" w:cs="Times New Roman"/>
          <w:sz w:val="24"/>
          <w:szCs w:val="24"/>
          <w:lang w:val="es-ES" w:eastAsia="es-ES"/>
        </w:rPr>
      </w:pPr>
    </w:p>
    <w:p w14:paraId="21A42F04" w14:textId="77777777" w:rsidR="005F7624" w:rsidRPr="005F7624" w:rsidRDefault="005F7624" w:rsidP="005F7624">
      <w:pPr>
        <w:spacing w:after="0" w:line="360" w:lineRule="auto"/>
        <w:jc w:val="both"/>
        <w:rPr>
          <w:rFonts w:ascii="Palatino Linotype" w:eastAsia="Times New Roman" w:hAnsi="Palatino Linotype" w:cs="Times New Roman"/>
          <w:sz w:val="24"/>
          <w:szCs w:val="24"/>
          <w:lang w:val="es-ES" w:eastAsia="es-ES"/>
        </w:rPr>
      </w:pPr>
      <w:r w:rsidRPr="005F7624">
        <w:rPr>
          <w:rFonts w:ascii="Palatino Linotype" w:eastAsia="Times New Roman" w:hAnsi="Palatino Linotype" w:cs="Times New Roman"/>
          <w:sz w:val="24"/>
          <w:szCs w:val="24"/>
          <w:lang w:val="es-ES" w:eastAsia="es-ES"/>
        </w:rPr>
        <w:t xml:space="preserve">Por lo anterior, </w:t>
      </w:r>
      <w:r w:rsidRPr="005F7624">
        <w:rPr>
          <w:rFonts w:ascii="Palatino Linotype" w:eastAsia="Times New Roman" w:hAnsi="Palatino Linotype" w:cs="Times New Roman"/>
          <w:sz w:val="24"/>
          <w:szCs w:val="24"/>
          <w:u w:val="single"/>
          <w:lang w:val="es-ES" w:eastAsia="es-ES"/>
        </w:rPr>
        <w:t xml:space="preserve">al no constituirse dicho cuestionamiento como materia del derecho de acceso a la información, se considera que </w:t>
      </w:r>
      <w:r w:rsidRPr="005F7624">
        <w:rPr>
          <w:rFonts w:ascii="Palatino Linotype" w:eastAsia="Times New Roman" w:hAnsi="Palatino Linotype" w:cs="Times New Roman"/>
          <w:b/>
          <w:sz w:val="24"/>
          <w:szCs w:val="24"/>
          <w:u w:val="single"/>
          <w:lang w:val="es-ES" w:eastAsia="es-ES"/>
        </w:rPr>
        <w:t>El Sujeto Obligado</w:t>
      </w:r>
      <w:r w:rsidRPr="005F7624">
        <w:rPr>
          <w:rFonts w:ascii="Palatino Linotype" w:eastAsia="Times New Roman" w:hAnsi="Palatino Linotype" w:cs="Times New Roman"/>
          <w:sz w:val="24"/>
          <w:szCs w:val="24"/>
          <w:u w:val="single"/>
          <w:lang w:val="es-ES" w:eastAsia="es-ES"/>
        </w:rPr>
        <w:t xml:space="preserve"> no se encuentra constreñido a emitir una respuesta al mismo</w:t>
      </w:r>
      <w:r w:rsidRPr="005F7624">
        <w:rPr>
          <w:rFonts w:ascii="Palatino Linotype" w:eastAsia="Times New Roman" w:hAnsi="Palatino Linotype" w:cs="Times New Roman"/>
          <w:sz w:val="24"/>
          <w:szCs w:val="24"/>
          <w:lang w:val="es-ES" w:eastAsia="es-ES"/>
        </w:rPr>
        <w:t>.</w:t>
      </w:r>
    </w:p>
    <w:p w14:paraId="32AC7848" w14:textId="77777777" w:rsidR="005F7624" w:rsidRPr="005F7624" w:rsidRDefault="005F7624" w:rsidP="005F7624">
      <w:pPr>
        <w:spacing w:after="0" w:line="360" w:lineRule="auto"/>
        <w:jc w:val="both"/>
        <w:rPr>
          <w:rFonts w:ascii="Palatino Linotype" w:eastAsia="Times New Roman" w:hAnsi="Palatino Linotype" w:cs="Times New Roman"/>
          <w:sz w:val="24"/>
          <w:szCs w:val="24"/>
          <w:lang w:val="es-ES" w:eastAsia="es-ES"/>
        </w:rPr>
      </w:pPr>
    </w:p>
    <w:p w14:paraId="1D8F351B" w14:textId="77777777" w:rsidR="005F7624" w:rsidRPr="005F7624" w:rsidRDefault="005F7624" w:rsidP="005F7624">
      <w:pPr>
        <w:spacing w:after="0" w:line="360" w:lineRule="auto"/>
        <w:jc w:val="both"/>
        <w:rPr>
          <w:rFonts w:ascii="Palatino Linotype" w:eastAsia="Times New Roman" w:hAnsi="Palatino Linotype" w:cs="Arial"/>
          <w:sz w:val="24"/>
          <w:szCs w:val="24"/>
          <w:lang w:val="es-ES" w:eastAsia="es-ES"/>
        </w:rPr>
      </w:pPr>
      <w:r w:rsidRPr="005F7624">
        <w:rPr>
          <w:rFonts w:ascii="Palatino Linotype" w:eastAsia="Times New Roman" w:hAnsi="Palatino Linotype" w:cs="Times New Roman"/>
          <w:sz w:val="24"/>
          <w:szCs w:val="24"/>
          <w:lang w:val="es-ES" w:eastAsia="es-ES"/>
        </w:rPr>
        <w:lastRenderedPageBreak/>
        <w:t xml:space="preserve">Una vez precisado lo anterior, </w:t>
      </w:r>
      <w:r w:rsidRPr="005F7624">
        <w:rPr>
          <w:rFonts w:ascii="Palatino Linotype" w:eastAsia="Times New Roman" w:hAnsi="Palatino Linotype" w:cs="Arial"/>
          <w:sz w:val="24"/>
          <w:szCs w:val="24"/>
          <w:lang w:val="es-ES" w:eastAsia="es-ES"/>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6ABB99F8" w14:textId="77777777" w:rsidR="0000574D" w:rsidRPr="003121B8" w:rsidRDefault="0000574D" w:rsidP="005F7624">
      <w:pPr>
        <w:spacing w:after="0" w:line="360" w:lineRule="auto"/>
        <w:ind w:left="851" w:right="851"/>
        <w:jc w:val="both"/>
        <w:rPr>
          <w:rFonts w:ascii="Palatino Linotype" w:eastAsia="Times New Roman" w:hAnsi="Palatino Linotype" w:cs="Arial"/>
          <w:b/>
          <w:i/>
          <w:sz w:val="24"/>
          <w:szCs w:val="24"/>
          <w:lang w:val="es-ES" w:eastAsia="es-ES"/>
        </w:rPr>
      </w:pPr>
    </w:p>
    <w:p w14:paraId="19F50336" w14:textId="3CECFD3B" w:rsidR="005F7624" w:rsidRPr="005F7624" w:rsidRDefault="005F7624" w:rsidP="005F7624">
      <w:pPr>
        <w:spacing w:after="0" w:line="360" w:lineRule="auto"/>
        <w:ind w:left="851" w:right="851"/>
        <w:jc w:val="both"/>
        <w:rPr>
          <w:rFonts w:ascii="Palatino Linotype" w:eastAsia="Times New Roman" w:hAnsi="Palatino Linotype" w:cs="Arial"/>
          <w:b/>
          <w:i/>
          <w:sz w:val="24"/>
          <w:szCs w:val="24"/>
          <w:lang w:val="es-ES" w:eastAsia="es-ES"/>
        </w:rPr>
      </w:pPr>
      <w:r w:rsidRPr="005F7624">
        <w:rPr>
          <w:rFonts w:ascii="Palatino Linotype" w:eastAsia="Times New Roman" w:hAnsi="Palatino Linotype" w:cs="Arial"/>
          <w:b/>
          <w:i/>
          <w:sz w:val="24"/>
          <w:szCs w:val="24"/>
          <w:lang w:val="es-ES" w:eastAsia="es-ES"/>
        </w:rPr>
        <w:t>“SOBRESEIMIENTO EN EL JUICIO DE AMPARO DIRECTO. IMPIDE EL ESTUDIO DE LAS VIOLACIONES PROCESALES PLANTEADAS EN LOS CONCEPTOS DE VIOLACIÓN.</w:t>
      </w:r>
    </w:p>
    <w:p w14:paraId="6788DD25" w14:textId="77777777" w:rsidR="005F7624" w:rsidRPr="005F7624" w:rsidRDefault="005F7624" w:rsidP="005F7624">
      <w:pPr>
        <w:spacing w:after="0" w:line="360" w:lineRule="auto"/>
        <w:ind w:left="851" w:right="851"/>
        <w:jc w:val="both"/>
        <w:rPr>
          <w:rFonts w:ascii="Palatino Linotype" w:eastAsia="Times New Roman" w:hAnsi="Palatino Linotype" w:cs="Times New Roman"/>
          <w:i/>
          <w:color w:val="000000"/>
          <w:sz w:val="24"/>
          <w:szCs w:val="24"/>
          <w:lang w:val="es-ES" w:eastAsia="es-ES"/>
        </w:rPr>
      </w:pPr>
      <w:r w:rsidRPr="005F7624">
        <w:rPr>
          <w:rFonts w:ascii="Palatino Linotype" w:eastAsia="Times New Roman" w:hAnsi="Palatino Linotype" w:cs="Arial"/>
          <w:b/>
          <w:i/>
          <w:sz w:val="24"/>
          <w:szCs w:val="24"/>
          <w:u w:val="single"/>
          <w:lang w:val="es-ES" w:eastAsia="es-ES"/>
        </w:rPr>
        <w:t>El sobreseimiento</w:t>
      </w:r>
      <w:r w:rsidRPr="005F7624">
        <w:rPr>
          <w:rFonts w:ascii="Palatino Linotype" w:eastAsia="Times New Roman" w:hAnsi="Palatino Linotype" w:cs="Arial"/>
          <w:b/>
          <w:i/>
          <w:sz w:val="24"/>
          <w:szCs w:val="24"/>
          <w:lang w:val="es-ES" w:eastAsia="es-ES"/>
        </w:rPr>
        <w:t xml:space="preserve"> </w:t>
      </w:r>
      <w:r w:rsidRPr="005F7624">
        <w:rPr>
          <w:rFonts w:ascii="Palatino Linotype" w:eastAsia="Times New Roman" w:hAnsi="Palatino Linotype" w:cs="Arial"/>
          <w:i/>
          <w:sz w:val="24"/>
          <w:szCs w:val="24"/>
          <w:lang w:val="es-ES" w:eastAsia="es-ES"/>
        </w:rPr>
        <w:t xml:space="preserve">en el juicio de amparo directo </w:t>
      </w:r>
      <w:r w:rsidRPr="005F7624">
        <w:rPr>
          <w:rFonts w:ascii="Palatino Linotype" w:eastAsia="Times New Roman" w:hAnsi="Palatino Linotype" w:cs="Arial"/>
          <w:b/>
          <w:i/>
          <w:sz w:val="24"/>
          <w:szCs w:val="24"/>
          <w:u w:val="single"/>
          <w:lang w:val="es-ES" w:eastAsia="es-ES"/>
        </w:rPr>
        <w:t>provoca la terminación de la controversia planteada</w:t>
      </w:r>
      <w:r w:rsidRPr="005F7624">
        <w:rPr>
          <w:rFonts w:ascii="Palatino Linotype" w:eastAsia="Times New Roman" w:hAnsi="Palatino Linotype" w:cs="Arial"/>
          <w:b/>
          <w:i/>
          <w:sz w:val="24"/>
          <w:szCs w:val="24"/>
          <w:lang w:val="es-ES" w:eastAsia="es-ES"/>
        </w:rPr>
        <w:t xml:space="preserve"> </w:t>
      </w:r>
      <w:r w:rsidRPr="005F7624">
        <w:rPr>
          <w:rFonts w:ascii="Palatino Linotype" w:eastAsia="Times New Roman" w:hAnsi="Palatino Linotype" w:cs="Arial"/>
          <w:i/>
          <w:sz w:val="24"/>
          <w:szCs w:val="24"/>
          <w:lang w:val="es-ES" w:eastAsia="es-ES"/>
        </w:rPr>
        <w:t>por el quejoso en la demanda de amparo</w:t>
      </w:r>
      <w:r w:rsidRPr="005F7624">
        <w:rPr>
          <w:rFonts w:ascii="Calibri" w:eastAsia="Times New Roman" w:hAnsi="Calibri" w:cs="Times New Roman"/>
          <w:color w:val="000000"/>
          <w:sz w:val="26"/>
          <w:szCs w:val="26"/>
          <w:lang w:val="es-ES" w:eastAsia="es-ES"/>
        </w:rPr>
        <w:t xml:space="preserve"> </w:t>
      </w:r>
      <w:r w:rsidRPr="005F7624">
        <w:rPr>
          <w:rFonts w:ascii="Palatino Linotype" w:eastAsia="Times New Roman" w:hAnsi="Palatino Linotype" w:cs="Times New Roman"/>
          <w:i/>
          <w:color w:val="000000"/>
          <w:sz w:val="24"/>
          <w:szCs w:val="24"/>
          <w:lang w:val="es-ES" w:eastAsia="es-ES"/>
        </w:rPr>
        <w:t xml:space="preserve">provoca la terminación de la controversia planteada por el quejoso en la demanda de </w:t>
      </w:r>
      <w:r w:rsidRPr="005F7624">
        <w:rPr>
          <w:rFonts w:ascii="Palatino Linotype" w:eastAsia="Times New Roman" w:hAnsi="Palatino Linotype" w:cs="Times New Roman"/>
          <w:b/>
          <w:i/>
          <w:color w:val="000000"/>
          <w:sz w:val="24"/>
          <w:szCs w:val="24"/>
          <w:lang w:val="es-ES" w:eastAsia="es-ES"/>
        </w:rPr>
        <w:t>amparo</w:t>
      </w:r>
      <w:r w:rsidRPr="005F7624">
        <w:rPr>
          <w:rFonts w:ascii="Palatino Linotype" w:eastAsia="Times New Roman" w:hAnsi="Palatino Linotype" w:cs="Times New Roman"/>
          <w:i/>
          <w:color w:val="000000"/>
          <w:sz w:val="24"/>
          <w:szCs w:val="24"/>
          <w:lang w:val="es-ES" w:eastAsia="es-ES"/>
        </w:rPr>
        <w:t>, sin hacer un pronunciamiento de fondo sobre la legalidad o ilegalidad de la sentencia reclamada. Por consiguiente, si al sobreseerse en el</w:t>
      </w:r>
      <w:r w:rsidRPr="005F7624">
        <w:rPr>
          <w:rFonts w:ascii="Palatino Linotype" w:eastAsia="Times New Roman" w:hAnsi="Palatino Linotype" w:cs="Times New Roman"/>
          <w:b/>
          <w:i/>
          <w:color w:val="000000"/>
          <w:sz w:val="24"/>
          <w:szCs w:val="24"/>
          <w:lang w:val="es-ES" w:eastAsia="es-ES"/>
        </w:rPr>
        <w:t xml:space="preserve"> juicio </w:t>
      </w:r>
      <w:r w:rsidRPr="005F7624">
        <w:rPr>
          <w:rFonts w:ascii="Palatino Linotype" w:eastAsia="Times New Roman" w:hAnsi="Palatino Linotype" w:cs="Times New Roman"/>
          <w:i/>
          <w:color w:val="000000"/>
          <w:sz w:val="24"/>
          <w:szCs w:val="24"/>
          <w:lang w:val="es-ES" w:eastAsia="es-ES"/>
        </w:rPr>
        <w:t xml:space="preserve">de </w:t>
      </w:r>
      <w:r w:rsidRPr="005F7624">
        <w:rPr>
          <w:rFonts w:ascii="Palatino Linotype" w:eastAsia="Times New Roman" w:hAnsi="Palatino Linotype" w:cs="Times New Roman"/>
          <w:b/>
          <w:i/>
          <w:color w:val="000000"/>
          <w:sz w:val="24"/>
          <w:szCs w:val="24"/>
          <w:lang w:val="es-ES" w:eastAsia="es-ES"/>
        </w:rPr>
        <w:t>amparo</w:t>
      </w:r>
      <w:r w:rsidRPr="005F7624">
        <w:rPr>
          <w:rFonts w:ascii="Palatino Linotype" w:eastAsia="Times New Roman" w:hAnsi="Palatino Linotype" w:cs="Times New Roman"/>
          <w:i/>
          <w:color w:val="000000"/>
          <w:sz w:val="24"/>
          <w:szCs w:val="24"/>
          <w:lang w:val="es-ES" w:eastAsia="es-ES"/>
        </w:rPr>
        <w:t xml:space="preserve"> no se pueden estudiar los planteamientos que se hacen valer en contra del fallo reclamado, tampoco se deben analizar las</w:t>
      </w:r>
      <w:r w:rsidRPr="005F7624">
        <w:rPr>
          <w:rFonts w:ascii="Palatino Linotype" w:eastAsia="Times New Roman" w:hAnsi="Palatino Linotype" w:cs="Times New Roman"/>
          <w:b/>
          <w:i/>
          <w:color w:val="000000"/>
          <w:sz w:val="24"/>
          <w:szCs w:val="24"/>
          <w:lang w:val="es-ES" w:eastAsia="es-ES"/>
        </w:rPr>
        <w:t xml:space="preserve"> violaciones procesales</w:t>
      </w:r>
      <w:r w:rsidRPr="005F7624">
        <w:rPr>
          <w:rFonts w:ascii="Palatino Linotype" w:eastAsia="Times New Roman" w:hAnsi="Palatino Linotype" w:cs="Times New Roman"/>
          <w:i/>
          <w:color w:val="000000"/>
          <w:sz w:val="24"/>
          <w:szCs w:val="24"/>
          <w:lang w:val="es-ES" w:eastAsia="es-ES"/>
        </w:rPr>
        <w:t xml:space="preserve"> propuestas en los </w:t>
      </w:r>
      <w:r w:rsidRPr="005F7624">
        <w:rPr>
          <w:rFonts w:ascii="Palatino Linotype" w:eastAsia="Times New Roman" w:hAnsi="Palatino Linotype" w:cs="Times New Roman"/>
          <w:b/>
          <w:i/>
          <w:color w:val="000000"/>
          <w:sz w:val="24"/>
          <w:szCs w:val="24"/>
          <w:lang w:val="es-ES" w:eastAsia="es-ES"/>
        </w:rPr>
        <w:t xml:space="preserve">conceptos </w:t>
      </w:r>
      <w:r w:rsidRPr="005F7624">
        <w:rPr>
          <w:rFonts w:ascii="Palatino Linotype" w:eastAsia="Times New Roman" w:hAnsi="Palatino Linotype" w:cs="Times New Roman"/>
          <w:i/>
          <w:color w:val="000000"/>
          <w:sz w:val="24"/>
          <w:szCs w:val="24"/>
          <w:lang w:val="es-ES" w:eastAsia="es-ES"/>
        </w:rPr>
        <w:t xml:space="preserve">de </w:t>
      </w:r>
      <w:r w:rsidRPr="005F7624">
        <w:rPr>
          <w:rFonts w:ascii="Palatino Linotype" w:eastAsia="Times New Roman" w:hAnsi="Palatino Linotype" w:cs="Times New Roman"/>
          <w:b/>
          <w:i/>
          <w:color w:val="000000"/>
          <w:sz w:val="24"/>
          <w:szCs w:val="24"/>
          <w:lang w:val="es-ES" w:eastAsia="es-ES"/>
        </w:rPr>
        <w:t>violación</w:t>
      </w:r>
      <w:r w:rsidRPr="005F7624">
        <w:rPr>
          <w:rFonts w:ascii="Palatino Linotype" w:eastAsia="Times New Roman" w:hAnsi="Palatino Linotype" w:cs="Times New Roman"/>
          <w:i/>
          <w:color w:val="000000"/>
          <w:sz w:val="24"/>
          <w:szCs w:val="24"/>
          <w:lang w:val="es-ES" w:eastAsia="es-ES"/>
        </w:rPr>
        <w:t xml:space="preserve">, dado que, la principal consecuencia del </w:t>
      </w:r>
      <w:r w:rsidRPr="005F7624">
        <w:rPr>
          <w:rFonts w:ascii="Palatino Linotype" w:eastAsia="Times New Roman" w:hAnsi="Palatino Linotype" w:cs="Times New Roman"/>
          <w:b/>
          <w:i/>
          <w:color w:val="000000"/>
          <w:sz w:val="24"/>
          <w:szCs w:val="24"/>
          <w:lang w:val="es-ES" w:eastAsia="es-ES"/>
        </w:rPr>
        <w:t>sobreseimiento</w:t>
      </w:r>
      <w:r w:rsidRPr="005F7624">
        <w:rPr>
          <w:rFonts w:ascii="Palatino Linotype" w:eastAsia="Times New Roman" w:hAnsi="Palatino Linotype" w:cs="Times New Roman"/>
          <w:i/>
          <w:color w:val="000000"/>
          <w:sz w:val="24"/>
          <w:szCs w:val="24"/>
          <w:lang w:val="es-ES" w:eastAsia="es-ES"/>
        </w:rPr>
        <w:t xml:space="preserve"> es poner fin al </w:t>
      </w:r>
      <w:r w:rsidRPr="005F7624">
        <w:rPr>
          <w:rFonts w:ascii="Palatino Linotype" w:eastAsia="Times New Roman" w:hAnsi="Palatino Linotype" w:cs="Times New Roman"/>
          <w:b/>
          <w:i/>
          <w:color w:val="000000"/>
          <w:sz w:val="24"/>
          <w:szCs w:val="24"/>
          <w:lang w:val="es-ES" w:eastAsia="es-ES"/>
        </w:rPr>
        <w:t xml:space="preserve">juicio </w:t>
      </w:r>
      <w:r w:rsidRPr="005F7624">
        <w:rPr>
          <w:rFonts w:ascii="Palatino Linotype" w:eastAsia="Times New Roman" w:hAnsi="Palatino Linotype" w:cs="Times New Roman"/>
          <w:i/>
          <w:color w:val="000000"/>
          <w:sz w:val="24"/>
          <w:szCs w:val="24"/>
          <w:lang w:val="es-ES" w:eastAsia="es-ES"/>
        </w:rPr>
        <w:t xml:space="preserve">de </w:t>
      </w:r>
      <w:r w:rsidRPr="005F7624">
        <w:rPr>
          <w:rFonts w:ascii="Palatino Linotype" w:eastAsia="Times New Roman" w:hAnsi="Palatino Linotype" w:cs="Times New Roman"/>
          <w:b/>
          <w:i/>
          <w:color w:val="000000"/>
          <w:sz w:val="24"/>
          <w:szCs w:val="24"/>
          <w:lang w:val="es-ES" w:eastAsia="es-ES"/>
        </w:rPr>
        <w:t xml:space="preserve">amparo </w:t>
      </w:r>
      <w:r w:rsidRPr="005F7624">
        <w:rPr>
          <w:rFonts w:ascii="Palatino Linotype" w:eastAsia="Times New Roman" w:hAnsi="Palatino Linotype" w:cs="Times New Roman"/>
          <w:i/>
          <w:color w:val="000000"/>
          <w:sz w:val="24"/>
          <w:szCs w:val="24"/>
          <w:lang w:val="es-ES" w:eastAsia="es-ES"/>
        </w:rPr>
        <w:t>sin resolver la controversia en sus méritos.  </w:t>
      </w:r>
    </w:p>
    <w:p w14:paraId="0898CCEE" w14:textId="77777777" w:rsidR="005F7624" w:rsidRPr="005F7624" w:rsidRDefault="005F7624" w:rsidP="005F7624">
      <w:pPr>
        <w:spacing w:after="0" w:line="360" w:lineRule="auto"/>
        <w:ind w:left="851" w:right="851"/>
        <w:jc w:val="both"/>
        <w:rPr>
          <w:rFonts w:ascii="Palatino Linotype" w:eastAsia="Times New Roman" w:hAnsi="Palatino Linotype" w:cs="Arial"/>
          <w:b/>
          <w:i/>
          <w:sz w:val="24"/>
          <w:szCs w:val="24"/>
          <w:lang w:val="es-ES" w:eastAsia="es-ES"/>
        </w:rPr>
      </w:pPr>
      <w:r w:rsidRPr="005F7624">
        <w:rPr>
          <w:rFonts w:ascii="Palatino Linotype" w:eastAsia="Times New Roman" w:hAnsi="Palatino Linotype" w:cs="Arial"/>
          <w:b/>
          <w:i/>
          <w:sz w:val="24"/>
          <w:szCs w:val="24"/>
          <w:lang w:val="es-ES" w:eastAsia="es-ES"/>
        </w:rPr>
        <w:t>SÉPTIMO TRIBUNAL COLEGIADO EN MATERIA CIVIL DEL PRIMER CIRCUITO.</w:t>
      </w:r>
    </w:p>
    <w:p w14:paraId="68FA7CEE" w14:textId="77777777" w:rsidR="005F7624" w:rsidRPr="005F7624" w:rsidRDefault="005F7624" w:rsidP="005F7624">
      <w:pPr>
        <w:spacing w:after="0" w:line="360" w:lineRule="auto"/>
        <w:ind w:left="851" w:right="851"/>
        <w:jc w:val="both"/>
        <w:rPr>
          <w:rFonts w:ascii="Palatino Linotype" w:eastAsia="Times New Roman" w:hAnsi="Palatino Linotype" w:cs="Arial"/>
          <w:i/>
          <w:sz w:val="24"/>
          <w:szCs w:val="24"/>
          <w:lang w:val="es-ES" w:eastAsia="es-ES"/>
        </w:rPr>
      </w:pPr>
      <w:r w:rsidRPr="005F7624">
        <w:rPr>
          <w:rFonts w:ascii="Palatino Linotype" w:eastAsia="Times New Roman" w:hAnsi="Palatino Linotype" w:cs="Arial"/>
          <w:i/>
          <w:sz w:val="24"/>
          <w:szCs w:val="24"/>
          <w:lang w:val="es-ES" w:eastAsia="es-ES"/>
        </w:rPr>
        <w:lastRenderedPageBreak/>
        <w:t xml:space="preserve">Amparo directo 699/2008. Mariana Leticia González </w:t>
      </w:r>
      <w:proofErr w:type="spellStart"/>
      <w:r w:rsidRPr="005F7624">
        <w:rPr>
          <w:rFonts w:ascii="Palatino Linotype" w:eastAsia="Times New Roman" w:hAnsi="Palatino Linotype" w:cs="Arial"/>
          <w:i/>
          <w:sz w:val="24"/>
          <w:szCs w:val="24"/>
          <w:lang w:val="es-ES" w:eastAsia="es-ES"/>
        </w:rPr>
        <w:t>Steele</w:t>
      </w:r>
      <w:proofErr w:type="spellEnd"/>
      <w:r w:rsidRPr="005F7624">
        <w:rPr>
          <w:rFonts w:ascii="Palatino Linotype" w:eastAsia="Times New Roman" w:hAnsi="Palatino Linotype" w:cs="Arial"/>
          <w:i/>
          <w:sz w:val="24"/>
          <w:szCs w:val="24"/>
          <w:lang w:val="es-ES" w:eastAsia="es-ES"/>
        </w:rPr>
        <w:t>. 13 de noviembre de 2008. Unanimidad de votos. Ponente: Sara Judith Montalvo Trejo. Secretario: Arnulfo Mateos García.”</w:t>
      </w:r>
      <w:r w:rsidRPr="005F7624">
        <w:rPr>
          <w:rFonts w:ascii="Palatino Linotype" w:eastAsia="Times New Roman" w:hAnsi="Palatino Linotype" w:cs="Times New Roman"/>
          <w:b/>
          <w:i/>
          <w:sz w:val="24"/>
          <w:szCs w:val="24"/>
          <w:lang w:val="es-ES_tradnl" w:eastAsia="es-ES"/>
        </w:rPr>
        <w:t xml:space="preserve"> [Sic]</w:t>
      </w:r>
    </w:p>
    <w:p w14:paraId="6C97B8AF" w14:textId="77777777" w:rsidR="005F7624" w:rsidRPr="005F7624" w:rsidRDefault="005F7624" w:rsidP="005F7624">
      <w:pPr>
        <w:spacing w:after="0" w:line="240" w:lineRule="auto"/>
        <w:ind w:right="141"/>
        <w:jc w:val="both"/>
        <w:rPr>
          <w:rFonts w:ascii="Palatino Linotype" w:eastAsia="Times New Roman" w:hAnsi="Palatino Linotype" w:cs="Arial"/>
          <w:sz w:val="24"/>
          <w:szCs w:val="24"/>
          <w:lang w:val="es-ES" w:eastAsia="es-ES"/>
        </w:rPr>
      </w:pPr>
    </w:p>
    <w:p w14:paraId="139505F1" w14:textId="77777777" w:rsidR="005F7624" w:rsidRPr="005F7624" w:rsidRDefault="005F7624" w:rsidP="005F7624">
      <w:pPr>
        <w:spacing w:after="0" w:line="360" w:lineRule="auto"/>
        <w:jc w:val="both"/>
        <w:rPr>
          <w:rFonts w:ascii="Palatino Linotype" w:eastAsia="Times New Roman" w:hAnsi="Palatino Linotype" w:cs="Arial"/>
          <w:sz w:val="24"/>
          <w:szCs w:val="24"/>
          <w:lang w:val="es-ES" w:eastAsia="es-ES"/>
        </w:rPr>
      </w:pPr>
      <w:r w:rsidRPr="005F7624">
        <w:rPr>
          <w:rFonts w:ascii="Palatino Linotype" w:eastAsia="Times New Roman"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5F7624">
        <w:rPr>
          <w:rFonts w:ascii="Palatino Linotype" w:eastAsia="Times New Roman" w:hAnsi="Palatino Linotype" w:cs="Arial"/>
          <w:b/>
          <w:sz w:val="24"/>
          <w:szCs w:val="24"/>
          <w:lang w:val="es-ES" w:eastAsia="es-ES"/>
        </w:rPr>
        <w:t xml:space="preserve">artículo 192 </w:t>
      </w:r>
      <w:r w:rsidRPr="005F7624">
        <w:rPr>
          <w:rFonts w:ascii="Palatino Linotype" w:eastAsia="Times New Roman" w:hAnsi="Palatino Linotype" w:cs="Arial"/>
          <w:sz w:val="24"/>
          <w:szCs w:val="24"/>
          <w:lang w:val="es-ES" w:eastAsia="es-ES"/>
        </w:rPr>
        <w:t xml:space="preserve">de la </w:t>
      </w:r>
      <w:r w:rsidRPr="005F7624">
        <w:rPr>
          <w:rFonts w:ascii="Palatino Linotype" w:eastAsia="Times New Roman" w:hAnsi="Palatino Linotype" w:cs="Arial"/>
          <w:b/>
          <w:sz w:val="24"/>
          <w:szCs w:val="24"/>
          <w:lang w:val="es-ES" w:eastAsia="es-ES"/>
        </w:rPr>
        <w:t xml:space="preserve">Ley de Transparencia y Acceso a la Información Pública del Estado de México y Municipios, </w:t>
      </w:r>
      <w:r w:rsidRPr="005F7624">
        <w:rPr>
          <w:rFonts w:ascii="Palatino Linotype" w:eastAsia="Times New Roman" w:hAnsi="Palatino Linotype" w:cs="Arial"/>
          <w:sz w:val="24"/>
          <w:szCs w:val="24"/>
          <w:lang w:val="es-ES" w:eastAsia="es-ES"/>
        </w:rPr>
        <w:t xml:space="preserve">nos encontramos ante un sobreseimiento definitivo toda vez que pone fin al procedimiento sin entrar al estudio de fondo del mismo. </w:t>
      </w:r>
    </w:p>
    <w:p w14:paraId="5711A579" w14:textId="21724E80" w:rsidR="005F7624" w:rsidRPr="005F7624" w:rsidRDefault="005F7624" w:rsidP="005F7624">
      <w:pPr>
        <w:autoSpaceDE w:val="0"/>
        <w:autoSpaceDN w:val="0"/>
        <w:adjustRightInd w:val="0"/>
        <w:spacing w:before="240" w:after="0" w:line="360" w:lineRule="auto"/>
        <w:ind w:right="-18"/>
        <w:jc w:val="both"/>
        <w:rPr>
          <w:rFonts w:ascii="Palatino Linotype" w:eastAsia="Times New Roman" w:hAnsi="Palatino Linotype" w:cs="Times New Roman"/>
          <w:b/>
          <w:bCs/>
          <w:sz w:val="24"/>
          <w:szCs w:val="24"/>
          <w:u w:val="single"/>
          <w:lang w:val="es-ES" w:eastAsia="es-ES"/>
        </w:rPr>
      </w:pPr>
      <w:r w:rsidRPr="005F7624">
        <w:rPr>
          <w:rFonts w:ascii="Palatino Linotype" w:eastAsia="Times New Roman" w:hAnsi="Palatino Linotype" w:cs="Times New Roman"/>
          <w:b/>
          <w:bCs/>
          <w:sz w:val="24"/>
          <w:szCs w:val="24"/>
          <w:u w:val="single"/>
          <w:lang w:val="es-ES" w:eastAsia="es-ES"/>
        </w:rPr>
        <w:t xml:space="preserve">Para los efectos de esta resolución, resulta oportuno precisar la improcedencia del recurso por no actualizar alguno de los supuestos previstos en la ley de transparencia (Artículo 191 </w:t>
      </w:r>
      <w:r w:rsidR="0047290B" w:rsidRPr="003121B8">
        <w:rPr>
          <w:rFonts w:ascii="Palatino Linotype" w:eastAsia="Times New Roman" w:hAnsi="Palatino Linotype" w:cs="Times New Roman"/>
          <w:b/>
          <w:bCs/>
          <w:sz w:val="24"/>
          <w:szCs w:val="24"/>
          <w:u w:val="single"/>
          <w:lang w:val="es-ES" w:eastAsia="es-ES"/>
        </w:rPr>
        <w:t>fracción</w:t>
      </w:r>
      <w:r w:rsidRPr="005F7624">
        <w:rPr>
          <w:rFonts w:ascii="Palatino Linotype" w:eastAsia="Times New Roman" w:hAnsi="Palatino Linotype" w:cs="Times New Roman"/>
          <w:b/>
          <w:bCs/>
          <w:sz w:val="24"/>
          <w:szCs w:val="24"/>
          <w:u w:val="single"/>
          <w:lang w:val="es-ES" w:eastAsia="es-ES"/>
        </w:rPr>
        <w:t xml:space="preserve"> III y 192 fracción IV de la Ley de Transparencia local)</w:t>
      </w:r>
    </w:p>
    <w:p w14:paraId="5B05F244" w14:textId="77777777" w:rsidR="005F7624" w:rsidRPr="005F7624" w:rsidRDefault="005F7624" w:rsidP="005F7624">
      <w:pPr>
        <w:tabs>
          <w:tab w:val="left" w:pos="5415"/>
        </w:tabs>
        <w:spacing w:before="240" w:after="0" w:line="360" w:lineRule="auto"/>
        <w:ind w:right="51"/>
        <w:jc w:val="both"/>
        <w:rPr>
          <w:rFonts w:ascii="Palatino Linotype" w:eastAsia="Times New Roman" w:hAnsi="Palatino Linotype" w:cs="Arial"/>
          <w:sz w:val="24"/>
          <w:szCs w:val="24"/>
          <w:lang w:val="es-ES" w:eastAsia="es-ES"/>
        </w:rPr>
      </w:pPr>
      <w:r w:rsidRPr="005F7624">
        <w:rPr>
          <w:rFonts w:ascii="Palatino Linotype" w:eastAsia="Times New Roman" w:hAnsi="Palatino Linotype" w:cs="Arial"/>
          <w:sz w:val="24"/>
          <w:szCs w:val="24"/>
          <w:lang w:val="es-ES" w:eastAsia="es-ES"/>
        </w:rPr>
        <w:t xml:space="preserve">Bajo este contexto, cobra particular relevancia la corriente que emana de la Segunda Sala de la Suprema Corte de Justicia de la Nación, a través de la jurisprudencia con número de registro digital </w:t>
      </w:r>
      <w:r w:rsidRPr="005F7624">
        <w:rPr>
          <w:rFonts w:ascii="Palatino Linotype" w:eastAsia="Times New Roman" w:hAnsi="Palatino Linotype" w:cs="Arial"/>
          <w:b/>
          <w:sz w:val="24"/>
          <w:szCs w:val="24"/>
          <w:lang w:val="es-ES" w:eastAsia="es-ES"/>
        </w:rPr>
        <w:t>195744</w:t>
      </w:r>
      <w:r w:rsidRPr="005F7624">
        <w:rPr>
          <w:rFonts w:ascii="Palatino Linotype" w:eastAsia="Times New Roman" w:hAnsi="Palatino Linotype" w:cs="Arial"/>
          <w:sz w:val="24"/>
          <w:szCs w:val="24"/>
          <w:lang w:val="es-ES" w:eastAsia="es-ES"/>
        </w:rPr>
        <w:t xml:space="preserve"> de la Novena Época, visible en el Semanario Judicial de la Federación y su Gaceta, Tomo VIII, de agosto de 1998, tesis 2a/J. 54/98 en materia común, en la que se establece lo siguiente:</w:t>
      </w:r>
    </w:p>
    <w:p w14:paraId="5D2704B8" w14:textId="77777777" w:rsidR="0000574D" w:rsidRPr="003121B8" w:rsidRDefault="0000574D" w:rsidP="0000574D">
      <w:pPr>
        <w:spacing w:after="0" w:line="360" w:lineRule="auto"/>
        <w:jc w:val="both"/>
        <w:rPr>
          <w:rFonts w:ascii="Palatino Linotype" w:eastAsia="Times New Roman" w:hAnsi="Palatino Linotype" w:cs="Times New Roman"/>
          <w:sz w:val="24"/>
          <w:szCs w:val="24"/>
          <w:lang w:val="es-ES" w:eastAsia="es-ES"/>
        </w:rPr>
      </w:pPr>
    </w:p>
    <w:p w14:paraId="100D62FE" w14:textId="4B176FC0" w:rsidR="005F7624" w:rsidRPr="005F7624" w:rsidRDefault="0000574D" w:rsidP="005F7624">
      <w:pPr>
        <w:spacing w:before="240" w:after="0" w:line="360" w:lineRule="auto"/>
        <w:jc w:val="both"/>
        <w:rPr>
          <w:rFonts w:ascii="Palatino Linotype" w:eastAsia="Times New Roman" w:hAnsi="Palatino Linotype" w:cs="Times New Roman"/>
          <w:sz w:val="24"/>
          <w:szCs w:val="24"/>
          <w:lang w:val="es-ES" w:eastAsia="es-ES"/>
        </w:rPr>
      </w:pPr>
      <w:r w:rsidRPr="003121B8">
        <w:rPr>
          <w:rFonts w:ascii="Palatino Linotype" w:eastAsia="Times New Roman" w:hAnsi="Palatino Linotype" w:cs="Times New Roman"/>
          <w:sz w:val="24"/>
          <w:szCs w:val="24"/>
          <w:lang w:val="es-ES" w:eastAsia="es-ES"/>
        </w:rPr>
        <w:t>D</w:t>
      </w:r>
      <w:r w:rsidR="005F7624" w:rsidRPr="005F7624">
        <w:rPr>
          <w:rFonts w:ascii="Palatino Linotype" w:eastAsia="Times New Roman" w:hAnsi="Palatino Linotype" w:cs="Times New Roman"/>
          <w:sz w:val="24"/>
          <w:szCs w:val="24"/>
          <w:lang w:val="es-ES" w:eastAsia="es-ES"/>
        </w:rPr>
        <w:t xml:space="preserve">ebemos destacar que, en la solicitud de información planteada por el particular, se observa en </w:t>
      </w:r>
      <w:r w:rsidR="005F7624" w:rsidRPr="005F7624">
        <w:rPr>
          <w:rFonts w:ascii="Palatino Linotype" w:eastAsia="Times New Roman" w:hAnsi="Palatino Linotype" w:cs="Times New Roman"/>
          <w:color w:val="000000"/>
          <w:sz w:val="24"/>
          <w:szCs w:val="24"/>
          <w:lang w:val="es-ES" w:eastAsia="es-ES"/>
        </w:rPr>
        <w:t xml:space="preserve">primer lugar que la información fue formulada a través de planteamientos en donde </w:t>
      </w:r>
      <w:r w:rsidR="005F7624" w:rsidRPr="005F7624">
        <w:rPr>
          <w:rFonts w:ascii="Palatino Linotype" w:eastAsia="Times New Roman" w:hAnsi="Palatino Linotype" w:cs="Arial"/>
          <w:bCs/>
          <w:iCs/>
          <w:color w:val="222222"/>
          <w:sz w:val="24"/>
          <w:szCs w:val="24"/>
          <w:lang w:val="es-ES" w:eastAsia="es-ES"/>
        </w:rPr>
        <w:t>no se identifica un documento en específico</w:t>
      </w:r>
      <w:r w:rsidR="005F7624" w:rsidRPr="005F7624">
        <w:rPr>
          <w:rFonts w:ascii="Palatino Linotype" w:eastAsia="Times New Roman" w:hAnsi="Palatino Linotype" w:cs="Times New Roman"/>
          <w:color w:val="000000"/>
          <w:sz w:val="24"/>
          <w:szCs w:val="24"/>
          <w:lang w:val="es-ES" w:eastAsia="es-ES"/>
        </w:rPr>
        <w:t xml:space="preserve">, en segundo lugar, se aprecia </w:t>
      </w:r>
      <w:r w:rsidR="005F7624" w:rsidRPr="005F7624">
        <w:rPr>
          <w:rFonts w:ascii="Palatino Linotype" w:eastAsia="Times New Roman" w:hAnsi="Palatino Linotype" w:cs="Times New Roman"/>
          <w:color w:val="000000"/>
          <w:sz w:val="24"/>
          <w:szCs w:val="24"/>
          <w:lang w:val="es-ES" w:eastAsia="es-ES"/>
        </w:rPr>
        <w:lastRenderedPageBreak/>
        <w:t xml:space="preserve">que en la misma se vierten manifestaciones subjetivas que no pueden ser atendidas mediante el Derecho de Acceso a la Información, </w:t>
      </w:r>
      <w:r w:rsidR="005F7624" w:rsidRPr="005F7624">
        <w:rPr>
          <w:rFonts w:ascii="Palatino Linotype" w:eastAsia="Times New Roman" w:hAnsi="Palatino Linotype" w:cs="Arial"/>
          <w:sz w:val="24"/>
          <w:szCs w:val="24"/>
          <w:lang w:val="es-ES" w:eastAsia="es-ES"/>
        </w:rPr>
        <w:t xml:space="preserve">es decir, </w:t>
      </w:r>
      <w:r w:rsidR="005F7624" w:rsidRPr="005F7624">
        <w:rPr>
          <w:rFonts w:ascii="Palatino Linotype" w:eastAsia="Times New Roman" w:hAnsi="Palatino Linotype" w:cs="Times New Roman"/>
          <w:sz w:val="24"/>
          <w:szCs w:val="24"/>
          <w:lang w:val="es-ES" w:eastAsia="es-ES"/>
        </w:rPr>
        <w:t xml:space="preserve">no existe materia de derecho de acceso a la información sobre la que el </w:t>
      </w:r>
      <w:r w:rsidR="005F7624" w:rsidRPr="005F7624">
        <w:rPr>
          <w:rFonts w:ascii="Palatino Linotype" w:eastAsia="Times New Roman" w:hAnsi="Palatino Linotype" w:cs="Times New Roman"/>
          <w:b/>
          <w:bCs/>
          <w:sz w:val="24"/>
          <w:szCs w:val="24"/>
          <w:lang w:val="es-ES" w:eastAsia="es-ES"/>
        </w:rPr>
        <w:t>Sujeto Obligado</w:t>
      </w:r>
      <w:r w:rsidR="005F7624" w:rsidRPr="005F7624">
        <w:rPr>
          <w:rFonts w:ascii="Palatino Linotype" w:eastAsia="Times New Roman" w:hAnsi="Palatino Linotype" w:cs="Times New Roman"/>
          <w:sz w:val="24"/>
          <w:szCs w:val="24"/>
          <w:lang w:val="es-ES" w:eastAsia="es-ES"/>
        </w:rPr>
        <w:t xml:space="preserve"> o sujeto obligado diverso pueda entregar información alguna, ello es así porque </w:t>
      </w:r>
      <w:r w:rsidR="005F7624" w:rsidRPr="005F7624">
        <w:rPr>
          <w:rFonts w:ascii="Palatino Linotype" w:eastAsia="Times New Roman" w:hAnsi="Palatino Linotype" w:cs="Times New Roman"/>
          <w:b/>
          <w:bCs/>
          <w:sz w:val="24"/>
          <w:szCs w:val="24"/>
          <w:lang w:val="es-ES" w:eastAsia="es-ES"/>
        </w:rPr>
        <w:t xml:space="preserve">El Recurrente </w:t>
      </w:r>
      <w:r w:rsidR="005F7624" w:rsidRPr="005F7624">
        <w:rPr>
          <w:rFonts w:ascii="Palatino Linotype" w:eastAsia="Times New Roman" w:hAnsi="Palatino Linotype" w:cs="Times New Roman"/>
          <w:sz w:val="24"/>
          <w:szCs w:val="24"/>
          <w:lang w:val="es-ES" w:eastAsia="es-ES"/>
        </w:rPr>
        <w:t xml:space="preserve">requiere la contestación de un cuestionamiento de manifestaciones subjetivas. </w:t>
      </w:r>
    </w:p>
    <w:p w14:paraId="6C9B6FF4" w14:textId="77777777" w:rsidR="005F7624" w:rsidRPr="005F7624" w:rsidRDefault="005F7624" w:rsidP="005F7624">
      <w:pPr>
        <w:autoSpaceDE w:val="0"/>
        <w:autoSpaceDN w:val="0"/>
        <w:adjustRightInd w:val="0"/>
        <w:spacing w:after="0" w:line="360" w:lineRule="auto"/>
        <w:contextualSpacing/>
        <w:jc w:val="both"/>
        <w:rPr>
          <w:rFonts w:ascii="Palatino Linotype" w:eastAsia="Times New Roman" w:hAnsi="Palatino Linotype" w:cs="Times New Roman"/>
          <w:sz w:val="24"/>
          <w:szCs w:val="24"/>
          <w:lang w:val="es-ES" w:eastAsia="es-ES"/>
        </w:rPr>
      </w:pPr>
    </w:p>
    <w:p w14:paraId="2222E0FF" w14:textId="77777777" w:rsidR="005F7624" w:rsidRPr="005F7624" w:rsidRDefault="005F7624" w:rsidP="005F7624">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r w:rsidRPr="005F7624">
        <w:rPr>
          <w:rFonts w:ascii="Palatino Linotype" w:eastAsia="Times New Roman" w:hAnsi="Palatino Linotype" w:cs="Times New Roman"/>
          <w:sz w:val="24"/>
          <w:szCs w:val="24"/>
          <w:lang w:val="es-ES" w:eastAsia="es-ES"/>
        </w:rPr>
        <w:t xml:space="preserve">Bajo éste tenor cabe aclarar que cuando los planteamientos que formulen los particulares se pueda colmar con la entrega de </w:t>
      </w:r>
      <w:r w:rsidRPr="005F7624">
        <w:rPr>
          <w:rFonts w:ascii="Palatino Linotype" w:eastAsia="Times New Roman" w:hAnsi="Palatino Linotype" w:cs="Arial"/>
          <w:sz w:val="24"/>
          <w:szCs w:val="24"/>
          <w:lang w:val="es-ES" w:eastAsia="es-ES"/>
        </w:rPr>
        <w:t xml:space="preserve">documentos que los </w:t>
      </w:r>
      <w:r w:rsidRPr="005F7624">
        <w:rPr>
          <w:rFonts w:ascii="Palatino Linotype" w:eastAsia="Times New Roman" w:hAnsi="Palatino Linotype" w:cs="Arial"/>
          <w:b/>
          <w:bCs/>
          <w:sz w:val="24"/>
          <w:szCs w:val="24"/>
          <w:lang w:val="es-ES" w:eastAsia="es-ES"/>
        </w:rPr>
        <w:t>Sujetos Obligados</w:t>
      </w:r>
      <w:r w:rsidRPr="005F7624">
        <w:rPr>
          <w:rFonts w:ascii="Palatino Linotype" w:eastAsia="Times New Roman" w:hAnsi="Palatino Linotype" w:cs="Arial"/>
          <w:sz w:val="24"/>
          <w:szCs w:val="24"/>
          <w:lang w:val="es-ES" w:eastAsia="es-ES"/>
        </w:rPr>
        <w:t xml:space="preserve"> generen, posean o administren en ejercicio de sus atribuciones, se está en presencia del derecho fundamental de acceso a la información, previsto en el artículo 6, Apartado </w:t>
      </w:r>
      <w:r w:rsidRPr="005F7624">
        <w:rPr>
          <w:rFonts w:ascii="Palatino Linotype" w:eastAsia="Times New Roman" w:hAnsi="Palatino Linotype" w:cs="Times New Roman"/>
          <w:sz w:val="24"/>
          <w:szCs w:val="24"/>
          <w:lang w:val="es-ES" w:eastAsia="es-ES"/>
        </w:rPr>
        <w:t>A, fracción IV de la Constitución Política de los Estados Unidos Mexicanos, el cual deberá garantizarse ordenando la entrega de tales documentales, siempre y cuando éstas sean de acceso público.</w:t>
      </w:r>
    </w:p>
    <w:p w14:paraId="2F1E6C22" w14:textId="77777777" w:rsidR="005F7624" w:rsidRPr="005F7624" w:rsidRDefault="005F7624" w:rsidP="005F762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D27117E" w14:textId="77777777" w:rsidR="005F7624" w:rsidRPr="005F7624" w:rsidRDefault="005F7624" w:rsidP="005F7624">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val="es-ES" w:eastAsia="es-ES"/>
        </w:rPr>
      </w:pPr>
      <w:r w:rsidRPr="005F7624">
        <w:rPr>
          <w:rFonts w:ascii="Palatino Linotype" w:eastAsia="Times New Roman" w:hAnsi="Palatino Linotype" w:cs="Arial"/>
          <w:color w:val="000000" w:themeColor="text1"/>
          <w:sz w:val="24"/>
          <w:szCs w:val="24"/>
          <w:lang w:val="es-ES" w:eastAsia="es-ES"/>
        </w:rPr>
        <w:t xml:space="preserve">Sirve de sustento a lo anterior, el </w:t>
      </w:r>
      <w:r w:rsidRPr="005F7624">
        <w:rPr>
          <w:rFonts w:ascii="Palatino Linotype" w:eastAsiaTheme="majorEastAsia" w:hAnsi="Palatino Linotype" w:cs="Arial"/>
          <w:color w:val="000000" w:themeColor="text1"/>
          <w:sz w:val="24"/>
          <w:szCs w:val="24"/>
          <w:lang w:val="es-ES" w:eastAsia="es-ES"/>
        </w:rPr>
        <w:t>Criterio</w:t>
      </w:r>
      <w:r w:rsidRPr="005F7624">
        <w:rPr>
          <w:rFonts w:ascii="Palatino Linotype" w:eastAsia="Times New Roman" w:hAnsi="Palatino Linotype" w:cs="Arial"/>
          <w:color w:val="000000" w:themeColor="text1"/>
          <w:sz w:val="24"/>
          <w:szCs w:val="24"/>
          <w:lang w:val="es-ES" w:eastAsia="es-ES"/>
        </w:rPr>
        <w:t xml:space="preserve"> </w:t>
      </w:r>
      <w:r w:rsidRPr="005F7624">
        <w:rPr>
          <w:rFonts w:ascii="Palatino Linotype" w:eastAsiaTheme="majorEastAsia" w:hAnsi="Palatino Linotype" w:cs="Arial"/>
          <w:b/>
          <w:bCs/>
          <w:color w:val="000000" w:themeColor="text1"/>
          <w:sz w:val="24"/>
          <w:szCs w:val="24"/>
          <w:lang w:val="es-ES" w:eastAsia="es-ES"/>
        </w:rPr>
        <w:t>028</w:t>
      </w:r>
      <w:r w:rsidRPr="005F7624">
        <w:rPr>
          <w:rFonts w:ascii="Palatino Linotype" w:eastAsia="Times New Roman" w:hAnsi="Palatino Linotype" w:cs="Arial"/>
          <w:b/>
          <w:bCs/>
          <w:color w:val="000000" w:themeColor="text1"/>
          <w:sz w:val="24"/>
          <w:szCs w:val="24"/>
          <w:lang w:val="es-ES" w:eastAsia="es-ES"/>
        </w:rPr>
        <w:t>-</w:t>
      </w:r>
      <w:r w:rsidRPr="005F7624">
        <w:rPr>
          <w:rFonts w:ascii="Palatino Linotype" w:eastAsiaTheme="majorEastAsia" w:hAnsi="Palatino Linotype" w:cs="Arial"/>
          <w:b/>
          <w:bCs/>
          <w:color w:val="000000" w:themeColor="text1"/>
          <w:sz w:val="24"/>
          <w:szCs w:val="24"/>
          <w:lang w:val="es-ES" w:eastAsia="es-ES"/>
        </w:rPr>
        <w:t>10</w:t>
      </w:r>
      <w:r w:rsidRPr="005F7624">
        <w:rPr>
          <w:rFonts w:ascii="Palatino Linotype" w:eastAsia="Times New Roman" w:hAnsi="Palatino Linotype" w:cs="Arial"/>
          <w:color w:val="000000" w:themeColor="text1"/>
          <w:sz w:val="24"/>
          <w:szCs w:val="24"/>
          <w:lang w:val="es-ES" w:eastAsia="es-ES"/>
        </w:rPr>
        <w:t xml:space="preserve">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5F7624">
        <w:rPr>
          <w:rFonts w:ascii="Palatino Linotype" w:eastAsia="Times New Roman" w:hAnsi="Palatino Linotype" w:cs="Arial"/>
          <w:i/>
          <w:iCs/>
          <w:color w:val="000000" w:themeColor="text1"/>
          <w:sz w:val="24"/>
          <w:szCs w:val="24"/>
          <w:lang w:val="es-ES" w:eastAsia="es-ES"/>
        </w:rPr>
        <w:t xml:space="preserve"> </w:t>
      </w:r>
      <w:r w:rsidRPr="005F7624">
        <w:rPr>
          <w:rFonts w:ascii="Palatino Linotype" w:eastAsia="Times New Roman" w:hAnsi="Palatino Linotype" w:cs="Arial"/>
          <w:color w:val="000000" w:themeColor="text1"/>
          <w:sz w:val="24"/>
          <w:szCs w:val="24"/>
          <w:lang w:val="es-ES" w:eastAsia="es-ES"/>
        </w:rPr>
        <w:t xml:space="preserve">aunque el particular lleve a cabo una solicitud de información sin identificar de forma precisa la documentación, </w:t>
      </w:r>
      <w:r w:rsidRPr="005F7624">
        <w:rPr>
          <w:rFonts w:ascii="Palatino Linotype" w:eastAsia="Times New Roman" w:hAnsi="Palatino Linotype" w:cs="Arial"/>
          <w:b/>
          <w:color w:val="000000" w:themeColor="text1"/>
          <w:sz w:val="24"/>
          <w:szCs w:val="24"/>
          <w:lang w:val="es-ES" w:eastAsia="es-ES"/>
        </w:rPr>
        <w:t xml:space="preserve">el Sujeto </w:t>
      </w:r>
      <w:r w:rsidRPr="005F7624">
        <w:rPr>
          <w:rFonts w:ascii="Palatino Linotype" w:eastAsia="Times New Roman" w:hAnsi="Palatino Linotype" w:cs="Arial"/>
          <w:b/>
          <w:color w:val="000000" w:themeColor="text1"/>
          <w:sz w:val="24"/>
          <w:szCs w:val="24"/>
          <w:lang w:val="es-ES" w:eastAsia="es-ES"/>
        </w:rPr>
        <w:lastRenderedPageBreak/>
        <w:t xml:space="preserve">obligado </w:t>
      </w:r>
      <w:r w:rsidRPr="005F7624">
        <w:rPr>
          <w:rFonts w:ascii="Palatino Linotype" w:eastAsia="Times New Roman" w:hAnsi="Palatino Linotype" w:cs="Arial"/>
          <w:color w:val="000000" w:themeColor="text1"/>
          <w:sz w:val="24"/>
          <w:szCs w:val="24"/>
          <w:lang w:val="es-ES" w:eastAsia="es-ES"/>
        </w:rPr>
        <w:t>deberá hacer entrega del mismo al solicitante mismo que a continuación se cita:</w:t>
      </w:r>
    </w:p>
    <w:p w14:paraId="1ED6F102" w14:textId="77777777" w:rsidR="005F7624" w:rsidRPr="005F7624" w:rsidRDefault="005F7624" w:rsidP="005F7624">
      <w:pPr>
        <w:spacing w:before="240" w:line="360" w:lineRule="auto"/>
        <w:ind w:left="851" w:right="851"/>
        <w:jc w:val="both"/>
        <w:rPr>
          <w:rFonts w:ascii="Palatino Linotype" w:hAnsi="Palatino Linotype" w:cs="Arial"/>
          <w:b/>
          <w:bCs/>
          <w:iCs/>
          <w:color w:val="000000" w:themeColor="text1"/>
          <w:lang w:val="es-ES_tradnl"/>
        </w:rPr>
      </w:pPr>
      <w:r w:rsidRPr="005F7624">
        <w:rPr>
          <w:rFonts w:ascii="Palatino Linotype" w:hAnsi="Palatino Linotype" w:cs="Arial"/>
          <w:b/>
          <w:bCs/>
          <w:i/>
          <w:lang w:val="es-ES_tradnl"/>
        </w:rPr>
        <w:t>“CUANDO EN UNA SOLICITUD DE INFORMACIÓN NO SE IDENTIFIQUE UN DOCUMENTO EN ESPECÍFICO, SI ÉSTA TIENE UNA EXPRESIÓN DOCUMENTAL, EL SUJETO OBLIGADO DEBERÁ ENTREGAR AL PARTICULAR EL DOCUMENTO EN ESPECÍFICO.</w:t>
      </w:r>
      <w:r w:rsidRPr="005F7624">
        <w:rPr>
          <w:rFonts w:ascii="Palatino Linotype" w:hAnsi="Palatino Linotype" w:cs="Arial"/>
          <w:b/>
          <w:bCs/>
          <w:iCs/>
          <w:color w:val="000000" w:themeColor="text1"/>
          <w:lang w:val="es-ES_tradnl"/>
        </w:rPr>
        <w:t xml:space="preserve"> </w:t>
      </w:r>
    </w:p>
    <w:p w14:paraId="36E89239" w14:textId="77777777" w:rsidR="005F7624" w:rsidRPr="005F7624" w:rsidRDefault="005F7624" w:rsidP="005F7624">
      <w:pPr>
        <w:spacing w:before="240" w:line="360" w:lineRule="auto"/>
        <w:ind w:left="851" w:right="851"/>
        <w:jc w:val="both"/>
        <w:rPr>
          <w:rFonts w:ascii="Palatino Linotype" w:hAnsi="Palatino Linotype" w:cs="Arial"/>
          <w:i/>
          <w:lang w:val="es-ES_tradnl"/>
        </w:rPr>
      </w:pPr>
      <w:r w:rsidRPr="005F7624">
        <w:rPr>
          <w:rFonts w:ascii="Palatino Linotype" w:hAnsi="Palatino Linotype" w:cs="Arial"/>
          <w:i/>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133E6CE7" w14:textId="77777777" w:rsidR="005F7624" w:rsidRPr="005F7624" w:rsidRDefault="005F7624" w:rsidP="005F7624">
      <w:pPr>
        <w:spacing w:before="240" w:line="360" w:lineRule="auto"/>
        <w:ind w:left="851" w:right="851"/>
        <w:jc w:val="both"/>
        <w:rPr>
          <w:rFonts w:ascii="Palatino Linotype" w:hAnsi="Palatino Linotype" w:cs="Arial"/>
          <w:b/>
          <w:bCs/>
          <w:i/>
        </w:rPr>
      </w:pPr>
      <w:r w:rsidRPr="005F7624">
        <w:rPr>
          <w:rFonts w:ascii="Palatino Linotype" w:hAnsi="Palatino Linotype" w:cs="Arial"/>
          <w:b/>
          <w:bCs/>
          <w:i/>
        </w:rPr>
        <w:t>Precedentes:</w:t>
      </w:r>
    </w:p>
    <w:p w14:paraId="5CE48560" w14:textId="77777777" w:rsidR="005F7624" w:rsidRPr="005F7624" w:rsidRDefault="005F7624" w:rsidP="005F7624">
      <w:pPr>
        <w:numPr>
          <w:ilvl w:val="0"/>
          <w:numId w:val="7"/>
        </w:numPr>
        <w:spacing w:before="240" w:after="0" w:line="360" w:lineRule="auto"/>
        <w:ind w:right="851"/>
        <w:jc w:val="both"/>
        <w:rPr>
          <w:rFonts w:ascii="Palatino Linotype" w:hAnsi="Palatino Linotype" w:cs="Arial"/>
          <w:i/>
        </w:rPr>
      </w:pPr>
      <w:r w:rsidRPr="005F7624">
        <w:rPr>
          <w:rFonts w:ascii="Palatino Linotype" w:hAnsi="Palatino Linotype" w:cs="Arial"/>
          <w:i/>
        </w:rPr>
        <w:lastRenderedPageBreak/>
        <w:t xml:space="preserve">Acceso a la información pública. 2790/09. Sesión del 19 de agosto de 2009. Votación por unanimidad. Sin votos disidentes o particulares. Notimex, S.A. de C.V. Comisionado Ponente Juan Pablo Guerrero </w:t>
      </w:r>
      <w:proofErr w:type="spellStart"/>
      <w:r w:rsidRPr="005F7624">
        <w:rPr>
          <w:rFonts w:ascii="Palatino Linotype" w:hAnsi="Palatino Linotype" w:cs="Arial"/>
          <w:i/>
        </w:rPr>
        <w:t>Amparán</w:t>
      </w:r>
      <w:proofErr w:type="spellEnd"/>
      <w:r w:rsidRPr="005F7624">
        <w:rPr>
          <w:rFonts w:ascii="Palatino Linotype" w:hAnsi="Palatino Linotype" w:cs="Arial"/>
          <w:i/>
        </w:rPr>
        <w:t>.</w:t>
      </w:r>
    </w:p>
    <w:p w14:paraId="45DD9B33" w14:textId="77777777" w:rsidR="005F7624" w:rsidRPr="005F7624" w:rsidRDefault="005F7624" w:rsidP="005F7624">
      <w:pPr>
        <w:numPr>
          <w:ilvl w:val="0"/>
          <w:numId w:val="7"/>
        </w:numPr>
        <w:spacing w:before="240" w:after="0" w:line="360" w:lineRule="auto"/>
        <w:ind w:right="851"/>
        <w:jc w:val="both"/>
        <w:rPr>
          <w:rFonts w:ascii="Palatino Linotype" w:hAnsi="Palatino Linotype" w:cs="Arial"/>
          <w:i/>
        </w:rPr>
      </w:pPr>
      <w:r w:rsidRPr="005F7624">
        <w:rPr>
          <w:rFonts w:ascii="Palatino Linotype" w:hAnsi="Palatino Linotype" w:cs="Arial"/>
          <w:i/>
        </w:rPr>
        <w:t>Acceso a la información pública. 2677/09. Sesión del 26 de agosto de 2009. Votación por unanimidad. Sin votos disidentes o particulares. Comisión Federal para la Protección Contra Riesgos Sanitarios. Comisionado Ponente Alonso Gómez-Robledo V.</w:t>
      </w:r>
    </w:p>
    <w:p w14:paraId="6197DFDF" w14:textId="77777777" w:rsidR="005F7624" w:rsidRPr="005F7624" w:rsidRDefault="005F7624" w:rsidP="005F7624">
      <w:pPr>
        <w:numPr>
          <w:ilvl w:val="0"/>
          <w:numId w:val="7"/>
        </w:numPr>
        <w:spacing w:before="240" w:after="0" w:line="360" w:lineRule="auto"/>
        <w:ind w:right="851"/>
        <w:jc w:val="both"/>
        <w:rPr>
          <w:rFonts w:ascii="Palatino Linotype" w:hAnsi="Palatino Linotype" w:cs="Arial"/>
          <w:i/>
        </w:rPr>
      </w:pPr>
      <w:r w:rsidRPr="005F7624">
        <w:rPr>
          <w:rFonts w:ascii="Palatino Linotype" w:hAnsi="Palatino Linotype" w:cs="Arial"/>
          <w:i/>
        </w:rPr>
        <w:t xml:space="preserve">Acceso a la información pública. 4262/09. Sesión del 11 de noviembre de 2009. Votación por unanimidad. Sin votos disidentes o particulares. Secretaría de la Defensa Nacional. Comisionada Ponente Jacqueline </w:t>
      </w:r>
      <w:proofErr w:type="spellStart"/>
      <w:r w:rsidRPr="005F7624">
        <w:rPr>
          <w:rFonts w:ascii="Palatino Linotype" w:hAnsi="Palatino Linotype" w:cs="Arial"/>
          <w:i/>
        </w:rPr>
        <w:t>Peschard</w:t>
      </w:r>
      <w:proofErr w:type="spellEnd"/>
      <w:r w:rsidRPr="005F7624">
        <w:rPr>
          <w:rFonts w:ascii="Palatino Linotype" w:hAnsi="Palatino Linotype" w:cs="Arial"/>
          <w:i/>
        </w:rPr>
        <w:t xml:space="preserve"> Mariscal.</w:t>
      </w:r>
    </w:p>
    <w:p w14:paraId="1A7460E1" w14:textId="77777777" w:rsidR="005F7624" w:rsidRPr="005F7624" w:rsidRDefault="005F7624" w:rsidP="005F7624">
      <w:pPr>
        <w:numPr>
          <w:ilvl w:val="0"/>
          <w:numId w:val="7"/>
        </w:numPr>
        <w:spacing w:before="240" w:after="0" w:line="360" w:lineRule="auto"/>
        <w:ind w:right="851"/>
        <w:jc w:val="both"/>
        <w:rPr>
          <w:rFonts w:ascii="Palatino Linotype" w:hAnsi="Palatino Linotype" w:cs="Arial"/>
          <w:i/>
        </w:rPr>
      </w:pPr>
      <w:r w:rsidRPr="005F7624">
        <w:rPr>
          <w:rFonts w:ascii="Palatino Linotype" w:hAnsi="Palatino Linotype" w:cs="Arial"/>
          <w:i/>
        </w:rPr>
        <w:t>Acceso a la información pública. 0315/10. Sesión del 07 de abril de 2010. Votación por unanimidad. Sin votos disidentes o particulares. Secretaría de Agricultura, Ganadería, Desarrollo Rural, Pesca y Alimentación. Comisionado Ponente Ángel Trinidad Zaldívar.</w:t>
      </w:r>
    </w:p>
    <w:p w14:paraId="7DB55CAB" w14:textId="77777777" w:rsidR="005F7624" w:rsidRPr="005F7624" w:rsidRDefault="005F7624" w:rsidP="005F7624">
      <w:pPr>
        <w:numPr>
          <w:ilvl w:val="0"/>
          <w:numId w:val="7"/>
        </w:numPr>
        <w:spacing w:before="240" w:after="0" w:line="360" w:lineRule="auto"/>
        <w:ind w:right="851"/>
        <w:jc w:val="both"/>
        <w:rPr>
          <w:rFonts w:ascii="Palatino Linotype" w:hAnsi="Palatino Linotype" w:cs="Arial"/>
          <w:bCs/>
          <w:i/>
        </w:rPr>
      </w:pPr>
      <w:r w:rsidRPr="005F7624">
        <w:rPr>
          <w:rFonts w:ascii="Palatino Linotype" w:hAnsi="Palatino Linotype" w:cs="Arial"/>
          <w:i/>
        </w:rPr>
        <w:t xml:space="preserve">Acceso a la información pública. 2731/10. Sesión del 02 de junio de 2010. Votación por unanimidad. Sin votos disidentes o particulares. Administración Portuaria Integral de Veracruz, S.A. de C.V. Comisionada Ponente Sigrid </w:t>
      </w:r>
      <w:proofErr w:type="spellStart"/>
      <w:r w:rsidRPr="005F7624">
        <w:rPr>
          <w:rFonts w:ascii="Palatino Linotype" w:hAnsi="Palatino Linotype" w:cs="Arial"/>
          <w:i/>
        </w:rPr>
        <w:t>Arzt</w:t>
      </w:r>
      <w:proofErr w:type="spellEnd"/>
      <w:r w:rsidRPr="005F7624">
        <w:rPr>
          <w:rFonts w:ascii="Palatino Linotype" w:hAnsi="Palatino Linotype" w:cs="Arial"/>
          <w:i/>
        </w:rPr>
        <w:t xml:space="preserve"> Colunga” </w:t>
      </w:r>
      <w:r w:rsidRPr="005F7624">
        <w:rPr>
          <w:rFonts w:ascii="Palatino Linotype" w:hAnsi="Palatino Linotype" w:cs="Arial"/>
          <w:b/>
          <w:bCs/>
          <w:i/>
        </w:rPr>
        <w:t>(Sic)</w:t>
      </w:r>
    </w:p>
    <w:p w14:paraId="31B11085" w14:textId="77777777" w:rsidR="005F7624" w:rsidRPr="005F7624" w:rsidRDefault="005F7624" w:rsidP="005F762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0D396A7" w14:textId="77777777" w:rsidR="005F7624" w:rsidRPr="005F7624" w:rsidRDefault="005F7624" w:rsidP="005F762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F7624">
        <w:rPr>
          <w:rFonts w:ascii="Palatino Linotype" w:eastAsia="Times New Roman" w:hAnsi="Palatino Linotype" w:cs="Arial"/>
          <w:sz w:val="24"/>
          <w:szCs w:val="24"/>
          <w:lang w:val="es-ES" w:eastAsia="es-ES"/>
        </w:rPr>
        <w:t xml:space="preserve">Así las cosas, este órgano colegiado en ejercicio de las atribuciones conferidas en la Ley de Transparencia y Acceso a la Información Pública del Estado de México y Municipios y de los principios rectores de la función garante en términos de lo </w:t>
      </w:r>
      <w:r w:rsidRPr="005F7624">
        <w:rPr>
          <w:rFonts w:ascii="Palatino Linotype" w:eastAsia="Times New Roman" w:hAnsi="Palatino Linotype" w:cs="Arial"/>
          <w:sz w:val="24"/>
          <w:szCs w:val="24"/>
          <w:lang w:val="es-ES" w:eastAsia="es-ES"/>
        </w:rPr>
        <w:lastRenderedPageBreak/>
        <w:t xml:space="preserve">dispuesto en las fracciones IV y VI, del artículo 9, del mismo ordenamiento legal, se conmina a este </w:t>
      </w:r>
      <w:proofErr w:type="spellStart"/>
      <w:r w:rsidRPr="005F7624">
        <w:rPr>
          <w:rFonts w:ascii="Palatino Linotype" w:eastAsia="Times New Roman" w:hAnsi="Palatino Linotype" w:cs="Arial"/>
          <w:sz w:val="24"/>
          <w:szCs w:val="24"/>
          <w:lang w:val="es-ES" w:eastAsia="es-ES"/>
        </w:rPr>
        <w:t>Resolutor</w:t>
      </w:r>
      <w:proofErr w:type="spellEnd"/>
      <w:r w:rsidRPr="005F7624">
        <w:rPr>
          <w:rFonts w:ascii="Palatino Linotype" w:eastAsia="Times New Roman" w:hAnsi="Palatino Linotype" w:cs="Arial"/>
          <w:sz w:val="24"/>
          <w:szCs w:val="24"/>
          <w:lang w:val="es-ES" w:eastAsia="es-ES"/>
        </w:rPr>
        <w:t xml:space="preserve">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00478ACB" w14:textId="77777777" w:rsidR="005F7624" w:rsidRPr="005F7624" w:rsidRDefault="005F7624" w:rsidP="005F762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3A4469E" w14:textId="77777777" w:rsidR="005F7624" w:rsidRPr="005F7624" w:rsidRDefault="005F7624" w:rsidP="005F762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F7624">
        <w:rPr>
          <w:rFonts w:ascii="Palatino Linotype" w:eastAsia="Times New Roman" w:hAnsi="Palatino Linotype" w:cs="Arial"/>
          <w:sz w:val="24"/>
          <w:szCs w:val="24"/>
          <w:lang w:val="es-ES" w:eastAsia="es-ES"/>
        </w:rPr>
        <w:t xml:space="preserve">De lo anterior, este </w:t>
      </w:r>
      <w:proofErr w:type="spellStart"/>
      <w:r w:rsidRPr="005F7624">
        <w:rPr>
          <w:rFonts w:ascii="Palatino Linotype" w:eastAsia="Times New Roman" w:hAnsi="Palatino Linotype" w:cs="Arial"/>
          <w:sz w:val="24"/>
          <w:szCs w:val="24"/>
          <w:lang w:val="es-ES" w:eastAsia="es-ES"/>
        </w:rPr>
        <w:t>Resolutor</w:t>
      </w:r>
      <w:proofErr w:type="spellEnd"/>
      <w:r w:rsidRPr="005F7624">
        <w:rPr>
          <w:rFonts w:ascii="Palatino Linotype" w:eastAsia="Times New Roman" w:hAnsi="Palatino Linotype" w:cs="Arial"/>
          <w:sz w:val="24"/>
          <w:szCs w:val="24"/>
          <w:lang w:val="es-ES" w:eastAsia="es-ES"/>
        </w:rPr>
        <w:t xml:space="preserv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 por lo que bajo tal guisa </w:t>
      </w:r>
      <w:r w:rsidRPr="005F7624">
        <w:rPr>
          <w:rFonts w:ascii="Palatino Linotype" w:eastAsia="Times New Roman" w:hAnsi="Palatino Linotype" w:cs="Arial"/>
          <w:b/>
          <w:sz w:val="24"/>
          <w:szCs w:val="24"/>
          <w:u w:val="single"/>
          <w:lang w:val="es-ES" w:eastAsia="es-ES"/>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5F7624">
        <w:rPr>
          <w:rFonts w:ascii="Palatino Linotype" w:eastAsia="Times New Roman" w:hAnsi="Palatino Linotype" w:cs="Arial"/>
          <w:sz w:val="24"/>
          <w:szCs w:val="24"/>
          <w:lang w:val="es-ES" w:eastAsia="es-ES"/>
        </w:rPr>
        <w:t xml:space="preserve">, resultando inconcuso que su solicitud de información es improcedente porque el requerimiento consiste en un pronunciamiento sobre cuestionamientos derivados de juicios subjetivos por parte del </w:t>
      </w:r>
      <w:r w:rsidRPr="005F7624">
        <w:rPr>
          <w:rFonts w:ascii="Palatino Linotype" w:eastAsia="Times New Roman" w:hAnsi="Palatino Linotype" w:cs="Arial"/>
          <w:b/>
          <w:sz w:val="24"/>
          <w:szCs w:val="24"/>
          <w:lang w:val="es-ES" w:eastAsia="es-ES"/>
        </w:rPr>
        <w:t>Recurrente</w:t>
      </w:r>
      <w:r w:rsidRPr="005F7624">
        <w:rPr>
          <w:rFonts w:ascii="Palatino Linotype" w:eastAsia="Times New Roman" w:hAnsi="Palatino Linotype" w:cs="Arial"/>
          <w:sz w:val="24"/>
          <w:szCs w:val="24"/>
          <w:lang w:val="es-ES" w:eastAsia="es-ES"/>
        </w:rPr>
        <w:t xml:space="preserve">, sin que se requiriera específicamente un documento al cual deseara acceder que permitiera al </w:t>
      </w:r>
      <w:r w:rsidRPr="005F7624">
        <w:rPr>
          <w:rFonts w:ascii="Palatino Linotype" w:eastAsia="Times New Roman" w:hAnsi="Palatino Linotype" w:cs="Arial"/>
          <w:b/>
          <w:sz w:val="24"/>
          <w:szCs w:val="24"/>
          <w:lang w:val="es-ES" w:eastAsia="es-ES"/>
        </w:rPr>
        <w:t>Sujeto Obligado</w:t>
      </w:r>
      <w:r w:rsidRPr="005F7624">
        <w:rPr>
          <w:rFonts w:ascii="Palatino Linotype" w:eastAsia="Times New Roman" w:hAnsi="Palatino Linotype" w:cs="Arial"/>
          <w:sz w:val="24"/>
          <w:szCs w:val="24"/>
          <w:lang w:val="es-ES" w:eastAsia="es-ES"/>
        </w:rPr>
        <w:t xml:space="preserve"> localizarlo y en su caso ponerlo a su disposición.</w:t>
      </w:r>
    </w:p>
    <w:p w14:paraId="739B71E2" w14:textId="7B17CECC" w:rsidR="00046CB6" w:rsidRPr="005F7624" w:rsidRDefault="00046CB6" w:rsidP="00CA31E0">
      <w:pPr>
        <w:spacing w:after="0" w:line="360" w:lineRule="auto"/>
        <w:contextualSpacing/>
        <w:jc w:val="both"/>
        <w:rPr>
          <w:rFonts w:ascii="Palatino Linotype" w:eastAsia="MS Mincho" w:hAnsi="Palatino Linotype" w:cs="Times New Roman"/>
          <w:sz w:val="24"/>
          <w:szCs w:val="24"/>
          <w:lang w:val="es-ES" w:eastAsia="es-ES"/>
        </w:rPr>
      </w:pPr>
    </w:p>
    <w:p w14:paraId="0E717B3E"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056BB">
        <w:rPr>
          <w:rFonts w:ascii="Palatino Linotype" w:eastAsia="Times New Roman" w:hAnsi="Palatino Linotype" w:cs="Arial"/>
          <w:sz w:val="24"/>
          <w:szCs w:val="24"/>
          <w:lang w:val="es-ES" w:eastAsia="es-ES"/>
        </w:rPr>
        <w:lastRenderedPageBreak/>
        <w:t>En sustento a lo anterior, cobra aplicación lo establecido por el artículo 6 apartado A fracciones I, II y III de la Constitución Política de los Estados Unidos Mexicanos que a la letra señalan:</w:t>
      </w:r>
    </w:p>
    <w:p w14:paraId="3291C2A8" w14:textId="77777777" w:rsidR="001056BB" w:rsidRPr="001056BB" w:rsidRDefault="001056BB" w:rsidP="001056BB">
      <w:pPr>
        <w:spacing w:before="240" w:line="360" w:lineRule="auto"/>
        <w:ind w:left="851" w:right="851"/>
        <w:jc w:val="both"/>
        <w:rPr>
          <w:rFonts w:ascii="Palatino Linotype" w:hAnsi="Palatino Linotype" w:cs="Arial"/>
          <w:i/>
        </w:rPr>
      </w:pPr>
      <w:r w:rsidRPr="001056BB">
        <w:rPr>
          <w:rFonts w:ascii="Palatino Linotype" w:hAnsi="Palatino Linotype" w:cs="Arial"/>
          <w:i/>
        </w:rPr>
        <w:t>“Artículo 6o.</w:t>
      </w:r>
    </w:p>
    <w:p w14:paraId="1CE5654D" w14:textId="77777777" w:rsidR="001056BB" w:rsidRPr="001056BB" w:rsidRDefault="001056BB" w:rsidP="001056BB">
      <w:pPr>
        <w:spacing w:before="240" w:line="360" w:lineRule="auto"/>
        <w:ind w:left="851" w:right="851"/>
        <w:jc w:val="both"/>
        <w:rPr>
          <w:rFonts w:ascii="Palatino Linotype" w:hAnsi="Palatino Linotype" w:cs="Arial"/>
          <w:i/>
        </w:rPr>
      </w:pPr>
      <w:r w:rsidRPr="001056BB">
        <w:rPr>
          <w:rFonts w:ascii="Palatino Linotype" w:hAnsi="Palatino Linotype" w:cs="Arial"/>
          <w:i/>
        </w:rPr>
        <w:t>[...]</w:t>
      </w:r>
    </w:p>
    <w:p w14:paraId="276BEC47" w14:textId="77777777" w:rsidR="001056BB" w:rsidRPr="001056BB" w:rsidRDefault="001056BB" w:rsidP="001056BB">
      <w:pPr>
        <w:spacing w:before="240" w:line="360" w:lineRule="auto"/>
        <w:ind w:left="851" w:right="851"/>
        <w:jc w:val="both"/>
        <w:rPr>
          <w:rFonts w:ascii="Palatino Linotype" w:hAnsi="Palatino Linotype" w:cs="Arial"/>
          <w:i/>
          <w:color w:val="000000"/>
        </w:rPr>
      </w:pPr>
      <w:r w:rsidRPr="001056BB">
        <w:rPr>
          <w:rFonts w:ascii="Palatino Linotype" w:hAnsi="Palatino Linotype" w:cs="Arial"/>
          <w:bCs/>
          <w:i/>
          <w:color w:val="000000"/>
          <w:lang w:val="es-ES_tradnl"/>
        </w:rPr>
        <w:t xml:space="preserve">A. </w:t>
      </w:r>
      <w:r w:rsidRPr="001056BB">
        <w:rPr>
          <w:rFonts w:ascii="Palatino Linotype" w:hAnsi="Palatino Linotype" w:cs="Arial"/>
          <w:i/>
        </w:rPr>
        <w:t xml:space="preserve">Para el ejercicio del derecho de acceso a la información, la Federación y </w:t>
      </w:r>
      <w:r w:rsidRPr="001056BB">
        <w:rPr>
          <w:rFonts w:ascii="Palatino Linotype" w:hAnsi="Palatino Linotype" w:cs="Arial"/>
          <w:i/>
          <w:u w:val="single"/>
        </w:rPr>
        <w:t>las entidades federativas</w:t>
      </w:r>
      <w:r w:rsidRPr="001056BB">
        <w:rPr>
          <w:rFonts w:ascii="Palatino Linotype" w:hAnsi="Palatino Linotype" w:cs="Arial"/>
          <w:i/>
        </w:rPr>
        <w:t>, en el ámbito de sus respectivas competencias, se regirán por los siguientes principios y bases:</w:t>
      </w:r>
    </w:p>
    <w:p w14:paraId="72542732" w14:textId="77777777" w:rsidR="001056BB" w:rsidRPr="001056BB" w:rsidRDefault="001056BB" w:rsidP="001056BB">
      <w:pPr>
        <w:spacing w:before="240" w:line="360" w:lineRule="auto"/>
        <w:ind w:left="851" w:right="851"/>
        <w:jc w:val="both"/>
        <w:rPr>
          <w:rFonts w:ascii="Palatino Linotype" w:hAnsi="Palatino Linotype" w:cs="Courier New"/>
          <w:i/>
          <w:color w:val="000000"/>
        </w:rPr>
      </w:pPr>
      <w:r w:rsidRPr="001056BB">
        <w:rPr>
          <w:rFonts w:ascii="Palatino Linotype" w:hAnsi="Palatino Linotype" w:cs="Arial"/>
          <w:b/>
          <w:bCs/>
          <w:i/>
          <w:color w:val="000000"/>
          <w:u w:val="single"/>
        </w:rPr>
        <w:t> I. Toda la información en posesión de cualquier autoridad, entidad, órgano y organismo de los Poderes Ejecutivo, Legislativo y Judicial, órganos autónomos</w:t>
      </w:r>
      <w:r w:rsidRPr="001056BB">
        <w:rPr>
          <w:rFonts w:ascii="Palatino Linotype" w:hAnsi="Palatino Linotype" w:cs="Arial"/>
          <w:i/>
          <w:color w:val="000000"/>
        </w:rPr>
        <w:t>,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170AD57" w14:textId="77777777" w:rsidR="001056BB" w:rsidRPr="001056BB" w:rsidRDefault="001056BB" w:rsidP="001056BB">
      <w:pPr>
        <w:spacing w:before="240" w:line="360" w:lineRule="auto"/>
        <w:ind w:left="851" w:right="851"/>
        <w:jc w:val="both"/>
        <w:rPr>
          <w:rFonts w:ascii="Palatino Linotype" w:hAnsi="Palatino Linotype" w:cs="Arial"/>
          <w:i/>
          <w:color w:val="000000"/>
        </w:rPr>
      </w:pPr>
      <w:r w:rsidRPr="001056BB">
        <w:rPr>
          <w:rFonts w:ascii="Palatino Linotype" w:hAnsi="Palatino Linotype" w:cs="Arial"/>
          <w:i/>
          <w:color w:val="000000"/>
        </w:rPr>
        <w:t> </w:t>
      </w:r>
      <w:r w:rsidRPr="001056BB">
        <w:rPr>
          <w:rFonts w:ascii="Palatino Linotype" w:hAnsi="Palatino Linotype" w:cs="Arial"/>
          <w:bCs/>
          <w:i/>
          <w:color w:val="000000"/>
        </w:rPr>
        <w:t xml:space="preserve">II. </w:t>
      </w:r>
      <w:r w:rsidRPr="001056BB">
        <w:rPr>
          <w:rFonts w:ascii="Palatino Linotype" w:hAnsi="Palatino Linotype" w:cs="Arial"/>
          <w:i/>
          <w:color w:val="000000"/>
        </w:rPr>
        <w:t>La información que se refiere a la vida privada y los datos personales será protegida en los términos y con las excepciones que fijen las leyes.</w:t>
      </w:r>
    </w:p>
    <w:p w14:paraId="7AB6A5F6" w14:textId="77777777" w:rsidR="001056BB" w:rsidRPr="001056BB" w:rsidRDefault="001056BB" w:rsidP="001056BB">
      <w:pPr>
        <w:spacing w:before="240" w:line="360" w:lineRule="auto"/>
        <w:ind w:left="851" w:right="851"/>
        <w:jc w:val="both"/>
        <w:rPr>
          <w:rFonts w:ascii="Palatino Linotype" w:hAnsi="Palatino Linotype" w:cs="Arial"/>
          <w:b/>
          <w:bCs/>
          <w:i/>
          <w:sz w:val="24"/>
          <w:szCs w:val="24"/>
        </w:rPr>
      </w:pPr>
      <w:r w:rsidRPr="001056BB">
        <w:rPr>
          <w:rFonts w:ascii="Palatino Linotype" w:hAnsi="Palatino Linotype" w:cs="Arial"/>
          <w:b/>
          <w:bCs/>
          <w:i/>
          <w:color w:val="000000"/>
        </w:rPr>
        <w:lastRenderedPageBreak/>
        <w:t xml:space="preserve"> III. </w:t>
      </w:r>
      <w:r w:rsidRPr="001056BB">
        <w:rPr>
          <w:rFonts w:ascii="Palatino Linotype" w:hAnsi="Palatino Linotype" w:cs="Arial"/>
          <w:b/>
          <w:bCs/>
          <w:i/>
          <w:color w:val="000000"/>
          <w:u w:val="single"/>
        </w:rPr>
        <w:t>Toda persona, sin necesidad de acreditar interés alguno o justificar su utilización, tendrá acceso gratuito a la información pública,</w:t>
      </w:r>
      <w:r w:rsidRPr="001056BB">
        <w:rPr>
          <w:rFonts w:ascii="Palatino Linotype" w:hAnsi="Palatino Linotype" w:cs="Arial"/>
          <w:b/>
          <w:bCs/>
          <w:i/>
          <w:color w:val="000000"/>
        </w:rPr>
        <w:t xml:space="preserve"> </w:t>
      </w:r>
      <w:r w:rsidRPr="001056BB">
        <w:rPr>
          <w:rFonts w:ascii="Palatino Linotype" w:hAnsi="Palatino Linotype" w:cs="Arial"/>
          <w:i/>
          <w:color w:val="000000"/>
        </w:rPr>
        <w:t xml:space="preserve">a sus datos personales o a la rectificación de éstos.” </w:t>
      </w:r>
      <w:r w:rsidRPr="001056BB">
        <w:rPr>
          <w:rFonts w:ascii="Palatino Linotype" w:hAnsi="Palatino Linotype" w:cs="Arial"/>
          <w:b/>
          <w:bCs/>
          <w:i/>
          <w:color w:val="000000"/>
        </w:rPr>
        <w:t>(Sic)</w:t>
      </w:r>
    </w:p>
    <w:p w14:paraId="4C09D9E2"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F89555"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056BB">
        <w:rPr>
          <w:rFonts w:ascii="Palatino Linotype" w:eastAsia="Times New Roman" w:hAnsi="Palatino Linotype" w:cs="Arial"/>
          <w:sz w:val="24"/>
          <w:szCs w:val="24"/>
          <w:lang w:val="es-ES" w:eastAsia="es-ES"/>
        </w:rPr>
        <w:t xml:space="preserve">Dispositivo constitucional que regula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4B85BCBD" w14:textId="77777777" w:rsidR="001056BB" w:rsidRPr="001056BB" w:rsidRDefault="001056BB" w:rsidP="001056BB">
      <w:pPr>
        <w:spacing w:after="0" w:line="240" w:lineRule="auto"/>
      </w:pPr>
    </w:p>
    <w:p w14:paraId="64A676D9"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056BB">
        <w:rPr>
          <w:rFonts w:ascii="Palatino Linotype" w:eastAsia="Times New Roman" w:hAnsi="Palatino Linotype" w:cs="Arial"/>
          <w:sz w:val="24"/>
          <w:szCs w:val="24"/>
          <w:lang w:val="es-ES" w:eastAsia="es-ES"/>
        </w:rPr>
        <w:t xml:space="preserve">Lo anterior se concatena con lo establecido en los artículos 4 y 12, de la Ley de Transparencia y Acceso a la Información Pública del Estado de México y Municipios, los cuales esgrimen: </w:t>
      </w:r>
    </w:p>
    <w:p w14:paraId="612A5B04" w14:textId="77777777" w:rsidR="001056BB" w:rsidRPr="001056BB" w:rsidRDefault="001056BB" w:rsidP="001056BB">
      <w:pPr>
        <w:spacing w:before="240" w:line="360" w:lineRule="auto"/>
        <w:ind w:left="851" w:right="851"/>
        <w:jc w:val="both"/>
        <w:rPr>
          <w:rFonts w:ascii="Palatino Linotype" w:hAnsi="Palatino Linotype" w:cs="Arial"/>
          <w:i/>
        </w:rPr>
      </w:pPr>
      <w:r w:rsidRPr="001056BB">
        <w:rPr>
          <w:rFonts w:ascii="Palatino Linotype" w:hAnsi="Palatino Linotype" w:cs="Arial"/>
          <w:b/>
          <w:i/>
        </w:rPr>
        <w:t>“Artículo 4.</w:t>
      </w:r>
      <w:r w:rsidRPr="001056BB">
        <w:rPr>
          <w:rFonts w:ascii="Palatino Linotype" w:hAnsi="Palatino Linotype" w:cs="Arial"/>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0F28FC8" w14:textId="77777777" w:rsidR="001056BB" w:rsidRPr="001056BB" w:rsidRDefault="001056BB" w:rsidP="001056BB">
      <w:pPr>
        <w:spacing w:before="240" w:line="360" w:lineRule="auto"/>
        <w:ind w:left="851" w:right="851"/>
        <w:jc w:val="both"/>
        <w:rPr>
          <w:rFonts w:ascii="Palatino Linotype" w:hAnsi="Palatino Linotype" w:cs="Arial"/>
          <w:i/>
        </w:rPr>
      </w:pPr>
      <w:r w:rsidRPr="001056BB">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1056BB">
        <w:rPr>
          <w:rFonts w:ascii="Palatino Linotype" w:hAnsi="Palatino Linotype" w:cs="Arial"/>
          <w:i/>
        </w:rPr>
        <w:t xml:space="preserve"> Solo podrá ser clasificada excepcionalmente como reservada </w:t>
      </w:r>
      <w:r w:rsidRPr="001056BB">
        <w:rPr>
          <w:rFonts w:ascii="Palatino Linotype" w:hAnsi="Palatino Linotype" w:cs="Arial"/>
          <w:i/>
        </w:rPr>
        <w:lastRenderedPageBreak/>
        <w:t>temporalmente por razones de interés público, en los términos de las causas legítimas y estrictamente necesarias previstas por esta Ley.</w:t>
      </w:r>
    </w:p>
    <w:p w14:paraId="6482B1A3" w14:textId="77777777" w:rsidR="001056BB" w:rsidRPr="001056BB" w:rsidRDefault="001056BB" w:rsidP="001056BB">
      <w:pPr>
        <w:spacing w:before="240" w:line="360" w:lineRule="auto"/>
        <w:ind w:left="851" w:right="851"/>
        <w:jc w:val="both"/>
        <w:rPr>
          <w:rFonts w:ascii="Palatino Linotype" w:hAnsi="Palatino Linotype" w:cs="Arial"/>
          <w:i/>
        </w:rPr>
      </w:pPr>
      <w:r w:rsidRPr="001056BB">
        <w:rPr>
          <w:rFonts w:ascii="Palatino Linotype" w:hAnsi="Palatino Linotype" w:cs="Arial"/>
          <w:i/>
        </w:rPr>
        <w:t>(…)</w:t>
      </w:r>
    </w:p>
    <w:p w14:paraId="04E5AD15" w14:textId="77777777" w:rsidR="001056BB" w:rsidRPr="001056BB" w:rsidRDefault="001056BB" w:rsidP="001056BB">
      <w:pPr>
        <w:spacing w:before="240" w:line="360" w:lineRule="auto"/>
        <w:ind w:left="851" w:right="851"/>
        <w:jc w:val="both"/>
        <w:rPr>
          <w:rFonts w:ascii="Palatino Linotype" w:hAnsi="Palatino Linotype" w:cs="Arial"/>
          <w:i/>
        </w:rPr>
      </w:pPr>
      <w:r w:rsidRPr="001056BB">
        <w:rPr>
          <w:rFonts w:ascii="Palatino Linotype" w:hAnsi="Palatino Linotype" w:cs="Arial"/>
          <w:b/>
          <w:i/>
        </w:rPr>
        <w:t>Artículo 12.</w:t>
      </w:r>
      <w:r w:rsidRPr="001056BB">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7A2DC38F" w14:textId="77777777" w:rsidR="001056BB" w:rsidRPr="001056BB" w:rsidRDefault="001056BB" w:rsidP="001056BB">
      <w:pPr>
        <w:spacing w:before="240" w:line="360" w:lineRule="auto"/>
        <w:ind w:left="851" w:right="851"/>
        <w:jc w:val="both"/>
        <w:rPr>
          <w:rFonts w:ascii="Palatino Linotype" w:hAnsi="Palatino Linotype" w:cs="Arial"/>
          <w:b/>
          <w:bCs/>
          <w:i/>
        </w:rPr>
      </w:pPr>
      <w:r w:rsidRPr="001056BB">
        <w:rPr>
          <w:rFonts w:ascii="Palatino Linotype" w:hAnsi="Palatino Linotype" w:cs="Arial"/>
          <w:b/>
          <w:bCs/>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1056BB">
        <w:rPr>
          <w:rFonts w:ascii="Palatino Linotype" w:hAnsi="Palatino Linotype" w:cs="Arial"/>
          <w:b/>
          <w:bCs/>
          <w:i/>
        </w:rPr>
        <w:t>(Sic)</w:t>
      </w:r>
    </w:p>
    <w:p w14:paraId="48B44959"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76EB3AC"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056BB">
        <w:rPr>
          <w:rFonts w:ascii="Palatino Linotype" w:eastAsia="Times New Roman" w:hAnsi="Palatino Linotype" w:cs="Arial"/>
          <w:sz w:val="24"/>
          <w:szCs w:val="24"/>
          <w:lang w:val="es-ES" w:eastAsia="es-ES"/>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obligados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7CEFAD3D"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1D6029C" w14:textId="77777777" w:rsidR="001056BB" w:rsidRPr="001056BB" w:rsidRDefault="001056BB" w:rsidP="001056BB">
      <w:pPr>
        <w:spacing w:after="0" w:line="360" w:lineRule="auto"/>
        <w:jc w:val="both"/>
        <w:rPr>
          <w:rFonts w:ascii="Palatino Linotype" w:eastAsia="Times New Roman" w:hAnsi="Palatino Linotype" w:cs="Arial"/>
          <w:sz w:val="24"/>
          <w:szCs w:val="24"/>
          <w:lang w:val="es-ES" w:eastAsia="es-ES"/>
        </w:rPr>
      </w:pPr>
      <w:r w:rsidRPr="001056BB">
        <w:rPr>
          <w:rFonts w:ascii="Palatino Linotype" w:eastAsia="Times New Roman" w:hAnsi="Palatino Linotype" w:cs="Arial"/>
          <w:sz w:val="24"/>
          <w:szCs w:val="24"/>
          <w:lang w:val="es-ES" w:eastAsia="es-ES"/>
        </w:rPr>
        <w:lastRenderedPageBreak/>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1056BB">
        <w:rPr>
          <w:rFonts w:ascii="Palatino Linotype" w:eastAsia="Times New Roman" w:hAnsi="Palatino Linotype" w:cs="Arial"/>
          <w:i/>
          <w:sz w:val="24"/>
          <w:szCs w:val="24"/>
          <w:lang w:val="es-ES" w:eastAsia="es-ES"/>
        </w:rPr>
        <w:t>a contrario sensu</w:t>
      </w:r>
      <w:r w:rsidRPr="001056BB">
        <w:rPr>
          <w:rFonts w:ascii="Palatino Linotype" w:eastAsia="Times New Roman" w:hAnsi="Palatino Linotype" w:cs="Arial"/>
          <w:sz w:val="24"/>
          <w:szCs w:val="24"/>
          <w:lang w:val="es-ES" w:eastAsia="es-ES"/>
        </w:rPr>
        <w:t xml:space="preserve"> significa que no se está obligado a proporcionar lo que no obre en sus archivos.</w:t>
      </w:r>
    </w:p>
    <w:p w14:paraId="5A2EE17A" w14:textId="77777777" w:rsidR="001056BB" w:rsidRPr="001056BB" w:rsidRDefault="001056BB" w:rsidP="001056BB">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14:paraId="538CF81C" w14:textId="2D44E822" w:rsidR="001056BB" w:rsidRDefault="001056BB" w:rsidP="001056BB">
      <w:pPr>
        <w:spacing w:after="0" w:line="360" w:lineRule="auto"/>
        <w:jc w:val="both"/>
        <w:rPr>
          <w:rFonts w:ascii="Palatino Linotype" w:eastAsia="Times New Roman" w:hAnsi="Palatino Linotype" w:cs="Times New Roman"/>
          <w:sz w:val="24"/>
          <w:szCs w:val="24"/>
          <w:lang w:val="es-ES" w:eastAsia="es-ES"/>
        </w:rPr>
      </w:pPr>
      <w:r w:rsidRPr="001056BB">
        <w:rPr>
          <w:rFonts w:ascii="Palatino Linotype" w:eastAsia="Times New Roman" w:hAnsi="Palatino Linotype" w:cs="Times New Roman"/>
          <w:sz w:val="24"/>
          <w:szCs w:val="24"/>
          <w:lang w:val="es-ES" w:eastAsia="es-ES"/>
        </w:rPr>
        <w:t xml:space="preserve">Por lo anterior, al no constituirse dicho cuestionamiento como materia del derecho de acceso a la información, se considera que </w:t>
      </w:r>
      <w:r w:rsidRPr="001056BB">
        <w:rPr>
          <w:rFonts w:ascii="Palatino Linotype" w:eastAsia="Times New Roman" w:hAnsi="Palatino Linotype" w:cs="Times New Roman"/>
          <w:b/>
          <w:bCs/>
          <w:sz w:val="24"/>
          <w:szCs w:val="24"/>
          <w:lang w:val="es-ES" w:eastAsia="es-ES"/>
        </w:rPr>
        <w:t>El Sujeto Obligado</w:t>
      </w:r>
      <w:r w:rsidRPr="001056BB">
        <w:rPr>
          <w:rFonts w:ascii="Palatino Linotype" w:eastAsia="Times New Roman" w:hAnsi="Palatino Linotype" w:cs="Times New Roman"/>
          <w:sz w:val="24"/>
          <w:szCs w:val="24"/>
          <w:lang w:val="es-ES" w:eastAsia="es-ES"/>
        </w:rPr>
        <w:t xml:space="preserve"> no está constreñido a emitir una respuesta al mismo, por lo que se estima infundado el motivo de inconformidad del Recurrente.</w:t>
      </w:r>
    </w:p>
    <w:p w14:paraId="478A1939" w14:textId="77777777" w:rsidR="00F641E4" w:rsidRPr="001056BB" w:rsidRDefault="00F641E4" w:rsidP="001056BB">
      <w:pPr>
        <w:spacing w:after="0" w:line="360" w:lineRule="auto"/>
        <w:jc w:val="both"/>
        <w:rPr>
          <w:rFonts w:ascii="Palatino Linotype" w:eastAsia="Times New Roman" w:hAnsi="Palatino Linotype" w:cs="Times New Roman"/>
          <w:sz w:val="24"/>
          <w:szCs w:val="24"/>
          <w:lang w:val="es-ES" w:eastAsia="es-ES"/>
        </w:rPr>
      </w:pPr>
    </w:p>
    <w:p w14:paraId="62172E80" w14:textId="3DACE7C9"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056BB">
        <w:rPr>
          <w:rFonts w:ascii="Palatino Linotype" w:eastAsia="Times New Roman" w:hAnsi="Palatino Linotype" w:cs="Arial"/>
          <w:sz w:val="24"/>
          <w:szCs w:val="24"/>
          <w:lang w:val="es-ES" w:eastAsia="es-ES"/>
        </w:rPr>
        <w:t xml:space="preserve">En conclusión, la ley de la materia establece como causas de improcedencia que se trate de una consulta, o tramite en específico, lo que en la especie actualiza la fracción </w:t>
      </w:r>
      <w:r w:rsidR="00F641E4">
        <w:rPr>
          <w:rFonts w:ascii="Palatino Linotype" w:eastAsia="Times New Roman" w:hAnsi="Palatino Linotype" w:cs="Arial"/>
          <w:sz w:val="24"/>
          <w:szCs w:val="24"/>
          <w:lang w:val="es-ES" w:eastAsia="es-ES"/>
        </w:rPr>
        <w:t>II</w:t>
      </w:r>
      <w:r w:rsidRPr="001056BB">
        <w:rPr>
          <w:rFonts w:ascii="Palatino Linotype" w:eastAsia="Times New Roman" w:hAnsi="Palatino Linotype" w:cs="Arial"/>
          <w:sz w:val="24"/>
          <w:szCs w:val="24"/>
          <w:lang w:val="es-ES" w:eastAsia="es-ES"/>
        </w:rPr>
        <w:t>I, del arábigo 191, de la multicitada ley, que a la letra reza:</w:t>
      </w:r>
    </w:p>
    <w:p w14:paraId="2E5FC6A8" w14:textId="77777777" w:rsidR="001056BB" w:rsidRPr="001056BB" w:rsidRDefault="001056BB" w:rsidP="001056BB">
      <w:pPr>
        <w:spacing w:before="240" w:line="360" w:lineRule="auto"/>
        <w:ind w:left="851" w:right="851"/>
        <w:jc w:val="both"/>
        <w:rPr>
          <w:rFonts w:ascii="Palatino Linotype" w:hAnsi="Palatino Linotype" w:cs="Arial"/>
          <w:i/>
        </w:rPr>
      </w:pPr>
      <w:r w:rsidRPr="001056BB">
        <w:rPr>
          <w:rFonts w:ascii="Palatino Linotype" w:hAnsi="Palatino Linotype" w:cs="Arial"/>
          <w:i/>
        </w:rPr>
        <w:t xml:space="preserve">“Artículo 191. El recurso será desechado por improcedente cuando: </w:t>
      </w:r>
      <w:r w:rsidRPr="001056BB">
        <w:rPr>
          <w:rFonts w:ascii="Palatino Linotype" w:hAnsi="Palatino Linotype" w:cs="Arial"/>
          <w:i/>
        </w:rPr>
        <w:tab/>
      </w:r>
    </w:p>
    <w:p w14:paraId="2B54F2EC" w14:textId="77777777" w:rsidR="001056BB" w:rsidRPr="001056BB" w:rsidRDefault="001056BB" w:rsidP="001056BB">
      <w:pPr>
        <w:numPr>
          <w:ilvl w:val="0"/>
          <w:numId w:val="8"/>
        </w:numPr>
        <w:spacing w:before="240" w:after="0" w:line="360" w:lineRule="auto"/>
        <w:ind w:right="851"/>
        <w:jc w:val="both"/>
        <w:rPr>
          <w:rFonts w:ascii="Palatino Linotype" w:hAnsi="Palatino Linotype" w:cs="Times New Roman"/>
          <w:i/>
          <w:lang w:val="es-ES" w:eastAsia="es-ES"/>
        </w:rPr>
      </w:pPr>
      <w:r w:rsidRPr="001056BB">
        <w:rPr>
          <w:rFonts w:ascii="Palatino Linotype" w:hAnsi="Palatino Linotype" w:cs="Times New Roman"/>
          <w:i/>
          <w:lang w:val="es-ES" w:eastAsia="es-ES"/>
        </w:rPr>
        <w:t xml:space="preserve">Sea extemporáneo por haber transcurrido el plazo establecido en la presente Ley, a partir de la respuesta; </w:t>
      </w:r>
    </w:p>
    <w:p w14:paraId="74F8240B" w14:textId="77777777" w:rsidR="001056BB" w:rsidRPr="001056BB" w:rsidRDefault="001056BB" w:rsidP="001056BB">
      <w:pPr>
        <w:numPr>
          <w:ilvl w:val="0"/>
          <w:numId w:val="8"/>
        </w:numPr>
        <w:spacing w:before="240" w:after="0" w:line="360" w:lineRule="auto"/>
        <w:ind w:right="851"/>
        <w:jc w:val="both"/>
        <w:rPr>
          <w:rFonts w:ascii="Palatino Linotype" w:hAnsi="Palatino Linotype" w:cs="Arial"/>
          <w:i/>
          <w:lang w:val="es-ES" w:eastAsia="es-ES"/>
        </w:rPr>
      </w:pPr>
      <w:r w:rsidRPr="001056BB">
        <w:rPr>
          <w:rFonts w:ascii="Palatino Linotype" w:hAnsi="Palatino Linotype" w:cs="Times New Roman"/>
          <w:i/>
          <w:lang w:val="es-ES" w:eastAsia="es-ES"/>
        </w:rPr>
        <w:t xml:space="preserve">Se esté tramitando ante el Poder Judicial de la Federación algún recurso o medio de defensa interpuesto por el recurrente; </w:t>
      </w:r>
    </w:p>
    <w:p w14:paraId="6E8BB1CE" w14:textId="77777777" w:rsidR="001056BB" w:rsidRPr="001056BB" w:rsidRDefault="001056BB" w:rsidP="001056BB">
      <w:pPr>
        <w:numPr>
          <w:ilvl w:val="0"/>
          <w:numId w:val="8"/>
        </w:numPr>
        <w:spacing w:before="240" w:after="0" w:line="360" w:lineRule="auto"/>
        <w:ind w:right="851"/>
        <w:jc w:val="both"/>
        <w:rPr>
          <w:rFonts w:ascii="Palatino Linotype" w:hAnsi="Palatino Linotype" w:cs="Arial"/>
          <w:b/>
          <w:i/>
          <w:u w:val="single"/>
          <w:lang w:val="es-ES" w:eastAsia="es-ES"/>
        </w:rPr>
      </w:pPr>
      <w:r w:rsidRPr="001056BB">
        <w:rPr>
          <w:rFonts w:ascii="Palatino Linotype" w:hAnsi="Palatino Linotype" w:cs="Times New Roman"/>
          <w:b/>
          <w:i/>
          <w:u w:val="single"/>
          <w:lang w:val="es-ES" w:eastAsia="es-ES"/>
        </w:rPr>
        <w:t xml:space="preserve">No actualice alguno de los supuestos previstos en la presente Ley; </w:t>
      </w:r>
    </w:p>
    <w:p w14:paraId="003116C3" w14:textId="77777777" w:rsidR="001056BB" w:rsidRPr="001056BB" w:rsidRDefault="001056BB" w:rsidP="001056BB">
      <w:pPr>
        <w:numPr>
          <w:ilvl w:val="0"/>
          <w:numId w:val="8"/>
        </w:numPr>
        <w:spacing w:before="240" w:after="0" w:line="360" w:lineRule="auto"/>
        <w:ind w:right="851"/>
        <w:jc w:val="both"/>
        <w:rPr>
          <w:rFonts w:ascii="Palatino Linotype" w:hAnsi="Palatino Linotype" w:cs="Arial"/>
          <w:i/>
          <w:lang w:val="es-ES" w:eastAsia="es-ES"/>
        </w:rPr>
      </w:pPr>
      <w:r w:rsidRPr="001056BB">
        <w:rPr>
          <w:rFonts w:ascii="Palatino Linotype" w:hAnsi="Palatino Linotype" w:cs="Times New Roman"/>
          <w:i/>
          <w:lang w:val="es-ES" w:eastAsia="es-ES"/>
        </w:rPr>
        <w:lastRenderedPageBreak/>
        <w:t xml:space="preserve">No se haya desahogado la prevención en los términos establecidos en la presente Ley; </w:t>
      </w:r>
    </w:p>
    <w:p w14:paraId="7642F21B" w14:textId="77777777" w:rsidR="001056BB" w:rsidRPr="001056BB" w:rsidRDefault="001056BB" w:rsidP="001056BB">
      <w:pPr>
        <w:numPr>
          <w:ilvl w:val="0"/>
          <w:numId w:val="8"/>
        </w:numPr>
        <w:spacing w:before="240" w:after="0" w:line="360" w:lineRule="auto"/>
        <w:ind w:right="851"/>
        <w:jc w:val="both"/>
        <w:rPr>
          <w:rFonts w:ascii="Palatino Linotype" w:hAnsi="Palatino Linotype" w:cs="Arial"/>
          <w:i/>
          <w:lang w:val="es-ES" w:eastAsia="es-ES"/>
        </w:rPr>
      </w:pPr>
      <w:r w:rsidRPr="001056BB">
        <w:rPr>
          <w:rFonts w:ascii="Palatino Linotype" w:hAnsi="Palatino Linotype" w:cs="Times New Roman"/>
          <w:i/>
          <w:lang w:val="es-ES" w:eastAsia="es-ES"/>
        </w:rPr>
        <w:t xml:space="preserve">Se impugne la veracidad de la información proporcionada; </w:t>
      </w:r>
    </w:p>
    <w:p w14:paraId="014EE9A7" w14:textId="77777777" w:rsidR="001056BB" w:rsidRPr="001056BB" w:rsidRDefault="001056BB" w:rsidP="001056BB">
      <w:pPr>
        <w:numPr>
          <w:ilvl w:val="0"/>
          <w:numId w:val="8"/>
        </w:numPr>
        <w:spacing w:before="240" w:after="0" w:line="360" w:lineRule="auto"/>
        <w:ind w:right="851"/>
        <w:jc w:val="both"/>
        <w:rPr>
          <w:rFonts w:ascii="Palatino Linotype" w:hAnsi="Palatino Linotype" w:cs="Arial"/>
          <w:bCs/>
          <w:i/>
          <w:lang w:val="es-ES" w:eastAsia="es-ES"/>
        </w:rPr>
      </w:pPr>
      <w:r w:rsidRPr="001056BB">
        <w:rPr>
          <w:rFonts w:ascii="Palatino Linotype" w:hAnsi="Palatino Linotype" w:cs="Times New Roman"/>
          <w:bCs/>
          <w:i/>
          <w:lang w:val="es-ES" w:eastAsia="es-ES"/>
        </w:rPr>
        <w:t xml:space="preserve">Se trate de una consulta, o trámite en específico; y </w:t>
      </w:r>
    </w:p>
    <w:p w14:paraId="4B66667C" w14:textId="77777777" w:rsidR="001056BB" w:rsidRPr="001056BB" w:rsidRDefault="001056BB" w:rsidP="001056BB">
      <w:pPr>
        <w:numPr>
          <w:ilvl w:val="0"/>
          <w:numId w:val="8"/>
        </w:numPr>
        <w:spacing w:before="240" w:after="0" w:line="360" w:lineRule="auto"/>
        <w:ind w:right="851"/>
        <w:jc w:val="both"/>
        <w:rPr>
          <w:rFonts w:ascii="Palatino Linotype" w:hAnsi="Palatino Linotype" w:cs="Arial"/>
          <w:i/>
          <w:lang w:val="es-ES" w:eastAsia="es-ES"/>
        </w:rPr>
      </w:pPr>
      <w:r w:rsidRPr="001056BB">
        <w:rPr>
          <w:rFonts w:ascii="Palatino Linotype" w:hAnsi="Palatino Linotype" w:cs="Times New Roman"/>
          <w:i/>
          <w:lang w:val="es-ES" w:eastAsia="es-ES"/>
        </w:rPr>
        <w:t xml:space="preserve">El recurrente amplíe su solicitud en el recurso de revisión, únicamente respecto de los nuevos contenidos.” </w:t>
      </w:r>
      <w:r w:rsidRPr="001056BB">
        <w:rPr>
          <w:rFonts w:ascii="Palatino Linotype" w:hAnsi="Palatino Linotype" w:cs="Times New Roman"/>
          <w:b/>
          <w:bCs/>
          <w:i/>
          <w:lang w:val="es-ES" w:eastAsia="es-ES"/>
        </w:rPr>
        <w:t>(Sic)</w:t>
      </w:r>
    </w:p>
    <w:p w14:paraId="32769371"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A0326AD"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056BB">
        <w:rPr>
          <w:rFonts w:ascii="Palatino Linotype" w:eastAsia="Times New Roman" w:hAnsi="Palatino Linotype" w:cs="Arial"/>
          <w:sz w:val="24"/>
          <w:szCs w:val="24"/>
          <w:lang w:val="es-ES" w:eastAsia="es-ES"/>
        </w:rPr>
        <w:t>Artículo que concatenado con lo establecido en la fracción IV, del numeral 192, de la Ley de Transparencia vigente en la entidad, que a la letra establece:</w:t>
      </w:r>
    </w:p>
    <w:p w14:paraId="35EF7F68" w14:textId="77777777" w:rsidR="001056BB" w:rsidRPr="001056BB" w:rsidRDefault="001056BB" w:rsidP="001056BB">
      <w:pPr>
        <w:spacing w:before="240" w:line="360" w:lineRule="auto"/>
        <w:ind w:left="851" w:right="851"/>
        <w:jc w:val="both"/>
        <w:rPr>
          <w:rFonts w:ascii="Palatino Linotype" w:hAnsi="Palatino Linotype" w:cs="Arial"/>
          <w:i/>
          <w:lang w:val="es-ES" w:eastAsia="es-ES"/>
        </w:rPr>
      </w:pPr>
      <w:r w:rsidRPr="001056BB">
        <w:rPr>
          <w:rFonts w:ascii="Palatino Linotype" w:hAnsi="Palatino Linotype" w:cs="Arial"/>
          <w:i/>
          <w:lang w:val="es-ES" w:eastAsia="es-ES"/>
        </w:rPr>
        <w:t>“Artículo 192. El recurso será sobreseído, en todo o en parte, cuando una vez admitido, se actualicen alguno de los siguientes supuestos:</w:t>
      </w:r>
    </w:p>
    <w:p w14:paraId="3FF79A57" w14:textId="77777777" w:rsidR="001056BB" w:rsidRPr="001056BB" w:rsidRDefault="001056BB" w:rsidP="001056BB">
      <w:pPr>
        <w:numPr>
          <w:ilvl w:val="0"/>
          <w:numId w:val="9"/>
        </w:numPr>
        <w:spacing w:before="240" w:after="0" w:line="360" w:lineRule="auto"/>
        <w:ind w:right="851"/>
        <w:jc w:val="both"/>
        <w:rPr>
          <w:rFonts w:ascii="Palatino Linotype" w:hAnsi="Palatino Linotype" w:cs="Arial"/>
          <w:i/>
          <w:lang w:val="es-ES" w:eastAsia="es-ES"/>
        </w:rPr>
      </w:pPr>
      <w:r w:rsidRPr="001056BB">
        <w:rPr>
          <w:rFonts w:ascii="Palatino Linotype" w:hAnsi="Palatino Linotype" w:cs="Arial"/>
          <w:i/>
          <w:lang w:val="es-ES" w:eastAsia="es-ES"/>
        </w:rPr>
        <w:t xml:space="preserve">El recurrente se desista expresamente del recurso; </w:t>
      </w:r>
    </w:p>
    <w:p w14:paraId="18E8C21E" w14:textId="77777777" w:rsidR="001056BB" w:rsidRPr="001056BB" w:rsidRDefault="001056BB" w:rsidP="001056BB">
      <w:pPr>
        <w:numPr>
          <w:ilvl w:val="0"/>
          <w:numId w:val="9"/>
        </w:numPr>
        <w:spacing w:before="240" w:after="0" w:line="360" w:lineRule="auto"/>
        <w:ind w:right="851"/>
        <w:jc w:val="both"/>
        <w:rPr>
          <w:rFonts w:ascii="Palatino Linotype" w:hAnsi="Palatino Linotype" w:cs="Arial"/>
          <w:i/>
          <w:lang w:val="es-ES" w:eastAsia="es-ES"/>
        </w:rPr>
      </w:pPr>
      <w:r w:rsidRPr="001056BB">
        <w:rPr>
          <w:rFonts w:ascii="Palatino Linotype" w:hAnsi="Palatino Linotype" w:cs="Arial"/>
          <w:i/>
          <w:lang w:val="es-ES" w:eastAsia="es-ES"/>
        </w:rPr>
        <w:t xml:space="preserve">El recurrente fallezca o, tratándose de personas jurídicas colectivas, se disuelva; </w:t>
      </w:r>
    </w:p>
    <w:p w14:paraId="346BA974" w14:textId="77777777" w:rsidR="001056BB" w:rsidRPr="001056BB" w:rsidRDefault="001056BB" w:rsidP="001056BB">
      <w:pPr>
        <w:numPr>
          <w:ilvl w:val="0"/>
          <w:numId w:val="9"/>
        </w:numPr>
        <w:spacing w:before="240" w:after="0" w:line="360" w:lineRule="auto"/>
        <w:ind w:right="851"/>
        <w:jc w:val="both"/>
        <w:rPr>
          <w:rFonts w:ascii="Palatino Linotype" w:hAnsi="Palatino Linotype" w:cs="Arial"/>
          <w:i/>
          <w:lang w:val="es-ES" w:eastAsia="es-ES"/>
        </w:rPr>
      </w:pPr>
      <w:r w:rsidRPr="001056BB">
        <w:rPr>
          <w:rFonts w:ascii="Palatino Linotype" w:hAnsi="Palatino Linotype" w:cs="Arial"/>
          <w:i/>
          <w:lang w:val="es-ES" w:eastAsia="es-ES"/>
        </w:rPr>
        <w:t xml:space="preserve">El sujeto obligado responsable del acto lo modifique o revoque de tal manera que el recurso de revisión quede sin materia; </w:t>
      </w:r>
    </w:p>
    <w:p w14:paraId="21509598" w14:textId="77777777" w:rsidR="001056BB" w:rsidRPr="001056BB" w:rsidRDefault="001056BB" w:rsidP="001056BB">
      <w:pPr>
        <w:numPr>
          <w:ilvl w:val="0"/>
          <w:numId w:val="9"/>
        </w:numPr>
        <w:spacing w:before="240" w:after="0" w:line="360" w:lineRule="auto"/>
        <w:ind w:right="851"/>
        <w:jc w:val="both"/>
        <w:rPr>
          <w:rFonts w:ascii="Palatino Linotype" w:hAnsi="Palatino Linotype" w:cs="Arial"/>
          <w:b/>
          <w:bCs/>
          <w:i/>
          <w:u w:val="single"/>
          <w:lang w:val="es-ES" w:eastAsia="es-ES"/>
        </w:rPr>
      </w:pPr>
      <w:r w:rsidRPr="001056BB">
        <w:rPr>
          <w:rFonts w:ascii="Palatino Linotype" w:hAnsi="Palatino Linotype" w:cs="Arial"/>
          <w:b/>
          <w:bCs/>
          <w:i/>
          <w:u w:val="single"/>
          <w:lang w:val="es-ES" w:eastAsia="es-ES"/>
        </w:rPr>
        <w:t xml:space="preserve">Admitido el recurso de revisión, aparezca alguna causal de improcedencia en los términos de la presente Ley; y </w:t>
      </w:r>
    </w:p>
    <w:p w14:paraId="2B87A284" w14:textId="77777777" w:rsidR="001056BB" w:rsidRPr="001056BB" w:rsidRDefault="001056BB" w:rsidP="001056BB">
      <w:pPr>
        <w:numPr>
          <w:ilvl w:val="0"/>
          <w:numId w:val="9"/>
        </w:numPr>
        <w:spacing w:before="240" w:after="0" w:line="360" w:lineRule="auto"/>
        <w:ind w:right="851"/>
        <w:jc w:val="both"/>
        <w:rPr>
          <w:rFonts w:ascii="Palatino Linotype" w:hAnsi="Palatino Linotype" w:cs="Arial"/>
          <w:i/>
          <w:lang w:val="es-ES" w:eastAsia="es-ES"/>
        </w:rPr>
      </w:pPr>
      <w:r w:rsidRPr="001056BB">
        <w:rPr>
          <w:rFonts w:ascii="Palatino Linotype" w:hAnsi="Palatino Linotype" w:cs="Arial"/>
          <w:i/>
          <w:lang w:val="es-ES" w:eastAsia="es-ES"/>
        </w:rPr>
        <w:t xml:space="preserve">Cuando por cualquier motivo quede sin materia el recurso.” </w:t>
      </w:r>
      <w:r w:rsidRPr="001056BB">
        <w:rPr>
          <w:rFonts w:ascii="Palatino Linotype" w:hAnsi="Palatino Linotype" w:cs="Arial"/>
          <w:b/>
          <w:bCs/>
          <w:i/>
          <w:lang w:val="es-ES" w:eastAsia="es-ES"/>
        </w:rPr>
        <w:t>(Sic)</w:t>
      </w:r>
    </w:p>
    <w:p w14:paraId="0D726192" w14:textId="77777777" w:rsidR="001056BB" w:rsidRPr="001056BB" w:rsidRDefault="001056BB" w:rsidP="001056B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AEC5BC9" w14:textId="652B5CF2" w:rsidR="00BC368D" w:rsidRDefault="00BC368D" w:rsidP="00BC368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C368D">
        <w:rPr>
          <w:rFonts w:ascii="Palatino Linotype" w:eastAsia="Times New Roman" w:hAnsi="Palatino Linotype" w:cs="Arial"/>
          <w:sz w:val="24"/>
          <w:szCs w:val="24"/>
          <w:lang w:val="es-ES" w:eastAsia="es-ES"/>
        </w:rPr>
        <w:lastRenderedPageBreak/>
        <w:t>Por lo que hace a los requisitos de procedencia del sobreseimiento en términos del artículo 191, de la ley de transparencia estatal se establece lo siguiente:</w:t>
      </w:r>
    </w:p>
    <w:p w14:paraId="4B99A3C1" w14:textId="77777777" w:rsidR="008F64D1" w:rsidRPr="00BC368D" w:rsidRDefault="008F64D1" w:rsidP="00BC368D">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889F414" w14:textId="75B007EC" w:rsidR="00BC368D" w:rsidRPr="00BC368D" w:rsidRDefault="00BC368D" w:rsidP="00BC368D">
      <w:pPr>
        <w:numPr>
          <w:ilvl w:val="0"/>
          <w:numId w:val="10"/>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C368D">
        <w:rPr>
          <w:rFonts w:ascii="Palatino Linotype" w:eastAsia="Times New Roman" w:hAnsi="Palatino Linotype" w:cs="Arial"/>
          <w:sz w:val="24"/>
          <w:szCs w:val="24"/>
          <w:lang w:val="es-ES" w:eastAsia="es-ES"/>
        </w:rPr>
        <w:t xml:space="preserve">Mediante acuerdo de fecha </w:t>
      </w:r>
      <w:r w:rsidR="004A49D2">
        <w:rPr>
          <w:rFonts w:ascii="Palatino Linotype" w:eastAsia="Times New Roman" w:hAnsi="Palatino Linotype" w:cs="Arial"/>
          <w:sz w:val="24"/>
          <w:szCs w:val="24"/>
          <w:lang w:val="es-ES" w:eastAsia="es-ES"/>
        </w:rPr>
        <w:t>doce</w:t>
      </w:r>
      <w:r w:rsidRPr="00BC368D">
        <w:rPr>
          <w:rFonts w:ascii="Palatino Linotype" w:eastAsia="Times New Roman" w:hAnsi="Palatino Linotype" w:cs="Arial"/>
          <w:sz w:val="24"/>
          <w:szCs w:val="24"/>
          <w:lang w:val="es-ES" w:eastAsia="es-ES"/>
        </w:rPr>
        <w:t xml:space="preserve"> de julio de dos mil veinticuatro, el Comisionado presidente José Martínez Vilchis admitió a trámite el recurso de revisión que nos ocupa. </w:t>
      </w:r>
    </w:p>
    <w:p w14:paraId="4F6576BC" w14:textId="77777777" w:rsidR="00BC368D" w:rsidRPr="00BC368D" w:rsidRDefault="00BC368D" w:rsidP="00BC368D">
      <w:pPr>
        <w:spacing w:after="0" w:line="240" w:lineRule="auto"/>
        <w:rPr>
          <w:lang w:val="es-ES"/>
        </w:rPr>
      </w:pPr>
    </w:p>
    <w:p w14:paraId="0288F17A" w14:textId="42A8A900" w:rsidR="00BC368D" w:rsidRPr="00BC368D" w:rsidRDefault="00BC368D" w:rsidP="00BC368D">
      <w:pPr>
        <w:numPr>
          <w:ilvl w:val="0"/>
          <w:numId w:val="10"/>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C368D">
        <w:rPr>
          <w:rFonts w:ascii="Palatino Linotype" w:eastAsia="Times New Roman" w:hAnsi="Palatino Linotype" w:cs="Arial"/>
          <w:sz w:val="24"/>
          <w:szCs w:val="24"/>
          <w:lang w:val="es-ES" w:eastAsia="es-ES"/>
        </w:rPr>
        <w:t xml:space="preserve">Lo esgrimido por </w:t>
      </w:r>
      <w:r w:rsidRPr="00BC368D">
        <w:rPr>
          <w:rFonts w:ascii="Palatino Linotype" w:eastAsia="Times New Roman" w:hAnsi="Palatino Linotype" w:cs="Arial"/>
          <w:b/>
          <w:sz w:val="24"/>
          <w:szCs w:val="24"/>
          <w:lang w:val="es-ES" w:eastAsia="es-ES"/>
        </w:rPr>
        <w:t>El Recurrente</w:t>
      </w:r>
      <w:r w:rsidRPr="00BC368D">
        <w:rPr>
          <w:rFonts w:ascii="Palatino Linotype" w:eastAsia="Times New Roman" w:hAnsi="Palatino Linotype" w:cs="Arial"/>
          <w:sz w:val="24"/>
          <w:szCs w:val="24"/>
          <w:lang w:val="es-ES" w:eastAsia="es-ES"/>
        </w:rPr>
        <w:t xml:space="preserve"> en su solicitud, se observa no corresponde al Derecho de Acceso a la Información, lo cual resulta incongruente con lo establecido en el segundo párrafo del artículo 12, de la Ley de Transparencia y Acceso a la Información Pública del Estado de México y Municipios.</w:t>
      </w:r>
    </w:p>
    <w:p w14:paraId="5AA48D5E" w14:textId="77777777" w:rsidR="00BC368D" w:rsidRPr="00BC368D" w:rsidRDefault="00BC368D" w:rsidP="00BC368D">
      <w:pPr>
        <w:spacing w:after="0" w:line="240" w:lineRule="auto"/>
        <w:rPr>
          <w:lang w:val="es-ES"/>
        </w:rPr>
      </w:pPr>
    </w:p>
    <w:p w14:paraId="75D023E4" w14:textId="5520EC2D" w:rsidR="00BC368D" w:rsidRPr="00BC368D" w:rsidRDefault="00BC368D" w:rsidP="00BC368D">
      <w:pPr>
        <w:numPr>
          <w:ilvl w:val="0"/>
          <w:numId w:val="10"/>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C368D">
        <w:rPr>
          <w:rFonts w:ascii="Palatino Linotype" w:eastAsia="Times New Roman" w:hAnsi="Palatino Linotype" w:cs="Arial"/>
          <w:sz w:val="24"/>
          <w:szCs w:val="24"/>
          <w:lang w:val="es-ES" w:eastAsia="es-ES"/>
        </w:rPr>
        <w:t xml:space="preserve">El recurso </w:t>
      </w:r>
      <w:r w:rsidRPr="00BC368D">
        <w:rPr>
          <w:rFonts w:ascii="Palatino Linotype" w:eastAsia="Times New Roman" w:hAnsi="Palatino Linotype" w:cs="Arial"/>
          <w:b/>
          <w:bCs/>
          <w:sz w:val="24"/>
          <w:szCs w:val="24"/>
          <w:lang w:val="es-ES" w:eastAsia="es-ES"/>
        </w:rPr>
        <w:t>4</w:t>
      </w:r>
      <w:r w:rsidR="00982788">
        <w:rPr>
          <w:rFonts w:ascii="Palatino Linotype" w:eastAsia="Times New Roman" w:hAnsi="Palatino Linotype" w:cs="Arial"/>
          <w:b/>
          <w:bCs/>
          <w:sz w:val="24"/>
          <w:szCs w:val="24"/>
          <w:lang w:val="es-ES" w:eastAsia="es-ES"/>
        </w:rPr>
        <w:t>240</w:t>
      </w:r>
      <w:r w:rsidRPr="00BC368D">
        <w:rPr>
          <w:rFonts w:ascii="Palatino Linotype" w:eastAsia="Times New Roman" w:hAnsi="Palatino Linotype" w:cs="Arial"/>
          <w:b/>
          <w:bCs/>
          <w:sz w:val="24"/>
          <w:szCs w:val="24"/>
          <w:lang w:val="es-ES" w:eastAsia="es-ES"/>
        </w:rPr>
        <w:t>/INFOEM/IP/RR/2024</w:t>
      </w:r>
      <w:r w:rsidRPr="00BC368D">
        <w:rPr>
          <w:rFonts w:ascii="Palatino Linotype" w:eastAsia="Times New Roman" w:hAnsi="Palatino Linotype" w:cs="Arial"/>
          <w:bCs/>
          <w:sz w:val="24"/>
          <w:szCs w:val="24"/>
          <w:lang w:val="es-ES" w:eastAsia="es-ES"/>
        </w:rPr>
        <w:t>,</w:t>
      </w:r>
      <w:r w:rsidRPr="00BC368D">
        <w:rPr>
          <w:rFonts w:ascii="Palatino Linotype" w:eastAsia="Times New Roman" w:hAnsi="Palatino Linotype" w:cs="Arial"/>
          <w:sz w:val="24"/>
          <w:szCs w:val="24"/>
          <w:lang w:val="es-ES" w:eastAsia="es-ES"/>
        </w:rPr>
        <w:t xml:space="preserve"> </w:t>
      </w:r>
      <w:r w:rsidRPr="00BC368D">
        <w:rPr>
          <w:rFonts w:ascii="Palatino Linotype" w:eastAsia="Times New Roman" w:hAnsi="Palatino Linotype" w:cs="Arial"/>
          <w:sz w:val="24"/>
          <w:szCs w:val="24"/>
          <w:lang w:val="es-ES_tradnl" w:eastAsia="es-ES"/>
        </w:rPr>
        <w:t>actualiza la causal de improcedencia contenida en la fracción III, del artículo 191</w:t>
      </w:r>
      <w:r w:rsidRPr="00BC368D">
        <w:rPr>
          <w:rFonts w:ascii="Palatino Linotype" w:eastAsia="Times New Roman" w:hAnsi="Palatino Linotype" w:cs="Arial"/>
          <w:sz w:val="24"/>
          <w:szCs w:val="24"/>
          <w:lang w:val="es-ES" w:eastAsia="es-ES"/>
        </w:rPr>
        <w:t>, de la Ley de la materia vigente en la entidad.</w:t>
      </w:r>
    </w:p>
    <w:p w14:paraId="684AB6C8" w14:textId="77777777" w:rsidR="00023A6D" w:rsidRDefault="00023A6D" w:rsidP="00BC368D">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45F93F0F" w14:textId="16C03F57" w:rsidR="00BC368D" w:rsidRPr="00BC368D" w:rsidRDefault="00BC368D" w:rsidP="00BC368D">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BC368D">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BC368D">
        <w:rPr>
          <w:rFonts w:ascii="Palatino Linotype" w:eastAsia="Times New Roman" w:hAnsi="Palatino Linotype" w:cs="Times New Roman"/>
          <w:b/>
          <w:bCs/>
          <w:i/>
          <w:sz w:val="24"/>
          <w:szCs w:val="24"/>
          <w:lang w:val="es-ES" w:eastAsia="es-ES"/>
        </w:rPr>
        <w:t>Estudios Introductorios sobre el Juicio de Amparo</w:t>
      </w:r>
      <w:r w:rsidRPr="00BC368D">
        <w:rPr>
          <w:rFonts w:ascii="Palatino Linotype" w:eastAsia="Times New Roman" w:hAnsi="Palatino Linotype" w:cs="Times New Roman"/>
          <w:i/>
          <w:sz w:val="24"/>
          <w:szCs w:val="24"/>
          <w:lang w:val="es-ES" w:eastAsia="es-ES"/>
        </w:rPr>
        <w:t xml:space="preserve"> </w:t>
      </w:r>
      <w:r w:rsidRPr="00BC368D">
        <w:rPr>
          <w:rFonts w:ascii="Palatino Linotype" w:eastAsia="Times New Roman" w:hAnsi="Palatino Linotype" w:cs="Times New Roman"/>
          <w:sz w:val="24"/>
          <w:szCs w:val="24"/>
          <w:lang w:val="es-ES" w:eastAsia="es-ES"/>
        </w:rPr>
        <w:t xml:space="preserve">relativo a </w:t>
      </w:r>
      <w:r w:rsidRPr="00BC368D">
        <w:rPr>
          <w:rFonts w:ascii="Palatino Linotype" w:eastAsia="Times New Roman" w:hAnsi="Palatino Linotype" w:cs="Times New Roman"/>
          <w:b/>
          <w:bCs/>
          <w:i/>
          <w:sz w:val="24"/>
          <w:szCs w:val="24"/>
          <w:lang w:val="es-ES" w:eastAsia="es-ES"/>
        </w:rPr>
        <w:t>LA IMPROCEDENCIA DE LA ACCIÓN DE AMPARO</w:t>
      </w:r>
      <w:r w:rsidRPr="00BC368D">
        <w:rPr>
          <w:rFonts w:ascii="Palatino Linotype" w:eastAsia="Times New Roman" w:hAnsi="Palatino Linotype" w:cs="Times New Roman"/>
          <w:i/>
          <w:sz w:val="24"/>
          <w:szCs w:val="24"/>
          <w:lang w:val="es-ES" w:eastAsia="es-ES"/>
        </w:rPr>
        <w:t xml:space="preserve"> </w:t>
      </w:r>
      <w:r w:rsidRPr="00BC368D">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w:t>
      </w:r>
      <w:r w:rsidRPr="00BC368D">
        <w:rPr>
          <w:rFonts w:ascii="Palatino Linotype" w:eastAsia="Times New Roman" w:hAnsi="Palatino Linotype" w:cs="Times New Roman"/>
          <w:sz w:val="24"/>
          <w:szCs w:val="24"/>
          <w:lang w:val="es-ES" w:eastAsia="es-ES"/>
        </w:rPr>
        <w:lastRenderedPageBreak/>
        <w:t xml:space="preserve">acreditada desde el momento en que se presenta la demanda de amparo, </w:t>
      </w:r>
      <w:r w:rsidRPr="00BC368D">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05F4F34D" w14:textId="77777777" w:rsidR="00BC368D" w:rsidRPr="00BC368D" w:rsidRDefault="00BC368D" w:rsidP="00BC368D">
      <w:pPr>
        <w:spacing w:after="0" w:line="240" w:lineRule="auto"/>
        <w:rPr>
          <w:rFonts w:ascii="Times New Roman" w:eastAsia="Times New Roman" w:hAnsi="Times New Roman" w:cs="Times New Roman"/>
          <w:sz w:val="24"/>
          <w:szCs w:val="24"/>
          <w:lang w:val="es-ES" w:eastAsia="es-ES"/>
        </w:rPr>
      </w:pPr>
    </w:p>
    <w:p w14:paraId="21268413" w14:textId="121A5B0C" w:rsidR="00BC368D" w:rsidRPr="00BC368D" w:rsidRDefault="00BC368D" w:rsidP="00BC368D">
      <w:pPr>
        <w:spacing w:after="0" w:line="360" w:lineRule="auto"/>
        <w:ind w:right="51"/>
        <w:jc w:val="both"/>
        <w:rPr>
          <w:rFonts w:ascii="Palatino Linotype" w:eastAsia="Times New Roman" w:hAnsi="Palatino Linotype" w:cs="Arial"/>
          <w:bCs/>
          <w:sz w:val="24"/>
          <w:szCs w:val="24"/>
          <w:lang w:val="es-ES" w:eastAsia="es-MX"/>
        </w:rPr>
      </w:pPr>
      <w:r w:rsidRPr="00BC368D">
        <w:rPr>
          <w:rFonts w:ascii="Palatino Linotype" w:eastAsia="Times New Roman" w:hAnsi="Palatino Linotype" w:cs="Arial"/>
          <w:sz w:val="24"/>
          <w:szCs w:val="24"/>
          <w:lang w:val="es-ES" w:eastAsia="es-ES"/>
        </w:rPr>
        <w:t>En mérito de lo expuesto en líneas anteriores</w:t>
      </w:r>
      <w:r w:rsidRPr="00BC368D">
        <w:rPr>
          <w:rFonts w:ascii="Palatino Linotype" w:eastAsia="Times New Roman" w:hAnsi="Palatino Linotype" w:cs="Times New Roman"/>
          <w:noProof/>
          <w:sz w:val="24"/>
          <w:szCs w:val="24"/>
          <w:lang w:val="es-ES" w:eastAsia="es-MX"/>
        </w:rPr>
        <w:t xml:space="preserve">, resultan inoperantes los motivos de inconformidad que arguye </w:t>
      </w:r>
      <w:r w:rsidRPr="00BC368D">
        <w:rPr>
          <w:rFonts w:ascii="Palatino Linotype" w:eastAsia="Times New Roman" w:hAnsi="Palatino Linotype" w:cs="Times New Roman"/>
          <w:b/>
          <w:noProof/>
          <w:sz w:val="24"/>
          <w:szCs w:val="24"/>
          <w:lang w:val="es-ES" w:eastAsia="es-MX"/>
        </w:rPr>
        <w:t>El Recurrente</w:t>
      </w:r>
      <w:r w:rsidRPr="00BC368D">
        <w:rPr>
          <w:rFonts w:ascii="Palatino Linotype" w:eastAsia="Times New Roman" w:hAnsi="Palatino Linotype" w:cs="Times New Roman"/>
          <w:noProof/>
          <w:sz w:val="24"/>
          <w:szCs w:val="24"/>
          <w:lang w:val="es-ES" w:eastAsia="es-MX"/>
        </w:rPr>
        <w:t xml:space="preserve"> en su medio de impugnación que fue materia de estudio, </w:t>
      </w:r>
      <w:r w:rsidRPr="00BC368D">
        <w:rPr>
          <w:rFonts w:ascii="Palatino Linotype" w:eastAsia="Times New Roman" w:hAnsi="Palatino Linotype" w:cs="Arial"/>
          <w:sz w:val="24"/>
          <w:szCs w:val="24"/>
          <w:lang w:val="es-ES" w:eastAsia="es-ES"/>
        </w:rPr>
        <w:t xml:space="preserve">por ello con fundamento en el artículo 192, fracción IV, de la Ley de Transparencia y Acceso a la Información Pública del Estado de México y Municipios, se </w:t>
      </w:r>
      <w:r w:rsidRPr="00BC368D">
        <w:rPr>
          <w:rFonts w:ascii="Palatino Linotype" w:eastAsia="Times New Roman" w:hAnsi="Palatino Linotype" w:cs="Arial"/>
          <w:b/>
          <w:sz w:val="24"/>
          <w:szCs w:val="24"/>
          <w:lang w:val="es-ES" w:eastAsia="es-ES"/>
        </w:rPr>
        <w:t>SOBRESEE</w:t>
      </w:r>
      <w:r w:rsidRPr="00BC368D">
        <w:rPr>
          <w:rFonts w:ascii="Palatino Linotype" w:eastAsia="Times New Roman" w:hAnsi="Palatino Linotype" w:cs="Arial"/>
          <w:sz w:val="24"/>
          <w:szCs w:val="24"/>
          <w:lang w:val="es-ES" w:eastAsia="es-ES"/>
        </w:rPr>
        <w:t xml:space="preserve"> el recurso de revisión</w:t>
      </w:r>
      <w:r w:rsidRPr="00BC368D">
        <w:rPr>
          <w:rFonts w:ascii="Times New Roman" w:eastAsia="Times New Roman" w:hAnsi="Times New Roman" w:cs="Times New Roman"/>
          <w:sz w:val="24"/>
          <w:szCs w:val="24"/>
          <w:lang w:val="es-ES" w:eastAsia="es-ES"/>
        </w:rPr>
        <w:t xml:space="preserve"> </w:t>
      </w:r>
      <w:r w:rsidR="007275D0">
        <w:rPr>
          <w:rFonts w:ascii="Times New Roman" w:eastAsia="Times New Roman" w:hAnsi="Times New Roman" w:cs="Times New Roman"/>
          <w:b/>
          <w:sz w:val="24"/>
          <w:szCs w:val="24"/>
          <w:lang w:val="es-ES" w:eastAsia="es-ES"/>
        </w:rPr>
        <w:t>0</w:t>
      </w:r>
      <w:r w:rsidRPr="00BC368D">
        <w:rPr>
          <w:rFonts w:ascii="Palatino Linotype" w:eastAsia="Times New Roman" w:hAnsi="Palatino Linotype" w:cs="Times New Roman"/>
          <w:b/>
          <w:bCs/>
          <w:sz w:val="24"/>
          <w:szCs w:val="24"/>
          <w:lang w:val="es-ES" w:eastAsia="es-ES"/>
        </w:rPr>
        <w:t>4</w:t>
      </w:r>
      <w:r w:rsidR="009644B3">
        <w:rPr>
          <w:rFonts w:ascii="Palatino Linotype" w:eastAsia="Times New Roman" w:hAnsi="Palatino Linotype" w:cs="Times New Roman"/>
          <w:b/>
          <w:bCs/>
          <w:sz w:val="24"/>
          <w:szCs w:val="24"/>
          <w:lang w:val="es-ES" w:eastAsia="es-ES"/>
        </w:rPr>
        <w:t>240</w:t>
      </w:r>
      <w:r w:rsidRPr="00BC368D">
        <w:rPr>
          <w:rFonts w:ascii="Palatino Linotype" w:eastAsia="Times New Roman" w:hAnsi="Palatino Linotype" w:cs="Times New Roman"/>
          <w:b/>
          <w:bCs/>
          <w:sz w:val="24"/>
          <w:szCs w:val="24"/>
          <w:lang w:val="es-ES" w:eastAsia="es-ES"/>
        </w:rPr>
        <w:t xml:space="preserve">/INFOEM/IP/RR/2024 </w:t>
      </w:r>
      <w:r w:rsidRPr="00BC368D">
        <w:rPr>
          <w:rFonts w:ascii="Palatino Linotype" w:eastAsiaTheme="minorEastAsia" w:hAnsi="Palatino Linotype" w:cs="Times New Roman"/>
          <w:b/>
          <w:sz w:val="24"/>
          <w:szCs w:val="24"/>
          <w:lang w:val="es-ES_tradnl" w:eastAsia="es-ES"/>
        </w:rPr>
        <w:t>por actualizarse la causal de improcedencia, establecida en el artículo 191, fracción III, esto es el Recurso se presentó en forma de consulta</w:t>
      </w:r>
      <w:r w:rsidRPr="00BC368D">
        <w:rPr>
          <w:rFonts w:ascii="Palatino Linotype" w:eastAsiaTheme="minorEastAsia" w:hAnsi="Palatino Linotype" w:cs="Times New Roman"/>
          <w:sz w:val="24"/>
          <w:szCs w:val="24"/>
          <w:lang w:val="es-ES_tradnl" w:eastAsia="es-ES"/>
        </w:rPr>
        <w:t>,</w:t>
      </w:r>
      <w:r w:rsidRPr="00BC368D">
        <w:rPr>
          <w:rFonts w:ascii="Palatino Linotype" w:eastAsiaTheme="minorEastAsia" w:hAnsi="Palatino Linotype" w:cs="Times New Roman"/>
          <w:b/>
          <w:sz w:val="24"/>
          <w:szCs w:val="24"/>
          <w:lang w:val="es-ES_tradnl" w:eastAsia="es-ES"/>
        </w:rPr>
        <w:t xml:space="preserve"> </w:t>
      </w:r>
      <w:r w:rsidRPr="00BC368D">
        <w:rPr>
          <w:rFonts w:ascii="Palatino Linotype" w:eastAsia="Times New Roman" w:hAnsi="Palatino Linotype" w:cs="Arial"/>
          <w:bCs/>
          <w:sz w:val="24"/>
          <w:szCs w:val="24"/>
          <w:lang w:val="es-ES" w:eastAsia="es-MX"/>
        </w:rPr>
        <w:t>que ha sido materia del presente fallo.</w:t>
      </w:r>
    </w:p>
    <w:p w14:paraId="5DA5A218" w14:textId="77777777" w:rsidR="00BC368D" w:rsidRPr="00BC368D" w:rsidRDefault="00BC368D" w:rsidP="00BC368D">
      <w:pPr>
        <w:autoSpaceDE w:val="0"/>
        <w:autoSpaceDN w:val="0"/>
        <w:adjustRightInd w:val="0"/>
        <w:spacing w:after="0" w:line="276" w:lineRule="auto"/>
        <w:ind w:right="-234"/>
        <w:jc w:val="both"/>
        <w:rPr>
          <w:rFonts w:ascii="Palatino Linotype" w:eastAsia="Times New Roman" w:hAnsi="Palatino Linotype" w:cs="Arial"/>
          <w:sz w:val="18"/>
          <w:szCs w:val="24"/>
          <w:lang w:val="es-ES" w:eastAsia="es-ES"/>
        </w:rPr>
      </w:pPr>
    </w:p>
    <w:p w14:paraId="364860B7" w14:textId="77777777" w:rsidR="00BC368D" w:rsidRPr="00BC368D" w:rsidRDefault="00BC368D" w:rsidP="00BC368D">
      <w:pPr>
        <w:autoSpaceDE w:val="0"/>
        <w:autoSpaceDN w:val="0"/>
        <w:adjustRightInd w:val="0"/>
        <w:spacing w:after="0" w:line="276" w:lineRule="auto"/>
        <w:ind w:right="-234"/>
        <w:jc w:val="both"/>
        <w:rPr>
          <w:rFonts w:ascii="Palatino Linotype" w:eastAsia="Times New Roman" w:hAnsi="Palatino Linotype" w:cs="Arial"/>
          <w:sz w:val="24"/>
          <w:szCs w:val="24"/>
          <w:lang w:val="es-ES" w:eastAsia="es-ES"/>
        </w:rPr>
      </w:pPr>
      <w:r w:rsidRPr="00BC368D">
        <w:rPr>
          <w:rFonts w:ascii="Palatino Linotype" w:eastAsia="Times New Roman" w:hAnsi="Palatino Linotype" w:cs="Arial"/>
          <w:sz w:val="24"/>
          <w:szCs w:val="24"/>
          <w:lang w:val="es-ES" w:eastAsia="es-ES"/>
        </w:rPr>
        <w:t>Por lo antes expuesto y fundado es de resolverse y,</w:t>
      </w:r>
    </w:p>
    <w:p w14:paraId="11B318D6" w14:textId="77777777" w:rsidR="00BC368D" w:rsidRPr="00BC368D" w:rsidRDefault="00BC368D" w:rsidP="00BC368D">
      <w:pPr>
        <w:spacing w:before="240" w:line="360" w:lineRule="auto"/>
        <w:ind w:right="-18"/>
        <w:jc w:val="both"/>
        <w:rPr>
          <w:rFonts w:ascii="Palatino Linotype" w:hAnsi="Palatino Linotype" w:cs="Arial"/>
          <w:iCs/>
          <w:sz w:val="24"/>
          <w:szCs w:val="24"/>
        </w:rPr>
      </w:pPr>
    </w:p>
    <w:p w14:paraId="1ECC80BE" w14:textId="77777777" w:rsidR="00BC368D" w:rsidRPr="00BC368D" w:rsidRDefault="00BC368D" w:rsidP="00BC368D">
      <w:pPr>
        <w:spacing w:after="0" w:line="276" w:lineRule="auto"/>
        <w:ind w:right="-234" w:firstLine="567"/>
        <w:jc w:val="center"/>
        <w:rPr>
          <w:rFonts w:ascii="Palatino Linotype" w:eastAsia="Times New Roman" w:hAnsi="Palatino Linotype" w:cs="Times New Roman"/>
          <w:b/>
          <w:sz w:val="28"/>
          <w:szCs w:val="24"/>
          <w:lang w:val="pt-BR" w:eastAsia="es-ES"/>
        </w:rPr>
      </w:pPr>
      <w:r w:rsidRPr="00BC368D">
        <w:rPr>
          <w:rFonts w:ascii="Palatino Linotype" w:eastAsia="Times New Roman" w:hAnsi="Palatino Linotype" w:cs="Times New Roman"/>
          <w:b/>
          <w:sz w:val="28"/>
          <w:szCs w:val="24"/>
          <w:lang w:val="pt-BR" w:eastAsia="es-ES"/>
        </w:rPr>
        <w:t>SE   R E S U E L V E</w:t>
      </w:r>
    </w:p>
    <w:p w14:paraId="2673B8F0" w14:textId="77777777" w:rsidR="00BC368D" w:rsidRPr="00BC368D" w:rsidRDefault="00BC368D" w:rsidP="00BC368D">
      <w:pPr>
        <w:spacing w:after="0" w:line="360" w:lineRule="auto"/>
        <w:jc w:val="both"/>
        <w:rPr>
          <w:rFonts w:ascii="Palatino Linotype" w:eastAsia="Times New Roman" w:hAnsi="Palatino Linotype" w:cs="Palatino Linotype"/>
          <w:sz w:val="24"/>
          <w:szCs w:val="24"/>
          <w:lang w:val="es-ES" w:eastAsia="es-ES"/>
        </w:rPr>
      </w:pPr>
    </w:p>
    <w:p w14:paraId="408AA6B4" w14:textId="18238639" w:rsidR="00BC368D" w:rsidRPr="00BC368D" w:rsidRDefault="00BC368D" w:rsidP="00BC368D">
      <w:pPr>
        <w:spacing w:after="0" w:line="360" w:lineRule="auto"/>
        <w:jc w:val="both"/>
        <w:rPr>
          <w:rFonts w:ascii="Palatino Linotype" w:eastAsia="Times New Roman" w:hAnsi="Palatino Linotype" w:cs="Arial"/>
          <w:sz w:val="24"/>
          <w:szCs w:val="24"/>
          <w:lang w:val="es-ES_tradnl" w:eastAsia="es-ES"/>
        </w:rPr>
      </w:pPr>
      <w:r w:rsidRPr="00BC368D">
        <w:rPr>
          <w:rFonts w:ascii="Palatino Linotype" w:eastAsia="Times New Roman" w:hAnsi="Palatino Linotype" w:cs="Arial"/>
          <w:b/>
          <w:sz w:val="24"/>
          <w:szCs w:val="24"/>
          <w:lang w:val="es-ES_tradnl" w:eastAsia="es-ES"/>
        </w:rPr>
        <w:t>PRIMERO.</w:t>
      </w:r>
      <w:r w:rsidRPr="00BC368D">
        <w:rPr>
          <w:rFonts w:ascii="Palatino Linotype" w:eastAsia="Times New Roman" w:hAnsi="Palatino Linotype" w:cs="Arial"/>
          <w:sz w:val="24"/>
          <w:szCs w:val="24"/>
          <w:lang w:val="es-ES_tradnl" w:eastAsia="es-ES"/>
        </w:rPr>
        <w:t xml:space="preserve"> Se </w:t>
      </w:r>
      <w:r w:rsidRPr="00BC368D">
        <w:rPr>
          <w:rFonts w:ascii="Palatino Linotype" w:eastAsia="Times New Roman" w:hAnsi="Palatino Linotype" w:cs="Arial"/>
          <w:b/>
          <w:sz w:val="24"/>
          <w:szCs w:val="24"/>
          <w:lang w:val="es-ES_tradnl" w:eastAsia="es-ES"/>
        </w:rPr>
        <w:t xml:space="preserve">SOBRESEE </w:t>
      </w:r>
      <w:r w:rsidRPr="00BC368D">
        <w:rPr>
          <w:rFonts w:ascii="Palatino Linotype" w:eastAsia="Times New Roman" w:hAnsi="Palatino Linotype" w:cs="Arial"/>
          <w:sz w:val="24"/>
          <w:szCs w:val="24"/>
          <w:lang w:val="es-ES_tradnl" w:eastAsia="es-ES"/>
        </w:rPr>
        <w:t xml:space="preserve">el recurso de revisión número </w:t>
      </w:r>
      <w:r w:rsidR="007275D0">
        <w:rPr>
          <w:rFonts w:ascii="Palatino Linotype" w:eastAsia="Times New Roman" w:hAnsi="Palatino Linotype" w:cs="Arial"/>
          <w:b/>
          <w:sz w:val="24"/>
          <w:szCs w:val="24"/>
          <w:lang w:val="es-ES_tradnl" w:eastAsia="es-ES"/>
        </w:rPr>
        <w:t>0</w:t>
      </w:r>
      <w:r w:rsidRPr="00BC368D">
        <w:rPr>
          <w:rFonts w:ascii="Palatino Linotype" w:eastAsia="Times New Roman" w:hAnsi="Palatino Linotype" w:cs="Arial"/>
          <w:b/>
          <w:sz w:val="24"/>
          <w:szCs w:val="24"/>
          <w:lang w:val="es-ES_tradnl" w:eastAsia="es-ES"/>
        </w:rPr>
        <w:t>4</w:t>
      </w:r>
      <w:r w:rsidR="009644B3">
        <w:rPr>
          <w:rFonts w:ascii="Palatino Linotype" w:eastAsia="Times New Roman" w:hAnsi="Palatino Linotype" w:cs="Arial"/>
          <w:b/>
          <w:sz w:val="24"/>
          <w:szCs w:val="24"/>
          <w:lang w:val="es-ES_tradnl" w:eastAsia="es-ES"/>
        </w:rPr>
        <w:t>240</w:t>
      </w:r>
      <w:r w:rsidRPr="00BC368D">
        <w:rPr>
          <w:rFonts w:ascii="Palatino Linotype" w:eastAsia="Times New Roman" w:hAnsi="Palatino Linotype" w:cs="Arial"/>
          <w:b/>
          <w:sz w:val="24"/>
          <w:szCs w:val="24"/>
          <w:lang w:val="es-ES_tradnl" w:eastAsia="es-ES"/>
        </w:rPr>
        <w:t>/INFOEM/IP/RR/2024</w:t>
      </w:r>
      <w:r w:rsidRPr="00BC368D">
        <w:rPr>
          <w:rFonts w:ascii="Palatino Linotype" w:eastAsia="Times New Roman" w:hAnsi="Palatino Linotype" w:cs="Arial"/>
          <w:sz w:val="24"/>
          <w:szCs w:val="24"/>
          <w:lang w:val="es-ES_tradnl" w:eastAsia="es-ES"/>
        </w:rPr>
        <w:t xml:space="preserve">, de conformidad con el artículo 192, fracción IV por actualizarse la causal de improcedencia contenida en la fracción III, del artículo 191, ambos de la Ley de Transparencia y Acceso a la Información Pública del Estado de México y Municipios, en términos del Considerando </w:t>
      </w:r>
      <w:r w:rsidRPr="00BC368D">
        <w:rPr>
          <w:rFonts w:ascii="Palatino Linotype" w:eastAsia="Times New Roman" w:hAnsi="Palatino Linotype" w:cs="Arial"/>
          <w:b/>
          <w:sz w:val="24"/>
          <w:szCs w:val="24"/>
          <w:lang w:val="es-ES_tradnl" w:eastAsia="es-ES"/>
        </w:rPr>
        <w:t>TERCERO</w:t>
      </w:r>
      <w:r w:rsidRPr="00BC368D">
        <w:rPr>
          <w:rFonts w:ascii="Palatino Linotype" w:eastAsia="Times New Roman" w:hAnsi="Palatino Linotype" w:cs="Arial"/>
          <w:sz w:val="24"/>
          <w:szCs w:val="24"/>
          <w:lang w:val="es-ES_tradnl" w:eastAsia="es-ES"/>
        </w:rPr>
        <w:t xml:space="preserve"> de la presente resolución.</w:t>
      </w:r>
    </w:p>
    <w:p w14:paraId="222A273A" w14:textId="77777777" w:rsidR="00BC368D" w:rsidRPr="00BC368D" w:rsidRDefault="00BC368D" w:rsidP="00BC368D">
      <w:pPr>
        <w:spacing w:after="0" w:line="360" w:lineRule="auto"/>
        <w:jc w:val="both"/>
        <w:rPr>
          <w:rFonts w:ascii="Palatino Linotype" w:eastAsia="Times New Roman" w:hAnsi="Palatino Linotype" w:cs="Arial"/>
          <w:sz w:val="24"/>
          <w:szCs w:val="24"/>
          <w:lang w:val="es-ES_tradnl" w:eastAsia="es-ES"/>
        </w:rPr>
      </w:pPr>
    </w:p>
    <w:p w14:paraId="462F9BC2" w14:textId="77777777" w:rsidR="00BC368D" w:rsidRPr="00BC368D" w:rsidRDefault="00BC368D" w:rsidP="00BC368D">
      <w:pPr>
        <w:spacing w:after="0" w:line="360" w:lineRule="auto"/>
        <w:jc w:val="both"/>
        <w:rPr>
          <w:rFonts w:ascii="Palatino Linotype" w:eastAsia="Times New Roman" w:hAnsi="Palatino Linotype" w:cs="Palatino Linotype"/>
          <w:sz w:val="24"/>
          <w:szCs w:val="24"/>
          <w:lang w:val="es-ES" w:eastAsia="es-ES"/>
        </w:rPr>
      </w:pPr>
      <w:r w:rsidRPr="00BC368D">
        <w:rPr>
          <w:rFonts w:ascii="Palatino Linotype" w:eastAsia="Times New Roman" w:hAnsi="Palatino Linotype" w:cs="Palatino Linotype"/>
          <w:b/>
          <w:sz w:val="24"/>
          <w:szCs w:val="24"/>
          <w:lang w:val="es-ES" w:eastAsia="es-ES"/>
        </w:rPr>
        <w:lastRenderedPageBreak/>
        <w:t>SEGUNDO.</w:t>
      </w:r>
      <w:r w:rsidRPr="00BC368D">
        <w:rPr>
          <w:rFonts w:ascii="Palatino Linotype" w:eastAsia="Times New Roman" w:hAnsi="Palatino Linotype" w:cs="Palatino Linotype"/>
          <w:sz w:val="24"/>
          <w:szCs w:val="24"/>
          <w:lang w:val="es-ES" w:eastAsia="es-ES"/>
        </w:rPr>
        <w:t xml:space="preserve"> </w:t>
      </w:r>
      <w:r w:rsidRPr="00BC368D">
        <w:rPr>
          <w:rFonts w:ascii="Palatino Linotype" w:eastAsia="Times New Roman" w:hAnsi="Palatino Linotype" w:cs="Palatino Linotype"/>
          <w:b/>
          <w:sz w:val="24"/>
          <w:szCs w:val="24"/>
          <w:lang w:val="es-ES" w:eastAsia="es-ES"/>
        </w:rPr>
        <w:t>Notifíquese</w:t>
      </w:r>
      <w:r w:rsidRPr="00BC368D">
        <w:rPr>
          <w:rFonts w:ascii="Palatino Linotype" w:eastAsia="Times New Roman" w:hAnsi="Palatino Linotype" w:cs="Palatino Linotype"/>
          <w:sz w:val="24"/>
          <w:szCs w:val="24"/>
          <w:lang w:val="es-ES" w:eastAsia="es-ES"/>
        </w:rPr>
        <w:t xml:space="preserve"> la presente resolución al Titular de la Unidad de Transparencia del Sujeto Obligado mediante el Sistema de Acceso a la Información Mexiquense (SAIMEX).</w:t>
      </w:r>
    </w:p>
    <w:p w14:paraId="2B774A74" w14:textId="77777777" w:rsidR="00BC368D" w:rsidRPr="00BC368D" w:rsidRDefault="00BC368D" w:rsidP="00BC368D">
      <w:pPr>
        <w:spacing w:after="0" w:line="360" w:lineRule="auto"/>
        <w:jc w:val="both"/>
        <w:rPr>
          <w:rFonts w:ascii="Palatino Linotype" w:eastAsia="Times New Roman" w:hAnsi="Palatino Linotype" w:cs="Palatino Linotype"/>
          <w:sz w:val="24"/>
          <w:szCs w:val="24"/>
          <w:lang w:val="es-ES" w:eastAsia="es-ES"/>
        </w:rPr>
      </w:pPr>
    </w:p>
    <w:p w14:paraId="1A7009FA" w14:textId="77777777" w:rsidR="00BC368D" w:rsidRPr="00BC368D" w:rsidRDefault="00BC368D" w:rsidP="00BC368D">
      <w:pPr>
        <w:spacing w:after="0" w:line="360" w:lineRule="auto"/>
        <w:jc w:val="both"/>
        <w:rPr>
          <w:rFonts w:ascii="Palatino Linotype" w:eastAsia="Times New Roman" w:hAnsi="Palatino Linotype" w:cs="Palatino Linotype"/>
          <w:sz w:val="24"/>
          <w:szCs w:val="24"/>
          <w:lang w:val="es-ES" w:eastAsia="es-ES"/>
        </w:rPr>
      </w:pPr>
      <w:r w:rsidRPr="00BC368D">
        <w:rPr>
          <w:rFonts w:ascii="Palatino Linotype" w:eastAsia="Times New Roman" w:hAnsi="Palatino Linotype" w:cs="Palatino Linotype"/>
          <w:b/>
          <w:sz w:val="24"/>
          <w:szCs w:val="24"/>
          <w:lang w:val="es-ES" w:eastAsia="es-ES"/>
        </w:rPr>
        <w:t>TERCERO. Notifíquese</w:t>
      </w:r>
      <w:r w:rsidRPr="00BC368D">
        <w:rPr>
          <w:rFonts w:ascii="Palatino Linotype" w:eastAsia="Times New Roman" w:hAnsi="Palatino Linotype" w:cs="Palatino Linotype"/>
          <w:sz w:val="24"/>
          <w:szCs w:val="24"/>
          <w:lang w:val="es-ES" w:eastAsia="es-ES"/>
        </w:rPr>
        <w:t xml:space="preserve"> la presente resolución al Recurrente</w:t>
      </w:r>
      <w:r w:rsidRPr="00BC368D">
        <w:rPr>
          <w:rFonts w:ascii="Times New Roman" w:eastAsia="Times New Roman" w:hAnsi="Times New Roman" w:cs="Times New Roman"/>
          <w:sz w:val="24"/>
          <w:szCs w:val="24"/>
          <w:lang w:val="es-ES" w:eastAsia="es-ES"/>
        </w:rPr>
        <w:t xml:space="preserve"> </w:t>
      </w:r>
      <w:r w:rsidRPr="00BC368D">
        <w:rPr>
          <w:rFonts w:ascii="Palatino Linotype" w:eastAsia="Times New Roman" w:hAnsi="Palatino Linotype" w:cs="Palatino Linotype"/>
          <w:sz w:val="24"/>
          <w:szCs w:val="24"/>
          <w:lang w:val="es-ES" w:eastAsia="es-ES"/>
        </w:rPr>
        <w:t>a través del Sistema de Acceso a la Información Mexiquense (SAIMEX),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14:paraId="29285BA6" w14:textId="77777777" w:rsidR="00023A6D" w:rsidRDefault="00023A6D" w:rsidP="00B34049">
      <w:pPr>
        <w:spacing w:after="0" w:line="360" w:lineRule="auto"/>
        <w:jc w:val="both"/>
        <w:rPr>
          <w:rFonts w:ascii="Palatino Linotype" w:hAnsi="Palatino Linotype" w:cs="Arial"/>
          <w:sz w:val="24"/>
          <w:szCs w:val="24"/>
        </w:rPr>
      </w:pPr>
    </w:p>
    <w:p w14:paraId="12D36E08" w14:textId="5D902E76" w:rsidR="00C43AAB" w:rsidRDefault="0009491C" w:rsidP="00B34049">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9963D6">
        <w:rPr>
          <w:rFonts w:ascii="Palatino Linotype" w:hAnsi="Palatino Linotype" w:cs="Arial"/>
          <w:sz w:val="24"/>
          <w:szCs w:val="24"/>
        </w:rPr>
        <w:t>VIGÉSIMA NOVENA</w:t>
      </w:r>
      <w:r w:rsidRPr="00360DF2">
        <w:rPr>
          <w:rFonts w:ascii="Palatino Linotype" w:hAnsi="Palatino Linotype" w:cs="Arial"/>
          <w:sz w:val="24"/>
          <w:szCs w:val="24"/>
        </w:rPr>
        <w:t xml:space="preserve"> SESIÓN ORDINARIA CELEBRADA </w:t>
      </w:r>
      <w:r w:rsidR="003121B8">
        <w:rPr>
          <w:rFonts w:ascii="Palatino Linotype" w:hAnsi="Palatino Linotype" w:cs="Arial"/>
          <w:sz w:val="24"/>
          <w:szCs w:val="24"/>
        </w:rPr>
        <w:t>EL VEINTIUNO DE AGOSTO</w:t>
      </w:r>
      <w:r w:rsidR="0023365E">
        <w:rPr>
          <w:rFonts w:ascii="Palatino Linotype" w:hAnsi="Palatino Linotype" w:cs="Arial"/>
          <w:sz w:val="24"/>
          <w:szCs w:val="24"/>
        </w:rPr>
        <w:t xml:space="preserve"> </w:t>
      </w:r>
      <w:r w:rsidRPr="00360DF2">
        <w:rPr>
          <w:rFonts w:ascii="Palatino Linotype" w:hAnsi="Palatino Linotype" w:cs="Arial"/>
          <w:sz w:val="24"/>
          <w:szCs w:val="24"/>
        </w:rPr>
        <w:t xml:space="preserve">DE DOS MIL </w:t>
      </w:r>
      <w:r w:rsidR="003121B8">
        <w:rPr>
          <w:rFonts w:ascii="Palatino Linotype" w:hAnsi="Palatino Linotype" w:cs="Arial"/>
          <w:sz w:val="24"/>
          <w:szCs w:val="24"/>
        </w:rPr>
        <w:t>VEINTICUATRO</w:t>
      </w:r>
      <w:r w:rsidRPr="00360DF2">
        <w:rPr>
          <w:rFonts w:ascii="Palatino Linotype" w:hAnsi="Palatino Linotype" w:cs="Arial"/>
          <w:sz w:val="24"/>
          <w:szCs w:val="24"/>
        </w:rPr>
        <w:t>, ANTE EL SECRETARIO TÉCNICO DEL PLENO, ALEXIS TAPIA RAMÍREZ. -------------------------------------------</w:t>
      </w:r>
      <w:r w:rsidR="00C43AAB">
        <w:rPr>
          <w:rFonts w:ascii="Palatino Linotype" w:hAnsi="Palatino Linotype" w:cs="Arial"/>
          <w:sz w:val="24"/>
          <w:szCs w:val="24"/>
        </w:rPr>
        <w:t>---------------------------------</w:t>
      </w:r>
    </w:p>
    <w:p w14:paraId="5430E778" w14:textId="56564B4E" w:rsidR="00C43AAB" w:rsidRDefault="00C43AAB" w:rsidP="00C43AAB">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007275D0">
        <w:rPr>
          <w:rFonts w:ascii="Palatino Linotype" w:hAnsi="Palatino Linotype" w:cs="Arial"/>
        </w:rPr>
        <w:t>------------------------------------------------------------------------------------------------------------------------------------------------------------------------------------------------------------------------------------------------------</w:t>
      </w:r>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0B65EA" w:rsidRDefault="000B65EA" w:rsidP="00B34049">
      <w:pPr>
        <w:spacing w:after="0"/>
      </w:pPr>
    </w:p>
    <w:sectPr w:rsidR="000B65EA"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1F62B" w14:textId="77777777" w:rsidR="00206AC3" w:rsidRDefault="00206AC3" w:rsidP="0009491C">
      <w:pPr>
        <w:spacing w:after="0" w:line="240" w:lineRule="auto"/>
      </w:pPr>
      <w:r>
        <w:separator/>
      </w:r>
    </w:p>
  </w:endnote>
  <w:endnote w:type="continuationSeparator" w:id="0">
    <w:p w14:paraId="691B6811" w14:textId="77777777" w:rsidR="00206AC3" w:rsidRDefault="00206AC3"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0B65EA"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43B1F">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43B1F">
              <w:rPr>
                <w:rFonts w:ascii="Palatino Linotype" w:hAnsi="Palatino Linotype"/>
                <w:bCs/>
                <w:noProof/>
                <w:sz w:val="20"/>
              </w:rPr>
              <w:t>26</w:t>
            </w:r>
            <w:r>
              <w:rPr>
                <w:rFonts w:ascii="Palatino Linotype" w:hAnsi="Palatino Linotype"/>
                <w:bCs/>
                <w:noProof/>
                <w:sz w:val="20"/>
              </w:rPr>
              <w:fldChar w:fldCharType="end"/>
            </w:r>
          </w:p>
        </w:sdtContent>
      </w:sdt>
    </w:sdtContent>
  </w:sdt>
  <w:p w14:paraId="46640204" w14:textId="77777777" w:rsidR="000B65EA" w:rsidRDefault="000B65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0B65EA"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12F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212F8">
      <w:rPr>
        <w:rFonts w:ascii="Palatino Linotype" w:hAnsi="Palatino Linotype"/>
        <w:bCs/>
        <w:noProof/>
        <w:sz w:val="20"/>
      </w:rPr>
      <w:t>26</w:t>
    </w:r>
    <w:r>
      <w:rPr>
        <w:rFonts w:ascii="Palatino Linotype" w:hAnsi="Palatino Linotype"/>
        <w:bCs/>
        <w:noProof/>
        <w:sz w:val="20"/>
      </w:rPr>
      <w:fldChar w:fldCharType="end"/>
    </w:r>
  </w:p>
  <w:p w14:paraId="5383978B" w14:textId="77777777" w:rsidR="000B65EA" w:rsidRDefault="000B65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49C18" w14:textId="77777777" w:rsidR="00206AC3" w:rsidRDefault="00206AC3" w:rsidP="0009491C">
      <w:pPr>
        <w:spacing w:after="0" w:line="240" w:lineRule="auto"/>
      </w:pPr>
      <w:r>
        <w:separator/>
      </w:r>
    </w:p>
  </w:footnote>
  <w:footnote w:type="continuationSeparator" w:id="0">
    <w:p w14:paraId="604804B8" w14:textId="77777777" w:rsidR="00206AC3" w:rsidRDefault="00206AC3" w:rsidP="0009491C">
      <w:pPr>
        <w:spacing w:after="0" w:line="240" w:lineRule="auto"/>
      </w:pPr>
      <w:r>
        <w:continuationSeparator/>
      </w:r>
    </w:p>
  </w:footnote>
  <w:footnote w:id="1">
    <w:p w14:paraId="655498D2" w14:textId="77777777" w:rsidR="00077590" w:rsidRPr="009535FD" w:rsidRDefault="00077590" w:rsidP="00077590">
      <w:pPr>
        <w:jc w:val="both"/>
        <w:rPr>
          <w:rFonts w:ascii="Palatino Linotype" w:hAnsi="Palatino Linotype"/>
          <w:i/>
          <w:sz w:val="18"/>
          <w:szCs w:val="18"/>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18"/>
          <w:szCs w:val="18"/>
        </w:rPr>
        <w:t xml:space="preserve"> </w:t>
      </w: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035F011" w14:textId="77777777" w:rsidR="005F7624" w:rsidRDefault="005F7624" w:rsidP="005F7624">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14:paraId="1047AE25" w14:textId="77777777" w:rsidR="005F7624" w:rsidRDefault="005F7624" w:rsidP="005F7624">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 w:id="4">
    <w:p w14:paraId="28F07F7C" w14:textId="77777777" w:rsidR="005F7624" w:rsidRDefault="005F7624" w:rsidP="005F7624">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ROBLES HERNÁNDEZ José Guadalupe. </w:t>
      </w:r>
      <w:r>
        <w:rPr>
          <w:rFonts w:ascii="Palatino Linotype" w:eastAsia="MS Mincho" w:hAnsi="Palatino Linotype" w:cs="Arial"/>
          <w:i/>
          <w:sz w:val="16"/>
          <w:szCs w:val="16"/>
          <w:lang w:val="es-ES_tradnl" w:eastAsia="es-ES"/>
        </w:rPr>
        <w:t xml:space="preserve">Derecho de la Información y Comunicación Pública. </w:t>
      </w:r>
      <w:r>
        <w:rPr>
          <w:rFonts w:ascii="Palatino Linotype" w:eastAsia="MS Mincho" w:hAnsi="Palatino Linotype" w:cs="Arial"/>
          <w:sz w:val="16"/>
          <w:szCs w:val="16"/>
          <w:lang w:val="es-ES_tradnl" w:eastAsia="es-ES"/>
        </w:rPr>
        <w:t>Ed. Universidad de Occidente. México. 2004, p. 72</w:t>
      </w:r>
    </w:p>
  </w:footnote>
  <w:footnote w:id="5">
    <w:p w14:paraId="2D577ACF" w14:textId="77777777" w:rsidR="005F7624" w:rsidRDefault="005F7624" w:rsidP="005F7624">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VILLANUEVA </w:t>
      </w:r>
      <w:proofErr w:type="spellStart"/>
      <w:r>
        <w:rPr>
          <w:rFonts w:ascii="Palatino Linotype" w:eastAsia="MS Mincho" w:hAnsi="Palatino Linotype" w:cs="Arial"/>
          <w:sz w:val="16"/>
          <w:szCs w:val="16"/>
          <w:lang w:eastAsia="es-ES"/>
        </w:rPr>
        <w:t>VILLANUEVA</w:t>
      </w:r>
      <w:proofErr w:type="spellEnd"/>
      <w:r>
        <w:rPr>
          <w:rFonts w:ascii="Palatino Linotype" w:eastAsia="MS Mincho" w:hAnsi="Palatino Linotype" w:cs="Arial"/>
          <w:sz w:val="16"/>
          <w:szCs w:val="16"/>
          <w:lang w:eastAsia="es-ES"/>
        </w:rPr>
        <w:t xml:space="preserve">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0B65EA"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66F98DD9" w:rsidR="000B65EA" w:rsidRPr="00641471" w:rsidRDefault="006E6DC1"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B41409">
            <w:rPr>
              <w:rFonts w:ascii="Palatino Linotype" w:hAnsi="Palatino Linotype" w:cs="Arial"/>
              <w:b/>
              <w:bCs/>
              <w:sz w:val="24"/>
              <w:lang w:eastAsia="es-MX"/>
            </w:rPr>
            <w:t>4240</w:t>
          </w:r>
          <w:r>
            <w:rPr>
              <w:rFonts w:ascii="Palatino Linotype" w:hAnsi="Palatino Linotype" w:cs="Arial"/>
              <w:b/>
              <w:bCs/>
              <w:sz w:val="24"/>
              <w:lang w:eastAsia="es-MX"/>
            </w:rPr>
            <w:t>/INFOEM/IP/RR/202</w:t>
          </w:r>
          <w:r w:rsidR="00B41409">
            <w:rPr>
              <w:rFonts w:ascii="Palatino Linotype" w:hAnsi="Palatino Linotype" w:cs="Arial"/>
              <w:b/>
              <w:bCs/>
              <w:sz w:val="24"/>
              <w:lang w:eastAsia="es-MX"/>
            </w:rPr>
            <w:t>4</w:t>
          </w:r>
        </w:p>
      </w:tc>
    </w:tr>
    <w:tr w:rsidR="00213060" w14:paraId="5E9CF1A2" w14:textId="77777777" w:rsidTr="00213060">
      <w:trPr>
        <w:trHeight w:val="242"/>
      </w:trPr>
      <w:tc>
        <w:tcPr>
          <w:tcW w:w="5246" w:type="dxa"/>
          <w:hideMark/>
        </w:tcPr>
        <w:p w14:paraId="1BDB3C02" w14:textId="77777777" w:rsidR="000B65EA"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5EFFAD5E" w:rsidR="000B65EA" w:rsidRPr="00641471" w:rsidRDefault="00B41409" w:rsidP="00213060">
          <w:pPr>
            <w:spacing w:after="120" w:line="256" w:lineRule="auto"/>
            <w:ind w:left="-486" w:right="214" w:firstLine="284"/>
            <w:jc w:val="right"/>
            <w:rPr>
              <w:rFonts w:ascii="Palatino Linotype" w:hAnsi="Palatino Linotype" w:cs="Arial"/>
              <w:b/>
              <w:szCs w:val="20"/>
            </w:rPr>
          </w:pPr>
          <w:r w:rsidRPr="00B41409">
            <w:rPr>
              <w:rFonts w:ascii="Palatino Linotype" w:hAnsi="Palatino Linotype" w:cs="Arial"/>
              <w:b/>
              <w:szCs w:val="20"/>
            </w:rPr>
            <w:t>Organismo Público Descentralizado para la Prestación de Los Servicios de Agua Potable Alcantarillado y Saneamiento del Municipio de la Paz México, OPDAPAS</w:t>
          </w:r>
        </w:p>
      </w:tc>
    </w:tr>
    <w:tr w:rsidR="00213060" w14:paraId="4EAA2B38" w14:textId="77777777" w:rsidTr="00213060">
      <w:trPr>
        <w:trHeight w:val="342"/>
      </w:trPr>
      <w:tc>
        <w:tcPr>
          <w:tcW w:w="5246" w:type="dxa"/>
          <w:hideMark/>
        </w:tcPr>
        <w:p w14:paraId="45EEC6CB" w14:textId="77777777" w:rsidR="000B65EA"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0B65EA"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0B65EA"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0B65EA"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7AFA6C25" w:rsidR="000B65EA" w:rsidRPr="00641471" w:rsidRDefault="006E6DC1"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B41409">
            <w:rPr>
              <w:rFonts w:ascii="Palatino Linotype" w:hAnsi="Palatino Linotype" w:cs="Arial"/>
              <w:b/>
              <w:bCs/>
              <w:sz w:val="24"/>
              <w:lang w:eastAsia="es-MX"/>
            </w:rPr>
            <w:t>4240</w:t>
          </w:r>
          <w:r>
            <w:rPr>
              <w:rFonts w:ascii="Palatino Linotype" w:hAnsi="Palatino Linotype" w:cs="Arial"/>
              <w:b/>
              <w:bCs/>
              <w:sz w:val="24"/>
              <w:lang w:eastAsia="es-MX"/>
            </w:rPr>
            <w:t>/INFOEM/IP/RR/202</w:t>
          </w:r>
          <w:r w:rsidR="00B41409">
            <w:rPr>
              <w:rFonts w:ascii="Palatino Linotype" w:hAnsi="Palatino Linotype" w:cs="Arial"/>
              <w:b/>
              <w:bCs/>
              <w:sz w:val="24"/>
              <w:lang w:eastAsia="es-MX"/>
            </w:rPr>
            <w:t>4</w:t>
          </w:r>
        </w:p>
      </w:tc>
    </w:tr>
    <w:tr w:rsidR="00213060" w14:paraId="27E5DB9D" w14:textId="77777777" w:rsidTr="00213060">
      <w:trPr>
        <w:trHeight w:val="242"/>
      </w:trPr>
      <w:tc>
        <w:tcPr>
          <w:tcW w:w="5104" w:type="dxa"/>
          <w:hideMark/>
        </w:tcPr>
        <w:p w14:paraId="2E2FAA87" w14:textId="77777777" w:rsidR="000B65EA"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1506183B" w:rsidR="000B65EA" w:rsidRPr="00641471" w:rsidRDefault="00B41409" w:rsidP="00213060">
          <w:pPr>
            <w:spacing w:after="120" w:line="256" w:lineRule="auto"/>
            <w:ind w:left="-486" w:right="214" w:firstLine="284"/>
            <w:jc w:val="right"/>
            <w:rPr>
              <w:rFonts w:ascii="Palatino Linotype" w:hAnsi="Palatino Linotype" w:cs="Arial"/>
              <w:b/>
              <w:szCs w:val="20"/>
            </w:rPr>
          </w:pPr>
          <w:r w:rsidRPr="00B41409">
            <w:rPr>
              <w:rFonts w:ascii="Palatino Linotype" w:hAnsi="Palatino Linotype" w:cs="Arial"/>
              <w:b/>
              <w:szCs w:val="20"/>
            </w:rPr>
            <w:t>Organismo Público Descentralizado para la Prestación de Los Servicios de Agua Potable Alcantarillado y Saneamiento del Municipio de la Paz México, OPDAPAS</w:t>
          </w:r>
        </w:p>
      </w:tc>
    </w:tr>
    <w:tr w:rsidR="00213060" w14:paraId="4B02109D" w14:textId="77777777" w:rsidTr="00213060">
      <w:trPr>
        <w:trHeight w:val="342"/>
      </w:trPr>
      <w:tc>
        <w:tcPr>
          <w:tcW w:w="5104" w:type="dxa"/>
        </w:tcPr>
        <w:p w14:paraId="3826DC18" w14:textId="77777777" w:rsidR="000B65EA"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31AF3DA2" w:rsidR="000B65EA" w:rsidRPr="00641471" w:rsidRDefault="00D42741" w:rsidP="00213060">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B212F8">
            <w:rPr>
              <w:rFonts w:ascii="Palatino Linotype" w:hAnsi="Palatino Linotype" w:cs="Arial"/>
              <w:b/>
              <w:bCs/>
            </w:rPr>
            <w:t>XXXXXXXXXXXXXXXX</w:t>
          </w:r>
        </w:p>
      </w:tc>
    </w:tr>
    <w:tr w:rsidR="00213060" w14:paraId="325B8815" w14:textId="77777777" w:rsidTr="00213060">
      <w:trPr>
        <w:trHeight w:val="342"/>
      </w:trPr>
      <w:tc>
        <w:tcPr>
          <w:tcW w:w="5104" w:type="dxa"/>
        </w:tcPr>
        <w:p w14:paraId="29443572" w14:textId="77777777" w:rsidR="000B65EA"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0B65EA"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0B65EA" w:rsidRPr="00C222C0" w:rsidRDefault="000B65EA">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406E06"/>
    <w:multiLevelType w:val="hybridMultilevel"/>
    <w:tmpl w:val="BAE8FBF8"/>
    <w:lvl w:ilvl="0" w:tplc="F3EC5DB2">
      <w:start w:val="1"/>
      <w:numFmt w:val="decimal"/>
      <w:lvlText w:val="%1."/>
      <w:lvlJc w:val="left"/>
      <w:pPr>
        <w:ind w:left="2258" w:hanging="720"/>
      </w:pPr>
      <w:rPr>
        <w:rFonts w:cs="Times New Roman" w:hint="default"/>
        <w:b/>
      </w:rPr>
    </w:lvl>
    <w:lvl w:ilvl="1" w:tplc="080A0019" w:tentative="1">
      <w:start w:val="1"/>
      <w:numFmt w:val="lowerLetter"/>
      <w:lvlText w:val="%2."/>
      <w:lvlJc w:val="left"/>
      <w:pPr>
        <w:ind w:left="2210" w:hanging="360"/>
      </w:pPr>
      <w:rPr>
        <w:rFonts w:cs="Times New Roman"/>
      </w:rPr>
    </w:lvl>
    <w:lvl w:ilvl="2" w:tplc="080A001B" w:tentative="1">
      <w:start w:val="1"/>
      <w:numFmt w:val="lowerRoman"/>
      <w:lvlText w:val="%3."/>
      <w:lvlJc w:val="right"/>
      <w:pPr>
        <w:ind w:left="2930" w:hanging="180"/>
      </w:pPr>
      <w:rPr>
        <w:rFonts w:cs="Times New Roman"/>
      </w:rPr>
    </w:lvl>
    <w:lvl w:ilvl="3" w:tplc="080A000F" w:tentative="1">
      <w:start w:val="1"/>
      <w:numFmt w:val="decimal"/>
      <w:lvlText w:val="%4."/>
      <w:lvlJc w:val="left"/>
      <w:pPr>
        <w:ind w:left="3650" w:hanging="360"/>
      </w:pPr>
      <w:rPr>
        <w:rFonts w:cs="Times New Roman"/>
      </w:rPr>
    </w:lvl>
    <w:lvl w:ilvl="4" w:tplc="080A0019" w:tentative="1">
      <w:start w:val="1"/>
      <w:numFmt w:val="lowerLetter"/>
      <w:lvlText w:val="%5."/>
      <w:lvlJc w:val="left"/>
      <w:pPr>
        <w:ind w:left="4370" w:hanging="360"/>
      </w:pPr>
      <w:rPr>
        <w:rFonts w:cs="Times New Roman"/>
      </w:rPr>
    </w:lvl>
    <w:lvl w:ilvl="5" w:tplc="080A001B" w:tentative="1">
      <w:start w:val="1"/>
      <w:numFmt w:val="lowerRoman"/>
      <w:lvlText w:val="%6."/>
      <w:lvlJc w:val="right"/>
      <w:pPr>
        <w:ind w:left="5090" w:hanging="180"/>
      </w:pPr>
      <w:rPr>
        <w:rFonts w:cs="Times New Roman"/>
      </w:rPr>
    </w:lvl>
    <w:lvl w:ilvl="6" w:tplc="080A000F" w:tentative="1">
      <w:start w:val="1"/>
      <w:numFmt w:val="decimal"/>
      <w:lvlText w:val="%7."/>
      <w:lvlJc w:val="left"/>
      <w:pPr>
        <w:ind w:left="5810" w:hanging="360"/>
      </w:pPr>
      <w:rPr>
        <w:rFonts w:cs="Times New Roman"/>
      </w:rPr>
    </w:lvl>
    <w:lvl w:ilvl="7" w:tplc="080A0019" w:tentative="1">
      <w:start w:val="1"/>
      <w:numFmt w:val="lowerLetter"/>
      <w:lvlText w:val="%8."/>
      <w:lvlJc w:val="left"/>
      <w:pPr>
        <w:ind w:left="6530" w:hanging="360"/>
      </w:pPr>
      <w:rPr>
        <w:rFonts w:cs="Times New Roman"/>
      </w:rPr>
    </w:lvl>
    <w:lvl w:ilvl="8" w:tplc="080A001B" w:tentative="1">
      <w:start w:val="1"/>
      <w:numFmt w:val="lowerRoman"/>
      <w:lvlText w:val="%9."/>
      <w:lvlJc w:val="right"/>
      <w:pPr>
        <w:ind w:left="7250" w:hanging="180"/>
      </w:pPr>
      <w:rPr>
        <w:rFonts w:cs="Times New Roman"/>
      </w:rPr>
    </w:lvl>
  </w:abstractNum>
  <w:abstractNum w:abstractNumId="5"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7"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8"/>
  </w:num>
  <w:num w:numId="5">
    <w:abstractNumId w:val="7"/>
  </w:num>
  <w:num w:numId="6">
    <w:abstractNumId w:val="1"/>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574D"/>
    <w:rsid w:val="00023A6D"/>
    <w:rsid w:val="00025823"/>
    <w:rsid w:val="00046CB6"/>
    <w:rsid w:val="0007277A"/>
    <w:rsid w:val="00077590"/>
    <w:rsid w:val="0009491C"/>
    <w:rsid w:val="00095986"/>
    <w:rsid w:val="000B12F7"/>
    <w:rsid w:val="000B65EA"/>
    <w:rsid w:val="001056BB"/>
    <w:rsid w:val="00106670"/>
    <w:rsid w:val="00167BBD"/>
    <w:rsid w:val="00171EAB"/>
    <w:rsid w:val="00173B56"/>
    <w:rsid w:val="00174E4E"/>
    <w:rsid w:val="00181CA1"/>
    <w:rsid w:val="00190B37"/>
    <w:rsid w:val="00190E63"/>
    <w:rsid w:val="001F6ACD"/>
    <w:rsid w:val="00206AC3"/>
    <w:rsid w:val="00231BE4"/>
    <w:rsid w:val="0023365E"/>
    <w:rsid w:val="002436FA"/>
    <w:rsid w:val="00252C57"/>
    <w:rsid w:val="00252E84"/>
    <w:rsid w:val="002774B6"/>
    <w:rsid w:val="003121B8"/>
    <w:rsid w:val="00313F00"/>
    <w:rsid w:val="00341A68"/>
    <w:rsid w:val="00343B1F"/>
    <w:rsid w:val="0038165E"/>
    <w:rsid w:val="003D2B94"/>
    <w:rsid w:val="0041247E"/>
    <w:rsid w:val="0044350B"/>
    <w:rsid w:val="00460D49"/>
    <w:rsid w:val="0047290B"/>
    <w:rsid w:val="0048739B"/>
    <w:rsid w:val="004A49D2"/>
    <w:rsid w:val="004D1A2D"/>
    <w:rsid w:val="00530960"/>
    <w:rsid w:val="00552E32"/>
    <w:rsid w:val="00577B47"/>
    <w:rsid w:val="0059361F"/>
    <w:rsid w:val="005F7624"/>
    <w:rsid w:val="0061125D"/>
    <w:rsid w:val="00636559"/>
    <w:rsid w:val="00647509"/>
    <w:rsid w:val="00670BA4"/>
    <w:rsid w:val="006E6DC1"/>
    <w:rsid w:val="00703118"/>
    <w:rsid w:val="007275D0"/>
    <w:rsid w:val="007947A9"/>
    <w:rsid w:val="007E201A"/>
    <w:rsid w:val="00863BE9"/>
    <w:rsid w:val="00871D8A"/>
    <w:rsid w:val="008A04A3"/>
    <w:rsid w:val="008B3790"/>
    <w:rsid w:val="008F64D1"/>
    <w:rsid w:val="00946989"/>
    <w:rsid w:val="009477CE"/>
    <w:rsid w:val="009644B3"/>
    <w:rsid w:val="00982788"/>
    <w:rsid w:val="009963D6"/>
    <w:rsid w:val="00A0464A"/>
    <w:rsid w:val="00A768CA"/>
    <w:rsid w:val="00A92B83"/>
    <w:rsid w:val="00AB4904"/>
    <w:rsid w:val="00AB662B"/>
    <w:rsid w:val="00AC0022"/>
    <w:rsid w:val="00AF285B"/>
    <w:rsid w:val="00AF5D72"/>
    <w:rsid w:val="00B212F8"/>
    <w:rsid w:val="00B34049"/>
    <w:rsid w:val="00B37E25"/>
    <w:rsid w:val="00B41409"/>
    <w:rsid w:val="00B75490"/>
    <w:rsid w:val="00BC0FCE"/>
    <w:rsid w:val="00BC368D"/>
    <w:rsid w:val="00BC58AC"/>
    <w:rsid w:val="00BE0DEC"/>
    <w:rsid w:val="00C43AAB"/>
    <w:rsid w:val="00C92BDF"/>
    <w:rsid w:val="00CA31E0"/>
    <w:rsid w:val="00CF19A6"/>
    <w:rsid w:val="00CF4E0A"/>
    <w:rsid w:val="00D42741"/>
    <w:rsid w:val="00D80CEC"/>
    <w:rsid w:val="00DD3A4F"/>
    <w:rsid w:val="00E54257"/>
    <w:rsid w:val="00EF611D"/>
    <w:rsid w:val="00F02A90"/>
    <w:rsid w:val="00F175A2"/>
    <w:rsid w:val="00F2788A"/>
    <w:rsid w:val="00F641E4"/>
    <w:rsid w:val="00F85D94"/>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077590"/>
    <w:pPr>
      <w:spacing w:after="0" w:line="240" w:lineRule="auto"/>
    </w:pPr>
  </w:style>
  <w:style w:type="character" w:customStyle="1" w:styleId="SinespaciadoCar">
    <w:name w:val="Sin espaciado Car"/>
    <w:aliases w:val="Francesa Car,INAI Car"/>
    <w:link w:val="Sinespaciado"/>
    <w:uiPriority w:val="1"/>
    <w:locked/>
    <w:rsid w:val="00077590"/>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5F7624"/>
    <w:pPr>
      <w:spacing w:after="0" w:line="240" w:lineRule="auto"/>
    </w:pPr>
    <w:rPr>
      <w:rFonts w:eastAsia="Times New Roman" w:cs="Times New Roman"/>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5F7624"/>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4967">
      <w:bodyDiv w:val="1"/>
      <w:marLeft w:val="0"/>
      <w:marRight w:val="0"/>
      <w:marTop w:val="0"/>
      <w:marBottom w:val="0"/>
      <w:divBdr>
        <w:top w:val="none" w:sz="0" w:space="0" w:color="auto"/>
        <w:left w:val="none" w:sz="0" w:space="0" w:color="auto"/>
        <w:bottom w:val="none" w:sz="0" w:space="0" w:color="auto"/>
        <w:right w:val="none" w:sz="0" w:space="0" w:color="auto"/>
      </w:divBdr>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06775913">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181432698">
      <w:bodyDiv w:val="1"/>
      <w:marLeft w:val="0"/>
      <w:marRight w:val="0"/>
      <w:marTop w:val="0"/>
      <w:marBottom w:val="0"/>
      <w:divBdr>
        <w:top w:val="none" w:sz="0" w:space="0" w:color="auto"/>
        <w:left w:val="none" w:sz="0" w:space="0" w:color="auto"/>
        <w:bottom w:val="none" w:sz="0" w:space="0" w:color="auto"/>
        <w:right w:val="none" w:sz="0" w:space="0" w:color="auto"/>
      </w:divBdr>
    </w:div>
    <w:div w:id="1288467036">
      <w:bodyDiv w:val="1"/>
      <w:marLeft w:val="0"/>
      <w:marRight w:val="0"/>
      <w:marTop w:val="0"/>
      <w:marBottom w:val="0"/>
      <w:divBdr>
        <w:top w:val="none" w:sz="0" w:space="0" w:color="auto"/>
        <w:left w:val="none" w:sz="0" w:space="0" w:color="auto"/>
        <w:bottom w:val="none" w:sz="0" w:space="0" w:color="auto"/>
        <w:right w:val="none" w:sz="0" w:space="0" w:color="auto"/>
      </w:divBdr>
    </w:div>
    <w:div w:id="1375160053">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26</Pages>
  <Words>5284</Words>
  <Characters>29063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26</cp:revision>
  <dcterms:created xsi:type="dcterms:W3CDTF">2024-08-12T16:47:00Z</dcterms:created>
  <dcterms:modified xsi:type="dcterms:W3CDTF">2024-09-03T20:39:00Z</dcterms:modified>
</cp:coreProperties>
</file>