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3ECA9" w14:textId="40DC3E7F" w:rsidR="00E74B41" w:rsidRPr="00CA298C" w:rsidRDefault="00E74B41" w:rsidP="00E74B41">
      <w:pPr>
        <w:spacing w:line="360" w:lineRule="auto"/>
        <w:jc w:val="both"/>
        <w:rPr>
          <w:rFonts w:ascii="Palatino Linotype" w:hAnsi="Palatino Linotype" w:cs="Arial"/>
          <w:color w:val="000000" w:themeColor="text1"/>
        </w:rPr>
      </w:pPr>
      <w:r w:rsidRPr="00CA298C">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w:t>
      </w:r>
      <w:r w:rsidR="00C56CA6" w:rsidRPr="00CA298C">
        <w:rPr>
          <w:rFonts w:ascii="Palatino Linotype" w:hAnsi="Palatino Linotype" w:cs="Arial"/>
          <w:color w:val="000000" w:themeColor="text1"/>
        </w:rPr>
        <w:t xml:space="preserve"> de México; de</w:t>
      </w:r>
      <w:r w:rsidR="00A46B50" w:rsidRPr="00CA298C">
        <w:rPr>
          <w:rFonts w:ascii="Palatino Linotype" w:hAnsi="Palatino Linotype" w:cs="Arial"/>
          <w:color w:val="000000" w:themeColor="text1"/>
        </w:rPr>
        <w:t xml:space="preserve"> fecha </w:t>
      </w:r>
      <w:r w:rsidR="00DF3EA9" w:rsidRPr="00CA298C">
        <w:rPr>
          <w:rFonts w:ascii="Palatino Linotype" w:hAnsi="Palatino Linotype" w:cs="Arial"/>
          <w:color w:val="000000" w:themeColor="text1"/>
        </w:rPr>
        <w:t>veintiocho</w:t>
      </w:r>
      <w:r w:rsidR="00C56CA6" w:rsidRPr="00CA298C">
        <w:rPr>
          <w:rFonts w:ascii="Palatino Linotype" w:hAnsi="Palatino Linotype" w:cs="Arial"/>
          <w:color w:val="000000" w:themeColor="text1"/>
        </w:rPr>
        <w:t xml:space="preserve"> </w:t>
      </w:r>
      <w:r w:rsidRPr="00CA298C">
        <w:rPr>
          <w:rFonts w:ascii="Palatino Linotype" w:hAnsi="Palatino Linotype" w:cs="Arial"/>
          <w:color w:val="000000" w:themeColor="text1"/>
        </w:rPr>
        <w:t>(</w:t>
      </w:r>
      <w:r w:rsidR="00DF3EA9" w:rsidRPr="00CA298C">
        <w:rPr>
          <w:rFonts w:ascii="Palatino Linotype" w:hAnsi="Palatino Linotype" w:cs="Arial"/>
          <w:color w:val="000000" w:themeColor="text1"/>
        </w:rPr>
        <w:t>28</w:t>
      </w:r>
      <w:r w:rsidRPr="00CA298C">
        <w:rPr>
          <w:rFonts w:ascii="Palatino Linotype" w:hAnsi="Palatino Linotype" w:cs="Arial"/>
          <w:color w:val="000000" w:themeColor="text1"/>
        </w:rPr>
        <w:t xml:space="preserve">) de </w:t>
      </w:r>
      <w:r w:rsidR="00DF3EA9" w:rsidRPr="00CA298C">
        <w:rPr>
          <w:rFonts w:ascii="Palatino Linotype" w:hAnsi="Palatino Linotype" w:cs="Arial"/>
          <w:color w:val="000000" w:themeColor="text1"/>
        </w:rPr>
        <w:t>febrero</w:t>
      </w:r>
      <w:r w:rsidRPr="00CA298C">
        <w:rPr>
          <w:rFonts w:ascii="Palatino Linotype" w:hAnsi="Palatino Linotype" w:cs="Arial"/>
          <w:color w:val="000000" w:themeColor="text1"/>
        </w:rPr>
        <w:t xml:space="preserve"> de dos mil veinti</w:t>
      </w:r>
      <w:r w:rsidR="00DF3EA9" w:rsidRPr="00CA298C">
        <w:rPr>
          <w:rFonts w:ascii="Palatino Linotype" w:hAnsi="Palatino Linotype" w:cs="Arial"/>
          <w:color w:val="000000" w:themeColor="text1"/>
        </w:rPr>
        <w:t>cuatro</w:t>
      </w:r>
      <w:r w:rsidRPr="00CA298C">
        <w:rPr>
          <w:rFonts w:ascii="Palatino Linotype" w:hAnsi="Palatino Linotype" w:cs="Arial"/>
          <w:color w:val="000000" w:themeColor="text1"/>
        </w:rPr>
        <w:t>.</w:t>
      </w:r>
    </w:p>
    <w:p w14:paraId="646189F0" w14:textId="77777777" w:rsidR="00E74B41" w:rsidRPr="00CA298C" w:rsidRDefault="00E74B41" w:rsidP="00E74B41">
      <w:pPr>
        <w:spacing w:line="360" w:lineRule="auto"/>
        <w:jc w:val="both"/>
        <w:rPr>
          <w:rFonts w:ascii="Palatino Linotype" w:hAnsi="Palatino Linotype" w:cs="Arial"/>
          <w:color w:val="000000" w:themeColor="text1"/>
        </w:rPr>
      </w:pPr>
    </w:p>
    <w:p w14:paraId="089AF78C" w14:textId="7493E621" w:rsidR="00E74B41" w:rsidRPr="00CA298C" w:rsidRDefault="00E74B41" w:rsidP="00E74B41">
      <w:pPr>
        <w:spacing w:line="360" w:lineRule="auto"/>
        <w:jc w:val="both"/>
        <w:rPr>
          <w:rFonts w:ascii="Palatino Linotype" w:hAnsi="Palatino Linotype" w:cs="Arial"/>
          <w:b/>
          <w:color w:val="000000" w:themeColor="text1"/>
        </w:rPr>
      </w:pPr>
      <w:r w:rsidRPr="00CA298C">
        <w:rPr>
          <w:rFonts w:ascii="Palatino Linotype" w:hAnsi="Palatino Linotype" w:cs="Arial"/>
          <w:b/>
          <w:color w:val="000000" w:themeColor="text1"/>
        </w:rPr>
        <w:t>VISTOS</w:t>
      </w:r>
      <w:r w:rsidRPr="00CA298C">
        <w:rPr>
          <w:rFonts w:ascii="Palatino Linotype" w:hAnsi="Palatino Linotype" w:cs="Arial"/>
          <w:color w:val="000000" w:themeColor="text1"/>
        </w:rPr>
        <w:t xml:space="preserve"> los expedientes electrónicos formados con motivo de los recurso</w:t>
      </w:r>
      <w:r w:rsidR="005A6AEB" w:rsidRPr="00CA298C">
        <w:rPr>
          <w:rFonts w:ascii="Palatino Linotype" w:hAnsi="Palatino Linotype" w:cs="Arial"/>
          <w:color w:val="000000" w:themeColor="text1"/>
        </w:rPr>
        <w:t>s</w:t>
      </w:r>
      <w:r w:rsidRPr="00CA298C">
        <w:rPr>
          <w:rFonts w:ascii="Palatino Linotype" w:hAnsi="Palatino Linotype" w:cs="Arial"/>
          <w:color w:val="000000" w:themeColor="text1"/>
        </w:rPr>
        <w:t xml:space="preserve"> de revisión </w:t>
      </w:r>
      <w:r w:rsidR="00384259" w:rsidRPr="00CA298C">
        <w:rPr>
          <w:rFonts w:ascii="Palatino Linotype" w:eastAsia="Calibri" w:hAnsi="Palatino Linotype" w:cs="Tahoma"/>
          <w:b/>
          <w:lang w:eastAsia="en-US"/>
        </w:rPr>
        <w:t>04823/INFOEM/IP/RR/2023</w:t>
      </w:r>
      <w:r w:rsidR="002A20E7" w:rsidRPr="00CA298C">
        <w:rPr>
          <w:rFonts w:ascii="Palatino Linotype" w:hAnsi="Palatino Linotype" w:cs="Arial"/>
          <w:b/>
          <w:color w:val="000000" w:themeColor="text1"/>
        </w:rPr>
        <w:t xml:space="preserve"> </w:t>
      </w:r>
      <w:r w:rsidR="002A20E7" w:rsidRPr="00CA298C">
        <w:rPr>
          <w:rFonts w:ascii="Palatino Linotype" w:hAnsi="Palatino Linotype"/>
          <w:b/>
        </w:rPr>
        <w:t xml:space="preserve">y </w:t>
      </w:r>
      <w:r w:rsidR="00384259" w:rsidRPr="00CA298C">
        <w:rPr>
          <w:rFonts w:ascii="Palatino Linotype" w:hAnsi="Palatino Linotype"/>
          <w:b/>
        </w:rPr>
        <w:t>05776/INFOEM/IP/RR/2023</w:t>
      </w:r>
      <w:r w:rsidRPr="00CA298C">
        <w:rPr>
          <w:rFonts w:ascii="Palatino Linotype" w:hAnsi="Palatino Linotype" w:cs="Arial"/>
          <w:color w:val="000000" w:themeColor="text1"/>
        </w:rPr>
        <w:t>, promovidos por</w:t>
      </w:r>
      <w:r w:rsidR="007471EF" w:rsidRPr="00CA298C">
        <w:rPr>
          <w:rFonts w:ascii="Palatino Linotype" w:hAnsi="Palatino Linotype" w:cs="Arial"/>
          <w:color w:val="000000" w:themeColor="text1"/>
        </w:rPr>
        <w:t xml:space="preserve"> </w:t>
      </w:r>
      <w:r w:rsidR="00CA298C" w:rsidRPr="00CA298C">
        <w:rPr>
          <w:rFonts w:ascii="Palatino Linotype" w:hAnsi="Palatino Linotype"/>
          <w:b/>
        </w:rPr>
        <w:t xml:space="preserve">XXX </w:t>
      </w:r>
      <w:proofErr w:type="spellStart"/>
      <w:r w:rsidR="00CA298C" w:rsidRPr="00CA298C">
        <w:rPr>
          <w:rFonts w:ascii="Palatino Linotype" w:hAnsi="Palatino Linotype"/>
          <w:b/>
        </w:rPr>
        <w:t>XXX</w:t>
      </w:r>
      <w:proofErr w:type="spellEnd"/>
      <w:r w:rsidR="007471EF" w:rsidRPr="00CA298C">
        <w:rPr>
          <w:rFonts w:ascii="Palatino Linotype" w:hAnsi="Palatino Linotype" w:cs="Arial"/>
          <w:color w:val="000000" w:themeColor="text1"/>
        </w:rPr>
        <w:t xml:space="preserve">, </w:t>
      </w:r>
      <w:r w:rsidRPr="00CA298C">
        <w:rPr>
          <w:rFonts w:ascii="Palatino Linotype" w:hAnsi="Palatino Linotype" w:cs="Arial"/>
          <w:color w:val="000000" w:themeColor="text1"/>
        </w:rPr>
        <w:t xml:space="preserve">en su calidad </w:t>
      </w:r>
      <w:r w:rsidRPr="00CA298C">
        <w:rPr>
          <w:rFonts w:ascii="Palatino Linotype" w:hAnsi="Palatino Linotype" w:cs="Arial"/>
          <w:b/>
          <w:color w:val="000000" w:themeColor="text1"/>
        </w:rPr>
        <w:t>de RECURRENTE</w:t>
      </w:r>
      <w:r w:rsidRPr="00CA298C">
        <w:rPr>
          <w:rFonts w:ascii="Palatino Linotype" w:hAnsi="Palatino Linotype" w:cs="Arial"/>
          <w:color w:val="000000" w:themeColor="text1"/>
        </w:rPr>
        <w:t xml:space="preserve">, en contra de la </w:t>
      </w:r>
      <w:r w:rsidR="00384259" w:rsidRPr="00CA298C">
        <w:rPr>
          <w:rFonts w:ascii="Palatino Linotype" w:hAnsi="Palatino Linotype" w:cs="Arial"/>
          <w:color w:val="000000" w:themeColor="text1"/>
        </w:rPr>
        <w:t xml:space="preserve">falta de </w:t>
      </w:r>
      <w:r w:rsidRPr="00CA298C">
        <w:rPr>
          <w:rFonts w:ascii="Palatino Linotype" w:hAnsi="Palatino Linotype" w:cs="Arial"/>
          <w:color w:val="000000" w:themeColor="text1"/>
        </w:rPr>
        <w:t xml:space="preserve">respuesta del </w:t>
      </w:r>
      <w:r w:rsidR="00384259" w:rsidRPr="00CA298C">
        <w:rPr>
          <w:rFonts w:ascii="Palatino Linotype" w:hAnsi="Palatino Linotype" w:cs="Arial"/>
          <w:b/>
          <w:color w:val="000000" w:themeColor="text1"/>
        </w:rPr>
        <w:t>Ayuntamiento de Villa de Allende</w:t>
      </w:r>
      <w:r w:rsidRPr="00CA298C">
        <w:rPr>
          <w:rFonts w:ascii="Palatino Linotype" w:hAnsi="Palatino Linotype" w:cs="Arial"/>
          <w:color w:val="000000" w:themeColor="text1"/>
        </w:rPr>
        <w:t xml:space="preserve">, en lo sucesivo el </w:t>
      </w:r>
      <w:r w:rsidRPr="00CA298C">
        <w:rPr>
          <w:rFonts w:ascii="Palatino Linotype" w:hAnsi="Palatino Linotype" w:cs="Arial"/>
          <w:b/>
          <w:color w:val="000000" w:themeColor="text1"/>
        </w:rPr>
        <w:t>SUJETO OBLIGADO</w:t>
      </w:r>
      <w:r w:rsidRPr="00CA298C">
        <w:rPr>
          <w:rFonts w:ascii="Palatino Linotype" w:hAnsi="Palatino Linotype" w:cs="Arial"/>
          <w:color w:val="000000" w:themeColor="text1"/>
        </w:rPr>
        <w:t>, se procede a dictar la presente resolución, con base en los siguientes:</w:t>
      </w:r>
    </w:p>
    <w:p w14:paraId="0CF5B50D" w14:textId="77777777" w:rsidR="00E74B41" w:rsidRPr="00CA298C" w:rsidRDefault="00E74B41" w:rsidP="00E74B41">
      <w:pPr>
        <w:spacing w:line="360" w:lineRule="auto"/>
        <w:jc w:val="both"/>
        <w:rPr>
          <w:rFonts w:ascii="Palatino Linotype" w:hAnsi="Palatino Linotype" w:cs="Arial"/>
          <w:color w:val="000000" w:themeColor="text1"/>
        </w:rPr>
      </w:pPr>
    </w:p>
    <w:p w14:paraId="3C177BC5" w14:textId="77777777" w:rsidR="00E74B41" w:rsidRPr="00CA298C" w:rsidRDefault="00E74B41" w:rsidP="00E74B41">
      <w:pPr>
        <w:pStyle w:val="Prrafodelista"/>
        <w:spacing w:line="360" w:lineRule="auto"/>
        <w:ind w:left="0"/>
        <w:jc w:val="center"/>
        <w:rPr>
          <w:rFonts w:ascii="Palatino Linotype" w:hAnsi="Palatino Linotype" w:cs="Arial"/>
          <w:b/>
          <w:color w:val="000000" w:themeColor="text1"/>
        </w:rPr>
      </w:pPr>
      <w:r w:rsidRPr="00CA298C">
        <w:rPr>
          <w:rFonts w:ascii="Palatino Linotype" w:hAnsi="Palatino Linotype" w:cs="Arial"/>
          <w:b/>
          <w:color w:val="000000" w:themeColor="text1"/>
        </w:rPr>
        <w:t>ANTECEDENTES</w:t>
      </w:r>
    </w:p>
    <w:p w14:paraId="6BF3FA19" w14:textId="77777777" w:rsidR="00E74B41" w:rsidRPr="00CA298C" w:rsidRDefault="00E74B41" w:rsidP="00E74B41">
      <w:pPr>
        <w:spacing w:line="360" w:lineRule="auto"/>
        <w:jc w:val="both"/>
        <w:rPr>
          <w:rFonts w:ascii="Palatino Linotype" w:hAnsi="Palatino Linotype" w:cs="Arial"/>
          <w:color w:val="000000" w:themeColor="text1"/>
        </w:rPr>
      </w:pPr>
    </w:p>
    <w:p w14:paraId="09CE8081" w14:textId="59B05E96" w:rsidR="00E74B41" w:rsidRPr="00CA298C" w:rsidRDefault="007471EF"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El </w:t>
      </w:r>
      <w:r w:rsidR="00384259" w:rsidRPr="00CA298C">
        <w:rPr>
          <w:rFonts w:ascii="Palatino Linotype" w:hAnsi="Palatino Linotype" w:cs="Arial"/>
          <w:color w:val="000000" w:themeColor="text1"/>
        </w:rPr>
        <w:t>trece</w:t>
      </w:r>
      <w:r w:rsidRPr="00CA298C">
        <w:rPr>
          <w:rFonts w:ascii="Palatino Linotype" w:hAnsi="Palatino Linotype" w:cs="Arial"/>
          <w:color w:val="000000" w:themeColor="text1"/>
        </w:rPr>
        <w:t xml:space="preserve"> (</w:t>
      </w:r>
      <w:r w:rsidR="00384259" w:rsidRPr="00CA298C">
        <w:rPr>
          <w:rFonts w:ascii="Palatino Linotype" w:hAnsi="Palatino Linotype" w:cs="Arial"/>
          <w:color w:val="000000" w:themeColor="text1"/>
        </w:rPr>
        <w:t>13</w:t>
      </w:r>
      <w:r w:rsidR="00E74B41" w:rsidRPr="00CA298C">
        <w:rPr>
          <w:rFonts w:ascii="Palatino Linotype" w:hAnsi="Palatino Linotype" w:cs="Arial"/>
          <w:color w:val="000000" w:themeColor="text1"/>
        </w:rPr>
        <w:t xml:space="preserve">) de </w:t>
      </w:r>
      <w:r w:rsidR="00384259" w:rsidRPr="00CA298C">
        <w:rPr>
          <w:rFonts w:ascii="Palatino Linotype" w:hAnsi="Palatino Linotype" w:cs="Arial"/>
          <w:color w:val="000000" w:themeColor="text1"/>
        </w:rPr>
        <w:t>junio</w:t>
      </w:r>
      <w:r w:rsidR="00E74B41" w:rsidRPr="00CA298C">
        <w:rPr>
          <w:rFonts w:ascii="Palatino Linotype" w:hAnsi="Palatino Linotype" w:cs="Arial"/>
          <w:color w:val="000000" w:themeColor="text1"/>
        </w:rPr>
        <w:t xml:space="preserve"> </w:t>
      </w:r>
      <w:r w:rsidR="00DE636F" w:rsidRPr="00CA298C">
        <w:rPr>
          <w:rFonts w:ascii="Palatino Linotype" w:hAnsi="Palatino Linotype" w:cs="Arial"/>
          <w:color w:val="000000" w:themeColor="text1"/>
        </w:rPr>
        <w:t xml:space="preserve">y diecisiete (17) de agosto </w:t>
      </w:r>
      <w:r w:rsidR="00E74B41" w:rsidRPr="00CA298C">
        <w:rPr>
          <w:rFonts w:ascii="Palatino Linotype" w:hAnsi="Palatino Linotype" w:cs="Arial"/>
          <w:color w:val="000000" w:themeColor="text1"/>
        </w:rPr>
        <w:t>de dos mil veinti</w:t>
      </w:r>
      <w:r w:rsidR="005A6AEB" w:rsidRPr="00CA298C">
        <w:rPr>
          <w:rFonts w:ascii="Palatino Linotype" w:hAnsi="Palatino Linotype" w:cs="Arial"/>
          <w:color w:val="000000" w:themeColor="text1"/>
        </w:rPr>
        <w:t>trés</w:t>
      </w:r>
      <w:r w:rsidR="00E74B41" w:rsidRPr="00CA298C">
        <w:rPr>
          <w:rFonts w:ascii="Palatino Linotype" w:hAnsi="Palatino Linotype" w:cs="Arial"/>
          <w:color w:val="000000" w:themeColor="text1"/>
        </w:rPr>
        <w:t xml:space="preserve">, </w:t>
      </w:r>
      <w:r w:rsidR="00E74B41" w:rsidRPr="00CA298C">
        <w:rPr>
          <w:rFonts w:ascii="Palatino Linotype" w:hAnsi="Palatino Linotype" w:cs="Arial"/>
          <w:b/>
          <w:color w:val="000000" w:themeColor="text1"/>
        </w:rPr>
        <w:t>EL RECURRENTE</w:t>
      </w:r>
      <w:r w:rsidR="00E74B41" w:rsidRPr="00CA298C">
        <w:rPr>
          <w:rFonts w:ascii="Palatino Linotype" w:hAnsi="Palatino Linotype" w:cs="Arial"/>
          <w:color w:val="000000" w:themeColor="text1"/>
        </w:rPr>
        <w:t xml:space="preserve"> presentó, ante el </w:t>
      </w:r>
      <w:r w:rsidR="00E74B41" w:rsidRPr="00CA298C">
        <w:rPr>
          <w:rFonts w:ascii="Palatino Linotype" w:hAnsi="Palatino Linotype" w:cs="Arial"/>
          <w:b/>
          <w:color w:val="000000" w:themeColor="text1"/>
        </w:rPr>
        <w:t>SUJETO OBLIGADO</w:t>
      </w:r>
      <w:r w:rsidR="00E74B41" w:rsidRPr="00CA298C">
        <w:rPr>
          <w:rFonts w:ascii="Palatino Linotype" w:hAnsi="Palatino Linotype" w:cs="Arial"/>
          <w:color w:val="000000" w:themeColor="text1"/>
        </w:rPr>
        <w:t xml:space="preserve"> vía Sistema de Acceso a la Información Mexiquense (SAIMEX), las solicitudes de información pública registradas con el número </w:t>
      </w:r>
      <w:r w:rsidR="002A20E7" w:rsidRPr="00CA298C">
        <w:rPr>
          <w:rFonts w:ascii="Palatino Linotype" w:hAnsi="Palatino Linotype" w:cs="Arial"/>
          <w:b/>
        </w:rPr>
        <w:t>0</w:t>
      </w:r>
      <w:r w:rsidR="00384259" w:rsidRPr="00CA298C">
        <w:rPr>
          <w:rFonts w:ascii="Palatino Linotype" w:hAnsi="Palatino Linotype" w:cs="Arial"/>
          <w:b/>
        </w:rPr>
        <w:t>0089</w:t>
      </w:r>
      <w:r w:rsidR="002A20E7" w:rsidRPr="00CA298C">
        <w:rPr>
          <w:rFonts w:ascii="Palatino Linotype" w:hAnsi="Palatino Linotype" w:cs="Arial"/>
          <w:b/>
        </w:rPr>
        <w:t>/</w:t>
      </w:r>
      <w:r w:rsidR="00384259" w:rsidRPr="00CA298C">
        <w:rPr>
          <w:rFonts w:ascii="Palatino Linotype" w:hAnsi="Palatino Linotype" w:cs="Arial"/>
          <w:b/>
        </w:rPr>
        <w:t>VIALLEN</w:t>
      </w:r>
      <w:r w:rsidR="002A20E7" w:rsidRPr="00CA298C">
        <w:rPr>
          <w:rFonts w:ascii="Palatino Linotype" w:hAnsi="Palatino Linotype" w:cs="Arial"/>
          <w:b/>
        </w:rPr>
        <w:t>/IP/2023</w:t>
      </w:r>
      <w:r w:rsidR="00A153D6" w:rsidRPr="00CA298C">
        <w:rPr>
          <w:rFonts w:ascii="Palatino Linotype" w:hAnsi="Palatino Linotype" w:cs="Arial"/>
          <w:b/>
        </w:rPr>
        <w:t xml:space="preserve"> y </w:t>
      </w:r>
      <w:r w:rsidR="00DF3EA9" w:rsidRPr="00CA298C">
        <w:rPr>
          <w:rFonts w:ascii="Palatino Linotype" w:hAnsi="Palatino Linotype" w:cs="Arial"/>
          <w:b/>
        </w:rPr>
        <w:t>0</w:t>
      </w:r>
      <w:r w:rsidR="00DE636F" w:rsidRPr="00CA298C">
        <w:rPr>
          <w:rFonts w:ascii="Palatino Linotype" w:hAnsi="Palatino Linotype" w:cs="Arial"/>
          <w:b/>
        </w:rPr>
        <w:t>00</w:t>
      </w:r>
      <w:r w:rsidR="00DF3EA9" w:rsidRPr="00CA298C">
        <w:rPr>
          <w:rFonts w:ascii="Palatino Linotype" w:hAnsi="Palatino Linotype" w:cs="Arial"/>
          <w:b/>
        </w:rPr>
        <w:t>111/</w:t>
      </w:r>
      <w:r w:rsidR="00DE636F" w:rsidRPr="00CA298C">
        <w:rPr>
          <w:rFonts w:ascii="Palatino Linotype" w:hAnsi="Palatino Linotype" w:cs="Arial"/>
          <w:b/>
        </w:rPr>
        <w:t>VILLAEN</w:t>
      </w:r>
      <w:r w:rsidR="00DF3EA9" w:rsidRPr="00CA298C">
        <w:rPr>
          <w:rFonts w:ascii="Palatino Linotype" w:hAnsi="Palatino Linotype" w:cs="Arial"/>
          <w:b/>
        </w:rPr>
        <w:t>/IP/2023</w:t>
      </w:r>
      <w:r w:rsidR="003F2810" w:rsidRPr="00CA298C">
        <w:rPr>
          <w:rFonts w:ascii="Palatino Linotype" w:hAnsi="Palatino Linotype" w:cs="Arial"/>
          <w:b/>
        </w:rPr>
        <w:t xml:space="preserve"> </w:t>
      </w:r>
      <w:r w:rsidR="00E74B41" w:rsidRPr="00CA298C">
        <w:rPr>
          <w:rFonts w:ascii="Palatino Linotype" w:hAnsi="Palatino Linotype" w:cs="Arial"/>
          <w:color w:val="000000" w:themeColor="text1"/>
        </w:rPr>
        <w:t>mediante las cuales solicitó lo siguiente:</w:t>
      </w:r>
    </w:p>
    <w:tbl>
      <w:tblPr>
        <w:tblStyle w:val="Tablaconcuadrcula"/>
        <w:tblW w:w="9351" w:type="dxa"/>
        <w:tblLayout w:type="fixed"/>
        <w:tblLook w:val="04A0" w:firstRow="1" w:lastRow="0" w:firstColumn="1" w:lastColumn="0" w:noHBand="0" w:noVBand="1"/>
      </w:tblPr>
      <w:tblGrid>
        <w:gridCol w:w="2972"/>
        <w:gridCol w:w="3118"/>
        <w:gridCol w:w="3261"/>
      </w:tblGrid>
      <w:tr w:rsidR="00E74B41" w:rsidRPr="00CA298C" w14:paraId="55E43BD0" w14:textId="77777777" w:rsidTr="00A46B50">
        <w:tc>
          <w:tcPr>
            <w:tcW w:w="2972" w:type="dxa"/>
          </w:tcPr>
          <w:p w14:paraId="0CACC204" w14:textId="0C51D969" w:rsidR="00E74B41" w:rsidRPr="00CA298C" w:rsidRDefault="00384259" w:rsidP="00A153D6">
            <w:pPr>
              <w:rPr>
                <w:rFonts w:ascii="Palatino Linotype" w:hAnsi="Palatino Linotype" w:cs="Arial"/>
                <w:b/>
                <w:sz w:val="22"/>
              </w:rPr>
            </w:pPr>
            <w:r w:rsidRPr="00CA298C">
              <w:rPr>
                <w:rFonts w:ascii="Palatino Linotype" w:hAnsi="Palatino Linotype" w:cs="Arial"/>
                <w:b/>
                <w:sz w:val="22"/>
              </w:rPr>
              <w:t>00089/VIALLEN/IP/2023</w:t>
            </w:r>
            <w:r w:rsidR="00A153D6" w:rsidRPr="00CA298C">
              <w:rPr>
                <w:rFonts w:ascii="Palatino Linotype" w:hAnsi="Palatino Linotype" w:cs="Arial"/>
                <w:b/>
                <w:sz w:val="22"/>
              </w:rPr>
              <w:t xml:space="preserve"> </w:t>
            </w:r>
          </w:p>
        </w:tc>
        <w:tc>
          <w:tcPr>
            <w:tcW w:w="3118" w:type="dxa"/>
          </w:tcPr>
          <w:p w14:paraId="5A9BDCCE" w14:textId="5BF5893C" w:rsidR="00E74B41" w:rsidRPr="00CA298C" w:rsidRDefault="00384259" w:rsidP="00A153D6">
            <w:pPr>
              <w:rPr>
                <w:rFonts w:ascii="Palatino Linotype" w:hAnsi="Palatino Linotype" w:cs="Arial"/>
                <w:b/>
                <w:sz w:val="22"/>
                <w:shd w:val="clear" w:color="auto" w:fill="FFFFFF"/>
              </w:rPr>
            </w:pPr>
            <w:r w:rsidRPr="00CA298C">
              <w:rPr>
                <w:rFonts w:ascii="Palatino Linotype" w:eastAsia="Calibri" w:hAnsi="Palatino Linotype" w:cs="Tahoma"/>
                <w:b/>
                <w:sz w:val="22"/>
                <w:lang w:eastAsia="en-US"/>
              </w:rPr>
              <w:t>04823/INFOEM/IP/RR/2023</w:t>
            </w:r>
          </w:p>
        </w:tc>
        <w:tc>
          <w:tcPr>
            <w:tcW w:w="3261" w:type="dxa"/>
          </w:tcPr>
          <w:p w14:paraId="2872C45F" w14:textId="1006CAE1" w:rsidR="00E74B41" w:rsidRPr="00CA298C" w:rsidRDefault="00384259" w:rsidP="00E74B41">
            <w:pPr>
              <w:jc w:val="both"/>
              <w:rPr>
                <w:rFonts w:ascii="Palatino Linotype" w:hAnsi="Palatino Linotype"/>
                <w:sz w:val="22"/>
              </w:rPr>
            </w:pPr>
            <w:r w:rsidRPr="00CA298C">
              <w:rPr>
                <w:rFonts w:ascii="Palatino Linotype" w:hAnsi="Palatino Linotype"/>
                <w:sz w:val="22"/>
              </w:rPr>
              <w:t xml:space="preserve">Se solicitan los avisos de </w:t>
            </w:r>
            <w:proofErr w:type="spellStart"/>
            <w:r w:rsidRPr="00CA298C">
              <w:rPr>
                <w:rFonts w:ascii="Palatino Linotype" w:hAnsi="Palatino Linotype"/>
                <w:sz w:val="22"/>
              </w:rPr>
              <w:t>privadidad</w:t>
            </w:r>
            <w:proofErr w:type="spellEnd"/>
            <w:r w:rsidRPr="00CA298C">
              <w:rPr>
                <w:rFonts w:ascii="Palatino Linotype" w:hAnsi="Palatino Linotype"/>
                <w:sz w:val="22"/>
              </w:rPr>
              <w:t xml:space="preserve"> y el documento de seguridad de las bases de datos del ayuntamiento de Villa de Allende</w:t>
            </w:r>
          </w:p>
        </w:tc>
      </w:tr>
      <w:tr w:rsidR="00E74B41" w:rsidRPr="00CA298C" w14:paraId="7BFC02BC" w14:textId="77777777" w:rsidTr="00A46B50">
        <w:tc>
          <w:tcPr>
            <w:tcW w:w="2972" w:type="dxa"/>
          </w:tcPr>
          <w:p w14:paraId="2FD78975" w14:textId="3DAA7CBC" w:rsidR="00E74B41" w:rsidRPr="00CA298C" w:rsidRDefault="00DE636F" w:rsidP="002A20E7">
            <w:pPr>
              <w:rPr>
                <w:rFonts w:ascii="Palatino Linotype" w:hAnsi="Palatino Linotype" w:cs="Arial"/>
                <w:b/>
                <w:sz w:val="22"/>
                <w:shd w:val="clear" w:color="auto" w:fill="FFFFFF"/>
              </w:rPr>
            </w:pPr>
            <w:r w:rsidRPr="00CA298C">
              <w:rPr>
                <w:rFonts w:ascii="Palatino Linotype" w:hAnsi="Palatino Linotype" w:cs="Arial"/>
                <w:b/>
                <w:sz w:val="22"/>
              </w:rPr>
              <w:t>000111/VILLAEN/IP/2023</w:t>
            </w:r>
          </w:p>
        </w:tc>
        <w:tc>
          <w:tcPr>
            <w:tcW w:w="3118" w:type="dxa"/>
          </w:tcPr>
          <w:p w14:paraId="7AC120BF" w14:textId="6EE1CC6B" w:rsidR="00E74B41" w:rsidRPr="00CA298C" w:rsidRDefault="00384259" w:rsidP="007F5D29">
            <w:pPr>
              <w:spacing w:line="360" w:lineRule="auto"/>
              <w:jc w:val="both"/>
              <w:rPr>
                <w:rFonts w:ascii="Palatino Linotype" w:hAnsi="Palatino Linotype" w:cs="Arial"/>
                <w:b/>
                <w:sz w:val="22"/>
                <w:shd w:val="clear" w:color="auto" w:fill="FFFFFF"/>
              </w:rPr>
            </w:pPr>
            <w:r w:rsidRPr="00CA298C">
              <w:rPr>
                <w:rFonts w:ascii="Palatino Linotype" w:hAnsi="Palatino Linotype"/>
                <w:b/>
                <w:sz w:val="22"/>
              </w:rPr>
              <w:t>05776/INFOEM/IP/RR/2023</w:t>
            </w:r>
          </w:p>
        </w:tc>
        <w:tc>
          <w:tcPr>
            <w:tcW w:w="3261" w:type="dxa"/>
          </w:tcPr>
          <w:p w14:paraId="5E123805" w14:textId="4F619D71" w:rsidR="00E74B41" w:rsidRPr="00CA298C" w:rsidRDefault="007F5D29" w:rsidP="00E74B41">
            <w:pPr>
              <w:jc w:val="both"/>
              <w:rPr>
                <w:rFonts w:ascii="Palatino Linotype" w:hAnsi="Palatino Linotype"/>
                <w:sz w:val="22"/>
              </w:rPr>
            </w:pPr>
            <w:r w:rsidRPr="00CA298C">
              <w:rPr>
                <w:rFonts w:ascii="Palatino Linotype" w:hAnsi="Palatino Linotype"/>
                <w:sz w:val="22"/>
              </w:rPr>
              <w:t xml:space="preserve">Se solicitan los avisos de </w:t>
            </w:r>
            <w:proofErr w:type="spellStart"/>
            <w:r w:rsidRPr="00CA298C">
              <w:rPr>
                <w:rFonts w:ascii="Palatino Linotype" w:hAnsi="Palatino Linotype"/>
                <w:sz w:val="22"/>
              </w:rPr>
              <w:t>privadidad</w:t>
            </w:r>
            <w:proofErr w:type="spellEnd"/>
            <w:r w:rsidRPr="00CA298C">
              <w:rPr>
                <w:rFonts w:ascii="Palatino Linotype" w:hAnsi="Palatino Linotype"/>
                <w:sz w:val="22"/>
              </w:rPr>
              <w:t xml:space="preserve"> y el documento de seguridad de las bases de datos </w:t>
            </w:r>
            <w:r w:rsidRPr="00CA298C">
              <w:rPr>
                <w:rFonts w:ascii="Palatino Linotype" w:hAnsi="Palatino Linotype"/>
                <w:sz w:val="22"/>
              </w:rPr>
              <w:lastRenderedPageBreak/>
              <w:t xml:space="preserve">del ayuntamiento de Villa de </w:t>
            </w:r>
            <w:proofErr w:type="spellStart"/>
            <w:r w:rsidRPr="00CA298C">
              <w:rPr>
                <w:rFonts w:ascii="Palatino Linotype" w:hAnsi="Palatino Linotype"/>
                <w:sz w:val="22"/>
              </w:rPr>
              <w:t>AllendE</w:t>
            </w:r>
            <w:proofErr w:type="spellEnd"/>
          </w:p>
        </w:tc>
      </w:tr>
    </w:tbl>
    <w:p w14:paraId="1A0E5DEA" w14:textId="77777777" w:rsidR="00E74B41" w:rsidRPr="00CA298C" w:rsidRDefault="00E74B41" w:rsidP="00E74B41">
      <w:pPr>
        <w:spacing w:line="360" w:lineRule="auto"/>
        <w:jc w:val="both"/>
        <w:rPr>
          <w:rFonts w:ascii="Palatino Linotype" w:hAnsi="Palatino Linotype" w:cs="Arial"/>
          <w:color w:val="000000" w:themeColor="text1"/>
        </w:rPr>
      </w:pPr>
    </w:p>
    <w:p w14:paraId="099510C7" w14:textId="6C492D5B"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Señaló como modalidad de entrega de la información a través del SAIMEX.</w:t>
      </w:r>
    </w:p>
    <w:p w14:paraId="2D29925D" w14:textId="77777777" w:rsidR="00384259" w:rsidRPr="00CA298C" w:rsidRDefault="00384259" w:rsidP="00384259">
      <w:pPr>
        <w:pStyle w:val="Prrafodelista"/>
        <w:spacing w:line="360" w:lineRule="auto"/>
        <w:ind w:left="0"/>
        <w:jc w:val="both"/>
        <w:rPr>
          <w:rFonts w:ascii="Palatino Linotype" w:hAnsi="Palatino Linotype" w:cs="Arial"/>
          <w:color w:val="000000" w:themeColor="text1"/>
        </w:rPr>
      </w:pPr>
    </w:p>
    <w:p w14:paraId="28F6B246" w14:textId="77777777" w:rsidR="00384259" w:rsidRPr="00CA298C" w:rsidRDefault="00384259"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El Sujeto Obligado no dio respuesta a las solicitudes de acceso a la información que presentó el Recurrente.</w:t>
      </w:r>
    </w:p>
    <w:p w14:paraId="7FB7A6D8" w14:textId="77777777" w:rsidR="00384259" w:rsidRPr="00CA298C" w:rsidRDefault="00384259" w:rsidP="00384259">
      <w:pPr>
        <w:pStyle w:val="Prrafodelista"/>
        <w:rPr>
          <w:rFonts w:ascii="Palatino Linotype" w:hAnsi="Palatino Linotype" w:cs="Arial"/>
          <w:color w:val="000000" w:themeColor="text1"/>
        </w:rPr>
      </w:pPr>
    </w:p>
    <w:p w14:paraId="2245C871" w14:textId="1A2FC032" w:rsidR="00E74B41" w:rsidRPr="00CA298C" w:rsidRDefault="00384259"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Ante la falta de respuesta a las solicitudes, e</w:t>
      </w:r>
      <w:r w:rsidR="009465BF" w:rsidRPr="00CA298C">
        <w:rPr>
          <w:rFonts w:ascii="Palatino Linotype" w:hAnsi="Palatino Linotype" w:cs="Arial"/>
          <w:color w:val="000000" w:themeColor="text1"/>
        </w:rPr>
        <w:t>l veinticinco</w:t>
      </w:r>
      <w:r w:rsidR="00E74B41" w:rsidRPr="00CA298C">
        <w:rPr>
          <w:rFonts w:ascii="Palatino Linotype" w:hAnsi="Palatino Linotype" w:cs="Arial"/>
          <w:color w:val="000000" w:themeColor="text1"/>
        </w:rPr>
        <w:t xml:space="preserve"> (</w:t>
      </w:r>
      <w:r w:rsidR="009465BF" w:rsidRPr="00CA298C">
        <w:rPr>
          <w:rFonts w:ascii="Palatino Linotype" w:hAnsi="Palatino Linotype" w:cs="Arial"/>
          <w:color w:val="000000" w:themeColor="text1"/>
        </w:rPr>
        <w:t>25</w:t>
      </w:r>
      <w:r w:rsidR="00E74B41" w:rsidRPr="00CA298C">
        <w:rPr>
          <w:rFonts w:ascii="Palatino Linotype" w:hAnsi="Palatino Linotype" w:cs="Arial"/>
          <w:color w:val="000000" w:themeColor="text1"/>
        </w:rPr>
        <w:t>)</w:t>
      </w:r>
      <w:r w:rsidR="00337EDC" w:rsidRPr="00CA298C">
        <w:rPr>
          <w:rFonts w:ascii="Palatino Linotype" w:hAnsi="Palatino Linotype" w:cs="Arial"/>
          <w:color w:val="000000" w:themeColor="text1"/>
        </w:rPr>
        <w:t xml:space="preserve"> </w:t>
      </w:r>
      <w:r w:rsidR="00E74B41" w:rsidRPr="00CA298C">
        <w:rPr>
          <w:rFonts w:ascii="Palatino Linotype" w:hAnsi="Palatino Linotype" w:cs="Arial"/>
          <w:color w:val="000000" w:themeColor="text1"/>
        </w:rPr>
        <w:t xml:space="preserve">de </w:t>
      </w:r>
      <w:r w:rsidR="009465BF" w:rsidRPr="00CA298C">
        <w:rPr>
          <w:rFonts w:ascii="Palatino Linotype" w:hAnsi="Palatino Linotype" w:cs="Arial"/>
          <w:color w:val="000000" w:themeColor="text1"/>
        </w:rPr>
        <w:t>agosto</w:t>
      </w:r>
      <w:r w:rsidR="007F5D29" w:rsidRPr="00CA298C">
        <w:rPr>
          <w:rFonts w:ascii="Palatino Linotype" w:hAnsi="Palatino Linotype" w:cs="Arial"/>
          <w:color w:val="000000" w:themeColor="text1"/>
        </w:rPr>
        <w:t xml:space="preserve"> y once</w:t>
      </w:r>
      <w:r w:rsidR="00E74B41" w:rsidRPr="00CA298C">
        <w:rPr>
          <w:rFonts w:ascii="Palatino Linotype" w:hAnsi="Palatino Linotype" w:cs="Arial"/>
          <w:color w:val="000000" w:themeColor="text1"/>
        </w:rPr>
        <w:t xml:space="preserve"> </w:t>
      </w:r>
      <w:r w:rsidR="007F5D29" w:rsidRPr="00CA298C">
        <w:rPr>
          <w:rFonts w:ascii="Palatino Linotype" w:hAnsi="Palatino Linotype" w:cs="Arial"/>
          <w:color w:val="000000" w:themeColor="text1"/>
        </w:rPr>
        <w:t xml:space="preserve">(11) de septiembre </w:t>
      </w:r>
      <w:r w:rsidR="00E74B41" w:rsidRPr="00CA298C">
        <w:rPr>
          <w:rFonts w:ascii="Palatino Linotype" w:hAnsi="Palatino Linotype" w:cs="Arial"/>
          <w:color w:val="000000" w:themeColor="text1"/>
        </w:rPr>
        <w:t>de dos mil veinti</w:t>
      </w:r>
      <w:r w:rsidR="006A0B97" w:rsidRPr="00CA298C">
        <w:rPr>
          <w:rFonts w:ascii="Palatino Linotype" w:hAnsi="Palatino Linotype" w:cs="Arial"/>
          <w:color w:val="000000" w:themeColor="text1"/>
        </w:rPr>
        <w:t>trés</w:t>
      </w:r>
      <w:r w:rsidR="00E74B41" w:rsidRPr="00CA298C">
        <w:rPr>
          <w:rFonts w:ascii="Palatino Linotype" w:hAnsi="Palatino Linotype" w:cs="Arial"/>
          <w:color w:val="000000" w:themeColor="text1"/>
        </w:rPr>
        <w:t>, EL RECURRENTE interpuso los recursos de revisión, en contra de</w:t>
      </w:r>
      <w:r w:rsidR="007F5D29" w:rsidRPr="00CA298C">
        <w:rPr>
          <w:rFonts w:ascii="Palatino Linotype" w:hAnsi="Palatino Linotype" w:cs="Arial"/>
          <w:color w:val="000000" w:themeColor="text1"/>
        </w:rPr>
        <w:t xml:space="preserve"> la falta de</w:t>
      </w:r>
      <w:r w:rsidR="00E74B41" w:rsidRPr="00CA298C">
        <w:rPr>
          <w:rFonts w:ascii="Palatino Linotype" w:hAnsi="Palatino Linotype" w:cs="Arial"/>
          <w:color w:val="000000" w:themeColor="text1"/>
        </w:rPr>
        <w:t xml:space="preserve"> re</w:t>
      </w:r>
      <w:r w:rsidR="00765F5C" w:rsidRPr="00CA298C">
        <w:rPr>
          <w:rFonts w:ascii="Palatino Linotype" w:hAnsi="Palatino Linotype" w:cs="Arial"/>
          <w:color w:val="000000" w:themeColor="text1"/>
        </w:rPr>
        <w:t>spuestas y, señaló</w:t>
      </w:r>
      <w:r w:rsidR="009465BF" w:rsidRPr="00CA298C">
        <w:rPr>
          <w:rFonts w:ascii="Palatino Linotype" w:hAnsi="Palatino Linotype" w:cs="Arial"/>
          <w:color w:val="000000" w:themeColor="text1"/>
        </w:rPr>
        <w:t xml:space="preserve"> </w:t>
      </w:r>
      <w:r w:rsidR="00765F5C" w:rsidRPr="00CA298C">
        <w:rPr>
          <w:rFonts w:ascii="Palatino Linotype" w:hAnsi="Palatino Linotype" w:cs="Arial"/>
          <w:color w:val="000000" w:themeColor="text1"/>
        </w:rPr>
        <w:t>como</w:t>
      </w:r>
      <w:r w:rsidR="00E74B41" w:rsidRPr="00CA298C">
        <w:rPr>
          <w:rFonts w:ascii="Palatino Linotype" w:hAnsi="Palatino Linotype" w:cs="Arial"/>
          <w:color w:val="000000" w:themeColor="text1"/>
        </w:rPr>
        <w:t>:</w:t>
      </w:r>
    </w:p>
    <w:p w14:paraId="4A55F078" w14:textId="77777777" w:rsidR="007F5D29" w:rsidRPr="00CA298C" w:rsidRDefault="007F5D29" w:rsidP="007F5D29">
      <w:pPr>
        <w:pStyle w:val="Prrafodelista"/>
        <w:rPr>
          <w:rFonts w:ascii="Palatino Linotype" w:hAnsi="Palatino Linotype" w:cs="Arial"/>
          <w:color w:val="000000" w:themeColor="text1"/>
          <w:sz w:val="22"/>
        </w:rPr>
      </w:pPr>
    </w:p>
    <w:p w14:paraId="113874FD" w14:textId="12315DA8" w:rsidR="00337EDC" w:rsidRPr="00CA298C" w:rsidRDefault="007F5D29" w:rsidP="00337EDC">
      <w:pPr>
        <w:pStyle w:val="Prrafodelista"/>
        <w:spacing w:line="360" w:lineRule="auto"/>
        <w:ind w:left="0"/>
        <w:jc w:val="both"/>
        <w:rPr>
          <w:rFonts w:ascii="Palatino Linotype" w:hAnsi="Palatino Linotype" w:cs="Arial"/>
          <w:color w:val="000000" w:themeColor="text1"/>
          <w:sz w:val="22"/>
        </w:rPr>
      </w:pPr>
      <w:r w:rsidRPr="00CA298C">
        <w:rPr>
          <w:rFonts w:ascii="Palatino Linotype" w:eastAsia="Calibri" w:hAnsi="Palatino Linotype" w:cs="Tahoma"/>
          <w:b/>
          <w:sz w:val="22"/>
          <w:lang w:eastAsia="en-US"/>
        </w:rPr>
        <w:t>04823/INFOEM/IP/RR/2023</w:t>
      </w:r>
      <w:r w:rsidRPr="00CA298C">
        <w:rPr>
          <w:rFonts w:ascii="Palatino Linotype" w:hAnsi="Palatino Linotype" w:cs="Arial"/>
          <w:b/>
          <w:color w:val="000000" w:themeColor="text1"/>
          <w:sz w:val="22"/>
        </w:rPr>
        <w:t xml:space="preserve"> </w:t>
      </w:r>
    </w:p>
    <w:p w14:paraId="7FB8FF24" w14:textId="4C34603E" w:rsidR="00436449" w:rsidRPr="00CA298C" w:rsidRDefault="00436449" w:rsidP="001009C0">
      <w:pPr>
        <w:pStyle w:val="Prrafodelista"/>
        <w:numPr>
          <w:ilvl w:val="0"/>
          <w:numId w:val="10"/>
        </w:numPr>
        <w:spacing w:line="360" w:lineRule="auto"/>
        <w:ind w:left="709" w:right="616"/>
        <w:jc w:val="both"/>
        <w:rPr>
          <w:sz w:val="22"/>
        </w:rPr>
      </w:pPr>
      <w:r w:rsidRPr="00CA298C">
        <w:rPr>
          <w:rFonts w:ascii="Palatino Linotype" w:hAnsi="Palatino Linotype"/>
          <w:b/>
          <w:sz w:val="22"/>
        </w:rPr>
        <w:t xml:space="preserve">Acto impugnado: </w:t>
      </w:r>
      <w:r w:rsidRPr="00CA298C">
        <w:rPr>
          <w:rFonts w:ascii="Palatino Linotype" w:hAnsi="Palatino Linotype"/>
          <w:bCs/>
          <w:i/>
          <w:iCs/>
          <w:sz w:val="22"/>
        </w:rPr>
        <w:t>“</w:t>
      </w:r>
      <w:r w:rsidR="00384259" w:rsidRPr="00CA298C">
        <w:rPr>
          <w:rFonts w:ascii="Palatino Linotype" w:hAnsi="Palatino Linotype"/>
          <w:bCs/>
          <w:i/>
          <w:iCs/>
          <w:sz w:val="22"/>
        </w:rPr>
        <w:t>nunca contestaron</w:t>
      </w:r>
      <w:r w:rsidRPr="00CA298C">
        <w:rPr>
          <w:rFonts w:ascii="Palatino Linotype" w:hAnsi="Palatino Linotype"/>
          <w:bCs/>
          <w:i/>
          <w:iCs/>
          <w:sz w:val="22"/>
        </w:rPr>
        <w:t>” (sic)</w:t>
      </w:r>
    </w:p>
    <w:p w14:paraId="7DD19BB1" w14:textId="7D260125" w:rsidR="00E74B41" w:rsidRPr="00CA298C" w:rsidRDefault="00436449" w:rsidP="001009C0">
      <w:pPr>
        <w:pStyle w:val="Prrafodelista"/>
        <w:numPr>
          <w:ilvl w:val="0"/>
          <w:numId w:val="6"/>
        </w:numPr>
        <w:spacing w:line="360" w:lineRule="auto"/>
        <w:jc w:val="both"/>
        <w:rPr>
          <w:rFonts w:ascii="Palatino Linotype" w:hAnsi="Palatino Linotype" w:cs="Arial"/>
          <w:color w:val="000000" w:themeColor="text1"/>
          <w:sz w:val="22"/>
        </w:rPr>
      </w:pPr>
      <w:r w:rsidRPr="00CA298C">
        <w:rPr>
          <w:rFonts w:ascii="Palatino Linotype" w:hAnsi="Palatino Linotype"/>
          <w:b/>
          <w:sz w:val="22"/>
        </w:rPr>
        <w:t>Motivos o razones de inconformidad: “</w:t>
      </w:r>
      <w:r w:rsidR="00384259" w:rsidRPr="00CA298C">
        <w:rPr>
          <w:rFonts w:ascii="Palatino Linotype" w:hAnsi="Palatino Linotype"/>
          <w:bCs/>
          <w:i/>
          <w:iCs/>
          <w:sz w:val="22"/>
        </w:rPr>
        <w:t>nunca contestaron</w:t>
      </w:r>
      <w:r w:rsidR="00384259" w:rsidRPr="00CA298C">
        <w:rPr>
          <w:rFonts w:ascii="Palatino Linotype" w:hAnsi="Palatino Linotype"/>
          <w:sz w:val="22"/>
        </w:rPr>
        <w:t xml:space="preserve">” </w:t>
      </w:r>
      <w:r w:rsidRPr="00CA298C">
        <w:rPr>
          <w:rFonts w:ascii="Palatino Linotype" w:hAnsi="Palatino Linotype"/>
          <w:bCs/>
          <w:i/>
          <w:iCs/>
          <w:sz w:val="22"/>
        </w:rPr>
        <w:t>(sic)</w:t>
      </w:r>
    </w:p>
    <w:p w14:paraId="6D4ED0B5" w14:textId="77777777" w:rsidR="00E74B41" w:rsidRPr="00CA298C" w:rsidRDefault="00E74B41" w:rsidP="00E74B41">
      <w:pPr>
        <w:spacing w:line="360" w:lineRule="auto"/>
        <w:jc w:val="both"/>
        <w:rPr>
          <w:rFonts w:ascii="Palatino Linotype" w:hAnsi="Palatino Linotype" w:cs="Arial"/>
          <w:color w:val="000000" w:themeColor="text1"/>
          <w:sz w:val="22"/>
        </w:rPr>
      </w:pPr>
    </w:p>
    <w:p w14:paraId="0AE2B8CC" w14:textId="1B0AFFA4" w:rsidR="007F5D29" w:rsidRPr="00CA298C" w:rsidRDefault="007F5D29" w:rsidP="00E74B41">
      <w:pPr>
        <w:spacing w:line="360" w:lineRule="auto"/>
        <w:jc w:val="both"/>
        <w:rPr>
          <w:rFonts w:ascii="Palatino Linotype" w:hAnsi="Palatino Linotype" w:cs="Arial"/>
          <w:color w:val="000000" w:themeColor="text1"/>
          <w:sz w:val="22"/>
        </w:rPr>
      </w:pPr>
      <w:r w:rsidRPr="00CA298C">
        <w:rPr>
          <w:rFonts w:ascii="Palatino Linotype" w:hAnsi="Palatino Linotype"/>
          <w:b/>
          <w:sz w:val="22"/>
        </w:rPr>
        <w:t>05776/INFOEM/IP/RR/2023</w:t>
      </w:r>
    </w:p>
    <w:p w14:paraId="22C25574" w14:textId="6259A408" w:rsidR="007F5D29" w:rsidRPr="00CA298C" w:rsidRDefault="007F5D29" w:rsidP="007F5D29">
      <w:pPr>
        <w:pStyle w:val="Prrafodelista"/>
        <w:numPr>
          <w:ilvl w:val="0"/>
          <w:numId w:val="10"/>
        </w:numPr>
        <w:spacing w:line="360" w:lineRule="auto"/>
        <w:ind w:left="709" w:right="616"/>
        <w:jc w:val="both"/>
        <w:rPr>
          <w:sz w:val="22"/>
        </w:rPr>
      </w:pPr>
      <w:r w:rsidRPr="00CA298C">
        <w:rPr>
          <w:rFonts w:ascii="Palatino Linotype" w:hAnsi="Palatino Linotype"/>
          <w:b/>
          <w:sz w:val="22"/>
        </w:rPr>
        <w:t xml:space="preserve">Acto impugnado: </w:t>
      </w:r>
      <w:r w:rsidRPr="00CA298C">
        <w:rPr>
          <w:rFonts w:ascii="Palatino Linotype" w:hAnsi="Palatino Linotype"/>
          <w:bCs/>
          <w:i/>
          <w:iCs/>
          <w:sz w:val="22"/>
        </w:rPr>
        <w:t>“NO ENTREGARTON NADA” (sic)</w:t>
      </w:r>
    </w:p>
    <w:p w14:paraId="1454FF63" w14:textId="6EEBAD06" w:rsidR="007F5D29" w:rsidRPr="00CA298C" w:rsidRDefault="007F5D29" w:rsidP="007F5D29">
      <w:pPr>
        <w:pStyle w:val="Prrafodelista"/>
        <w:numPr>
          <w:ilvl w:val="0"/>
          <w:numId w:val="6"/>
        </w:numPr>
        <w:spacing w:line="360" w:lineRule="auto"/>
        <w:jc w:val="both"/>
        <w:rPr>
          <w:rFonts w:ascii="Palatino Linotype" w:hAnsi="Palatino Linotype" w:cs="Arial"/>
          <w:color w:val="000000" w:themeColor="text1"/>
          <w:sz w:val="22"/>
        </w:rPr>
      </w:pPr>
      <w:r w:rsidRPr="00CA298C">
        <w:rPr>
          <w:rFonts w:ascii="Palatino Linotype" w:hAnsi="Palatino Linotype"/>
          <w:b/>
          <w:sz w:val="22"/>
        </w:rPr>
        <w:t>Motivos o razones de inconformidad: “</w:t>
      </w:r>
      <w:r w:rsidRPr="00CA298C">
        <w:rPr>
          <w:rFonts w:ascii="Palatino Linotype" w:hAnsi="Palatino Linotype"/>
          <w:bCs/>
          <w:i/>
          <w:iCs/>
          <w:sz w:val="22"/>
        </w:rPr>
        <w:t>NO ENTREGARON NADA</w:t>
      </w:r>
      <w:r w:rsidRPr="00CA298C">
        <w:rPr>
          <w:rFonts w:ascii="Palatino Linotype" w:hAnsi="Palatino Linotype"/>
          <w:sz w:val="22"/>
        </w:rPr>
        <w:t xml:space="preserve">” </w:t>
      </w:r>
      <w:r w:rsidRPr="00CA298C">
        <w:rPr>
          <w:rFonts w:ascii="Palatino Linotype" w:hAnsi="Palatino Linotype"/>
          <w:bCs/>
          <w:i/>
          <w:iCs/>
          <w:sz w:val="22"/>
        </w:rPr>
        <w:t>(sic)</w:t>
      </w:r>
    </w:p>
    <w:p w14:paraId="36D81784" w14:textId="77777777" w:rsidR="007F5D29" w:rsidRPr="00CA298C" w:rsidRDefault="007F5D29" w:rsidP="00E74B41">
      <w:pPr>
        <w:spacing w:line="360" w:lineRule="auto"/>
        <w:jc w:val="both"/>
        <w:rPr>
          <w:rFonts w:ascii="Palatino Linotype" w:hAnsi="Palatino Linotype" w:cs="Arial"/>
          <w:color w:val="000000" w:themeColor="text1"/>
        </w:rPr>
      </w:pPr>
    </w:p>
    <w:p w14:paraId="03A98FE4" w14:textId="4FFC7DA4"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Se registraron los recursos de revisión bajo los números de expediente al rubro indicados,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1B01D31B" w14:textId="77777777" w:rsidR="00E74B41" w:rsidRPr="00CA298C" w:rsidRDefault="00E74B41" w:rsidP="00E74B41">
      <w:pPr>
        <w:spacing w:line="360" w:lineRule="auto"/>
        <w:jc w:val="both"/>
        <w:rPr>
          <w:rFonts w:ascii="Palatino Linotype" w:hAnsi="Palatino Linotype" w:cs="Arial"/>
          <w:color w:val="000000" w:themeColor="text1"/>
        </w:rPr>
      </w:pPr>
    </w:p>
    <w:p w14:paraId="300C6BE8" w14:textId="31DE78BA"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lastRenderedPageBreak/>
        <w:t>La Comisionada Ponente con fundamento en lo dispuesto por el artículo 185 fracción II de la ley de la materia, a través del acuerdo de admi</w:t>
      </w:r>
      <w:r w:rsidR="006A0B97" w:rsidRPr="00CA298C">
        <w:rPr>
          <w:rFonts w:ascii="Palatino Linotype" w:hAnsi="Palatino Linotype" w:cs="Arial"/>
          <w:color w:val="000000" w:themeColor="text1"/>
        </w:rPr>
        <w:t xml:space="preserve">sión de fecha </w:t>
      </w:r>
      <w:r w:rsidR="009465BF" w:rsidRPr="00CA298C">
        <w:rPr>
          <w:rFonts w:ascii="Palatino Linotype" w:hAnsi="Palatino Linotype" w:cs="Arial"/>
          <w:color w:val="000000" w:themeColor="text1"/>
        </w:rPr>
        <w:t>veintinueve</w:t>
      </w:r>
      <w:r w:rsidR="00E374FD" w:rsidRPr="00CA298C">
        <w:rPr>
          <w:rFonts w:ascii="Palatino Linotype" w:hAnsi="Palatino Linotype" w:cs="Arial"/>
          <w:color w:val="000000" w:themeColor="text1"/>
        </w:rPr>
        <w:t xml:space="preserve"> (</w:t>
      </w:r>
      <w:r w:rsidR="009465BF" w:rsidRPr="00CA298C">
        <w:rPr>
          <w:rFonts w:ascii="Palatino Linotype" w:hAnsi="Palatino Linotype" w:cs="Arial"/>
          <w:color w:val="000000" w:themeColor="text1"/>
        </w:rPr>
        <w:t>29</w:t>
      </w:r>
      <w:r w:rsidR="00E374FD" w:rsidRPr="00CA298C">
        <w:rPr>
          <w:rFonts w:ascii="Palatino Linotype" w:hAnsi="Palatino Linotype" w:cs="Arial"/>
          <w:color w:val="000000" w:themeColor="text1"/>
        </w:rPr>
        <w:t xml:space="preserve">) y </w:t>
      </w:r>
      <w:r w:rsidR="009465BF" w:rsidRPr="00CA298C">
        <w:rPr>
          <w:rFonts w:ascii="Palatino Linotype" w:hAnsi="Palatino Linotype" w:cs="Arial"/>
          <w:color w:val="000000" w:themeColor="text1"/>
        </w:rPr>
        <w:t xml:space="preserve">treinta </w:t>
      </w:r>
      <w:r w:rsidR="006A0B97" w:rsidRPr="00CA298C">
        <w:rPr>
          <w:rFonts w:ascii="Palatino Linotype" w:hAnsi="Palatino Linotype" w:cs="Arial"/>
          <w:color w:val="000000" w:themeColor="text1"/>
        </w:rPr>
        <w:t>(</w:t>
      </w:r>
      <w:r w:rsidR="009465BF" w:rsidRPr="00CA298C">
        <w:rPr>
          <w:rFonts w:ascii="Palatino Linotype" w:hAnsi="Palatino Linotype" w:cs="Arial"/>
          <w:color w:val="000000" w:themeColor="text1"/>
        </w:rPr>
        <w:t>30</w:t>
      </w:r>
      <w:r w:rsidR="006A0B97" w:rsidRPr="00CA298C">
        <w:rPr>
          <w:rFonts w:ascii="Palatino Linotype" w:hAnsi="Palatino Linotype" w:cs="Arial"/>
          <w:color w:val="000000" w:themeColor="text1"/>
        </w:rPr>
        <w:t>)</w:t>
      </w:r>
      <w:r w:rsidR="004B2CE4" w:rsidRPr="00CA298C">
        <w:rPr>
          <w:rFonts w:ascii="Palatino Linotype" w:hAnsi="Palatino Linotype" w:cs="Arial"/>
          <w:color w:val="000000" w:themeColor="text1"/>
        </w:rPr>
        <w:t xml:space="preserve"> </w:t>
      </w:r>
      <w:r w:rsidR="00EA5294" w:rsidRPr="00CA298C">
        <w:rPr>
          <w:rFonts w:ascii="Palatino Linotype" w:hAnsi="Palatino Linotype" w:cs="Arial"/>
          <w:color w:val="000000" w:themeColor="text1"/>
        </w:rPr>
        <w:t xml:space="preserve">de </w:t>
      </w:r>
      <w:r w:rsidR="009465BF" w:rsidRPr="00CA298C">
        <w:rPr>
          <w:rFonts w:ascii="Palatino Linotype" w:hAnsi="Palatino Linotype" w:cs="Arial"/>
          <w:color w:val="000000" w:themeColor="text1"/>
        </w:rPr>
        <w:t>agosto</w:t>
      </w:r>
      <w:r w:rsidR="004B2CE4" w:rsidRPr="00CA298C">
        <w:rPr>
          <w:rFonts w:ascii="Palatino Linotype" w:hAnsi="Palatino Linotype" w:cs="Arial"/>
          <w:color w:val="000000" w:themeColor="text1"/>
        </w:rPr>
        <w:t xml:space="preserve"> </w:t>
      </w:r>
      <w:r w:rsidR="00495E0B" w:rsidRPr="00CA298C">
        <w:rPr>
          <w:rFonts w:ascii="Palatino Linotype" w:hAnsi="Palatino Linotype" w:cs="Arial"/>
          <w:color w:val="000000" w:themeColor="text1"/>
        </w:rPr>
        <w:t>de dos mil veintitrés</w:t>
      </w:r>
      <w:r w:rsidRPr="00CA298C">
        <w:rPr>
          <w:rFonts w:ascii="Palatino Linotype" w:hAnsi="Palatino Linotype" w:cs="Arial"/>
          <w:color w:val="000000" w:themeColor="text1"/>
        </w:rPr>
        <w:t xml:space="preserve">, puso a disposición de las partes el expediente electrónico vía SAIMEX a efecto de que en un plazo máximo de siete días manifestaran lo que a derecho convinieran, ofrecieran pruebas y alegatos según corresponda al caso concreto, de esta forma para que el SUJETO OBLIGADO presentara el informe justificado procedente. </w:t>
      </w:r>
    </w:p>
    <w:p w14:paraId="6794667D" w14:textId="77777777" w:rsidR="00E74B41" w:rsidRPr="00CA298C" w:rsidRDefault="00E74B41" w:rsidP="00E74B41">
      <w:pPr>
        <w:spacing w:line="360" w:lineRule="auto"/>
        <w:jc w:val="both"/>
        <w:rPr>
          <w:rFonts w:ascii="Palatino Linotype" w:hAnsi="Palatino Linotype" w:cs="Arial"/>
          <w:color w:val="000000" w:themeColor="text1"/>
        </w:rPr>
      </w:pPr>
    </w:p>
    <w:p w14:paraId="432CC6FD" w14:textId="0F515264"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En la </w:t>
      </w:r>
      <w:r w:rsidR="00DE421F" w:rsidRPr="00CA298C">
        <w:rPr>
          <w:rFonts w:ascii="Palatino Linotype" w:hAnsi="Palatino Linotype" w:cs="Arial"/>
          <w:color w:val="000000" w:themeColor="text1"/>
        </w:rPr>
        <w:t>Trigésima Quinta</w:t>
      </w:r>
      <w:r w:rsidR="00EA5294" w:rsidRPr="00CA298C">
        <w:rPr>
          <w:rFonts w:ascii="Palatino Linotype" w:hAnsi="Palatino Linotype" w:cs="Arial"/>
          <w:color w:val="000000" w:themeColor="text1"/>
        </w:rPr>
        <w:t xml:space="preserve"> Sesión</w:t>
      </w:r>
      <w:r w:rsidRPr="00CA298C">
        <w:rPr>
          <w:rFonts w:ascii="Palatino Linotype" w:hAnsi="Palatino Linotype" w:cs="Arial"/>
          <w:color w:val="000000" w:themeColor="text1"/>
        </w:rPr>
        <w:t xml:space="preserve"> Ordinaria de fecha </w:t>
      </w:r>
      <w:r w:rsidR="00DE421F" w:rsidRPr="00CA298C">
        <w:rPr>
          <w:rFonts w:ascii="Palatino Linotype" w:hAnsi="Palatino Linotype" w:cs="Arial"/>
          <w:color w:val="000000" w:themeColor="text1"/>
        </w:rPr>
        <w:t>veintisiete</w:t>
      </w:r>
      <w:r w:rsidR="009465BF" w:rsidRPr="00CA298C">
        <w:rPr>
          <w:rFonts w:ascii="Palatino Linotype" w:hAnsi="Palatino Linotype" w:cs="Arial"/>
          <w:color w:val="000000" w:themeColor="text1"/>
        </w:rPr>
        <w:t xml:space="preserve"> </w:t>
      </w:r>
      <w:r w:rsidRPr="00CA298C">
        <w:rPr>
          <w:rFonts w:ascii="Palatino Linotype" w:hAnsi="Palatino Linotype" w:cs="Arial"/>
          <w:color w:val="000000" w:themeColor="text1"/>
        </w:rPr>
        <w:t>(</w:t>
      </w:r>
      <w:r w:rsidR="00DE421F" w:rsidRPr="00CA298C">
        <w:rPr>
          <w:rFonts w:ascii="Palatino Linotype" w:hAnsi="Palatino Linotype" w:cs="Arial"/>
          <w:color w:val="000000" w:themeColor="text1"/>
        </w:rPr>
        <w:t>27</w:t>
      </w:r>
      <w:r w:rsidRPr="00CA298C">
        <w:rPr>
          <w:rFonts w:ascii="Palatino Linotype" w:hAnsi="Palatino Linotype" w:cs="Arial"/>
          <w:color w:val="000000" w:themeColor="text1"/>
        </w:rPr>
        <w:t xml:space="preserve">) de </w:t>
      </w:r>
      <w:r w:rsidR="009465BF" w:rsidRPr="00CA298C">
        <w:rPr>
          <w:rFonts w:ascii="Palatino Linotype" w:hAnsi="Palatino Linotype" w:cs="Arial"/>
          <w:color w:val="000000" w:themeColor="text1"/>
        </w:rPr>
        <w:t>septiembre</w:t>
      </w:r>
      <w:r w:rsidRPr="00CA298C">
        <w:rPr>
          <w:rFonts w:ascii="Palatino Linotype" w:hAnsi="Palatino Linotype" w:cs="Arial"/>
          <w:color w:val="000000" w:themeColor="text1"/>
        </w:rPr>
        <w:t xml:space="preserve"> de dos mil veinti</w:t>
      </w:r>
      <w:r w:rsidR="0041537B" w:rsidRPr="00CA298C">
        <w:rPr>
          <w:rFonts w:ascii="Palatino Linotype" w:hAnsi="Palatino Linotype" w:cs="Arial"/>
          <w:color w:val="000000" w:themeColor="text1"/>
        </w:rPr>
        <w:t>trés</w:t>
      </w:r>
      <w:r w:rsidRPr="00CA298C">
        <w:rPr>
          <w:rFonts w:ascii="Palatino Linotype" w:hAnsi="Palatino Linotype" w:cs="Arial"/>
          <w:color w:val="000000" w:themeColor="text1"/>
        </w:rPr>
        <w:t>, el Pleno de este Órgano Garante acordó la acumulación de los recursos de revisión a la Comisionada María del Rosario Mejía Ayala a efecto de presentar al Pleno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 , que señala:</w:t>
      </w:r>
    </w:p>
    <w:p w14:paraId="27DAC23C" w14:textId="77777777" w:rsidR="00E74B41" w:rsidRPr="00CA298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ONCE. El Instituto, para mejor resolver y evitar la emisión de resoluciones contradictorias, podrá acordar la acumulación de los expedientes de recursos de revisión, de oficio o a petición de parte cuando:</w:t>
      </w:r>
    </w:p>
    <w:p w14:paraId="0E5A47F9" w14:textId="77777777" w:rsidR="00E74B41" w:rsidRPr="00CA298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w:t>
      </w:r>
    </w:p>
    <w:p w14:paraId="3887DC92" w14:textId="77777777" w:rsidR="00E74B41" w:rsidRPr="00CA298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c) Cuando se trate del mismo solicitante, el mismo SUJETO OBLIGADO, aunque se trate de solicitudes diversas;</w:t>
      </w:r>
    </w:p>
    <w:p w14:paraId="4F25A0F5" w14:textId="77777777" w:rsidR="00E74B41" w:rsidRPr="00CA298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w:t>
      </w:r>
    </w:p>
    <w:p w14:paraId="68B08871" w14:textId="77777777" w:rsidR="00E74B41" w:rsidRPr="00CA298C" w:rsidRDefault="00E74B41" w:rsidP="00E74B41">
      <w:pPr>
        <w:pStyle w:val="Prrafodelista"/>
        <w:spacing w:line="360" w:lineRule="auto"/>
        <w:ind w:left="0"/>
        <w:jc w:val="both"/>
        <w:rPr>
          <w:rFonts w:ascii="Palatino Linotype" w:hAnsi="Palatino Linotype" w:cs="Arial"/>
          <w:color w:val="000000" w:themeColor="text1"/>
        </w:rPr>
      </w:pPr>
    </w:p>
    <w:p w14:paraId="719CC1A0" w14:textId="149966BF"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lastRenderedPageBreak/>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F2F8620" w14:textId="77777777" w:rsidR="00E74B41" w:rsidRPr="00CA298C"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CA298C">
        <w:rPr>
          <w:rFonts w:ascii="Palatino Linotype" w:hAnsi="Palatino Linotype" w:cs="Arial"/>
          <w:b/>
          <w:i/>
          <w:color w:val="000000" w:themeColor="text1"/>
          <w:sz w:val="22"/>
        </w:rPr>
        <w:t>Código de Procedimientos Administrativos del Estado de México</w:t>
      </w:r>
    </w:p>
    <w:p w14:paraId="3D395CFB" w14:textId="77777777" w:rsidR="00E74B41" w:rsidRPr="00CA298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CB0DD7A" w14:textId="77777777" w:rsidR="00E74B41" w:rsidRPr="00CA298C" w:rsidRDefault="00E74B41" w:rsidP="00E74B41">
      <w:pPr>
        <w:spacing w:line="360" w:lineRule="auto"/>
        <w:ind w:left="567" w:right="616"/>
        <w:jc w:val="both"/>
        <w:rPr>
          <w:rFonts w:ascii="Palatino Linotype" w:hAnsi="Palatino Linotype" w:cs="Arial"/>
          <w:i/>
          <w:color w:val="000000" w:themeColor="text1"/>
          <w:sz w:val="22"/>
        </w:rPr>
      </w:pPr>
    </w:p>
    <w:p w14:paraId="082D786D" w14:textId="77777777" w:rsidR="00E74B41" w:rsidRPr="00CA298C"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CA298C">
        <w:rPr>
          <w:rFonts w:ascii="Palatino Linotype" w:hAnsi="Palatino Linotype" w:cs="Arial"/>
          <w:b/>
          <w:i/>
          <w:color w:val="000000" w:themeColor="text1"/>
          <w:sz w:val="22"/>
        </w:rPr>
        <w:t xml:space="preserve">Ley de Transparencia y Acceso a la Información Pública del Estado de México y Municipios </w:t>
      </w:r>
    </w:p>
    <w:p w14:paraId="53719EAD" w14:textId="77777777" w:rsidR="00E74B41" w:rsidRPr="00CA298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“Artículo 195. En la tramitación del recurso de revisión se aplicarán supletoriamente las disposiciones contenidas en el Código de Procedimientos Administrativos del Estado de México.”</w:t>
      </w:r>
    </w:p>
    <w:p w14:paraId="48E12BB6" w14:textId="77777777" w:rsidR="00E74B41" w:rsidRPr="00CA298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(Énfasis añadido)</w:t>
      </w:r>
    </w:p>
    <w:p w14:paraId="6AC6908F" w14:textId="77777777" w:rsidR="00E74B41" w:rsidRPr="00CA298C" w:rsidRDefault="00E74B41" w:rsidP="00E74B41">
      <w:pPr>
        <w:pStyle w:val="Prrafodelista"/>
        <w:spacing w:line="360" w:lineRule="auto"/>
        <w:ind w:left="0"/>
        <w:jc w:val="both"/>
        <w:rPr>
          <w:rFonts w:ascii="Palatino Linotype" w:hAnsi="Palatino Linotype" w:cs="Arial"/>
          <w:color w:val="000000" w:themeColor="text1"/>
        </w:rPr>
      </w:pPr>
    </w:p>
    <w:p w14:paraId="68ED82E3" w14:textId="69F4CDE2" w:rsidR="00DE421F" w:rsidRPr="00CA298C" w:rsidRDefault="009465BF" w:rsidP="009465BF">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eastAsiaTheme="minorEastAsia" w:hAnsi="Palatino Linotype"/>
          <w:color w:val="000000"/>
          <w:lang w:val="es-ES_tradnl"/>
        </w:rPr>
        <w:t xml:space="preserve">El </w:t>
      </w:r>
      <w:r w:rsidRPr="00CA298C">
        <w:rPr>
          <w:rFonts w:ascii="Palatino Linotype" w:eastAsiaTheme="minorEastAsia" w:hAnsi="Palatino Linotype"/>
          <w:b/>
          <w:color w:val="000000"/>
          <w:lang w:val="es-ES_tradnl"/>
        </w:rPr>
        <w:t xml:space="preserve">SUJETO OBLIGADO </w:t>
      </w:r>
      <w:r w:rsidR="00DE421F" w:rsidRPr="00CA298C">
        <w:rPr>
          <w:rFonts w:ascii="Palatino Linotype" w:eastAsiaTheme="minorEastAsia" w:hAnsi="Palatino Linotype"/>
          <w:color w:val="000000"/>
          <w:lang w:val="es-ES_tradnl"/>
        </w:rPr>
        <w:t xml:space="preserve">rindió su informe justificado el veintidós (22) de septiembre de dos mil veintitrés, a través del documento electrónico denominado </w:t>
      </w:r>
      <w:r w:rsidR="00DE421F" w:rsidRPr="00CA298C">
        <w:rPr>
          <w:rFonts w:ascii="Palatino Linotype" w:eastAsiaTheme="minorEastAsia" w:hAnsi="Palatino Linotype"/>
          <w:b/>
          <w:color w:val="000000"/>
          <w:lang w:val="es-ES_tradnl"/>
        </w:rPr>
        <w:t xml:space="preserve">Aviso de Privacidad.pdf, </w:t>
      </w:r>
      <w:r w:rsidR="00DE421F" w:rsidRPr="00CA298C">
        <w:rPr>
          <w:rFonts w:ascii="Palatino Linotype" w:eastAsiaTheme="minorEastAsia" w:hAnsi="Palatino Linotype"/>
          <w:color w:val="000000"/>
          <w:lang w:val="es-ES_tradnl"/>
        </w:rPr>
        <w:t xml:space="preserve">el cual se puso a la vista del particular el veinticinco (25) de septiembre de dos mil veintitrés y en el recurso de revisión </w:t>
      </w:r>
      <w:r w:rsidR="00DE421F" w:rsidRPr="00CA298C">
        <w:rPr>
          <w:rFonts w:ascii="Palatino Linotype" w:eastAsiaTheme="minorEastAsia" w:hAnsi="Palatino Linotype"/>
          <w:color w:val="000000"/>
          <w:lang w:val="es-ES_tradnl"/>
        </w:rPr>
        <w:lastRenderedPageBreak/>
        <w:t>05776/INFOEM/IP/RR/2023, el veintidós (22) de febrero de dos mil veinticuatro; sin embargo, se procede a describir su contenido medular, siendo el siguiente:</w:t>
      </w:r>
    </w:p>
    <w:p w14:paraId="6F8B441F" w14:textId="77777777" w:rsidR="00DE421F" w:rsidRPr="00CA298C" w:rsidRDefault="00DE421F" w:rsidP="00DE421F">
      <w:pPr>
        <w:pStyle w:val="Prrafodelista"/>
        <w:spacing w:line="360" w:lineRule="auto"/>
        <w:ind w:left="0"/>
        <w:jc w:val="both"/>
        <w:rPr>
          <w:rFonts w:ascii="Palatino Linotype" w:eastAsiaTheme="minorEastAsia" w:hAnsi="Palatino Linotype"/>
          <w:color w:val="000000"/>
          <w:sz w:val="22"/>
          <w:lang w:val="es-ES_tradnl"/>
        </w:rPr>
      </w:pPr>
    </w:p>
    <w:p w14:paraId="2C78CB42" w14:textId="6384A615" w:rsidR="00DE421F" w:rsidRPr="00CA298C" w:rsidRDefault="00DE421F" w:rsidP="00DE421F">
      <w:pPr>
        <w:pStyle w:val="Prrafodelista"/>
        <w:numPr>
          <w:ilvl w:val="0"/>
          <w:numId w:val="10"/>
        </w:numPr>
        <w:spacing w:line="360" w:lineRule="auto"/>
        <w:ind w:left="567"/>
        <w:jc w:val="both"/>
        <w:rPr>
          <w:rFonts w:ascii="Palatino Linotype" w:hAnsi="Palatino Linotype" w:cs="Arial"/>
          <w:color w:val="000000" w:themeColor="text1"/>
          <w:sz w:val="22"/>
        </w:rPr>
      </w:pPr>
      <w:r w:rsidRPr="00CA298C">
        <w:rPr>
          <w:rFonts w:ascii="Palatino Linotype" w:eastAsiaTheme="minorEastAsia" w:hAnsi="Palatino Linotype"/>
          <w:b/>
          <w:color w:val="000000"/>
          <w:sz w:val="22"/>
          <w:lang w:val="es-ES_tradnl"/>
        </w:rPr>
        <w:t xml:space="preserve">Aviso de Privacidad.pdf: </w:t>
      </w:r>
      <w:r w:rsidRPr="00CA298C">
        <w:rPr>
          <w:rFonts w:ascii="Palatino Linotype" w:eastAsiaTheme="minorEastAsia" w:hAnsi="Palatino Linotype"/>
          <w:color w:val="000000"/>
          <w:sz w:val="22"/>
          <w:lang w:val="es-ES_tradnl"/>
        </w:rPr>
        <w:t xml:space="preserve">Contiene el oficio MVA/UTAIP/VA/264/VIII/2023 en el que se requiere de respuesta a lo requerido por la Unidad de Transparencia. Oficio MVA/UTAIP/VA/264/VIII/2023 en el que se refiere que se pone a disposición del particular el aviso de privacidad, mismo que también puede ser consultado en la dirección electrónica </w:t>
      </w:r>
      <w:hyperlink r:id="rId8" w:history="1">
        <w:r w:rsidRPr="00CA298C">
          <w:rPr>
            <w:rStyle w:val="Hipervnculo"/>
            <w:rFonts w:ascii="Palatino Linotype" w:eastAsiaTheme="minorEastAsia" w:hAnsi="Palatino Linotype"/>
            <w:sz w:val="22"/>
            <w:lang w:val="es-ES_tradnl"/>
          </w:rPr>
          <w:t>https://www.villadeallende.gob.mx/aviso-p.php</w:t>
        </w:r>
      </w:hyperlink>
      <w:r w:rsidRPr="00CA298C">
        <w:rPr>
          <w:rFonts w:ascii="Palatino Linotype" w:eastAsiaTheme="minorEastAsia" w:hAnsi="Palatino Linotype"/>
          <w:color w:val="000000"/>
          <w:sz w:val="22"/>
          <w:lang w:val="es-ES_tradnl"/>
        </w:rPr>
        <w:t>. Contiene un aviso de privacidad que se integra de dos páginas.</w:t>
      </w:r>
    </w:p>
    <w:p w14:paraId="77D42D00" w14:textId="77777777" w:rsidR="009465BF" w:rsidRPr="00CA298C" w:rsidRDefault="009465BF" w:rsidP="009465BF">
      <w:pPr>
        <w:pStyle w:val="Prrafodelista"/>
        <w:spacing w:line="360" w:lineRule="auto"/>
        <w:ind w:left="0"/>
        <w:jc w:val="both"/>
        <w:rPr>
          <w:rFonts w:ascii="Palatino Linotype" w:hAnsi="Palatino Linotype" w:cs="Arial"/>
          <w:color w:val="000000" w:themeColor="text1"/>
        </w:rPr>
      </w:pPr>
    </w:p>
    <w:p w14:paraId="491DA48F" w14:textId="1F8A3464" w:rsidR="00D579EF"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El</w:t>
      </w:r>
      <w:r w:rsidR="007808CB" w:rsidRPr="00CA298C">
        <w:rPr>
          <w:rFonts w:ascii="Palatino Linotype" w:hAnsi="Palatino Linotype" w:cs="Arial"/>
          <w:color w:val="000000" w:themeColor="text1"/>
        </w:rPr>
        <w:t xml:space="preserve"> </w:t>
      </w:r>
      <w:r w:rsidR="009465BF" w:rsidRPr="00CA298C">
        <w:rPr>
          <w:rFonts w:ascii="Palatino Linotype" w:hAnsi="Palatino Linotype" w:cs="Arial"/>
          <w:color w:val="000000" w:themeColor="text1"/>
        </w:rPr>
        <w:t>veintidós</w:t>
      </w:r>
      <w:r w:rsidR="005F0C43" w:rsidRPr="00CA298C">
        <w:rPr>
          <w:rFonts w:ascii="Palatino Linotype" w:hAnsi="Palatino Linotype" w:cs="Arial"/>
          <w:color w:val="000000" w:themeColor="text1"/>
        </w:rPr>
        <w:t xml:space="preserve"> (</w:t>
      </w:r>
      <w:r w:rsidR="009465BF" w:rsidRPr="00CA298C">
        <w:rPr>
          <w:rFonts w:ascii="Palatino Linotype" w:hAnsi="Palatino Linotype" w:cs="Arial"/>
          <w:color w:val="000000" w:themeColor="text1"/>
        </w:rPr>
        <w:t>22</w:t>
      </w:r>
      <w:r w:rsidR="005F0C43" w:rsidRPr="00CA298C">
        <w:rPr>
          <w:rFonts w:ascii="Palatino Linotype" w:hAnsi="Palatino Linotype" w:cs="Arial"/>
          <w:color w:val="000000" w:themeColor="text1"/>
        </w:rPr>
        <w:t xml:space="preserve">) de </w:t>
      </w:r>
      <w:r w:rsidR="009465BF" w:rsidRPr="00CA298C">
        <w:rPr>
          <w:rFonts w:ascii="Palatino Linotype" w:hAnsi="Palatino Linotype" w:cs="Arial"/>
          <w:color w:val="000000" w:themeColor="text1"/>
        </w:rPr>
        <w:t>febrero</w:t>
      </w:r>
      <w:r w:rsidR="005F0C43" w:rsidRPr="00CA298C">
        <w:rPr>
          <w:rFonts w:ascii="Palatino Linotype" w:hAnsi="Palatino Linotype" w:cs="Arial"/>
          <w:color w:val="000000" w:themeColor="text1"/>
        </w:rPr>
        <w:t xml:space="preserve"> de dos mil veinti</w:t>
      </w:r>
      <w:r w:rsidR="009465BF" w:rsidRPr="00CA298C">
        <w:rPr>
          <w:rFonts w:ascii="Palatino Linotype" w:hAnsi="Palatino Linotype" w:cs="Arial"/>
          <w:color w:val="000000" w:themeColor="text1"/>
        </w:rPr>
        <w:t>cuatro</w:t>
      </w:r>
      <w:r w:rsidR="005F0C43" w:rsidRPr="00CA298C">
        <w:rPr>
          <w:rFonts w:ascii="Palatino Linotype" w:hAnsi="Palatino Linotype" w:cs="Arial"/>
          <w:color w:val="000000" w:themeColor="text1"/>
        </w:rPr>
        <w:t>, la Comisionada Ponente notificó el acuerdo de ampliación de plazo para emitir resolución, por un periodo a</w:t>
      </w:r>
      <w:r w:rsidR="009465BF" w:rsidRPr="00CA298C">
        <w:rPr>
          <w:rFonts w:ascii="Palatino Linotype" w:hAnsi="Palatino Linotype" w:cs="Arial"/>
          <w:color w:val="000000" w:themeColor="text1"/>
        </w:rPr>
        <w:t xml:space="preserve">dicional de quince días hábiles. </w:t>
      </w:r>
    </w:p>
    <w:p w14:paraId="31971C2C" w14:textId="77777777" w:rsidR="00D579EF" w:rsidRPr="00CA298C" w:rsidRDefault="00D579EF" w:rsidP="00D579EF">
      <w:pPr>
        <w:pStyle w:val="Prrafodelista"/>
        <w:spacing w:line="360" w:lineRule="auto"/>
        <w:ind w:left="0"/>
        <w:jc w:val="both"/>
        <w:rPr>
          <w:rFonts w:ascii="Palatino Linotype" w:hAnsi="Palatino Linotype" w:cs="Arial"/>
          <w:color w:val="000000" w:themeColor="text1"/>
        </w:rPr>
      </w:pPr>
    </w:p>
    <w:p w14:paraId="7949C947" w14:textId="3CDE565C" w:rsidR="00E74B41" w:rsidRPr="00CA298C" w:rsidRDefault="00D579EF"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El </w:t>
      </w:r>
      <w:r w:rsidR="00DE421F" w:rsidRPr="00CA298C">
        <w:rPr>
          <w:rFonts w:ascii="Palatino Linotype" w:hAnsi="Palatino Linotype" w:cs="Arial"/>
          <w:color w:val="000000" w:themeColor="text1"/>
        </w:rPr>
        <w:t>veintiocho</w:t>
      </w:r>
      <w:r w:rsidR="009465BF" w:rsidRPr="00CA298C">
        <w:rPr>
          <w:rFonts w:ascii="Palatino Linotype" w:hAnsi="Palatino Linotype" w:cs="Arial"/>
          <w:color w:val="000000" w:themeColor="text1"/>
        </w:rPr>
        <w:t xml:space="preserve"> (22) de febrero de dos mil veinticuatro</w:t>
      </w:r>
      <w:r w:rsidR="00E74B41" w:rsidRPr="00CA298C">
        <w:rPr>
          <w:rFonts w:ascii="Palatino Linotype" w:hAnsi="Palatino Linotype" w:cs="Arial"/>
          <w:color w:val="000000" w:themeColor="text1"/>
        </w:rPr>
        <w:t>, la Comisionada Ponente decretó el cierre de instrucción, por lo que turnó la presente resolución para su aprobación, asimismo, se notificó el acuerdo de acumulación de recursos de revisión.</w:t>
      </w:r>
    </w:p>
    <w:p w14:paraId="3F6A190D" w14:textId="77777777" w:rsidR="00DE421F" w:rsidRPr="00CA298C" w:rsidRDefault="00DE421F" w:rsidP="00DE421F">
      <w:pPr>
        <w:pStyle w:val="Prrafodelista"/>
        <w:spacing w:line="360" w:lineRule="auto"/>
        <w:ind w:left="0"/>
        <w:jc w:val="both"/>
        <w:rPr>
          <w:rFonts w:ascii="Palatino Linotype" w:hAnsi="Palatino Linotype" w:cs="Arial"/>
          <w:color w:val="000000" w:themeColor="text1"/>
        </w:rPr>
      </w:pPr>
    </w:p>
    <w:p w14:paraId="79795977" w14:textId="67303558" w:rsidR="00DE421F" w:rsidRPr="00CA298C" w:rsidRDefault="00DE421F" w:rsidP="00DE421F">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El veintiocho (28) de febrero de dos mil veinticuatro, la Comisionada Ponente notificó el acuerdo de acumulación de recursos de revisión.</w:t>
      </w:r>
    </w:p>
    <w:p w14:paraId="15B9B18F" w14:textId="77777777" w:rsidR="00F10728" w:rsidRPr="00CA298C" w:rsidRDefault="00F10728" w:rsidP="00F10728">
      <w:pPr>
        <w:pStyle w:val="Prrafodelista"/>
        <w:rPr>
          <w:rFonts w:ascii="Palatino Linotype" w:hAnsi="Palatino Linotype" w:cs="Arial"/>
          <w:color w:val="000000" w:themeColor="text1"/>
        </w:rPr>
      </w:pPr>
    </w:p>
    <w:p w14:paraId="2DF83A9F" w14:textId="2262AFB5"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Este organismo garante no pasa por alto justificar, que el plazo para emitir resolución en el presente asunto encuentra justificación en el alto número de recursos de revisión recibidos dentro del primer semestre del año dos mil veintidós, </w:t>
      </w:r>
      <w:r w:rsidRPr="00CA298C">
        <w:rPr>
          <w:rFonts w:ascii="Palatino Linotype" w:hAnsi="Palatino Linotype" w:cs="Arial"/>
          <w:color w:val="000000" w:themeColor="text1"/>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EDA514" w14:textId="77777777" w:rsidR="00E74B41" w:rsidRPr="00CA298C" w:rsidRDefault="00E74B41" w:rsidP="00E74B41">
      <w:pPr>
        <w:spacing w:line="360" w:lineRule="auto"/>
        <w:jc w:val="both"/>
        <w:rPr>
          <w:rFonts w:ascii="Palatino Linotype" w:hAnsi="Palatino Linotype" w:cs="Arial"/>
          <w:color w:val="000000" w:themeColor="text1"/>
        </w:rPr>
      </w:pPr>
    </w:p>
    <w:p w14:paraId="05E2B667" w14:textId="1E849465"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7C417E" w14:textId="77777777" w:rsidR="00E74B41" w:rsidRPr="00CA298C" w:rsidRDefault="00E74B41" w:rsidP="00E74B41">
      <w:pPr>
        <w:spacing w:line="360" w:lineRule="auto"/>
        <w:jc w:val="both"/>
        <w:rPr>
          <w:rFonts w:ascii="Palatino Linotype" w:hAnsi="Palatino Linotype" w:cs="Arial"/>
          <w:color w:val="000000" w:themeColor="text1"/>
        </w:rPr>
      </w:pPr>
    </w:p>
    <w:p w14:paraId="6AE961D4" w14:textId="2BEF898F"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5AE0CE" w14:textId="77777777" w:rsidR="00E74B41" w:rsidRPr="00CA298C" w:rsidRDefault="00E74B41" w:rsidP="00E74B41">
      <w:pPr>
        <w:spacing w:line="360" w:lineRule="auto"/>
        <w:jc w:val="both"/>
        <w:rPr>
          <w:rFonts w:ascii="Palatino Linotype" w:hAnsi="Palatino Linotype" w:cs="Arial"/>
          <w:color w:val="000000" w:themeColor="text1"/>
        </w:rPr>
      </w:pPr>
    </w:p>
    <w:p w14:paraId="376EE9C5" w14:textId="3255AD7B"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0B077A" w14:textId="77777777" w:rsidR="00E74B41" w:rsidRPr="00CA298C" w:rsidRDefault="00E74B41" w:rsidP="00E74B41">
      <w:pPr>
        <w:spacing w:line="360" w:lineRule="auto"/>
        <w:jc w:val="both"/>
        <w:rPr>
          <w:rFonts w:ascii="Palatino Linotype" w:hAnsi="Palatino Linotype" w:cs="Arial"/>
          <w:color w:val="000000" w:themeColor="text1"/>
        </w:rPr>
      </w:pPr>
    </w:p>
    <w:p w14:paraId="032AB628" w14:textId="62918094"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03C669F3" w14:textId="69A15C07" w:rsidR="00E74B41" w:rsidRPr="00CA298C"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lastRenderedPageBreak/>
        <w:t>Complejidad del asunto: La complejidad de la prueba, la pluralidad de sujetos procesales, el tiempo transcurrido, las características y contexto del recurso.</w:t>
      </w:r>
    </w:p>
    <w:p w14:paraId="6DDB54BC" w14:textId="0964DBEB" w:rsidR="00E74B41" w:rsidRPr="00CA298C"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t>Actividad Procesal del interesado: Acciones u omisiones del interesado.</w:t>
      </w:r>
    </w:p>
    <w:p w14:paraId="124E98C0" w14:textId="20CFCAB3" w:rsidR="00E74B41" w:rsidRPr="00CA298C"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t>Conducta de la Autoridad: Las Acciones u omisiones realizadas en el procedimiento. Así como si la autoridad actuó con la debida diligencia.</w:t>
      </w:r>
    </w:p>
    <w:p w14:paraId="6C46B951" w14:textId="737CCCDA" w:rsidR="00E74B41" w:rsidRPr="00CA298C" w:rsidRDefault="00E74B41" w:rsidP="00223FC4">
      <w:pPr>
        <w:pStyle w:val="Prrafodelista"/>
        <w:numPr>
          <w:ilvl w:val="2"/>
          <w:numId w:val="4"/>
        </w:numPr>
        <w:spacing w:line="360" w:lineRule="auto"/>
        <w:ind w:left="0" w:firstLine="0"/>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t>La afectación generada en la situación jurídica de la persona involucrada en el proceso: Violación a sus derechos humanos.</w:t>
      </w:r>
    </w:p>
    <w:p w14:paraId="704041C6" w14:textId="77777777" w:rsidR="00E74B41" w:rsidRPr="00CA298C" w:rsidRDefault="00E74B41" w:rsidP="00E74B41">
      <w:pPr>
        <w:spacing w:line="360" w:lineRule="auto"/>
        <w:jc w:val="both"/>
        <w:rPr>
          <w:rFonts w:ascii="Palatino Linotype" w:hAnsi="Palatino Linotype" w:cs="Arial"/>
          <w:color w:val="000000" w:themeColor="text1"/>
          <w:sz w:val="22"/>
        </w:rPr>
      </w:pPr>
    </w:p>
    <w:p w14:paraId="6C2831C1" w14:textId="177D2854"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099772" w14:textId="77777777" w:rsidR="00E74B41" w:rsidRPr="00CA298C" w:rsidRDefault="00E74B41" w:rsidP="00E74B41">
      <w:pPr>
        <w:spacing w:line="360" w:lineRule="auto"/>
        <w:jc w:val="both"/>
        <w:rPr>
          <w:rFonts w:ascii="Palatino Linotype" w:hAnsi="Palatino Linotype" w:cs="Arial"/>
          <w:color w:val="000000" w:themeColor="text1"/>
        </w:rPr>
      </w:pPr>
    </w:p>
    <w:p w14:paraId="5403E4A0" w14:textId="02D50CDD"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Argumento que encuentra sustento en la jurisprudencia P./J. 32/92 emitida por el Pleno de la Suprema Corte de Justicia de la Nación de rubro </w:t>
      </w:r>
      <w:r w:rsidRPr="00CA298C">
        <w:rPr>
          <w:rFonts w:ascii="Palatino Linotype" w:hAnsi="Palatino Linotype" w:cs="Arial"/>
          <w:b/>
          <w:color w:val="000000" w:themeColor="text1"/>
        </w:rPr>
        <w:t>“TÉRMINOS PROCESALES. PARA DETERMINAR SI UN FUNCIONARIO JUDICIAL ACTUÓ INDEBIDAMENTE POR NO RESPETARLOS SE DEBE ATENDER AL PRESUPUESTO QUE CONSIDERÓ EL LEGISLADOR AL FIJARLOS Y LAS CARACTERÍSTICAS DEL CASO.”,</w:t>
      </w:r>
      <w:r w:rsidRPr="00CA298C">
        <w:rPr>
          <w:rFonts w:ascii="Palatino Linotype" w:hAnsi="Palatino Linotype" w:cs="Arial"/>
          <w:color w:val="000000" w:themeColor="text1"/>
        </w:rPr>
        <w:t xml:space="preserve"> visible en la Gaceta del Seminario Judicial de la Federación con el registro digital 205635.</w:t>
      </w:r>
    </w:p>
    <w:p w14:paraId="3466C3C3" w14:textId="77777777" w:rsidR="00E74B41" w:rsidRPr="00CA298C" w:rsidRDefault="00E74B41" w:rsidP="00E74B41">
      <w:pPr>
        <w:spacing w:line="360" w:lineRule="auto"/>
        <w:jc w:val="both"/>
        <w:rPr>
          <w:rFonts w:ascii="Palatino Linotype" w:hAnsi="Palatino Linotype" w:cs="Arial"/>
          <w:color w:val="000000" w:themeColor="text1"/>
        </w:rPr>
      </w:pPr>
    </w:p>
    <w:p w14:paraId="6570F06C" w14:textId="66F592C5"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Razones por las cuales cabe concluir que, la resolución al recurso de revisión se solventa hasta esta fecha, debido a que existe una excesiva carga de trabajo en </w:t>
      </w:r>
      <w:r w:rsidRPr="00CA298C">
        <w:rPr>
          <w:rFonts w:ascii="Palatino Linotype" w:hAnsi="Palatino Linotype" w:cs="Arial"/>
          <w:color w:val="000000" w:themeColor="text1"/>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C43E3F" w14:textId="77777777" w:rsidR="00E74B41" w:rsidRPr="00CA298C" w:rsidRDefault="00E74B41" w:rsidP="00E74B41">
      <w:pPr>
        <w:spacing w:line="360" w:lineRule="auto"/>
        <w:jc w:val="both"/>
        <w:rPr>
          <w:rFonts w:ascii="Palatino Linotype" w:hAnsi="Palatino Linotype" w:cs="Arial"/>
          <w:color w:val="000000" w:themeColor="text1"/>
        </w:rPr>
      </w:pPr>
    </w:p>
    <w:p w14:paraId="5B94B6A6" w14:textId="1FF8B2A2"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Al respecto, también son de considerar los criterios sostenidos por el Cuarto Tribunal Colegiado en Materia Administrativa del Primer Circuito, cuyos rubros y datos de identificación son los siguientes:</w:t>
      </w:r>
    </w:p>
    <w:p w14:paraId="10D3CEF7" w14:textId="77777777" w:rsidR="00E74B41" w:rsidRPr="00CA298C" w:rsidRDefault="00E74B41" w:rsidP="00E74B41">
      <w:pPr>
        <w:pStyle w:val="Prrafodelista"/>
        <w:spacing w:line="360" w:lineRule="auto"/>
        <w:ind w:left="284"/>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t>“</w:t>
      </w:r>
      <w:r w:rsidRPr="00CA298C">
        <w:rPr>
          <w:rFonts w:ascii="Palatino Linotype" w:hAnsi="Palatino Linotype" w:cs="Arial"/>
          <w:b/>
          <w:color w:val="000000" w:themeColor="text1"/>
          <w:sz w:val="22"/>
        </w:rPr>
        <w:t>PLAZO RAZONABLE PARA RESOLVER. DIMENSIÓN Y EFECTOS DE ESTE CONCEPTO CUANDO SE ADUCE EXCESIVA CARGA DE TRABAJO</w:t>
      </w:r>
      <w:r w:rsidRPr="00CA298C">
        <w:rPr>
          <w:rFonts w:ascii="Palatino Linotype" w:hAnsi="Palatino Linotype" w:cs="Arial"/>
          <w:color w:val="000000" w:themeColor="text1"/>
          <w:sz w:val="22"/>
        </w:rPr>
        <w:t>.” consultable en el Seminario Judicial de la Federación y su gaceta, con el registro digital 2002351.</w:t>
      </w:r>
    </w:p>
    <w:p w14:paraId="28B798BF" w14:textId="77777777" w:rsidR="00E74B41" w:rsidRPr="00CA298C" w:rsidRDefault="00E74B41" w:rsidP="00E74B41">
      <w:pPr>
        <w:pStyle w:val="Prrafodelista"/>
        <w:spacing w:line="360" w:lineRule="auto"/>
        <w:ind w:left="284"/>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t>“</w:t>
      </w:r>
      <w:r w:rsidRPr="00CA298C">
        <w:rPr>
          <w:rFonts w:ascii="Palatino Linotype" w:hAnsi="Palatino Linotype" w:cs="Arial"/>
          <w:b/>
          <w:color w:val="000000" w:themeColor="text1"/>
          <w:sz w:val="22"/>
        </w:rPr>
        <w:t>PLAZO RAZONABLE PARA RESOLVER. CONCEPTO Y ELEMENTOS QUE LO INTEGRAN A LA LUZ DEL DERECHO INTERNACIONAL DE LOS DERECHOS HUMANOS.</w:t>
      </w:r>
      <w:r w:rsidRPr="00CA298C">
        <w:rPr>
          <w:rFonts w:ascii="Palatino Linotype" w:hAnsi="Palatino Linotype" w:cs="Arial"/>
          <w:color w:val="000000" w:themeColor="text1"/>
          <w:sz w:val="22"/>
        </w:rPr>
        <w:t>”, visible en el Seminario Judicial de la Federación y su gaceta, con el registro digital 2002350.</w:t>
      </w:r>
    </w:p>
    <w:p w14:paraId="266BA803" w14:textId="77777777" w:rsidR="00E74B41" w:rsidRPr="00CA298C" w:rsidRDefault="00E74B41" w:rsidP="00E74B41">
      <w:pPr>
        <w:spacing w:line="360" w:lineRule="auto"/>
        <w:jc w:val="both"/>
        <w:rPr>
          <w:rFonts w:ascii="Palatino Linotype" w:hAnsi="Palatino Linotype" w:cs="Arial"/>
          <w:color w:val="000000" w:themeColor="text1"/>
        </w:rPr>
      </w:pPr>
    </w:p>
    <w:p w14:paraId="0B193FA7" w14:textId="662B8FC4"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Por ello, este organismo garante comprometido con la tutela de los derechos humanos </w:t>
      </w:r>
      <w:proofErr w:type="gramStart"/>
      <w:r w:rsidRPr="00CA298C">
        <w:rPr>
          <w:rFonts w:ascii="Palatino Linotype" w:hAnsi="Palatino Linotype" w:cs="Arial"/>
          <w:color w:val="000000" w:themeColor="text1"/>
        </w:rPr>
        <w:t>confiados,</w:t>
      </w:r>
      <w:proofErr w:type="gramEnd"/>
      <w:r w:rsidRPr="00CA298C">
        <w:rPr>
          <w:rFonts w:ascii="Palatino Linotype" w:hAnsi="Palatino Linotype" w:cs="Arial"/>
          <w:color w:val="000000" w:themeColor="text1"/>
        </w:rPr>
        <w:t xml:space="preserve"> señala que este exceso del plazo legal para resolver el presente asunto, resulta de carácter excepcional.</w:t>
      </w:r>
    </w:p>
    <w:p w14:paraId="62C2D1BB" w14:textId="77777777" w:rsidR="00E74B41" w:rsidRPr="00CA298C" w:rsidRDefault="00E74B41" w:rsidP="00E74B41">
      <w:pPr>
        <w:pStyle w:val="Prrafodelista"/>
        <w:spacing w:line="360" w:lineRule="auto"/>
        <w:ind w:left="0"/>
        <w:jc w:val="both"/>
        <w:rPr>
          <w:rFonts w:ascii="Palatino Linotype" w:hAnsi="Palatino Linotype" w:cs="Arial"/>
          <w:color w:val="000000" w:themeColor="text1"/>
        </w:rPr>
      </w:pPr>
    </w:p>
    <w:p w14:paraId="057F73EC" w14:textId="77777777" w:rsidR="00A46B50" w:rsidRPr="00CA298C" w:rsidRDefault="00A46B50" w:rsidP="00E74B41">
      <w:pPr>
        <w:pStyle w:val="Prrafodelista"/>
        <w:spacing w:line="360" w:lineRule="auto"/>
        <w:ind w:left="0"/>
        <w:jc w:val="both"/>
        <w:rPr>
          <w:rFonts w:ascii="Palatino Linotype" w:hAnsi="Palatino Linotype" w:cs="Arial"/>
          <w:color w:val="000000" w:themeColor="text1"/>
        </w:rPr>
      </w:pPr>
    </w:p>
    <w:p w14:paraId="62ABA4DC" w14:textId="76CAF26A" w:rsidR="00E74B41" w:rsidRPr="00CA298C" w:rsidRDefault="00E74B41" w:rsidP="00E74B41">
      <w:pPr>
        <w:pStyle w:val="Prrafodelista"/>
        <w:spacing w:line="360" w:lineRule="auto"/>
        <w:ind w:left="0"/>
        <w:jc w:val="center"/>
        <w:rPr>
          <w:rFonts w:ascii="Palatino Linotype" w:hAnsi="Palatino Linotype" w:cs="Arial"/>
          <w:b/>
          <w:color w:val="000000" w:themeColor="text1"/>
        </w:rPr>
      </w:pPr>
      <w:r w:rsidRPr="00CA298C">
        <w:rPr>
          <w:rFonts w:ascii="Palatino Linotype" w:hAnsi="Palatino Linotype" w:cs="Arial"/>
          <w:b/>
          <w:color w:val="000000" w:themeColor="text1"/>
        </w:rPr>
        <w:lastRenderedPageBreak/>
        <w:t>CONSIDERANDO</w:t>
      </w:r>
    </w:p>
    <w:p w14:paraId="6DE078CA" w14:textId="77777777" w:rsidR="00E74B41" w:rsidRPr="00CA298C" w:rsidRDefault="00E74B41" w:rsidP="00E74B41">
      <w:pPr>
        <w:spacing w:line="360" w:lineRule="auto"/>
        <w:jc w:val="both"/>
        <w:rPr>
          <w:rFonts w:ascii="Palatino Linotype" w:hAnsi="Palatino Linotype" w:cs="Arial"/>
          <w:color w:val="000000" w:themeColor="text1"/>
        </w:rPr>
      </w:pPr>
    </w:p>
    <w:p w14:paraId="5786DAA9" w14:textId="77777777" w:rsidR="00E74B41" w:rsidRPr="00CA298C" w:rsidRDefault="00E74B41" w:rsidP="00E74B41">
      <w:pPr>
        <w:pStyle w:val="Prrafodelista"/>
        <w:spacing w:line="360" w:lineRule="auto"/>
        <w:ind w:left="0"/>
        <w:jc w:val="both"/>
        <w:rPr>
          <w:rFonts w:ascii="Palatino Linotype" w:hAnsi="Palatino Linotype" w:cs="Arial"/>
          <w:b/>
          <w:color w:val="000000" w:themeColor="text1"/>
        </w:rPr>
      </w:pPr>
      <w:r w:rsidRPr="00CA298C">
        <w:rPr>
          <w:rFonts w:ascii="Palatino Linotype" w:hAnsi="Palatino Linotype" w:cs="Arial"/>
          <w:b/>
          <w:color w:val="000000" w:themeColor="text1"/>
        </w:rPr>
        <w:t>PRIMERO. De la competencia</w:t>
      </w:r>
    </w:p>
    <w:p w14:paraId="34A001D0" w14:textId="54E30342" w:rsidR="00D96217" w:rsidRPr="00CA298C" w:rsidRDefault="00D96217"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w:t>
      </w:r>
      <w:r w:rsidR="0040755B" w:rsidRPr="00CA298C">
        <w:rPr>
          <w:rFonts w:ascii="Palatino Linotype" w:hAnsi="Palatino Linotype" w:cs="Arial"/>
          <w:color w:val="000000" w:themeColor="text1"/>
        </w:rPr>
        <w:t xml:space="preserve"> trigésimo tercero y trigésimo cuarto,</w:t>
      </w:r>
      <w:r w:rsidRPr="00CA298C">
        <w:rPr>
          <w:rFonts w:ascii="Palatino Linotype" w:hAnsi="Palatino Linotype" w:cs="Arial"/>
          <w:color w:val="000000" w:themeColor="text1"/>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D647FE2" w14:textId="77777777" w:rsidR="00FD192A" w:rsidRPr="00CA298C" w:rsidRDefault="00FD192A" w:rsidP="00FD192A">
      <w:pPr>
        <w:pStyle w:val="Prrafodelista"/>
        <w:spacing w:line="360" w:lineRule="auto"/>
        <w:ind w:left="0"/>
        <w:jc w:val="both"/>
        <w:rPr>
          <w:rFonts w:ascii="Palatino Linotype" w:hAnsi="Palatino Linotype" w:cs="Arial"/>
          <w:color w:val="000000" w:themeColor="text1"/>
        </w:rPr>
      </w:pPr>
    </w:p>
    <w:p w14:paraId="79726B51" w14:textId="77777777" w:rsidR="00D96217" w:rsidRPr="00CA298C" w:rsidRDefault="00D96217" w:rsidP="00D96217">
      <w:pPr>
        <w:pStyle w:val="Prrafodelista"/>
        <w:spacing w:line="360" w:lineRule="auto"/>
        <w:ind w:left="0"/>
        <w:jc w:val="both"/>
        <w:rPr>
          <w:rFonts w:ascii="Palatino Linotype" w:hAnsi="Palatino Linotype" w:cs="Arial"/>
          <w:color w:val="000000" w:themeColor="text1"/>
        </w:rPr>
      </w:pPr>
    </w:p>
    <w:p w14:paraId="148023EA" w14:textId="77777777" w:rsidR="00E74B41" w:rsidRPr="00CA298C" w:rsidRDefault="00E74B41" w:rsidP="00E74B41">
      <w:pPr>
        <w:pStyle w:val="Prrafodelista"/>
        <w:spacing w:line="360" w:lineRule="auto"/>
        <w:ind w:left="0"/>
        <w:rPr>
          <w:rFonts w:ascii="Palatino Linotype" w:hAnsi="Palatino Linotype" w:cs="Arial"/>
          <w:b/>
          <w:color w:val="000000" w:themeColor="text1"/>
        </w:rPr>
      </w:pPr>
      <w:r w:rsidRPr="00CA298C">
        <w:rPr>
          <w:rFonts w:ascii="Palatino Linotype" w:hAnsi="Palatino Linotype" w:cs="Arial"/>
          <w:b/>
          <w:color w:val="000000" w:themeColor="text1"/>
        </w:rPr>
        <w:t>SEGUNDO. De la oportunidad y procedencia.</w:t>
      </w:r>
    </w:p>
    <w:p w14:paraId="446CBCF1" w14:textId="77777777" w:rsidR="0042228D" w:rsidRPr="00CA298C" w:rsidRDefault="0042228D" w:rsidP="0042228D">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CA298C">
        <w:rPr>
          <w:rFonts w:ascii="Palatino Linotype" w:eastAsia="Calibri" w:hAnsi="Palatino Linotype" w:cs="Arial"/>
          <w:b/>
          <w:lang w:val="es-ES"/>
        </w:rPr>
        <w:t>SUJETO OBLIGADO</w:t>
      </w:r>
      <w:r w:rsidRPr="00CA298C">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3844726" w14:textId="77777777" w:rsidR="0042228D" w:rsidRPr="00CA298C" w:rsidRDefault="0042228D" w:rsidP="0042228D">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eastAsia="Calibri" w:hAnsi="Palatino Linotype" w:cs="Arial"/>
          <w:lang w:val="es-ES"/>
        </w:rPr>
        <w:lastRenderedPageBreak/>
        <w:t xml:space="preserve">Por ende, se constituye la figura jurídica de la </w:t>
      </w:r>
      <w:r w:rsidRPr="00CA298C">
        <w:rPr>
          <w:rFonts w:ascii="Palatino Linotype" w:eastAsia="Calibri" w:hAnsi="Palatino Linotype" w:cs="Arial"/>
          <w:i/>
          <w:lang w:val="es-ES"/>
        </w:rPr>
        <w:t>negativa ficta</w:t>
      </w:r>
      <w:r w:rsidRPr="00CA298C">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CA298C">
        <w:rPr>
          <w:rFonts w:ascii="Palatino Linotype" w:eastAsia="Calibri" w:hAnsi="Palatino Linotype" w:cs="Arial"/>
          <w:b/>
          <w:lang w:val="es-ES"/>
        </w:rPr>
        <w:t>178</w:t>
      </w:r>
      <w:r w:rsidRPr="00CA298C">
        <w:rPr>
          <w:rFonts w:ascii="Palatino Linotype" w:eastAsia="Calibri" w:hAnsi="Palatino Linotype" w:cs="Arial"/>
          <w:lang w:val="es-ES"/>
        </w:rPr>
        <w:t xml:space="preserve"> segundo párrafo de </w:t>
      </w:r>
      <w:r w:rsidRPr="00CA298C">
        <w:rPr>
          <w:rFonts w:ascii="Palatino Linotype" w:eastAsia="Calibri" w:hAnsi="Palatino Linotype" w:cs="Arial"/>
          <w:b/>
          <w:lang w:val="es-ES"/>
        </w:rPr>
        <w:t>Ley de Transparencia y Acceso a la Información Pública del Estado de México y Municipios</w:t>
      </w:r>
      <w:r w:rsidRPr="00CA298C">
        <w:rPr>
          <w:rFonts w:ascii="Palatino Linotype" w:eastAsia="Calibri" w:hAnsi="Palatino Linotype"/>
          <w:color w:val="000000"/>
          <w:shd w:val="clear" w:color="auto" w:fill="FFFFFF"/>
        </w:rPr>
        <w:t xml:space="preserve">, que dispone; ante la falta de respuesta del </w:t>
      </w:r>
      <w:r w:rsidRPr="00CA298C">
        <w:rPr>
          <w:rFonts w:ascii="Palatino Linotype" w:eastAsia="Calibri" w:hAnsi="Palatino Linotype"/>
          <w:b/>
          <w:color w:val="000000"/>
          <w:shd w:val="clear" w:color="auto" w:fill="FFFFFF"/>
        </w:rPr>
        <w:t>SUJETO OBLIGADO,</w:t>
      </w:r>
      <w:r w:rsidRPr="00CA298C">
        <w:rPr>
          <w:rFonts w:ascii="Palatino Linotype" w:eastAsia="Calibri" w:hAnsi="Palatino Linotype"/>
          <w:color w:val="000000"/>
          <w:shd w:val="clear" w:color="auto" w:fill="FFFFFF"/>
        </w:rPr>
        <w:t xml:space="preserve"> dentro de los plazos establecidos en esta Ley, a una solicitud de acceso a la información pública, el recurso </w:t>
      </w:r>
      <w:r w:rsidRPr="00CA298C">
        <w:rPr>
          <w:rFonts w:ascii="Palatino Linotype" w:eastAsia="Calibri" w:hAnsi="Palatino Linotype"/>
          <w:b/>
          <w:color w:val="000000"/>
          <w:shd w:val="clear" w:color="auto" w:fill="FFFFFF"/>
        </w:rPr>
        <w:t xml:space="preserve">podrá ser interpuesto en cualquier momento. </w:t>
      </w:r>
    </w:p>
    <w:p w14:paraId="326F5048" w14:textId="77777777" w:rsidR="0042228D" w:rsidRPr="00CA298C" w:rsidRDefault="0042228D" w:rsidP="0042228D">
      <w:pPr>
        <w:pStyle w:val="Prrafodelista"/>
        <w:rPr>
          <w:rFonts w:ascii="Palatino Linotype" w:eastAsia="Calibri" w:hAnsi="Palatino Linotype" w:cs="Arial"/>
          <w:lang w:val="es-ES"/>
        </w:rPr>
      </w:pPr>
    </w:p>
    <w:p w14:paraId="47816506" w14:textId="24AA403E" w:rsidR="0042228D" w:rsidRPr="00CA298C" w:rsidRDefault="0042228D" w:rsidP="0042228D">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eastAsia="Calibri" w:hAnsi="Palatino Linotype" w:cs="Arial"/>
          <w:lang w:val="es-ES"/>
        </w:rPr>
        <w:t xml:space="preserve">Por lo que, tratándose de la </w:t>
      </w:r>
      <w:r w:rsidRPr="00CA298C">
        <w:rPr>
          <w:rFonts w:ascii="Palatino Linotype" w:eastAsia="Calibri" w:hAnsi="Palatino Linotype" w:cs="Arial"/>
          <w:i/>
          <w:lang w:val="es-ES"/>
        </w:rPr>
        <w:t>negativa ficta</w:t>
      </w:r>
      <w:r w:rsidRPr="00CA298C">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A298C">
        <w:rPr>
          <w:rFonts w:ascii="Palatino Linotype" w:eastAsia="Calibri" w:hAnsi="Palatino Linotype" w:cs="Arial"/>
          <w:i/>
          <w:lang w:val="es-ES"/>
        </w:rPr>
        <w:t>negativa ficta</w:t>
      </w:r>
      <w:r w:rsidRPr="00CA298C">
        <w:rPr>
          <w:rFonts w:ascii="Palatino Linotype" w:eastAsia="Calibri" w:hAnsi="Palatino Linotype" w:cs="Arial"/>
          <w:lang w:val="es-ES"/>
        </w:rPr>
        <w:t>, que señala:</w:t>
      </w:r>
    </w:p>
    <w:p w14:paraId="4A0D66AE" w14:textId="77777777" w:rsidR="0042228D" w:rsidRPr="00CA298C" w:rsidRDefault="0042228D" w:rsidP="0042228D">
      <w:pPr>
        <w:tabs>
          <w:tab w:val="left" w:pos="284"/>
          <w:tab w:val="left" w:pos="7655"/>
        </w:tabs>
        <w:spacing w:before="240" w:after="240" w:line="360" w:lineRule="auto"/>
        <w:ind w:left="567" w:right="822"/>
        <w:jc w:val="center"/>
        <w:rPr>
          <w:rFonts w:ascii="Palatino Linotype" w:eastAsia="Calibri" w:hAnsi="Palatino Linotype" w:cs="Arial"/>
          <w:b/>
          <w:sz w:val="22"/>
          <w:lang w:val="es-ES"/>
        </w:rPr>
      </w:pPr>
      <w:r w:rsidRPr="00CA298C">
        <w:rPr>
          <w:rFonts w:ascii="Palatino Linotype" w:eastAsia="Calibri" w:hAnsi="Palatino Linotype" w:cs="Arial"/>
          <w:b/>
          <w:sz w:val="22"/>
          <w:lang w:val="es-ES"/>
        </w:rPr>
        <w:t>Criterio 0001-15</w:t>
      </w:r>
    </w:p>
    <w:p w14:paraId="7F28F055" w14:textId="77777777" w:rsidR="0042228D" w:rsidRPr="00CA298C" w:rsidRDefault="0042228D" w:rsidP="0042228D">
      <w:pPr>
        <w:tabs>
          <w:tab w:val="left" w:pos="284"/>
          <w:tab w:val="left" w:pos="7655"/>
        </w:tabs>
        <w:spacing w:before="240" w:after="240" w:line="360" w:lineRule="auto"/>
        <w:ind w:left="567" w:right="822"/>
        <w:jc w:val="both"/>
        <w:rPr>
          <w:rFonts w:ascii="Palatino Linotype" w:eastAsia="Calibri" w:hAnsi="Palatino Linotype" w:cs="Arial"/>
          <w:i/>
          <w:sz w:val="22"/>
          <w:lang w:val="es-ES"/>
        </w:rPr>
      </w:pPr>
      <w:r w:rsidRPr="00CA298C">
        <w:rPr>
          <w:rFonts w:ascii="Palatino Linotype" w:eastAsia="Calibri" w:hAnsi="Palatino Linotype" w:cs="Arial"/>
          <w:b/>
          <w:i/>
          <w:sz w:val="22"/>
          <w:lang w:val="es-ES"/>
        </w:rPr>
        <w:t>NEGATIVA FICTA. PLAZO PARA INTERPONER EL RECURSO DE REVISIÓN TRATÁNDOSE DE.</w:t>
      </w:r>
      <w:r w:rsidRPr="00CA298C">
        <w:rPr>
          <w:rFonts w:ascii="Palatino Linotype" w:eastAsia="Calibri" w:hAnsi="Palatino Linotype" w:cs="Arial"/>
          <w:i/>
          <w:sz w:val="22"/>
          <w:lang w:val="es-ES"/>
        </w:rPr>
        <w:t xml:space="preserve"> El artículo 48, párrafo tercero de la Ley de Transparencia y Acceso a la Información Pública del Estado de México y Municipios establece que, cuando no se entregue la respuesta a la solicitud dentro del plazo de 15 </w:t>
      </w:r>
      <w:r w:rsidRPr="00CA298C">
        <w:rPr>
          <w:rFonts w:ascii="Palatino Linotype" w:eastAsia="Calibri" w:hAnsi="Palatino Linotype" w:cs="Arial"/>
          <w:i/>
          <w:sz w:val="22"/>
          <w:lang w:val="es-ES"/>
        </w:rPr>
        <w:lastRenderedPageBreak/>
        <w:t>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58ED571" w14:textId="77777777" w:rsidR="00A46B50" w:rsidRPr="00CA298C" w:rsidRDefault="00A46B50" w:rsidP="0042228D">
      <w:pPr>
        <w:tabs>
          <w:tab w:val="left" w:pos="284"/>
          <w:tab w:val="left" w:pos="7655"/>
        </w:tabs>
        <w:spacing w:before="240" w:after="240" w:line="360" w:lineRule="auto"/>
        <w:ind w:left="567" w:right="822"/>
        <w:jc w:val="both"/>
        <w:rPr>
          <w:rFonts w:ascii="Palatino Linotype" w:eastAsia="Calibri" w:hAnsi="Palatino Linotype" w:cs="Arial"/>
          <w:i/>
          <w:sz w:val="22"/>
          <w:lang w:val="es-ES"/>
        </w:rPr>
      </w:pPr>
    </w:p>
    <w:p w14:paraId="6098E5E3" w14:textId="5456A61B" w:rsidR="0042228D" w:rsidRPr="00CA298C" w:rsidRDefault="0042228D" w:rsidP="0042228D">
      <w:pPr>
        <w:pStyle w:val="Prrafodelista"/>
        <w:numPr>
          <w:ilvl w:val="0"/>
          <w:numId w:val="4"/>
        </w:numPr>
        <w:tabs>
          <w:tab w:val="left" w:pos="284"/>
        </w:tabs>
        <w:spacing w:before="240" w:after="240" w:line="360" w:lineRule="auto"/>
        <w:ind w:left="0" w:firstLine="0"/>
        <w:jc w:val="both"/>
        <w:rPr>
          <w:rFonts w:ascii="Palatino Linotype" w:hAnsi="Palatino Linotype" w:cs="Arial"/>
          <w:color w:val="000000" w:themeColor="text1"/>
          <w:lang w:val="es-ES"/>
        </w:rPr>
      </w:pPr>
      <w:r w:rsidRPr="00CA298C">
        <w:rPr>
          <w:rFonts w:ascii="Palatino Linotype" w:hAnsi="Palatino Linotype" w:cs="Arial"/>
          <w:color w:val="000000" w:themeColor="text1"/>
          <w:lang w:val="es-ES"/>
        </w:rPr>
        <w:t xml:space="preserve">Lo anterior, se explica porque la </w:t>
      </w:r>
      <w:r w:rsidRPr="00CA298C">
        <w:rPr>
          <w:rFonts w:ascii="Palatino Linotype" w:hAnsi="Palatino Linotype" w:cs="Arial"/>
          <w:b/>
          <w:color w:val="000000" w:themeColor="text1"/>
          <w:u w:val="single"/>
          <w:lang w:val="es-ES"/>
        </w:rPr>
        <w:t>posible ausencia</w:t>
      </w:r>
      <w:r w:rsidRPr="00CA298C">
        <w:rPr>
          <w:rFonts w:ascii="Palatino Linotype" w:hAnsi="Palatino Linotype" w:cs="Arial"/>
          <w:color w:val="000000" w:themeColor="text1"/>
          <w:lang w:val="es-ES"/>
        </w:rPr>
        <w:t xml:space="preserve"> de una respuesta en la solicitud constituye un acto que vulnera el derecho de manera continua y actualizable cada día en tanto, no se emita la respuesta a la que esté impuesto el </w:t>
      </w:r>
      <w:r w:rsidRPr="00CA298C">
        <w:rPr>
          <w:rFonts w:ascii="Palatino Linotype" w:hAnsi="Palatino Linotype" w:cs="Arial"/>
          <w:b/>
          <w:color w:val="000000" w:themeColor="text1"/>
          <w:lang w:val="es-ES"/>
        </w:rPr>
        <w:t>SUJETO OBLIGADO</w:t>
      </w:r>
      <w:r w:rsidRPr="00CA298C">
        <w:rPr>
          <w:rFonts w:ascii="Palatino Linotype" w:hAnsi="Palatino Linotype" w:cs="Arial"/>
          <w:color w:val="000000" w:themeColor="text1"/>
          <w:lang w:val="es-ES"/>
        </w:rPr>
        <w:t>.</w:t>
      </w:r>
    </w:p>
    <w:p w14:paraId="64B81CCA" w14:textId="77777777" w:rsidR="0042228D" w:rsidRPr="00CA298C" w:rsidRDefault="0042228D" w:rsidP="0042228D">
      <w:pPr>
        <w:tabs>
          <w:tab w:val="left" w:pos="284"/>
        </w:tabs>
        <w:contextualSpacing/>
        <w:rPr>
          <w:rFonts w:ascii="Palatino Linotype" w:hAnsi="Palatino Linotype" w:cs="Arial"/>
          <w:color w:val="000000" w:themeColor="text1"/>
          <w:lang w:val="es-ES"/>
        </w:rPr>
      </w:pPr>
    </w:p>
    <w:p w14:paraId="06355DBC" w14:textId="77777777" w:rsidR="0042228D" w:rsidRPr="00CA298C" w:rsidRDefault="0042228D" w:rsidP="0042228D">
      <w:pPr>
        <w:numPr>
          <w:ilvl w:val="0"/>
          <w:numId w:val="4"/>
        </w:numPr>
        <w:tabs>
          <w:tab w:val="left" w:pos="284"/>
        </w:tabs>
        <w:spacing w:before="240" w:after="240" w:line="360" w:lineRule="auto"/>
        <w:ind w:left="0" w:right="49" w:firstLine="0"/>
        <w:contextualSpacing/>
        <w:jc w:val="both"/>
        <w:rPr>
          <w:rFonts w:ascii="Palatino Linotype" w:eastAsiaTheme="minorEastAsia" w:hAnsi="Palatino Linotype" w:cs="Arial"/>
          <w:b/>
          <w:lang w:val="es-ES_tradnl"/>
        </w:rPr>
      </w:pPr>
      <w:r w:rsidRPr="00CA298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6B8DF52" w14:textId="77777777" w:rsidR="00A46B50" w:rsidRPr="00CA298C" w:rsidRDefault="00A46B50" w:rsidP="00A46B50">
      <w:pPr>
        <w:pStyle w:val="Prrafodelista"/>
        <w:rPr>
          <w:rFonts w:ascii="Palatino Linotype" w:eastAsiaTheme="minorEastAsia" w:hAnsi="Palatino Linotype" w:cs="Arial"/>
          <w:b/>
          <w:lang w:val="es-ES_tradnl"/>
        </w:rPr>
      </w:pPr>
    </w:p>
    <w:p w14:paraId="539F0613" w14:textId="77777777" w:rsidR="00A46B50" w:rsidRPr="00CA298C" w:rsidRDefault="00A46B50" w:rsidP="00A46B50">
      <w:pPr>
        <w:tabs>
          <w:tab w:val="left" w:pos="284"/>
        </w:tabs>
        <w:spacing w:before="240" w:after="240" w:line="360" w:lineRule="auto"/>
        <w:ind w:right="49"/>
        <w:contextualSpacing/>
        <w:jc w:val="both"/>
        <w:rPr>
          <w:rFonts w:ascii="Palatino Linotype" w:eastAsiaTheme="minorEastAsia" w:hAnsi="Palatino Linotype" w:cs="Arial"/>
          <w:b/>
          <w:lang w:val="es-ES_tradnl"/>
        </w:rPr>
      </w:pPr>
    </w:p>
    <w:p w14:paraId="153FFB73" w14:textId="77777777" w:rsidR="00E74B41" w:rsidRPr="00CA298C" w:rsidRDefault="00E74B41" w:rsidP="00E74B41">
      <w:pPr>
        <w:pStyle w:val="Prrafodelista"/>
        <w:spacing w:line="360" w:lineRule="auto"/>
        <w:ind w:left="0"/>
        <w:jc w:val="both"/>
        <w:rPr>
          <w:rFonts w:ascii="Palatino Linotype" w:hAnsi="Palatino Linotype" w:cs="Arial"/>
          <w:b/>
          <w:color w:val="000000" w:themeColor="text1"/>
        </w:rPr>
      </w:pPr>
      <w:r w:rsidRPr="00CA298C">
        <w:rPr>
          <w:rFonts w:ascii="Palatino Linotype" w:hAnsi="Palatino Linotype" w:cs="Arial"/>
          <w:b/>
          <w:color w:val="000000" w:themeColor="text1"/>
        </w:rPr>
        <w:lastRenderedPageBreak/>
        <w:t xml:space="preserve">TERCERO. Planteamiento de la Litis </w:t>
      </w:r>
    </w:p>
    <w:p w14:paraId="5D9C490D" w14:textId="77777777" w:rsidR="00452EEE"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El recurrente solicitó la siguiente información</w:t>
      </w:r>
      <w:r w:rsidR="00452EEE" w:rsidRPr="00CA298C">
        <w:rPr>
          <w:rFonts w:ascii="Palatino Linotype" w:hAnsi="Palatino Linotype" w:cs="Arial"/>
          <w:color w:val="000000" w:themeColor="text1"/>
        </w:rPr>
        <w:t>:</w:t>
      </w:r>
    </w:p>
    <w:p w14:paraId="5ABD01B3" w14:textId="138AEA8A" w:rsidR="00452EEE" w:rsidRPr="00CA298C" w:rsidRDefault="0042228D" w:rsidP="00452EEE">
      <w:pPr>
        <w:pStyle w:val="Prrafodelista"/>
        <w:numPr>
          <w:ilvl w:val="0"/>
          <w:numId w:val="16"/>
        </w:numPr>
        <w:spacing w:line="360" w:lineRule="auto"/>
        <w:jc w:val="both"/>
        <w:rPr>
          <w:rFonts w:ascii="Palatino Linotype" w:hAnsi="Palatino Linotype"/>
          <w:sz w:val="22"/>
        </w:rPr>
      </w:pPr>
      <w:r w:rsidRPr="00CA298C">
        <w:rPr>
          <w:rFonts w:ascii="Palatino Linotype" w:hAnsi="Palatino Linotype"/>
          <w:sz w:val="22"/>
        </w:rPr>
        <w:t>Avisos de privacidad y documento de seguridad de las bases de datos.</w:t>
      </w:r>
    </w:p>
    <w:p w14:paraId="52765516" w14:textId="77777777" w:rsidR="00452EEE" w:rsidRPr="00CA298C" w:rsidRDefault="00452EEE" w:rsidP="00452EEE">
      <w:pPr>
        <w:pStyle w:val="Prrafodelista"/>
        <w:spacing w:line="360" w:lineRule="auto"/>
        <w:ind w:left="0"/>
        <w:jc w:val="both"/>
        <w:rPr>
          <w:rFonts w:ascii="Palatino Linotype" w:hAnsi="Palatino Linotype"/>
        </w:rPr>
      </w:pPr>
    </w:p>
    <w:p w14:paraId="529E3375" w14:textId="286CA6C8" w:rsidR="00E74B41" w:rsidRPr="00CA298C" w:rsidRDefault="00452EEE"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El Sujeto Obligado </w:t>
      </w:r>
      <w:r w:rsidR="0042228D" w:rsidRPr="00CA298C">
        <w:rPr>
          <w:rFonts w:ascii="Palatino Linotype" w:hAnsi="Palatino Linotype" w:cs="Arial"/>
          <w:color w:val="000000" w:themeColor="text1"/>
        </w:rPr>
        <w:t>no dio respuesta a las solicitudes de acceso a la información pública.</w:t>
      </w:r>
    </w:p>
    <w:p w14:paraId="367388CD" w14:textId="77777777" w:rsidR="002610D1" w:rsidRPr="00CA298C" w:rsidRDefault="002610D1" w:rsidP="002610D1">
      <w:pPr>
        <w:pStyle w:val="Prrafodelista"/>
        <w:spacing w:line="360" w:lineRule="auto"/>
        <w:ind w:left="0"/>
        <w:jc w:val="both"/>
        <w:rPr>
          <w:rFonts w:ascii="Palatino Linotype" w:hAnsi="Palatino Linotype" w:cs="Arial"/>
          <w:color w:val="000000" w:themeColor="text1"/>
        </w:rPr>
      </w:pPr>
    </w:p>
    <w:p w14:paraId="7012E0F9" w14:textId="1F07A43B" w:rsidR="00E74B41" w:rsidRPr="00CA298C" w:rsidRDefault="00E74B41" w:rsidP="00644E0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El Recurrente se inconformó por</w:t>
      </w:r>
      <w:r w:rsidR="00FD192A" w:rsidRPr="00CA298C">
        <w:rPr>
          <w:rFonts w:ascii="Palatino Linotype" w:hAnsi="Palatino Linotype" w:cs="Arial"/>
          <w:color w:val="000000" w:themeColor="text1"/>
        </w:rPr>
        <w:t xml:space="preserve"> la</w:t>
      </w:r>
      <w:r w:rsidR="0042228D" w:rsidRPr="00CA298C">
        <w:rPr>
          <w:rFonts w:ascii="Palatino Linotype" w:hAnsi="Palatino Linotype" w:cs="Arial"/>
          <w:color w:val="000000" w:themeColor="text1"/>
        </w:rPr>
        <w:t xml:space="preserve"> falta de respuesta</w:t>
      </w:r>
    </w:p>
    <w:p w14:paraId="39AC0C7C" w14:textId="77777777" w:rsidR="00452EEE" w:rsidRPr="00CA298C" w:rsidRDefault="00452EEE" w:rsidP="00452EEE">
      <w:pPr>
        <w:pStyle w:val="Prrafodelista"/>
        <w:rPr>
          <w:rFonts w:ascii="Palatino Linotype" w:hAnsi="Palatino Linotype" w:cs="Arial"/>
          <w:color w:val="000000" w:themeColor="text1"/>
        </w:rPr>
      </w:pPr>
    </w:p>
    <w:p w14:paraId="1F4DAC17" w14:textId="4591A814"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Por lo tanto, el presente recurso de revisión se circunscribe en determinar si se actualiza las causales de procedencia contenidas en el artículo 179 fracci</w:t>
      </w:r>
      <w:r w:rsidR="00FD192A" w:rsidRPr="00CA298C">
        <w:rPr>
          <w:rFonts w:ascii="Palatino Linotype" w:hAnsi="Palatino Linotype" w:cs="Arial"/>
          <w:color w:val="000000" w:themeColor="text1"/>
        </w:rPr>
        <w:t>ón</w:t>
      </w:r>
      <w:r w:rsidRPr="00CA298C">
        <w:rPr>
          <w:rFonts w:ascii="Palatino Linotype" w:hAnsi="Palatino Linotype" w:cs="Arial"/>
          <w:color w:val="000000" w:themeColor="text1"/>
        </w:rPr>
        <w:t xml:space="preserve"> </w:t>
      </w:r>
      <w:r w:rsidR="0042228D" w:rsidRPr="00CA298C">
        <w:rPr>
          <w:rFonts w:ascii="Palatino Linotype" w:hAnsi="Palatino Linotype" w:cs="Arial"/>
          <w:color w:val="000000" w:themeColor="text1"/>
        </w:rPr>
        <w:t>VI</w:t>
      </w:r>
      <w:r w:rsidR="006D271A" w:rsidRPr="00CA298C">
        <w:rPr>
          <w:rFonts w:ascii="Palatino Linotype" w:hAnsi="Palatino Linotype" w:cs="Arial"/>
          <w:color w:val="000000" w:themeColor="text1"/>
        </w:rPr>
        <w:t>I</w:t>
      </w:r>
      <w:r w:rsidR="006806DC" w:rsidRPr="00CA298C">
        <w:rPr>
          <w:rFonts w:ascii="Palatino Linotype" w:hAnsi="Palatino Linotype" w:cs="Arial"/>
          <w:color w:val="000000" w:themeColor="text1"/>
        </w:rPr>
        <w:t>,</w:t>
      </w:r>
      <w:r w:rsidR="00F878C9" w:rsidRPr="00CA298C">
        <w:rPr>
          <w:rFonts w:ascii="Palatino Linotype" w:hAnsi="Palatino Linotype" w:cs="Arial"/>
          <w:color w:val="000000" w:themeColor="text1"/>
        </w:rPr>
        <w:t xml:space="preserve"> relativa a la </w:t>
      </w:r>
      <w:r w:rsidR="0042228D" w:rsidRPr="00CA298C">
        <w:rPr>
          <w:rFonts w:ascii="Palatino Linotype" w:hAnsi="Palatino Linotype" w:cs="Arial"/>
          <w:color w:val="000000" w:themeColor="text1"/>
        </w:rPr>
        <w:t>falta de respuesta a las solicitudes de acceso a la información</w:t>
      </w:r>
      <w:r w:rsidRPr="00CA298C">
        <w:rPr>
          <w:rFonts w:ascii="Palatino Linotype" w:hAnsi="Palatino Linotype" w:cs="Arial"/>
          <w:color w:val="000000" w:themeColor="text1"/>
        </w:rPr>
        <w:t>, de la Ley de Transparencia y Acceso a la Información Pública del Estado de México y Municipios.</w:t>
      </w:r>
    </w:p>
    <w:p w14:paraId="0C50660E" w14:textId="77777777" w:rsidR="00E74B41" w:rsidRPr="00CA298C" w:rsidRDefault="00E74B41" w:rsidP="00E74B41">
      <w:pPr>
        <w:pStyle w:val="Prrafodelista"/>
        <w:rPr>
          <w:rFonts w:ascii="Palatino Linotype" w:hAnsi="Palatino Linotype" w:cs="Arial"/>
          <w:color w:val="000000" w:themeColor="text1"/>
        </w:rPr>
      </w:pPr>
    </w:p>
    <w:p w14:paraId="01CFBD1C" w14:textId="77777777" w:rsidR="00E74B41" w:rsidRPr="00CA298C" w:rsidRDefault="00E74B41" w:rsidP="00E74B41">
      <w:pPr>
        <w:pStyle w:val="Prrafodelista"/>
        <w:spacing w:line="360" w:lineRule="auto"/>
        <w:ind w:left="0"/>
        <w:jc w:val="both"/>
        <w:rPr>
          <w:rFonts w:ascii="Palatino Linotype" w:hAnsi="Palatino Linotype" w:cs="Arial"/>
          <w:b/>
          <w:color w:val="000000" w:themeColor="text1"/>
        </w:rPr>
      </w:pPr>
      <w:r w:rsidRPr="00CA298C">
        <w:rPr>
          <w:rFonts w:ascii="Palatino Linotype" w:hAnsi="Palatino Linotype" w:cs="Arial"/>
          <w:b/>
          <w:color w:val="000000" w:themeColor="text1"/>
        </w:rPr>
        <w:t>CUARTO. Estudio y Resolución del asunto.</w:t>
      </w:r>
    </w:p>
    <w:p w14:paraId="3F5E6E51" w14:textId="58F0CC92" w:rsidR="00E74B41" w:rsidRPr="00CA298C" w:rsidRDefault="00E74B41" w:rsidP="00223FC4">
      <w:pPr>
        <w:pStyle w:val="Prrafodelista"/>
        <w:numPr>
          <w:ilvl w:val="3"/>
          <w:numId w:val="4"/>
        </w:numPr>
        <w:spacing w:line="360" w:lineRule="auto"/>
        <w:ind w:left="0" w:firstLine="0"/>
        <w:jc w:val="both"/>
        <w:rPr>
          <w:rFonts w:ascii="Palatino Linotype" w:hAnsi="Palatino Linotype" w:cs="Arial"/>
          <w:b/>
          <w:color w:val="000000" w:themeColor="text1"/>
        </w:rPr>
      </w:pPr>
      <w:r w:rsidRPr="00CA298C">
        <w:rPr>
          <w:rFonts w:ascii="Palatino Linotype" w:hAnsi="Palatino Linotype" w:cs="Arial"/>
          <w:b/>
          <w:color w:val="000000" w:themeColor="text1"/>
        </w:rPr>
        <w:t>De la atención a la solicitud de información.</w:t>
      </w:r>
    </w:p>
    <w:p w14:paraId="24BAED92" w14:textId="3BE9A7C0" w:rsidR="00E74B41" w:rsidRPr="00CA298C" w:rsidRDefault="00016603" w:rsidP="00016603">
      <w:pPr>
        <w:pStyle w:val="Prrafodelista"/>
        <w:spacing w:line="360" w:lineRule="auto"/>
        <w:ind w:left="284"/>
        <w:jc w:val="both"/>
        <w:rPr>
          <w:rFonts w:ascii="Palatino Linotype" w:hAnsi="Palatino Linotype" w:cs="Arial"/>
          <w:b/>
          <w:color w:val="000000" w:themeColor="text1"/>
        </w:rPr>
      </w:pPr>
      <w:r w:rsidRPr="00CA298C">
        <w:rPr>
          <w:rFonts w:ascii="Palatino Linotype" w:hAnsi="Palatino Linotype" w:cs="Arial"/>
          <w:b/>
          <w:color w:val="000000" w:themeColor="text1"/>
        </w:rPr>
        <w:t xml:space="preserve">a) </w:t>
      </w:r>
      <w:r w:rsidR="00E74B41" w:rsidRPr="00CA298C">
        <w:rPr>
          <w:rFonts w:ascii="Palatino Linotype" w:hAnsi="Palatino Linotype" w:cs="Arial"/>
          <w:b/>
          <w:color w:val="000000" w:themeColor="text1"/>
        </w:rPr>
        <w:t>De la fuente obligacional</w:t>
      </w:r>
    </w:p>
    <w:p w14:paraId="490B5193" w14:textId="1EB1E62D"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w:t>
      </w:r>
      <w:r w:rsidRPr="00CA298C">
        <w:rPr>
          <w:rFonts w:ascii="Palatino Linotype" w:hAnsi="Palatino Linotype" w:cs="Arial"/>
          <w:color w:val="000000" w:themeColor="text1"/>
        </w:rPr>
        <w:lastRenderedPageBreak/>
        <w:t xml:space="preserve">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 </w:t>
      </w:r>
    </w:p>
    <w:p w14:paraId="52454C84" w14:textId="77777777" w:rsidR="00E74B41" w:rsidRPr="00CA298C" w:rsidRDefault="00E74B41" w:rsidP="00E74B41">
      <w:pPr>
        <w:spacing w:line="360" w:lineRule="auto"/>
        <w:jc w:val="both"/>
        <w:rPr>
          <w:rFonts w:ascii="Palatino Linotype" w:hAnsi="Palatino Linotype" w:cs="Arial"/>
          <w:color w:val="000000" w:themeColor="text1"/>
        </w:rPr>
      </w:pPr>
    </w:p>
    <w:p w14:paraId="4795552B" w14:textId="7E40DEF5"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Definiendo el Derecho de Acceso a la Información Pública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46F13E11" w14:textId="77777777" w:rsidR="00E74B41" w:rsidRPr="00CA298C" w:rsidRDefault="00E74B41" w:rsidP="00E74B41">
      <w:pPr>
        <w:spacing w:line="360" w:lineRule="auto"/>
        <w:jc w:val="both"/>
        <w:rPr>
          <w:rFonts w:ascii="Palatino Linotype" w:hAnsi="Palatino Linotype" w:cs="Arial"/>
          <w:color w:val="000000" w:themeColor="text1"/>
        </w:rPr>
      </w:pPr>
    </w:p>
    <w:p w14:paraId="2FE6FE26" w14:textId="5266ABB1"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BB0C7D4" w14:textId="004EEAA8" w:rsidR="00E74B41" w:rsidRPr="00CA298C" w:rsidRDefault="00E74B41" w:rsidP="00E74B41">
      <w:pPr>
        <w:spacing w:line="360" w:lineRule="auto"/>
        <w:jc w:val="both"/>
        <w:rPr>
          <w:rFonts w:ascii="Palatino Linotype" w:hAnsi="Palatino Linotype" w:cs="Arial"/>
          <w:color w:val="000000" w:themeColor="text1"/>
        </w:rPr>
      </w:pPr>
    </w:p>
    <w:p w14:paraId="57EEE98E" w14:textId="66EA754B"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lastRenderedPageBreak/>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CA298C">
        <w:rPr>
          <w:rFonts w:ascii="Palatino Linotype" w:hAnsi="Palatino Linotype" w:cs="Arial"/>
          <w:color w:val="000000" w:themeColor="text1"/>
        </w:rPr>
        <w:t>que</w:t>
      </w:r>
      <w:proofErr w:type="gramEnd"/>
      <w:r w:rsidRPr="00CA298C">
        <w:rPr>
          <w:rFonts w:ascii="Palatino Linotype" w:hAnsi="Palatino Linotype" w:cs="Arial"/>
          <w:color w:val="000000" w:themeColor="text1"/>
        </w:rPr>
        <w:t xml:space="preserve"> además, establece que se regirá por los principios de simplicidad, rapidez gratuidad del procedimiento, auxilio y orientación a los particulares, contemplando el derecho de las personas con discapacidad y hablantes de lengua indígena. </w:t>
      </w:r>
    </w:p>
    <w:p w14:paraId="0382C8C0" w14:textId="77777777" w:rsidR="00E74B41" w:rsidRPr="00CA298C" w:rsidRDefault="00E74B41" w:rsidP="00E74B41">
      <w:pPr>
        <w:spacing w:line="360" w:lineRule="auto"/>
        <w:jc w:val="both"/>
        <w:rPr>
          <w:rFonts w:ascii="Palatino Linotype" w:hAnsi="Palatino Linotype" w:cs="Arial"/>
          <w:color w:val="000000" w:themeColor="text1"/>
        </w:rPr>
      </w:pPr>
    </w:p>
    <w:p w14:paraId="4B5C3143" w14:textId="31E9530E"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ADAA411" w14:textId="77777777" w:rsidR="00E74B41" w:rsidRPr="00CA298C" w:rsidRDefault="00E74B41" w:rsidP="00E74B41">
      <w:pPr>
        <w:spacing w:line="360" w:lineRule="auto"/>
        <w:jc w:val="both"/>
        <w:rPr>
          <w:rFonts w:ascii="Palatino Linotype" w:hAnsi="Palatino Linotype" w:cs="Arial"/>
          <w:color w:val="000000" w:themeColor="text1"/>
        </w:rPr>
      </w:pPr>
    </w:p>
    <w:p w14:paraId="20D4FA04" w14:textId="2893CA72"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Establecido lo anterior, resulta evidente que las razones o motivos de inconformidad hechos valer en el recurso de revisión resultan fundadas y procedentes, debido a que el SUJETO OBLIGADO proporcionó información que no corresponde con lo solicitado.</w:t>
      </w:r>
    </w:p>
    <w:p w14:paraId="57E92D16" w14:textId="77777777" w:rsidR="002A6959" w:rsidRPr="00CA298C" w:rsidRDefault="002A6959" w:rsidP="002A6959">
      <w:pPr>
        <w:pStyle w:val="Prrafodelista"/>
        <w:rPr>
          <w:rFonts w:ascii="Palatino Linotype" w:hAnsi="Palatino Linotype" w:cs="Arial"/>
          <w:color w:val="000000" w:themeColor="text1"/>
        </w:rPr>
      </w:pPr>
    </w:p>
    <w:p w14:paraId="25883D20" w14:textId="597AEA12"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Ahora bien, para entender los alcances de la información pública se considera importante citar el criterio de interpretación en el orden administrativo número </w:t>
      </w:r>
      <w:r w:rsidRPr="00CA298C">
        <w:rPr>
          <w:rFonts w:ascii="Palatino Linotype" w:hAnsi="Palatino Linotype" w:cs="Arial"/>
          <w:color w:val="000000" w:themeColor="text1"/>
        </w:rPr>
        <w:lastRenderedPageBreak/>
        <w:t>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EF53DAE" w14:textId="77777777" w:rsidR="00E74B41" w:rsidRPr="00CA298C"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CA298C">
        <w:rPr>
          <w:rFonts w:ascii="Palatino Linotype" w:hAnsi="Palatino Linotype" w:cs="Arial"/>
          <w:b/>
          <w:i/>
          <w:color w:val="000000" w:themeColor="text1"/>
          <w:sz w:val="22"/>
        </w:rPr>
        <w:t>“CRITERIO 0002-11</w:t>
      </w:r>
    </w:p>
    <w:p w14:paraId="414C07F7"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INFORMACIÓN PÚBLICA, CONCEPTO DE, EN MATERIA DE TRANSPARENCIA. INTERPRETACIÓN TEMÁTICA DE LOS ARTÍCULOS 2, FRACCIÓN V, XV, Y XVI, 3, 4,11 Y 41</w:t>
      </w:r>
      <w:r w:rsidRPr="00CA298C">
        <w:rPr>
          <w:rFonts w:ascii="Palatino Linotype" w:hAnsi="Palatino Linotype" w:cs="Arial"/>
          <w:i/>
          <w:color w:val="000000" w:themeColor="text1"/>
          <w:sz w:val="22"/>
        </w:rPr>
        <w:t xml:space="preserve">. De conformidad con los artículos antes referidos, el derecho de acceso a la información </w:t>
      </w:r>
      <w:proofErr w:type="gramStart"/>
      <w:r w:rsidRPr="00CA298C">
        <w:rPr>
          <w:rFonts w:ascii="Palatino Linotype" w:hAnsi="Palatino Linotype" w:cs="Arial"/>
          <w:i/>
          <w:color w:val="000000" w:themeColor="text1"/>
          <w:sz w:val="22"/>
        </w:rPr>
        <w:t>pública,</w:t>
      </w:r>
      <w:proofErr w:type="gramEnd"/>
      <w:r w:rsidRPr="00CA298C">
        <w:rPr>
          <w:rFonts w:ascii="Palatino Linotype" w:hAnsi="Palatino Linotype" w:cs="Arial"/>
          <w:i/>
          <w:color w:val="000000" w:themeColor="text1"/>
          <w:sz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DA5AB6"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En </w:t>
      </w:r>
      <w:proofErr w:type="gramStart"/>
      <w:r w:rsidRPr="00CA298C">
        <w:rPr>
          <w:rFonts w:ascii="Palatino Linotype" w:hAnsi="Palatino Linotype" w:cs="Arial"/>
          <w:i/>
          <w:color w:val="000000" w:themeColor="text1"/>
          <w:sz w:val="22"/>
        </w:rPr>
        <w:t>consecuencia</w:t>
      </w:r>
      <w:proofErr w:type="gramEnd"/>
      <w:r w:rsidRPr="00CA298C">
        <w:rPr>
          <w:rFonts w:ascii="Palatino Linotype" w:hAnsi="Palatino Linotype" w:cs="Arial"/>
          <w:i/>
          <w:color w:val="000000" w:themeColor="text1"/>
          <w:sz w:val="22"/>
        </w:rPr>
        <w:t xml:space="preserve"> el acceso a la información se refiere a que se cumplan cualquiera de los siguientes tres supuestos:</w:t>
      </w:r>
    </w:p>
    <w:p w14:paraId="7FD6B2A2"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Que se trate de información registrada en cualquier soporte documental, </w:t>
      </w:r>
      <w:proofErr w:type="gramStart"/>
      <w:r w:rsidRPr="00CA298C">
        <w:rPr>
          <w:rFonts w:ascii="Palatino Linotype" w:hAnsi="Palatino Linotype" w:cs="Arial"/>
          <w:i/>
          <w:color w:val="000000" w:themeColor="text1"/>
          <w:sz w:val="22"/>
        </w:rPr>
        <w:t>que</w:t>
      </w:r>
      <w:proofErr w:type="gramEnd"/>
      <w:r w:rsidRPr="00CA298C">
        <w:rPr>
          <w:rFonts w:ascii="Palatino Linotype" w:hAnsi="Palatino Linotype" w:cs="Arial"/>
          <w:i/>
          <w:color w:val="000000" w:themeColor="text1"/>
          <w:sz w:val="22"/>
        </w:rPr>
        <w:t xml:space="preserve"> en ejercicio de las atribuciones conferidas, sea generada por los Sujetos Obligados;</w:t>
      </w:r>
    </w:p>
    <w:p w14:paraId="6A8FEBBB"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Que se trate de información registrada en cualquier soporte documental, </w:t>
      </w:r>
      <w:proofErr w:type="gramStart"/>
      <w:r w:rsidRPr="00CA298C">
        <w:rPr>
          <w:rFonts w:ascii="Palatino Linotype" w:hAnsi="Palatino Linotype" w:cs="Arial"/>
          <w:i/>
          <w:color w:val="000000" w:themeColor="text1"/>
          <w:sz w:val="22"/>
        </w:rPr>
        <w:t>que</w:t>
      </w:r>
      <w:proofErr w:type="gramEnd"/>
      <w:r w:rsidRPr="00CA298C">
        <w:rPr>
          <w:rFonts w:ascii="Palatino Linotype" w:hAnsi="Palatino Linotype" w:cs="Arial"/>
          <w:i/>
          <w:color w:val="000000" w:themeColor="text1"/>
          <w:sz w:val="22"/>
        </w:rPr>
        <w:t xml:space="preserve"> en ejercicio de las atribuciones conferidas, sea administrada por los Sujetos Obligados, y</w:t>
      </w:r>
    </w:p>
    <w:p w14:paraId="2E5360F1"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Que se trate de información registrada en cualquier soporte documental, </w:t>
      </w:r>
      <w:proofErr w:type="gramStart"/>
      <w:r w:rsidRPr="00CA298C">
        <w:rPr>
          <w:rFonts w:ascii="Palatino Linotype" w:hAnsi="Palatino Linotype" w:cs="Arial"/>
          <w:i/>
          <w:color w:val="000000" w:themeColor="text1"/>
          <w:sz w:val="22"/>
        </w:rPr>
        <w:t>que</w:t>
      </w:r>
      <w:proofErr w:type="gramEnd"/>
      <w:r w:rsidRPr="00CA298C">
        <w:rPr>
          <w:rFonts w:ascii="Palatino Linotype" w:hAnsi="Palatino Linotype" w:cs="Arial"/>
          <w:i/>
          <w:color w:val="000000" w:themeColor="text1"/>
          <w:sz w:val="22"/>
        </w:rPr>
        <w:t xml:space="preserve"> en ejercicio de las atribuciones conferidas, se encuentre en posesión de los Sujetos Obligados.”</w:t>
      </w:r>
    </w:p>
    <w:p w14:paraId="4FBAC8A1" w14:textId="77777777" w:rsidR="00E74B41" w:rsidRPr="00CA298C" w:rsidRDefault="00E74B41" w:rsidP="00E74B41">
      <w:pPr>
        <w:spacing w:line="360" w:lineRule="auto"/>
        <w:jc w:val="both"/>
        <w:rPr>
          <w:rFonts w:ascii="Palatino Linotype" w:hAnsi="Palatino Linotype" w:cs="Arial"/>
          <w:color w:val="000000" w:themeColor="text1"/>
        </w:rPr>
      </w:pPr>
    </w:p>
    <w:p w14:paraId="4BAFA27A" w14:textId="66ED1252"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El derecho de acceso a la información encuentra su materia elemental en los documentos, y la Ley de Transparencia local nos brinda el siguiente concepto, para darnos un mejor panorama:</w:t>
      </w:r>
    </w:p>
    <w:p w14:paraId="2FE4C741" w14:textId="77777777" w:rsidR="002A6959" w:rsidRPr="00CA298C" w:rsidRDefault="002A6959" w:rsidP="002A6959">
      <w:pPr>
        <w:pStyle w:val="Prrafodelista"/>
        <w:spacing w:line="360" w:lineRule="auto"/>
        <w:ind w:left="0"/>
        <w:jc w:val="both"/>
        <w:rPr>
          <w:rFonts w:ascii="Palatino Linotype" w:hAnsi="Palatino Linotype" w:cs="Arial"/>
          <w:color w:val="000000" w:themeColor="text1"/>
        </w:rPr>
      </w:pPr>
    </w:p>
    <w:p w14:paraId="2BF901EE"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lastRenderedPageBreak/>
        <w:t>XI. Documento:</w:t>
      </w:r>
      <w:r w:rsidRPr="00CA298C">
        <w:rPr>
          <w:rFonts w:ascii="Palatino Linotype" w:hAnsi="Palatino Linotype" w:cs="Arial"/>
          <w:i/>
          <w:color w:val="000000" w:themeColor="text1"/>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CA298C">
        <w:rPr>
          <w:rFonts w:ascii="Palatino Linotype" w:hAnsi="Palatino Linotype" w:cs="Arial"/>
          <w:i/>
          <w:color w:val="000000" w:themeColor="text1"/>
          <w:sz w:val="22"/>
        </w:rPr>
        <w:t>impreso,  sonoro</w:t>
      </w:r>
      <w:proofErr w:type="gramEnd"/>
      <w:r w:rsidRPr="00CA298C">
        <w:rPr>
          <w:rFonts w:ascii="Palatino Linotype" w:hAnsi="Palatino Linotype" w:cs="Arial"/>
          <w:i/>
          <w:color w:val="000000" w:themeColor="text1"/>
          <w:sz w:val="22"/>
        </w:rPr>
        <w:t>, visual, electrónico, informático u holográfico;</w:t>
      </w:r>
    </w:p>
    <w:p w14:paraId="0ACBD89D" w14:textId="77777777" w:rsidR="00E74B41" w:rsidRPr="00CA298C" w:rsidRDefault="00E74B41" w:rsidP="00E74B41">
      <w:pPr>
        <w:spacing w:line="360" w:lineRule="auto"/>
        <w:jc w:val="both"/>
        <w:rPr>
          <w:rFonts w:ascii="Palatino Linotype" w:hAnsi="Palatino Linotype" w:cs="Arial"/>
          <w:color w:val="000000" w:themeColor="text1"/>
        </w:rPr>
      </w:pPr>
    </w:p>
    <w:p w14:paraId="4941A7A5" w14:textId="25431536"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Es así </w:t>
      </w:r>
      <w:proofErr w:type="gramStart"/>
      <w:r w:rsidRPr="00CA298C">
        <w:rPr>
          <w:rFonts w:ascii="Palatino Linotype" w:hAnsi="Palatino Linotype" w:cs="Arial"/>
          <w:color w:val="000000" w:themeColor="text1"/>
        </w:rPr>
        <w:t>que</w:t>
      </w:r>
      <w:proofErr w:type="gramEnd"/>
      <w:r w:rsidRPr="00CA298C">
        <w:rPr>
          <w:rFonts w:ascii="Palatino Linotype" w:hAnsi="Palatino Linotype" w:cs="Arial"/>
          <w:color w:val="000000" w:themeColor="text1"/>
        </w:rPr>
        <w:t>, todos los actos de autoridad que realicen los Sujetos Obligados deben estar documentados y, bajo el más alto estándar de transparencia deberán poner toda la información que se encuentre en su posesión, a disposición de los particulares que la soliciten.</w:t>
      </w:r>
    </w:p>
    <w:p w14:paraId="76C95003" w14:textId="77777777" w:rsidR="00E74B41" w:rsidRPr="00CA298C" w:rsidRDefault="00E74B41" w:rsidP="00E74B41">
      <w:pPr>
        <w:spacing w:line="360" w:lineRule="auto"/>
        <w:jc w:val="both"/>
        <w:rPr>
          <w:rFonts w:ascii="Palatino Linotype" w:hAnsi="Palatino Linotype" w:cs="Arial"/>
          <w:color w:val="000000" w:themeColor="text1"/>
        </w:rPr>
      </w:pPr>
    </w:p>
    <w:p w14:paraId="240F7296" w14:textId="47227966"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7FABA2C1" w14:textId="77777777" w:rsidR="00E74B41" w:rsidRPr="00CA298C" w:rsidRDefault="00E74B41" w:rsidP="00E74B41">
      <w:pPr>
        <w:spacing w:line="360" w:lineRule="auto"/>
        <w:jc w:val="both"/>
        <w:rPr>
          <w:rFonts w:ascii="Palatino Linotype" w:hAnsi="Palatino Linotype" w:cs="Arial"/>
          <w:color w:val="000000" w:themeColor="text1"/>
        </w:rPr>
      </w:pPr>
    </w:p>
    <w:p w14:paraId="768FC424" w14:textId="53E51222"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lastRenderedPageBreak/>
        <w:t>Además, debemos tomar en cuenta los artículos 4 y 12, de la Ley de Transparencia y Acceso a la Información Pública del Estado de México y Municipios, los cuales establecen lo siguiente:</w:t>
      </w:r>
    </w:p>
    <w:p w14:paraId="1F9BD076"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Artículo 4.</w:t>
      </w:r>
      <w:r w:rsidRPr="00CA298C">
        <w:rPr>
          <w:rFonts w:ascii="Palatino Linotype" w:hAnsi="Palatino Linotype" w:cs="Arial"/>
          <w:i/>
          <w:color w:val="000000" w:themeColor="text1"/>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9900F4"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03C6726D"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F2074A5"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4B27CEDC"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Los sujetos obligados deben poner en práctica, políticas y programas de acceso a la información que se apeguen a criterios de publicidad, veracidad, oportunidad, precisión y suficiencia en beneficio de los solicitantes.</w:t>
      </w:r>
    </w:p>
    <w:p w14:paraId="51379D92"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5DA4C719"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Artículo 12.</w:t>
      </w:r>
      <w:r w:rsidRPr="00CA298C">
        <w:rPr>
          <w:rFonts w:ascii="Palatino Linotype" w:hAnsi="Palatino Linotype" w:cs="Arial"/>
          <w:i/>
          <w:color w:val="000000" w:themeColor="text1"/>
          <w:sz w:val="22"/>
        </w:rPr>
        <w:t xml:space="preserve"> Quienes generen, recopilen, administren, manejen, procesen, archiven o conserven información pública serán responsables de la misma en los términos de las disposiciones jurídicas aplicables. </w:t>
      </w:r>
    </w:p>
    <w:p w14:paraId="1576FADA"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10823ED6"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rPr>
      </w:pPr>
      <w:r w:rsidRPr="00CA298C">
        <w:rPr>
          <w:rFonts w:ascii="Palatino Linotype" w:hAnsi="Palatino Linotype" w:cs="Arial"/>
          <w:i/>
          <w:color w:val="000000" w:themeColor="text1"/>
          <w:sz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CA298C">
        <w:rPr>
          <w:rFonts w:ascii="Palatino Linotype" w:hAnsi="Palatino Linotype" w:cs="Arial"/>
          <w:i/>
          <w:color w:val="000000" w:themeColor="text1"/>
          <w:sz w:val="22"/>
        </w:rPr>
        <w:t>la misma</w:t>
      </w:r>
      <w:proofErr w:type="gramEnd"/>
      <w:r w:rsidRPr="00CA298C">
        <w:rPr>
          <w:rFonts w:ascii="Palatino Linotype" w:hAnsi="Palatino Linotype" w:cs="Arial"/>
          <w:i/>
          <w:color w:val="000000" w:themeColor="text1"/>
          <w:sz w:val="22"/>
        </w:rPr>
        <w:t xml:space="preserve">, ni el presentarla </w:t>
      </w:r>
      <w:r w:rsidRPr="00CA298C">
        <w:rPr>
          <w:rFonts w:ascii="Palatino Linotype" w:hAnsi="Palatino Linotype" w:cs="Arial"/>
          <w:i/>
          <w:color w:val="000000" w:themeColor="text1"/>
          <w:sz w:val="22"/>
        </w:rPr>
        <w:lastRenderedPageBreak/>
        <w:t>conforme al interés del solicitante; no estarán obligados a generarla, resumirla, efectuar cálculos o practicar investigaciones.</w:t>
      </w:r>
    </w:p>
    <w:p w14:paraId="6FB14FB6" w14:textId="77777777" w:rsidR="00E74B41" w:rsidRPr="00CA298C" w:rsidRDefault="00E74B41" w:rsidP="00E74B41">
      <w:pPr>
        <w:spacing w:line="360" w:lineRule="auto"/>
        <w:jc w:val="both"/>
        <w:rPr>
          <w:rFonts w:ascii="Palatino Linotype" w:hAnsi="Palatino Linotype" w:cs="Arial"/>
          <w:color w:val="000000" w:themeColor="text1"/>
        </w:rPr>
      </w:pPr>
    </w:p>
    <w:p w14:paraId="004BED43" w14:textId="380E08DA"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BD9C56E" w14:textId="77777777" w:rsidR="00E74B41" w:rsidRPr="00CA298C" w:rsidRDefault="00E74B41" w:rsidP="00E74B41">
      <w:pPr>
        <w:spacing w:line="360" w:lineRule="auto"/>
        <w:jc w:val="both"/>
        <w:rPr>
          <w:rFonts w:ascii="Palatino Linotype" w:hAnsi="Palatino Linotype" w:cs="Arial"/>
          <w:color w:val="000000" w:themeColor="text1"/>
        </w:rPr>
      </w:pPr>
    </w:p>
    <w:p w14:paraId="6C77FF9A" w14:textId="46D2B398"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Robustece lo anterior la Tesis aislada identificada con la clave I.</w:t>
      </w:r>
      <w:proofErr w:type="gramStart"/>
      <w:r w:rsidRPr="00CA298C">
        <w:rPr>
          <w:rFonts w:ascii="Palatino Linotype" w:hAnsi="Palatino Linotype" w:cs="Arial"/>
          <w:color w:val="000000" w:themeColor="text1"/>
        </w:rPr>
        <w:t>4º.A.</w:t>
      </w:r>
      <w:proofErr w:type="gramEnd"/>
      <w:r w:rsidRPr="00CA298C">
        <w:rPr>
          <w:rFonts w:ascii="Palatino Linotype" w:hAnsi="Palatino Linotype" w:cs="Arial"/>
          <w:color w:val="000000" w:themeColor="text1"/>
        </w:rPr>
        <w:t>40 A del Cuarto Tribunal colegiado en Materia Administrativa del Primer Circuito, publicada en el Seminario Judicial de la Federación y su Gaceta en el libro XVIII, Marzo 2013, Página 1899.</w:t>
      </w:r>
    </w:p>
    <w:p w14:paraId="5083EDE2"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ACCESO A LA INFORMACIÓN. IMPLICACIÓN DEL PRINCIPIO DE MÁXIMA PUBLICIDAD EN EL DERECHO FUNDAMENTAL RELATIVO.</w:t>
      </w:r>
      <w:r w:rsidRPr="00CA298C">
        <w:rPr>
          <w:rFonts w:ascii="Palatino Linotype" w:hAnsi="Palatino Linotype" w:cs="Arial"/>
          <w:i/>
          <w:color w:val="000000" w:themeColor="text1"/>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CA298C">
        <w:rPr>
          <w:rFonts w:ascii="Palatino Linotype" w:hAnsi="Palatino Linotype" w:cs="Arial"/>
          <w:i/>
          <w:color w:val="000000" w:themeColor="text1"/>
          <w:sz w:val="22"/>
        </w:rPr>
        <w:lastRenderedPageBreak/>
        <w:t xml:space="preserve">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w:t>
      </w:r>
      <w:proofErr w:type="gramStart"/>
      <w:r w:rsidRPr="00CA298C">
        <w:rPr>
          <w:rFonts w:ascii="Palatino Linotype" w:hAnsi="Palatino Linotype" w:cs="Arial"/>
          <w:i/>
          <w:color w:val="000000" w:themeColor="text1"/>
          <w:sz w:val="22"/>
        </w:rPr>
        <w:t>constitucional,</w:t>
      </w:r>
      <w:proofErr w:type="gramEnd"/>
      <w:r w:rsidRPr="00CA298C">
        <w:rPr>
          <w:rFonts w:ascii="Palatino Linotype" w:hAnsi="Palatino Linotype" w:cs="Arial"/>
          <w:i/>
          <w:color w:val="000000" w:themeColor="text1"/>
          <w:sz w:val="22"/>
        </w:rPr>
        <w:t xml:space="preserve">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049E398"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5DAD3F05"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CUARTO TRIBUNAL COLEGIADO EN MATERIA ADMINISTRATIVA DEL PRIMER CIRCUITO. </w:t>
      </w:r>
    </w:p>
    <w:p w14:paraId="5A5785F2"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6ABA7AAA"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Amparo en revisión 257/2012. Ruth Corona Muñoz. 6 de diciembre de 2012. Unanimidad de votos. Ponente: Jean Claude Tron Petit. Secretaria: Mayra Susana Martínez López.</w:t>
      </w:r>
    </w:p>
    <w:p w14:paraId="0F00BF3A" w14:textId="77777777" w:rsidR="00E74B41" w:rsidRPr="00CA298C" w:rsidRDefault="00E74B41" w:rsidP="00E74B41">
      <w:pPr>
        <w:spacing w:line="360" w:lineRule="auto"/>
        <w:jc w:val="both"/>
        <w:rPr>
          <w:rFonts w:ascii="Palatino Linotype" w:hAnsi="Palatino Linotype" w:cs="Arial"/>
          <w:color w:val="000000" w:themeColor="text1"/>
        </w:rPr>
      </w:pPr>
    </w:p>
    <w:p w14:paraId="2AB4C407" w14:textId="0BC2E331"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Como se ha señalado, los Sujetos Obligados deberán proporcionar toda la información que se encuentre en su posesión bajo los estándares más altos de transparencia y máxima publicidad. </w:t>
      </w:r>
    </w:p>
    <w:p w14:paraId="73D0FD9B" w14:textId="77777777" w:rsidR="00E74B41" w:rsidRPr="00CA298C" w:rsidRDefault="00E74B41" w:rsidP="00E74B41">
      <w:pPr>
        <w:spacing w:line="360" w:lineRule="auto"/>
        <w:jc w:val="both"/>
        <w:rPr>
          <w:rFonts w:ascii="Palatino Linotype" w:hAnsi="Palatino Linotype" w:cs="Arial"/>
          <w:color w:val="000000" w:themeColor="text1"/>
        </w:rPr>
      </w:pPr>
    </w:p>
    <w:p w14:paraId="339E24F0" w14:textId="587DC3DA"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lastRenderedPageBreak/>
        <w:t xml:space="preserve">Es pertinente enfatizar lo </w:t>
      </w:r>
      <w:proofErr w:type="gramStart"/>
      <w:r w:rsidRPr="00CA298C">
        <w:rPr>
          <w:rFonts w:ascii="Palatino Linotype" w:hAnsi="Palatino Linotype" w:cs="Arial"/>
          <w:color w:val="000000" w:themeColor="text1"/>
        </w:rPr>
        <w:t>que</w:t>
      </w:r>
      <w:proofErr w:type="gramEnd"/>
      <w:r w:rsidRPr="00CA298C">
        <w:rPr>
          <w:rFonts w:ascii="Palatino Linotype" w:hAnsi="Palatino Linotype" w:cs="Arial"/>
          <w:color w:val="000000" w:themeColor="text1"/>
        </w:rPr>
        <w:t xml:space="preserve"> respecto al derecho de acceso a la información pública, refiere el artículo 6° de la Constitución Política de los Estados Unidos Mexicanos, que en su parte conducente señala:</w:t>
      </w:r>
    </w:p>
    <w:p w14:paraId="5A32C164"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“Artículo 6o.</w:t>
      </w:r>
      <w:r w:rsidRPr="00CA298C">
        <w:rPr>
          <w:rFonts w:ascii="Palatino Linotype" w:hAnsi="Palatino Linotype" w:cs="Arial"/>
          <w:i/>
          <w:color w:val="000000" w:themeColor="text1"/>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8320CCA"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63219E10"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Toda persona tiene derecho al libre acceso a información plural y oportuna, así como a buscar, recibir y difundir información e ideas de toda índole por cualquier medio de expresión.</w:t>
      </w:r>
    </w:p>
    <w:p w14:paraId="1BB9AF3F"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3D84B8C9"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Para efectos de lo dispuesto en el presente artículo se observará lo siguiente:</w:t>
      </w:r>
    </w:p>
    <w:p w14:paraId="27B1DA00"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6D0509D0" w14:textId="2B891EEC" w:rsidR="00E74B41" w:rsidRPr="00CA298C" w:rsidRDefault="00E74B41" w:rsidP="00223FC4">
      <w:pPr>
        <w:pStyle w:val="Prrafodelista"/>
        <w:numPr>
          <w:ilvl w:val="4"/>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Para el ejercicio del derecho de acceso a la información, la Federación, los Estados y el Distrito Federal, en el ámbito de sus respectivas competencias, se regirán por los siguientes principios y bases:</w:t>
      </w:r>
    </w:p>
    <w:p w14:paraId="75566C44"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0F8468B6" w14:textId="61CCA643"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w:t>
      </w:r>
      <w:r w:rsidRPr="00CA298C">
        <w:rPr>
          <w:rFonts w:ascii="Palatino Linotype" w:hAnsi="Palatino Linotype" w:cs="Arial"/>
          <w:i/>
          <w:color w:val="000000" w:themeColor="text1"/>
          <w:sz w:val="22"/>
        </w:rPr>
        <w:lastRenderedPageBreak/>
        <w:t>facultades, competencias o funciones, la ley determinará los supuestos específicos bajo los cuales procederá la declaración de inexistencia de la información.</w:t>
      </w:r>
    </w:p>
    <w:p w14:paraId="65B1D945"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72E90D05" w14:textId="055906C9"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La información que se refiere a la vida privada y los datos personales será protegida en los términos y con las excepciones que fijen las leyes.</w:t>
      </w:r>
    </w:p>
    <w:p w14:paraId="71A57AAA"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745FC3B7" w14:textId="7C17947A"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Toda persona, sin necesidad de acreditar interés alguno o justificar su utilización, tendrá acceso gratuito a la información pública, a sus datos personales o a la rectificación de éstos.</w:t>
      </w:r>
    </w:p>
    <w:p w14:paraId="18E43C58"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06EBAF00" w14:textId="2FF8587B"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Se establecerán mecanismos de acceso a la información y procedimientos de revisión expeditos que se sustanciarán ante los organismos autónomos especializados e imparciales que establece esta Constitución.</w:t>
      </w:r>
    </w:p>
    <w:p w14:paraId="1AA53ADD"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4FCFFC09" w14:textId="3F47A509"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04D79B"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49D05C8E" w14:textId="2F8C101C"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Las leyes determinarán la manera en que los sujetos obligados deberán hacer pública la información relativa a los recursos públicos que entreguen a personas físicas o morales.</w:t>
      </w:r>
    </w:p>
    <w:p w14:paraId="597B882E"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73242952" w14:textId="1E36129D"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La inobservancia a las disposiciones en materia de acceso a la información pública será sancionada en los términos que dispongan las leyes.</w:t>
      </w:r>
    </w:p>
    <w:p w14:paraId="4D521C1C"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620D389C" w14:textId="52369169"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Federación contará con un organismo autónomo, especializado, imparcial, colegiado, con personalidad jurídica y patrimonio propio, con plena autonomía técnica, de gestión, </w:t>
      </w:r>
      <w:r w:rsidRPr="00CA298C">
        <w:rPr>
          <w:rFonts w:ascii="Palatino Linotype" w:hAnsi="Palatino Linotype" w:cs="Arial"/>
          <w:i/>
          <w:color w:val="000000" w:themeColor="text1"/>
          <w:sz w:val="22"/>
        </w:rPr>
        <w:lastRenderedPageBreak/>
        <w:t>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0419BBA"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w:t>
      </w:r>
    </w:p>
    <w:p w14:paraId="60000D5A"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La ley establecerá aquella información que se considere reservada o confidencial.”</w:t>
      </w:r>
    </w:p>
    <w:p w14:paraId="7D0D2D47"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7D8EF918"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(Énfasis añadido)</w:t>
      </w:r>
    </w:p>
    <w:p w14:paraId="70F71B1B" w14:textId="77777777" w:rsidR="00E74B41" w:rsidRPr="00CA298C" w:rsidRDefault="00E74B41" w:rsidP="00E74B41">
      <w:pPr>
        <w:spacing w:line="360" w:lineRule="auto"/>
        <w:jc w:val="both"/>
        <w:rPr>
          <w:rFonts w:ascii="Palatino Linotype" w:hAnsi="Palatino Linotype" w:cs="Arial"/>
          <w:color w:val="000000" w:themeColor="text1"/>
        </w:rPr>
      </w:pPr>
    </w:p>
    <w:p w14:paraId="52D7D1B8" w14:textId="0982E52A"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Por su parte, la Constitución Política del Estado Libre y Soberano de México, en su artículo 5°, dispone en su parte conducente, lo siguiente:</w:t>
      </w:r>
    </w:p>
    <w:p w14:paraId="3C9563E0" w14:textId="77777777" w:rsidR="00E74B41" w:rsidRPr="00CA298C"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CA298C">
        <w:rPr>
          <w:rFonts w:ascii="Palatino Linotype" w:hAnsi="Palatino Linotype" w:cs="Arial"/>
          <w:b/>
          <w:i/>
          <w:color w:val="000000" w:themeColor="text1"/>
          <w:sz w:val="22"/>
        </w:rPr>
        <w:t xml:space="preserve">“Artículo 5. … </w:t>
      </w:r>
    </w:p>
    <w:p w14:paraId="4A254EA8"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El derecho a la información será garantizado por el Estado</w:t>
      </w:r>
      <w:r w:rsidRPr="00CA298C">
        <w:rPr>
          <w:rFonts w:ascii="Palatino Linotype" w:hAnsi="Palatino Linotype" w:cs="Arial"/>
          <w:i/>
          <w:color w:val="000000" w:themeColor="text1"/>
          <w:sz w:val="22"/>
        </w:rPr>
        <w:t xml:space="preserve">. La ley establecerá las previsiones que permitan asegurar la protección, el respeto y la difusión de este derecho. </w:t>
      </w:r>
    </w:p>
    <w:p w14:paraId="14476B69"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2F04F99"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282A59C1"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Este derecho se regirá por los principios y bases siguientes:</w:t>
      </w:r>
    </w:p>
    <w:p w14:paraId="7BC20B4A" w14:textId="77777777" w:rsidR="00E74B41" w:rsidRPr="00CA298C" w:rsidRDefault="00E74B41" w:rsidP="002A6959">
      <w:pPr>
        <w:spacing w:line="360" w:lineRule="auto"/>
        <w:ind w:left="567" w:right="616"/>
        <w:jc w:val="both"/>
        <w:rPr>
          <w:rFonts w:ascii="Palatino Linotype" w:hAnsi="Palatino Linotype" w:cs="Arial"/>
          <w:i/>
          <w:color w:val="000000" w:themeColor="text1"/>
          <w:sz w:val="22"/>
        </w:rPr>
      </w:pPr>
    </w:p>
    <w:p w14:paraId="5E380F57" w14:textId="116581D5" w:rsidR="00E74B41" w:rsidRPr="00CA298C"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Toda la información en posesión de cualquier autoridad</w:t>
      </w:r>
      <w:r w:rsidRPr="00CA298C">
        <w:rPr>
          <w:rFonts w:ascii="Palatino Linotype" w:hAnsi="Palatino Linotype" w:cs="Arial"/>
          <w:i/>
          <w:color w:val="000000" w:themeColor="text1"/>
          <w:sz w:val="22"/>
        </w:rPr>
        <w:t xml:space="preserve">, entidad, órgano y organismos de los Poderes Ejecutivo, Legislativo y Judicial, órganos autónomos, partidos políticos, fideicomisos y fondos públicos estatales y municipales, </w:t>
      </w:r>
      <w:r w:rsidRPr="00CA298C">
        <w:rPr>
          <w:rFonts w:ascii="Palatino Linotype" w:hAnsi="Palatino Linotype" w:cs="Arial"/>
          <w:b/>
          <w:i/>
          <w:color w:val="000000" w:themeColor="text1"/>
          <w:sz w:val="22"/>
        </w:rPr>
        <w:t>así como del gobierno y de la administración pública municipal y sus organismos descentralizados</w:t>
      </w:r>
      <w:r w:rsidRPr="00CA298C">
        <w:rPr>
          <w:rFonts w:ascii="Palatino Linotype" w:hAnsi="Palatino Linotype" w:cs="Arial"/>
          <w:i/>
          <w:color w:val="000000" w:themeColor="text1"/>
          <w:sz w:val="22"/>
        </w:rPr>
        <w:t xml:space="preserve">, asimismo de cualquier persona física, jurídica colectiva o sindicato que reciba y ejerza recursos públicos o realice actos de autoridad en el ámbito estatal y </w:t>
      </w:r>
      <w:r w:rsidRPr="00CA298C">
        <w:rPr>
          <w:rFonts w:ascii="Palatino Linotype" w:hAnsi="Palatino Linotype" w:cs="Arial"/>
          <w:i/>
          <w:color w:val="000000" w:themeColor="text1"/>
          <w:sz w:val="22"/>
        </w:rPr>
        <w:lastRenderedPageBreak/>
        <w:t xml:space="preserve">municipal, </w:t>
      </w:r>
      <w:r w:rsidRPr="00CA298C">
        <w:rPr>
          <w:rFonts w:ascii="Palatino Linotype" w:hAnsi="Palatino Linotype" w:cs="Arial"/>
          <w:b/>
          <w:i/>
          <w:color w:val="000000" w:themeColor="text1"/>
          <w:sz w:val="22"/>
        </w:rPr>
        <w:t>es pública</w:t>
      </w:r>
      <w:r w:rsidRPr="00CA298C">
        <w:rPr>
          <w:rFonts w:ascii="Palatino Linotype" w:hAnsi="Palatino Linotype" w:cs="Arial"/>
          <w:i/>
          <w:color w:val="000000" w:themeColor="text1"/>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7C7DB" w14:textId="3C1812BF" w:rsidR="00E74B41" w:rsidRPr="00CA298C"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La información referente a la intimidad de la vida privada y la imagen de las personas será protegida a través de un marco jurídico rígido de tratamiento y manejo de datos personales, con las excepciones que establezca la ley reglamentaria.</w:t>
      </w:r>
    </w:p>
    <w:p w14:paraId="2981C9A7" w14:textId="67B8A411" w:rsidR="00E74B41" w:rsidRPr="00CA298C"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Toda persona, sin necesidad de acreditar interés alguno o justificar su utilización, tendrá acceso gratuito a la información pública, a sus datos personales o a la rectificación de éstos.</w:t>
      </w:r>
    </w:p>
    <w:p w14:paraId="75C7D3C8" w14:textId="3E118EA6" w:rsidR="00E74B41" w:rsidRPr="00CA298C"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Se establecerán mecanismos de acceso a la información y procedimientos de revisión expeditos que se sustanciarán ante el organismo autónomo especializado e imparcial que establece esta Constitución.</w:t>
      </w:r>
    </w:p>
    <w:p w14:paraId="48CF8676" w14:textId="386C35FA" w:rsidR="00E74B41" w:rsidRPr="00CA298C"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861AE85" w14:textId="096A92EC" w:rsidR="00E74B41" w:rsidRPr="00CA298C"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Los sujetos obligados deberán preservar sus documentos en archivos administrativos actualizados y publicarán, a través de los medios electrónicos disponibles, la información completa y actualizada sobre el ejercicio de los recursos públicos</w:t>
      </w:r>
      <w:r w:rsidRPr="00CA298C">
        <w:rPr>
          <w:rFonts w:ascii="Palatino Linotype" w:hAnsi="Palatino Linotype" w:cs="Arial"/>
          <w:i/>
          <w:color w:val="000000" w:themeColor="text1"/>
          <w:sz w:val="22"/>
        </w:rPr>
        <w:t xml:space="preserve"> y los indicadores que permitan rendir cuenta del cumplimiento de sus objetivos y los resultados obtenidos.</w:t>
      </w:r>
    </w:p>
    <w:p w14:paraId="292EE68E" w14:textId="5BC9C223" w:rsidR="00E74B41" w:rsidRPr="00CA298C" w:rsidRDefault="00E74B41" w:rsidP="00223FC4">
      <w:pPr>
        <w:pStyle w:val="Prrafodelista"/>
        <w:numPr>
          <w:ilvl w:val="3"/>
          <w:numId w:val="4"/>
        </w:numPr>
        <w:spacing w:line="360" w:lineRule="auto"/>
        <w:ind w:left="567" w:right="616" w:firstLine="0"/>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lastRenderedPageBreak/>
        <w:t>La ley reglamentaria, determinará la manera en que los sujetos obligados deberán hacer pública la información relativa a los recursos públicos que entreguen a personas físicas o jurídicas colectivas.”</w:t>
      </w:r>
    </w:p>
    <w:p w14:paraId="16FB5AEB" w14:textId="77777777" w:rsidR="00E74B41" w:rsidRPr="00CA298C" w:rsidRDefault="00E74B41" w:rsidP="002A6959">
      <w:pPr>
        <w:pStyle w:val="Prrafodelista"/>
        <w:spacing w:line="360" w:lineRule="auto"/>
        <w:ind w:left="567" w:right="616"/>
        <w:jc w:val="both"/>
        <w:rPr>
          <w:rFonts w:ascii="Palatino Linotype" w:hAnsi="Palatino Linotype" w:cs="Arial"/>
          <w:b/>
          <w:color w:val="000000" w:themeColor="text1"/>
          <w:sz w:val="22"/>
        </w:rPr>
      </w:pPr>
      <w:r w:rsidRPr="00CA298C">
        <w:rPr>
          <w:rFonts w:ascii="Palatino Linotype" w:hAnsi="Palatino Linotype" w:cs="Arial"/>
          <w:b/>
          <w:i/>
          <w:color w:val="000000" w:themeColor="text1"/>
          <w:sz w:val="22"/>
        </w:rPr>
        <w:t>(Énfasis añadido)</w:t>
      </w:r>
    </w:p>
    <w:p w14:paraId="43DBB101" w14:textId="77777777" w:rsidR="00E74B41" w:rsidRPr="00CA298C" w:rsidRDefault="00E74B41" w:rsidP="00E74B41">
      <w:pPr>
        <w:spacing w:line="360" w:lineRule="auto"/>
        <w:jc w:val="both"/>
        <w:rPr>
          <w:rFonts w:ascii="Palatino Linotype" w:hAnsi="Palatino Linotype" w:cs="Arial"/>
          <w:color w:val="000000" w:themeColor="text1"/>
        </w:rPr>
      </w:pPr>
    </w:p>
    <w:p w14:paraId="5E223FB7" w14:textId="5B96D761"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Adicional, tenemos que la Ley de Transparencia y Acceso a la Información Pública del Estado de México y Municipios, prevé en su artículo 23 fracción I</w:t>
      </w:r>
      <w:r w:rsidR="00FD192A" w:rsidRPr="00CA298C">
        <w:rPr>
          <w:rFonts w:ascii="Palatino Linotype" w:hAnsi="Palatino Linotype" w:cs="Arial"/>
          <w:color w:val="000000" w:themeColor="text1"/>
        </w:rPr>
        <w:t>V</w:t>
      </w:r>
      <w:r w:rsidRPr="00CA298C">
        <w:rPr>
          <w:rFonts w:ascii="Palatino Linotype" w:hAnsi="Palatino Linotype" w:cs="Arial"/>
          <w:color w:val="000000" w:themeColor="text1"/>
        </w:rPr>
        <w:t>, lo siguiente:</w:t>
      </w:r>
    </w:p>
    <w:p w14:paraId="260C1A62" w14:textId="7777777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“Artículo 23.</w:t>
      </w:r>
      <w:r w:rsidRPr="00CA298C">
        <w:rPr>
          <w:rFonts w:ascii="Palatino Linotype" w:hAnsi="Palatino Linotype" w:cs="Arial"/>
          <w:i/>
          <w:color w:val="000000" w:themeColor="text1"/>
          <w:sz w:val="22"/>
        </w:rPr>
        <w:t xml:space="preserve"> Son sujetos obligados a transparentar y permitir el acceso a su información y proteger los datos personales que obren en su poder:</w:t>
      </w:r>
    </w:p>
    <w:p w14:paraId="61C26727" w14:textId="3A666445" w:rsidR="00FD192A" w:rsidRPr="00CA298C" w:rsidRDefault="00FD192A"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b/>
          <w:i/>
          <w:color w:val="000000" w:themeColor="text1"/>
          <w:sz w:val="22"/>
        </w:rPr>
        <w:t>…</w:t>
      </w:r>
    </w:p>
    <w:p w14:paraId="1A8E9D9F" w14:textId="48F7B408" w:rsidR="00F878C9" w:rsidRPr="00CA298C" w:rsidRDefault="00FD192A"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i/>
          <w:sz w:val="22"/>
        </w:rPr>
        <w:t>IV. Los ayuntamientos y las dependencias, organismos, órganos y entidades de la administración municipal</w:t>
      </w:r>
      <w:r w:rsidR="00F878C9" w:rsidRPr="00CA298C">
        <w:rPr>
          <w:rFonts w:ascii="Palatino Linotype" w:hAnsi="Palatino Linotype"/>
          <w:i/>
          <w:sz w:val="22"/>
        </w:rPr>
        <w:t>;</w:t>
      </w:r>
      <w:r w:rsidR="00F878C9" w:rsidRPr="00CA298C">
        <w:rPr>
          <w:rFonts w:ascii="Palatino Linotype" w:hAnsi="Palatino Linotype" w:cs="Arial"/>
          <w:i/>
          <w:color w:val="000000" w:themeColor="text1"/>
          <w:sz w:val="22"/>
        </w:rPr>
        <w:t xml:space="preserve"> </w:t>
      </w:r>
    </w:p>
    <w:p w14:paraId="794092FC" w14:textId="6C41A597" w:rsidR="00E74B41" w:rsidRPr="00CA298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w:t>
      </w:r>
    </w:p>
    <w:p w14:paraId="3D53B686" w14:textId="77777777" w:rsidR="00E74B41" w:rsidRPr="00CA298C" w:rsidRDefault="00E74B41" w:rsidP="00F878C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8DF896" w14:textId="77777777" w:rsidR="00E74B41" w:rsidRPr="00CA298C" w:rsidRDefault="00E74B41" w:rsidP="00F878C9">
      <w:pPr>
        <w:spacing w:line="360" w:lineRule="auto"/>
        <w:ind w:left="567" w:right="616"/>
        <w:jc w:val="both"/>
        <w:rPr>
          <w:rFonts w:ascii="Palatino Linotype" w:hAnsi="Palatino Linotype" w:cs="Arial"/>
          <w:i/>
          <w:color w:val="000000" w:themeColor="text1"/>
          <w:sz w:val="22"/>
        </w:rPr>
      </w:pPr>
    </w:p>
    <w:p w14:paraId="14867E64" w14:textId="77777777" w:rsidR="00E74B41" w:rsidRPr="00CA298C" w:rsidRDefault="00E74B41" w:rsidP="00F878C9">
      <w:pPr>
        <w:pStyle w:val="Prrafodelista"/>
        <w:spacing w:line="360" w:lineRule="auto"/>
        <w:ind w:left="567" w:right="616"/>
        <w:jc w:val="both"/>
        <w:rPr>
          <w:rFonts w:ascii="Palatino Linotype" w:hAnsi="Palatino Linotype" w:cs="Arial"/>
          <w:i/>
          <w:color w:val="000000" w:themeColor="text1"/>
          <w:sz w:val="22"/>
        </w:rPr>
      </w:pPr>
      <w:r w:rsidRPr="00CA298C">
        <w:rPr>
          <w:rFonts w:ascii="Palatino Linotype" w:hAnsi="Palatino Linotype" w:cs="Arial"/>
          <w:i/>
          <w:color w:val="000000" w:themeColor="text1"/>
          <w:sz w:val="22"/>
        </w:rPr>
        <w:t xml:space="preserve">Los servidores públicos deberán transparentar sus </w:t>
      </w:r>
      <w:proofErr w:type="gramStart"/>
      <w:r w:rsidRPr="00CA298C">
        <w:rPr>
          <w:rFonts w:ascii="Palatino Linotype" w:hAnsi="Palatino Linotype" w:cs="Arial"/>
          <w:i/>
          <w:color w:val="000000" w:themeColor="text1"/>
          <w:sz w:val="22"/>
        </w:rPr>
        <w:t>acciones</w:t>
      </w:r>
      <w:proofErr w:type="gramEnd"/>
      <w:r w:rsidRPr="00CA298C">
        <w:rPr>
          <w:rFonts w:ascii="Palatino Linotype" w:hAnsi="Palatino Linotype" w:cs="Arial"/>
          <w:i/>
          <w:color w:val="000000" w:themeColor="text1"/>
          <w:sz w:val="22"/>
        </w:rPr>
        <w:t xml:space="preserve"> así como garantizar y respetar el derecho de acceso a la información pública.”</w:t>
      </w:r>
    </w:p>
    <w:p w14:paraId="06AB8B63" w14:textId="77777777" w:rsidR="00E74B41" w:rsidRPr="00CA298C" w:rsidRDefault="00E74B41" w:rsidP="00F878C9">
      <w:pPr>
        <w:pStyle w:val="Prrafodelista"/>
        <w:spacing w:line="360" w:lineRule="auto"/>
        <w:ind w:left="567" w:right="616"/>
        <w:jc w:val="both"/>
        <w:rPr>
          <w:rFonts w:ascii="Palatino Linotype" w:hAnsi="Palatino Linotype" w:cs="Arial"/>
          <w:b/>
          <w:i/>
          <w:color w:val="000000" w:themeColor="text1"/>
          <w:sz w:val="22"/>
        </w:rPr>
      </w:pPr>
      <w:r w:rsidRPr="00CA298C">
        <w:rPr>
          <w:rFonts w:ascii="Palatino Linotype" w:hAnsi="Palatino Linotype" w:cs="Arial"/>
          <w:b/>
          <w:i/>
          <w:color w:val="000000" w:themeColor="text1"/>
          <w:sz w:val="22"/>
        </w:rPr>
        <w:t>(Énfasis añadido)</w:t>
      </w:r>
    </w:p>
    <w:p w14:paraId="7E0F0C42" w14:textId="77777777" w:rsidR="00E74B41" w:rsidRPr="00CA298C" w:rsidRDefault="00E74B41" w:rsidP="00E74B41">
      <w:pPr>
        <w:spacing w:line="360" w:lineRule="auto"/>
        <w:jc w:val="both"/>
        <w:rPr>
          <w:rFonts w:ascii="Palatino Linotype" w:hAnsi="Palatino Linotype" w:cs="Arial"/>
          <w:color w:val="000000" w:themeColor="text1"/>
        </w:rPr>
      </w:pPr>
    </w:p>
    <w:p w14:paraId="68F5A000" w14:textId="77777777" w:rsidR="002A6959"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Es así </w:t>
      </w:r>
      <w:proofErr w:type="gramStart"/>
      <w:r w:rsidRPr="00CA298C">
        <w:rPr>
          <w:rFonts w:ascii="Palatino Linotype" w:hAnsi="Palatino Linotype" w:cs="Arial"/>
          <w:color w:val="000000" w:themeColor="text1"/>
        </w:rPr>
        <w:t>que</w:t>
      </w:r>
      <w:proofErr w:type="gramEnd"/>
      <w:r w:rsidRPr="00CA298C">
        <w:rPr>
          <w:rFonts w:ascii="Palatino Linotype" w:hAnsi="Palatino Linotype" w:cs="Arial"/>
          <w:color w:val="000000" w:themeColor="text1"/>
        </w:rPr>
        <w:t xml:space="preserve">, conforme a los preceptos legales citados, se desprende que el derecho de acceso a la información pública es un derecho individual que puede ser ejercido ante cualquier autoridad, entidad, órgano u organismo, tanto federales, </w:t>
      </w:r>
      <w:r w:rsidRPr="00CA298C">
        <w:rPr>
          <w:rFonts w:ascii="Palatino Linotype" w:hAnsi="Palatino Linotype" w:cs="Arial"/>
          <w:color w:val="000000" w:themeColor="text1"/>
        </w:rPr>
        <w:lastRenderedPageBreak/>
        <w:t xml:space="preserve">como estatales, de la Ciudad de México, o Municipales, con el fin de que los particulares conozcan toda aquella información que es considerada como pública. </w:t>
      </w:r>
    </w:p>
    <w:p w14:paraId="7A91F609" w14:textId="77777777" w:rsidR="002A6959" w:rsidRPr="00CA298C" w:rsidRDefault="002A6959" w:rsidP="002A6959">
      <w:pPr>
        <w:pStyle w:val="Prrafodelista"/>
        <w:spacing w:line="360" w:lineRule="auto"/>
        <w:ind w:left="0"/>
        <w:jc w:val="both"/>
        <w:rPr>
          <w:rFonts w:ascii="Palatino Linotype" w:hAnsi="Palatino Linotype" w:cs="Arial"/>
          <w:color w:val="000000" w:themeColor="text1"/>
        </w:rPr>
      </w:pPr>
    </w:p>
    <w:p w14:paraId="746A8804" w14:textId="6B8D4DCB" w:rsidR="00E74B41" w:rsidRPr="00CA298C" w:rsidRDefault="00E74B41"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Por lo anterior, es de referir que, </w:t>
      </w:r>
      <w:r w:rsidR="00DF3EA9" w:rsidRPr="00CA298C">
        <w:rPr>
          <w:rFonts w:ascii="Palatino Linotype" w:hAnsi="Palatino Linotype" w:cs="Arial"/>
          <w:color w:val="000000" w:themeColor="text1"/>
        </w:rPr>
        <w:t>el</w:t>
      </w:r>
      <w:r w:rsidR="00347E3E" w:rsidRPr="00CA298C">
        <w:rPr>
          <w:rFonts w:ascii="Palatino Linotype" w:hAnsi="Palatino Linotype" w:cs="Arial"/>
          <w:color w:val="000000" w:themeColor="text1"/>
        </w:rPr>
        <w:t xml:space="preserve"> </w:t>
      </w:r>
      <w:r w:rsidR="00384259" w:rsidRPr="00CA298C">
        <w:rPr>
          <w:rFonts w:ascii="Palatino Linotype" w:hAnsi="Palatino Linotype" w:cs="Arial"/>
          <w:b/>
          <w:color w:val="000000" w:themeColor="text1"/>
        </w:rPr>
        <w:t>Ayuntamiento de Villa de Allende</w:t>
      </w:r>
      <w:r w:rsidRPr="00CA298C">
        <w:rPr>
          <w:rFonts w:ascii="Palatino Linotype" w:hAnsi="Palatino Linotype" w:cs="Arial"/>
          <w:color w:val="000000" w:themeColor="text1"/>
        </w:rPr>
        <w:t>, al ser un Sujeto Obligado comprendido por la Legislación Local en materia de Transparencia, se encuentra obligado a hacer pública toda aquella información que genere, administre o posea.</w:t>
      </w:r>
    </w:p>
    <w:p w14:paraId="4A891DD4" w14:textId="77777777" w:rsidR="0073485C" w:rsidRPr="00CA298C" w:rsidRDefault="0073485C" w:rsidP="0073485C">
      <w:pPr>
        <w:pStyle w:val="Prrafodelista"/>
        <w:rPr>
          <w:rFonts w:ascii="Palatino Linotype" w:hAnsi="Palatino Linotype" w:cs="Arial"/>
          <w:color w:val="000000" w:themeColor="text1"/>
        </w:rPr>
      </w:pPr>
    </w:p>
    <w:p w14:paraId="3EB89717" w14:textId="77777777" w:rsidR="0073485C" w:rsidRPr="00CA298C" w:rsidRDefault="0073485C" w:rsidP="0073485C">
      <w:pPr>
        <w:pStyle w:val="Prrafodelista"/>
        <w:spacing w:line="360" w:lineRule="auto"/>
        <w:ind w:left="0"/>
        <w:jc w:val="both"/>
        <w:rPr>
          <w:rFonts w:ascii="Palatino Linotype" w:hAnsi="Palatino Linotype" w:cs="Arial"/>
          <w:color w:val="000000" w:themeColor="text1"/>
        </w:rPr>
      </w:pPr>
    </w:p>
    <w:p w14:paraId="7C7215B6" w14:textId="6EC08F86" w:rsidR="00614878" w:rsidRPr="00CA298C" w:rsidRDefault="00016603" w:rsidP="00016603">
      <w:pPr>
        <w:pStyle w:val="Prrafodelista"/>
        <w:spacing w:line="360" w:lineRule="auto"/>
        <w:ind w:left="0"/>
        <w:jc w:val="both"/>
        <w:rPr>
          <w:rFonts w:ascii="Palatino Linotype" w:hAnsi="Palatino Linotype" w:cs="Arial"/>
          <w:b/>
          <w:color w:val="000000" w:themeColor="text1"/>
        </w:rPr>
      </w:pPr>
      <w:r w:rsidRPr="00CA298C">
        <w:rPr>
          <w:rFonts w:ascii="Palatino Linotype" w:hAnsi="Palatino Linotype" w:cs="Arial"/>
          <w:b/>
          <w:color w:val="000000" w:themeColor="text1"/>
        </w:rPr>
        <w:t>II. D</w:t>
      </w:r>
      <w:r w:rsidR="00614878" w:rsidRPr="00CA298C">
        <w:rPr>
          <w:rFonts w:ascii="Palatino Linotype" w:hAnsi="Palatino Linotype" w:cs="Arial"/>
          <w:b/>
          <w:color w:val="000000" w:themeColor="text1"/>
        </w:rPr>
        <w:t>e la información requerida</w:t>
      </w:r>
    </w:p>
    <w:p w14:paraId="2CE037FE" w14:textId="77777777" w:rsidR="00AF6856" w:rsidRPr="00CA298C" w:rsidRDefault="00FD192A"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El requerimiento del </w:t>
      </w:r>
      <w:proofErr w:type="gramStart"/>
      <w:r w:rsidRPr="00CA298C">
        <w:rPr>
          <w:rFonts w:ascii="Palatino Linotype" w:hAnsi="Palatino Linotype" w:cs="Arial"/>
          <w:color w:val="000000" w:themeColor="text1"/>
        </w:rPr>
        <w:t>particular,</w:t>
      </w:r>
      <w:proofErr w:type="gramEnd"/>
      <w:r w:rsidRPr="00CA298C">
        <w:rPr>
          <w:rFonts w:ascii="Palatino Linotype" w:hAnsi="Palatino Linotype" w:cs="Arial"/>
          <w:color w:val="000000" w:themeColor="text1"/>
        </w:rPr>
        <w:t xml:space="preserve"> versa sobre</w:t>
      </w:r>
      <w:r w:rsidR="00AF6856" w:rsidRPr="00CA298C">
        <w:rPr>
          <w:rFonts w:ascii="Palatino Linotype" w:hAnsi="Palatino Linotype" w:cs="Arial"/>
          <w:color w:val="000000" w:themeColor="text1"/>
        </w:rPr>
        <w:t xml:space="preserve"> sobre lo siguiente:</w:t>
      </w:r>
    </w:p>
    <w:p w14:paraId="473D8E96" w14:textId="779650CD" w:rsidR="00AF6856" w:rsidRPr="00CA298C" w:rsidRDefault="00AF6856" w:rsidP="00AF6856">
      <w:pPr>
        <w:pStyle w:val="Prrafodelista"/>
        <w:numPr>
          <w:ilvl w:val="0"/>
          <w:numId w:val="16"/>
        </w:numPr>
        <w:spacing w:line="360" w:lineRule="auto"/>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t>Avisos de privacidad; y,</w:t>
      </w:r>
    </w:p>
    <w:p w14:paraId="12B4A640" w14:textId="60855EE5" w:rsidR="00AF6856" w:rsidRPr="00CA298C" w:rsidRDefault="00AF6856" w:rsidP="00AF6856">
      <w:pPr>
        <w:pStyle w:val="Prrafodelista"/>
        <w:numPr>
          <w:ilvl w:val="0"/>
          <w:numId w:val="16"/>
        </w:numPr>
        <w:spacing w:line="360" w:lineRule="auto"/>
        <w:jc w:val="both"/>
        <w:rPr>
          <w:rFonts w:ascii="Palatino Linotype" w:hAnsi="Palatino Linotype" w:cs="Arial"/>
          <w:color w:val="000000" w:themeColor="text1"/>
          <w:sz w:val="22"/>
        </w:rPr>
      </w:pPr>
      <w:r w:rsidRPr="00CA298C">
        <w:rPr>
          <w:rFonts w:ascii="Palatino Linotype" w:hAnsi="Palatino Linotype" w:cs="Arial"/>
          <w:color w:val="000000" w:themeColor="text1"/>
          <w:sz w:val="22"/>
        </w:rPr>
        <w:t>Documento de seguridad.</w:t>
      </w:r>
    </w:p>
    <w:p w14:paraId="688EBEE0" w14:textId="77777777" w:rsidR="00AF6856" w:rsidRPr="00CA298C" w:rsidRDefault="00AF6856" w:rsidP="00AF6856">
      <w:pPr>
        <w:pStyle w:val="Prrafodelista"/>
        <w:spacing w:line="360" w:lineRule="auto"/>
        <w:ind w:left="0"/>
        <w:jc w:val="both"/>
        <w:rPr>
          <w:rFonts w:ascii="Palatino Linotype" w:hAnsi="Palatino Linotype" w:cs="Arial"/>
          <w:color w:val="000000" w:themeColor="text1"/>
          <w:sz w:val="22"/>
        </w:rPr>
      </w:pPr>
    </w:p>
    <w:p w14:paraId="3B74ED14" w14:textId="53581A45" w:rsidR="00AF6856" w:rsidRPr="00CA298C" w:rsidRDefault="00AF6856"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El sujeto Obligado no dio respuesta a las solicitudes de acceso a la información del recurrente.</w:t>
      </w:r>
    </w:p>
    <w:p w14:paraId="1FFABA08" w14:textId="77777777" w:rsidR="00AF6856" w:rsidRPr="00CA298C" w:rsidRDefault="00AF6856" w:rsidP="00AF6856">
      <w:pPr>
        <w:pStyle w:val="Prrafodelista"/>
        <w:spacing w:line="360" w:lineRule="auto"/>
        <w:ind w:left="0"/>
        <w:jc w:val="both"/>
        <w:rPr>
          <w:rFonts w:ascii="Palatino Linotype" w:hAnsi="Palatino Linotype" w:cs="Arial"/>
          <w:color w:val="000000" w:themeColor="text1"/>
        </w:rPr>
      </w:pPr>
    </w:p>
    <w:p w14:paraId="76B38226" w14:textId="77777777" w:rsidR="007134D6" w:rsidRPr="00CA298C" w:rsidRDefault="007134D6"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Sin embargo, a través del informe justificado remitió un aviso de privacidad en los siguientes términos:</w:t>
      </w:r>
    </w:p>
    <w:p w14:paraId="3302598F" w14:textId="77777777" w:rsidR="007134D6" w:rsidRPr="00CA298C" w:rsidRDefault="007134D6" w:rsidP="007134D6">
      <w:pPr>
        <w:pStyle w:val="Prrafodelista"/>
        <w:rPr>
          <w:rFonts w:ascii="Palatino Linotype" w:hAnsi="Palatino Linotype" w:cs="Arial"/>
          <w:color w:val="000000" w:themeColor="text1"/>
        </w:rPr>
      </w:pPr>
    </w:p>
    <w:p w14:paraId="5C408A31" w14:textId="23FD9BAB" w:rsidR="007134D6" w:rsidRPr="00CA298C" w:rsidRDefault="007134D6" w:rsidP="007134D6">
      <w:pPr>
        <w:pStyle w:val="Prrafodelista"/>
        <w:spacing w:line="360" w:lineRule="auto"/>
        <w:ind w:left="0"/>
        <w:jc w:val="both"/>
        <w:rPr>
          <w:rFonts w:ascii="Palatino Linotype" w:hAnsi="Palatino Linotype" w:cs="Arial"/>
          <w:color w:val="000000" w:themeColor="text1"/>
        </w:rPr>
      </w:pPr>
      <w:r w:rsidRPr="00CA298C">
        <w:rPr>
          <w:rFonts w:ascii="Palatino Linotype" w:hAnsi="Palatino Linotype" w:cs="Arial"/>
          <w:noProof/>
          <w:color w:val="000000" w:themeColor="text1"/>
        </w:rPr>
        <w:lastRenderedPageBreak/>
        <w:drawing>
          <wp:inline distT="0" distB="0" distL="0" distR="0" wp14:anchorId="5349A48B" wp14:editId="4B3A55E4">
            <wp:extent cx="5401429" cy="643979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1429" cy="6439799"/>
                    </a:xfrm>
                    <a:prstGeom prst="rect">
                      <a:avLst/>
                    </a:prstGeom>
                  </pic:spPr>
                </pic:pic>
              </a:graphicData>
            </a:graphic>
          </wp:inline>
        </w:drawing>
      </w:r>
    </w:p>
    <w:p w14:paraId="17FDED2A" w14:textId="585A4497" w:rsidR="007134D6" w:rsidRPr="00CA298C" w:rsidRDefault="007134D6" w:rsidP="007134D6">
      <w:pPr>
        <w:pStyle w:val="Prrafodelista"/>
        <w:spacing w:line="360" w:lineRule="auto"/>
        <w:ind w:left="0"/>
        <w:jc w:val="both"/>
        <w:rPr>
          <w:rFonts w:ascii="Palatino Linotype" w:hAnsi="Palatino Linotype" w:cs="Arial"/>
          <w:color w:val="000000" w:themeColor="text1"/>
        </w:rPr>
      </w:pPr>
      <w:r w:rsidRPr="00CA298C">
        <w:rPr>
          <w:rFonts w:ascii="Palatino Linotype" w:hAnsi="Palatino Linotype" w:cs="Arial"/>
          <w:noProof/>
          <w:color w:val="000000" w:themeColor="text1"/>
        </w:rPr>
        <w:lastRenderedPageBreak/>
        <w:drawing>
          <wp:inline distT="0" distB="0" distL="0" distR="0" wp14:anchorId="1A063883" wp14:editId="1FB8415C">
            <wp:extent cx="5612130" cy="49422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942205"/>
                    </a:xfrm>
                    <a:prstGeom prst="rect">
                      <a:avLst/>
                    </a:prstGeom>
                  </pic:spPr>
                </pic:pic>
              </a:graphicData>
            </a:graphic>
          </wp:inline>
        </w:drawing>
      </w:r>
    </w:p>
    <w:p w14:paraId="7059CD05" w14:textId="77777777" w:rsidR="007134D6" w:rsidRPr="00CA298C" w:rsidRDefault="007134D6" w:rsidP="007134D6">
      <w:pPr>
        <w:pStyle w:val="Prrafodelista"/>
        <w:rPr>
          <w:rFonts w:ascii="Palatino Linotype" w:hAnsi="Palatino Linotype" w:cs="Arial"/>
          <w:color w:val="000000" w:themeColor="text1"/>
        </w:rPr>
      </w:pPr>
    </w:p>
    <w:p w14:paraId="3E1105A4" w14:textId="1205E55F" w:rsidR="007134D6" w:rsidRPr="00CA298C" w:rsidRDefault="007134D6" w:rsidP="007134D6">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Asimismo, señaló la dirección electrónica </w:t>
      </w:r>
      <w:hyperlink r:id="rId11" w:history="1">
        <w:r w:rsidRPr="00CA298C">
          <w:rPr>
            <w:rStyle w:val="Hipervnculo"/>
            <w:rFonts w:ascii="Palatino Linotype" w:eastAsiaTheme="minorEastAsia" w:hAnsi="Palatino Linotype"/>
            <w:lang w:val="es-ES_tradnl"/>
          </w:rPr>
          <w:t>https://www.villadeallende.gob.mx/aviso-p.php</w:t>
        </w:r>
      </w:hyperlink>
      <w:r w:rsidRPr="00CA298C">
        <w:rPr>
          <w:rFonts w:ascii="Palatino Linotype" w:hAnsi="Palatino Linotype" w:cs="Arial"/>
          <w:color w:val="000000" w:themeColor="text1"/>
        </w:rPr>
        <w:t>, la cual, contiene el mismo texto de la imagen referida.</w:t>
      </w:r>
    </w:p>
    <w:p w14:paraId="51214804" w14:textId="77777777" w:rsidR="00FE456E" w:rsidRPr="00CA298C" w:rsidRDefault="00FE456E" w:rsidP="00FE456E">
      <w:pPr>
        <w:pStyle w:val="Prrafodelista"/>
        <w:spacing w:line="360" w:lineRule="auto"/>
        <w:ind w:left="0"/>
        <w:jc w:val="both"/>
        <w:rPr>
          <w:rFonts w:ascii="Palatino Linotype" w:hAnsi="Palatino Linotype" w:cs="Arial"/>
          <w:color w:val="000000" w:themeColor="text1"/>
        </w:rPr>
      </w:pPr>
    </w:p>
    <w:p w14:paraId="011D7C9B" w14:textId="3CF7B732" w:rsidR="00FE456E" w:rsidRPr="00CA298C" w:rsidRDefault="00FE456E" w:rsidP="00FE456E">
      <w:pPr>
        <w:pStyle w:val="Prrafodelista"/>
        <w:numPr>
          <w:ilvl w:val="2"/>
          <w:numId w:val="4"/>
        </w:numPr>
        <w:spacing w:line="360" w:lineRule="auto"/>
        <w:ind w:left="709" w:hanging="283"/>
        <w:jc w:val="both"/>
        <w:rPr>
          <w:rFonts w:ascii="Palatino Linotype" w:hAnsi="Palatino Linotype" w:cs="Arial"/>
          <w:b/>
          <w:color w:val="000000" w:themeColor="text1"/>
        </w:rPr>
      </w:pPr>
      <w:r w:rsidRPr="00CA298C">
        <w:rPr>
          <w:rFonts w:ascii="Palatino Linotype" w:hAnsi="Palatino Linotype" w:cs="Arial"/>
          <w:b/>
          <w:color w:val="000000" w:themeColor="text1"/>
        </w:rPr>
        <w:t>De los avisos de privacidad</w:t>
      </w:r>
    </w:p>
    <w:p w14:paraId="77CA1361" w14:textId="77777777" w:rsidR="007134D6" w:rsidRPr="00CA298C" w:rsidRDefault="007134D6" w:rsidP="007134D6">
      <w:pPr>
        <w:pStyle w:val="Prrafodelista"/>
        <w:numPr>
          <w:ilvl w:val="0"/>
          <w:numId w:val="4"/>
        </w:numPr>
        <w:spacing w:line="360" w:lineRule="auto"/>
        <w:ind w:left="0" w:firstLine="0"/>
        <w:jc w:val="both"/>
        <w:rPr>
          <w:rFonts w:ascii="Palatino Linotype" w:eastAsia="MS Mincho" w:hAnsi="Palatino Linotype"/>
        </w:rPr>
      </w:pPr>
      <w:r w:rsidRPr="00CA298C">
        <w:rPr>
          <w:rFonts w:ascii="Palatino Linotype" w:eastAsia="MS Mincho" w:hAnsi="Palatino Linotype"/>
        </w:rPr>
        <w:t xml:space="preserve">Derivado de la naturaleza de la información requerida, </w:t>
      </w:r>
      <w:r w:rsidRPr="00CA298C">
        <w:rPr>
          <w:rFonts w:ascii="Palatino Linotype" w:eastAsia="Calibri" w:hAnsi="Palatino Linotype" w:cs="Tahoma"/>
          <w:lang w:eastAsia="es-ES_tradnl"/>
        </w:rPr>
        <w:t xml:space="preserve">resulta necesario </w:t>
      </w:r>
      <w:r w:rsidRPr="00CA298C">
        <w:rPr>
          <w:rFonts w:ascii="Palatino Linotype" w:hAnsi="Palatino Linotype" w:cs="Tahoma"/>
          <w:bCs/>
        </w:rPr>
        <w:t xml:space="preserve">traer a colación lo establecido en la Ley de Protección de Datos Personales en Posesión de Sujetos Obligados del Estado de México y Municipios, a saber: </w:t>
      </w:r>
    </w:p>
    <w:p w14:paraId="7213B42D"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cs="Tahoma"/>
          <w:b/>
          <w:bCs/>
          <w:i/>
          <w:sz w:val="22"/>
          <w:szCs w:val="22"/>
        </w:rPr>
      </w:pPr>
      <w:r w:rsidRPr="00CA298C">
        <w:rPr>
          <w:rFonts w:ascii="Palatino Linotype" w:hAnsi="Palatino Linotype" w:cs="Tahoma"/>
          <w:b/>
          <w:bCs/>
          <w:i/>
          <w:sz w:val="22"/>
          <w:szCs w:val="22"/>
        </w:rPr>
        <w:lastRenderedPageBreak/>
        <w:t>Título Primero</w:t>
      </w:r>
    </w:p>
    <w:p w14:paraId="78F4162F"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cs="Tahoma"/>
          <w:b/>
          <w:bCs/>
          <w:i/>
          <w:sz w:val="22"/>
          <w:szCs w:val="22"/>
        </w:rPr>
      </w:pPr>
      <w:r w:rsidRPr="00CA298C">
        <w:rPr>
          <w:rFonts w:ascii="Palatino Linotype" w:hAnsi="Palatino Linotype" w:cs="Tahoma"/>
          <w:b/>
          <w:bCs/>
          <w:i/>
          <w:sz w:val="22"/>
          <w:szCs w:val="22"/>
        </w:rPr>
        <w:t>De las Disposiciones Generales</w:t>
      </w:r>
    </w:p>
    <w:p w14:paraId="47040262"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b/>
          <w:i/>
          <w:sz w:val="22"/>
          <w:szCs w:val="22"/>
        </w:rPr>
      </w:pPr>
      <w:r w:rsidRPr="00CA298C">
        <w:rPr>
          <w:rFonts w:ascii="Palatino Linotype" w:hAnsi="Palatino Linotype"/>
          <w:b/>
          <w:i/>
          <w:sz w:val="22"/>
          <w:szCs w:val="22"/>
        </w:rPr>
        <w:t>CAPÍTULO PRIMERO</w:t>
      </w:r>
    </w:p>
    <w:p w14:paraId="7FDC466F"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cs="Tahoma"/>
          <w:b/>
          <w:bCs/>
          <w:i/>
          <w:sz w:val="22"/>
          <w:szCs w:val="22"/>
        </w:rPr>
      </w:pPr>
      <w:r w:rsidRPr="00CA298C">
        <w:rPr>
          <w:rFonts w:ascii="Palatino Linotype" w:hAnsi="Palatino Linotype"/>
          <w:b/>
          <w:i/>
          <w:sz w:val="22"/>
          <w:szCs w:val="22"/>
        </w:rPr>
        <w:t>DEL OBJETO Y ÁMBITO DE APLICACIÓN DE LA LEY</w:t>
      </w:r>
    </w:p>
    <w:p w14:paraId="4087128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cs="Tahoma"/>
          <w:bCs/>
          <w:i/>
          <w:sz w:val="22"/>
          <w:szCs w:val="22"/>
        </w:rPr>
      </w:pPr>
    </w:p>
    <w:p w14:paraId="18DF7960"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Glosario Artículo 4. Para los efectos de esta Ley se entenderá por:</w:t>
      </w:r>
    </w:p>
    <w:p w14:paraId="50401CA9"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 a IV… </w:t>
      </w:r>
    </w:p>
    <w:p w14:paraId="46984F7E" w14:textId="77777777" w:rsidR="007134D6" w:rsidRPr="00CA298C" w:rsidRDefault="007134D6" w:rsidP="007134D6">
      <w:pPr>
        <w:tabs>
          <w:tab w:val="left" w:pos="2595"/>
        </w:tabs>
        <w:spacing w:line="360" w:lineRule="auto"/>
        <w:ind w:left="567" w:right="1183"/>
        <w:contextualSpacing/>
        <w:jc w:val="both"/>
        <w:rPr>
          <w:rFonts w:ascii="Palatino Linotype" w:hAnsi="Palatino Linotype" w:cs="Tahoma"/>
          <w:bCs/>
          <w:i/>
          <w:sz w:val="22"/>
          <w:szCs w:val="22"/>
        </w:rPr>
      </w:pPr>
      <w:r w:rsidRPr="00CA298C">
        <w:rPr>
          <w:rFonts w:ascii="Palatino Linotype" w:hAnsi="Palatino Linotype" w:cs="Tahoma"/>
          <w:bCs/>
          <w:i/>
          <w:sz w:val="22"/>
          <w:szCs w:val="22"/>
        </w:rPr>
        <w:t xml:space="preserve">V. </w:t>
      </w:r>
      <w:r w:rsidRPr="00CA298C">
        <w:rPr>
          <w:rFonts w:ascii="Palatino Linotype" w:hAnsi="Palatino Linotype" w:cs="Tahoma"/>
          <w:b/>
          <w:bCs/>
          <w:i/>
          <w:sz w:val="22"/>
          <w:szCs w:val="22"/>
          <w:u w:val="single"/>
        </w:rPr>
        <w:t>Aviso de Privacidad: al documento físico, electrónico o en cualquier formato generado por el responsable que es puesto a disposición del Titular con el objeto de informarle los propósitos del tratamiento al que serán sometidos sus datos personales.</w:t>
      </w:r>
      <w:r w:rsidRPr="00CA298C">
        <w:rPr>
          <w:rFonts w:ascii="Palatino Linotype" w:hAnsi="Palatino Linotype" w:cs="Tahoma"/>
          <w:bCs/>
          <w:i/>
          <w:sz w:val="22"/>
          <w:szCs w:val="22"/>
        </w:rPr>
        <w:t xml:space="preserve"> </w:t>
      </w:r>
    </w:p>
    <w:p w14:paraId="5C2E754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cs="Tahoma"/>
          <w:bCs/>
          <w:i/>
          <w:sz w:val="22"/>
          <w:szCs w:val="22"/>
        </w:rPr>
      </w:pPr>
      <w:r w:rsidRPr="00CA298C">
        <w:rPr>
          <w:rFonts w:ascii="Palatino Linotype" w:hAnsi="Palatino Linotype" w:cs="Tahoma"/>
          <w:bCs/>
          <w:i/>
          <w:sz w:val="22"/>
          <w:szCs w:val="22"/>
        </w:rPr>
        <w:t>VI a XL…</w:t>
      </w:r>
    </w:p>
    <w:p w14:paraId="7D562332" w14:textId="77777777" w:rsidR="007134D6" w:rsidRPr="00CA298C" w:rsidRDefault="007134D6" w:rsidP="007134D6">
      <w:pPr>
        <w:tabs>
          <w:tab w:val="left" w:pos="2595"/>
        </w:tabs>
        <w:spacing w:line="360" w:lineRule="auto"/>
        <w:ind w:left="567" w:right="1183"/>
        <w:contextualSpacing/>
        <w:jc w:val="both"/>
        <w:rPr>
          <w:rFonts w:ascii="Palatino Linotype" w:hAnsi="Palatino Linotype" w:cs="Tahoma"/>
          <w:b/>
          <w:bCs/>
          <w:i/>
          <w:sz w:val="22"/>
          <w:szCs w:val="22"/>
          <w:u w:val="single"/>
        </w:rPr>
      </w:pPr>
      <w:r w:rsidRPr="00CA298C">
        <w:rPr>
          <w:rFonts w:ascii="Palatino Linotype" w:hAnsi="Palatino Linotype"/>
          <w:b/>
          <w:i/>
          <w:sz w:val="22"/>
          <w:szCs w:val="22"/>
          <w:u w:val="single"/>
        </w:rPr>
        <w:t>XLI. Responsable: a los sujetos obligados a que se refiere la presente Ley que deciden sobre el tratamiento de los datos personales.</w:t>
      </w:r>
    </w:p>
    <w:p w14:paraId="6C911F69" w14:textId="77777777" w:rsidR="007134D6" w:rsidRPr="00CA298C" w:rsidRDefault="007134D6" w:rsidP="007134D6">
      <w:pPr>
        <w:tabs>
          <w:tab w:val="left" w:pos="2595"/>
        </w:tabs>
        <w:spacing w:line="360" w:lineRule="auto"/>
        <w:ind w:left="567" w:right="1183"/>
        <w:contextualSpacing/>
        <w:jc w:val="both"/>
        <w:rPr>
          <w:rFonts w:ascii="Palatino Linotype" w:hAnsi="Palatino Linotype" w:cs="Tahoma"/>
          <w:bCs/>
          <w:i/>
          <w:sz w:val="22"/>
          <w:szCs w:val="22"/>
        </w:rPr>
      </w:pPr>
      <w:r w:rsidRPr="00CA298C">
        <w:rPr>
          <w:rFonts w:ascii="Palatino Linotype" w:hAnsi="Palatino Linotype" w:cs="Tahoma"/>
          <w:bCs/>
          <w:i/>
          <w:sz w:val="22"/>
          <w:szCs w:val="22"/>
        </w:rPr>
        <w:t>XLII…</w:t>
      </w:r>
    </w:p>
    <w:p w14:paraId="166EEEDE" w14:textId="77777777" w:rsidR="007134D6" w:rsidRPr="00CA298C" w:rsidRDefault="007134D6" w:rsidP="007134D6">
      <w:pPr>
        <w:tabs>
          <w:tab w:val="left" w:pos="2595"/>
        </w:tabs>
        <w:spacing w:line="360" w:lineRule="auto"/>
        <w:ind w:left="567" w:right="1183"/>
        <w:contextualSpacing/>
        <w:jc w:val="both"/>
        <w:rPr>
          <w:rFonts w:ascii="Palatino Linotype" w:hAnsi="Palatino Linotype" w:cs="Tahoma"/>
          <w:bCs/>
          <w:i/>
          <w:sz w:val="22"/>
          <w:szCs w:val="22"/>
        </w:rPr>
      </w:pPr>
      <w:r w:rsidRPr="00CA298C">
        <w:rPr>
          <w:rFonts w:ascii="Palatino Linotype" w:hAnsi="Palatino Linotype"/>
          <w:i/>
          <w:sz w:val="22"/>
          <w:szCs w:val="22"/>
        </w:rPr>
        <w:t xml:space="preserve">XLIII. </w:t>
      </w:r>
      <w:r w:rsidRPr="00CA298C">
        <w:rPr>
          <w:rFonts w:ascii="Palatino Linotype" w:hAnsi="Palatino Linotype"/>
          <w:b/>
          <w:i/>
          <w:sz w:val="22"/>
          <w:szCs w:val="22"/>
          <w:u w:val="single"/>
        </w:rPr>
        <w:t>Sistema de datos personales: a los datos personales contenidos en los archivos de un sujeto obligado que puede comprender el tratamiento de una o diversas bases de datos para el cumplimiento de una o diversas finalidades</w:t>
      </w:r>
      <w:r w:rsidRPr="00CA298C">
        <w:rPr>
          <w:rFonts w:ascii="Palatino Linotype" w:hAnsi="Palatino Linotype"/>
          <w:i/>
          <w:sz w:val="22"/>
          <w:szCs w:val="22"/>
        </w:rPr>
        <w:t>.</w:t>
      </w:r>
    </w:p>
    <w:p w14:paraId="38CE678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cs="Tahoma"/>
          <w:bCs/>
          <w:i/>
          <w:sz w:val="22"/>
          <w:szCs w:val="22"/>
        </w:rPr>
      </w:pPr>
      <w:r w:rsidRPr="00CA298C">
        <w:rPr>
          <w:rFonts w:ascii="Palatino Linotype" w:hAnsi="Palatino Linotype" w:cs="Tahoma"/>
          <w:bCs/>
          <w:i/>
          <w:sz w:val="22"/>
          <w:szCs w:val="22"/>
        </w:rPr>
        <w:t xml:space="preserve">XLIV al LII… </w:t>
      </w:r>
    </w:p>
    <w:p w14:paraId="61669EAD"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cs="Tahoma"/>
          <w:bCs/>
          <w:i/>
          <w:sz w:val="22"/>
          <w:szCs w:val="22"/>
        </w:rPr>
      </w:pPr>
      <w:r w:rsidRPr="00CA298C">
        <w:rPr>
          <w:rFonts w:ascii="Palatino Linotype" w:hAnsi="Palatino Linotype" w:cs="Tahoma"/>
          <w:bCs/>
          <w:i/>
          <w:sz w:val="22"/>
          <w:szCs w:val="22"/>
        </w:rPr>
        <w:t>Título Segundo</w:t>
      </w:r>
    </w:p>
    <w:p w14:paraId="38E23D9F"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cs="Tahoma"/>
          <w:b/>
          <w:i/>
          <w:sz w:val="22"/>
          <w:szCs w:val="22"/>
        </w:rPr>
      </w:pPr>
      <w:r w:rsidRPr="00CA298C">
        <w:rPr>
          <w:rFonts w:ascii="Palatino Linotype" w:hAnsi="Palatino Linotype" w:cs="Tahoma"/>
          <w:b/>
          <w:i/>
          <w:sz w:val="22"/>
          <w:szCs w:val="22"/>
        </w:rPr>
        <w:t>De los Principios y Disposiciones</w:t>
      </w:r>
    </w:p>
    <w:p w14:paraId="5A62D061"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cs="Tahoma"/>
          <w:b/>
          <w:i/>
          <w:sz w:val="22"/>
          <w:szCs w:val="22"/>
        </w:rPr>
      </w:pPr>
      <w:r w:rsidRPr="00CA298C">
        <w:rPr>
          <w:rFonts w:ascii="Palatino Linotype" w:hAnsi="Palatino Linotype" w:cs="Tahoma"/>
          <w:b/>
          <w:i/>
          <w:sz w:val="22"/>
          <w:szCs w:val="22"/>
        </w:rPr>
        <w:t>Aplicables al Tratamiento de la Información</w:t>
      </w:r>
    </w:p>
    <w:p w14:paraId="1BE10E5B"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b/>
          <w:bCs/>
          <w:i/>
          <w:sz w:val="22"/>
          <w:szCs w:val="22"/>
        </w:rPr>
      </w:pPr>
    </w:p>
    <w:p w14:paraId="23F068DD"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b/>
          <w:bCs/>
          <w:i/>
          <w:sz w:val="22"/>
          <w:szCs w:val="22"/>
        </w:rPr>
      </w:pPr>
      <w:r w:rsidRPr="00CA298C">
        <w:rPr>
          <w:rFonts w:ascii="Palatino Linotype" w:hAnsi="Palatino Linotype"/>
          <w:b/>
          <w:bCs/>
          <w:i/>
          <w:sz w:val="22"/>
          <w:szCs w:val="22"/>
        </w:rPr>
        <w:t xml:space="preserve">CAPÍTULO SEGUNDO </w:t>
      </w:r>
    </w:p>
    <w:p w14:paraId="58F3BBC7"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b/>
          <w:bCs/>
          <w:i/>
          <w:sz w:val="22"/>
          <w:szCs w:val="22"/>
        </w:rPr>
      </w:pPr>
      <w:r w:rsidRPr="00CA298C">
        <w:rPr>
          <w:rFonts w:ascii="Palatino Linotype" w:hAnsi="Palatino Linotype"/>
          <w:b/>
          <w:bCs/>
          <w:i/>
          <w:sz w:val="22"/>
          <w:szCs w:val="22"/>
        </w:rPr>
        <w:t>DEL AVISO DE PRIVACIDAD</w:t>
      </w:r>
    </w:p>
    <w:p w14:paraId="1977A4CD"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cs="Tahoma"/>
          <w:bCs/>
          <w:i/>
          <w:sz w:val="22"/>
          <w:szCs w:val="22"/>
        </w:rPr>
      </w:pPr>
    </w:p>
    <w:p w14:paraId="1DFA085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lastRenderedPageBreak/>
        <w:t xml:space="preserve">Comunicación del Aviso de Privacidad </w:t>
      </w:r>
    </w:p>
    <w:p w14:paraId="1C1ED07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65303D6B"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u w:val="single"/>
        </w:rPr>
      </w:pPr>
      <w:r w:rsidRPr="00CA298C">
        <w:rPr>
          <w:rFonts w:ascii="Palatino Linotype" w:hAnsi="Palatino Linotype"/>
          <w:i/>
          <w:sz w:val="22"/>
          <w:szCs w:val="22"/>
        </w:rPr>
        <w:t xml:space="preserve">Artículo 29. </w:t>
      </w:r>
      <w:r w:rsidRPr="00CA298C">
        <w:rPr>
          <w:rFonts w:ascii="Palatino Linotype" w:hAnsi="Palatino Linotype"/>
          <w:b/>
          <w:i/>
          <w:sz w:val="22"/>
          <w:szCs w:val="22"/>
          <w:u w:val="single"/>
        </w:rPr>
        <w:t xml:space="preserve">Los responsables pondrán a disposición de la o el titular en formatos impresos, digitales, visuales, sonoros o de cualquier otra tecnología, el aviso de privacidad, en las modalidades simplificado e integral. </w:t>
      </w:r>
    </w:p>
    <w:p w14:paraId="06B12A0F"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55A74269"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Del Aviso de Privacidad Integral </w:t>
      </w:r>
    </w:p>
    <w:p w14:paraId="0CABA27F"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2F858847"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Artículo 30.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30C9D0BA"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49594D9B"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02030B94"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rPr>
      </w:pPr>
    </w:p>
    <w:p w14:paraId="49DFDF31"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rPr>
      </w:pPr>
      <w:r w:rsidRPr="00CA298C">
        <w:rPr>
          <w:rFonts w:ascii="Palatino Linotype" w:hAnsi="Palatino Linotype"/>
          <w:b/>
          <w:i/>
          <w:sz w:val="22"/>
          <w:szCs w:val="22"/>
        </w:rPr>
        <w:t xml:space="preserve">Contenido del Aviso de Privacidad Integral </w:t>
      </w:r>
    </w:p>
    <w:p w14:paraId="2C823E02"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1B91B017"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Artículo 31. El </w:t>
      </w:r>
      <w:r w:rsidRPr="00CA298C">
        <w:rPr>
          <w:rFonts w:ascii="Palatino Linotype" w:hAnsi="Palatino Linotype"/>
          <w:b/>
          <w:i/>
          <w:sz w:val="22"/>
          <w:szCs w:val="22"/>
          <w:u w:val="single"/>
        </w:rPr>
        <w:t>aviso de privacidad integral contendrá</w:t>
      </w:r>
      <w:r w:rsidRPr="00CA298C">
        <w:rPr>
          <w:rFonts w:ascii="Palatino Linotype" w:hAnsi="Palatino Linotype"/>
          <w:i/>
          <w:sz w:val="22"/>
          <w:szCs w:val="22"/>
        </w:rPr>
        <w:t xml:space="preserve"> la información siguiente: </w:t>
      </w:r>
    </w:p>
    <w:p w14:paraId="3F1D2245"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5BB88895"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u w:val="single"/>
        </w:rPr>
      </w:pPr>
      <w:r w:rsidRPr="00CA298C">
        <w:rPr>
          <w:rFonts w:ascii="Palatino Linotype" w:hAnsi="Palatino Linotype"/>
          <w:b/>
          <w:i/>
          <w:sz w:val="22"/>
          <w:szCs w:val="22"/>
          <w:u w:val="single"/>
        </w:rPr>
        <w:t xml:space="preserve">I. La denominación del responsable. </w:t>
      </w:r>
    </w:p>
    <w:p w14:paraId="515C9BF6"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u w:val="single"/>
        </w:rPr>
      </w:pPr>
      <w:r w:rsidRPr="00CA298C">
        <w:rPr>
          <w:rFonts w:ascii="Palatino Linotype" w:hAnsi="Palatino Linotype"/>
          <w:b/>
          <w:i/>
          <w:sz w:val="22"/>
          <w:szCs w:val="22"/>
          <w:u w:val="single"/>
        </w:rPr>
        <w:lastRenderedPageBreak/>
        <w:t xml:space="preserve">II. El nombre y cargo del administrador, así como el área o unidad administrativa a la que se encuentra adscrito. </w:t>
      </w:r>
    </w:p>
    <w:p w14:paraId="68D8126B"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III. El nombre del sistema de datos personales o base de datos al que serán incorporados los datos personales. </w:t>
      </w:r>
    </w:p>
    <w:p w14:paraId="44477BD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IV. Los datos personales que serán sometidos a tratamiento, identificando los que son sensibles. </w:t>
      </w:r>
    </w:p>
    <w:p w14:paraId="0566F9AB"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V. El carácter obligatorio o facultativo de la entrega de los datos personales. </w:t>
      </w:r>
    </w:p>
    <w:p w14:paraId="5A84D3AF"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VI. Las consecuencias de la negativa a suministrarlos. </w:t>
      </w:r>
    </w:p>
    <w:p w14:paraId="34B9D41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VII. Las finalidades del tratamiento para las cuales se obtienen los datos personales, distinguiendo aquéllas que requieran el consentimiento de la o el titular. </w:t>
      </w:r>
    </w:p>
    <w:p w14:paraId="580B39D2"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VIII. Cuando se realicen transferencias de datos personales se informará: </w:t>
      </w:r>
    </w:p>
    <w:p w14:paraId="41B60C99"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a) Destinatario de los datos. </w:t>
      </w:r>
    </w:p>
    <w:p w14:paraId="000E2539"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b) Finalidad de la transferencia. </w:t>
      </w:r>
    </w:p>
    <w:p w14:paraId="39B6B4CE"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c) El fundamento que autoriza la transferencia. </w:t>
      </w:r>
    </w:p>
    <w:p w14:paraId="3143060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d) Los datos personales a transferir. </w:t>
      </w:r>
    </w:p>
    <w:p w14:paraId="734BDF36"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e) Las implicaciones de otorgar, el consentimiento expreso. </w:t>
      </w:r>
    </w:p>
    <w:p w14:paraId="40BF0730"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7B839DEA"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Cuando se realicen transferencias de datos personales que requieran consentimiento, se acreditará el otorgamiento. </w:t>
      </w:r>
    </w:p>
    <w:p w14:paraId="034E2647"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681F2677"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 Los mecanismos, medios y procedimientos disponibles para ejercer los derechos ARCO, indicando la dirección electrónica del sistema para presentar sus solicitudes. </w:t>
      </w:r>
    </w:p>
    <w:p w14:paraId="0E1397A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lastRenderedPageBreak/>
        <w:t xml:space="preserve">XI. La indicación por la cual la o el titular podrá revocar el consentimiento para el tratamiento de sus datos, detallando el procedimiento a seguir para tal efecto. </w:t>
      </w:r>
    </w:p>
    <w:p w14:paraId="20AE764E"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XII. Cuando aplique, las opciones y medios que el responsable ofrezca a las o los titulares para limitar el uso o divulgación, o la portabilidad de datos.</w:t>
      </w:r>
    </w:p>
    <w:p w14:paraId="5FFD597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XIII. Los medios a través de los cuales el responsable comunicará a los titulares los cambios al aviso de privacidad. </w:t>
      </w:r>
    </w:p>
    <w:p w14:paraId="155EF15F"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XIV. El cargo y domicilio del encargado, indicando su nombre o el medio por el cual se pueda conocer su identidad. </w:t>
      </w:r>
    </w:p>
    <w:p w14:paraId="765E7EA2"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XV. El domicilio del responsable, y en su caso, cargo y domicilio del encargado, indicando su nombre o el medio por el cual se pueda conocer su identidad. </w:t>
      </w:r>
    </w:p>
    <w:p w14:paraId="222D04B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XVI. El fundamento legal que faculta al responsable para llevar a cabo el tratamiento. </w:t>
      </w:r>
    </w:p>
    <w:p w14:paraId="341B921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XVII. El procedimiento para que se ejerza el derecho a la portabilidad. </w:t>
      </w:r>
    </w:p>
    <w:p w14:paraId="20C13901"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XVIII. El domicilio de la Unidad de Transparencia. </w:t>
      </w:r>
    </w:p>
    <w:p w14:paraId="2FB4A65E"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405F372B"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1FD4505A"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b/>
          <w:i/>
          <w:sz w:val="22"/>
          <w:szCs w:val="22"/>
        </w:rPr>
        <w:t>Del Aviso de Privacidad Simplificado</w:t>
      </w:r>
      <w:r w:rsidRPr="00CA298C">
        <w:rPr>
          <w:rFonts w:ascii="Palatino Linotype" w:hAnsi="Palatino Linotype"/>
          <w:i/>
          <w:sz w:val="22"/>
          <w:szCs w:val="22"/>
        </w:rPr>
        <w:t xml:space="preserve"> </w:t>
      </w:r>
    </w:p>
    <w:p w14:paraId="2F1B5D7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Artículo 32. </w:t>
      </w:r>
      <w:r w:rsidRPr="00CA298C">
        <w:rPr>
          <w:rFonts w:ascii="Palatino Linotype" w:hAnsi="Palatino Linotype"/>
          <w:b/>
          <w:i/>
          <w:sz w:val="22"/>
          <w:szCs w:val="22"/>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CA298C">
        <w:rPr>
          <w:rFonts w:ascii="Palatino Linotype" w:hAnsi="Palatino Linotype"/>
          <w:i/>
          <w:sz w:val="22"/>
          <w:szCs w:val="22"/>
        </w:rPr>
        <w:t xml:space="preserve"> </w:t>
      </w:r>
    </w:p>
    <w:p w14:paraId="47DD9717"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1AFA26AC"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lastRenderedPageBreak/>
        <w:t xml:space="preserve">La puesta a disposición del aviso de </w:t>
      </w:r>
      <w:proofErr w:type="gramStart"/>
      <w:r w:rsidRPr="00CA298C">
        <w:rPr>
          <w:rFonts w:ascii="Palatino Linotype" w:hAnsi="Palatino Linotype"/>
          <w:i/>
          <w:sz w:val="22"/>
          <w:szCs w:val="22"/>
        </w:rPr>
        <w:t>privacidad,</w:t>
      </w:r>
      <w:proofErr w:type="gramEnd"/>
      <w:r w:rsidRPr="00CA298C">
        <w:rPr>
          <w:rFonts w:ascii="Palatino Linotype" w:hAnsi="Palatino Linotype"/>
          <w:i/>
          <w:sz w:val="22"/>
          <w:szCs w:val="22"/>
        </w:rPr>
        <w:t xml:space="preserve"> no exime al responsable de su obligación de proveer los mecanismos para que la o el titular pueda conocer el contenido del aviso de privacidad integral. </w:t>
      </w:r>
    </w:p>
    <w:p w14:paraId="09AA5BBF"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678E57E5"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Contenido del Aviso de Privacidad Simplificado </w:t>
      </w:r>
    </w:p>
    <w:p w14:paraId="5ACEDE2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4D2D88EF"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Artículo 33. El aviso de privacidad simplificado deberá contener, al menos, la información a que se refieren las fracciones I, VII, VIII y IX del artículo relativo al contenido del aviso de privacidad integral.</w:t>
      </w:r>
    </w:p>
    <w:p w14:paraId="66EB21F2" w14:textId="77777777" w:rsidR="007134D6" w:rsidRPr="00CA298C" w:rsidRDefault="007134D6" w:rsidP="007134D6">
      <w:pPr>
        <w:pStyle w:val="Prrafodelista"/>
        <w:spacing w:line="360" w:lineRule="auto"/>
        <w:ind w:left="567" w:right="1183"/>
        <w:jc w:val="both"/>
        <w:rPr>
          <w:rFonts w:ascii="Palatino Linotype" w:hAnsi="Palatino Linotype" w:cs="Arial"/>
          <w:sz w:val="22"/>
          <w:szCs w:val="22"/>
        </w:rPr>
      </w:pPr>
    </w:p>
    <w:p w14:paraId="65823B0C"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rPr>
      </w:pPr>
      <w:r w:rsidRPr="00CA298C">
        <w:rPr>
          <w:rFonts w:ascii="Palatino Linotype" w:hAnsi="Palatino Linotype"/>
          <w:b/>
          <w:i/>
          <w:sz w:val="22"/>
          <w:szCs w:val="22"/>
        </w:rPr>
        <w:t xml:space="preserve">Excepciones para la comunicación previa del Aviso de Privacidad </w:t>
      </w:r>
    </w:p>
    <w:p w14:paraId="5020180C"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7A47524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Artículo 34. No será necesario proporcionar el aviso de privacidad de manera previa, a la o el titular, cuando: </w:t>
      </w:r>
    </w:p>
    <w:p w14:paraId="1D2C90C4"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 Expresamente una ley lo prevea. </w:t>
      </w:r>
    </w:p>
    <w:p w14:paraId="51BA6560"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II. Los datos personales se obtengan de manera indirecta. </w:t>
      </w:r>
    </w:p>
    <w:p w14:paraId="76CFFA39"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III. Se trate de urgencias médicas, seguridad pública, o análogas en las cuales se ponga en riesgo la vida o la libertad de las personas, en términos de la legislación de la materia. </w:t>
      </w:r>
    </w:p>
    <w:p w14:paraId="23BF618F"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000E6061"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429409E8"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En el supuesto previsto en la fracción II del presente artículo, cuando los datos personales se obtengan de manera indirecta, es decir, no hayan sido obtenidos </w:t>
      </w:r>
      <w:r w:rsidRPr="00CA298C">
        <w:rPr>
          <w:rFonts w:ascii="Palatino Linotype" w:hAnsi="Palatino Linotype"/>
          <w:i/>
          <w:sz w:val="22"/>
          <w:szCs w:val="22"/>
        </w:rPr>
        <w:lastRenderedPageBreak/>
        <w:t xml:space="preserve">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14:paraId="444CEA9D"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55D16EA3"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En los demás casos, es decir, cuando la finalidad sea análoga y compatible con aquella que originó su tratamiento conforme lo señalado en la presente Ley, el aviso de privacidad será comunicado al titular en los mismos términos del párrafo anterior.</w:t>
      </w:r>
    </w:p>
    <w:p w14:paraId="5E8E48BE"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13897F96"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b/>
          <w:i/>
          <w:sz w:val="22"/>
          <w:szCs w:val="22"/>
        </w:rPr>
      </w:pPr>
      <w:r w:rsidRPr="00CA298C">
        <w:rPr>
          <w:rFonts w:ascii="Palatino Linotype" w:hAnsi="Palatino Linotype"/>
          <w:b/>
          <w:i/>
          <w:sz w:val="22"/>
          <w:szCs w:val="22"/>
        </w:rPr>
        <w:t>CAPÍTULO SEGUNDO</w:t>
      </w:r>
    </w:p>
    <w:p w14:paraId="1CF059D0" w14:textId="77777777" w:rsidR="007134D6" w:rsidRPr="00CA298C" w:rsidRDefault="007134D6" w:rsidP="007134D6">
      <w:pPr>
        <w:tabs>
          <w:tab w:val="left" w:pos="2595"/>
        </w:tabs>
        <w:spacing w:line="360" w:lineRule="auto"/>
        <w:ind w:left="567" w:right="1183"/>
        <w:contextualSpacing/>
        <w:jc w:val="center"/>
        <w:rPr>
          <w:rFonts w:ascii="Palatino Linotype" w:hAnsi="Palatino Linotype"/>
          <w:b/>
          <w:i/>
          <w:sz w:val="22"/>
          <w:szCs w:val="22"/>
        </w:rPr>
      </w:pPr>
      <w:r w:rsidRPr="00CA298C">
        <w:rPr>
          <w:rFonts w:ascii="Palatino Linotype" w:hAnsi="Palatino Linotype"/>
          <w:b/>
          <w:i/>
          <w:sz w:val="22"/>
          <w:szCs w:val="22"/>
        </w:rPr>
        <w:t>DE LAS RESPONSABILIDADES</w:t>
      </w:r>
    </w:p>
    <w:p w14:paraId="4BB23C81"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p>
    <w:p w14:paraId="0FC806B2"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Supuestos de responsabilidad </w:t>
      </w:r>
    </w:p>
    <w:p w14:paraId="07B58860"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Artículo 165. Serán causas de responsabilidad administrativa de las y los servidores públicos por incumplimiento de las obligaciones establecidas en la presente Ley, las siguientes: </w:t>
      </w:r>
    </w:p>
    <w:p w14:paraId="5A3D76B5"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 Actuar con negligencia, dolo o mala fe en la sustanciación de las solicitudes de acceso, rectificación, cancelación u oposición de datos personales, así como los demás derechos previstos por esta Ley. </w:t>
      </w:r>
    </w:p>
    <w:p w14:paraId="02FFE190"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u w:val="single"/>
        </w:rPr>
      </w:pPr>
      <w:r w:rsidRPr="00CA298C">
        <w:rPr>
          <w:rFonts w:ascii="Palatino Linotype" w:hAnsi="Palatino Linotype"/>
          <w:b/>
          <w:i/>
          <w:sz w:val="22"/>
          <w:szCs w:val="22"/>
          <w:u w:val="single"/>
        </w:rPr>
        <w:t>II. No contar con aviso de privacidad u omitir en el aviso de privacidad, alguno o todos los elementos a que se refiere esta Ley.</w:t>
      </w:r>
    </w:p>
    <w:p w14:paraId="2D7D02B1"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u w:val="single"/>
        </w:rPr>
      </w:pPr>
      <w:r w:rsidRPr="00CA298C">
        <w:rPr>
          <w:rFonts w:ascii="Palatino Linotype" w:hAnsi="Palatino Linotype"/>
          <w:b/>
          <w:i/>
          <w:sz w:val="22"/>
          <w:szCs w:val="22"/>
          <w:u w:val="single"/>
        </w:rPr>
        <w:t xml:space="preserve">III. No cumplir con las obligaciones relativas al aviso de privacidad.  </w:t>
      </w:r>
    </w:p>
    <w:p w14:paraId="2FDD0EAE"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 xml:space="preserve">IV. No inscribir los sistemas de datos personales en el registro en el plazo que previene esta Ley.  </w:t>
      </w:r>
    </w:p>
    <w:p w14:paraId="4E88F38A" w14:textId="77777777" w:rsidR="007134D6" w:rsidRPr="00CA298C" w:rsidRDefault="007134D6" w:rsidP="007134D6">
      <w:pPr>
        <w:tabs>
          <w:tab w:val="left" w:pos="2595"/>
        </w:tabs>
        <w:spacing w:line="360" w:lineRule="auto"/>
        <w:ind w:left="567" w:right="1183"/>
        <w:contextualSpacing/>
        <w:jc w:val="both"/>
        <w:rPr>
          <w:rFonts w:ascii="Palatino Linotype" w:hAnsi="Palatino Linotype"/>
          <w:i/>
          <w:sz w:val="22"/>
          <w:szCs w:val="22"/>
        </w:rPr>
      </w:pPr>
      <w:r w:rsidRPr="00CA298C">
        <w:rPr>
          <w:rFonts w:ascii="Palatino Linotype" w:hAnsi="Palatino Linotype"/>
          <w:i/>
          <w:sz w:val="22"/>
          <w:szCs w:val="22"/>
        </w:rPr>
        <w:t>…</w:t>
      </w:r>
    </w:p>
    <w:p w14:paraId="76F3D629" w14:textId="77777777" w:rsidR="007134D6" w:rsidRPr="00CA298C" w:rsidRDefault="007134D6" w:rsidP="007134D6">
      <w:pPr>
        <w:tabs>
          <w:tab w:val="left" w:pos="2595"/>
        </w:tabs>
        <w:spacing w:line="360" w:lineRule="auto"/>
        <w:ind w:left="567" w:right="1183"/>
        <w:contextualSpacing/>
        <w:jc w:val="both"/>
        <w:rPr>
          <w:rFonts w:ascii="Palatino Linotype" w:hAnsi="Palatino Linotype"/>
          <w:b/>
          <w:i/>
          <w:sz w:val="22"/>
          <w:szCs w:val="22"/>
        </w:rPr>
      </w:pPr>
      <w:r w:rsidRPr="00CA298C">
        <w:rPr>
          <w:rFonts w:ascii="Palatino Linotype" w:hAnsi="Palatino Linotype"/>
          <w:b/>
          <w:i/>
          <w:sz w:val="22"/>
          <w:szCs w:val="22"/>
        </w:rPr>
        <w:lastRenderedPageBreak/>
        <w:t>(Énfasis añadido)</w:t>
      </w:r>
    </w:p>
    <w:p w14:paraId="036BEBB8" w14:textId="77777777" w:rsidR="007134D6" w:rsidRPr="00CA298C" w:rsidRDefault="007134D6" w:rsidP="007134D6">
      <w:pPr>
        <w:pStyle w:val="Prrafodelista"/>
        <w:spacing w:line="360" w:lineRule="auto"/>
        <w:ind w:left="0"/>
        <w:jc w:val="both"/>
        <w:rPr>
          <w:rFonts w:ascii="Palatino Linotype" w:hAnsi="Palatino Linotype" w:cs="Arial"/>
        </w:rPr>
      </w:pPr>
    </w:p>
    <w:p w14:paraId="5E3E9908" w14:textId="77777777" w:rsidR="007134D6" w:rsidRPr="00CA298C" w:rsidRDefault="007134D6" w:rsidP="007134D6">
      <w:pPr>
        <w:pStyle w:val="Prrafodelista"/>
        <w:numPr>
          <w:ilvl w:val="0"/>
          <w:numId w:val="4"/>
        </w:numPr>
        <w:spacing w:line="360" w:lineRule="auto"/>
        <w:ind w:left="0" w:firstLine="0"/>
        <w:jc w:val="both"/>
        <w:rPr>
          <w:rFonts w:ascii="Palatino Linotype" w:hAnsi="Palatino Linotype"/>
          <w:b/>
          <w:bCs/>
          <w:u w:val="single"/>
        </w:rPr>
      </w:pPr>
      <w:r w:rsidRPr="00CA298C">
        <w:rPr>
          <w:rFonts w:ascii="Palatino Linotype" w:eastAsia="Calibri" w:hAnsi="Palatino Linotype" w:cs="Tahoma"/>
          <w:bCs/>
          <w:lang w:eastAsia="en-US"/>
        </w:rPr>
        <w:t>De la normatividad antes transcrita se desprende que l</w:t>
      </w:r>
      <w:r w:rsidRPr="00CA298C">
        <w:rPr>
          <w:rFonts w:ascii="Palatino Linotype" w:hAnsi="Palatino Linotype"/>
        </w:rPr>
        <w:t xml:space="preserve">os responsables; es decir, los Sujetos Obligados que deciden sobre el tratamiento de los datos personales, son aquellos que generan el aviso de privacidad y ponen a disposición de la o el titular en </w:t>
      </w:r>
      <w:r w:rsidRPr="00CA298C">
        <w:rPr>
          <w:rFonts w:ascii="Palatino Linotype" w:hAnsi="Palatino Linotype"/>
          <w:b/>
          <w:bCs/>
          <w:u w:val="single"/>
        </w:rPr>
        <w:t xml:space="preserve">formatos impresos, digitales, visuales, sonoros o de cualquier otra tecnología, el mismo, con las especificaciones antes citadas. </w:t>
      </w:r>
    </w:p>
    <w:p w14:paraId="2281A1AC" w14:textId="77777777" w:rsidR="007134D6" w:rsidRPr="00CA298C" w:rsidRDefault="007134D6" w:rsidP="007134D6">
      <w:pPr>
        <w:pStyle w:val="Prrafodelista"/>
        <w:spacing w:line="360" w:lineRule="auto"/>
        <w:ind w:left="0"/>
        <w:jc w:val="both"/>
        <w:rPr>
          <w:rFonts w:ascii="Palatino Linotype" w:hAnsi="Palatino Linotype"/>
          <w:b/>
          <w:bCs/>
          <w:u w:val="single"/>
        </w:rPr>
      </w:pPr>
    </w:p>
    <w:p w14:paraId="62240E30" w14:textId="77777777" w:rsidR="007134D6" w:rsidRPr="00CA298C" w:rsidRDefault="007134D6" w:rsidP="007134D6">
      <w:pPr>
        <w:pStyle w:val="Prrafodelista"/>
        <w:numPr>
          <w:ilvl w:val="0"/>
          <w:numId w:val="4"/>
        </w:numPr>
        <w:spacing w:line="360" w:lineRule="auto"/>
        <w:ind w:left="0" w:firstLine="0"/>
        <w:jc w:val="both"/>
        <w:rPr>
          <w:rFonts w:ascii="Palatino Linotype" w:hAnsi="Palatino Linotype"/>
          <w:b/>
          <w:bCs/>
          <w:u w:val="single"/>
        </w:rPr>
      </w:pPr>
      <w:r w:rsidRPr="00CA298C">
        <w:rPr>
          <w:rFonts w:ascii="Palatino Linotype" w:hAnsi="Palatino Linotype"/>
        </w:rPr>
        <w:t xml:space="preserve">De igual forma, dicho cuerpo normativo, establece como responsabilidad administrativa de los Sujetos Obligados el no contar con el aviso de privacidad </w:t>
      </w:r>
      <w:r w:rsidRPr="00CA298C">
        <w:rPr>
          <w:rFonts w:ascii="Palatino Linotype" w:hAnsi="Palatino Linotype"/>
          <w:b/>
        </w:rPr>
        <w:t>u omitir los elementos regulados en los artículos citados</w:t>
      </w:r>
      <w:r w:rsidRPr="00CA298C">
        <w:rPr>
          <w:rFonts w:ascii="Palatino Linotype" w:hAnsi="Palatino Linotype"/>
        </w:rPr>
        <w:t>; por lo que se dilucida que cada Sujeto Obligado debe contar con los avisos de privacidad respectivos, los cuales deben cumplir con los elementos que se establecen.</w:t>
      </w:r>
    </w:p>
    <w:p w14:paraId="1C4124F3" w14:textId="77777777" w:rsidR="007134D6" w:rsidRPr="00CA298C" w:rsidRDefault="007134D6" w:rsidP="007134D6">
      <w:pPr>
        <w:pStyle w:val="Prrafodelista"/>
        <w:ind w:left="0"/>
        <w:rPr>
          <w:rFonts w:ascii="Palatino Linotype" w:hAnsi="Palatino Linotype"/>
          <w:b/>
          <w:bCs/>
          <w:u w:val="single"/>
        </w:rPr>
      </w:pPr>
    </w:p>
    <w:p w14:paraId="0A334C22" w14:textId="77777777" w:rsidR="007134D6" w:rsidRPr="00CA298C" w:rsidRDefault="007134D6" w:rsidP="007134D6">
      <w:pPr>
        <w:pStyle w:val="Prrafodelista"/>
        <w:numPr>
          <w:ilvl w:val="0"/>
          <w:numId w:val="4"/>
        </w:numPr>
        <w:spacing w:line="360" w:lineRule="auto"/>
        <w:ind w:left="0" w:firstLine="0"/>
        <w:jc w:val="both"/>
        <w:rPr>
          <w:rFonts w:ascii="Palatino Linotype" w:hAnsi="Palatino Linotype"/>
          <w:bCs/>
        </w:rPr>
      </w:pPr>
      <w:r w:rsidRPr="00CA298C">
        <w:rPr>
          <w:rFonts w:ascii="Palatino Linotype" w:hAnsi="Palatino Linotype"/>
          <w:bCs/>
        </w:rPr>
        <w:t xml:space="preserve">Entonces, de la lectura a los elementos que son indispensables para los avisos de privacidad, tanto integral como simplificado, por lo que la falta u omisión de cualquier elemento es causa de responsabilidad administrativa, asimismo, se establece que los avisos de privacidad deberán ser notificados o publicados para el conocimiento de los titulares en formatos impresos, digitales, visuales, sonoros o de cualquier tecnología. </w:t>
      </w:r>
    </w:p>
    <w:p w14:paraId="6CFC5D43" w14:textId="77777777" w:rsidR="007134D6" w:rsidRPr="00CA298C" w:rsidRDefault="007134D6" w:rsidP="007134D6">
      <w:pPr>
        <w:pStyle w:val="Prrafodelista"/>
        <w:ind w:left="0"/>
        <w:rPr>
          <w:rFonts w:ascii="Palatino Linotype" w:hAnsi="Palatino Linotype"/>
          <w:bCs/>
        </w:rPr>
      </w:pPr>
    </w:p>
    <w:p w14:paraId="2892B3ED" w14:textId="77777777" w:rsidR="007134D6" w:rsidRPr="00CA298C" w:rsidRDefault="007134D6" w:rsidP="007134D6">
      <w:pPr>
        <w:pStyle w:val="Prrafodelista"/>
        <w:numPr>
          <w:ilvl w:val="0"/>
          <w:numId w:val="4"/>
        </w:numPr>
        <w:spacing w:line="360" w:lineRule="auto"/>
        <w:ind w:left="0" w:firstLine="0"/>
        <w:jc w:val="both"/>
        <w:rPr>
          <w:rFonts w:ascii="Palatino Linotype" w:hAnsi="Palatino Linotype"/>
          <w:bCs/>
        </w:rPr>
      </w:pPr>
      <w:r w:rsidRPr="00CA298C">
        <w:rPr>
          <w:rFonts w:ascii="Palatino Linotype" w:hAnsi="Palatino Linotype"/>
          <w:bCs/>
        </w:rPr>
        <w:t xml:space="preserve">Si bien es cierto, se proporcionó un aviso de privacidad el cual no se encuentra en estricto apego a lo que establece la normatividad en materia, por el hecho de que no se encuentra el nombre y cargo del administrador; así como el área o unidad administrativa a la que se encuentra adscrito; el nombre del sistema de datos </w:t>
      </w:r>
      <w:r w:rsidRPr="00CA298C">
        <w:rPr>
          <w:rFonts w:ascii="Palatino Linotype" w:hAnsi="Palatino Linotype"/>
          <w:bCs/>
        </w:rPr>
        <w:lastRenderedPageBreak/>
        <w:t xml:space="preserve">personales; el carácter obligatorio o facultativo de la entrega de datos personales, las consecuencias de la negativa a suministrarlos; las finalidades del tratamiento; destinatario de los datos; finalidad de transferencia; fundamento de la transferencia, entre otros; sin embargo, es el documento con el que cuentan, conforme a lo que establece el artículo 4 y 12 de la Ley de Transparencia y Acceso a la Información Pública del Estado de México y Municipios, los cuales </w:t>
      </w:r>
      <w:r w:rsidRPr="00CA298C">
        <w:rPr>
          <w:rFonts w:ascii="Palatino Linotype" w:eastAsia="Calibri" w:hAnsi="Palatino Linotype" w:cs="Arial"/>
        </w:rPr>
        <w:t>establecen los siguiente:</w:t>
      </w:r>
    </w:p>
    <w:p w14:paraId="5AEF9605" w14:textId="77777777" w:rsidR="007134D6" w:rsidRPr="00CA298C" w:rsidRDefault="007134D6" w:rsidP="007134D6">
      <w:pPr>
        <w:spacing w:before="120" w:after="120" w:line="360" w:lineRule="auto"/>
        <w:ind w:left="567" w:right="900"/>
        <w:jc w:val="both"/>
        <w:rPr>
          <w:rFonts w:ascii="Palatino Linotype" w:hAnsi="Palatino Linotype"/>
          <w:i/>
          <w:sz w:val="22"/>
        </w:rPr>
      </w:pPr>
      <w:r w:rsidRPr="00CA298C">
        <w:rPr>
          <w:rFonts w:ascii="Palatino Linotype" w:hAnsi="Palatino Linotype"/>
          <w:sz w:val="22"/>
        </w:rPr>
        <w:t>“</w:t>
      </w:r>
      <w:r w:rsidRPr="00CA298C">
        <w:rPr>
          <w:rFonts w:ascii="Palatino Linotype" w:hAnsi="Palatino Linotype"/>
          <w:b/>
          <w:i/>
          <w:sz w:val="22"/>
        </w:rPr>
        <w:t>Artículo 4.</w:t>
      </w:r>
      <w:r w:rsidRPr="00CA298C">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45B29A4" w14:textId="77777777" w:rsidR="007134D6" w:rsidRPr="00CA298C" w:rsidRDefault="007134D6" w:rsidP="007134D6">
      <w:pPr>
        <w:spacing w:before="120" w:after="120" w:line="360" w:lineRule="auto"/>
        <w:ind w:left="567" w:right="900"/>
        <w:jc w:val="both"/>
        <w:rPr>
          <w:rFonts w:ascii="Palatino Linotype" w:hAnsi="Palatino Linotype"/>
          <w:b/>
          <w:i/>
          <w:sz w:val="22"/>
        </w:rPr>
      </w:pPr>
      <w:r w:rsidRPr="00CA298C">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CA298C">
        <w:rPr>
          <w:rFonts w:ascii="Palatino Linotype" w:hAnsi="Palatino Linotype" w:cs="Arial"/>
          <w:b/>
          <w:i/>
          <w:color w:val="000000"/>
          <w:sz w:val="22"/>
        </w:rPr>
        <w:t>mexicano</w:t>
      </w:r>
      <w:r w:rsidRPr="00CA298C">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8593AAB" w14:textId="77777777" w:rsidR="007134D6" w:rsidRPr="00CA298C" w:rsidRDefault="007134D6" w:rsidP="007134D6">
      <w:pPr>
        <w:spacing w:before="120" w:after="120" w:line="360" w:lineRule="auto"/>
        <w:ind w:left="567" w:right="900"/>
        <w:jc w:val="both"/>
        <w:rPr>
          <w:rFonts w:ascii="Palatino Linotype" w:hAnsi="Palatino Linotype"/>
          <w:i/>
          <w:sz w:val="22"/>
        </w:rPr>
      </w:pPr>
      <w:r w:rsidRPr="00CA298C">
        <w:rPr>
          <w:rFonts w:ascii="Palatino Linotype" w:hAnsi="Palatino Linotype"/>
          <w:i/>
          <w:sz w:val="22"/>
        </w:rPr>
        <w:t>Los sujetos obligados deben poner en práctica, políticas y programas de acceso a la información</w:t>
      </w:r>
      <w:r w:rsidRPr="00CA298C">
        <w:rPr>
          <w:rFonts w:ascii="Palatino Linotype" w:hAnsi="Palatino Linotype"/>
          <w:sz w:val="22"/>
        </w:rPr>
        <w:t xml:space="preserve"> </w:t>
      </w:r>
      <w:r w:rsidRPr="00CA298C">
        <w:rPr>
          <w:rFonts w:ascii="Palatino Linotype" w:hAnsi="Palatino Linotype"/>
          <w:i/>
          <w:sz w:val="22"/>
        </w:rPr>
        <w:t>que se apeguen a criterios de publicidad, veracidad, oportunidad, precisión y suficiencia en beneficio de los solicitantes.”</w:t>
      </w:r>
    </w:p>
    <w:p w14:paraId="022C6D8B" w14:textId="77777777" w:rsidR="007134D6" w:rsidRPr="00CA298C" w:rsidRDefault="007134D6" w:rsidP="007134D6">
      <w:pPr>
        <w:spacing w:before="120" w:after="120" w:line="360" w:lineRule="auto"/>
        <w:ind w:left="567" w:right="900"/>
        <w:jc w:val="both"/>
        <w:rPr>
          <w:rFonts w:ascii="Palatino Linotype" w:hAnsi="Palatino Linotype"/>
          <w:i/>
          <w:sz w:val="22"/>
        </w:rPr>
      </w:pPr>
      <w:r w:rsidRPr="00CA298C">
        <w:rPr>
          <w:rFonts w:ascii="Palatino Linotype" w:hAnsi="Palatino Linotype"/>
          <w:i/>
          <w:sz w:val="22"/>
        </w:rPr>
        <w:t>(Énfasis añadido)</w:t>
      </w:r>
    </w:p>
    <w:p w14:paraId="7D73228B" w14:textId="77777777" w:rsidR="007134D6" w:rsidRPr="00CA298C" w:rsidRDefault="007134D6" w:rsidP="007134D6">
      <w:pPr>
        <w:spacing w:before="120" w:after="120" w:line="360" w:lineRule="auto"/>
        <w:ind w:left="567" w:right="900"/>
        <w:jc w:val="both"/>
        <w:rPr>
          <w:rFonts w:ascii="Palatino Linotype" w:hAnsi="Palatino Linotype" w:cs="Arial"/>
          <w:bCs/>
          <w:i/>
          <w:noProof/>
          <w:sz w:val="22"/>
        </w:rPr>
      </w:pPr>
      <w:r w:rsidRPr="00CA298C">
        <w:rPr>
          <w:rFonts w:ascii="Palatino Linotype" w:hAnsi="Palatino Linotype" w:cs="Arial"/>
          <w:b/>
          <w:bCs/>
          <w:i/>
          <w:noProof/>
          <w:sz w:val="22"/>
        </w:rPr>
        <w:t>Artículo 12.</w:t>
      </w:r>
      <w:r w:rsidRPr="00CA298C">
        <w:rPr>
          <w:rFonts w:ascii="Palatino Linotype" w:hAnsi="Palatino Linotype" w:cs="Arial"/>
          <w:bCs/>
          <w:i/>
          <w:noProof/>
          <w:sz w:val="22"/>
        </w:rPr>
        <w:t xml:space="preserve"> Quienes generen, recopilen, administren, manejen, procesen, archiven o conserven información pública</w:t>
      </w:r>
      <w:r w:rsidRPr="00CA298C">
        <w:rPr>
          <w:rFonts w:ascii="Palatino Linotype" w:hAnsi="Palatino Linotype" w:cs="Arial"/>
          <w:b/>
          <w:bCs/>
          <w:i/>
          <w:noProof/>
          <w:sz w:val="22"/>
        </w:rPr>
        <w:t xml:space="preserve"> </w:t>
      </w:r>
      <w:r w:rsidRPr="00CA298C">
        <w:rPr>
          <w:rFonts w:ascii="Palatino Linotype" w:hAnsi="Palatino Linotype" w:cs="Arial"/>
          <w:bCs/>
          <w:i/>
          <w:noProof/>
          <w:sz w:val="22"/>
        </w:rPr>
        <w:t xml:space="preserve">serán responsables de la misma en los términos de las disposiciones jurídicas </w:t>
      </w:r>
      <w:r w:rsidRPr="00CA298C">
        <w:rPr>
          <w:rFonts w:ascii="Palatino Linotype" w:hAnsi="Palatino Linotype" w:cs="Arial"/>
          <w:i/>
          <w:color w:val="000000"/>
          <w:sz w:val="22"/>
        </w:rPr>
        <w:t>aplicables</w:t>
      </w:r>
      <w:r w:rsidRPr="00CA298C">
        <w:rPr>
          <w:rFonts w:ascii="Palatino Linotype" w:hAnsi="Palatino Linotype" w:cs="Arial"/>
          <w:bCs/>
          <w:i/>
          <w:noProof/>
          <w:sz w:val="22"/>
        </w:rPr>
        <w:t xml:space="preserve">. </w:t>
      </w:r>
    </w:p>
    <w:p w14:paraId="45011F6A" w14:textId="77777777" w:rsidR="007134D6" w:rsidRPr="00CA298C" w:rsidRDefault="007134D6" w:rsidP="007134D6">
      <w:pPr>
        <w:spacing w:before="120" w:after="120" w:line="360" w:lineRule="auto"/>
        <w:ind w:left="567" w:right="900"/>
        <w:jc w:val="both"/>
        <w:rPr>
          <w:rFonts w:ascii="Palatino Linotype" w:hAnsi="Palatino Linotype" w:cs="Arial"/>
          <w:bCs/>
          <w:i/>
          <w:noProof/>
          <w:sz w:val="22"/>
        </w:rPr>
      </w:pPr>
      <w:r w:rsidRPr="00CA298C">
        <w:rPr>
          <w:rFonts w:ascii="Palatino Linotype" w:hAnsi="Palatino Linotype" w:cs="Arial"/>
          <w:b/>
          <w:bCs/>
          <w:i/>
          <w:noProof/>
          <w:sz w:val="22"/>
          <w:u w:val="single"/>
        </w:rPr>
        <w:lastRenderedPageBreak/>
        <w:t>Los sujetos obligados sólo proporcionarán la información pública que se les requiera y que obre en sus archivos</w:t>
      </w:r>
      <w:r w:rsidRPr="00CA298C">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71F0C15" w14:textId="77777777" w:rsidR="007134D6" w:rsidRPr="00CA298C" w:rsidRDefault="007134D6" w:rsidP="007134D6">
      <w:pPr>
        <w:spacing w:before="120" w:after="120" w:line="360" w:lineRule="auto"/>
        <w:ind w:left="567" w:right="900"/>
        <w:jc w:val="both"/>
        <w:rPr>
          <w:rFonts w:ascii="Palatino Linotype" w:hAnsi="Palatino Linotype" w:cs="Arial"/>
          <w:color w:val="000000"/>
          <w:sz w:val="22"/>
        </w:rPr>
      </w:pPr>
      <w:r w:rsidRPr="00CA298C">
        <w:rPr>
          <w:rFonts w:ascii="Palatino Linotype" w:hAnsi="Palatino Linotype" w:cs="Arial"/>
          <w:color w:val="000000"/>
          <w:sz w:val="22"/>
        </w:rPr>
        <w:t>(Énfasis añadido)</w:t>
      </w:r>
    </w:p>
    <w:p w14:paraId="5D1F7504" w14:textId="77777777" w:rsidR="007134D6" w:rsidRPr="00CA298C" w:rsidRDefault="007134D6" w:rsidP="007134D6">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1AD9102B" w14:textId="77777777" w:rsidR="007134D6" w:rsidRPr="00CA298C" w:rsidRDefault="007134D6" w:rsidP="007134D6">
      <w:pPr>
        <w:pStyle w:val="Prrafodelista"/>
        <w:numPr>
          <w:ilvl w:val="0"/>
          <w:numId w:val="4"/>
        </w:numPr>
        <w:tabs>
          <w:tab w:val="left" w:pos="567"/>
        </w:tabs>
        <w:spacing w:line="360" w:lineRule="auto"/>
        <w:ind w:left="0" w:firstLine="0"/>
        <w:jc w:val="both"/>
        <w:rPr>
          <w:rFonts w:ascii="Palatino Linotype" w:eastAsia="Calibri" w:hAnsi="Palatino Linotype" w:cs="Arial"/>
        </w:rPr>
      </w:pPr>
      <w:r w:rsidRPr="00CA298C">
        <w:rPr>
          <w:rFonts w:ascii="Palatino Linotype" w:eastAsia="Calibri" w:hAnsi="Palatino Linotype" w:cs="Arial"/>
        </w:rPr>
        <w:t xml:space="preserve">De los preceptos legales en cito, se desprende que, los Sujetos Obligados deben poner a disposición de cualquier persona que lo solicite, </w:t>
      </w:r>
      <w:r w:rsidRPr="00CA298C">
        <w:rPr>
          <w:rFonts w:ascii="Palatino Linotype" w:eastAsia="Calibri" w:hAnsi="Palatino Linotype" w:cs="Arial"/>
          <w:b/>
        </w:rPr>
        <w:t>toda la información que obre en sus archivos y en el estado en que se encuentre, no comprende la obligación de procesar, ni presentarla conforme a los intereses del particular.</w:t>
      </w:r>
    </w:p>
    <w:p w14:paraId="144E02D0" w14:textId="77777777" w:rsidR="007134D6" w:rsidRPr="00CA298C" w:rsidRDefault="007134D6" w:rsidP="007134D6">
      <w:pPr>
        <w:pStyle w:val="Prrafodelista"/>
        <w:tabs>
          <w:tab w:val="left" w:pos="567"/>
        </w:tabs>
        <w:spacing w:line="360" w:lineRule="auto"/>
        <w:ind w:left="0"/>
        <w:jc w:val="both"/>
        <w:rPr>
          <w:rFonts w:ascii="Palatino Linotype" w:eastAsia="Calibri" w:hAnsi="Palatino Linotype" w:cs="Arial"/>
        </w:rPr>
      </w:pPr>
    </w:p>
    <w:p w14:paraId="0FCE9A17" w14:textId="77777777" w:rsidR="007134D6" w:rsidRPr="00CA298C" w:rsidRDefault="007134D6" w:rsidP="007134D6">
      <w:pPr>
        <w:pStyle w:val="Prrafodelista"/>
        <w:numPr>
          <w:ilvl w:val="0"/>
          <w:numId w:val="4"/>
        </w:numPr>
        <w:autoSpaceDE w:val="0"/>
        <w:autoSpaceDN w:val="0"/>
        <w:adjustRightInd w:val="0"/>
        <w:spacing w:before="120" w:after="120" w:line="360" w:lineRule="auto"/>
        <w:ind w:left="0" w:firstLine="0"/>
        <w:jc w:val="both"/>
        <w:rPr>
          <w:rFonts w:ascii="Palatino Linotype" w:hAnsi="Palatino Linotype" w:cs="Arial"/>
        </w:rPr>
      </w:pPr>
      <w:r w:rsidRPr="00CA298C">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CA298C">
        <w:rPr>
          <w:rFonts w:ascii="Palatino Linotype" w:hAnsi="Palatino Linotype" w:cs="Arial"/>
          <w:b/>
        </w:rPr>
        <w:t xml:space="preserve"> </w:t>
      </w:r>
      <w:r w:rsidRPr="00CA298C">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CA298C">
        <w:rPr>
          <w:rFonts w:ascii="Palatino Linotype" w:hAnsi="Palatino Linotype" w:cs="Arial"/>
          <w:b/>
          <w:i/>
        </w:rPr>
        <w:t>ad hoc</w:t>
      </w:r>
      <w:r w:rsidRPr="00CA298C">
        <w:rPr>
          <w:rFonts w:ascii="Palatino Linotype" w:hAnsi="Palatino Linotype" w:cs="Arial"/>
        </w:rPr>
        <w:t>, para satisfacer el derecho de acceso a la información pública.</w:t>
      </w:r>
    </w:p>
    <w:p w14:paraId="03FA2480" w14:textId="77777777" w:rsidR="007134D6" w:rsidRPr="00CA298C" w:rsidRDefault="007134D6" w:rsidP="007134D6">
      <w:pPr>
        <w:pStyle w:val="Prrafodelista"/>
        <w:spacing w:line="360" w:lineRule="auto"/>
        <w:ind w:left="0"/>
        <w:rPr>
          <w:rFonts w:ascii="Palatino Linotype" w:hAnsi="Palatino Linotype" w:cs="Arial"/>
        </w:rPr>
      </w:pPr>
    </w:p>
    <w:p w14:paraId="2E56E232" w14:textId="77777777" w:rsidR="007134D6" w:rsidRPr="00CA298C" w:rsidRDefault="007134D6" w:rsidP="007134D6">
      <w:pPr>
        <w:pStyle w:val="Prrafodelista"/>
        <w:numPr>
          <w:ilvl w:val="0"/>
          <w:numId w:val="4"/>
        </w:numPr>
        <w:autoSpaceDE w:val="0"/>
        <w:autoSpaceDN w:val="0"/>
        <w:adjustRightInd w:val="0"/>
        <w:spacing w:before="120" w:after="120" w:line="360" w:lineRule="auto"/>
        <w:ind w:left="0" w:firstLine="0"/>
        <w:jc w:val="both"/>
        <w:rPr>
          <w:rFonts w:ascii="Palatino Linotype" w:hAnsi="Palatino Linotype" w:cs="Arial"/>
        </w:rPr>
      </w:pPr>
      <w:r w:rsidRPr="00CA298C">
        <w:rPr>
          <w:rFonts w:ascii="Palatino Linotype" w:hAnsi="Palatino Linotype" w:cs="Arial"/>
        </w:rPr>
        <w:t xml:space="preserve">Como apoyo a lo anterior, es aplicable el Criterio 09-10, emitido por </w:t>
      </w:r>
      <w:r w:rsidRPr="00CA298C">
        <w:rPr>
          <w:rFonts w:ascii="Palatino Linotype" w:eastAsia="Arial Unicode MS" w:hAnsi="Palatino Linotype" w:cs="Arial"/>
        </w:rPr>
        <w:t xml:space="preserve">el Pleno del entonces </w:t>
      </w:r>
      <w:r w:rsidRPr="00CA298C">
        <w:rPr>
          <w:rFonts w:ascii="Palatino Linotype" w:eastAsia="Arial Unicode MS" w:hAnsi="Palatino Linotype" w:cs="Arial"/>
          <w:bCs/>
        </w:rPr>
        <w:t xml:space="preserve">Instituto Federal </w:t>
      </w:r>
      <w:r w:rsidRPr="00CA298C">
        <w:rPr>
          <w:rFonts w:ascii="Palatino Linotype" w:hAnsi="Palatino Linotype" w:cs="Arial"/>
        </w:rPr>
        <w:t>de</w:t>
      </w:r>
      <w:r w:rsidRPr="00CA298C">
        <w:rPr>
          <w:rFonts w:ascii="Palatino Linotype" w:eastAsia="Arial Unicode MS" w:hAnsi="Palatino Linotype" w:cs="Arial"/>
          <w:bCs/>
        </w:rPr>
        <w:t xml:space="preserve"> Acceso a la Información y Protección de Datos (IFAI), </w:t>
      </w:r>
      <w:r w:rsidRPr="00CA298C">
        <w:rPr>
          <w:rFonts w:ascii="Palatino Linotype" w:eastAsia="Arial Unicode MS" w:hAnsi="Palatino Linotype" w:cs="Arial"/>
        </w:rPr>
        <w:t>ahora Instituto Nacional de Transparencia, Acceso a la Información y Protección de Datos Personales (INAI),</w:t>
      </w:r>
      <w:r w:rsidRPr="00CA298C">
        <w:rPr>
          <w:rFonts w:ascii="Palatino Linotype" w:hAnsi="Palatino Linotype"/>
          <w:bCs/>
        </w:rPr>
        <w:t xml:space="preserve"> que dice:</w:t>
      </w:r>
      <w:r w:rsidRPr="00CA298C">
        <w:rPr>
          <w:rFonts w:ascii="Palatino Linotype" w:hAnsi="Palatino Linotype"/>
          <w:b/>
          <w:bCs/>
        </w:rPr>
        <w:t xml:space="preserve"> </w:t>
      </w:r>
    </w:p>
    <w:p w14:paraId="56306BA2" w14:textId="77777777" w:rsidR="007134D6" w:rsidRPr="00CA298C" w:rsidRDefault="007134D6" w:rsidP="007134D6">
      <w:pPr>
        <w:spacing w:line="360" w:lineRule="auto"/>
        <w:ind w:left="567" w:right="616"/>
        <w:jc w:val="both"/>
        <w:rPr>
          <w:rFonts w:ascii="Palatino Linotype" w:hAnsi="Palatino Linotype" w:cs="Arial"/>
          <w:i/>
          <w:sz w:val="22"/>
        </w:rPr>
      </w:pPr>
      <w:r w:rsidRPr="00CA298C">
        <w:rPr>
          <w:rFonts w:ascii="Palatino Linotype" w:hAnsi="Palatino Linotype" w:cs="Arial"/>
          <w:i/>
          <w:sz w:val="22"/>
        </w:rPr>
        <w:lastRenderedPageBreak/>
        <w:t>“</w:t>
      </w:r>
      <w:r w:rsidRPr="00CA298C">
        <w:rPr>
          <w:rFonts w:ascii="Palatino Linotype" w:hAnsi="Palatino Linotype" w:cs="Arial"/>
          <w:b/>
          <w:i/>
          <w:sz w:val="22"/>
          <w:u w:val="single"/>
        </w:rPr>
        <w:t>Las dependencias y entidades no están obligadas a generar documentos ad hoc para responder una solicitud de acceso a la información.</w:t>
      </w:r>
      <w:r w:rsidRPr="00CA298C">
        <w:rPr>
          <w:rFonts w:ascii="Palatino Linotype" w:hAnsi="Palatino Linotype" w:cs="Arial"/>
          <w:i/>
          <w:sz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A9E0D08" w14:textId="77777777" w:rsidR="007134D6" w:rsidRPr="00CA298C" w:rsidRDefault="007134D6" w:rsidP="007134D6">
      <w:pPr>
        <w:spacing w:line="360" w:lineRule="auto"/>
        <w:ind w:left="567" w:right="616"/>
        <w:jc w:val="both"/>
        <w:rPr>
          <w:rFonts w:ascii="Palatino Linotype" w:hAnsi="Palatino Linotype" w:cs="Arial"/>
          <w:i/>
          <w:sz w:val="22"/>
        </w:rPr>
      </w:pPr>
      <w:r w:rsidRPr="00CA298C">
        <w:rPr>
          <w:rFonts w:ascii="Palatino Linotype" w:hAnsi="Palatino Linotype" w:cs="Arial"/>
          <w:i/>
          <w:sz w:val="22"/>
        </w:rPr>
        <w:t>Expedientes:</w:t>
      </w:r>
    </w:p>
    <w:p w14:paraId="3C66A3F4" w14:textId="77777777" w:rsidR="007134D6" w:rsidRPr="00CA298C" w:rsidRDefault="007134D6" w:rsidP="007134D6">
      <w:pPr>
        <w:spacing w:line="360" w:lineRule="auto"/>
        <w:ind w:left="567" w:right="616"/>
        <w:jc w:val="both"/>
        <w:rPr>
          <w:rFonts w:ascii="Palatino Linotype" w:hAnsi="Palatino Linotype" w:cs="Arial"/>
          <w:i/>
          <w:sz w:val="22"/>
        </w:rPr>
      </w:pPr>
      <w:r w:rsidRPr="00CA298C">
        <w:rPr>
          <w:rFonts w:ascii="Palatino Linotype" w:hAnsi="Palatino Linotype" w:cs="Arial"/>
          <w:i/>
          <w:sz w:val="22"/>
        </w:rPr>
        <w:t>0438/08 Pemex Exploración y Producción – Alonso Lujambio Irazábal</w:t>
      </w:r>
    </w:p>
    <w:p w14:paraId="48AC9C62" w14:textId="77777777" w:rsidR="007134D6" w:rsidRPr="00CA298C" w:rsidRDefault="007134D6" w:rsidP="007134D6">
      <w:pPr>
        <w:spacing w:line="360" w:lineRule="auto"/>
        <w:ind w:left="567" w:right="616"/>
        <w:jc w:val="both"/>
        <w:rPr>
          <w:rFonts w:ascii="Palatino Linotype" w:hAnsi="Palatino Linotype" w:cs="Arial"/>
          <w:i/>
          <w:sz w:val="22"/>
        </w:rPr>
      </w:pPr>
      <w:r w:rsidRPr="00CA298C">
        <w:rPr>
          <w:rFonts w:ascii="Palatino Linotype" w:hAnsi="Palatino Linotype" w:cs="Arial"/>
          <w:i/>
          <w:sz w:val="22"/>
        </w:rPr>
        <w:t xml:space="preserve">1751/09 Laboratorios de Biológicos y Reactivos de México S.A. de C.V. – María </w:t>
      </w:r>
      <w:proofErr w:type="spellStart"/>
      <w:r w:rsidRPr="00CA298C">
        <w:rPr>
          <w:rFonts w:ascii="Palatino Linotype" w:hAnsi="Palatino Linotype" w:cs="Arial"/>
          <w:i/>
          <w:sz w:val="22"/>
        </w:rPr>
        <w:t>Marván</w:t>
      </w:r>
      <w:proofErr w:type="spellEnd"/>
      <w:r w:rsidRPr="00CA298C">
        <w:rPr>
          <w:rFonts w:ascii="Palatino Linotype" w:hAnsi="Palatino Linotype" w:cs="Arial"/>
          <w:i/>
          <w:sz w:val="22"/>
        </w:rPr>
        <w:t xml:space="preserve"> Laborde</w:t>
      </w:r>
    </w:p>
    <w:p w14:paraId="20F84627" w14:textId="77777777" w:rsidR="007134D6" w:rsidRPr="00CA298C" w:rsidRDefault="007134D6" w:rsidP="007134D6">
      <w:pPr>
        <w:spacing w:line="360" w:lineRule="auto"/>
        <w:ind w:left="567" w:right="616"/>
        <w:jc w:val="both"/>
        <w:rPr>
          <w:rFonts w:ascii="Palatino Linotype" w:hAnsi="Palatino Linotype" w:cs="Arial"/>
          <w:i/>
          <w:sz w:val="22"/>
        </w:rPr>
      </w:pPr>
      <w:r w:rsidRPr="00CA298C">
        <w:rPr>
          <w:rFonts w:ascii="Palatino Linotype" w:hAnsi="Palatino Linotype" w:cs="Arial"/>
          <w:i/>
          <w:sz w:val="22"/>
        </w:rPr>
        <w:t xml:space="preserve">2868/09 Consejo Nacional de Ciencia y Tecnología – Jacqueline </w:t>
      </w:r>
      <w:proofErr w:type="spellStart"/>
      <w:r w:rsidRPr="00CA298C">
        <w:rPr>
          <w:rFonts w:ascii="Palatino Linotype" w:hAnsi="Palatino Linotype" w:cs="Arial"/>
          <w:i/>
          <w:sz w:val="22"/>
        </w:rPr>
        <w:t>Peschard</w:t>
      </w:r>
      <w:proofErr w:type="spellEnd"/>
      <w:r w:rsidRPr="00CA298C">
        <w:rPr>
          <w:rFonts w:ascii="Palatino Linotype" w:hAnsi="Palatino Linotype" w:cs="Arial"/>
          <w:i/>
          <w:sz w:val="22"/>
        </w:rPr>
        <w:t xml:space="preserve"> Mariscal</w:t>
      </w:r>
    </w:p>
    <w:p w14:paraId="6FA804E1" w14:textId="77777777" w:rsidR="007134D6" w:rsidRPr="00CA298C" w:rsidRDefault="007134D6" w:rsidP="007134D6">
      <w:pPr>
        <w:spacing w:line="360" w:lineRule="auto"/>
        <w:ind w:left="567" w:right="616"/>
        <w:jc w:val="both"/>
        <w:rPr>
          <w:rFonts w:ascii="Palatino Linotype" w:hAnsi="Palatino Linotype" w:cs="Arial"/>
          <w:i/>
          <w:sz w:val="22"/>
        </w:rPr>
      </w:pPr>
      <w:r w:rsidRPr="00CA298C">
        <w:rPr>
          <w:rFonts w:ascii="Palatino Linotype" w:hAnsi="Palatino Linotype" w:cs="Arial"/>
          <w:i/>
          <w:sz w:val="22"/>
        </w:rPr>
        <w:t>5160/09 Secretaría de Hacienda y Crédito Público – Ángel Trinidad Zaldívar</w:t>
      </w:r>
    </w:p>
    <w:p w14:paraId="1BD02D38" w14:textId="77777777" w:rsidR="007134D6" w:rsidRPr="00CA298C" w:rsidRDefault="007134D6" w:rsidP="007134D6">
      <w:pPr>
        <w:spacing w:line="360" w:lineRule="auto"/>
        <w:ind w:left="567" w:right="616"/>
        <w:jc w:val="both"/>
        <w:rPr>
          <w:rFonts w:ascii="Palatino Linotype" w:hAnsi="Palatino Linotype" w:cs="Arial"/>
          <w:i/>
          <w:sz w:val="22"/>
        </w:rPr>
      </w:pPr>
      <w:r w:rsidRPr="00CA298C">
        <w:rPr>
          <w:rFonts w:ascii="Palatino Linotype" w:hAnsi="Palatino Linotype" w:cs="Arial"/>
          <w:i/>
          <w:sz w:val="22"/>
        </w:rPr>
        <w:t xml:space="preserve">0304/10 Instituto Nacional de Cancerología – Jacqueline </w:t>
      </w:r>
      <w:proofErr w:type="spellStart"/>
      <w:r w:rsidRPr="00CA298C">
        <w:rPr>
          <w:rFonts w:ascii="Palatino Linotype" w:hAnsi="Palatino Linotype" w:cs="Arial"/>
          <w:i/>
          <w:sz w:val="22"/>
        </w:rPr>
        <w:t>Peschard</w:t>
      </w:r>
      <w:proofErr w:type="spellEnd"/>
      <w:r w:rsidRPr="00CA298C">
        <w:rPr>
          <w:rFonts w:ascii="Palatino Linotype" w:hAnsi="Palatino Linotype" w:cs="Arial"/>
          <w:i/>
          <w:sz w:val="22"/>
        </w:rPr>
        <w:t xml:space="preserve"> Mariscal”</w:t>
      </w:r>
    </w:p>
    <w:p w14:paraId="1C636C07" w14:textId="77777777" w:rsidR="007134D6" w:rsidRPr="00CA298C" w:rsidRDefault="007134D6" w:rsidP="007134D6">
      <w:pPr>
        <w:spacing w:line="360" w:lineRule="auto"/>
        <w:ind w:left="567" w:right="616"/>
        <w:jc w:val="both"/>
        <w:rPr>
          <w:rFonts w:ascii="Palatino Linotype" w:hAnsi="Palatino Linotype" w:cs="Arial"/>
          <w:sz w:val="22"/>
        </w:rPr>
      </w:pPr>
      <w:r w:rsidRPr="00CA298C">
        <w:rPr>
          <w:rFonts w:ascii="Palatino Linotype" w:hAnsi="Palatino Linotype" w:cs="Arial"/>
          <w:sz w:val="22"/>
        </w:rPr>
        <w:t>(Énfasis añadido)</w:t>
      </w:r>
    </w:p>
    <w:p w14:paraId="2D34023D" w14:textId="77777777" w:rsidR="007134D6" w:rsidRPr="00CA298C" w:rsidRDefault="007134D6" w:rsidP="007134D6">
      <w:pPr>
        <w:spacing w:line="360" w:lineRule="auto"/>
        <w:ind w:right="616"/>
        <w:jc w:val="both"/>
        <w:rPr>
          <w:rFonts w:ascii="Palatino Linotype" w:hAnsi="Palatino Linotype" w:cs="Arial"/>
        </w:rPr>
      </w:pPr>
    </w:p>
    <w:p w14:paraId="164472BA" w14:textId="79223792" w:rsidR="007134D6" w:rsidRPr="00CA298C" w:rsidRDefault="007134D6" w:rsidP="00E86C75">
      <w:pPr>
        <w:pStyle w:val="Prrafodelista"/>
        <w:numPr>
          <w:ilvl w:val="0"/>
          <w:numId w:val="4"/>
        </w:numPr>
        <w:tabs>
          <w:tab w:val="left" w:pos="567"/>
        </w:tabs>
        <w:spacing w:before="120" w:after="120" w:line="360" w:lineRule="auto"/>
        <w:ind w:left="0" w:firstLine="0"/>
        <w:jc w:val="both"/>
        <w:rPr>
          <w:rFonts w:ascii="Palatino Linotype" w:hAnsi="Palatino Linotype"/>
        </w:rPr>
      </w:pPr>
      <w:r w:rsidRPr="00CA298C">
        <w:rPr>
          <w:rFonts w:ascii="Palatino Linotype" w:hAnsi="Palatino Linotype"/>
        </w:rPr>
        <w:t xml:space="preserve">No obstante, no debe pasar desapercibido que el particular solicitó los avisos de privacidad, y de la normatividad en análisis de advierte que deben corresponder a avisos de privacidad integral y simplificado, así como la obligación de la publicación de </w:t>
      </w:r>
      <w:proofErr w:type="gramStart"/>
      <w:r w:rsidRPr="00CA298C">
        <w:rPr>
          <w:rFonts w:ascii="Palatino Linotype" w:hAnsi="Palatino Linotype"/>
        </w:rPr>
        <w:t>los mismos</w:t>
      </w:r>
      <w:proofErr w:type="gramEnd"/>
      <w:r w:rsidRPr="00CA298C">
        <w:rPr>
          <w:rFonts w:ascii="Palatino Linotype" w:hAnsi="Palatino Linotype"/>
        </w:rPr>
        <w:t>. El Sujeto Obligado proporcionó sólo un aviso de privacidad, sin especificar si se trata del aviso integral o simplificado, en conclusión, la respuesta del Sujeto Obligado no brinda certeza al particular sobre la totalidad de la información.</w:t>
      </w:r>
    </w:p>
    <w:p w14:paraId="14C588EA" w14:textId="77777777" w:rsidR="007134D6" w:rsidRPr="00CA298C" w:rsidRDefault="007134D6" w:rsidP="007134D6">
      <w:pPr>
        <w:pStyle w:val="Prrafodelista"/>
        <w:tabs>
          <w:tab w:val="left" w:pos="567"/>
        </w:tabs>
        <w:spacing w:before="120" w:after="120" w:line="360" w:lineRule="auto"/>
        <w:ind w:left="0"/>
        <w:jc w:val="both"/>
        <w:rPr>
          <w:rFonts w:ascii="Palatino Linotype" w:hAnsi="Palatino Linotype"/>
        </w:rPr>
      </w:pPr>
    </w:p>
    <w:p w14:paraId="5AF21087" w14:textId="77777777" w:rsidR="007134D6" w:rsidRPr="00CA298C" w:rsidRDefault="007134D6" w:rsidP="007134D6">
      <w:pPr>
        <w:pStyle w:val="Prrafodelista"/>
        <w:numPr>
          <w:ilvl w:val="0"/>
          <w:numId w:val="4"/>
        </w:numPr>
        <w:spacing w:line="360" w:lineRule="auto"/>
        <w:ind w:left="0" w:firstLine="0"/>
        <w:jc w:val="both"/>
        <w:rPr>
          <w:rFonts w:ascii="Palatino Linotype" w:hAnsi="Palatino Linotype" w:cs="Arial"/>
        </w:rPr>
      </w:pPr>
      <w:r w:rsidRPr="00CA298C">
        <w:rPr>
          <w:rFonts w:ascii="Palatino Linotype" w:hAnsi="Palatino Linotype" w:cs="Arial"/>
        </w:rPr>
        <w:lastRenderedPageBreak/>
        <w:t>Con la respuesta proporcionada, e</w:t>
      </w:r>
      <w:r w:rsidRPr="00CA298C">
        <w:rPr>
          <w:rFonts w:ascii="Palatino Linotype" w:eastAsia="Calibri" w:hAnsi="Palatino Linotype" w:cs="Arial"/>
        </w:rPr>
        <w:t>l Sujeto Obligado incumplió con lo que dispone la Ley de Transparencia y Acceso a la Información Pública del Estado de México y Municipios en el artículo 11, el cual dispone lo siguiente:</w:t>
      </w:r>
    </w:p>
    <w:p w14:paraId="6D1DA2DE" w14:textId="77777777" w:rsidR="007134D6" w:rsidRPr="00CA298C" w:rsidRDefault="007134D6" w:rsidP="007134D6">
      <w:pPr>
        <w:pStyle w:val="Prrafodelista"/>
        <w:tabs>
          <w:tab w:val="left" w:pos="567"/>
        </w:tabs>
        <w:spacing w:line="360" w:lineRule="auto"/>
        <w:ind w:left="567" w:right="616"/>
        <w:jc w:val="both"/>
        <w:rPr>
          <w:rFonts w:ascii="Palatino Linotype" w:eastAsia="Calibri" w:hAnsi="Palatino Linotype" w:cs="Arial"/>
          <w:i/>
          <w:sz w:val="22"/>
        </w:rPr>
      </w:pPr>
      <w:r w:rsidRPr="00CA298C">
        <w:rPr>
          <w:rFonts w:ascii="Palatino Linotype" w:eastAsia="Calibri" w:hAnsi="Palatino Linotype" w:cs="Arial"/>
          <w:i/>
          <w:sz w:val="22"/>
        </w:rPr>
        <w:t xml:space="preserve">Artículo 11. </w:t>
      </w:r>
      <w:r w:rsidRPr="00CA298C">
        <w:rPr>
          <w:rFonts w:ascii="Palatino Linotype" w:eastAsia="Calibri" w:hAnsi="Palatino Linotype" w:cs="Arial"/>
          <w:b/>
          <w:i/>
          <w:sz w:val="22"/>
        </w:rPr>
        <w:t>En la</w:t>
      </w:r>
      <w:r w:rsidRPr="00CA298C">
        <w:rPr>
          <w:rFonts w:ascii="Palatino Linotype" w:eastAsia="Calibri" w:hAnsi="Palatino Linotype" w:cs="Arial"/>
          <w:i/>
          <w:sz w:val="22"/>
        </w:rPr>
        <w:t xml:space="preserve"> generación, publicación y </w:t>
      </w:r>
      <w:r w:rsidRPr="00CA298C">
        <w:rPr>
          <w:rFonts w:ascii="Palatino Linotype" w:eastAsia="Calibri" w:hAnsi="Palatino Linotype" w:cs="Arial"/>
          <w:b/>
          <w:i/>
          <w:sz w:val="22"/>
        </w:rPr>
        <w:t>entrega de información se deberá garantizar que ésta sea</w:t>
      </w:r>
      <w:r w:rsidRPr="00CA298C">
        <w:rPr>
          <w:rFonts w:ascii="Palatino Linotype" w:eastAsia="Calibri" w:hAnsi="Palatino Linotype" w:cs="Arial"/>
          <w:i/>
          <w:sz w:val="22"/>
        </w:rPr>
        <w:t xml:space="preserve"> </w:t>
      </w:r>
      <w:r w:rsidRPr="00CA298C">
        <w:rPr>
          <w:rFonts w:ascii="Palatino Linotype" w:eastAsia="Calibri" w:hAnsi="Palatino Linotype" w:cs="Arial"/>
          <w:b/>
          <w:i/>
          <w:sz w:val="22"/>
        </w:rPr>
        <w:t>accesible</w:t>
      </w:r>
      <w:r w:rsidRPr="00CA298C">
        <w:rPr>
          <w:rFonts w:ascii="Palatino Linotype" w:eastAsia="Calibri" w:hAnsi="Palatino Linotype" w:cs="Arial"/>
          <w:i/>
          <w:sz w:val="22"/>
        </w:rPr>
        <w:t xml:space="preserve">, actualizada, </w:t>
      </w:r>
      <w:r w:rsidRPr="00CA298C">
        <w:rPr>
          <w:rFonts w:ascii="Palatino Linotype" w:eastAsia="Calibri" w:hAnsi="Palatino Linotype" w:cs="Arial"/>
          <w:b/>
          <w:i/>
          <w:sz w:val="22"/>
        </w:rPr>
        <w:t>completa</w:t>
      </w:r>
      <w:r w:rsidRPr="00CA298C">
        <w:rPr>
          <w:rFonts w:ascii="Palatino Linotype" w:eastAsia="Calibri" w:hAnsi="Palatino Linotype" w:cs="Arial"/>
          <w:i/>
          <w:sz w:val="22"/>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4FE018E" w14:textId="77777777" w:rsidR="007134D6" w:rsidRPr="00CA298C" w:rsidRDefault="007134D6" w:rsidP="007134D6">
      <w:pPr>
        <w:tabs>
          <w:tab w:val="left" w:pos="567"/>
        </w:tabs>
        <w:spacing w:line="360" w:lineRule="auto"/>
        <w:jc w:val="both"/>
        <w:rPr>
          <w:rFonts w:ascii="Palatino Linotype" w:eastAsia="Calibri" w:hAnsi="Palatino Linotype" w:cs="Arial"/>
        </w:rPr>
      </w:pPr>
    </w:p>
    <w:p w14:paraId="3F8E756F" w14:textId="0BB5CD8B" w:rsidR="007134D6" w:rsidRPr="00CA298C" w:rsidRDefault="007134D6" w:rsidP="007134D6">
      <w:pPr>
        <w:pStyle w:val="Prrafodelista"/>
        <w:numPr>
          <w:ilvl w:val="0"/>
          <w:numId w:val="4"/>
        </w:numPr>
        <w:tabs>
          <w:tab w:val="left" w:pos="567"/>
        </w:tabs>
        <w:spacing w:line="360" w:lineRule="auto"/>
        <w:ind w:left="0" w:firstLine="0"/>
        <w:jc w:val="both"/>
        <w:rPr>
          <w:rFonts w:ascii="Palatino Linotype" w:eastAsia="Calibri" w:hAnsi="Palatino Linotype" w:cs="Arial"/>
        </w:rPr>
      </w:pPr>
      <w:r w:rsidRPr="00CA298C">
        <w:rPr>
          <w:rFonts w:ascii="Palatino Linotype" w:eastAsia="Calibri" w:hAnsi="Palatino Linotype" w:cs="Arial"/>
        </w:rPr>
        <w:t>Pues la entrega de la información que realizó el Sujeto Obligado, respecto de los avisos de privacidad se encuentra incompleta, faltando avisos de privacidad.</w:t>
      </w:r>
    </w:p>
    <w:p w14:paraId="573BFCCA" w14:textId="77777777" w:rsidR="007134D6" w:rsidRPr="00CA298C" w:rsidRDefault="007134D6" w:rsidP="007134D6">
      <w:pPr>
        <w:pStyle w:val="Prrafodelista"/>
        <w:tabs>
          <w:tab w:val="left" w:pos="567"/>
        </w:tabs>
        <w:spacing w:line="360" w:lineRule="auto"/>
        <w:ind w:left="0"/>
        <w:jc w:val="both"/>
        <w:rPr>
          <w:rFonts w:ascii="Palatino Linotype" w:eastAsia="Calibri" w:hAnsi="Palatino Linotype" w:cs="Arial"/>
        </w:rPr>
      </w:pPr>
    </w:p>
    <w:p w14:paraId="335DA694" w14:textId="77777777" w:rsidR="007134D6" w:rsidRPr="00CA298C" w:rsidRDefault="007134D6" w:rsidP="007134D6">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sidRPr="00CA298C">
        <w:rPr>
          <w:rFonts w:ascii="Palatino Linotype" w:hAnsi="Palatino Linotype"/>
          <w:lang w:val="es-ES"/>
        </w:rPr>
        <w:t xml:space="preserve">Es así </w:t>
      </w:r>
      <w:proofErr w:type="gramStart"/>
      <w:r w:rsidRPr="00CA298C">
        <w:rPr>
          <w:rFonts w:ascii="Palatino Linotype" w:hAnsi="Palatino Linotype"/>
          <w:lang w:val="es-ES"/>
        </w:rPr>
        <w:t>que</w:t>
      </w:r>
      <w:proofErr w:type="gramEnd"/>
      <w:r w:rsidRPr="00CA298C">
        <w:rPr>
          <w:rFonts w:ascii="Palatino Linotype" w:hAnsi="Palatino Linotype"/>
          <w:lang w:val="es-ES"/>
        </w:rPr>
        <w:t xml:space="preserve">, los Sujetos Obligados deben verificar que la información a entregar cumpla con las características y cualidades que establece el referido artículo 11, entre las cuales, en este caso en particular destaca la accesibilidad. </w:t>
      </w:r>
      <w:proofErr w:type="gramStart"/>
      <w:r w:rsidRPr="00CA298C">
        <w:rPr>
          <w:rFonts w:ascii="Palatino Linotype" w:hAnsi="Palatino Linotype"/>
          <w:lang w:val="es-ES"/>
        </w:rPr>
        <w:t>En relación al</w:t>
      </w:r>
      <w:proofErr w:type="gramEnd"/>
      <w:r w:rsidRPr="00CA298C">
        <w:rPr>
          <w:rFonts w:ascii="Palatino Linotype" w:hAnsi="Palatino Linotype"/>
          <w:lang w:val="es-ES"/>
        </w:rPr>
        <w:t xml:space="preserve"> artículo 22 de la misma Ley, el cual establece:</w:t>
      </w:r>
    </w:p>
    <w:p w14:paraId="79426C67" w14:textId="77777777" w:rsidR="007134D6" w:rsidRPr="00CA298C" w:rsidRDefault="007134D6" w:rsidP="007134D6">
      <w:pPr>
        <w:pStyle w:val="Prrafodelista"/>
        <w:tabs>
          <w:tab w:val="left" w:pos="426"/>
          <w:tab w:val="left" w:pos="851"/>
        </w:tabs>
        <w:spacing w:before="240" w:after="240" w:line="360" w:lineRule="auto"/>
        <w:ind w:left="567" w:right="616"/>
        <w:jc w:val="both"/>
        <w:rPr>
          <w:rFonts w:ascii="Palatino Linotype" w:hAnsi="Palatino Linotype"/>
          <w:i/>
          <w:sz w:val="22"/>
          <w:lang w:val="es-ES"/>
        </w:rPr>
      </w:pPr>
      <w:r w:rsidRPr="00CA298C">
        <w:rPr>
          <w:rFonts w:ascii="Palatino Linotype" w:hAnsi="Palatino Linotype"/>
          <w:b/>
          <w:i/>
          <w:sz w:val="22"/>
          <w:lang w:val="es-ES"/>
        </w:rPr>
        <w:t>Artículo 22. En el procedimiento de acceso, entrega y publicación de la información se propiciarán las condiciones necesarias para que ésta sea accesible a cualquier persona</w:t>
      </w:r>
      <w:r w:rsidRPr="00CA298C">
        <w:rPr>
          <w:rFonts w:ascii="Palatino Linotype" w:hAnsi="Palatino Linotype"/>
          <w:i/>
          <w:sz w:val="22"/>
          <w:lang w:val="es-ES"/>
        </w:rPr>
        <w:t>, de conformidad con el artículo 5 de la Constitución Local y demás disposiciones de la materia.</w:t>
      </w:r>
    </w:p>
    <w:p w14:paraId="0445AF25" w14:textId="77777777" w:rsidR="007134D6" w:rsidRPr="00CA298C" w:rsidRDefault="007134D6" w:rsidP="007134D6">
      <w:pPr>
        <w:pStyle w:val="Prrafodelista"/>
        <w:tabs>
          <w:tab w:val="left" w:pos="851"/>
        </w:tabs>
        <w:spacing w:before="240" w:after="240" w:line="360" w:lineRule="auto"/>
        <w:ind w:left="0" w:right="49"/>
        <w:jc w:val="both"/>
        <w:rPr>
          <w:rFonts w:ascii="Palatino Linotype" w:hAnsi="Palatino Linotype"/>
          <w:lang w:val="es-ES"/>
        </w:rPr>
      </w:pPr>
    </w:p>
    <w:p w14:paraId="005CDE82" w14:textId="77777777" w:rsidR="007134D6" w:rsidRPr="00CA298C" w:rsidRDefault="007134D6" w:rsidP="007134D6">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sidRPr="00CA298C">
        <w:rPr>
          <w:rFonts w:ascii="Palatino Linotype" w:hAnsi="Palatino Linotype"/>
          <w:lang w:val="es-ES"/>
        </w:rPr>
        <w:t xml:space="preserve">Al establecer “condiciones necesarias para que esta sea accesible”, abarca muchos factores, algunos más complejos y específicos como accesibilidad a </w:t>
      </w:r>
      <w:r w:rsidRPr="00CA298C">
        <w:rPr>
          <w:rFonts w:ascii="Palatino Linotype" w:hAnsi="Palatino Linotype"/>
          <w:lang w:val="es-ES"/>
        </w:rPr>
        <w:lastRenderedPageBreak/>
        <w:t>personas con discapacidad o lenguas indígenas, como algunos más simples, como en el presente asunto en particular, que la entrega de la información sea completa</w:t>
      </w:r>
    </w:p>
    <w:p w14:paraId="05D0E052" w14:textId="77777777" w:rsidR="007134D6" w:rsidRPr="00CA298C" w:rsidRDefault="007134D6" w:rsidP="007134D6">
      <w:pPr>
        <w:pStyle w:val="Prrafodelista"/>
        <w:tabs>
          <w:tab w:val="left" w:pos="851"/>
        </w:tabs>
        <w:spacing w:before="240" w:after="240" w:line="360" w:lineRule="auto"/>
        <w:ind w:left="0" w:right="49"/>
        <w:jc w:val="both"/>
        <w:rPr>
          <w:rFonts w:ascii="Palatino Linotype" w:hAnsi="Palatino Linotype"/>
          <w:lang w:val="es-ES"/>
        </w:rPr>
      </w:pPr>
    </w:p>
    <w:p w14:paraId="393A5B05" w14:textId="77777777" w:rsidR="007134D6" w:rsidRPr="00CA298C" w:rsidRDefault="007134D6" w:rsidP="007134D6">
      <w:pPr>
        <w:pStyle w:val="Prrafodelista"/>
        <w:numPr>
          <w:ilvl w:val="0"/>
          <w:numId w:val="4"/>
        </w:numPr>
        <w:spacing w:line="360" w:lineRule="auto"/>
        <w:ind w:left="0" w:firstLine="0"/>
        <w:jc w:val="both"/>
        <w:rPr>
          <w:rFonts w:ascii="Palatino Linotype" w:eastAsia="Calibri" w:hAnsi="Palatino Linotype" w:cs="Arial"/>
        </w:rPr>
      </w:pPr>
      <w:r w:rsidRPr="00CA298C">
        <w:rPr>
          <w:rFonts w:ascii="Palatino Linotype" w:eastAsia="Calibri" w:hAnsi="Palatino Linotype" w:cs="Arial"/>
        </w:rPr>
        <w:t>La información que proporcionen los Sujetos Obligados para dar cumplimiento al derecho de acceso a la información debe ser clara, precisa y completa, para cumplir en estricto sentido con el principio de accesibilidad, puesto que de lo contrario se restringe de manera ilegítima el derecho de los particulares al impedirles conocer el contenido de los documentos solicitados.</w:t>
      </w:r>
    </w:p>
    <w:p w14:paraId="0EC29DA1" w14:textId="77777777" w:rsidR="007134D6" w:rsidRPr="00CA298C" w:rsidRDefault="007134D6" w:rsidP="007134D6">
      <w:pPr>
        <w:pStyle w:val="Prrafodelista"/>
        <w:ind w:left="0"/>
        <w:rPr>
          <w:rFonts w:ascii="Palatino Linotype" w:eastAsia="Calibri" w:hAnsi="Palatino Linotype" w:cs="Arial"/>
        </w:rPr>
      </w:pPr>
    </w:p>
    <w:p w14:paraId="5B25EFC5" w14:textId="5F073EEF" w:rsidR="007134D6" w:rsidRPr="00CA298C" w:rsidRDefault="007134D6" w:rsidP="007134D6">
      <w:pPr>
        <w:pStyle w:val="Prrafodelista"/>
        <w:numPr>
          <w:ilvl w:val="0"/>
          <w:numId w:val="4"/>
        </w:numPr>
        <w:spacing w:line="360" w:lineRule="auto"/>
        <w:ind w:left="0" w:firstLine="0"/>
        <w:jc w:val="both"/>
        <w:rPr>
          <w:rFonts w:ascii="Palatino Linotype" w:eastAsia="Calibri" w:hAnsi="Palatino Linotype" w:cs="Arial"/>
        </w:rPr>
      </w:pPr>
      <w:r w:rsidRPr="00CA298C">
        <w:rPr>
          <w:rFonts w:ascii="Palatino Linotype" w:eastAsia="Calibri" w:hAnsi="Palatino Linotype" w:cs="Arial"/>
        </w:rPr>
        <w:t xml:space="preserve">Por último y no menos importante, no pasa desapercibido para este Órgano Garante que el particular requirió avisos de privacidad en general, los cuales corresponden tanto </w:t>
      </w:r>
      <w:proofErr w:type="gramStart"/>
      <w:r w:rsidRPr="00CA298C">
        <w:rPr>
          <w:rFonts w:ascii="Palatino Linotype" w:eastAsia="Calibri" w:hAnsi="Palatino Linotype" w:cs="Arial"/>
        </w:rPr>
        <w:t>al integral</w:t>
      </w:r>
      <w:proofErr w:type="gramEnd"/>
      <w:r w:rsidRPr="00CA298C">
        <w:rPr>
          <w:rFonts w:ascii="Palatino Linotype" w:eastAsia="Calibri" w:hAnsi="Palatino Linotype" w:cs="Arial"/>
        </w:rPr>
        <w:t xml:space="preserve"> como al simplificado; por lo que la información que se ordena deberá corresponder a todos los avisos de privacidad con los que cuenta el Ayuntamiento.</w:t>
      </w:r>
    </w:p>
    <w:p w14:paraId="596C40F1" w14:textId="77777777" w:rsidR="007134D6" w:rsidRPr="00CA298C" w:rsidRDefault="007134D6" w:rsidP="007134D6">
      <w:pPr>
        <w:pStyle w:val="Prrafodelista"/>
        <w:tabs>
          <w:tab w:val="left" w:pos="567"/>
        </w:tabs>
        <w:spacing w:before="120" w:after="120" w:line="360" w:lineRule="auto"/>
        <w:ind w:left="0"/>
        <w:jc w:val="both"/>
        <w:rPr>
          <w:rFonts w:ascii="Palatino Linotype" w:eastAsia="Calibri" w:hAnsi="Palatino Linotype" w:cs="Arial"/>
        </w:rPr>
      </w:pPr>
    </w:p>
    <w:p w14:paraId="3911B7EF" w14:textId="1E895AA9" w:rsidR="007134D6" w:rsidRPr="00CA298C" w:rsidRDefault="007134D6" w:rsidP="00FE456E">
      <w:pPr>
        <w:pStyle w:val="Prrafodelista"/>
        <w:numPr>
          <w:ilvl w:val="0"/>
          <w:numId w:val="4"/>
        </w:numPr>
        <w:spacing w:line="360" w:lineRule="auto"/>
        <w:ind w:left="0" w:firstLine="0"/>
        <w:jc w:val="both"/>
        <w:rPr>
          <w:rFonts w:ascii="Palatino Linotype" w:hAnsi="Palatino Linotype"/>
          <w:bCs/>
        </w:rPr>
      </w:pPr>
      <w:r w:rsidRPr="00CA298C">
        <w:rPr>
          <w:rFonts w:ascii="Palatino Linotype" w:hAnsi="Palatino Linotype"/>
          <w:bCs/>
        </w:rPr>
        <w:t xml:space="preserve">En consecuencia, se ORDENA realizar una búsqueda exhaustiva y razonable de la información a efecto de localizar y poner a disposición del particular los avisos de privacidad faltantes, </w:t>
      </w:r>
      <w:r w:rsidR="00FE456E" w:rsidRPr="00CA298C">
        <w:rPr>
          <w:rFonts w:ascii="Palatino Linotype" w:hAnsi="Palatino Linotype"/>
          <w:bCs/>
        </w:rPr>
        <w:t>al diecisiete</w:t>
      </w:r>
      <w:r w:rsidRPr="00CA298C">
        <w:rPr>
          <w:rFonts w:ascii="Palatino Linotype" w:hAnsi="Palatino Linotype"/>
          <w:bCs/>
        </w:rPr>
        <w:t xml:space="preserve"> (</w:t>
      </w:r>
      <w:r w:rsidR="00FE456E" w:rsidRPr="00CA298C">
        <w:rPr>
          <w:rFonts w:ascii="Palatino Linotype" w:hAnsi="Palatino Linotype"/>
          <w:bCs/>
        </w:rPr>
        <w:t>17</w:t>
      </w:r>
      <w:r w:rsidRPr="00CA298C">
        <w:rPr>
          <w:rFonts w:ascii="Palatino Linotype" w:hAnsi="Palatino Linotype"/>
          <w:bCs/>
        </w:rPr>
        <w:t xml:space="preserve">) de </w:t>
      </w:r>
      <w:r w:rsidR="00FE456E" w:rsidRPr="00CA298C">
        <w:rPr>
          <w:rFonts w:ascii="Palatino Linotype" w:hAnsi="Palatino Linotype"/>
          <w:bCs/>
        </w:rPr>
        <w:t>agosto</w:t>
      </w:r>
      <w:r w:rsidRPr="00CA298C">
        <w:rPr>
          <w:rFonts w:ascii="Palatino Linotype" w:hAnsi="Palatino Linotype"/>
          <w:bCs/>
        </w:rPr>
        <w:t xml:space="preserve"> de dos mil veintitrés.</w:t>
      </w:r>
    </w:p>
    <w:p w14:paraId="4D850252" w14:textId="46C33B9A" w:rsidR="00FA77F3" w:rsidRPr="00CA298C" w:rsidRDefault="00FA77F3" w:rsidP="00FA77F3">
      <w:pPr>
        <w:spacing w:line="360" w:lineRule="auto"/>
        <w:jc w:val="both"/>
        <w:rPr>
          <w:rFonts w:ascii="Palatino Linotype" w:hAnsi="Palatino Linotype"/>
          <w:b/>
          <w:bCs/>
        </w:rPr>
      </w:pPr>
    </w:p>
    <w:p w14:paraId="1667D532" w14:textId="0FA01FA4" w:rsidR="00FE456E" w:rsidRPr="00CA298C" w:rsidRDefault="00FE456E" w:rsidP="007134D6">
      <w:pPr>
        <w:pStyle w:val="Prrafodelista"/>
        <w:spacing w:line="360" w:lineRule="auto"/>
        <w:ind w:left="0"/>
        <w:jc w:val="both"/>
        <w:rPr>
          <w:rFonts w:ascii="Palatino Linotype" w:hAnsi="Palatino Linotype" w:cs="Arial"/>
          <w:b/>
          <w:color w:val="000000" w:themeColor="text1"/>
        </w:rPr>
      </w:pPr>
      <w:r w:rsidRPr="00CA298C">
        <w:rPr>
          <w:rFonts w:ascii="Palatino Linotype" w:hAnsi="Palatino Linotype" w:cs="Arial"/>
          <w:b/>
          <w:color w:val="000000" w:themeColor="text1"/>
        </w:rPr>
        <w:t>b) Del documento de seguridad.</w:t>
      </w:r>
    </w:p>
    <w:p w14:paraId="01A3A14A" w14:textId="3512E8AB" w:rsidR="00FE456E" w:rsidRPr="00CA298C" w:rsidRDefault="00FE456E" w:rsidP="00223FC4">
      <w:pPr>
        <w:pStyle w:val="Prrafodelista"/>
        <w:numPr>
          <w:ilvl w:val="0"/>
          <w:numId w:val="4"/>
        </w:numPr>
        <w:spacing w:line="360" w:lineRule="auto"/>
        <w:ind w:left="0" w:firstLine="0"/>
        <w:jc w:val="both"/>
        <w:rPr>
          <w:rFonts w:ascii="Palatino Linotype" w:hAnsi="Palatino Linotype" w:cs="Arial"/>
          <w:color w:val="000000" w:themeColor="text1"/>
        </w:rPr>
      </w:pPr>
      <w:r w:rsidRPr="00CA298C">
        <w:rPr>
          <w:rFonts w:ascii="Palatino Linotype" w:hAnsi="Palatino Linotype" w:cs="Arial"/>
          <w:color w:val="000000" w:themeColor="text1"/>
        </w:rPr>
        <w:t xml:space="preserve">Sobre este punto, el Sujeto Obligado fue omiso en pronunciarse, por lo que, derivado de la naturaleza </w:t>
      </w:r>
      <w:proofErr w:type="gramStart"/>
      <w:r w:rsidRPr="00CA298C">
        <w:rPr>
          <w:rFonts w:ascii="Palatino Linotype" w:hAnsi="Palatino Linotype" w:cs="Arial"/>
          <w:color w:val="000000" w:themeColor="text1"/>
        </w:rPr>
        <w:t>del mismo</w:t>
      </w:r>
      <w:proofErr w:type="gramEnd"/>
      <w:r w:rsidRPr="00CA298C">
        <w:rPr>
          <w:rFonts w:ascii="Palatino Linotype" w:hAnsi="Palatino Linotype" w:cs="Arial"/>
          <w:color w:val="000000" w:themeColor="text1"/>
        </w:rPr>
        <w:t xml:space="preserve">, es necesario traer a contexto </w:t>
      </w:r>
      <w:r w:rsidRPr="00CA298C">
        <w:rPr>
          <w:rFonts w:ascii="Palatino Linotype" w:eastAsia="Calibri" w:hAnsi="Palatino Linotype" w:cs="Arial"/>
        </w:rPr>
        <w:t>La Ley General de Protección de Datos Personales en Posesión de Sujetos Obligados en el artículo 35 establece lo siguiente:</w:t>
      </w:r>
    </w:p>
    <w:p w14:paraId="40AA9357"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lastRenderedPageBreak/>
        <w:t>“</w:t>
      </w:r>
      <w:r w:rsidRPr="00CA298C">
        <w:rPr>
          <w:rFonts w:ascii="Palatino Linotype" w:hAnsi="Palatino Linotype" w:cs="Arial"/>
          <w:b/>
          <w:i/>
          <w:sz w:val="22"/>
        </w:rPr>
        <w:t>Artículo 35.</w:t>
      </w:r>
      <w:r w:rsidRPr="00CA298C">
        <w:rPr>
          <w:rFonts w:ascii="Palatino Linotype" w:hAnsi="Palatino Linotype" w:cs="Arial"/>
          <w:i/>
          <w:sz w:val="22"/>
        </w:rPr>
        <w:t xml:space="preserve"> De manera particular, el responsable deberá elaborar un documento de seguridad que contenga, al menos, lo siguiente:</w:t>
      </w:r>
    </w:p>
    <w:p w14:paraId="6AE34C8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p>
    <w:p w14:paraId="2CFC4577"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t xml:space="preserve">I. El inventario de datos personales y de los sistemas de tratamiento; </w:t>
      </w:r>
    </w:p>
    <w:p w14:paraId="6501BF7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t>II. Las funciones y obligaciones de las personas que traten datos personales;</w:t>
      </w:r>
    </w:p>
    <w:p w14:paraId="0F1B4540"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t>III. El análisis de riesgos;</w:t>
      </w:r>
    </w:p>
    <w:p w14:paraId="243C55E2"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t xml:space="preserve">IV. El análisis de brecha; </w:t>
      </w:r>
    </w:p>
    <w:p w14:paraId="39B78A5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t xml:space="preserve">V. El plan de trabajo; </w:t>
      </w:r>
    </w:p>
    <w:p w14:paraId="5142A07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t xml:space="preserve">VI. Los mecanismos de monitoreo y revisión de las medidas de seguridad, y </w:t>
      </w:r>
    </w:p>
    <w:p w14:paraId="0411E66C"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rPr>
      </w:pPr>
      <w:r w:rsidRPr="00CA298C">
        <w:rPr>
          <w:rFonts w:ascii="Palatino Linotype" w:hAnsi="Palatino Linotype" w:cs="Arial"/>
          <w:i/>
          <w:sz w:val="22"/>
        </w:rPr>
        <w:t xml:space="preserve">VII. El programa general de capacitación.” (Sic) </w:t>
      </w:r>
    </w:p>
    <w:p w14:paraId="3DC168C5" w14:textId="77777777" w:rsidR="00FE456E" w:rsidRPr="00CA298C" w:rsidRDefault="00FE456E" w:rsidP="00FE456E">
      <w:pPr>
        <w:tabs>
          <w:tab w:val="left" w:pos="284"/>
          <w:tab w:val="left" w:pos="426"/>
        </w:tabs>
        <w:spacing w:before="240" w:after="240" w:line="360" w:lineRule="auto"/>
        <w:ind w:right="49"/>
        <w:contextualSpacing/>
        <w:jc w:val="both"/>
        <w:rPr>
          <w:rFonts w:ascii="Palatino Linotype" w:hAnsi="Palatino Linotype" w:cs="Arial"/>
        </w:rPr>
      </w:pPr>
    </w:p>
    <w:p w14:paraId="3FDD157F" w14:textId="03460D45" w:rsidR="00FE456E" w:rsidRPr="00CA298C" w:rsidRDefault="00FE456E" w:rsidP="00FE456E">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cs="Arial"/>
          <w:lang w:eastAsia="en-US"/>
        </w:rPr>
      </w:pPr>
      <w:r w:rsidRPr="00CA298C">
        <w:rPr>
          <w:rFonts w:ascii="Palatino Linotype" w:hAnsi="Palatino Linotype" w:cs="Arial"/>
          <w:lang w:eastAsia="en-US"/>
        </w:rPr>
        <w:t xml:space="preserve">En ese contexto, se debe de entender por mediadas de seguridad al </w:t>
      </w:r>
      <w:r w:rsidRPr="00CA298C">
        <w:rPr>
          <w:rFonts w:ascii="Palatino Linotype" w:hAnsi="Palatino Linotype" w:cs="Arial"/>
          <w:i/>
          <w:lang w:eastAsia="en-US"/>
        </w:rPr>
        <w:t>“conjunto de acciones y actividades, controles o mecanismos administrativos, técnicos y físicos que permitan proteger los datos personales</w:t>
      </w:r>
      <w:r w:rsidRPr="00CA298C">
        <w:rPr>
          <w:rFonts w:ascii="Palatino Linotype" w:hAnsi="Palatino Linotype" w:cs="Arial"/>
          <w:lang w:eastAsia="en-US"/>
        </w:rPr>
        <w:t>” tomando en cuenta los siguientes factores:</w:t>
      </w:r>
    </w:p>
    <w:p w14:paraId="3B6B69AA" w14:textId="77777777" w:rsidR="00FE456E" w:rsidRPr="00CA298C" w:rsidRDefault="00FE456E" w:rsidP="00FE456E">
      <w:pPr>
        <w:tabs>
          <w:tab w:val="left" w:pos="284"/>
          <w:tab w:val="left" w:pos="426"/>
        </w:tabs>
        <w:spacing w:before="240" w:after="240" w:line="360" w:lineRule="auto"/>
        <w:ind w:right="49"/>
        <w:contextualSpacing/>
        <w:jc w:val="center"/>
        <w:rPr>
          <w:rFonts w:ascii="Palatino Linotype" w:hAnsi="Palatino Linotype" w:cs="Arial"/>
        </w:rPr>
      </w:pPr>
      <w:r w:rsidRPr="00CA298C">
        <w:rPr>
          <w:noProof/>
        </w:rPr>
        <w:drawing>
          <wp:inline distT="0" distB="0" distL="0" distR="0" wp14:anchorId="7E8DE3DB" wp14:editId="68176C9C">
            <wp:extent cx="5186862" cy="16646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063" t="28968" r="9538" b="56849"/>
                    <a:stretch/>
                  </pic:blipFill>
                  <pic:spPr bwMode="auto">
                    <a:xfrm>
                      <a:off x="0" y="0"/>
                      <a:ext cx="5223951" cy="1676508"/>
                    </a:xfrm>
                    <a:prstGeom prst="rect">
                      <a:avLst/>
                    </a:prstGeom>
                    <a:ln>
                      <a:noFill/>
                    </a:ln>
                    <a:extLst>
                      <a:ext uri="{53640926-AAD7-44D8-BBD7-CCE9431645EC}">
                        <a14:shadowObscured xmlns:a14="http://schemas.microsoft.com/office/drawing/2010/main"/>
                      </a:ext>
                    </a:extLst>
                  </pic:spPr>
                </pic:pic>
              </a:graphicData>
            </a:graphic>
          </wp:inline>
        </w:drawing>
      </w:r>
    </w:p>
    <w:p w14:paraId="6F934169" w14:textId="77777777" w:rsidR="00FE456E" w:rsidRPr="00CA298C" w:rsidRDefault="00FE456E" w:rsidP="00FE456E">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cs="Arial"/>
        </w:rPr>
      </w:pPr>
      <w:r w:rsidRPr="00CA298C">
        <w:rPr>
          <w:rFonts w:ascii="Palatino Linotype" w:hAnsi="Palatino Linotype" w:cs="Arial"/>
          <w:lang w:eastAsia="en-US"/>
        </w:rPr>
        <w:t xml:space="preserve">A través de los siguientes mecanismos: </w:t>
      </w:r>
    </w:p>
    <w:p w14:paraId="7F4159A5"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 xml:space="preserve"> Políticas internas para la gestión y tratamiento de los datos personales.</w:t>
      </w:r>
    </w:p>
    <w:p w14:paraId="0918FC9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lastRenderedPageBreak/>
        <w:t>Para crear políticas internas referentes a la gestión y tratamiento de los datos personales, se deben observar los artículos 47 y 56</w:t>
      </w:r>
      <w:r w:rsidRPr="00CA298C">
        <w:rPr>
          <w:rStyle w:val="Refdenotaalpie"/>
          <w:rFonts w:eastAsiaTheme="majorEastAsia" w:cs="Arial"/>
          <w:i/>
          <w:sz w:val="22"/>
          <w:szCs w:val="22"/>
        </w:rPr>
        <w:footnoteReference w:id="1"/>
      </w:r>
      <w:r w:rsidRPr="00CA298C">
        <w:rPr>
          <w:rFonts w:ascii="Palatino Linotype" w:hAnsi="Palatino Linotype" w:cs="Arial"/>
          <w:i/>
          <w:sz w:val="22"/>
          <w:szCs w:val="22"/>
          <w:lang w:eastAsia="en-US"/>
        </w:rPr>
        <w:t xml:space="preserve"> de los Lineamientos Generales, en primer término se deben elaborar e implementar políticas y programas de protección de datos personales, cuyo objeto sea establecer las directrices, la operación y el control de los procesos de tratamiento de datos realizado en ejercicio de sus atribuciones y funciones, a efecto de proteger los datos personales de una manera sistemática y continua. </w:t>
      </w:r>
    </w:p>
    <w:p w14:paraId="1E9DF043"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2C170CE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El Comité de Transparencia, deberá aprobar, coordinar y supervisar las políticas y el programa de protección de datos del responsable, éste a su vez deberá destinar recursos de conformidad con la normatividad que le resulte aplicable para la implementación y cumplimiento de dicho programa y las políticas. </w:t>
      </w:r>
    </w:p>
    <w:p w14:paraId="0B5726EE"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297D3B9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Entre los puntos que deben contener las políticas internas de gestión y tratamiento de los datos personales están las siguientes: </w:t>
      </w:r>
    </w:p>
    <w:p w14:paraId="44642CD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218AF7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Cumplimiento de todos los principios, deberes, derechos y obligaciones. </w:t>
      </w:r>
    </w:p>
    <w:p w14:paraId="181011AB"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Responsabilidades específicas de los involucrados en el tratamiento de los datos.</w:t>
      </w:r>
    </w:p>
    <w:p w14:paraId="3B8291C2"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Sanciones en caso de incumplimiento. </w:t>
      </w:r>
    </w:p>
    <w:p w14:paraId="1B1E81A4"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Identificar el ciclo de vida de los datos personales, esto debe realizarse de conformidad con la Ley General de Archivos y la normatividad aplicable a cada sujeto obligado, para lo cual deberá contar con su catálogo de disposición documental. </w:t>
      </w:r>
    </w:p>
    <w:p w14:paraId="7C6032F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El proceso para el establecimiento de los mecanismos y medidas de seguridad. </w:t>
      </w: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La atenci</w:t>
      </w:r>
      <w:r w:rsidRPr="00CA298C">
        <w:rPr>
          <w:rFonts w:ascii="Palatino Linotype" w:hAnsi="Palatino Linotype" w:cs="Palatino Linotype"/>
          <w:i/>
          <w:sz w:val="22"/>
          <w:szCs w:val="22"/>
          <w:lang w:eastAsia="en-US"/>
        </w:rPr>
        <w:t>ó</w:t>
      </w:r>
      <w:r w:rsidRPr="00CA298C">
        <w:rPr>
          <w:rFonts w:ascii="Palatino Linotype" w:hAnsi="Palatino Linotype" w:cs="Arial"/>
          <w:i/>
          <w:sz w:val="22"/>
          <w:szCs w:val="22"/>
          <w:lang w:eastAsia="en-US"/>
        </w:rPr>
        <w:t xml:space="preserve">n de las solicitudes para el ejercicio de derechos ARCO. </w:t>
      </w:r>
    </w:p>
    <w:p w14:paraId="5D1D822E"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lastRenderedPageBreak/>
        <w:t>Cabe destacar que las políticas internas para la gestión de los datos personales deben establecer el compromiso de cumplir con la legislación en la materia, por parte de todos los involucrados en el tratamiento a su vez que ésta debe ser comunicada.</w:t>
      </w:r>
    </w:p>
    <w:p w14:paraId="5018181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7613473"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 xml:space="preserve">El inventario de datos personales y de los sistemas de tratamiento. </w:t>
      </w:r>
    </w:p>
    <w:p w14:paraId="7725F08C"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Es necesario elaborar un inventario</w:t>
      </w:r>
      <w:r w:rsidRPr="00CA298C">
        <w:rPr>
          <w:rStyle w:val="Refdenotaalpie"/>
          <w:rFonts w:eastAsiaTheme="majorEastAsia" w:cs="Arial"/>
          <w:i/>
          <w:sz w:val="22"/>
          <w:szCs w:val="22"/>
        </w:rPr>
        <w:footnoteReference w:id="2"/>
      </w:r>
      <w:r w:rsidRPr="00CA298C">
        <w:rPr>
          <w:rFonts w:ascii="Palatino Linotype" w:hAnsi="Palatino Linotype" w:cs="Arial"/>
          <w:i/>
          <w:sz w:val="22"/>
          <w:szCs w:val="22"/>
          <w:lang w:eastAsia="en-US"/>
        </w:rPr>
        <w:t xml:space="preserve"> con la información de cada tratamiento de datos que realice el responsable, que contenga un catálogo de medios físicos y electrónicos, finalidades, tipo de datos tratados, formatos de almacenamiento, lista de los servidores públicos que tienen acceso al tratamiento, en su caso, nombre o razón social del encargado, así como de los destinarios de las transferencias. </w:t>
      </w:r>
    </w:p>
    <w:p w14:paraId="058A23B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F89233C"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También deberá considerar el ciclo de vida de los datos personales conforme a lo siguiente:</w:t>
      </w:r>
    </w:p>
    <w:p w14:paraId="6B19830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CC448EF" w14:textId="77777777" w:rsidR="00FE456E" w:rsidRPr="00CA298C" w:rsidRDefault="00FE456E" w:rsidP="00FE456E">
      <w:pPr>
        <w:tabs>
          <w:tab w:val="left" w:pos="284"/>
          <w:tab w:val="left" w:pos="426"/>
        </w:tabs>
        <w:spacing w:before="240" w:after="240" w:line="360" w:lineRule="auto"/>
        <w:ind w:left="567" w:right="616"/>
        <w:contextualSpacing/>
        <w:jc w:val="center"/>
        <w:rPr>
          <w:rFonts w:ascii="Palatino Linotype" w:hAnsi="Palatino Linotype" w:cs="Arial"/>
          <w:i/>
          <w:sz w:val="22"/>
          <w:szCs w:val="22"/>
          <w:lang w:eastAsia="en-US"/>
        </w:rPr>
      </w:pPr>
      <w:r w:rsidRPr="00CA298C">
        <w:rPr>
          <w:i/>
          <w:noProof/>
          <w:sz w:val="22"/>
          <w:szCs w:val="22"/>
        </w:rPr>
        <w:drawing>
          <wp:inline distT="0" distB="0" distL="0" distR="0" wp14:anchorId="41F8BC6A" wp14:editId="7E611528">
            <wp:extent cx="5029200" cy="24028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573" t="31080" r="9877" b="42969"/>
                    <a:stretch/>
                  </pic:blipFill>
                  <pic:spPr bwMode="auto">
                    <a:xfrm>
                      <a:off x="0" y="0"/>
                      <a:ext cx="5069847" cy="2422260"/>
                    </a:xfrm>
                    <a:prstGeom prst="rect">
                      <a:avLst/>
                    </a:prstGeom>
                    <a:ln>
                      <a:noFill/>
                    </a:ln>
                    <a:extLst>
                      <a:ext uri="{53640926-AAD7-44D8-BBD7-CCE9431645EC}">
                        <a14:shadowObscured xmlns:a14="http://schemas.microsoft.com/office/drawing/2010/main"/>
                      </a:ext>
                    </a:extLst>
                  </pic:spPr>
                </pic:pic>
              </a:graphicData>
            </a:graphic>
          </wp:inline>
        </w:drawing>
      </w:r>
    </w:p>
    <w:p w14:paraId="212EC4E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lastRenderedPageBreak/>
        <w:t xml:space="preserve">En efecto, realizar el inventario de datos personales implica llevar a cabo un diagnóstico de los datos personales y sistemas de tratamiento que se encuentran bajo resguardo del sujeto obligado, identificando los siguientes elementos relevantes: </w:t>
      </w:r>
    </w:p>
    <w:p w14:paraId="1A43AD3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1. Cada uno de los procesos en los que la unidad administrativa trata datos personales. </w:t>
      </w:r>
    </w:p>
    <w:p w14:paraId="31595A7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2. La unidad administrativa que está a cargo del proceso en donde se tratan los datos personales, según las atribuciones o facultades normativas. </w:t>
      </w:r>
    </w:p>
    <w:p w14:paraId="4BF0839C"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3. De acuerdo con el ciclo de vida de los datos personales, se debe identificar: </w:t>
      </w:r>
    </w:p>
    <w:p w14:paraId="64F5E597"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I. ¿Cómo se obtienen los datos personales? </w:t>
      </w:r>
    </w:p>
    <w:p w14:paraId="4875BD9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II. ¿Qué tipo de datos personales se tratan? ¿Son sensibles? </w:t>
      </w:r>
    </w:p>
    <w:p w14:paraId="67F79E6D"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III. ¿Dónde se almacenan los datos personales? </w:t>
      </w:r>
    </w:p>
    <w:p w14:paraId="2185A18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IV. ¿Para qué finalidades se utilizan los datos personales? </w:t>
      </w:r>
    </w:p>
    <w:p w14:paraId="1E91868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V. ¿Quién tiene acceso a la base de datos o archivos y a quién se comunican los datos personales al interior de la organización? </w:t>
      </w:r>
    </w:p>
    <w:p w14:paraId="4FE32A3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VI. ¿Intervienen encargados en el tratamiento de los datos personales? </w:t>
      </w:r>
    </w:p>
    <w:p w14:paraId="58D7176F"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VII. ¿Qué transferencias se realizan o se podrían realizar de los datos personales y con qué finalidad? </w:t>
      </w:r>
    </w:p>
    <w:p w14:paraId="4EAAD18B"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VIII. ¿Se difunden los datos personales? </w:t>
      </w:r>
    </w:p>
    <w:p w14:paraId="0A35A1A2"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X. ¿Cuál es el plazo de conservación de los datos personales?</w:t>
      </w:r>
    </w:p>
    <w:p w14:paraId="4686790D"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2FDEC037"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Ejemplo: </w:t>
      </w:r>
    </w:p>
    <w:p w14:paraId="0F80C55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A1E64E7" w14:textId="77777777" w:rsidR="00FE456E" w:rsidRPr="00CA298C" w:rsidRDefault="00CA298C"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hyperlink r:id="rId14" w:history="1">
        <w:r w:rsidR="00FE456E" w:rsidRPr="00CA298C">
          <w:rPr>
            <w:rStyle w:val="Hipervnculo"/>
            <w:rFonts w:ascii="Palatino Linotype" w:eastAsiaTheme="majorEastAsia" w:hAnsi="Palatino Linotype" w:cs="Arial"/>
            <w:i/>
            <w:sz w:val="22"/>
            <w:szCs w:val="22"/>
          </w:rPr>
          <w:t>http://inicio.ifai.org.mx/DocumentosdeInteres/AnexosDocumentoOrientador.zip</w:t>
        </w:r>
      </w:hyperlink>
      <w:r w:rsidR="00FE456E" w:rsidRPr="00CA298C">
        <w:rPr>
          <w:rFonts w:ascii="Palatino Linotype" w:hAnsi="Palatino Linotype" w:cs="Arial"/>
          <w:i/>
          <w:sz w:val="22"/>
          <w:szCs w:val="22"/>
          <w:lang w:eastAsia="en-US"/>
        </w:rPr>
        <w:t xml:space="preserve"> </w:t>
      </w:r>
    </w:p>
    <w:p w14:paraId="5B11DFC3"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7C2209E"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 Anexo1</w:t>
      </w:r>
    </w:p>
    <w:p w14:paraId="4D6A3300"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7E336C8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5D7559B"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i/>
          <w:noProof/>
          <w:sz w:val="22"/>
          <w:szCs w:val="22"/>
        </w:rPr>
        <w:lastRenderedPageBreak/>
        <w:drawing>
          <wp:inline distT="0" distB="0" distL="0" distR="0" wp14:anchorId="6D7599E3" wp14:editId="539D8B21">
            <wp:extent cx="5019675" cy="2644738"/>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 t="21122" r="59946" b="55643"/>
                    <a:stretch/>
                  </pic:blipFill>
                  <pic:spPr bwMode="auto">
                    <a:xfrm>
                      <a:off x="0" y="0"/>
                      <a:ext cx="5085527" cy="2679434"/>
                    </a:xfrm>
                    <a:prstGeom prst="rect">
                      <a:avLst/>
                    </a:prstGeom>
                    <a:ln>
                      <a:noFill/>
                    </a:ln>
                    <a:extLst>
                      <a:ext uri="{53640926-AAD7-44D8-BBD7-CCE9431645EC}">
                        <a14:shadowObscured xmlns:a14="http://schemas.microsoft.com/office/drawing/2010/main"/>
                      </a:ext>
                    </a:extLst>
                  </pic:spPr>
                </pic:pic>
              </a:graphicData>
            </a:graphic>
          </wp:inline>
        </w:drawing>
      </w:r>
    </w:p>
    <w:p w14:paraId="00FBD7C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891B72C"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Las funciones y obligaciones de las personas que traten datos personales</w:t>
      </w:r>
    </w:p>
    <w:p w14:paraId="692CF092" w14:textId="77777777" w:rsidR="00FE456E" w:rsidRPr="00CA298C" w:rsidRDefault="00FE456E" w:rsidP="00FE456E">
      <w:pPr>
        <w:pStyle w:val="Prrafodelista"/>
        <w:tabs>
          <w:tab w:val="left" w:pos="284"/>
          <w:tab w:val="left" w:pos="426"/>
        </w:tabs>
        <w:spacing w:before="240" w:after="240" w:line="360" w:lineRule="auto"/>
        <w:ind w:left="567" w:right="616"/>
        <w:jc w:val="both"/>
        <w:rPr>
          <w:rFonts w:ascii="Palatino Linotype" w:hAnsi="Palatino Linotype" w:cs="Arial"/>
          <w:b/>
          <w:i/>
          <w:sz w:val="22"/>
          <w:szCs w:val="22"/>
          <w:lang w:eastAsia="en-US"/>
        </w:rPr>
      </w:pPr>
    </w:p>
    <w:p w14:paraId="7C15F152" w14:textId="77777777" w:rsidR="00FE456E" w:rsidRPr="00CA298C" w:rsidRDefault="00FE456E" w:rsidP="00FE456E">
      <w:pPr>
        <w:pStyle w:val="Prrafodelista"/>
        <w:tabs>
          <w:tab w:val="left" w:pos="284"/>
          <w:tab w:val="left" w:pos="426"/>
        </w:tabs>
        <w:spacing w:before="240" w:after="240" w:line="360" w:lineRule="auto"/>
        <w:ind w:left="567" w:right="616"/>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Para definir las funciones y obligaciones del personal involucrado en el tratamiento de datos personales, se debe atender lo que establece el artículo 57 de Los Lineamientos Generales, que estipula que se deberán establecer y documentar los roles y responsabilidades para todos aquellos que intervienen en el tratamiento de los datos personales dentro de la organización del sujeto obligado. </w:t>
      </w:r>
    </w:p>
    <w:p w14:paraId="70D7C049" w14:textId="77777777" w:rsidR="00FE456E" w:rsidRPr="00CA298C" w:rsidRDefault="00FE456E" w:rsidP="00FE456E">
      <w:pPr>
        <w:pStyle w:val="Prrafodelista"/>
        <w:tabs>
          <w:tab w:val="left" w:pos="284"/>
          <w:tab w:val="left" w:pos="426"/>
        </w:tabs>
        <w:spacing w:before="240" w:after="240" w:line="360" w:lineRule="auto"/>
        <w:ind w:left="567" w:right="616"/>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Además, se debe contar con mecanismos para asegurar que todas las personas involucradas en el tratamiento conozcan sus funciones para el cumplimiento de los objetivos del sistema de gestión, y las consecuencias en caso de incumplimiento.</w:t>
      </w:r>
    </w:p>
    <w:p w14:paraId="1FF8A722" w14:textId="77777777" w:rsidR="00FE456E" w:rsidRPr="00CA298C" w:rsidRDefault="00FE456E" w:rsidP="00FE456E">
      <w:pPr>
        <w:pStyle w:val="Prrafodelista"/>
        <w:tabs>
          <w:tab w:val="left" w:pos="284"/>
          <w:tab w:val="left" w:pos="426"/>
        </w:tabs>
        <w:spacing w:before="240" w:after="240" w:line="360" w:lineRule="auto"/>
        <w:ind w:left="567" w:right="616"/>
        <w:jc w:val="both"/>
        <w:rPr>
          <w:rFonts w:ascii="Palatino Linotype" w:hAnsi="Palatino Linotype" w:cs="Arial"/>
          <w:i/>
          <w:sz w:val="22"/>
          <w:szCs w:val="22"/>
          <w:lang w:eastAsia="en-US"/>
        </w:rPr>
      </w:pPr>
    </w:p>
    <w:p w14:paraId="21308B82"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El análisis de riesgos.</w:t>
      </w:r>
    </w:p>
    <w:p w14:paraId="5E64D0FE"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Para realizar un análisis de riesgo, se deben identificar escenarios de riesgo, tomando en consideración las amenazas y vulnerabilidades existentes para los datos personales. Asimismo, el artículo 32 de la Ley General establece una serie de medidas de seguridad </w:t>
      </w:r>
      <w:r w:rsidRPr="00CA298C">
        <w:rPr>
          <w:rFonts w:ascii="Palatino Linotype" w:hAnsi="Palatino Linotype" w:cs="Arial"/>
          <w:i/>
          <w:sz w:val="22"/>
          <w:szCs w:val="22"/>
          <w:lang w:eastAsia="en-US"/>
        </w:rPr>
        <w:lastRenderedPageBreak/>
        <w:t>que debe considerar el responsable para su implementación, que por su importancia se transcriben:</w:t>
      </w:r>
    </w:p>
    <w:p w14:paraId="5CB2872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7F7A5B4"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“Artículo 32. Las medidas de seguridad adoptadas por el responsable deberán considerar: </w:t>
      </w:r>
    </w:p>
    <w:p w14:paraId="029CCF9F"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4D5C972"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roofErr w:type="spellStart"/>
      <w:r w:rsidRPr="00CA298C">
        <w:rPr>
          <w:rFonts w:ascii="Palatino Linotype" w:hAnsi="Palatino Linotype" w:cs="Arial"/>
          <w:i/>
          <w:sz w:val="22"/>
          <w:szCs w:val="22"/>
          <w:lang w:eastAsia="en-US"/>
        </w:rPr>
        <w:t>I.El</w:t>
      </w:r>
      <w:proofErr w:type="spellEnd"/>
      <w:r w:rsidRPr="00CA298C">
        <w:rPr>
          <w:rFonts w:ascii="Palatino Linotype" w:hAnsi="Palatino Linotype" w:cs="Arial"/>
          <w:i/>
          <w:sz w:val="22"/>
          <w:szCs w:val="22"/>
          <w:lang w:eastAsia="en-US"/>
        </w:rPr>
        <w:t xml:space="preserve"> riesgo inherente a los datos personales tratados; </w:t>
      </w:r>
    </w:p>
    <w:p w14:paraId="289E0D9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II. La sensibilidad de los datos personales tratados; </w:t>
      </w:r>
    </w:p>
    <w:p w14:paraId="527BDE93"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III. El desarrollo tecnológico; </w:t>
      </w:r>
    </w:p>
    <w:p w14:paraId="7516983F"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IV. Las posibles consecuencias de una vulneración para los titulares; </w:t>
      </w:r>
    </w:p>
    <w:p w14:paraId="7EDBA9D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V. Las transferencias de datos personales que se realicen; </w:t>
      </w:r>
    </w:p>
    <w:p w14:paraId="4C0F67CF"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VI. El número de titulares; </w:t>
      </w:r>
    </w:p>
    <w:p w14:paraId="060E4DC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VII. Las vulneraciones previas ocurridas en los sistemas de tratamiento, y </w:t>
      </w:r>
    </w:p>
    <w:p w14:paraId="6DCAECD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VIII. El riesgo por el valor potencial cuantitativo o cualitativo que pudieran tener los datos personales tratados para una tercera persona no autorizada para su posesión.”</w:t>
      </w:r>
    </w:p>
    <w:p w14:paraId="1CECBF43"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1722802"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Respecto del análisis de riesgo, su cumplimiento se debe realizar considerando lo establecido en los Lineamientos Generales</w:t>
      </w:r>
      <w:r w:rsidRPr="00CA298C">
        <w:rPr>
          <w:rStyle w:val="Refdenotaalpie"/>
          <w:rFonts w:eastAsiaTheme="majorEastAsia" w:cs="Arial"/>
          <w:i/>
          <w:sz w:val="22"/>
          <w:szCs w:val="22"/>
        </w:rPr>
        <w:footnoteReference w:id="3"/>
      </w:r>
      <w:r w:rsidRPr="00CA298C">
        <w:rPr>
          <w:rFonts w:ascii="Palatino Linotype" w:hAnsi="Palatino Linotype" w:cs="Arial"/>
          <w:i/>
          <w:sz w:val="22"/>
          <w:szCs w:val="22"/>
          <w:lang w:eastAsia="en-US"/>
        </w:rPr>
        <w:t xml:space="preserve"> que establecen lo siguiente:</w:t>
      </w:r>
    </w:p>
    <w:p w14:paraId="5375B72E"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6601537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Requerimientos regulatorios, c</w:t>
      </w:r>
      <w:r w:rsidRPr="00CA298C">
        <w:rPr>
          <w:rFonts w:ascii="Palatino Linotype" w:hAnsi="Palatino Linotype" w:cs="Palatino Linotype"/>
          <w:i/>
          <w:sz w:val="22"/>
          <w:szCs w:val="22"/>
          <w:lang w:eastAsia="en-US"/>
        </w:rPr>
        <w:t>ó</w:t>
      </w:r>
      <w:r w:rsidRPr="00CA298C">
        <w:rPr>
          <w:rFonts w:ascii="Palatino Linotype" w:hAnsi="Palatino Linotype" w:cs="Arial"/>
          <w:i/>
          <w:sz w:val="22"/>
          <w:szCs w:val="22"/>
          <w:lang w:eastAsia="en-US"/>
        </w:rPr>
        <w:t>digos de conducta o mejores pr</w:t>
      </w:r>
      <w:r w:rsidRPr="00CA298C">
        <w:rPr>
          <w:rFonts w:ascii="Palatino Linotype" w:hAnsi="Palatino Linotype" w:cs="Palatino Linotype"/>
          <w:i/>
          <w:sz w:val="22"/>
          <w:szCs w:val="22"/>
          <w:lang w:eastAsia="en-US"/>
        </w:rPr>
        <w:t>á</w:t>
      </w:r>
      <w:r w:rsidRPr="00CA298C">
        <w:rPr>
          <w:rFonts w:ascii="Palatino Linotype" w:hAnsi="Palatino Linotype" w:cs="Arial"/>
          <w:i/>
          <w:sz w:val="22"/>
          <w:szCs w:val="22"/>
          <w:lang w:eastAsia="en-US"/>
        </w:rPr>
        <w:t xml:space="preserve">cticas para los diferentes sectores. </w:t>
      </w:r>
    </w:p>
    <w:p w14:paraId="5BEC3B2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Definir el ciclo de vida y el valor de los datos personales. </w:t>
      </w:r>
    </w:p>
    <w:p w14:paraId="10A5F3C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La exposici</w:t>
      </w:r>
      <w:r w:rsidRPr="00CA298C">
        <w:rPr>
          <w:rFonts w:ascii="Palatino Linotype" w:hAnsi="Palatino Linotype" w:cs="Palatino Linotype"/>
          <w:i/>
          <w:sz w:val="22"/>
          <w:szCs w:val="22"/>
          <w:lang w:eastAsia="en-US"/>
        </w:rPr>
        <w:t>ó</w:t>
      </w:r>
      <w:r w:rsidRPr="00CA298C">
        <w:rPr>
          <w:rFonts w:ascii="Palatino Linotype" w:hAnsi="Palatino Linotype" w:cs="Arial"/>
          <w:i/>
          <w:sz w:val="22"/>
          <w:szCs w:val="22"/>
          <w:lang w:eastAsia="en-US"/>
        </w:rPr>
        <w:t xml:space="preserve">n de los activos involucrados en el tratamiento de los datos. </w:t>
      </w:r>
    </w:p>
    <w:p w14:paraId="4984E983"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Las consecuencias en caso de una vulneraci</w:t>
      </w:r>
      <w:r w:rsidRPr="00CA298C">
        <w:rPr>
          <w:rFonts w:ascii="Palatino Linotype" w:hAnsi="Palatino Linotype" w:cs="Palatino Linotype"/>
          <w:i/>
          <w:sz w:val="22"/>
          <w:szCs w:val="22"/>
          <w:lang w:eastAsia="en-US"/>
        </w:rPr>
        <w:t>ó</w:t>
      </w:r>
      <w:r w:rsidRPr="00CA298C">
        <w:rPr>
          <w:rFonts w:ascii="Palatino Linotype" w:hAnsi="Palatino Linotype" w:cs="Arial"/>
          <w:i/>
          <w:sz w:val="22"/>
          <w:szCs w:val="22"/>
          <w:lang w:eastAsia="en-US"/>
        </w:rPr>
        <w:t xml:space="preserve">n de seguridad. </w:t>
      </w:r>
    </w:p>
    <w:p w14:paraId="0AFF1B7D"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77CE362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lastRenderedPageBreak/>
        <w:t>De manera que, el an</w:t>
      </w:r>
      <w:r w:rsidRPr="00CA298C">
        <w:rPr>
          <w:rFonts w:ascii="Palatino Linotype" w:hAnsi="Palatino Linotype" w:cs="Palatino Linotype"/>
          <w:i/>
          <w:sz w:val="22"/>
          <w:szCs w:val="22"/>
          <w:lang w:eastAsia="en-US"/>
        </w:rPr>
        <w:t>á</w:t>
      </w:r>
      <w:r w:rsidRPr="00CA298C">
        <w:rPr>
          <w:rFonts w:ascii="Palatino Linotype" w:hAnsi="Palatino Linotype" w:cs="Arial"/>
          <w:i/>
          <w:sz w:val="22"/>
          <w:szCs w:val="22"/>
          <w:lang w:eastAsia="en-US"/>
        </w:rPr>
        <w:t>lisis de riesgo implica que el sujeto obligado plantee directrices para tratar el riesgo, considerando los factores citados anteriormente, en funci</w:t>
      </w:r>
      <w:r w:rsidRPr="00CA298C">
        <w:rPr>
          <w:rFonts w:ascii="Palatino Linotype" w:hAnsi="Palatino Linotype" w:cs="Palatino Linotype"/>
          <w:i/>
          <w:sz w:val="22"/>
          <w:szCs w:val="22"/>
          <w:lang w:eastAsia="en-US"/>
        </w:rPr>
        <w:t>ó</w:t>
      </w:r>
      <w:r w:rsidRPr="00CA298C">
        <w:rPr>
          <w:rFonts w:ascii="Palatino Linotype" w:hAnsi="Palatino Linotype" w:cs="Arial"/>
          <w:i/>
          <w:sz w:val="22"/>
          <w:szCs w:val="22"/>
          <w:lang w:eastAsia="en-US"/>
        </w:rPr>
        <w:t xml:space="preserve">n del alcance y objetivos del Sistema de Gestión. Esta actividad incluye realizar una ponderación de los escenarios de riesgo identificados a través de los siguientes pasos: </w:t>
      </w:r>
    </w:p>
    <w:p w14:paraId="3D00EC7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677C2070"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Identificar activos </w:t>
      </w:r>
    </w:p>
    <w:p w14:paraId="1FF5640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Identificar amenazas </w:t>
      </w:r>
    </w:p>
    <w:p w14:paraId="240AECE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Identificar vulnerabilidades </w:t>
      </w:r>
    </w:p>
    <w:p w14:paraId="522F58FF"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El análisis de brecha.</w:t>
      </w:r>
    </w:p>
    <w:p w14:paraId="7D760ADF"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Es importante que los sujetos obligados en su carácter de </w:t>
      </w:r>
      <w:proofErr w:type="gramStart"/>
      <w:r w:rsidRPr="00CA298C">
        <w:rPr>
          <w:rFonts w:ascii="Palatino Linotype" w:hAnsi="Palatino Linotype" w:cs="Arial"/>
          <w:i/>
          <w:sz w:val="22"/>
          <w:szCs w:val="22"/>
          <w:lang w:eastAsia="en-US"/>
        </w:rPr>
        <w:t>responsables,</w:t>
      </w:r>
      <w:proofErr w:type="gramEnd"/>
      <w:r w:rsidRPr="00CA298C">
        <w:rPr>
          <w:rFonts w:ascii="Palatino Linotype" w:hAnsi="Palatino Linotype" w:cs="Arial"/>
          <w:i/>
          <w:sz w:val="22"/>
          <w:szCs w:val="22"/>
          <w:lang w:eastAsia="en-US"/>
        </w:rPr>
        <w:t xml:space="preserve"> establezcan y mantengan medidas de seguridad de carácter administrativo, físico y técnico para la protección de los datos personales, con la finalidad de garantizar la confidencialidad, integridad y disponibilidad de los datos, protegiendo los mismos contra </w:t>
      </w:r>
      <w:r w:rsidRPr="00CA298C">
        <w:rPr>
          <w:rFonts w:ascii="Palatino Linotype" w:hAnsi="Palatino Linotype" w:cs="Arial"/>
          <w:b/>
          <w:i/>
          <w:sz w:val="22"/>
          <w:szCs w:val="22"/>
          <w:lang w:eastAsia="en-US"/>
        </w:rPr>
        <w:t>daño, perdida, alteración, destrucción</w:t>
      </w:r>
      <w:r w:rsidRPr="00CA298C">
        <w:rPr>
          <w:rFonts w:ascii="Palatino Linotype" w:hAnsi="Palatino Linotype" w:cs="Arial"/>
          <w:i/>
          <w:sz w:val="22"/>
          <w:szCs w:val="22"/>
          <w:lang w:eastAsia="en-US"/>
        </w:rPr>
        <w:t xml:space="preserve"> o una utilización no autorizada de los mismos.</w:t>
      </w:r>
    </w:p>
    <w:p w14:paraId="348BFDDB"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79968350"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La Ley General define las medidas de seguridad como el conjunto de acciones y actividades, controles o mecanismos administrativos, técnicos y físicos que permitan proteger los datos personales; cada una de estas medidas de seguridad se definen legalmente de la siguiente manera:</w:t>
      </w:r>
    </w:p>
    <w:p w14:paraId="1E387C37" w14:textId="77777777" w:rsidR="00FE456E" w:rsidRPr="00CA298C" w:rsidRDefault="00FE456E" w:rsidP="00FE456E">
      <w:pPr>
        <w:pStyle w:val="Prrafodelista"/>
        <w:tabs>
          <w:tab w:val="left" w:pos="284"/>
          <w:tab w:val="left" w:pos="426"/>
        </w:tabs>
        <w:spacing w:before="240" w:after="240" w:line="360" w:lineRule="auto"/>
        <w:ind w:left="567" w:right="616"/>
        <w:jc w:val="center"/>
        <w:rPr>
          <w:rFonts w:ascii="Palatino Linotype" w:hAnsi="Palatino Linotype" w:cs="Arial"/>
          <w:i/>
          <w:sz w:val="22"/>
          <w:szCs w:val="22"/>
          <w:lang w:eastAsia="en-US"/>
        </w:rPr>
      </w:pPr>
      <w:r w:rsidRPr="00CA298C">
        <w:rPr>
          <w:i/>
          <w:noProof/>
          <w:sz w:val="22"/>
          <w:szCs w:val="22"/>
        </w:rPr>
        <w:lastRenderedPageBreak/>
        <w:drawing>
          <wp:inline distT="0" distB="0" distL="0" distR="0" wp14:anchorId="5DEF5FF5" wp14:editId="43411438">
            <wp:extent cx="3150029" cy="332406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233" t="23839" r="10048" b="18527"/>
                    <a:stretch/>
                  </pic:blipFill>
                  <pic:spPr bwMode="auto">
                    <a:xfrm>
                      <a:off x="0" y="0"/>
                      <a:ext cx="3174509" cy="3349896"/>
                    </a:xfrm>
                    <a:prstGeom prst="rect">
                      <a:avLst/>
                    </a:prstGeom>
                    <a:ln>
                      <a:noFill/>
                    </a:ln>
                    <a:extLst>
                      <a:ext uri="{53640926-AAD7-44D8-BBD7-CCE9431645EC}">
                        <a14:shadowObscured xmlns:a14="http://schemas.microsoft.com/office/drawing/2010/main"/>
                      </a:ext>
                    </a:extLst>
                  </pic:spPr>
                </pic:pic>
              </a:graphicData>
            </a:graphic>
          </wp:inline>
        </w:drawing>
      </w:r>
    </w:p>
    <w:p w14:paraId="7802100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22E231B"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Medidas de seguridad existentes y efectivas </w:t>
      </w:r>
    </w:p>
    <w:p w14:paraId="3F0583C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Medidas de seguridad faltante </w:t>
      </w:r>
    </w:p>
    <w:p w14:paraId="519D08E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La existencia de nuevas medidas de seguridad que pudieran remplazar a las actuales. </w:t>
      </w:r>
    </w:p>
    <w:p w14:paraId="106BDC84"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4F76FD3"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Visto lo anterior, cabe destacar que el an</w:t>
      </w:r>
      <w:r w:rsidRPr="00CA298C">
        <w:rPr>
          <w:rFonts w:ascii="Palatino Linotype" w:hAnsi="Palatino Linotype" w:cs="Palatino Linotype"/>
          <w:i/>
          <w:sz w:val="22"/>
          <w:szCs w:val="22"/>
          <w:lang w:eastAsia="en-US"/>
        </w:rPr>
        <w:t>á</w:t>
      </w:r>
      <w:r w:rsidRPr="00CA298C">
        <w:rPr>
          <w:rFonts w:ascii="Palatino Linotype" w:hAnsi="Palatino Linotype" w:cs="Arial"/>
          <w:i/>
          <w:sz w:val="22"/>
          <w:szCs w:val="22"/>
          <w:lang w:eastAsia="en-US"/>
        </w:rPr>
        <w:t>lisis de brecha se refiere al proceso de evaluación de las medidas de seguridad administrativas, físicas y técnicas, existentes y las que operan correctamente en la organización, contra las que serían necesarias tener para mitigar los riesgos de seguridad identificados en el análisis previo, así como las nuevas medidas de seguridad que podrían reemplazar a uno o más controles implementados actualmente.</w:t>
      </w:r>
    </w:p>
    <w:p w14:paraId="7389AA25"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3514C00"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El plan de trabajo.</w:t>
      </w:r>
    </w:p>
    <w:p w14:paraId="60DD478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lastRenderedPageBreak/>
        <w:t xml:space="preserve">Una vez realizados los análisis correspondientes entre los que se encuentran los de riesgos y de brecha, se debe elaborar un plan de trabajo con la finalidad de implementar las medidas de seguridad faltantes, así como para el cumplimiento cotidiano de las políticas de tratamiento de los datos personales. </w:t>
      </w:r>
    </w:p>
    <w:p w14:paraId="240E1AB4"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C23444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Para ello, se deben priorizar las medidas de seguridad más relevantes e inmediatas a establecer, habrá de considerarse los recursos económicos y humanos con los que cuenta el responsable para el cumplimiento, como todo plan de trabajo es indispensable que se fijen fechas compromiso, personas a cargo de su cumplimiento y para su implementación.</w:t>
      </w:r>
    </w:p>
    <w:p w14:paraId="7FFE5BC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C14169E"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Los mecanismos de monitoreo y revisión de las medidas de seguridad.</w:t>
      </w:r>
    </w:p>
    <w:p w14:paraId="09B49B1F"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Como parte de la evaluación de las políticas implementadas en materia de seguridad y tratamiento de los datos personales, debe monitorearse y revisarse las medidas de seguridad, al respecto los Lineamientos Generales</w:t>
      </w:r>
      <w:r w:rsidRPr="00CA298C">
        <w:rPr>
          <w:rStyle w:val="Refdenotaalpie"/>
          <w:rFonts w:eastAsiaTheme="majorEastAsia" w:cs="Arial"/>
          <w:i/>
          <w:sz w:val="22"/>
          <w:szCs w:val="22"/>
        </w:rPr>
        <w:footnoteReference w:id="4"/>
      </w:r>
      <w:r w:rsidRPr="00CA298C">
        <w:rPr>
          <w:rFonts w:ascii="Palatino Linotype" w:hAnsi="Palatino Linotype" w:cs="Arial"/>
          <w:i/>
          <w:sz w:val="22"/>
          <w:szCs w:val="22"/>
          <w:lang w:eastAsia="en-US"/>
        </w:rPr>
        <w:t xml:space="preserve"> establecen que debe supervisarse lo siguiente: </w:t>
      </w:r>
    </w:p>
    <w:p w14:paraId="70AFA11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Nuevos activos gestionados; </w:t>
      </w:r>
    </w:p>
    <w:p w14:paraId="1CC2FAD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Modificaciones necesarias; </w:t>
      </w:r>
    </w:p>
    <w:p w14:paraId="7F1DF912"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Nuevas amenazas dentro o fuera de la organizaci</w:t>
      </w:r>
      <w:r w:rsidRPr="00CA298C">
        <w:rPr>
          <w:rFonts w:ascii="Palatino Linotype" w:hAnsi="Palatino Linotype" w:cs="Palatino Linotype"/>
          <w:i/>
          <w:sz w:val="22"/>
          <w:szCs w:val="22"/>
          <w:lang w:eastAsia="en-US"/>
        </w:rPr>
        <w:t>ó</w:t>
      </w:r>
      <w:r w:rsidRPr="00CA298C">
        <w:rPr>
          <w:rFonts w:ascii="Palatino Linotype" w:hAnsi="Palatino Linotype" w:cs="Arial"/>
          <w:i/>
          <w:sz w:val="22"/>
          <w:szCs w:val="22"/>
          <w:lang w:eastAsia="en-US"/>
        </w:rPr>
        <w:t xml:space="preserve">n; </w:t>
      </w:r>
    </w:p>
    <w:p w14:paraId="3BE9281E"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Posibilidad de nuevas vulneraciones, por las amenazas correspondientes; </w:t>
      </w:r>
    </w:p>
    <w:p w14:paraId="7AB4D50C"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Vulneraciones identificadas para determinar amenazas nuevas; </w:t>
      </w:r>
    </w:p>
    <w:p w14:paraId="065E1883"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Impacto de amenazas valoradas, vulnerabilidades y riesgos en conjunto; </w:t>
      </w:r>
    </w:p>
    <w:p w14:paraId="62DF037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Segoe UI Symbol" w:hAnsi="Segoe UI Symbol" w:cs="Segoe UI Symbol"/>
          <w:i/>
          <w:sz w:val="22"/>
          <w:szCs w:val="22"/>
          <w:lang w:eastAsia="en-US"/>
        </w:rPr>
        <w:t>➢</w:t>
      </w:r>
      <w:r w:rsidRPr="00CA298C">
        <w:rPr>
          <w:rFonts w:ascii="Palatino Linotype" w:hAnsi="Palatino Linotype" w:cs="Arial"/>
          <w:i/>
          <w:sz w:val="22"/>
          <w:szCs w:val="22"/>
          <w:lang w:eastAsia="en-US"/>
        </w:rPr>
        <w:t xml:space="preserve"> Incidentes y vulneraciones de seguridad ocurridas. </w:t>
      </w:r>
    </w:p>
    <w:p w14:paraId="20952767"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5156A3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lastRenderedPageBreak/>
        <w:t>De conformidad con la Ley General se consideran como vulneraciones de seguridad las siguientes:</w:t>
      </w:r>
    </w:p>
    <w:p w14:paraId="7198AAF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8E42159" w14:textId="77777777" w:rsidR="00FE456E" w:rsidRPr="00CA298C" w:rsidRDefault="00FE456E" w:rsidP="00FE456E">
      <w:pPr>
        <w:tabs>
          <w:tab w:val="left" w:pos="2445"/>
        </w:tabs>
        <w:spacing w:before="240" w:after="240" w:line="360" w:lineRule="auto"/>
        <w:ind w:left="567" w:right="616"/>
        <w:contextualSpacing/>
        <w:jc w:val="center"/>
        <w:rPr>
          <w:rFonts w:ascii="Palatino Linotype" w:hAnsi="Palatino Linotype" w:cs="Arial"/>
          <w:i/>
          <w:sz w:val="22"/>
          <w:szCs w:val="22"/>
          <w:lang w:eastAsia="en-US"/>
        </w:rPr>
      </w:pPr>
      <w:r w:rsidRPr="00CA298C">
        <w:rPr>
          <w:i/>
          <w:noProof/>
          <w:sz w:val="22"/>
          <w:szCs w:val="22"/>
        </w:rPr>
        <w:drawing>
          <wp:inline distT="0" distB="0" distL="0" distR="0" wp14:anchorId="32B1767F" wp14:editId="5D1BAAEB">
            <wp:extent cx="2800350" cy="17777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572" t="37418" r="10217" b="28485"/>
                    <a:stretch/>
                  </pic:blipFill>
                  <pic:spPr bwMode="auto">
                    <a:xfrm>
                      <a:off x="0" y="0"/>
                      <a:ext cx="2814754" cy="1786895"/>
                    </a:xfrm>
                    <a:prstGeom prst="rect">
                      <a:avLst/>
                    </a:prstGeom>
                    <a:ln>
                      <a:noFill/>
                    </a:ln>
                    <a:extLst>
                      <a:ext uri="{53640926-AAD7-44D8-BBD7-CCE9431645EC}">
                        <a14:shadowObscured xmlns:a14="http://schemas.microsoft.com/office/drawing/2010/main"/>
                      </a:ext>
                    </a:extLst>
                  </pic:spPr>
                </pic:pic>
              </a:graphicData>
            </a:graphic>
          </wp:inline>
        </w:drawing>
      </w:r>
    </w:p>
    <w:p w14:paraId="32E015CB"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9B0EB0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Dicho lo anterior, el monitoreo y revisión de las medidas de seguridad es el proceso de supervisar el funcionamiento del sistema de gestión y evaluar los objetivos, políticas, procesos y procedimientos establecidos en el mismo, con el fin de cumplir con la legislación en protección de datos personales. </w:t>
      </w:r>
    </w:p>
    <w:p w14:paraId="73347288"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3E1ABE32"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 xml:space="preserve">De igual forma, para llevar a cabo dicha revisión de manera efectiva, es necesario monitorear continuamente los eventos que señala el artículo 63 de los Lineamientos Generales. </w:t>
      </w:r>
    </w:p>
    <w:p w14:paraId="22FF687F"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3B588BEE"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CA298C">
        <w:rPr>
          <w:rFonts w:ascii="Palatino Linotype" w:hAnsi="Palatino Linotype" w:cs="Arial"/>
          <w:i/>
          <w:sz w:val="22"/>
          <w:szCs w:val="22"/>
          <w:lang w:eastAsia="en-US"/>
        </w:rPr>
        <w:t>De tal manera que, cuando el sujeto obligado sufra alguna vulneración a la seguridad, éste deberá actuar conforme a lo dispuesto en los artículos 37, 38, 39, 40 y 41 de la Ley General. Asimismo, para el caso de las notificaciones sobre vulneraciones, deberá observar los artículos 66, 67 y 68 de los Lineamientos Generales.</w:t>
      </w:r>
    </w:p>
    <w:p w14:paraId="4EFD015A"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B29B601" w14:textId="77777777" w:rsidR="00FE456E" w:rsidRPr="00CA298C" w:rsidRDefault="00FE456E" w:rsidP="00FE456E">
      <w:pPr>
        <w:pStyle w:val="Prrafodelista"/>
        <w:numPr>
          <w:ilvl w:val="0"/>
          <w:numId w:val="19"/>
        </w:numPr>
        <w:tabs>
          <w:tab w:val="left" w:pos="284"/>
          <w:tab w:val="left" w:pos="426"/>
        </w:tabs>
        <w:spacing w:before="240" w:after="240" w:line="360" w:lineRule="auto"/>
        <w:ind w:left="567" w:right="616" w:firstLine="0"/>
        <w:jc w:val="both"/>
        <w:rPr>
          <w:rFonts w:ascii="Palatino Linotype" w:hAnsi="Palatino Linotype" w:cs="Arial"/>
          <w:b/>
          <w:i/>
          <w:sz w:val="22"/>
          <w:szCs w:val="22"/>
          <w:lang w:eastAsia="en-US"/>
        </w:rPr>
      </w:pPr>
      <w:r w:rsidRPr="00CA298C">
        <w:rPr>
          <w:rFonts w:ascii="Palatino Linotype" w:hAnsi="Palatino Linotype" w:cs="Arial"/>
          <w:b/>
          <w:i/>
          <w:sz w:val="22"/>
          <w:szCs w:val="22"/>
          <w:lang w:eastAsia="en-US"/>
        </w:rPr>
        <w:t>El programa general de capacitación.</w:t>
      </w:r>
    </w:p>
    <w:p w14:paraId="6A383C2C"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CA298C">
        <w:rPr>
          <w:rFonts w:ascii="Palatino Linotype" w:hAnsi="Palatino Linotype"/>
          <w:i/>
          <w:sz w:val="22"/>
          <w:szCs w:val="22"/>
        </w:rPr>
        <w:lastRenderedPageBreak/>
        <w:t xml:space="preserve">Como parte de las actividades interrelacionadas también se encuentra la capacitación, el diseñar e implementar programas a corto, mediano y largo plazo, para los involucrados en el tratamiento de los datos personales, atendiendo a sus roles, funciones y responsabilidades asignados. </w:t>
      </w:r>
    </w:p>
    <w:p w14:paraId="0A694ED6"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i/>
          <w:sz w:val="22"/>
          <w:szCs w:val="22"/>
        </w:rPr>
      </w:pPr>
    </w:p>
    <w:p w14:paraId="05021BF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CA298C">
        <w:rPr>
          <w:rFonts w:ascii="Palatino Linotype" w:hAnsi="Palatino Linotype"/>
          <w:i/>
          <w:sz w:val="22"/>
          <w:szCs w:val="22"/>
        </w:rPr>
        <w:t xml:space="preserve">Por lo tanto, a fin de contar con personal consciente de sus responsabilidades y deberes respecto de la protección de datos personales, se deben establecer y mantener programas de capacitación considerando las siguientes etapas: </w:t>
      </w:r>
    </w:p>
    <w:p w14:paraId="3CF7C3B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i/>
          <w:sz w:val="22"/>
          <w:szCs w:val="22"/>
        </w:rPr>
      </w:pPr>
    </w:p>
    <w:p w14:paraId="081C66C1"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CA298C">
        <w:rPr>
          <w:rFonts w:ascii="Palatino Linotype" w:hAnsi="Palatino Linotype"/>
          <w:i/>
          <w:sz w:val="22"/>
          <w:szCs w:val="22"/>
        </w:rPr>
        <w:t xml:space="preserve">1. Concienciación: programas a corto plazo para la difusión en general de la protección de datos personales en la organización. </w:t>
      </w:r>
    </w:p>
    <w:p w14:paraId="449EA5B9"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CA298C">
        <w:rPr>
          <w:rFonts w:ascii="Palatino Linotype" w:hAnsi="Palatino Linotype"/>
          <w:i/>
          <w:sz w:val="22"/>
          <w:szCs w:val="22"/>
        </w:rPr>
        <w:t xml:space="preserve">2. Entrenamiento: programas a mediano plazo que tienen por objetivo capacitar al personal de manera específica respecto a sus funciones y responsabilidades en el tratamiento y seguridad de los datos personales. </w:t>
      </w:r>
    </w:p>
    <w:p w14:paraId="1548791C" w14:textId="77777777" w:rsidR="00FE456E" w:rsidRPr="00CA298C" w:rsidRDefault="00FE456E" w:rsidP="00FE456E">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CA298C">
        <w:rPr>
          <w:rFonts w:ascii="Palatino Linotype" w:hAnsi="Palatino Linotype"/>
          <w:i/>
          <w:sz w:val="22"/>
          <w:szCs w:val="22"/>
        </w:rPr>
        <w:t>3. Educación: programa general a largo plazo que tiene por objetivo incluir la seguridad en el tratamiento de los datos personales dentro de la cultura de la organización.</w:t>
      </w:r>
    </w:p>
    <w:p w14:paraId="720CB242" w14:textId="1FAAD48D" w:rsidR="00FE456E" w:rsidRPr="00CA298C" w:rsidRDefault="00FE456E" w:rsidP="00FE456E">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i/>
        </w:rPr>
      </w:pPr>
      <w:r w:rsidRPr="00CA298C">
        <w:rPr>
          <w:rFonts w:ascii="Palatino Linotype" w:hAnsi="Palatino Linotype"/>
        </w:rPr>
        <w:t xml:space="preserve">Así, por cuanto hace al Documento de Seguridad se entiende “como el </w:t>
      </w:r>
      <w:r w:rsidRPr="00CA298C">
        <w:rPr>
          <w:rFonts w:ascii="Palatino Linotype" w:hAnsi="Palatino Linotype"/>
          <w:i/>
        </w:rPr>
        <w:t>instrumento que describe y da cuenta de manera general sobre las medidas de seguridad técnicas, físicas y administrativas adoptadas por el responsable para garantizar la confidencialidad, integridad y disponibilidad de los datos personales”</w:t>
      </w:r>
      <w:r w:rsidRPr="00CA298C">
        <w:rPr>
          <w:rStyle w:val="Refdenotaalpie"/>
          <w:rFonts w:eastAsiaTheme="majorEastAsia"/>
          <w:i/>
        </w:rPr>
        <w:footnoteReference w:id="5"/>
      </w:r>
    </w:p>
    <w:p w14:paraId="6C1F723A" w14:textId="77777777" w:rsidR="00FE456E" w:rsidRPr="00CA298C" w:rsidRDefault="00FE456E" w:rsidP="00FE456E">
      <w:pPr>
        <w:pStyle w:val="Prrafodelista"/>
        <w:tabs>
          <w:tab w:val="left" w:pos="5280"/>
        </w:tabs>
        <w:spacing w:before="240" w:after="240" w:line="360" w:lineRule="auto"/>
        <w:ind w:left="0" w:right="49"/>
        <w:jc w:val="both"/>
        <w:rPr>
          <w:rFonts w:ascii="Palatino Linotype" w:hAnsi="Palatino Linotype"/>
          <w:i/>
        </w:rPr>
      </w:pPr>
      <w:r w:rsidRPr="00CA298C">
        <w:rPr>
          <w:rFonts w:ascii="Palatino Linotype" w:hAnsi="Palatino Linotype"/>
          <w:i/>
        </w:rPr>
        <w:tab/>
      </w:r>
    </w:p>
    <w:p w14:paraId="0D6E1CC6" w14:textId="1F3B2B06" w:rsidR="00FE456E" w:rsidRPr="00CA298C" w:rsidRDefault="00FE456E" w:rsidP="00FE456E">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i/>
        </w:rPr>
      </w:pPr>
      <w:r w:rsidRPr="00CA298C">
        <w:rPr>
          <w:rFonts w:ascii="Palatino Linotype" w:hAnsi="Palatino Linotype"/>
        </w:rPr>
        <w:t xml:space="preserve">Es importante precisar que las medidas de seguridad aplicables a los sistemas de datos personales por parte de los sujetos obligados, son información de carácter confidencial </w:t>
      </w:r>
      <w:r w:rsidRPr="00CA298C">
        <w:rPr>
          <w:rFonts w:ascii="Palatino Linotype" w:hAnsi="Palatino Linotype"/>
          <w:b/>
        </w:rPr>
        <w:t>por mandato expreso</w:t>
      </w:r>
      <w:r w:rsidRPr="00CA298C">
        <w:rPr>
          <w:rFonts w:ascii="Palatino Linotype" w:hAnsi="Palatino Linotype"/>
        </w:rPr>
        <w:t xml:space="preserve"> del artículo 43 de la Ley de Protección de Datos </w:t>
      </w:r>
      <w:r w:rsidRPr="00CA298C">
        <w:rPr>
          <w:rFonts w:ascii="Palatino Linotype" w:hAnsi="Palatino Linotype"/>
        </w:rPr>
        <w:lastRenderedPageBreak/>
        <w:t xml:space="preserve">Personales en Posesión de Sujetos Obligados del Estado de México y Municipios, toda vez que la puesta a disposición de las mismas pueden causar una alteración, perdida, destrucción o el uso, transferencia, acceso o cualquier tratamiento no autorizado o ilícito a la información que se encuentra en tratamiento en las bases y sistemas de datos personales del Sujeto Obligado. </w:t>
      </w:r>
    </w:p>
    <w:p w14:paraId="54529B97" w14:textId="77777777" w:rsidR="00FE456E" w:rsidRPr="00CA298C" w:rsidRDefault="00FE456E" w:rsidP="00FE456E">
      <w:pPr>
        <w:pStyle w:val="Prrafodelista"/>
        <w:rPr>
          <w:rFonts w:ascii="Palatino Linotype" w:hAnsi="Palatino Linotype"/>
          <w:i/>
        </w:rPr>
      </w:pPr>
    </w:p>
    <w:p w14:paraId="07CEE06F" w14:textId="6947735B" w:rsidR="00FE456E" w:rsidRPr="00CA298C" w:rsidRDefault="008D31B6" w:rsidP="00FE456E">
      <w:pPr>
        <w:numPr>
          <w:ilvl w:val="0"/>
          <w:numId w:val="4"/>
        </w:numPr>
        <w:autoSpaceDE w:val="0"/>
        <w:autoSpaceDN w:val="0"/>
        <w:adjustRightInd w:val="0"/>
        <w:spacing w:line="360" w:lineRule="auto"/>
        <w:ind w:left="0" w:firstLine="0"/>
        <w:jc w:val="both"/>
        <w:rPr>
          <w:rFonts w:ascii="Palatino Linotype" w:eastAsia="MS Mincho" w:hAnsi="Palatino Linotype" w:cs="PalatinoLinotype-Roman"/>
        </w:rPr>
      </w:pPr>
      <w:r w:rsidRPr="00CA298C">
        <w:rPr>
          <w:rFonts w:ascii="Palatino Linotype" w:eastAsia="MS Mincho" w:hAnsi="Palatino Linotype" w:cs="PalatinoLinotype-Roman"/>
        </w:rPr>
        <w:t xml:space="preserve">Atento a lo anterior </w:t>
      </w:r>
      <w:r w:rsidR="00FE456E" w:rsidRPr="00CA298C">
        <w:rPr>
          <w:rFonts w:ascii="Palatino Linotype" w:eastAsia="MS Mincho" w:hAnsi="Palatino Linotype" w:cs="PalatinoLinotype-Roman"/>
        </w:rPr>
        <w:t>el Artículo 49 de la Ley de Protección de Datos Personales en Posesión de Sujetos Obligados del Estado de México y Municipios, que habla del contenido del documento de seguridad, estipula lo siguiente:</w:t>
      </w:r>
    </w:p>
    <w:p w14:paraId="4D470747" w14:textId="77777777" w:rsidR="00FE456E" w:rsidRPr="00CA298C" w:rsidRDefault="00FE456E" w:rsidP="00FE456E">
      <w:pPr>
        <w:autoSpaceDE w:val="0"/>
        <w:autoSpaceDN w:val="0"/>
        <w:adjustRightInd w:val="0"/>
        <w:spacing w:line="360" w:lineRule="auto"/>
        <w:ind w:left="567" w:right="822"/>
        <w:rPr>
          <w:rFonts w:ascii="Palatino Linotype" w:eastAsia="MS Mincho" w:hAnsi="Palatino Linotype" w:cs="PalatinoLinotype-Roman"/>
          <w:i/>
          <w:sz w:val="22"/>
        </w:rPr>
      </w:pPr>
      <w:r w:rsidRPr="00CA298C">
        <w:rPr>
          <w:rFonts w:ascii="Palatino Linotype" w:eastAsia="MS Mincho" w:hAnsi="Palatino Linotype" w:cs="PalatinoLinotype-Bold"/>
          <w:b/>
          <w:bCs/>
          <w:i/>
          <w:sz w:val="22"/>
        </w:rPr>
        <w:t xml:space="preserve">“Artículo 49. </w:t>
      </w:r>
      <w:r w:rsidRPr="00CA298C">
        <w:rPr>
          <w:rFonts w:ascii="Palatino Linotype" w:eastAsia="MS Mincho" w:hAnsi="Palatino Linotype" w:cs="PalatinoLinotype-Roman"/>
          <w:i/>
          <w:sz w:val="22"/>
        </w:rPr>
        <w:t xml:space="preserve">El </w:t>
      </w:r>
      <w:r w:rsidRPr="00CA298C">
        <w:rPr>
          <w:rFonts w:ascii="Palatino Linotype" w:eastAsia="MS Mincho" w:hAnsi="Palatino Linotype" w:cs="PalatinoLinotype-Bold"/>
          <w:b/>
          <w:bCs/>
          <w:i/>
          <w:sz w:val="22"/>
        </w:rPr>
        <w:t xml:space="preserve">documento de seguridad </w:t>
      </w:r>
      <w:r w:rsidRPr="00CA298C">
        <w:rPr>
          <w:rFonts w:ascii="Palatino Linotype" w:eastAsia="MS Mincho" w:hAnsi="Palatino Linotype" w:cs="PalatinoLinotype-Roman"/>
          <w:i/>
          <w:sz w:val="22"/>
        </w:rPr>
        <w:t>deberá contener como mínimo lo siguiente:</w:t>
      </w:r>
    </w:p>
    <w:p w14:paraId="38EF1752" w14:textId="77777777" w:rsidR="00FE456E" w:rsidRPr="00CA298C" w:rsidRDefault="00FE456E" w:rsidP="00FE456E">
      <w:pPr>
        <w:autoSpaceDE w:val="0"/>
        <w:autoSpaceDN w:val="0"/>
        <w:adjustRightInd w:val="0"/>
        <w:spacing w:line="360" w:lineRule="auto"/>
        <w:ind w:left="567" w:right="822"/>
        <w:rPr>
          <w:rFonts w:ascii="Palatino Linotype" w:eastAsia="MS Mincho" w:hAnsi="Palatino Linotype" w:cs="PalatinoLinotype-Roman"/>
          <w:i/>
          <w:sz w:val="22"/>
        </w:rPr>
      </w:pPr>
      <w:r w:rsidRPr="00CA298C">
        <w:rPr>
          <w:rFonts w:ascii="Palatino Linotype" w:eastAsia="MS Mincho" w:hAnsi="Palatino Linotype" w:cs="PalatinoLinotype-Roman"/>
          <w:i/>
          <w:sz w:val="22"/>
        </w:rPr>
        <w:t>…</w:t>
      </w:r>
    </w:p>
    <w:p w14:paraId="475E672D" w14:textId="77777777" w:rsidR="00FE456E" w:rsidRPr="00CA298C" w:rsidRDefault="00FE456E" w:rsidP="00FE456E">
      <w:pPr>
        <w:autoSpaceDE w:val="0"/>
        <w:autoSpaceDN w:val="0"/>
        <w:adjustRightInd w:val="0"/>
        <w:spacing w:line="360" w:lineRule="auto"/>
        <w:ind w:left="567" w:right="822"/>
        <w:rPr>
          <w:rFonts w:ascii="Palatino Linotype" w:eastAsia="MS Mincho" w:hAnsi="Palatino Linotype" w:cs="PalatinoLinotype-Roman"/>
          <w:b/>
          <w:i/>
          <w:sz w:val="22"/>
        </w:rPr>
      </w:pPr>
      <w:r w:rsidRPr="00CA298C">
        <w:rPr>
          <w:rFonts w:ascii="Palatino Linotype" w:eastAsia="MS Mincho" w:hAnsi="Palatino Linotype" w:cs="PalatinoLinotype-Bold"/>
          <w:b/>
          <w:bCs/>
          <w:i/>
          <w:sz w:val="22"/>
        </w:rPr>
        <w:t xml:space="preserve">II. </w:t>
      </w:r>
      <w:r w:rsidRPr="00CA298C">
        <w:rPr>
          <w:rFonts w:ascii="Palatino Linotype" w:eastAsia="MS Mincho" w:hAnsi="Palatino Linotype" w:cs="PalatinoLinotype-Roman"/>
          <w:b/>
          <w:i/>
          <w:sz w:val="22"/>
        </w:rPr>
        <w:t>Respecto de las medidas de seguridad implementadas deberá incluir lo siguiente:</w:t>
      </w:r>
    </w:p>
    <w:p w14:paraId="0BA900A5" w14:textId="77777777" w:rsidR="00FE456E" w:rsidRPr="00CA298C" w:rsidRDefault="00FE456E" w:rsidP="00FE456E">
      <w:pPr>
        <w:autoSpaceDE w:val="0"/>
        <w:autoSpaceDN w:val="0"/>
        <w:adjustRightInd w:val="0"/>
        <w:spacing w:line="360" w:lineRule="auto"/>
        <w:ind w:left="567" w:right="822"/>
        <w:rPr>
          <w:rFonts w:ascii="Palatino Linotype" w:eastAsia="MS Mincho" w:hAnsi="Palatino Linotype" w:cs="PalatinoLinotype-Roman"/>
          <w:i/>
          <w:sz w:val="22"/>
        </w:rPr>
      </w:pPr>
      <w:r w:rsidRPr="00CA298C">
        <w:rPr>
          <w:rFonts w:ascii="Palatino Linotype" w:eastAsia="MS Mincho" w:hAnsi="Palatino Linotype" w:cs="PalatinoLinotype-Roman"/>
          <w:i/>
          <w:sz w:val="22"/>
        </w:rPr>
        <w:t>…</w:t>
      </w:r>
    </w:p>
    <w:p w14:paraId="6D8A5E81" w14:textId="77777777" w:rsidR="00FE456E" w:rsidRPr="00CA298C" w:rsidRDefault="00FE456E" w:rsidP="00FE456E">
      <w:pPr>
        <w:autoSpaceDE w:val="0"/>
        <w:autoSpaceDN w:val="0"/>
        <w:adjustRightInd w:val="0"/>
        <w:spacing w:line="360" w:lineRule="auto"/>
        <w:ind w:left="567" w:right="822"/>
        <w:rPr>
          <w:rFonts w:ascii="Palatino Linotype" w:eastAsia="MS Mincho" w:hAnsi="Palatino Linotype" w:cs="PalatinoLinotype-Bold"/>
          <w:b/>
          <w:bCs/>
          <w:i/>
          <w:sz w:val="22"/>
        </w:rPr>
      </w:pPr>
      <w:r w:rsidRPr="00CA298C">
        <w:rPr>
          <w:rFonts w:ascii="Palatino Linotype" w:eastAsia="MS Mincho" w:hAnsi="Palatino Linotype" w:cs="PalatinoLinotype-Bold"/>
          <w:b/>
          <w:bCs/>
          <w:i/>
          <w:sz w:val="22"/>
        </w:rPr>
        <w:t xml:space="preserve">c) Bitácoras para </w:t>
      </w:r>
      <w:r w:rsidRPr="00CA298C">
        <w:rPr>
          <w:rFonts w:ascii="Palatino Linotype" w:eastAsia="MS Mincho" w:hAnsi="Palatino Linotype" w:cs="PalatinoLinotype-Roman"/>
          <w:b/>
          <w:i/>
          <w:sz w:val="22"/>
        </w:rPr>
        <w:t>acceso</w:t>
      </w:r>
      <w:r w:rsidRPr="00CA298C">
        <w:rPr>
          <w:rFonts w:ascii="Palatino Linotype" w:eastAsia="MS Mincho" w:hAnsi="Palatino Linotype" w:cs="PalatinoLinotype-Roman"/>
          <w:i/>
          <w:sz w:val="22"/>
        </w:rPr>
        <w:t xml:space="preserve">, operación cotidiana y </w:t>
      </w:r>
      <w:r w:rsidRPr="00CA298C">
        <w:rPr>
          <w:rFonts w:ascii="Palatino Linotype" w:eastAsia="MS Mincho" w:hAnsi="Palatino Linotype" w:cs="PalatinoLinotype-Bold"/>
          <w:b/>
          <w:bCs/>
          <w:i/>
          <w:sz w:val="22"/>
        </w:rPr>
        <w:t xml:space="preserve">violaciones a la seguridad </w:t>
      </w:r>
      <w:r w:rsidRPr="00CA298C">
        <w:rPr>
          <w:rFonts w:ascii="Palatino Linotype" w:eastAsia="MS Mincho" w:hAnsi="Palatino Linotype" w:cs="PalatinoLinotype-Roman"/>
          <w:i/>
          <w:sz w:val="22"/>
        </w:rPr>
        <w:t>de los datos personales.</w:t>
      </w:r>
    </w:p>
    <w:p w14:paraId="70586D47" w14:textId="77777777" w:rsidR="00FE456E" w:rsidRPr="00CA298C" w:rsidRDefault="00FE456E" w:rsidP="00FE456E">
      <w:pPr>
        <w:autoSpaceDE w:val="0"/>
        <w:autoSpaceDN w:val="0"/>
        <w:adjustRightInd w:val="0"/>
        <w:spacing w:line="360" w:lineRule="auto"/>
        <w:ind w:left="567" w:right="822"/>
        <w:rPr>
          <w:rFonts w:ascii="Palatino Linotype" w:eastAsia="MS Mincho" w:hAnsi="Palatino Linotype" w:cs="PalatinoLinotype-Roman"/>
          <w:i/>
          <w:sz w:val="22"/>
        </w:rPr>
      </w:pPr>
      <w:r w:rsidRPr="00CA298C">
        <w:rPr>
          <w:rFonts w:ascii="Palatino Linotype" w:eastAsia="MS Mincho" w:hAnsi="Palatino Linotype" w:cs="PalatinoLinotype-Roman"/>
          <w:i/>
          <w:sz w:val="22"/>
        </w:rPr>
        <w:t>…”</w:t>
      </w:r>
    </w:p>
    <w:p w14:paraId="0B6524B9" w14:textId="77777777" w:rsidR="00FE456E" w:rsidRPr="00CA298C" w:rsidRDefault="00FE456E" w:rsidP="00FE456E">
      <w:pPr>
        <w:autoSpaceDE w:val="0"/>
        <w:autoSpaceDN w:val="0"/>
        <w:adjustRightInd w:val="0"/>
        <w:spacing w:line="360" w:lineRule="auto"/>
        <w:ind w:left="567" w:right="822"/>
        <w:rPr>
          <w:rFonts w:ascii="Palatino Linotype" w:eastAsia="MS Mincho" w:hAnsi="Palatino Linotype" w:cs="PalatinoLinotype-Italic"/>
          <w:b/>
          <w:iCs/>
          <w:sz w:val="22"/>
        </w:rPr>
      </w:pPr>
      <w:r w:rsidRPr="00CA298C">
        <w:rPr>
          <w:rFonts w:ascii="Palatino Linotype" w:eastAsia="MS Mincho" w:hAnsi="Palatino Linotype" w:cs="PalatinoLinotype-Italic"/>
          <w:b/>
          <w:iCs/>
          <w:sz w:val="22"/>
        </w:rPr>
        <w:t>Énfasis añadido</w:t>
      </w:r>
    </w:p>
    <w:p w14:paraId="423E7E49" w14:textId="77777777" w:rsidR="00FE456E" w:rsidRPr="00CA298C" w:rsidRDefault="00FE456E" w:rsidP="00FE456E">
      <w:pPr>
        <w:autoSpaceDE w:val="0"/>
        <w:autoSpaceDN w:val="0"/>
        <w:adjustRightInd w:val="0"/>
        <w:spacing w:line="360" w:lineRule="auto"/>
        <w:rPr>
          <w:rFonts w:ascii="Palatino Linotype" w:eastAsia="MS Mincho" w:hAnsi="Palatino Linotype" w:cs="PalatinoLinotype-Roman"/>
        </w:rPr>
      </w:pPr>
    </w:p>
    <w:p w14:paraId="727F8F62" w14:textId="77777777" w:rsidR="00FE456E" w:rsidRPr="00CA298C" w:rsidRDefault="00FE456E" w:rsidP="00FE456E">
      <w:pPr>
        <w:numPr>
          <w:ilvl w:val="0"/>
          <w:numId w:val="4"/>
        </w:numPr>
        <w:autoSpaceDE w:val="0"/>
        <w:autoSpaceDN w:val="0"/>
        <w:adjustRightInd w:val="0"/>
        <w:spacing w:line="360" w:lineRule="auto"/>
        <w:ind w:left="0" w:firstLine="0"/>
        <w:jc w:val="both"/>
        <w:rPr>
          <w:rFonts w:ascii="Palatino Linotype" w:eastAsia="MS Mincho" w:hAnsi="Palatino Linotype" w:cs="PalatinoLinotype-Roman"/>
        </w:rPr>
      </w:pPr>
      <w:r w:rsidRPr="00CA298C">
        <w:rPr>
          <w:rFonts w:ascii="Palatino Linotype" w:eastAsia="MS Mincho" w:hAnsi="Palatino Linotype" w:cs="PalatinoLinotype-Roman"/>
        </w:rPr>
        <w:t>En este sentido, la Ley estatal en la materia describe el contenido de la Bitácora de Violaciones a la Seguridad de los Datos Personales, en su artículo 53, que a continuación se menciona:</w:t>
      </w:r>
    </w:p>
    <w:p w14:paraId="50A1709B" w14:textId="77777777" w:rsidR="00FE456E" w:rsidRPr="00CA298C" w:rsidRDefault="00FE456E" w:rsidP="00FE456E">
      <w:pPr>
        <w:autoSpaceDE w:val="0"/>
        <w:autoSpaceDN w:val="0"/>
        <w:adjustRightInd w:val="0"/>
        <w:spacing w:line="360" w:lineRule="auto"/>
        <w:ind w:left="426" w:right="333"/>
        <w:jc w:val="both"/>
        <w:rPr>
          <w:rFonts w:ascii="Palatino Linotype" w:eastAsia="MS Mincho" w:hAnsi="Palatino Linotype" w:cs="PalatinoLinotype-Roman"/>
          <w:i/>
          <w:sz w:val="22"/>
        </w:rPr>
      </w:pPr>
      <w:r w:rsidRPr="00CA298C">
        <w:rPr>
          <w:rFonts w:ascii="Palatino Linotype" w:eastAsia="MS Mincho" w:hAnsi="Palatino Linotype" w:cs="PalatinoLinotype-Bold"/>
          <w:b/>
          <w:bCs/>
          <w:i/>
          <w:sz w:val="22"/>
        </w:rPr>
        <w:t xml:space="preserve">Artículo 53. </w:t>
      </w:r>
      <w:r w:rsidRPr="00CA298C">
        <w:rPr>
          <w:rFonts w:ascii="Palatino Linotype" w:eastAsia="MS Mincho" w:hAnsi="Palatino Linotype" w:cs="PalatinoLinotype-Roman"/>
          <w:i/>
          <w:sz w:val="22"/>
        </w:rPr>
        <w:t xml:space="preserve">El responsable llevará una bitácora de las violaciones a la seguridad, de manera conjunta o separada con la bitácora de incidentes, en la que se describa la violación, la fecha </w:t>
      </w:r>
      <w:r w:rsidRPr="00CA298C">
        <w:rPr>
          <w:rFonts w:ascii="Palatino Linotype" w:eastAsia="MS Mincho" w:hAnsi="Palatino Linotype" w:cs="PalatinoLinotype-Roman"/>
          <w:i/>
          <w:sz w:val="22"/>
        </w:rPr>
        <w:lastRenderedPageBreak/>
        <w:t>en que ocurrió, el motivo de ésta y las acciones correctivas implementadas de forma inmediata y definitiva.”</w:t>
      </w:r>
    </w:p>
    <w:p w14:paraId="5C69BAA1" w14:textId="77777777" w:rsidR="00FE456E" w:rsidRPr="00CA298C" w:rsidRDefault="00FE456E" w:rsidP="00FE456E">
      <w:pPr>
        <w:autoSpaceDE w:val="0"/>
        <w:autoSpaceDN w:val="0"/>
        <w:adjustRightInd w:val="0"/>
        <w:spacing w:line="360" w:lineRule="auto"/>
        <w:rPr>
          <w:rFonts w:ascii="Palatino Linotype" w:eastAsia="MS Mincho" w:hAnsi="Palatino Linotype" w:cs="PalatinoLinotype-Roman"/>
        </w:rPr>
      </w:pPr>
    </w:p>
    <w:p w14:paraId="5F29A7E6" w14:textId="77777777" w:rsidR="00FE456E" w:rsidRPr="00CA298C" w:rsidRDefault="00FE456E" w:rsidP="00FE456E">
      <w:pPr>
        <w:numPr>
          <w:ilvl w:val="0"/>
          <w:numId w:val="4"/>
        </w:numPr>
        <w:autoSpaceDE w:val="0"/>
        <w:autoSpaceDN w:val="0"/>
        <w:adjustRightInd w:val="0"/>
        <w:spacing w:line="360" w:lineRule="auto"/>
        <w:ind w:left="0" w:firstLine="0"/>
        <w:jc w:val="both"/>
        <w:rPr>
          <w:rFonts w:ascii="Palatino Linotype" w:eastAsia="MS Mincho" w:hAnsi="Palatino Linotype" w:cs="Arial"/>
        </w:rPr>
      </w:pPr>
      <w:r w:rsidRPr="00CA298C">
        <w:rPr>
          <w:rFonts w:ascii="Palatino Linotype" w:eastAsia="MS Mincho" w:hAnsi="Palatino Linotype" w:cs="PalatinoLinotype-Roman"/>
        </w:rPr>
        <w:t>A su vez, es de destacar que, en términos de lo dispuesto por los artículos 4, fracciones XVIII, XXX y XXXI de la Ley de Protección de Datos Personales en Posesión de Sujetos Obligados del Estado de México y Municipios, las medidas de seguridad técnicas, físicas y administrativas son las políticas y procedimientos que permiten proteger los datos personales que se encuentran bajo resguardo, dichas medidas se encuentran contenidas en el documento de seguridad.</w:t>
      </w:r>
    </w:p>
    <w:p w14:paraId="5C1B1498" w14:textId="77777777" w:rsidR="00FE456E" w:rsidRPr="00CA298C" w:rsidRDefault="00FE456E" w:rsidP="00FE456E">
      <w:pPr>
        <w:spacing w:line="360" w:lineRule="auto"/>
        <w:jc w:val="both"/>
        <w:rPr>
          <w:rFonts w:ascii="Palatino Linotype" w:hAnsi="Palatino Linotype"/>
          <w:color w:val="000000" w:themeColor="text1"/>
        </w:rPr>
      </w:pPr>
    </w:p>
    <w:p w14:paraId="33FA7F5A" w14:textId="66ECE9CC" w:rsidR="00E86C75" w:rsidRPr="00CA298C" w:rsidRDefault="00FE456E" w:rsidP="00FE456E">
      <w:pPr>
        <w:numPr>
          <w:ilvl w:val="0"/>
          <w:numId w:val="4"/>
        </w:numPr>
        <w:autoSpaceDE w:val="0"/>
        <w:autoSpaceDN w:val="0"/>
        <w:adjustRightInd w:val="0"/>
        <w:spacing w:line="360" w:lineRule="auto"/>
        <w:ind w:left="0" w:firstLine="0"/>
        <w:jc w:val="both"/>
        <w:rPr>
          <w:rFonts w:ascii="Palatino Linotype" w:eastAsia="MS Mincho" w:hAnsi="Palatino Linotype" w:cs="PalatinoLinotype-Roman"/>
        </w:rPr>
      </w:pPr>
      <w:r w:rsidRPr="00CA298C">
        <w:rPr>
          <w:rFonts w:ascii="Palatino Linotype" w:eastAsia="MS Mincho" w:hAnsi="Palatino Linotype" w:cs="PalatinoLinotype-Roman"/>
        </w:rPr>
        <w:t>Derivado de esta normatividad, queda especificado que las bitácoras para acceso, operación cotidiana y violaciones a la seguridad de los datos personales es un documento que, a su vez, forma parte del Documento de Seguridad, motivo por el cual se invoca nuevamente lo estipulado en el Artículo 43, segundo párrafo, que fue anteriormente citado y que deja por sentado que dicha información cuenta con carácter de confidencial</w:t>
      </w:r>
      <w:r w:rsidR="00E86C75" w:rsidRPr="00CA298C">
        <w:rPr>
          <w:rFonts w:ascii="Palatino Linotype" w:eastAsia="MS Mincho" w:hAnsi="Palatino Linotype" w:cs="PalatinoLinotype-Roman"/>
        </w:rPr>
        <w:t>.</w:t>
      </w:r>
      <w:r w:rsidRPr="00CA298C">
        <w:rPr>
          <w:rFonts w:ascii="Palatino Linotype" w:eastAsia="MS Mincho" w:hAnsi="Palatino Linotype" w:cs="PalatinoLinotype-Roman"/>
        </w:rPr>
        <w:t xml:space="preserve"> </w:t>
      </w:r>
      <w:r w:rsidR="00E86C75" w:rsidRPr="00CA298C">
        <w:rPr>
          <w:rFonts w:ascii="Palatino Linotype" w:eastAsia="MS Mincho" w:hAnsi="Palatino Linotype" w:cs="PalatinoLinotype-Roman"/>
        </w:rPr>
        <w:t>En consecuencia, tal y como se ha señalado en líneas anteriores, el documento de seguridad es un compilado de información que es susceptible de proporcionarse en versión pública, clasificando aquella contemplada por el artículo 43 de le referida Ley de Protección de Datos, por lo que el Sujeto Obligado estará a lo dispuesto por el Considerando QUINTO de la presente resolución.</w:t>
      </w:r>
    </w:p>
    <w:p w14:paraId="7E6A8335" w14:textId="77777777" w:rsidR="00E86C75" w:rsidRPr="00CA298C" w:rsidRDefault="00E86C75" w:rsidP="00E86C75">
      <w:pPr>
        <w:pStyle w:val="Prrafodelista"/>
        <w:rPr>
          <w:rFonts w:ascii="Palatino Linotype" w:eastAsia="MS Mincho" w:hAnsi="Palatino Linotype" w:cs="PalatinoLinotype-Roman"/>
        </w:rPr>
      </w:pPr>
    </w:p>
    <w:p w14:paraId="29D2288D" w14:textId="76A878CF" w:rsidR="00E86C75" w:rsidRPr="00CA298C" w:rsidRDefault="00E86C75" w:rsidP="00FE456E">
      <w:pPr>
        <w:numPr>
          <w:ilvl w:val="0"/>
          <w:numId w:val="4"/>
        </w:numPr>
        <w:autoSpaceDE w:val="0"/>
        <w:autoSpaceDN w:val="0"/>
        <w:adjustRightInd w:val="0"/>
        <w:spacing w:line="360" w:lineRule="auto"/>
        <w:ind w:left="0" w:firstLine="0"/>
        <w:jc w:val="both"/>
        <w:rPr>
          <w:rFonts w:ascii="Palatino Linotype" w:eastAsia="MS Mincho" w:hAnsi="Palatino Linotype" w:cs="PalatinoLinotype-Roman"/>
        </w:rPr>
      </w:pPr>
      <w:r w:rsidRPr="00CA298C">
        <w:rPr>
          <w:rFonts w:ascii="Palatino Linotype" w:eastAsia="MS Mincho" w:hAnsi="Palatino Linotype" w:cs="PalatinoLinotype-Roman"/>
        </w:rPr>
        <w:t xml:space="preserve">Ahora bien, si el Sujeto Obligado no cuenta con el documento de seguridad, deberá de elaborar y emitir el acuerdo del Comité de Transparencia mediante el cual </w:t>
      </w:r>
      <w:r w:rsidRPr="00CA298C">
        <w:rPr>
          <w:rFonts w:ascii="Palatino Linotype" w:eastAsia="MS Mincho" w:hAnsi="Palatino Linotype" w:cs="PalatinoLinotype-Roman"/>
        </w:rPr>
        <w:lastRenderedPageBreak/>
        <w:t>se declare la inexistencia de la información, conforme a lo que se establece en el apartado siguiente.</w:t>
      </w:r>
    </w:p>
    <w:p w14:paraId="2F0B942F" w14:textId="77777777" w:rsidR="00E86C75" w:rsidRPr="00CA298C" w:rsidRDefault="00E86C75" w:rsidP="00E86C75">
      <w:pPr>
        <w:pStyle w:val="Prrafodelista"/>
        <w:rPr>
          <w:rFonts w:ascii="Palatino Linotype" w:eastAsia="MS Mincho" w:hAnsi="Palatino Linotype" w:cs="PalatinoLinotype-Roman"/>
        </w:rPr>
      </w:pPr>
    </w:p>
    <w:p w14:paraId="4A2D5241" w14:textId="3EBD2F0B" w:rsidR="00E86C75" w:rsidRPr="00CA298C" w:rsidRDefault="00E86C75" w:rsidP="00E86C75">
      <w:pPr>
        <w:rPr>
          <w:rFonts w:ascii="Palatino Linotype" w:eastAsia="Calibri" w:hAnsi="Palatino Linotype" w:cs="Arial"/>
          <w:b/>
        </w:rPr>
      </w:pPr>
      <w:r w:rsidRPr="00CA298C">
        <w:rPr>
          <w:rFonts w:ascii="Palatino Linotype" w:eastAsia="Calibri" w:hAnsi="Palatino Linotype" w:cs="Arial"/>
          <w:b/>
        </w:rPr>
        <w:t>c) De la inexistencia de la información.</w:t>
      </w:r>
    </w:p>
    <w:p w14:paraId="3F89C174" w14:textId="658C2186" w:rsidR="00E86C75" w:rsidRPr="00CA298C" w:rsidRDefault="00E86C75" w:rsidP="00E86C75">
      <w:pPr>
        <w:pStyle w:val="Prrafodelista"/>
        <w:numPr>
          <w:ilvl w:val="0"/>
          <w:numId w:val="4"/>
        </w:numPr>
        <w:tabs>
          <w:tab w:val="left" w:pos="567"/>
        </w:tabs>
        <w:spacing w:line="360" w:lineRule="auto"/>
        <w:ind w:left="0" w:firstLine="0"/>
        <w:jc w:val="both"/>
        <w:rPr>
          <w:rFonts w:ascii="Palatino Linotype" w:eastAsia="Calibri" w:hAnsi="Palatino Linotype" w:cs="Arial"/>
        </w:rPr>
      </w:pPr>
      <w:r w:rsidRPr="00CA298C">
        <w:rPr>
          <w:rFonts w:ascii="Palatino Linotype" w:eastAsia="Calibri" w:hAnsi="Palatino Linotype" w:cs="Arial"/>
        </w:rPr>
        <w:t>Por último y no menos importante, es necesario referir que, si como resultado de la búsqueda exhaustiva y razonable de la información, no se localiza el documento de seguridad, e</w:t>
      </w:r>
      <w:r w:rsidRPr="00CA298C">
        <w:rPr>
          <w:rFonts w:ascii="Palatino Linotype" w:eastAsia="MS Mincho" w:hAnsi="Palatino Linotype"/>
          <w:color w:val="222222"/>
          <w:lang w:val="es-ES_tradnl"/>
        </w:rPr>
        <w:t>l Sujeto Obligado deberá elaborar y poner a disposición del particular un nuevo acuerdo mediante el cual se declare la inexistencia de la información. Por lo que es necesario traer a contexto lo que dispone la</w:t>
      </w:r>
      <w:r w:rsidRPr="00CA298C">
        <w:rPr>
          <w:rFonts w:ascii="Palatino Linotype" w:hAnsi="Palatino Linotype"/>
          <w:b/>
          <w:bCs/>
          <w:color w:val="222222"/>
          <w:lang w:val="es-ES_tradnl"/>
        </w:rPr>
        <w:t xml:space="preserve"> Ley de Transparencia y Acceso a la Información Pública del Estado de México y Municipios</w:t>
      </w:r>
      <w:r w:rsidRPr="00CA298C">
        <w:rPr>
          <w:rFonts w:ascii="Palatino Linotype" w:hAnsi="Palatino Linotype"/>
          <w:color w:val="222222"/>
          <w:lang w:val="es-ES_tradnl"/>
        </w:rPr>
        <w:t> en su 169, fracción III, señala:</w:t>
      </w:r>
    </w:p>
    <w:p w14:paraId="22CF5576" w14:textId="77777777" w:rsidR="00E86C75" w:rsidRPr="00CA298C" w:rsidRDefault="00E86C75" w:rsidP="00E86C75">
      <w:pPr>
        <w:shd w:val="clear" w:color="auto" w:fill="FFFFFF"/>
        <w:spacing w:before="240" w:after="240" w:line="360" w:lineRule="auto"/>
        <w:ind w:left="567" w:right="567"/>
        <w:jc w:val="both"/>
        <w:rPr>
          <w:rFonts w:ascii="Palatino Linotype" w:hAnsi="Palatino Linotype" w:cs="Bookman Old Style"/>
          <w:i/>
          <w:sz w:val="22"/>
        </w:rPr>
      </w:pPr>
      <w:r w:rsidRPr="00CA298C">
        <w:rPr>
          <w:rFonts w:ascii="Palatino Linotype" w:hAnsi="Palatino Linotype"/>
          <w:color w:val="222222"/>
          <w:sz w:val="22"/>
          <w:lang w:val="es-ES_tradnl"/>
        </w:rPr>
        <w:t> “</w:t>
      </w:r>
      <w:r w:rsidRPr="00CA298C">
        <w:rPr>
          <w:rFonts w:ascii="Palatino Linotype" w:hAnsi="Palatino Linotype" w:cs="Bookman Old Style,Bold"/>
          <w:b/>
          <w:bCs/>
          <w:i/>
          <w:sz w:val="22"/>
        </w:rPr>
        <w:t xml:space="preserve">Artículo 169. </w:t>
      </w:r>
      <w:r w:rsidRPr="00CA298C">
        <w:rPr>
          <w:rFonts w:ascii="Palatino Linotype" w:hAnsi="Palatino Linotype" w:cs="Bookman Old Style"/>
          <w:i/>
          <w:sz w:val="22"/>
        </w:rPr>
        <w:t>Cuando la información no se encuentre en los archivos del sujeto obligado, el Comité de Transparencia:</w:t>
      </w:r>
    </w:p>
    <w:p w14:paraId="070E4CF0"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cs="Bookman Old Style"/>
          <w:i/>
          <w:sz w:val="22"/>
        </w:rPr>
      </w:pPr>
      <w:r w:rsidRPr="00CA298C">
        <w:rPr>
          <w:rFonts w:ascii="Palatino Linotype" w:eastAsia="MS Mincho" w:hAnsi="Palatino Linotype" w:cs="Bookman Old Style,Bold"/>
          <w:b/>
          <w:bCs/>
          <w:i/>
          <w:sz w:val="22"/>
        </w:rPr>
        <w:t xml:space="preserve">I. </w:t>
      </w:r>
      <w:r w:rsidRPr="00CA298C">
        <w:rPr>
          <w:rFonts w:ascii="Palatino Linotype" w:eastAsia="MS Mincho" w:hAnsi="Palatino Linotype" w:cs="Bookman Old Style"/>
          <w:i/>
          <w:sz w:val="22"/>
        </w:rPr>
        <w:t>Analizará el caso y tomará las medidas necesarias para localizar la información;</w:t>
      </w:r>
    </w:p>
    <w:p w14:paraId="4AAA4816"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cs="Bookman Old Style"/>
          <w:i/>
          <w:sz w:val="22"/>
        </w:rPr>
      </w:pPr>
      <w:r w:rsidRPr="00CA298C">
        <w:rPr>
          <w:rFonts w:ascii="Palatino Linotype" w:eastAsia="MS Mincho" w:hAnsi="Palatino Linotype" w:cs="Bookman Old Style,Bold"/>
          <w:b/>
          <w:bCs/>
          <w:i/>
          <w:sz w:val="22"/>
        </w:rPr>
        <w:t xml:space="preserve">II. </w:t>
      </w:r>
      <w:r w:rsidRPr="00CA298C">
        <w:rPr>
          <w:rFonts w:ascii="Palatino Linotype" w:eastAsia="MS Mincho" w:hAnsi="Palatino Linotype" w:cs="Bookman Old Style"/>
          <w:i/>
          <w:sz w:val="22"/>
        </w:rPr>
        <w:t>Expedirá una resolución que confirme la inexistencia del documento;</w:t>
      </w:r>
    </w:p>
    <w:p w14:paraId="019C56FA"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cs="Bookman Old Style"/>
          <w:i/>
          <w:sz w:val="22"/>
        </w:rPr>
      </w:pPr>
      <w:r w:rsidRPr="00CA298C">
        <w:rPr>
          <w:rFonts w:ascii="Palatino Linotype" w:eastAsia="MS Mincho" w:hAnsi="Palatino Linotype" w:cs="Bookman Old Style,Bold"/>
          <w:b/>
          <w:bCs/>
          <w:i/>
          <w:sz w:val="22"/>
        </w:rPr>
        <w:t xml:space="preserve">III. </w:t>
      </w:r>
      <w:r w:rsidRPr="00CA298C">
        <w:rPr>
          <w:rFonts w:ascii="Palatino Linotype" w:eastAsia="MS Mincho" w:hAnsi="Palatino Linotype" w:cs="Bookman Old Style"/>
          <w:i/>
          <w:sz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5C16645"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cs="Bookman Old Style"/>
          <w:i/>
          <w:sz w:val="22"/>
        </w:rPr>
      </w:pPr>
      <w:r w:rsidRPr="00CA298C">
        <w:rPr>
          <w:rFonts w:ascii="Palatino Linotype" w:eastAsia="MS Mincho" w:hAnsi="Palatino Linotype" w:cs="Bookman Old Style,Bold"/>
          <w:b/>
          <w:bCs/>
          <w:i/>
          <w:sz w:val="22"/>
        </w:rPr>
        <w:t xml:space="preserve">IV. </w:t>
      </w:r>
      <w:r w:rsidRPr="00CA298C">
        <w:rPr>
          <w:rFonts w:ascii="Palatino Linotype" w:eastAsia="MS Mincho" w:hAnsi="Palatino Linotype" w:cs="Bookman Old Style"/>
          <w:i/>
          <w:sz w:val="22"/>
        </w:rPr>
        <w:t>Notificará al órgano interno de control o equivalente del sujeto obligado quien, en su caso, deberá iniciar el procedimiento de responsabilidad administrativa que corresponda.</w:t>
      </w:r>
    </w:p>
    <w:p w14:paraId="477D60C6"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cs="Bookman Old Style"/>
          <w:i/>
          <w:sz w:val="22"/>
        </w:rPr>
      </w:pPr>
    </w:p>
    <w:p w14:paraId="2FF66CF7"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cs="Bookman Old Style"/>
          <w:i/>
          <w:sz w:val="22"/>
        </w:rPr>
      </w:pPr>
      <w:r w:rsidRPr="00CA298C">
        <w:rPr>
          <w:rFonts w:ascii="Palatino Linotype" w:eastAsia="MS Mincho" w:hAnsi="Palatino Linotype" w:cs="Bookman Old Style"/>
          <w:i/>
          <w:sz w:val="22"/>
        </w:rPr>
        <w:lastRenderedPageBreak/>
        <w:t>La Unidad de Transparencia deberá notificarlo al solicitante por escrito, en un plazo que no exceda de quince días hábiles contados a partir del día siguiente a la presentación de la solicitud.</w:t>
      </w:r>
    </w:p>
    <w:p w14:paraId="1BBEFBD3"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cs="Bookman Old Style"/>
          <w:i/>
          <w:sz w:val="22"/>
        </w:rPr>
      </w:pPr>
    </w:p>
    <w:p w14:paraId="08CF9B0F" w14:textId="77777777" w:rsidR="00E86C75" w:rsidRPr="00CA298C" w:rsidRDefault="00E86C75" w:rsidP="00E86C75">
      <w:pPr>
        <w:autoSpaceDE w:val="0"/>
        <w:autoSpaceDN w:val="0"/>
        <w:adjustRightInd w:val="0"/>
        <w:spacing w:line="360" w:lineRule="auto"/>
        <w:ind w:left="567" w:right="567"/>
        <w:jc w:val="both"/>
        <w:rPr>
          <w:rFonts w:ascii="Palatino Linotype" w:eastAsia="MS Mincho" w:hAnsi="Palatino Linotype"/>
          <w:i/>
          <w:iCs/>
          <w:color w:val="222222"/>
          <w:sz w:val="22"/>
          <w:lang w:val="es-ES_tradnl"/>
        </w:rPr>
      </w:pPr>
      <w:r w:rsidRPr="00CA298C">
        <w:rPr>
          <w:rFonts w:ascii="Palatino Linotype" w:eastAsia="MS Mincho" w:hAnsi="Palatino Linotype" w:cs="Bookman Old Style"/>
          <w:i/>
          <w:sz w:val="22"/>
        </w:rPr>
        <w:t>Este plazo podrá ampliarse hasta por otros siete días hábiles, siempre que existan razones para ello, debiendo notificarse por escrito al solicitante.” (Sic)</w:t>
      </w:r>
    </w:p>
    <w:p w14:paraId="1F7C33EA" w14:textId="77777777" w:rsidR="00E86C75" w:rsidRPr="00CA298C" w:rsidRDefault="00E86C75" w:rsidP="00E86C75">
      <w:pPr>
        <w:numPr>
          <w:ilvl w:val="0"/>
          <w:numId w:val="4"/>
        </w:numPr>
        <w:shd w:val="clear" w:color="auto" w:fill="FFFFFF"/>
        <w:spacing w:before="240" w:after="240" w:line="360" w:lineRule="auto"/>
        <w:ind w:left="0" w:right="51" w:firstLine="0"/>
        <w:jc w:val="both"/>
        <w:rPr>
          <w:rFonts w:ascii="Palatino Linotype" w:hAnsi="Palatino Linotype"/>
          <w:color w:val="222222"/>
        </w:rPr>
      </w:pPr>
      <w:r w:rsidRPr="00CA298C">
        <w:rPr>
          <w:rFonts w:ascii="Palatino Linotype" w:hAnsi="Palatino Linotype"/>
          <w:color w:val="222222"/>
          <w:lang w:val="es-ES_tradnl"/>
        </w:rPr>
        <w:t>Del precepto antes transcrito se advierte claramente que </w:t>
      </w:r>
      <w:r w:rsidRPr="00CA298C">
        <w:rPr>
          <w:rFonts w:ascii="Palatino Linotype" w:hAnsi="Palatino Linotype"/>
          <w:color w:val="222222"/>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7AE06AF3" w14:textId="77777777" w:rsidR="00E86C75" w:rsidRPr="00CA298C" w:rsidRDefault="00E86C75" w:rsidP="00E86C75">
      <w:pPr>
        <w:numPr>
          <w:ilvl w:val="0"/>
          <w:numId w:val="4"/>
        </w:numPr>
        <w:shd w:val="clear" w:color="auto" w:fill="FFFFFF"/>
        <w:spacing w:before="240" w:after="240" w:line="360" w:lineRule="auto"/>
        <w:ind w:left="0" w:right="51" w:firstLine="0"/>
        <w:jc w:val="both"/>
        <w:rPr>
          <w:rFonts w:ascii="Palatino Linotype" w:hAnsi="Palatino Linotype"/>
          <w:color w:val="222222"/>
        </w:rPr>
      </w:pPr>
      <w:r w:rsidRPr="00CA298C">
        <w:rPr>
          <w:rFonts w:ascii="Palatino Linotype" w:hAnsi="Palatino Linotype"/>
          <w:color w:val="222222"/>
          <w:lang w:val="es-ES_tradnl"/>
        </w:rPr>
        <w:t>Ahora bien, es importante señalar que en el caso de que no se pueda generar la información, </w:t>
      </w:r>
      <w:r w:rsidRPr="00CA298C">
        <w:rPr>
          <w:rFonts w:ascii="Palatino Linotype" w:hAnsi="Palatino Linotype"/>
          <w:b/>
          <w:bCs/>
          <w:color w:val="222222"/>
          <w:lang w:val="es-ES_tradnl"/>
        </w:rPr>
        <w:t>SE ORDENA AL SUJETO OBLIGADO </w:t>
      </w:r>
      <w:r w:rsidRPr="00CA298C">
        <w:rPr>
          <w:rFonts w:ascii="Palatino Linotype" w:hAnsi="Palatino Linotype"/>
          <w:color w:val="222222"/>
          <w:lang w:val="es-ES_tradnl"/>
        </w:rPr>
        <w:t>hacer entrega de un Acuerdo de su Comité de Transparencia en donde conste la declaratoria de inexistencia de la información.</w:t>
      </w:r>
    </w:p>
    <w:p w14:paraId="0E73EF68" w14:textId="77777777" w:rsidR="00E86C75" w:rsidRPr="00CA298C" w:rsidRDefault="00E86C75" w:rsidP="00E86C75">
      <w:pPr>
        <w:numPr>
          <w:ilvl w:val="0"/>
          <w:numId w:val="4"/>
        </w:numPr>
        <w:shd w:val="clear" w:color="auto" w:fill="FFFFFF"/>
        <w:spacing w:before="240" w:after="240" w:line="360" w:lineRule="auto"/>
        <w:ind w:left="0" w:right="51" w:firstLine="0"/>
        <w:jc w:val="both"/>
        <w:rPr>
          <w:rFonts w:ascii="Palatino Linotype" w:hAnsi="Palatino Linotype"/>
          <w:color w:val="222222"/>
        </w:rPr>
      </w:pPr>
      <w:r w:rsidRPr="00CA298C">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CA298C">
        <w:rPr>
          <w:rFonts w:ascii="Palatino Linotype" w:hAnsi="Palatino Linotype"/>
          <w:color w:val="222222"/>
          <w:shd w:val="clear" w:color="auto" w:fill="FFFFFF"/>
          <w:lang w:val="es-ES_tradnl"/>
        </w:rPr>
        <w:t>Instituto Nacional de Transparencia, Acceso a la Información y Protección de Datos Personales </w:t>
      </w:r>
      <w:r w:rsidRPr="00CA298C">
        <w:rPr>
          <w:rFonts w:ascii="Palatino Linotype" w:hAnsi="Palatino Linotype"/>
          <w:color w:val="222222"/>
          <w:lang w:val="es-ES_tradnl"/>
        </w:rPr>
        <w:t>emitió el criterio número 14-17, que es de la literalidad siguiente:</w:t>
      </w:r>
    </w:p>
    <w:p w14:paraId="5F716C21" w14:textId="77777777" w:rsidR="00A46B50" w:rsidRPr="00CA298C" w:rsidRDefault="00A46B50" w:rsidP="00A46B50">
      <w:pPr>
        <w:shd w:val="clear" w:color="auto" w:fill="FFFFFF"/>
        <w:spacing w:before="240" w:after="240" w:line="360" w:lineRule="auto"/>
        <w:ind w:right="51"/>
        <w:jc w:val="both"/>
        <w:rPr>
          <w:rFonts w:ascii="Palatino Linotype" w:hAnsi="Palatino Linotype"/>
          <w:color w:val="222222"/>
          <w:lang w:val="es-ES_tradnl"/>
        </w:rPr>
      </w:pPr>
    </w:p>
    <w:p w14:paraId="1D4E1B76" w14:textId="77777777" w:rsidR="00A46B50" w:rsidRPr="00CA298C" w:rsidRDefault="00A46B50" w:rsidP="00A46B50">
      <w:pPr>
        <w:shd w:val="clear" w:color="auto" w:fill="FFFFFF"/>
        <w:spacing w:before="240" w:after="240" w:line="360" w:lineRule="auto"/>
        <w:ind w:right="51"/>
        <w:jc w:val="both"/>
        <w:rPr>
          <w:rFonts w:ascii="Palatino Linotype" w:hAnsi="Palatino Linotype"/>
          <w:color w:val="222222"/>
        </w:rPr>
      </w:pPr>
    </w:p>
    <w:p w14:paraId="10B41777" w14:textId="77777777" w:rsidR="00E86C75" w:rsidRPr="00CA298C" w:rsidRDefault="00E86C75" w:rsidP="00E86C75">
      <w:pPr>
        <w:shd w:val="clear" w:color="auto" w:fill="FFFFFF"/>
        <w:spacing w:line="360" w:lineRule="auto"/>
        <w:ind w:left="567" w:right="900"/>
        <w:jc w:val="center"/>
        <w:rPr>
          <w:rFonts w:ascii="Palatino Linotype" w:hAnsi="Palatino Linotype"/>
          <w:b/>
          <w:bCs/>
          <w:i/>
          <w:iCs/>
          <w:color w:val="222222"/>
          <w:sz w:val="22"/>
          <w:lang w:val="es-ES_tradnl"/>
        </w:rPr>
      </w:pPr>
      <w:r w:rsidRPr="00CA298C">
        <w:rPr>
          <w:rFonts w:ascii="Palatino Linotype" w:hAnsi="Palatino Linotype"/>
          <w:b/>
          <w:bCs/>
          <w:i/>
          <w:iCs/>
          <w:color w:val="222222"/>
          <w:sz w:val="22"/>
          <w:lang w:val="es-ES_tradnl"/>
        </w:rPr>
        <w:lastRenderedPageBreak/>
        <w:t>“Criterio 14/17</w:t>
      </w:r>
    </w:p>
    <w:p w14:paraId="67F4E9EC" w14:textId="77777777" w:rsidR="00E86C75" w:rsidRPr="00CA298C" w:rsidRDefault="00E86C75" w:rsidP="00E86C75">
      <w:pPr>
        <w:shd w:val="clear" w:color="auto" w:fill="FFFFFF"/>
        <w:spacing w:line="360" w:lineRule="auto"/>
        <w:ind w:left="567" w:right="900"/>
        <w:jc w:val="center"/>
        <w:rPr>
          <w:rFonts w:ascii="Palatino Linotype" w:hAnsi="Palatino Linotype"/>
          <w:color w:val="222222"/>
          <w:sz w:val="22"/>
        </w:rPr>
      </w:pPr>
    </w:p>
    <w:p w14:paraId="39BEFDB1" w14:textId="77777777" w:rsidR="00E86C75" w:rsidRPr="00CA298C" w:rsidRDefault="00E86C75" w:rsidP="00E86C75">
      <w:pPr>
        <w:shd w:val="clear" w:color="auto" w:fill="FFFFFF"/>
        <w:spacing w:line="360" w:lineRule="auto"/>
        <w:ind w:left="567" w:right="900"/>
        <w:jc w:val="both"/>
        <w:rPr>
          <w:rFonts w:ascii="Palatino Linotype" w:eastAsia="MS Mincho" w:hAnsi="Palatino Linotype"/>
          <w:color w:val="222222"/>
          <w:sz w:val="22"/>
          <w:lang w:val="es-ES_tradnl"/>
        </w:rPr>
      </w:pPr>
      <w:r w:rsidRPr="00CA298C">
        <w:rPr>
          <w:rFonts w:ascii="Palatino Linotype" w:eastAsia="MS Mincho" w:hAnsi="Palatino Linotype"/>
          <w:i/>
          <w:iCs/>
          <w:color w:val="222222"/>
          <w:sz w:val="22"/>
          <w:lang w:val="es-ES_tradnl"/>
        </w:rPr>
        <w:t>Inexistencia. La inexistencia es una cuestión de hecho que se atribuye a la información solicitada e implica que ésta </w:t>
      </w:r>
      <w:r w:rsidRPr="00CA298C">
        <w:rPr>
          <w:rFonts w:ascii="Palatino Linotype" w:eastAsia="MS Mincho" w:hAnsi="Palatino Linotype"/>
          <w:b/>
          <w:bCs/>
          <w:i/>
          <w:iCs/>
          <w:color w:val="222222"/>
          <w:sz w:val="22"/>
          <w:lang w:val="es-ES_tradnl"/>
        </w:rPr>
        <w:t>no se encuentra en los archivos del sujeto obligado, no obstante que cuenta con facultades para poseerla</w:t>
      </w:r>
      <w:r w:rsidRPr="00CA298C">
        <w:rPr>
          <w:rFonts w:ascii="Palatino Linotype" w:eastAsia="MS Mincho" w:hAnsi="Palatino Linotype"/>
          <w:i/>
          <w:iCs/>
          <w:color w:val="222222"/>
          <w:sz w:val="22"/>
          <w:lang w:val="es-ES_tradnl"/>
        </w:rPr>
        <w:t>.</w:t>
      </w:r>
    </w:p>
    <w:p w14:paraId="6F174BE9" w14:textId="77777777" w:rsidR="00E86C75" w:rsidRPr="00CA298C" w:rsidRDefault="00E86C75" w:rsidP="00E86C75">
      <w:pPr>
        <w:shd w:val="clear" w:color="auto" w:fill="FFFFFF"/>
        <w:spacing w:line="360" w:lineRule="auto"/>
        <w:ind w:left="567" w:right="900"/>
        <w:jc w:val="both"/>
        <w:rPr>
          <w:rFonts w:ascii="Palatino Linotype" w:eastAsia="MS Mincho" w:hAnsi="Palatino Linotype"/>
          <w:color w:val="222222"/>
          <w:sz w:val="22"/>
          <w:lang w:val="es-ES_tradnl"/>
        </w:rPr>
      </w:pPr>
      <w:r w:rsidRPr="00CA298C">
        <w:rPr>
          <w:rFonts w:ascii="Palatino Linotype" w:eastAsia="MS Mincho" w:hAnsi="Palatino Linotype"/>
          <w:i/>
          <w:iCs/>
          <w:color w:val="222222"/>
          <w:sz w:val="22"/>
          <w:lang w:val="es-ES_tradnl"/>
        </w:rPr>
        <w:t> </w:t>
      </w:r>
    </w:p>
    <w:p w14:paraId="6BC816F6" w14:textId="77777777" w:rsidR="00E86C75" w:rsidRPr="00CA298C" w:rsidRDefault="00E86C75" w:rsidP="00E86C75">
      <w:pPr>
        <w:shd w:val="clear" w:color="auto" w:fill="FFFFFF"/>
        <w:spacing w:line="360" w:lineRule="auto"/>
        <w:ind w:left="567" w:right="900"/>
        <w:jc w:val="both"/>
        <w:rPr>
          <w:rFonts w:ascii="Palatino Linotype" w:eastAsia="MS Mincho" w:hAnsi="Palatino Linotype"/>
          <w:color w:val="222222"/>
          <w:sz w:val="22"/>
          <w:lang w:val="es-ES_tradnl"/>
        </w:rPr>
      </w:pPr>
      <w:r w:rsidRPr="00CA298C">
        <w:rPr>
          <w:rFonts w:ascii="Palatino Linotype" w:eastAsia="MS Mincho" w:hAnsi="Palatino Linotype"/>
          <w:i/>
          <w:iCs/>
          <w:color w:val="222222"/>
          <w:sz w:val="22"/>
          <w:lang w:val="es-ES_tradnl"/>
        </w:rPr>
        <w:t>Resoluciones: </w:t>
      </w:r>
      <w:r w:rsidRPr="00CA298C">
        <w:rPr>
          <w:rFonts w:ascii="Palatino Linotype" w:eastAsia="MS Mincho" w:hAnsi="Palatino Linotype"/>
          <w:color w:val="222222"/>
          <w:sz w:val="22"/>
          <w:lang w:val="es-ES_tradnl"/>
        </w:rPr>
        <w:t>·</w:t>
      </w:r>
      <w:r w:rsidRPr="00CA298C">
        <w:rPr>
          <w:rFonts w:ascii="Palatino Linotype" w:eastAsia="MS Mincho" w:hAnsi="Palatino Linotype"/>
          <w:i/>
          <w:iCs/>
          <w:color w:val="222222"/>
          <w:sz w:val="22"/>
          <w:lang w:val="es-ES_tradnl"/>
        </w:rPr>
        <w:t> RRA 4669/16. Instituto Nacional Electoral. 18 de enero de 2017. Por unanimidad. Comisionado Ponente Joel Salas Suárez. </w:t>
      </w:r>
      <w:r w:rsidRPr="00CA298C">
        <w:rPr>
          <w:rFonts w:ascii="Palatino Linotype" w:eastAsia="MS Mincho" w:hAnsi="Palatino Linotype"/>
          <w:color w:val="222222"/>
          <w:sz w:val="22"/>
          <w:lang w:val="es-ES_tradnl"/>
        </w:rPr>
        <w:t>·</w:t>
      </w:r>
      <w:r w:rsidRPr="00CA298C">
        <w:rPr>
          <w:rFonts w:ascii="Palatino Linotype" w:eastAsia="MS Mincho" w:hAnsi="Palatino Linotype"/>
          <w:i/>
          <w:iCs/>
          <w:color w:val="222222"/>
          <w:sz w:val="22"/>
          <w:lang w:val="es-ES_tradnl"/>
        </w:rPr>
        <w:t> RRA 0183/17. Nueva Alianza. 01 de febrero de 2017. Por unanimidad. Comisionado Ponente Francisco Javier Acuña Llamas. </w:t>
      </w:r>
      <w:r w:rsidRPr="00CA298C">
        <w:rPr>
          <w:rFonts w:ascii="Palatino Linotype" w:eastAsia="MS Mincho" w:hAnsi="Palatino Linotype"/>
          <w:color w:val="222222"/>
          <w:sz w:val="22"/>
          <w:lang w:val="es-ES_tradnl"/>
        </w:rPr>
        <w:t>·</w:t>
      </w:r>
      <w:r w:rsidRPr="00CA298C">
        <w:rPr>
          <w:rFonts w:ascii="Palatino Linotype" w:eastAsia="MS Mincho" w:hAnsi="Palatino Linotype"/>
          <w:i/>
          <w:iCs/>
          <w:color w:val="222222"/>
          <w:sz w:val="22"/>
          <w:lang w:val="es-ES_tradnl"/>
        </w:rPr>
        <w:t xml:space="preserve"> RRA 4484/16. Instituto Nacional de Migración. 16 de febrero de 2017. Por mayoría de seis votos a favor y uno en contra de la Comisionada Areli Cano Guadiana. Comisionada Ponente María Patricia </w:t>
      </w:r>
      <w:proofErr w:type="spellStart"/>
      <w:r w:rsidRPr="00CA298C">
        <w:rPr>
          <w:rFonts w:ascii="Palatino Linotype" w:eastAsia="MS Mincho" w:hAnsi="Palatino Linotype"/>
          <w:i/>
          <w:iCs/>
          <w:color w:val="222222"/>
          <w:sz w:val="22"/>
          <w:lang w:val="es-ES_tradnl"/>
        </w:rPr>
        <w:t>Kurczyn</w:t>
      </w:r>
      <w:proofErr w:type="spellEnd"/>
      <w:r w:rsidRPr="00CA298C">
        <w:rPr>
          <w:rFonts w:ascii="Palatino Linotype" w:eastAsia="MS Mincho" w:hAnsi="Palatino Linotype"/>
          <w:i/>
          <w:iCs/>
          <w:color w:val="222222"/>
          <w:sz w:val="22"/>
          <w:lang w:val="es-ES_tradnl"/>
        </w:rPr>
        <w:t xml:space="preserve"> Villalobos.”</w:t>
      </w:r>
    </w:p>
    <w:p w14:paraId="7625DC2A" w14:textId="77777777" w:rsidR="00E86C75" w:rsidRPr="00CA298C" w:rsidRDefault="00E86C75" w:rsidP="00E86C75">
      <w:pPr>
        <w:shd w:val="clear" w:color="auto" w:fill="FFFFFF"/>
        <w:spacing w:line="360" w:lineRule="auto"/>
        <w:jc w:val="both"/>
        <w:rPr>
          <w:rFonts w:ascii="Palatino Linotype" w:hAnsi="Palatino Linotype"/>
          <w:color w:val="222222"/>
        </w:rPr>
      </w:pPr>
      <w:r w:rsidRPr="00CA298C">
        <w:rPr>
          <w:rFonts w:ascii="Palatino Linotype" w:hAnsi="Palatino Linotype"/>
          <w:color w:val="000000"/>
        </w:rPr>
        <w:t> </w:t>
      </w:r>
    </w:p>
    <w:p w14:paraId="257C40C1" w14:textId="77777777" w:rsidR="00E86C75" w:rsidRPr="00CA298C" w:rsidRDefault="00E86C75" w:rsidP="00E86C75">
      <w:pPr>
        <w:numPr>
          <w:ilvl w:val="0"/>
          <w:numId w:val="4"/>
        </w:numPr>
        <w:shd w:val="clear" w:color="auto" w:fill="FFFFFF"/>
        <w:spacing w:after="160" w:line="360" w:lineRule="auto"/>
        <w:ind w:left="0" w:firstLine="0"/>
        <w:jc w:val="both"/>
        <w:rPr>
          <w:rFonts w:ascii="Palatino Linotype" w:hAnsi="Palatino Linotype"/>
          <w:color w:val="222222"/>
        </w:rPr>
      </w:pPr>
      <w:proofErr w:type="gramStart"/>
      <w:r w:rsidRPr="00CA298C">
        <w:rPr>
          <w:rFonts w:ascii="Palatino Linotype" w:hAnsi="Palatino Linotype"/>
          <w:color w:val="000000"/>
        </w:rPr>
        <w:t>Además</w:t>
      </w:r>
      <w:proofErr w:type="gramEnd"/>
      <w:r w:rsidRPr="00CA298C">
        <w:rPr>
          <w:rFonts w:ascii="Palatino Linotype" w:hAnsi="Palatino Linotype"/>
          <w:color w:val="000000"/>
        </w:rPr>
        <w:t xml:space="preserve"> como consecuencia de las disposiciones legales contenidas en la </w:t>
      </w:r>
      <w:r w:rsidRPr="00CA298C">
        <w:rPr>
          <w:rFonts w:ascii="Palatino Linotype" w:hAnsi="Palatino Linotype"/>
          <w:b/>
          <w:bCs/>
          <w:color w:val="000000"/>
        </w:rPr>
        <w:t>Ley General de Transparencia y Acceso a la Información Pública</w:t>
      </w:r>
      <w:r w:rsidRPr="00CA298C">
        <w:rPr>
          <w:rFonts w:ascii="Palatino Linotype" w:hAnsi="Palatino Linotype"/>
          <w:color w:val="000000"/>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CA298C">
        <w:rPr>
          <w:rFonts w:ascii="Palatino Linotype" w:hAnsi="Palatino Linotype"/>
          <w:color w:val="000000"/>
          <w:vertAlign w:val="superscript"/>
        </w:rPr>
        <w:footnoteReference w:id="6"/>
      </w:r>
      <w:r w:rsidRPr="00CA298C">
        <w:rPr>
          <w:rFonts w:ascii="Palatino Linotype" w:hAnsi="Palatino Linotype"/>
          <w:color w:val="000000"/>
        </w:rPr>
        <w:t>según puede apreciarse a continuación:</w:t>
      </w:r>
    </w:p>
    <w:p w14:paraId="2ACCEB94" w14:textId="77777777" w:rsidR="00E86C75" w:rsidRPr="00CA298C" w:rsidRDefault="00E86C75" w:rsidP="00E86C75">
      <w:pPr>
        <w:shd w:val="clear" w:color="auto" w:fill="FFFFFF"/>
        <w:spacing w:before="240" w:after="360" w:line="360" w:lineRule="auto"/>
        <w:ind w:left="567" w:right="567"/>
        <w:jc w:val="both"/>
        <w:rPr>
          <w:rFonts w:ascii="Palatino Linotype" w:hAnsi="Palatino Linotype"/>
          <w:color w:val="222222"/>
          <w:sz w:val="22"/>
        </w:rPr>
      </w:pPr>
      <w:r w:rsidRPr="00CA298C">
        <w:rPr>
          <w:rFonts w:ascii="Palatino Linotype" w:hAnsi="Palatino Linotype"/>
          <w:b/>
          <w:bCs/>
          <w:i/>
          <w:iCs/>
          <w:color w:val="000000"/>
          <w:sz w:val="22"/>
        </w:rPr>
        <w:t>“Artículo 19.</w:t>
      </w:r>
      <w:r w:rsidRPr="00CA298C">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127660D7" w14:textId="77777777" w:rsidR="00E86C75" w:rsidRPr="00CA298C" w:rsidRDefault="00E86C75" w:rsidP="00E86C75">
      <w:pPr>
        <w:shd w:val="clear" w:color="auto" w:fill="FFFFFF"/>
        <w:spacing w:before="240" w:after="240" w:line="360" w:lineRule="auto"/>
        <w:ind w:left="567" w:right="567"/>
        <w:jc w:val="both"/>
        <w:rPr>
          <w:rFonts w:ascii="Palatino Linotype" w:eastAsia="MS Mincho" w:hAnsi="Palatino Linotype"/>
          <w:i/>
          <w:iCs/>
          <w:color w:val="000000"/>
          <w:sz w:val="22"/>
          <w:lang w:val="es-ES_tradnl"/>
        </w:rPr>
      </w:pPr>
      <w:r w:rsidRPr="00CA298C">
        <w:rPr>
          <w:rFonts w:ascii="Palatino Linotype" w:eastAsia="MS Mincho" w:hAnsi="Palatino Linotype"/>
          <w:i/>
          <w:iCs/>
          <w:color w:val="000000"/>
          <w:sz w:val="22"/>
          <w:lang w:val="es-ES_tradnl"/>
        </w:rPr>
        <w:lastRenderedPageBreak/>
        <w:t>En los casos en que ciertas facultades, competencias o funciones no se hayan ejercido, se debe motivar la respuesta en función de las causas que motiven la inexistencia.</w:t>
      </w:r>
    </w:p>
    <w:p w14:paraId="626DC3F0" w14:textId="77777777" w:rsidR="00E86C75" w:rsidRPr="00CA298C" w:rsidRDefault="00E86C75" w:rsidP="00E86C75">
      <w:pPr>
        <w:shd w:val="clear" w:color="auto" w:fill="FFFFFF"/>
        <w:spacing w:before="240" w:after="240" w:line="360" w:lineRule="auto"/>
        <w:ind w:left="567" w:right="567"/>
        <w:jc w:val="both"/>
        <w:rPr>
          <w:rFonts w:ascii="Palatino Linotype" w:eastAsia="MS Mincho" w:hAnsi="Palatino Linotype"/>
          <w:color w:val="222222"/>
          <w:sz w:val="22"/>
          <w:lang w:val="es-ES_tradnl"/>
        </w:rPr>
      </w:pPr>
      <w:r w:rsidRPr="00CA298C">
        <w:rPr>
          <w:rFonts w:ascii="Palatino Linotype" w:eastAsia="MS Mincho" w:hAnsi="Palatino Linotype"/>
          <w:i/>
          <w:iCs/>
          <w:color w:val="000000"/>
          <w:sz w:val="22"/>
          <w:lang w:val="es-ES_tradnl"/>
        </w:rPr>
        <w:t>(…)</w:t>
      </w:r>
    </w:p>
    <w:p w14:paraId="2802B1FE" w14:textId="77777777" w:rsidR="00E86C75" w:rsidRPr="00CA298C" w:rsidRDefault="00E86C75" w:rsidP="00E86C75">
      <w:pPr>
        <w:numPr>
          <w:ilvl w:val="0"/>
          <w:numId w:val="4"/>
        </w:numPr>
        <w:shd w:val="clear" w:color="auto" w:fill="FFFFFF"/>
        <w:spacing w:after="160" w:line="360" w:lineRule="auto"/>
        <w:ind w:left="0" w:firstLine="0"/>
        <w:jc w:val="both"/>
        <w:rPr>
          <w:rFonts w:ascii="Palatino Linotype" w:hAnsi="Palatino Linotype"/>
          <w:color w:val="222222"/>
        </w:rPr>
      </w:pPr>
      <w:r w:rsidRPr="00CA298C">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0A733505" w14:textId="77777777" w:rsidR="00E86C75" w:rsidRPr="00CA298C" w:rsidRDefault="00E86C75" w:rsidP="00E86C75">
      <w:pPr>
        <w:shd w:val="clear" w:color="auto" w:fill="FFFFFF"/>
        <w:spacing w:line="360" w:lineRule="auto"/>
        <w:ind w:left="567" w:right="567"/>
        <w:jc w:val="center"/>
        <w:rPr>
          <w:rFonts w:ascii="Palatino Linotype" w:eastAsia="MS Mincho" w:hAnsi="Palatino Linotype"/>
          <w:color w:val="222222"/>
          <w:sz w:val="22"/>
          <w:lang w:val="es-ES_tradnl"/>
        </w:rPr>
      </w:pPr>
      <w:r w:rsidRPr="00CA298C">
        <w:rPr>
          <w:rFonts w:ascii="Palatino Linotype" w:eastAsia="MS Mincho" w:hAnsi="Palatino Linotype"/>
          <w:b/>
          <w:bCs/>
          <w:i/>
          <w:iCs/>
          <w:color w:val="000000"/>
          <w:sz w:val="22"/>
          <w:lang w:val="es-ES_tradnl"/>
        </w:rPr>
        <w:t>“CRITERIO 0004-11</w:t>
      </w:r>
    </w:p>
    <w:p w14:paraId="00C5A8D5" w14:textId="77777777" w:rsidR="00E86C75" w:rsidRPr="00CA298C" w:rsidRDefault="00E86C75" w:rsidP="00E86C75">
      <w:pPr>
        <w:shd w:val="clear" w:color="auto" w:fill="FFFFFF"/>
        <w:spacing w:line="360" w:lineRule="auto"/>
        <w:ind w:left="567" w:right="567"/>
        <w:jc w:val="both"/>
        <w:rPr>
          <w:rFonts w:ascii="Palatino Linotype" w:eastAsia="MS Mincho" w:hAnsi="Palatino Linotype"/>
          <w:color w:val="222222"/>
          <w:sz w:val="22"/>
          <w:lang w:val="es-ES_tradnl"/>
        </w:rPr>
      </w:pPr>
      <w:r w:rsidRPr="00CA298C">
        <w:rPr>
          <w:rFonts w:ascii="Palatino Linotype" w:eastAsia="MS Mincho" w:hAnsi="Palatino Linotype"/>
          <w:b/>
          <w:bCs/>
          <w:i/>
          <w:iCs/>
          <w:color w:val="000000"/>
          <w:sz w:val="22"/>
          <w:lang w:val="es-ES_tradnl"/>
        </w:rPr>
        <w:t>INEXISTENCIA. DECLARATORIA DE LA. ALCANCES Y PROCEDIMIENTOS</w:t>
      </w:r>
      <w:r w:rsidRPr="00CA298C">
        <w:rPr>
          <w:rFonts w:ascii="Palatino Linotype" w:eastAsia="MS Mincho" w:hAnsi="Palatino Linotype"/>
          <w:i/>
          <w:iCs/>
          <w:color w:val="000000"/>
          <w:sz w:val="22"/>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w:t>
      </w:r>
      <w:r w:rsidRPr="00CA298C">
        <w:rPr>
          <w:rFonts w:ascii="Palatino Linotype" w:eastAsia="MS Mincho" w:hAnsi="Palatino Linotype"/>
          <w:i/>
          <w:iCs/>
          <w:color w:val="000000"/>
          <w:sz w:val="22"/>
          <w:lang w:val="es-ES_tradnl"/>
        </w:rPr>
        <w:lastRenderedPageBreak/>
        <w:t>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39EAA6B5" w14:textId="77777777" w:rsidR="00E86C75" w:rsidRPr="00CA298C" w:rsidRDefault="00E86C75" w:rsidP="00E86C75">
      <w:pPr>
        <w:shd w:val="clear" w:color="auto" w:fill="FFFFFF"/>
        <w:spacing w:line="360" w:lineRule="auto"/>
        <w:ind w:left="567" w:right="567"/>
        <w:jc w:val="both"/>
        <w:rPr>
          <w:rFonts w:ascii="Palatino Linotype" w:eastAsia="MS Mincho" w:hAnsi="Palatino Linotype"/>
          <w:color w:val="222222"/>
          <w:sz w:val="22"/>
          <w:lang w:val="es-ES_tradnl"/>
        </w:rPr>
      </w:pPr>
      <w:r w:rsidRPr="00CA298C">
        <w:rPr>
          <w:rFonts w:ascii="Palatino Linotype" w:eastAsia="MS Mincho" w:hAnsi="Palatino Linotype"/>
          <w:i/>
          <w:iCs/>
          <w:color w:val="000000"/>
          <w:sz w:val="22"/>
          <w:lang w:val="es-ES_tradnl"/>
        </w:rPr>
        <w:t>Bajo el entendido de que dicha búsqueda exhaustiva permitirá dos determinaciones:</w:t>
      </w:r>
    </w:p>
    <w:p w14:paraId="7A0A317D" w14:textId="77777777" w:rsidR="00E86C75" w:rsidRPr="00CA298C" w:rsidRDefault="00E86C75" w:rsidP="00E86C75">
      <w:pPr>
        <w:shd w:val="clear" w:color="auto" w:fill="FFFFFF"/>
        <w:spacing w:line="360" w:lineRule="auto"/>
        <w:ind w:left="567" w:right="567"/>
        <w:jc w:val="both"/>
        <w:rPr>
          <w:rFonts w:ascii="Palatino Linotype" w:eastAsia="MS Mincho" w:hAnsi="Palatino Linotype"/>
          <w:color w:val="222222"/>
          <w:sz w:val="22"/>
          <w:lang w:val="es-ES_tradnl"/>
        </w:rPr>
      </w:pPr>
      <w:r w:rsidRPr="00CA298C">
        <w:rPr>
          <w:rFonts w:ascii="Palatino Linotype" w:eastAsia="MS Mincho" w:hAnsi="Palatino Linotype"/>
          <w:i/>
          <w:iCs/>
          <w:color w:val="000000"/>
          <w:sz w:val="22"/>
          <w:lang w:val="es-ES_tradnl"/>
        </w:rPr>
        <w:t>1ª) Que se localice la documentación que contenga la información solicitada y de ser así la información pueda entregarse al solicitante en la forma en que se encuentra disponible, o</w:t>
      </w:r>
    </w:p>
    <w:p w14:paraId="74197581" w14:textId="77777777" w:rsidR="00E86C75" w:rsidRPr="00CA298C" w:rsidRDefault="00E86C75" w:rsidP="00E86C75">
      <w:pPr>
        <w:shd w:val="clear" w:color="auto" w:fill="FFFFFF"/>
        <w:spacing w:line="360" w:lineRule="auto"/>
        <w:ind w:left="567" w:right="567"/>
        <w:jc w:val="both"/>
        <w:rPr>
          <w:rFonts w:ascii="Palatino Linotype" w:eastAsia="MS Mincho" w:hAnsi="Palatino Linotype"/>
          <w:color w:val="222222"/>
          <w:sz w:val="22"/>
          <w:lang w:val="es-ES_tradnl"/>
        </w:rPr>
      </w:pPr>
      <w:r w:rsidRPr="00CA298C">
        <w:rPr>
          <w:rFonts w:ascii="Palatino Linotype" w:eastAsia="MS Mincho" w:hAnsi="Palatino Linotype"/>
          <w:i/>
          <w:iCs/>
          <w:color w:val="000000"/>
          <w:sz w:val="22"/>
          <w:lang w:val="es-ES_tradnl"/>
        </w:rPr>
        <w:t xml:space="preserve">2ª) Que no se haya encontrado documento alguno que contenga la información requerida, por lo </w:t>
      </w:r>
      <w:proofErr w:type="gramStart"/>
      <w:r w:rsidRPr="00CA298C">
        <w:rPr>
          <w:rFonts w:ascii="Palatino Linotype" w:eastAsia="MS Mincho" w:hAnsi="Palatino Linotype"/>
          <w:i/>
          <w:iCs/>
          <w:color w:val="000000"/>
          <w:sz w:val="22"/>
          <w:lang w:val="es-ES_tradnl"/>
        </w:rPr>
        <w:t>que</w:t>
      </w:r>
      <w:proofErr w:type="gramEnd"/>
      <w:r w:rsidRPr="00CA298C">
        <w:rPr>
          <w:rFonts w:ascii="Palatino Linotype" w:eastAsia="MS Mincho" w:hAnsi="Palatino Linotype"/>
          <w:i/>
          <w:iCs/>
          <w:color w:val="000000"/>
          <w:sz w:val="22"/>
          <w:lang w:val="es-ES_tradnl"/>
        </w:rPr>
        <w:t xml:space="preserve"> agotadas las medidas necesarias de búsqueda de la información y de no encontrarla, el Comité de Información deba emitir el dictamen de declaratoria de inexistencia y notificarlo al interesado.</w:t>
      </w:r>
    </w:p>
    <w:p w14:paraId="0FBDC1B0" w14:textId="77777777" w:rsidR="00E86C75" w:rsidRPr="00CA298C" w:rsidRDefault="00E86C75" w:rsidP="00E86C75">
      <w:pPr>
        <w:shd w:val="clear" w:color="auto" w:fill="FFFFFF"/>
        <w:spacing w:line="360" w:lineRule="auto"/>
        <w:ind w:left="567" w:right="567"/>
        <w:jc w:val="both"/>
        <w:rPr>
          <w:rFonts w:ascii="Palatino Linotype" w:eastAsia="MS Mincho" w:hAnsi="Palatino Linotype"/>
          <w:color w:val="222222"/>
          <w:sz w:val="22"/>
          <w:lang w:val="es-ES_tradnl"/>
        </w:rPr>
      </w:pPr>
      <w:r w:rsidRPr="00CA298C">
        <w:rPr>
          <w:rFonts w:ascii="Palatino Linotype" w:eastAsia="MS Mincho" w:hAnsi="Palatino Linotype"/>
          <w:i/>
          <w:iCs/>
          <w:color w:val="000000"/>
          <w:sz w:val="22"/>
          <w:lang w:val="es-ES_tradnl"/>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CA298C">
        <w:rPr>
          <w:rFonts w:ascii="Palatino Linotype" w:eastAsia="MS Mincho" w:hAnsi="Palatino Linotype"/>
          <w:i/>
          <w:iCs/>
          <w:color w:val="000000"/>
          <w:sz w:val="22"/>
          <w:lang w:val="es-ES_tradnl"/>
        </w:rPr>
        <w:t>aquéllas</w:t>
      </w:r>
      <w:proofErr w:type="gramEnd"/>
      <w:r w:rsidRPr="00CA298C">
        <w:rPr>
          <w:rFonts w:ascii="Palatino Linotype" w:eastAsia="MS Mincho" w:hAnsi="Palatino Linotype"/>
          <w:i/>
          <w:iCs/>
          <w:color w:val="000000"/>
          <w:sz w:val="22"/>
          <w:lang w:val="es-ES_tradnl"/>
        </w:rPr>
        <w:t xml:space="preserve"> circunstancias que se tomaron en cuenta para llegar a determinar que la información requerida no obra en los archivos a cargo.” (Sic)</w:t>
      </w:r>
    </w:p>
    <w:p w14:paraId="7DBC3F19" w14:textId="77777777" w:rsidR="00E86C75" w:rsidRPr="00CA298C" w:rsidRDefault="00E86C75" w:rsidP="00E86C75">
      <w:pPr>
        <w:numPr>
          <w:ilvl w:val="0"/>
          <w:numId w:val="4"/>
        </w:numPr>
        <w:shd w:val="clear" w:color="auto" w:fill="FFFFFF"/>
        <w:spacing w:before="240" w:after="240" w:line="360" w:lineRule="auto"/>
        <w:ind w:left="0" w:firstLine="0"/>
        <w:jc w:val="both"/>
        <w:rPr>
          <w:rFonts w:ascii="Palatino Linotype" w:hAnsi="Palatino Linotype"/>
          <w:color w:val="222222"/>
        </w:rPr>
      </w:pPr>
      <w:r w:rsidRPr="00CA298C">
        <w:rPr>
          <w:rFonts w:ascii="Palatino Linotype" w:hAnsi="Palatino Linotype"/>
          <w:color w:val="000000"/>
          <w:lang w:val="es-ES_tradnl"/>
        </w:rPr>
        <w:t xml:space="preserve">Bajo </w:t>
      </w:r>
      <w:proofErr w:type="gramStart"/>
      <w:r w:rsidRPr="00CA298C">
        <w:rPr>
          <w:rFonts w:ascii="Palatino Linotype" w:hAnsi="Palatino Linotype"/>
          <w:color w:val="000000"/>
          <w:lang w:val="es-ES_tradnl"/>
        </w:rPr>
        <w:t>éste</w:t>
      </w:r>
      <w:proofErr w:type="gramEnd"/>
      <w:r w:rsidRPr="00CA298C">
        <w:rPr>
          <w:rFonts w:ascii="Palatino Linotype" w:hAnsi="Palatino Linotype"/>
          <w:color w:val="000000"/>
          <w:lang w:val="es-ES_tradnl"/>
        </w:rPr>
        <w:t xml:space="preserve"> tenor se debe destacar que para que se declare la inexistencia de la información, debió haber existencia previa de la documentación y la falta posterior </w:t>
      </w:r>
      <w:r w:rsidRPr="00CA298C">
        <w:rPr>
          <w:rFonts w:ascii="Palatino Linotype" w:hAnsi="Palatino Linotype"/>
          <w:color w:val="000000"/>
          <w:lang w:val="es-ES_tradnl"/>
        </w:rPr>
        <w:lastRenderedPageBreak/>
        <w:t>de la misma en los archivos del </w:t>
      </w:r>
      <w:r w:rsidRPr="00CA298C">
        <w:rPr>
          <w:rFonts w:ascii="Palatino Linotype" w:hAnsi="Palatino Linotype"/>
          <w:b/>
          <w:bCs/>
          <w:color w:val="000000"/>
          <w:lang w:val="es-ES_tradnl"/>
        </w:rPr>
        <w:t>SUJETO OBLIGADO</w:t>
      </w:r>
      <w:r w:rsidRPr="00CA298C">
        <w:rPr>
          <w:rFonts w:ascii="Palatino Linotype" w:hAnsi="Palatino Linotype"/>
          <w:color w:val="000000"/>
          <w:lang w:val="es-ES_tradnl"/>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39CD8AD5" w14:textId="77777777" w:rsidR="00E86C75" w:rsidRPr="00CA298C" w:rsidRDefault="00E86C75" w:rsidP="00E86C75">
      <w:pPr>
        <w:numPr>
          <w:ilvl w:val="0"/>
          <w:numId w:val="4"/>
        </w:numPr>
        <w:shd w:val="clear" w:color="auto" w:fill="FFFFFF"/>
        <w:spacing w:before="240" w:after="240" w:line="360" w:lineRule="auto"/>
        <w:ind w:left="0" w:firstLine="0"/>
        <w:jc w:val="both"/>
        <w:rPr>
          <w:rFonts w:ascii="Palatino Linotype" w:hAnsi="Palatino Linotype"/>
          <w:color w:val="222222"/>
        </w:rPr>
      </w:pPr>
      <w:r w:rsidRPr="00CA298C">
        <w:rPr>
          <w:rFonts w:ascii="Palatino Linotype" w:hAnsi="Palatino Linotype"/>
          <w:color w:val="000000"/>
          <w:lang w:val="es-ES_tradnl"/>
        </w:rPr>
        <w:t>En consecuencia, </w:t>
      </w:r>
      <w:r w:rsidRPr="00CA298C">
        <w:rPr>
          <w:rFonts w:ascii="Palatino Linotype" w:hAnsi="Palatino Linotype"/>
          <w:b/>
          <w:bCs/>
          <w:color w:val="000000"/>
          <w:lang w:val="es-ES_tradnl"/>
        </w:rPr>
        <w:t>el SUJETO OBLIGADO </w:t>
      </w:r>
      <w:r w:rsidRPr="00CA298C">
        <w:rPr>
          <w:rFonts w:ascii="Palatino Linotype" w:hAnsi="Palatino Linotype"/>
          <w:color w:val="000000"/>
          <w:lang w:val="es-ES_tradnl"/>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14:paraId="1D53E4D3" w14:textId="77777777" w:rsidR="00E86C75" w:rsidRPr="00CA298C" w:rsidRDefault="00E86C75" w:rsidP="00E86C75">
      <w:pPr>
        <w:shd w:val="clear" w:color="auto" w:fill="FFFFFF"/>
        <w:spacing w:line="360" w:lineRule="auto"/>
        <w:ind w:left="567" w:right="567"/>
        <w:jc w:val="both"/>
        <w:rPr>
          <w:rFonts w:ascii="Palatino Linotype" w:hAnsi="Palatino Linotype" w:cs="Arial"/>
          <w:color w:val="222222"/>
          <w:sz w:val="22"/>
        </w:rPr>
      </w:pPr>
      <w:r w:rsidRPr="00CA298C">
        <w:rPr>
          <w:rFonts w:ascii="Palatino Linotype" w:hAnsi="Palatino Linotype" w:cs="Arial"/>
          <w:color w:val="000000"/>
          <w:sz w:val="22"/>
        </w:rPr>
        <w:t>·</w:t>
      </w:r>
      <w:r w:rsidRPr="00CA298C">
        <w:rPr>
          <w:rFonts w:ascii="Palatino Linotype" w:hAnsi="Palatino Linotype"/>
          <w:color w:val="000000"/>
          <w:sz w:val="22"/>
        </w:rPr>
        <w:t> </w:t>
      </w:r>
      <w:r w:rsidRPr="00CA298C">
        <w:rPr>
          <w:rFonts w:ascii="Palatino Linotype" w:hAnsi="Palatino Linotype" w:cs="Arial"/>
          <w:color w:val="000000"/>
          <w:sz w:val="22"/>
        </w:rPr>
        <w:t>Deberá emitir el acuerdo de inexistencia respectivo, en el entendido, que el acto de autoridad debe estar </w:t>
      </w:r>
      <w:r w:rsidRPr="00CA298C">
        <w:rPr>
          <w:rFonts w:ascii="Palatino Linotype" w:hAnsi="Palatino Linotype" w:cs="Arial"/>
          <w:b/>
          <w:bCs/>
          <w:color w:val="000000"/>
          <w:sz w:val="22"/>
        </w:rPr>
        <w:t>debidamente fundado y motivado.</w:t>
      </w:r>
    </w:p>
    <w:p w14:paraId="367E2528" w14:textId="77777777" w:rsidR="00E86C75" w:rsidRPr="00CA298C" w:rsidRDefault="00E86C75" w:rsidP="00E86C75">
      <w:pPr>
        <w:shd w:val="clear" w:color="auto" w:fill="FFFFFF"/>
        <w:spacing w:line="360" w:lineRule="auto"/>
        <w:ind w:left="567" w:right="567"/>
        <w:jc w:val="both"/>
        <w:rPr>
          <w:rFonts w:ascii="Palatino Linotype" w:hAnsi="Palatino Linotype" w:cs="Arial"/>
          <w:color w:val="222222"/>
          <w:sz w:val="22"/>
        </w:rPr>
      </w:pPr>
      <w:r w:rsidRPr="00CA298C">
        <w:rPr>
          <w:rFonts w:ascii="Palatino Linotype" w:hAnsi="Palatino Linotype" w:cs="Arial"/>
          <w:color w:val="000000"/>
          <w:sz w:val="22"/>
        </w:rPr>
        <w:t> </w:t>
      </w:r>
    </w:p>
    <w:p w14:paraId="20643358" w14:textId="77777777" w:rsidR="00E86C75" w:rsidRPr="00CA298C" w:rsidRDefault="00E86C75" w:rsidP="00E86C75">
      <w:pPr>
        <w:shd w:val="clear" w:color="auto" w:fill="FFFFFF"/>
        <w:spacing w:line="360" w:lineRule="auto"/>
        <w:ind w:left="567" w:right="567"/>
        <w:jc w:val="both"/>
        <w:rPr>
          <w:rFonts w:ascii="Palatino Linotype" w:hAnsi="Palatino Linotype" w:cs="Arial"/>
          <w:color w:val="222222"/>
          <w:sz w:val="22"/>
        </w:rPr>
      </w:pPr>
      <w:r w:rsidRPr="00CA298C">
        <w:rPr>
          <w:rFonts w:ascii="Palatino Linotype" w:hAnsi="Palatino Linotype" w:cs="Arial"/>
          <w:color w:val="000000"/>
          <w:sz w:val="22"/>
        </w:rPr>
        <w:t>·</w:t>
      </w:r>
      <w:r w:rsidRPr="00CA298C">
        <w:rPr>
          <w:rFonts w:ascii="Palatino Linotype" w:hAnsi="Palatino Linotype"/>
          <w:color w:val="000000"/>
          <w:sz w:val="22"/>
        </w:rPr>
        <w:t> </w:t>
      </w:r>
      <w:r w:rsidRPr="00CA298C">
        <w:rPr>
          <w:rFonts w:ascii="Palatino Linotype" w:hAnsi="Palatino Linotype" w:cs="Arial"/>
          <w:color w:val="000000"/>
          <w:sz w:val="22"/>
        </w:rPr>
        <w:t>Señalando el lugar y fecha de la resolución, el nombre del solicitante, la información solicitada, </w:t>
      </w:r>
      <w:r w:rsidRPr="00CA298C">
        <w:rPr>
          <w:rFonts w:ascii="Palatino Linotype" w:hAnsi="Palatino Linotype" w:cs="Arial"/>
          <w:b/>
          <w:bCs/>
          <w:color w:val="000000"/>
          <w:sz w:val="22"/>
        </w:rPr>
        <w:t>el fundamento y motivo por el cual se determina que la información solicitada no obra en sus archivos</w:t>
      </w:r>
      <w:r w:rsidRPr="00CA298C">
        <w:rPr>
          <w:rFonts w:ascii="Palatino Linotype" w:hAnsi="Palatino Linotype" w:cs="Arial"/>
          <w:color w:val="000000"/>
          <w:sz w:val="22"/>
        </w:rPr>
        <w:t>, los nombres y firmas autógrafas de los integrantes del Comité de Información.</w:t>
      </w:r>
    </w:p>
    <w:p w14:paraId="3F127935" w14:textId="77777777" w:rsidR="00E86C75" w:rsidRPr="00CA298C" w:rsidRDefault="00E86C75" w:rsidP="00E86C75">
      <w:pPr>
        <w:numPr>
          <w:ilvl w:val="0"/>
          <w:numId w:val="4"/>
        </w:numPr>
        <w:shd w:val="clear" w:color="auto" w:fill="FFFFFF"/>
        <w:spacing w:before="240" w:after="240" w:line="360" w:lineRule="auto"/>
        <w:ind w:left="0" w:firstLine="0"/>
        <w:jc w:val="both"/>
        <w:rPr>
          <w:rFonts w:ascii="Palatino Linotype" w:hAnsi="Palatino Linotype"/>
          <w:color w:val="222222"/>
        </w:rPr>
      </w:pPr>
      <w:r w:rsidRPr="00CA298C">
        <w:rPr>
          <w:rFonts w:ascii="Palatino Linotype" w:hAnsi="Palatino Linotype"/>
          <w:color w:val="000000"/>
          <w:lang w:val="es-ES_tradnl"/>
        </w:rPr>
        <w:t>Lo anterior es así, toda vez que </w:t>
      </w:r>
      <w:r w:rsidRPr="00CA298C">
        <w:rPr>
          <w:rFonts w:ascii="Palatino Linotype" w:hAnsi="Palatino Linotype"/>
          <w:b/>
          <w:bCs/>
          <w:color w:val="000000"/>
          <w:lang w:val="es-ES_tradnl"/>
        </w:rPr>
        <w:t>es necesaria</w:t>
      </w:r>
      <w:r w:rsidRPr="00CA298C">
        <w:rPr>
          <w:rFonts w:ascii="Palatino Linotype" w:hAnsi="Palatino Linotype"/>
          <w:color w:val="000000"/>
          <w:lang w:val="es-ES_tradnl"/>
        </w:rPr>
        <w:t> la emisión del acuerdo de inexistencia en aquellos casos en que el </w:t>
      </w:r>
      <w:r w:rsidRPr="00CA298C">
        <w:rPr>
          <w:rFonts w:ascii="Palatino Linotype" w:hAnsi="Palatino Linotype"/>
          <w:b/>
          <w:bCs/>
          <w:color w:val="000000"/>
          <w:lang w:val="es-ES_tradnl"/>
        </w:rPr>
        <w:t>SUJETO OBLIGADO generó, administró o poseyó </w:t>
      </w:r>
      <w:r w:rsidRPr="00CA298C">
        <w:rPr>
          <w:rFonts w:ascii="Palatino Linotype" w:hAnsi="Palatino Linotype"/>
          <w:color w:val="000000"/>
          <w:lang w:val="es-ES_tradnl"/>
        </w:rPr>
        <w:t>la información solicitada empero previa búsqueda exhaustiva y minuciosa de la misma, no localiza la información requerida.</w:t>
      </w:r>
    </w:p>
    <w:p w14:paraId="42C0AF9C" w14:textId="7F4B6973" w:rsidR="00E86C75" w:rsidRPr="00CA298C" w:rsidRDefault="00E86C75" w:rsidP="007F4B1B">
      <w:pPr>
        <w:pStyle w:val="Prrafodelista"/>
        <w:numPr>
          <w:ilvl w:val="0"/>
          <w:numId w:val="4"/>
        </w:numPr>
        <w:spacing w:line="360" w:lineRule="auto"/>
        <w:ind w:left="0" w:firstLine="0"/>
        <w:jc w:val="both"/>
        <w:rPr>
          <w:rFonts w:ascii="Palatino Linotype" w:eastAsia="Calibri" w:hAnsi="Palatino Linotype" w:cs="Arial"/>
        </w:rPr>
      </w:pPr>
      <w:r w:rsidRPr="00CA298C">
        <w:rPr>
          <w:rFonts w:ascii="Palatino Linotype" w:hAnsi="Palatino Linotype"/>
          <w:b/>
          <w:bCs/>
          <w:color w:val="000000"/>
          <w:lang w:val="es-ES_tradnl"/>
        </w:rPr>
        <w:t>En ese caso</w:t>
      </w:r>
      <w:r w:rsidRPr="00CA298C">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CA298C">
        <w:rPr>
          <w:rFonts w:ascii="Palatino Linotype" w:hAnsi="Palatino Linotype"/>
          <w:b/>
          <w:bCs/>
          <w:color w:val="000000"/>
          <w:lang w:val="es-ES_tradnl"/>
        </w:rPr>
        <w:t>SUJETO OBLIGADO</w:t>
      </w:r>
      <w:r w:rsidRPr="00CA298C">
        <w:rPr>
          <w:rFonts w:ascii="Palatino Linotype" w:hAnsi="Palatino Linotype"/>
          <w:color w:val="000000"/>
          <w:lang w:val="es-ES_tradnl"/>
        </w:rPr>
        <w:t xml:space="preserve"> en el marco de las funciones de derecho público; sin embargo, éste no lo posee por la </w:t>
      </w:r>
      <w:r w:rsidRPr="00CA298C">
        <w:rPr>
          <w:rFonts w:ascii="Palatino Linotype" w:hAnsi="Palatino Linotype"/>
          <w:color w:val="000000"/>
          <w:lang w:val="es-ES_tradnl"/>
        </w:rPr>
        <w:lastRenderedPageBreak/>
        <w:t>razones que se deben expresar </w:t>
      </w:r>
      <w:r w:rsidRPr="00CA298C">
        <w:rPr>
          <w:rFonts w:ascii="Palatino Linotype" w:hAnsi="Palatino Linotype"/>
          <w:b/>
          <w:bCs/>
          <w:color w:val="000000"/>
          <w:lang w:val="es-ES_tradnl"/>
        </w:rPr>
        <w:t>a través de un acuerdo debidamente fundado y motivado </w:t>
      </w:r>
      <w:r w:rsidRPr="00CA298C">
        <w:rPr>
          <w:rFonts w:ascii="Palatino Linotype" w:hAnsi="Palatino Linotype"/>
          <w:color w:val="000000"/>
          <w:lang w:val="es-ES_tradnl"/>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p>
    <w:p w14:paraId="2A0CD79A" w14:textId="77777777" w:rsidR="00E86C75" w:rsidRPr="00CA298C" w:rsidRDefault="00E86C75" w:rsidP="00E86C75">
      <w:pPr>
        <w:autoSpaceDE w:val="0"/>
        <w:autoSpaceDN w:val="0"/>
        <w:adjustRightInd w:val="0"/>
        <w:spacing w:line="360" w:lineRule="auto"/>
        <w:jc w:val="both"/>
        <w:rPr>
          <w:rFonts w:ascii="Palatino Linotype" w:eastAsia="MS Mincho" w:hAnsi="Palatino Linotype" w:cs="PalatinoLinotype-Roman"/>
        </w:rPr>
      </w:pPr>
    </w:p>
    <w:p w14:paraId="55185D9F" w14:textId="77777777" w:rsidR="00E974E2" w:rsidRPr="00CA298C" w:rsidRDefault="00E974E2" w:rsidP="00E974E2">
      <w:pPr>
        <w:pStyle w:val="Prrafodelista"/>
        <w:spacing w:before="120" w:after="120" w:line="360" w:lineRule="auto"/>
        <w:ind w:left="0"/>
        <w:jc w:val="both"/>
        <w:rPr>
          <w:rFonts w:ascii="Palatino Linotype" w:hAnsi="Palatino Linotype"/>
          <w:b/>
          <w:lang w:val="es-ES_tradnl"/>
        </w:rPr>
      </w:pPr>
      <w:r w:rsidRPr="00CA298C">
        <w:rPr>
          <w:rFonts w:ascii="Palatino Linotype" w:hAnsi="Palatino Linotype"/>
          <w:b/>
          <w:lang w:val="es-ES_tradnl"/>
        </w:rPr>
        <w:t>QUINTO. De la versión pública.</w:t>
      </w:r>
    </w:p>
    <w:p w14:paraId="18D7C4A8" w14:textId="77777777" w:rsidR="00E974E2" w:rsidRPr="00CA298C" w:rsidRDefault="00E974E2" w:rsidP="00E974E2">
      <w:pPr>
        <w:pStyle w:val="Ttulo1"/>
        <w:numPr>
          <w:ilvl w:val="0"/>
          <w:numId w:val="2"/>
        </w:numPr>
        <w:tabs>
          <w:tab w:val="left" w:pos="284"/>
          <w:tab w:val="num" w:pos="360"/>
        </w:tabs>
        <w:spacing w:before="0" w:line="360" w:lineRule="auto"/>
        <w:ind w:left="0" w:firstLine="0"/>
        <w:rPr>
          <w:rFonts w:cs="Times New Roman"/>
          <w:b/>
          <w:szCs w:val="24"/>
          <w:lang w:eastAsia="es-ES_tradnl"/>
        </w:rPr>
      </w:pPr>
      <w:bookmarkStart w:id="0" w:name="_Toc48135362"/>
      <w:bookmarkStart w:id="1" w:name="_Toc72309902"/>
      <w:bookmarkStart w:id="2" w:name="_Toc73643041"/>
      <w:bookmarkStart w:id="3" w:name="_Toc73911519"/>
      <w:bookmarkStart w:id="4" w:name="_Toc87549683"/>
      <w:r w:rsidRPr="00CA298C">
        <w:rPr>
          <w:rFonts w:cs="Times New Roman"/>
          <w:b/>
          <w:szCs w:val="24"/>
          <w:lang w:eastAsia="es-ES_tradnl"/>
        </w:rPr>
        <w:t>Nociones generales.</w:t>
      </w:r>
      <w:bookmarkEnd w:id="0"/>
      <w:bookmarkEnd w:id="1"/>
      <w:bookmarkEnd w:id="2"/>
      <w:bookmarkEnd w:id="3"/>
      <w:bookmarkEnd w:id="4"/>
      <w:r w:rsidRPr="00CA298C">
        <w:rPr>
          <w:rFonts w:cs="Times New Roman"/>
          <w:b/>
          <w:szCs w:val="24"/>
          <w:lang w:eastAsia="es-ES_tradnl"/>
        </w:rPr>
        <w:t xml:space="preserve"> </w:t>
      </w:r>
    </w:p>
    <w:p w14:paraId="1F5F5AFD" w14:textId="2A5FB8AB" w:rsidR="00E974E2" w:rsidRPr="00CA298C" w:rsidRDefault="00E974E2" w:rsidP="00E974E2">
      <w:pPr>
        <w:pStyle w:val="Prrafodelista"/>
        <w:numPr>
          <w:ilvl w:val="0"/>
          <w:numId w:val="4"/>
        </w:numPr>
        <w:tabs>
          <w:tab w:val="left" w:pos="284"/>
        </w:tabs>
        <w:spacing w:line="360" w:lineRule="auto"/>
        <w:ind w:left="0" w:right="49" w:firstLine="0"/>
        <w:jc w:val="both"/>
        <w:rPr>
          <w:rFonts w:ascii="Palatino Linotype" w:hAnsi="Palatino Linotype" w:cs="Arial"/>
          <w:color w:val="000000"/>
        </w:rPr>
      </w:pPr>
      <w:r w:rsidRPr="00CA298C">
        <w:rPr>
          <w:rFonts w:ascii="Palatino Linotype" w:hAnsi="Palatino Linotype" w:cs="Arial"/>
          <w:color w:val="000000"/>
        </w:rPr>
        <w:t>Debe destacarse que, debido a la naturaleza de la información solicitada</w:t>
      </w:r>
      <w:r w:rsidRPr="00CA298C">
        <w:rPr>
          <w:rFonts w:ascii="Palatino Linotype" w:hAnsi="Palatino Linotype" w:cs="Arial"/>
          <w:b/>
          <w:color w:val="000000"/>
        </w:rPr>
        <w:t xml:space="preserve">, </w:t>
      </w:r>
      <w:r w:rsidRPr="00CA298C">
        <w:rPr>
          <w:rFonts w:ascii="Palatino Linotype" w:hAnsi="Palatino Linotype" w:cs="Arial"/>
          <w:color w:val="000000"/>
        </w:rPr>
        <w:t xml:space="preserve">eventualmente pudiera obrar datos personales susceptibles de protegerse, así como información susceptible de clasificarse como reservada, el </w:t>
      </w:r>
      <w:r w:rsidRPr="00CA298C">
        <w:rPr>
          <w:rFonts w:ascii="Palatino Linotype" w:hAnsi="Palatino Linotype" w:cs="Arial"/>
          <w:b/>
          <w:bCs/>
          <w:color w:val="000000"/>
        </w:rPr>
        <w:t xml:space="preserve">Sujeto Obligado </w:t>
      </w:r>
      <w:r w:rsidRPr="00CA298C">
        <w:rPr>
          <w:rFonts w:ascii="Palatino Linotype" w:hAnsi="Palatino Linotype" w:cs="Arial"/>
          <w:color w:val="000000"/>
        </w:rPr>
        <w:t xml:space="preserve">deberá de hacer la adecuada versión pública, protegiendo los datos que no son susceptibles de ser proporcionados. </w:t>
      </w:r>
    </w:p>
    <w:p w14:paraId="28325D79" w14:textId="77777777" w:rsidR="00E974E2" w:rsidRPr="00CA298C" w:rsidRDefault="00E974E2" w:rsidP="00E974E2">
      <w:pPr>
        <w:pStyle w:val="Prrafodelista"/>
        <w:tabs>
          <w:tab w:val="left" w:pos="0"/>
          <w:tab w:val="left" w:pos="284"/>
        </w:tabs>
        <w:spacing w:line="360" w:lineRule="auto"/>
        <w:ind w:left="0" w:right="49"/>
        <w:jc w:val="both"/>
        <w:rPr>
          <w:rFonts w:ascii="Palatino Linotype" w:eastAsia="MS Mincho" w:hAnsi="Palatino Linotype"/>
          <w:lang w:val="es-ES"/>
        </w:rPr>
      </w:pPr>
    </w:p>
    <w:p w14:paraId="2F38C253" w14:textId="77777777" w:rsidR="00E974E2" w:rsidRPr="00CA298C" w:rsidRDefault="00E974E2" w:rsidP="00E974E2">
      <w:pPr>
        <w:numPr>
          <w:ilvl w:val="0"/>
          <w:numId w:val="4"/>
        </w:numPr>
        <w:tabs>
          <w:tab w:val="left" w:pos="284"/>
        </w:tabs>
        <w:spacing w:line="360" w:lineRule="auto"/>
        <w:ind w:left="0" w:right="49" w:firstLine="0"/>
        <w:contextualSpacing/>
        <w:jc w:val="both"/>
        <w:rPr>
          <w:rFonts w:ascii="Palatino Linotype" w:hAnsi="Palatino Linotype" w:cs="Arial"/>
          <w:color w:val="000000"/>
        </w:rPr>
      </w:pPr>
      <w:r w:rsidRPr="00CA298C">
        <w:rPr>
          <w:rFonts w:ascii="Palatino Linotype" w:hAnsi="Palatino Linotype" w:cs="Arial"/>
          <w:color w:val="000000"/>
        </w:rPr>
        <w:t xml:space="preserve">No pasa desapercibido para este Órgano Garante que los </w:t>
      </w:r>
      <w:r w:rsidRPr="00CA298C">
        <w:rPr>
          <w:rFonts w:ascii="Palatino Linotype" w:hAnsi="Palatino Linotype" w:cs="Arial"/>
          <w:b/>
          <w:bCs/>
          <w:color w:val="000000"/>
        </w:rPr>
        <w:t xml:space="preserve">Sujetos Obligados </w:t>
      </w:r>
      <w:r w:rsidRPr="00CA298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F83BC0D" w14:textId="77777777" w:rsidR="00E974E2" w:rsidRPr="00CA298C" w:rsidRDefault="00E974E2" w:rsidP="00E974E2">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E974E2" w:rsidRPr="00CA298C" w14:paraId="14E0B5ED" w14:textId="77777777" w:rsidTr="00DE6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BD206A7" w14:textId="77777777" w:rsidR="00E974E2" w:rsidRPr="00CA298C" w:rsidRDefault="00E974E2" w:rsidP="00DE636F">
            <w:pPr>
              <w:tabs>
                <w:tab w:val="left" w:pos="284"/>
              </w:tabs>
              <w:spacing w:line="360" w:lineRule="auto"/>
              <w:rPr>
                <w:rFonts w:ascii="Palatino Linotype" w:hAnsi="Palatino Linotype"/>
                <w:bCs w:val="0"/>
                <w:sz w:val="20"/>
                <w:szCs w:val="24"/>
              </w:rPr>
            </w:pPr>
            <w:r w:rsidRPr="00CA298C">
              <w:rPr>
                <w:rFonts w:ascii="Palatino Linotype" w:hAnsi="Palatino Linotype" w:cstheme="majorBidi"/>
                <w:sz w:val="20"/>
                <w:szCs w:val="24"/>
              </w:rPr>
              <w:t>a) Requisitos previos.</w:t>
            </w:r>
          </w:p>
        </w:tc>
        <w:tc>
          <w:tcPr>
            <w:tcW w:w="6667" w:type="dxa"/>
            <w:hideMark/>
          </w:tcPr>
          <w:p w14:paraId="73561CE4" w14:textId="77777777" w:rsidR="00E974E2" w:rsidRPr="00CA298C" w:rsidRDefault="00E974E2" w:rsidP="00DE636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CA298C">
              <w:rPr>
                <w:rFonts w:ascii="Palatino Linotype" w:hAnsi="Palatino Linotype" w:cs="Arial"/>
                <w:color w:val="000000"/>
                <w:sz w:val="20"/>
                <w:szCs w:val="24"/>
              </w:rPr>
              <w:t xml:space="preserve">Los artículos 100 y 122 de la Ley Estatal y de la Ley General, respectivamente, señalan </w:t>
            </w:r>
            <w:proofErr w:type="gramStart"/>
            <w:r w:rsidRPr="00CA298C">
              <w:rPr>
                <w:rFonts w:ascii="Palatino Linotype" w:hAnsi="Palatino Linotype" w:cs="Arial"/>
                <w:color w:val="000000"/>
                <w:sz w:val="20"/>
                <w:szCs w:val="24"/>
              </w:rPr>
              <w:t>que</w:t>
            </w:r>
            <w:proofErr w:type="gramEnd"/>
            <w:r w:rsidRPr="00CA298C">
              <w:rPr>
                <w:rFonts w:ascii="Palatino Linotype" w:hAnsi="Palatino Linotype" w:cs="Arial"/>
                <w:color w:val="000000"/>
                <w:sz w:val="20"/>
                <w:szCs w:val="24"/>
              </w:rPr>
              <w:t xml:space="preserve"> si los Sujetos Obligados determinan que la información actualiza alguno de los supuestos de clasificación, es </w:t>
            </w:r>
            <w:r w:rsidRPr="00CA298C">
              <w:rPr>
                <w:rFonts w:ascii="Palatino Linotype" w:hAnsi="Palatino Linotype" w:cs="Arial"/>
                <w:color w:val="000000"/>
                <w:sz w:val="20"/>
                <w:szCs w:val="24"/>
              </w:rPr>
              <w:lastRenderedPageBreak/>
              <w:t xml:space="preserve">deber de los titulares de las áreas proponer su clasificación y no del Comité de Transparencia. </w:t>
            </w:r>
          </w:p>
          <w:p w14:paraId="499F4A24" w14:textId="77777777" w:rsidR="00E974E2" w:rsidRPr="00CA298C" w:rsidRDefault="00E974E2" w:rsidP="00DE636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CA298C">
              <w:rPr>
                <w:rFonts w:ascii="Palatino Linotype" w:hAnsi="Palatino Linotype" w:cs="Arial"/>
                <w:color w:val="000000"/>
                <w:sz w:val="20"/>
                <w:szCs w:val="24"/>
              </w:rPr>
              <w:t>Al hacerlo tienen que precisar de qué información se trata, señalando el supuesto de clasificación (confidencialidad o reserva).</w:t>
            </w:r>
          </w:p>
          <w:p w14:paraId="7EEC35E5" w14:textId="77777777" w:rsidR="00E974E2" w:rsidRPr="00CA298C" w:rsidRDefault="00E974E2" w:rsidP="00DE636F">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szCs w:val="24"/>
              </w:rPr>
            </w:pPr>
            <w:r w:rsidRPr="00CA298C">
              <w:rPr>
                <w:rFonts w:ascii="Palatino Linotype" w:hAnsi="Palatino Linotype" w:cs="Arial"/>
                <w:color w:val="000000"/>
                <w:sz w:val="20"/>
                <w:szCs w:val="24"/>
              </w:rPr>
              <w:t>Además, se debe señalar el procedimiento, de los tres que establecen los artículos 132 y 106 de la Ley Estatal y General, respectivamente.</w:t>
            </w:r>
          </w:p>
          <w:p w14:paraId="46DC84D5" w14:textId="77777777" w:rsidR="00E974E2" w:rsidRPr="00CA298C" w:rsidRDefault="00E974E2" w:rsidP="00DE636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4"/>
              </w:rPr>
            </w:pPr>
            <w:r w:rsidRPr="00CA298C">
              <w:rPr>
                <w:rFonts w:ascii="Palatino Linotype" w:hAnsi="Palatino Linotype" w:cs="Arial"/>
                <w:color w:val="000000"/>
                <w:sz w:val="20"/>
                <w:szCs w:val="24"/>
              </w:rPr>
              <w:t xml:space="preserve">El último de estos requisitos previos consiste en que no se pueden emitir acuerdos de carácter general ni particular, esto es, </w:t>
            </w:r>
            <w:r w:rsidRPr="00CA298C">
              <w:rPr>
                <w:rFonts w:ascii="Palatino Linotype" w:hAnsi="Palatino Linotype" w:cs="Arial"/>
                <w:color w:val="000000"/>
                <w:sz w:val="20"/>
                <w:szCs w:val="24"/>
                <w:u w:val="single"/>
              </w:rPr>
              <w:t>no se puede hacer un acuerdo para clasificar de manera general todos los documentos de un expediente o área, sin</w:t>
            </w:r>
            <w:r w:rsidRPr="00CA298C">
              <w:rPr>
                <w:rFonts w:ascii="Palatino Linotype" w:hAnsi="Palatino Linotype" w:cs="Arial"/>
                <w:color w:val="000000"/>
                <w:sz w:val="20"/>
                <w:szCs w:val="24"/>
              </w:rPr>
              <w:t xml:space="preserve"> individualizar su análisis y tampoco se puede hacer un acuerdo por cada dato que se vaya a clasificar dentro de un documento con diez datos, por ejemplo, susceptibles de ser clasificados.</w:t>
            </w:r>
          </w:p>
        </w:tc>
      </w:tr>
      <w:tr w:rsidR="00E974E2" w:rsidRPr="00CA298C" w14:paraId="63E90DF7" w14:textId="77777777" w:rsidTr="00DE6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BAFF0B6" w14:textId="77777777" w:rsidR="00E974E2" w:rsidRPr="00CA298C" w:rsidRDefault="00E974E2" w:rsidP="00DE636F">
            <w:pPr>
              <w:tabs>
                <w:tab w:val="left" w:pos="284"/>
              </w:tabs>
              <w:spacing w:line="360" w:lineRule="auto"/>
              <w:rPr>
                <w:rFonts w:ascii="Palatino Linotype" w:hAnsi="Palatino Linotype"/>
                <w:bCs w:val="0"/>
                <w:sz w:val="20"/>
                <w:szCs w:val="24"/>
              </w:rPr>
            </w:pPr>
            <w:r w:rsidRPr="00CA298C">
              <w:rPr>
                <w:rFonts w:ascii="Palatino Linotype" w:hAnsi="Palatino Linotype" w:cstheme="majorBidi"/>
                <w:sz w:val="20"/>
                <w:szCs w:val="24"/>
              </w:rPr>
              <w:lastRenderedPageBreak/>
              <w:t>b) Supuestos de clasificación.</w:t>
            </w:r>
          </w:p>
        </w:tc>
        <w:tc>
          <w:tcPr>
            <w:tcW w:w="6667" w:type="dxa"/>
            <w:hideMark/>
          </w:tcPr>
          <w:p w14:paraId="77B21EA6" w14:textId="77777777" w:rsidR="00E974E2" w:rsidRPr="00CA298C" w:rsidRDefault="00E974E2" w:rsidP="00DE636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Las disposiciones constitucionales y legales en la materia establecen los dos supuestos generales para clasificar la información: por reserva y por confidencialidad.</w:t>
            </w:r>
          </w:p>
          <w:p w14:paraId="074ED0C7" w14:textId="77777777" w:rsidR="00E974E2" w:rsidRPr="00CA298C" w:rsidRDefault="00E974E2" w:rsidP="00DE636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5AC092E" w14:textId="77777777" w:rsidR="00E974E2" w:rsidRPr="00CA298C" w:rsidRDefault="00E974E2" w:rsidP="00DE636F">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4"/>
              </w:rPr>
            </w:pPr>
            <w:r w:rsidRPr="00CA298C">
              <w:rPr>
                <w:rFonts w:ascii="Palatino Linotype" w:hAnsi="Palatino Linotype" w:cs="Arial"/>
                <w:color w:val="000000"/>
                <w:sz w:val="20"/>
                <w:szCs w:val="24"/>
              </w:rPr>
              <w:t xml:space="preserve">El </w:t>
            </w:r>
            <w:r w:rsidRPr="00CA298C">
              <w:rPr>
                <w:rFonts w:ascii="Palatino Linotype" w:hAnsi="Palatino Linotype" w:cs="Arial"/>
                <w:b/>
                <w:color w:val="000000"/>
                <w:sz w:val="20"/>
                <w:szCs w:val="24"/>
              </w:rPr>
              <w:t>Sujeto Obligado</w:t>
            </w:r>
            <w:r w:rsidRPr="00CA298C">
              <w:rPr>
                <w:rFonts w:ascii="Palatino Linotype" w:hAnsi="Palatino Linotype" w:cs="Arial"/>
                <w:color w:val="000000"/>
                <w:sz w:val="2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974E2" w:rsidRPr="00CA298C" w14:paraId="6ADAA10D" w14:textId="77777777" w:rsidTr="00DE636F">
        <w:tc>
          <w:tcPr>
            <w:cnfStyle w:val="001000000000" w:firstRow="0" w:lastRow="0" w:firstColumn="1" w:lastColumn="0" w:oddVBand="0" w:evenVBand="0" w:oddHBand="0" w:evenHBand="0" w:firstRowFirstColumn="0" w:firstRowLastColumn="0" w:lastRowFirstColumn="0" w:lastRowLastColumn="0"/>
            <w:tcW w:w="1838" w:type="dxa"/>
            <w:hideMark/>
          </w:tcPr>
          <w:p w14:paraId="7EC99811" w14:textId="77777777" w:rsidR="00E974E2" w:rsidRPr="00CA298C" w:rsidRDefault="00E974E2" w:rsidP="00DE636F">
            <w:pPr>
              <w:tabs>
                <w:tab w:val="left" w:pos="284"/>
              </w:tabs>
              <w:spacing w:line="360" w:lineRule="auto"/>
              <w:rPr>
                <w:rFonts w:ascii="Palatino Linotype" w:hAnsi="Palatino Linotype"/>
                <w:bCs w:val="0"/>
                <w:sz w:val="20"/>
                <w:szCs w:val="24"/>
              </w:rPr>
            </w:pPr>
            <w:r w:rsidRPr="00CA298C">
              <w:rPr>
                <w:rFonts w:ascii="Palatino Linotype" w:hAnsi="Palatino Linotype" w:cstheme="majorBidi"/>
                <w:sz w:val="20"/>
                <w:szCs w:val="24"/>
              </w:rPr>
              <w:lastRenderedPageBreak/>
              <w:t>c) Formalidades para emitir el acuerdo de clasificación.</w:t>
            </w:r>
          </w:p>
        </w:tc>
        <w:tc>
          <w:tcPr>
            <w:tcW w:w="6667" w:type="dxa"/>
            <w:hideMark/>
          </w:tcPr>
          <w:p w14:paraId="16DBAE21" w14:textId="77777777" w:rsidR="00E974E2" w:rsidRPr="00CA298C" w:rsidRDefault="00E974E2" w:rsidP="00DE636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 xml:space="preserve">El Comité de Transparencia, según lo dispuesto en los artículos cuenta con las facultades para aprobar, modificar o revocar la clasificación de la información que haya propuesto. </w:t>
            </w:r>
          </w:p>
          <w:p w14:paraId="04B3D579" w14:textId="77777777" w:rsidR="00E974E2" w:rsidRPr="00CA298C" w:rsidRDefault="00E974E2" w:rsidP="00DE636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 xml:space="preserve">Es necesario que </w:t>
            </w:r>
            <w:r w:rsidRPr="00CA298C">
              <w:rPr>
                <w:rFonts w:ascii="Palatino Linotype" w:hAnsi="Palatino Linotype" w:cs="Arial"/>
                <w:b/>
                <w:color w:val="000000"/>
                <w:sz w:val="20"/>
                <w:szCs w:val="24"/>
                <w:u w:val="single"/>
              </w:rPr>
              <w:t>el acto reúna con los requisitos elementales</w:t>
            </w:r>
            <w:r w:rsidRPr="00CA298C">
              <w:rPr>
                <w:rFonts w:ascii="Palatino Linotype" w:hAnsi="Palatino Linotype" w:cs="Arial"/>
                <w:color w:val="000000"/>
                <w:sz w:val="20"/>
                <w:szCs w:val="24"/>
              </w:rPr>
              <w:t>, entre ellos, que la autoridad que va a emitir el acto de autoridad sea la legalmente facultada para ello.</w:t>
            </w:r>
          </w:p>
          <w:p w14:paraId="02114041" w14:textId="77777777" w:rsidR="00E974E2" w:rsidRPr="00CA298C" w:rsidRDefault="00E974E2" w:rsidP="00DE636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CA298C">
              <w:rPr>
                <w:rFonts w:ascii="Palatino Linotype" w:hAnsi="Palatino Linotype" w:cs="Arial"/>
                <w:color w:val="000000"/>
                <w:sz w:val="2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974E2" w:rsidRPr="00CA298C" w14:paraId="384DA2BA" w14:textId="77777777" w:rsidTr="00DE6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616CB4" w14:textId="77777777" w:rsidR="00E974E2" w:rsidRPr="00CA298C" w:rsidRDefault="00E974E2" w:rsidP="00DE636F">
            <w:pPr>
              <w:tabs>
                <w:tab w:val="left" w:pos="284"/>
              </w:tabs>
              <w:spacing w:line="360" w:lineRule="auto"/>
              <w:rPr>
                <w:rFonts w:ascii="Palatino Linotype" w:hAnsi="Palatino Linotype"/>
                <w:b w:val="0"/>
                <w:sz w:val="20"/>
                <w:szCs w:val="24"/>
              </w:rPr>
            </w:pPr>
          </w:p>
          <w:p w14:paraId="14942569" w14:textId="77777777" w:rsidR="00E974E2" w:rsidRPr="00CA298C" w:rsidRDefault="00E974E2" w:rsidP="00DE636F">
            <w:pPr>
              <w:tabs>
                <w:tab w:val="left" w:pos="284"/>
              </w:tabs>
              <w:spacing w:line="360" w:lineRule="auto"/>
              <w:jc w:val="both"/>
              <w:rPr>
                <w:rFonts w:ascii="Palatino Linotype" w:hAnsi="Palatino Linotype"/>
                <w:bCs w:val="0"/>
                <w:sz w:val="20"/>
                <w:szCs w:val="24"/>
              </w:rPr>
            </w:pPr>
            <w:r w:rsidRPr="00CA298C">
              <w:rPr>
                <w:rFonts w:ascii="Palatino Linotype" w:hAnsi="Palatino Linotype" w:cs="Arial"/>
                <w:color w:val="000000"/>
                <w:sz w:val="20"/>
                <w:szCs w:val="24"/>
              </w:rPr>
              <w:t xml:space="preserve">d) Requisitos de fondo del acuerdo de clasificación. </w:t>
            </w:r>
          </w:p>
        </w:tc>
        <w:tc>
          <w:tcPr>
            <w:tcW w:w="6667" w:type="dxa"/>
            <w:hideMark/>
          </w:tcPr>
          <w:p w14:paraId="126BF5D4" w14:textId="77777777" w:rsidR="00E974E2" w:rsidRPr="00CA298C" w:rsidRDefault="00E974E2" w:rsidP="00DE636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A298C">
              <w:rPr>
                <w:rFonts w:ascii="Palatino Linotype" w:hAnsi="Palatino Linotype" w:cs="Arial"/>
                <w:b/>
                <w:color w:val="000000"/>
                <w:sz w:val="20"/>
                <w:szCs w:val="24"/>
              </w:rPr>
              <w:t>Sujetos Obligados</w:t>
            </w:r>
            <w:r w:rsidRPr="00CA298C">
              <w:rPr>
                <w:rFonts w:ascii="Palatino Linotype" w:hAnsi="Palatino Linotype" w:cs="Arial"/>
                <w:color w:val="000000"/>
                <w:sz w:val="20"/>
                <w:szCs w:val="24"/>
              </w:rPr>
              <w:t xml:space="preserve">, por lo que deberán fundar y motivar debidamente la clasificación. </w:t>
            </w:r>
          </w:p>
          <w:p w14:paraId="52C280D5" w14:textId="77777777" w:rsidR="00E974E2" w:rsidRPr="00CA298C" w:rsidRDefault="00E974E2" w:rsidP="00DE636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 xml:space="preserve">De lo anterior, se desprende </w:t>
            </w:r>
            <w:proofErr w:type="gramStart"/>
            <w:r w:rsidRPr="00CA298C">
              <w:rPr>
                <w:rFonts w:ascii="Palatino Linotype" w:hAnsi="Palatino Linotype" w:cs="Arial"/>
                <w:color w:val="000000"/>
                <w:sz w:val="20"/>
                <w:szCs w:val="24"/>
              </w:rPr>
              <w:t>que</w:t>
            </w:r>
            <w:proofErr w:type="gramEnd"/>
            <w:r w:rsidRPr="00CA298C">
              <w:rPr>
                <w:rFonts w:ascii="Palatino Linotype" w:hAnsi="Palatino Linotype" w:cs="Arial"/>
                <w:color w:val="000000"/>
                <w:sz w:val="20"/>
                <w:szCs w:val="24"/>
              </w:rPr>
              <w:t xml:space="preserve"> para una correcta </w:t>
            </w:r>
            <w:r w:rsidRPr="00CA298C">
              <w:rPr>
                <w:rFonts w:ascii="Palatino Linotype" w:hAnsi="Palatino Linotype" w:cs="Arial"/>
                <w:b/>
                <w:color w:val="000000"/>
                <w:sz w:val="20"/>
                <w:szCs w:val="24"/>
              </w:rPr>
              <w:t>clasificación total o parcial</w:t>
            </w:r>
            <w:r w:rsidRPr="00CA298C">
              <w:rPr>
                <w:rFonts w:ascii="Palatino Linotype" w:hAnsi="Palatino Linotype" w:cs="Arial"/>
                <w:color w:val="000000"/>
                <w:sz w:val="2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D55BC6" w14:textId="77777777" w:rsidR="00E974E2" w:rsidRPr="00CA298C" w:rsidRDefault="00E974E2" w:rsidP="00DE636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62E8017" w14:textId="77777777" w:rsidR="00E974E2" w:rsidRPr="00CA298C" w:rsidRDefault="00E974E2" w:rsidP="00DE636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En ese mismo sentido, el numeral trigésimo tercero fracción V de los Lineamientos Generales, precisa que para motivar la clasificación se deben acreditar las circunstancias de tiempo, modo y lugar.</w:t>
            </w:r>
          </w:p>
          <w:p w14:paraId="30F4BEEF" w14:textId="77777777" w:rsidR="00E974E2" w:rsidRPr="00CA298C" w:rsidRDefault="00E974E2" w:rsidP="00DE636F">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 xml:space="preserve">Ahora bien, </w:t>
            </w:r>
            <w:r w:rsidRPr="00CA298C">
              <w:rPr>
                <w:rFonts w:ascii="Palatino Linotype" w:hAnsi="Palatino Linotype" w:cs="Arial"/>
                <w:b/>
                <w:color w:val="000000"/>
                <w:sz w:val="20"/>
                <w:szCs w:val="24"/>
                <w:u w:val="single"/>
              </w:rPr>
              <w:t>para cada caso además de fundar y motivar</w:t>
            </w:r>
            <w:r w:rsidRPr="00CA298C">
              <w:rPr>
                <w:rFonts w:ascii="Palatino Linotype" w:hAnsi="Palatino Linotype" w:cs="Arial"/>
                <w:color w:val="000000"/>
                <w:sz w:val="20"/>
                <w:szCs w:val="24"/>
              </w:rPr>
              <w:t xml:space="preserve">, se debe identificar con claridad que datos contenidos en las documentales que son susceptibles de suprimirse, por ejemplo; </w:t>
            </w:r>
            <w:r w:rsidRPr="00CA298C">
              <w:rPr>
                <w:rFonts w:ascii="Palatino Linotype" w:hAnsi="Palatino Linotype" w:cs="Arial"/>
                <w:color w:val="000000"/>
                <w:sz w:val="2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974E2" w:rsidRPr="00CA298C" w14:paraId="2E44BDCA" w14:textId="77777777" w:rsidTr="00DE636F">
        <w:tc>
          <w:tcPr>
            <w:cnfStyle w:val="001000000000" w:firstRow="0" w:lastRow="0" w:firstColumn="1" w:lastColumn="0" w:oddVBand="0" w:evenVBand="0" w:oddHBand="0" w:evenHBand="0" w:firstRowFirstColumn="0" w:firstRowLastColumn="0" w:lastRowFirstColumn="0" w:lastRowLastColumn="0"/>
            <w:tcW w:w="1838" w:type="dxa"/>
          </w:tcPr>
          <w:p w14:paraId="1568937D" w14:textId="77777777" w:rsidR="00E974E2" w:rsidRPr="00CA298C" w:rsidRDefault="00E974E2" w:rsidP="00DE636F">
            <w:pPr>
              <w:tabs>
                <w:tab w:val="left" w:pos="284"/>
              </w:tabs>
              <w:spacing w:line="360" w:lineRule="auto"/>
              <w:ind w:right="49"/>
              <w:jc w:val="both"/>
              <w:rPr>
                <w:rFonts w:ascii="Palatino Linotype" w:hAnsi="Palatino Linotype" w:cs="Arial"/>
                <w:bCs w:val="0"/>
                <w:sz w:val="20"/>
                <w:szCs w:val="24"/>
              </w:rPr>
            </w:pPr>
            <w:r w:rsidRPr="00CA298C">
              <w:rPr>
                <w:rFonts w:ascii="Palatino Linotype" w:eastAsia="MS Gothic" w:hAnsi="Palatino Linotype"/>
                <w:sz w:val="20"/>
                <w:szCs w:val="24"/>
              </w:rPr>
              <w:lastRenderedPageBreak/>
              <w:t xml:space="preserve">e) Condiciones especiales de la clasificación de la información como confidencial. </w:t>
            </w:r>
          </w:p>
        </w:tc>
        <w:tc>
          <w:tcPr>
            <w:tcW w:w="6667" w:type="dxa"/>
            <w:hideMark/>
          </w:tcPr>
          <w:p w14:paraId="67EED4AF" w14:textId="77777777" w:rsidR="00E974E2" w:rsidRPr="00CA298C" w:rsidRDefault="00E974E2" w:rsidP="00DE636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 xml:space="preserve">Los artículos 148 y 120 de la Ley Estatal y de la Ley General, respectivamente, establecen </w:t>
            </w:r>
            <w:proofErr w:type="gramStart"/>
            <w:r w:rsidRPr="00CA298C">
              <w:rPr>
                <w:rFonts w:ascii="Palatino Linotype" w:hAnsi="Palatino Linotype" w:cs="Arial"/>
                <w:color w:val="000000"/>
                <w:sz w:val="20"/>
                <w:szCs w:val="24"/>
              </w:rPr>
              <w:t>que</w:t>
            </w:r>
            <w:proofErr w:type="gramEnd"/>
            <w:r w:rsidRPr="00CA298C">
              <w:rPr>
                <w:rFonts w:ascii="Palatino Linotype" w:hAnsi="Palatino Linotype" w:cs="Arial"/>
                <w:color w:val="000000"/>
                <w:sz w:val="20"/>
                <w:szCs w:val="24"/>
              </w:rPr>
              <w:t xml:space="preserve"> aun tratándose de datos personales, se podrán proporcionar, incluso sin solicitar el consentimiento de su titular. </w:t>
            </w:r>
          </w:p>
          <w:p w14:paraId="50623935" w14:textId="77777777" w:rsidR="00E974E2" w:rsidRPr="00CA298C" w:rsidRDefault="00E974E2" w:rsidP="00DE636F">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4"/>
              </w:rPr>
            </w:pPr>
            <w:r w:rsidRPr="00CA298C">
              <w:rPr>
                <w:rFonts w:ascii="Palatino Linotype" w:hAnsi="Palatino Linotype" w:cs="Arial"/>
                <w:color w:val="000000"/>
                <w:sz w:val="20"/>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33974DA" w14:textId="77777777" w:rsidR="00E974E2" w:rsidRPr="00CA298C" w:rsidRDefault="00E974E2" w:rsidP="00DE636F">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4"/>
              </w:rPr>
            </w:pPr>
            <w:r w:rsidRPr="00CA298C">
              <w:rPr>
                <w:rFonts w:ascii="Palatino Linotype" w:hAnsi="Palatino Linotype" w:cs="Arial"/>
                <w:color w:val="000000"/>
                <w:sz w:val="20"/>
                <w:szCs w:val="24"/>
              </w:rPr>
              <w:t xml:space="preserve">Pero si la información que se pretende clasificar como confidencial no se encuentra en los supuestos de los artículos señalados y es posible, se deberá consultar al titular de los datos si permite o no el acceso. De no ser posible, la realización de la </w:t>
            </w:r>
            <w:proofErr w:type="gramStart"/>
            <w:r w:rsidRPr="00CA298C">
              <w:rPr>
                <w:rFonts w:ascii="Palatino Linotype" w:hAnsi="Palatino Linotype" w:cs="Arial"/>
                <w:color w:val="000000"/>
                <w:sz w:val="20"/>
                <w:szCs w:val="24"/>
              </w:rPr>
              <w:t>consulta,</w:t>
            </w:r>
            <w:proofErr w:type="gramEnd"/>
            <w:r w:rsidRPr="00CA298C">
              <w:rPr>
                <w:rFonts w:ascii="Palatino Linotype" w:hAnsi="Palatino Linotype" w:cs="Arial"/>
                <w:color w:val="000000"/>
                <w:sz w:val="20"/>
                <w:szCs w:val="24"/>
              </w:rPr>
              <w:t xml:space="preserve"> procede, fundando y motivando, la clasificación.</w:t>
            </w:r>
          </w:p>
        </w:tc>
      </w:tr>
    </w:tbl>
    <w:p w14:paraId="319158F2" w14:textId="77777777" w:rsidR="00E974E2" w:rsidRPr="00CA298C" w:rsidRDefault="00E974E2" w:rsidP="00E974E2">
      <w:pPr>
        <w:pStyle w:val="Prrafodelista"/>
        <w:numPr>
          <w:ilvl w:val="0"/>
          <w:numId w:val="4"/>
        </w:numPr>
        <w:tabs>
          <w:tab w:val="left" w:pos="284"/>
        </w:tabs>
        <w:spacing w:line="360" w:lineRule="auto"/>
        <w:ind w:left="0" w:firstLine="0"/>
        <w:jc w:val="both"/>
        <w:rPr>
          <w:rFonts w:ascii="Palatino Linotype" w:hAnsi="Palatino Linotype" w:cs="Arial"/>
          <w:color w:val="000000"/>
        </w:rPr>
      </w:pPr>
      <w:r w:rsidRPr="00CA298C">
        <w:rPr>
          <w:rFonts w:ascii="Palatino Linotype" w:hAnsi="Palatino Linotype" w:cs="Arial"/>
        </w:rPr>
        <w:lastRenderedPageBreak/>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4CAD8FDC" w14:textId="6173D4FF" w:rsidR="00E86C75" w:rsidRPr="00CA298C" w:rsidRDefault="00E86C75" w:rsidP="00E86C75">
      <w:pPr>
        <w:keepNext/>
        <w:keepLines/>
        <w:tabs>
          <w:tab w:val="left" w:pos="284"/>
        </w:tabs>
        <w:spacing w:before="240"/>
        <w:outlineLvl w:val="0"/>
        <w:rPr>
          <w:rFonts w:ascii="Palatino Linotype" w:eastAsia="MS Gothic" w:hAnsi="Palatino Linotype" w:cstheme="majorBidi"/>
          <w:b/>
        </w:rPr>
      </w:pPr>
      <w:bookmarkStart w:id="5" w:name="_Toc487739452"/>
      <w:bookmarkStart w:id="6" w:name="_Toc524344196"/>
      <w:bookmarkStart w:id="7" w:name="_Toc526271201"/>
      <w:bookmarkStart w:id="8" w:name="_Toc536106975"/>
      <w:bookmarkStart w:id="9" w:name="_Toc68793658"/>
      <w:bookmarkStart w:id="10" w:name="_Toc87549681"/>
      <w:r w:rsidRPr="00CA298C">
        <w:rPr>
          <w:rFonts w:ascii="Palatino Linotype" w:eastAsia="MS Gothic" w:hAnsi="Palatino Linotype" w:cstheme="majorBidi"/>
          <w:b/>
        </w:rPr>
        <w:t xml:space="preserve">SEXTO. Vista a los órganos </w:t>
      </w:r>
      <w:r w:rsidR="009E18B3" w:rsidRPr="00CA298C">
        <w:rPr>
          <w:rFonts w:ascii="Palatino Linotype" w:eastAsia="MS Gothic" w:hAnsi="Palatino Linotype" w:cstheme="majorBidi"/>
          <w:b/>
        </w:rPr>
        <w:t xml:space="preserve">internos </w:t>
      </w:r>
      <w:r w:rsidRPr="00CA298C">
        <w:rPr>
          <w:rFonts w:ascii="Palatino Linotype" w:eastAsia="MS Gothic" w:hAnsi="Palatino Linotype" w:cstheme="majorBidi"/>
          <w:b/>
        </w:rPr>
        <w:t>de control</w:t>
      </w:r>
      <w:bookmarkEnd w:id="5"/>
      <w:r w:rsidRPr="00CA298C">
        <w:rPr>
          <w:rFonts w:ascii="Palatino Linotype" w:eastAsia="MS Gothic" w:hAnsi="Palatino Linotype" w:cstheme="majorBidi"/>
          <w:b/>
        </w:rPr>
        <w:t>.</w:t>
      </w:r>
      <w:bookmarkEnd w:id="6"/>
      <w:bookmarkEnd w:id="7"/>
      <w:bookmarkEnd w:id="8"/>
      <w:bookmarkEnd w:id="9"/>
      <w:bookmarkEnd w:id="10"/>
    </w:p>
    <w:p w14:paraId="4EF826A9" w14:textId="59B139A8" w:rsidR="00E86C75" w:rsidRPr="00CA298C" w:rsidRDefault="00E86C75" w:rsidP="00E86C75">
      <w:pPr>
        <w:pStyle w:val="Prrafodelista"/>
        <w:numPr>
          <w:ilvl w:val="0"/>
          <w:numId w:val="4"/>
        </w:numPr>
        <w:tabs>
          <w:tab w:val="left" w:pos="284"/>
        </w:tabs>
        <w:spacing w:before="240" w:after="240" w:line="360" w:lineRule="auto"/>
        <w:ind w:left="0" w:firstLine="0"/>
        <w:jc w:val="both"/>
        <w:rPr>
          <w:rFonts w:ascii="Palatino Linotype" w:eastAsiaTheme="minorEastAsia" w:hAnsi="Palatino Linotype" w:cs="Arial"/>
          <w:lang w:val="es-ES_tradnl"/>
        </w:rPr>
      </w:pPr>
      <w:r w:rsidRPr="00CA298C">
        <w:rPr>
          <w:rFonts w:ascii="Palatino Linotype" w:hAnsi="Palatino Linotype" w:cs="Arial"/>
          <w:color w:val="000000"/>
        </w:rPr>
        <w:t>La Ley de Transparencia y Acceso a la Información Pública del Estado de México y Municipios en los artículos 222 fracción I y II, 162 y 59 fracción I y II establecen lo siguiente:</w:t>
      </w:r>
    </w:p>
    <w:p w14:paraId="301EAEA3"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Artículo 222. Son causas de responsabilidad administrativa de los servidores públicos de los sujetos obligados, por incumplimiento de las obligaciones establecidas en la materia de la presente Ley, las siguientes:</w:t>
      </w:r>
    </w:p>
    <w:p w14:paraId="241E66A7"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 xml:space="preserve">I. Cualquier acto u omisión que provoque la suspensión o deficiencia en la atención de las solicitudes de información; </w:t>
      </w:r>
    </w:p>
    <w:p w14:paraId="3D54DA6D"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II. La falta de respuesta a las solicitudes de información en los plazos señalados en la normatividad aplicable;</w:t>
      </w:r>
    </w:p>
    <w:p w14:paraId="7B4C658E"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III. a XXI. …</w:t>
      </w:r>
    </w:p>
    <w:p w14:paraId="3CE0F03F"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p>
    <w:p w14:paraId="1C6D7DE0"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 xml:space="preserve">Artículo 162. Las unidades de transparencia deberán garantizar que las solicitudes se turnen a todas las Áreas competentes que cuenten con la información o deban tenerla </w:t>
      </w:r>
      <w:proofErr w:type="gramStart"/>
      <w:r w:rsidRPr="00CA298C">
        <w:rPr>
          <w:rFonts w:ascii="Palatino Linotype" w:hAnsi="Palatino Linotype" w:cs="Arial"/>
          <w:i/>
          <w:color w:val="000000"/>
          <w:sz w:val="22"/>
        </w:rPr>
        <w:t>de acuerdo a</w:t>
      </w:r>
      <w:proofErr w:type="gramEnd"/>
      <w:r w:rsidRPr="00CA298C">
        <w:rPr>
          <w:rFonts w:ascii="Palatino Linotype" w:hAnsi="Palatino Linotype" w:cs="Arial"/>
          <w:i/>
          <w:color w:val="000000"/>
          <w:sz w:val="22"/>
        </w:rPr>
        <w:t xml:space="preserve"> sus facultades, competencias y funciones, con el objeto de que realicen una búsqueda exhaustiva y razonable de la información solicitada.</w:t>
      </w:r>
    </w:p>
    <w:p w14:paraId="2F82BDD0"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p>
    <w:p w14:paraId="45B89A52"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Artículo 59. Los servidores públicos habilitados tendrán las funciones siguientes:</w:t>
      </w:r>
    </w:p>
    <w:p w14:paraId="560519C0"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p>
    <w:p w14:paraId="1CB9AC0D"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 xml:space="preserve">I. Localizar la información que le solicite la Unidad de Transparencia; </w:t>
      </w:r>
    </w:p>
    <w:p w14:paraId="1A0A2546"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lastRenderedPageBreak/>
        <w:t>II. Proporcionar la información que obre en los archivos y que le sea solicitada por la Unidad de Transparencia;</w:t>
      </w:r>
    </w:p>
    <w:p w14:paraId="1244AAE6"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III. a VII. …”</w:t>
      </w:r>
    </w:p>
    <w:p w14:paraId="6F5D036E"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p>
    <w:p w14:paraId="5E5996E8" w14:textId="77777777" w:rsidR="00E86C75" w:rsidRPr="00CA298C" w:rsidRDefault="00E86C75" w:rsidP="006A7815">
      <w:pPr>
        <w:spacing w:line="360" w:lineRule="auto"/>
        <w:ind w:left="567" w:right="616"/>
        <w:contextualSpacing/>
        <w:jc w:val="both"/>
        <w:rPr>
          <w:rFonts w:ascii="Palatino Linotype" w:hAnsi="Palatino Linotype" w:cs="Arial"/>
          <w:i/>
          <w:color w:val="000000"/>
          <w:sz w:val="22"/>
        </w:rPr>
      </w:pPr>
      <w:r w:rsidRPr="00CA298C">
        <w:rPr>
          <w:rFonts w:ascii="Palatino Linotype" w:hAnsi="Palatino Linotype" w:cs="Arial"/>
          <w:i/>
          <w:color w:val="000000"/>
          <w:sz w:val="22"/>
        </w:rPr>
        <w:t xml:space="preserve">Las Unidades de Transparencia cuando reciben solicitudes deben identificar la información solicitada, a efecto de realizar el turno a las áreas que </w:t>
      </w:r>
      <w:proofErr w:type="gramStart"/>
      <w:r w:rsidRPr="00CA298C">
        <w:rPr>
          <w:rFonts w:ascii="Palatino Linotype" w:hAnsi="Palatino Linotype" w:cs="Arial"/>
          <w:i/>
          <w:color w:val="000000"/>
          <w:sz w:val="22"/>
        </w:rPr>
        <w:t>de acuerdo a</w:t>
      </w:r>
      <w:proofErr w:type="gramEnd"/>
      <w:r w:rsidRPr="00CA298C">
        <w:rPr>
          <w:rFonts w:ascii="Palatino Linotype" w:hAnsi="Palatino Linotype" w:cs="Arial"/>
          <w:i/>
          <w:color w:val="000000"/>
          <w:sz w:val="22"/>
        </w:rPr>
        <w:t xml:space="preserve"> sus atribuciones, facultades y competencias deban generar, administrar y/o poseer lo requerido; para que, a su vez, realicen la búsqueda exhaustiva y razonable y entreguen los documentos necesarios para generar la respuesta y proporcionarla al recurrente.</w:t>
      </w:r>
    </w:p>
    <w:p w14:paraId="2DFF3D8A" w14:textId="77777777" w:rsidR="00E86C75" w:rsidRPr="00CA298C" w:rsidRDefault="00E86C75" w:rsidP="00E86C75">
      <w:pPr>
        <w:ind w:left="1418" w:right="51"/>
        <w:contextualSpacing/>
        <w:jc w:val="both"/>
        <w:rPr>
          <w:rFonts w:ascii="Palatino Linotype" w:hAnsi="Palatino Linotype" w:cs="Arial"/>
          <w:color w:val="000000"/>
        </w:rPr>
      </w:pPr>
    </w:p>
    <w:p w14:paraId="33E8A941" w14:textId="77777777" w:rsidR="00E86C75" w:rsidRPr="00CA298C" w:rsidRDefault="00E86C75" w:rsidP="00E86C75">
      <w:pPr>
        <w:pStyle w:val="Prrafodelista"/>
        <w:numPr>
          <w:ilvl w:val="0"/>
          <w:numId w:val="4"/>
        </w:numPr>
        <w:spacing w:line="360" w:lineRule="auto"/>
        <w:ind w:left="0" w:right="49" w:firstLine="0"/>
        <w:jc w:val="both"/>
        <w:rPr>
          <w:rFonts w:ascii="Palatino Linotype" w:hAnsi="Palatino Linotype" w:cs="Arial"/>
          <w:color w:val="000000"/>
        </w:rPr>
      </w:pPr>
      <w:r w:rsidRPr="00CA298C">
        <w:rPr>
          <w:rFonts w:ascii="Palatino Linotype" w:hAnsi="Palatino Linotype" w:cs="Arial"/>
          <w:color w:val="000000"/>
        </w:rPr>
        <w:t xml:space="preserve">La omisión a las obligaciones, tanto del Titular de la Unidad de Transparencia como de los servidores públicos habilitados puede causar la suspensión, deficiencia o </w:t>
      </w:r>
      <w:r w:rsidRPr="00CA298C">
        <w:rPr>
          <w:rFonts w:ascii="Palatino Linotype" w:hAnsi="Palatino Linotype" w:cs="Arial"/>
          <w:b/>
          <w:color w:val="000000"/>
        </w:rPr>
        <w:t>la falta de respuesta a las solicitudes de acceso a la información</w:t>
      </w:r>
      <w:r w:rsidRPr="00CA298C">
        <w:rPr>
          <w:rFonts w:ascii="Palatino Linotype" w:hAnsi="Palatino Linotype" w:cs="Arial"/>
          <w:color w:val="000000"/>
        </w:rPr>
        <w:t xml:space="preserve"> que formulen los particulares, siendo esto una causa de responsabilidad.</w:t>
      </w:r>
    </w:p>
    <w:p w14:paraId="7FB1FF72" w14:textId="77777777" w:rsidR="00E86C75" w:rsidRPr="00CA298C" w:rsidRDefault="00E86C75" w:rsidP="00E86C75">
      <w:pPr>
        <w:pStyle w:val="Prrafodelista"/>
        <w:spacing w:line="360" w:lineRule="auto"/>
        <w:ind w:left="0" w:right="49"/>
        <w:jc w:val="both"/>
        <w:rPr>
          <w:rFonts w:ascii="Palatino Linotype" w:hAnsi="Palatino Linotype" w:cs="Arial"/>
          <w:color w:val="000000"/>
        </w:rPr>
      </w:pPr>
    </w:p>
    <w:p w14:paraId="6AA1BAA3" w14:textId="77777777" w:rsidR="00E86C75" w:rsidRPr="00CA298C" w:rsidRDefault="00E86C75" w:rsidP="00E86C75">
      <w:pPr>
        <w:pStyle w:val="Prrafodelista"/>
        <w:numPr>
          <w:ilvl w:val="0"/>
          <w:numId w:val="4"/>
        </w:numPr>
        <w:spacing w:line="360" w:lineRule="auto"/>
        <w:ind w:left="0" w:right="49" w:firstLine="0"/>
        <w:jc w:val="both"/>
        <w:rPr>
          <w:rFonts w:ascii="Palatino Linotype" w:hAnsi="Palatino Linotype" w:cs="Arial"/>
          <w:color w:val="000000"/>
        </w:rPr>
      </w:pPr>
      <w:r w:rsidRPr="00CA298C">
        <w:rPr>
          <w:rFonts w:ascii="Palatino Linotype" w:hAnsi="Palatino Linotype" w:cs="Arial"/>
          <w:color w:val="000000"/>
        </w:rPr>
        <w:t>En el presente asunto en particular, se tiene que el Titular de la Unidad de Transparencia no turnó la solicitud al Servidor Público Habilitado.</w:t>
      </w:r>
    </w:p>
    <w:p w14:paraId="5981F3BA" w14:textId="77777777" w:rsidR="00E86C75" w:rsidRPr="00CA298C" w:rsidRDefault="00E86C75" w:rsidP="00E86C75">
      <w:pPr>
        <w:pStyle w:val="Prrafodelista"/>
        <w:rPr>
          <w:rFonts w:ascii="Palatino Linotype" w:hAnsi="Palatino Linotype" w:cs="Arial"/>
          <w:color w:val="000000"/>
        </w:rPr>
      </w:pPr>
    </w:p>
    <w:p w14:paraId="697011B7" w14:textId="77777777" w:rsidR="00E86C75" w:rsidRPr="00CA298C" w:rsidRDefault="00E86C75" w:rsidP="00E86C75">
      <w:pPr>
        <w:pStyle w:val="Prrafodelista"/>
        <w:numPr>
          <w:ilvl w:val="0"/>
          <w:numId w:val="4"/>
        </w:numPr>
        <w:spacing w:line="360" w:lineRule="auto"/>
        <w:ind w:left="0" w:right="49" w:firstLine="0"/>
        <w:jc w:val="both"/>
        <w:rPr>
          <w:rFonts w:ascii="Palatino Linotype" w:hAnsi="Palatino Linotype" w:cs="Arial"/>
          <w:color w:val="000000"/>
        </w:rPr>
      </w:pPr>
      <w:r w:rsidRPr="00CA298C">
        <w:rPr>
          <w:rFonts w:ascii="Palatino Linotype" w:hAnsi="Palatino Linotype" w:cs="Arial"/>
          <w:color w:val="000000"/>
        </w:rPr>
        <w:t>Se tiene que el Titular de la Unidad de Transparencia incumplió con sus funciones, atribuciones y competencias, al no dar trámite a la solicitud, lo cual tuvo como consecuencia la falta de respuesta a ambas solicitudes.</w:t>
      </w:r>
    </w:p>
    <w:p w14:paraId="0B648FF2" w14:textId="77777777" w:rsidR="00E86C75" w:rsidRPr="00CA298C" w:rsidRDefault="00E86C75" w:rsidP="00E86C75">
      <w:pPr>
        <w:pStyle w:val="Prrafodelista"/>
        <w:rPr>
          <w:rFonts w:ascii="Palatino Linotype" w:hAnsi="Palatino Linotype" w:cs="Arial"/>
          <w:color w:val="000000"/>
        </w:rPr>
      </w:pPr>
    </w:p>
    <w:p w14:paraId="2BF2F10F" w14:textId="77777777" w:rsidR="00E86C75" w:rsidRPr="00CA298C" w:rsidRDefault="00E86C75" w:rsidP="00E86C75">
      <w:pPr>
        <w:pStyle w:val="Prrafodelista"/>
        <w:numPr>
          <w:ilvl w:val="0"/>
          <w:numId w:val="4"/>
        </w:numPr>
        <w:spacing w:line="360" w:lineRule="auto"/>
        <w:ind w:left="0" w:right="49" w:firstLine="0"/>
        <w:jc w:val="both"/>
        <w:rPr>
          <w:rFonts w:ascii="Palatino Linotype" w:hAnsi="Palatino Linotype" w:cs="Arial"/>
          <w:color w:val="000000"/>
        </w:rPr>
      </w:pPr>
      <w:r w:rsidRPr="00CA298C">
        <w:rPr>
          <w:rFonts w:ascii="Palatino Linotype" w:hAnsi="Palatino Linotype" w:cs="Arial"/>
          <w:color w:val="000000"/>
        </w:rPr>
        <w:t xml:space="preserve">Entonces, la falta de respuesta a las solicitudes de acceso a la información pública por parte del Sujeto Obligado actualiza una causa de responsabilidad, por lo que, </w:t>
      </w:r>
      <w:proofErr w:type="gramStart"/>
      <w:r w:rsidRPr="00CA298C">
        <w:rPr>
          <w:rFonts w:ascii="Palatino Linotype" w:hAnsi="Palatino Linotype" w:cs="Arial"/>
          <w:color w:val="000000"/>
        </w:rPr>
        <w:t>de acuerdo a</w:t>
      </w:r>
      <w:proofErr w:type="gramEnd"/>
      <w:r w:rsidRPr="00CA298C">
        <w:rPr>
          <w:rFonts w:ascii="Palatino Linotype" w:hAnsi="Palatino Linotype" w:cs="Arial"/>
          <w:color w:val="000000"/>
        </w:rPr>
        <w:t xml:space="preserve"> los artículos 190 y 36 fracción X, de la Ley de Trasparencia y </w:t>
      </w:r>
      <w:r w:rsidRPr="00CA298C">
        <w:rPr>
          <w:rFonts w:ascii="Palatino Linotype" w:hAnsi="Palatino Linotype" w:cs="Arial"/>
          <w:color w:val="000000"/>
        </w:rPr>
        <w:lastRenderedPageBreak/>
        <w:t>Acceso a la Información Pública del Estado de México y Municipios, la Secretaría Técnica del Pleno hará del conocimiento del órgano interno de control competente, para que inicie, en su caso, el procedimiento de responsabilidad respectivo.</w:t>
      </w:r>
    </w:p>
    <w:p w14:paraId="012FB03B" w14:textId="77777777" w:rsidR="00E974E2" w:rsidRPr="00CA298C" w:rsidRDefault="00E974E2" w:rsidP="00FE3399">
      <w:pPr>
        <w:pStyle w:val="Prrafodelista"/>
        <w:rPr>
          <w:rFonts w:ascii="Palatino Linotype" w:eastAsia="Calibri" w:hAnsi="Palatino Linotype" w:cs="Arial"/>
        </w:rPr>
      </w:pPr>
    </w:p>
    <w:p w14:paraId="31F28CB4" w14:textId="4D832470" w:rsidR="002D0FD5" w:rsidRPr="00CA298C" w:rsidRDefault="002D0FD5" w:rsidP="00D517C0">
      <w:pPr>
        <w:pStyle w:val="Prrafodelista"/>
        <w:numPr>
          <w:ilvl w:val="0"/>
          <w:numId w:val="4"/>
        </w:numPr>
        <w:tabs>
          <w:tab w:val="left" w:pos="709"/>
        </w:tabs>
        <w:autoSpaceDE w:val="0"/>
        <w:autoSpaceDN w:val="0"/>
        <w:adjustRightInd w:val="0"/>
        <w:spacing w:line="360" w:lineRule="auto"/>
        <w:ind w:left="0" w:right="-28" w:firstLine="0"/>
        <w:jc w:val="both"/>
        <w:rPr>
          <w:rFonts w:ascii="Palatino Linotype" w:hAnsi="Palatino Linotype"/>
          <w:i/>
          <w:iCs/>
        </w:rPr>
      </w:pPr>
      <w:r w:rsidRPr="00CA298C">
        <w:rPr>
          <w:rFonts w:ascii="Palatino Linotype" w:hAnsi="Palatino Linotype" w:cs="Arial"/>
          <w:color w:val="222222"/>
        </w:rPr>
        <w:t xml:space="preserve">Por lo anteriormente expuesto y fundado, este </w:t>
      </w:r>
      <w:r w:rsidRPr="00CA298C">
        <w:rPr>
          <w:rFonts w:ascii="Palatino Linotype" w:hAnsi="Palatino Linotype" w:cs="Arial"/>
          <w:b/>
          <w:bCs/>
          <w:color w:val="222222"/>
        </w:rPr>
        <w:t>ÓRGANO GARANTE</w:t>
      </w:r>
      <w:r w:rsidRPr="00CA298C">
        <w:rPr>
          <w:rFonts w:ascii="Palatino Linotype" w:hAnsi="Palatino Linotype" w:cs="Arial"/>
          <w:color w:val="222222"/>
        </w:rPr>
        <w:t xml:space="preserve"> emite los siguientes:</w:t>
      </w:r>
    </w:p>
    <w:p w14:paraId="0CEA9765" w14:textId="77777777" w:rsidR="00FE456E" w:rsidRPr="00CA298C" w:rsidRDefault="00FE456E" w:rsidP="00FE456E">
      <w:pPr>
        <w:pStyle w:val="Prrafodelista"/>
        <w:tabs>
          <w:tab w:val="left" w:pos="426"/>
        </w:tabs>
        <w:autoSpaceDE w:val="0"/>
        <w:autoSpaceDN w:val="0"/>
        <w:adjustRightInd w:val="0"/>
        <w:spacing w:line="360" w:lineRule="auto"/>
        <w:ind w:left="0" w:right="-28"/>
        <w:jc w:val="both"/>
        <w:rPr>
          <w:rFonts w:ascii="Palatino Linotype" w:hAnsi="Palatino Linotype"/>
          <w:i/>
          <w:iCs/>
        </w:rPr>
      </w:pPr>
    </w:p>
    <w:p w14:paraId="6DA09CAA" w14:textId="77777777" w:rsidR="00E74B41" w:rsidRPr="00CA298C" w:rsidRDefault="00E74B41" w:rsidP="00736D6D">
      <w:pPr>
        <w:pStyle w:val="Prrafodelista"/>
        <w:spacing w:line="360" w:lineRule="auto"/>
        <w:ind w:left="0"/>
        <w:jc w:val="center"/>
        <w:rPr>
          <w:rFonts w:ascii="Palatino Linotype" w:hAnsi="Palatino Linotype" w:cs="Arial"/>
          <w:b/>
          <w:color w:val="000000" w:themeColor="text1"/>
        </w:rPr>
      </w:pPr>
      <w:r w:rsidRPr="00CA298C">
        <w:rPr>
          <w:rFonts w:ascii="Palatino Linotype" w:hAnsi="Palatino Linotype" w:cs="Arial"/>
          <w:b/>
          <w:color w:val="000000" w:themeColor="text1"/>
        </w:rPr>
        <w:t>R E S O L U T I V O S</w:t>
      </w:r>
    </w:p>
    <w:p w14:paraId="45A72164" w14:textId="77777777" w:rsidR="00E74B41" w:rsidRPr="00CA298C" w:rsidRDefault="00E74B41" w:rsidP="00E74B41">
      <w:pPr>
        <w:spacing w:line="360" w:lineRule="auto"/>
        <w:jc w:val="both"/>
        <w:rPr>
          <w:rFonts w:ascii="Palatino Linotype" w:hAnsi="Palatino Linotype" w:cs="Arial"/>
          <w:color w:val="000000" w:themeColor="text1"/>
        </w:rPr>
      </w:pPr>
    </w:p>
    <w:p w14:paraId="2CF743A2" w14:textId="312367BC" w:rsidR="0042228D" w:rsidRPr="00CA298C" w:rsidRDefault="0042228D" w:rsidP="0042228D">
      <w:pPr>
        <w:spacing w:line="360" w:lineRule="auto"/>
        <w:jc w:val="both"/>
        <w:rPr>
          <w:rFonts w:ascii="Palatino Linotype" w:hAnsi="Palatino Linotype"/>
        </w:rPr>
      </w:pPr>
      <w:r w:rsidRPr="00CA298C">
        <w:rPr>
          <w:rFonts w:ascii="Palatino Linotype" w:hAnsi="Palatino Linotype" w:cs="Arial"/>
          <w:b/>
        </w:rPr>
        <w:t xml:space="preserve">PRIMERO. </w:t>
      </w:r>
      <w:r w:rsidRPr="00CA298C">
        <w:rPr>
          <w:rFonts w:ascii="Palatino Linotype" w:hAnsi="Palatino Linotype" w:cs="Arial"/>
        </w:rPr>
        <w:t>Resultan fundadas las</w:t>
      </w:r>
      <w:r w:rsidRPr="00CA298C">
        <w:rPr>
          <w:rFonts w:ascii="Palatino Linotype" w:hAnsi="Palatino Linotype" w:cs="Arial"/>
          <w:b/>
        </w:rPr>
        <w:t xml:space="preserve"> </w:t>
      </w:r>
      <w:r w:rsidRPr="00CA298C">
        <w:rPr>
          <w:rFonts w:ascii="Palatino Linotype" w:hAnsi="Palatino Linotype" w:cs="Arial"/>
          <w:lang w:val="es-ES"/>
        </w:rPr>
        <w:t xml:space="preserve">razones o motivos de inconformidad hechos valer </w:t>
      </w:r>
      <w:r w:rsidRPr="00CA298C">
        <w:rPr>
          <w:rFonts w:ascii="Palatino Linotype" w:eastAsia="Calibri" w:hAnsi="Palatino Linotype" w:cs="Arial"/>
          <w:lang w:val="es-ES"/>
        </w:rPr>
        <w:t xml:space="preserve">en los recursos de revisión </w:t>
      </w:r>
      <w:r w:rsidRPr="00CA298C">
        <w:rPr>
          <w:rFonts w:ascii="Palatino Linotype" w:hAnsi="Palatino Linotype" w:cs="Arial"/>
          <w:b/>
        </w:rPr>
        <w:t>04823/</w:t>
      </w:r>
      <w:r w:rsidRPr="00CA298C">
        <w:rPr>
          <w:rFonts w:ascii="Palatino Linotype" w:eastAsia="Calibri" w:hAnsi="Palatino Linotype" w:cs="Tahoma"/>
          <w:b/>
          <w:lang w:eastAsia="en-US"/>
        </w:rPr>
        <w:t>INFOEM/IP/RR/2023 y 05776/INFOEM/IP/RR/</w:t>
      </w:r>
      <w:proofErr w:type="gramStart"/>
      <w:r w:rsidRPr="00CA298C">
        <w:rPr>
          <w:rFonts w:ascii="Palatino Linotype" w:eastAsia="Calibri" w:hAnsi="Palatino Linotype" w:cs="Tahoma"/>
          <w:b/>
          <w:lang w:eastAsia="en-US"/>
        </w:rPr>
        <w:t>2023</w:t>
      </w:r>
      <w:r w:rsidRPr="00CA298C">
        <w:rPr>
          <w:rFonts w:ascii="Palatino Linotype" w:eastAsia="Calibri" w:hAnsi="Palatino Linotype" w:cs="Tahoma"/>
          <w:lang w:eastAsia="en-US"/>
        </w:rPr>
        <w:t xml:space="preserve"> </w:t>
      </w:r>
      <w:r w:rsidRPr="00CA298C">
        <w:rPr>
          <w:rFonts w:ascii="Palatino Linotype" w:hAnsi="Palatino Linotype"/>
          <w:b/>
        </w:rPr>
        <w:t xml:space="preserve"> </w:t>
      </w:r>
      <w:r w:rsidRPr="00CA298C">
        <w:rPr>
          <w:rFonts w:ascii="Palatino Linotype" w:hAnsi="Palatino Linotype"/>
        </w:rPr>
        <w:t>en</w:t>
      </w:r>
      <w:proofErr w:type="gramEnd"/>
      <w:r w:rsidRPr="00CA298C">
        <w:rPr>
          <w:rFonts w:ascii="Palatino Linotype" w:hAnsi="Palatino Linotype"/>
        </w:rPr>
        <w:t xml:space="preserve"> términos de los</w:t>
      </w:r>
      <w:r w:rsidRPr="00CA298C">
        <w:rPr>
          <w:rFonts w:ascii="Palatino Linotype" w:hAnsi="Palatino Linotype"/>
          <w:b/>
          <w:bCs/>
        </w:rPr>
        <w:t xml:space="preserve"> Considerandos</w:t>
      </w:r>
      <w:r w:rsidRPr="00CA298C">
        <w:rPr>
          <w:rFonts w:ascii="Palatino Linotype" w:hAnsi="Palatino Linotype"/>
        </w:rPr>
        <w:t xml:space="preserve"> </w:t>
      </w:r>
      <w:r w:rsidRPr="00CA298C">
        <w:rPr>
          <w:rFonts w:ascii="Palatino Linotype" w:hAnsi="Palatino Linotype"/>
          <w:b/>
        </w:rPr>
        <w:t>CUARTO y QUINTO</w:t>
      </w:r>
      <w:r w:rsidRPr="00CA298C">
        <w:rPr>
          <w:rFonts w:ascii="Palatino Linotype" w:hAnsi="Palatino Linotype"/>
        </w:rPr>
        <w:t xml:space="preserve"> de la presente resolución.</w:t>
      </w:r>
    </w:p>
    <w:p w14:paraId="24EA754B" w14:textId="77777777" w:rsidR="0042228D" w:rsidRPr="00CA298C" w:rsidRDefault="0042228D" w:rsidP="0042228D">
      <w:pPr>
        <w:spacing w:line="360" w:lineRule="auto"/>
        <w:contextualSpacing/>
        <w:jc w:val="both"/>
        <w:rPr>
          <w:rFonts w:ascii="Palatino Linotype" w:eastAsia="Calibri" w:hAnsi="Palatino Linotype" w:cs="Arial"/>
          <w:b/>
          <w:bCs/>
          <w:lang w:val="es-ES"/>
        </w:rPr>
      </w:pPr>
    </w:p>
    <w:p w14:paraId="51A2971C" w14:textId="39A71D57" w:rsidR="0042228D" w:rsidRPr="00CA298C" w:rsidRDefault="0042228D" w:rsidP="0042228D">
      <w:pPr>
        <w:pStyle w:val="Sinespaciado"/>
        <w:spacing w:line="360" w:lineRule="auto"/>
        <w:jc w:val="both"/>
        <w:rPr>
          <w:rFonts w:ascii="Palatino Linotype" w:eastAsia="Calibri" w:hAnsi="Palatino Linotype" w:cs="Arial"/>
          <w:lang w:val="es-ES"/>
        </w:rPr>
      </w:pPr>
      <w:r w:rsidRPr="00CA298C">
        <w:rPr>
          <w:rFonts w:ascii="Palatino Linotype" w:eastAsia="Calibri" w:hAnsi="Palatino Linotype" w:cs="Arial"/>
          <w:b/>
          <w:bCs/>
          <w:lang w:val="es-ES"/>
        </w:rPr>
        <w:t xml:space="preserve">SEGUNDO. </w:t>
      </w:r>
      <w:proofErr w:type="gramStart"/>
      <w:r w:rsidRPr="00CA298C">
        <w:rPr>
          <w:rFonts w:ascii="Palatino Linotype" w:eastAsia="Calibri" w:hAnsi="Palatino Linotype" w:cs="Arial"/>
          <w:bCs/>
          <w:lang w:val="es-ES"/>
        </w:rPr>
        <w:t xml:space="preserve">Se  </w:t>
      </w:r>
      <w:r w:rsidRPr="00CA298C">
        <w:rPr>
          <w:rFonts w:ascii="Palatino Linotype" w:eastAsia="Calibri" w:hAnsi="Palatino Linotype" w:cs="Arial"/>
          <w:b/>
          <w:bCs/>
          <w:lang w:val="es-ES"/>
        </w:rPr>
        <w:t>ORDENA</w:t>
      </w:r>
      <w:proofErr w:type="gramEnd"/>
      <w:r w:rsidRPr="00CA298C">
        <w:rPr>
          <w:rFonts w:ascii="Palatino Linotype" w:eastAsia="Calibri" w:hAnsi="Palatino Linotype" w:cs="Arial"/>
          <w:b/>
          <w:bCs/>
          <w:lang w:val="es-ES"/>
        </w:rPr>
        <w:t xml:space="preserve"> </w:t>
      </w:r>
      <w:r w:rsidRPr="00CA298C">
        <w:rPr>
          <w:rFonts w:ascii="Palatino Linotype" w:eastAsia="Calibri" w:hAnsi="Palatino Linotype" w:cs="Arial"/>
          <w:bCs/>
          <w:lang w:val="es-ES"/>
        </w:rPr>
        <w:t xml:space="preserve">al </w:t>
      </w:r>
      <w:r w:rsidRPr="00CA298C">
        <w:rPr>
          <w:rFonts w:ascii="Palatino Linotype" w:eastAsia="Calibri" w:hAnsi="Palatino Linotype" w:cs="Arial"/>
          <w:b/>
          <w:bCs/>
          <w:lang w:val="es-ES"/>
        </w:rPr>
        <w:t xml:space="preserve">Ayuntamiento de Villa de Allende </w:t>
      </w:r>
      <w:r w:rsidRPr="00CA298C">
        <w:rPr>
          <w:rFonts w:ascii="Palatino Linotype" w:eastAsia="Calibri" w:hAnsi="Palatino Linotype" w:cs="Arial"/>
          <w:bCs/>
          <w:lang w:val="es-ES"/>
        </w:rPr>
        <w:t xml:space="preserve">entregar vía </w:t>
      </w:r>
      <w:r w:rsidRPr="00CA298C">
        <w:rPr>
          <w:rFonts w:ascii="Palatino Linotype" w:eastAsia="Calibri" w:hAnsi="Palatino Linotype" w:cs="Arial"/>
          <w:b/>
          <w:bCs/>
          <w:lang w:val="es-ES"/>
        </w:rPr>
        <w:t xml:space="preserve">Sistema de Acceso a la Información Mexiquense (SAIMEX), </w:t>
      </w:r>
      <w:r w:rsidRPr="00CA298C">
        <w:rPr>
          <w:rFonts w:ascii="Palatino Linotype" w:eastAsia="Calibri" w:hAnsi="Palatino Linotype" w:cs="Arial"/>
          <w:bCs/>
          <w:lang w:val="es-ES"/>
        </w:rPr>
        <w:t xml:space="preserve">en </w:t>
      </w:r>
      <w:r w:rsidRPr="00CA298C">
        <w:rPr>
          <w:rFonts w:ascii="Palatino Linotype" w:eastAsia="Calibri" w:hAnsi="Palatino Linotype" w:cs="Arial"/>
          <w:lang w:val="es-ES"/>
        </w:rPr>
        <w:t>versión pública,</w:t>
      </w:r>
      <w:r w:rsidR="00E86C75" w:rsidRPr="00CA298C">
        <w:rPr>
          <w:rFonts w:ascii="Palatino Linotype" w:eastAsia="Calibri" w:hAnsi="Palatino Linotype" w:cs="Arial"/>
          <w:lang w:val="es-ES"/>
        </w:rPr>
        <w:t xml:space="preserve"> los documentos donde conste</w:t>
      </w:r>
      <w:r w:rsidRPr="00CA298C">
        <w:rPr>
          <w:rFonts w:ascii="Palatino Linotype" w:eastAsia="Calibri" w:hAnsi="Palatino Linotype" w:cs="Arial"/>
          <w:lang w:val="es-ES"/>
        </w:rPr>
        <w:t xml:space="preserve"> la siguiente información:</w:t>
      </w:r>
    </w:p>
    <w:p w14:paraId="658BF758" w14:textId="77777777" w:rsidR="0042228D" w:rsidRPr="00CA298C" w:rsidRDefault="0042228D" w:rsidP="0042228D">
      <w:pPr>
        <w:pStyle w:val="Sinespaciado"/>
        <w:spacing w:line="360" w:lineRule="auto"/>
        <w:rPr>
          <w:rFonts w:ascii="Palatino Linotype" w:eastAsia="Calibri" w:hAnsi="Palatino Linotype" w:cs="Arial"/>
          <w:lang w:val="es-ES"/>
        </w:rPr>
      </w:pPr>
    </w:p>
    <w:p w14:paraId="6EAA0EB2" w14:textId="284A4AAD" w:rsidR="0042228D" w:rsidRPr="00CA298C" w:rsidRDefault="0042228D" w:rsidP="00D517C0">
      <w:pPr>
        <w:pStyle w:val="Prrafodelista"/>
        <w:numPr>
          <w:ilvl w:val="3"/>
          <w:numId w:val="4"/>
        </w:numPr>
        <w:spacing w:line="360" w:lineRule="auto"/>
        <w:ind w:left="709" w:hanging="425"/>
        <w:jc w:val="both"/>
        <w:rPr>
          <w:rFonts w:ascii="Palatino Linotype" w:hAnsi="Palatino Linotype" w:cs="Arial"/>
          <w:b/>
        </w:rPr>
      </w:pPr>
      <w:r w:rsidRPr="00CA298C">
        <w:rPr>
          <w:rFonts w:ascii="Palatino Linotype" w:hAnsi="Palatino Linotype" w:cs="Arial"/>
          <w:b/>
        </w:rPr>
        <w:t>Avisos de privacidad faltantes al diecisiete (17) de agosto de dos mil veintitrés; y</w:t>
      </w:r>
    </w:p>
    <w:p w14:paraId="459CD392" w14:textId="516C1D6D" w:rsidR="0042228D" w:rsidRPr="00CA298C" w:rsidRDefault="0042228D" w:rsidP="00D517C0">
      <w:pPr>
        <w:pStyle w:val="Prrafodelista"/>
        <w:numPr>
          <w:ilvl w:val="3"/>
          <w:numId w:val="4"/>
        </w:numPr>
        <w:spacing w:line="360" w:lineRule="auto"/>
        <w:ind w:left="709" w:hanging="425"/>
        <w:jc w:val="both"/>
        <w:rPr>
          <w:rFonts w:ascii="Palatino Linotype" w:hAnsi="Palatino Linotype" w:cs="Arial"/>
          <w:b/>
        </w:rPr>
      </w:pPr>
      <w:r w:rsidRPr="00CA298C">
        <w:rPr>
          <w:rFonts w:ascii="Palatino Linotype" w:hAnsi="Palatino Linotype" w:cs="Arial"/>
          <w:b/>
        </w:rPr>
        <w:t>Documento de seguridad al diecisiete (17) de agosto de dos mil veintitrés.</w:t>
      </w:r>
    </w:p>
    <w:p w14:paraId="2C6D5165" w14:textId="77777777" w:rsidR="0042228D" w:rsidRPr="00CA298C" w:rsidRDefault="0042228D" w:rsidP="0042228D">
      <w:pPr>
        <w:pStyle w:val="Prrafodelista"/>
        <w:spacing w:line="360" w:lineRule="auto"/>
        <w:ind w:left="709"/>
        <w:jc w:val="both"/>
        <w:rPr>
          <w:rFonts w:ascii="Palatino Linotype" w:hAnsi="Palatino Linotype" w:cs="Arial"/>
        </w:rPr>
      </w:pPr>
    </w:p>
    <w:p w14:paraId="78D862DC" w14:textId="77777777" w:rsidR="0042228D" w:rsidRPr="00CA298C" w:rsidRDefault="0042228D" w:rsidP="0042228D">
      <w:pPr>
        <w:spacing w:line="360" w:lineRule="auto"/>
        <w:jc w:val="both"/>
        <w:rPr>
          <w:rFonts w:ascii="Palatino Linotype" w:eastAsia="Calibri" w:hAnsi="Palatino Linotype" w:cs="Arial"/>
        </w:rPr>
      </w:pPr>
      <w:r w:rsidRPr="00CA298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w:t>
      </w:r>
      <w:r w:rsidRPr="00CA298C">
        <w:rPr>
          <w:rFonts w:ascii="Palatino Linotype" w:eastAsia="Calibri" w:hAnsi="Palatino Linotype" w:cs="Arial"/>
        </w:rPr>
        <w:lastRenderedPageBreak/>
        <w:t>en el que funde y motive las razones sobre los datos que se supriman o eliminen dentro del soporte documental respectivo objeto de las versiones públicas que se formulen y se ponga a disposición de la parte recurrente.</w:t>
      </w:r>
    </w:p>
    <w:p w14:paraId="2AB09D98" w14:textId="77777777" w:rsidR="00E86C75" w:rsidRPr="00CA298C" w:rsidRDefault="00E86C75" w:rsidP="0042228D">
      <w:pPr>
        <w:spacing w:line="360" w:lineRule="auto"/>
        <w:jc w:val="both"/>
        <w:rPr>
          <w:rFonts w:ascii="Palatino Linotype" w:eastAsia="Calibri" w:hAnsi="Palatino Linotype" w:cs="Arial"/>
        </w:rPr>
      </w:pPr>
    </w:p>
    <w:p w14:paraId="1DB963D0" w14:textId="2CD8762E" w:rsidR="00E86C75" w:rsidRPr="00CA298C" w:rsidRDefault="00E86C75" w:rsidP="00E86C75">
      <w:pPr>
        <w:spacing w:line="360" w:lineRule="auto"/>
        <w:jc w:val="both"/>
        <w:rPr>
          <w:rFonts w:ascii="Palatino Linotype" w:eastAsia="Calibri" w:hAnsi="Palatino Linotype" w:cs="Arial"/>
        </w:rPr>
      </w:pPr>
      <w:r w:rsidRPr="00CA298C">
        <w:rPr>
          <w:rFonts w:ascii="Palatino Linotype" w:eastAsia="Calibri" w:hAnsi="Palatino Linotype" w:cs="Arial"/>
        </w:rPr>
        <w:t>De ser el caso de que no se cuente con la información señalada en el inciso II, del documento de seguridad, el Sujeto Obligado deberá de emitir el acuerdo emitido por el Comité de Transparencia mediante el cual se declare la inexistencia de la información, en términos del artículo 19, tercer párrafo de la Ley de Transparencia y Acceso a la Información Pública del Estado de México y Municipios.</w:t>
      </w:r>
    </w:p>
    <w:p w14:paraId="12CCCE1A" w14:textId="77777777" w:rsidR="009E18B3" w:rsidRPr="00CA298C" w:rsidRDefault="009E18B3" w:rsidP="0042228D">
      <w:pPr>
        <w:spacing w:line="360" w:lineRule="auto"/>
        <w:jc w:val="both"/>
        <w:rPr>
          <w:rFonts w:ascii="Palatino Linotype" w:eastAsia="Calibri" w:hAnsi="Palatino Linotype" w:cs="Arial"/>
        </w:rPr>
      </w:pPr>
    </w:p>
    <w:p w14:paraId="0BA60077" w14:textId="77777777" w:rsidR="0042228D" w:rsidRPr="00CA298C" w:rsidRDefault="0042228D" w:rsidP="0042228D">
      <w:pPr>
        <w:tabs>
          <w:tab w:val="left" w:pos="284"/>
          <w:tab w:val="left" w:pos="8080"/>
        </w:tabs>
        <w:spacing w:line="360" w:lineRule="auto"/>
        <w:ind w:right="49"/>
        <w:contextualSpacing/>
        <w:jc w:val="both"/>
        <w:rPr>
          <w:rFonts w:ascii="Palatino Linotype" w:hAnsi="Palatino Linotype" w:cs="Arial"/>
          <w:color w:val="222222"/>
          <w:shd w:val="clear" w:color="auto" w:fill="FFFFFF"/>
        </w:rPr>
      </w:pPr>
      <w:r w:rsidRPr="00CA298C">
        <w:rPr>
          <w:rFonts w:ascii="Palatino Linotype" w:eastAsia="Palatino Linotype" w:hAnsi="Palatino Linotype" w:cs="Palatino Linotype"/>
          <w:b/>
          <w:lang w:val="es-ES_tradnl"/>
        </w:rPr>
        <w:t xml:space="preserve">TERCERO. </w:t>
      </w:r>
      <w:r w:rsidRPr="00CA298C">
        <w:rPr>
          <w:rFonts w:ascii="Palatino Linotype" w:hAnsi="Palatino Linotype" w:cs="Arial"/>
          <w:b/>
          <w:color w:val="222222"/>
          <w:shd w:val="clear" w:color="auto" w:fill="FFFFFF"/>
        </w:rPr>
        <w:t>NOTIFÍQUESE</w:t>
      </w:r>
      <w:r w:rsidRPr="00CA298C">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CA298C">
        <w:rPr>
          <w:rFonts w:ascii="Palatino Linotype" w:hAnsi="Palatino Linotype" w:cs="Arial"/>
          <w:b/>
          <w:color w:val="222222"/>
          <w:shd w:val="clear" w:color="auto" w:fill="FFFFFF"/>
        </w:rPr>
        <w:t>dé cumplimiento a lo ordenado dentro del plazo de diez días hábiles,</w:t>
      </w:r>
      <w:r w:rsidRPr="00CA298C">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6C8914" w14:textId="77777777" w:rsidR="0042228D" w:rsidRPr="00CA298C" w:rsidRDefault="0042228D" w:rsidP="0042228D">
      <w:pPr>
        <w:tabs>
          <w:tab w:val="left" w:pos="284"/>
          <w:tab w:val="left" w:pos="8080"/>
        </w:tabs>
        <w:spacing w:line="360" w:lineRule="auto"/>
        <w:ind w:right="49"/>
        <w:contextualSpacing/>
        <w:jc w:val="both"/>
        <w:rPr>
          <w:rFonts w:ascii="Palatino Linotype" w:hAnsi="Palatino Linotype" w:cs="Arial"/>
          <w:color w:val="222222"/>
          <w:shd w:val="clear" w:color="auto" w:fill="FFFFFF"/>
        </w:rPr>
      </w:pPr>
    </w:p>
    <w:p w14:paraId="30D3B8C8" w14:textId="77777777" w:rsidR="0042228D" w:rsidRPr="00CA298C" w:rsidRDefault="0042228D" w:rsidP="0042228D">
      <w:pPr>
        <w:tabs>
          <w:tab w:val="left" w:pos="284"/>
          <w:tab w:val="left" w:pos="8080"/>
        </w:tabs>
        <w:spacing w:line="360" w:lineRule="auto"/>
        <w:ind w:right="49"/>
        <w:contextualSpacing/>
        <w:jc w:val="both"/>
        <w:rPr>
          <w:rFonts w:ascii="Palatino Linotype" w:eastAsia="MS Mincho" w:hAnsi="Palatino Linotype"/>
          <w:lang w:val="es-ES_tradnl"/>
        </w:rPr>
      </w:pPr>
      <w:r w:rsidRPr="00CA298C">
        <w:rPr>
          <w:rFonts w:ascii="Palatino Linotype" w:hAnsi="Palatino Linotype" w:cs="Arial"/>
          <w:b/>
          <w:lang w:val="es-ES_tradnl"/>
        </w:rPr>
        <w:t xml:space="preserve">CUARTO. </w:t>
      </w:r>
      <w:r w:rsidRPr="00CA298C">
        <w:rPr>
          <w:rFonts w:ascii="Palatino Linotype" w:hAnsi="Palatino Linotype"/>
          <w:b/>
          <w:bCs/>
          <w:color w:val="222222"/>
          <w:lang w:val="es-ES"/>
        </w:rPr>
        <w:t xml:space="preserve">Notifíquese </w:t>
      </w:r>
      <w:r w:rsidRPr="00CA298C">
        <w:rPr>
          <w:rFonts w:ascii="Palatino Linotype" w:hAnsi="Palatino Linotype"/>
          <w:bCs/>
          <w:color w:val="222222"/>
          <w:lang w:val="es-ES"/>
        </w:rPr>
        <w:t xml:space="preserve">al </w:t>
      </w:r>
      <w:r w:rsidRPr="00CA298C">
        <w:rPr>
          <w:rFonts w:ascii="Palatino Linotype" w:hAnsi="Palatino Linotype"/>
          <w:b/>
          <w:bCs/>
          <w:color w:val="222222"/>
          <w:lang w:val="es-ES"/>
        </w:rPr>
        <w:t>RECURRENTE</w:t>
      </w:r>
      <w:r w:rsidRPr="00CA298C">
        <w:rPr>
          <w:rFonts w:ascii="Palatino Linotype" w:hAnsi="Palatino Linotype"/>
          <w:b/>
          <w:color w:val="222222"/>
          <w:lang w:val="es-ES"/>
        </w:rPr>
        <w:t xml:space="preserve"> </w:t>
      </w:r>
      <w:r w:rsidRPr="00CA298C">
        <w:rPr>
          <w:rFonts w:ascii="Palatino Linotype" w:eastAsiaTheme="minorEastAsia" w:hAnsi="Palatino Linotype"/>
          <w:lang w:val="es-ES_tradnl"/>
        </w:rPr>
        <w:t>la presente resolución</w:t>
      </w:r>
      <w:r w:rsidRPr="00CA298C">
        <w:rPr>
          <w:rFonts w:ascii="Palatino Linotype" w:eastAsia="MS Mincho" w:hAnsi="Palatino Linotype"/>
          <w:lang w:val="es-ES_tradnl"/>
        </w:rPr>
        <w:t xml:space="preserve"> a través del Sistema de Acceso a la Información Mexiquense (SAIMEX)</w:t>
      </w:r>
    </w:p>
    <w:p w14:paraId="45649584" w14:textId="77777777" w:rsidR="0042228D" w:rsidRPr="00CA298C" w:rsidRDefault="0042228D" w:rsidP="0042228D">
      <w:pPr>
        <w:pStyle w:val="Sinespaciado"/>
        <w:spacing w:line="360" w:lineRule="auto"/>
        <w:rPr>
          <w:rFonts w:ascii="Palatino Linotype" w:eastAsia="Times New Roman" w:hAnsi="Palatino Linotype" w:cs="Arial"/>
          <w:b/>
        </w:rPr>
      </w:pPr>
    </w:p>
    <w:p w14:paraId="3EC8C005" w14:textId="77777777" w:rsidR="0042228D" w:rsidRPr="00CA298C" w:rsidRDefault="0042228D" w:rsidP="0042228D">
      <w:pPr>
        <w:shd w:val="clear" w:color="auto" w:fill="FFFFFF"/>
        <w:tabs>
          <w:tab w:val="left" w:pos="284"/>
        </w:tabs>
        <w:spacing w:line="360" w:lineRule="auto"/>
        <w:jc w:val="both"/>
        <w:rPr>
          <w:rFonts w:ascii="Palatino Linotype" w:eastAsia="MS Mincho" w:hAnsi="Palatino Linotype"/>
          <w:lang w:val="es-ES"/>
        </w:rPr>
      </w:pPr>
      <w:r w:rsidRPr="00CA298C">
        <w:rPr>
          <w:rFonts w:ascii="Palatino Linotype" w:eastAsia="MS Mincho" w:hAnsi="Palatino Linotype"/>
          <w:b/>
        </w:rPr>
        <w:lastRenderedPageBreak/>
        <w:t>QUINTO.</w:t>
      </w:r>
      <w:r w:rsidRPr="00CA298C">
        <w:rPr>
          <w:rFonts w:ascii="Palatino Linotype" w:eastAsia="MS Mincho" w:hAnsi="Palatino Linotype"/>
        </w:rPr>
        <w:t xml:space="preserve"> </w:t>
      </w:r>
      <w:r w:rsidRPr="00CA298C">
        <w:rPr>
          <w:rFonts w:ascii="Palatino Linotype" w:eastAsia="MS Mincho" w:hAnsi="Palatino Linotype"/>
          <w:lang w:val="es-ES"/>
        </w:rPr>
        <w:t>Se hace del conocimiento del</w:t>
      </w:r>
      <w:r w:rsidRPr="00CA298C">
        <w:rPr>
          <w:rFonts w:ascii="Palatino Linotype" w:eastAsiaTheme="minorEastAsia" w:hAnsi="Palatino Linotype"/>
          <w:b/>
          <w:lang w:val="es-ES_tradnl"/>
        </w:rPr>
        <w:t xml:space="preserve"> RECURRENTE </w:t>
      </w:r>
      <w:r w:rsidRPr="00CA298C">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A298C">
        <w:rPr>
          <w:rFonts w:ascii="Palatino Linotype" w:eastAsia="MS Mincho" w:hAnsi="Palatino Linotype"/>
          <w:bCs/>
          <w:lang w:val="es-ES"/>
        </w:rPr>
        <w:t>vía juicio de amparo</w:t>
      </w:r>
      <w:r w:rsidRPr="00CA298C">
        <w:rPr>
          <w:rFonts w:ascii="Palatino Linotype" w:eastAsia="MS Mincho" w:hAnsi="Palatino Linotype"/>
          <w:lang w:val="es-ES"/>
        </w:rPr>
        <w:t> en los términos de las leyes aplicables.</w:t>
      </w:r>
    </w:p>
    <w:p w14:paraId="367B5C34" w14:textId="77777777" w:rsidR="0042228D" w:rsidRPr="00CA298C" w:rsidRDefault="0042228D" w:rsidP="0042228D">
      <w:pPr>
        <w:shd w:val="clear" w:color="auto" w:fill="FFFFFF"/>
        <w:tabs>
          <w:tab w:val="left" w:pos="284"/>
        </w:tabs>
        <w:spacing w:line="360" w:lineRule="auto"/>
        <w:jc w:val="both"/>
        <w:rPr>
          <w:rFonts w:ascii="Palatino Linotype" w:eastAsia="MS Mincho" w:hAnsi="Palatino Linotype"/>
          <w:lang w:val="es-ES"/>
        </w:rPr>
      </w:pPr>
    </w:p>
    <w:p w14:paraId="358D0F4F" w14:textId="77777777" w:rsidR="0042228D" w:rsidRPr="00CA298C" w:rsidRDefault="0042228D" w:rsidP="0042228D">
      <w:pPr>
        <w:shd w:val="clear" w:color="auto" w:fill="FFFFFF"/>
        <w:tabs>
          <w:tab w:val="left" w:pos="284"/>
        </w:tabs>
        <w:spacing w:line="360" w:lineRule="auto"/>
        <w:jc w:val="both"/>
        <w:rPr>
          <w:rFonts w:ascii="Palatino Linotype" w:eastAsia="MS Mincho" w:hAnsi="Palatino Linotype"/>
        </w:rPr>
      </w:pPr>
      <w:r w:rsidRPr="00CA298C">
        <w:rPr>
          <w:rFonts w:ascii="Palatino Linotype" w:eastAsia="MS Mincho" w:hAnsi="Palatino Linotype"/>
          <w:b/>
          <w:bCs/>
        </w:rPr>
        <w:t>SEXTO.</w:t>
      </w:r>
      <w:r w:rsidRPr="00CA298C">
        <w:rPr>
          <w:rFonts w:ascii="Palatino Linotype" w:eastAsia="MS Mincho" w:hAnsi="Palatino Linotype"/>
          <w:bCs/>
        </w:rPr>
        <w:t xml:space="preserve"> Hágase del conocimiento</w:t>
      </w:r>
      <w:r w:rsidRPr="00CA298C">
        <w:rPr>
          <w:rFonts w:ascii="Palatino Linotype" w:eastAsia="MS Mincho" w:hAnsi="Palatino Linotype"/>
          <w:b/>
          <w:bCs/>
        </w:rPr>
        <w:t> </w:t>
      </w:r>
      <w:r w:rsidRPr="00CA298C">
        <w:rPr>
          <w:rFonts w:ascii="Palatino Linotype" w:eastAsia="MS Mincho" w:hAnsi="Palatino Linotype"/>
        </w:rPr>
        <w:t>del </w:t>
      </w:r>
      <w:r w:rsidRPr="00CA298C">
        <w:rPr>
          <w:rFonts w:ascii="Palatino Linotype" w:hAnsi="Palatino Linotype"/>
          <w:b/>
          <w:color w:val="222222"/>
          <w:lang w:val="es-ES"/>
        </w:rPr>
        <w:t>RECURRENTE</w:t>
      </w:r>
      <w:r w:rsidRPr="00CA298C">
        <w:rPr>
          <w:rFonts w:ascii="Palatino Linotype" w:eastAsia="MS Mincho" w:hAnsi="Palatino Linotype"/>
          <w:b/>
          <w:bCs/>
        </w:rPr>
        <w:t> </w:t>
      </w:r>
      <w:r w:rsidRPr="00CA298C">
        <w:rPr>
          <w:rFonts w:ascii="Palatino Linotype" w:eastAsia="MS Mincho" w:hAnsi="Palatino Linotype"/>
        </w:rPr>
        <w:t>que la respuesta que dé </w:t>
      </w:r>
      <w:r w:rsidRPr="00CA298C">
        <w:rPr>
          <w:rFonts w:ascii="Palatino Linotype" w:eastAsia="MS Mincho" w:hAnsi="Palatino Linotype"/>
          <w:b/>
          <w:bCs/>
        </w:rPr>
        <w:t>EL SUJETO OBLIGADO</w:t>
      </w:r>
      <w:r w:rsidRPr="00CA298C">
        <w:rPr>
          <w:rFonts w:ascii="Palatino Linotype" w:eastAsia="MS Mincho" w:hAnsi="Palatino Linotype"/>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F910A0F" w14:textId="77777777" w:rsidR="0042228D" w:rsidRPr="00CA298C" w:rsidRDefault="0042228D" w:rsidP="0042228D">
      <w:pPr>
        <w:shd w:val="clear" w:color="auto" w:fill="FFFFFF"/>
        <w:tabs>
          <w:tab w:val="left" w:pos="284"/>
        </w:tabs>
        <w:spacing w:line="360" w:lineRule="auto"/>
        <w:jc w:val="both"/>
        <w:rPr>
          <w:rFonts w:ascii="Palatino Linotype" w:eastAsia="MS Mincho" w:hAnsi="Palatino Linotype"/>
        </w:rPr>
      </w:pPr>
    </w:p>
    <w:p w14:paraId="71E22FE9" w14:textId="1144D807" w:rsidR="00E86C75" w:rsidRPr="00CA298C" w:rsidRDefault="0042228D" w:rsidP="0042228D">
      <w:pPr>
        <w:shd w:val="clear" w:color="auto" w:fill="FFFFFF"/>
        <w:tabs>
          <w:tab w:val="left" w:pos="284"/>
        </w:tabs>
        <w:spacing w:line="360" w:lineRule="auto"/>
        <w:jc w:val="both"/>
        <w:rPr>
          <w:rFonts w:ascii="Palatino Linotype" w:eastAsia="MS Mincho" w:hAnsi="Palatino Linotype"/>
        </w:rPr>
      </w:pPr>
      <w:r w:rsidRPr="00CA298C">
        <w:rPr>
          <w:rFonts w:ascii="Palatino Linotype" w:eastAsia="MS Mincho" w:hAnsi="Palatino Linotype"/>
          <w:b/>
        </w:rPr>
        <w:t>SÉPTIMO</w:t>
      </w:r>
      <w:r w:rsidRPr="00CA298C">
        <w:rPr>
          <w:rFonts w:ascii="Palatino Linotype" w:eastAsia="MS Mincho" w:hAnsi="Palatino Linotype"/>
        </w:rPr>
        <w:t xml:space="preserve">. </w:t>
      </w:r>
      <w:r w:rsidR="00E86C75" w:rsidRPr="00CA298C">
        <w:rPr>
          <w:rFonts w:ascii="Palatino Linotype" w:eastAsia="MS Mincho" w:hAnsi="Palatino Linotype"/>
          <w:lang w:val="es-ES"/>
        </w:rPr>
        <w:t>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SEXTO de la presente Resolución.</w:t>
      </w:r>
    </w:p>
    <w:p w14:paraId="2B2551E3" w14:textId="77777777" w:rsidR="007F4B1B" w:rsidRPr="007F4B1B" w:rsidRDefault="007F4B1B" w:rsidP="007F4B1B">
      <w:pPr>
        <w:spacing w:before="240" w:after="240" w:line="360" w:lineRule="auto"/>
        <w:ind w:firstLine="1"/>
        <w:jc w:val="both"/>
        <w:rPr>
          <w:rStyle w:val="Referenciasutil"/>
          <w:rFonts w:ascii="Palatino Linotype" w:hAnsi="Palatino Linotype"/>
          <w:color w:val="auto"/>
        </w:rPr>
      </w:pPr>
      <w:bookmarkStart w:id="11" w:name="_Hlk129792997"/>
      <w:r w:rsidRPr="00CA298C">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w:t>
      </w:r>
      <w:r w:rsidRPr="00CA298C">
        <w:rPr>
          <w:rStyle w:val="Referenciasutil"/>
          <w:rFonts w:ascii="Palatino Linotype" w:hAnsi="Palatino Linotype"/>
          <w:color w:val="auto"/>
        </w:rPr>
        <w:lastRenderedPageBreak/>
        <w:t>SESIÓN ORDINARIA CELEBRADA EL VEINTIOCHO (28) DE FEBRERO DE DOS MIL VEINTICUATRO, ANTE EL SECRETARIO TÉCNICO DEL PLENO ALEXIS TAPIA RAMÍREZ.</w:t>
      </w:r>
      <w:r w:rsidRPr="007F4B1B">
        <w:rPr>
          <w:rStyle w:val="Referenciasutil"/>
          <w:rFonts w:ascii="Palatino Linotype" w:hAnsi="Palatino Linotype"/>
          <w:color w:val="auto"/>
        </w:rPr>
        <w:t xml:space="preserve"> </w:t>
      </w:r>
      <w:bookmarkEnd w:id="11"/>
    </w:p>
    <w:p w14:paraId="48F3971B" w14:textId="77777777" w:rsidR="00D517C0" w:rsidRPr="00A46B50" w:rsidRDefault="00D517C0" w:rsidP="00736D6D">
      <w:pPr>
        <w:spacing w:before="240" w:after="240" w:line="360" w:lineRule="auto"/>
        <w:jc w:val="both"/>
        <w:rPr>
          <w:rFonts w:ascii="Palatino Linotype" w:hAnsi="Palatino Linotype"/>
        </w:rPr>
      </w:pPr>
    </w:p>
    <w:p w14:paraId="43F8C093" w14:textId="77777777" w:rsidR="00D517C0" w:rsidRPr="00A46B50" w:rsidRDefault="00D517C0" w:rsidP="00736D6D">
      <w:pPr>
        <w:spacing w:before="240" w:after="240" w:line="360" w:lineRule="auto"/>
        <w:jc w:val="both"/>
        <w:rPr>
          <w:rFonts w:ascii="Palatino Linotype" w:hAnsi="Palatino Linotype"/>
        </w:rPr>
      </w:pPr>
    </w:p>
    <w:p w14:paraId="3900921B" w14:textId="77777777" w:rsidR="00D517C0" w:rsidRPr="00A46B50" w:rsidRDefault="00D517C0" w:rsidP="00736D6D">
      <w:pPr>
        <w:spacing w:before="240" w:after="240" w:line="360" w:lineRule="auto"/>
        <w:jc w:val="both"/>
        <w:rPr>
          <w:rFonts w:ascii="Palatino Linotype" w:hAnsi="Palatino Linotype"/>
        </w:rPr>
      </w:pPr>
    </w:p>
    <w:p w14:paraId="65F1F351" w14:textId="77777777" w:rsidR="00D517C0" w:rsidRPr="00A46B50" w:rsidRDefault="00D517C0" w:rsidP="00736D6D">
      <w:pPr>
        <w:spacing w:before="240" w:after="240" w:line="360" w:lineRule="auto"/>
        <w:jc w:val="both"/>
        <w:rPr>
          <w:rFonts w:ascii="Palatino Linotype" w:hAnsi="Palatino Linotype"/>
        </w:rPr>
      </w:pPr>
    </w:p>
    <w:p w14:paraId="0E105EA5" w14:textId="77777777" w:rsidR="00D517C0" w:rsidRPr="00A46B50" w:rsidRDefault="00D517C0" w:rsidP="00736D6D">
      <w:pPr>
        <w:spacing w:before="240" w:after="240" w:line="360" w:lineRule="auto"/>
        <w:jc w:val="both"/>
        <w:rPr>
          <w:rFonts w:ascii="Palatino Linotype" w:hAnsi="Palatino Linotype"/>
        </w:rPr>
      </w:pPr>
    </w:p>
    <w:p w14:paraId="250B88DB" w14:textId="77777777" w:rsidR="00D517C0" w:rsidRPr="00A46B50" w:rsidRDefault="00D517C0" w:rsidP="00736D6D">
      <w:pPr>
        <w:spacing w:before="240" w:after="240" w:line="360" w:lineRule="auto"/>
        <w:jc w:val="both"/>
        <w:rPr>
          <w:rFonts w:ascii="Palatino Linotype" w:hAnsi="Palatino Linotype"/>
        </w:rPr>
      </w:pPr>
    </w:p>
    <w:p w14:paraId="468DF3C7" w14:textId="77777777" w:rsidR="00D517C0" w:rsidRPr="00A46B50" w:rsidRDefault="00D517C0" w:rsidP="00736D6D">
      <w:pPr>
        <w:spacing w:before="240" w:after="240" w:line="360" w:lineRule="auto"/>
        <w:jc w:val="both"/>
        <w:rPr>
          <w:rFonts w:ascii="Palatino Linotype" w:hAnsi="Palatino Linotype"/>
        </w:rPr>
      </w:pPr>
    </w:p>
    <w:p w14:paraId="4ECDF84D" w14:textId="77777777" w:rsidR="00D517C0" w:rsidRPr="00A46B50" w:rsidRDefault="00D517C0" w:rsidP="00736D6D">
      <w:pPr>
        <w:spacing w:before="240" w:after="240" w:line="360" w:lineRule="auto"/>
        <w:jc w:val="both"/>
        <w:rPr>
          <w:rFonts w:ascii="Palatino Linotype" w:hAnsi="Palatino Linotype"/>
        </w:rPr>
      </w:pPr>
    </w:p>
    <w:p w14:paraId="4EBB8819" w14:textId="77777777" w:rsidR="00D517C0" w:rsidRPr="00A46B50" w:rsidRDefault="00D517C0" w:rsidP="00736D6D">
      <w:pPr>
        <w:spacing w:before="240" w:after="240" w:line="360" w:lineRule="auto"/>
        <w:jc w:val="both"/>
        <w:rPr>
          <w:rFonts w:ascii="Palatino Linotype" w:hAnsi="Palatino Linotype"/>
        </w:rPr>
      </w:pPr>
    </w:p>
    <w:p w14:paraId="0B611707" w14:textId="77777777" w:rsidR="00D517C0" w:rsidRPr="00A46B50" w:rsidRDefault="00D517C0" w:rsidP="00736D6D">
      <w:pPr>
        <w:spacing w:before="240" w:after="240" w:line="360" w:lineRule="auto"/>
        <w:jc w:val="both"/>
        <w:rPr>
          <w:rFonts w:ascii="Palatino Linotype" w:hAnsi="Palatino Linotype"/>
        </w:rPr>
      </w:pPr>
    </w:p>
    <w:p w14:paraId="26BD2942" w14:textId="77777777" w:rsidR="00D517C0" w:rsidRPr="00A46B50" w:rsidRDefault="00D517C0" w:rsidP="00736D6D">
      <w:pPr>
        <w:spacing w:before="240" w:after="240" w:line="360" w:lineRule="auto"/>
        <w:jc w:val="both"/>
        <w:rPr>
          <w:rFonts w:ascii="Palatino Linotype" w:hAnsi="Palatino Linotype"/>
        </w:rPr>
      </w:pPr>
    </w:p>
    <w:p w14:paraId="41E487EB" w14:textId="77777777" w:rsidR="00D517C0" w:rsidRPr="00A46B50" w:rsidRDefault="00D517C0" w:rsidP="00736D6D">
      <w:pPr>
        <w:spacing w:before="240" w:after="240" w:line="360" w:lineRule="auto"/>
        <w:jc w:val="both"/>
        <w:rPr>
          <w:rFonts w:ascii="Palatino Linotype" w:hAnsi="Palatino Linotype"/>
        </w:rPr>
      </w:pPr>
    </w:p>
    <w:p w14:paraId="773F0C06" w14:textId="77777777" w:rsidR="00D517C0" w:rsidRPr="00A46B50" w:rsidRDefault="00D517C0" w:rsidP="00736D6D">
      <w:pPr>
        <w:spacing w:before="240" w:after="240" w:line="360" w:lineRule="auto"/>
        <w:jc w:val="both"/>
        <w:rPr>
          <w:rFonts w:ascii="Palatino Linotype" w:hAnsi="Palatino Linotype"/>
        </w:rPr>
      </w:pPr>
    </w:p>
    <w:p w14:paraId="48BD3139" w14:textId="77777777" w:rsidR="00D517C0" w:rsidRPr="00A46B50" w:rsidRDefault="00D517C0" w:rsidP="00736D6D">
      <w:pPr>
        <w:spacing w:before="240" w:after="240" w:line="360" w:lineRule="auto"/>
        <w:jc w:val="both"/>
        <w:rPr>
          <w:rFonts w:ascii="Palatino Linotype" w:hAnsi="Palatino Linotype"/>
        </w:rPr>
      </w:pPr>
    </w:p>
    <w:p w14:paraId="4654240F" w14:textId="77777777" w:rsidR="00E74B41" w:rsidRPr="00A46B50" w:rsidRDefault="00E74B41" w:rsidP="00E74B41">
      <w:pPr>
        <w:spacing w:line="360" w:lineRule="auto"/>
        <w:jc w:val="both"/>
        <w:rPr>
          <w:rFonts w:ascii="Palatino Linotype" w:hAnsi="Palatino Linotype" w:cs="Arial"/>
          <w:color w:val="000000" w:themeColor="text1"/>
        </w:rPr>
      </w:pPr>
    </w:p>
    <w:p w14:paraId="24F84066" w14:textId="77777777" w:rsidR="00E74B41" w:rsidRPr="00A46B50" w:rsidRDefault="00E74B41" w:rsidP="00E74B41">
      <w:pPr>
        <w:spacing w:line="360" w:lineRule="auto"/>
        <w:jc w:val="both"/>
        <w:rPr>
          <w:rFonts w:ascii="Palatino Linotype" w:hAnsi="Palatino Linotype" w:cs="Arial"/>
          <w:color w:val="000000" w:themeColor="text1"/>
        </w:rPr>
      </w:pPr>
    </w:p>
    <w:p w14:paraId="62CB4093" w14:textId="77777777" w:rsidR="00E74B41" w:rsidRPr="00A46B50" w:rsidRDefault="00E74B41" w:rsidP="00E74B41">
      <w:pPr>
        <w:spacing w:line="360" w:lineRule="auto"/>
        <w:jc w:val="both"/>
        <w:rPr>
          <w:rFonts w:ascii="Palatino Linotype" w:hAnsi="Palatino Linotype" w:cs="Arial"/>
          <w:color w:val="000000" w:themeColor="text1"/>
        </w:rPr>
      </w:pPr>
    </w:p>
    <w:p w14:paraId="2A793819" w14:textId="77777777" w:rsidR="00E74B41" w:rsidRPr="00A46B50" w:rsidRDefault="00E74B41" w:rsidP="00E74B41">
      <w:pPr>
        <w:spacing w:line="360" w:lineRule="auto"/>
        <w:jc w:val="both"/>
        <w:rPr>
          <w:rFonts w:ascii="Palatino Linotype" w:hAnsi="Palatino Linotype" w:cs="Arial"/>
          <w:color w:val="000000" w:themeColor="text1"/>
        </w:rPr>
      </w:pPr>
    </w:p>
    <w:p w14:paraId="0769D1C1" w14:textId="77777777" w:rsidR="00E74B41" w:rsidRPr="00A46B50" w:rsidRDefault="00E74B41" w:rsidP="00E74B41">
      <w:pPr>
        <w:spacing w:line="360" w:lineRule="auto"/>
        <w:jc w:val="both"/>
        <w:rPr>
          <w:rFonts w:ascii="Palatino Linotype" w:hAnsi="Palatino Linotype" w:cs="Arial"/>
          <w:color w:val="000000" w:themeColor="text1"/>
        </w:rPr>
      </w:pPr>
    </w:p>
    <w:p w14:paraId="01A09536" w14:textId="77777777" w:rsidR="00E74B41" w:rsidRPr="00A46B50" w:rsidRDefault="00E74B41" w:rsidP="00E74B41">
      <w:pPr>
        <w:spacing w:line="360" w:lineRule="auto"/>
        <w:jc w:val="both"/>
        <w:rPr>
          <w:rFonts w:ascii="Palatino Linotype" w:hAnsi="Palatino Linotype" w:cs="Arial"/>
          <w:color w:val="000000" w:themeColor="text1"/>
        </w:rPr>
      </w:pPr>
    </w:p>
    <w:p w14:paraId="0888DFA9" w14:textId="77777777" w:rsidR="00E74B41" w:rsidRPr="00A46B50" w:rsidRDefault="00E74B41" w:rsidP="00E74B41">
      <w:pPr>
        <w:spacing w:line="360" w:lineRule="auto"/>
        <w:jc w:val="both"/>
        <w:rPr>
          <w:rFonts w:ascii="Palatino Linotype" w:hAnsi="Palatino Linotype" w:cs="Arial"/>
          <w:color w:val="000000" w:themeColor="text1"/>
        </w:rPr>
      </w:pPr>
    </w:p>
    <w:p w14:paraId="05F8FBDD" w14:textId="77777777" w:rsidR="00E74B41" w:rsidRPr="00A46B50" w:rsidRDefault="00E74B41" w:rsidP="00E74B41">
      <w:pPr>
        <w:spacing w:line="360" w:lineRule="auto"/>
        <w:jc w:val="both"/>
        <w:rPr>
          <w:rFonts w:ascii="Palatino Linotype" w:hAnsi="Palatino Linotype" w:cs="Arial"/>
          <w:color w:val="000000" w:themeColor="text1"/>
        </w:rPr>
      </w:pPr>
    </w:p>
    <w:p w14:paraId="3BE3055F" w14:textId="77777777" w:rsidR="00E74B41" w:rsidRPr="00A46B50" w:rsidRDefault="00E74B41" w:rsidP="00E74B41">
      <w:pPr>
        <w:spacing w:line="360" w:lineRule="auto"/>
        <w:jc w:val="both"/>
        <w:rPr>
          <w:rFonts w:ascii="Palatino Linotype" w:hAnsi="Palatino Linotype" w:cs="Arial"/>
          <w:color w:val="000000" w:themeColor="text1"/>
        </w:rPr>
      </w:pPr>
    </w:p>
    <w:p w14:paraId="7EFA4F21" w14:textId="31E3F54F" w:rsidR="00895335" w:rsidRPr="00A46B50" w:rsidRDefault="00895335" w:rsidP="00E74B41">
      <w:pPr>
        <w:spacing w:line="360" w:lineRule="auto"/>
        <w:jc w:val="both"/>
        <w:rPr>
          <w:rFonts w:ascii="Palatino Linotype" w:hAnsi="Palatino Linotype" w:cs="Arial"/>
          <w:color w:val="000000" w:themeColor="text1"/>
        </w:rPr>
      </w:pPr>
    </w:p>
    <w:p w14:paraId="733E3545" w14:textId="77777777" w:rsidR="00A46B50" w:rsidRPr="00A46B50" w:rsidRDefault="00A46B50">
      <w:pPr>
        <w:spacing w:line="360" w:lineRule="auto"/>
        <w:jc w:val="both"/>
        <w:rPr>
          <w:rFonts w:ascii="Palatino Linotype" w:hAnsi="Palatino Linotype" w:cs="Arial"/>
          <w:color w:val="000000" w:themeColor="text1"/>
        </w:rPr>
      </w:pPr>
    </w:p>
    <w:sectPr w:rsidR="00A46B50" w:rsidRPr="00A46B50" w:rsidSect="003477BE">
      <w:headerReference w:type="default" r:id="rId18"/>
      <w:footerReference w:type="default" r:id="rId19"/>
      <w:headerReference w:type="first" r:id="rId20"/>
      <w:footerReference w:type="first" r:id="rId21"/>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AC12E" w14:textId="77777777" w:rsidR="003477BE" w:rsidRDefault="003477BE" w:rsidP="00587366">
      <w:r>
        <w:separator/>
      </w:r>
    </w:p>
  </w:endnote>
  <w:endnote w:type="continuationSeparator" w:id="0">
    <w:p w14:paraId="53D5683C" w14:textId="77777777" w:rsidR="003477BE" w:rsidRDefault="003477B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A46B50" w:rsidRPr="00883450" w:rsidRDefault="00A46B5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E3AA0">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E3AA0">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14:paraId="6243EC1B" w14:textId="47B193F0" w:rsidR="00A46B50" w:rsidRDefault="00A46B50">
    <w:pPr>
      <w:pStyle w:val="Piedepgina"/>
    </w:pPr>
  </w:p>
  <w:p w14:paraId="748CF3BF" w14:textId="77777777" w:rsidR="00A46B50" w:rsidRDefault="00A46B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042EAC2B" w:rsidR="00A46B50" w:rsidRPr="00883450" w:rsidRDefault="00A46B5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E3AA0" w:rsidRPr="008E3AA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E3AA0" w:rsidRPr="008E3AA0">
      <w:rPr>
        <w:rFonts w:ascii="Palatino Linotype" w:hAnsi="Palatino Linotype"/>
        <w:noProof/>
        <w:sz w:val="22"/>
        <w:szCs w:val="22"/>
        <w:lang w:val="es-ES"/>
      </w:rPr>
      <w:t>69</w:t>
    </w:r>
    <w:r w:rsidRPr="00883450">
      <w:rPr>
        <w:rFonts w:ascii="Palatino Linotype" w:hAnsi="Palatino Linotype"/>
        <w:sz w:val="22"/>
        <w:szCs w:val="22"/>
      </w:rPr>
      <w:fldChar w:fldCharType="end"/>
    </w:r>
  </w:p>
  <w:p w14:paraId="5F5C4865" w14:textId="0A9A2B26" w:rsidR="00A46B50" w:rsidRPr="00883450" w:rsidRDefault="00A46B50">
    <w:pPr>
      <w:pStyle w:val="Piedepgina"/>
      <w:rPr>
        <w:rFonts w:ascii="Palatino Linotype" w:hAnsi="Palatino Linotype"/>
        <w:sz w:val="22"/>
        <w:szCs w:val="22"/>
      </w:rPr>
    </w:pPr>
  </w:p>
  <w:p w14:paraId="3196E709" w14:textId="77777777" w:rsidR="00A46B50" w:rsidRDefault="00A46B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D75D8" w14:textId="77777777" w:rsidR="003477BE" w:rsidRDefault="003477BE" w:rsidP="00587366">
      <w:r>
        <w:separator/>
      </w:r>
    </w:p>
  </w:footnote>
  <w:footnote w:type="continuationSeparator" w:id="0">
    <w:p w14:paraId="27C91858" w14:textId="77777777" w:rsidR="003477BE" w:rsidRDefault="003477BE" w:rsidP="00587366">
      <w:r>
        <w:continuationSeparator/>
      </w:r>
    </w:p>
  </w:footnote>
  <w:footnote w:id="1">
    <w:p w14:paraId="0978EFD6" w14:textId="77777777" w:rsidR="00A46B50" w:rsidRDefault="00A46B50" w:rsidP="00FE456E">
      <w:pPr>
        <w:pStyle w:val="Textonotapie"/>
        <w:jc w:val="both"/>
        <w:rPr>
          <w:lang w:val="es-ES"/>
        </w:rPr>
      </w:pPr>
      <w:r>
        <w:rPr>
          <w:rStyle w:val="Refdenotaalpie"/>
        </w:rPr>
        <w:footnoteRef/>
      </w:r>
      <w:r>
        <w:t xml:space="preserve"> </w:t>
      </w:r>
      <w:r>
        <w:rPr>
          <w:lang w:val="es-ES"/>
        </w:rPr>
        <w:t xml:space="preserve">Artículo 47 y 56 de los Lineamientos Generales de Protección de Datos Personales para el Sector Público.  </w:t>
      </w:r>
      <w:hyperlink r:id="rId1" w:history="1">
        <w:r w:rsidRPr="00AC21B9">
          <w:rPr>
            <w:rStyle w:val="Hipervnculo"/>
            <w:lang w:val="es-ES"/>
          </w:rPr>
          <w:t>https://colaboracion.uv.mx/rept/files/2018/08/066/LinamientosGeneralesDatosPersonales.pdf</w:t>
        </w:r>
      </w:hyperlink>
    </w:p>
    <w:p w14:paraId="7F959EE2" w14:textId="77777777" w:rsidR="00A46B50" w:rsidRDefault="00A46B50" w:rsidP="00FE456E">
      <w:pPr>
        <w:pStyle w:val="Textonotapie"/>
        <w:jc w:val="both"/>
        <w:rPr>
          <w:lang w:val="es-ES"/>
        </w:rPr>
      </w:pPr>
    </w:p>
    <w:p w14:paraId="29FD4282" w14:textId="77777777" w:rsidR="00A46B50" w:rsidRDefault="00A46B50" w:rsidP="00FE456E">
      <w:pPr>
        <w:pStyle w:val="Textonotapie"/>
        <w:jc w:val="both"/>
        <w:rPr>
          <w:lang w:val="es-ES"/>
        </w:rPr>
      </w:pPr>
    </w:p>
    <w:p w14:paraId="73ED392F" w14:textId="77777777" w:rsidR="00A46B50" w:rsidRPr="000A570C" w:rsidRDefault="00A46B50" w:rsidP="00FE456E">
      <w:pPr>
        <w:pStyle w:val="Textonotapie"/>
        <w:jc w:val="both"/>
        <w:rPr>
          <w:lang w:val="es-ES"/>
        </w:rPr>
      </w:pPr>
    </w:p>
  </w:footnote>
  <w:footnote w:id="2">
    <w:p w14:paraId="6EB7B69C" w14:textId="77777777" w:rsidR="00A46B50" w:rsidRPr="00B378BC" w:rsidRDefault="00A46B50" w:rsidP="00FE456E">
      <w:pPr>
        <w:pStyle w:val="Textonotapie"/>
        <w:rPr>
          <w:lang w:val="es-ES"/>
        </w:rPr>
      </w:pPr>
      <w:r>
        <w:rPr>
          <w:rStyle w:val="Refdenotaalpie"/>
        </w:rPr>
        <w:footnoteRef/>
      </w:r>
      <w:r>
        <w:t xml:space="preserve"> </w:t>
      </w:r>
      <w:r w:rsidRPr="00B378BC">
        <w:rPr>
          <w:lang w:val="es-ES"/>
        </w:rPr>
        <w:t xml:space="preserve">Artículos 58 y 59 de los </w:t>
      </w:r>
      <w:r w:rsidRPr="000028B3">
        <w:rPr>
          <w:lang w:val="es-ES"/>
        </w:rPr>
        <w:t xml:space="preserve">de los Lineamientos Generales de Protección de Datos Personales para el Sector Público.  </w:t>
      </w:r>
      <w:hyperlink r:id="rId2" w:history="1">
        <w:r w:rsidRPr="000028B3">
          <w:rPr>
            <w:rStyle w:val="Hipervnculo"/>
            <w:lang w:val="es-ES"/>
          </w:rPr>
          <w:t>https://colaboracion.uv.mx/rept/files/2018/08/066/LinamientosGeneralesDatosPersonales.pdf</w:t>
        </w:r>
      </w:hyperlink>
    </w:p>
  </w:footnote>
  <w:footnote w:id="3">
    <w:p w14:paraId="18E5664D" w14:textId="77777777" w:rsidR="00A46B50" w:rsidRPr="00D30CDE" w:rsidRDefault="00A46B50" w:rsidP="00FE456E">
      <w:pPr>
        <w:pStyle w:val="Textonotapie"/>
        <w:rPr>
          <w:lang w:val="es-ES"/>
        </w:rPr>
      </w:pPr>
      <w:r>
        <w:rPr>
          <w:rStyle w:val="Refdenotaalpie"/>
        </w:rPr>
        <w:footnoteRef/>
      </w:r>
      <w:r>
        <w:t xml:space="preserve"> </w:t>
      </w:r>
      <w:r w:rsidRPr="00D30CDE">
        <w:rPr>
          <w:lang w:val="es-ES"/>
        </w:rPr>
        <w:t xml:space="preserve">Artículo 60 de los </w:t>
      </w:r>
      <w:r w:rsidRPr="000028B3">
        <w:rPr>
          <w:lang w:val="es-ES"/>
        </w:rPr>
        <w:t xml:space="preserve">de los Lineamientos Generales de Protección de Datos Personales para el Sector Público.  </w:t>
      </w:r>
      <w:hyperlink r:id="rId3" w:history="1">
        <w:r w:rsidRPr="000028B3">
          <w:rPr>
            <w:rStyle w:val="Hipervnculo"/>
            <w:lang w:val="es-ES"/>
          </w:rPr>
          <w:t>https://colaboracion.uv.mx/rept/files/2018/08/066/LinamientosGeneralesDatosPersonales.pdf</w:t>
        </w:r>
      </w:hyperlink>
    </w:p>
  </w:footnote>
  <w:footnote w:id="4">
    <w:p w14:paraId="3392538B" w14:textId="77777777" w:rsidR="00A46B50" w:rsidRPr="00D30CDE" w:rsidRDefault="00A46B50" w:rsidP="00FE456E">
      <w:pPr>
        <w:pStyle w:val="Textonotapie"/>
        <w:rPr>
          <w:lang w:val="es-ES"/>
        </w:rPr>
      </w:pPr>
      <w:r>
        <w:rPr>
          <w:rStyle w:val="Refdenotaalpie"/>
        </w:rPr>
        <w:footnoteRef/>
      </w:r>
      <w:r>
        <w:t xml:space="preserve"> </w:t>
      </w:r>
      <w:r w:rsidRPr="00D30CDE">
        <w:rPr>
          <w:lang w:val="es-ES"/>
        </w:rPr>
        <w:t>Artículo 63 de los Lineamientos Generales</w:t>
      </w:r>
    </w:p>
  </w:footnote>
  <w:footnote w:id="5">
    <w:p w14:paraId="0F9BBE7C" w14:textId="77777777" w:rsidR="00A46B50" w:rsidRPr="000028B3" w:rsidRDefault="00A46B50" w:rsidP="00FE456E">
      <w:pPr>
        <w:pStyle w:val="Textonotapie"/>
        <w:rPr>
          <w:lang w:val="es-ES"/>
        </w:rPr>
      </w:pPr>
      <w:r>
        <w:rPr>
          <w:rStyle w:val="Refdenotaalpie"/>
        </w:rPr>
        <w:footnoteRef/>
      </w:r>
      <w:r>
        <w:t xml:space="preserve"> </w:t>
      </w:r>
      <w:r w:rsidRPr="000028B3">
        <w:t>https://home.inai.org.mx/wp-content/documentos/DocumentosSectorPublico/_GuiaPrincipiosDeberes.pdf</w:t>
      </w:r>
    </w:p>
  </w:footnote>
  <w:footnote w:id="6">
    <w:p w14:paraId="751DC6D7" w14:textId="77777777" w:rsidR="00A46B50" w:rsidRDefault="00A46B50" w:rsidP="00E86C75">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proofErr w:type="spellStart"/>
      <w:r w:rsidRPr="006667ED">
        <w:rPr>
          <w:rFonts w:cs="Arial"/>
          <w:i/>
          <w:iCs/>
          <w:color w:val="222222"/>
          <w:szCs w:val="24"/>
        </w:rPr>
        <w:t>Ibídem</w:t>
      </w:r>
      <w:proofErr w:type="spellEnd"/>
      <w:r w:rsidRPr="006667ED">
        <w:rPr>
          <w:rFonts w:cs="Arial"/>
          <w:color w:val="222222"/>
          <w:szCs w:val="24"/>
        </w:rPr>
        <w:t>. Párr. 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655" w:type="dxa"/>
      <w:tblInd w:w="2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4395"/>
    </w:tblGrid>
    <w:tr w:rsidR="00A46B50" w:rsidRPr="00025127" w14:paraId="07F2896E" w14:textId="77777777" w:rsidTr="00A46B50">
      <w:trPr>
        <w:trHeight w:val="138"/>
      </w:trPr>
      <w:tc>
        <w:tcPr>
          <w:tcW w:w="3260" w:type="dxa"/>
          <w:vAlign w:val="center"/>
        </w:tcPr>
        <w:p w14:paraId="4A5B1974" w14:textId="44CA9AFE" w:rsidR="00A46B50" w:rsidRPr="00025127" w:rsidRDefault="00A46B5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395" w:type="dxa"/>
          <w:vAlign w:val="center"/>
        </w:tcPr>
        <w:p w14:paraId="3A05B4B6" w14:textId="772F8295" w:rsidR="00A46B50" w:rsidRPr="00A46B50" w:rsidRDefault="00A46B50" w:rsidP="00A46B50">
          <w:pPr>
            <w:pStyle w:val="Encabezado"/>
            <w:rPr>
              <w:rFonts w:ascii="Palatino Linotype" w:hAnsi="Palatino Linotype"/>
              <w:sz w:val="22"/>
              <w:szCs w:val="22"/>
            </w:rPr>
          </w:pPr>
          <w:r w:rsidRPr="00A46B50">
            <w:rPr>
              <w:rFonts w:ascii="Palatino Linotype" w:eastAsia="Calibri" w:hAnsi="Palatino Linotype" w:cs="Tahoma"/>
              <w:sz w:val="22"/>
              <w:szCs w:val="22"/>
              <w:lang w:eastAsia="en-US"/>
            </w:rPr>
            <w:t>04823/INFOEM/IP/RR/2023</w:t>
          </w:r>
          <w:r w:rsidRPr="00A46B50">
            <w:rPr>
              <w:rFonts w:ascii="Palatino Linotype" w:hAnsi="Palatino Linotype"/>
              <w:sz w:val="22"/>
              <w:szCs w:val="22"/>
            </w:rPr>
            <w:t xml:space="preserve"> y </w:t>
          </w:r>
          <w:r>
            <w:rPr>
              <w:rFonts w:ascii="Palatino Linotype" w:hAnsi="Palatino Linotype"/>
              <w:sz w:val="22"/>
              <w:szCs w:val="22"/>
            </w:rPr>
            <w:t>A</w:t>
          </w:r>
          <w:r w:rsidRPr="00A46B50">
            <w:rPr>
              <w:rFonts w:ascii="Palatino Linotype" w:hAnsi="Palatino Linotype"/>
              <w:sz w:val="22"/>
              <w:szCs w:val="22"/>
            </w:rPr>
            <w:t>cumulado</w:t>
          </w:r>
        </w:p>
      </w:tc>
    </w:tr>
    <w:tr w:rsidR="00A46B50" w:rsidRPr="00025127" w14:paraId="1B5D8690" w14:textId="77777777" w:rsidTr="00A46B50">
      <w:trPr>
        <w:trHeight w:val="233"/>
      </w:trPr>
      <w:tc>
        <w:tcPr>
          <w:tcW w:w="3260" w:type="dxa"/>
          <w:vAlign w:val="center"/>
        </w:tcPr>
        <w:p w14:paraId="3903F2C6" w14:textId="22D569F8" w:rsidR="00A46B50" w:rsidRPr="00025127" w:rsidRDefault="00A46B50"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395" w:type="dxa"/>
          <w:vAlign w:val="center"/>
        </w:tcPr>
        <w:p w14:paraId="03C799A2" w14:textId="0CC4C5BD" w:rsidR="00A46B50" w:rsidRPr="00A46B50" w:rsidRDefault="00A46B50" w:rsidP="00A46B50">
          <w:pPr>
            <w:pStyle w:val="Encabezado"/>
            <w:rPr>
              <w:rFonts w:ascii="Palatino Linotype" w:hAnsi="Palatino Linotype"/>
              <w:sz w:val="22"/>
              <w:szCs w:val="22"/>
            </w:rPr>
          </w:pPr>
          <w:r w:rsidRPr="00A46B50">
            <w:rPr>
              <w:rFonts w:ascii="Palatino Linotype" w:hAnsi="Palatino Linotype" w:cs="Arial"/>
              <w:color w:val="000000" w:themeColor="text1"/>
              <w:sz w:val="22"/>
            </w:rPr>
            <w:t>Ayuntamiento de Villa de Allende</w:t>
          </w:r>
        </w:p>
      </w:tc>
    </w:tr>
    <w:tr w:rsidR="00A46B50" w:rsidRPr="00025127" w14:paraId="095EB01B" w14:textId="77777777" w:rsidTr="00A46B50">
      <w:trPr>
        <w:trHeight w:val="321"/>
      </w:trPr>
      <w:tc>
        <w:tcPr>
          <w:tcW w:w="3260" w:type="dxa"/>
          <w:vAlign w:val="center"/>
        </w:tcPr>
        <w:p w14:paraId="6E000A51" w14:textId="05E1861A" w:rsidR="00A46B50" w:rsidRPr="00025127" w:rsidRDefault="00A46B5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395" w:type="dxa"/>
          <w:vAlign w:val="center"/>
        </w:tcPr>
        <w:p w14:paraId="07560085" w14:textId="64DC8836" w:rsidR="00A46B50" w:rsidRPr="00A46B50" w:rsidRDefault="00A46B50" w:rsidP="00A46B50">
          <w:pPr>
            <w:pStyle w:val="Encabezado"/>
            <w:rPr>
              <w:rFonts w:ascii="Palatino Linotype" w:hAnsi="Palatino Linotype"/>
              <w:sz w:val="22"/>
              <w:szCs w:val="22"/>
            </w:rPr>
          </w:pPr>
          <w:r w:rsidRPr="00A46B50">
            <w:rPr>
              <w:rFonts w:ascii="Palatino Linotype" w:hAnsi="Palatino Linotype"/>
              <w:sz w:val="22"/>
              <w:szCs w:val="22"/>
            </w:rPr>
            <w:t>María del Rosario Mejía Ayala</w:t>
          </w:r>
        </w:p>
      </w:tc>
    </w:tr>
  </w:tbl>
  <w:p w14:paraId="1096C1B8" w14:textId="2BA8EB40" w:rsidR="00A46B50" w:rsidRDefault="00A46B50" w:rsidP="00472C41">
    <w:pPr>
      <w:pStyle w:val="Encabezado"/>
    </w:pPr>
    <w:r>
      <w:rPr>
        <w:noProof/>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p w14:paraId="1C9CCA6F" w14:textId="77777777" w:rsidR="00A46B50" w:rsidRDefault="00A46B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A46B50" w:rsidRDefault="00CA298C" w:rsidP="00472C41">
    <w:pPr>
      <w:pStyle w:val="Encabezado"/>
      <w:tabs>
        <w:tab w:val="clear" w:pos="4252"/>
        <w:tab w:val="clear" w:pos="8504"/>
        <w:tab w:val="left" w:pos="3103"/>
      </w:tabs>
    </w:pPr>
    <w:r>
      <w:rPr>
        <w:noProof/>
        <w:lang w:eastAsia="es-ES"/>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46B50">
      <w:tab/>
    </w:r>
  </w:p>
  <w:tbl>
    <w:tblPr>
      <w:tblStyle w:val="Tablaconcuadrcula"/>
      <w:tblW w:w="8222" w:type="dxa"/>
      <w:tblInd w:w="2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961"/>
    </w:tblGrid>
    <w:tr w:rsidR="00A46B50" w:rsidRPr="00A46B50" w14:paraId="0A3256F2" w14:textId="77777777" w:rsidTr="00A46B50">
      <w:trPr>
        <w:trHeight w:val="138"/>
      </w:trPr>
      <w:tc>
        <w:tcPr>
          <w:tcW w:w="3261" w:type="dxa"/>
          <w:vAlign w:val="center"/>
        </w:tcPr>
        <w:p w14:paraId="3D80769D" w14:textId="316F11F8" w:rsidR="00A46B50" w:rsidRPr="00A46B50" w:rsidRDefault="00A46B50" w:rsidP="005F1362">
          <w:pPr>
            <w:jc w:val="right"/>
            <w:rPr>
              <w:rFonts w:ascii="Palatino Linotype" w:hAnsi="Palatino Linotype"/>
              <w:b/>
              <w:sz w:val="22"/>
              <w:szCs w:val="22"/>
            </w:rPr>
          </w:pPr>
          <w:r w:rsidRPr="00A46B50">
            <w:rPr>
              <w:rFonts w:ascii="Palatino Linotype" w:hAnsi="Palatino Linotype"/>
              <w:b/>
              <w:sz w:val="22"/>
              <w:szCs w:val="22"/>
            </w:rPr>
            <w:t>RECURSO DE REVISIÓN:</w:t>
          </w:r>
        </w:p>
      </w:tc>
      <w:tc>
        <w:tcPr>
          <w:tcW w:w="4961" w:type="dxa"/>
          <w:vAlign w:val="center"/>
        </w:tcPr>
        <w:p w14:paraId="0453495E" w14:textId="26E7826F" w:rsidR="00A46B50" w:rsidRPr="00A46B50" w:rsidRDefault="00A46B50" w:rsidP="00C56CA6">
          <w:pPr>
            <w:pStyle w:val="Encabezado"/>
            <w:rPr>
              <w:rFonts w:ascii="Palatino Linotype" w:hAnsi="Palatino Linotype"/>
              <w:sz w:val="22"/>
              <w:szCs w:val="22"/>
            </w:rPr>
          </w:pPr>
          <w:r w:rsidRPr="00A46B50">
            <w:rPr>
              <w:rFonts w:ascii="Palatino Linotype" w:eastAsia="Calibri" w:hAnsi="Palatino Linotype" w:cs="Tahoma"/>
              <w:sz w:val="22"/>
              <w:szCs w:val="22"/>
              <w:lang w:eastAsia="en-US"/>
            </w:rPr>
            <w:t>04823/INFOEM/IP/RR/2023</w:t>
          </w:r>
          <w:r>
            <w:rPr>
              <w:rFonts w:ascii="Palatino Linotype" w:hAnsi="Palatino Linotype"/>
              <w:sz w:val="22"/>
              <w:szCs w:val="22"/>
            </w:rPr>
            <w:t xml:space="preserve"> y A</w:t>
          </w:r>
          <w:r w:rsidRPr="00A46B50">
            <w:rPr>
              <w:rFonts w:ascii="Palatino Linotype" w:hAnsi="Palatino Linotype"/>
              <w:sz w:val="22"/>
              <w:szCs w:val="22"/>
            </w:rPr>
            <w:t>cumulado</w:t>
          </w:r>
        </w:p>
      </w:tc>
    </w:tr>
    <w:tr w:rsidR="00A46B50" w:rsidRPr="00A46B50" w14:paraId="128C8B3C" w14:textId="77777777" w:rsidTr="00A46B50">
      <w:trPr>
        <w:trHeight w:val="233"/>
      </w:trPr>
      <w:tc>
        <w:tcPr>
          <w:tcW w:w="3261" w:type="dxa"/>
          <w:vAlign w:val="center"/>
        </w:tcPr>
        <w:p w14:paraId="483E3371" w14:textId="66B1BC74" w:rsidR="00A46B50" w:rsidRPr="00A46B50" w:rsidRDefault="00A46B50" w:rsidP="00472C41">
          <w:pPr>
            <w:jc w:val="right"/>
            <w:rPr>
              <w:rFonts w:ascii="Palatino Linotype" w:hAnsi="Palatino Linotype"/>
              <w:b/>
              <w:sz w:val="22"/>
              <w:szCs w:val="22"/>
            </w:rPr>
          </w:pPr>
          <w:r w:rsidRPr="00A46B50">
            <w:rPr>
              <w:rFonts w:ascii="Palatino Linotype" w:hAnsi="Palatino Linotype"/>
              <w:b/>
              <w:sz w:val="22"/>
              <w:szCs w:val="22"/>
            </w:rPr>
            <w:t>RECURRENTE:</w:t>
          </w:r>
        </w:p>
      </w:tc>
      <w:tc>
        <w:tcPr>
          <w:tcW w:w="4961" w:type="dxa"/>
        </w:tcPr>
        <w:p w14:paraId="1548525E" w14:textId="269CF547" w:rsidR="00A46B50" w:rsidRPr="00A46B50" w:rsidRDefault="00824B5C" w:rsidP="00736D6D">
          <w:pPr>
            <w:pStyle w:val="Encabezado"/>
            <w:ind w:right="-107"/>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p>
      </w:tc>
    </w:tr>
    <w:tr w:rsidR="00A46B50" w:rsidRPr="00A46B50" w14:paraId="41BE0704" w14:textId="77777777" w:rsidTr="00A46B50">
      <w:trPr>
        <w:trHeight w:val="321"/>
      </w:trPr>
      <w:tc>
        <w:tcPr>
          <w:tcW w:w="3261" w:type="dxa"/>
          <w:vAlign w:val="center"/>
        </w:tcPr>
        <w:p w14:paraId="34C64148" w14:textId="10C6C8A9" w:rsidR="00A46B50" w:rsidRPr="00A46B50" w:rsidRDefault="00A46B50" w:rsidP="005F1362">
          <w:pPr>
            <w:jc w:val="right"/>
            <w:rPr>
              <w:rFonts w:ascii="Palatino Linotype" w:hAnsi="Palatino Linotype"/>
              <w:b/>
              <w:sz w:val="22"/>
              <w:szCs w:val="22"/>
            </w:rPr>
          </w:pPr>
          <w:r w:rsidRPr="00A46B50">
            <w:rPr>
              <w:rFonts w:ascii="Palatino Linotype" w:hAnsi="Palatino Linotype"/>
              <w:b/>
              <w:sz w:val="22"/>
              <w:szCs w:val="22"/>
            </w:rPr>
            <w:t>SUJETO OBLIGADO:</w:t>
          </w:r>
        </w:p>
      </w:tc>
      <w:tc>
        <w:tcPr>
          <w:tcW w:w="4961" w:type="dxa"/>
          <w:vAlign w:val="center"/>
        </w:tcPr>
        <w:p w14:paraId="34C341BF" w14:textId="1F1B91DE" w:rsidR="00A46B50" w:rsidRPr="00A46B50" w:rsidRDefault="00A46B50" w:rsidP="00384259">
          <w:pPr>
            <w:pStyle w:val="Encabezado"/>
            <w:jc w:val="both"/>
            <w:rPr>
              <w:rFonts w:ascii="Palatino Linotype" w:hAnsi="Palatino Linotype"/>
              <w:sz w:val="22"/>
              <w:szCs w:val="22"/>
            </w:rPr>
          </w:pPr>
          <w:r w:rsidRPr="00A46B50">
            <w:rPr>
              <w:rFonts w:ascii="Palatino Linotype" w:hAnsi="Palatino Linotype" w:cs="Arial"/>
              <w:color w:val="000000" w:themeColor="text1"/>
              <w:sz w:val="22"/>
              <w:szCs w:val="22"/>
            </w:rPr>
            <w:t xml:space="preserve">Ayuntamiento de Villa de Allende </w:t>
          </w:r>
        </w:p>
      </w:tc>
    </w:tr>
    <w:tr w:rsidR="00A46B50" w:rsidRPr="00A46B50" w14:paraId="0C8B6193" w14:textId="77777777" w:rsidTr="00A46B50">
      <w:trPr>
        <w:trHeight w:val="321"/>
      </w:trPr>
      <w:tc>
        <w:tcPr>
          <w:tcW w:w="3261" w:type="dxa"/>
          <w:vAlign w:val="center"/>
        </w:tcPr>
        <w:p w14:paraId="321FFAFF" w14:textId="0E8C2CE7" w:rsidR="00A46B50" w:rsidRPr="00A46B50" w:rsidRDefault="00A46B50" w:rsidP="00472C41">
          <w:pPr>
            <w:jc w:val="right"/>
            <w:rPr>
              <w:rFonts w:ascii="Palatino Linotype" w:hAnsi="Palatino Linotype"/>
              <w:b/>
              <w:sz w:val="22"/>
              <w:szCs w:val="22"/>
            </w:rPr>
          </w:pPr>
          <w:r w:rsidRPr="00A46B50">
            <w:rPr>
              <w:rFonts w:ascii="Palatino Linotype" w:hAnsi="Palatino Linotype"/>
              <w:b/>
              <w:sz w:val="22"/>
              <w:szCs w:val="22"/>
            </w:rPr>
            <w:t>COMISIONADA PONENTE:</w:t>
          </w:r>
        </w:p>
      </w:tc>
      <w:tc>
        <w:tcPr>
          <w:tcW w:w="4961" w:type="dxa"/>
          <w:vAlign w:val="center"/>
        </w:tcPr>
        <w:p w14:paraId="0FECDA9D" w14:textId="6D336FD0" w:rsidR="00A46B50" w:rsidRPr="00A46B50" w:rsidRDefault="00A46B50" w:rsidP="00B44F9F">
          <w:pPr>
            <w:pStyle w:val="Encabezado"/>
            <w:ind w:left="33"/>
            <w:rPr>
              <w:rFonts w:ascii="Palatino Linotype" w:hAnsi="Palatino Linotype"/>
              <w:sz w:val="22"/>
              <w:szCs w:val="22"/>
            </w:rPr>
          </w:pPr>
          <w:r w:rsidRPr="00A46B50">
            <w:rPr>
              <w:rFonts w:ascii="Palatino Linotype" w:hAnsi="Palatino Linotype"/>
              <w:sz w:val="22"/>
              <w:szCs w:val="22"/>
            </w:rPr>
            <w:t>María del Rosario Mejía Ayala</w:t>
          </w:r>
        </w:p>
      </w:tc>
    </w:tr>
  </w:tbl>
  <w:p w14:paraId="156B5574" w14:textId="3EA5B995" w:rsidR="00A46B50" w:rsidRDefault="00A46B50" w:rsidP="00472C41">
    <w:pPr>
      <w:pStyle w:val="Encabezado"/>
      <w:tabs>
        <w:tab w:val="clear" w:pos="4252"/>
        <w:tab w:val="clear" w:pos="8504"/>
        <w:tab w:val="left" w:pos="3103"/>
      </w:tabs>
    </w:pPr>
  </w:p>
  <w:p w14:paraId="44236E57" w14:textId="77777777" w:rsidR="00A46B50" w:rsidRDefault="00A46B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C55BEE"/>
    <w:multiLevelType w:val="hybridMultilevel"/>
    <w:tmpl w:val="1C88D2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5163FF5"/>
    <w:multiLevelType w:val="hybridMultilevel"/>
    <w:tmpl w:val="9710D17C"/>
    <w:lvl w:ilvl="0" w:tplc="30D84C38">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4745B"/>
    <w:multiLevelType w:val="hybridMultilevel"/>
    <w:tmpl w:val="24344C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E11B75"/>
    <w:multiLevelType w:val="hybridMultilevel"/>
    <w:tmpl w:val="2F6EF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AD3ECA"/>
    <w:multiLevelType w:val="hybridMultilevel"/>
    <w:tmpl w:val="2E781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124DB8"/>
    <w:multiLevelType w:val="hybridMultilevel"/>
    <w:tmpl w:val="DFF2E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AD4083"/>
    <w:multiLevelType w:val="hybridMultilevel"/>
    <w:tmpl w:val="B94C0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CC5350"/>
    <w:multiLevelType w:val="hybridMultilevel"/>
    <w:tmpl w:val="B186E098"/>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9BF0E61"/>
    <w:multiLevelType w:val="hybridMultilevel"/>
    <w:tmpl w:val="6C44FD02"/>
    <w:lvl w:ilvl="0" w:tplc="F92CA51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2D4F00"/>
    <w:multiLevelType w:val="hybridMultilevel"/>
    <w:tmpl w:val="47BC61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72951D97"/>
    <w:multiLevelType w:val="hybridMultilevel"/>
    <w:tmpl w:val="C4F814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2AB4AEF"/>
    <w:multiLevelType w:val="hybridMultilevel"/>
    <w:tmpl w:val="86C84C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7AA07D1"/>
    <w:multiLevelType w:val="hybridMultilevel"/>
    <w:tmpl w:val="F6EC6F4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7BBC2C8A"/>
    <w:multiLevelType w:val="hybridMultilevel"/>
    <w:tmpl w:val="CDB42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330184935">
    <w:abstractNumId w:val="0"/>
  </w:num>
  <w:num w:numId="2" w16cid:durableId="136191689">
    <w:abstractNumId w:val="5"/>
  </w:num>
  <w:num w:numId="3" w16cid:durableId="24062639">
    <w:abstractNumId w:val="12"/>
  </w:num>
  <w:num w:numId="4" w16cid:durableId="1843008710">
    <w:abstractNumId w:val="6"/>
  </w:num>
  <w:num w:numId="5" w16cid:durableId="1086532825">
    <w:abstractNumId w:val="8"/>
  </w:num>
  <w:num w:numId="6" w16cid:durableId="1892230984">
    <w:abstractNumId w:val="2"/>
  </w:num>
  <w:num w:numId="7" w16cid:durableId="1297641739">
    <w:abstractNumId w:val="18"/>
  </w:num>
  <w:num w:numId="8" w16cid:durableId="1706055395">
    <w:abstractNumId w:val="14"/>
  </w:num>
  <w:num w:numId="9" w16cid:durableId="13846270">
    <w:abstractNumId w:val="11"/>
  </w:num>
  <w:num w:numId="10" w16cid:durableId="1176191748">
    <w:abstractNumId w:val="16"/>
  </w:num>
  <w:num w:numId="11" w16cid:durableId="1128552033">
    <w:abstractNumId w:val="17"/>
  </w:num>
  <w:num w:numId="12" w16cid:durableId="1837303093">
    <w:abstractNumId w:val="3"/>
  </w:num>
  <w:num w:numId="13" w16cid:durableId="1055852110">
    <w:abstractNumId w:val="15"/>
  </w:num>
  <w:num w:numId="14" w16cid:durableId="867642745">
    <w:abstractNumId w:val="13"/>
  </w:num>
  <w:num w:numId="15" w16cid:durableId="1656647475">
    <w:abstractNumId w:val="19"/>
  </w:num>
  <w:num w:numId="16" w16cid:durableId="13458066">
    <w:abstractNumId w:val="10"/>
  </w:num>
  <w:num w:numId="17" w16cid:durableId="89475816">
    <w:abstractNumId w:val="9"/>
  </w:num>
  <w:num w:numId="18" w16cid:durableId="1272668428">
    <w:abstractNumId w:val="1"/>
  </w:num>
  <w:num w:numId="19" w16cid:durableId="1769226745">
    <w:abstractNumId w:val="7"/>
  </w:num>
  <w:num w:numId="20" w16cid:durableId="874193699">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0F44"/>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6603"/>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341CB"/>
    <w:rsid w:val="0004072A"/>
    <w:rsid w:val="0004193F"/>
    <w:rsid w:val="00041DCC"/>
    <w:rsid w:val="00042380"/>
    <w:rsid w:val="00044DB9"/>
    <w:rsid w:val="0004686A"/>
    <w:rsid w:val="000468E2"/>
    <w:rsid w:val="00046CEE"/>
    <w:rsid w:val="000478BA"/>
    <w:rsid w:val="0005081C"/>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A20"/>
    <w:rsid w:val="00080B7D"/>
    <w:rsid w:val="00081169"/>
    <w:rsid w:val="0008230A"/>
    <w:rsid w:val="00082D11"/>
    <w:rsid w:val="00082E28"/>
    <w:rsid w:val="000834FE"/>
    <w:rsid w:val="0008465D"/>
    <w:rsid w:val="00084E31"/>
    <w:rsid w:val="0008542A"/>
    <w:rsid w:val="00086AD0"/>
    <w:rsid w:val="00087CFE"/>
    <w:rsid w:val="00090D6F"/>
    <w:rsid w:val="00091221"/>
    <w:rsid w:val="00091C2C"/>
    <w:rsid w:val="00091F3E"/>
    <w:rsid w:val="000921BF"/>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0ACA"/>
    <w:rsid w:val="000B5179"/>
    <w:rsid w:val="000B5AB1"/>
    <w:rsid w:val="000B5D79"/>
    <w:rsid w:val="000B6D31"/>
    <w:rsid w:val="000B750B"/>
    <w:rsid w:val="000B79B1"/>
    <w:rsid w:val="000B7A4E"/>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6CC6"/>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9C0"/>
    <w:rsid w:val="00100C6D"/>
    <w:rsid w:val="00100DDD"/>
    <w:rsid w:val="001023CC"/>
    <w:rsid w:val="00102D65"/>
    <w:rsid w:val="0010308C"/>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BA2"/>
    <w:rsid w:val="00133CE5"/>
    <w:rsid w:val="00134AEC"/>
    <w:rsid w:val="001352E5"/>
    <w:rsid w:val="00135C45"/>
    <w:rsid w:val="00135DD5"/>
    <w:rsid w:val="0013673A"/>
    <w:rsid w:val="00136781"/>
    <w:rsid w:val="0013695B"/>
    <w:rsid w:val="0013752C"/>
    <w:rsid w:val="00140206"/>
    <w:rsid w:val="00140D44"/>
    <w:rsid w:val="001414F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4D"/>
    <w:rsid w:val="00166794"/>
    <w:rsid w:val="00166C3F"/>
    <w:rsid w:val="00167813"/>
    <w:rsid w:val="0017273C"/>
    <w:rsid w:val="001732E3"/>
    <w:rsid w:val="00174AD8"/>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97B34"/>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005"/>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46"/>
    <w:rsid w:val="001E4152"/>
    <w:rsid w:val="001E489D"/>
    <w:rsid w:val="001E4C30"/>
    <w:rsid w:val="001E50B9"/>
    <w:rsid w:val="001E5BE5"/>
    <w:rsid w:val="001E5C94"/>
    <w:rsid w:val="001E6822"/>
    <w:rsid w:val="001E6D08"/>
    <w:rsid w:val="001E74A5"/>
    <w:rsid w:val="001E7B9E"/>
    <w:rsid w:val="001F025B"/>
    <w:rsid w:val="001F2B8C"/>
    <w:rsid w:val="001F3773"/>
    <w:rsid w:val="001F3C35"/>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127"/>
    <w:rsid w:val="00216B8B"/>
    <w:rsid w:val="00216D2F"/>
    <w:rsid w:val="002179AC"/>
    <w:rsid w:val="00220ADB"/>
    <w:rsid w:val="002217BA"/>
    <w:rsid w:val="00221DDC"/>
    <w:rsid w:val="00221E74"/>
    <w:rsid w:val="00223507"/>
    <w:rsid w:val="00223ACC"/>
    <w:rsid w:val="00223BA6"/>
    <w:rsid w:val="00223F1A"/>
    <w:rsid w:val="00223FC4"/>
    <w:rsid w:val="0022448D"/>
    <w:rsid w:val="002275DE"/>
    <w:rsid w:val="0022774F"/>
    <w:rsid w:val="00230170"/>
    <w:rsid w:val="002305CF"/>
    <w:rsid w:val="00233E08"/>
    <w:rsid w:val="002345FF"/>
    <w:rsid w:val="00234CD2"/>
    <w:rsid w:val="00236319"/>
    <w:rsid w:val="00237611"/>
    <w:rsid w:val="00237E5A"/>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0D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26FF"/>
    <w:rsid w:val="00284813"/>
    <w:rsid w:val="00285BA4"/>
    <w:rsid w:val="00286DDB"/>
    <w:rsid w:val="002871EB"/>
    <w:rsid w:val="002918C3"/>
    <w:rsid w:val="00293711"/>
    <w:rsid w:val="002948C4"/>
    <w:rsid w:val="00294B11"/>
    <w:rsid w:val="002977BE"/>
    <w:rsid w:val="00297E45"/>
    <w:rsid w:val="002A2099"/>
    <w:rsid w:val="002A20E7"/>
    <w:rsid w:val="002A222E"/>
    <w:rsid w:val="002A229B"/>
    <w:rsid w:val="002A35B6"/>
    <w:rsid w:val="002A4172"/>
    <w:rsid w:val="002A43A4"/>
    <w:rsid w:val="002A4516"/>
    <w:rsid w:val="002A54DE"/>
    <w:rsid w:val="002A6959"/>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43B"/>
    <w:rsid w:val="002C570D"/>
    <w:rsid w:val="002C6561"/>
    <w:rsid w:val="002C6DB3"/>
    <w:rsid w:val="002D0E3D"/>
    <w:rsid w:val="002D0FD5"/>
    <w:rsid w:val="002D10C8"/>
    <w:rsid w:val="002D147E"/>
    <w:rsid w:val="002D1A38"/>
    <w:rsid w:val="002D1A9E"/>
    <w:rsid w:val="002D1AA7"/>
    <w:rsid w:val="002D1EBB"/>
    <w:rsid w:val="002D28CB"/>
    <w:rsid w:val="002D2E16"/>
    <w:rsid w:val="002D356E"/>
    <w:rsid w:val="002D35AE"/>
    <w:rsid w:val="002D373C"/>
    <w:rsid w:val="002D65BC"/>
    <w:rsid w:val="002D6CF5"/>
    <w:rsid w:val="002D7079"/>
    <w:rsid w:val="002E0259"/>
    <w:rsid w:val="002E126F"/>
    <w:rsid w:val="002E160F"/>
    <w:rsid w:val="002E191E"/>
    <w:rsid w:val="002E1C05"/>
    <w:rsid w:val="002E2FCB"/>
    <w:rsid w:val="002E3FAE"/>
    <w:rsid w:val="002E482C"/>
    <w:rsid w:val="002E5399"/>
    <w:rsid w:val="002E5A0B"/>
    <w:rsid w:val="002E6295"/>
    <w:rsid w:val="002E6531"/>
    <w:rsid w:val="002E66CA"/>
    <w:rsid w:val="002E6804"/>
    <w:rsid w:val="002E689B"/>
    <w:rsid w:val="002E6B5A"/>
    <w:rsid w:val="002E6CFE"/>
    <w:rsid w:val="002E6D27"/>
    <w:rsid w:val="002E74CE"/>
    <w:rsid w:val="002E76FD"/>
    <w:rsid w:val="002E77D0"/>
    <w:rsid w:val="002E7AD0"/>
    <w:rsid w:val="002F0AA9"/>
    <w:rsid w:val="002F0EDC"/>
    <w:rsid w:val="002F1781"/>
    <w:rsid w:val="002F1871"/>
    <w:rsid w:val="002F3672"/>
    <w:rsid w:val="002F37C1"/>
    <w:rsid w:val="002F478D"/>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B6"/>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37EDC"/>
    <w:rsid w:val="003407D0"/>
    <w:rsid w:val="0034181B"/>
    <w:rsid w:val="0034219E"/>
    <w:rsid w:val="00342C51"/>
    <w:rsid w:val="00345856"/>
    <w:rsid w:val="0034595C"/>
    <w:rsid w:val="00345B79"/>
    <w:rsid w:val="00345D0F"/>
    <w:rsid w:val="0034614E"/>
    <w:rsid w:val="00346885"/>
    <w:rsid w:val="003472B3"/>
    <w:rsid w:val="003477BE"/>
    <w:rsid w:val="00347E3E"/>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084"/>
    <w:rsid w:val="00374557"/>
    <w:rsid w:val="00374B45"/>
    <w:rsid w:val="00374CE8"/>
    <w:rsid w:val="003762FD"/>
    <w:rsid w:val="00376FD2"/>
    <w:rsid w:val="00377278"/>
    <w:rsid w:val="0038132B"/>
    <w:rsid w:val="00382196"/>
    <w:rsid w:val="00383E66"/>
    <w:rsid w:val="00384259"/>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C23"/>
    <w:rsid w:val="003F0DDA"/>
    <w:rsid w:val="003F140F"/>
    <w:rsid w:val="003F15DB"/>
    <w:rsid w:val="003F1A79"/>
    <w:rsid w:val="003F1FFB"/>
    <w:rsid w:val="003F2190"/>
    <w:rsid w:val="003F2702"/>
    <w:rsid w:val="003F2778"/>
    <w:rsid w:val="003F2810"/>
    <w:rsid w:val="003F2CBE"/>
    <w:rsid w:val="003F2E6E"/>
    <w:rsid w:val="003F36A4"/>
    <w:rsid w:val="003F4900"/>
    <w:rsid w:val="003F4A7B"/>
    <w:rsid w:val="003F70CA"/>
    <w:rsid w:val="003F7823"/>
    <w:rsid w:val="004002D0"/>
    <w:rsid w:val="00400E76"/>
    <w:rsid w:val="0040137F"/>
    <w:rsid w:val="00402179"/>
    <w:rsid w:val="0040278D"/>
    <w:rsid w:val="00402B2F"/>
    <w:rsid w:val="00402F25"/>
    <w:rsid w:val="00403249"/>
    <w:rsid w:val="004062CB"/>
    <w:rsid w:val="0040755B"/>
    <w:rsid w:val="004078C8"/>
    <w:rsid w:val="004102DE"/>
    <w:rsid w:val="00412696"/>
    <w:rsid w:val="00412E24"/>
    <w:rsid w:val="004130AB"/>
    <w:rsid w:val="00413D35"/>
    <w:rsid w:val="004147B1"/>
    <w:rsid w:val="0041537B"/>
    <w:rsid w:val="00416727"/>
    <w:rsid w:val="0042068A"/>
    <w:rsid w:val="0042228D"/>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49"/>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910"/>
    <w:rsid w:val="00451B95"/>
    <w:rsid w:val="00452EEE"/>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2FC"/>
    <w:rsid w:val="00487D6A"/>
    <w:rsid w:val="004911B6"/>
    <w:rsid w:val="00491C96"/>
    <w:rsid w:val="004923B6"/>
    <w:rsid w:val="00493C7B"/>
    <w:rsid w:val="00494294"/>
    <w:rsid w:val="00495611"/>
    <w:rsid w:val="00495C02"/>
    <w:rsid w:val="00495E0B"/>
    <w:rsid w:val="004961DA"/>
    <w:rsid w:val="00496359"/>
    <w:rsid w:val="00496510"/>
    <w:rsid w:val="00497529"/>
    <w:rsid w:val="00497926"/>
    <w:rsid w:val="004A0320"/>
    <w:rsid w:val="004A115C"/>
    <w:rsid w:val="004A14BE"/>
    <w:rsid w:val="004A2787"/>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2CE4"/>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5E99"/>
    <w:rsid w:val="004E6E3A"/>
    <w:rsid w:val="004E778F"/>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073"/>
    <w:rsid w:val="00501B93"/>
    <w:rsid w:val="005029D4"/>
    <w:rsid w:val="005041C2"/>
    <w:rsid w:val="00504A42"/>
    <w:rsid w:val="00505CA0"/>
    <w:rsid w:val="00506989"/>
    <w:rsid w:val="00507043"/>
    <w:rsid w:val="00507C08"/>
    <w:rsid w:val="00507D18"/>
    <w:rsid w:val="0051016E"/>
    <w:rsid w:val="00511A30"/>
    <w:rsid w:val="00512C46"/>
    <w:rsid w:val="00512F22"/>
    <w:rsid w:val="00513D5C"/>
    <w:rsid w:val="005140E4"/>
    <w:rsid w:val="00514343"/>
    <w:rsid w:val="00514426"/>
    <w:rsid w:val="00515015"/>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57EDF"/>
    <w:rsid w:val="00560C00"/>
    <w:rsid w:val="00561094"/>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572A"/>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642"/>
    <w:rsid w:val="005A094D"/>
    <w:rsid w:val="005A1464"/>
    <w:rsid w:val="005A1FAB"/>
    <w:rsid w:val="005A228F"/>
    <w:rsid w:val="005A2A65"/>
    <w:rsid w:val="005A2F65"/>
    <w:rsid w:val="005A3513"/>
    <w:rsid w:val="005A3581"/>
    <w:rsid w:val="005A3A07"/>
    <w:rsid w:val="005A3BD7"/>
    <w:rsid w:val="005A3F61"/>
    <w:rsid w:val="005A60E1"/>
    <w:rsid w:val="005A6788"/>
    <w:rsid w:val="005A6AEB"/>
    <w:rsid w:val="005A786F"/>
    <w:rsid w:val="005B0765"/>
    <w:rsid w:val="005B13E4"/>
    <w:rsid w:val="005B169C"/>
    <w:rsid w:val="005B2DD1"/>
    <w:rsid w:val="005B3A49"/>
    <w:rsid w:val="005B42D8"/>
    <w:rsid w:val="005B6ADF"/>
    <w:rsid w:val="005B773D"/>
    <w:rsid w:val="005B77C2"/>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C43"/>
    <w:rsid w:val="005F0E6C"/>
    <w:rsid w:val="005F1362"/>
    <w:rsid w:val="005F1655"/>
    <w:rsid w:val="005F1BAD"/>
    <w:rsid w:val="005F235E"/>
    <w:rsid w:val="005F29F1"/>
    <w:rsid w:val="005F396F"/>
    <w:rsid w:val="005F487C"/>
    <w:rsid w:val="005F53A4"/>
    <w:rsid w:val="005F5FE1"/>
    <w:rsid w:val="005F62B2"/>
    <w:rsid w:val="005F6B71"/>
    <w:rsid w:val="005F715E"/>
    <w:rsid w:val="006010DA"/>
    <w:rsid w:val="006017AB"/>
    <w:rsid w:val="00604AC3"/>
    <w:rsid w:val="00605865"/>
    <w:rsid w:val="006079AA"/>
    <w:rsid w:val="00607B9A"/>
    <w:rsid w:val="006113DA"/>
    <w:rsid w:val="00611613"/>
    <w:rsid w:val="00611DC1"/>
    <w:rsid w:val="006124AE"/>
    <w:rsid w:val="00613655"/>
    <w:rsid w:val="006144EE"/>
    <w:rsid w:val="00614878"/>
    <w:rsid w:val="0061507A"/>
    <w:rsid w:val="0061616C"/>
    <w:rsid w:val="00617125"/>
    <w:rsid w:val="00617813"/>
    <w:rsid w:val="006206CC"/>
    <w:rsid w:val="00622272"/>
    <w:rsid w:val="00622B06"/>
    <w:rsid w:val="00624425"/>
    <w:rsid w:val="00625136"/>
    <w:rsid w:val="006257C2"/>
    <w:rsid w:val="00625B2B"/>
    <w:rsid w:val="00626056"/>
    <w:rsid w:val="00627163"/>
    <w:rsid w:val="0063034E"/>
    <w:rsid w:val="00631C43"/>
    <w:rsid w:val="00632D28"/>
    <w:rsid w:val="00632E24"/>
    <w:rsid w:val="00633581"/>
    <w:rsid w:val="00634476"/>
    <w:rsid w:val="00634884"/>
    <w:rsid w:val="006348F0"/>
    <w:rsid w:val="0063717E"/>
    <w:rsid w:val="006371BC"/>
    <w:rsid w:val="00637475"/>
    <w:rsid w:val="0064393B"/>
    <w:rsid w:val="006439A1"/>
    <w:rsid w:val="00644375"/>
    <w:rsid w:val="00644A5C"/>
    <w:rsid w:val="00644E04"/>
    <w:rsid w:val="0064565D"/>
    <w:rsid w:val="00646A08"/>
    <w:rsid w:val="00650392"/>
    <w:rsid w:val="0065061D"/>
    <w:rsid w:val="00651701"/>
    <w:rsid w:val="00655146"/>
    <w:rsid w:val="0065715E"/>
    <w:rsid w:val="00657670"/>
    <w:rsid w:val="00657DBF"/>
    <w:rsid w:val="00657DE0"/>
    <w:rsid w:val="00657ED7"/>
    <w:rsid w:val="00660A92"/>
    <w:rsid w:val="00662C69"/>
    <w:rsid w:val="006633C0"/>
    <w:rsid w:val="00663470"/>
    <w:rsid w:val="00663CC7"/>
    <w:rsid w:val="00663F82"/>
    <w:rsid w:val="0066458B"/>
    <w:rsid w:val="006646C6"/>
    <w:rsid w:val="00664805"/>
    <w:rsid w:val="00664FB5"/>
    <w:rsid w:val="006656FD"/>
    <w:rsid w:val="006674A0"/>
    <w:rsid w:val="0067174C"/>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6DC"/>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0B97"/>
    <w:rsid w:val="006A1047"/>
    <w:rsid w:val="006A11C8"/>
    <w:rsid w:val="006A2CF3"/>
    <w:rsid w:val="006A2D34"/>
    <w:rsid w:val="006A2EDE"/>
    <w:rsid w:val="006A2EFB"/>
    <w:rsid w:val="006A32B6"/>
    <w:rsid w:val="006A3D7A"/>
    <w:rsid w:val="006A4178"/>
    <w:rsid w:val="006A4193"/>
    <w:rsid w:val="006A4523"/>
    <w:rsid w:val="006A553A"/>
    <w:rsid w:val="006A7815"/>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1A"/>
    <w:rsid w:val="006D27EF"/>
    <w:rsid w:val="006D425C"/>
    <w:rsid w:val="006D52D1"/>
    <w:rsid w:val="006D5F9D"/>
    <w:rsid w:val="006D6C17"/>
    <w:rsid w:val="006D77A2"/>
    <w:rsid w:val="006E013D"/>
    <w:rsid w:val="006E1056"/>
    <w:rsid w:val="006E3A2A"/>
    <w:rsid w:val="006E3C4C"/>
    <w:rsid w:val="006E4BD4"/>
    <w:rsid w:val="006E4E2A"/>
    <w:rsid w:val="006E5809"/>
    <w:rsid w:val="006E5950"/>
    <w:rsid w:val="006E62F0"/>
    <w:rsid w:val="006E65C0"/>
    <w:rsid w:val="006E6627"/>
    <w:rsid w:val="006E6A85"/>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4D6"/>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485C"/>
    <w:rsid w:val="00735A75"/>
    <w:rsid w:val="007363AE"/>
    <w:rsid w:val="007365AD"/>
    <w:rsid w:val="00736D6D"/>
    <w:rsid w:val="00736F44"/>
    <w:rsid w:val="007374F9"/>
    <w:rsid w:val="00737E75"/>
    <w:rsid w:val="00740BA4"/>
    <w:rsid w:val="00742486"/>
    <w:rsid w:val="00743FFA"/>
    <w:rsid w:val="0074433B"/>
    <w:rsid w:val="007446C2"/>
    <w:rsid w:val="0074573F"/>
    <w:rsid w:val="00745A57"/>
    <w:rsid w:val="0074628D"/>
    <w:rsid w:val="007469DE"/>
    <w:rsid w:val="007471EF"/>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5F5C"/>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08CB"/>
    <w:rsid w:val="007820F2"/>
    <w:rsid w:val="0078249C"/>
    <w:rsid w:val="0078254B"/>
    <w:rsid w:val="00782942"/>
    <w:rsid w:val="00784AA0"/>
    <w:rsid w:val="00784F3D"/>
    <w:rsid w:val="00785321"/>
    <w:rsid w:val="00785E63"/>
    <w:rsid w:val="007860B9"/>
    <w:rsid w:val="007863F8"/>
    <w:rsid w:val="00786DD5"/>
    <w:rsid w:val="00787184"/>
    <w:rsid w:val="007914E4"/>
    <w:rsid w:val="0079188C"/>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63A"/>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6A7"/>
    <w:rsid w:val="007D3FBD"/>
    <w:rsid w:val="007D49A0"/>
    <w:rsid w:val="007D586E"/>
    <w:rsid w:val="007D74D9"/>
    <w:rsid w:val="007D7CA5"/>
    <w:rsid w:val="007D7EF3"/>
    <w:rsid w:val="007E0553"/>
    <w:rsid w:val="007E0C6A"/>
    <w:rsid w:val="007E13D1"/>
    <w:rsid w:val="007E1E57"/>
    <w:rsid w:val="007E27BC"/>
    <w:rsid w:val="007E5125"/>
    <w:rsid w:val="007E5DB4"/>
    <w:rsid w:val="007E5EC6"/>
    <w:rsid w:val="007E6334"/>
    <w:rsid w:val="007E64B6"/>
    <w:rsid w:val="007E72DF"/>
    <w:rsid w:val="007F0617"/>
    <w:rsid w:val="007F089C"/>
    <w:rsid w:val="007F0D1B"/>
    <w:rsid w:val="007F1BCA"/>
    <w:rsid w:val="007F313E"/>
    <w:rsid w:val="007F372C"/>
    <w:rsid w:val="007F3993"/>
    <w:rsid w:val="007F3A5A"/>
    <w:rsid w:val="007F3C0D"/>
    <w:rsid w:val="007F4B1B"/>
    <w:rsid w:val="007F5AD6"/>
    <w:rsid w:val="007F5D29"/>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B5C"/>
    <w:rsid w:val="00824C4E"/>
    <w:rsid w:val="00826125"/>
    <w:rsid w:val="00826F38"/>
    <w:rsid w:val="00830D70"/>
    <w:rsid w:val="00831969"/>
    <w:rsid w:val="0083380F"/>
    <w:rsid w:val="00833E4C"/>
    <w:rsid w:val="00834316"/>
    <w:rsid w:val="00834CD3"/>
    <w:rsid w:val="00834EFD"/>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70D"/>
    <w:rsid w:val="00860A1E"/>
    <w:rsid w:val="0086119E"/>
    <w:rsid w:val="00861622"/>
    <w:rsid w:val="00861A41"/>
    <w:rsid w:val="00861F40"/>
    <w:rsid w:val="00863125"/>
    <w:rsid w:val="008662C0"/>
    <w:rsid w:val="0087030B"/>
    <w:rsid w:val="008705E1"/>
    <w:rsid w:val="0087101A"/>
    <w:rsid w:val="0087153F"/>
    <w:rsid w:val="00872622"/>
    <w:rsid w:val="00872874"/>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688"/>
    <w:rsid w:val="00882FC3"/>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063"/>
    <w:rsid w:val="008C0446"/>
    <w:rsid w:val="008C0D98"/>
    <w:rsid w:val="008C2B3C"/>
    <w:rsid w:val="008C41A7"/>
    <w:rsid w:val="008C5283"/>
    <w:rsid w:val="008C6F34"/>
    <w:rsid w:val="008C7108"/>
    <w:rsid w:val="008C75C8"/>
    <w:rsid w:val="008D02A3"/>
    <w:rsid w:val="008D22D8"/>
    <w:rsid w:val="008D259C"/>
    <w:rsid w:val="008D2BCD"/>
    <w:rsid w:val="008D31B6"/>
    <w:rsid w:val="008D406E"/>
    <w:rsid w:val="008D4558"/>
    <w:rsid w:val="008D4E99"/>
    <w:rsid w:val="008D5066"/>
    <w:rsid w:val="008D5A97"/>
    <w:rsid w:val="008D6697"/>
    <w:rsid w:val="008D6CF4"/>
    <w:rsid w:val="008D6F9A"/>
    <w:rsid w:val="008D728C"/>
    <w:rsid w:val="008E0674"/>
    <w:rsid w:val="008E11CC"/>
    <w:rsid w:val="008E1696"/>
    <w:rsid w:val="008E1B8F"/>
    <w:rsid w:val="008E2B17"/>
    <w:rsid w:val="008E3AA0"/>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3B3"/>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465BF"/>
    <w:rsid w:val="00950154"/>
    <w:rsid w:val="00950C6E"/>
    <w:rsid w:val="00951ECA"/>
    <w:rsid w:val="00953054"/>
    <w:rsid w:val="009531D6"/>
    <w:rsid w:val="00953610"/>
    <w:rsid w:val="0095382C"/>
    <w:rsid w:val="00953B03"/>
    <w:rsid w:val="00954789"/>
    <w:rsid w:val="009548C1"/>
    <w:rsid w:val="00954DBE"/>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4F9E"/>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0F91"/>
    <w:rsid w:val="009916D2"/>
    <w:rsid w:val="009917E9"/>
    <w:rsid w:val="009918B3"/>
    <w:rsid w:val="009918B7"/>
    <w:rsid w:val="009918C6"/>
    <w:rsid w:val="0099229C"/>
    <w:rsid w:val="00994158"/>
    <w:rsid w:val="00994E0F"/>
    <w:rsid w:val="00994E5F"/>
    <w:rsid w:val="009959DB"/>
    <w:rsid w:val="00995C9F"/>
    <w:rsid w:val="0099752D"/>
    <w:rsid w:val="0099791A"/>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2F3C"/>
    <w:rsid w:val="009D3240"/>
    <w:rsid w:val="009D3A6E"/>
    <w:rsid w:val="009D6087"/>
    <w:rsid w:val="009D61D9"/>
    <w:rsid w:val="009D624D"/>
    <w:rsid w:val="009D6AD5"/>
    <w:rsid w:val="009D7223"/>
    <w:rsid w:val="009E0AB4"/>
    <w:rsid w:val="009E0E14"/>
    <w:rsid w:val="009E10C7"/>
    <w:rsid w:val="009E18B3"/>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35A"/>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3D6"/>
    <w:rsid w:val="00A15C42"/>
    <w:rsid w:val="00A1658E"/>
    <w:rsid w:val="00A16D17"/>
    <w:rsid w:val="00A16DF1"/>
    <w:rsid w:val="00A17302"/>
    <w:rsid w:val="00A17A17"/>
    <w:rsid w:val="00A20B1F"/>
    <w:rsid w:val="00A20E85"/>
    <w:rsid w:val="00A21050"/>
    <w:rsid w:val="00A22536"/>
    <w:rsid w:val="00A23597"/>
    <w:rsid w:val="00A235D0"/>
    <w:rsid w:val="00A24131"/>
    <w:rsid w:val="00A27A7F"/>
    <w:rsid w:val="00A31BF8"/>
    <w:rsid w:val="00A31CEA"/>
    <w:rsid w:val="00A3276A"/>
    <w:rsid w:val="00A349D2"/>
    <w:rsid w:val="00A34C05"/>
    <w:rsid w:val="00A3511D"/>
    <w:rsid w:val="00A35492"/>
    <w:rsid w:val="00A4044E"/>
    <w:rsid w:val="00A4071A"/>
    <w:rsid w:val="00A40951"/>
    <w:rsid w:val="00A42161"/>
    <w:rsid w:val="00A42475"/>
    <w:rsid w:val="00A42869"/>
    <w:rsid w:val="00A4351E"/>
    <w:rsid w:val="00A4379F"/>
    <w:rsid w:val="00A4434D"/>
    <w:rsid w:val="00A44C1A"/>
    <w:rsid w:val="00A45039"/>
    <w:rsid w:val="00A454E0"/>
    <w:rsid w:val="00A45546"/>
    <w:rsid w:val="00A4585A"/>
    <w:rsid w:val="00A459B3"/>
    <w:rsid w:val="00A459D6"/>
    <w:rsid w:val="00A45B12"/>
    <w:rsid w:val="00A462D5"/>
    <w:rsid w:val="00A4650A"/>
    <w:rsid w:val="00A46B50"/>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6B9"/>
    <w:rsid w:val="00A66AE9"/>
    <w:rsid w:val="00A67428"/>
    <w:rsid w:val="00A70C6A"/>
    <w:rsid w:val="00A70CF3"/>
    <w:rsid w:val="00A7155E"/>
    <w:rsid w:val="00A73C34"/>
    <w:rsid w:val="00A74E17"/>
    <w:rsid w:val="00A74EDE"/>
    <w:rsid w:val="00A763AE"/>
    <w:rsid w:val="00A76619"/>
    <w:rsid w:val="00A766D5"/>
    <w:rsid w:val="00A766FE"/>
    <w:rsid w:val="00A76B0D"/>
    <w:rsid w:val="00A76BED"/>
    <w:rsid w:val="00A77F48"/>
    <w:rsid w:val="00A80223"/>
    <w:rsid w:val="00A8037C"/>
    <w:rsid w:val="00A816EE"/>
    <w:rsid w:val="00A81AB5"/>
    <w:rsid w:val="00A82724"/>
    <w:rsid w:val="00A82C5A"/>
    <w:rsid w:val="00A837E2"/>
    <w:rsid w:val="00A83DDE"/>
    <w:rsid w:val="00A83FF6"/>
    <w:rsid w:val="00A84120"/>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4FA7"/>
    <w:rsid w:val="00AA6228"/>
    <w:rsid w:val="00AA6595"/>
    <w:rsid w:val="00AA69A4"/>
    <w:rsid w:val="00AB02A0"/>
    <w:rsid w:val="00AB1131"/>
    <w:rsid w:val="00AB182C"/>
    <w:rsid w:val="00AB1B91"/>
    <w:rsid w:val="00AB2744"/>
    <w:rsid w:val="00AB274F"/>
    <w:rsid w:val="00AB30D3"/>
    <w:rsid w:val="00AB3B37"/>
    <w:rsid w:val="00AB5888"/>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2D36"/>
    <w:rsid w:val="00AE48E8"/>
    <w:rsid w:val="00AE5466"/>
    <w:rsid w:val="00AE7F20"/>
    <w:rsid w:val="00AF0BFB"/>
    <w:rsid w:val="00AF0E7C"/>
    <w:rsid w:val="00AF196E"/>
    <w:rsid w:val="00AF1F04"/>
    <w:rsid w:val="00AF246D"/>
    <w:rsid w:val="00AF2612"/>
    <w:rsid w:val="00AF3B55"/>
    <w:rsid w:val="00AF3D59"/>
    <w:rsid w:val="00AF50BF"/>
    <w:rsid w:val="00AF5C7E"/>
    <w:rsid w:val="00AF5DAA"/>
    <w:rsid w:val="00AF6794"/>
    <w:rsid w:val="00AF6795"/>
    <w:rsid w:val="00AF6856"/>
    <w:rsid w:val="00AF6F48"/>
    <w:rsid w:val="00AF7023"/>
    <w:rsid w:val="00AF717E"/>
    <w:rsid w:val="00B016F7"/>
    <w:rsid w:val="00B02BDD"/>
    <w:rsid w:val="00B02C87"/>
    <w:rsid w:val="00B04E10"/>
    <w:rsid w:val="00B055B9"/>
    <w:rsid w:val="00B113F9"/>
    <w:rsid w:val="00B13243"/>
    <w:rsid w:val="00B13511"/>
    <w:rsid w:val="00B13D85"/>
    <w:rsid w:val="00B1451D"/>
    <w:rsid w:val="00B154C4"/>
    <w:rsid w:val="00B16296"/>
    <w:rsid w:val="00B16954"/>
    <w:rsid w:val="00B16CC7"/>
    <w:rsid w:val="00B17748"/>
    <w:rsid w:val="00B1786A"/>
    <w:rsid w:val="00B206D6"/>
    <w:rsid w:val="00B206D8"/>
    <w:rsid w:val="00B20C75"/>
    <w:rsid w:val="00B2215F"/>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7BC"/>
    <w:rsid w:val="00B67B71"/>
    <w:rsid w:val="00B71F08"/>
    <w:rsid w:val="00B73838"/>
    <w:rsid w:val="00B7421A"/>
    <w:rsid w:val="00B74366"/>
    <w:rsid w:val="00B75CBE"/>
    <w:rsid w:val="00B75F20"/>
    <w:rsid w:val="00B762FD"/>
    <w:rsid w:val="00B77310"/>
    <w:rsid w:val="00B774A5"/>
    <w:rsid w:val="00B806AB"/>
    <w:rsid w:val="00B808A4"/>
    <w:rsid w:val="00B81371"/>
    <w:rsid w:val="00B818B8"/>
    <w:rsid w:val="00B8225B"/>
    <w:rsid w:val="00B8240B"/>
    <w:rsid w:val="00B83E2E"/>
    <w:rsid w:val="00B855AA"/>
    <w:rsid w:val="00B85BBB"/>
    <w:rsid w:val="00B87705"/>
    <w:rsid w:val="00B8780A"/>
    <w:rsid w:val="00B87CD6"/>
    <w:rsid w:val="00B902E7"/>
    <w:rsid w:val="00B91BAB"/>
    <w:rsid w:val="00B922D9"/>
    <w:rsid w:val="00B9253C"/>
    <w:rsid w:val="00B926D6"/>
    <w:rsid w:val="00B93351"/>
    <w:rsid w:val="00B945F2"/>
    <w:rsid w:val="00B95670"/>
    <w:rsid w:val="00B959FD"/>
    <w:rsid w:val="00B966BF"/>
    <w:rsid w:val="00B974B4"/>
    <w:rsid w:val="00BA0012"/>
    <w:rsid w:val="00BA0458"/>
    <w:rsid w:val="00BA0A18"/>
    <w:rsid w:val="00BA33A7"/>
    <w:rsid w:val="00BA4F66"/>
    <w:rsid w:val="00BA54A2"/>
    <w:rsid w:val="00BA619F"/>
    <w:rsid w:val="00BA6D15"/>
    <w:rsid w:val="00BA7079"/>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D755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A9"/>
    <w:rsid w:val="00C179FC"/>
    <w:rsid w:val="00C203F6"/>
    <w:rsid w:val="00C205D6"/>
    <w:rsid w:val="00C20A03"/>
    <w:rsid w:val="00C20EB1"/>
    <w:rsid w:val="00C2139F"/>
    <w:rsid w:val="00C24101"/>
    <w:rsid w:val="00C24FF3"/>
    <w:rsid w:val="00C2575E"/>
    <w:rsid w:val="00C26121"/>
    <w:rsid w:val="00C2692D"/>
    <w:rsid w:val="00C26DBF"/>
    <w:rsid w:val="00C274FD"/>
    <w:rsid w:val="00C2753C"/>
    <w:rsid w:val="00C275CF"/>
    <w:rsid w:val="00C27ABF"/>
    <w:rsid w:val="00C3086E"/>
    <w:rsid w:val="00C3133F"/>
    <w:rsid w:val="00C315FB"/>
    <w:rsid w:val="00C31713"/>
    <w:rsid w:val="00C317BD"/>
    <w:rsid w:val="00C31862"/>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6533"/>
    <w:rsid w:val="00C4712A"/>
    <w:rsid w:val="00C47468"/>
    <w:rsid w:val="00C47CDC"/>
    <w:rsid w:val="00C47E36"/>
    <w:rsid w:val="00C50570"/>
    <w:rsid w:val="00C50A2B"/>
    <w:rsid w:val="00C51671"/>
    <w:rsid w:val="00C51673"/>
    <w:rsid w:val="00C5280A"/>
    <w:rsid w:val="00C52849"/>
    <w:rsid w:val="00C5401F"/>
    <w:rsid w:val="00C54922"/>
    <w:rsid w:val="00C55FE8"/>
    <w:rsid w:val="00C565D9"/>
    <w:rsid w:val="00C56CA6"/>
    <w:rsid w:val="00C601EF"/>
    <w:rsid w:val="00C61825"/>
    <w:rsid w:val="00C6220B"/>
    <w:rsid w:val="00C62658"/>
    <w:rsid w:val="00C62C1C"/>
    <w:rsid w:val="00C634D6"/>
    <w:rsid w:val="00C63CF2"/>
    <w:rsid w:val="00C6440A"/>
    <w:rsid w:val="00C648FC"/>
    <w:rsid w:val="00C6521F"/>
    <w:rsid w:val="00C65EDE"/>
    <w:rsid w:val="00C663BE"/>
    <w:rsid w:val="00C66700"/>
    <w:rsid w:val="00C66E4B"/>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2DD4"/>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298C"/>
    <w:rsid w:val="00CA4741"/>
    <w:rsid w:val="00CA64E9"/>
    <w:rsid w:val="00CA7A78"/>
    <w:rsid w:val="00CA7F49"/>
    <w:rsid w:val="00CB2089"/>
    <w:rsid w:val="00CB2FC0"/>
    <w:rsid w:val="00CB3C69"/>
    <w:rsid w:val="00CB4E1C"/>
    <w:rsid w:val="00CB57BF"/>
    <w:rsid w:val="00CB58C6"/>
    <w:rsid w:val="00CB5AEC"/>
    <w:rsid w:val="00CB5E5E"/>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16D8"/>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E69"/>
    <w:rsid w:val="00D02472"/>
    <w:rsid w:val="00D02F72"/>
    <w:rsid w:val="00D0377B"/>
    <w:rsid w:val="00D06772"/>
    <w:rsid w:val="00D07CFB"/>
    <w:rsid w:val="00D10889"/>
    <w:rsid w:val="00D10AB0"/>
    <w:rsid w:val="00D1223B"/>
    <w:rsid w:val="00D12402"/>
    <w:rsid w:val="00D12EE7"/>
    <w:rsid w:val="00D1373C"/>
    <w:rsid w:val="00D16B19"/>
    <w:rsid w:val="00D16BAD"/>
    <w:rsid w:val="00D172B8"/>
    <w:rsid w:val="00D1735B"/>
    <w:rsid w:val="00D17702"/>
    <w:rsid w:val="00D17C3D"/>
    <w:rsid w:val="00D20E91"/>
    <w:rsid w:val="00D21B17"/>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247A"/>
    <w:rsid w:val="00D33323"/>
    <w:rsid w:val="00D33F79"/>
    <w:rsid w:val="00D3469A"/>
    <w:rsid w:val="00D3478C"/>
    <w:rsid w:val="00D34A5C"/>
    <w:rsid w:val="00D35986"/>
    <w:rsid w:val="00D36CE3"/>
    <w:rsid w:val="00D36DE7"/>
    <w:rsid w:val="00D37494"/>
    <w:rsid w:val="00D3789A"/>
    <w:rsid w:val="00D407B7"/>
    <w:rsid w:val="00D409B3"/>
    <w:rsid w:val="00D41B84"/>
    <w:rsid w:val="00D41E2D"/>
    <w:rsid w:val="00D42588"/>
    <w:rsid w:val="00D4287D"/>
    <w:rsid w:val="00D42957"/>
    <w:rsid w:val="00D430B0"/>
    <w:rsid w:val="00D446E7"/>
    <w:rsid w:val="00D47015"/>
    <w:rsid w:val="00D47265"/>
    <w:rsid w:val="00D47500"/>
    <w:rsid w:val="00D4793C"/>
    <w:rsid w:val="00D517C0"/>
    <w:rsid w:val="00D579EF"/>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0A95"/>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217"/>
    <w:rsid w:val="00D963CC"/>
    <w:rsid w:val="00DA0168"/>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1642"/>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21F"/>
    <w:rsid w:val="00DE4F75"/>
    <w:rsid w:val="00DE5C78"/>
    <w:rsid w:val="00DE5F76"/>
    <w:rsid w:val="00DE636F"/>
    <w:rsid w:val="00DF09A4"/>
    <w:rsid w:val="00DF0DF7"/>
    <w:rsid w:val="00DF13A5"/>
    <w:rsid w:val="00DF1C93"/>
    <w:rsid w:val="00DF1E5D"/>
    <w:rsid w:val="00DF2ABA"/>
    <w:rsid w:val="00DF391A"/>
    <w:rsid w:val="00DF3EA9"/>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0767C"/>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B4C"/>
    <w:rsid w:val="00E32BCD"/>
    <w:rsid w:val="00E32DDF"/>
    <w:rsid w:val="00E33108"/>
    <w:rsid w:val="00E3387F"/>
    <w:rsid w:val="00E343E2"/>
    <w:rsid w:val="00E34622"/>
    <w:rsid w:val="00E34657"/>
    <w:rsid w:val="00E34706"/>
    <w:rsid w:val="00E35537"/>
    <w:rsid w:val="00E36F7D"/>
    <w:rsid w:val="00E374FD"/>
    <w:rsid w:val="00E4180B"/>
    <w:rsid w:val="00E43304"/>
    <w:rsid w:val="00E43ABE"/>
    <w:rsid w:val="00E44057"/>
    <w:rsid w:val="00E44438"/>
    <w:rsid w:val="00E445BD"/>
    <w:rsid w:val="00E44E71"/>
    <w:rsid w:val="00E46673"/>
    <w:rsid w:val="00E47884"/>
    <w:rsid w:val="00E47A5F"/>
    <w:rsid w:val="00E506E7"/>
    <w:rsid w:val="00E507A5"/>
    <w:rsid w:val="00E50851"/>
    <w:rsid w:val="00E51A57"/>
    <w:rsid w:val="00E528D2"/>
    <w:rsid w:val="00E5453E"/>
    <w:rsid w:val="00E54E89"/>
    <w:rsid w:val="00E552CC"/>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67434"/>
    <w:rsid w:val="00E7041F"/>
    <w:rsid w:val="00E7063D"/>
    <w:rsid w:val="00E71329"/>
    <w:rsid w:val="00E71633"/>
    <w:rsid w:val="00E7206F"/>
    <w:rsid w:val="00E7218C"/>
    <w:rsid w:val="00E72689"/>
    <w:rsid w:val="00E730AA"/>
    <w:rsid w:val="00E74B41"/>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75"/>
    <w:rsid w:val="00E86CA1"/>
    <w:rsid w:val="00E87AD0"/>
    <w:rsid w:val="00E87F07"/>
    <w:rsid w:val="00E90A69"/>
    <w:rsid w:val="00E91E35"/>
    <w:rsid w:val="00E92215"/>
    <w:rsid w:val="00E92416"/>
    <w:rsid w:val="00E93630"/>
    <w:rsid w:val="00E937B5"/>
    <w:rsid w:val="00E9442F"/>
    <w:rsid w:val="00E94495"/>
    <w:rsid w:val="00E9486B"/>
    <w:rsid w:val="00E95534"/>
    <w:rsid w:val="00E95618"/>
    <w:rsid w:val="00E95892"/>
    <w:rsid w:val="00E96326"/>
    <w:rsid w:val="00E969D2"/>
    <w:rsid w:val="00E974E2"/>
    <w:rsid w:val="00E97D83"/>
    <w:rsid w:val="00EA0CA1"/>
    <w:rsid w:val="00EA0DD6"/>
    <w:rsid w:val="00EA1D8B"/>
    <w:rsid w:val="00EA3158"/>
    <w:rsid w:val="00EA3249"/>
    <w:rsid w:val="00EA3C59"/>
    <w:rsid w:val="00EA4CEB"/>
    <w:rsid w:val="00EA5118"/>
    <w:rsid w:val="00EA5294"/>
    <w:rsid w:val="00EA592F"/>
    <w:rsid w:val="00EA6C56"/>
    <w:rsid w:val="00EA7B1A"/>
    <w:rsid w:val="00EB02F9"/>
    <w:rsid w:val="00EB0C63"/>
    <w:rsid w:val="00EB0DF0"/>
    <w:rsid w:val="00EB1A2C"/>
    <w:rsid w:val="00EB1DDA"/>
    <w:rsid w:val="00EB2513"/>
    <w:rsid w:val="00EB36A4"/>
    <w:rsid w:val="00EB381B"/>
    <w:rsid w:val="00EB3DF7"/>
    <w:rsid w:val="00EB3F5C"/>
    <w:rsid w:val="00EB40DC"/>
    <w:rsid w:val="00EB4A53"/>
    <w:rsid w:val="00EB5616"/>
    <w:rsid w:val="00EB701A"/>
    <w:rsid w:val="00EB743F"/>
    <w:rsid w:val="00EC064C"/>
    <w:rsid w:val="00EC0BFA"/>
    <w:rsid w:val="00EC0D38"/>
    <w:rsid w:val="00EC0ED2"/>
    <w:rsid w:val="00EC115D"/>
    <w:rsid w:val="00EC152A"/>
    <w:rsid w:val="00EC2232"/>
    <w:rsid w:val="00EC3328"/>
    <w:rsid w:val="00EC34A9"/>
    <w:rsid w:val="00EC3934"/>
    <w:rsid w:val="00EC437F"/>
    <w:rsid w:val="00EC6F0E"/>
    <w:rsid w:val="00EC7352"/>
    <w:rsid w:val="00ED07A7"/>
    <w:rsid w:val="00ED2270"/>
    <w:rsid w:val="00ED2AB9"/>
    <w:rsid w:val="00ED3818"/>
    <w:rsid w:val="00ED3B1D"/>
    <w:rsid w:val="00ED512E"/>
    <w:rsid w:val="00ED7544"/>
    <w:rsid w:val="00EE0293"/>
    <w:rsid w:val="00EE03EC"/>
    <w:rsid w:val="00EE048D"/>
    <w:rsid w:val="00EE0ACB"/>
    <w:rsid w:val="00EE107C"/>
    <w:rsid w:val="00EE1450"/>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0E76"/>
    <w:rsid w:val="00F01443"/>
    <w:rsid w:val="00F01801"/>
    <w:rsid w:val="00F02412"/>
    <w:rsid w:val="00F026B4"/>
    <w:rsid w:val="00F0292D"/>
    <w:rsid w:val="00F02E9D"/>
    <w:rsid w:val="00F04044"/>
    <w:rsid w:val="00F043A7"/>
    <w:rsid w:val="00F046C8"/>
    <w:rsid w:val="00F047AB"/>
    <w:rsid w:val="00F05DE1"/>
    <w:rsid w:val="00F05EBB"/>
    <w:rsid w:val="00F06D58"/>
    <w:rsid w:val="00F07353"/>
    <w:rsid w:val="00F07C50"/>
    <w:rsid w:val="00F104AB"/>
    <w:rsid w:val="00F10728"/>
    <w:rsid w:val="00F10D6B"/>
    <w:rsid w:val="00F1266E"/>
    <w:rsid w:val="00F12C08"/>
    <w:rsid w:val="00F12CDC"/>
    <w:rsid w:val="00F13E45"/>
    <w:rsid w:val="00F147C6"/>
    <w:rsid w:val="00F15830"/>
    <w:rsid w:val="00F166BD"/>
    <w:rsid w:val="00F20933"/>
    <w:rsid w:val="00F21705"/>
    <w:rsid w:val="00F22774"/>
    <w:rsid w:val="00F231FC"/>
    <w:rsid w:val="00F24AB7"/>
    <w:rsid w:val="00F2518D"/>
    <w:rsid w:val="00F25211"/>
    <w:rsid w:val="00F2567E"/>
    <w:rsid w:val="00F25E84"/>
    <w:rsid w:val="00F26068"/>
    <w:rsid w:val="00F2706D"/>
    <w:rsid w:val="00F2723F"/>
    <w:rsid w:val="00F27ADB"/>
    <w:rsid w:val="00F31178"/>
    <w:rsid w:val="00F325F9"/>
    <w:rsid w:val="00F32971"/>
    <w:rsid w:val="00F33A7A"/>
    <w:rsid w:val="00F3400B"/>
    <w:rsid w:val="00F35C44"/>
    <w:rsid w:val="00F36DEE"/>
    <w:rsid w:val="00F37B6F"/>
    <w:rsid w:val="00F40C05"/>
    <w:rsid w:val="00F40E86"/>
    <w:rsid w:val="00F40E92"/>
    <w:rsid w:val="00F41A2D"/>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50EC"/>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6AC2"/>
    <w:rsid w:val="00F86DF7"/>
    <w:rsid w:val="00F878C9"/>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FC"/>
    <w:rsid w:val="00FA6A11"/>
    <w:rsid w:val="00FA73DD"/>
    <w:rsid w:val="00FA77F3"/>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192A"/>
    <w:rsid w:val="00FD2865"/>
    <w:rsid w:val="00FD4B65"/>
    <w:rsid w:val="00FD6729"/>
    <w:rsid w:val="00FD7507"/>
    <w:rsid w:val="00FD7996"/>
    <w:rsid w:val="00FD7B5E"/>
    <w:rsid w:val="00FD7EFE"/>
    <w:rsid w:val="00FE1B40"/>
    <w:rsid w:val="00FE2025"/>
    <w:rsid w:val="00FE27B7"/>
    <w:rsid w:val="00FE2D9D"/>
    <w:rsid w:val="00FE3280"/>
    <w:rsid w:val="00FE3399"/>
    <w:rsid w:val="00FE3629"/>
    <w:rsid w:val="00FE38A6"/>
    <w:rsid w:val="00FE3975"/>
    <w:rsid w:val="00FE456E"/>
    <w:rsid w:val="00FE45B9"/>
    <w:rsid w:val="00FE4790"/>
    <w:rsid w:val="00FE49E3"/>
    <w:rsid w:val="00FE4E1B"/>
    <w:rsid w:val="00FE562B"/>
    <w:rsid w:val="00FE576E"/>
    <w:rsid w:val="00FE6243"/>
    <w:rsid w:val="00FE689A"/>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EA9"/>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1"/>
      </w:numPr>
      <w:contextualSpacing/>
    </w:pPr>
    <w:rPr>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style>
  <w:style w:type="paragraph" w:customStyle="1" w:styleId="m1609377113336227858gmail-msonormal">
    <w:name w:val="m_1609377113336227858gmail-msonormal"/>
    <w:basedOn w:val="Normal"/>
    <w:rsid w:val="00751F6F"/>
    <w:pPr>
      <w:spacing w:before="100" w:beforeAutospacing="1" w:after="100" w:afterAutospacing="1"/>
    </w:pPr>
    <w:rPr>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style>
  <w:style w:type="paragraph" w:customStyle="1" w:styleId="m-698976158124685028gmail-msonormal">
    <w:name w:val="m_-698976158124685028gmail-msonormal"/>
    <w:basedOn w:val="Normal"/>
    <w:rsid w:val="005C0828"/>
    <w:pPr>
      <w:spacing w:before="100" w:beforeAutospacing="1" w:after="100" w:afterAutospacing="1"/>
    </w:p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736D6D"/>
  </w:style>
  <w:style w:type="character" w:styleId="Referenciasutil">
    <w:name w:val="Subtle Reference"/>
    <w:basedOn w:val="Fuentedeprrafopredeter"/>
    <w:uiPriority w:val="31"/>
    <w:qFormat/>
    <w:rsid w:val="007F4B1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452738">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5012480">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6029491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2630399">
      <w:bodyDiv w:val="1"/>
      <w:marLeft w:val="0"/>
      <w:marRight w:val="0"/>
      <w:marTop w:val="0"/>
      <w:marBottom w:val="0"/>
      <w:divBdr>
        <w:top w:val="none" w:sz="0" w:space="0" w:color="auto"/>
        <w:left w:val="none" w:sz="0" w:space="0" w:color="auto"/>
        <w:bottom w:val="none" w:sz="0" w:space="0" w:color="auto"/>
        <w:right w:val="none" w:sz="0" w:space="0" w:color="auto"/>
      </w:divBdr>
    </w:div>
    <w:div w:id="9359945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59273146">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2692601">
      <w:bodyDiv w:val="1"/>
      <w:marLeft w:val="0"/>
      <w:marRight w:val="0"/>
      <w:marTop w:val="0"/>
      <w:marBottom w:val="0"/>
      <w:divBdr>
        <w:top w:val="none" w:sz="0" w:space="0" w:color="auto"/>
        <w:left w:val="none" w:sz="0" w:space="0" w:color="auto"/>
        <w:bottom w:val="none" w:sz="0" w:space="0" w:color="auto"/>
        <w:right w:val="none" w:sz="0" w:space="0" w:color="auto"/>
      </w:divBdr>
    </w:div>
    <w:div w:id="21269409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77370888">
      <w:bodyDiv w:val="1"/>
      <w:marLeft w:val="0"/>
      <w:marRight w:val="0"/>
      <w:marTop w:val="0"/>
      <w:marBottom w:val="0"/>
      <w:divBdr>
        <w:top w:val="none" w:sz="0" w:space="0" w:color="auto"/>
        <w:left w:val="none" w:sz="0" w:space="0" w:color="auto"/>
        <w:bottom w:val="none" w:sz="0" w:space="0" w:color="auto"/>
        <w:right w:val="none" w:sz="0" w:space="0" w:color="auto"/>
      </w:divBdr>
    </w:div>
    <w:div w:id="287050797">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8847599">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2025295">
      <w:bodyDiv w:val="1"/>
      <w:marLeft w:val="0"/>
      <w:marRight w:val="0"/>
      <w:marTop w:val="0"/>
      <w:marBottom w:val="0"/>
      <w:divBdr>
        <w:top w:val="none" w:sz="0" w:space="0" w:color="auto"/>
        <w:left w:val="none" w:sz="0" w:space="0" w:color="auto"/>
        <w:bottom w:val="none" w:sz="0" w:space="0" w:color="auto"/>
        <w:right w:val="none" w:sz="0" w:space="0" w:color="auto"/>
      </w:divBdr>
    </w:div>
    <w:div w:id="363017063">
      <w:bodyDiv w:val="1"/>
      <w:marLeft w:val="0"/>
      <w:marRight w:val="0"/>
      <w:marTop w:val="0"/>
      <w:marBottom w:val="0"/>
      <w:divBdr>
        <w:top w:val="none" w:sz="0" w:space="0" w:color="auto"/>
        <w:left w:val="none" w:sz="0" w:space="0" w:color="auto"/>
        <w:bottom w:val="none" w:sz="0" w:space="0" w:color="auto"/>
        <w:right w:val="none" w:sz="0" w:space="0" w:color="auto"/>
      </w:divBdr>
    </w:div>
    <w:div w:id="368183527">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80905307">
      <w:bodyDiv w:val="1"/>
      <w:marLeft w:val="0"/>
      <w:marRight w:val="0"/>
      <w:marTop w:val="0"/>
      <w:marBottom w:val="0"/>
      <w:divBdr>
        <w:top w:val="none" w:sz="0" w:space="0" w:color="auto"/>
        <w:left w:val="none" w:sz="0" w:space="0" w:color="auto"/>
        <w:bottom w:val="none" w:sz="0" w:space="0" w:color="auto"/>
        <w:right w:val="none" w:sz="0" w:space="0" w:color="auto"/>
      </w:divBdr>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15128765">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79618573">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8109679">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55817131">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599873625">
      <w:bodyDiv w:val="1"/>
      <w:marLeft w:val="0"/>
      <w:marRight w:val="0"/>
      <w:marTop w:val="0"/>
      <w:marBottom w:val="0"/>
      <w:divBdr>
        <w:top w:val="none" w:sz="0" w:space="0" w:color="auto"/>
        <w:left w:val="none" w:sz="0" w:space="0" w:color="auto"/>
        <w:bottom w:val="none" w:sz="0" w:space="0" w:color="auto"/>
        <w:right w:val="none" w:sz="0" w:space="0" w:color="auto"/>
      </w:divBdr>
    </w:div>
    <w:div w:id="606353251">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3655286">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51758808">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6247887">
      <w:bodyDiv w:val="1"/>
      <w:marLeft w:val="0"/>
      <w:marRight w:val="0"/>
      <w:marTop w:val="0"/>
      <w:marBottom w:val="0"/>
      <w:divBdr>
        <w:top w:val="none" w:sz="0" w:space="0" w:color="auto"/>
        <w:left w:val="none" w:sz="0" w:space="0" w:color="auto"/>
        <w:bottom w:val="none" w:sz="0" w:space="0" w:color="auto"/>
        <w:right w:val="none" w:sz="0" w:space="0" w:color="auto"/>
      </w:divBdr>
    </w:div>
    <w:div w:id="72806811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0442011">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169061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377565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3707112">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2094852">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63288616">
      <w:bodyDiv w:val="1"/>
      <w:marLeft w:val="0"/>
      <w:marRight w:val="0"/>
      <w:marTop w:val="0"/>
      <w:marBottom w:val="0"/>
      <w:divBdr>
        <w:top w:val="none" w:sz="0" w:space="0" w:color="auto"/>
        <w:left w:val="none" w:sz="0" w:space="0" w:color="auto"/>
        <w:bottom w:val="none" w:sz="0" w:space="0" w:color="auto"/>
        <w:right w:val="none" w:sz="0" w:space="0" w:color="auto"/>
      </w:divBdr>
    </w:div>
    <w:div w:id="1066688314">
      <w:bodyDiv w:val="1"/>
      <w:marLeft w:val="0"/>
      <w:marRight w:val="0"/>
      <w:marTop w:val="0"/>
      <w:marBottom w:val="0"/>
      <w:divBdr>
        <w:top w:val="none" w:sz="0" w:space="0" w:color="auto"/>
        <w:left w:val="none" w:sz="0" w:space="0" w:color="auto"/>
        <w:bottom w:val="none" w:sz="0" w:space="0" w:color="auto"/>
        <w:right w:val="none" w:sz="0" w:space="0" w:color="auto"/>
      </w:divBdr>
    </w:div>
    <w:div w:id="1071927452">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5195888">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8256688">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56744680">
      <w:bodyDiv w:val="1"/>
      <w:marLeft w:val="0"/>
      <w:marRight w:val="0"/>
      <w:marTop w:val="0"/>
      <w:marBottom w:val="0"/>
      <w:divBdr>
        <w:top w:val="none" w:sz="0" w:space="0" w:color="auto"/>
        <w:left w:val="none" w:sz="0" w:space="0" w:color="auto"/>
        <w:bottom w:val="none" w:sz="0" w:space="0" w:color="auto"/>
        <w:right w:val="none" w:sz="0" w:space="0" w:color="auto"/>
      </w:divBdr>
    </w:div>
    <w:div w:id="125863621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069502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29652541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4991339">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63763729">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82649605">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1946140">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4760735">
      <w:bodyDiv w:val="1"/>
      <w:marLeft w:val="0"/>
      <w:marRight w:val="0"/>
      <w:marTop w:val="0"/>
      <w:marBottom w:val="0"/>
      <w:divBdr>
        <w:top w:val="none" w:sz="0" w:space="0" w:color="auto"/>
        <w:left w:val="none" w:sz="0" w:space="0" w:color="auto"/>
        <w:bottom w:val="none" w:sz="0" w:space="0" w:color="auto"/>
        <w:right w:val="none" w:sz="0" w:space="0" w:color="auto"/>
      </w:divBdr>
    </w:div>
    <w:div w:id="1500080597">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0801569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42009467">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65020915">
      <w:bodyDiv w:val="1"/>
      <w:marLeft w:val="0"/>
      <w:marRight w:val="0"/>
      <w:marTop w:val="0"/>
      <w:marBottom w:val="0"/>
      <w:divBdr>
        <w:top w:val="none" w:sz="0" w:space="0" w:color="auto"/>
        <w:left w:val="none" w:sz="0" w:space="0" w:color="auto"/>
        <w:bottom w:val="none" w:sz="0" w:space="0" w:color="auto"/>
        <w:right w:val="none" w:sz="0" w:space="0" w:color="auto"/>
      </w:divBdr>
    </w:div>
    <w:div w:id="1572543345">
      <w:bodyDiv w:val="1"/>
      <w:marLeft w:val="0"/>
      <w:marRight w:val="0"/>
      <w:marTop w:val="0"/>
      <w:marBottom w:val="0"/>
      <w:divBdr>
        <w:top w:val="none" w:sz="0" w:space="0" w:color="auto"/>
        <w:left w:val="none" w:sz="0" w:space="0" w:color="auto"/>
        <w:bottom w:val="none" w:sz="0" w:space="0" w:color="auto"/>
        <w:right w:val="none" w:sz="0" w:space="0" w:color="auto"/>
      </w:divBdr>
    </w:div>
    <w:div w:id="1576355596">
      <w:bodyDiv w:val="1"/>
      <w:marLeft w:val="0"/>
      <w:marRight w:val="0"/>
      <w:marTop w:val="0"/>
      <w:marBottom w:val="0"/>
      <w:divBdr>
        <w:top w:val="none" w:sz="0" w:space="0" w:color="auto"/>
        <w:left w:val="none" w:sz="0" w:space="0" w:color="auto"/>
        <w:bottom w:val="none" w:sz="0" w:space="0" w:color="auto"/>
        <w:right w:val="none" w:sz="0" w:space="0" w:color="auto"/>
      </w:divBdr>
    </w:div>
    <w:div w:id="1604915728">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696077610">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49615202">
      <w:bodyDiv w:val="1"/>
      <w:marLeft w:val="0"/>
      <w:marRight w:val="0"/>
      <w:marTop w:val="0"/>
      <w:marBottom w:val="0"/>
      <w:divBdr>
        <w:top w:val="none" w:sz="0" w:space="0" w:color="auto"/>
        <w:left w:val="none" w:sz="0" w:space="0" w:color="auto"/>
        <w:bottom w:val="none" w:sz="0" w:space="0" w:color="auto"/>
        <w:right w:val="none" w:sz="0" w:space="0" w:color="auto"/>
      </w:divBdr>
    </w:div>
    <w:div w:id="1760371675">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1801055">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2577844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0850346">
      <w:bodyDiv w:val="1"/>
      <w:marLeft w:val="0"/>
      <w:marRight w:val="0"/>
      <w:marTop w:val="0"/>
      <w:marBottom w:val="0"/>
      <w:divBdr>
        <w:top w:val="none" w:sz="0" w:space="0" w:color="auto"/>
        <w:left w:val="none" w:sz="0" w:space="0" w:color="auto"/>
        <w:bottom w:val="none" w:sz="0" w:space="0" w:color="auto"/>
        <w:right w:val="none" w:sz="0" w:space="0" w:color="auto"/>
      </w:divBdr>
    </w:div>
    <w:div w:id="1844935367">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09608160">
      <w:bodyDiv w:val="1"/>
      <w:marLeft w:val="0"/>
      <w:marRight w:val="0"/>
      <w:marTop w:val="0"/>
      <w:marBottom w:val="0"/>
      <w:divBdr>
        <w:top w:val="none" w:sz="0" w:space="0" w:color="auto"/>
        <w:left w:val="none" w:sz="0" w:space="0" w:color="auto"/>
        <w:bottom w:val="none" w:sz="0" w:space="0" w:color="auto"/>
        <w:right w:val="none" w:sz="0" w:space="0" w:color="auto"/>
      </w:divBdr>
    </w:div>
    <w:div w:id="1913197053">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28925210">
      <w:bodyDiv w:val="1"/>
      <w:marLeft w:val="0"/>
      <w:marRight w:val="0"/>
      <w:marTop w:val="0"/>
      <w:marBottom w:val="0"/>
      <w:divBdr>
        <w:top w:val="none" w:sz="0" w:space="0" w:color="auto"/>
        <w:left w:val="none" w:sz="0" w:space="0" w:color="auto"/>
        <w:bottom w:val="none" w:sz="0" w:space="0" w:color="auto"/>
        <w:right w:val="none" w:sz="0" w:space="0" w:color="auto"/>
      </w:divBdr>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9238270">
      <w:bodyDiv w:val="1"/>
      <w:marLeft w:val="0"/>
      <w:marRight w:val="0"/>
      <w:marTop w:val="0"/>
      <w:marBottom w:val="0"/>
      <w:divBdr>
        <w:top w:val="none" w:sz="0" w:space="0" w:color="auto"/>
        <w:left w:val="none" w:sz="0" w:space="0" w:color="auto"/>
        <w:bottom w:val="none" w:sz="0" w:space="0" w:color="auto"/>
        <w:right w:val="none" w:sz="0" w:space="0" w:color="auto"/>
      </w:divBdr>
    </w:div>
    <w:div w:id="1954046414">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2981363">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27124531">
      <w:bodyDiv w:val="1"/>
      <w:marLeft w:val="0"/>
      <w:marRight w:val="0"/>
      <w:marTop w:val="0"/>
      <w:marBottom w:val="0"/>
      <w:divBdr>
        <w:top w:val="none" w:sz="0" w:space="0" w:color="auto"/>
        <w:left w:val="none" w:sz="0" w:space="0" w:color="auto"/>
        <w:bottom w:val="none" w:sz="0" w:space="0" w:color="auto"/>
        <w:right w:val="none" w:sz="0" w:space="0" w:color="auto"/>
      </w:divBdr>
    </w:div>
    <w:div w:id="2027126400">
      <w:bodyDiv w:val="1"/>
      <w:marLeft w:val="0"/>
      <w:marRight w:val="0"/>
      <w:marTop w:val="0"/>
      <w:marBottom w:val="0"/>
      <w:divBdr>
        <w:top w:val="none" w:sz="0" w:space="0" w:color="auto"/>
        <w:left w:val="none" w:sz="0" w:space="0" w:color="auto"/>
        <w:bottom w:val="none" w:sz="0" w:space="0" w:color="auto"/>
        <w:right w:val="none" w:sz="0" w:space="0" w:color="auto"/>
      </w:divBdr>
    </w:div>
    <w:div w:id="2046830118">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lladeallende.gob.mx/aviso-p.php"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lladeallende.gob.mx/aviso-p.ph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inicio.ifai.org.mx/DocumentosdeInteres/AnexosDocumentoOrientador.zip"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olaboracion.uv.mx/rept/files/2018/08/066/LinamientosGeneralesDatosPersonales.pdf" TargetMode="External"/><Relationship Id="rId2" Type="http://schemas.openxmlformats.org/officeDocument/2006/relationships/hyperlink" Target="https://colaboracion.uv.mx/rept/files/2018/08/066/LinamientosGeneralesDatosPersonales.pdf" TargetMode="External"/><Relationship Id="rId1" Type="http://schemas.openxmlformats.org/officeDocument/2006/relationships/hyperlink" Target="https://colaboracion.uv.mx/rept/files/2018/08/066/LinamientosGeneralesDatosPersonal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E6325-BBC1-4CE0-BB36-A0E9496B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69</Pages>
  <Words>14625</Words>
  <Characters>80439</Characters>
  <Application>Microsoft Office Word</Application>
  <DocSecurity>0</DocSecurity>
  <Lines>670</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Thaylis Suarez</cp:lastModifiedBy>
  <cp:revision>8</cp:revision>
  <cp:lastPrinted>2019-12-11T01:19:00Z</cp:lastPrinted>
  <dcterms:created xsi:type="dcterms:W3CDTF">2024-02-27T18:16:00Z</dcterms:created>
  <dcterms:modified xsi:type="dcterms:W3CDTF">2024-03-13T00:32:00Z</dcterms:modified>
</cp:coreProperties>
</file>