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501C55" w:rsidRDefault="00AE3DA7" w:rsidP="00501C55">
          <w:pPr>
            <w:pStyle w:val="TtulodeTDC"/>
            <w:spacing w:before="0" w:line="240" w:lineRule="auto"/>
            <w:rPr>
              <w:rFonts w:ascii="Palatino Linotype" w:hAnsi="Palatino Linotype"/>
              <w:color w:val="auto"/>
              <w:sz w:val="24"/>
              <w:szCs w:val="24"/>
              <w:lang w:val="es-ES"/>
            </w:rPr>
          </w:pPr>
          <w:r w:rsidRPr="00501C55">
            <w:rPr>
              <w:rFonts w:ascii="Palatino Linotype" w:hAnsi="Palatino Linotype"/>
              <w:color w:val="auto"/>
              <w:sz w:val="24"/>
              <w:szCs w:val="24"/>
              <w:lang w:val="es-ES"/>
            </w:rPr>
            <w:t>Contenido</w:t>
          </w:r>
        </w:p>
        <w:p w14:paraId="3EB312A7" w14:textId="77777777" w:rsidR="00AA6EA9" w:rsidRPr="00501C55" w:rsidRDefault="00AA6EA9" w:rsidP="00501C55">
          <w:pPr>
            <w:spacing w:line="240" w:lineRule="auto"/>
            <w:rPr>
              <w:sz w:val="16"/>
              <w:szCs w:val="16"/>
              <w:lang w:val="es-ES" w:eastAsia="es-MX"/>
            </w:rPr>
          </w:pPr>
        </w:p>
        <w:p w14:paraId="13B6806D" w14:textId="67341EEF" w:rsidR="00501C55" w:rsidRPr="00501C55" w:rsidRDefault="00AE3DA7" w:rsidP="00501C55">
          <w:pPr>
            <w:pStyle w:val="TDC1"/>
            <w:tabs>
              <w:tab w:val="right" w:leader="dot" w:pos="9034"/>
            </w:tabs>
            <w:rPr>
              <w:rFonts w:asciiTheme="minorHAnsi" w:eastAsiaTheme="minorEastAsia" w:hAnsiTheme="minorHAnsi" w:cstheme="minorBidi"/>
              <w:noProof/>
              <w:szCs w:val="22"/>
              <w:lang w:eastAsia="es-MX"/>
            </w:rPr>
          </w:pPr>
          <w:r w:rsidRPr="00501C55">
            <w:rPr>
              <w:sz w:val="16"/>
              <w:szCs w:val="16"/>
            </w:rPr>
            <w:fldChar w:fldCharType="begin"/>
          </w:r>
          <w:r w:rsidRPr="00501C55">
            <w:rPr>
              <w:sz w:val="16"/>
              <w:szCs w:val="16"/>
            </w:rPr>
            <w:instrText xml:space="preserve"> TOC \o "1-3" \h \z \u </w:instrText>
          </w:r>
          <w:r w:rsidRPr="00501C55">
            <w:rPr>
              <w:sz w:val="16"/>
              <w:szCs w:val="16"/>
            </w:rPr>
            <w:fldChar w:fldCharType="separate"/>
          </w:r>
          <w:hyperlink w:anchor="_Toc183189343" w:history="1">
            <w:r w:rsidR="00501C55" w:rsidRPr="00501C55">
              <w:rPr>
                <w:rStyle w:val="Hipervnculo"/>
                <w:noProof/>
                <w:color w:val="auto"/>
              </w:rPr>
              <w:t>ANTECEDENTES</w:t>
            </w:r>
            <w:r w:rsidR="00501C55" w:rsidRPr="00501C55">
              <w:rPr>
                <w:noProof/>
                <w:webHidden/>
              </w:rPr>
              <w:tab/>
            </w:r>
            <w:r w:rsidR="00501C55" w:rsidRPr="00501C55">
              <w:rPr>
                <w:noProof/>
                <w:webHidden/>
              </w:rPr>
              <w:fldChar w:fldCharType="begin"/>
            </w:r>
            <w:r w:rsidR="00501C55" w:rsidRPr="00501C55">
              <w:rPr>
                <w:noProof/>
                <w:webHidden/>
              </w:rPr>
              <w:instrText xml:space="preserve"> PAGEREF _Toc183189343 \h </w:instrText>
            </w:r>
            <w:r w:rsidR="00501C55" w:rsidRPr="00501C55">
              <w:rPr>
                <w:noProof/>
                <w:webHidden/>
              </w:rPr>
            </w:r>
            <w:r w:rsidR="00501C55" w:rsidRPr="00501C55">
              <w:rPr>
                <w:noProof/>
                <w:webHidden/>
              </w:rPr>
              <w:fldChar w:fldCharType="separate"/>
            </w:r>
            <w:r w:rsidR="00A01F83">
              <w:rPr>
                <w:noProof/>
                <w:webHidden/>
              </w:rPr>
              <w:t>1</w:t>
            </w:r>
            <w:r w:rsidR="00501C55" w:rsidRPr="00501C55">
              <w:rPr>
                <w:noProof/>
                <w:webHidden/>
              </w:rPr>
              <w:fldChar w:fldCharType="end"/>
            </w:r>
          </w:hyperlink>
        </w:p>
        <w:p w14:paraId="5B6991C4" w14:textId="4EF78730" w:rsidR="00501C55" w:rsidRPr="00501C55" w:rsidRDefault="009A0F61" w:rsidP="00501C55">
          <w:pPr>
            <w:pStyle w:val="TDC2"/>
            <w:rPr>
              <w:rFonts w:asciiTheme="minorHAnsi" w:eastAsiaTheme="minorEastAsia" w:hAnsiTheme="minorHAnsi" w:cstheme="minorBidi"/>
              <w:noProof/>
              <w:szCs w:val="22"/>
              <w:lang w:eastAsia="es-MX"/>
            </w:rPr>
          </w:pPr>
          <w:hyperlink w:anchor="_Toc183189344" w:history="1">
            <w:r w:rsidR="00501C55" w:rsidRPr="00501C55">
              <w:rPr>
                <w:rStyle w:val="Hipervnculo"/>
                <w:noProof/>
                <w:color w:val="auto"/>
              </w:rPr>
              <w:t>DE LA SOLICITUD DE INFORMACIÓN</w:t>
            </w:r>
            <w:r w:rsidR="00501C55" w:rsidRPr="00501C55">
              <w:rPr>
                <w:noProof/>
                <w:webHidden/>
              </w:rPr>
              <w:tab/>
            </w:r>
            <w:r w:rsidR="00501C55" w:rsidRPr="00501C55">
              <w:rPr>
                <w:noProof/>
                <w:webHidden/>
              </w:rPr>
              <w:fldChar w:fldCharType="begin"/>
            </w:r>
            <w:r w:rsidR="00501C55" w:rsidRPr="00501C55">
              <w:rPr>
                <w:noProof/>
                <w:webHidden/>
              </w:rPr>
              <w:instrText xml:space="preserve"> PAGEREF _Toc183189344 \h </w:instrText>
            </w:r>
            <w:r w:rsidR="00501C55" w:rsidRPr="00501C55">
              <w:rPr>
                <w:noProof/>
                <w:webHidden/>
              </w:rPr>
            </w:r>
            <w:r w:rsidR="00501C55" w:rsidRPr="00501C55">
              <w:rPr>
                <w:noProof/>
                <w:webHidden/>
              </w:rPr>
              <w:fldChar w:fldCharType="separate"/>
            </w:r>
            <w:r w:rsidR="00A01F83">
              <w:rPr>
                <w:noProof/>
                <w:webHidden/>
              </w:rPr>
              <w:t>1</w:t>
            </w:r>
            <w:r w:rsidR="00501C55" w:rsidRPr="00501C55">
              <w:rPr>
                <w:noProof/>
                <w:webHidden/>
              </w:rPr>
              <w:fldChar w:fldCharType="end"/>
            </w:r>
          </w:hyperlink>
        </w:p>
        <w:p w14:paraId="7C09E092" w14:textId="67536E5F" w:rsidR="00501C55" w:rsidRPr="00501C55" w:rsidRDefault="009A0F61" w:rsidP="00501C55">
          <w:pPr>
            <w:pStyle w:val="TDC3"/>
            <w:rPr>
              <w:rFonts w:asciiTheme="minorHAnsi" w:eastAsiaTheme="minorEastAsia" w:hAnsiTheme="minorHAnsi" w:cstheme="minorBidi"/>
              <w:noProof/>
              <w:szCs w:val="22"/>
              <w:lang w:eastAsia="es-MX"/>
            </w:rPr>
          </w:pPr>
          <w:hyperlink w:anchor="_Toc183189345" w:history="1">
            <w:r w:rsidR="00501C55" w:rsidRPr="00501C55">
              <w:rPr>
                <w:rStyle w:val="Hipervnculo"/>
                <w:noProof/>
                <w:color w:val="auto"/>
              </w:rPr>
              <w:t>a) Solicitud de información</w:t>
            </w:r>
            <w:r w:rsidR="00501C55" w:rsidRPr="00501C55">
              <w:rPr>
                <w:noProof/>
                <w:webHidden/>
              </w:rPr>
              <w:tab/>
            </w:r>
            <w:r w:rsidR="00501C55" w:rsidRPr="00501C55">
              <w:rPr>
                <w:noProof/>
                <w:webHidden/>
              </w:rPr>
              <w:fldChar w:fldCharType="begin"/>
            </w:r>
            <w:r w:rsidR="00501C55" w:rsidRPr="00501C55">
              <w:rPr>
                <w:noProof/>
                <w:webHidden/>
              </w:rPr>
              <w:instrText xml:space="preserve"> PAGEREF _Toc183189345 \h </w:instrText>
            </w:r>
            <w:r w:rsidR="00501C55" w:rsidRPr="00501C55">
              <w:rPr>
                <w:noProof/>
                <w:webHidden/>
              </w:rPr>
            </w:r>
            <w:r w:rsidR="00501C55" w:rsidRPr="00501C55">
              <w:rPr>
                <w:noProof/>
                <w:webHidden/>
              </w:rPr>
              <w:fldChar w:fldCharType="separate"/>
            </w:r>
            <w:r w:rsidR="00A01F83">
              <w:rPr>
                <w:noProof/>
                <w:webHidden/>
              </w:rPr>
              <w:t>1</w:t>
            </w:r>
            <w:r w:rsidR="00501C55" w:rsidRPr="00501C55">
              <w:rPr>
                <w:noProof/>
                <w:webHidden/>
              </w:rPr>
              <w:fldChar w:fldCharType="end"/>
            </w:r>
          </w:hyperlink>
        </w:p>
        <w:p w14:paraId="21F92F1C" w14:textId="3D762900" w:rsidR="00501C55" w:rsidRPr="00501C55" w:rsidRDefault="009A0F61" w:rsidP="00501C55">
          <w:pPr>
            <w:pStyle w:val="TDC3"/>
            <w:rPr>
              <w:rFonts w:asciiTheme="minorHAnsi" w:eastAsiaTheme="minorEastAsia" w:hAnsiTheme="minorHAnsi" w:cstheme="minorBidi"/>
              <w:noProof/>
              <w:szCs w:val="22"/>
              <w:lang w:eastAsia="es-MX"/>
            </w:rPr>
          </w:pPr>
          <w:hyperlink w:anchor="_Toc183189346" w:history="1">
            <w:r w:rsidR="00501C55" w:rsidRPr="00501C55">
              <w:rPr>
                <w:rStyle w:val="Hipervnculo"/>
                <w:noProof/>
                <w:color w:val="auto"/>
                <w:lang w:val="es-ES"/>
              </w:rPr>
              <w:t>b) Solicitud de aclaración</w:t>
            </w:r>
            <w:r w:rsidR="00501C55" w:rsidRPr="00501C55">
              <w:rPr>
                <w:noProof/>
                <w:webHidden/>
              </w:rPr>
              <w:tab/>
            </w:r>
            <w:r w:rsidR="00501C55" w:rsidRPr="00501C55">
              <w:rPr>
                <w:noProof/>
                <w:webHidden/>
              </w:rPr>
              <w:fldChar w:fldCharType="begin"/>
            </w:r>
            <w:r w:rsidR="00501C55" w:rsidRPr="00501C55">
              <w:rPr>
                <w:noProof/>
                <w:webHidden/>
              </w:rPr>
              <w:instrText xml:space="preserve"> PAGEREF _Toc183189346 \h </w:instrText>
            </w:r>
            <w:r w:rsidR="00501C55" w:rsidRPr="00501C55">
              <w:rPr>
                <w:noProof/>
                <w:webHidden/>
              </w:rPr>
            </w:r>
            <w:r w:rsidR="00501C55" w:rsidRPr="00501C55">
              <w:rPr>
                <w:noProof/>
                <w:webHidden/>
              </w:rPr>
              <w:fldChar w:fldCharType="separate"/>
            </w:r>
            <w:r w:rsidR="00A01F83">
              <w:rPr>
                <w:noProof/>
                <w:webHidden/>
              </w:rPr>
              <w:t>3</w:t>
            </w:r>
            <w:r w:rsidR="00501C55" w:rsidRPr="00501C55">
              <w:rPr>
                <w:noProof/>
                <w:webHidden/>
              </w:rPr>
              <w:fldChar w:fldCharType="end"/>
            </w:r>
          </w:hyperlink>
        </w:p>
        <w:p w14:paraId="6F911891" w14:textId="26201799" w:rsidR="00501C55" w:rsidRPr="00501C55" w:rsidRDefault="009A0F61" w:rsidP="00501C55">
          <w:pPr>
            <w:pStyle w:val="TDC3"/>
            <w:rPr>
              <w:rFonts w:asciiTheme="minorHAnsi" w:eastAsiaTheme="minorEastAsia" w:hAnsiTheme="minorHAnsi" w:cstheme="minorBidi"/>
              <w:noProof/>
              <w:szCs w:val="22"/>
              <w:lang w:eastAsia="es-MX"/>
            </w:rPr>
          </w:pPr>
          <w:hyperlink w:anchor="_Toc183189347" w:history="1">
            <w:r w:rsidR="00501C55" w:rsidRPr="00501C55">
              <w:rPr>
                <w:rStyle w:val="Hipervnculo"/>
                <w:noProof/>
                <w:color w:val="auto"/>
                <w:lang w:val="es-ES"/>
              </w:rPr>
              <w:t>c) Aclaración</w:t>
            </w:r>
            <w:r w:rsidR="00501C55" w:rsidRPr="00501C55">
              <w:rPr>
                <w:noProof/>
                <w:webHidden/>
              </w:rPr>
              <w:tab/>
            </w:r>
            <w:r w:rsidR="00501C55" w:rsidRPr="00501C55">
              <w:rPr>
                <w:noProof/>
                <w:webHidden/>
              </w:rPr>
              <w:fldChar w:fldCharType="begin"/>
            </w:r>
            <w:r w:rsidR="00501C55" w:rsidRPr="00501C55">
              <w:rPr>
                <w:noProof/>
                <w:webHidden/>
              </w:rPr>
              <w:instrText xml:space="preserve"> PAGEREF _Toc183189347 \h </w:instrText>
            </w:r>
            <w:r w:rsidR="00501C55" w:rsidRPr="00501C55">
              <w:rPr>
                <w:noProof/>
                <w:webHidden/>
              </w:rPr>
            </w:r>
            <w:r w:rsidR="00501C55" w:rsidRPr="00501C55">
              <w:rPr>
                <w:noProof/>
                <w:webHidden/>
              </w:rPr>
              <w:fldChar w:fldCharType="separate"/>
            </w:r>
            <w:r w:rsidR="00A01F83">
              <w:rPr>
                <w:noProof/>
                <w:webHidden/>
              </w:rPr>
              <w:t>4</w:t>
            </w:r>
            <w:r w:rsidR="00501C55" w:rsidRPr="00501C55">
              <w:rPr>
                <w:noProof/>
                <w:webHidden/>
              </w:rPr>
              <w:fldChar w:fldCharType="end"/>
            </w:r>
          </w:hyperlink>
        </w:p>
        <w:p w14:paraId="2C6852E3" w14:textId="27437232" w:rsidR="00501C55" w:rsidRPr="00501C55" w:rsidRDefault="009A0F61" w:rsidP="00501C55">
          <w:pPr>
            <w:pStyle w:val="TDC3"/>
            <w:rPr>
              <w:rFonts w:asciiTheme="minorHAnsi" w:eastAsiaTheme="minorEastAsia" w:hAnsiTheme="minorHAnsi" w:cstheme="minorBidi"/>
              <w:noProof/>
              <w:szCs w:val="22"/>
              <w:lang w:eastAsia="es-MX"/>
            </w:rPr>
          </w:pPr>
          <w:hyperlink w:anchor="_Toc183189348" w:history="1">
            <w:r w:rsidR="00501C55" w:rsidRPr="00501C55">
              <w:rPr>
                <w:rStyle w:val="Hipervnculo"/>
                <w:noProof/>
                <w:color w:val="auto"/>
              </w:rPr>
              <w:t>d) Turno de la solicitud de información</w:t>
            </w:r>
            <w:r w:rsidR="00501C55" w:rsidRPr="00501C55">
              <w:rPr>
                <w:noProof/>
                <w:webHidden/>
              </w:rPr>
              <w:tab/>
            </w:r>
            <w:r w:rsidR="00501C55" w:rsidRPr="00501C55">
              <w:rPr>
                <w:noProof/>
                <w:webHidden/>
              </w:rPr>
              <w:fldChar w:fldCharType="begin"/>
            </w:r>
            <w:r w:rsidR="00501C55" w:rsidRPr="00501C55">
              <w:rPr>
                <w:noProof/>
                <w:webHidden/>
              </w:rPr>
              <w:instrText xml:space="preserve"> PAGEREF _Toc183189348 \h </w:instrText>
            </w:r>
            <w:r w:rsidR="00501C55" w:rsidRPr="00501C55">
              <w:rPr>
                <w:noProof/>
                <w:webHidden/>
              </w:rPr>
            </w:r>
            <w:r w:rsidR="00501C55" w:rsidRPr="00501C55">
              <w:rPr>
                <w:noProof/>
                <w:webHidden/>
              </w:rPr>
              <w:fldChar w:fldCharType="separate"/>
            </w:r>
            <w:r w:rsidR="00A01F83">
              <w:rPr>
                <w:noProof/>
                <w:webHidden/>
              </w:rPr>
              <w:t>4</w:t>
            </w:r>
            <w:r w:rsidR="00501C55" w:rsidRPr="00501C55">
              <w:rPr>
                <w:noProof/>
                <w:webHidden/>
              </w:rPr>
              <w:fldChar w:fldCharType="end"/>
            </w:r>
          </w:hyperlink>
        </w:p>
        <w:p w14:paraId="39408AA2" w14:textId="69ADFEDA" w:rsidR="00501C55" w:rsidRPr="00501C55" w:rsidRDefault="009A0F61" w:rsidP="00501C55">
          <w:pPr>
            <w:pStyle w:val="TDC3"/>
            <w:rPr>
              <w:rFonts w:asciiTheme="minorHAnsi" w:eastAsiaTheme="minorEastAsia" w:hAnsiTheme="minorHAnsi" w:cstheme="minorBidi"/>
              <w:noProof/>
              <w:szCs w:val="22"/>
              <w:lang w:eastAsia="es-MX"/>
            </w:rPr>
          </w:pPr>
          <w:hyperlink w:anchor="_Toc183189349" w:history="1">
            <w:r w:rsidR="00501C55" w:rsidRPr="00501C55">
              <w:rPr>
                <w:rStyle w:val="Hipervnculo"/>
                <w:noProof/>
                <w:color w:val="auto"/>
              </w:rPr>
              <w:t xml:space="preserve">e) </w:t>
            </w:r>
            <w:r w:rsidR="00501C55" w:rsidRPr="00501C55">
              <w:rPr>
                <w:rStyle w:val="Hipervnculo"/>
                <w:noProof/>
                <w:color w:val="auto"/>
                <w:lang w:val="es-ES"/>
              </w:rPr>
              <w:t xml:space="preserve">Respuesta </w:t>
            </w:r>
            <w:r w:rsidR="00501C55" w:rsidRPr="00501C55">
              <w:rPr>
                <w:rStyle w:val="Hipervnculo"/>
                <w:rFonts w:eastAsia="Calibri"/>
                <w:noProof/>
                <w:color w:val="auto"/>
                <w:lang w:eastAsia="en-US"/>
              </w:rPr>
              <w:t>del Sujeto Obligado</w:t>
            </w:r>
            <w:r w:rsidR="00501C55" w:rsidRPr="00501C55">
              <w:rPr>
                <w:noProof/>
                <w:webHidden/>
              </w:rPr>
              <w:tab/>
            </w:r>
            <w:r w:rsidR="00501C55" w:rsidRPr="00501C55">
              <w:rPr>
                <w:noProof/>
                <w:webHidden/>
              </w:rPr>
              <w:fldChar w:fldCharType="begin"/>
            </w:r>
            <w:r w:rsidR="00501C55" w:rsidRPr="00501C55">
              <w:rPr>
                <w:noProof/>
                <w:webHidden/>
              </w:rPr>
              <w:instrText xml:space="preserve"> PAGEREF _Toc183189349 \h </w:instrText>
            </w:r>
            <w:r w:rsidR="00501C55" w:rsidRPr="00501C55">
              <w:rPr>
                <w:noProof/>
                <w:webHidden/>
              </w:rPr>
            </w:r>
            <w:r w:rsidR="00501C55" w:rsidRPr="00501C55">
              <w:rPr>
                <w:noProof/>
                <w:webHidden/>
              </w:rPr>
              <w:fldChar w:fldCharType="separate"/>
            </w:r>
            <w:r w:rsidR="00A01F83">
              <w:rPr>
                <w:noProof/>
                <w:webHidden/>
              </w:rPr>
              <w:t>4</w:t>
            </w:r>
            <w:r w:rsidR="00501C55" w:rsidRPr="00501C55">
              <w:rPr>
                <w:noProof/>
                <w:webHidden/>
              </w:rPr>
              <w:fldChar w:fldCharType="end"/>
            </w:r>
          </w:hyperlink>
        </w:p>
        <w:p w14:paraId="7C133D38" w14:textId="7F3677B4" w:rsidR="00501C55" w:rsidRPr="00501C55" w:rsidRDefault="009A0F61" w:rsidP="00501C55">
          <w:pPr>
            <w:pStyle w:val="TDC2"/>
            <w:rPr>
              <w:rFonts w:asciiTheme="minorHAnsi" w:eastAsiaTheme="minorEastAsia" w:hAnsiTheme="minorHAnsi" w:cstheme="minorBidi"/>
              <w:noProof/>
              <w:szCs w:val="22"/>
              <w:lang w:eastAsia="es-MX"/>
            </w:rPr>
          </w:pPr>
          <w:hyperlink w:anchor="_Toc183189350" w:history="1">
            <w:r w:rsidR="00501C55" w:rsidRPr="00501C55">
              <w:rPr>
                <w:rStyle w:val="Hipervnculo"/>
                <w:noProof/>
                <w:color w:val="auto"/>
              </w:rPr>
              <w:t>DEL RECURSO DE REVISIÓN</w:t>
            </w:r>
            <w:r w:rsidR="00501C55" w:rsidRPr="00501C55">
              <w:rPr>
                <w:noProof/>
                <w:webHidden/>
              </w:rPr>
              <w:tab/>
            </w:r>
            <w:r w:rsidR="00501C55" w:rsidRPr="00501C55">
              <w:rPr>
                <w:noProof/>
                <w:webHidden/>
              </w:rPr>
              <w:fldChar w:fldCharType="begin"/>
            </w:r>
            <w:r w:rsidR="00501C55" w:rsidRPr="00501C55">
              <w:rPr>
                <w:noProof/>
                <w:webHidden/>
              </w:rPr>
              <w:instrText xml:space="preserve"> PAGEREF _Toc183189350 \h </w:instrText>
            </w:r>
            <w:r w:rsidR="00501C55" w:rsidRPr="00501C55">
              <w:rPr>
                <w:noProof/>
                <w:webHidden/>
              </w:rPr>
            </w:r>
            <w:r w:rsidR="00501C55" w:rsidRPr="00501C55">
              <w:rPr>
                <w:noProof/>
                <w:webHidden/>
              </w:rPr>
              <w:fldChar w:fldCharType="separate"/>
            </w:r>
            <w:r w:rsidR="00A01F83">
              <w:rPr>
                <w:noProof/>
                <w:webHidden/>
              </w:rPr>
              <w:t>6</w:t>
            </w:r>
            <w:r w:rsidR="00501C55" w:rsidRPr="00501C55">
              <w:rPr>
                <w:noProof/>
                <w:webHidden/>
              </w:rPr>
              <w:fldChar w:fldCharType="end"/>
            </w:r>
          </w:hyperlink>
        </w:p>
        <w:p w14:paraId="09207B6B" w14:textId="6CBC4308" w:rsidR="00501C55" w:rsidRPr="00501C55" w:rsidRDefault="009A0F61" w:rsidP="00501C55">
          <w:pPr>
            <w:pStyle w:val="TDC3"/>
            <w:rPr>
              <w:rFonts w:asciiTheme="minorHAnsi" w:eastAsiaTheme="minorEastAsia" w:hAnsiTheme="minorHAnsi" w:cstheme="minorBidi"/>
              <w:noProof/>
              <w:szCs w:val="22"/>
              <w:lang w:eastAsia="es-MX"/>
            </w:rPr>
          </w:pPr>
          <w:hyperlink w:anchor="_Toc183189351" w:history="1">
            <w:r w:rsidR="00501C55" w:rsidRPr="00501C55">
              <w:rPr>
                <w:rStyle w:val="Hipervnculo"/>
                <w:noProof/>
                <w:color w:val="auto"/>
              </w:rPr>
              <w:t>a) Interposición del Recurso de Revisión</w:t>
            </w:r>
            <w:r w:rsidR="00501C55" w:rsidRPr="00501C55">
              <w:rPr>
                <w:noProof/>
                <w:webHidden/>
              </w:rPr>
              <w:tab/>
            </w:r>
            <w:r w:rsidR="00501C55" w:rsidRPr="00501C55">
              <w:rPr>
                <w:noProof/>
                <w:webHidden/>
              </w:rPr>
              <w:fldChar w:fldCharType="begin"/>
            </w:r>
            <w:r w:rsidR="00501C55" w:rsidRPr="00501C55">
              <w:rPr>
                <w:noProof/>
                <w:webHidden/>
              </w:rPr>
              <w:instrText xml:space="preserve"> PAGEREF _Toc183189351 \h </w:instrText>
            </w:r>
            <w:r w:rsidR="00501C55" w:rsidRPr="00501C55">
              <w:rPr>
                <w:noProof/>
                <w:webHidden/>
              </w:rPr>
            </w:r>
            <w:r w:rsidR="00501C55" w:rsidRPr="00501C55">
              <w:rPr>
                <w:noProof/>
                <w:webHidden/>
              </w:rPr>
              <w:fldChar w:fldCharType="separate"/>
            </w:r>
            <w:r w:rsidR="00A01F83">
              <w:rPr>
                <w:noProof/>
                <w:webHidden/>
              </w:rPr>
              <w:t>6</w:t>
            </w:r>
            <w:r w:rsidR="00501C55" w:rsidRPr="00501C55">
              <w:rPr>
                <w:noProof/>
                <w:webHidden/>
              </w:rPr>
              <w:fldChar w:fldCharType="end"/>
            </w:r>
          </w:hyperlink>
        </w:p>
        <w:p w14:paraId="3E2B64E7" w14:textId="40FCBB34" w:rsidR="00501C55" w:rsidRPr="00501C55" w:rsidRDefault="009A0F61" w:rsidP="00501C55">
          <w:pPr>
            <w:pStyle w:val="TDC3"/>
            <w:rPr>
              <w:rFonts w:asciiTheme="minorHAnsi" w:eastAsiaTheme="minorEastAsia" w:hAnsiTheme="minorHAnsi" w:cstheme="minorBidi"/>
              <w:noProof/>
              <w:szCs w:val="22"/>
              <w:lang w:eastAsia="es-MX"/>
            </w:rPr>
          </w:pPr>
          <w:hyperlink w:anchor="_Toc183189352" w:history="1">
            <w:r w:rsidR="00501C55" w:rsidRPr="00501C55">
              <w:rPr>
                <w:rStyle w:val="Hipervnculo"/>
                <w:noProof/>
                <w:color w:val="auto"/>
              </w:rPr>
              <w:t>b) Turno del Recurso de Revisión</w:t>
            </w:r>
            <w:r w:rsidR="00501C55" w:rsidRPr="00501C55">
              <w:rPr>
                <w:noProof/>
                <w:webHidden/>
              </w:rPr>
              <w:tab/>
            </w:r>
            <w:r w:rsidR="00501C55" w:rsidRPr="00501C55">
              <w:rPr>
                <w:noProof/>
                <w:webHidden/>
              </w:rPr>
              <w:fldChar w:fldCharType="begin"/>
            </w:r>
            <w:r w:rsidR="00501C55" w:rsidRPr="00501C55">
              <w:rPr>
                <w:noProof/>
                <w:webHidden/>
              </w:rPr>
              <w:instrText xml:space="preserve"> PAGEREF _Toc183189352 \h </w:instrText>
            </w:r>
            <w:r w:rsidR="00501C55" w:rsidRPr="00501C55">
              <w:rPr>
                <w:noProof/>
                <w:webHidden/>
              </w:rPr>
            </w:r>
            <w:r w:rsidR="00501C55" w:rsidRPr="00501C55">
              <w:rPr>
                <w:noProof/>
                <w:webHidden/>
              </w:rPr>
              <w:fldChar w:fldCharType="separate"/>
            </w:r>
            <w:r w:rsidR="00A01F83">
              <w:rPr>
                <w:noProof/>
                <w:webHidden/>
              </w:rPr>
              <w:t>7</w:t>
            </w:r>
            <w:r w:rsidR="00501C55" w:rsidRPr="00501C55">
              <w:rPr>
                <w:noProof/>
                <w:webHidden/>
              </w:rPr>
              <w:fldChar w:fldCharType="end"/>
            </w:r>
          </w:hyperlink>
        </w:p>
        <w:p w14:paraId="21CAD221" w14:textId="24B7980D" w:rsidR="00501C55" w:rsidRPr="00501C55" w:rsidRDefault="009A0F61" w:rsidP="00501C55">
          <w:pPr>
            <w:pStyle w:val="TDC3"/>
            <w:rPr>
              <w:rFonts w:asciiTheme="minorHAnsi" w:eastAsiaTheme="minorEastAsia" w:hAnsiTheme="minorHAnsi" w:cstheme="minorBidi"/>
              <w:noProof/>
              <w:szCs w:val="22"/>
              <w:lang w:eastAsia="es-MX"/>
            </w:rPr>
          </w:pPr>
          <w:hyperlink w:anchor="_Toc183189353" w:history="1">
            <w:r w:rsidR="00501C55" w:rsidRPr="00501C55">
              <w:rPr>
                <w:rStyle w:val="Hipervnculo"/>
                <w:noProof/>
                <w:color w:val="auto"/>
              </w:rPr>
              <w:t>c) Admisión del Recurso de Revisión</w:t>
            </w:r>
            <w:r w:rsidR="00501C55" w:rsidRPr="00501C55">
              <w:rPr>
                <w:noProof/>
                <w:webHidden/>
              </w:rPr>
              <w:tab/>
            </w:r>
            <w:r w:rsidR="00501C55" w:rsidRPr="00501C55">
              <w:rPr>
                <w:noProof/>
                <w:webHidden/>
              </w:rPr>
              <w:fldChar w:fldCharType="begin"/>
            </w:r>
            <w:r w:rsidR="00501C55" w:rsidRPr="00501C55">
              <w:rPr>
                <w:noProof/>
                <w:webHidden/>
              </w:rPr>
              <w:instrText xml:space="preserve"> PAGEREF _Toc183189353 \h </w:instrText>
            </w:r>
            <w:r w:rsidR="00501C55" w:rsidRPr="00501C55">
              <w:rPr>
                <w:noProof/>
                <w:webHidden/>
              </w:rPr>
            </w:r>
            <w:r w:rsidR="00501C55" w:rsidRPr="00501C55">
              <w:rPr>
                <w:noProof/>
                <w:webHidden/>
              </w:rPr>
              <w:fldChar w:fldCharType="separate"/>
            </w:r>
            <w:r w:rsidR="00A01F83">
              <w:rPr>
                <w:noProof/>
                <w:webHidden/>
              </w:rPr>
              <w:t>7</w:t>
            </w:r>
            <w:r w:rsidR="00501C55" w:rsidRPr="00501C55">
              <w:rPr>
                <w:noProof/>
                <w:webHidden/>
              </w:rPr>
              <w:fldChar w:fldCharType="end"/>
            </w:r>
          </w:hyperlink>
        </w:p>
        <w:p w14:paraId="7CEBF827" w14:textId="490CD9DF" w:rsidR="00501C55" w:rsidRPr="00501C55" w:rsidRDefault="009A0F61" w:rsidP="00501C55">
          <w:pPr>
            <w:pStyle w:val="TDC3"/>
            <w:rPr>
              <w:rFonts w:asciiTheme="minorHAnsi" w:eastAsiaTheme="minorEastAsia" w:hAnsiTheme="minorHAnsi" w:cstheme="minorBidi"/>
              <w:noProof/>
              <w:szCs w:val="22"/>
              <w:lang w:eastAsia="es-MX"/>
            </w:rPr>
          </w:pPr>
          <w:hyperlink w:anchor="_Toc183189354" w:history="1">
            <w:r w:rsidR="00501C55" w:rsidRPr="00501C55">
              <w:rPr>
                <w:rStyle w:val="Hipervnculo"/>
                <w:noProof/>
                <w:color w:val="auto"/>
              </w:rPr>
              <w:t>d) Informe Justificado del Sujeto Obligado</w:t>
            </w:r>
            <w:r w:rsidR="00501C55" w:rsidRPr="00501C55">
              <w:rPr>
                <w:noProof/>
                <w:webHidden/>
              </w:rPr>
              <w:tab/>
            </w:r>
            <w:r w:rsidR="00501C55" w:rsidRPr="00501C55">
              <w:rPr>
                <w:noProof/>
                <w:webHidden/>
              </w:rPr>
              <w:fldChar w:fldCharType="begin"/>
            </w:r>
            <w:r w:rsidR="00501C55" w:rsidRPr="00501C55">
              <w:rPr>
                <w:noProof/>
                <w:webHidden/>
              </w:rPr>
              <w:instrText xml:space="preserve"> PAGEREF _Toc183189354 \h </w:instrText>
            </w:r>
            <w:r w:rsidR="00501C55" w:rsidRPr="00501C55">
              <w:rPr>
                <w:noProof/>
                <w:webHidden/>
              </w:rPr>
            </w:r>
            <w:r w:rsidR="00501C55" w:rsidRPr="00501C55">
              <w:rPr>
                <w:noProof/>
                <w:webHidden/>
              </w:rPr>
              <w:fldChar w:fldCharType="separate"/>
            </w:r>
            <w:r w:rsidR="00A01F83">
              <w:rPr>
                <w:noProof/>
                <w:webHidden/>
              </w:rPr>
              <w:t>8</w:t>
            </w:r>
            <w:r w:rsidR="00501C55" w:rsidRPr="00501C55">
              <w:rPr>
                <w:noProof/>
                <w:webHidden/>
              </w:rPr>
              <w:fldChar w:fldCharType="end"/>
            </w:r>
          </w:hyperlink>
        </w:p>
        <w:p w14:paraId="039BEAE8" w14:textId="6ADB16B5" w:rsidR="00501C55" w:rsidRPr="00501C55" w:rsidRDefault="009A0F61" w:rsidP="00501C55">
          <w:pPr>
            <w:pStyle w:val="TDC3"/>
            <w:rPr>
              <w:rFonts w:asciiTheme="minorHAnsi" w:eastAsiaTheme="minorEastAsia" w:hAnsiTheme="minorHAnsi" w:cstheme="minorBidi"/>
              <w:noProof/>
              <w:szCs w:val="22"/>
              <w:lang w:eastAsia="es-MX"/>
            </w:rPr>
          </w:pPr>
          <w:hyperlink w:anchor="_Toc183189355" w:history="1">
            <w:r w:rsidR="00501C55" w:rsidRPr="00501C55">
              <w:rPr>
                <w:rStyle w:val="Hipervnculo"/>
                <w:rFonts w:eastAsia="Calibri"/>
                <w:bCs/>
                <w:noProof/>
                <w:color w:val="auto"/>
                <w:lang w:eastAsia="en-US"/>
              </w:rPr>
              <w:t>f)</w:t>
            </w:r>
            <w:r w:rsidR="00501C55" w:rsidRPr="00501C55">
              <w:rPr>
                <w:rStyle w:val="Hipervnculo"/>
                <w:noProof/>
                <w:color w:val="auto"/>
              </w:rPr>
              <w:t xml:space="preserve"> </w:t>
            </w:r>
            <w:r w:rsidR="00501C55" w:rsidRPr="00501C55">
              <w:rPr>
                <w:rStyle w:val="Hipervnculo"/>
                <w:noProof/>
                <w:color w:val="auto"/>
                <w:lang w:val="es-ES"/>
              </w:rPr>
              <w:t>Manifestaciones de la Parte Recurrente</w:t>
            </w:r>
            <w:r w:rsidR="00501C55" w:rsidRPr="00501C55">
              <w:rPr>
                <w:noProof/>
                <w:webHidden/>
              </w:rPr>
              <w:tab/>
            </w:r>
            <w:r w:rsidR="00501C55" w:rsidRPr="00501C55">
              <w:rPr>
                <w:noProof/>
                <w:webHidden/>
              </w:rPr>
              <w:fldChar w:fldCharType="begin"/>
            </w:r>
            <w:r w:rsidR="00501C55" w:rsidRPr="00501C55">
              <w:rPr>
                <w:noProof/>
                <w:webHidden/>
              </w:rPr>
              <w:instrText xml:space="preserve"> PAGEREF _Toc183189355 \h </w:instrText>
            </w:r>
            <w:r w:rsidR="00501C55" w:rsidRPr="00501C55">
              <w:rPr>
                <w:noProof/>
                <w:webHidden/>
              </w:rPr>
            </w:r>
            <w:r w:rsidR="00501C55" w:rsidRPr="00501C55">
              <w:rPr>
                <w:noProof/>
                <w:webHidden/>
              </w:rPr>
              <w:fldChar w:fldCharType="separate"/>
            </w:r>
            <w:r w:rsidR="00A01F83">
              <w:rPr>
                <w:noProof/>
                <w:webHidden/>
              </w:rPr>
              <w:t>8</w:t>
            </w:r>
            <w:r w:rsidR="00501C55" w:rsidRPr="00501C55">
              <w:rPr>
                <w:noProof/>
                <w:webHidden/>
              </w:rPr>
              <w:fldChar w:fldCharType="end"/>
            </w:r>
          </w:hyperlink>
        </w:p>
        <w:p w14:paraId="0F8F67C7" w14:textId="0441C026" w:rsidR="00501C55" w:rsidRPr="00501C55" w:rsidRDefault="009A0F61" w:rsidP="00501C55">
          <w:pPr>
            <w:pStyle w:val="TDC3"/>
            <w:rPr>
              <w:rFonts w:asciiTheme="minorHAnsi" w:eastAsiaTheme="minorEastAsia" w:hAnsiTheme="minorHAnsi" w:cstheme="minorBidi"/>
              <w:noProof/>
              <w:szCs w:val="22"/>
              <w:lang w:eastAsia="es-MX"/>
            </w:rPr>
          </w:pPr>
          <w:hyperlink w:anchor="_Toc183189356" w:history="1">
            <w:r w:rsidR="00501C55" w:rsidRPr="00501C55">
              <w:rPr>
                <w:rStyle w:val="Hipervnculo"/>
                <w:rFonts w:eastAsia="Calibri"/>
                <w:noProof/>
                <w:color w:val="auto"/>
              </w:rPr>
              <w:t>g) Ampliación de plazo para resolver el Recurso de Revisión</w:t>
            </w:r>
            <w:r w:rsidR="00501C55" w:rsidRPr="00501C55">
              <w:rPr>
                <w:noProof/>
                <w:webHidden/>
              </w:rPr>
              <w:tab/>
            </w:r>
            <w:r w:rsidR="00501C55" w:rsidRPr="00501C55">
              <w:rPr>
                <w:noProof/>
                <w:webHidden/>
              </w:rPr>
              <w:fldChar w:fldCharType="begin"/>
            </w:r>
            <w:r w:rsidR="00501C55" w:rsidRPr="00501C55">
              <w:rPr>
                <w:noProof/>
                <w:webHidden/>
              </w:rPr>
              <w:instrText xml:space="preserve"> PAGEREF _Toc183189356 \h </w:instrText>
            </w:r>
            <w:r w:rsidR="00501C55" w:rsidRPr="00501C55">
              <w:rPr>
                <w:noProof/>
                <w:webHidden/>
              </w:rPr>
            </w:r>
            <w:r w:rsidR="00501C55" w:rsidRPr="00501C55">
              <w:rPr>
                <w:noProof/>
                <w:webHidden/>
              </w:rPr>
              <w:fldChar w:fldCharType="separate"/>
            </w:r>
            <w:r w:rsidR="00A01F83">
              <w:rPr>
                <w:noProof/>
                <w:webHidden/>
              </w:rPr>
              <w:t>8</w:t>
            </w:r>
            <w:r w:rsidR="00501C55" w:rsidRPr="00501C55">
              <w:rPr>
                <w:noProof/>
                <w:webHidden/>
              </w:rPr>
              <w:fldChar w:fldCharType="end"/>
            </w:r>
          </w:hyperlink>
        </w:p>
        <w:p w14:paraId="0B8CF831" w14:textId="2A40202C" w:rsidR="00501C55" w:rsidRPr="00501C55" w:rsidRDefault="009A0F61" w:rsidP="00501C55">
          <w:pPr>
            <w:pStyle w:val="TDC3"/>
            <w:rPr>
              <w:rFonts w:asciiTheme="minorHAnsi" w:eastAsiaTheme="minorEastAsia" w:hAnsiTheme="minorHAnsi" w:cstheme="minorBidi"/>
              <w:noProof/>
              <w:szCs w:val="22"/>
              <w:lang w:eastAsia="es-MX"/>
            </w:rPr>
          </w:pPr>
          <w:hyperlink w:anchor="_Toc183189357" w:history="1">
            <w:r w:rsidR="00501C55" w:rsidRPr="00501C55">
              <w:rPr>
                <w:rStyle w:val="Hipervnculo"/>
                <w:noProof/>
                <w:color w:val="auto"/>
              </w:rPr>
              <w:t>h) Cierre de instrucción</w:t>
            </w:r>
            <w:r w:rsidR="00501C55" w:rsidRPr="00501C55">
              <w:rPr>
                <w:noProof/>
                <w:webHidden/>
              </w:rPr>
              <w:tab/>
            </w:r>
            <w:r w:rsidR="00501C55" w:rsidRPr="00501C55">
              <w:rPr>
                <w:noProof/>
                <w:webHidden/>
              </w:rPr>
              <w:fldChar w:fldCharType="begin"/>
            </w:r>
            <w:r w:rsidR="00501C55" w:rsidRPr="00501C55">
              <w:rPr>
                <w:noProof/>
                <w:webHidden/>
              </w:rPr>
              <w:instrText xml:space="preserve"> PAGEREF _Toc183189357 \h </w:instrText>
            </w:r>
            <w:r w:rsidR="00501C55" w:rsidRPr="00501C55">
              <w:rPr>
                <w:noProof/>
                <w:webHidden/>
              </w:rPr>
            </w:r>
            <w:r w:rsidR="00501C55" w:rsidRPr="00501C55">
              <w:rPr>
                <w:noProof/>
                <w:webHidden/>
              </w:rPr>
              <w:fldChar w:fldCharType="separate"/>
            </w:r>
            <w:r w:rsidR="00A01F83">
              <w:rPr>
                <w:noProof/>
                <w:webHidden/>
              </w:rPr>
              <w:t>11</w:t>
            </w:r>
            <w:r w:rsidR="00501C55" w:rsidRPr="00501C55">
              <w:rPr>
                <w:noProof/>
                <w:webHidden/>
              </w:rPr>
              <w:fldChar w:fldCharType="end"/>
            </w:r>
          </w:hyperlink>
        </w:p>
        <w:p w14:paraId="3A1A1A70" w14:textId="2768AF7B" w:rsidR="00501C55" w:rsidRPr="00501C55" w:rsidRDefault="009A0F61" w:rsidP="00501C55">
          <w:pPr>
            <w:pStyle w:val="TDC1"/>
            <w:tabs>
              <w:tab w:val="right" w:leader="dot" w:pos="9034"/>
            </w:tabs>
            <w:rPr>
              <w:rFonts w:asciiTheme="minorHAnsi" w:eastAsiaTheme="minorEastAsia" w:hAnsiTheme="minorHAnsi" w:cstheme="minorBidi"/>
              <w:noProof/>
              <w:szCs w:val="22"/>
              <w:lang w:eastAsia="es-MX"/>
            </w:rPr>
          </w:pPr>
          <w:hyperlink w:anchor="_Toc183189358" w:history="1">
            <w:r w:rsidR="00501C55" w:rsidRPr="00501C55">
              <w:rPr>
                <w:rStyle w:val="Hipervnculo"/>
                <w:rFonts w:eastAsiaTheme="minorHAnsi"/>
                <w:noProof/>
                <w:color w:val="auto"/>
                <w:lang w:eastAsia="en-US"/>
              </w:rPr>
              <w:t>CONSIDERANDOS</w:t>
            </w:r>
            <w:r w:rsidR="00501C55" w:rsidRPr="00501C55">
              <w:rPr>
                <w:noProof/>
                <w:webHidden/>
              </w:rPr>
              <w:tab/>
            </w:r>
            <w:r w:rsidR="00501C55" w:rsidRPr="00501C55">
              <w:rPr>
                <w:noProof/>
                <w:webHidden/>
              </w:rPr>
              <w:fldChar w:fldCharType="begin"/>
            </w:r>
            <w:r w:rsidR="00501C55" w:rsidRPr="00501C55">
              <w:rPr>
                <w:noProof/>
                <w:webHidden/>
              </w:rPr>
              <w:instrText xml:space="preserve"> PAGEREF _Toc183189358 \h </w:instrText>
            </w:r>
            <w:r w:rsidR="00501C55" w:rsidRPr="00501C55">
              <w:rPr>
                <w:noProof/>
                <w:webHidden/>
              </w:rPr>
            </w:r>
            <w:r w:rsidR="00501C55" w:rsidRPr="00501C55">
              <w:rPr>
                <w:noProof/>
                <w:webHidden/>
              </w:rPr>
              <w:fldChar w:fldCharType="separate"/>
            </w:r>
            <w:r w:rsidR="00A01F83">
              <w:rPr>
                <w:noProof/>
                <w:webHidden/>
              </w:rPr>
              <w:t>12</w:t>
            </w:r>
            <w:r w:rsidR="00501C55" w:rsidRPr="00501C55">
              <w:rPr>
                <w:noProof/>
                <w:webHidden/>
              </w:rPr>
              <w:fldChar w:fldCharType="end"/>
            </w:r>
          </w:hyperlink>
        </w:p>
        <w:p w14:paraId="1674FBBA" w14:textId="148DE13E" w:rsidR="00501C55" w:rsidRPr="00501C55" w:rsidRDefault="009A0F61" w:rsidP="00501C55">
          <w:pPr>
            <w:pStyle w:val="TDC2"/>
            <w:rPr>
              <w:rFonts w:asciiTheme="minorHAnsi" w:eastAsiaTheme="minorEastAsia" w:hAnsiTheme="minorHAnsi" w:cstheme="minorBidi"/>
              <w:noProof/>
              <w:szCs w:val="22"/>
              <w:lang w:eastAsia="es-MX"/>
            </w:rPr>
          </w:pPr>
          <w:hyperlink w:anchor="_Toc183189359" w:history="1">
            <w:r w:rsidR="00501C55" w:rsidRPr="00501C55">
              <w:rPr>
                <w:rStyle w:val="Hipervnculo"/>
                <w:rFonts w:eastAsia="Batang"/>
                <w:noProof/>
                <w:color w:val="auto"/>
              </w:rPr>
              <w:t>PRIMERO. Procedibilidad</w:t>
            </w:r>
            <w:r w:rsidR="00501C55" w:rsidRPr="00501C55">
              <w:rPr>
                <w:noProof/>
                <w:webHidden/>
              </w:rPr>
              <w:tab/>
            </w:r>
            <w:r w:rsidR="00501C55" w:rsidRPr="00501C55">
              <w:rPr>
                <w:noProof/>
                <w:webHidden/>
              </w:rPr>
              <w:fldChar w:fldCharType="begin"/>
            </w:r>
            <w:r w:rsidR="00501C55" w:rsidRPr="00501C55">
              <w:rPr>
                <w:noProof/>
                <w:webHidden/>
              </w:rPr>
              <w:instrText xml:space="preserve"> PAGEREF _Toc183189359 \h </w:instrText>
            </w:r>
            <w:r w:rsidR="00501C55" w:rsidRPr="00501C55">
              <w:rPr>
                <w:noProof/>
                <w:webHidden/>
              </w:rPr>
            </w:r>
            <w:r w:rsidR="00501C55" w:rsidRPr="00501C55">
              <w:rPr>
                <w:noProof/>
                <w:webHidden/>
              </w:rPr>
              <w:fldChar w:fldCharType="separate"/>
            </w:r>
            <w:r w:rsidR="00A01F83">
              <w:rPr>
                <w:noProof/>
                <w:webHidden/>
              </w:rPr>
              <w:t>12</w:t>
            </w:r>
            <w:r w:rsidR="00501C55" w:rsidRPr="00501C55">
              <w:rPr>
                <w:noProof/>
                <w:webHidden/>
              </w:rPr>
              <w:fldChar w:fldCharType="end"/>
            </w:r>
          </w:hyperlink>
        </w:p>
        <w:p w14:paraId="20E9DB86" w14:textId="7A94EA0C" w:rsidR="00501C55" w:rsidRPr="00501C55" w:rsidRDefault="009A0F61" w:rsidP="00501C55">
          <w:pPr>
            <w:pStyle w:val="TDC3"/>
            <w:rPr>
              <w:rFonts w:asciiTheme="minorHAnsi" w:eastAsiaTheme="minorEastAsia" w:hAnsiTheme="minorHAnsi" w:cstheme="minorBidi"/>
              <w:noProof/>
              <w:szCs w:val="22"/>
              <w:lang w:eastAsia="es-MX"/>
            </w:rPr>
          </w:pPr>
          <w:hyperlink w:anchor="_Toc183189360" w:history="1">
            <w:r w:rsidR="00501C55" w:rsidRPr="00501C55">
              <w:rPr>
                <w:rStyle w:val="Hipervnculo"/>
                <w:noProof/>
                <w:color w:val="auto"/>
              </w:rPr>
              <w:t>a) Competencia del Instituto</w:t>
            </w:r>
            <w:r w:rsidR="00501C55" w:rsidRPr="00501C55">
              <w:rPr>
                <w:noProof/>
                <w:webHidden/>
              </w:rPr>
              <w:tab/>
            </w:r>
            <w:r w:rsidR="00501C55" w:rsidRPr="00501C55">
              <w:rPr>
                <w:noProof/>
                <w:webHidden/>
              </w:rPr>
              <w:fldChar w:fldCharType="begin"/>
            </w:r>
            <w:r w:rsidR="00501C55" w:rsidRPr="00501C55">
              <w:rPr>
                <w:noProof/>
                <w:webHidden/>
              </w:rPr>
              <w:instrText xml:space="preserve"> PAGEREF _Toc183189360 \h </w:instrText>
            </w:r>
            <w:r w:rsidR="00501C55" w:rsidRPr="00501C55">
              <w:rPr>
                <w:noProof/>
                <w:webHidden/>
              </w:rPr>
            </w:r>
            <w:r w:rsidR="00501C55" w:rsidRPr="00501C55">
              <w:rPr>
                <w:noProof/>
                <w:webHidden/>
              </w:rPr>
              <w:fldChar w:fldCharType="separate"/>
            </w:r>
            <w:r w:rsidR="00A01F83">
              <w:rPr>
                <w:noProof/>
                <w:webHidden/>
              </w:rPr>
              <w:t>12</w:t>
            </w:r>
            <w:r w:rsidR="00501C55" w:rsidRPr="00501C55">
              <w:rPr>
                <w:noProof/>
                <w:webHidden/>
              </w:rPr>
              <w:fldChar w:fldCharType="end"/>
            </w:r>
          </w:hyperlink>
        </w:p>
        <w:p w14:paraId="46976C0F" w14:textId="16694DA6" w:rsidR="00501C55" w:rsidRPr="00501C55" w:rsidRDefault="009A0F61" w:rsidP="00501C55">
          <w:pPr>
            <w:pStyle w:val="TDC3"/>
            <w:rPr>
              <w:rFonts w:asciiTheme="minorHAnsi" w:eastAsiaTheme="minorEastAsia" w:hAnsiTheme="minorHAnsi" w:cstheme="minorBidi"/>
              <w:noProof/>
              <w:szCs w:val="22"/>
              <w:lang w:eastAsia="es-MX"/>
            </w:rPr>
          </w:pPr>
          <w:hyperlink w:anchor="_Toc183189361" w:history="1">
            <w:r w:rsidR="00501C55" w:rsidRPr="00501C55">
              <w:rPr>
                <w:rStyle w:val="Hipervnculo"/>
                <w:noProof/>
                <w:color w:val="auto"/>
              </w:rPr>
              <w:t>b) Legitimidad de la parte recurrente</w:t>
            </w:r>
            <w:r w:rsidR="00501C55" w:rsidRPr="00501C55">
              <w:rPr>
                <w:noProof/>
                <w:webHidden/>
              </w:rPr>
              <w:tab/>
            </w:r>
            <w:r w:rsidR="00501C55" w:rsidRPr="00501C55">
              <w:rPr>
                <w:noProof/>
                <w:webHidden/>
              </w:rPr>
              <w:fldChar w:fldCharType="begin"/>
            </w:r>
            <w:r w:rsidR="00501C55" w:rsidRPr="00501C55">
              <w:rPr>
                <w:noProof/>
                <w:webHidden/>
              </w:rPr>
              <w:instrText xml:space="preserve"> PAGEREF _Toc183189361 \h </w:instrText>
            </w:r>
            <w:r w:rsidR="00501C55" w:rsidRPr="00501C55">
              <w:rPr>
                <w:noProof/>
                <w:webHidden/>
              </w:rPr>
            </w:r>
            <w:r w:rsidR="00501C55" w:rsidRPr="00501C55">
              <w:rPr>
                <w:noProof/>
                <w:webHidden/>
              </w:rPr>
              <w:fldChar w:fldCharType="separate"/>
            </w:r>
            <w:r w:rsidR="00A01F83">
              <w:rPr>
                <w:noProof/>
                <w:webHidden/>
              </w:rPr>
              <w:t>12</w:t>
            </w:r>
            <w:r w:rsidR="00501C55" w:rsidRPr="00501C55">
              <w:rPr>
                <w:noProof/>
                <w:webHidden/>
              </w:rPr>
              <w:fldChar w:fldCharType="end"/>
            </w:r>
          </w:hyperlink>
        </w:p>
        <w:p w14:paraId="3A19671F" w14:textId="031565B5" w:rsidR="00501C55" w:rsidRPr="00501C55" w:rsidRDefault="009A0F61" w:rsidP="00501C55">
          <w:pPr>
            <w:pStyle w:val="TDC3"/>
            <w:rPr>
              <w:rFonts w:asciiTheme="minorHAnsi" w:eastAsiaTheme="minorEastAsia" w:hAnsiTheme="minorHAnsi" w:cstheme="minorBidi"/>
              <w:noProof/>
              <w:szCs w:val="22"/>
              <w:lang w:eastAsia="es-MX"/>
            </w:rPr>
          </w:pPr>
          <w:hyperlink w:anchor="_Toc183189362" w:history="1">
            <w:r w:rsidR="00501C55" w:rsidRPr="00501C55">
              <w:rPr>
                <w:rStyle w:val="Hipervnculo"/>
                <w:rFonts w:eastAsia="Calibri"/>
                <w:noProof/>
                <w:color w:val="auto"/>
                <w:lang w:eastAsia="es-ES_tradnl"/>
              </w:rPr>
              <w:t>c) Plazo para interponer el recurso</w:t>
            </w:r>
            <w:r w:rsidR="00501C55" w:rsidRPr="00501C55">
              <w:rPr>
                <w:noProof/>
                <w:webHidden/>
              </w:rPr>
              <w:tab/>
            </w:r>
            <w:r w:rsidR="00501C55" w:rsidRPr="00501C55">
              <w:rPr>
                <w:noProof/>
                <w:webHidden/>
              </w:rPr>
              <w:fldChar w:fldCharType="begin"/>
            </w:r>
            <w:r w:rsidR="00501C55" w:rsidRPr="00501C55">
              <w:rPr>
                <w:noProof/>
                <w:webHidden/>
              </w:rPr>
              <w:instrText xml:space="preserve"> PAGEREF _Toc183189362 \h </w:instrText>
            </w:r>
            <w:r w:rsidR="00501C55" w:rsidRPr="00501C55">
              <w:rPr>
                <w:noProof/>
                <w:webHidden/>
              </w:rPr>
            </w:r>
            <w:r w:rsidR="00501C55" w:rsidRPr="00501C55">
              <w:rPr>
                <w:noProof/>
                <w:webHidden/>
              </w:rPr>
              <w:fldChar w:fldCharType="separate"/>
            </w:r>
            <w:r w:rsidR="00A01F83">
              <w:rPr>
                <w:noProof/>
                <w:webHidden/>
              </w:rPr>
              <w:t>12</w:t>
            </w:r>
            <w:r w:rsidR="00501C55" w:rsidRPr="00501C55">
              <w:rPr>
                <w:noProof/>
                <w:webHidden/>
              </w:rPr>
              <w:fldChar w:fldCharType="end"/>
            </w:r>
          </w:hyperlink>
        </w:p>
        <w:p w14:paraId="7B95EAC6" w14:textId="2D4246A2" w:rsidR="00501C55" w:rsidRPr="00501C55" w:rsidRDefault="009A0F61" w:rsidP="00501C55">
          <w:pPr>
            <w:pStyle w:val="TDC3"/>
            <w:rPr>
              <w:rFonts w:asciiTheme="minorHAnsi" w:eastAsiaTheme="minorEastAsia" w:hAnsiTheme="minorHAnsi" w:cstheme="minorBidi"/>
              <w:noProof/>
              <w:szCs w:val="22"/>
              <w:lang w:eastAsia="es-MX"/>
            </w:rPr>
          </w:pPr>
          <w:hyperlink w:anchor="_Toc183189363" w:history="1">
            <w:r w:rsidR="00501C55" w:rsidRPr="00501C55">
              <w:rPr>
                <w:rStyle w:val="Hipervnculo"/>
                <w:rFonts w:eastAsia="Calibri"/>
                <w:noProof/>
                <w:color w:val="auto"/>
                <w:lang w:eastAsia="es-ES_tradnl"/>
              </w:rPr>
              <w:t>d) Causal de Procedencia</w:t>
            </w:r>
            <w:r w:rsidR="00501C55" w:rsidRPr="00501C55">
              <w:rPr>
                <w:noProof/>
                <w:webHidden/>
              </w:rPr>
              <w:tab/>
            </w:r>
            <w:r w:rsidR="00501C55" w:rsidRPr="00501C55">
              <w:rPr>
                <w:noProof/>
                <w:webHidden/>
              </w:rPr>
              <w:fldChar w:fldCharType="begin"/>
            </w:r>
            <w:r w:rsidR="00501C55" w:rsidRPr="00501C55">
              <w:rPr>
                <w:noProof/>
                <w:webHidden/>
              </w:rPr>
              <w:instrText xml:space="preserve"> PAGEREF _Toc183189363 \h </w:instrText>
            </w:r>
            <w:r w:rsidR="00501C55" w:rsidRPr="00501C55">
              <w:rPr>
                <w:noProof/>
                <w:webHidden/>
              </w:rPr>
            </w:r>
            <w:r w:rsidR="00501C55" w:rsidRPr="00501C55">
              <w:rPr>
                <w:noProof/>
                <w:webHidden/>
              </w:rPr>
              <w:fldChar w:fldCharType="separate"/>
            </w:r>
            <w:r w:rsidR="00A01F83">
              <w:rPr>
                <w:noProof/>
                <w:webHidden/>
              </w:rPr>
              <w:t>13</w:t>
            </w:r>
            <w:r w:rsidR="00501C55" w:rsidRPr="00501C55">
              <w:rPr>
                <w:noProof/>
                <w:webHidden/>
              </w:rPr>
              <w:fldChar w:fldCharType="end"/>
            </w:r>
          </w:hyperlink>
        </w:p>
        <w:p w14:paraId="415C97F4" w14:textId="25D1A97C" w:rsidR="00501C55" w:rsidRPr="00501C55" w:rsidRDefault="009A0F61" w:rsidP="00501C55">
          <w:pPr>
            <w:pStyle w:val="TDC3"/>
            <w:rPr>
              <w:rFonts w:asciiTheme="minorHAnsi" w:eastAsiaTheme="minorEastAsia" w:hAnsiTheme="minorHAnsi" w:cstheme="minorBidi"/>
              <w:noProof/>
              <w:szCs w:val="22"/>
              <w:lang w:eastAsia="es-MX"/>
            </w:rPr>
          </w:pPr>
          <w:hyperlink w:anchor="_Toc183189364" w:history="1">
            <w:r w:rsidR="00501C55" w:rsidRPr="00501C55">
              <w:rPr>
                <w:rStyle w:val="Hipervnculo"/>
                <w:noProof/>
                <w:color w:val="auto"/>
              </w:rPr>
              <w:t>e) Requisitos formales para la interposición del recurso</w:t>
            </w:r>
            <w:r w:rsidR="00501C55" w:rsidRPr="00501C55">
              <w:rPr>
                <w:noProof/>
                <w:webHidden/>
              </w:rPr>
              <w:tab/>
            </w:r>
            <w:r w:rsidR="00501C55" w:rsidRPr="00501C55">
              <w:rPr>
                <w:noProof/>
                <w:webHidden/>
              </w:rPr>
              <w:fldChar w:fldCharType="begin"/>
            </w:r>
            <w:r w:rsidR="00501C55" w:rsidRPr="00501C55">
              <w:rPr>
                <w:noProof/>
                <w:webHidden/>
              </w:rPr>
              <w:instrText xml:space="preserve"> PAGEREF _Toc183189364 \h </w:instrText>
            </w:r>
            <w:r w:rsidR="00501C55" w:rsidRPr="00501C55">
              <w:rPr>
                <w:noProof/>
                <w:webHidden/>
              </w:rPr>
            </w:r>
            <w:r w:rsidR="00501C55" w:rsidRPr="00501C55">
              <w:rPr>
                <w:noProof/>
                <w:webHidden/>
              </w:rPr>
              <w:fldChar w:fldCharType="separate"/>
            </w:r>
            <w:r w:rsidR="00A01F83">
              <w:rPr>
                <w:noProof/>
                <w:webHidden/>
              </w:rPr>
              <w:t>13</w:t>
            </w:r>
            <w:r w:rsidR="00501C55" w:rsidRPr="00501C55">
              <w:rPr>
                <w:noProof/>
                <w:webHidden/>
              </w:rPr>
              <w:fldChar w:fldCharType="end"/>
            </w:r>
          </w:hyperlink>
        </w:p>
        <w:p w14:paraId="183E4662" w14:textId="6EB68A4D" w:rsidR="00501C55" w:rsidRPr="00501C55" w:rsidRDefault="009A0F61" w:rsidP="00501C55">
          <w:pPr>
            <w:pStyle w:val="TDC2"/>
            <w:rPr>
              <w:rFonts w:asciiTheme="minorHAnsi" w:eastAsiaTheme="minorEastAsia" w:hAnsiTheme="minorHAnsi" w:cstheme="minorBidi"/>
              <w:noProof/>
              <w:szCs w:val="22"/>
              <w:lang w:eastAsia="es-MX"/>
            </w:rPr>
          </w:pPr>
          <w:hyperlink w:anchor="_Toc183189365" w:history="1">
            <w:r w:rsidR="00501C55" w:rsidRPr="00501C55">
              <w:rPr>
                <w:rStyle w:val="Hipervnculo"/>
                <w:noProof/>
                <w:color w:val="auto"/>
              </w:rPr>
              <w:t>SEGUNDO. Estudio de Fondo</w:t>
            </w:r>
            <w:r w:rsidR="00501C55" w:rsidRPr="00501C55">
              <w:rPr>
                <w:noProof/>
                <w:webHidden/>
              </w:rPr>
              <w:tab/>
            </w:r>
            <w:r w:rsidR="00501C55" w:rsidRPr="00501C55">
              <w:rPr>
                <w:noProof/>
                <w:webHidden/>
              </w:rPr>
              <w:fldChar w:fldCharType="begin"/>
            </w:r>
            <w:r w:rsidR="00501C55" w:rsidRPr="00501C55">
              <w:rPr>
                <w:noProof/>
                <w:webHidden/>
              </w:rPr>
              <w:instrText xml:space="preserve"> PAGEREF _Toc183189365 \h </w:instrText>
            </w:r>
            <w:r w:rsidR="00501C55" w:rsidRPr="00501C55">
              <w:rPr>
                <w:noProof/>
                <w:webHidden/>
              </w:rPr>
            </w:r>
            <w:r w:rsidR="00501C55" w:rsidRPr="00501C55">
              <w:rPr>
                <w:noProof/>
                <w:webHidden/>
              </w:rPr>
              <w:fldChar w:fldCharType="separate"/>
            </w:r>
            <w:r w:rsidR="00A01F83">
              <w:rPr>
                <w:noProof/>
                <w:webHidden/>
              </w:rPr>
              <w:t>13</w:t>
            </w:r>
            <w:r w:rsidR="00501C55" w:rsidRPr="00501C55">
              <w:rPr>
                <w:noProof/>
                <w:webHidden/>
              </w:rPr>
              <w:fldChar w:fldCharType="end"/>
            </w:r>
          </w:hyperlink>
        </w:p>
        <w:p w14:paraId="281ECFCE" w14:textId="003C25B5" w:rsidR="00501C55" w:rsidRPr="00501C55" w:rsidRDefault="009A0F61" w:rsidP="00501C55">
          <w:pPr>
            <w:pStyle w:val="TDC3"/>
            <w:rPr>
              <w:rFonts w:asciiTheme="minorHAnsi" w:eastAsiaTheme="minorEastAsia" w:hAnsiTheme="minorHAnsi" w:cstheme="minorBidi"/>
              <w:noProof/>
              <w:szCs w:val="22"/>
              <w:lang w:eastAsia="es-MX"/>
            </w:rPr>
          </w:pPr>
          <w:hyperlink w:anchor="_Toc183189366" w:history="1">
            <w:r w:rsidR="00501C55" w:rsidRPr="00501C55">
              <w:rPr>
                <w:rStyle w:val="Hipervnculo"/>
                <w:noProof/>
                <w:color w:val="auto"/>
              </w:rPr>
              <w:t>a) Mandato de transparencia y responsabilidad del Sujeto Obligado</w:t>
            </w:r>
            <w:r w:rsidR="00501C55" w:rsidRPr="00501C55">
              <w:rPr>
                <w:noProof/>
                <w:webHidden/>
              </w:rPr>
              <w:tab/>
            </w:r>
            <w:r w:rsidR="00501C55" w:rsidRPr="00501C55">
              <w:rPr>
                <w:noProof/>
                <w:webHidden/>
              </w:rPr>
              <w:fldChar w:fldCharType="begin"/>
            </w:r>
            <w:r w:rsidR="00501C55" w:rsidRPr="00501C55">
              <w:rPr>
                <w:noProof/>
                <w:webHidden/>
              </w:rPr>
              <w:instrText xml:space="preserve"> PAGEREF _Toc183189366 \h </w:instrText>
            </w:r>
            <w:r w:rsidR="00501C55" w:rsidRPr="00501C55">
              <w:rPr>
                <w:noProof/>
                <w:webHidden/>
              </w:rPr>
            </w:r>
            <w:r w:rsidR="00501C55" w:rsidRPr="00501C55">
              <w:rPr>
                <w:noProof/>
                <w:webHidden/>
              </w:rPr>
              <w:fldChar w:fldCharType="separate"/>
            </w:r>
            <w:r w:rsidR="00A01F83">
              <w:rPr>
                <w:noProof/>
                <w:webHidden/>
              </w:rPr>
              <w:t>13</w:t>
            </w:r>
            <w:r w:rsidR="00501C55" w:rsidRPr="00501C55">
              <w:rPr>
                <w:noProof/>
                <w:webHidden/>
              </w:rPr>
              <w:fldChar w:fldCharType="end"/>
            </w:r>
          </w:hyperlink>
        </w:p>
        <w:p w14:paraId="4116E023" w14:textId="35B31B2A" w:rsidR="00501C55" w:rsidRPr="00501C55" w:rsidRDefault="009A0F61" w:rsidP="00501C55">
          <w:pPr>
            <w:pStyle w:val="TDC3"/>
            <w:rPr>
              <w:rFonts w:asciiTheme="minorHAnsi" w:eastAsiaTheme="minorEastAsia" w:hAnsiTheme="minorHAnsi" w:cstheme="minorBidi"/>
              <w:noProof/>
              <w:szCs w:val="22"/>
              <w:lang w:eastAsia="es-MX"/>
            </w:rPr>
          </w:pPr>
          <w:hyperlink w:anchor="_Toc183189367" w:history="1">
            <w:r w:rsidR="00501C55" w:rsidRPr="00501C55">
              <w:rPr>
                <w:rStyle w:val="Hipervnculo"/>
                <w:rFonts w:eastAsia="Calibri"/>
                <w:noProof/>
                <w:color w:val="auto"/>
                <w:lang w:eastAsia="es-ES_tradnl"/>
              </w:rPr>
              <w:t>b) Controversia a resolver</w:t>
            </w:r>
            <w:r w:rsidR="00501C55" w:rsidRPr="00501C55">
              <w:rPr>
                <w:noProof/>
                <w:webHidden/>
              </w:rPr>
              <w:tab/>
            </w:r>
            <w:r w:rsidR="00501C55" w:rsidRPr="00501C55">
              <w:rPr>
                <w:noProof/>
                <w:webHidden/>
              </w:rPr>
              <w:fldChar w:fldCharType="begin"/>
            </w:r>
            <w:r w:rsidR="00501C55" w:rsidRPr="00501C55">
              <w:rPr>
                <w:noProof/>
                <w:webHidden/>
              </w:rPr>
              <w:instrText xml:space="preserve"> PAGEREF _Toc183189367 \h </w:instrText>
            </w:r>
            <w:r w:rsidR="00501C55" w:rsidRPr="00501C55">
              <w:rPr>
                <w:noProof/>
                <w:webHidden/>
              </w:rPr>
            </w:r>
            <w:r w:rsidR="00501C55" w:rsidRPr="00501C55">
              <w:rPr>
                <w:noProof/>
                <w:webHidden/>
              </w:rPr>
              <w:fldChar w:fldCharType="separate"/>
            </w:r>
            <w:r w:rsidR="00A01F83">
              <w:rPr>
                <w:noProof/>
                <w:webHidden/>
              </w:rPr>
              <w:t>16</w:t>
            </w:r>
            <w:r w:rsidR="00501C55" w:rsidRPr="00501C55">
              <w:rPr>
                <w:noProof/>
                <w:webHidden/>
              </w:rPr>
              <w:fldChar w:fldCharType="end"/>
            </w:r>
          </w:hyperlink>
        </w:p>
        <w:p w14:paraId="25A17170" w14:textId="24A864CE" w:rsidR="00501C55" w:rsidRPr="00501C55" w:rsidRDefault="009A0F61" w:rsidP="00501C55">
          <w:pPr>
            <w:pStyle w:val="TDC3"/>
            <w:rPr>
              <w:rFonts w:asciiTheme="minorHAnsi" w:eastAsiaTheme="minorEastAsia" w:hAnsiTheme="minorHAnsi" w:cstheme="minorBidi"/>
              <w:noProof/>
              <w:szCs w:val="22"/>
              <w:lang w:eastAsia="es-MX"/>
            </w:rPr>
          </w:pPr>
          <w:hyperlink w:anchor="_Toc183189368" w:history="1">
            <w:r w:rsidR="00501C55" w:rsidRPr="00501C55">
              <w:rPr>
                <w:rStyle w:val="Hipervnculo"/>
                <w:noProof/>
                <w:color w:val="auto"/>
              </w:rPr>
              <w:t>c) Estudio de la controversia</w:t>
            </w:r>
            <w:r w:rsidR="00501C55" w:rsidRPr="00501C55">
              <w:rPr>
                <w:noProof/>
                <w:webHidden/>
              </w:rPr>
              <w:tab/>
            </w:r>
            <w:r w:rsidR="00501C55" w:rsidRPr="00501C55">
              <w:rPr>
                <w:noProof/>
                <w:webHidden/>
              </w:rPr>
              <w:fldChar w:fldCharType="begin"/>
            </w:r>
            <w:r w:rsidR="00501C55" w:rsidRPr="00501C55">
              <w:rPr>
                <w:noProof/>
                <w:webHidden/>
              </w:rPr>
              <w:instrText xml:space="preserve"> PAGEREF _Toc183189368 \h </w:instrText>
            </w:r>
            <w:r w:rsidR="00501C55" w:rsidRPr="00501C55">
              <w:rPr>
                <w:noProof/>
                <w:webHidden/>
              </w:rPr>
            </w:r>
            <w:r w:rsidR="00501C55" w:rsidRPr="00501C55">
              <w:rPr>
                <w:noProof/>
                <w:webHidden/>
              </w:rPr>
              <w:fldChar w:fldCharType="separate"/>
            </w:r>
            <w:r w:rsidR="00A01F83">
              <w:rPr>
                <w:noProof/>
                <w:webHidden/>
              </w:rPr>
              <w:t>17</w:t>
            </w:r>
            <w:r w:rsidR="00501C55" w:rsidRPr="00501C55">
              <w:rPr>
                <w:noProof/>
                <w:webHidden/>
              </w:rPr>
              <w:fldChar w:fldCharType="end"/>
            </w:r>
          </w:hyperlink>
        </w:p>
        <w:p w14:paraId="3D899D8B" w14:textId="6225AB97" w:rsidR="00501C55" w:rsidRPr="00501C55" w:rsidRDefault="009A0F61" w:rsidP="00501C55">
          <w:pPr>
            <w:pStyle w:val="TDC3"/>
            <w:rPr>
              <w:rFonts w:asciiTheme="minorHAnsi" w:eastAsiaTheme="minorEastAsia" w:hAnsiTheme="minorHAnsi" w:cstheme="minorBidi"/>
              <w:noProof/>
              <w:szCs w:val="22"/>
              <w:lang w:eastAsia="es-MX"/>
            </w:rPr>
          </w:pPr>
          <w:hyperlink w:anchor="_Toc183189369" w:history="1">
            <w:r w:rsidR="00501C55" w:rsidRPr="00501C55">
              <w:rPr>
                <w:rStyle w:val="Hipervnculo"/>
                <w:rFonts w:eastAsiaTheme="majorEastAsia"/>
                <w:bCs/>
                <w:noProof/>
                <w:color w:val="auto"/>
              </w:rPr>
              <w:t>d) Conclusión</w:t>
            </w:r>
            <w:r w:rsidR="00501C55" w:rsidRPr="00501C55">
              <w:rPr>
                <w:noProof/>
                <w:webHidden/>
              </w:rPr>
              <w:tab/>
            </w:r>
            <w:r w:rsidR="00501C55" w:rsidRPr="00501C55">
              <w:rPr>
                <w:noProof/>
                <w:webHidden/>
              </w:rPr>
              <w:fldChar w:fldCharType="begin"/>
            </w:r>
            <w:r w:rsidR="00501C55" w:rsidRPr="00501C55">
              <w:rPr>
                <w:noProof/>
                <w:webHidden/>
              </w:rPr>
              <w:instrText xml:space="preserve"> PAGEREF _Toc183189369 \h </w:instrText>
            </w:r>
            <w:r w:rsidR="00501C55" w:rsidRPr="00501C55">
              <w:rPr>
                <w:noProof/>
                <w:webHidden/>
              </w:rPr>
            </w:r>
            <w:r w:rsidR="00501C55" w:rsidRPr="00501C55">
              <w:rPr>
                <w:noProof/>
                <w:webHidden/>
              </w:rPr>
              <w:fldChar w:fldCharType="separate"/>
            </w:r>
            <w:r w:rsidR="00A01F83">
              <w:rPr>
                <w:noProof/>
                <w:webHidden/>
              </w:rPr>
              <w:t>31</w:t>
            </w:r>
            <w:r w:rsidR="00501C55" w:rsidRPr="00501C55">
              <w:rPr>
                <w:noProof/>
                <w:webHidden/>
              </w:rPr>
              <w:fldChar w:fldCharType="end"/>
            </w:r>
          </w:hyperlink>
        </w:p>
        <w:p w14:paraId="636DBEC0" w14:textId="508627B0" w:rsidR="00501C55" w:rsidRPr="00501C55" w:rsidRDefault="009A0F61" w:rsidP="00501C55">
          <w:pPr>
            <w:pStyle w:val="TDC1"/>
            <w:tabs>
              <w:tab w:val="right" w:leader="dot" w:pos="9034"/>
            </w:tabs>
            <w:rPr>
              <w:rFonts w:asciiTheme="minorHAnsi" w:eastAsiaTheme="minorEastAsia" w:hAnsiTheme="minorHAnsi" w:cstheme="minorBidi"/>
              <w:noProof/>
              <w:szCs w:val="22"/>
              <w:lang w:eastAsia="es-MX"/>
            </w:rPr>
          </w:pPr>
          <w:hyperlink w:anchor="_Toc183189370" w:history="1">
            <w:r w:rsidR="00501C55" w:rsidRPr="00501C55">
              <w:rPr>
                <w:rStyle w:val="Hipervnculo"/>
                <w:rFonts w:eastAsiaTheme="majorEastAsia"/>
                <w:b/>
                <w:noProof/>
                <w:color w:val="auto"/>
              </w:rPr>
              <w:t>RESUELVE</w:t>
            </w:r>
            <w:r w:rsidR="00501C55" w:rsidRPr="00501C55">
              <w:rPr>
                <w:noProof/>
                <w:webHidden/>
              </w:rPr>
              <w:tab/>
            </w:r>
            <w:r w:rsidR="00501C55" w:rsidRPr="00501C55">
              <w:rPr>
                <w:noProof/>
                <w:webHidden/>
              </w:rPr>
              <w:fldChar w:fldCharType="begin"/>
            </w:r>
            <w:r w:rsidR="00501C55" w:rsidRPr="00501C55">
              <w:rPr>
                <w:noProof/>
                <w:webHidden/>
              </w:rPr>
              <w:instrText xml:space="preserve"> PAGEREF _Toc183189370 \h </w:instrText>
            </w:r>
            <w:r w:rsidR="00501C55" w:rsidRPr="00501C55">
              <w:rPr>
                <w:noProof/>
                <w:webHidden/>
              </w:rPr>
            </w:r>
            <w:r w:rsidR="00501C55" w:rsidRPr="00501C55">
              <w:rPr>
                <w:noProof/>
                <w:webHidden/>
              </w:rPr>
              <w:fldChar w:fldCharType="separate"/>
            </w:r>
            <w:r w:rsidR="00A01F83">
              <w:rPr>
                <w:noProof/>
                <w:webHidden/>
              </w:rPr>
              <w:t>31</w:t>
            </w:r>
            <w:r w:rsidR="00501C55" w:rsidRPr="00501C55">
              <w:rPr>
                <w:noProof/>
                <w:webHidden/>
              </w:rPr>
              <w:fldChar w:fldCharType="end"/>
            </w:r>
          </w:hyperlink>
        </w:p>
        <w:p w14:paraId="0C82FD7A" w14:textId="043BC31D" w:rsidR="009B2945" w:rsidRPr="00501C55" w:rsidRDefault="00AE3DA7" w:rsidP="00501C55">
          <w:pPr>
            <w:spacing w:line="240" w:lineRule="auto"/>
            <w:rPr>
              <w:b/>
              <w:bCs/>
              <w:lang w:val="es-ES"/>
            </w:rPr>
          </w:pPr>
          <w:r w:rsidRPr="00501C55">
            <w:rPr>
              <w:b/>
              <w:bCs/>
              <w:sz w:val="16"/>
              <w:szCs w:val="16"/>
              <w:lang w:val="es-ES"/>
            </w:rPr>
            <w:fldChar w:fldCharType="end"/>
          </w:r>
        </w:p>
      </w:sdtContent>
    </w:sdt>
    <w:p w14:paraId="603A07E2" w14:textId="77777777" w:rsidR="00646436" w:rsidRPr="00501C55" w:rsidRDefault="00646436" w:rsidP="00501C55">
      <w:pPr>
        <w:rPr>
          <w:rFonts w:cs="Tahoma"/>
          <w:szCs w:val="22"/>
        </w:rPr>
        <w:sectPr w:rsidR="00646436" w:rsidRPr="00501C55"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737D4A62" w:rsidR="00775BFC" w:rsidRPr="00501C55" w:rsidRDefault="00775BFC" w:rsidP="00501C55">
      <w:r w:rsidRPr="00501C55">
        <w:lastRenderedPageBreak/>
        <w:t>Resolución del Pleno del Instituto de Transparencia, Acceso a la Información Pública y Protección de Datos Personales del Estado de México y Municipios, con domicilio en Metepec, Estado de México, de</w:t>
      </w:r>
      <w:r w:rsidR="0062537F" w:rsidRPr="00501C55">
        <w:t>l</w:t>
      </w:r>
      <w:r w:rsidRPr="00501C55">
        <w:t xml:space="preserve"> </w:t>
      </w:r>
      <w:r w:rsidR="0062537F" w:rsidRPr="00501C55">
        <w:rPr>
          <w:b/>
          <w:bCs/>
        </w:rPr>
        <w:t>veintiuno</w:t>
      </w:r>
      <w:r w:rsidRPr="00501C55">
        <w:rPr>
          <w:b/>
          <w:bCs/>
        </w:rPr>
        <w:t xml:space="preserve"> de </w:t>
      </w:r>
      <w:r w:rsidR="0062537F" w:rsidRPr="00501C55">
        <w:rPr>
          <w:b/>
          <w:bCs/>
        </w:rPr>
        <w:t xml:space="preserve">noviembre </w:t>
      </w:r>
      <w:r w:rsidRPr="00501C55">
        <w:rPr>
          <w:b/>
          <w:bCs/>
        </w:rPr>
        <w:t xml:space="preserve">de dos mil </w:t>
      </w:r>
      <w:r w:rsidR="000605CC" w:rsidRPr="00501C55">
        <w:rPr>
          <w:b/>
          <w:bCs/>
        </w:rPr>
        <w:t>veinticuatro</w:t>
      </w:r>
      <w:r w:rsidRPr="00501C55">
        <w:t>.</w:t>
      </w:r>
    </w:p>
    <w:p w14:paraId="0AF3AAC4" w14:textId="77777777" w:rsidR="00775BFC" w:rsidRPr="00501C55" w:rsidRDefault="00775BFC" w:rsidP="00501C55"/>
    <w:p w14:paraId="40EAE038" w14:textId="1ECD83A9" w:rsidR="00775BFC" w:rsidRPr="00501C55" w:rsidRDefault="00775BFC" w:rsidP="00501C55">
      <w:r w:rsidRPr="00501C55">
        <w:rPr>
          <w:b/>
        </w:rPr>
        <w:t xml:space="preserve">VISTO </w:t>
      </w:r>
      <w:r w:rsidRPr="00501C55">
        <w:t xml:space="preserve">el expediente formado con motivo del Recurso de Revisión </w:t>
      </w:r>
      <w:r w:rsidR="0062537F" w:rsidRPr="00501C55">
        <w:rPr>
          <w:rFonts w:eastAsia="Calibri"/>
          <w:b/>
          <w:lang w:eastAsia="en-US"/>
        </w:rPr>
        <w:t>05757</w:t>
      </w:r>
      <w:r w:rsidRPr="00501C55">
        <w:rPr>
          <w:rFonts w:eastAsia="Calibri"/>
          <w:b/>
          <w:lang w:eastAsia="en-US"/>
        </w:rPr>
        <w:t>/INFOEM/IP/RR/</w:t>
      </w:r>
      <w:r w:rsidR="0062537F" w:rsidRPr="00501C55">
        <w:rPr>
          <w:rFonts w:eastAsia="Calibri"/>
          <w:b/>
          <w:lang w:eastAsia="en-US"/>
        </w:rPr>
        <w:t>2024</w:t>
      </w:r>
      <w:r w:rsidRPr="00501C55">
        <w:rPr>
          <w:rFonts w:eastAsia="Calibri"/>
          <w:lang w:eastAsia="en-US"/>
        </w:rPr>
        <w:t xml:space="preserve"> </w:t>
      </w:r>
      <w:r w:rsidRPr="00501C55">
        <w:t xml:space="preserve">interpuesto por </w:t>
      </w:r>
      <w:bookmarkStart w:id="2" w:name="_GoBack"/>
      <w:r w:rsidR="00FA677B">
        <w:rPr>
          <w:b/>
          <w:bCs/>
        </w:rPr>
        <w:t>XXXXXX XXXXXX XXXXXXX</w:t>
      </w:r>
      <w:bookmarkEnd w:id="2"/>
      <w:r w:rsidRPr="00501C55">
        <w:t xml:space="preserve">, a quien en lo subsecuente se le denominará </w:t>
      </w:r>
      <w:r w:rsidRPr="00501C55">
        <w:rPr>
          <w:b/>
          <w:bCs/>
        </w:rPr>
        <w:t>LA PARTE RECURRENTE</w:t>
      </w:r>
      <w:r w:rsidRPr="00501C55">
        <w:t>, en contra de la respuesta emitida por</w:t>
      </w:r>
      <w:r w:rsidR="0062537F" w:rsidRPr="00501C55">
        <w:t xml:space="preserve"> el</w:t>
      </w:r>
      <w:r w:rsidRPr="00501C55">
        <w:t xml:space="preserve"> </w:t>
      </w:r>
      <w:r w:rsidR="0062537F" w:rsidRPr="00501C55">
        <w:rPr>
          <w:b/>
          <w:bCs/>
        </w:rPr>
        <w:t>Sistema de Agua Potable Alcantarillado y Saneamiento de Ecatepec de Morelos</w:t>
      </w:r>
      <w:r w:rsidRPr="00501C55">
        <w:t xml:space="preserve">, en adelante </w:t>
      </w:r>
      <w:r w:rsidRPr="00501C55">
        <w:rPr>
          <w:b/>
          <w:bCs/>
        </w:rPr>
        <w:t>EL SUJETO OBLIGADO</w:t>
      </w:r>
      <w:r w:rsidRPr="00501C55">
        <w:rPr>
          <w:rFonts w:eastAsia="Calibri"/>
          <w:lang w:eastAsia="en-US"/>
        </w:rPr>
        <w:t xml:space="preserve">, </w:t>
      </w:r>
      <w:r w:rsidRPr="00501C55">
        <w:t>se emite la presente Resolución con base en los Antecedentes y Considerandos que se exponen a continuación:</w:t>
      </w:r>
    </w:p>
    <w:p w14:paraId="2116968C" w14:textId="77777777" w:rsidR="00775BFC" w:rsidRPr="00501C55" w:rsidRDefault="00775BFC" w:rsidP="00501C55"/>
    <w:p w14:paraId="5A444FB6" w14:textId="639D3567" w:rsidR="00664420" w:rsidRPr="00501C55" w:rsidRDefault="00664420" w:rsidP="00501C55">
      <w:pPr>
        <w:pStyle w:val="Ttulo1"/>
      </w:pPr>
      <w:bookmarkStart w:id="3" w:name="_Toc183189343"/>
      <w:r w:rsidRPr="00501C55">
        <w:t>ANTECEDENTES</w:t>
      </w:r>
      <w:bookmarkEnd w:id="3"/>
    </w:p>
    <w:p w14:paraId="5CB5034E" w14:textId="77777777" w:rsidR="00AC2DB8" w:rsidRPr="00501C55" w:rsidRDefault="00AC2DB8" w:rsidP="00501C55"/>
    <w:p w14:paraId="09B2D38F" w14:textId="6E49D146" w:rsidR="00664420" w:rsidRPr="00501C55" w:rsidRDefault="00E37A3F" w:rsidP="00501C55">
      <w:pPr>
        <w:pStyle w:val="Ttulo2"/>
      </w:pPr>
      <w:bookmarkStart w:id="4" w:name="_Toc183189344"/>
      <w:r w:rsidRPr="00501C55">
        <w:t>DE LA SOLICITUD DE INFORMACIÓN</w:t>
      </w:r>
      <w:bookmarkEnd w:id="4"/>
    </w:p>
    <w:p w14:paraId="7B7535DF" w14:textId="77777777" w:rsidR="00E37A3F" w:rsidRPr="00501C55" w:rsidRDefault="00E37A3F" w:rsidP="00501C55"/>
    <w:p w14:paraId="2C6AD1A5" w14:textId="0405B3CD" w:rsidR="00664420" w:rsidRPr="00501C55" w:rsidRDefault="00E37A3F" w:rsidP="00501C55">
      <w:pPr>
        <w:pStyle w:val="Ttulo3"/>
      </w:pPr>
      <w:bookmarkStart w:id="5" w:name="_Toc183189345"/>
      <w:r w:rsidRPr="00501C55">
        <w:t xml:space="preserve">a) </w:t>
      </w:r>
      <w:r w:rsidR="006B10B0" w:rsidRPr="00501C55">
        <w:t>S</w:t>
      </w:r>
      <w:r w:rsidR="00664420" w:rsidRPr="00501C55">
        <w:t xml:space="preserve">olicitud de </w:t>
      </w:r>
      <w:r w:rsidR="006B10B0" w:rsidRPr="00501C55">
        <w:t>i</w:t>
      </w:r>
      <w:r w:rsidR="00664420" w:rsidRPr="00501C55">
        <w:t>nformación</w:t>
      </w:r>
      <w:bookmarkEnd w:id="5"/>
    </w:p>
    <w:p w14:paraId="06DCD29D" w14:textId="0CFF9897" w:rsidR="009A2D78" w:rsidRPr="00501C55" w:rsidRDefault="006B10B0" w:rsidP="00501C55">
      <w:pPr>
        <w:pStyle w:val="Prrafodelista"/>
        <w:tabs>
          <w:tab w:val="left" w:pos="0"/>
        </w:tabs>
        <w:ind w:left="0"/>
        <w:contextualSpacing w:val="0"/>
        <w:rPr>
          <w:rFonts w:cs="Tahoma"/>
        </w:rPr>
      </w:pPr>
      <w:r w:rsidRPr="00501C55">
        <w:rPr>
          <w:rFonts w:cs="Tahoma"/>
        </w:rPr>
        <w:t>El</w:t>
      </w:r>
      <w:r w:rsidR="00664420" w:rsidRPr="00501C55">
        <w:rPr>
          <w:rFonts w:cs="Tahoma"/>
        </w:rPr>
        <w:t xml:space="preserve"> </w:t>
      </w:r>
      <w:r w:rsidR="00D30047" w:rsidRPr="00501C55">
        <w:rPr>
          <w:rFonts w:cs="Tahoma"/>
          <w:b/>
          <w:bCs/>
        </w:rPr>
        <w:t>treinta</w:t>
      </w:r>
      <w:r w:rsidR="00664420" w:rsidRPr="00501C55">
        <w:rPr>
          <w:rFonts w:cs="Tahoma"/>
          <w:b/>
          <w:bCs/>
        </w:rPr>
        <w:t xml:space="preserve"> de </w:t>
      </w:r>
      <w:r w:rsidR="00D30047" w:rsidRPr="00501C55">
        <w:rPr>
          <w:rFonts w:cs="Tahoma"/>
          <w:b/>
          <w:bCs/>
        </w:rPr>
        <w:t xml:space="preserve">agosto </w:t>
      </w:r>
      <w:r w:rsidR="00664420" w:rsidRPr="00501C55">
        <w:rPr>
          <w:rFonts w:cs="Tahoma"/>
          <w:b/>
          <w:bCs/>
        </w:rPr>
        <w:t xml:space="preserve">de dos mil </w:t>
      </w:r>
      <w:r w:rsidR="000605CC" w:rsidRPr="00501C55">
        <w:rPr>
          <w:rFonts w:cs="Tahoma"/>
          <w:b/>
          <w:bCs/>
        </w:rPr>
        <w:t>veinticuatro</w:t>
      </w:r>
      <w:r w:rsidR="00664420" w:rsidRPr="00501C55">
        <w:rPr>
          <w:rFonts w:cs="Tahoma"/>
        </w:rPr>
        <w:t xml:space="preserve">, </w:t>
      </w:r>
      <w:r w:rsidRPr="00501C55">
        <w:rPr>
          <w:b/>
          <w:bCs/>
        </w:rPr>
        <w:t>LA PARTE RECURRENTE</w:t>
      </w:r>
      <w:r w:rsidR="00664420" w:rsidRPr="00501C55">
        <w:rPr>
          <w:rFonts w:cs="Tahoma"/>
        </w:rPr>
        <w:t xml:space="preserve"> presentó una solicitud de acceso a la información pública </w:t>
      </w:r>
      <w:r w:rsidR="001F3515" w:rsidRPr="00501C55">
        <w:rPr>
          <w:rFonts w:cs="Tahoma"/>
        </w:rPr>
        <w:t xml:space="preserve">ante el </w:t>
      </w:r>
      <w:r w:rsidR="001F3515" w:rsidRPr="00501C55">
        <w:rPr>
          <w:rFonts w:cs="Tahoma"/>
          <w:b/>
          <w:bCs/>
        </w:rPr>
        <w:t>SUJETO OBLIGADO</w:t>
      </w:r>
      <w:r w:rsidR="001F3515" w:rsidRPr="00501C55">
        <w:rPr>
          <w:rFonts w:cs="Tahoma"/>
        </w:rPr>
        <w:t xml:space="preserve">, </w:t>
      </w:r>
      <w:r w:rsidR="00664420" w:rsidRPr="00501C55">
        <w:rPr>
          <w:rFonts w:cs="Tahoma"/>
        </w:rPr>
        <w:t>a través del Sistema de Acceso a la Información Mexiquense</w:t>
      </w:r>
      <w:r w:rsidRPr="00501C55">
        <w:rPr>
          <w:rFonts w:cs="Tahoma"/>
        </w:rPr>
        <w:t xml:space="preserve"> </w:t>
      </w:r>
      <w:r w:rsidR="009A2D78" w:rsidRPr="00501C55">
        <w:rPr>
          <w:rFonts w:cs="Tahoma"/>
        </w:rPr>
        <w:t>(</w:t>
      </w:r>
      <w:r w:rsidRPr="00501C55">
        <w:rPr>
          <w:rFonts w:cs="Tahoma"/>
        </w:rPr>
        <w:t>SAIMEX</w:t>
      </w:r>
      <w:r w:rsidR="009A2D78" w:rsidRPr="00501C55">
        <w:rPr>
          <w:rFonts w:cs="Tahoma"/>
        </w:rPr>
        <w:t>). Dicha solicitud quedó</w:t>
      </w:r>
      <w:r w:rsidRPr="00501C55">
        <w:rPr>
          <w:rFonts w:cs="Tahoma"/>
        </w:rPr>
        <w:t xml:space="preserve"> registrada c</w:t>
      </w:r>
      <w:r w:rsidR="00664420" w:rsidRPr="00501C55">
        <w:rPr>
          <w:rFonts w:cs="Tahoma"/>
        </w:rPr>
        <w:t>on el número de folio</w:t>
      </w:r>
      <w:r w:rsidR="00664420" w:rsidRPr="00501C55">
        <w:rPr>
          <w:rFonts w:cs="Tahoma"/>
          <w:b/>
          <w:bCs/>
        </w:rPr>
        <w:t xml:space="preserve"> </w:t>
      </w:r>
      <w:r w:rsidR="00D30047" w:rsidRPr="00501C55">
        <w:rPr>
          <w:rFonts w:cs="Tahoma"/>
          <w:b/>
          <w:bCs/>
        </w:rPr>
        <w:t>00131/OASECATEPE/IP/2024</w:t>
      </w:r>
      <w:r w:rsidR="002A3601" w:rsidRPr="00501C55">
        <w:rPr>
          <w:rFonts w:cs="Tahoma"/>
        </w:rPr>
        <w:t xml:space="preserve"> y en ella </w:t>
      </w:r>
      <w:r w:rsidR="009A2D78" w:rsidRPr="00501C55">
        <w:rPr>
          <w:rFonts w:cs="Tahoma"/>
        </w:rPr>
        <w:t>se requirió la siguiente información:</w:t>
      </w:r>
    </w:p>
    <w:p w14:paraId="0459D6AC" w14:textId="77777777" w:rsidR="00664420" w:rsidRPr="00501C55" w:rsidRDefault="00664420" w:rsidP="00501C55">
      <w:pPr>
        <w:tabs>
          <w:tab w:val="left" w:pos="4667"/>
        </w:tabs>
        <w:ind w:left="567" w:right="567"/>
        <w:rPr>
          <w:rFonts w:cs="Tahoma"/>
          <w:b/>
          <w:bCs/>
        </w:rPr>
      </w:pPr>
    </w:p>
    <w:p w14:paraId="23EA6693" w14:textId="726DCC06" w:rsidR="00D30047" w:rsidRPr="00501C55" w:rsidRDefault="00D30047" w:rsidP="00501C55">
      <w:pPr>
        <w:pStyle w:val="Puesto"/>
      </w:pPr>
      <w:r w:rsidRPr="00501C55">
        <w:t>Aclaración de procedimientos técnico-administrativos de la construcción de 3 pozos, construidos por el SAPASE en el ejercicio 2020 con recursos federales del PRODDER</w:t>
      </w:r>
      <w:r w:rsidR="00664420" w:rsidRPr="00501C55">
        <w:t>.</w:t>
      </w:r>
    </w:p>
    <w:p w14:paraId="17C1C1F2" w14:textId="77777777" w:rsidR="00D30047" w:rsidRPr="00501C55" w:rsidRDefault="00D30047" w:rsidP="00501C55"/>
    <w:p w14:paraId="72CE0AC1" w14:textId="0055FCB0" w:rsidR="00D30047" w:rsidRPr="00501C55" w:rsidRDefault="00D30047" w:rsidP="00501C55">
      <w:r w:rsidRPr="00501C55">
        <w:lastRenderedPageBreak/>
        <w:t xml:space="preserve">Adjunto a su solicitud </w:t>
      </w:r>
      <w:r w:rsidRPr="00501C55">
        <w:rPr>
          <w:b/>
          <w:bCs/>
        </w:rPr>
        <w:t xml:space="preserve">LA PARTE RECURRENTE </w:t>
      </w:r>
      <w:r w:rsidRPr="00501C55">
        <w:t xml:space="preserve">anexó el archivo denominado </w:t>
      </w:r>
      <w:r w:rsidR="00DF7220" w:rsidRPr="00501C55">
        <w:t>“</w:t>
      </w:r>
      <w:r w:rsidR="00DF7220" w:rsidRPr="00501C55">
        <w:rPr>
          <w:i/>
          <w:iCs/>
        </w:rPr>
        <w:t xml:space="preserve">3 pozos sapase.pdf” </w:t>
      </w:r>
      <w:r w:rsidR="00DF7220" w:rsidRPr="00501C55">
        <w:t>el cual contiene lo siguiente:</w:t>
      </w:r>
    </w:p>
    <w:p w14:paraId="0802D36F" w14:textId="77777777" w:rsidR="00DF7220" w:rsidRPr="00501C55" w:rsidRDefault="00DF7220" w:rsidP="00501C55"/>
    <w:p w14:paraId="1C9F724D" w14:textId="77777777" w:rsidR="00DF7220" w:rsidRPr="00501C55" w:rsidRDefault="00DF7220" w:rsidP="00501C55">
      <w:pPr>
        <w:rPr>
          <w:i/>
          <w:iCs/>
        </w:rPr>
      </w:pPr>
      <w:r w:rsidRPr="00501C55">
        <w:rPr>
          <w:i/>
          <w:iCs/>
        </w:rPr>
        <w:t xml:space="preserve">“El que suscribe, se dirige a usted para solicitarle respetuosamente en su calidad de SUJETO OBLIGADO y bajo el derecho que me otorga la LEY FEDERAL DE TRANSPARENCIA Y ACCESO A LA INFORMACIÓN PÚBLICA, para contar previo a una CONSULTA DIRECTA, con la siguiente información a través de un cuestionario qué describo en páginas anexas, mediante procedimientos sencillos y expeditos; de los siguientes 3 (tres) contratos de obra pública que fueron asignados por el OPD SAPASE, a su digno cargo, con RECURSOS FEDERALES del PRODDER en el ejercicio 2020, mediante la modalidad de ASIGNACIÓN DIRECTA. </w:t>
      </w:r>
    </w:p>
    <w:p w14:paraId="4A37F9BE" w14:textId="77777777" w:rsidR="00DF7220" w:rsidRPr="00501C55" w:rsidRDefault="00DF7220" w:rsidP="00501C55">
      <w:pPr>
        <w:rPr>
          <w:i/>
          <w:iCs/>
        </w:rPr>
      </w:pPr>
    </w:p>
    <w:p w14:paraId="53709036" w14:textId="77777777" w:rsidR="00DF7220" w:rsidRPr="00501C55" w:rsidRDefault="00DF7220" w:rsidP="00501C55">
      <w:pPr>
        <w:rPr>
          <w:i/>
          <w:iCs/>
        </w:rPr>
      </w:pPr>
      <w:r w:rsidRPr="00501C55">
        <w:rPr>
          <w:i/>
          <w:iCs/>
        </w:rPr>
        <w:t>Lo anterior, en el entendido, que los EXPEDIENTES ÚNICOS DE OBRA correspondientes, señalados por la LEY DE OBRAS PÚBLICAS Y SERVICIOS RELACIONADOS CON LAS MISMAS, ya deben estar totalmente integrados de manera física y electrónica, escaneados en su totalidad, y que en las redes sociales durante el ejercicio 2021 el OPD SAPASE, publicó la culminación de los trabajos y puesta en marcha de la infraestructura. En estas condiciones, mi solicitud será más fácilmente atendida.</w:t>
      </w:r>
    </w:p>
    <w:p w14:paraId="1D338007" w14:textId="77777777" w:rsidR="00DF7220" w:rsidRPr="00501C55" w:rsidRDefault="00DF7220" w:rsidP="00501C55">
      <w:pPr>
        <w:rPr>
          <w:i/>
          <w:iCs/>
        </w:rPr>
      </w:pPr>
    </w:p>
    <w:p w14:paraId="74F22A1F" w14:textId="77777777" w:rsidR="00DF7220" w:rsidRPr="00501C55" w:rsidRDefault="00DF7220" w:rsidP="00501C55">
      <w:pPr>
        <w:rPr>
          <w:i/>
          <w:iCs/>
        </w:rPr>
      </w:pPr>
      <w:r w:rsidRPr="00501C55">
        <w:rPr>
          <w:i/>
          <w:iCs/>
        </w:rPr>
        <w:t xml:space="preserve">Cabe aclarar, que el origen de nuestra solicitud, radica precisamente en la coincidencia de los montos contractuales, en el entendido que cada una de las empresas elabora su propuesta económica de manera independiente en cada contrato, con marcadas diferencias en las cantidades de obra, capacidades del equipamiento electromecánico, así como la profundidad de excavación de los pozos. Por lo que al final solicitamos una aclaración al respecto de esta irregularidad, ya que no se pueden tener diversos criterios para la determinación de rendimientos en equipos de construcción, materiales y mano de obra para conceptos similares, así como los alcances de los conceptos y los precios de los suministros. </w:t>
      </w:r>
    </w:p>
    <w:p w14:paraId="514E0D88" w14:textId="77777777" w:rsidR="00DF7220" w:rsidRPr="00501C55" w:rsidRDefault="00DF7220" w:rsidP="00501C55">
      <w:pPr>
        <w:rPr>
          <w:i/>
          <w:iCs/>
        </w:rPr>
      </w:pPr>
      <w:r w:rsidRPr="00501C55">
        <w:lastRenderedPageBreak/>
        <w:t>Además, incluyen un cuestionario de 49 preguntas.</w:t>
      </w:r>
      <w:r w:rsidRPr="00501C55">
        <w:rPr>
          <w:i/>
          <w:iCs/>
        </w:rPr>
        <w:cr/>
      </w:r>
    </w:p>
    <w:p w14:paraId="0BD6321D" w14:textId="4AD7BBD7" w:rsidR="00664420" w:rsidRPr="00501C55" w:rsidRDefault="009A2D78" w:rsidP="00501C55">
      <w:pPr>
        <w:rPr>
          <w:i/>
          <w:iCs/>
        </w:rPr>
      </w:pPr>
      <w:r w:rsidRPr="00501C55">
        <w:rPr>
          <w:rFonts w:cs="Tahoma"/>
          <w:b/>
          <w:bCs/>
          <w:szCs w:val="22"/>
        </w:rPr>
        <w:t>Modalidad de entrega</w:t>
      </w:r>
      <w:r w:rsidRPr="00501C55">
        <w:rPr>
          <w:rFonts w:cs="Tahoma"/>
          <w:bCs/>
          <w:szCs w:val="22"/>
        </w:rPr>
        <w:t>: a</w:t>
      </w:r>
      <w:r w:rsidR="00664420" w:rsidRPr="00501C55">
        <w:rPr>
          <w:rFonts w:cs="Tahoma"/>
          <w:bCs/>
          <w:i/>
          <w:szCs w:val="22"/>
        </w:rPr>
        <w:t xml:space="preserve"> través del SAIMEX</w:t>
      </w:r>
      <w:r w:rsidRPr="00501C55">
        <w:rPr>
          <w:rFonts w:cs="Tahoma"/>
          <w:bCs/>
          <w:i/>
          <w:szCs w:val="22"/>
        </w:rPr>
        <w:t>.</w:t>
      </w:r>
    </w:p>
    <w:p w14:paraId="334D2860" w14:textId="77777777" w:rsidR="00664420" w:rsidRPr="00501C55" w:rsidRDefault="00664420" w:rsidP="00501C55">
      <w:pPr>
        <w:autoSpaceDE w:val="0"/>
        <w:autoSpaceDN w:val="0"/>
        <w:adjustRightInd w:val="0"/>
        <w:ind w:right="-28"/>
        <w:rPr>
          <w:rFonts w:cs="Tahoma"/>
          <w:bCs/>
          <w:i/>
          <w:szCs w:val="22"/>
        </w:rPr>
      </w:pPr>
    </w:p>
    <w:p w14:paraId="03ABBD04" w14:textId="1850EA48" w:rsidR="00DF7220" w:rsidRPr="00501C55" w:rsidRDefault="00DF7220" w:rsidP="00501C55">
      <w:pPr>
        <w:pStyle w:val="Ttulo3"/>
        <w:rPr>
          <w:lang w:val="es-ES"/>
        </w:rPr>
      </w:pPr>
      <w:bookmarkStart w:id="6" w:name="_Toc183189346"/>
      <w:r w:rsidRPr="00501C55">
        <w:rPr>
          <w:lang w:val="es-ES"/>
        </w:rPr>
        <w:t>b) Solicitud de aclaración</w:t>
      </w:r>
      <w:bookmarkEnd w:id="6"/>
      <w:r w:rsidRPr="00501C55">
        <w:rPr>
          <w:lang w:val="es-ES"/>
        </w:rPr>
        <w:t xml:space="preserve"> </w:t>
      </w:r>
    </w:p>
    <w:p w14:paraId="6E7EF254" w14:textId="4A16D3DA" w:rsidR="00DF7220" w:rsidRPr="00501C55" w:rsidRDefault="00DF7220" w:rsidP="00501C55">
      <w:pPr>
        <w:rPr>
          <w:lang w:val="es-ES"/>
        </w:rPr>
      </w:pPr>
      <w:r w:rsidRPr="00501C55">
        <w:rPr>
          <w:lang w:val="es-ES"/>
        </w:rPr>
        <w:t xml:space="preserve">De las constancias que obran en el expediente electrónico, se advierte que el </w:t>
      </w:r>
      <w:r w:rsidRPr="00501C55">
        <w:rPr>
          <w:b/>
          <w:bCs/>
          <w:lang w:val="es-ES"/>
        </w:rPr>
        <w:t>tres de septiembre de dos mil veinticuatro</w:t>
      </w:r>
      <w:r w:rsidRPr="00501C55">
        <w:rPr>
          <w:lang w:val="es-ES"/>
        </w:rPr>
        <w:t xml:space="preserve">, </w:t>
      </w:r>
      <w:r w:rsidRPr="00501C55">
        <w:rPr>
          <w:b/>
          <w:bCs/>
          <w:lang w:val="es-ES"/>
        </w:rPr>
        <w:t>EL SUJETO OBLIGADO</w:t>
      </w:r>
      <w:r w:rsidRPr="00501C55">
        <w:rPr>
          <w:lang w:val="es-ES"/>
        </w:rPr>
        <w:t xml:space="preserve"> requirió a </w:t>
      </w:r>
      <w:r w:rsidRPr="00501C55">
        <w:rPr>
          <w:b/>
          <w:bCs/>
          <w:lang w:val="es-ES"/>
        </w:rPr>
        <w:t>LA PARTE RECURRENTE</w:t>
      </w:r>
      <w:r w:rsidRPr="00501C55">
        <w:rPr>
          <w:lang w:val="es-ES"/>
        </w:rPr>
        <w:t xml:space="preserve"> aclarar la solicitud de información pública planteada, en los siguientes términos:</w:t>
      </w:r>
    </w:p>
    <w:p w14:paraId="17238358" w14:textId="77777777" w:rsidR="00DF7220" w:rsidRPr="00501C55" w:rsidRDefault="00DF7220" w:rsidP="00501C55">
      <w:pPr>
        <w:rPr>
          <w:lang w:val="es-ES"/>
        </w:rPr>
      </w:pPr>
    </w:p>
    <w:p w14:paraId="668B85C1" w14:textId="69E8858C" w:rsidR="00DF7220" w:rsidRPr="00501C55" w:rsidRDefault="00DF7220" w:rsidP="00501C55">
      <w:pPr>
        <w:pStyle w:val="Puesto"/>
        <w:rPr>
          <w:lang w:val="es-ES"/>
        </w:rPr>
      </w:pPr>
      <w:r w:rsidRPr="00501C55">
        <w:rPr>
          <w:lang w:val="es-ES"/>
        </w:rPr>
        <w:t>“Con fundamento en el articulo 159 de la Ley de Transparencia y Acceso a la Información Pública del Estado de México y Municipios, se le requiere para que dentro del plazo de diez días hábiles realice lo siguiente:</w:t>
      </w:r>
    </w:p>
    <w:p w14:paraId="0D905D51" w14:textId="77777777" w:rsidR="00DF7220" w:rsidRPr="00501C55" w:rsidRDefault="00DF7220" w:rsidP="00501C55">
      <w:pPr>
        <w:rPr>
          <w:lang w:val="es-ES"/>
        </w:rPr>
      </w:pPr>
    </w:p>
    <w:p w14:paraId="11971FCC" w14:textId="41DB6881" w:rsidR="00DF7220" w:rsidRPr="00501C55" w:rsidRDefault="00DF7220" w:rsidP="00501C55">
      <w:pPr>
        <w:pStyle w:val="Puesto"/>
        <w:rPr>
          <w:lang w:val="es-ES"/>
        </w:rPr>
      </w:pPr>
      <w:r w:rsidRPr="00501C55">
        <w:rPr>
          <w:lang w:val="es-ES"/>
        </w:rPr>
        <w:t>Apreciable solicitante, en términos del articulo 159 de la Ley de Transparencia del Estado de México y Municipios, se le requiere proporcionar datos que complementen, corrijan o amplíen su solicitud, la misma que permitirá la búsqueda de la misma. Es improcedente ampliar las solicitudes de acceso a información, a través de la interposición del recurso de revisión. 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p>
    <w:p w14:paraId="037A42EF" w14:textId="77777777" w:rsidR="00DF7220" w:rsidRPr="00501C55" w:rsidRDefault="00DF7220" w:rsidP="00501C55">
      <w:pPr>
        <w:rPr>
          <w:lang w:val="es-ES"/>
        </w:rPr>
      </w:pPr>
    </w:p>
    <w:p w14:paraId="48728024" w14:textId="6DAB910D" w:rsidR="00DF7220" w:rsidRPr="00501C55" w:rsidRDefault="00DF7220" w:rsidP="00501C55">
      <w:pPr>
        <w:pStyle w:val="Puesto"/>
        <w:rPr>
          <w:lang w:val="es-ES"/>
        </w:rPr>
      </w:pPr>
      <w:r w:rsidRPr="00501C55">
        <w:rPr>
          <w:lang w:val="es-ES"/>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6BAAAF41" w14:textId="77777777" w:rsidR="00DF7220" w:rsidRPr="00501C55" w:rsidRDefault="00DF7220" w:rsidP="00501C55">
      <w:pPr>
        <w:rPr>
          <w:lang w:val="es-ES"/>
        </w:rPr>
      </w:pPr>
    </w:p>
    <w:p w14:paraId="0E124A13" w14:textId="4F72A850" w:rsidR="00DF7220" w:rsidRPr="00501C55" w:rsidRDefault="00DF7220" w:rsidP="00501C55">
      <w:pPr>
        <w:pStyle w:val="Ttulo3"/>
        <w:rPr>
          <w:lang w:val="es-ES"/>
        </w:rPr>
      </w:pPr>
      <w:bookmarkStart w:id="7" w:name="_Toc183189347"/>
      <w:r w:rsidRPr="00501C55">
        <w:rPr>
          <w:lang w:val="es-ES"/>
        </w:rPr>
        <w:lastRenderedPageBreak/>
        <w:t>c) Aclaración</w:t>
      </w:r>
      <w:bookmarkEnd w:id="7"/>
      <w:r w:rsidRPr="00501C55">
        <w:rPr>
          <w:lang w:val="es-ES"/>
        </w:rPr>
        <w:t xml:space="preserve"> </w:t>
      </w:r>
    </w:p>
    <w:p w14:paraId="6EB07F4F" w14:textId="142BE154" w:rsidR="00DF7220" w:rsidRPr="00501C55" w:rsidRDefault="00DF7220" w:rsidP="00501C55">
      <w:pPr>
        <w:rPr>
          <w:lang w:val="es-ES"/>
        </w:rPr>
      </w:pPr>
      <w:r w:rsidRPr="00501C55">
        <w:rPr>
          <w:lang w:val="es-ES"/>
        </w:rPr>
        <w:t xml:space="preserve">El </w:t>
      </w:r>
      <w:r w:rsidRPr="00501C55">
        <w:rPr>
          <w:b/>
          <w:bCs/>
          <w:lang w:val="es-ES"/>
        </w:rPr>
        <w:t>tres de septiembre de dos mil veinticuatro</w:t>
      </w:r>
      <w:r w:rsidRPr="00501C55">
        <w:rPr>
          <w:lang w:val="es-ES"/>
        </w:rPr>
        <w:t xml:space="preserve">, </w:t>
      </w:r>
      <w:r w:rsidRPr="00501C55">
        <w:rPr>
          <w:b/>
          <w:bCs/>
          <w:lang w:val="es-ES"/>
        </w:rPr>
        <w:t>LA PARTE RECURRENTE</w:t>
      </w:r>
      <w:r w:rsidRPr="00501C55">
        <w:rPr>
          <w:lang w:val="es-ES"/>
        </w:rPr>
        <w:t xml:space="preserve"> atendió la solicitud de aclaración de información pública, en los siguientes términos: </w:t>
      </w:r>
    </w:p>
    <w:p w14:paraId="0410F3B0" w14:textId="77777777" w:rsidR="00DF7220" w:rsidRPr="00501C55" w:rsidRDefault="00DF7220" w:rsidP="00501C55">
      <w:pPr>
        <w:rPr>
          <w:lang w:val="es-ES"/>
        </w:rPr>
      </w:pPr>
    </w:p>
    <w:p w14:paraId="19614F54" w14:textId="0E5B12F2" w:rsidR="00DF7220" w:rsidRPr="00501C55" w:rsidRDefault="00DF7220" w:rsidP="00501C55">
      <w:pPr>
        <w:pStyle w:val="Puesto"/>
        <w:rPr>
          <w:lang w:val="es-ES"/>
        </w:rPr>
      </w:pPr>
      <w:r w:rsidRPr="00501C55">
        <w:rPr>
          <w:lang w:val="es-ES"/>
        </w:rPr>
        <w:t>“Solicito información técnico administrativa y financiera de 3 contratos de obra pública asignados por adjudicación directa por el organismo de agua potable alcantarilla y saneamiento de ecatepec en el ejercicio 2020 con recursos federales del pródDer. Anexo archivo con información”</w:t>
      </w:r>
    </w:p>
    <w:p w14:paraId="5958D089" w14:textId="77777777" w:rsidR="00DF7220" w:rsidRPr="00501C55" w:rsidRDefault="00DF7220" w:rsidP="00501C55">
      <w:pPr>
        <w:autoSpaceDE w:val="0"/>
        <w:autoSpaceDN w:val="0"/>
        <w:adjustRightInd w:val="0"/>
        <w:ind w:right="-28"/>
        <w:rPr>
          <w:rFonts w:cs="Tahoma"/>
          <w:bCs/>
          <w:iCs/>
          <w:szCs w:val="22"/>
          <w:lang w:val="es-ES"/>
        </w:rPr>
      </w:pPr>
    </w:p>
    <w:p w14:paraId="3329AD6A" w14:textId="368AB18F" w:rsidR="00DF7220" w:rsidRPr="00501C55" w:rsidRDefault="00DF7220" w:rsidP="00501C55">
      <w:pPr>
        <w:autoSpaceDE w:val="0"/>
        <w:autoSpaceDN w:val="0"/>
        <w:adjustRightInd w:val="0"/>
        <w:ind w:right="-28"/>
        <w:rPr>
          <w:rFonts w:cs="Tahoma"/>
          <w:bCs/>
          <w:iCs/>
          <w:szCs w:val="22"/>
        </w:rPr>
      </w:pPr>
      <w:r w:rsidRPr="00501C55">
        <w:rPr>
          <w:rFonts w:cs="Tahoma"/>
          <w:bCs/>
          <w:iCs/>
          <w:szCs w:val="22"/>
        </w:rPr>
        <w:t xml:space="preserve">Así mismo adjunto el documento </w:t>
      </w:r>
      <w:r w:rsidRPr="00501C55">
        <w:rPr>
          <w:rFonts w:cs="Tahoma"/>
          <w:bCs/>
          <w:i/>
          <w:szCs w:val="22"/>
        </w:rPr>
        <w:t xml:space="preserve">OFICIO ELI.pdf </w:t>
      </w:r>
      <w:r w:rsidRPr="00501C55">
        <w:rPr>
          <w:rFonts w:cs="Tahoma"/>
          <w:bCs/>
          <w:iCs/>
          <w:szCs w:val="22"/>
        </w:rPr>
        <w:t>el cual es el mismo remitido al momento de ingresar su solicitud.</w:t>
      </w:r>
    </w:p>
    <w:p w14:paraId="3BE728E0" w14:textId="24B66EB8" w:rsidR="00DF7220" w:rsidRPr="00501C55" w:rsidRDefault="00DF7220" w:rsidP="00501C55">
      <w:pPr>
        <w:autoSpaceDE w:val="0"/>
        <w:autoSpaceDN w:val="0"/>
        <w:adjustRightInd w:val="0"/>
        <w:ind w:right="-28"/>
        <w:rPr>
          <w:rFonts w:cs="Tahoma"/>
          <w:bCs/>
          <w:i/>
          <w:szCs w:val="22"/>
        </w:rPr>
      </w:pPr>
      <w:r w:rsidRPr="00501C55">
        <w:rPr>
          <w:rFonts w:cs="Tahoma"/>
          <w:bCs/>
          <w:i/>
          <w:szCs w:val="22"/>
        </w:rPr>
        <w:t xml:space="preserve"> </w:t>
      </w:r>
    </w:p>
    <w:p w14:paraId="5AC1EE52" w14:textId="05C72A66" w:rsidR="00D036D3" w:rsidRPr="00501C55" w:rsidRDefault="00DF7220" w:rsidP="00501C55">
      <w:pPr>
        <w:pStyle w:val="Ttulo3"/>
      </w:pPr>
      <w:bookmarkStart w:id="8" w:name="_Toc183189348"/>
      <w:r w:rsidRPr="00501C55">
        <w:t>d</w:t>
      </w:r>
      <w:r w:rsidR="00E37A3F" w:rsidRPr="00501C55">
        <w:t xml:space="preserve">) </w:t>
      </w:r>
      <w:r w:rsidR="00D036D3" w:rsidRPr="00501C55">
        <w:t>Turno de la solicitud de información</w:t>
      </w:r>
      <w:bookmarkEnd w:id="8"/>
    </w:p>
    <w:p w14:paraId="7CEE6F8C" w14:textId="252E8206" w:rsidR="007D1C55" w:rsidRPr="00501C55" w:rsidRDefault="00D036D3" w:rsidP="00501C55">
      <w:r w:rsidRPr="00501C55">
        <w:t xml:space="preserve">En cumplimiento al artículo 162 de la Ley de Transparencia y Acceso a la Información Pública del Estado de México y Municipios, el </w:t>
      </w:r>
      <w:r w:rsidR="00DF7220" w:rsidRPr="00501C55">
        <w:rPr>
          <w:rFonts w:eastAsia="Palatino Linotype" w:cs="Palatino Linotype"/>
          <w:b/>
        </w:rPr>
        <w:t>cinco</w:t>
      </w:r>
      <w:r w:rsidRPr="00501C55">
        <w:rPr>
          <w:rFonts w:eastAsia="Palatino Linotype" w:cs="Palatino Linotype"/>
          <w:b/>
        </w:rPr>
        <w:t xml:space="preserve"> de </w:t>
      </w:r>
      <w:r w:rsidR="00DF7220" w:rsidRPr="00501C55">
        <w:rPr>
          <w:rFonts w:eastAsia="Palatino Linotype" w:cs="Palatino Linotype"/>
          <w:b/>
        </w:rPr>
        <w:t xml:space="preserve">septiembre </w:t>
      </w:r>
      <w:r w:rsidRPr="00501C55">
        <w:rPr>
          <w:rFonts w:eastAsia="Palatino Linotype" w:cs="Palatino Linotype"/>
          <w:b/>
        </w:rPr>
        <w:t xml:space="preserve">de dos mil </w:t>
      </w:r>
      <w:r w:rsidR="000605CC" w:rsidRPr="00501C55">
        <w:rPr>
          <w:rFonts w:eastAsia="Palatino Linotype" w:cs="Palatino Linotype"/>
          <w:b/>
        </w:rPr>
        <w:t>veinticuatro</w:t>
      </w:r>
      <w:r w:rsidRPr="00501C55">
        <w:t xml:space="preserve">, el Titular de la Unidad de Transparencia del </w:t>
      </w:r>
      <w:r w:rsidRPr="00501C55">
        <w:rPr>
          <w:b/>
        </w:rPr>
        <w:t>SUJETO OBLIGADO</w:t>
      </w:r>
      <w:r w:rsidRPr="00501C55">
        <w:t xml:space="preserve"> turnó la solicitud de información </w:t>
      </w:r>
      <w:r w:rsidR="00163D12" w:rsidRPr="00501C55">
        <w:t xml:space="preserve">a los </w:t>
      </w:r>
      <w:r w:rsidRPr="00501C55">
        <w:t>servidor</w:t>
      </w:r>
      <w:r w:rsidR="007D1C55" w:rsidRPr="00501C55">
        <w:t>es</w:t>
      </w:r>
      <w:r w:rsidRPr="00501C55">
        <w:t xml:space="preserve"> público</w:t>
      </w:r>
      <w:r w:rsidR="007D1C55" w:rsidRPr="00501C55">
        <w:t>s</w:t>
      </w:r>
      <w:r w:rsidRPr="00501C55">
        <w:t xml:space="preserve"> habilitado</w:t>
      </w:r>
      <w:r w:rsidR="007D1C55" w:rsidRPr="00501C55">
        <w:t>s</w:t>
      </w:r>
      <w:r w:rsidRPr="00501C55">
        <w:t xml:space="preserve"> que estimó pertinente</w:t>
      </w:r>
      <w:r w:rsidR="00163D12" w:rsidRPr="00501C55">
        <w:t>s</w:t>
      </w:r>
      <w:r w:rsidR="007D1C55" w:rsidRPr="00501C55">
        <w:t>.</w:t>
      </w:r>
    </w:p>
    <w:p w14:paraId="7B667FC9" w14:textId="77777777" w:rsidR="007D1C55" w:rsidRPr="00501C55" w:rsidRDefault="007D1C55" w:rsidP="00501C55"/>
    <w:p w14:paraId="3212BA4D" w14:textId="67A661DC" w:rsidR="00664420" w:rsidRPr="00501C55" w:rsidRDefault="00DF7220" w:rsidP="00501C55">
      <w:pPr>
        <w:pStyle w:val="Ttulo3"/>
        <w:rPr>
          <w:rFonts w:eastAsia="Calibri"/>
          <w:lang w:eastAsia="en-US"/>
        </w:rPr>
      </w:pPr>
      <w:bookmarkStart w:id="9" w:name="_Toc183189349"/>
      <w:r w:rsidRPr="00501C55">
        <w:t>e</w:t>
      </w:r>
      <w:r w:rsidR="00E37A3F" w:rsidRPr="00501C55">
        <w:t xml:space="preserve">) </w:t>
      </w:r>
      <w:r w:rsidR="00664420" w:rsidRPr="00501C55">
        <w:rPr>
          <w:lang w:val="es-ES"/>
        </w:rPr>
        <w:t xml:space="preserve">Respuesta </w:t>
      </w:r>
      <w:r w:rsidR="00664420" w:rsidRPr="00501C55">
        <w:rPr>
          <w:rFonts w:eastAsia="Calibri"/>
          <w:lang w:eastAsia="en-US"/>
        </w:rPr>
        <w:t>del Sujeto Obligado</w:t>
      </w:r>
      <w:bookmarkEnd w:id="9"/>
    </w:p>
    <w:p w14:paraId="79199CC1" w14:textId="0C9FA498" w:rsidR="00664420" w:rsidRPr="00501C55" w:rsidRDefault="00664420" w:rsidP="00501C55">
      <w:pPr>
        <w:pStyle w:val="Sinespaciado"/>
        <w:spacing w:line="360" w:lineRule="auto"/>
        <w:rPr>
          <w:lang w:val="es-ES"/>
        </w:rPr>
      </w:pPr>
      <w:r w:rsidRPr="00501C55">
        <w:rPr>
          <w:lang w:val="es-ES"/>
        </w:rPr>
        <w:t xml:space="preserve">El </w:t>
      </w:r>
      <w:r w:rsidR="00DF7220" w:rsidRPr="00501C55">
        <w:rPr>
          <w:b/>
          <w:bCs/>
          <w:lang w:val="es-ES"/>
        </w:rPr>
        <w:t>veinte</w:t>
      </w:r>
      <w:r w:rsidRPr="00501C55">
        <w:rPr>
          <w:b/>
          <w:bCs/>
          <w:lang w:val="es-ES"/>
        </w:rPr>
        <w:t xml:space="preserve"> de </w:t>
      </w:r>
      <w:r w:rsidR="00DF7220" w:rsidRPr="00501C55">
        <w:rPr>
          <w:b/>
          <w:bCs/>
          <w:lang w:val="es-ES"/>
        </w:rPr>
        <w:t xml:space="preserve">septiembre </w:t>
      </w:r>
      <w:r w:rsidRPr="00501C55">
        <w:rPr>
          <w:b/>
          <w:bCs/>
          <w:lang w:val="es-ES"/>
        </w:rPr>
        <w:t xml:space="preserve">de dos mil </w:t>
      </w:r>
      <w:r w:rsidR="000605CC" w:rsidRPr="00501C55">
        <w:rPr>
          <w:b/>
          <w:bCs/>
          <w:lang w:val="es-ES"/>
        </w:rPr>
        <w:t>veinticuatro</w:t>
      </w:r>
      <w:r w:rsidRPr="00501C55">
        <w:rPr>
          <w:lang w:val="es-ES"/>
        </w:rPr>
        <w:t xml:space="preserve">, </w:t>
      </w:r>
      <w:r w:rsidR="00F07EE6" w:rsidRPr="00501C55">
        <w:rPr>
          <w:lang w:val="es-ES"/>
        </w:rPr>
        <w:t xml:space="preserve">el Titular de la Unidad de Transparencia del </w:t>
      </w:r>
      <w:r w:rsidR="00F07EE6" w:rsidRPr="00501C55">
        <w:rPr>
          <w:b/>
          <w:lang w:val="es-ES"/>
        </w:rPr>
        <w:t>SUJETO OBLIGADO</w:t>
      </w:r>
      <w:r w:rsidR="00F07EE6" w:rsidRPr="00501C55">
        <w:rPr>
          <w:lang w:val="es-ES"/>
        </w:rPr>
        <w:t xml:space="preserve"> notificó la siguiente respuesta a través del </w:t>
      </w:r>
      <w:r w:rsidRPr="00501C55">
        <w:rPr>
          <w:lang w:val="es-ES"/>
        </w:rPr>
        <w:t>SAIMEX</w:t>
      </w:r>
      <w:r w:rsidR="00F07EE6" w:rsidRPr="00501C55">
        <w:rPr>
          <w:lang w:val="es-ES"/>
        </w:rPr>
        <w:t>:</w:t>
      </w:r>
    </w:p>
    <w:p w14:paraId="669F7EFD" w14:textId="77777777" w:rsidR="00664420" w:rsidRPr="00501C55" w:rsidRDefault="00664420" w:rsidP="00501C55">
      <w:pPr>
        <w:tabs>
          <w:tab w:val="left" w:pos="4667"/>
        </w:tabs>
        <w:ind w:left="567" w:right="567"/>
        <w:rPr>
          <w:rFonts w:cs="Tahoma"/>
          <w:b/>
          <w:bCs/>
        </w:rPr>
      </w:pPr>
    </w:p>
    <w:p w14:paraId="042FE73D" w14:textId="4AF7D703" w:rsidR="00F07EE6" w:rsidRPr="00501C55" w:rsidRDefault="00DF7220" w:rsidP="00501C55">
      <w:pPr>
        <w:pStyle w:val="Puesto"/>
      </w:pPr>
      <w:r w:rsidRPr="00501C55">
        <w:t xml:space="preserve">Folio de la Solicitud: 00131/OASECATEPE/IPD/2024 En respuesta a la solicitud recibida, nos permitimos hacer de su conocimiento que con fundamento en el artículo 53, Fracciones: II, V y VI de la Ley de Transparencia y Acceso a la Información Pública del Estado de México y Municipios, le contestamos que: De conformidad con el artículo 6º fracción II, 8º </w:t>
      </w:r>
      <w:r w:rsidRPr="00501C55">
        <w:lastRenderedPageBreak/>
        <w:t>y 16º párrafo primero de la constitución política de los Estados Unidos Mexicanos; el artículos 4º y 5º de la constitución del Estado Libre y soberano de México; artículo 5, 31 fracción IV de la Ley Orgánica Municipal, articulo 37, 38 de la Ley del Agua para el Estado de México y Municipios, artículo 1.41 del Código Administrativo del Estado de México, artículos 3 fracción XLIV, 12, segundo párrafo, 15, 16, 23, fracción IV, 24 fracción VIII, 50, 51, 52, 53 fracciones II, III, IV, V de la Ley de Transparencia y Acceso a la Información Pública del Estado de México y Municipios, referente a su solicitud de información con número 00131/OASECATEPE/IP/2024; relativo a su petición de información en la que a la letra dice: “claración de procedimientos técnico-administrativos de la construcción de 3 pozos, construidos por el SAPASE en el ejercicio 2020 con recursos federales del PRODDER”…Sic (ARCHIVO ADJUNTO) Por lo anterior, la respuesta la puede encontrar en el archivo PDF adjunto a esta contestación, Sin más por el momento, quedo de usted esperando que le sea de utilidad dicha información</w:t>
      </w:r>
      <w:r w:rsidR="00F07EE6" w:rsidRPr="00501C55">
        <w:t>.</w:t>
      </w:r>
    </w:p>
    <w:p w14:paraId="5D11024C" w14:textId="77777777" w:rsidR="00664420" w:rsidRPr="00501C55" w:rsidRDefault="00664420" w:rsidP="00501C55">
      <w:pPr>
        <w:autoSpaceDE w:val="0"/>
        <w:autoSpaceDN w:val="0"/>
        <w:adjustRightInd w:val="0"/>
        <w:ind w:right="-28"/>
        <w:rPr>
          <w:rFonts w:cs="Tahoma"/>
          <w:bCs/>
          <w:szCs w:val="22"/>
        </w:rPr>
      </w:pPr>
    </w:p>
    <w:p w14:paraId="70920289" w14:textId="1734249B" w:rsidR="00664420" w:rsidRPr="00501C55" w:rsidRDefault="00F07EE6" w:rsidP="00501C55">
      <w:pPr>
        <w:autoSpaceDE w:val="0"/>
        <w:autoSpaceDN w:val="0"/>
        <w:adjustRightInd w:val="0"/>
        <w:ind w:right="-28"/>
        <w:rPr>
          <w:rFonts w:cs="Tahoma"/>
          <w:bCs/>
          <w:szCs w:val="22"/>
          <w:lang w:val="es-ES"/>
        </w:rPr>
      </w:pPr>
      <w:r w:rsidRPr="00501C55">
        <w:rPr>
          <w:rFonts w:cs="Tahoma"/>
          <w:bCs/>
          <w:szCs w:val="22"/>
          <w:lang w:val="es-ES"/>
        </w:rPr>
        <w:t xml:space="preserve">Asimismo, </w:t>
      </w:r>
      <w:r w:rsidRPr="00501C55">
        <w:rPr>
          <w:rFonts w:cs="Tahoma"/>
          <w:b/>
          <w:szCs w:val="22"/>
          <w:lang w:val="es-ES"/>
        </w:rPr>
        <w:t xml:space="preserve">EL SUJETO OBLIGADO </w:t>
      </w:r>
      <w:r w:rsidRPr="00501C55">
        <w:rPr>
          <w:rFonts w:cs="Tahoma"/>
          <w:bCs/>
          <w:szCs w:val="22"/>
          <w:lang w:val="es-ES"/>
        </w:rPr>
        <w:t>adjuntó a su respuesta los archivos electrónicos que se describen a continuación</w:t>
      </w:r>
      <w:r w:rsidR="00664420" w:rsidRPr="00501C55">
        <w:rPr>
          <w:rFonts w:cs="Tahoma"/>
          <w:bCs/>
          <w:szCs w:val="22"/>
          <w:lang w:val="es-ES"/>
        </w:rPr>
        <w:t>:</w:t>
      </w:r>
    </w:p>
    <w:p w14:paraId="2C78354F" w14:textId="77777777" w:rsidR="00664420" w:rsidRPr="00501C55" w:rsidRDefault="00664420" w:rsidP="00501C55">
      <w:pPr>
        <w:autoSpaceDE w:val="0"/>
        <w:autoSpaceDN w:val="0"/>
        <w:adjustRightInd w:val="0"/>
        <w:ind w:right="-28"/>
        <w:rPr>
          <w:rFonts w:cs="Tahoma"/>
          <w:bCs/>
          <w:szCs w:val="22"/>
          <w:lang w:val="es-ES"/>
        </w:rPr>
      </w:pPr>
    </w:p>
    <w:p w14:paraId="554FE560" w14:textId="739A72FF" w:rsidR="00DF7220" w:rsidRPr="00501C55" w:rsidRDefault="00DF7220" w:rsidP="00501C55">
      <w:pPr>
        <w:autoSpaceDE w:val="0"/>
        <w:autoSpaceDN w:val="0"/>
        <w:adjustRightInd w:val="0"/>
        <w:ind w:right="-28"/>
        <w:rPr>
          <w:rFonts w:cs="Tahoma"/>
          <w:bCs/>
          <w:i/>
          <w:iCs/>
          <w:szCs w:val="22"/>
        </w:rPr>
      </w:pPr>
      <w:r w:rsidRPr="00501C55">
        <w:rPr>
          <w:rFonts w:cs="Tahoma"/>
          <w:b/>
          <w:szCs w:val="22"/>
        </w:rPr>
        <w:t xml:space="preserve">00131 OASECATEPE-IP-2024 CONSULTA DIRECTA.pdf </w:t>
      </w:r>
      <w:r w:rsidRPr="00501C55">
        <w:rPr>
          <w:rFonts w:cs="Tahoma"/>
          <w:bCs/>
          <w:szCs w:val="22"/>
        </w:rPr>
        <w:t xml:space="preserve">Documento emitido por el Director Técnico de Construcción, Operación y Mantenimiento mediante el cual dio respuesta a la solicitud de información en los términos siguientes: </w:t>
      </w:r>
      <w:r w:rsidRPr="00501C55">
        <w:rPr>
          <w:rFonts w:cs="Tahoma"/>
          <w:bCs/>
          <w:i/>
          <w:iCs/>
          <w:szCs w:val="22"/>
        </w:rPr>
        <w:t>“</w:t>
      </w:r>
      <w:r w:rsidR="00BB7B39" w:rsidRPr="00501C55">
        <w:rPr>
          <w:rFonts w:cs="Tahoma"/>
          <w:bCs/>
          <w:i/>
          <w:iCs/>
          <w:szCs w:val="22"/>
        </w:rPr>
        <w:t>Por lo anterior, y con fundamento en lo señalado en el artículo 158 de la Ley de Transparencia y Acceso a la Información Pública del Estado de México y Municipios, toda vez que los requerimientos de información que conforman la solicitud de origen, representan un volumen considerable, en consecuencia, para su entrega, se sobrepasan las capacidades técnicas, administrativas y humanas de esta Dirección, de manera excepcional, se pone a disposición del solicitante la información requerida en la modalidad de CONSULTA DIRECTA, en los días y horarios que se citan en líneas posteriores, con lo que se cumple cabalmente con la obligación de dar acceso a la información de carácter público como lo preceptúa el dispositivo 166 de la Ley de la materia, al momento que el solicitante tiene a su disposición la información solicitada.”</w:t>
      </w:r>
    </w:p>
    <w:p w14:paraId="3EF00DE4" w14:textId="77777777" w:rsidR="00DF7220" w:rsidRPr="00501C55" w:rsidRDefault="00DF7220" w:rsidP="00501C55">
      <w:pPr>
        <w:autoSpaceDE w:val="0"/>
        <w:autoSpaceDN w:val="0"/>
        <w:adjustRightInd w:val="0"/>
        <w:ind w:right="-28"/>
        <w:rPr>
          <w:rFonts w:cs="Tahoma"/>
          <w:b/>
          <w:szCs w:val="22"/>
        </w:rPr>
      </w:pPr>
    </w:p>
    <w:p w14:paraId="2ED4B04A" w14:textId="4452BBB2" w:rsidR="00DE1133" w:rsidRPr="00501C55" w:rsidRDefault="00DF7220" w:rsidP="00501C55">
      <w:pPr>
        <w:autoSpaceDE w:val="0"/>
        <w:autoSpaceDN w:val="0"/>
        <w:adjustRightInd w:val="0"/>
        <w:ind w:right="-28"/>
        <w:rPr>
          <w:rFonts w:cs="Tahoma"/>
          <w:bCs/>
          <w:szCs w:val="22"/>
          <w:lang w:val="es-ES"/>
        </w:rPr>
      </w:pPr>
      <w:r w:rsidRPr="00501C55">
        <w:rPr>
          <w:rFonts w:cs="Tahoma"/>
          <w:b/>
          <w:szCs w:val="22"/>
          <w:lang w:val="es-ES"/>
        </w:rPr>
        <w:lastRenderedPageBreak/>
        <w:t>3 pozos sapase.pdf</w:t>
      </w:r>
      <w:r w:rsidR="00BB7B39" w:rsidRPr="00501C55">
        <w:rPr>
          <w:rFonts w:cs="Tahoma"/>
          <w:b/>
          <w:szCs w:val="22"/>
          <w:lang w:val="es-ES"/>
        </w:rPr>
        <w:t xml:space="preserve"> </w:t>
      </w:r>
      <w:r w:rsidR="00BB7B39" w:rsidRPr="00501C55">
        <w:rPr>
          <w:rFonts w:cs="Tahoma"/>
          <w:bCs/>
          <w:szCs w:val="22"/>
          <w:lang w:val="es-ES"/>
        </w:rPr>
        <w:t>Corresponde al documento remitido por parte del recurrente al momento de solicitar la información.</w:t>
      </w:r>
    </w:p>
    <w:p w14:paraId="52460699" w14:textId="77777777" w:rsidR="00664420" w:rsidRPr="00501C55" w:rsidRDefault="00664420" w:rsidP="00501C55">
      <w:pPr>
        <w:autoSpaceDE w:val="0"/>
        <w:autoSpaceDN w:val="0"/>
        <w:adjustRightInd w:val="0"/>
        <w:ind w:right="-28"/>
        <w:rPr>
          <w:rFonts w:cs="Tahoma"/>
          <w:bCs/>
          <w:szCs w:val="22"/>
          <w:lang w:val="es-ES"/>
        </w:rPr>
      </w:pPr>
    </w:p>
    <w:p w14:paraId="5A5DAB9E" w14:textId="77777777" w:rsidR="00E37A3F" w:rsidRPr="00501C55" w:rsidRDefault="00E37A3F" w:rsidP="00501C55">
      <w:pPr>
        <w:pStyle w:val="Ttulo2"/>
        <w:jc w:val="left"/>
      </w:pPr>
      <w:bookmarkStart w:id="10" w:name="_Toc183189350"/>
      <w:r w:rsidRPr="00501C55">
        <w:t>DEL RECURSO DE REVISIÓN</w:t>
      </w:r>
      <w:bookmarkEnd w:id="10"/>
    </w:p>
    <w:p w14:paraId="0B17CD08" w14:textId="77777777" w:rsidR="00664420" w:rsidRPr="00501C55" w:rsidRDefault="00664420" w:rsidP="00501C55">
      <w:pPr>
        <w:autoSpaceDE w:val="0"/>
        <w:autoSpaceDN w:val="0"/>
        <w:adjustRightInd w:val="0"/>
        <w:ind w:right="-28"/>
        <w:rPr>
          <w:rFonts w:cs="Tahoma"/>
          <w:bCs/>
          <w:szCs w:val="22"/>
          <w:lang w:val="es-ES"/>
        </w:rPr>
      </w:pPr>
    </w:p>
    <w:p w14:paraId="2B216813" w14:textId="61ADBB2B" w:rsidR="00664420" w:rsidRPr="00501C55" w:rsidRDefault="006E25BC" w:rsidP="00501C55">
      <w:pPr>
        <w:pStyle w:val="Ttulo3"/>
      </w:pPr>
      <w:bookmarkStart w:id="11" w:name="_Toc183189351"/>
      <w:r w:rsidRPr="00501C55">
        <w:rPr>
          <w:szCs w:val="32"/>
        </w:rPr>
        <w:t>a)</w:t>
      </w:r>
      <w:r w:rsidRPr="00501C55">
        <w:t xml:space="preserve"> </w:t>
      </w:r>
      <w:r w:rsidR="00664420" w:rsidRPr="00501C55">
        <w:t>Interposición del Recurso de Revisión</w:t>
      </w:r>
      <w:bookmarkEnd w:id="11"/>
    </w:p>
    <w:p w14:paraId="6279C622" w14:textId="120671AB" w:rsidR="00664420" w:rsidRPr="00501C55" w:rsidRDefault="00664420" w:rsidP="00501C55">
      <w:pPr>
        <w:autoSpaceDE w:val="0"/>
        <w:autoSpaceDN w:val="0"/>
        <w:adjustRightInd w:val="0"/>
        <w:ind w:right="-28"/>
        <w:rPr>
          <w:rFonts w:cs="Tahoma"/>
          <w:szCs w:val="22"/>
        </w:rPr>
      </w:pPr>
      <w:r w:rsidRPr="00501C55">
        <w:rPr>
          <w:rFonts w:cs="Tahoma"/>
          <w:szCs w:val="22"/>
        </w:rPr>
        <w:t xml:space="preserve">El </w:t>
      </w:r>
      <w:r w:rsidR="00BB7B39" w:rsidRPr="00501C55">
        <w:rPr>
          <w:rFonts w:cs="Tahoma"/>
          <w:b/>
          <w:bCs/>
          <w:szCs w:val="22"/>
        </w:rPr>
        <w:t>veintiuno</w:t>
      </w:r>
      <w:r w:rsidRPr="00501C55">
        <w:rPr>
          <w:rFonts w:cs="Tahoma"/>
          <w:b/>
          <w:bCs/>
          <w:szCs w:val="22"/>
        </w:rPr>
        <w:t xml:space="preserve"> de </w:t>
      </w:r>
      <w:r w:rsidR="00BB7B39" w:rsidRPr="00501C55">
        <w:rPr>
          <w:rFonts w:cs="Tahoma"/>
          <w:b/>
          <w:bCs/>
          <w:szCs w:val="22"/>
        </w:rPr>
        <w:t xml:space="preserve">septiembre </w:t>
      </w:r>
      <w:r w:rsidRPr="00501C55">
        <w:rPr>
          <w:rFonts w:cs="Tahoma"/>
          <w:b/>
          <w:bCs/>
          <w:szCs w:val="22"/>
        </w:rPr>
        <w:t xml:space="preserve">de dos mil </w:t>
      </w:r>
      <w:r w:rsidR="000605CC" w:rsidRPr="00501C55">
        <w:rPr>
          <w:rFonts w:cs="Tahoma"/>
          <w:b/>
          <w:bCs/>
          <w:szCs w:val="22"/>
        </w:rPr>
        <w:t>veinticuatro</w:t>
      </w:r>
      <w:r w:rsidRPr="00501C55">
        <w:rPr>
          <w:rFonts w:cs="Tahoma"/>
          <w:szCs w:val="22"/>
        </w:rPr>
        <w:t xml:space="preserve"> </w:t>
      </w:r>
      <w:r w:rsidR="00F75D23" w:rsidRPr="00501C55">
        <w:rPr>
          <w:rFonts w:cs="Tahoma"/>
          <w:b/>
          <w:bCs/>
          <w:szCs w:val="22"/>
        </w:rPr>
        <w:t>LA PARTE RECURRENTE</w:t>
      </w:r>
      <w:r w:rsidR="00F75D23" w:rsidRPr="00501C55">
        <w:rPr>
          <w:rFonts w:cs="Tahoma"/>
          <w:szCs w:val="22"/>
        </w:rPr>
        <w:t xml:space="preserve"> interpuso el recurso de revisión en contra de la respuesta emitida por el </w:t>
      </w:r>
      <w:r w:rsidR="00F75D23" w:rsidRPr="00501C55">
        <w:rPr>
          <w:rFonts w:cs="Tahoma"/>
          <w:b/>
          <w:bCs/>
          <w:szCs w:val="22"/>
        </w:rPr>
        <w:t>SUJETO OBLIGADO</w:t>
      </w:r>
      <w:r w:rsidR="00953430" w:rsidRPr="00501C55">
        <w:rPr>
          <w:rFonts w:cs="Tahoma"/>
          <w:szCs w:val="22"/>
        </w:rPr>
        <w:t xml:space="preserve">, mismo que fue registrado en el SAIMEX con el número de expediente </w:t>
      </w:r>
      <w:r w:rsidR="00BB7B39" w:rsidRPr="00501C55">
        <w:rPr>
          <w:rFonts w:cs="Tahoma"/>
          <w:b/>
          <w:bCs/>
          <w:szCs w:val="22"/>
        </w:rPr>
        <w:t>05757/</w:t>
      </w:r>
      <w:r w:rsidR="00953430" w:rsidRPr="00501C55">
        <w:rPr>
          <w:rFonts w:cs="Tahoma"/>
          <w:b/>
          <w:bCs/>
          <w:szCs w:val="22"/>
        </w:rPr>
        <w:t>INFOEM/IP/RR/</w:t>
      </w:r>
      <w:r w:rsidR="00BB7B39" w:rsidRPr="00501C55">
        <w:rPr>
          <w:rFonts w:cs="Tahoma"/>
          <w:b/>
          <w:bCs/>
          <w:szCs w:val="22"/>
        </w:rPr>
        <w:t>2024</w:t>
      </w:r>
      <w:r w:rsidR="00953430" w:rsidRPr="00501C55">
        <w:rPr>
          <w:rFonts w:cs="Tahoma"/>
          <w:szCs w:val="22"/>
        </w:rPr>
        <w:t>, y en el cual manifiesta lo siguiente</w:t>
      </w:r>
      <w:r w:rsidRPr="00501C55">
        <w:rPr>
          <w:rFonts w:cs="Tahoma"/>
          <w:szCs w:val="22"/>
        </w:rPr>
        <w:t>:</w:t>
      </w:r>
    </w:p>
    <w:p w14:paraId="74B30008" w14:textId="77777777" w:rsidR="00664420" w:rsidRPr="00501C55" w:rsidRDefault="00664420" w:rsidP="00501C55">
      <w:pPr>
        <w:tabs>
          <w:tab w:val="left" w:pos="4667"/>
        </w:tabs>
        <w:ind w:right="539"/>
        <w:rPr>
          <w:rFonts w:cs="Tahoma"/>
          <w:szCs w:val="22"/>
        </w:rPr>
      </w:pPr>
    </w:p>
    <w:p w14:paraId="12153283" w14:textId="77777777" w:rsidR="00664420" w:rsidRPr="00501C55" w:rsidRDefault="00664420" w:rsidP="00501C55">
      <w:pPr>
        <w:tabs>
          <w:tab w:val="left" w:pos="4667"/>
        </w:tabs>
        <w:ind w:left="567" w:right="539"/>
        <w:rPr>
          <w:rFonts w:cs="Tahoma"/>
          <w:b/>
          <w:iCs/>
        </w:rPr>
      </w:pPr>
      <w:r w:rsidRPr="00501C55">
        <w:rPr>
          <w:rFonts w:cs="Tahoma"/>
          <w:b/>
          <w:iCs/>
        </w:rPr>
        <w:t>ACTO IMPUGNADO</w:t>
      </w:r>
      <w:r w:rsidRPr="00501C55">
        <w:rPr>
          <w:rFonts w:cs="Tahoma"/>
          <w:b/>
          <w:iCs/>
        </w:rPr>
        <w:tab/>
      </w:r>
    </w:p>
    <w:p w14:paraId="523F8BF4" w14:textId="76C09434" w:rsidR="00664420" w:rsidRPr="00501C55" w:rsidRDefault="00BB7B39" w:rsidP="00501C55">
      <w:pPr>
        <w:tabs>
          <w:tab w:val="left" w:pos="4667"/>
        </w:tabs>
        <w:ind w:left="567" w:right="539"/>
        <w:rPr>
          <w:rFonts w:cs="Tahoma"/>
          <w:bCs/>
          <w:i/>
        </w:rPr>
      </w:pPr>
      <w:r w:rsidRPr="00501C55">
        <w:rPr>
          <w:rFonts w:cs="Tahoma"/>
          <w:bCs/>
          <w:i/>
        </w:rPr>
        <w:t>Inconformidad en la respuesta</w:t>
      </w:r>
      <w:r w:rsidR="00664420" w:rsidRPr="00501C55">
        <w:rPr>
          <w:rFonts w:cs="Tahoma"/>
          <w:bCs/>
          <w:i/>
        </w:rPr>
        <w:t>.</w:t>
      </w:r>
    </w:p>
    <w:p w14:paraId="6AE8EA9A" w14:textId="77777777" w:rsidR="00664420" w:rsidRPr="00501C55" w:rsidRDefault="00664420" w:rsidP="00501C55">
      <w:pPr>
        <w:tabs>
          <w:tab w:val="left" w:pos="4667"/>
        </w:tabs>
        <w:ind w:left="567" w:right="539"/>
        <w:rPr>
          <w:rFonts w:cs="Tahoma"/>
          <w:bCs/>
          <w:i/>
        </w:rPr>
      </w:pPr>
    </w:p>
    <w:p w14:paraId="047D036B" w14:textId="77777777" w:rsidR="00664420" w:rsidRPr="00501C55" w:rsidRDefault="00664420" w:rsidP="00501C55">
      <w:pPr>
        <w:tabs>
          <w:tab w:val="left" w:pos="4667"/>
        </w:tabs>
        <w:ind w:left="567" w:right="539"/>
        <w:rPr>
          <w:rFonts w:cs="Tahoma"/>
          <w:b/>
          <w:iCs/>
        </w:rPr>
      </w:pPr>
      <w:r w:rsidRPr="00501C55">
        <w:rPr>
          <w:rFonts w:cs="Tahoma"/>
          <w:b/>
          <w:iCs/>
        </w:rPr>
        <w:t>RAZONES O MOTIVOS DE LA INCONFORMIDAD</w:t>
      </w:r>
      <w:r w:rsidRPr="00501C55">
        <w:rPr>
          <w:rFonts w:cs="Tahoma"/>
          <w:b/>
          <w:iCs/>
        </w:rPr>
        <w:tab/>
      </w:r>
    </w:p>
    <w:p w14:paraId="1DAE2563" w14:textId="0365544F" w:rsidR="00953430" w:rsidRPr="00501C55" w:rsidRDefault="00BB7B39" w:rsidP="00501C55">
      <w:pPr>
        <w:tabs>
          <w:tab w:val="left" w:pos="4667"/>
        </w:tabs>
        <w:ind w:left="567" w:right="539"/>
        <w:rPr>
          <w:rFonts w:cs="Tahoma"/>
          <w:bCs/>
          <w:i/>
        </w:rPr>
      </w:pPr>
      <w:r w:rsidRPr="00501C55">
        <w:rPr>
          <w:rFonts w:cs="Tahoma"/>
          <w:b/>
          <w:i/>
        </w:rPr>
        <w:t>Adjunté un archivo PDF de un cuestionario, en el que estoy solicitando, en la mayoría de todas mis preguntas un SI o un NO y alguna fecha extra que no tiene la mayor complejidad que consultarlo en el mismo expediente único de cada obra, aunque sea en su INDICE, o aclarando en su caso, que la información NO PROCEDE No estoy solicitando documentos impresos, ni copias para que funden el argumento del Director Técnico, en el sentido de que mi solicitud de origen, representa un volumen considerable de información y sobrepasa las capacidades de su área. Ni estoy solicitando que me otorgue de manera "excepcional" fecha u hora para una consulta directa.</w:t>
      </w:r>
      <w:r w:rsidRPr="00501C55">
        <w:rPr>
          <w:rFonts w:cs="Tahoma"/>
          <w:bCs/>
          <w:i/>
        </w:rPr>
        <w:t xml:space="preserve"> Eso sólo confirma mis sospechas que motivaron mi </w:t>
      </w:r>
      <w:r w:rsidRPr="00501C55">
        <w:rPr>
          <w:rFonts w:cs="Tahoma"/>
          <w:bCs/>
          <w:i/>
        </w:rPr>
        <w:lastRenderedPageBreak/>
        <w:t>investigación y, temo que me van a dar largas por un SI o por un NO, ni los comentarios solicitados de la Contraloría, sobre el desorden administrativo que impera en esos contratos. Reenvío en formato Word mi escrito, para que no haya pretexto de atención. Considero que para una respuesta tan simple, esquiva e intrascendente no se requería que transcurrieran más de 20 días En mi escrito aclaro que la consulta directa la haré en los primeros meses del próximo año, cuando ya todo el personal evasivo de esta administración haya sido reemplazado y no tenga manera de manipular la información</w:t>
      </w:r>
      <w:r w:rsidR="00953430" w:rsidRPr="00501C55">
        <w:rPr>
          <w:rFonts w:cs="Tahoma"/>
          <w:bCs/>
          <w:i/>
        </w:rPr>
        <w:t>.</w:t>
      </w:r>
    </w:p>
    <w:p w14:paraId="48FE75EA" w14:textId="77777777" w:rsidR="00664420" w:rsidRPr="00501C55" w:rsidRDefault="00664420" w:rsidP="00501C55">
      <w:pPr>
        <w:tabs>
          <w:tab w:val="left" w:pos="4667"/>
        </w:tabs>
        <w:ind w:right="567"/>
        <w:rPr>
          <w:rFonts w:cs="Tahoma"/>
          <w:b/>
          <w:bCs/>
        </w:rPr>
      </w:pPr>
    </w:p>
    <w:p w14:paraId="6804DEF1" w14:textId="3C4F6CB5" w:rsidR="00664420" w:rsidRPr="00501C55" w:rsidRDefault="006E25BC" w:rsidP="00501C55">
      <w:pPr>
        <w:pStyle w:val="Ttulo3"/>
      </w:pPr>
      <w:bookmarkStart w:id="12" w:name="_Toc183189352"/>
      <w:r w:rsidRPr="00501C55">
        <w:t>b</w:t>
      </w:r>
      <w:r w:rsidR="00664420" w:rsidRPr="00501C55">
        <w:t>) Turno del Recurso de Revisión</w:t>
      </w:r>
      <w:bookmarkEnd w:id="12"/>
    </w:p>
    <w:p w14:paraId="1173671B" w14:textId="73533DCB" w:rsidR="00C72DAA" w:rsidRPr="00501C55" w:rsidRDefault="00C72DAA" w:rsidP="00501C55">
      <w:r w:rsidRPr="00501C55">
        <w:t>Con fundamento en el artículo 185, fracción I de la Ley de Transparencia y Acceso a la Información Pública del Estado de México y Municipios, el</w:t>
      </w:r>
      <w:r w:rsidRPr="00501C55">
        <w:rPr>
          <w:b/>
          <w:bCs/>
        </w:rPr>
        <w:t xml:space="preserve"> </w:t>
      </w:r>
      <w:r w:rsidR="00BB7B39" w:rsidRPr="00501C55">
        <w:rPr>
          <w:rFonts w:eastAsia="Palatino Linotype" w:cs="Palatino Linotype"/>
          <w:b/>
        </w:rPr>
        <w:t>veintiuno</w:t>
      </w:r>
      <w:r w:rsidRPr="00501C55">
        <w:rPr>
          <w:rFonts w:eastAsia="Palatino Linotype" w:cs="Palatino Linotype"/>
          <w:b/>
        </w:rPr>
        <w:t xml:space="preserve"> de </w:t>
      </w:r>
      <w:r w:rsidR="00BB7B39" w:rsidRPr="00501C55">
        <w:rPr>
          <w:rFonts w:eastAsia="Palatino Linotype" w:cs="Palatino Linotype"/>
          <w:b/>
        </w:rPr>
        <w:t xml:space="preserve">septiembre </w:t>
      </w:r>
      <w:r w:rsidRPr="00501C55">
        <w:rPr>
          <w:rFonts w:eastAsia="Palatino Linotype" w:cs="Palatino Linotype"/>
          <w:b/>
        </w:rPr>
        <w:t xml:space="preserve">de dos mil </w:t>
      </w:r>
      <w:r w:rsidR="00BB7B39" w:rsidRPr="00501C55">
        <w:rPr>
          <w:rFonts w:eastAsia="Palatino Linotype" w:cs="Palatino Linotype"/>
          <w:b/>
        </w:rPr>
        <w:t>veinticuatro</w:t>
      </w:r>
      <w:r w:rsidRPr="00501C55">
        <w:t xml:space="preserve"> se turnó el recurso de revisión a través del</w:t>
      </w:r>
      <w:r w:rsidRPr="00501C55">
        <w:rPr>
          <w:rFonts w:eastAsia="Arial Unicode MS"/>
        </w:rPr>
        <w:t xml:space="preserve"> </w:t>
      </w:r>
      <w:r w:rsidRPr="00501C55">
        <w:rPr>
          <w:rFonts w:eastAsia="Arial Unicode MS"/>
          <w:bCs/>
        </w:rPr>
        <w:t>SAIMEX</w:t>
      </w:r>
      <w:r w:rsidRPr="00501C55">
        <w:t xml:space="preserve"> a la </w:t>
      </w:r>
      <w:r w:rsidRPr="00501C55">
        <w:rPr>
          <w:b/>
        </w:rPr>
        <w:t>Comisionada Sharon Cristina Morales Martínez</w:t>
      </w:r>
      <w:r w:rsidRPr="00501C55">
        <w:rPr>
          <w:bCs/>
        </w:rPr>
        <w:t xml:space="preserve">, </w:t>
      </w:r>
      <w:r w:rsidRPr="00501C55">
        <w:t xml:space="preserve">a efecto de decretar su admisión o desechamiento. </w:t>
      </w:r>
    </w:p>
    <w:p w14:paraId="18F305CB" w14:textId="77777777" w:rsidR="00664420" w:rsidRPr="00501C55" w:rsidRDefault="00664420" w:rsidP="00501C55">
      <w:pPr>
        <w:rPr>
          <w:rFonts w:eastAsia="Batang" w:cs="Tahoma"/>
          <w:bCs/>
          <w:szCs w:val="22"/>
        </w:rPr>
      </w:pPr>
    </w:p>
    <w:p w14:paraId="3E31EC2D" w14:textId="295256A1" w:rsidR="00664420" w:rsidRPr="00501C55" w:rsidRDefault="006E25BC" w:rsidP="00501C55">
      <w:pPr>
        <w:pStyle w:val="Ttulo3"/>
      </w:pPr>
      <w:bookmarkStart w:id="13" w:name="_Toc183189353"/>
      <w:r w:rsidRPr="00501C55">
        <w:t>c</w:t>
      </w:r>
      <w:r w:rsidR="00664420" w:rsidRPr="00501C55">
        <w:t>) Admisión del Recurso de Revisión</w:t>
      </w:r>
      <w:bookmarkEnd w:id="13"/>
    </w:p>
    <w:p w14:paraId="240447D5" w14:textId="31B2430B" w:rsidR="000E09C4" w:rsidRPr="00501C55" w:rsidRDefault="000E09C4" w:rsidP="00501C55">
      <w:pPr>
        <w:rPr>
          <w:rFonts w:cs="Arial"/>
        </w:rPr>
      </w:pPr>
      <w:r w:rsidRPr="00501C55">
        <w:rPr>
          <w:rFonts w:cs="Arial"/>
        </w:rPr>
        <w:t xml:space="preserve">El </w:t>
      </w:r>
      <w:r w:rsidR="00BB7B39" w:rsidRPr="00501C55">
        <w:rPr>
          <w:rFonts w:eastAsia="Palatino Linotype" w:cs="Palatino Linotype"/>
          <w:b/>
        </w:rPr>
        <w:t>veintitrés</w:t>
      </w:r>
      <w:r w:rsidRPr="00501C55">
        <w:rPr>
          <w:rFonts w:eastAsia="Palatino Linotype" w:cs="Palatino Linotype"/>
          <w:b/>
        </w:rPr>
        <w:t xml:space="preserve"> de </w:t>
      </w:r>
      <w:r w:rsidR="00BB7B39" w:rsidRPr="00501C55">
        <w:rPr>
          <w:rFonts w:eastAsia="Palatino Linotype" w:cs="Palatino Linotype"/>
          <w:b/>
        </w:rPr>
        <w:t xml:space="preserve">septiembre </w:t>
      </w:r>
      <w:r w:rsidRPr="00501C55">
        <w:rPr>
          <w:rFonts w:eastAsia="Palatino Linotype" w:cs="Palatino Linotype"/>
          <w:b/>
        </w:rPr>
        <w:t xml:space="preserve">de dos mil </w:t>
      </w:r>
      <w:r w:rsidR="000605CC" w:rsidRPr="00501C55">
        <w:rPr>
          <w:rFonts w:eastAsia="Palatino Linotype" w:cs="Palatino Linotype"/>
          <w:b/>
        </w:rPr>
        <w:t>veinticuatro</w:t>
      </w:r>
      <w:r w:rsidRPr="00501C55">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501C55">
        <w:rPr>
          <w:rFonts w:cs="Arial"/>
        </w:rPr>
        <w:t>, fracción II</w:t>
      </w:r>
      <w:r w:rsidRPr="00501C55">
        <w:rPr>
          <w:rFonts w:cs="Arial"/>
        </w:rPr>
        <w:t xml:space="preserve"> de la Ley de Transparencia y Acceso a la Información Pública del Estado de México y Municipios.</w:t>
      </w:r>
    </w:p>
    <w:p w14:paraId="34EC3F86" w14:textId="77777777" w:rsidR="00D2790D" w:rsidRPr="00501C55" w:rsidRDefault="00D2790D" w:rsidP="00501C55">
      <w:pPr>
        <w:rPr>
          <w:rFonts w:cs="Arial"/>
        </w:rPr>
      </w:pPr>
    </w:p>
    <w:p w14:paraId="3B820F58" w14:textId="6A1ED18A" w:rsidR="00865CF4" w:rsidRPr="00501C55" w:rsidRDefault="006E25BC" w:rsidP="00501C55">
      <w:pPr>
        <w:pStyle w:val="Ttulo3"/>
      </w:pPr>
      <w:bookmarkStart w:id="14" w:name="_Toc183189354"/>
      <w:r w:rsidRPr="00501C55">
        <w:lastRenderedPageBreak/>
        <w:t>d</w:t>
      </w:r>
      <w:r w:rsidR="00D2790D" w:rsidRPr="00501C55">
        <w:t xml:space="preserve">) </w:t>
      </w:r>
      <w:r w:rsidR="00865CF4" w:rsidRPr="00501C55">
        <w:t>Informe Justificado del Sujeto Obligado</w:t>
      </w:r>
      <w:bookmarkEnd w:id="14"/>
    </w:p>
    <w:p w14:paraId="14A706BE" w14:textId="360DC07F" w:rsidR="00865CF4" w:rsidRPr="00501C55" w:rsidRDefault="00865CF4" w:rsidP="00501C55">
      <w:pPr>
        <w:rPr>
          <w:rFonts w:eastAsia="Arial Unicode MS" w:cs="Arial"/>
        </w:rPr>
      </w:pPr>
      <w:r w:rsidRPr="00501C55">
        <w:rPr>
          <w:rFonts w:cs="Tahoma"/>
          <w:b/>
          <w:szCs w:val="24"/>
        </w:rPr>
        <w:t xml:space="preserve">EL SUJETO OBLIGADO </w:t>
      </w:r>
      <w:r w:rsidRPr="00501C55">
        <w:rPr>
          <w:rFonts w:eastAsia="Arial Unicode MS" w:cs="Arial"/>
        </w:rPr>
        <w:t>rindió su informe justificado dentro del término legalmente concedido para tal efecto</w:t>
      </w:r>
      <w:r w:rsidR="00FE5FA2" w:rsidRPr="00501C55">
        <w:rPr>
          <w:rFonts w:eastAsia="Arial Unicode MS" w:cs="Arial"/>
        </w:rPr>
        <w:t xml:space="preserve"> mediante el cual en lo medular ratificó su respuesta y argumenta que no se encuentra obligado a generar documentos AD HOC.</w:t>
      </w:r>
    </w:p>
    <w:p w14:paraId="66BA6FC7" w14:textId="77777777" w:rsidR="00865CF4" w:rsidRPr="00501C55" w:rsidRDefault="00865CF4" w:rsidP="00501C55">
      <w:pPr>
        <w:rPr>
          <w:rFonts w:cs="Tahoma"/>
          <w:bCs/>
          <w:szCs w:val="24"/>
        </w:rPr>
      </w:pPr>
    </w:p>
    <w:p w14:paraId="755B7730" w14:textId="19C7EE54" w:rsidR="00664420" w:rsidRPr="00501C55" w:rsidRDefault="006E25BC" w:rsidP="00501C55">
      <w:pPr>
        <w:pStyle w:val="Ttulo3"/>
        <w:rPr>
          <w:lang w:val="es-ES"/>
        </w:rPr>
      </w:pPr>
      <w:bookmarkStart w:id="15" w:name="_Toc183189355"/>
      <w:r w:rsidRPr="00501C55">
        <w:rPr>
          <w:rFonts w:eastAsia="Calibri"/>
          <w:bCs/>
          <w:lang w:eastAsia="en-US"/>
        </w:rPr>
        <w:t>f</w:t>
      </w:r>
      <w:r w:rsidR="00664420" w:rsidRPr="00501C55">
        <w:rPr>
          <w:rFonts w:eastAsia="Calibri"/>
          <w:bCs/>
          <w:lang w:eastAsia="en-US"/>
        </w:rPr>
        <w:t>)</w:t>
      </w:r>
      <w:r w:rsidR="00664420" w:rsidRPr="00501C55">
        <w:t xml:space="preserve"> </w:t>
      </w:r>
      <w:r w:rsidR="00865CF4" w:rsidRPr="00501C55">
        <w:rPr>
          <w:lang w:val="es-ES"/>
        </w:rPr>
        <w:t>Manifestaciones de la Parte Recurrente</w:t>
      </w:r>
      <w:bookmarkEnd w:id="15"/>
    </w:p>
    <w:p w14:paraId="4E8AF011" w14:textId="7C6F0B56" w:rsidR="00865CF4" w:rsidRPr="00501C55" w:rsidRDefault="00865CF4" w:rsidP="00501C55">
      <w:pPr>
        <w:rPr>
          <w:rFonts w:eastAsia="Arial Unicode MS" w:cs="Arial"/>
        </w:rPr>
      </w:pPr>
      <w:r w:rsidRPr="00501C55">
        <w:rPr>
          <w:rFonts w:cs="Tahoma"/>
          <w:b/>
          <w:szCs w:val="24"/>
        </w:rPr>
        <w:t xml:space="preserve">LA PARTE RECURRENTE </w:t>
      </w:r>
      <w:r w:rsidRPr="00501C55">
        <w:rPr>
          <w:rFonts w:eastAsia="Arial Unicode MS" w:cs="Arial"/>
        </w:rPr>
        <w:t>realizó</w:t>
      </w:r>
      <w:r w:rsidR="00FE5FA2" w:rsidRPr="00501C55">
        <w:rPr>
          <w:rFonts w:eastAsia="Arial Unicode MS" w:cs="Arial"/>
        </w:rPr>
        <w:t xml:space="preserve"> sus</w:t>
      </w:r>
      <w:r w:rsidRPr="00501C55">
        <w:rPr>
          <w:rFonts w:eastAsia="Arial Unicode MS" w:cs="Arial"/>
        </w:rPr>
        <w:t xml:space="preserve"> manifestaci</w:t>
      </w:r>
      <w:r w:rsidR="00FE5FA2" w:rsidRPr="00501C55">
        <w:rPr>
          <w:rFonts w:eastAsia="Arial Unicode MS" w:cs="Arial"/>
        </w:rPr>
        <w:t>ones</w:t>
      </w:r>
      <w:r w:rsidRPr="00501C55">
        <w:rPr>
          <w:rFonts w:eastAsia="Arial Unicode MS" w:cs="Arial"/>
        </w:rPr>
        <w:t xml:space="preserve"> dentro del término legalmente concedido para tal efecto, </w:t>
      </w:r>
      <w:r w:rsidR="00FE5FA2" w:rsidRPr="00501C55">
        <w:rPr>
          <w:rFonts w:eastAsia="Arial Unicode MS" w:cs="Arial"/>
        </w:rPr>
        <w:t>remitiendo el cuestionario multirreferido y la respuesta del sujeto obligado.</w:t>
      </w:r>
    </w:p>
    <w:p w14:paraId="43289D82" w14:textId="77777777" w:rsidR="00865CF4" w:rsidRPr="00501C55" w:rsidRDefault="00865CF4" w:rsidP="00501C55">
      <w:pPr>
        <w:rPr>
          <w:rFonts w:eastAsia="Arial Unicode MS" w:cs="Arial"/>
        </w:rPr>
      </w:pPr>
    </w:p>
    <w:p w14:paraId="24F87764" w14:textId="77777777" w:rsidR="00664420" w:rsidRPr="00501C55" w:rsidRDefault="00664420" w:rsidP="00501C55">
      <w:pPr>
        <w:rPr>
          <w:rFonts w:cs="Tahoma"/>
          <w:bCs/>
          <w:szCs w:val="24"/>
        </w:rPr>
      </w:pPr>
    </w:p>
    <w:p w14:paraId="6B09022E" w14:textId="0FAFBA15" w:rsidR="00664420" w:rsidRPr="00501C55" w:rsidRDefault="006E25BC" w:rsidP="00501C55">
      <w:pPr>
        <w:pStyle w:val="Ttulo3"/>
        <w:rPr>
          <w:rFonts w:eastAsia="Calibri"/>
        </w:rPr>
      </w:pPr>
      <w:bookmarkStart w:id="16" w:name="_Toc183189356"/>
      <w:r w:rsidRPr="00501C55">
        <w:rPr>
          <w:rFonts w:eastAsia="Calibri"/>
        </w:rPr>
        <w:t>g</w:t>
      </w:r>
      <w:r w:rsidR="00664420" w:rsidRPr="00501C55">
        <w:rPr>
          <w:rFonts w:eastAsia="Calibri"/>
        </w:rPr>
        <w:t>) Ampliación de plazo</w:t>
      </w:r>
      <w:r w:rsidR="00865CF4" w:rsidRPr="00501C55">
        <w:rPr>
          <w:rFonts w:eastAsia="Calibri"/>
        </w:rPr>
        <w:t xml:space="preserve"> para resolver el Recurso de Revisión</w:t>
      </w:r>
      <w:bookmarkEnd w:id="16"/>
    </w:p>
    <w:p w14:paraId="10B20CA8" w14:textId="6A5DC7F1" w:rsidR="00664420" w:rsidRPr="00501C55" w:rsidRDefault="00865CF4" w:rsidP="00501C55">
      <w:pPr>
        <w:tabs>
          <w:tab w:val="left" w:pos="3261"/>
        </w:tabs>
        <w:rPr>
          <w:rFonts w:eastAsia="Calibri" w:cs="Tahoma"/>
          <w:szCs w:val="22"/>
        </w:rPr>
      </w:pPr>
      <w:r w:rsidRPr="00501C55">
        <w:rPr>
          <w:rFonts w:eastAsia="Calibri" w:cs="Tahoma"/>
          <w:szCs w:val="22"/>
        </w:rPr>
        <w:t xml:space="preserve">Con fundamento en lo dispuesto en el artículo 181, párrafo tercero, de la Ley de Transparencia y Acceso a la Información Pública del Estado de México y Municipios, </w:t>
      </w:r>
      <w:r w:rsidRPr="00501C55">
        <w:rPr>
          <w:rFonts w:eastAsia="Calibri" w:cs="Tahoma"/>
          <w:b/>
          <w:bCs/>
          <w:szCs w:val="22"/>
        </w:rPr>
        <w:t>e</w:t>
      </w:r>
      <w:r w:rsidR="00664420" w:rsidRPr="00501C55">
        <w:rPr>
          <w:rFonts w:eastAsia="Calibri" w:cs="Tahoma"/>
          <w:b/>
          <w:bCs/>
          <w:szCs w:val="22"/>
        </w:rPr>
        <w:t xml:space="preserve">l </w:t>
      </w:r>
      <w:r w:rsidR="00FE5FA2" w:rsidRPr="00501C55">
        <w:rPr>
          <w:rFonts w:eastAsia="Calibri" w:cs="Tahoma"/>
          <w:b/>
          <w:bCs/>
          <w:szCs w:val="22"/>
        </w:rPr>
        <w:t>siete</w:t>
      </w:r>
      <w:r w:rsidR="00664420" w:rsidRPr="00501C55">
        <w:rPr>
          <w:rFonts w:eastAsia="Calibri" w:cs="Tahoma"/>
          <w:b/>
          <w:bCs/>
          <w:szCs w:val="22"/>
        </w:rPr>
        <w:t xml:space="preserve"> de </w:t>
      </w:r>
      <w:r w:rsidR="00FE5FA2" w:rsidRPr="00501C55">
        <w:rPr>
          <w:rFonts w:eastAsia="Calibri" w:cs="Tahoma"/>
          <w:b/>
          <w:bCs/>
          <w:szCs w:val="22"/>
        </w:rPr>
        <w:t xml:space="preserve">noviembre </w:t>
      </w:r>
      <w:r w:rsidR="00664420" w:rsidRPr="00501C55">
        <w:rPr>
          <w:rFonts w:eastAsia="Calibri" w:cs="Tahoma"/>
          <w:b/>
          <w:bCs/>
          <w:szCs w:val="22"/>
        </w:rPr>
        <w:t xml:space="preserve">de dos mil </w:t>
      </w:r>
      <w:r w:rsidR="000605CC" w:rsidRPr="00501C55">
        <w:rPr>
          <w:rFonts w:eastAsia="Calibri" w:cs="Tahoma"/>
          <w:b/>
          <w:bCs/>
          <w:szCs w:val="22"/>
        </w:rPr>
        <w:t xml:space="preserve">veinticuatro </w:t>
      </w:r>
      <w:r w:rsidR="005723CB" w:rsidRPr="00501C55">
        <w:rPr>
          <w:rFonts w:eastAsia="Calibri" w:cs="Tahoma"/>
          <w:szCs w:val="22"/>
        </w:rPr>
        <w:t xml:space="preserve">se </w:t>
      </w:r>
      <w:r w:rsidR="00664420" w:rsidRPr="00501C55">
        <w:rPr>
          <w:rFonts w:eastAsia="Calibri" w:cs="Tahoma"/>
          <w:szCs w:val="22"/>
        </w:rPr>
        <w:t xml:space="preserve">acordó ampliar por un periodo razonable el plazo para resolver el </w:t>
      </w:r>
      <w:r w:rsidR="005723CB" w:rsidRPr="00501C55">
        <w:rPr>
          <w:rFonts w:eastAsia="Calibri" w:cs="Tahoma"/>
          <w:szCs w:val="22"/>
        </w:rPr>
        <w:t xml:space="preserve">presente </w:t>
      </w:r>
      <w:r w:rsidR="00664420" w:rsidRPr="00501C55">
        <w:rPr>
          <w:rFonts w:eastAsia="Calibri" w:cs="Tahoma"/>
          <w:szCs w:val="22"/>
        </w:rPr>
        <w:t>Recurso de Revisión</w:t>
      </w:r>
      <w:r w:rsidR="00606A65" w:rsidRPr="00501C55">
        <w:rPr>
          <w:rFonts w:eastAsia="Calibri" w:cs="Tahoma"/>
          <w:szCs w:val="22"/>
        </w:rPr>
        <w:t>.</w:t>
      </w:r>
    </w:p>
    <w:p w14:paraId="199C40A1" w14:textId="77777777" w:rsidR="00664420" w:rsidRPr="00501C55" w:rsidRDefault="00664420" w:rsidP="00501C55">
      <w:pPr>
        <w:tabs>
          <w:tab w:val="left" w:pos="3261"/>
        </w:tabs>
        <w:rPr>
          <w:rFonts w:eastAsia="Calibri" w:cs="Tahoma"/>
          <w:szCs w:val="22"/>
        </w:rPr>
      </w:pPr>
    </w:p>
    <w:p w14:paraId="1A6831CA" w14:textId="2E616716" w:rsidR="00664420" w:rsidRPr="00501C55" w:rsidRDefault="005723CB" w:rsidP="00501C55">
      <w:pPr>
        <w:pStyle w:val="paragraph"/>
        <w:spacing w:before="0" w:beforeAutospacing="0" w:after="0" w:afterAutospacing="0"/>
        <w:textAlignment w:val="baseline"/>
        <w:rPr>
          <w:rStyle w:val="eop"/>
          <w:rFonts w:cs="Segoe UI"/>
          <w:sz w:val="22"/>
          <w:szCs w:val="22"/>
        </w:rPr>
      </w:pPr>
      <w:r w:rsidRPr="00501C55">
        <w:rPr>
          <w:rStyle w:val="eop"/>
          <w:rFonts w:cs="Segoe UI"/>
          <w:sz w:val="22"/>
          <w:szCs w:val="22"/>
        </w:rPr>
        <w:t>E</w:t>
      </w:r>
      <w:r w:rsidR="00664420" w:rsidRPr="00501C55">
        <w:rPr>
          <w:rStyle w:val="eop"/>
          <w:rFonts w:cs="Segoe UI"/>
          <w:sz w:val="22"/>
          <w:szCs w:val="22"/>
        </w:rPr>
        <w:t>l plazo para emitir resolución en el presente asunto encuentra justificación en el alto número de recursos de revisión recibidos</w:t>
      </w:r>
      <w:r w:rsidRPr="00501C55">
        <w:rPr>
          <w:rStyle w:val="eop"/>
          <w:rFonts w:cs="Segoe UI"/>
          <w:sz w:val="22"/>
          <w:szCs w:val="22"/>
        </w:rPr>
        <w:t xml:space="preserve"> por este Instituto</w:t>
      </w:r>
      <w:r w:rsidR="00664420" w:rsidRPr="00501C55">
        <w:rPr>
          <w:rStyle w:val="eop"/>
          <w:rFonts w:cs="Segoe UI"/>
          <w:sz w:val="22"/>
          <w:szCs w:val="22"/>
        </w:rPr>
        <w:t>, circunstancia atípica que ha rebasado las capacidades técnicas y humanas del personal encargado de la proyección de las resoluciones a dichos medios de impugnación.</w:t>
      </w:r>
    </w:p>
    <w:p w14:paraId="2A4AC8EF" w14:textId="77777777" w:rsidR="00664420" w:rsidRPr="00501C55" w:rsidRDefault="00664420" w:rsidP="00501C55">
      <w:pPr>
        <w:pStyle w:val="paragraph"/>
        <w:spacing w:before="0" w:beforeAutospacing="0" w:after="0" w:afterAutospacing="0"/>
        <w:textAlignment w:val="baseline"/>
        <w:rPr>
          <w:rStyle w:val="eop"/>
          <w:rFonts w:cs="Segoe UI"/>
          <w:sz w:val="22"/>
          <w:szCs w:val="22"/>
        </w:rPr>
      </w:pPr>
    </w:p>
    <w:p w14:paraId="120B354B" w14:textId="2CC39431" w:rsidR="00664420" w:rsidRPr="00501C55" w:rsidRDefault="005723CB" w:rsidP="00501C55">
      <w:pPr>
        <w:pStyle w:val="paragraph"/>
        <w:spacing w:before="0" w:beforeAutospacing="0" w:after="0" w:afterAutospacing="0"/>
        <w:textAlignment w:val="baseline"/>
        <w:rPr>
          <w:rStyle w:val="eop"/>
          <w:rFonts w:cs="Segoe UI"/>
          <w:sz w:val="22"/>
          <w:szCs w:val="22"/>
        </w:rPr>
      </w:pPr>
      <w:r w:rsidRPr="00501C55">
        <w:rPr>
          <w:rStyle w:val="eop"/>
          <w:rFonts w:cs="Segoe UI"/>
          <w:sz w:val="22"/>
          <w:szCs w:val="22"/>
        </w:rPr>
        <w:lastRenderedPageBreak/>
        <w:t>Es importante</w:t>
      </w:r>
      <w:r w:rsidR="00664420" w:rsidRPr="00501C55">
        <w:rPr>
          <w:rStyle w:val="eop"/>
          <w:rFonts w:cs="Segoe UI"/>
          <w:sz w:val="22"/>
          <w:szCs w:val="22"/>
        </w:rPr>
        <w:t xml:space="preserv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53084820" w14:textId="77777777" w:rsidR="00664420" w:rsidRPr="00501C55" w:rsidRDefault="00664420" w:rsidP="00501C55">
      <w:pPr>
        <w:pStyle w:val="paragraph"/>
        <w:spacing w:before="0" w:beforeAutospacing="0" w:after="0" w:afterAutospacing="0"/>
        <w:textAlignment w:val="baseline"/>
        <w:rPr>
          <w:rStyle w:val="eop"/>
          <w:rFonts w:cs="Segoe UI"/>
          <w:sz w:val="22"/>
          <w:szCs w:val="22"/>
        </w:rPr>
      </w:pPr>
    </w:p>
    <w:p w14:paraId="163DD970" w14:textId="5C982D0D" w:rsidR="00664420" w:rsidRPr="00501C55" w:rsidRDefault="00664420" w:rsidP="00501C55">
      <w:pPr>
        <w:pStyle w:val="paragraph"/>
        <w:spacing w:before="0" w:beforeAutospacing="0" w:after="0" w:afterAutospacing="0"/>
        <w:textAlignment w:val="baseline"/>
        <w:rPr>
          <w:rStyle w:val="eop"/>
          <w:rFonts w:cs="Segoe UI"/>
          <w:sz w:val="22"/>
          <w:szCs w:val="22"/>
        </w:rPr>
      </w:pPr>
      <w:r w:rsidRPr="00501C55">
        <w:rPr>
          <w:rStyle w:val="eop"/>
          <w:rFonts w:cs="Segoe UI"/>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r w:rsidR="005723CB" w:rsidRPr="00501C55">
        <w:rPr>
          <w:rStyle w:val="eop"/>
          <w:rFonts w:cs="Segoe UI"/>
          <w:sz w:val="22"/>
          <w:szCs w:val="22"/>
        </w:rPr>
        <w:t xml:space="preserve"> </w:t>
      </w:r>
      <w:r w:rsidRPr="00501C55">
        <w:rPr>
          <w:rStyle w:val="eop"/>
          <w:rFonts w:cs="Segoe UI"/>
          <w:sz w:val="22"/>
          <w:szCs w:val="22"/>
        </w:rPr>
        <w:t xml:space="preserve">En ese sentido, el legislador </w:t>
      </w:r>
      <w:r w:rsidR="005723CB" w:rsidRPr="00501C55">
        <w:rPr>
          <w:rStyle w:val="eop"/>
          <w:rFonts w:cs="Segoe UI"/>
          <w:sz w:val="22"/>
          <w:szCs w:val="22"/>
        </w:rPr>
        <w:t>estableció</w:t>
      </w:r>
      <w:r w:rsidRPr="00501C55">
        <w:rPr>
          <w:rStyle w:val="eop"/>
          <w:rFonts w:cs="Segoe UI"/>
          <w:sz w:val="22"/>
          <w:szCs w:val="22"/>
        </w:rPr>
        <w:t xml:space="preserve"> los términos procesales </w:t>
      </w:r>
      <w:r w:rsidR="005723CB" w:rsidRPr="00501C55">
        <w:rPr>
          <w:rStyle w:val="eop"/>
          <w:rFonts w:cs="Segoe UI"/>
          <w:sz w:val="22"/>
          <w:szCs w:val="22"/>
        </w:rPr>
        <w:t>de forma general</w:t>
      </w:r>
      <w:r w:rsidRPr="00501C55">
        <w:rPr>
          <w:rStyle w:val="eop"/>
          <w:rFonts w:cs="Segoe UI"/>
          <w:sz w:val="22"/>
          <w:szCs w:val="22"/>
        </w:rPr>
        <w:t>, sin que pudiera prever la variada gama de casos que son resueltos por los órganos jurisdiccionales o cuasi jurisdiccionales, tanto por la complejidad de los hechos, como por el número de casos que conocen.</w:t>
      </w:r>
    </w:p>
    <w:p w14:paraId="5DCB68D7" w14:textId="77777777" w:rsidR="00664420" w:rsidRPr="00501C55" w:rsidRDefault="00664420" w:rsidP="00501C55">
      <w:pPr>
        <w:pStyle w:val="paragraph"/>
        <w:spacing w:before="0" w:beforeAutospacing="0" w:after="0" w:afterAutospacing="0"/>
        <w:textAlignment w:val="baseline"/>
        <w:rPr>
          <w:rStyle w:val="eop"/>
          <w:rFonts w:cs="Segoe UI"/>
          <w:sz w:val="22"/>
          <w:szCs w:val="22"/>
        </w:rPr>
      </w:pPr>
    </w:p>
    <w:p w14:paraId="5F81E110" w14:textId="4B11413C" w:rsidR="00664420" w:rsidRPr="00501C55" w:rsidRDefault="00664420" w:rsidP="00501C55">
      <w:pPr>
        <w:pStyle w:val="paragraph"/>
        <w:spacing w:before="0" w:beforeAutospacing="0" w:after="0" w:afterAutospacing="0"/>
        <w:textAlignment w:val="baseline"/>
        <w:rPr>
          <w:rStyle w:val="eop"/>
          <w:rFonts w:cs="Segoe UI"/>
          <w:sz w:val="22"/>
          <w:szCs w:val="22"/>
        </w:rPr>
      </w:pPr>
      <w:r w:rsidRPr="00501C55">
        <w:rPr>
          <w:rStyle w:val="eop"/>
          <w:rFonts w:cs="Segoe UI"/>
          <w:sz w:val="22"/>
          <w:szCs w:val="22"/>
        </w:rPr>
        <w:t>Por ello, excepcionalmente, si un asunto es resuelto con posterioridad a los plazos señalados por la norma</w:t>
      </w:r>
      <w:r w:rsidR="00BF091A" w:rsidRPr="00501C55">
        <w:rPr>
          <w:rStyle w:val="eop"/>
          <w:rFonts w:cs="Segoe UI"/>
          <w:sz w:val="22"/>
          <w:szCs w:val="22"/>
        </w:rPr>
        <w:t>,</w:t>
      </w:r>
      <w:r w:rsidRPr="00501C55">
        <w:rPr>
          <w:rStyle w:val="eop"/>
          <w:rFonts w:cs="Segoe UI"/>
          <w:sz w:val="22"/>
          <w:szCs w:val="22"/>
        </w:rPr>
        <w:t xml:space="preserve"> debe analizarse la razonabilidad del tiempo necesario para su resolución, atentos a los siguientes criterios:</w:t>
      </w:r>
    </w:p>
    <w:p w14:paraId="14A3FE4E" w14:textId="77777777" w:rsidR="00664420" w:rsidRPr="00501C55" w:rsidRDefault="00664420" w:rsidP="00501C55">
      <w:pPr>
        <w:pStyle w:val="paragraph"/>
        <w:spacing w:before="0" w:beforeAutospacing="0" w:after="0" w:afterAutospacing="0"/>
        <w:textAlignment w:val="baseline"/>
        <w:rPr>
          <w:rStyle w:val="eop"/>
          <w:rFonts w:cs="Segoe UI"/>
          <w:sz w:val="22"/>
          <w:szCs w:val="22"/>
        </w:rPr>
      </w:pPr>
    </w:p>
    <w:p w14:paraId="725FA17E" w14:textId="1C9900DC" w:rsidR="00664420" w:rsidRPr="00501C55" w:rsidRDefault="00664420" w:rsidP="00501C55">
      <w:pPr>
        <w:pStyle w:val="paragraph"/>
        <w:spacing w:before="0" w:beforeAutospacing="0" w:after="0" w:afterAutospacing="0"/>
        <w:ind w:left="567" w:right="539"/>
        <w:textAlignment w:val="baseline"/>
        <w:rPr>
          <w:rStyle w:val="eop"/>
          <w:rFonts w:cs="Segoe UI"/>
          <w:sz w:val="22"/>
          <w:szCs w:val="22"/>
        </w:rPr>
      </w:pPr>
      <w:r w:rsidRPr="00501C55">
        <w:rPr>
          <w:rStyle w:val="eop"/>
          <w:rFonts w:cs="Segoe UI"/>
          <w:b/>
          <w:bCs/>
          <w:sz w:val="22"/>
          <w:szCs w:val="22"/>
        </w:rPr>
        <w:t>Complejidad del asunto:</w:t>
      </w:r>
      <w:r w:rsidRPr="00501C55">
        <w:rPr>
          <w:rStyle w:val="eop"/>
          <w:rFonts w:cs="Segoe UI"/>
          <w:sz w:val="22"/>
          <w:szCs w:val="22"/>
        </w:rPr>
        <w:t xml:space="preserve"> La complejidad de la prueba, la pluralidad de sujetos procesales, el tiempo transcurrido, las características y contexto del recurso.</w:t>
      </w:r>
    </w:p>
    <w:p w14:paraId="59C35097" w14:textId="268F1B45" w:rsidR="00664420" w:rsidRPr="00501C55" w:rsidRDefault="00664420" w:rsidP="00501C55">
      <w:pPr>
        <w:pStyle w:val="paragraph"/>
        <w:spacing w:before="0" w:beforeAutospacing="0" w:after="0" w:afterAutospacing="0"/>
        <w:ind w:left="567" w:right="539"/>
        <w:textAlignment w:val="baseline"/>
        <w:rPr>
          <w:rStyle w:val="eop"/>
          <w:rFonts w:cs="Segoe UI"/>
          <w:sz w:val="22"/>
          <w:szCs w:val="22"/>
        </w:rPr>
      </w:pPr>
      <w:r w:rsidRPr="00501C55">
        <w:rPr>
          <w:rStyle w:val="eop"/>
          <w:rFonts w:cs="Segoe UI"/>
          <w:b/>
          <w:bCs/>
          <w:sz w:val="22"/>
          <w:szCs w:val="22"/>
        </w:rPr>
        <w:t>Actividad Procesal del interesado:</w:t>
      </w:r>
      <w:r w:rsidRPr="00501C55">
        <w:rPr>
          <w:rStyle w:val="eop"/>
          <w:rFonts w:cs="Segoe UI"/>
          <w:sz w:val="22"/>
          <w:szCs w:val="22"/>
        </w:rPr>
        <w:t xml:space="preserve"> Acciones u omisiones del interesado.</w:t>
      </w:r>
    </w:p>
    <w:p w14:paraId="34F78766" w14:textId="2037AF76" w:rsidR="00664420" w:rsidRPr="00501C55" w:rsidRDefault="00664420" w:rsidP="00501C55">
      <w:pPr>
        <w:pStyle w:val="paragraph"/>
        <w:spacing w:before="0" w:beforeAutospacing="0" w:after="0" w:afterAutospacing="0"/>
        <w:ind w:left="567" w:right="539"/>
        <w:textAlignment w:val="baseline"/>
        <w:rPr>
          <w:rStyle w:val="eop"/>
          <w:rFonts w:cs="Segoe UI"/>
          <w:sz w:val="22"/>
          <w:szCs w:val="22"/>
        </w:rPr>
      </w:pPr>
      <w:r w:rsidRPr="00501C55">
        <w:rPr>
          <w:rStyle w:val="eop"/>
          <w:rFonts w:cs="Segoe UI"/>
          <w:b/>
          <w:bCs/>
          <w:sz w:val="22"/>
          <w:szCs w:val="22"/>
        </w:rPr>
        <w:t>Conducta de la Autoridad:</w:t>
      </w:r>
      <w:r w:rsidRPr="00501C55">
        <w:rPr>
          <w:rStyle w:val="eop"/>
          <w:rFonts w:cs="Segoe UI"/>
          <w:sz w:val="22"/>
          <w:szCs w:val="22"/>
        </w:rPr>
        <w:t xml:space="preserve"> Las Acciones u omisiones realizadas en el</w:t>
      </w:r>
      <w:r w:rsidR="00BF091A" w:rsidRPr="00501C55">
        <w:rPr>
          <w:rStyle w:val="eop"/>
          <w:rFonts w:cs="Segoe UI"/>
          <w:sz w:val="22"/>
          <w:szCs w:val="22"/>
        </w:rPr>
        <w:t xml:space="preserve"> </w:t>
      </w:r>
      <w:r w:rsidRPr="00501C55">
        <w:rPr>
          <w:rStyle w:val="eop"/>
          <w:rFonts w:cs="Segoe UI"/>
          <w:sz w:val="22"/>
          <w:szCs w:val="22"/>
        </w:rPr>
        <w:t>procedimiento. Así como si la autoridad actuó con la debida diligencia.</w:t>
      </w:r>
    </w:p>
    <w:p w14:paraId="17122607" w14:textId="30536F04" w:rsidR="00664420" w:rsidRPr="00501C55" w:rsidRDefault="00664420" w:rsidP="00501C55">
      <w:pPr>
        <w:pStyle w:val="paragraph"/>
        <w:spacing w:before="0" w:beforeAutospacing="0" w:after="0" w:afterAutospacing="0"/>
        <w:ind w:left="567" w:right="539"/>
        <w:textAlignment w:val="baseline"/>
        <w:rPr>
          <w:rStyle w:val="eop"/>
          <w:rFonts w:cs="Segoe UI"/>
          <w:sz w:val="22"/>
          <w:szCs w:val="22"/>
        </w:rPr>
      </w:pPr>
      <w:r w:rsidRPr="00501C55">
        <w:rPr>
          <w:rStyle w:val="eop"/>
          <w:rFonts w:cs="Segoe UI"/>
          <w:b/>
          <w:bCs/>
          <w:sz w:val="22"/>
          <w:szCs w:val="22"/>
        </w:rPr>
        <w:t>La afectación generada en la situación jurídica de la persona involucrada en el proceso:</w:t>
      </w:r>
      <w:r w:rsidRPr="00501C55">
        <w:rPr>
          <w:rStyle w:val="eop"/>
          <w:rFonts w:cs="Segoe UI"/>
          <w:sz w:val="22"/>
          <w:szCs w:val="22"/>
        </w:rPr>
        <w:t xml:space="preserve"> Violación a sus derechos humanos.</w:t>
      </w:r>
    </w:p>
    <w:p w14:paraId="2E49A972" w14:textId="77777777" w:rsidR="00664420" w:rsidRPr="00501C55" w:rsidRDefault="00664420" w:rsidP="00501C55">
      <w:pPr>
        <w:pStyle w:val="paragraph"/>
        <w:spacing w:before="0" w:beforeAutospacing="0" w:after="0" w:afterAutospacing="0"/>
        <w:ind w:left="567" w:right="539"/>
        <w:textAlignment w:val="baseline"/>
        <w:rPr>
          <w:rStyle w:val="eop"/>
          <w:rFonts w:cs="Segoe UI"/>
          <w:sz w:val="22"/>
          <w:szCs w:val="22"/>
        </w:rPr>
      </w:pPr>
    </w:p>
    <w:p w14:paraId="5AF63827" w14:textId="77777777" w:rsidR="00664420" w:rsidRPr="00501C55" w:rsidRDefault="00664420" w:rsidP="00501C55">
      <w:pPr>
        <w:pStyle w:val="paragraph"/>
        <w:spacing w:before="0" w:beforeAutospacing="0" w:after="0" w:afterAutospacing="0"/>
        <w:textAlignment w:val="baseline"/>
        <w:rPr>
          <w:rStyle w:val="eop"/>
          <w:rFonts w:cs="Segoe UI"/>
          <w:sz w:val="22"/>
          <w:szCs w:val="22"/>
        </w:rPr>
      </w:pPr>
      <w:r w:rsidRPr="00501C55">
        <w:rPr>
          <w:rStyle w:val="eop"/>
          <w:rFonts w:cs="Segoe UI"/>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2D523C9" w14:textId="77777777" w:rsidR="00664420" w:rsidRPr="00501C55" w:rsidRDefault="00664420" w:rsidP="00501C55">
      <w:pPr>
        <w:pStyle w:val="paragraph"/>
        <w:spacing w:before="0" w:beforeAutospacing="0" w:after="0" w:afterAutospacing="0"/>
        <w:textAlignment w:val="baseline"/>
        <w:rPr>
          <w:rStyle w:val="eop"/>
          <w:rFonts w:cs="Segoe UI"/>
          <w:sz w:val="22"/>
          <w:szCs w:val="22"/>
        </w:rPr>
      </w:pPr>
    </w:p>
    <w:p w14:paraId="35CA93E9" w14:textId="77777777" w:rsidR="00664420" w:rsidRPr="00501C55" w:rsidRDefault="00664420" w:rsidP="00501C55">
      <w:pPr>
        <w:pStyle w:val="paragraph"/>
        <w:spacing w:before="0" w:beforeAutospacing="0" w:after="0" w:afterAutospacing="0"/>
        <w:textAlignment w:val="baseline"/>
        <w:rPr>
          <w:rStyle w:val="eop"/>
          <w:rFonts w:cs="Segoe UI"/>
          <w:sz w:val="22"/>
          <w:szCs w:val="22"/>
        </w:rPr>
      </w:pPr>
      <w:r w:rsidRPr="00501C55">
        <w:rPr>
          <w:rStyle w:val="eop"/>
          <w:rFonts w:cs="Segoe UI"/>
          <w:sz w:val="22"/>
          <w:szCs w:val="22"/>
        </w:rPr>
        <w:t>Argumento que encuentra sustento en la jurisprudencia P./J. 32/92 emitida por el Pleno de la Suprema Corte de Justicia de la Nación de rubro “</w:t>
      </w:r>
      <w:r w:rsidRPr="00501C55">
        <w:rPr>
          <w:rStyle w:val="eop"/>
          <w:rFonts w:cs="Segoe UI"/>
          <w:b/>
          <w:bCs/>
          <w:sz w:val="22"/>
          <w:szCs w:val="22"/>
        </w:rPr>
        <w:t>TÉRMINOS PROCESALES. PARA DETERMINAR SI UN FUNCIONARIO JUDICIAL ACTUÓ INDEBIDAMENTE POR NO RESPETARLOS SE DEBE ATENDER AL PRESUPUESTO QUE CONSIDERÓ EL LEGISLADOR AL FIJARLOS Y LAS CARACTERÍSTICAS DEL CASO</w:t>
      </w:r>
      <w:r w:rsidRPr="00501C55">
        <w:rPr>
          <w:rStyle w:val="eop"/>
          <w:rFonts w:cs="Segoe UI"/>
          <w:sz w:val="22"/>
          <w:szCs w:val="22"/>
        </w:rPr>
        <w:t>.”, visible en la Gaceta del Seminario Judicial de la Federación con el registro digital 205635.</w:t>
      </w:r>
    </w:p>
    <w:p w14:paraId="37992CD5" w14:textId="77777777" w:rsidR="00664420" w:rsidRPr="00501C55" w:rsidRDefault="00664420" w:rsidP="00501C55">
      <w:pPr>
        <w:pStyle w:val="paragraph"/>
        <w:spacing w:before="0" w:beforeAutospacing="0" w:after="0" w:afterAutospacing="0"/>
        <w:textAlignment w:val="baseline"/>
        <w:rPr>
          <w:rStyle w:val="eop"/>
          <w:rFonts w:cs="Segoe UI"/>
          <w:sz w:val="22"/>
          <w:szCs w:val="22"/>
        </w:rPr>
      </w:pPr>
    </w:p>
    <w:p w14:paraId="0A59C365" w14:textId="5FE746C3" w:rsidR="00664420" w:rsidRPr="00501C55" w:rsidRDefault="00664420" w:rsidP="00501C55">
      <w:pPr>
        <w:pStyle w:val="paragraph"/>
        <w:spacing w:before="0" w:beforeAutospacing="0" w:after="0" w:afterAutospacing="0"/>
        <w:textAlignment w:val="baseline"/>
        <w:rPr>
          <w:rStyle w:val="eop"/>
          <w:rFonts w:cs="Segoe UI"/>
          <w:sz w:val="22"/>
          <w:szCs w:val="22"/>
        </w:rPr>
      </w:pPr>
      <w:r w:rsidRPr="00501C55">
        <w:rPr>
          <w:rStyle w:val="eop"/>
          <w:rFonts w:cs="Segoe UI"/>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0A9AF44" w14:textId="77777777" w:rsidR="00664420" w:rsidRPr="00501C55" w:rsidRDefault="00664420" w:rsidP="00501C55">
      <w:pPr>
        <w:pStyle w:val="paragraph"/>
        <w:spacing w:before="0" w:beforeAutospacing="0" w:after="0" w:afterAutospacing="0"/>
        <w:textAlignment w:val="baseline"/>
        <w:rPr>
          <w:rStyle w:val="eop"/>
          <w:rFonts w:cs="Segoe UI"/>
          <w:sz w:val="22"/>
          <w:szCs w:val="22"/>
        </w:rPr>
      </w:pPr>
    </w:p>
    <w:p w14:paraId="78B598AB" w14:textId="01D1B1AD" w:rsidR="00664420" w:rsidRPr="00501C55" w:rsidRDefault="00664420" w:rsidP="00501C55">
      <w:pPr>
        <w:pStyle w:val="paragraph"/>
        <w:spacing w:before="0" w:beforeAutospacing="0" w:after="0" w:afterAutospacing="0"/>
        <w:textAlignment w:val="baseline"/>
        <w:rPr>
          <w:rStyle w:val="eop"/>
          <w:rFonts w:cs="Segoe UI"/>
          <w:sz w:val="22"/>
          <w:szCs w:val="22"/>
        </w:rPr>
      </w:pPr>
      <w:r w:rsidRPr="00501C55">
        <w:rPr>
          <w:rStyle w:val="eop"/>
          <w:rFonts w:cs="Segoe UI"/>
          <w:sz w:val="22"/>
          <w:szCs w:val="22"/>
        </w:rPr>
        <w:lastRenderedPageBreak/>
        <w:t>Al respecto</w:t>
      </w:r>
      <w:r w:rsidR="00BF091A" w:rsidRPr="00501C55">
        <w:rPr>
          <w:rStyle w:val="eop"/>
          <w:rFonts w:cs="Segoe UI"/>
          <w:sz w:val="22"/>
          <w:szCs w:val="22"/>
        </w:rPr>
        <w:t>,</w:t>
      </w:r>
      <w:r w:rsidRPr="00501C55">
        <w:rPr>
          <w:rStyle w:val="eop"/>
          <w:rFonts w:cs="Segoe UI"/>
          <w:sz w:val="22"/>
          <w:szCs w:val="22"/>
        </w:rPr>
        <w:t xml:space="preserve"> también son de considerar los criterios sostenidos por el Cuarto Tribunal Colegiado en Materia Administrativa del Primer Circuito, cuyos rubros y datos de identificación son los siguientes:</w:t>
      </w:r>
    </w:p>
    <w:p w14:paraId="69AED792" w14:textId="77777777" w:rsidR="00664420" w:rsidRPr="00501C55" w:rsidRDefault="00664420" w:rsidP="00501C55">
      <w:pPr>
        <w:pStyle w:val="paragraph"/>
        <w:spacing w:before="0" w:beforeAutospacing="0" w:after="0" w:afterAutospacing="0"/>
        <w:textAlignment w:val="baseline"/>
        <w:rPr>
          <w:rStyle w:val="eop"/>
          <w:rFonts w:cs="Segoe UI"/>
          <w:sz w:val="22"/>
          <w:szCs w:val="22"/>
        </w:rPr>
      </w:pPr>
    </w:p>
    <w:p w14:paraId="7390FB31" w14:textId="77777777" w:rsidR="00664420" w:rsidRPr="00501C55" w:rsidRDefault="00664420" w:rsidP="00501C55">
      <w:pPr>
        <w:pStyle w:val="paragraph"/>
        <w:spacing w:before="0" w:beforeAutospacing="0" w:after="0" w:afterAutospacing="0"/>
        <w:ind w:left="567" w:right="539"/>
        <w:textAlignment w:val="baseline"/>
        <w:rPr>
          <w:rStyle w:val="eop"/>
          <w:rFonts w:cs="Segoe UI"/>
          <w:sz w:val="20"/>
          <w:szCs w:val="20"/>
        </w:rPr>
      </w:pPr>
      <w:r w:rsidRPr="00501C55">
        <w:rPr>
          <w:rStyle w:val="eop"/>
          <w:rFonts w:cs="Segoe UI"/>
          <w:b/>
          <w:bCs/>
          <w:sz w:val="20"/>
          <w:szCs w:val="20"/>
        </w:rPr>
        <w:t>“PLAZO RAZONABLE PARA RESOLVER. DIMENSIÓN Y EFECTOS DE ESTE CONCEPTO CUANDO SE ADUCE EXCESIVA CARGA DE TRABAJO.”</w:t>
      </w:r>
      <w:r w:rsidRPr="00501C55">
        <w:rPr>
          <w:rStyle w:val="eop"/>
          <w:rFonts w:cs="Segoe UI"/>
          <w:sz w:val="20"/>
          <w:szCs w:val="20"/>
        </w:rPr>
        <w:t xml:space="preserve"> consultable en el Seminario Judicial de la Federación y su gaceta, con el registro digital 2002351.</w:t>
      </w:r>
    </w:p>
    <w:p w14:paraId="7D07BF4B" w14:textId="77777777" w:rsidR="00BF091A" w:rsidRPr="00501C55" w:rsidRDefault="00BF091A" w:rsidP="00501C55">
      <w:pPr>
        <w:pStyle w:val="paragraph"/>
        <w:spacing w:before="0" w:beforeAutospacing="0" w:after="0" w:afterAutospacing="0"/>
        <w:ind w:left="567" w:right="539"/>
        <w:textAlignment w:val="baseline"/>
        <w:rPr>
          <w:rStyle w:val="eop"/>
          <w:rFonts w:cs="Segoe UI"/>
          <w:sz w:val="20"/>
          <w:szCs w:val="20"/>
        </w:rPr>
      </w:pPr>
    </w:p>
    <w:p w14:paraId="1C016A02" w14:textId="77777777" w:rsidR="00664420" w:rsidRPr="00501C55" w:rsidRDefault="00664420" w:rsidP="00501C55">
      <w:pPr>
        <w:pStyle w:val="paragraph"/>
        <w:spacing w:before="0" w:beforeAutospacing="0" w:after="0" w:afterAutospacing="0"/>
        <w:ind w:left="567" w:right="539"/>
        <w:textAlignment w:val="baseline"/>
        <w:rPr>
          <w:rStyle w:val="eop"/>
          <w:rFonts w:cs="Segoe UI"/>
          <w:sz w:val="20"/>
          <w:szCs w:val="20"/>
        </w:rPr>
      </w:pPr>
      <w:r w:rsidRPr="00501C55">
        <w:rPr>
          <w:rStyle w:val="eop"/>
          <w:rFonts w:cs="Segoe UI"/>
          <w:b/>
          <w:bCs/>
          <w:sz w:val="20"/>
          <w:szCs w:val="20"/>
        </w:rPr>
        <w:t>“PLAZO RAZONABLE PARA RESOLVER. CONCEPTO Y ELEMENTOS QUE LO INTEGRAN A LA LUZ DEL DERECHO INTERNACIONAL DE LOS DERECHOS HUMANOS</w:t>
      </w:r>
      <w:r w:rsidRPr="00501C55">
        <w:rPr>
          <w:rStyle w:val="eop"/>
          <w:rFonts w:cs="Segoe UI"/>
          <w:sz w:val="20"/>
          <w:szCs w:val="20"/>
        </w:rPr>
        <w:t>.”, visible en el Seminario Judicial de la Federación y su gaceta, con el registro digital 2002350.</w:t>
      </w:r>
    </w:p>
    <w:p w14:paraId="7D4C9515" w14:textId="77777777" w:rsidR="00664420" w:rsidRPr="00501C55" w:rsidRDefault="00664420" w:rsidP="00501C55">
      <w:pPr>
        <w:pStyle w:val="paragraph"/>
        <w:spacing w:before="0" w:beforeAutospacing="0" w:after="0" w:afterAutospacing="0"/>
        <w:textAlignment w:val="baseline"/>
        <w:rPr>
          <w:rStyle w:val="eop"/>
          <w:rFonts w:cs="Segoe UI"/>
          <w:sz w:val="22"/>
          <w:szCs w:val="22"/>
        </w:rPr>
      </w:pPr>
    </w:p>
    <w:p w14:paraId="7E0035F8" w14:textId="7BFAED68" w:rsidR="00664420" w:rsidRPr="00501C55" w:rsidRDefault="00664420" w:rsidP="00501C55">
      <w:pPr>
        <w:pStyle w:val="paragraph"/>
        <w:spacing w:before="0" w:beforeAutospacing="0" w:after="0" w:afterAutospacing="0"/>
        <w:textAlignment w:val="baseline"/>
        <w:rPr>
          <w:rStyle w:val="eop"/>
          <w:rFonts w:cs="Segoe UI"/>
          <w:sz w:val="22"/>
          <w:szCs w:val="22"/>
        </w:rPr>
      </w:pPr>
      <w:r w:rsidRPr="00501C55">
        <w:rPr>
          <w:rStyle w:val="eop"/>
          <w:rFonts w:cs="Segoe UI"/>
          <w:sz w:val="22"/>
          <w:szCs w:val="22"/>
        </w:rPr>
        <w:t xml:space="preserve">Por ello, este organismo garante comprometido con la tutela de los derechos humanos </w:t>
      </w:r>
      <w:r w:rsidR="00BF091A" w:rsidRPr="00501C55">
        <w:rPr>
          <w:rStyle w:val="eop"/>
          <w:rFonts w:cs="Segoe UI"/>
          <w:sz w:val="22"/>
          <w:szCs w:val="22"/>
        </w:rPr>
        <w:t>confiados</w:t>
      </w:r>
      <w:r w:rsidRPr="00501C55">
        <w:rPr>
          <w:rStyle w:val="eop"/>
          <w:rFonts w:cs="Segoe UI"/>
          <w:sz w:val="22"/>
          <w:szCs w:val="22"/>
        </w:rPr>
        <w:t xml:space="preserve"> señala que este exceso del plazo legal para resolver el asunto resulta de carácter excepcional.</w:t>
      </w:r>
    </w:p>
    <w:p w14:paraId="6923684C" w14:textId="77777777" w:rsidR="00664420" w:rsidRPr="00501C55" w:rsidRDefault="00664420" w:rsidP="00501C55">
      <w:pPr>
        <w:rPr>
          <w:rFonts w:cs="Tahoma"/>
          <w:szCs w:val="22"/>
        </w:rPr>
      </w:pPr>
    </w:p>
    <w:p w14:paraId="0E651988" w14:textId="0A472210" w:rsidR="00664420" w:rsidRPr="00501C55" w:rsidRDefault="006E25BC" w:rsidP="00501C55">
      <w:pPr>
        <w:pStyle w:val="Ttulo3"/>
      </w:pPr>
      <w:bookmarkStart w:id="17" w:name="_Toc183189357"/>
      <w:r w:rsidRPr="00501C55">
        <w:t>h</w:t>
      </w:r>
      <w:r w:rsidR="00664420" w:rsidRPr="00501C55">
        <w:t>) Cierre de instrucción</w:t>
      </w:r>
      <w:bookmarkEnd w:id="17"/>
    </w:p>
    <w:p w14:paraId="79AF95DC" w14:textId="6E6E014F" w:rsidR="00664420" w:rsidRPr="00501C55" w:rsidRDefault="00BF091A" w:rsidP="00501C55">
      <w:r w:rsidRPr="00501C55">
        <w:rPr>
          <w:rFonts w:cs="Tahoma"/>
          <w:szCs w:val="22"/>
        </w:rPr>
        <w:t>Al no existir diligencias pendientes por desahogar</w:t>
      </w:r>
      <w:r w:rsidRPr="00501C55">
        <w:rPr>
          <w:rFonts w:cs="Arial"/>
        </w:rPr>
        <w:t xml:space="preserve">, el </w:t>
      </w:r>
      <w:bookmarkStart w:id="18" w:name="_Hlk104892386"/>
      <w:r w:rsidR="00221D9D" w:rsidRPr="00501C55">
        <w:rPr>
          <w:rFonts w:cs="Arial"/>
          <w:b/>
        </w:rPr>
        <w:t>veinte</w:t>
      </w:r>
      <w:r w:rsidRPr="00501C55">
        <w:rPr>
          <w:rFonts w:cs="Arial"/>
          <w:b/>
        </w:rPr>
        <w:t xml:space="preserve"> de </w:t>
      </w:r>
      <w:bookmarkEnd w:id="18"/>
      <w:r w:rsidR="00FE5FA2" w:rsidRPr="00501C55">
        <w:rPr>
          <w:rFonts w:cs="Arial"/>
          <w:b/>
        </w:rPr>
        <w:t xml:space="preserve">noviembre </w:t>
      </w:r>
      <w:r w:rsidRPr="00501C55">
        <w:rPr>
          <w:rFonts w:cs="Arial"/>
          <w:b/>
        </w:rPr>
        <w:t xml:space="preserve">de dos mil </w:t>
      </w:r>
      <w:r w:rsidR="000605CC" w:rsidRPr="00501C55">
        <w:rPr>
          <w:rFonts w:cs="Arial"/>
          <w:b/>
        </w:rPr>
        <w:t xml:space="preserve">veinticuatro </w:t>
      </w:r>
      <w:r w:rsidRPr="00501C55">
        <w:rPr>
          <w:rFonts w:cs="Arial"/>
        </w:rPr>
        <w:t xml:space="preserve">la </w:t>
      </w:r>
      <w:r w:rsidRPr="00501C55">
        <w:rPr>
          <w:rFonts w:cs="Arial"/>
          <w:b/>
          <w:bCs/>
        </w:rPr>
        <w:t xml:space="preserve">Comisionada </w:t>
      </w:r>
      <w:r w:rsidRPr="00501C55">
        <w:rPr>
          <w:b/>
        </w:rPr>
        <w:t xml:space="preserve">Sharon Cristina Morales Martínez </w:t>
      </w:r>
      <w:r w:rsidRPr="00501C55">
        <w:rPr>
          <w:rFonts w:cs="Arial"/>
        </w:rPr>
        <w:t>acordó el cierre de instrucción</w:t>
      </w:r>
      <w:r w:rsidR="0011350D" w:rsidRPr="00501C55">
        <w:rPr>
          <w:rFonts w:cs="Arial"/>
        </w:rPr>
        <w:t xml:space="preserve"> y</w:t>
      </w:r>
      <w:r w:rsidRPr="00501C55">
        <w:rPr>
          <w:rFonts w:cs="Arial"/>
        </w:rPr>
        <w:t xml:space="preserve"> </w:t>
      </w:r>
      <w:r w:rsidR="0011350D" w:rsidRPr="00501C55">
        <w:rPr>
          <w:rFonts w:cs="Arial"/>
        </w:rPr>
        <w:t xml:space="preserve">la </w:t>
      </w:r>
      <w:r w:rsidRPr="00501C55">
        <w:rPr>
          <w:rFonts w:cs="Arial"/>
        </w:rPr>
        <w:t>remisión del expediente a efecto de ser resuelto, de conformidad con lo establecido en el artículo 185 fracciones VI y VIII de la Ley de Transparencia y Acceso a la Información Pública del Estado de México y Municipios</w:t>
      </w:r>
      <w:r w:rsidRPr="00501C55">
        <w:t>.</w:t>
      </w:r>
      <w:r w:rsidR="0011350D" w:rsidRPr="00501C55">
        <w:t xml:space="preserve"> Dicho acuerdo </w:t>
      </w:r>
      <w:r w:rsidR="00664420" w:rsidRPr="00501C55">
        <w:rPr>
          <w:rFonts w:cs="Tahoma"/>
          <w:szCs w:val="22"/>
        </w:rPr>
        <w:t xml:space="preserve">fue notificado a las partes el mismo día a través del </w:t>
      </w:r>
      <w:r w:rsidR="00664420" w:rsidRPr="00501C55">
        <w:rPr>
          <w:rFonts w:cs="Tahoma"/>
          <w:szCs w:val="22"/>
          <w:lang w:val="es-ES"/>
        </w:rPr>
        <w:t>SAIMEX</w:t>
      </w:r>
      <w:r w:rsidR="00664420" w:rsidRPr="00501C55">
        <w:rPr>
          <w:rFonts w:cs="Tahoma"/>
          <w:szCs w:val="22"/>
        </w:rPr>
        <w:t>.</w:t>
      </w:r>
    </w:p>
    <w:p w14:paraId="741683E3" w14:textId="77777777" w:rsidR="0011350D" w:rsidRPr="00501C55" w:rsidRDefault="0011350D" w:rsidP="00501C55">
      <w:pPr>
        <w:rPr>
          <w:rFonts w:cs="Tahoma"/>
          <w:szCs w:val="22"/>
        </w:rPr>
      </w:pPr>
    </w:p>
    <w:p w14:paraId="7A9629DE" w14:textId="77777777" w:rsidR="00664420" w:rsidRPr="00501C55" w:rsidRDefault="00664420" w:rsidP="00501C55">
      <w:pPr>
        <w:pStyle w:val="Ttulo1"/>
        <w:rPr>
          <w:rFonts w:eastAsiaTheme="minorHAnsi"/>
          <w:lang w:eastAsia="en-US"/>
        </w:rPr>
      </w:pPr>
      <w:bookmarkStart w:id="19" w:name="_Toc183189358"/>
      <w:r w:rsidRPr="00501C55">
        <w:rPr>
          <w:rFonts w:eastAsiaTheme="minorHAnsi"/>
          <w:lang w:eastAsia="en-US"/>
        </w:rPr>
        <w:lastRenderedPageBreak/>
        <w:t>CONSIDERANDOS</w:t>
      </w:r>
      <w:bookmarkEnd w:id="19"/>
    </w:p>
    <w:p w14:paraId="6DD1243B" w14:textId="77777777" w:rsidR="00664420" w:rsidRPr="00501C55" w:rsidRDefault="00664420" w:rsidP="00501C55">
      <w:pPr>
        <w:contextualSpacing/>
        <w:jc w:val="center"/>
        <w:rPr>
          <w:rFonts w:eastAsiaTheme="minorHAnsi" w:cs="Tahoma"/>
          <w:b/>
          <w:szCs w:val="22"/>
          <w:lang w:eastAsia="en-US"/>
        </w:rPr>
      </w:pPr>
    </w:p>
    <w:p w14:paraId="0B67CB92" w14:textId="2E307D3B" w:rsidR="00664420" w:rsidRPr="00501C55" w:rsidRDefault="00664420" w:rsidP="00501C55">
      <w:pPr>
        <w:pStyle w:val="Ttulo2"/>
        <w:rPr>
          <w:rFonts w:eastAsia="Batang"/>
        </w:rPr>
      </w:pPr>
      <w:bookmarkStart w:id="20" w:name="_Toc183189359"/>
      <w:r w:rsidRPr="00501C55">
        <w:rPr>
          <w:rFonts w:eastAsia="Batang"/>
        </w:rPr>
        <w:t xml:space="preserve">PRIMERO. </w:t>
      </w:r>
      <w:r w:rsidR="00BA55A8" w:rsidRPr="00501C55">
        <w:rPr>
          <w:rFonts w:eastAsia="Batang"/>
        </w:rPr>
        <w:t>Procedibilidad</w:t>
      </w:r>
      <w:bookmarkEnd w:id="20"/>
    </w:p>
    <w:p w14:paraId="39C52BC1" w14:textId="56FCC20D" w:rsidR="00BA55A8" w:rsidRPr="00501C55" w:rsidRDefault="00BA55A8" w:rsidP="00501C55">
      <w:pPr>
        <w:pStyle w:val="Ttulo3"/>
      </w:pPr>
      <w:bookmarkStart w:id="21" w:name="_Toc183189360"/>
      <w:r w:rsidRPr="00501C55">
        <w:t>a) Competencia</w:t>
      </w:r>
      <w:r w:rsidR="00150C49" w:rsidRPr="00501C55">
        <w:t xml:space="preserve"> del Instituto</w:t>
      </w:r>
      <w:bookmarkEnd w:id="21"/>
    </w:p>
    <w:p w14:paraId="56E64942" w14:textId="6572EDF7" w:rsidR="0011350D" w:rsidRPr="00501C55" w:rsidRDefault="0011350D" w:rsidP="00501C55">
      <w:pPr>
        <w:rPr>
          <w:rFonts w:cs="Arial"/>
        </w:rPr>
      </w:pPr>
      <w:r w:rsidRPr="00501C55">
        <w:t xml:space="preserve">Este Instituto de Transparencia, Acceso a la Información Pública y Protección de Datos Personales del Estado de México y Municipios es competente para conocer y resolver </w:t>
      </w:r>
      <w:r w:rsidR="005F65B7" w:rsidRPr="00501C55">
        <w:t xml:space="preserve">el </w:t>
      </w:r>
      <w:r w:rsidRPr="00501C55">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501C55">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501C55" w:rsidRDefault="00DB1C09" w:rsidP="00501C55">
      <w:pPr>
        <w:rPr>
          <w:rFonts w:cs="Arial"/>
        </w:rPr>
      </w:pPr>
    </w:p>
    <w:p w14:paraId="517A2DD6" w14:textId="4169BE4D" w:rsidR="00664420" w:rsidRPr="00501C55" w:rsidRDefault="00BA55A8" w:rsidP="00501C55">
      <w:pPr>
        <w:pStyle w:val="Ttulo3"/>
      </w:pPr>
      <w:bookmarkStart w:id="22" w:name="_Toc183189361"/>
      <w:r w:rsidRPr="00501C55">
        <w:t>b)</w:t>
      </w:r>
      <w:r w:rsidR="00664420" w:rsidRPr="00501C55">
        <w:t xml:space="preserve"> </w:t>
      </w:r>
      <w:r w:rsidR="00D91CB4" w:rsidRPr="00501C55">
        <w:t>Legitimidad</w:t>
      </w:r>
      <w:r w:rsidRPr="00501C55">
        <w:t xml:space="preserve"> de la parte recurrente</w:t>
      </w:r>
      <w:bookmarkEnd w:id="22"/>
    </w:p>
    <w:p w14:paraId="26FEA382" w14:textId="0B06695C" w:rsidR="00D91CB4" w:rsidRPr="00501C55" w:rsidRDefault="00D91CB4" w:rsidP="00501C55">
      <w:pPr>
        <w:rPr>
          <w:rFonts w:cs="Arial"/>
          <w:bCs/>
        </w:rPr>
      </w:pPr>
      <w:r w:rsidRPr="00501C55">
        <w:rPr>
          <w:rFonts w:cs="Arial"/>
          <w:bCs/>
        </w:rPr>
        <w:t>El recurso de revisión fue interpuesto por parte legítima, ya que se presentó por la misma persona que formuló la solicitud de acceso a la Información Pública,</w:t>
      </w:r>
      <w:r w:rsidRPr="00501C55">
        <w:rPr>
          <w:rFonts w:cs="Arial"/>
          <w:b/>
          <w:bCs/>
        </w:rPr>
        <w:t xml:space="preserve"> </w:t>
      </w:r>
      <w:r w:rsidRPr="00501C55">
        <w:rPr>
          <w:rFonts w:cs="Arial"/>
        </w:rPr>
        <w:t>debido a que los datos de acceso</w:t>
      </w:r>
      <w:r w:rsidRPr="00501C55">
        <w:rPr>
          <w:rFonts w:cs="Arial"/>
          <w:b/>
          <w:bCs/>
        </w:rPr>
        <w:t xml:space="preserve"> </w:t>
      </w:r>
      <w:r w:rsidRPr="00501C55">
        <w:rPr>
          <w:rFonts w:cs="Arial"/>
        </w:rPr>
        <w:t>SAIMEX</w:t>
      </w:r>
      <w:r w:rsidRPr="00501C55">
        <w:rPr>
          <w:rFonts w:eastAsia="Calibri" w:cs="Arial"/>
          <w:lang w:eastAsia="en-US"/>
        </w:rPr>
        <w:t xml:space="preserve"> son personales e irrepetibles.</w:t>
      </w:r>
    </w:p>
    <w:p w14:paraId="2C367810" w14:textId="77777777" w:rsidR="00D91CB4" w:rsidRPr="00501C55" w:rsidRDefault="00D91CB4" w:rsidP="00501C55"/>
    <w:p w14:paraId="496490FC" w14:textId="1A5F3FDB" w:rsidR="00D91CB4" w:rsidRPr="00501C55" w:rsidRDefault="00BA55A8" w:rsidP="00501C55">
      <w:pPr>
        <w:pStyle w:val="Ttulo3"/>
        <w:rPr>
          <w:rFonts w:eastAsia="Calibri"/>
          <w:lang w:eastAsia="es-ES_tradnl"/>
        </w:rPr>
      </w:pPr>
      <w:bookmarkStart w:id="23" w:name="_Toc183189362"/>
      <w:r w:rsidRPr="00501C55">
        <w:rPr>
          <w:rFonts w:eastAsia="Calibri"/>
          <w:lang w:eastAsia="es-ES_tradnl"/>
        </w:rPr>
        <w:t>c)</w:t>
      </w:r>
      <w:r w:rsidR="00664420" w:rsidRPr="00501C55">
        <w:rPr>
          <w:rFonts w:eastAsia="Calibri"/>
          <w:lang w:eastAsia="es-ES_tradnl"/>
        </w:rPr>
        <w:t xml:space="preserve"> </w:t>
      </w:r>
      <w:r w:rsidR="00D91CB4" w:rsidRPr="00501C55">
        <w:rPr>
          <w:rFonts w:eastAsia="Calibri"/>
          <w:lang w:eastAsia="es-ES_tradnl"/>
        </w:rPr>
        <w:t>Plazo para interponer el recurso</w:t>
      </w:r>
      <w:bookmarkEnd w:id="23"/>
    </w:p>
    <w:p w14:paraId="106D37EE" w14:textId="10D892B9" w:rsidR="00D91CB4" w:rsidRPr="00501C55" w:rsidRDefault="00D91CB4" w:rsidP="00501C55">
      <w:pPr>
        <w:rPr>
          <w:rFonts w:eastAsiaTheme="minorEastAsia" w:cs="Arial"/>
          <w:lang w:val="es-ES_tradnl"/>
        </w:rPr>
      </w:pPr>
      <w:r w:rsidRPr="00501C55">
        <w:rPr>
          <w:rFonts w:cs="Arial"/>
          <w:b/>
        </w:rPr>
        <w:t>EL SUJETO OBLIGADO</w:t>
      </w:r>
      <w:r w:rsidRPr="00501C55">
        <w:rPr>
          <w:rFonts w:cs="Arial"/>
        </w:rPr>
        <w:t xml:space="preserve"> notificó la respuesta a la solicitud de acceso a la Información Pública el </w:t>
      </w:r>
      <w:r w:rsidR="00FE5FA2" w:rsidRPr="00501C55">
        <w:rPr>
          <w:rFonts w:eastAsia="Palatino Linotype" w:cs="Palatino Linotype"/>
          <w:b/>
        </w:rPr>
        <w:t>veinte</w:t>
      </w:r>
      <w:r w:rsidRPr="00501C55">
        <w:rPr>
          <w:rFonts w:eastAsia="Palatino Linotype" w:cs="Palatino Linotype"/>
          <w:b/>
        </w:rPr>
        <w:t xml:space="preserve"> de </w:t>
      </w:r>
      <w:r w:rsidR="00FE5FA2" w:rsidRPr="00501C55">
        <w:rPr>
          <w:rFonts w:eastAsia="Palatino Linotype" w:cs="Palatino Linotype"/>
          <w:b/>
        </w:rPr>
        <w:t xml:space="preserve">septiembre </w:t>
      </w:r>
      <w:r w:rsidRPr="00501C55">
        <w:rPr>
          <w:rFonts w:eastAsia="Palatino Linotype" w:cs="Palatino Linotype"/>
          <w:b/>
        </w:rPr>
        <w:t xml:space="preserve">de dos mil </w:t>
      </w:r>
      <w:r w:rsidR="000605CC" w:rsidRPr="00501C55">
        <w:rPr>
          <w:rFonts w:eastAsia="Palatino Linotype" w:cs="Palatino Linotype"/>
          <w:b/>
        </w:rPr>
        <w:t xml:space="preserve">veinticuatro </w:t>
      </w:r>
      <w:r w:rsidR="00A53315" w:rsidRPr="00501C55">
        <w:rPr>
          <w:rFonts w:cs="Arial"/>
        </w:rPr>
        <w:t xml:space="preserve">y el recurso </w:t>
      </w:r>
      <w:r w:rsidR="00A53315" w:rsidRPr="00501C55">
        <w:rPr>
          <w:rFonts w:eastAsia="Palatino Linotype" w:cs="Palatino Linotype"/>
        </w:rPr>
        <w:t xml:space="preserve">que nos ocupa se interpuso el </w:t>
      </w:r>
      <w:r w:rsidR="00FE5FA2" w:rsidRPr="00501C55">
        <w:rPr>
          <w:rFonts w:eastAsia="Palatino Linotype" w:cs="Palatino Linotype"/>
          <w:b/>
        </w:rPr>
        <w:lastRenderedPageBreak/>
        <w:t>veintiuno</w:t>
      </w:r>
      <w:r w:rsidR="00A53315" w:rsidRPr="00501C55">
        <w:rPr>
          <w:rFonts w:eastAsia="Palatino Linotype" w:cs="Palatino Linotype"/>
          <w:b/>
        </w:rPr>
        <w:t xml:space="preserve"> de </w:t>
      </w:r>
      <w:r w:rsidR="00FE5FA2" w:rsidRPr="00501C55">
        <w:rPr>
          <w:rFonts w:eastAsia="Palatino Linotype" w:cs="Palatino Linotype"/>
          <w:b/>
        </w:rPr>
        <w:t xml:space="preserve">septiembre </w:t>
      </w:r>
      <w:r w:rsidR="00A53315" w:rsidRPr="00501C55">
        <w:rPr>
          <w:rFonts w:eastAsia="Palatino Linotype" w:cs="Palatino Linotype"/>
          <w:b/>
        </w:rPr>
        <w:t xml:space="preserve">de dos mil </w:t>
      </w:r>
      <w:r w:rsidR="000605CC" w:rsidRPr="00501C55">
        <w:rPr>
          <w:rFonts w:eastAsia="Palatino Linotype" w:cs="Palatino Linotype"/>
          <w:b/>
        </w:rPr>
        <w:t>veinticuatro</w:t>
      </w:r>
      <w:r w:rsidR="00A53315" w:rsidRPr="00501C55">
        <w:rPr>
          <w:rFonts w:eastAsia="Palatino Linotype" w:cs="Palatino Linotype"/>
          <w:bCs/>
        </w:rPr>
        <w:t>;</w:t>
      </w:r>
      <w:r w:rsidR="00A53315" w:rsidRPr="00501C55">
        <w:rPr>
          <w:rFonts w:eastAsia="Palatino Linotype" w:cs="Palatino Linotype"/>
        </w:rPr>
        <w:t xml:space="preserve"> por lo tanto, éste se encuentra dentro del margen temporal previsto en el artículo 178 de la </w:t>
      </w:r>
      <w:r w:rsidR="00A53315" w:rsidRPr="00501C55">
        <w:rPr>
          <w:rFonts w:cs="Arial"/>
        </w:rPr>
        <w:t>Ley de Transparencia y Acceso a la Información Pública del Estado de México y Municipios</w:t>
      </w:r>
      <w:r w:rsidR="00163D12" w:rsidRPr="00501C55">
        <w:rPr>
          <w:rFonts w:cs="Arial"/>
        </w:rPr>
        <w:t>.</w:t>
      </w:r>
    </w:p>
    <w:p w14:paraId="49076992" w14:textId="77777777" w:rsidR="00D91CB4" w:rsidRPr="00501C55" w:rsidRDefault="00D91CB4" w:rsidP="00501C55">
      <w:pPr>
        <w:rPr>
          <w:rFonts w:eastAsia="Palatino Linotype" w:cs="Palatino Linotype"/>
        </w:rPr>
      </w:pPr>
    </w:p>
    <w:p w14:paraId="46C0EB3A" w14:textId="15F1A919" w:rsidR="00A53315" w:rsidRPr="00501C55" w:rsidRDefault="00BA55A8" w:rsidP="00501C55">
      <w:pPr>
        <w:pStyle w:val="Ttulo3"/>
        <w:rPr>
          <w:rFonts w:eastAsia="Calibri"/>
          <w:lang w:eastAsia="es-ES_tradnl"/>
        </w:rPr>
      </w:pPr>
      <w:bookmarkStart w:id="24" w:name="_Toc183189363"/>
      <w:r w:rsidRPr="00501C55">
        <w:rPr>
          <w:rFonts w:eastAsia="Calibri"/>
          <w:lang w:eastAsia="es-ES_tradnl"/>
        </w:rPr>
        <w:t>d)</w:t>
      </w:r>
      <w:r w:rsidR="00D91CB4" w:rsidRPr="00501C55">
        <w:rPr>
          <w:rFonts w:eastAsia="Calibri"/>
          <w:lang w:eastAsia="es-ES_tradnl"/>
        </w:rPr>
        <w:t xml:space="preserve"> </w:t>
      </w:r>
      <w:r w:rsidR="009A0277" w:rsidRPr="00501C55">
        <w:rPr>
          <w:rFonts w:eastAsia="Calibri"/>
          <w:lang w:eastAsia="es-ES_tradnl"/>
        </w:rPr>
        <w:t>Causal de Procedencia</w:t>
      </w:r>
      <w:bookmarkEnd w:id="24"/>
    </w:p>
    <w:p w14:paraId="190404A6" w14:textId="039C1D08" w:rsidR="00BA55A8" w:rsidRPr="00501C55" w:rsidRDefault="00BA55A8" w:rsidP="00501C55">
      <w:r w:rsidRPr="00501C55">
        <w:rPr>
          <w:rFonts w:cs="Arial"/>
        </w:rPr>
        <w:t xml:space="preserve">Resulta procedente la interposición del recurso de revisión, ya que </w:t>
      </w:r>
      <w:r w:rsidRPr="00501C55">
        <w:rPr>
          <w:rFonts w:eastAsia="Calibri" w:cs="Tahoma"/>
          <w:szCs w:val="22"/>
          <w:lang w:eastAsia="es-MX"/>
        </w:rPr>
        <w:t xml:space="preserve">se actualiza la causal de procedencia señalada en el artículo 179, fracción </w:t>
      </w:r>
      <w:r w:rsidR="00A93D8B" w:rsidRPr="00501C55">
        <w:rPr>
          <w:rFonts w:eastAsia="Calibri" w:cs="Tahoma"/>
          <w:szCs w:val="22"/>
          <w:lang w:eastAsia="es-MX"/>
        </w:rPr>
        <w:t>VI</w:t>
      </w:r>
      <w:r w:rsidRPr="00501C55">
        <w:rPr>
          <w:rFonts w:cs="Arial"/>
        </w:rPr>
        <w:t xml:space="preserve"> de la </w:t>
      </w:r>
      <w:r w:rsidRPr="00501C55">
        <w:t>Ley de Transparencia y Acceso a la Información Pública del Estado de México y Municipios.</w:t>
      </w:r>
    </w:p>
    <w:p w14:paraId="0EFF7141" w14:textId="77777777" w:rsidR="00362A11" w:rsidRPr="00501C55" w:rsidRDefault="00362A11" w:rsidP="00501C55"/>
    <w:p w14:paraId="2284D7EB" w14:textId="3EE1D036" w:rsidR="00BA55A8" w:rsidRPr="00501C55" w:rsidRDefault="00362A11" w:rsidP="00501C55">
      <w:pPr>
        <w:pStyle w:val="Ttulo3"/>
      </w:pPr>
      <w:bookmarkStart w:id="25" w:name="_Toc183189364"/>
      <w:r w:rsidRPr="00501C55">
        <w:t>e) Requisitos formales para la interposición del recurso</w:t>
      </w:r>
      <w:bookmarkEnd w:id="25"/>
    </w:p>
    <w:p w14:paraId="6390674A" w14:textId="78A894DD" w:rsidR="00BA55A8" w:rsidRPr="00501C55" w:rsidRDefault="00BA55A8" w:rsidP="00501C55">
      <w:pPr>
        <w:rPr>
          <w:rFonts w:cs="Arial"/>
        </w:rPr>
      </w:pPr>
      <w:r w:rsidRPr="00501C55">
        <w:rPr>
          <w:rFonts w:cs="Arial"/>
          <w:b/>
          <w:bCs/>
        </w:rPr>
        <w:t xml:space="preserve">LA PARTE RECURRENTE </w:t>
      </w:r>
      <w:r w:rsidRPr="00501C55">
        <w:rPr>
          <w:rFonts w:cs="Arial"/>
        </w:rPr>
        <w:t>acreditó todos y cada uno de los elementos formales exigidos por el artículo 180 de la misma normatividad.</w:t>
      </w:r>
    </w:p>
    <w:p w14:paraId="20BDA7EE" w14:textId="77777777" w:rsidR="005F5301" w:rsidRPr="00501C55" w:rsidRDefault="005F5301" w:rsidP="00501C55">
      <w:pPr>
        <w:rPr>
          <w:rFonts w:cs="Arial"/>
        </w:rPr>
      </w:pPr>
    </w:p>
    <w:p w14:paraId="457548E9" w14:textId="3F7AF03B" w:rsidR="00C71CEF" w:rsidRPr="00501C55" w:rsidRDefault="00C71CEF" w:rsidP="00501C55">
      <w:pPr>
        <w:pStyle w:val="Ttulo2"/>
      </w:pPr>
      <w:bookmarkStart w:id="26" w:name="_Toc183189365"/>
      <w:r w:rsidRPr="00501C55">
        <w:t>SEGUNDO. Estudio de Fondo</w:t>
      </w:r>
      <w:bookmarkEnd w:id="26"/>
    </w:p>
    <w:p w14:paraId="2A308F59" w14:textId="0FF373F0" w:rsidR="00C049E2" w:rsidRPr="00501C55" w:rsidRDefault="00C71CEF" w:rsidP="00501C55">
      <w:pPr>
        <w:pStyle w:val="Ttulo3"/>
      </w:pPr>
      <w:bookmarkStart w:id="27" w:name="_Toc183189366"/>
      <w:r w:rsidRPr="00501C55">
        <w:t>a</w:t>
      </w:r>
      <w:r w:rsidR="00C049E2" w:rsidRPr="00501C55">
        <w:t>) Mandato de transparencia y responsabilidad del Sujeto Obligado</w:t>
      </w:r>
      <w:bookmarkEnd w:id="27"/>
    </w:p>
    <w:p w14:paraId="6901A889" w14:textId="59EEDAE1" w:rsidR="00C049E2" w:rsidRPr="00501C55" w:rsidRDefault="00C049E2" w:rsidP="00501C55">
      <w:pPr>
        <w:rPr>
          <w:rFonts w:eastAsia="Palatino Linotype"/>
        </w:rPr>
      </w:pPr>
      <w:r w:rsidRPr="00501C55">
        <w:rPr>
          <w:rFonts w:eastAsia="Palatino Linotype"/>
        </w:rPr>
        <w:t xml:space="preserve">El </w:t>
      </w:r>
      <w:r w:rsidR="00717E59" w:rsidRPr="00501C55">
        <w:rPr>
          <w:rFonts w:eastAsia="Palatino Linotype"/>
        </w:rPr>
        <w:t>d</w:t>
      </w:r>
      <w:r w:rsidRPr="00501C55">
        <w:rPr>
          <w:rFonts w:eastAsia="Palatino Linotype"/>
        </w:rPr>
        <w:t xml:space="preserve">erecho de </w:t>
      </w:r>
      <w:r w:rsidR="00717E59" w:rsidRPr="00501C55">
        <w:rPr>
          <w:rFonts w:eastAsia="Palatino Linotype"/>
        </w:rPr>
        <w:t>a</w:t>
      </w:r>
      <w:r w:rsidRPr="00501C55">
        <w:rPr>
          <w:rFonts w:eastAsia="Palatino Linotype"/>
        </w:rPr>
        <w:t xml:space="preserve">cceso a la </w:t>
      </w:r>
      <w:r w:rsidR="00717E59" w:rsidRPr="00501C55">
        <w:rPr>
          <w:rFonts w:eastAsia="Palatino Linotype"/>
        </w:rPr>
        <w:t>i</w:t>
      </w:r>
      <w:r w:rsidRPr="00501C55">
        <w:rPr>
          <w:rFonts w:eastAsia="Palatino Linotype"/>
        </w:rPr>
        <w:t xml:space="preserve">nformación </w:t>
      </w:r>
      <w:r w:rsidR="00717E59" w:rsidRPr="00501C55">
        <w:rPr>
          <w:rFonts w:eastAsia="Palatino Linotype"/>
        </w:rPr>
        <w:t>p</w:t>
      </w:r>
      <w:r w:rsidRPr="00501C55">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501C55">
        <w:rPr>
          <w:rFonts w:eastAsia="Palatino Linotype"/>
        </w:rPr>
        <w:t>:</w:t>
      </w:r>
    </w:p>
    <w:p w14:paraId="7FAB8D32" w14:textId="77777777" w:rsidR="00C049E2" w:rsidRPr="00501C55" w:rsidRDefault="00C049E2" w:rsidP="00501C55">
      <w:pPr>
        <w:rPr>
          <w:rFonts w:eastAsia="Palatino Linotype"/>
        </w:rPr>
      </w:pPr>
    </w:p>
    <w:p w14:paraId="05320813" w14:textId="77777777" w:rsidR="00C049E2" w:rsidRPr="00501C55" w:rsidRDefault="00C049E2" w:rsidP="00501C55">
      <w:pPr>
        <w:spacing w:line="240" w:lineRule="auto"/>
        <w:ind w:left="567" w:right="539"/>
        <w:rPr>
          <w:rFonts w:eastAsia="Palatino Linotype"/>
          <w:b/>
          <w:i/>
        </w:rPr>
      </w:pPr>
      <w:r w:rsidRPr="00501C55">
        <w:rPr>
          <w:rFonts w:eastAsia="Palatino Linotype"/>
          <w:b/>
          <w:i/>
        </w:rPr>
        <w:t>Constitución Política de los Estados Unidos Mexicanos</w:t>
      </w:r>
    </w:p>
    <w:p w14:paraId="6B6C67B6" w14:textId="77777777" w:rsidR="00C049E2" w:rsidRPr="00501C55" w:rsidRDefault="00C049E2" w:rsidP="00501C55">
      <w:pPr>
        <w:spacing w:line="240" w:lineRule="auto"/>
        <w:ind w:left="567" w:right="539"/>
        <w:rPr>
          <w:rFonts w:eastAsia="Palatino Linotype"/>
          <w:b/>
          <w:i/>
        </w:rPr>
      </w:pPr>
      <w:r w:rsidRPr="00501C55">
        <w:rPr>
          <w:rFonts w:eastAsia="Palatino Linotype"/>
          <w:b/>
          <w:i/>
        </w:rPr>
        <w:t>“Artículo 6.</w:t>
      </w:r>
    </w:p>
    <w:p w14:paraId="38D3B4C4" w14:textId="77777777" w:rsidR="00C049E2" w:rsidRPr="00501C55" w:rsidRDefault="00C049E2" w:rsidP="00501C55">
      <w:pPr>
        <w:spacing w:line="240" w:lineRule="auto"/>
        <w:ind w:left="567" w:right="539"/>
        <w:rPr>
          <w:rFonts w:eastAsia="Palatino Linotype"/>
          <w:i/>
        </w:rPr>
      </w:pPr>
      <w:r w:rsidRPr="00501C55">
        <w:rPr>
          <w:rFonts w:eastAsia="Palatino Linotype"/>
          <w:i/>
        </w:rPr>
        <w:t>(…)</w:t>
      </w:r>
    </w:p>
    <w:p w14:paraId="2CCAA297" w14:textId="6602827B" w:rsidR="00C049E2" w:rsidRPr="00501C55" w:rsidRDefault="00C049E2" w:rsidP="00501C55">
      <w:pPr>
        <w:spacing w:line="240" w:lineRule="auto"/>
        <w:ind w:left="567" w:right="539"/>
        <w:rPr>
          <w:rFonts w:eastAsia="Palatino Linotype"/>
          <w:i/>
        </w:rPr>
      </w:pPr>
      <w:r w:rsidRPr="00501C55">
        <w:rPr>
          <w:rFonts w:eastAsia="Palatino Linotype"/>
          <w:i/>
        </w:rPr>
        <w:t>Para efectos de lo dispuesto en el presente artículo se observará lo siguiente:</w:t>
      </w:r>
    </w:p>
    <w:p w14:paraId="74CC3718" w14:textId="77777777" w:rsidR="00C049E2" w:rsidRPr="00501C55" w:rsidRDefault="00C049E2" w:rsidP="00501C55">
      <w:pPr>
        <w:spacing w:line="240" w:lineRule="auto"/>
        <w:ind w:left="567" w:right="539"/>
        <w:rPr>
          <w:rFonts w:eastAsia="Palatino Linotype"/>
          <w:b/>
          <w:i/>
        </w:rPr>
      </w:pPr>
      <w:r w:rsidRPr="00501C55">
        <w:rPr>
          <w:rFonts w:eastAsia="Palatino Linotype"/>
          <w:b/>
          <w:i/>
        </w:rPr>
        <w:lastRenderedPageBreak/>
        <w:t>A</w:t>
      </w:r>
      <w:r w:rsidRPr="00501C55">
        <w:rPr>
          <w:rFonts w:eastAsia="Palatino Linotype"/>
          <w:i/>
        </w:rPr>
        <w:t xml:space="preserve">. </w:t>
      </w:r>
      <w:r w:rsidRPr="00501C55">
        <w:rPr>
          <w:rFonts w:eastAsia="Palatino Linotype"/>
          <w:b/>
          <w:i/>
        </w:rPr>
        <w:t>Para el ejercicio del derecho de acceso a la información</w:t>
      </w:r>
      <w:r w:rsidRPr="00501C55">
        <w:rPr>
          <w:rFonts w:eastAsia="Palatino Linotype"/>
          <w:i/>
        </w:rPr>
        <w:t xml:space="preserve">, la Federación y </w:t>
      </w:r>
      <w:r w:rsidRPr="00501C55">
        <w:rPr>
          <w:rFonts w:eastAsia="Palatino Linotype"/>
          <w:b/>
          <w:i/>
        </w:rPr>
        <w:t>las entidades federativas, en el ámbito de sus respectivas competencias, se regirán por los siguientes principios y bases:</w:t>
      </w:r>
    </w:p>
    <w:p w14:paraId="596A956B" w14:textId="77777777" w:rsidR="00C049E2" w:rsidRPr="00501C55" w:rsidRDefault="00C049E2" w:rsidP="00501C55">
      <w:pPr>
        <w:spacing w:line="240" w:lineRule="auto"/>
        <w:ind w:left="567" w:right="539"/>
        <w:rPr>
          <w:rFonts w:eastAsia="Palatino Linotype"/>
          <w:i/>
        </w:rPr>
      </w:pPr>
      <w:r w:rsidRPr="00501C55">
        <w:rPr>
          <w:rFonts w:eastAsia="Palatino Linotype"/>
          <w:b/>
          <w:i/>
        </w:rPr>
        <w:t xml:space="preserve">I. </w:t>
      </w:r>
      <w:r w:rsidRPr="00501C55">
        <w:rPr>
          <w:rFonts w:eastAsia="Palatino Linotype"/>
          <w:b/>
          <w:i/>
        </w:rPr>
        <w:tab/>
        <w:t>Toda la información en posesión de cualquier</w:t>
      </w:r>
      <w:r w:rsidRPr="00501C55">
        <w:rPr>
          <w:rFonts w:eastAsia="Palatino Linotype"/>
          <w:i/>
        </w:rPr>
        <w:t xml:space="preserve"> </w:t>
      </w:r>
      <w:r w:rsidRPr="00501C55">
        <w:rPr>
          <w:rFonts w:eastAsia="Palatino Linotype"/>
          <w:b/>
          <w:i/>
        </w:rPr>
        <w:t>autoridad</w:t>
      </w:r>
      <w:r w:rsidRPr="00501C55">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501C55">
        <w:rPr>
          <w:rFonts w:eastAsia="Palatino Linotype"/>
          <w:b/>
          <w:i/>
        </w:rPr>
        <w:t>municipal</w:t>
      </w:r>
      <w:r w:rsidRPr="00501C55">
        <w:rPr>
          <w:rFonts w:eastAsia="Palatino Linotype"/>
          <w:i/>
        </w:rPr>
        <w:t xml:space="preserve">, </w:t>
      </w:r>
      <w:r w:rsidRPr="00501C55">
        <w:rPr>
          <w:rFonts w:eastAsia="Palatino Linotype"/>
          <w:b/>
          <w:i/>
        </w:rPr>
        <w:t>es pública</w:t>
      </w:r>
      <w:r w:rsidRPr="00501C55">
        <w:rPr>
          <w:rFonts w:eastAsia="Palatino Linotype"/>
          <w:i/>
        </w:rPr>
        <w:t xml:space="preserve"> y sólo podrá ser reservada temporalmente por razones de interés público y seguridad nacional, en los términos que fijen las leyes. </w:t>
      </w:r>
      <w:r w:rsidRPr="00501C55">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501C55">
        <w:rPr>
          <w:rFonts w:eastAsia="Palatino Linotype"/>
          <w:i/>
        </w:rPr>
        <w:t>, la ley determinará los supuestos específicos bajo los cuales procederá la declaración de inexistencia de la información.”</w:t>
      </w:r>
    </w:p>
    <w:p w14:paraId="68F313E4" w14:textId="77777777" w:rsidR="00C049E2" w:rsidRPr="00501C55" w:rsidRDefault="00C049E2" w:rsidP="00501C55">
      <w:pPr>
        <w:spacing w:line="240" w:lineRule="auto"/>
        <w:ind w:left="567" w:right="539"/>
        <w:rPr>
          <w:rFonts w:eastAsia="Palatino Linotype"/>
          <w:b/>
          <w:i/>
        </w:rPr>
      </w:pPr>
    </w:p>
    <w:p w14:paraId="504F12DB" w14:textId="77777777" w:rsidR="00C049E2" w:rsidRPr="00501C55" w:rsidRDefault="00C049E2" w:rsidP="00501C55">
      <w:pPr>
        <w:spacing w:line="240" w:lineRule="auto"/>
        <w:ind w:left="567" w:right="539"/>
        <w:rPr>
          <w:rFonts w:eastAsia="Palatino Linotype"/>
          <w:b/>
          <w:i/>
        </w:rPr>
      </w:pPr>
      <w:r w:rsidRPr="00501C55">
        <w:rPr>
          <w:rFonts w:eastAsia="Palatino Linotype"/>
          <w:b/>
          <w:i/>
        </w:rPr>
        <w:t>Constitución Política del Estado Libre y Soberano de México</w:t>
      </w:r>
    </w:p>
    <w:p w14:paraId="04932D29" w14:textId="77777777" w:rsidR="00C049E2" w:rsidRPr="00501C55" w:rsidRDefault="00C049E2" w:rsidP="00501C55">
      <w:pPr>
        <w:spacing w:line="240" w:lineRule="auto"/>
        <w:ind w:left="567" w:right="539"/>
        <w:rPr>
          <w:rFonts w:eastAsia="Palatino Linotype"/>
          <w:i/>
        </w:rPr>
      </w:pPr>
      <w:r w:rsidRPr="00501C55">
        <w:rPr>
          <w:rFonts w:eastAsia="Palatino Linotype"/>
          <w:b/>
          <w:i/>
        </w:rPr>
        <w:t>“Artículo 5</w:t>
      </w:r>
      <w:r w:rsidRPr="00501C55">
        <w:rPr>
          <w:rFonts w:eastAsia="Palatino Linotype"/>
          <w:i/>
        </w:rPr>
        <w:t xml:space="preserve">.- </w:t>
      </w:r>
    </w:p>
    <w:p w14:paraId="1D3829F4" w14:textId="77777777" w:rsidR="00C049E2" w:rsidRPr="00501C55" w:rsidRDefault="00C049E2" w:rsidP="00501C55">
      <w:pPr>
        <w:spacing w:line="240" w:lineRule="auto"/>
        <w:ind w:left="567" w:right="539"/>
        <w:rPr>
          <w:rFonts w:eastAsia="Palatino Linotype"/>
          <w:i/>
        </w:rPr>
      </w:pPr>
      <w:r w:rsidRPr="00501C55">
        <w:rPr>
          <w:rFonts w:eastAsia="Palatino Linotype"/>
          <w:i/>
        </w:rPr>
        <w:t>(…)</w:t>
      </w:r>
    </w:p>
    <w:p w14:paraId="0EAE47FD" w14:textId="77777777" w:rsidR="00C049E2" w:rsidRPr="00501C55" w:rsidRDefault="00C049E2" w:rsidP="00501C55">
      <w:pPr>
        <w:spacing w:line="240" w:lineRule="auto"/>
        <w:ind w:left="567" w:right="539"/>
        <w:rPr>
          <w:rFonts w:eastAsia="Palatino Linotype"/>
          <w:i/>
        </w:rPr>
      </w:pPr>
      <w:r w:rsidRPr="00501C55">
        <w:rPr>
          <w:rFonts w:eastAsia="Palatino Linotype"/>
          <w:b/>
          <w:i/>
        </w:rPr>
        <w:t>El derecho a la información será garantizado por el Estado. La ley establecerá las previsiones que permitan asegurar la protección, el respeto y la difusión de este derecho</w:t>
      </w:r>
      <w:r w:rsidRPr="00501C55">
        <w:rPr>
          <w:rFonts w:eastAsia="Palatino Linotype"/>
          <w:i/>
        </w:rPr>
        <w:t>.</w:t>
      </w:r>
    </w:p>
    <w:p w14:paraId="4F0C804A" w14:textId="77777777" w:rsidR="00C049E2" w:rsidRPr="00501C55" w:rsidRDefault="00C049E2" w:rsidP="00501C55">
      <w:pPr>
        <w:spacing w:line="240" w:lineRule="auto"/>
        <w:ind w:left="567" w:right="539"/>
        <w:rPr>
          <w:rFonts w:eastAsia="Palatino Linotype"/>
          <w:i/>
        </w:rPr>
      </w:pPr>
      <w:r w:rsidRPr="00501C55">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501C55" w:rsidRDefault="00C049E2" w:rsidP="00501C55">
      <w:pPr>
        <w:spacing w:line="240" w:lineRule="auto"/>
        <w:ind w:left="567" w:right="539"/>
        <w:rPr>
          <w:rFonts w:eastAsia="Palatino Linotype"/>
          <w:i/>
        </w:rPr>
      </w:pPr>
      <w:r w:rsidRPr="00501C55">
        <w:rPr>
          <w:rFonts w:eastAsia="Palatino Linotype"/>
          <w:b/>
          <w:i/>
        </w:rPr>
        <w:t>Este derecho se regirá por los principios y bases siguientes</w:t>
      </w:r>
      <w:r w:rsidRPr="00501C55">
        <w:rPr>
          <w:rFonts w:eastAsia="Palatino Linotype"/>
          <w:i/>
        </w:rPr>
        <w:t>:</w:t>
      </w:r>
    </w:p>
    <w:p w14:paraId="4A3E8CBA" w14:textId="77777777" w:rsidR="00C049E2" w:rsidRPr="00501C55" w:rsidRDefault="00C049E2" w:rsidP="00501C55">
      <w:pPr>
        <w:spacing w:line="240" w:lineRule="auto"/>
        <w:ind w:left="567" w:right="539"/>
        <w:rPr>
          <w:rFonts w:eastAsia="Palatino Linotype"/>
          <w:i/>
        </w:rPr>
      </w:pPr>
      <w:r w:rsidRPr="00501C55">
        <w:rPr>
          <w:rFonts w:eastAsia="Palatino Linotype"/>
          <w:b/>
          <w:i/>
        </w:rPr>
        <w:t>I. Toda la información en posesión de cualquier autoridad, entidad, órgano y organismos de los</w:t>
      </w:r>
      <w:r w:rsidRPr="00501C55">
        <w:rPr>
          <w:rFonts w:eastAsia="Palatino Linotype"/>
          <w:i/>
        </w:rPr>
        <w:t xml:space="preserve"> Poderes Ejecutivo, Legislativo y Judicial, órganos autónomos, partidos políticos, fideicomisos y fondos públicos estatales y </w:t>
      </w:r>
      <w:r w:rsidRPr="00501C55">
        <w:rPr>
          <w:rFonts w:eastAsia="Palatino Linotype"/>
          <w:b/>
          <w:i/>
        </w:rPr>
        <w:t>municipales</w:t>
      </w:r>
      <w:r w:rsidRPr="00501C55">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501C55">
        <w:rPr>
          <w:rFonts w:eastAsia="Palatino Linotype"/>
          <w:b/>
          <w:i/>
        </w:rPr>
        <w:t>es pública</w:t>
      </w:r>
      <w:r w:rsidRPr="00501C55">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501C55">
        <w:rPr>
          <w:rFonts w:eastAsia="Palatino Linotype"/>
          <w:b/>
          <w:i/>
        </w:rPr>
        <w:t>En la interpretación de este derecho deberá prevalecer el principio de máxima publicidad</w:t>
      </w:r>
      <w:r w:rsidRPr="00501C55">
        <w:rPr>
          <w:rFonts w:eastAsia="Palatino Linotype"/>
          <w:i/>
        </w:rPr>
        <w:t xml:space="preserve">. </w:t>
      </w:r>
      <w:r w:rsidRPr="00501C55">
        <w:rPr>
          <w:rFonts w:eastAsia="Palatino Linotype"/>
          <w:b/>
          <w:i/>
        </w:rPr>
        <w:t xml:space="preserve">Los sujetos obligados deberán documentar todo acto que derive del </w:t>
      </w:r>
      <w:r w:rsidRPr="00501C55">
        <w:rPr>
          <w:rFonts w:eastAsia="Palatino Linotype"/>
          <w:b/>
          <w:i/>
        </w:rPr>
        <w:lastRenderedPageBreak/>
        <w:t>ejercicio de sus facultades, competencias o funciones</w:t>
      </w:r>
      <w:r w:rsidRPr="00501C55">
        <w:rPr>
          <w:rFonts w:eastAsia="Palatino Linotype"/>
          <w:i/>
        </w:rPr>
        <w:t>, la ley determinará los supuestos específicos bajo los cuales procederá la declaración de inexistencia de la información.”</w:t>
      </w:r>
    </w:p>
    <w:p w14:paraId="5CA98E37" w14:textId="77777777" w:rsidR="00C049E2" w:rsidRPr="00501C55" w:rsidRDefault="00C049E2" w:rsidP="00501C55">
      <w:pPr>
        <w:rPr>
          <w:rFonts w:eastAsia="Palatino Linotype"/>
          <w:b/>
          <w:i/>
        </w:rPr>
      </w:pPr>
    </w:p>
    <w:p w14:paraId="6FC1BB3B" w14:textId="3BF4A33D" w:rsidR="00C049E2" w:rsidRPr="00501C55" w:rsidRDefault="00717E59" w:rsidP="00501C55">
      <w:pPr>
        <w:rPr>
          <w:rFonts w:eastAsia="Palatino Linotype"/>
          <w:i/>
        </w:rPr>
      </w:pPr>
      <w:r w:rsidRPr="00501C55">
        <w:rPr>
          <w:rFonts w:eastAsia="Palatino Linotype"/>
        </w:rPr>
        <w:t xml:space="preserve">Asimismo, </w:t>
      </w:r>
      <w:r w:rsidR="00C049E2" w:rsidRPr="00501C55">
        <w:rPr>
          <w:rFonts w:eastAsia="Palatino Linotype"/>
        </w:rPr>
        <w:t>el artículo 150 de la Ley de Transparencia y Acceso a la Información Pública del Estado de México y Municipios</w:t>
      </w:r>
      <w:r w:rsidR="00057B2D" w:rsidRPr="00501C55">
        <w:rPr>
          <w:rFonts w:eastAsia="Palatino Linotype"/>
        </w:rPr>
        <w:t xml:space="preserve"> </w:t>
      </w:r>
      <w:r w:rsidR="00E9335C" w:rsidRPr="00501C55">
        <w:rPr>
          <w:rFonts w:eastAsia="Palatino Linotype"/>
        </w:rPr>
        <w:t xml:space="preserve">indica </w:t>
      </w:r>
      <w:r w:rsidR="00057B2D" w:rsidRPr="00501C55">
        <w:rPr>
          <w:rFonts w:eastAsia="Palatino Linotype"/>
        </w:rPr>
        <w:t>que</w:t>
      </w:r>
      <w:r w:rsidR="00C049E2" w:rsidRPr="00501C55">
        <w:rPr>
          <w:rFonts w:eastAsia="Palatino Linotype"/>
        </w:rPr>
        <w:t xml:space="preserve"> la solicitud es la garantía primaria del Derecho de Acceso a la Información, además, establece que se regirá </w:t>
      </w:r>
      <w:r w:rsidR="00C049E2" w:rsidRPr="00501C55">
        <w:rPr>
          <w:rFonts w:eastAsia="Palatino Linotype"/>
          <w:i/>
        </w:rPr>
        <w:t>por los principios de simplicidad, rapidez</w:t>
      </w:r>
      <w:r w:rsidR="005F65B7" w:rsidRPr="00501C55">
        <w:rPr>
          <w:rFonts w:eastAsia="Palatino Linotype"/>
          <w:i/>
        </w:rPr>
        <w:t>,</w:t>
      </w:r>
      <w:r w:rsidR="00C049E2" w:rsidRPr="00501C55">
        <w:rPr>
          <w:rFonts w:eastAsia="Palatino Linotype"/>
          <w:i/>
        </w:rPr>
        <w:t xml:space="preserve"> gratuidad del procedimiento, auxilio y orientación a los particulare</w:t>
      </w:r>
      <w:r w:rsidR="001A58B3" w:rsidRPr="00501C55">
        <w:rPr>
          <w:rFonts w:eastAsia="Palatino Linotype"/>
          <w:i/>
        </w:rPr>
        <w:t>s.</w:t>
      </w:r>
    </w:p>
    <w:p w14:paraId="033466A6" w14:textId="77777777" w:rsidR="001A58B3" w:rsidRPr="00501C55" w:rsidRDefault="001A58B3" w:rsidP="00501C55">
      <w:pPr>
        <w:rPr>
          <w:rFonts w:eastAsia="Palatino Linotype"/>
          <w:i/>
        </w:rPr>
      </w:pPr>
    </w:p>
    <w:p w14:paraId="04ADA10B" w14:textId="574A944A" w:rsidR="001A58B3" w:rsidRPr="00501C55" w:rsidRDefault="00233F17" w:rsidP="00501C55">
      <w:pPr>
        <w:rPr>
          <w:rFonts w:eastAsia="Palatino Linotype" w:cs="Palatino Linotype"/>
          <w:i/>
          <w:szCs w:val="22"/>
        </w:rPr>
      </w:pPr>
      <w:r w:rsidRPr="00501C55">
        <w:rPr>
          <w:rFonts w:eastAsia="Palatino Linotype" w:cs="Palatino Linotype"/>
        </w:rPr>
        <w:t xml:space="preserve">Por su parte, el artículo 4 de </w:t>
      </w:r>
      <w:r w:rsidR="001A58B3" w:rsidRPr="00501C55">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501C55">
        <w:rPr>
          <w:rFonts w:eastAsia="Palatino Linotype" w:cs="Palatino Linotype"/>
        </w:rPr>
        <w:t>.</w:t>
      </w:r>
    </w:p>
    <w:p w14:paraId="1407DBB8" w14:textId="77777777" w:rsidR="001A58B3" w:rsidRPr="00501C55" w:rsidRDefault="001A58B3" w:rsidP="00501C55">
      <w:pPr>
        <w:rPr>
          <w:rFonts w:eastAsia="Palatino Linotype" w:cs="Palatino Linotype"/>
        </w:rPr>
      </w:pPr>
    </w:p>
    <w:p w14:paraId="7552AA79" w14:textId="5C52E4A4" w:rsidR="001A58B3" w:rsidRPr="00501C55" w:rsidRDefault="001A58B3" w:rsidP="00501C55">
      <w:pPr>
        <w:rPr>
          <w:rFonts w:eastAsia="Palatino Linotype" w:cs="Palatino Linotype"/>
        </w:rPr>
      </w:pPr>
      <w:r w:rsidRPr="00501C55">
        <w:rPr>
          <w:rFonts w:eastAsia="Palatino Linotype" w:cs="Palatino Linotype"/>
        </w:rPr>
        <w:t xml:space="preserve">Esto es, que los Sujetos Obligados </w:t>
      </w:r>
      <w:r w:rsidR="00FA5957" w:rsidRPr="00501C55">
        <w:rPr>
          <w:rFonts w:eastAsia="Palatino Linotype" w:cs="Palatino Linotype"/>
        </w:rPr>
        <w:t>deben</w:t>
      </w:r>
      <w:r w:rsidRPr="00501C55">
        <w:rPr>
          <w:rFonts w:eastAsia="Palatino Linotype" w:cs="Palatino Linotype"/>
        </w:rPr>
        <w:t xml:space="preserve"> atender las solicitudes de acceso a la información pública que se les </w:t>
      </w:r>
      <w:r w:rsidR="00FA5957" w:rsidRPr="00501C55">
        <w:rPr>
          <w:rFonts w:eastAsia="Palatino Linotype" w:cs="Palatino Linotype"/>
        </w:rPr>
        <w:t>sean realizadas,</w:t>
      </w:r>
      <w:r w:rsidRPr="00501C55">
        <w:rPr>
          <w:rFonts w:eastAsia="Palatino Linotype" w:cs="Palatino Linotype"/>
        </w:rPr>
        <w:t xml:space="preserve"> y proporcionar la información pública que obre en su poder</w:t>
      </w:r>
      <w:r w:rsidR="00FA5957" w:rsidRPr="00501C55">
        <w:rPr>
          <w:rFonts w:eastAsia="Palatino Linotype" w:cs="Palatino Linotype"/>
        </w:rPr>
        <w:t>,</w:t>
      </w:r>
      <w:r w:rsidRPr="00501C55">
        <w:rPr>
          <w:rFonts w:eastAsia="Palatino Linotype" w:cs="Palatino Linotype"/>
        </w:rPr>
        <w:t xml:space="preserve"> conforme </w:t>
      </w:r>
      <w:r w:rsidR="00FA5957" w:rsidRPr="00501C55">
        <w:rPr>
          <w:rFonts w:eastAsia="Palatino Linotype" w:cs="Palatino Linotype"/>
        </w:rPr>
        <w:t>a</w:t>
      </w:r>
      <w:r w:rsidRPr="00501C55">
        <w:rPr>
          <w:rFonts w:eastAsia="Palatino Linotype" w:cs="Palatino Linotype"/>
        </w:rPr>
        <w:t xml:space="preserve">l estado </w:t>
      </w:r>
      <w:r w:rsidR="00FA5957" w:rsidRPr="00501C55">
        <w:rPr>
          <w:rFonts w:eastAsia="Palatino Linotype" w:cs="Palatino Linotype"/>
        </w:rPr>
        <w:t xml:space="preserve">en </w:t>
      </w:r>
      <w:r w:rsidRPr="00501C55">
        <w:rPr>
          <w:rFonts w:eastAsia="Palatino Linotype" w:cs="Palatino Linotype"/>
        </w:rPr>
        <w:t>que se encuentr</w:t>
      </w:r>
      <w:r w:rsidR="00FA5957" w:rsidRPr="00501C55">
        <w:rPr>
          <w:rFonts w:eastAsia="Palatino Linotype" w:cs="Palatino Linotype"/>
        </w:rPr>
        <w:t>e, sin que sea necesario</w:t>
      </w:r>
      <w:r w:rsidRPr="00501C55">
        <w:rPr>
          <w:rFonts w:eastAsia="Palatino Linotype" w:cs="Palatino Linotype"/>
        </w:rPr>
        <w:t xml:space="preserve"> </w:t>
      </w:r>
      <w:r w:rsidR="00FA5957" w:rsidRPr="00501C55">
        <w:rPr>
          <w:rFonts w:eastAsia="Palatino Linotype" w:cs="Palatino Linotype"/>
        </w:rPr>
        <w:t>procesar</w:t>
      </w:r>
      <w:r w:rsidRPr="00501C55">
        <w:rPr>
          <w:rFonts w:eastAsia="Palatino Linotype" w:cs="Palatino Linotype"/>
        </w:rPr>
        <w:t xml:space="preserve"> la misma, ni presentarla conforme al interés del solicitante; </w:t>
      </w:r>
      <w:r w:rsidR="00FA5957" w:rsidRPr="00501C55">
        <w:rPr>
          <w:rFonts w:eastAsia="Palatino Linotype" w:cs="Palatino Linotype"/>
        </w:rPr>
        <w:t>tal y como</w:t>
      </w:r>
      <w:r w:rsidRPr="00501C55">
        <w:rPr>
          <w:rFonts w:eastAsia="Palatino Linotype" w:cs="Palatino Linotype"/>
        </w:rPr>
        <w:t xml:space="preserve"> lo establece el artículo 12 de la Ley de Transparencia y Acceso a la Información Pública del Estado de México y Municipios</w:t>
      </w:r>
      <w:r w:rsidR="00970EB3" w:rsidRPr="00501C55">
        <w:rPr>
          <w:rFonts w:eastAsia="Palatino Linotype" w:cs="Palatino Linotype"/>
        </w:rPr>
        <w:t>.</w:t>
      </w:r>
    </w:p>
    <w:p w14:paraId="73245195" w14:textId="77777777" w:rsidR="00970EB3" w:rsidRPr="00501C55" w:rsidRDefault="00970EB3" w:rsidP="00501C55">
      <w:pPr>
        <w:rPr>
          <w:rFonts w:eastAsia="Palatino Linotype" w:cs="Palatino Linotype"/>
        </w:rPr>
      </w:pPr>
    </w:p>
    <w:p w14:paraId="7F62D4DF" w14:textId="775730E1" w:rsidR="001A58B3" w:rsidRPr="00501C55" w:rsidRDefault="001A58B3" w:rsidP="00501C55">
      <w:pPr>
        <w:rPr>
          <w:rFonts w:eastAsia="Palatino Linotype" w:cs="Palatino Linotype"/>
        </w:rPr>
      </w:pPr>
      <w:r w:rsidRPr="00501C55">
        <w:rPr>
          <w:rFonts w:eastAsia="Palatino Linotype" w:cs="Palatino Linotype"/>
        </w:rPr>
        <w:t>Es decir, que todo sujeto obligado que genere, recopile, administre, procese, archive, posea o conserven, son responsables de la misma</w:t>
      </w:r>
      <w:r w:rsidR="00970EB3" w:rsidRPr="00501C55">
        <w:rPr>
          <w:rFonts w:eastAsia="Palatino Linotype" w:cs="Palatino Linotype"/>
        </w:rPr>
        <w:t>,</w:t>
      </w:r>
      <w:r w:rsidRPr="00501C55">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501C55">
        <w:rPr>
          <w:rFonts w:eastAsia="Palatino Linotype" w:cs="Palatino Linotype"/>
        </w:rPr>
        <w:t>o</w:t>
      </w:r>
      <w:r w:rsidRPr="00501C55">
        <w:rPr>
          <w:rFonts w:eastAsia="Palatino Linotype" w:cs="Palatino Linotype"/>
        </w:rPr>
        <w:t xml:space="preserve"> practicar investigaciones; en otras palabras, que los Sujetos Obligados sólo se concretarán a proporcionar la información solicitada que tengan en su poder en el </w:t>
      </w:r>
      <w:r w:rsidRPr="00501C55">
        <w:rPr>
          <w:rFonts w:eastAsia="Palatino Linotype" w:cs="Palatino Linotype"/>
        </w:rPr>
        <w:lastRenderedPageBreak/>
        <w:t>estado que se encuentra, sin necesidad de concretarse al interés o términos específicos del solicitante.</w:t>
      </w:r>
    </w:p>
    <w:p w14:paraId="0D8D6507" w14:textId="77777777" w:rsidR="001A58B3" w:rsidRPr="00501C55" w:rsidRDefault="001A58B3" w:rsidP="00501C55">
      <w:pPr>
        <w:rPr>
          <w:rFonts w:eastAsia="Palatino Linotype" w:cs="Palatino Linotype"/>
        </w:rPr>
      </w:pPr>
    </w:p>
    <w:p w14:paraId="04E42DFE" w14:textId="573F1198" w:rsidR="001A58B3" w:rsidRPr="00501C55" w:rsidRDefault="001A58B3" w:rsidP="00501C55">
      <w:pPr>
        <w:rPr>
          <w:rFonts w:eastAsia="Palatino Linotype" w:cs="Palatino Linotype"/>
        </w:rPr>
      </w:pPr>
      <w:r w:rsidRPr="00501C55">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501C55">
        <w:rPr>
          <w:rFonts w:eastAsia="Palatino Linotype" w:cs="Palatino Linotype"/>
        </w:rPr>
        <w:t>, s</w:t>
      </w:r>
      <w:r w:rsidRPr="00501C55">
        <w:rPr>
          <w:rFonts w:eastAsia="Palatino Linotype" w:cs="Palatino Linotype"/>
        </w:rPr>
        <w:t xml:space="preserve">iempre y cuando no se trate de información reservada o </w:t>
      </w:r>
      <w:r w:rsidR="00331F35" w:rsidRPr="00501C55">
        <w:rPr>
          <w:rFonts w:eastAsia="Palatino Linotype" w:cs="Palatino Linotype"/>
        </w:rPr>
        <w:t>confidencial.</w:t>
      </w:r>
    </w:p>
    <w:p w14:paraId="40C5219F" w14:textId="77777777" w:rsidR="001A58B3" w:rsidRPr="00501C55" w:rsidRDefault="001A58B3" w:rsidP="00501C55">
      <w:pPr>
        <w:rPr>
          <w:rFonts w:eastAsia="Palatino Linotype" w:cs="Palatino Linotype"/>
        </w:rPr>
      </w:pPr>
    </w:p>
    <w:p w14:paraId="2E629608" w14:textId="01727E15" w:rsidR="00C049E2" w:rsidRPr="00501C55" w:rsidRDefault="006067C7" w:rsidP="00501C55">
      <w:pPr>
        <w:rPr>
          <w:rFonts w:eastAsia="Palatino Linotype"/>
        </w:rPr>
      </w:pPr>
      <w:bookmarkStart w:id="28" w:name="_heading=h.2s8eyo1" w:colFirst="0" w:colLast="0"/>
      <w:bookmarkEnd w:id="28"/>
      <w:r w:rsidRPr="00501C55">
        <w:rPr>
          <w:rFonts w:eastAsia="Palatino Linotype"/>
        </w:rPr>
        <w:t>Con base en lo anterior</w:t>
      </w:r>
      <w:r w:rsidR="00B22A80" w:rsidRPr="00501C55">
        <w:rPr>
          <w:rFonts w:eastAsia="Palatino Linotype"/>
        </w:rPr>
        <w:t>, se considera que</w:t>
      </w:r>
      <w:r w:rsidR="00C049E2" w:rsidRPr="00501C55">
        <w:rPr>
          <w:rFonts w:eastAsia="Palatino Linotype"/>
        </w:rPr>
        <w:t xml:space="preserve"> </w:t>
      </w:r>
      <w:r w:rsidR="00B22A80" w:rsidRPr="00501C55">
        <w:rPr>
          <w:rFonts w:eastAsia="Palatino Linotype"/>
          <w:b/>
          <w:bCs/>
        </w:rPr>
        <w:t>EL</w:t>
      </w:r>
      <w:r w:rsidR="00C049E2" w:rsidRPr="00501C55">
        <w:rPr>
          <w:rFonts w:eastAsia="Palatino Linotype"/>
        </w:rPr>
        <w:t xml:space="preserve"> </w:t>
      </w:r>
      <w:r w:rsidR="00C049E2" w:rsidRPr="00501C55">
        <w:rPr>
          <w:rFonts w:eastAsia="Palatino Linotype"/>
          <w:b/>
        </w:rPr>
        <w:t>SUJETO OBLIGADO</w:t>
      </w:r>
      <w:r w:rsidR="00C049E2" w:rsidRPr="00501C55">
        <w:rPr>
          <w:rFonts w:eastAsia="Palatino Linotype"/>
        </w:rPr>
        <w:t xml:space="preserve"> </w:t>
      </w:r>
      <w:r w:rsidR="00B22A80" w:rsidRPr="00501C55">
        <w:rPr>
          <w:rFonts w:eastAsia="Palatino Linotype"/>
        </w:rPr>
        <w:t xml:space="preserve">se </w:t>
      </w:r>
      <w:r w:rsidR="00717E59" w:rsidRPr="00501C55">
        <w:rPr>
          <w:rFonts w:eastAsia="Palatino Linotype"/>
        </w:rPr>
        <w:t>encontraba</w:t>
      </w:r>
      <w:r w:rsidR="00B22A80" w:rsidRPr="00501C55">
        <w:rPr>
          <w:rFonts w:eastAsia="Palatino Linotype"/>
        </w:rPr>
        <w:t xml:space="preserve"> compelido a</w:t>
      </w:r>
      <w:r w:rsidR="00C049E2" w:rsidRPr="00501C55">
        <w:rPr>
          <w:rFonts w:eastAsia="Palatino Linotype"/>
        </w:rPr>
        <w:t xml:space="preserve"> atender la solicitud de acceso a la información </w:t>
      </w:r>
      <w:r w:rsidR="00B22A80" w:rsidRPr="00501C55">
        <w:rPr>
          <w:rFonts w:eastAsia="Palatino Linotype"/>
        </w:rPr>
        <w:t xml:space="preserve">realizada por </w:t>
      </w:r>
      <w:r w:rsidR="00B22A80" w:rsidRPr="00501C55">
        <w:rPr>
          <w:rFonts w:eastAsia="Palatino Linotype"/>
          <w:b/>
          <w:bCs/>
        </w:rPr>
        <w:t>LA PARTE RECURRENTE</w:t>
      </w:r>
      <w:r w:rsidR="00331F35" w:rsidRPr="00501C55">
        <w:rPr>
          <w:rFonts w:eastAsia="Palatino Linotype"/>
        </w:rPr>
        <w:t>.</w:t>
      </w:r>
    </w:p>
    <w:p w14:paraId="1611F147" w14:textId="77777777" w:rsidR="00BD5A7C" w:rsidRPr="00501C55" w:rsidRDefault="00BD5A7C" w:rsidP="00501C55">
      <w:pPr>
        <w:rPr>
          <w:rFonts w:eastAsia="Palatino Linotype"/>
        </w:rPr>
      </w:pPr>
    </w:p>
    <w:p w14:paraId="51A0E8B4" w14:textId="676DCA47" w:rsidR="00664420" w:rsidRPr="00501C55" w:rsidRDefault="00C71CEF" w:rsidP="00501C55">
      <w:pPr>
        <w:pStyle w:val="Ttulo3"/>
        <w:rPr>
          <w:rFonts w:eastAsia="Calibri"/>
          <w:lang w:eastAsia="es-ES_tradnl"/>
        </w:rPr>
      </w:pPr>
      <w:bookmarkStart w:id="29" w:name="_Toc183189367"/>
      <w:r w:rsidRPr="00501C55">
        <w:rPr>
          <w:rFonts w:eastAsia="Calibri"/>
          <w:lang w:eastAsia="es-ES_tradnl"/>
        </w:rPr>
        <w:t>b)</w:t>
      </w:r>
      <w:r w:rsidR="00A53315" w:rsidRPr="00501C55">
        <w:rPr>
          <w:rFonts w:eastAsia="Calibri"/>
          <w:lang w:eastAsia="es-ES_tradnl"/>
        </w:rPr>
        <w:t xml:space="preserve"> </w:t>
      </w:r>
      <w:r w:rsidR="00A21A20" w:rsidRPr="00501C55">
        <w:rPr>
          <w:rFonts w:eastAsia="Calibri"/>
          <w:lang w:eastAsia="es-ES_tradnl"/>
        </w:rPr>
        <w:t>Controversia a resolver</w:t>
      </w:r>
      <w:bookmarkEnd w:id="29"/>
    </w:p>
    <w:p w14:paraId="652EBFD1" w14:textId="1F419017" w:rsidR="005D5A50" w:rsidRPr="00501C55" w:rsidRDefault="00664420" w:rsidP="00501C55">
      <w:pPr>
        <w:rPr>
          <w:rFonts w:eastAsia="Calibri"/>
          <w:lang w:eastAsia="es-ES_tradnl"/>
        </w:rPr>
      </w:pPr>
      <w:r w:rsidRPr="00501C55">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501C55">
        <w:rPr>
          <w:rFonts w:eastAsia="Calibri"/>
          <w:b/>
          <w:bCs/>
          <w:lang w:eastAsia="es-ES_tradnl"/>
        </w:rPr>
        <w:t>LA PARTE RECURRENTE</w:t>
      </w:r>
      <w:r w:rsidRPr="00501C55">
        <w:rPr>
          <w:rFonts w:eastAsia="Calibri"/>
          <w:lang w:eastAsia="es-ES_tradnl"/>
        </w:rPr>
        <w:t xml:space="preserve"> solicitó </w:t>
      </w:r>
      <w:r w:rsidR="00247BD4" w:rsidRPr="00501C55">
        <w:rPr>
          <w:rFonts w:eastAsia="Calibri"/>
          <w:lang w:eastAsia="es-ES_tradnl"/>
        </w:rPr>
        <w:t xml:space="preserve">diversa información de unos pozos a través de un cuestionario que pretende sea respondido por el SUJETO OBLIGADO. </w:t>
      </w:r>
    </w:p>
    <w:p w14:paraId="3BA7CC22" w14:textId="77777777" w:rsidR="00247BD4" w:rsidRPr="00501C55" w:rsidRDefault="00247BD4" w:rsidP="00501C55">
      <w:pPr>
        <w:rPr>
          <w:rFonts w:cs="Tahoma"/>
          <w:bCs/>
          <w:iCs/>
          <w:szCs w:val="22"/>
        </w:rPr>
      </w:pPr>
    </w:p>
    <w:p w14:paraId="1CED052A" w14:textId="01532ED6" w:rsidR="00664420" w:rsidRPr="00501C55" w:rsidRDefault="00664420" w:rsidP="00501C55">
      <w:pPr>
        <w:tabs>
          <w:tab w:val="left" w:pos="4962"/>
        </w:tabs>
        <w:contextualSpacing/>
        <w:rPr>
          <w:rFonts w:eastAsiaTheme="minorHAnsi" w:cs="Tahoma"/>
          <w:bCs/>
          <w:iCs/>
          <w:szCs w:val="22"/>
          <w:lang w:eastAsia="en-US"/>
        </w:rPr>
      </w:pPr>
      <w:r w:rsidRPr="00501C55">
        <w:rPr>
          <w:rFonts w:eastAsiaTheme="minorHAnsi" w:cs="Tahoma"/>
          <w:bCs/>
          <w:iCs/>
          <w:szCs w:val="22"/>
          <w:lang w:eastAsia="en-US"/>
        </w:rPr>
        <w:t xml:space="preserve">En respuesta, </w:t>
      </w:r>
      <w:r w:rsidR="005D5A50" w:rsidRPr="00501C55">
        <w:rPr>
          <w:rFonts w:eastAsiaTheme="minorHAnsi" w:cs="Tahoma"/>
          <w:b/>
          <w:iCs/>
          <w:szCs w:val="22"/>
          <w:lang w:eastAsia="en-US"/>
        </w:rPr>
        <w:t>EL SUJETO OBLIGADO</w:t>
      </w:r>
      <w:r w:rsidRPr="00501C55">
        <w:rPr>
          <w:rFonts w:eastAsiaTheme="minorHAnsi" w:cs="Tahoma"/>
          <w:bCs/>
          <w:iCs/>
          <w:szCs w:val="22"/>
          <w:lang w:eastAsia="en-US"/>
        </w:rPr>
        <w:t xml:space="preserve"> se pronunció por conducto de</w:t>
      </w:r>
      <w:r w:rsidR="00247BD4" w:rsidRPr="00501C55">
        <w:rPr>
          <w:rFonts w:eastAsiaTheme="minorHAnsi" w:cs="Tahoma"/>
          <w:bCs/>
          <w:iCs/>
          <w:szCs w:val="22"/>
          <w:lang w:eastAsia="en-US"/>
        </w:rPr>
        <w:t>l Director Técnico bajo el argumento de que los expedientes que conformaban la información solicitada son muy grandes por</w:t>
      </w:r>
      <w:r w:rsidR="00221D9D" w:rsidRPr="00501C55">
        <w:rPr>
          <w:rFonts w:eastAsiaTheme="minorHAnsi" w:cs="Tahoma"/>
          <w:bCs/>
          <w:iCs/>
          <w:szCs w:val="22"/>
          <w:lang w:eastAsia="en-US"/>
        </w:rPr>
        <w:t xml:space="preserve"> los cuales pone a disposición </w:t>
      </w:r>
      <w:r w:rsidR="00247BD4" w:rsidRPr="00501C55">
        <w:rPr>
          <w:rFonts w:eastAsiaTheme="minorHAnsi" w:cs="Tahoma"/>
          <w:bCs/>
          <w:iCs/>
          <w:szCs w:val="22"/>
          <w:lang w:eastAsia="en-US"/>
        </w:rPr>
        <w:t>l</w:t>
      </w:r>
      <w:r w:rsidR="00221D9D" w:rsidRPr="00501C55">
        <w:rPr>
          <w:rFonts w:eastAsiaTheme="minorHAnsi" w:cs="Tahoma"/>
          <w:bCs/>
          <w:iCs/>
          <w:szCs w:val="22"/>
          <w:lang w:eastAsia="en-US"/>
        </w:rPr>
        <w:t>a</w:t>
      </w:r>
      <w:r w:rsidR="00247BD4" w:rsidRPr="00501C55">
        <w:rPr>
          <w:rFonts w:eastAsiaTheme="minorHAnsi" w:cs="Tahoma"/>
          <w:bCs/>
          <w:iCs/>
          <w:szCs w:val="22"/>
          <w:lang w:eastAsia="en-US"/>
        </w:rPr>
        <w:t xml:space="preserve"> información en consulta directa.</w:t>
      </w:r>
      <w:r w:rsidR="00CF7586" w:rsidRPr="00501C55">
        <w:rPr>
          <w:rFonts w:eastAsiaTheme="minorHAnsi" w:cs="Tahoma"/>
          <w:bCs/>
          <w:iCs/>
          <w:szCs w:val="22"/>
          <w:lang w:eastAsia="en-US"/>
        </w:rPr>
        <w:t xml:space="preserve"> </w:t>
      </w:r>
    </w:p>
    <w:p w14:paraId="78248041" w14:textId="77777777" w:rsidR="005B18AF" w:rsidRPr="00501C55" w:rsidRDefault="005B18AF" w:rsidP="00501C55">
      <w:pPr>
        <w:tabs>
          <w:tab w:val="left" w:pos="4962"/>
        </w:tabs>
        <w:contextualSpacing/>
        <w:rPr>
          <w:rFonts w:eastAsiaTheme="minorHAnsi" w:cs="Tahoma"/>
          <w:bCs/>
          <w:iCs/>
          <w:szCs w:val="22"/>
          <w:lang w:eastAsia="en-US"/>
        </w:rPr>
      </w:pPr>
    </w:p>
    <w:p w14:paraId="79661B17" w14:textId="61E4EABF" w:rsidR="00247BD4" w:rsidRPr="00501C55" w:rsidRDefault="00CF7586" w:rsidP="00501C55">
      <w:pPr>
        <w:tabs>
          <w:tab w:val="left" w:pos="4962"/>
        </w:tabs>
        <w:contextualSpacing/>
        <w:rPr>
          <w:rFonts w:eastAsiaTheme="minorHAnsi" w:cs="Tahoma"/>
          <w:bCs/>
          <w:iCs/>
          <w:szCs w:val="22"/>
          <w:lang w:eastAsia="en-US"/>
        </w:rPr>
      </w:pPr>
      <w:r w:rsidRPr="00501C55">
        <w:rPr>
          <w:rFonts w:eastAsiaTheme="minorHAnsi" w:cs="Tahoma"/>
          <w:bCs/>
          <w:iCs/>
          <w:szCs w:val="22"/>
          <w:lang w:eastAsia="en-US"/>
        </w:rPr>
        <w:lastRenderedPageBreak/>
        <w:t xml:space="preserve">Ahora bien, en la interposición del presente recurso </w:t>
      </w:r>
      <w:r w:rsidRPr="00501C55">
        <w:rPr>
          <w:rFonts w:eastAsiaTheme="minorHAnsi" w:cs="Tahoma"/>
          <w:b/>
          <w:iCs/>
          <w:szCs w:val="22"/>
          <w:lang w:eastAsia="en-US"/>
        </w:rPr>
        <w:t>LA PARTE RECURRENTE</w:t>
      </w:r>
      <w:r w:rsidR="00664420" w:rsidRPr="00501C55">
        <w:rPr>
          <w:rFonts w:eastAsiaTheme="minorHAnsi" w:cs="Tahoma"/>
          <w:bCs/>
          <w:iCs/>
          <w:szCs w:val="22"/>
          <w:lang w:eastAsia="en-US"/>
        </w:rPr>
        <w:t xml:space="preserve"> se inconformó </w:t>
      </w:r>
      <w:r w:rsidR="00247BD4" w:rsidRPr="00501C55">
        <w:rPr>
          <w:rFonts w:eastAsiaTheme="minorHAnsi" w:cs="Tahoma"/>
          <w:bCs/>
          <w:iCs/>
          <w:szCs w:val="22"/>
          <w:lang w:eastAsia="en-US"/>
        </w:rPr>
        <w:t>respecto a que no se le dio respuesta al cuestionario que remitió, manifestando que no quiere documentos algunos más que se le dé respuesta a su cuestionario.</w:t>
      </w:r>
    </w:p>
    <w:p w14:paraId="3A63CE36" w14:textId="77777777" w:rsidR="00247BD4" w:rsidRPr="00501C55" w:rsidRDefault="00247BD4" w:rsidP="00501C55">
      <w:pPr>
        <w:tabs>
          <w:tab w:val="left" w:pos="4962"/>
        </w:tabs>
        <w:contextualSpacing/>
        <w:rPr>
          <w:rFonts w:eastAsiaTheme="minorHAnsi" w:cs="Tahoma"/>
          <w:bCs/>
          <w:iCs/>
          <w:szCs w:val="22"/>
          <w:lang w:eastAsia="en-US"/>
        </w:rPr>
      </w:pPr>
    </w:p>
    <w:p w14:paraId="414FD2D5" w14:textId="4408E416" w:rsidR="00664420" w:rsidRPr="00501C55" w:rsidRDefault="00A21A20" w:rsidP="00501C55">
      <w:pPr>
        <w:pStyle w:val="Ttulo3"/>
      </w:pPr>
      <w:bookmarkStart w:id="30" w:name="_Toc183189368"/>
      <w:r w:rsidRPr="00501C55">
        <w:t>c)</w:t>
      </w:r>
      <w:r w:rsidR="00664420" w:rsidRPr="00501C55">
        <w:t xml:space="preserve"> </w:t>
      </w:r>
      <w:r w:rsidRPr="00501C55">
        <w:t>Estudio de la controversia</w:t>
      </w:r>
      <w:bookmarkEnd w:id="30"/>
    </w:p>
    <w:p w14:paraId="5BF64F89" w14:textId="62BF7D54" w:rsidR="00247BD4" w:rsidRPr="00501C55" w:rsidRDefault="00247BD4" w:rsidP="00501C55">
      <w:pPr>
        <w:spacing w:before="240" w:after="240"/>
        <w:ind w:right="-312"/>
        <w:rPr>
          <w:rFonts w:cs="Palatino Linotype"/>
          <w:szCs w:val="22"/>
          <w:lang w:val="es-ES"/>
        </w:rPr>
      </w:pPr>
      <w:r w:rsidRPr="00501C55">
        <w:rPr>
          <w:rFonts w:cs="Arial"/>
          <w:szCs w:val="22"/>
        </w:rPr>
        <w:t xml:space="preserve">En primer término es necesario señalar que este Instituto analizó a literalidad el contenido de la solicitud de acceso a la información planteada por </w:t>
      </w:r>
      <w:r w:rsidRPr="00501C55">
        <w:rPr>
          <w:rFonts w:cs="Arial"/>
          <w:b/>
          <w:bCs/>
          <w:szCs w:val="22"/>
        </w:rPr>
        <w:t xml:space="preserve">LA PARTE RECURRENTE, </w:t>
      </w:r>
      <w:r w:rsidRPr="00501C55">
        <w:rPr>
          <w:rFonts w:cs="Arial"/>
          <w:szCs w:val="22"/>
        </w:rPr>
        <w:t xml:space="preserve">encontrando como hallazgo que en la forma en como la realiza es a través de un cuestionario y esperando se le </w:t>
      </w:r>
      <w:r w:rsidR="00221D9D" w:rsidRPr="00501C55">
        <w:rPr>
          <w:rFonts w:cs="Arial"/>
          <w:szCs w:val="22"/>
        </w:rPr>
        <w:t>dé</w:t>
      </w:r>
      <w:r w:rsidRPr="00501C55">
        <w:rPr>
          <w:rFonts w:cs="Arial"/>
          <w:szCs w:val="22"/>
        </w:rPr>
        <w:t xml:space="preserve"> respuesta en su mayoría con un “SI” o un “NO”, </w:t>
      </w:r>
      <w:r w:rsidRPr="00501C55">
        <w:rPr>
          <w:rFonts w:cs="Palatino Linotype"/>
          <w:szCs w:val="22"/>
          <w:lang w:val="es-ES"/>
        </w:rPr>
        <w:t>razón por la cual este Órgano Garante considera pertinente, en primer lugar, establecer las diferencias entre el derecho de petición y el derecho de acceso a la información, basado en lo siguiente:</w:t>
      </w:r>
    </w:p>
    <w:p w14:paraId="1356136A" w14:textId="77777777" w:rsidR="00247BD4" w:rsidRPr="00501C55" w:rsidRDefault="00247BD4" w:rsidP="00501C55">
      <w:pPr>
        <w:spacing w:before="240" w:after="360"/>
        <w:ind w:right="-312"/>
        <w:rPr>
          <w:rFonts w:cs="Palatino Linotype"/>
          <w:i/>
          <w:szCs w:val="22"/>
          <w:lang w:val="es-ES"/>
        </w:rPr>
      </w:pPr>
      <w:r w:rsidRPr="00501C55">
        <w:rPr>
          <w:rFonts w:cs="Palatino Linotype"/>
          <w:szCs w:val="22"/>
          <w:lang w:val="es-ES"/>
        </w:rPr>
        <w:t>El Maestro Ignacio Burgoa Orihuela refiere que el derecho de petición “…</w:t>
      </w:r>
      <w:r w:rsidRPr="00501C55">
        <w:rPr>
          <w:rFonts w:cs="Palatino Linotype"/>
          <w:i/>
          <w:szCs w:val="22"/>
          <w:lang w:val="es-ES"/>
        </w:rPr>
        <w:t>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acción o recurso, etc.</w:t>
      </w:r>
      <w:r w:rsidRPr="00501C55">
        <w:rPr>
          <w:rFonts w:cs="Palatino Linotype"/>
          <w:i/>
          <w:szCs w:val="22"/>
          <w:vertAlign w:val="superscript"/>
          <w:lang w:val="es-ES"/>
        </w:rPr>
        <w:t xml:space="preserve"> </w:t>
      </w:r>
      <w:r w:rsidRPr="00501C55">
        <w:rPr>
          <w:rFonts w:cs="Palatino Linotype"/>
          <w:i/>
          <w:szCs w:val="22"/>
          <w:vertAlign w:val="superscript"/>
          <w:lang w:val="es-ES"/>
        </w:rPr>
        <w:footnoteReference w:id="1"/>
      </w:r>
      <w:r w:rsidRPr="00501C55">
        <w:rPr>
          <w:rFonts w:cs="Palatino Linotype"/>
          <w:i/>
          <w:szCs w:val="22"/>
          <w:lang w:val="es-ES"/>
        </w:rPr>
        <w:t xml:space="preserve">“, </w:t>
      </w:r>
      <w:r w:rsidRPr="00501C55">
        <w:rPr>
          <w:rFonts w:cs="Palatino Linotype"/>
          <w:szCs w:val="22"/>
          <w:lang w:val="es-ES"/>
        </w:rPr>
        <w:t>mientras que</w:t>
      </w:r>
      <w:r w:rsidRPr="00501C55">
        <w:rPr>
          <w:rFonts w:cs="Palatino Linotype"/>
          <w:i/>
          <w:szCs w:val="22"/>
          <w:lang w:val="es-ES"/>
        </w:rPr>
        <w:t xml:space="preserve"> </w:t>
      </w:r>
      <w:r w:rsidRPr="00501C55">
        <w:rPr>
          <w:rFonts w:cs="Palatino Linotype"/>
          <w:szCs w:val="22"/>
          <w:lang w:val="es-ES"/>
        </w:rPr>
        <w:t xml:space="preserve">David Cienfuegos Salgado, lo concibe como </w:t>
      </w:r>
      <w:r w:rsidRPr="00501C55">
        <w:rPr>
          <w:rFonts w:cs="Palatino Linotype"/>
          <w:i/>
          <w:szCs w:val="22"/>
          <w:lang w:val="es-ES"/>
        </w:rPr>
        <w:t>“el derecho de toda persona a ser escuchado por quienes ejercen el poder público.</w:t>
      </w:r>
      <w:r w:rsidRPr="00501C55">
        <w:rPr>
          <w:rFonts w:cs="Palatino Linotype"/>
          <w:i/>
          <w:szCs w:val="22"/>
          <w:vertAlign w:val="superscript"/>
          <w:lang w:val="es-ES"/>
        </w:rPr>
        <w:t xml:space="preserve"> </w:t>
      </w:r>
      <w:r w:rsidRPr="00501C55">
        <w:rPr>
          <w:rFonts w:cs="Palatino Linotype"/>
          <w:i/>
          <w:szCs w:val="22"/>
          <w:vertAlign w:val="superscript"/>
          <w:lang w:val="es-ES"/>
        </w:rPr>
        <w:footnoteReference w:id="2"/>
      </w:r>
      <w:r w:rsidRPr="00501C55">
        <w:rPr>
          <w:rFonts w:cs="Palatino Linotype"/>
          <w:i/>
          <w:szCs w:val="22"/>
          <w:lang w:val="es-ES"/>
        </w:rPr>
        <w:t xml:space="preserve">” </w:t>
      </w:r>
    </w:p>
    <w:p w14:paraId="68337869" w14:textId="77777777" w:rsidR="00247BD4" w:rsidRPr="00501C55" w:rsidRDefault="00247BD4" w:rsidP="00501C55">
      <w:pPr>
        <w:spacing w:before="240" w:after="360"/>
        <w:ind w:right="-312"/>
        <w:rPr>
          <w:rFonts w:cs="Palatino Linotype"/>
          <w:i/>
          <w:szCs w:val="22"/>
          <w:lang w:val="es-ES"/>
        </w:rPr>
      </w:pPr>
      <w:r w:rsidRPr="00501C55">
        <w:rPr>
          <w:rFonts w:cs="Palatino Linotype"/>
          <w:szCs w:val="22"/>
          <w:lang w:val="es-ES"/>
        </w:rPr>
        <w:lastRenderedPageBreak/>
        <w:t xml:space="preserve">Para diferenciar el derecho de petición al derecho de acceso a la información, resulta conducente señalar que José Guadalupe Robles, conceptualiza el derecho a la información como </w:t>
      </w:r>
      <w:r w:rsidRPr="00501C55">
        <w:rPr>
          <w:rFonts w:cs="Palatino Linotype"/>
          <w:i/>
          <w:szCs w:val="22"/>
          <w:lang w:val="es-ES"/>
        </w:rPr>
        <w:t>“un derecho fundamental tanto de carácter individual como colectivo, cuyas limitaciones deben estar establecida en la ley, así como una garantía de que la información sea transmitida con claridad y objetividad, por cuanto a que es un bien jurídico que coadyuva al desarrollo de las personas y a la formación de opinión pública de calidad para poder participar y luego influir en la vida pública.</w:t>
      </w:r>
      <w:r w:rsidRPr="00501C55">
        <w:rPr>
          <w:rFonts w:cs="Palatino Linotype"/>
          <w:i/>
          <w:szCs w:val="22"/>
          <w:vertAlign w:val="superscript"/>
          <w:lang w:val="es-ES"/>
        </w:rPr>
        <w:t xml:space="preserve"> </w:t>
      </w:r>
      <w:r w:rsidRPr="00501C55">
        <w:rPr>
          <w:rFonts w:cs="Palatino Linotype"/>
          <w:i/>
          <w:szCs w:val="22"/>
          <w:vertAlign w:val="superscript"/>
          <w:lang w:val="es-ES"/>
        </w:rPr>
        <w:footnoteReference w:id="3"/>
      </w:r>
      <w:r w:rsidRPr="00501C55">
        <w:rPr>
          <w:rFonts w:cs="Palatino Linotype"/>
          <w:i/>
          <w:szCs w:val="22"/>
          <w:lang w:val="es-ES"/>
        </w:rPr>
        <w:t>“</w:t>
      </w:r>
    </w:p>
    <w:p w14:paraId="199F491C" w14:textId="77777777" w:rsidR="00247BD4" w:rsidRPr="00501C55" w:rsidRDefault="00247BD4" w:rsidP="00501C55">
      <w:pPr>
        <w:spacing w:before="240" w:after="360"/>
        <w:ind w:right="-312"/>
        <w:rPr>
          <w:rFonts w:cs="Palatino Linotype"/>
          <w:i/>
          <w:szCs w:val="22"/>
          <w:lang w:val="es-ES"/>
        </w:rPr>
      </w:pPr>
      <w:r w:rsidRPr="00501C55">
        <w:rPr>
          <w:rFonts w:cs="Palatino Linotype"/>
          <w:szCs w:val="22"/>
          <w:lang w:val="es-ES"/>
        </w:rPr>
        <w:t xml:space="preserve">Además, el derecho a la información constituye una prerrogativa de acceder a documentación en poder de los </w:t>
      </w:r>
      <w:r w:rsidRPr="00501C55">
        <w:rPr>
          <w:rFonts w:cs="Palatino Linotype"/>
          <w:szCs w:val="22"/>
          <w:u w:val="single"/>
          <w:lang w:val="es-ES"/>
        </w:rPr>
        <w:t>Sujetos Obligados</w:t>
      </w:r>
      <w:r w:rsidRPr="00501C55">
        <w:rPr>
          <w:rFonts w:cs="Palatino Linotype"/>
          <w:szCs w:val="22"/>
          <w:lang w:val="es-ES"/>
        </w:rPr>
        <w:t xml:space="preserve">, no así a realizar cuestionamientos, o manifestaciones subjetivas. </w:t>
      </w:r>
    </w:p>
    <w:p w14:paraId="0EC47F68" w14:textId="77777777" w:rsidR="00247BD4" w:rsidRPr="00501C55" w:rsidRDefault="00247BD4" w:rsidP="00501C55">
      <w:pPr>
        <w:spacing w:before="240" w:after="360"/>
        <w:ind w:right="-312"/>
        <w:rPr>
          <w:rFonts w:cs="Palatino Linotype"/>
          <w:i/>
          <w:szCs w:val="22"/>
          <w:lang w:val="es-ES"/>
        </w:rPr>
      </w:pPr>
      <w:r w:rsidRPr="00501C55">
        <w:rPr>
          <w:rFonts w:cs="Palatino Linotype"/>
          <w:szCs w:val="22"/>
          <w:lang w:val="es-ES"/>
        </w:rPr>
        <w:t>Sirve de apoyo a lo anterior la definición de derecho a la información de Ernesto Villanueva Villanueva que dice: “</w:t>
      </w:r>
      <w:r w:rsidRPr="00501C55">
        <w:rPr>
          <w:rFonts w:cs="Palatino Linotype"/>
          <w:i/>
          <w:szCs w:val="22"/>
          <w:lang w:val="es-ES"/>
        </w:rPr>
        <w:t>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w:t>
      </w:r>
      <w:r w:rsidRPr="00501C55">
        <w:rPr>
          <w:rFonts w:cs="Palatino Linotype"/>
          <w:i/>
          <w:szCs w:val="22"/>
          <w:vertAlign w:val="superscript"/>
          <w:lang w:val="es-ES"/>
        </w:rPr>
        <w:footnoteReference w:id="4"/>
      </w:r>
      <w:r w:rsidRPr="00501C55">
        <w:rPr>
          <w:rFonts w:cs="Palatino Linotype"/>
          <w:i/>
          <w:szCs w:val="22"/>
          <w:lang w:val="es-ES"/>
        </w:rPr>
        <w:t xml:space="preserve"> </w:t>
      </w:r>
    </w:p>
    <w:p w14:paraId="23587028" w14:textId="77777777" w:rsidR="00247BD4" w:rsidRPr="00501C55" w:rsidRDefault="00247BD4" w:rsidP="00501C55">
      <w:pPr>
        <w:spacing w:before="240" w:after="240"/>
        <w:ind w:right="-312"/>
        <w:rPr>
          <w:rFonts w:cs="Palatino Linotype"/>
          <w:szCs w:val="22"/>
          <w:lang w:val="es-ES"/>
        </w:rPr>
      </w:pPr>
      <w:r w:rsidRPr="00501C55">
        <w:rPr>
          <w:rFonts w:cs="Palatino Linotype"/>
          <w:szCs w:val="22"/>
          <w:lang w:val="es-ES"/>
        </w:rPr>
        <w:t xml:space="preserve">Por lo que, </w:t>
      </w:r>
      <w:r w:rsidRPr="00501C55">
        <w:rPr>
          <w:rFonts w:cs="Palatino Linotype"/>
          <w:b/>
          <w:szCs w:val="22"/>
          <w:lang w:val="es-ES"/>
        </w:rPr>
        <w:t>la entrega de una razón o un razonamiento por parte del Sujeto Obligado no es algo que la ley establezca como atribución, derecho, o facultad</w:t>
      </w:r>
      <w:r w:rsidRPr="00501C55">
        <w:rPr>
          <w:rFonts w:cs="Palatino Linotype"/>
          <w:szCs w:val="22"/>
          <w:lang w:val="es-ES"/>
        </w:rPr>
        <w:t xml:space="preserve">; </w:t>
      </w:r>
      <w:r w:rsidRPr="00501C55">
        <w:rPr>
          <w:rFonts w:cs="Palatino Linotype"/>
          <w:b/>
          <w:szCs w:val="22"/>
          <w:lang w:val="es-ES"/>
        </w:rPr>
        <w:t>pues ello implicaría un juicio de valor referente a un cuestionamiento realizado</w:t>
      </w:r>
      <w:r w:rsidRPr="00501C55">
        <w:rPr>
          <w:rFonts w:cs="Palatino Linotype"/>
          <w:szCs w:val="22"/>
          <w:lang w:val="es-ES"/>
        </w:rPr>
        <w:t>, los cuales, al constituir interrogantes, inquietudes y manifestaciones se satisfacen vía derecho de petición.</w:t>
      </w:r>
    </w:p>
    <w:p w14:paraId="12D36AED" w14:textId="77777777" w:rsidR="00247BD4" w:rsidRPr="00501C55" w:rsidRDefault="00247BD4" w:rsidP="00501C55">
      <w:pPr>
        <w:spacing w:before="240" w:after="240"/>
        <w:ind w:right="-312"/>
        <w:rPr>
          <w:rFonts w:cs="Palatino Linotype"/>
          <w:szCs w:val="22"/>
          <w:lang w:val="es-ES"/>
        </w:rPr>
      </w:pPr>
      <w:r w:rsidRPr="00501C55">
        <w:rPr>
          <w:rFonts w:cs="Palatino Linotype"/>
          <w:szCs w:val="22"/>
          <w:lang w:val="es-ES"/>
        </w:rPr>
        <w:t xml:space="preserve">Aunado a lo anterior, se menciona que el derecho de acceso a la información pública por disposición del artículo 4 citado con antelación, de la Ley de Transparencia y Acceso a la </w:t>
      </w:r>
      <w:r w:rsidRPr="00501C55">
        <w:rPr>
          <w:rFonts w:cs="Palatino Linotype"/>
          <w:szCs w:val="22"/>
          <w:lang w:val="es-ES"/>
        </w:rPr>
        <w:lastRenderedPageBreak/>
        <w:t xml:space="preserve">Información Pública del Estado de México y Municipios, menciona que es la prerrogativa de las personas para buscar, difundir, investigar, recabar, recibir y solicitar información pública. </w:t>
      </w:r>
    </w:p>
    <w:p w14:paraId="53B9C902" w14:textId="77777777" w:rsidR="00247BD4" w:rsidRPr="00501C55" w:rsidRDefault="00247BD4" w:rsidP="00501C55">
      <w:pPr>
        <w:spacing w:before="240" w:after="240"/>
        <w:ind w:right="-312"/>
        <w:rPr>
          <w:rFonts w:cs="Palatino Linotype"/>
          <w:szCs w:val="22"/>
          <w:lang w:val="es-ES"/>
        </w:rPr>
      </w:pPr>
      <w:r w:rsidRPr="00501C55">
        <w:rPr>
          <w:rFonts w:cs="Palatino Linotype"/>
          <w:szCs w:val="22"/>
          <w:lang w:val="es-ES"/>
        </w:rPr>
        <w:t xml:space="preserve">Es por ello que, el derecho de acceso a la información pública, implica el conocimiento de los particulares de la información contenida en los documentos que posean los órganos del Estado, incluso se impone la obligación a las autoridades de preservar sus documentos en archivos administrativos actualizados. </w:t>
      </w:r>
    </w:p>
    <w:p w14:paraId="19613370" w14:textId="77777777" w:rsidR="00247BD4" w:rsidRPr="00501C55" w:rsidRDefault="00247BD4" w:rsidP="00501C55">
      <w:pPr>
        <w:spacing w:before="240" w:after="240"/>
        <w:ind w:right="-312"/>
        <w:rPr>
          <w:rFonts w:cs="Palatino Linotype"/>
          <w:szCs w:val="22"/>
          <w:lang w:val="es-ES"/>
        </w:rPr>
      </w:pPr>
      <w:r w:rsidRPr="00501C55">
        <w:rPr>
          <w:rFonts w:cs="Palatino Linotype"/>
          <w:szCs w:val="22"/>
          <w:lang w:val="es-ES"/>
        </w:rPr>
        <w:t xml:space="preserve">Por tanto, para que los Sujetos Obligados hagan efectivo este derecho deben poner a disposición de los particulares los documentos en los que conste el ejercicio de sus atribuciones legales o que por cualquier circunstancia obre en sus archivos, en virtud de que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de Transparencia y Acceso a la Información Pública del Estado de México y Municipios y demás disposiciones de la materia, privilegiando el principio de máxima publicidad de la información. </w:t>
      </w:r>
    </w:p>
    <w:p w14:paraId="40FEFDC5" w14:textId="77777777" w:rsidR="00247BD4" w:rsidRPr="00501C55" w:rsidRDefault="00247BD4" w:rsidP="00501C55">
      <w:pPr>
        <w:spacing w:before="240" w:after="240"/>
        <w:ind w:right="-312"/>
        <w:rPr>
          <w:rFonts w:cs="Palatino Linotype"/>
          <w:szCs w:val="22"/>
          <w:lang w:val="es-ES"/>
        </w:rPr>
      </w:pPr>
      <w:r w:rsidRPr="00501C55">
        <w:rPr>
          <w:rFonts w:cs="Palatino Linotype"/>
          <w:szCs w:val="22"/>
          <w:lang w:val="es-ES"/>
        </w:rPr>
        <w:t>Para ello, la Ley de Transparencia y Acceso a la Información Pública del Estado de México y Municipios otorga la calidad de documento a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115A3D3F" w14:textId="77777777" w:rsidR="00247BD4" w:rsidRPr="00501C55" w:rsidRDefault="00247BD4" w:rsidP="00501C55">
      <w:pPr>
        <w:spacing w:before="240" w:after="240"/>
        <w:ind w:right="-312"/>
        <w:rPr>
          <w:rFonts w:cs="Palatino Linotype"/>
          <w:szCs w:val="22"/>
          <w:lang w:val="es-ES"/>
        </w:rPr>
      </w:pPr>
      <w:r w:rsidRPr="00501C55">
        <w:rPr>
          <w:rFonts w:cs="Palatino Linotype"/>
          <w:szCs w:val="22"/>
          <w:lang w:val="es-ES"/>
        </w:rPr>
        <w:lastRenderedPageBreak/>
        <w:t xml:space="preserve">De manera que el derecho de acceso a la información pública se satisface en aquellos casos en que se entregue el soporte documental en que conste la información pública, toda vez que los Sujetos Obligados no tienen el deber de generar información, resumirla, practicar investigaciones o realizar cálculos para satisfacer el derecho de acceso a la información conforme al interés de los particulares. </w:t>
      </w:r>
    </w:p>
    <w:p w14:paraId="4DEC42B9" w14:textId="77777777" w:rsidR="00247BD4" w:rsidRPr="00501C55" w:rsidRDefault="00247BD4" w:rsidP="00501C55">
      <w:pPr>
        <w:spacing w:before="240" w:after="240"/>
        <w:ind w:right="-312"/>
        <w:rPr>
          <w:rFonts w:cs="Palatino Linotype"/>
          <w:i/>
          <w:szCs w:val="22"/>
          <w:lang w:val="es-ES"/>
        </w:rPr>
      </w:pPr>
      <w:r w:rsidRPr="00501C55">
        <w:rPr>
          <w:rFonts w:cs="Palatino Linotype"/>
          <w:szCs w:val="22"/>
          <w:lang w:val="es-ES"/>
        </w:rPr>
        <w:t xml:space="preserve">Así, se puede concluir que la distinción entre el derecho de petición y el derecho de acceso a la información pública estriba principalmente en que en el primero de ellos, la pretensión del peticionario consiste generalmente en </w:t>
      </w:r>
      <w:r w:rsidRPr="00501C55">
        <w:rPr>
          <w:rFonts w:cs="Palatino Linotype"/>
          <w:i/>
          <w:szCs w:val="22"/>
          <w:lang w:val="es-ES"/>
        </w:rPr>
        <w:t>obligar a la autoridad responsable a que actúe en el sentido de contestar lo solicitado</w:t>
      </w:r>
      <w:r w:rsidRPr="00501C55">
        <w:rPr>
          <w:rFonts w:cs="Palatino Linotype"/>
          <w:szCs w:val="22"/>
          <w:lang w:val="es-ES"/>
        </w:rPr>
        <w:t xml:space="preserve">, mientras que en el segundo supuesto la solicitud de acceso a la información pública </w:t>
      </w:r>
      <w:r w:rsidRPr="00501C55">
        <w:rPr>
          <w:rFonts w:cs="Palatino Linotype"/>
          <w:i/>
          <w:szCs w:val="22"/>
          <w:lang w:val="es-ES"/>
        </w:rPr>
        <w:t>se encamina primordialmente a permitir el acceso a datos, registros y todo tipo de información pública que conste en documentos, sea generada o se encuentre en posesión de la autoridad.</w:t>
      </w:r>
    </w:p>
    <w:p w14:paraId="7BC88CD1" w14:textId="77777777" w:rsidR="00247BD4" w:rsidRPr="00501C55" w:rsidRDefault="00247BD4" w:rsidP="00501C55">
      <w:pPr>
        <w:spacing w:before="240" w:after="240"/>
        <w:ind w:right="-312"/>
        <w:rPr>
          <w:rFonts w:cs="Palatino Linotype"/>
          <w:i/>
          <w:szCs w:val="22"/>
          <w:lang w:val="es-ES"/>
        </w:rPr>
      </w:pPr>
      <w:r w:rsidRPr="00501C55">
        <w:rPr>
          <w:rFonts w:cs="Palatino Linotype"/>
          <w:szCs w:val="22"/>
          <w:lang w:val="es-ES"/>
        </w:rPr>
        <w:t xml:space="preserve">Asimismo, es importante enfatizar que el Derecho de Acceso a la Información Pública consiste en que la </w:t>
      </w:r>
      <w:r w:rsidRPr="00501C55">
        <w:rPr>
          <w:rFonts w:cs="Palatino Linotype"/>
          <w:b/>
          <w:szCs w:val="22"/>
          <w:u w:val="single"/>
          <w:lang w:val="es-ES"/>
        </w:rPr>
        <w:t>información solicitada conste en un soporte documental</w:t>
      </w:r>
      <w:r w:rsidRPr="00501C55">
        <w:rPr>
          <w:rFonts w:cs="Palatino Linotype"/>
          <w:szCs w:val="22"/>
          <w:lang w:val="es-ES"/>
        </w:rPr>
        <w:t xml:space="preserve"> en cualquiera de sus formas, a saber: expedientes, reportes, estudios, actas</w:t>
      </w:r>
      <w:r w:rsidRPr="00501C55">
        <w:rPr>
          <w:rFonts w:cs="Palatino Linotype"/>
          <w:b/>
          <w:szCs w:val="22"/>
          <w:lang w:val="es-ES"/>
        </w:rPr>
        <w:t>,</w:t>
      </w:r>
      <w:r w:rsidRPr="00501C55">
        <w:rPr>
          <w:rFonts w:cs="Palatino Linotype"/>
          <w:szCs w:val="22"/>
          <w:lang w:val="es-ES"/>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14:paraId="57CF376B" w14:textId="77777777" w:rsidR="00247BD4" w:rsidRPr="00501C55" w:rsidRDefault="00247BD4" w:rsidP="00501C55">
      <w:pPr>
        <w:spacing w:line="240" w:lineRule="auto"/>
        <w:ind w:left="567" w:right="567"/>
        <w:contextualSpacing/>
        <w:rPr>
          <w:rFonts w:eastAsiaTheme="majorEastAsia"/>
          <w:i/>
          <w:kern w:val="28"/>
          <w:szCs w:val="56"/>
        </w:rPr>
      </w:pPr>
      <w:r w:rsidRPr="00501C55">
        <w:rPr>
          <w:rFonts w:eastAsiaTheme="majorEastAsia"/>
          <w:i/>
          <w:kern w:val="28"/>
          <w:szCs w:val="56"/>
        </w:rPr>
        <w:t>“</w:t>
      </w:r>
      <w:r w:rsidRPr="00501C55">
        <w:rPr>
          <w:rFonts w:eastAsiaTheme="majorEastAsia"/>
          <w:b/>
          <w:i/>
          <w:kern w:val="28"/>
          <w:szCs w:val="56"/>
        </w:rPr>
        <w:t>Artículo 3.</w:t>
      </w:r>
      <w:r w:rsidRPr="00501C55">
        <w:rPr>
          <w:rFonts w:eastAsiaTheme="majorEastAsia"/>
          <w:i/>
          <w:kern w:val="28"/>
          <w:szCs w:val="56"/>
        </w:rPr>
        <w:t xml:space="preserve"> Para los efectos de la presente Ley se entenderá por:</w:t>
      </w:r>
    </w:p>
    <w:p w14:paraId="438DE9B3" w14:textId="77777777" w:rsidR="00247BD4" w:rsidRPr="00501C55" w:rsidRDefault="00247BD4" w:rsidP="00501C55">
      <w:pPr>
        <w:spacing w:line="240" w:lineRule="auto"/>
        <w:ind w:left="567" w:right="567"/>
        <w:contextualSpacing/>
        <w:rPr>
          <w:rFonts w:eastAsiaTheme="majorEastAsia"/>
          <w:i/>
          <w:kern w:val="28"/>
          <w:szCs w:val="56"/>
        </w:rPr>
      </w:pPr>
      <w:r w:rsidRPr="00501C55">
        <w:rPr>
          <w:rFonts w:eastAsiaTheme="majorEastAsia"/>
          <w:i/>
          <w:kern w:val="28"/>
          <w:szCs w:val="56"/>
        </w:rPr>
        <w:t>…</w:t>
      </w:r>
    </w:p>
    <w:p w14:paraId="364B4C19" w14:textId="77777777" w:rsidR="00247BD4" w:rsidRPr="00501C55" w:rsidRDefault="00247BD4" w:rsidP="00501C55">
      <w:pPr>
        <w:spacing w:line="240" w:lineRule="auto"/>
        <w:ind w:left="567" w:right="567"/>
        <w:contextualSpacing/>
        <w:rPr>
          <w:rFonts w:eastAsiaTheme="majorEastAsia"/>
          <w:i/>
          <w:kern w:val="28"/>
          <w:szCs w:val="56"/>
        </w:rPr>
      </w:pPr>
      <w:r w:rsidRPr="00501C55">
        <w:rPr>
          <w:rFonts w:eastAsiaTheme="majorEastAsia"/>
          <w:b/>
          <w:i/>
          <w:kern w:val="28"/>
          <w:szCs w:val="56"/>
        </w:rPr>
        <w:t>XI. Documento:</w:t>
      </w:r>
      <w:r w:rsidRPr="00501C55">
        <w:rPr>
          <w:rFonts w:eastAsiaTheme="majorEastAsia"/>
          <w:i/>
          <w:kern w:val="28"/>
          <w:szCs w:val="56"/>
        </w:rPr>
        <w:t xml:space="preserve"> Los expedientes, reportes, estudios, actas, resoluciones, oficios, correspondencia, acuerdos, directivas, directrices, circulares, contratos, convenios, instructivos, notas, memorandos, estadísticas o bien, cualquier otro registro que documente </w:t>
      </w:r>
      <w:r w:rsidRPr="00501C55">
        <w:rPr>
          <w:rFonts w:eastAsiaTheme="majorEastAsia"/>
          <w:i/>
          <w:kern w:val="28"/>
          <w:szCs w:val="56"/>
        </w:rPr>
        <w:lastRenderedPageBreak/>
        <w:t>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01B32D48" w14:textId="77777777" w:rsidR="00247BD4" w:rsidRPr="00501C55" w:rsidRDefault="00247BD4" w:rsidP="00501C55">
      <w:pPr>
        <w:ind w:left="1134" w:right="-312"/>
        <w:rPr>
          <w:rFonts w:cs="Palatino Linotype"/>
          <w:szCs w:val="22"/>
          <w:lang w:val="es-ES"/>
        </w:rPr>
      </w:pPr>
    </w:p>
    <w:p w14:paraId="51DCE099" w14:textId="77777777" w:rsidR="00247BD4" w:rsidRPr="00501C55" w:rsidRDefault="00247BD4" w:rsidP="00501C55">
      <w:pPr>
        <w:ind w:right="-312"/>
        <w:rPr>
          <w:rFonts w:cs="Palatino Linotype"/>
          <w:szCs w:val="22"/>
          <w:lang w:val="es-ES"/>
        </w:rPr>
      </w:pPr>
      <w:r w:rsidRPr="00501C55">
        <w:rPr>
          <w:rFonts w:cs="Palatino Linotype"/>
          <w:szCs w:val="22"/>
          <w:lang w:val="es-ES"/>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21A12554" w14:textId="77777777" w:rsidR="00247BD4" w:rsidRPr="00501C55" w:rsidRDefault="00247BD4" w:rsidP="00501C55">
      <w:pPr>
        <w:ind w:left="851" w:right="-312"/>
        <w:rPr>
          <w:rFonts w:cs="Palatino Linotype"/>
          <w:szCs w:val="22"/>
          <w:lang w:val="es-ES"/>
        </w:rPr>
      </w:pPr>
    </w:p>
    <w:p w14:paraId="3E21C688" w14:textId="77777777" w:rsidR="00247BD4" w:rsidRPr="00501C55" w:rsidRDefault="00247BD4" w:rsidP="00501C55">
      <w:pPr>
        <w:spacing w:line="240" w:lineRule="auto"/>
        <w:ind w:left="567" w:right="567"/>
        <w:contextualSpacing/>
        <w:jc w:val="center"/>
        <w:rPr>
          <w:rFonts w:eastAsiaTheme="majorEastAsia"/>
          <w:b/>
          <w:i/>
          <w:kern w:val="28"/>
          <w:szCs w:val="56"/>
        </w:rPr>
      </w:pPr>
      <w:r w:rsidRPr="00501C55">
        <w:rPr>
          <w:rFonts w:eastAsiaTheme="majorEastAsia"/>
          <w:i/>
          <w:kern w:val="28"/>
          <w:szCs w:val="56"/>
        </w:rPr>
        <w:t>“</w:t>
      </w:r>
      <w:r w:rsidRPr="00501C55">
        <w:rPr>
          <w:rFonts w:eastAsiaTheme="majorEastAsia"/>
          <w:b/>
          <w:i/>
          <w:kern w:val="28"/>
          <w:szCs w:val="56"/>
        </w:rPr>
        <w:t>CRITERIO 0002-11</w:t>
      </w:r>
    </w:p>
    <w:p w14:paraId="30CA2008" w14:textId="77777777" w:rsidR="00247BD4" w:rsidRPr="00501C55" w:rsidRDefault="00247BD4" w:rsidP="00501C55">
      <w:pPr>
        <w:spacing w:line="240" w:lineRule="auto"/>
        <w:ind w:left="567" w:right="567"/>
        <w:contextualSpacing/>
        <w:rPr>
          <w:rFonts w:eastAsiaTheme="majorEastAsia"/>
          <w:i/>
          <w:kern w:val="28"/>
          <w:szCs w:val="56"/>
        </w:rPr>
      </w:pPr>
      <w:r w:rsidRPr="00501C55">
        <w:rPr>
          <w:rFonts w:eastAsiaTheme="majorEastAsia"/>
          <w:b/>
          <w:i/>
          <w:kern w:val="28"/>
          <w:szCs w:val="56"/>
        </w:rPr>
        <w:t>INFORMACIÓN PÚBLICA, CONCEPTO DE, EN MATERIA DE TRANSPARENCIA. INTERPRETACIÓN SISTEMÁTICA DE LOS ARTÍCULOS 2°, FRACCIÓN V, XV, Y XVI, 3°, 4°, 11 Y 41.</w:t>
      </w:r>
      <w:r w:rsidRPr="00501C55">
        <w:rPr>
          <w:rFonts w:eastAsiaTheme="majorEastAsia"/>
          <w:i/>
          <w:kern w:val="28"/>
          <w:szCs w:val="56"/>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53B9777" w14:textId="77777777" w:rsidR="00247BD4" w:rsidRPr="00501C55" w:rsidRDefault="00247BD4" w:rsidP="00501C55">
      <w:pPr>
        <w:spacing w:line="240" w:lineRule="auto"/>
        <w:ind w:left="567" w:right="567"/>
        <w:contextualSpacing/>
        <w:rPr>
          <w:rFonts w:eastAsiaTheme="majorEastAsia"/>
          <w:i/>
          <w:kern w:val="28"/>
          <w:szCs w:val="56"/>
        </w:rPr>
      </w:pPr>
      <w:r w:rsidRPr="00501C55">
        <w:rPr>
          <w:rFonts w:eastAsiaTheme="majorEastAsia"/>
          <w:i/>
          <w:kern w:val="28"/>
          <w:szCs w:val="56"/>
        </w:rPr>
        <w:t>En consecuencia el acceso a la información se refiere a que se cumplan cualquiera de los siguientes tres supuestos:</w:t>
      </w:r>
    </w:p>
    <w:p w14:paraId="6A2E91C9" w14:textId="77777777" w:rsidR="00247BD4" w:rsidRPr="00501C55" w:rsidRDefault="00247BD4" w:rsidP="00501C55">
      <w:pPr>
        <w:spacing w:line="240" w:lineRule="auto"/>
        <w:ind w:left="567" w:right="567"/>
        <w:contextualSpacing/>
        <w:rPr>
          <w:rFonts w:eastAsiaTheme="majorEastAsia"/>
          <w:i/>
          <w:kern w:val="28"/>
          <w:szCs w:val="56"/>
        </w:rPr>
      </w:pPr>
      <w:r w:rsidRPr="00501C55">
        <w:rPr>
          <w:rFonts w:eastAsiaTheme="majorEastAsia"/>
          <w:i/>
          <w:kern w:val="28"/>
          <w:szCs w:val="56"/>
        </w:rPr>
        <w:t>1) Que se trate de información registrada en cualquier soporte documental, que en ejercicio de las atribuciones conferidas, sea generada por los Sujetos Obligados;</w:t>
      </w:r>
    </w:p>
    <w:p w14:paraId="179BB8E5" w14:textId="77777777" w:rsidR="00247BD4" w:rsidRPr="00501C55" w:rsidRDefault="00247BD4" w:rsidP="00501C55">
      <w:pPr>
        <w:spacing w:line="240" w:lineRule="auto"/>
        <w:ind w:left="567" w:right="567"/>
        <w:contextualSpacing/>
        <w:rPr>
          <w:rFonts w:eastAsiaTheme="majorEastAsia"/>
          <w:i/>
          <w:kern w:val="28"/>
          <w:szCs w:val="56"/>
        </w:rPr>
      </w:pPr>
      <w:r w:rsidRPr="00501C55">
        <w:rPr>
          <w:rFonts w:eastAsiaTheme="majorEastAsia"/>
          <w:i/>
          <w:kern w:val="28"/>
          <w:szCs w:val="56"/>
        </w:rPr>
        <w:t>2) Que se trate de información registrada en cualquier soporte documental, que en ejercicio de las atribuciones conferidas, sea administrada por los Sujetos Obligados, y</w:t>
      </w:r>
    </w:p>
    <w:p w14:paraId="4C10D9BF" w14:textId="77777777" w:rsidR="00247BD4" w:rsidRPr="00501C55" w:rsidRDefault="00247BD4" w:rsidP="00501C55">
      <w:pPr>
        <w:spacing w:line="240" w:lineRule="auto"/>
        <w:ind w:left="567" w:right="567"/>
        <w:contextualSpacing/>
        <w:rPr>
          <w:rFonts w:eastAsiaTheme="majorEastAsia"/>
          <w:i/>
          <w:kern w:val="28"/>
          <w:szCs w:val="56"/>
        </w:rPr>
      </w:pPr>
      <w:r w:rsidRPr="00501C55">
        <w:rPr>
          <w:rFonts w:eastAsiaTheme="majorEastAsia"/>
          <w:i/>
          <w:kern w:val="28"/>
          <w:szCs w:val="56"/>
        </w:rPr>
        <w:t>3) Que se trate de información registrada en cualquier soporte documental, que en ejercicio de las atribuciones conferidas, se encuentre en posesión de los Sujetos Obligados.” (Sic)</w:t>
      </w:r>
    </w:p>
    <w:p w14:paraId="3D7E42D6" w14:textId="77777777" w:rsidR="00247BD4" w:rsidRPr="00501C55" w:rsidRDefault="00247BD4" w:rsidP="00501C55">
      <w:pPr>
        <w:spacing w:before="240" w:after="240"/>
        <w:ind w:right="-312"/>
        <w:rPr>
          <w:rFonts w:cs="Palatino Linotype"/>
          <w:szCs w:val="22"/>
          <w:lang w:val="es-ES"/>
        </w:rPr>
      </w:pPr>
      <w:r w:rsidRPr="00501C55">
        <w:rPr>
          <w:rFonts w:cs="Palatino Linotype"/>
          <w:szCs w:val="22"/>
          <w:lang w:val="es-ES"/>
        </w:rPr>
        <w:t xml:space="preserve">En este sentido, en términos generales, para que sea posible el ejercicio del Derecho de Acceso a la Información Pública, los requerimientos deben consistir en información que se encuentre registrada en cualquier soporte documental; ya sea, porque </w:t>
      </w:r>
      <w:r w:rsidRPr="00501C55">
        <w:rPr>
          <w:rFonts w:cs="Palatino Linotype"/>
          <w:b/>
          <w:szCs w:val="22"/>
          <w:lang w:val="es-ES"/>
        </w:rPr>
        <w:t>EL SUJETO OBLIGADO</w:t>
      </w:r>
      <w:r w:rsidRPr="00501C55">
        <w:rPr>
          <w:rFonts w:cs="Palatino Linotype"/>
          <w:szCs w:val="22"/>
          <w:lang w:val="es-ES"/>
        </w:rPr>
        <w:t xml:space="preserve"> la generó </w:t>
      </w:r>
      <w:r w:rsidRPr="00501C55">
        <w:rPr>
          <w:rFonts w:cs="Palatino Linotype"/>
          <w:szCs w:val="22"/>
          <w:lang w:val="es-ES"/>
        </w:rPr>
        <w:lastRenderedPageBreak/>
        <w:t xml:space="preserve">o porque como parte del ejercicio de sus funciones la recibió y por consiguiente, la administra y posee. </w:t>
      </w:r>
    </w:p>
    <w:p w14:paraId="2FD6EC67" w14:textId="77777777" w:rsidR="00247BD4" w:rsidRPr="00501C55" w:rsidRDefault="00247BD4" w:rsidP="00501C55">
      <w:pPr>
        <w:ind w:right="-312"/>
        <w:rPr>
          <w:rFonts w:cs="Palatino Linotype"/>
          <w:bCs/>
          <w:szCs w:val="22"/>
        </w:rPr>
      </w:pPr>
      <w:r w:rsidRPr="00501C55">
        <w:rPr>
          <w:szCs w:val="22"/>
        </w:rPr>
        <w:t xml:space="preserve">De tal modo que dichos planteamientos realizados por </w:t>
      </w:r>
      <w:r w:rsidRPr="00501C55">
        <w:rPr>
          <w:b/>
          <w:bCs/>
          <w:szCs w:val="22"/>
        </w:rPr>
        <w:t>LA PARTE RECURRENTE</w:t>
      </w:r>
      <w:r w:rsidRPr="00501C55">
        <w:rPr>
          <w:szCs w:val="22"/>
        </w:rPr>
        <w:t xml:space="preserve"> no se constituye como materia del derecho de acceso a la información, </w:t>
      </w:r>
      <w:r w:rsidRPr="00501C55">
        <w:rPr>
          <w:rFonts w:cs="Palatino Linotype"/>
          <w:szCs w:val="22"/>
        </w:rPr>
        <w:t xml:space="preserve">situación por la cual nos lleva a recordar que el artículo 12 de la Ley de Transparencia y Acceso a la Información Pública del Estado de México y Municipios, establece que los sujetos obligados únicamente están exigidos a entregar los documentos que obren en sus archivos en el estado en que estos se encuentren, lo que no comprende entregar la información conforme al interés del solicitante.  </w:t>
      </w:r>
    </w:p>
    <w:p w14:paraId="6337EB08" w14:textId="77777777" w:rsidR="00247BD4" w:rsidRPr="00501C55" w:rsidRDefault="00247BD4" w:rsidP="00501C55">
      <w:pPr>
        <w:ind w:right="-312"/>
        <w:rPr>
          <w:rFonts w:cs="Palatino Linotype"/>
          <w:szCs w:val="22"/>
        </w:rPr>
      </w:pPr>
    </w:p>
    <w:p w14:paraId="734073E9" w14:textId="77777777" w:rsidR="00247BD4" w:rsidRPr="00501C55" w:rsidRDefault="00247BD4" w:rsidP="00501C55">
      <w:pPr>
        <w:ind w:right="-312"/>
        <w:rPr>
          <w:rFonts w:cs="Palatino Linotype"/>
          <w:szCs w:val="22"/>
        </w:rPr>
      </w:pPr>
      <w:r w:rsidRPr="00501C55">
        <w:rPr>
          <w:rFonts w:cs="Palatino Linotype"/>
          <w:szCs w:val="22"/>
        </w:rPr>
        <w:t xml:space="preserve">Robustece lo anterior, el Criterio 03/17 emitido por el Instituto Nacional de Transparencia, Acceso a la Información y Protección de Datos Personales, el cual establece lo siguiente: </w:t>
      </w:r>
    </w:p>
    <w:p w14:paraId="0AABA1F7" w14:textId="77777777" w:rsidR="00247BD4" w:rsidRPr="00501C55" w:rsidRDefault="00247BD4" w:rsidP="00501C55">
      <w:pPr>
        <w:ind w:right="-312"/>
        <w:rPr>
          <w:rFonts w:cs="Palatino Linotype"/>
          <w:szCs w:val="22"/>
        </w:rPr>
      </w:pPr>
    </w:p>
    <w:p w14:paraId="75713EFE" w14:textId="77777777" w:rsidR="00247BD4" w:rsidRPr="00501C55" w:rsidRDefault="00247BD4" w:rsidP="00501C55">
      <w:pPr>
        <w:spacing w:line="240" w:lineRule="auto"/>
        <w:ind w:left="567" w:right="567"/>
        <w:contextualSpacing/>
        <w:rPr>
          <w:rFonts w:eastAsiaTheme="majorEastAsia"/>
          <w:i/>
          <w:kern w:val="28"/>
          <w:szCs w:val="56"/>
        </w:rPr>
      </w:pPr>
      <w:r w:rsidRPr="00501C55">
        <w:rPr>
          <w:rFonts w:eastAsiaTheme="majorEastAsia"/>
          <w:i/>
          <w:kern w:val="28"/>
          <w:szCs w:val="56"/>
        </w:rPr>
        <w:t>“</w:t>
      </w:r>
      <w:r w:rsidRPr="00501C55">
        <w:rPr>
          <w:rFonts w:eastAsiaTheme="majorEastAsia"/>
          <w:b/>
          <w:i/>
          <w:kern w:val="28"/>
          <w:szCs w:val="56"/>
        </w:rPr>
        <w:t>No existe obligación de elaborar documentos ad hoc para atender las solicitudes de acceso a la información.</w:t>
      </w:r>
      <w:r w:rsidRPr="00501C55">
        <w:rPr>
          <w:rFonts w:eastAsiaTheme="majorEastAsia"/>
          <w:i/>
          <w:kern w:val="28"/>
          <w:szCs w:val="56"/>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Sic</w:t>
      </w:r>
    </w:p>
    <w:p w14:paraId="148A944E" w14:textId="77777777" w:rsidR="00247BD4" w:rsidRPr="00501C55" w:rsidRDefault="00247BD4" w:rsidP="00501C55">
      <w:pPr>
        <w:ind w:right="-312"/>
        <w:rPr>
          <w:bCs/>
          <w:iCs/>
          <w:szCs w:val="22"/>
        </w:rPr>
      </w:pPr>
    </w:p>
    <w:p w14:paraId="23683BE5" w14:textId="77777777" w:rsidR="00247BD4" w:rsidRPr="00501C55" w:rsidRDefault="00247BD4" w:rsidP="00501C55">
      <w:pPr>
        <w:ind w:right="-312"/>
        <w:rPr>
          <w:rFonts w:cs="Arial"/>
          <w:b/>
          <w:szCs w:val="22"/>
        </w:rPr>
      </w:pPr>
      <w:r w:rsidRPr="00501C55">
        <w:rPr>
          <w:rFonts w:cs="Arial"/>
          <w:szCs w:val="22"/>
        </w:rPr>
        <w:t xml:space="preserve">Por lo que bajo tal modo </w:t>
      </w:r>
      <w:r w:rsidRPr="00501C55">
        <w:rPr>
          <w:rFonts w:cs="Arial"/>
          <w:b/>
          <w:szCs w:val="22"/>
        </w:rPr>
        <w:t xml:space="preserve">es menester precisar que la naturaleza del derecho de acceso a la información impide que se dé contestación a requerimientos que conllevan al </w:t>
      </w:r>
      <w:r w:rsidRPr="00501C55">
        <w:rPr>
          <w:rFonts w:cs="Arial"/>
          <w:b/>
          <w:szCs w:val="22"/>
        </w:rPr>
        <w:lastRenderedPageBreak/>
        <w:t>pronunciamiento específico de interrogantes sobre variados temas, se brinde una asesoría legal o se requiera una consulta específica mediante el SAIMEX.</w:t>
      </w:r>
    </w:p>
    <w:p w14:paraId="70CE8593" w14:textId="77777777" w:rsidR="00247BD4" w:rsidRPr="00501C55" w:rsidRDefault="00247BD4" w:rsidP="00501C55">
      <w:pPr>
        <w:ind w:right="-312"/>
        <w:rPr>
          <w:rFonts w:cs="Arial"/>
          <w:szCs w:val="22"/>
        </w:rPr>
      </w:pPr>
    </w:p>
    <w:p w14:paraId="3DE739E2" w14:textId="77777777" w:rsidR="00247BD4" w:rsidRPr="00501C55" w:rsidRDefault="00247BD4" w:rsidP="00501C55">
      <w:pPr>
        <w:ind w:right="-312"/>
        <w:rPr>
          <w:szCs w:val="22"/>
        </w:rPr>
      </w:pPr>
      <w:r w:rsidRPr="00501C55">
        <w:rPr>
          <w:szCs w:val="22"/>
        </w:rPr>
        <w:t xml:space="preserve">Por lo anterior, al no constituirse dichas manifestaciones, se considera que </w:t>
      </w:r>
      <w:r w:rsidRPr="00501C55">
        <w:rPr>
          <w:b/>
          <w:szCs w:val="22"/>
        </w:rPr>
        <w:t>EL SUJETO OBLIGADO</w:t>
      </w:r>
      <w:r w:rsidRPr="00501C55">
        <w:rPr>
          <w:szCs w:val="22"/>
        </w:rPr>
        <w:t xml:space="preserve"> no se encuentra constreñido a emitir una respuesta al mismo, así como manifestaciones al respecto.</w:t>
      </w:r>
    </w:p>
    <w:p w14:paraId="6AA47914" w14:textId="77777777" w:rsidR="00247BD4" w:rsidRPr="00501C55" w:rsidRDefault="00247BD4" w:rsidP="00501C55">
      <w:pPr>
        <w:ind w:right="-312"/>
        <w:rPr>
          <w:szCs w:val="22"/>
        </w:rPr>
      </w:pPr>
    </w:p>
    <w:p w14:paraId="42C5D646" w14:textId="77777777" w:rsidR="00247BD4" w:rsidRPr="00501C55" w:rsidRDefault="00247BD4" w:rsidP="00501C55">
      <w:pPr>
        <w:autoSpaceDE w:val="0"/>
        <w:autoSpaceDN w:val="0"/>
        <w:adjustRightInd w:val="0"/>
        <w:ind w:right="-312"/>
        <w:contextualSpacing/>
        <w:rPr>
          <w:rFonts w:cs="Arial"/>
          <w:szCs w:val="22"/>
        </w:rPr>
      </w:pPr>
      <w:r w:rsidRPr="00501C55">
        <w:rPr>
          <w:szCs w:val="22"/>
        </w:rPr>
        <w:t xml:space="preserve">Bajo éste tenor, cabe aclarar que cuando los planteamientos que formulen los particulares se pueda colmar con la entrega de </w:t>
      </w:r>
      <w:r w:rsidRPr="00501C55">
        <w:rPr>
          <w:rFonts w:cs="Arial"/>
          <w:szCs w:val="22"/>
        </w:rPr>
        <w:t xml:space="preserve">documentos que los </w:t>
      </w:r>
      <w:r w:rsidRPr="00501C55">
        <w:rPr>
          <w:rFonts w:cs="Arial"/>
          <w:b/>
          <w:bCs/>
          <w:szCs w:val="22"/>
        </w:rPr>
        <w:t>Sujetos Obligados</w:t>
      </w:r>
      <w:r w:rsidRPr="00501C55">
        <w:rPr>
          <w:rFonts w:cs="Arial"/>
          <w:szCs w:val="22"/>
        </w:rPr>
        <w:t xml:space="preserve"> generen, posean o administren en ejercicio de sus atribuciones, se está en presencia del derecho fundamental de acceso a la información, previsto en el artículo 6, Apartado </w:t>
      </w:r>
      <w:r w:rsidRPr="00501C55">
        <w:rPr>
          <w:szCs w:val="22"/>
        </w:rPr>
        <w:t>A, fracción IV de la Constitución Política de los Estados Unidos Mexicanos, el cual deberá garantizarse ordenando la entrega de tales documentales, siempre y cuando éstas sean de acceso público.</w:t>
      </w:r>
    </w:p>
    <w:p w14:paraId="3ABA0562" w14:textId="77777777" w:rsidR="00247BD4" w:rsidRPr="00501C55" w:rsidRDefault="00247BD4" w:rsidP="00501C55">
      <w:pPr>
        <w:autoSpaceDE w:val="0"/>
        <w:autoSpaceDN w:val="0"/>
        <w:adjustRightInd w:val="0"/>
        <w:ind w:right="-312"/>
        <w:contextualSpacing/>
        <w:rPr>
          <w:rFonts w:cs="Arial"/>
          <w:szCs w:val="22"/>
        </w:rPr>
      </w:pPr>
    </w:p>
    <w:p w14:paraId="0D6D6529" w14:textId="77777777" w:rsidR="00247BD4" w:rsidRPr="00501C55" w:rsidRDefault="00247BD4" w:rsidP="00501C55">
      <w:pPr>
        <w:autoSpaceDE w:val="0"/>
        <w:autoSpaceDN w:val="0"/>
        <w:adjustRightInd w:val="0"/>
        <w:ind w:right="-312"/>
        <w:contextualSpacing/>
        <w:rPr>
          <w:rFonts w:cs="Arial"/>
          <w:szCs w:val="22"/>
        </w:rPr>
      </w:pPr>
      <w:r w:rsidRPr="00501C55">
        <w:rPr>
          <w:rFonts w:cs="Arial"/>
          <w:szCs w:val="22"/>
        </w:rPr>
        <w:t>Sirve de sustento a lo anterior, el</w:t>
      </w:r>
      <w:r w:rsidRPr="00501C55">
        <w:rPr>
          <w:rFonts w:eastAsiaTheme="majorEastAsia" w:cs="Arial"/>
          <w:szCs w:val="22"/>
        </w:rPr>
        <w:t xml:space="preserve"> Criterio </w:t>
      </w:r>
      <w:r w:rsidRPr="00501C55">
        <w:rPr>
          <w:rFonts w:eastAsiaTheme="majorEastAsia" w:cs="Arial"/>
          <w:b/>
          <w:bCs/>
          <w:szCs w:val="22"/>
        </w:rPr>
        <w:t>028</w:t>
      </w:r>
      <w:r w:rsidRPr="00501C55">
        <w:rPr>
          <w:rFonts w:cs="Arial"/>
          <w:b/>
          <w:bCs/>
          <w:szCs w:val="22"/>
        </w:rPr>
        <w:t>-</w:t>
      </w:r>
      <w:r w:rsidRPr="00501C55">
        <w:rPr>
          <w:rFonts w:eastAsiaTheme="majorEastAsia" w:cs="Arial"/>
          <w:b/>
          <w:bCs/>
          <w:szCs w:val="22"/>
        </w:rPr>
        <w:t>10</w:t>
      </w:r>
      <w:r w:rsidRPr="00501C55">
        <w:rPr>
          <w:rFonts w:eastAsiaTheme="majorEastAsia" w:cs="Arial"/>
          <w:szCs w:val="22"/>
        </w:rPr>
        <w:t xml:space="preserve"> </w:t>
      </w:r>
      <w:r w:rsidRPr="00501C55">
        <w:rPr>
          <w:rFonts w:cs="Arial"/>
          <w:szCs w:val="22"/>
        </w:rPr>
        <w:t>emitido por el Pleno del entonces llamado</w:t>
      </w:r>
      <w:r w:rsidRPr="00501C55">
        <w:rPr>
          <w:rFonts w:eastAsiaTheme="majorEastAsia" w:cs="Arial"/>
          <w:szCs w:val="22"/>
        </w:rPr>
        <w:t xml:space="preserve"> </w:t>
      </w:r>
      <w:r w:rsidRPr="00501C55">
        <w:rPr>
          <w:rFonts w:cs="Arial"/>
          <w:szCs w:val="22"/>
        </w:rPr>
        <w:t>Instituto Federal de Acceso a la Información y Protección de Datos, ahora Instituto Nacional de Transparencia, Acceso a la Información y Protección de Datos Personales que establece que se deberá garantizar</w:t>
      </w:r>
      <w:r w:rsidRPr="00501C55">
        <w:rPr>
          <w:rFonts w:eastAsiaTheme="majorEastAsia" w:cs="Arial"/>
          <w:szCs w:val="22"/>
        </w:rPr>
        <w:t xml:space="preserve"> </w:t>
      </w:r>
      <w:r w:rsidRPr="00501C55">
        <w:rPr>
          <w:rFonts w:cs="Arial"/>
          <w:szCs w:val="22"/>
        </w:rPr>
        <w:t>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w:t>
      </w:r>
      <w:r w:rsidRPr="00501C55">
        <w:rPr>
          <w:rFonts w:eastAsiaTheme="majorEastAsia" w:cs="Arial"/>
          <w:iCs/>
          <w:szCs w:val="22"/>
        </w:rPr>
        <w:t xml:space="preserve"> </w:t>
      </w:r>
      <w:r w:rsidRPr="00501C55">
        <w:rPr>
          <w:rFonts w:cs="Arial"/>
          <w:szCs w:val="22"/>
        </w:rPr>
        <w:t xml:space="preserve">aunque el particular lleve a cabo una solicitud de información sin identificar de forma precisa la documentación, </w:t>
      </w:r>
      <w:r w:rsidRPr="00501C55">
        <w:rPr>
          <w:rFonts w:cs="Arial"/>
          <w:b/>
          <w:szCs w:val="22"/>
        </w:rPr>
        <w:t>EL SUJETO OBLIGADO</w:t>
      </w:r>
      <w:r w:rsidRPr="00501C55">
        <w:rPr>
          <w:rFonts w:eastAsiaTheme="majorEastAsia" w:cs="Arial"/>
          <w:b/>
          <w:szCs w:val="22"/>
        </w:rPr>
        <w:t xml:space="preserve"> </w:t>
      </w:r>
      <w:r w:rsidRPr="00501C55">
        <w:rPr>
          <w:rFonts w:cs="Arial"/>
          <w:szCs w:val="22"/>
        </w:rPr>
        <w:t>deberá hacer entrega del mismo al solicitante</w:t>
      </w:r>
      <w:r w:rsidRPr="00501C55">
        <w:rPr>
          <w:rFonts w:eastAsiaTheme="majorEastAsia" w:cs="Arial"/>
          <w:szCs w:val="22"/>
        </w:rPr>
        <w:t xml:space="preserve"> </w:t>
      </w:r>
      <w:r w:rsidRPr="00501C55">
        <w:rPr>
          <w:rFonts w:cs="Arial"/>
          <w:szCs w:val="22"/>
        </w:rPr>
        <w:t>mismo que a continuación se cita:</w:t>
      </w:r>
    </w:p>
    <w:p w14:paraId="38CE803B" w14:textId="77777777" w:rsidR="00247BD4" w:rsidRPr="00501C55" w:rsidRDefault="00247BD4" w:rsidP="00501C55">
      <w:pPr>
        <w:autoSpaceDE w:val="0"/>
        <w:autoSpaceDN w:val="0"/>
        <w:adjustRightInd w:val="0"/>
        <w:ind w:right="-312"/>
        <w:contextualSpacing/>
        <w:rPr>
          <w:rFonts w:cs="Arial"/>
          <w:szCs w:val="22"/>
        </w:rPr>
      </w:pPr>
    </w:p>
    <w:p w14:paraId="651A22F6" w14:textId="77777777" w:rsidR="00247BD4" w:rsidRPr="00501C55" w:rsidRDefault="00247BD4" w:rsidP="00501C55">
      <w:pPr>
        <w:spacing w:line="240" w:lineRule="auto"/>
        <w:ind w:left="567" w:right="567"/>
        <w:contextualSpacing/>
        <w:rPr>
          <w:rFonts w:eastAsiaTheme="majorEastAsia"/>
          <w:i/>
          <w:kern w:val="28"/>
          <w:szCs w:val="56"/>
        </w:rPr>
      </w:pPr>
      <w:r w:rsidRPr="00501C55">
        <w:rPr>
          <w:rFonts w:eastAsiaTheme="majorEastAsia"/>
          <w:i/>
          <w:kern w:val="28"/>
          <w:szCs w:val="56"/>
        </w:rPr>
        <w:lastRenderedPageBreak/>
        <w:t xml:space="preserve">“CUANDO EN UNA SOLICITUD DE INFORMACIÓN NO SE IDENTIFIQUE UN DOCUMENTO EN ESPECÍFICO, SI ÉSTA TIENE UNA EXPRESIÓN DOCUMENTAL, EL SUJETO OBLIGADO DEBERÁ ENTREGAR AL PARTICULAR EL DOCUMENTO EN ESPECÍFICO. </w:t>
      </w:r>
    </w:p>
    <w:p w14:paraId="36BC14CE" w14:textId="77777777" w:rsidR="00247BD4" w:rsidRPr="00501C55" w:rsidRDefault="00247BD4" w:rsidP="00501C55">
      <w:pPr>
        <w:spacing w:line="240" w:lineRule="auto"/>
        <w:ind w:left="567" w:right="567"/>
        <w:contextualSpacing/>
        <w:rPr>
          <w:rFonts w:eastAsiaTheme="majorEastAsia"/>
          <w:i/>
          <w:kern w:val="28"/>
          <w:szCs w:val="56"/>
        </w:rPr>
      </w:pPr>
      <w:r w:rsidRPr="00501C55">
        <w:rPr>
          <w:rFonts w:eastAsiaTheme="majorEastAsia"/>
          <w:i/>
          <w:kern w:val="28"/>
          <w:szCs w:val="56"/>
        </w:rPr>
        <w:t>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 Es decir, si la respuesta a la solicitud obra en algún documento en poder de la autoridad, pero el particular no hace referencia específica a tal documento, se deberá hacer entrega del mismo al solicitante.</w:t>
      </w:r>
    </w:p>
    <w:p w14:paraId="6876E9B7" w14:textId="77777777" w:rsidR="00247BD4" w:rsidRPr="00501C55" w:rsidRDefault="00247BD4" w:rsidP="00501C55">
      <w:pPr>
        <w:spacing w:before="240" w:after="240"/>
        <w:ind w:right="-312"/>
        <w:rPr>
          <w:rFonts w:cs="Palatino Linotype"/>
          <w:szCs w:val="22"/>
          <w:lang w:val="es-ES"/>
        </w:rPr>
      </w:pPr>
      <w:r w:rsidRPr="00501C55">
        <w:rPr>
          <w:rFonts w:cs="Palatino Linotype"/>
          <w:szCs w:val="22"/>
          <w:lang w:val="es-ES"/>
        </w:rPr>
        <w:t>Asimismo, no obsta mencionar que, cuando los particulares no señalen de manera concreta el o los documentos a los que desean acceder, al no tener la obligación de ser expertos en la materia, los Sujetos Obligados cuentan con el deber de dar a las solicitudes una interpretación que les dé una expresión documental, ya que para que el derecho de acceso a la información pública de los particulares se satisfaga completamente, es necesario que se les brinde el acceso a datos, registros y todo tipo de información pública que conste en documentos, ya sea generados o que se encuentre en posesión de las autoridades, por tal motivo, privilegiando el principio de máxima publicidad, se deberá proceder a la entrega del soporte documental en donde conste la información que brinde respuesta a la solicitud, así el particular podrá buscar conforme a su interés.</w:t>
      </w:r>
    </w:p>
    <w:p w14:paraId="34F10B3D" w14:textId="77777777" w:rsidR="00247BD4" w:rsidRPr="00501C55" w:rsidRDefault="00247BD4" w:rsidP="00501C55">
      <w:pPr>
        <w:spacing w:before="240" w:after="240"/>
        <w:ind w:right="-312"/>
        <w:rPr>
          <w:rFonts w:cs="Palatino Linotype"/>
          <w:szCs w:val="22"/>
          <w:lang w:val="es-ES"/>
        </w:rPr>
      </w:pPr>
      <w:r w:rsidRPr="00501C55">
        <w:rPr>
          <w:rFonts w:cs="Palatino Linotype"/>
          <w:szCs w:val="22"/>
          <w:lang w:val="es-ES"/>
        </w:rPr>
        <w:lastRenderedPageBreak/>
        <w:t xml:space="preserve">Como sustento a lo anterior resulta aplicable el Criterio 16/17, emitido por el Instituto Nacional de Transparencia, Acceso a la Información y Protección de Datos Personales, INAI, establece lo siguiente: </w:t>
      </w:r>
    </w:p>
    <w:p w14:paraId="1E49035F" w14:textId="77777777" w:rsidR="00247BD4" w:rsidRPr="00501C55" w:rsidRDefault="00247BD4" w:rsidP="00501C55">
      <w:pPr>
        <w:spacing w:line="240" w:lineRule="auto"/>
        <w:ind w:left="567" w:right="-312"/>
        <w:contextualSpacing/>
        <w:rPr>
          <w:i/>
          <w:kern w:val="28"/>
          <w:szCs w:val="22"/>
          <w:lang w:val="es-ES"/>
        </w:rPr>
      </w:pPr>
      <w:r w:rsidRPr="00501C55">
        <w:rPr>
          <w:rFonts w:eastAsiaTheme="majorEastAsia"/>
          <w:i/>
          <w:kern w:val="28"/>
          <w:szCs w:val="22"/>
          <w:lang w:val="es-ES"/>
        </w:rPr>
        <w:t xml:space="preserve"> “</w:t>
      </w:r>
      <w:r w:rsidRPr="00501C55">
        <w:rPr>
          <w:b/>
          <w:i/>
          <w:kern w:val="28"/>
          <w:szCs w:val="22"/>
          <w:lang w:val="es-ES"/>
        </w:rPr>
        <w:t xml:space="preserve">Expresión documental. </w:t>
      </w:r>
      <w:r w:rsidRPr="00501C55">
        <w:rPr>
          <w:i/>
          <w:kern w:val="28"/>
          <w:szCs w:val="22"/>
          <w:lang w:val="es-ES"/>
        </w:rPr>
        <w:t>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w:t>
      </w:r>
    </w:p>
    <w:p w14:paraId="72130FAD" w14:textId="77777777" w:rsidR="00247BD4" w:rsidRPr="00501C55" w:rsidRDefault="00247BD4" w:rsidP="00501C55">
      <w:pPr>
        <w:ind w:right="-312"/>
        <w:rPr>
          <w:b/>
          <w:szCs w:val="22"/>
        </w:rPr>
      </w:pPr>
    </w:p>
    <w:p w14:paraId="604D5A94" w14:textId="5DEE6035" w:rsidR="00247BD4" w:rsidRPr="00501C55" w:rsidRDefault="00247BD4" w:rsidP="00501C55">
      <w:pPr>
        <w:ind w:right="-312"/>
        <w:rPr>
          <w:b/>
          <w:szCs w:val="22"/>
        </w:rPr>
      </w:pPr>
      <w:r w:rsidRPr="00501C55">
        <w:rPr>
          <w:szCs w:val="22"/>
        </w:rPr>
        <w:t xml:space="preserve">Situación que en el caso en particular no se actualiza dicho supuesto, por qué de la literalidad de la solicitud, no se advierte documental que en su caso se puede </w:t>
      </w:r>
      <w:r w:rsidR="006777C6" w:rsidRPr="00501C55">
        <w:rPr>
          <w:szCs w:val="22"/>
        </w:rPr>
        <w:t>entregar a</w:t>
      </w:r>
      <w:r w:rsidRPr="00501C55">
        <w:rPr>
          <w:szCs w:val="22"/>
        </w:rPr>
        <w:t xml:space="preserve"> fin de colmar la pretensión de </w:t>
      </w:r>
      <w:r w:rsidRPr="00501C55">
        <w:rPr>
          <w:b/>
          <w:szCs w:val="22"/>
        </w:rPr>
        <w:t>LA PARTE RECURRENTE</w:t>
      </w:r>
      <w:r w:rsidR="006777C6" w:rsidRPr="00501C55">
        <w:rPr>
          <w:b/>
          <w:szCs w:val="22"/>
        </w:rPr>
        <w:t xml:space="preserve">, máxime que al momento de interponer el presente medio de defensa LA PARTE RECURRENTE es clara al referir que no quiere ningún documento sino que se conteste solamente el cuestionario que mandó tal como se cita a continuación: </w:t>
      </w:r>
    </w:p>
    <w:p w14:paraId="6602DB4B" w14:textId="77777777" w:rsidR="006777C6" w:rsidRPr="00501C55" w:rsidRDefault="006777C6" w:rsidP="00501C55">
      <w:pPr>
        <w:ind w:right="-312"/>
        <w:rPr>
          <w:b/>
          <w:szCs w:val="22"/>
        </w:rPr>
      </w:pPr>
    </w:p>
    <w:p w14:paraId="20C2792C" w14:textId="68332A4E" w:rsidR="006777C6" w:rsidRPr="00501C55" w:rsidRDefault="006777C6" w:rsidP="00501C55">
      <w:pPr>
        <w:ind w:right="-312"/>
        <w:rPr>
          <w:b/>
          <w:szCs w:val="22"/>
        </w:rPr>
      </w:pPr>
      <w:r w:rsidRPr="00501C55">
        <w:rPr>
          <w:b/>
          <w:szCs w:val="22"/>
        </w:rPr>
        <w:t>“</w:t>
      </w:r>
      <w:r w:rsidRPr="00501C55">
        <w:rPr>
          <w:b/>
          <w:i/>
          <w:szCs w:val="22"/>
        </w:rPr>
        <w:t xml:space="preserve">Adjunté un archivo PDF de un cuestionario, en el que estoy solicitando, en la mayoría de todas mis preguntas un SI o un NO y alguna fecha extra que no tiene la mayor complejidad que consultarlo en el mismo expediente único de cada obra, aunque sea en su INDICE, o aclarando en su caso, que la información NO PROCEDE </w:t>
      </w:r>
      <w:r w:rsidRPr="00501C55">
        <w:rPr>
          <w:b/>
          <w:i/>
          <w:szCs w:val="22"/>
          <w:u w:val="single"/>
        </w:rPr>
        <w:t>No estoy solicitando documentos impresos, ni copias para que funden el argumento del Director Técnico,</w:t>
      </w:r>
      <w:r w:rsidRPr="00501C55">
        <w:rPr>
          <w:b/>
          <w:i/>
          <w:szCs w:val="22"/>
        </w:rPr>
        <w:t xml:space="preserve"> en el sentido de que mi solicitud de origen, representa un volumen considerable de información y sobrepasa las capacidades de su área. Ni estoy solicitando que me otorgue de manera "excepcional" fecha u hora para una consulta directa”</w:t>
      </w:r>
    </w:p>
    <w:p w14:paraId="1298CDFD" w14:textId="77777777" w:rsidR="00247BD4" w:rsidRPr="00501C55" w:rsidRDefault="00247BD4" w:rsidP="00501C55">
      <w:pPr>
        <w:ind w:right="-312"/>
        <w:rPr>
          <w:b/>
          <w:szCs w:val="22"/>
        </w:rPr>
      </w:pPr>
    </w:p>
    <w:p w14:paraId="0B231DCF" w14:textId="77777777" w:rsidR="00247BD4" w:rsidRPr="00501C55" w:rsidRDefault="00247BD4" w:rsidP="00501C55">
      <w:pPr>
        <w:rPr>
          <w:rFonts w:cs="Arial"/>
        </w:rPr>
      </w:pPr>
      <w:r w:rsidRPr="00501C55">
        <w:lastRenderedPageBreak/>
        <w:t xml:space="preserve">Una vez precisado lo anterior, </w:t>
      </w:r>
      <w:r w:rsidRPr="00501C55">
        <w:rPr>
          <w:rFonts w:cs="Arial"/>
        </w:rPr>
        <w:t>la doctrina del sobreseimiento provoca que un procedimiento se suspenda o se resuelva en definitiva sin que se entre al estudio de los agravios o motivos de inconformidad. Este mismo criterio es compartido por el más alto tribunal del país en múltiples jurisprudencias, por lo que a continuación se agrega una de ellas que sirve como orientador en esta resolución:</w:t>
      </w:r>
    </w:p>
    <w:p w14:paraId="5D3B38D5" w14:textId="77777777" w:rsidR="00247BD4" w:rsidRPr="00501C55" w:rsidRDefault="00247BD4" w:rsidP="00501C55">
      <w:pPr>
        <w:rPr>
          <w:rFonts w:cs="Arial"/>
        </w:rPr>
      </w:pPr>
    </w:p>
    <w:p w14:paraId="44002AC8" w14:textId="77777777" w:rsidR="00247BD4" w:rsidRPr="00501C55" w:rsidRDefault="00247BD4" w:rsidP="00501C55">
      <w:pPr>
        <w:ind w:left="851" w:right="851"/>
        <w:rPr>
          <w:rFonts w:cs="Arial"/>
          <w:b/>
          <w:i/>
        </w:rPr>
      </w:pPr>
      <w:r w:rsidRPr="00501C55">
        <w:rPr>
          <w:rFonts w:cs="Arial"/>
          <w:b/>
          <w:i/>
        </w:rPr>
        <w:t>“SOBRESEIMIENTO EN EL JUICIO DE AMPARO DIRECTO. IMPIDE EL ESTUDIO DE LAS VIOLACIONES PROCESALES PLANTEADAS EN LOS CONCEPTOS DE VIOLACIÓN.</w:t>
      </w:r>
    </w:p>
    <w:p w14:paraId="5576079B" w14:textId="77777777" w:rsidR="00247BD4" w:rsidRPr="00501C55" w:rsidRDefault="00247BD4" w:rsidP="00501C55">
      <w:pPr>
        <w:ind w:left="851" w:right="851"/>
        <w:rPr>
          <w:i/>
        </w:rPr>
      </w:pPr>
      <w:r w:rsidRPr="00501C55">
        <w:rPr>
          <w:rFonts w:cs="Arial"/>
          <w:b/>
          <w:i/>
          <w:u w:val="single"/>
        </w:rPr>
        <w:t>El sobreseimiento</w:t>
      </w:r>
      <w:r w:rsidRPr="00501C55">
        <w:rPr>
          <w:rFonts w:cs="Arial"/>
          <w:b/>
          <w:i/>
        </w:rPr>
        <w:t xml:space="preserve"> </w:t>
      </w:r>
      <w:r w:rsidRPr="00501C55">
        <w:rPr>
          <w:rFonts w:cs="Arial"/>
          <w:i/>
        </w:rPr>
        <w:t xml:space="preserve">en el juicio de amparo directo </w:t>
      </w:r>
      <w:r w:rsidRPr="00501C55">
        <w:rPr>
          <w:rFonts w:cs="Arial"/>
          <w:b/>
          <w:i/>
          <w:u w:val="single"/>
        </w:rPr>
        <w:t>provoca la terminación de la controversia planteada</w:t>
      </w:r>
      <w:r w:rsidRPr="00501C55">
        <w:rPr>
          <w:rFonts w:cs="Arial"/>
          <w:b/>
          <w:i/>
        </w:rPr>
        <w:t xml:space="preserve"> </w:t>
      </w:r>
      <w:r w:rsidRPr="00501C55">
        <w:rPr>
          <w:rFonts w:cs="Arial"/>
          <w:i/>
        </w:rPr>
        <w:t>por el quejoso en la demanda de amparo</w:t>
      </w:r>
      <w:r w:rsidRPr="00501C55">
        <w:rPr>
          <w:rFonts w:ascii="Calibri" w:hAnsi="Calibri"/>
          <w:sz w:val="26"/>
          <w:szCs w:val="26"/>
        </w:rPr>
        <w:t xml:space="preserve"> </w:t>
      </w:r>
      <w:r w:rsidRPr="00501C55">
        <w:rPr>
          <w:i/>
        </w:rPr>
        <w:t xml:space="preserve">provoca la terminación de la controversia planteada por el quejoso en la demanda de </w:t>
      </w:r>
      <w:r w:rsidRPr="00501C55">
        <w:rPr>
          <w:b/>
          <w:i/>
        </w:rPr>
        <w:t>amparo</w:t>
      </w:r>
      <w:r w:rsidRPr="00501C55">
        <w:rPr>
          <w:i/>
        </w:rPr>
        <w:t>, sin hacer un pronunciamiento de fondo sobre la legalidad o ilegalidad de la sentencia reclamada. Por consiguiente, si al sobreseerse en el</w:t>
      </w:r>
      <w:r w:rsidRPr="00501C55">
        <w:rPr>
          <w:b/>
          <w:i/>
        </w:rPr>
        <w:t xml:space="preserve"> juicio </w:t>
      </w:r>
      <w:r w:rsidRPr="00501C55">
        <w:rPr>
          <w:i/>
        </w:rPr>
        <w:t xml:space="preserve">de </w:t>
      </w:r>
      <w:r w:rsidRPr="00501C55">
        <w:rPr>
          <w:b/>
          <w:i/>
        </w:rPr>
        <w:t>amparo</w:t>
      </w:r>
      <w:r w:rsidRPr="00501C55">
        <w:rPr>
          <w:i/>
        </w:rPr>
        <w:t xml:space="preserve"> no se pueden estudiar los planteamientos que se hacen valer en contra del fallo reclamado, tampoco se deben analizar las</w:t>
      </w:r>
      <w:r w:rsidRPr="00501C55">
        <w:rPr>
          <w:b/>
          <w:i/>
        </w:rPr>
        <w:t xml:space="preserve"> violaciones procesales</w:t>
      </w:r>
      <w:r w:rsidRPr="00501C55">
        <w:rPr>
          <w:i/>
        </w:rPr>
        <w:t xml:space="preserve"> propuestas en los </w:t>
      </w:r>
      <w:r w:rsidRPr="00501C55">
        <w:rPr>
          <w:b/>
          <w:i/>
        </w:rPr>
        <w:t xml:space="preserve">conceptos </w:t>
      </w:r>
      <w:r w:rsidRPr="00501C55">
        <w:rPr>
          <w:i/>
        </w:rPr>
        <w:t xml:space="preserve">de </w:t>
      </w:r>
      <w:r w:rsidRPr="00501C55">
        <w:rPr>
          <w:b/>
          <w:i/>
        </w:rPr>
        <w:t>violación</w:t>
      </w:r>
      <w:r w:rsidRPr="00501C55">
        <w:rPr>
          <w:i/>
        </w:rPr>
        <w:t xml:space="preserve">, dado que, la principal consecuencia del </w:t>
      </w:r>
      <w:r w:rsidRPr="00501C55">
        <w:rPr>
          <w:b/>
          <w:i/>
        </w:rPr>
        <w:t>sobreseimiento</w:t>
      </w:r>
      <w:r w:rsidRPr="00501C55">
        <w:rPr>
          <w:i/>
        </w:rPr>
        <w:t xml:space="preserve"> es poner fin al </w:t>
      </w:r>
      <w:r w:rsidRPr="00501C55">
        <w:rPr>
          <w:b/>
          <w:i/>
        </w:rPr>
        <w:t xml:space="preserve">juicio </w:t>
      </w:r>
      <w:r w:rsidRPr="00501C55">
        <w:rPr>
          <w:i/>
        </w:rPr>
        <w:t xml:space="preserve">de </w:t>
      </w:r>
      <w:r w:rsidRPr="00501C55">
        <w:rPr>
          <w:b/>
          <w:i/>
        </w:rPr>
        <w:t xml:space="preserve">amparo </w:t>
      </w:r>
      <w:r w:rsidRPr="00501C55">
        <w:rPr>
          <w:i/>
        </w:rPr>
        <w:t>sin resolver la controversia en sus méritos.  </w:t>
      </w:r>
    </w:p>
    <w:p w14:paraId="2C0EB40E" w14:textId="77777777" w:rsidR="00247BD4" w:rsidRPr="00501C55" w:rsidRDefault="00247BD4" w:rsidP="00501C55">
      <w:pPr>
        <w:ind w:left="851" w:right="851"/>
        <w:rPr>
          <w:rFonts w:cs="Arial"/>
          <w:b/>
          <w:i/>
        </w:rPr>
      </w:pPr>
      <w:r w:rsidRPr="00501C55">
        <w:rPr>
          <w:rFonts w:cs="Arial"/>
          <w:b/>
          <w:i/>
        </w:rPr>
        <w:t>SÉPTIMO TRIBUNAL COLEGIADO EN MATERIA CIVIL DEL PRIMER CIRCUITO.</w:t>
      </w:r>
    </w:p>
    <w:p w14:paraId="4B1E4265" w14:textId="77777777" w:rsidR="00247BD4" w:rsidRPr="00501C55" w:rsidRDefault="00247BD4" w:rsidP="00501C55">
      <w:pPr>
        <w:ind w:left="851" w:right="851"/>
        <w:rPr>
          <w:rFonts w:cs="Arial"/>
          <w:i/>
        </w:rPr>
      </w:pPr>
      <w:r w:rsidRPr="00501C55">
        <w:rPr>
          <w:rFonts w:cs="Arial"/>
          <w:i/>
        </w:rPr>
        <w:t>Amparo directo 699/2008. Mariana Leticia González Steele. 13 de noviembre de 2008. Unanimidad de votos. Ponente: Sara Judith Montalvo Trejo. Secretario: Arnulfo Mateos García.”</w:t>
      </w:r>
      <w:r w:rsidRPr="00501C55">
        <w:rPr>
          <w:b/>
          <w:i/>
          <w:lang w:val="es-ES_tradnl"/>
        </w:rPr>
        <w:t xml:space="preserve"> [Sic]</w:t>
      </w:r>
    </w:p>
    <w:p w14:paraId="62E5F734" w14:textId="77777777" w:rsidR="00247BD4" w:rsidRPr="00501C55" w:rsidRDefault="00247BD4" w:rsidP="00501C55">
      <w:pPr>
        <w:ind w:right="141"/>
        <w:rPr>
          <w:rFonts w:cs="Arial"/>
        </w:rPr>
      </w:pPr>
    </w:p>
    <w:p w14:paraId="2B496FEA" w14:textId="77777777" w:rsidR="00247BD4" w:rsidRPr="00501C55" w:rsidRDefault="00247BD4" w:rsidP="00501C55">
      <w:pPr>
        <w:rPr>
          <w:rFonts w:cs="Arial"/>
        </w:rPr>
      </w:pPr>
      <w:r w:rsidRPr="00501C55">
        <w:rPr>
          <w:rFonts w:cs="Arial"/>
        </w:rPr>
        <w:lastRenderedPageBreak/>
        <w:t xml:space="preserve">De este modo, se puede deducir que, en las resoluciones dictadas por el Pleno de este Instituto, en las que se decreta el sobreseimiento de un recurso de revisión por la actualización de alguno de los supuestos jurídicos contemplados en el </w:t>
      </w:r>
      <w:r w:rsidRPr="00501C55">
        <w:rPr>
          <w:rFonts w:cs="Arial"/>
          <w:b/>
        </w:rPr>
        <w:t xml:space="preserve">artículo 192 </w:t>
      </w:r>
      <w:r w:rsidRPr="00501C55">
        <w:rPr>
          <w:rFonts w:cs="Arial"/>
        </w:rPr>
        <w:t xml:space="preserve">de la </w:t>
      </w:r>
      <w:r w:rsidRPr="00501C55">
        <w:rPr>
          <w:rFonts w:cs="Arial"/>
          <w:b/>
        </w:rPr>
        <w:t xml:space="preserve">Ley de Transparencia y Acceso a la Información Pública del Estado de México y Municipios, </w:t>
      </w:r>
      <w:r w:rsidRPr="00501C55">
        <w:rPr>
          <w:rFonts w:cs="Arial"/>
        </w:rPr>
        <w:t xml:space="preserve">nos encontramos ante un sobreseimiento definitivo toda vez que pone fin al procedimiento sin entrar al estudio de fondo del mismo. </w:t>
      </w:r>
    </w:p>
    <w:p w14:paraId="3B573EAC" w14:textId="77777777" w:rsidR="00247BD4" w:rsidRPr="00501C55" w:rsidRDefault="00247BD4" w:rsidP="00501C55">
      <w:pPr>
        <w:autoSpaceDE w:val="0"/>
        <w:autoSpaceDN w:val="0"/>
        <w:adjustRightInd w:val="0"/>
        <w:spacing w:before="240"/>
        <w:ind w:right="-18"/>
        <w:rPr>
          <w:b/>
          <w:bCs/>
          <w:u w:val="single"/>
        </w:rPr>
      </w:pPr>
      <w:r w:rsidRPr="00501C55">
        <w:rPr>
          <w:b/>
          <w:bCs/>
          <w:u w:val="single"/>
        </w:rPr>
        <w:t>Para los efectos de esta resolución, resulta oportuno precisar la improcedencia del recurso por no actualizar alguno de los supuestos previstos en la ley de transparencia y por tratarse de una consulta (Artículo 191 fracciones III y VI y 192 fracción IV de la Ley de Transparencia local)</w:t>
      </w:r>
    </w:p>
    <w:p w14:paraId="1D0C1E15" w14:textId="77777777" w:rsidR="00247BD4" w:rsidRPr="00501C55" w:rsidRDefault="00247BD4" w:rsidP="00501C55">
      <w:pPr>
        <w:tabs>
          <w:tab w:val="left" w:pos="5415"/>
        </w:tabs>
        <w:spacing w:before="240"/>
        <w:ind w:right="51"/>
        <w:rPr>
          <w:rFonts w:cs="Arial"/>
        </w:rPr>
      </w:pPr>
      <w:r w:rsidRPr="00501C55">
        <w:rPr>
          <w:rFonts w:cs="Arial"/>
        </w:rPr>
        <w:t xml:space="preserve">Bajo este contexto, cobra particular relevancia la corriente que emana de la Segunda Sala de la Suprema Corte de Justicia de la Nación, a través de la jurisprudencia con número de registro digital </w:t>
      </w:r>
      <w:r w:rsidRPr="00501C55">
        <w:rPr>
          <w:rFonts w:cs="Arial"/>
          <w:b/>
        </w:rPr>
        <w:t>195744</w:t>
      </w:r>
      <w:r w:rsidRPr="00501C55">
        <w:rPr>
          <w:rFonts w:cs="Arial"/>
        </w:rPr>
        <w:t xml:space="preserve"> de la Novena Época, visible en el Semanario Judicial de la Federación y su Gaceta, Tomo VIII, de agosto de 1998, tesis 2a/J. 54/98 en materia común, en la que se establece lo siguiente:</w:t>
      </w:r>
    </w:p>
    <w:p w14:paraId="74EADE0C" w14:textId="77777777" w:rsidR="00247BD4" w:rsidRPr="00501C55" w:rsidRDefault="00247BD4" w:rsidP="00501C55">
      <w:pPr>
        <w:spacing w:before="240" w:after="160"/>
        <w:ind w:left="851" w:right="851"/>
        <w:rPr>
          <w:rFonts w:cs="Arial"/>
          <w:b/>
          <w:i/>
          <w:szCs w:val="22"/>
          <w:lang w:eastAsia="es-MX"/>
        </w:rPr>
      </w:pPr>
      <w:r w:rsidRPr="00501C55">
        <w:rPr>
          <w:rFonts w:cs="Arial"/>
          <w:b/>
          <w:i/>
          <w:szCs w:val="22"/>
          <w:lang w:eastAsia="es-MX"/>
        </w:rPr>
        <w:t>“SOBRESEIMIENTO. BASTA EL ESTUDIO DE UNA SOLA CAUSAL DE IMPROCEDENCIA.</w:t>
      </w:r>
    </w:p>
    <w:p w14:paraId="71556B11" w14:textId="77777777" w:rsidR="00247BD4" w:rsidRPr="00501C55" w:rsidRDefault="00247BD4" w:rsidP="00501C55">
      <w:pPr>
        <w:spacing w:before="240" w:after="160"/>
        <w:ind w:left="851" w:right="851"/>
        <w:rPr>
          <w:rFonts w:cs="Arial"/>
          <w:i/>
          <w:szCs w:val="22"/>
          <w:lang w:eastAsia="es-MX"/>
        </w:rPr>
      </w:pPr>
      <w:r w:rsidRPr="00501C55">
        <w:rPr>
          <w:rFonts w:cs="Arial"/>
          <w:i/>
          <w:szCs w:val="22"/>
          <w:lang w:eastAsia="es-MX"/>
        </w:rPr>
        <w:t>Al quedar demostrado que el juicio de garantías es improcedente y que debe sobreseerse con apoyo en los artículos relativos de la Ley de Amparo, el que opere, o no, alguna otra causal de improcedencia, es irrelevante, porque no cambiaría el sentido de la resolución.</w:t>
      </w:r>
    </w:p>
    <w:p w14:paraId="74F95CFD" w14:textId="77777777" w:rsidR="00247BD4" w:rsidRPr="00501C55" w:rsidRDefault="00247BD4" w:rsidP="00501C55">
      <w:pPr>
        <w:spacing w:before="240" w:after="160"/>
        <w:ind w:left="851" w:right="851"/>
        <w:rPr>
          <w:rFonts w:cs="Arial"/>
          <w:i/>
          <w:szCs w:val="22"/>
          <w:lang w:eastAsia="es-MX"/>
        </w:rPr>
      </w:pPr>
      <w:r w:rsidRPr="00501C55">
        <w:rPr>
          <w:rFonts w:cs="Arial"/>
          <w:i/>
          <w:szCs w:val="22"/>
          <w:lang w:eastAsia="es-MX"/>
        </w:rPr>
        <w:lastRenderedPageBreak/>
        <w:t>Amparo en revisión 7488/81. Maximino Juárez Miguel (Poblado de San Francisco Jaltepetongo, Municipio del mismo nombre, Estado de Oaxaca. Acumulados). 29 de noviembre de 1982. Cinco votos. Ponente: Carlos del Río Rodríguez. Secretario: Wilfrido Castañón León.</w:t>
      </w:r>
    </w:p>
    <w:p w14:paraId="1D7152D1" w14:textId="77777777" w:rsidR="00247BD4" w:rsidRPr="00501C55" w:rsidRDefault="00247BD4" w:rsidP="00501C55">
      <w:pPr>
        <w:spacing w:before="240" w:after="160"/>
        <w:ind w:left="851" w:right="851"/>
        <w:rPr>
          <w:rFonts w:cs="Arial"/>
          <w:i/>
          <w:szCs w:val="22"/>
          <w:lang w:eastAsia="es-MX"/>
        </w:rPr>
      </w:pPr>
      <w:r w:rsidRPr="00501C55">
        <w:rPr>
          <w:rFonts w:cs="Arial"/>
          <w:i/>
          <w:szCs w:val="22"/>
          <w:lang w:eastAsia="es-MX"/>
        </w:rPr>
        <w:t>Amparo en revisión 540/97. Bancomer, S.A., Institución de Banca Múltiple y Grupo Financiero. 30 de enero de 1998. Cinco votos. Ponente: Sergio Salvador Aguirre Anguiano. Secretaria: Alma Delia Aguilar Chávez Nava.</w:t>
      </w:r>
    </w:p>
    <w:p w14:paraId="1F82EDF9" w14:textId="77777777" w:rsidR="00247BD4" w:rsidRPr="00501C55" w:rsidRDefault="00247BD4" w:rsidP="00501C55">
      <w:pPr>
        <w:spacing w:before="240" w:after="160"/>
        <w:ind w:left="851" w:right="851"/>
        <w:rPr>
          <w:rFonts w:cs="Arial"/>
          <w:i/>
          <w:szCs w:val="22"/>
          <w:lang w:eastAsia="en-US"/>
        </w:rPr>
      </w:pPr>
      <w:r w:rsidRPr="00501C55">
        <w:rPr>
          <w:rFonts w:cs="Arial"/>
          <w:i/>
          <w:szCs w:val="22"/>
          <w:lang w:eastAsia="es-MX"/>
        </w:rPr>
        <w:t>Amparo en revisión 3059/97. Francisco Cañedo Zavaleta. 30 de enero de 1998. Cinco votos. Ponente: Sergio Salvador Aguirre Anguiano. Secretaria: Adela Domínguez Salazar.</w:t>
      </w:r>
      <w:r w:rsidRPr="00501C55">
        <w:rPr>
          <w:rFonts w:cs="Arial"/>
          <w:i/>
          <w:szCs w:val="22"/>
          <w:lang w:eastAsia="en-US"/>
        </w:rPr>
        <w:br/>
        <w:t>Amparo en revisión 1634/96. Arturo Veana Espinosa. 20 de febrero de 1998. Cinco votos. Ponente: Sergio Salvador Aguirre Anguiano. Secretaria: Adela Domínguez Salazar.</w:t>
      </w:r>
    </w:p>
    <w:p w14:paraId="7CF03F52" w14:textId="77777777" w:rsidR="00247BD4" w:rsidRPr="00501C55" w:rsidRDefault="00247BD4" w:rsidP="00501C55">
      <w:pPr>
        <w:spacing w:before="240" w:after="160"/>
        <w:ind w:left="851" w:right="851"/>
        <w:rPr>
          <w:rFonts w:cs="Arial"/>
          <w:i/>
          <w:szCs w:val="22"/>
          <w:lang w:eastAsia="es-MX"/>
        </w:rPr>
      </w:pPr>
      <w:r w:rsidRPr="00501C55">
        <w:rPr>
          <w:rFonts w:cs="Arial"/>
          <w:i/>
          <w:szCs w:val="22"/>
          <w:lang w:eastAsia="es-MX"/>
        </w:rPr>
        <w:t>Amparo en revisión 2204/97. De Raffaelo, S.A. de C.V. 27 de mayo de 1998. Cinco votos. Ponente: Juan Díaz Romero. Secretario: Aristeo Martínez Cruz.</w:t>
      </w:r>
    </w:p>
    <w:p w14:paraId="27BA3323" w14:textId="77777777" w:rsidR="00247BD4" w:rsidRPr="00501C55" w:rsidRDefault="00247BD4" w:rsidP="00501C55">
      <w:pPr>
        <w:spacing w:before="240" w:after="160"/>
        <w:ind w:left="851" w:right="851"/>
        <w:rPr>
          <w:rFonts w:cs="Arial"/>
          <w:b/>
          <w:i/>
          <w:szCs w:val="22"/>
          <w:lang w:eastAsia="es-MX"/>
        </w:rPr>
      </w:pPr>
      <w:r w:rsidRPr="00501C55">
        <w:rPr>
          <w:rFonts w:cs="Arial"/>
          <w:i/>
          <w:szCs w:val="22"/>
          <w:lang w:eastAsia="es-MX"/>
        </w:rPr>
        <w:t xml:space="preserve">Tesis de jurisprudencia 54/98. Aprobada por la Segunda Sala de este Alto Tribunal, en sesión privada del veintiséis de junio de mil novecientos noventa y ocho.” </w:t>
      </w:r>
      <w:r w:rsidRPr="00501C55">
        <w:rPr>
          <w:rFonts w:cs="Arial"/>
          <w:b/>
          <w:i/>
          <w:szCs w:val="22"/>
          <w:lang w:eastAsia="es-MX"/>
        </w:rPr>
        <w:t xml:space="preserve">[Sic] </w:t>
      </w:r>
    </w:p>
    <w:p w14:paraId="2D48936B" w14:textId="77777777" w:rsidR="00247BD4" w:rsidRPr="00501C55" w:rsidRDefault="00247BD4" w:rsidP="00501C55">
      <w:pPr>
        <w:autoSpaceDE w:val="0"/>
        <w:autoSpaceDN w:val="0"/>
        <w:adjustRightInd w:val="0"/>
        <w:rPr>
          <w:rFonts w:cs="Arial"/>
        </w:rPr>
      </w:pPr>
      <w:r w:rsidRPr="00501C55">
        <w:rPr>
          <w:rFonts w:cs="Arial"/>
        </w:rPr>
        <w:t>En conclusión, la ley de la materia establece como causas de improcedencia que se trate de una consulta, o tramite en específico, lo que en la especie actualiza la fracción VI, del arábigo 191, de la multicitada ley, que a la letra reza:</w:t>
      </w:r>
    </w:p>
    <w:p w14:paraId="544C3135" w14:textId="77777777" w:rsidR="00247BD4" w:rsidRPr="00501C55" w:rsidRDefault="00247BD4" w:rsidP="00501C55">
      <w:pPr>
        <w:spacing w:before="240" w:after="160"/>
        <w:ind w:left="851" w:right="851"/>
        <w:rPr>
          <w:rFonts w:cs="Arial"/>
          <w:i/>
          <w:szCs w:val="22"/>
          <w:lang w:eastAsia="en-US"/>
        </w:rPr>
      </w:pPr>
      <w:r w:rsidRPr="00501C55">
        <w:rPr>
          <w:rFonts w:cs="Arial"/>
          <w:i/>
          <w:szCs w:val="22"/>
          <w:lang w:eastAsia="en-US"/>
        </w:rPr>
        <w:t>“</w:t>
      </w:r>
      <w:r w:rsidRPr="00501C55">
        <w:rPr>
          <w:rFonts w:cs="Arial"/>
          <w:b/>
          <w:i/>
          <w:szCs w:val="22"/>
          <w:lang w:eastAsia="en-US"/>
        </w:rPr>
        <w:t>Artículo 191</w:t>
      </w:r>
      <w:r w:rsidRPr="00501C55">
        <w:rPr>
          <w:rFonts w:cs="Arial"/>
          <w:i/>
          <w:szCs w:val="22"/>
          <w:lang w:eastAsia="en-US"/>
        </w:rPr>
        <w:t xml:space="preserve">. El recurso será desechado por improcedente cuando: </w:t>
      </w:r>
      <w:r w:rsidRPr="00501C55">
        <w:rPr>
          <w:rFonts w:cs="Arial"/>
          <w:i/>
          <w:szCs w:val="22"/>
          <w:lang w:eastAsia="en-US"/>
        </w:rPr>
        <w:tab/>
      </w:r>
    </w:p>
    <w:p w14:paraId="0A08A715" w14:textId="77777777" w:rsidR="00247BD4" w:rsidRPr="00501C55" w:rsidRDefault="00247BD4" w:rsidP="00501C55">
      <w:pPr>
        <w:numPr>
          <w:ilvl w:val="0"/>
          <w:numId w:val="16"/>
        </w:numPr>
        <w:spacing w:before="240" w:after="160"/>
        <w:ind w:right="851"/>
        <w:rPr>
          <w:i/>
          <w:szCs w:val="22"/>
          <w:lang w:val="es-ES"/>
        </w:rPr>
      </w:pPr>
      <w:r w:rsidRPr="00501C55">
        <w:rPr>
          <w:i/>
          <w:szCs w:val="22"/>
          <w:lang w:val="es-ES"/>
        </w:rPr>
        <w:lastRenderedPageBreak/>
        <w:t xml:space="preserve">Sea extemporáneo por haber transcurrido el plazo establecido en la presente Ley, a partir de la respuesta; </w:t>
      </w:r>
    </w:p>
    <w:p w14:paraId="08FE8887" w14:textId="77777777" w:rsidR="00247BD4" w:rsidRPr="00501C55" w:rsidRDefault="00247BD4" w:rsidP="00501C55">
      <w:pPr>
        <w:numPr>
          <w:ilvl w:val="0"/>
          <w:numId w:val="16"/>
        </w:numPr>
        <w:spacing w:before="240" w:after="160"/>
        <w:ind w:right="851"/>
        <w:rPr>
          <w:rFonts w:cs="Arial"/>
          <w:i/>
          <w:szCs w:val="22"/>
          <w:lang w:val="es-ES"/>
        </w:rPr>
      </w:pPr>
      <w:r w:rsidRPr="00501C55">
        <w:rPr>
          <w:i/>
          <w:szCs w:val="22"/>
          <w:lang w:val="es-ES"/>
        </w:rPr>
        <w:t xml:space="preserve">Se esté tramitando ante el Poder Judicial de la Federación algún recurso o medio de defensa interpuesto por el recurrente; </w:t>
      </w:r>
    </w:p>
    <w:p w14:paraId="27C869DA" w14:textId="77777777" w:rsidR="00247BD4" w:rsidRPr="00501C55" w:rsidRDefault="00247BD4" w:rsidP="00501C55">
      <w:pPr>
        <w:numPr>
          <w:ilvl w:val="0"/>
          <w:numId w:val="16"/>
        </w:numPr>
        <w:spacing w:before="240" w:after="160"/>
        <w:ind w:right="851"/>
        <w:rPr>
          <w:rFonts w:cs="Arial"/>
          <w:i/>
          <w:szCs w:val="22"/>
          <w:lang w:val="es-ES"/>
        </w:rPr>
      </w:pPr>
      <w:r w:rsidRPr="00501C55">
        <w:rPr>
          <w:i/>
          <w:szCs w:val="22"/>
          <w:lang w:val="es-ES"/>
        </w:rPr>
        <w:t xml:space="preserve">No actualice alguno de los supuestos previstos en la presente Ley; </w:t>
      </w:r>
    </w:p>
    <w:p w14:paraId="4E919C9F" w14:textId="77777777" w:rsidR="00247BD4" w:rsidRPr="00501C55" w:rsidRDefault="00247BD4" w:rsidP="00501C55">
      <w:pPr>
        <w:numPr>
          <w:ilvl w:val="0"/>
          <w:numId w:val="16"/>
        </w:numPr>
        <w:spacing w:before="240" w:after="160"/>
        <w:ind w:right="851"/>
        <w:rPr>
          <w:rFonts w:cs="Arial"/>
          <w:i/>
          <w:szCs w:val="22"/>
          <w:lang w:val="es-ES"/>
        </w:rPr>
      </w:pPr>
      <w:r w:rsidRPr="00501C55">
        <w:rPr>
          <w:i/>
          <w:szCs w:val="22"/>
          <w:lang w:val="es-ES"/>
        </w:rPr>
        <w:t xml:space="preserve">No se haya desahogado la prevención en los términos establecidos en la presente Ley; </w:t>
      </w:r>
    </w:p>
    <w:p w14:paraId="43326417" w14:textId="77777777" w:rsidR="00247BD4" w:rsidRPr="00501C55" w:rsidRDefault="00247BD4" w:rsidP="00501C55">
      <w:pPr>
        <w:numPr>
          <w:ilvl w:val="0"/>
          <w:numId w:val="16"/>
        </w:numPr>
        <w:spacing w:before="240" w:after="160"/>
        <w:ind w:right="851"/>
        <w:rPr>
          <w:rFonts w:cs="Arial"/>
          <w:i/>
          <w:szCs w:val="22"/>
          <w:lang w:val="es-ES"/>
        </w:rPr>
      </w:pPr>
      <w:r w:rsidRPr="00501C55">
        <w:rPr>
          <w:i/>
          <w:szCs w:val="22"/>
          <w:lang w:val="es-ES"/>
        </w:rPr>
        <w:t xml:space="preserve">Se impugne la veracidad de la información proporcionada; </w:t>
      </w:r>
    </w:p>
    <w:p w14:paraId="7F36A882" w14:textId="77777777" w:rsidR="00247BD4" w:rsidRPr="00501C55" w:rsidRDefault="00247BD4" w:rsidP="00501C55">
      <w:pPr>
        <w:numPr>
          <w:ilvl w:val="0"/>
          <w:numId w:val="16"/>
        </w:numPr>
        <w:spacing w:before="240" w:after="160"/>
        <w:ind w:right="851"/>
        <w:rPr>
          <w:rFonts w:cs="Arial"/>
          <w:b/>
          <w:bCs/>
          <w:i/>
          <w:szCs w:val="22"/>
          <w:u w:val="single"/>
          <w:lang w:val="es-ES"/>
        </w:rPr>
      </w:pPr>
      <w:r w:rsidRPr="00501C55">
        <w:rPr>
          <w:b/>
          <w:bCs/>
          <w:i/>
          <w:szCs w:val="22"/>
          <w:u w:val="single"/>
          <w:lang w:val="es-ES"/>
        </w:rPr>
        <w:t xml:space="preserve">Se trate de una consulta, o trámite en específico; y </w:t>
      </w:r>
    </w:p>
    <w:p w14:paraId="6EEB817A" w14:textId="77777777" w:rsidR="00247BD4" w:rsidRPr="00501C55" w:rsidRDefault="00247BD4" w:rsidP="00501C55">
      <w:pPr>
        <w:numPr>
          <w:ilvl w:val="0"/>
          <w:numId w:val="16"/>
        </w:numPr>
        <w:spacing w:before="240" w:after="160"/>
        <w:ind w:right="851"/>
        <w:rPr>
          <w:rFonts w:cs="Arial"/>
          <w:i/>
          <w:szCs w:val="22"/>
          <w:lang w:val="es-ES"/>
        </w:rPr>
      </w:pPr>
      <w:r w:rsidRPr="00501C55">
        <w:rPr>
          <w:i/>
          <w:szCs w:val="22"/>
          <w:lang w:val="es-ES"/>
        </w:rPr>
        <w:t xml:space="preserve">El recurrente amplíe su solicitud en el recurso de revisión, únicamente respecto de los nuevos contenidos.” </w:t>
      </w:r>
      <w:r w:rsidRPr="00501C55">
        <w:rPr>
          <w:b/>
          <w:bCs/>
          <w:i/>
          <w:szCs w:val="22"/>
          <w:lang w:val="es-ES"/>
        </w:rPr>
        <w:t>(Sic)</w:t>
      </w:r>
    </w:p>
    <w:p w14:paraId="5BD32812" w14:textId="77777777" w:rsidR="00247BD4" w:rsidRPr="00501C55" w:rsidRDefault="00247BD4" w:rsidP="00501C55">
      <w:pPr>
        <w:autoSpaceDE w:val="0"/>
        <w:autoSpaceDN w:val="0"/>
        <w:adjustRightInd w:val="0"/>
        <w:rPr>
          <w:rFonts w:cs="Arial"/>
        </w:rPr>
      </w:pPr>
      <w:r w:rsidRPr="00501C55">
        <w:rPr>
          <w:rFonts w:cs="Arial"/>
        </w:rPr>
        <w:t>Artículo que concatenado con lo establecido en la fracción IV, del numeral 192, de la Ley de Transparencia vigente en la entidad, que a la letra establece:</w:t>
      </w:r>
    </w:p>
    <w:p w14:paraId="4EB51307" w14:textId="77777777" w:rsidR="00247BD4" w:rsidRPr="00501C55" w:rsidRDefault="00247BD4" w:rsidP="00501C55">
      <w:pPr>
        <w:spacing w:before="240" w:after="160"/>
        <w:ind w:left="851" w:right="851"/>
        <w:rPr>
          <w:rFonts w:cs="Arial"/>
          <w:i/>
          <w:szCs w:val="22"/>
          <w:lang w:val="es-ES"/>
        </w:rPr>
      </w:pPr>
      <w:r w:rsidRPr="00501C55">
        <w:rPr>
          <w:rFonts w:cs="Arial"/>
          <w:i/>
          <w:szCs w:val="22"/>
          <w:lang w:val="es-ES"/>
        </w:rPr>
        <w:t>“</w:t>
      </w:r>
      <w:r w:rsidRPr="00501C55">
        <w:rPr>
          <w:rFonts w:cs="Arial"/>
          <w:b/>
          <w:i/>
          <w:szCs w:val="22"/>
          <w:lang w:val="es-ES"/>
        </w:rPr>
        <w:t>Artículo 192</w:t>
      </w:r>
      <w:r w:rsidRPr="00501C55">
        <w:rPr>
          <w:rFonts w:cs="Arial"/>
          <w:i/>
          <w:szCs w:val="22"/>
          <w:lang w:val="es-ES"/>
        </w:rPr>
        <w:t>. El recurso será sobreseído, en todo o en parte, cuando una vez admitido, se actualicen alguno de los siguientes supuestos:</w:t>
      </w:r>
    </w:p>
    <w:p w14:paraId="13A7E13E" w14:textId="77777777" w:rsidR="00247BD4" w:rsidRPr="00501C55" w:rsidRDefault="00247BD4" w:rsidP="00501C55">
      <w:pPr>
        <w:numPr>
          <w:ilvl w:val="0"/>
          <w:numId w:val="17"/>
        </w:numPr>
        <w:spacing w:before="240" w:after="160"/>
        <w:ind w:right="851"/>
        <w:rPr>
          <w:rFonts w:cs="Arial"/>
          <w:i/>
          <w:szCs w:val="22"/>
          <w:lang w:val="es-ES"/>
        </w:rPr>
      </w:pPr>
      <w:r w:rsidRPr="00501C55">
        <w:rPr>
          <w:rFonts w:cs="Arial"/>
          <w:i/>
          <w:szCs w:val="22"/>
          <w:lang w:val="es-ES"/>
        </w:rPr>
        <w:t xml:space="preserve">El recurrente se desista expresamente del recurso; </w:t>
      </w:r>
    </w:p>
    <w:p w14:paraId="2A78B801" w14:textId="77777777" w:rsidR="00247BD4" w:rsidRPr="00501C55" w:rsidRDefault="00247BD4" w:rsidP="00501C55">
      <w:pPr>
        <w:numPr>
          <w:ilvl w:val="0"/>
          <w:numId w:val="17"/>
        </w:numPr>
        <w:spacing w:before="240" w:after="160"/>
        <w:ind w:right="851"/>
        <w:rPr>
          <w:rFonts w:cs="Arial"/>
          <w:i/>
          <w:szCs w:val="22"/>
          <w:lang w:val="es-ES"/>
        </w:rPr>
      </w:pPr>
      <w:r w:rsidRPr="00501C55">
        <w:rPr>
          <w:rFonts w:cs="Arial"/>
          <w:i/>
          <w:szCs w:val="22"/>
          <w:lang w:val="es-ES"/>
        </w:rPr>
        <w:t xml:space="preserve">El recurrente fallezca o, tratándose de personas jurídicas colectivas, se disuelva; </w:t>
      </w:r>
    </w:p>
    <w:p w14:paraId="7437C5D8" w14:textId="77777777" w:rsidR="00247BD4" w:rsidRPr="00501C55" w:rsidRDefault="00247BD4" w:rsidP="00501C55">
      <w:pPr>
        <w:numPr>
          <w:ilvl w:val="0"/>
          <w:numId w:val="17"/>
        </w:numPr>
        <w:spacing w:before="240" w:after="160"/>
        <w:ind w:right="851"/>
        <w:rPr>
          <w:rFonts w:cs="Arial"/>
          <w:i/>
          <w:szCs w:val="22"/>
          <w:lang w:val="es-ES"/>
        </w:rPr>
      </w:pPr>
      <w:r w:rsidRPr="00501C55">
        <w:rPr>
          <w:rFonts w:cs="Arial"/>
          <w:i/>
          <w:szCs w:val="22"/>
          <w:lang w:val="es-ES"/>
        </w:rPr>
        <w:lastRenderedPageBreak/>
        <w:t xml:space="preserve">El sujeto obligado responsable del acto lo modifique o revoque de tal manera que el recurso de revisión quede sin materia; </w:t>
      </w:r>
    </w:p>
    <w:p w14:paraId="1AADD440" w14:textId="77777777" w:rsidR="00247BD4" w:rsidRPr="00501C55" w:rsidRDefault="00247BD4" w:rsidP="00501C55">
      <w:pPr>
        <w:numPr>
          <w:ilvl w:val="0"/>
          <w:numId w:val="17"/>
        </w:numPr>
        <w:spacing w:before="240" w:after="160"/>
        <w:ind w:right="851"/>
        <w:rPr>
          <w:rFonts w:cs="Arial"/>
          <w:b/>
          <w:bCs/>
          <w:i/>
          <w:szCs w:val="22"/>
          <w:u w:val="single"/>
          <w:lang w:val="es-ES"/>
        </w:rPr>
      </w:pPr>
      <w:r w:rsidRPr="00501C55">
        <w:rPr>
          <w:rFonts w:cs="Arial"/>
          <w:b/>
          <w:bCs/>
          <w:i/>
          <w:szCs w:val="22"/>
          <w:u w:val="single"/>
          <w:lang w:val="es-ES"/>
        </w:rPr>
        <w:t xml:space="preserve">Admitido el recurso de revisión, aparezca alguna causal de improcedencia en los términos de la presente Ley; y </w:t>
      </w:r>
    </w:p>
    <w:p w14:paraId="19B45A91" w14:textId="77777777" w:rsidR="00247BD4" w:rsidRPr="00501C55" w:rsidRDefault="00247BD4" w:rsidP="00501C55">
      <w:pPr>
        <w:numPr>
          <w:ilvl w:val="0"/>
          <w:numId w:val="17"/>
        </w:numPr>
        <w:spacing w:before="240" w:after="160"/>
        <w:ind w:right="851"/>
        <w:rPr>
          <w:rFonts w:cs="Arial"/>
          <w:i/>
          <w:szCs w:val="22"/>
          <w:lang w:val="es-ES"/>
        </w:rPr>
      </w:pPr>
      <w:r w:rsidRPr="00501C55">
        <w:rPr>
          <w:rFonts w:cs="Arial"/>
          <w:i/>
          <w:szCs w:val="22"/>
          <w:lang w:val="es-ES"/>
        </w:rPr>
        <w:t xml:space="preserve">Cuando por cualquier motivo quede sin materia el recurso.” </w:t>
      </w:r>
      <w:r w:rsidRPr="00501C55">
        <w:rPr>
          <w:rFonts w:cs="Arial"/>
          <w:b/>
          <w:bCs/>
          <w:i/>
          <w:szCs w:val="22"/>
          <w:lang w:val="es-ES"/>
        </w:rPr>
        <w:t>(Sic)</w:t>
      </w:r>
    </w:p>
    <w:p w14:paraId="370332CF" w14:textId="77777777" w:rsidR="00247BD4" w:rsidRPr="00501C55" w:rsidRDefault="00247BD4" w:rsidP="00501C55">
      <w:pPr>
        <w:autoSpaceDE w:val="0"/>
        <w:autoSpaceDN w:val="0"/>
        <w:adjustRightInd w:val="0"/>
      </w:pPr>
      <w:r w:rsidRPr="00501C55">
        <w:t xml:space="preserve">Es importante resaltar a manera de analogía que la Suprema Corte de Justicia de la Nación mediante el número 2, de la Serie </w:t>
      </w:r>
      <w:r w:rsidRPr="00501C55">
        <w:rPr>
          <w:b/>
          <w:bCs/>
          <w:i/>
        </w:rPr>
        <w:t>Estudios Introductorios sobre el Juicio de Amparo</w:t>
      </w:r>
      <w:r w:rsidRPr="00501C55">
        <w:rPr>
          <w:i/>
        </w:rPr>
        <w:t xml:space="preserve"> </w:t>
      </w:r>
      <w:r w:rsidRPr="00501C55">
        <w:t xml:space="preserve">relativo a </w:t>
      </w:r>
      <w:r w:rsidRPr="00501C55">
        <w:rPr>
          <w:b/>
          <w:bCs/>
          <w:i/>
        </w:rPr>
        <w:t>LA IMPROCEDENCIA DE LA ACCIÓN DE AMPARO</w:t>
      </w:r>
      <w:r w:rsidRPr="00501C55">
        <w:rPr>
          <w:i/>
        </w:rPr>
        <w:t xml:space="preserve"> </w:t>
      </w:r>
      <w:r w:rsidRPr="00501C55">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501C55">
        <w:rPr>
          <w:b/>
          <w:u w:val="single"/>
        </w:rPr>
        <w:t>lo que generará que la demanda sea desechada; o bien, después de admitida la demanda, lo que tendrá como consecuencia que se sobresea en el juicio.</w:t>
      </w:r>
    </w:p>
    <w:p w14:paraId="10C109A4" w14:textId="77777777" w:rsidR="00247BD4" w:rsidRPr="00501C55" w:rsidRDefault="00247BD4" w:rsidP="00501C55">
      <w:pPr>
        <w:rPr>
          <w:szCs w:val="24"/>
        </w:rPr>
      </w:pPr>
    </w:p>
    <w:p w14:paraId="589B9545" w14:textId="77777777" w:rsidR="00247BD4" w:rsidRPr="00501C55" w:rsidRDefault="00247BD4" w:rsidP="00501C55">
      <w:r w:rsidRPr="00501C55">
        <w:rPr>
          <w:szCs w:val="24"/>
        </w:rPr>
        <w:t>Por lo anterior, al acreditarse la procedencia del sobreseimiento, este Instituto está</w:t>
      </w:r>
      <w:r w:rsidRPr="00501C55">
        <w:t xml:space="preserve"> imposibilitado para analizar las cuestiones de fondo, en virtud de que el sobreseimiento constituye un acto procesal que termina el proceso por cuestiones ajenas al fondo del asunto, lo anterior conforme a la jurisprudencia identificada como el registro digital 220705</w:t>
      </w:r>
      <w:r w:rsidRPr="00501C55">
        <w:rPr>
          <w:rFonts w:cs="Palatino Linotype"/>
          <w:vertAlign w:val="superscript"/>
        </w:rPr>
        <w:footnoteReference w:id="5"/>
      </w:r>
      <w:r w:rsidRPr="00501C55">
        <w:t>, en la que se estipula lo siguiente:</w:t>
      </w:r>
    </w:p>
    <w:p w14:paraId="63BA56D9" w14:textId="77777777" w:rsidR="00247BD4" w:rsidRPr="00501C55" w:rsidRDefault="00247BD4" w:rsidP="00501C55">
      <w:pPr>
        <w:rPr>
          <w:szCs w:val="24"/>
        </w:rPr>
      </w:pPr>
    </w:p>
    <w:p w14:paraId="7EA2BA6A" w14:textId="77777777" w:rsidR="00247BD4" w:rsidRPr="00501C55" w:rsidRDefault="00247BD4" w:rsidP="00501C55">
      <w:pPr>
        <w:spacing w:line="240" w:lineRule="auto"/>
        <w:ind w:left="567" w:right="567"/>
        <w:rPr>
          <w:rFonts w:cs="Palatino Linotype"/>
          <w:b/>
          <w:bCs/>
          <w:iCs/>
        </w:rPr>
      </w:pPr>
      <w:r w:rsidRPr="00501C55">
        <w:rPr>
          <w:rFonts w:cs="Palatino Linotype"/>
          <w:b/>
          <w:bCs/>
          <w:i/>
          <w:iCs/>
        </w:rPr>
        <w:t>SOBRESEIMIENTO. IMPIDE EL ESTUDIO DE LAS CUESTIONES DE FONDO.</w:t>
      </w:r>
    </w:p>
    <w:p w14:paraId="43D670D0" w14:textId="77777777" w:rsidR="00247BD4" w:rsidRPr="00501C55" w:rsidRDefault="00247BD4" w:rsidP="00501C55">
      <w:pPr>
        <w:spacing w:line="240" w:lineRule="auto"/>
        <w:ind w:left="567" w:right="567"/>
        <w:rPr>
          <w:rFonts w:cs="Palatino Linotype"/>
          <w:iCs/>
        </w:rPr>
      </w:pPr>
      <w:r w:rsidRPr="00501C55">
        <w:rPr>
          <w:rFonts w:cs="Palatino Linotype"/>
          <w:i/>
          <w:iCs/>
        </w:rPr>
        <w:lastRenderedPageBreak/>
        <w:t>La resolución en que se decreta el sobreseimiento en el juicio constituye un acto procesal que termina la instancia por cuestiones ajenas al aspecto de fondo planteado. Así, no causa agravio la sentencia que no se ocupa de examinar la constitucionalidad o inconstitucionalidad del acto reclamado, ya que tal cuestión constituye el problema de fondo planteado.</w:t>
      </w:r>
    </w:p>
    <w:p w14:paraId="14B2C298" w14:textId="77777777" w:rsidR="00247BD4" w:rsidRPr="00501C55" w:rsidRDefault="00247BD4" w:rsidP="00501C55">
      <w:pPr>
        <w:ind w:right="-312"/>
        <w:rPr>
          <w:b/>
          <w:szCs w:val="22"/>
        </w:rPr>
      </w:pPr>
    </w:p>
    <w:p w14:paraId="28DFEB55" w14:textId="77777777" w:rsidR="00247BD4" w:rsidRPr="00501C55" w:rsidRDefault="00247BD4" w:rsidP="00501C55">
      <w:pPr>
        <w:keepNext/>
        <w:keepLines/>
        <w:spacing w:line="480" w:lineRule="auto"/>
        <w:jc w:val="left"/>
        <w:outlineLvl w:val="2"/>
        <w:rPr>
          <w:rFonts w:eastAsiaTheme="majorEastAsia"/>
          <w:bCs/>
          <w:szCs w:val="28"/>
        </w:rPr>
      </w:pPr>
      <w:bookmarkStart w:id="31" w:name="_Toc171534642"/>
      <w:bookmarkStart w:id="32" w:name="_Toc179375740"/>
      <w:bookmarkStart w:id="33" w:name="_Toc179464020"/>
      <w:bookmarkStart w:id="34" w:name="_Toc179475882"/>
      <w:bookmarkStart w:id="35" w:name="_Toc183189369"/>
      <w:r w:rsidRPr="00501C55">
        <w:rPr>
          <w:rFonts w:eastAsiaTheme="majorEastAsia"/>
          <w:bCs/>
          <w:szCs w:val="28"/>
        </w:rPr>
        <w:t>d) Conclusión</w:t>
      </w:r>
      <w:bookmarkEnd w:id="31"/>
      <w:bookmarkEnd w:id="32"/>
      <w:bookmarkEnd w:id="33"/>
      <w:bookmarkEnd w:id="34"/>
      <w:bookmarkEnd w:id="35"/>
    </w:p>
    <w:p w14:paraId="3153D281" w14:textId="77777777" w:rsidR="00247BD4" w:rsidRPr="00501C55" w:rsidRDefault="00247BD4" w:rsidP="00501C55">
      <w:pPr>
        <w:rPr>
          <w:rFonts w:cs="Arial"/>
          <w:szCs w:val="28"/>
          <w:lang w:val="es-ES"/>
        </w:rPr>
      </w:pPr>
      <w:bookmarkStart w:id="36" w:name="_vx1227" w:colFirst="0" w:colLast="0"/>
      <w:bookmarkEnd w:id="36"/>
      <w:r w:rsidRPr="00501C55">
        <w:t xml:space="preserve">Derivado de lo anterior, este Instituto </w:t>
      </w:r>
      <w:r w:rsidRPr="00501C55">
        <w:rPr>
          <w:rFonts w:cs="Arial"/>
          <w:lang w:val="es-ES_tradnl"/>
        </w:rPr>
        <w:t xml:space="preserve">determina </w:t>
      </w:r>
      <w:r w:rsidRPr="00501C55">
        <w:rPr>
          <w:rFonts w:cs="Arial"/>
          <w:b/>
          <w:lang w:val="es-ES_tradnl"/>
        </w:rPr>
        <w:t>SOBRESEER</w:t>
      </w:r>
      <w:r w:rsidRPr="00501C55">
        <w:rPr>
          <w:rFonts w:cs="Arial"/>
          <w:lang w:val="es-ES_tradnl"/>
        </w:rPr>
        <w:t xml:space="preserve"> el presente Recurso de Revisión, en </w:t>
      </w:r>
      <w:r w:rsidRPr="00501C55">
        <w:rPr>
          <w:bCs/>
        </w:rPr>
        <w:t>términos</w:t>
      </w:r>
      <w:r w:rsidRPr="00501C55">
        <w:rPr>
          <w:rFonts w:cs="Arial"/>
          <w:lang w:val="es-ES_tradnl"/>
        </w:rPr>
        <w:t xml:space="preserve"> del artículo 186, fracción I, de la </w:t>
      </w:r>
      <w:r w:rsidRPr="00501C55">
        <w:rPr>
          <w:rFonts w:cs="Arial"/>
        </w:rPr>
        <w:t>Ley de Transparencia y Acceso a la Información Pública del Estado de México y Municipios</w:t>
      </w:r>
      <w:r w:rsidRPr="00501C55">
        <w:rPr>
          <w:rFonts w:cs="Arial"/>
          <w:szCs w:val="28"/>
          <w:lang w:val="es-ES"/>
        </w:rPr>
        <w:t xml:space="preserve">. </w:t>
      </w:r>
    </w:p>
    <w:p w14:paraId="77BF624C" w14:textId="77777777" w:rsidR="00247BD4" w:rsidRPr="00501C55" w:rsidRDefault="00247BD4" w:rsidP="00501C55">
      <w:pPr>
        <w:rPr>
          <w:rFonts w:eastAsiaTheme="minorEastAsia"/>
          <w:lang w:val="es-ES_tradnl"/>
        </w:rPr>
      </w:pPr>
    </w:p>
    <w:p w14:paraId="042AE9BC" w14:textId="77777777" w:rsidR="00247BD4" w:rsidRPr="00501C55" w:rsidRDefault="00247BD4" w:rsidP="00501C55">
      <w:pPr>
        <w:ind w:right="-93"/>
      </w:pPr>
      <w:r w:rsidRPr="00501C55">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7D5588F7" w14:textId="77777777" w:rsidR="00247BD4" w:rsidRPr="00501C55" w:rsidRDefault="00247BD4" w:rsidP="00501C55">
      <w:pPr>
        <w:ind w:right="-93"/>
      </w:pPr>
    </w:p>
    <w:p w14:paraId="55746A5C" w14:textId="77777777" w:rsidR="00247BD4" w:rsidRPr="00501C55" w:rsidRDefault="00247BD4" w:rsidP="00501C55">
      <w:pPr>
        <w:keepNext/>
        <w:keepLines/>
        <w:jc w:val="center"/>
        <w:outlineLvl w:val="0"/>
        <w:rPr>
          <w:rFonts w:eastAsiaTheme="majorEastAsia"/>
          <w:b/>
          <w:szCs w:val="40"/>
        </w:rPr>
      </w:pPr>
      <w:bookmarkStart w:id="37" w:name="_2p2csry" w:colFirst="0" w:colLast="0"/>
      <w:bookmarkStart w:id="38" w:name="_Toc171534644"/>
      <w:bookmarkStart w:id="39" w:name="_Toc179375741"/>
      <w:bookmarkStart w:id="40" w:name="_Toc179464021"/>
      <w:bookmarkStart w:id="41" w:name="_Toc179475883"/>
      <w:bookmarkStart w:id="42" w:name="_Toc183189370"/>
      <w:bookmarkEnd w:id="37"/>
      <w:r w:rsidRPr="00501C55">
        <w:rPr>
          <w:rFonts w:eastAsiaTheme="majorEastAsia"/>
          <w:b/>
          <w:szCs w:val="40"/>
        </w:rPr>
        <w:t>RESUELVE</w:t>
      </w:r>
      <w:bookmarkEnd w:id="38"/>
      <w:bookmarkEnd w:id="39"/>
      <w:bookmarkEnd w:id="40"/>
      <w:bookmarkEnd w:id="41"/>
      <w:bookmarkEnd w:id="42"/>
    </w:p>
    <w:p w14:paraId="6E21245C" w14:textId="77777777" w:rsidR="00247BD4" w:rsidRPr="00501C55" w:rsidRDefault="00247BD4" w:rsidP="00501C55">
      <w:pPr>
        <w:ind w:right="113"/>
        <w:rPr>
          <w:b/>
        </w:rPr>
      </w:pPr>
    </w:p>
    <w:p w14:paraId="087CCE91" w14:textId="36B868E7" w:rsidR="00247BD4" w:rsidRPr="00501C55" w:rsidRDefault="00247BD4" w:rsidP="00501C55">
      <w:pPr>
        <w:rPr>
          <w:lang w:val="es-ES"/>
        </w:rPr>
      </w:pPr>
      <w:r w:rsidRPr="00501C55">
        <w:rPr>
          <w:b/>
        </w:rPr>
        <w:t>PRIMERO.</w:t>
      </w:r>
      <w:r w:rsidRPr="00501C55">
        <w:t xml:space="preserve"> Se </w:t>
      </w:r>
      <w:r w:rsidRPr="00501C55">
        <w:rPr>
          <w:b/>
        </w:rPr>
        <w:t>SOBRESEE</w:t>
      </w:r>
      <w:r w:rsidRPr="00501C55">
        <w:t xml:space="preserve"> el Recurso de Revisión número </w:t>
      </w:r>
      <w:r w:rsidR="006777C6" w:rsidRPr="00501C55">
        <w:rPr>
          <w:rFonts w:cs="Palatino Linotype"/>
          <w:b/>
        </w:rPr>
        <w:t>05757</w:t>
      </w:r>
      <w:r w:rsidRPr="00501C55">
        <w:rPr>
          <w:rFonts w:cs="Palatino Linotype"/>
          <w:b/>
        </w:rPr>
        <w:t xml:space="preserve">/INFOEM/IP/RR/2024 </w:t>
      </w:r>
      <w:r w:rsidRPr="00501C55">
        <w:rPr>
          <w:lang w:val="es-ES"/>
        </w:rPr>
        <w:t xml:space="preserve">porque una vez admitido se actualizó la causal establecida en el artículo 192 fracción IV, </w:t>
      </w:r>
      <w:r w:rsidRPr="00501C55">
        <w:t>por</w:t>
      </w:r>
      <w:r w:rsidRPr="00501C55">
        <w:rPr>
          <w:lang w:val="es-ES"/>
        </w:rPr>
        <w:t xml:space="preserve"> ser improcedente en términos de la </w:t>
      </w:r>
      <w:r w:rsidRPr="00501C55">
        <w:rPr>
          <w:lang w:eastAsia="es-ES_tradnl"/>
        </w:rPr>
        <w:t>Ley de Transparencia y Acceso a la Información Pública del Estado de México y Municipios</w:t>
      </w:r>
      <w:r w:rsidRPr="00501C55">
        <w:rPr>
          <w:lang w:val="es-ES"/>
        </w:rPr>
        <w:t xml:space="preserve">, en términos del Considerando </w:t>
      </w:r>
      <w:r w:rsidRPr="00501C55">
        <w:rPr>
          <w:b/>
          <w:lang w:val="es-ES"/>
        </w:rPr>
        <w:t>SEGUNDO</w:t>
      </w:r>
      <w:r w:rsidRPr="00501C55">
        <w:rPr>
          <w:lang w:val="es-ES"/>
        </w:rPr>
        <w:t xml:space="preserve"> de la presente resolución.</w:t>
      </w:r>
    </w:p>
    <w:p w14:paraId="370D4EF1" w14:textId="77777777" w:rsidR="00247BD4" w:rsidRPr="00501C55" w:rsidRDefault="00247BD4" w:rsidP="00501C55">
      <w:pPr>
        <w:widowControl w:val="0"/>
      </w:pPr>
    </w:p>
    <w:p w14:paraId="149A4B38" w14:textId="77777777" w:rsidR="00247BD4" w:rsidRPr="00501C55" w:rsidRDefault="00247BD4" w:rsidP="00501C55">
      <w:pPr>
        <w:ind w:right="-93"/>
      </w:pPr>
      <w:r w:rsidRPr="00501C55">
        <w:rPr>
          <w:b/>
        </w:rPr>
        <w:lastRenderedPageBreak/>
        <w:t>SEGUNDO.</w:t>
      </w:r>
      <w:r w:rsidRPr="00501C55">
        <w:t xml:space="preserve"> Notifíquese la presente resolución mediante Sistema de Acceso a la Información Mexiquense al Titular de la Unidad de Transparencia del </w:t>
      </w:r>
      <w:r w:rsidRPr="00501C55">
        <w:rPr>
          <w:b/>
        </w:rPr>
        <w:t>SUJETO OBLIGADO</w:t>
      </w:r>
      <w:r w:rsidRPr="00501C55">
        <w:t>, para su conocimiento.</w:t>
      </w:r>
    </w:p>
    <w:p w14:paraId="7E446ABF" w14:textId="77777777" w:rsidR="00247BD4" w:rsidRPr="00501C55" w:rsidRDefault="00247BD4" w:rsidP="00501C55">
      <w:pPr>
        <w:rPr>
          <w:b/>
        </w:rPr>
      </w:pPr>
    </w:p>
    <w:p w14:paraId="21C02590" w14:textId="77777777" w:rsidR="00247BD4" w:rsidRPr="00501C55" w:rsidRDefault="00247BD4" w:rsidP="00501C55">
      <w:pPr>
        <w:rPr>
          <w:b/>
          <w:bCs/>
        </w:rPr>
      </w:pPr>
      <w:r w:rsidRPr="00501C55">
        <w:rPr>
          <w:b/>
        </w:rPr>
        <w:t>TERCERO.</w:t>
      </w:r>
      <w:r w:rsidRPr="00501C55">
        <w:t xml:space="preserve"> Notifíquese a </w:t>
      </w:r>
      <w:r w:rsidRPr="00501C55">
        <w:rPr>
          <w:b/>
        </w:rPr>
        <w:t>LA PARTE RECURRENTE</w:t>
      </w:r>
      <w:r w:rsidRPr="00501C55">
        <w:t xml:space="preserve"> la presente resolución vía Sistema de Acceso a la Información Mexiquense (SAIMEX)</w:t>
      </w:r>
      <w:r w:rsidRPr="00501C55">
        <w:rPr>
          <w:b/>
          <w:bCs/>
        </w:rPr>
        <w:t>.</w:t>
      </w:r>
    </w:p>
    <w:p w14:paraId="636DC8AC" w14:textId="77777777" w:rsidR="00247BD4" w:rsidRPr="00501C55" w:rsidRDefault="00247BD4" w:rsidP="00501C55"/>
    <w:p w14:paraId="05B853A4" w14:textId="77777777" w:rsidR="00247BD4" w:rsidRPr="00501C55" w:rsidRDefault="00247BD4" w:rsidP="00501C55">
      <w:r w:rsidRPr="00501C55">
        <w:rPr>
          <w:b/>
        </w:rPr>
        <w:t>CUARTO</w:t>
      </w:r>
      <w:r w:rsidRPr="00501C55">
        <w:t xml:space="preserve">. Hágase del conocimiento a </w:t>
      </w:r>
      <w:r w:rsidRPr="00501C55">
        <w:rPr>
          <w:b/>
        </w:rPr>
        <w:t>LA PARTE RECURRENTE</w:t>
      </w:r>
      <w:r w:rsidRPr="00501C55">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2087B95A" w14:textId="77777777" w:rsidR="00247BD4" w:rsidRPr="00501C55" w:rsidRDefault="00247BD4" w:rsidP="00501C55">
      <w:pPr>
        <w:ind w:right="-93"/>
        <w:rPr>
          <w:rFonts w:cs="Tahoma"/>
          <w:bCs/>
          <w:szCs w:val="22"/>
        </w:rPr>
      </w:pPr>
    </w:p>
    <w:p w14:paraId="719A5C63" w14:textId="4A6D35BE" w:rsidR="00664420" w:rsidRPr="00501C55" w:rsidRDefault="00664420" w:rsidP="00501C55">
      <w:pPr>
        <w:rPr>
          <w:rFonts w:eastAsia="Palatino Linotype" w:cs="Palatino Linotype"/>
          <w:szCs w:val="22"/>
        </w:rPr>
      </w:pPr>
      <w:r w:rsidRPr="00501C55">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6777C6" w:rsidRPr="00501C55">
        <w:rPr>
          <w:rFonts w:eastAsia="Palatino Linotype" w:cs="Palatino Linotype"/>
          <w:szCs w:val="22"/>
        </w:rPr>
        <w:t>CUADRAGÉSIMA</w:t>
      </w:r>
      <w:r w:rsidRPr="00501C55">
        <w:rPr>
          <w:rFonts w:eastAsia="Palatino Linotype" w:cs="Palatino Linotype"/>
          <w:szCs w:val="22"/>
        </w:rPr>
        <w:t xml:space="preserve"> SESIÓN ORDINARIA, CELEBRADA EL </w:t>
      </w:r>
      <w:r w:rsidR="006777C6" w:rsidRPr="00501C55">
        <w:rPr>
          <w:rFonts w:eastAsia="Palatino Linotype" w:cs="Palatino Linotype"/>
          <w:szCs w:val="22"/>
        </w:rPr>
        <w:t xml:space="preserve">VEINTIUNO </w:t>
      </w:r>
      <w:r w:rsidRPr="00501C55">
        <w:rPr>
          <w:rFonts w:eastAsia="Palatino Linotype" w:cs="Palatino Linotype"/>
          <w:szCs w:val="22"/>
        </w:rPr>
        <w:t xml:space="preserve">DE </w:t>
      </w:r>
      <w:r w:rsidR="006777C6" w:rsidRPr="00501C55">
        <w:rPr>
          <w:rFonts w:eastAsia="Palatino Linotype" w:cs="Palatino Linotype"/>
          <w:szCs w:val="22"/>
        </w:rPr>
        <w:t xml:space="preserve">NOVIEMBRE </w:t>
      </w:r>
      <w:r w:rsidRPr="00501C55">
        <w:rPr>
          <w:rFonts w:eastAsia="Palatino Linotype" w:cs="Palatino Linotype"/>
          <w:szCs w:val="22"/>
        </w:rPr>
        <w:t xml:space="preserve">DE DOS MIL </w:t>
      </w:r>
      <w:r w:rsidR="000605CC" w:rsidRPr="00501C55">
        <w:rPr>
          <w:rFonts w:eastAsia="Palatino Linotype" w:cs="Palatino Linotype"/>
          <w:szCs w:val="22"/>
        </w:rPr>
        <w:t>VEINTICUATRO</w:t>
      </w:r>
      <w:r w:rsidRPr="00501C55">
        <w:rPr>
          <w:rFonts w:eastAsia="Palatino Linotype" w:cs="Palatino Linotype"/>
          <w:szCs w:val="22"/>
        </w:rPr>
        <w:t>, ANTE EL SECRETARIO TÉCNICO DEL PLENO, ALEXIS TAPIA RAMÍREZ.</w:t>
      </w:r>
    </w:p>
    <w:p w14:paraId="2AB73DBD" w14:textId="77777777" w:rsidR="009A0277" w:rsidRPr="00501C55" w:rsidRDefault="009A0277" w:rsidP="00501C55">
      <w:pPr>
        <w:widowControl w:val="0"/>
        <w:autoSpaceDE w:val="0"/>
        <w:autoSpaceDN w:val="0"/>
        <w:adjustRightInd w:val="0"/>
        <w:rPr>
          <w:rFonts w:eastAsiaTheme="minorEastAsia"/>
          <w:sz w:val="18"/>
          <w:szCs w:val="18"/>
          <w:lang w:val="it-IT"/>
        </w:rPr>
      </w:pPr>
      <w:r w:rsidRPr="00501C55">
        <w:rPr>
          <w:rFonts w:eastAsiaTheme="minorEastAsia"/>
          <w:sz w:val="18"/>
          <w:szCs w:val="18"/>
          <w:lang w:val="it-IT"/>
        </w:rPr>
        <w:t>SCMM/AGZ/DEMF/JMMO</w:t>
      </w:r>
    </w:p>
    <w:p w14:paraId="49D72DA3" w14:textId="77777777" w:rsidR="00664420" w:rsidRPr="00501C55" w:rsidRDefault="00664420" w:rsidP="00501C55">
      <w:pPr>
        <w:ind w:right="-93"/>
        <w:rPr>
          <w:rFonts w:eastAsia="Calibri" w:cs="Tahoma"/>
          <w:bCs/>
          <w:szCs w:val="22"/>
          <w:lang w:eastAsia="en-US"/>
        </w:rPr>
      </w:pPr>
    </w:p>
    <w:p w14:paraId="5EFEA0CD" w14:textId="77777777" w:rsidR="00664420" w:rsidRPr="00501C55" w:rsidRDefault="00664420" w:rsidP="00501C55">
      <w:pPr>
        <w:ind w:right="-93"/>
        <w:rPr>
          <w:rFonts w:eastAsia="Calibri" w:cs="Tahoma"/>
          <w:szCs w:val="22"/>
          <w:lang w:val="es-ES"/>
        </w:rPr>
      </w:pPr>
    </w:p>
    <w:p w14:paraId="696BC976" w14:textId="77777777" w:rsidR="00664420" w:rsidRPr="00501C55" w:rsidRDefault="00664420" w:rsidP="00501C55">
      <w:pPr>
        <w:ind w:right="-93"/>
        <w:rPr>
          <w:rFonts w:eastAsia="Calibri" w:cs="Tahoma"/>
          <w:bCs/>
          <w:szCs w:val="22"/>
          <w:lang w:val="es-ES" w:eastAsia="en-US"/>
        </w:rPr>
      </w:pPr>
    </w:p>
    <w:p w14:paraId="671CB0C5" w14:textId="77777777" w:rsidR="00664420" w:rsidRPr="00501C55" w:rsidRDefault="00664420" w:rsidP="00501C55">
      <w:pPr>
        <w:ind w:right="-93"/>
        <w:rPr>
          <w:rFonts w:eastAsia="Calibri" w:cs="Tahoma"/>
          <w:bCs/>
          <w:szCs w:val="22"/>
          <w:lang w:val="es-ES_tradnl" w:eastAsia="en-US"/>
        </w:rPr>
      </w:pPr>
    </w:p>
    <w:p w14:paraId="52B66DE7" w14:textId="77777777" w:rsidR="00664420" w:rsidRPr="00501C55" w:rsidRDefault="00664420" w:rsidP="00501C55">
      <w:pPr>
        <w:ind w:right="-93"/>
        <w:rPr>
          <w:rFonts w:eastAsia="Calibri" w:cs="Tahoma"/>
          <w:bCs/>
          <w:szCs w:val="22"/>
          <w:lang w:val="es-ES_tradnl" w:eastAsia="en-US"/>
        </w:rPr>
      </w:pPr>
    </w:p>
    <w:p w14:paraId="3BA305D1" w14:textId="77777777" w:rsidR="00664420" w:rsidRPr="00501C55" w:rsidRDefault="00664420" w:rsidP="00501C55">
      <w:pPr>
        <w:ind w:right="-93"/>
        <w:rPr>
          <w:rFonts w:eastAsia="Calibri" w:cs="Tahoma"/>
          <w:bCs/>
          <w:szCs w:val="22"/>
          <w:lang w:val="es-ES_tradnl" w:eastAsia="en-US"/>
        </w:rPr>
      </w:pPr>
    </w:p>
    <w:p w14:paraId="78230707" w14:textId="77777777" w:rsidR="00664420" w:rsidRPr="00501C55" w:rsidRDefault="00664420" w:rsidP="00501C55">
      <w:pPr>
        <w:ind w:right="-93"/>
        <w:rPr>
          <w:rFonts w:eastAsia="Calibri" w:cs="Tahoma"/>
          <w:bCs/>
          <w:szCs w:val="22"/>
          <w:lang w:val="es-ES_tradnl" w:eastAsia="en-US"/>
        </w:rPr>
      </w:pPr>
    </w:p>
    <w:p w14:paraId="72D18B28" w14:textId="77777777" w:rsidR="00664420" w:rsidRPr="00501C55" w:rsidRDefault="00664420" w:rsidP="00501C55">
      <w:pPr>
        <w:ind w:right="-93"/>
        <w:rPr>
          <w:rFonts w:eastAsia="Calibri" w:cs="Tahoma"/>
          <w:bCs/>
          <w:szCs w:val="22"/>
          <w:lang w:val="es-ES_tradnl" w:eastAsia="en-US"/>
        </w:rPr>
      </w:pPr>
    </w:p>
    <w:p w14:paraId="6BD461DC" w14:textId="77777777" w:rsidR="00664420" w:rsidRPr="00501C55" w:rsidRDefault="00664420" w:rsidP="00501C55">
      <w:pPr>
        <w:tabs>
          <w:tab w:val="center" w:pos="4568"/>
        </w:tabs>
        <w:ind w:right="-93"/>
        <w:rPr>
          <w:rFonts w:eastAsia="Calibri" w:cs="Tahoma"/>
          <w:bCs/>
          <w:szCs w:val="22"/>
          <w:lang w:eastAsia="en-US"/>
        </w:rPr>
      </w:pPr>
    </w:p>
    <w:p w14:paraId="4DBB1727" w14:textId="77777777" w:rsidR="00664420" w:rsidRPr="00501C55" w:rsidRDefault="00664420" w:rsidP="00501C55">
      <w:pPr>
        <w:tabs>
          <w:tab w:val="center" w:pos="4568"/>
        </w:tabs>
        <w:ind w:right="-93"/>
        <w:rPr>
          <w:rFonts w:eastAsia="Calibri" w:cs="Tahoma"/>
          <w:bCs/>
          <w:szCs w:val="22"/>
          <w:lang w:eastAsia="en-US"/>
        </w:rPr>
      </w:pPr>
    </w:p>
    <w:p w14:paraId="1D74121B" w14:textId="77777777" w:rsidR="00664420" w:rsidRPr="00501C55" w:rsidRDefault="00664420" w:rsidP="00501C55">
      <w:pPr>
        <w:tabs>
          <w:tab w:val="center" w:pos="4568"/>
        </w:tabs>
        <w:ind w:right="-93"/>
        <w:rPr>
          <w:rFonts w:eastAsia="Calibri" w:cs="Tahoma"/>
          <w:bCs/>
          <w:szCs w:val="22"/>
          <w:lang w:eastAsia="en-US"/>
        </w:rPr>
      </w:pPr>
    </w:p>
    <w:p w14:paraId="08E74E9C" w14:textId="77777777" w:rsidR="00664420" w:rsidRPr="00501C55" w:rsidRDefault="00664420" w:rsidP="00501C55">
      <w:pPr>
        <w:tabs>
          <w:tab w:val="center" w:pos="4568"/>
        </w:tabs>
        <w:ind w:right="-93"/>
        <w:rPr>
          <w:rFonts w:eastAsia="Calibri" w:cs="Tahoma"/>
          <w:bCs/>
          <w:szCs w:val="22"/>
          <w:lang w:eastAsia="en-US"/>
        </w:rPr>
      </w:pPr>
    </w:p>
    <w:p w14:paraId="2CBF5E03" w14:textId="77777777" w:rsidR="00664420" w:rsidRPr="00501C55" w:rsidRDefault="00664420" w:rsidP="00501C55">
      <w:pPr>
        <w:tabs>
          <w:tab w:val="center" w:pos="4568"/>
        </w:tabs>
        <w:ind w:right="-93"/>
        <w:rPr>
          <w:rFonts w:eastAsia="Calibri" w:cs="Tahoma"/>
          <w:bCs/>
          <w:szCs w:val="22"/>
          <w:lang w:eastAsia="en-US"/>
        </w:rPr>
      </w:pPr>
    </w:p>
    <w:p w14:paraId="44865A6D" w14:textId="77777777" w:rsidR="00664420" w:rsidRPr="00501C55" w:rsidRDefault="00664420" w:rsidP="00501C55">
      <w:pPr>
        <w:tabs>
          <w:tab w:val="center" w:pos="4568"/>
        </w:tabs>
        <w:ind w:right="-93"/>
        <w:rPr>
          <w:rFonts w:eastAsia="Calibri" w:cs="Tahoma"/>
          <w:bCs/>
          <w:szCs w:val="22"/>
          <w:lang w:eastAsia="en-US"/>
        </w:rPr>
      </w:pPr>
    </w:p>
    <w:p w14:paraId="7147F06B" w14:textId="77777777" w:rsidR="00664420" w:rsidRPr="00501C55" w:rsidRDefault="00664420" w:rsidP="00501C55">
      <w:pPr>
        <w:tabs>
          <w:tab w:val="center" w:pos="4568"/>
        </w:tabs>
        <w:ind w:right="-93"/>
        <w:rPr>
          <w:rFonts w:eastAsia="Calibri" w:cs="Tahoma"/>
          <w:bCs/>
          <w:szCs w:val="22"/>
          <w:lang w:eastAsia="en-US"/>
        </w:rPr>
      </w:pPr>
    </w:p>
    <w:p w14:paraId="6FDF3D7E" w14:textId="77777777" w:rsidR="00664420" w:rsidRPr="00501C55" w:rsidRDefault="00664420" w:rsidP="00501C55">
      <w:pPr>
        <w:tabs>
          <w:tab w:val="center" w:pos="4568"/>
        </w:tabs>
        <w:ind w:right="-93"/>
        <w:rPr>
          <w:rFonts w:eastAsia="Calibri" w:cs="Tahoma"/>
          <w:bCs/>
          <w:szCs w:val="22"/>
          <w:lang w:eastAsia="en-US"/>
        </w:rPr>
      </w:pPr>
    </w:p>
    <w:p w14:paraId="6246F818" w14:textId="77777777" w:rsidR="00664420" w:rsidRPr="00501C55" w:rsidRDefault="00664420" w:rsidP="00501C55">
      <w:pPr>
        <w:tabs>
          <w:tab w:val="center" w:pos="4568"/>
        </w:tabs>
        <w:ind w:right="-93"/>
        <w:rPr>
          <w:rFonts w:eastAsia="Calibri" w:cs="Tahoma"/>
          <w:bCs/>
          <w:szCs w:val="22"/>
          <w:lang w:eastAsia="en-US"/>
        </w:rPr>
      </w:pPr>
    </w:p>
    <w:p w14:paraId="57A88B28" w14:textId="77777777" w:rsidR="00664420" w:rsidRPr="00501C55" w:rsidRDefault="00664420" w:rsidP="00501C55">
      <w:pPr>
        <w:tabs>
          <w:tab w:val="center" w:pos="4568"/>
        </w:tabs>
        <w:ind w:right="-93"/>
        <w:rPr>
          <w:rFonts w:eastAsia="Calibri" w:cs="Tahoma"/>
          <w:bCs/>
          <w:szCs w:val="22"/>
          <w:lang w:eastAsia="en-US"/>
        </w:rPr>
      </w:pPr>
    </w:p>
    <w:p w14:paraId="77EF6095" w14:textId="77777777" w:rsidR="00664420" w:rsidRPr="00501C55" w:rsidRDefault="00664420" w:rsidP="00501C55">
      <w:pPr>
        <w:tabs>
          <w:tab w:val="center" w:pos="4568"/>
        </w:tabs>
        <w:ind w:right="-93"/>
        <w:rPr>
          <w:rFonts w:eastAsia="Calibri" w:cs="Tahoma"/>
          <w:bCs/>
          <w:szCs w:val="22"/>
          <w:lang w:eastAsia="en-US"/>
        </w:rPr>
      </w:pPr>
    </w:p>
    <w:p w14:paraId="35593947" w14:textId="77777777" w:rsidR="00664420" w:rsidRPr="00501C55" w:rsidRDefault="00664420" w:rsidP="00501C55">
      <w:pPr>
        <w:tabs>
          <w:tab w:val="center" w:pos="4568"/>
        </w:tabs>
        <w:ind w:right="-93"/>
        <w:rPr>
          <w:rFonts w:eastAsia="Calibri" w:cs="Tahoma"/>
          <w:bCs/>
          <w:szCs w:val="22"/>
          <w:lang w:eastAsia="en-US"/>
        </w:rPr>
      </w:pPr>
    </w:p>
    <w:p w14:paraId="3AF72A17" w14:textId="77777777" w:rsidR="00664420" w:rsidRPr="00501C55" w:rsidRDefault="00664420" w:rsidP="00501C55">
      <w:pPr>
        <w:tabs>
          <w:tab w:val="center" w:pos="4568"/>
        </w:tabs>
        <w:ind w:right="-93"/>
        <w:rPr>
          <w:rFonts w:eastAsia="Calibri" w:cs="Tahoma"/>
          <w:bCs/>
          <w:szCs w:val="22"/>
          <w:lang w:eastAsia="en-US"/>
        </w:rPr>
      </w:pPr>
    </w:p>
    <w:p w14:paraId="37169144" w14:textId="77777777" w:rsidR="00664420" w:rsidRPr="00501C55" w:rsidRDefault="00664420" w:rsidP="00501C55">
      <w:pPr>
        <w:tabs>
          <w:tab w:val="center" w:pos="4568"/>
        </w:tabs>
        <w:ind w:right="-93"/>
        <w:rPr>
          <w:rFonts w:eastAsia="Calibri" w:cs="Tahoma"/>
          <w:bCs/>
          <w:szCs w:val="22"/>
          <w:lang w:eastAsia="en-US"/>
        </w:rPr>
      </w:pPr>
    </w:p>
    <w:p w14:paraId="77CFC088" w14:textId="77777777" w:rsidR="00664420" w:rsidRPr="00501C55" w:rsidRDefault="00664420" w:rsidP="00501C55">
      <w:pPr>
        <w:tabs>
          <w:tab w:val="center" w:pos="4568"/>
        </w:tabs>
        <w:ind w:right="-93"/>
        <w:rPr>
          <w:rFonts w:eastAsia="Calibri" w:cs="Tahoma"/>
          <w:bCs/>
          <w:szCs w:val="22"/>
          <w:lang w:eastAsia="en-US"/>
        </w:rPr>
      </w:pPr>
    </w:p>
    <w:p w14:paraId="781A11A5" w14:textId="77777777" w:rsidR="00664420" w:rsidRPr="00501C55" w:rsidRDefault="00664420" w:rsidP="00501C55">
      <w:pPr>
        <w:tabs>
          <w:tab w:val="center" w:pos="4568"/>
        </w:tabs>
        <w:ind w:right="-93"/>
        <w:rPr>
          <w:rFonts w:eastAsia="Calibri" w:cs="Tahoma"/>
          <w:bCs/>
          <w:szCs w:val="22"/>
          <w:lang w:eastAsia="en-US"/>
        </w:rPr>
      </w:pPr>
    </w:p>
    <w:p w14:paraId="5B4ADFF3" w14:textId="77777777" w:rsidR="00A131AC" w:rsidRPr="00501C55" w:rsidRDefault="00A131AC" w:rsidP="00501C55"/>
    <w:sectPr w:rsidR="00A131AC" w:rsidRPr="00501C55"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9797A" w14:textId="77777777" w:rsidR="009A0F61" w:rsidRDefault="009A0F61" w:rsidP="00664420">
      <w:pPr>
        <w:spacing w:line="240" w:lineRule="auto"/>
      </w:pPr>
      <w:r>
        <w:separator/>
      </w:r>
    </w:p>
  </w:endnote>
  <w:endnote w:type="continuationSeparator" w:id="0">
    <w:p w14:paraId="0BF87B76" w14:textId="77777777" w:rsidR="009A0F61" w:rsidRDefault="009A0F61"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646436" w:rsidRDefault="00646436">
    <w:pPr>
      <w:tabs>
        <w:tab w:val="center" w:pos="4550"/>
        <w:tab w:val="left" w:pos="5818"/>
      </w:tabs>
      <w:ind w:right="260"/>
      <w:jc w:val="right"/>
      <w:rPr>
        <w:color w:val="071320" w:themeColor="text2" w:themeShade="80"/>
        <w:sz w:val="24"/>
        <w:szCs w:val="24"/>
      </w:rPr>
    </w:pPr>
  </w:p>
  <w:p w14:paraId="1BCA7F23" w14:textId="77777777" w:rsidR="00646436" w:rsidRDefault="0064643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775BFC" w:rsidRDefault="00775BF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FA677B" w:rsidRPr="00FA677B">
      <w:rPr>
        <w:noProof/>
        <w:color w:val="0A1D30" w:themeColor="text2" w:themeShade="BF"/>
        <w:sz w:val="24"/>
        <w:szCs w:val="24"/>
        <w:lang w:val="es-ES"/>
      </w:rPr>
      <w:t>21</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FA677B" w:rsidRPr="00FA677B">
      <w:rPr>
        <w:noProof/>
        <w:color w:val="0A1D30" w:themeColor="text2" w:themeShade="BF"/>
        <w:sz w:val="24"/>
        <w:szCs w:val="24"/>
        <w:lang w:val="es-ES"/>
      </w:rPr>
      <w:t>35</w:t>
    </w:r>
    <w:r>
      <w:rPr>
        <w:color w:val="0A1D30" w:themeColor="text2" w:themeShade="BF"/>
        <w:sz w:val="24"/>
        <w:szCs w:val="24"/>
      </w:rPr>
      <w:fldChar w:fldCharType="end"/>
    </w:r>
  </w:p>
  <w:p w14:paraId="310E15C0" w14:textId="77777777" w:rsidR="00775BFC" w:rsidRDefault="00775B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2C0AE" w14:textId="77777777" w:rsidR="009A0F61" w:rsidRDefault="009A0F61" w:rsidP="00664420">
      <w:pPr>
        <w:spacing w:line="240" w:lineRule="auto"/>
      </w:pPr>
      <w:r>
        <w:separator/>
      </w:r>
    </w:p>
  </w:footnote>
  <w:footnote w:type="continuationSeparator" w:id="0">
    <w:p w14:paraId="32158EDB" w14:textId="77777777" w:rsidR="009A0F61" w:rsidRDefault="009A0F61" w:rsidP="00664420">
      <w:pPr>
        <w:spacing w:line="240" w:lineRule="auto"/>
      </w:pPr>
      <w:r>
        <w:continuationSeparator/>
      </w:r>
    </w:p>
  </w:footnote>
  <w:footnote w:id="1">
    <w:p w14:paraId="0B6D764D" w14:textId="77777777" w:rsidR="00247BD4" w:rsidRDefault="00247BD4" w:rsidP="00247BD4">
      <w:r>
        <w:rPr>
          <w:vertAlign w:val="superscript"/>
        </w:rPr>
        <w:footnoteRef/>
      </w:r>
      <w:r>
        <w:rPr>
          <w:rFonts w:cs="Palatino Linotype"/>
          <w:sz w:val="16"/>
          <w:szCs w:val="16"/>
        </w:rPr>
        <w:t xml:space="preserve"> BURGOA ORIHUELA Ignacio. </w:t>
      </w:r>
      <w:r>
        <w:rPr>
          <w:rFonts w:cs="Palatino Linotype"/>
          <w:i/>
          <w:sz w:val="16"/>
          <w:szCs w:val="16"/>
        </w:rPr>
        <w:t>Diccionario De Derecho Constitucional, Garantías y Amparo</w:t>
      </w:r>
      <w:r>
        <w:rPr>
          <w:rFonts w:cs="Palatino Linotype"/>
          <w:sz w:val="16"/>
          <w:szCs w:val="16"/>
        </w:rPr>
        <w:t>. Ed. Porrúa, S.A., México. 1992. p. 115.</w:t>
      </w:r>
    </w:p>
  </w:footnote>
  <w:footnote w:id="2">
    <w:p w14:paraId="01601289" w14:textId="77777777" w:rsidR="00247BD4" w:rsidRDefault="00247BD4" w:rsidP="00247BD4">
      <w:r>
        <w:rPr>
          <w:vertAlign w:val="superscript"/>
        </w:rPr>
        <w:footnoteRef/>
      </w:r>
      <w:r>
        <w:rPr>
          <w:rFonts w:cs="Palatino Linotype"/>
          <w:color w:val="000000"/>
          <w:sz w:val="16"/>
          <w:szCs w:val="16"/>
        </w:rPr>
        <w:t xml:space="preserve"> CIENFUEGOS SALGADO David. </w:t>
      </w:r>
      <w:r>
        <w:rPr>
          <w:rFonts w:cs="Palatino Linotype"/>
          <w:i/>
          <w:color w:val="000000"/>
          <w:sz w:val="16"/>
          <w:szCs w:val="16"/>
        </w:rPr>
        <w:t xml:space="preserve">El Derecho de Petición en México. </w:t>
      </w:r>
      <w:r>
        <w:rPr>
          <w:rFonts w:cs="Palatino Linotype"/>
          <w:color w:val="000000"/>
          <w:sz w:val="16"/>
          <w:szCs w:val="16"/>
        </w:rPr>
        <w:t>Ed. Instituto de Investigaciones Jurídica UNAM. México 2004. p. 31</w:t>
      </w:r>
    </w:p>
  </w:footnote>
  <w:footnote w:id="3">
    <w:p w14:paraId="5DB3CBD6" w14:textId="77777777" w:rsidR="00247BD4" w:rsidRDefault="00247BD4" w:rsidP="00247BD4">
      <w:r>
        <w:rPr>
          <w:vertAlign w:val="superscript"/>
        </w:rPr>
        <w:footnoteRef/>
      </w:r>
      <w:r>
        <w:rPr>
          <w:rFonts w:cs="Palatino Linotype"/>
          <w:color w:val="000000"/>
          <w:sz w:val="16"/>
          <w:szCs w:val="16"/>
        </w:rPr>
        <w:t xml:space="preserve"> ROBLES HERNÁNDEZ José Guadalupe. </w:t>
      </w:r>
      <w:r>
        <w:rPr>
          <w:rFonts w:cs="Palatino Linotype"/>
          <w:i/>
          <w:color w:val="000000"/>
          <w:sz w:val="16"/>
          <w:szCs w:val="16"/>
        </w:rPr>
        <w:t xml:space="preserve">Derecho de la Información y Comunicación Pública. </w:t>
      </w:r>
      <w:r>
        <w:rPr>
          <w:rFonts w:cs="Palatino Linotype"/>
          <w:color w:val="000000"/>
          <w:sz w:val="16"/>
          <w:szCs w:val="16"/>
        </w:rPr>
        <w:t>Ed. Universidad de Occidente. México. 2004, p. 72.</w:t>
      </w:r>
    </w:p>
  </w:footnote>
  <w:footnote w:id="4">
    <w:p w14:paraId="559FC82E" w14:textId="77777777" w:rsidR="00247BD4" w:rsidRDefault="00247BD4" w:rsidP="00247BD4">
      <w:pPr>
        <w:pStyle w:val="Textonotapie"/>
      </w:pPr>
      <w:r>
        <w:rPr>
          <w:vertAlign w:val="superscript"/>
        </w:rPr>
        <w:footnoteRef/>
      </w:r>
      <w:r>
        <w:t xml:space="preserve"> </w:t>
      </w:r>
      <w:r>
        <w:rPr>
          <w:rFonts w:cs="Palatino Linotype"/>
          <w:sz w:val="16"/>
          <w:szCs w:val="16"/>
        </w:rPr>
        <w:t>VILLANUEVA VILLANUEVA Ernesto. Derecho de la Información, Ed. Porrúa. S.A., México. 2006. p. 270.</w:t>
      </w:r>
    </w:p>
  </w:footnote>
  <w:footnote w:id="5">
    <w:p w14:paraId="6DCF602E" w14:textId="77777777" w:rsidR="00247BD4" w:rsidRDefault="00247BD4" w:rsidP="00247BD4">
      <w:pPr>
        <w:pStyle w:val="Textonotapie"/>
      </w:pPr>
      <w:r w:rsidRPr="0027331A">
        <w:rPr>
          <w:vertAlign w:val="superscript"/>
        </w:rPr>
        <w:footnoteRef/>
      </w:r>
      <w:r w:rsidRPr="0027331A">
        <w:t xml:space="preserve"> </w:t>
      </w:r>
      <w:r>
        <w:t xml:space="preserve">Tesis V.2o. J/15, </w:t>
      </w:r>
      <w:r>
        <w:rPr>
          <w:i/>
          <w:iCs/>
        </w:rPr>
        <w:t>Semanario Judicial de la Federación</w:t>
      </w:r>
      <w:r>
        <w:t>, Octava Época, tomo IX, enero de 1992, p. 115.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3F35FD" w:rsidRPr="00330DA7" w14:paraId="070A4B18" w14:textId="77777777" w:rsidTr="003F35FD">
      <w:trPr>
        <w:trHeight w:val="144"/>
        <w:jc w:val="right"/>
      </w:trPr>
      <w:tc>
        <w:tcPr>
          <w:tcW w:w="2727" w:type="dxa"/>
        </w:tcPr>
        <w:p w14:paraId="62B7493A" w14:textId="77777777" w:rsidR="003F35FD" w:rsidRPr="00330DA7" w:rsidRDefault="003F35FD"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6E27A66B" w:rsidR="003F35FD" w:rsidRPr="00A90C72" w:rsidRDefault="0062537F" w:rsidP="003F35FD">
          <w:pPr>
            <w:tabs>
              <w:tab w:val="right" w:pos="8838"/>
            </w:tabs>
            <w:ind w:left="-74" w:right="-105"/>
            <w:rPr>
              <w:rFonts w:eastAsia="Calibri" w:cs="Tahoma"/>
              <w:szCs w:val="22"/>
              <w:lang w:eastAsia="en-US"/>
            </w:rPr>
          </w:pPr>
          <w:r>
            <w:rPr>
              <w:rFonts w:eastAsia="Calibri" w:cs="Tahoma"/>
              <w:szCs w:val="22"/>
              <w:lang w:eastAsia="en-US"/>
            </w:rPr>
            <w:t>05757/</w:t>
          </w:r>
          <w:r w:rsidR="003F35FD" w:rsidRPr="00A90C72">
            <w:rPr>
              <w:rFonts w:eastAsia="Calibri" w:cs="Tahoma"/>
              <w:szCs w:val="22"/>
              <w:lang w:eastAsia="en-US"/>
            </w:rPr>
            <w:t>INFOEM/IP/RR</w:t>
          </w:r>
          <w:r w:rsidR="00163D12">
            <w:rPr>
              <w:rFonts w:eastAsia="Calibri" w:cs="Tahoma"/>
              <w:szCs w:val="22"/>
              <w:lang w:eastAsia="en-US"/>
            </w:rPr>
            <w:t>/2024</w:t>
          </w:r>
          <w:r w:rsidR="003F35FD">
            <w:rPr>
              <w:rFonts w:eastAsia="Calibri" w:cs="Tahoma"/>
              <w:szCs w:val="22"/>
              <w:lang w:eastAsia="en-US"/>
            </w:rPr>
            <w:t xml:space="preserve"> </w:t>
          </w:r>
        </w:p>
      </w:tc>
    </w:tr>
    <w:tr w:rsidR="003F35FD" w:rsidRPr="00330DA7" w14:paraId="4521E058" w14:textId="77777777" w:rsidTr="003F35FD">
      <w:trPr>
        <w:trHeight w:val="283"/>
        <w:jc w:val="right"/>
      </w:trPr>
      <w:tc>
        <w:tcPr>
          <w:tcW w:w="2727" w:type="dxa"/>
        </w:tcPr>
        <w:p w14:paraId="0B68C086" w14:textId="77777777" w:rsidR="003F35FD" w:rsidRPr="00330DA7" w:rsidRDefault="003F35FD"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37617760" w:rsidR="003F35FD" w:rsidRPr="00952DD0" w:rsidRDefault="0062537F" w:rsidP="003F35FD">
          <w:pPr>
            <w:tabs>
              <w:tab w:val="left" w:pos="2834"/>
              <w:tab w:val="right" w:pos="8838"/>
            </w:tabs>
            <w:ind w:left="-108" w:right="-105"/>
            <w:rPr>
              <w:rFonts w:eastAsia="Calibri" w:cs="Tahoma"/>
              <w:szCs w:val="22"/>
              <w:lang w:eastAsia="en-US"/>
            </w:rPr>
          </w:pPr>
          <w:r w:rsidRPr="0062537F">
            <w:rPr>
              <w:rFonts w:eastAsia="Calibri" w:cs="Tahoma"/>
              <w:szCs w:val="22"/>
              <w:lang w:eastAsia="en-US"/>
            </w:rPr>
            <w:t>Sistema de Agua Potable Alcantarillado y Saneamiento de Ecatepec de Morelos</w:t>
          </w:r>
        </w:p>
      </w:tc>
    </w:tr>
    <w:tr w:rsidR="003F35FD" w:rsidRPr="00330DA7" w14:paraId="6331D9B6" w14:textId="77777777" w:rsidTr="003F35FD">
      <w:trPr>
        <w:trHeight w:val="283"/>
        <w:jc w:val="right"/>
      </w:trPr>
      <w:tc>
        <w:tcPr>
          <w:tcW w:w="2727" w:type="dxa"/>
        </w:tcPr>
        <w:p w14:paraId="3FA86BAE" w14:textId="04F1C45E" w:rsidR="003F35FD" w:rsidRPr="00330DA7" w:rsidRDefault="003F35FD"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3E4F98">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3F35FD" w:rsidRPr="00EA66FC" w:rsidRDefault="003F35FD"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CE29D3" w:rsidRPr="00443C6B" w:rsidRDefault="00106998"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514E4A" w:rsidRPr="00330DA7" w14:paraId="29CFF901" w14:textId="77777777" w:rsidTr="002465DF">
      <w:trPr>
        <w:trHeight w:val="1435"/>
      </w:trPr>
      <w:tc>
        <w:tcPr>
          <w:tcW w:w="283" w:type="dxa"/>
          <w:shd w:val="clear" w:color="auto" w:fill="auto"/>
        </w:tcPr>
        <w:p w14:paraId="046B9F8F" w14:textId="77777777" w:rsidR="00CE29D3" w:rsidRPr="00330DA7" w:rsidRDefault="00CE29D3" w:rsidP="00DB7E5F">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C5797F" w:rsidRPr="00330DA7" w14:paraId="04F272D2" w14:textId="77777777" w:rsidTr="00C5797F">
            <w:trPr>
              <w:trHeight w:val="144"/>
            </w:trPr>
            <w:tc>
              <w:tcPr>
                <w:tcW w:w="2727" w:type="dxa"/>
              </w:tcPr>
              <w:p w14:paraId="2FD4DBF6" w14:textId="77777777" w:rsidR="00CE29D3" w:rsidRPr="00330DA7" w:rsidRDefault="00106998" w:rsidP="00844CB5">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09F50907" w:rsidR="00CE29D3" w:rsidRPr="00A90C72" w:rsidRDefault="0062537F" w:rsidP="002C2524">
                <w:pPr>
                  <w:tabs>
                    <w:tab w:val="right" w:pos="8838"/>
                  </w:tabs>
                  <w:ind w:left="-74" w:right="-105"/>
                  <w:rPr>
                    <w:rFonts w:eastAsia="Calibri" w:cs="Tahoma"/>
                    <w:szCs w:val="22"/>
                    <w:lang w:eastAsia="en-US"/>
                  </w:rPr>
                </w:pPr>
                <w:r>
                  <w:rPr>
                    <w:rFonts w:eastAsia="Calibri" w:cs="Tahoma"/>
                    <w:szCs w:val="22"/>
                    <w:lang w:eastAsia="en-US"/>
                  </w:rPr>
                  <w:t>05757/</w:t>
                </w:r>
                <w:r w:rsidR="00664420" w:rsidRPr="00A90C72">
                  <w:rPr>
                    <w:rFonts w:eastAsia="Calibri" w:cs="Tahoma"/>
                    <w:szCs w:val="22"/>
                    <w:lang w:eastAsia="en-US"/>
                  </w:rPr>
                  <w:t>INFOEM/IP/RR</w:t>
                </w:r>
                <w:r w:rsidR="00163D12">
                  <w:rPr>
                    <w:rFonts w:eastAsia="Calibri" w:cs="Tahoma"/>
                    <w:szCs w:val="22"/>
                    <w:lang w:eastAsia="en-US"/>
                  </w:rPr>
                  <w:t>/2024</w:t>
                </w:r>
                <w:r w:rsidR="00664420">
                  <w:rPr>
                    <w:rFonts w:eastAsia="Calibri" w:cs="Tahoma"/>
                    <w:szCs w:val="22"/>
                    <w:lang w:eastAsia="en-US"/>
                  </w:rPr>
                  <w:t xml:space="preserve"> </w:t>
                </w:r>
              </w:p>
            </w:tc>
            <w:tc>
              <w:tcPr>
                <w:tcW w:w="3402" w:type="dxa"/>
              </w:tcPr>
              <w:p w14:paraId="71DEA1CF" w14:textId="77777777" w:rsidR="00CE29D3" w:rsidRDefault="00CE29D3" w:rsidP="002C2524">
                <w:pPr>
                  <w:tabs>
                    <w:tab w:val="right" w:pos="8838"/>
                  </w:tabs>
                  <w:ind w:left="-74" w:right="-105"/>
                  <w:rPr>
                    <w:rFonts w:eastAsia="Calibri" w:cs="Tahoma"/>
                    <w:szCs w:val="22"/>
                    <w:lang w:eastAsia="en-US"/>
                  </w:rPr>
                </w:pPr>
              </w:p>
            </w:tc>
          </w:tr>
          <w:tr w:rsidR="00C5797F" w:rsidRPr="00330DA7" w14:paraId="05C58951" w14:textId="77777777" w:rsidTr="00C5797F">
            <w:trPr>
              <w:trHeight w:val="144"/>
            </w:trPr>
            <w:tc>
              <w:tcPr>
                <w:tcW w:w="2727" w:type="dxa"/>
              </w:tcPr>
              <w:p w14:paraId="642B9610" w14:textId="77777777" w:rsidR="00CE29D3" w:rsidRPr="00330DA7" w:rsidRDefault="00106998" w:rsidP="00844CB5">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5AFFF143" w:rsidR="00CE29D3" w:rsidRPr="005F19B1" w:rsidRDefault="00FA677B" w:rsidP="00E85AD8">
                <w:pPr>
                  <w:tabs>
                    <w:tab w:val="left" w:pos="3122"/>
                    <w:tab w:val="right" w:pos="8838"/>
                  </w:tabs>
                  <w:ind w:left="-105" w:right="-105"/>
                  <w:rPr>
                    <w:rFonts w:eastAsia="Calibri" w:cs="Tahoma"/>
                    <w:szCs w:val="22"/>
                    <w:lang w:eastAsia="en-US"/>
                  </w:rPr>
                </w:pPr>
                <w:r>
                  <w:rPr>
                    <w:rFonts w:eastAsia="Calibri" w:cs="Tahoma"/>
                    <w:szCs w:val="22"/>
                    <w:lang w:eastAsia="en-US"/>
                  </w:rPr>
                  <w:t>XXXXXX XXXXXX XXXXXXX</w:t>
                </w:r>
              </w:p>
            </w:tc>
            <w:tc>
              <w:tcPr>
                <w:tcW w:w="3402" w:type="dxa"/>
              </w:tcPr>
              <w:p w14:paraId="73F47F53" w14:textId="77777777" w:rsidR="00CE29D3" w:rsidRPr="005F19B1" w:rsidRDefault="00CE29D3" w:rsidP="00E85AD8">
                <w:pPr>
                  <w:tabs>
                    <w:tab w:val="left" w:pos="3122"/>
                    <w:tab w:val="right" w:pos="8838"/>
                  </w:tabs>
                  <w:ind w:left="-105" w:right="-105"/>
                  <w:rPr>
                    <w:rFonts w:eastAsia="Calibri" w:cs="Tahoma"/>
                    <w:szCs w:val="22"/>
                    <w:lang w:eastAsia="en-US"/>
                  </w:rPr>
                </w:pPr>
              </w:p>
            </w:tc>
          </w:tr>
          <w:bookmarkEnd w:id="1"/>
          <w:tr w:rsidR="00C5797F" w:rsidRPr="00330DA7" w14:paraId="00E6CDC1" w14:textId="77777777" w:rsidTr="00C5797F">
            <w:trPr>
              <w:trHeight w:val="283"/>
            </w:trPr>
            <w:tc>
              <w:tcPr>
                <w:tcW w:w="2727" w:type="dxa"/>
              </w:tcPr>
              <w:p w14:paraId="0631AD24" w14:textId="77777777" w:rsidR="00CE29D3" w:rsidRPr="00330DA7" w:rsidRDefault="00106998" w:rsidP="00844CB5">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496F7B86" w:rsidR="00CE29D3" w:rsidRPr="00952DD0" w:rsidRDefault="0062537F" w:rsidP="00952DD0">
                <w:pPr>
                  <w:tabs>
                    <w:tab w:val="left" w:pos="2834"/>
                    <w:tab w:val="right" w:pos="8838"/>
                  </w:tabs>
                  <w:ind w:left="-108" w:right="-105"/>
                  <w:rPr>
                    <w:rFonts w:eastAsia="Calibri" w:cs="Tahoma"/>
                    <w:szCs w:val="22"/>
                    <w:lang w:eastAsia="en-US"/>
                  </w:rPr>
                </w:pPr>
                <w:r w:rsidRPr="0062537F">
                  <w:rPr>
                    <w:rFonts w:eastAsia="Calibri" w:cs="Tahoma"/>
                    <w:szCs w:val="22"/>
                    <w:lang w:eastAsia="en-US"/>
                  </w:rPr>
                  <w:t>Sistema de Agua Potable Alcantarillado y Saneamiento de Ecatepec de Morelos</w:t>
                </w:r>
              </w:p>
            </w:tc>
            <w:tc>
              <w:tcPr>
                <w:tcW w:w="3402" w:type="dxa"/>
              </w:tcPr>
              <w:p w14:paraId="3A7DA319" w14:textId="77777777" w:rsidR="00CE29D3" w:rsidRPr="00A90C72" w:rsidRDefault="00CE29D3" w:rsidP="00952DD0">
                <w:pPr>
                  <w:tabs>
                    <w:tab w:val="left" w:pos="2834"/>
                    <w:tab w:val="right" w:pos="8838"/>
                  </w:tabs>
                  <w:ind w:left="-108" w:right="-105"/>
                  <w:rPr>
                    <w:rFonts w:eastAsia="Calibri" w:cs="Tahoma"/>
                    <w:szCs w:val="22"/>
                    <w:lang w:eastAsia="en-US"/>
                  </w:rPr>
                </w:pPr>
              </w:p>
            </w:tc>
          </w:tr>
          <w:tr w:rsidR="00C5797F" w:rsidRPr="00330DA7" w14:paraId="0F6CD8D2" w14:textId="77777777" w:rsidTr="00C5797F">
            <w:trPr>
              <w:trHeight w:val="283"/>
            </w:trPr>
            <w:tc>
              <w:tcPr>
                <w:tcW w:w="2727" w:type="dxa"/>
              </w:tcPr>
              <w:p w14:paraId="31700628" w14:textId="385332FF" w:rsidR="00CE29D3" w:rsidRPr="00330DA7" w:rsidRDefault="00106998" w:rsidP="00844CB5">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3E4F98">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CE29D3" w:rsidRPr="00EA66FC" w:rsidRDefault="00664420" w:rsidP="00EA66FC">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CE29D3" w:rsidRPr="00330DA7" w:rsidRDefault="00CE29D3" w:rsidP="00EA66FC">
                <w:pPr>
                  <w:tabs>
                    <w:tab w:val="right" w:pos="8838"/>
                  </w:tabs>
                  <w:ind w:left="-108" w:right="-105"/>
                  <w:rPr>
                    <w:rFonts w:eastAsia="Calibri" w:cs="Tahoma"/>
                    <w:szCs w:val="22"/>
                    <w:lang w:eastAsia="en-US"/>
                  </w:rPr>
                </w:pPr>
              </w:p>
            </w:tc>
          </w:tr>
        </w:tbl>
        <w:p w14:paraId="5DC6AC61" w14:textId="77777777" w:rsidR="00CE29D3" w:rsidRPr="00330DA7" w:rsidRDefault="00CE29D3" w:rsidP="00DB7E5F">
          <w:pPr>
            <w:tabs>
              <w:tab w:val="right" w:pos="8838"/>
            </w:tabs>
            <w:ind w:left="-28"/>
            <w:rPr>
              <w:rFonts w:ascii="Arial" w:eastAsia="Calibri" w:hAnsi="Arial" w:cs="Arial"/>
              <w:b/>
              <w:szCs w:val="22"/>
              <w:lang w:eastAsia="en-US"/>
            </w:rPr>
          </w:pPr>
        </w:p>
      </w:tc>
    </w:tr>
  </w:tbl>
  <w:p w14:paraId="2A906731" w14:textId="77777777" w:rsidR="00CE29D3" w:rsidRPr="00765661" w:rsidRDefault="009A0F61" w:rsidP="00B8008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7.4pt;margin-top:-159.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5243B6"/>
    <w:multiLevelType w:val="hybridMultilevel"/>
    <w:tmpl w:val="FFFFFFFF"/>
    <w:lvl w:ilvl="0" w:tplc="810ABD94">
      <w:start w:val="1"/>
      <w:numFmt w:val="upperRoman"/>
      <w:lvlText w:val="%1."/>
      <w:lvlJc w:val="left"/>
      <w:pPr>
        <w:ind w:left="1571" w:hanging="360"/>
      </w:pPr>
      <w:rPr>
        <w:rFonts w:cs="Times New Roman" w:hint="default"/>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435A09ED"/>
    <w:multiLevelType w:val="hybridMultilevel"/>
    <w:tmpl w:val="FFFFFFFF"/>
    <w:lvl w:ilvl="0" w:tplc="810ABD94">
      <w:start w:val="1"/>
      <w:numFmt w:val="upperRoman"/>
      <w:lvlText w:val="%1."/>
      <w:lvlJc w:val="left"/>
      <w:pPr>
        <w:ind w:left="1571" w:hanging="360"/>
      </w:pPr>
      <w:rPr>
        <w:rFonts w:cs="Times New Roman" w:hint="default"/>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0"/>
  </w:num>
  <w:num w:numId="14">
    <w:abstractNumId w:val="3"/>
  </w:num>
  <w:num w:numId="15">
    <w:abstractNumId w:val="12"/>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57B2D"/>
    <w:rsid w:val="000605CC"/>
    <w:rsid w:val="00080071"/>
    <w:rsid w:val="000B34B4"/>
    <w:rsid w:val="000D0D67"/>
    <w:rsid w:val="000E09C4"/>
    <w:rsid w:val="00106998"/>
    <w:rsid w:val="0011350D"/>
    <w:rsid w:val="00141876"/>
    <w:rsid w:val="0014207B"/>
    <w:rsid w:val="00150C49"/>
    <w:rsid w:val="00163D12"/>
    <w:rsid w:val="001A58B3"/>
    <w:rsid w:val="001C7688"/>
    <w:rsid w:val="001D30FA"/>
    <w:rsid w:val="001E6B5A"/>
    <w:rsid w:val="001F3515"/>
    <w:rsid w:val="001F5C8C"/>
    <w:rsid w:val="00221D9D"/>
    <w:rsid w:val="00233005"/>
    <w:rsid w:val="00233F17"/>
    <w:rsid w:val="00247BD4"/>
    <w:rsid w:val="002A3601"/>
    <w:rsid w:val="002B7C6F"/>
    <w:rsid w:val="002D111C"/>
    <w:rsid w:val="002F4BBA"/>
    <w:rsid w:val="00302476"/>
    <w:rsid w:val="00331F35"/>
    <w:rsid w:val="00335CDF"/>
    <w:rsid w:val="00337F4D"/>
    <w:rsid w:val="00362A11"/>
    <w:rsid w:val="003A40C1"/>
    <w:rsid w:val="003B5D3E"/>
    <w:rsid w:val="003D13C6"/>
    <w:rsid w:val="003E4F98"/>
    <w:rsid w:val="003F35FD"/>
    <w:rsid w:val="003F6FBF"/>
    <w:rsid w:val="0041385B"/>
    <w:rsid w:val="00441BFA"/>
    <w:rsid w:val="00454FBD"/>
    <w:rsid w:val="004A7B6C"/>
    <w:rsid w:val="004D7CD8"/>
    <w:rsid w:val="004E5068"/>
    <w:rsid w:val="004F7A00"/>
    <w:rsid w:val="00501C55"/>
    <w:rsid w:val="00523F48"/>
    <w:rsid w:val="005365FA"/>
    <w:rsid w:val="005723CB"/>
    <w:rsid w:val="00575400"/>
    <w:rsid w:val="005B18AF"/>
    <w:rsid w:val="005D5A50"/>
    <w:rsid w:val="005F5301"/>
    <w:rsid w:val="005F65B7"/>
    <w:rsid w:val="006067C7"/>
    <w:rsid w:val="00606A65"/>
    <w:rsid w:val="006159AD"/>
    <w:rsid w:val="0062537F"/>
    <w:rsid w:val="00646436"/>
    <w:rsid w:val="00664420"/>
    <w:rsid w:val="006777C6"/>
    <w:rsid w:val="006A646A"/>
    <w:rsid w:val="006B10B0"/>
    <w:rsid w:val="006D1B05"/>
    <w:rsid w:val="006D5810"/>
    <w:rsid w:val="006E25BC"/>
    <w:rsid w:val="006E6BBC"/>
    <w:rsid w:val="006F7768"/>
    <w:rsid w:val="00717E59"/>
    <w:rsid w:val="00775BFC"/>
    <w:rsid w:val="007A3459"/>
    <w:rsid w:val="007B6074"/>
    <w:rsid w:val="007D1C55"/>
    <w:rsid w:val="007D29D7"/>
    <w:rsid w:val="007D317F"/>
    <w:rsid w:val="007F5D06"/>
    <w:rsid w:val="007F7EDC"/>
    <w:rsid w:val="00805A6E"/>
    <w:rsid w:val="008217FA"/>
    <w:rsid w:val="00865CF4"/>
    <w:rsid w:val="00876DBC"/>
    <w:rsid w:val="008A6003"/>
    <w:rsid w:val="008A6F88"/>
    <w:rsid w:val="008B1E16"/>
    <w:rsid w:val="008E1316"/>
    <w:rsid w:val="008E1CA9"/>
    <w:rsid w:val="00902EE5"/>
    <w:rsid w:val="00910FD2"/>
    <w:rsid w:val="00931437"/>
    <w:rsid w:val="00953430"/>
    <w:rsid w:val="00970EB3"/>
    <w:rsid w:val="009718B6"/>
    <w:rsid w:val="009A0277"/>
    <w:rsid w:val="009A0F61"/>
    <w:rsid w:val="009A2D78"/>
    <w:rsid w:val="009A7C10"/>
    <w:rsid w:val="009B2945"/>
    <w:rsid w:val="009E2DEE"/>
    <w:rsid w:val="009F797C"/>
    <w:rsid w:val="00A01F83"/>
    <w:rsid w:val="00A131AC"/>
    <w:rsid w:val="00A16D85"/>
    <w:rsid w:val="00A21A20"/>
    <w:rsid w:val="00A36A99"/>
    <w:rsid w:val="00A53315"/>
    <w:rsid w:val="00A70EF0"/>
    <w:rsid w:val="00A9208D"/>
    <w:rsid w:val="00A93D8B"/>
    <w:rsid w:val="00AA6EA9"/>
    <w:rsid w:val="00AC2DB8"/>
    <w:rsid w:val="00AC3CA0"/>
    <w:rsid w:val="00AD2762"/>
    <w:rsid w:val="00AE3DA7"/>
    <w:rsid w:val="00AF03C4"/>
    <w:rsid w:val="00B22A80"/>
    <w:rsid w:val="00B75B3E"/>
    <w:rsid w:val="00B94487"/>
    <w:rsid w:val="00BA55A8"/>
    <w:rsid w:val="00BA7B9C"/>
    <w:rsid w:val="00BB2ABF"/>
    <w:rsid w:val="00BB64F4"/>
    <w:rsid w:val="00BB7B39"/>
    <w:rsid w:val="00BC5D60"/>
    <w:rsid w:val="00BD3F4F"/>
    <w:rsid w:val="00BD5A7C"/>
    <w:rsid w:val="00BE7A1B"/>
    <w:rsid w:val="00BF0221"/>
    <w:rsid w:val="00BF091A"/>
    <w:rsid w:val="00BF4EAD"/>
    <w:rsid w:val="00C049E2"/>
    <w:rsid w:val="00C36795"/>
    <w:rsid w:val="00C461EC"/>
    <w:rsid w:val="00C507D4"/>
    <w:rsid w:val="00C71CEF"/>
    <w:rsid w:val="00C72DAA"/>
    <w:rsid w:val="00C80B14"/>
    <w:rsid w:val="00CB7E9A"/>
    <w:rsid w:val="00CC1D4B"/>
    <w:rsid w:val="00CD0B92"/>
    <w:rsid w:val="00CE29D3"/>
    <w:rsid w:val="00CF2D8B"/>
    <w:rsid w:val="00CF378F"/>
    <w:rsid w:val="00CF7586"/>
    <w:rsid w:val="00D036D3"/>
    <w:rsid w:val="00D2790D"/>
    <w:rsid w:val="00D30047"/>
    <w:rsid w:val="00D51ECD"/>
    <w:rsid w:val="00D6170E"/>
    <w:rsid w:val="00D91CB4"/>
    <w:rsid w:val="00DB1C09"/>
    <w:rsid w:val="00DC2048"/>
    <w:rsid w:val="00DE1133"/>
    <w:rsid w:val="00DF3CC0"/>
    <w:rsid w:val="00DF572C"/>
    <w:rsid w:val="00DF7220"/>
    <w:rsid w:val="00E16BF5"/>
    <w:rsid w:val="00E31767"/>
    <w:rsid w:val="00E37A3F"/>
    <w:rsid w:val="00E37D3C"/>
    <w:rsid w:val="00E40A98"/>
    <w:rsid w:val="00E62E6A"/>
    <w:rsid w:val="00E83EF5"/>
    <w:rsid w:val="00E86E5D"/>
    <w:rsid w:val="00E9335C"/>
    <w:rsid w:val="00ED1C1E"/>
    <w:rsid w:val="00EE2AF2"/>
    <w:rsid w:val="00EF165E"/>
    <w:rsid w:val="00F07EE6"/>
    <w:rsid w:val="00F264C1"/>
    <w:rsid w:val="00F33CC8"/>
    <w:rsid w:val="00F4481C"/>
    <w:rsid w:val="00F75D23"/>
    <w:rsid w:val="00FA5957"/>
    <w:rsid w:val="00FA677B"/>
    <w:rsid w:val="00FC3CE0"/>
    <w:rsid w:val="00FD06A8"/>
    <w:rsid w:val="00FE5F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Mencinsinresolver1">
    <w:name w:val="Mención sin resolver1"/>
    <w:basedOn w:val="Fuentedeprrafopredeter"/>
    <w:uiPriority w:val="99"/>
    <w:semiHidden/>
    <w:unhideWhenUsed/>
    <w:rsid w:val="00DF7220"/>
    <w:rPr>
      <w:color w:val="605E5C"/>
      <w:shd w:val="clear" w:color="auto" w:fill="E1DFDD"/>
    </w:rPr>
  </w:style>
  <w:style w:type="paragraph" w:styleId="Textonotapie">
    <w:name w:val="footnote text"/>
    <w:aliases w:val="Ref. de nota al pie1,Footnotes refss,Texto de nota al pie,Ref. de nota al pie 2,Appel note de bas de page,referencia nota al pie,BVI fnr,Footnote number,f,4_G,16 Point,Superscript 6 Point,Texto nota al pie,Footnote Reference Char3,Ref"/>
    <w:basedOn w:val="Normal"/>
    <w:link w:val="TextonotapieCar"/>
    <w:uiPriority w:val="99"/>
    <w:unhideWhenUsed/>
    <w:qFormat/>
    <w:rsid w:val="00247BD4"/>
    <w:pPr>
      <w:spacing w:line="240" w:lineRule="auto"/>
    </w:pPr>
    <w:rPr>
      <w:sz w:val="20"/>
    </w:rPr>
  </w:style>
  <w:style w:type="character" w:customStyle="1" w:styleId="TextonotapieCar">
    <w:name w:val="Texto nota pie Car"/>
    <w:aliases w:val="Ref. de nota al pie1 Car,Footnotes refss Car,Texto de nota al pie Car,Ref. de nota al pie 2 Car,Appel note de bas de page Car,referencia nota al pie Car,BVI fnr Car,Footnote number Car,f Car,4_G Car,16 Point Car,Texto nota al pie Car"/>
    <w:basedOn w:val="Fuentedeprrafopredeter"/>
    <w:link w:val="Textonotapie"/>
    <w:uiPriority w:val="99"/>
    <w:qFormat/>
    <w:rsid w:val="00247BD4"/>
    <w:rPr>
      <w:rFonts w:ascii="Palatino Linotype" w:eastAsia="Times New Roman" w:hAnsi="Palatino Linotype" w:cs="Times New Roman"/>
      <w:kern w:val="0"/>
      <w:sz w:val="2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04ED0D-93DD-4FB3-B3FF-79AA65E2A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35</Pages>
  <Words>8420</Words>
  <Characters>46313</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30</cp:revision>
  <cp:lastPrinted>2024-11-25T19:40:00Z</cp:lastPrinted>
  <dcterms:created xsi:type="dcterms:W3CDTF">2024-04-29T22:25:00Z</dcterms:created>
  <dcterms:modified xsi:type="dcterms:W3CDTF">2025-01-21T19:41:00Z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