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0F990" w14:textId="77777777" w:rsidR="003E58B5" w:rsidRDefault="003E58B5" w:rsidP="00A45DC5">
      <w:pPr>
        <w:tabs>
          <w:tab w:val="left" w:pos="8931"/>
        </w:tabs>
        <w:spacing w:after="0" w:line="360" w:lineRule="auto"/>
        <w:contextualSpacing/>
        <w:rPr>
          <w:rFonts w:cs="Tahoma"/>
          <w:bCs/>
        </w:rPr>
      </w:pPr>
    </w:p>
    <w:p w14:paraId="3530C0FA" w14:textId="47EB7F19" w:rsidR="00DB3DC5" w:rsidRPr="0042561E" w:rsidRDefault="00DB3DC5" w:rsidP="00A45DC5">
      <w:pPr>
        <w:tabs>
          <w:tab w:val="left" w:pos="8931"/>
        </w:tabs>
        <w:spacing w:after="0" w:line="360" w:lineRule="auto"/>
        <w:contextualSpacing/>
        <w:rPr>
          <w:rFonts w:eastAsia="Calibri" w:cs="Tahoma"/>
          <w:lang w:val="es-ES"/>
        </w:rPr>
      </w:pPr>
      <w:r w:rsidRPr="0042561E">
        <w:rPr>
          <w:rFonts w:cs="Tahoma"/>
          <w:bCs/>
        </w:rPr>
        <w:t xml:space="preserve">Resolución del Pleno del Instituto de Transparencia, Acceso a la Información Pública y Protección de Datos Personales del Estado de México y Municipios, con domicilio en Metepec, </w:t>
      </w:r>
      <w:r w:rsidRPr="0042561E">
        <w:rPr>
          <w:rFonts w:eastAsia="Calibri" w:cs="Tahoma"/>
          <w:lang w:val="es-ES"/>
        </w:rPr>
        <w:t xml:space="preserve">Estado de México, de fecha </w:t>
      </w:r>
      <w:r w:rsidR="003E58B5" w:rsidRPr="0042561E">
        <w:rPr>
          <w:rFonts w:eastAsia="Calibri" w:cs="Tahoma"/>
          <w:lang w:val="es-ES"/>
        </w:rPr>
        <w:t>cuatro de diciembre</w:t>
      </w:r>
      <w:r w:rsidRPr="0042561E">
        <w:rPr>
          <w:rFonts w:eastAsia="Calibri" w:cs="Tahoma"/>
          <w:lang w:val="es-ES"/>
        </w:rPr>
        <w:t xml:space="preserve"> de dos mil veinti</w:t>
      </w:r>
      <w:r w:rsidR="00B34D94" w:rsidRPr="0042561E">
        <w:rPr>
          <w:rFonts w:eastAsia="Calibri" w:cs="Tahoma"/>
          <w:lang w:val="es-ES"/>
        </w:rPr>
        <w:t>cuatro</w:t>
      </w:r>
      <w:r w:rsidRPr="0042561E">
        <w:rPr>
          <w:rFonts w:eastAsia="Calibri" w:cs="Tahoma"/>
          <w:lang w:val="es-ES"/>
        </w:rPr>
        <w:t xml:space="preserve">. </w:t>
      </w:r>
    </w:p>
    <w:p w14:paraId="2A681408" w14:textId="77777777" w:rsidR="00DB3DC5" w:rsidRPr="0042561E" w:rsidRDefault="00DB3DC5" w:rsidP="00A45DC5">
      <w:pPr>
        <w:spacing w:after="0" w:line="360" w:lineRule="auto"/>
        <w:contextualSpacing/>
        <w:rPr>
          <w:rFonts w:eastAsia="Calibri" w:cs="Tahoma"/>
          <w:b/>
          <w:bCs/>
          <w:lang w:val="es-ES"/>
        </w:rPr>
      </w:pPr>
    </w:p>
    <w:p w14:paraId="75D54F3E" w14:textId="040BD7A8" w:rsidR="00DB3DC5" w:rsidRPr="0042561E" w:rsidRDefault="00DB3DC5" w:rsidP="00A45DC5">
      <w:pPr>
        <w:spacing w:after="0" w:line="360" w:lineRule="auto"/>
        <w:contextualSpacing/>
        <w:rPr>
          <w:rFonts w:cs="Tahoma"/>
          <w:color w:val="0D0D0D" w:themeColor="text1" w:themeTint="F2"/>
        </w:rPr>
      </w:pPr>
      <w:r w:rsidRPr="0042561E">
        <w:rPr>
          <w:rFonts w:eastAsia="Calibri" w:cs="Tahoma"/>
          <w:b/>
          <w:bCs/>
          <w:lang w:val="es-ES"/>
        </w:rPr>
        <w:t xml:space="preserve">VISTO </w:t>
      </w:r>
      <w:r w:rsidRPr="0042561E">
        <w:rPr>
          <w:rFonts w:eastAsia="Calibri" w:cs="Tahoma"/>
          <w:lang w:val="es-ES"/>
        </w:rPr>
        <w:t>el expediente electrónico conformado con motivo de</w:t>
      </w:r>
      <w:r w:rsidR="00F26F2D" w:rsidRPr="0042561E">
        <w:rPr>
          <w:rFonts w:eastAsia="Calibri" w:cs="Tahoma"/>
          <w:lang w:val="es-ES"/>
        </w:rPr>
        <w:t xml:space="preserve"> los</w:t>
      </w:r>
      <w:r w:rsidRPr="0042561E">
        <w:rPr>
          <w:rFonts w:eastAsia="Calibri" w:cs="Tahoma"/>
          <w:lang w:val="es-ES"/>
        </w:rPr>
        <w:t xml:space="preserve"> Recurso</w:t>
      </w:r>
      <w:r w:rsidR="00F26F2D" w:rsidRPr="0042561E">
        <w:rPr>
          <w:rFonts w:eastAsia="Calibri" w:cs="Tahoma"/>
          <w:lang w:val="es-ES"/>
        </w:rPr>
        <w:t>s</w:t>
      </w:r>
      <w:r w:rsidRPr="0042561E">
        <w:rPr>
          <w:rFonts w:eastAsia="Calibri" w:cs="Tahoma"/>
          <w:lang w:val="es-ES"/>
        </w:rPr>
        <w:t xml:space="preserve"> de Revisión </w:t>
      </w:r>
      <w:r w:rsidR="00AF2068" w:rsidRPr="00136F58">
        <w:rPr>
          <w:b/>
        </w:rPr>
        <w:t>0</w:t>
      </w:r>
      <w:r w:rsidR="003E58B5" w:rsidRPr="00136F58">
        <w:rPr>
          <w:b/>
        </w:rPr>
        <w:t>7191</w:t>
      </w:r>
      <w:r w:rsidR="00AF2068" w:rsidRPr="00136F58">
        <w:rPr>
          <w:b/>
        </w:rPr>
        <w:t>/INFOEM/IP/RR/2024</w:t>
      </w:r>
      <w:r w:rsidR="000C3B1F" w:rsidRPr="00136F58">
        <w:rPr>
          <w:b/>
        </w:rPr>
        <w:t>, 0</w:t>
      </w:r>
      <w:r w:rsidR="003E58B5" w:rsidRPr="00136F58">
        <w:rPr>
          <w:b/>
        </w:rPr>
        <w:t>7193</w:t>
      </w:r>
      <w:r w:rsidR="000C3B1F" w:rsidRPr="00136F58">
        <w:rPr>
          <w:b/>
        </w:rPr>
        <w:t>/INFOEM/IP/RR/2024 y 0</w:t>
      </w:r>
      <w:r w:rsidR="003E58B5" w:rsidRPr="00136F58">
        <w:rPr>
          <w:b/>
        </w:rPr>
        <w:t>7194</w:t>
      </w:r>
      <w:r w:rsidR="000C3B1F" w:rsidRPr="00136F58">
        <w:rPr>
          <w:b/>
        </w:rPr>
        <w:t>/INFOEM/IP/RR/2024</w:t>
      </w:r>
      <w:r w:rsidR="009777A3" w:rsidRPr="0042561E">
        <w:rPr>
          <w:rFonts w:eastAsia="Calibri" w:cs="Tahoma"/>
        </w:rPr>
        <w:t>,</w:t>
      </w:r>
      <w:r w:rsidR="00C9544F" w:rsidRPr="0042561E">
        <w:rPr>
          <w:rFonts w:eastAsia="Calibri" w:cs="Tahoma"/>
        </w:rPr>
        <w:t xml:space="preserve"> </w:t>
      </w:r>
      <w:r w:rsidRPr="0042561E">
        <w:rPr>
          <w:rFonts w:eastAsia="Calibri" w:cs="Tahoma"/>
        </w:rPr>
        <w:t>interpuesto</w:t>
      </w:r>
      <w:r w:rsidR="00B83C05" w:rsidRPr="0042561E">
        <w:rPr>
          <w:rFonts w:eastAsia="Calibri" w:cs="Tahoma"/>
        </w:rPr>
        <w:t>s</w:t>
      </w:r>
      <w:r w:rsidRPr="0042561E">
        <w:rPr>
          <w:rFonts w:eastAsia="Calibri" w:cs="Tahoma"/>
        </w:rPr>
        <w:t xml:space="preserve"> </w:t>
      </w:r>
      <w:r w:rsidR="003E58B5" w:rsidRPr="0042561E">
        <w:rPr>
          <w:rFonts w:eastAsia="Calibri" w:cs="Tahoma"/>
        </w:rPr>
        <w:t xml:space="preserve">por </w:t>
      </w:r>
      <w:r w:rsidR="00720CA7" w:rsidRPr="00720CA7">
        <w:rPr>
          <w:rFonts w:eastAsia="Calibri" w:cs="Tahoma"/>
          <w:b/>
          <w:highlight w:val="black"/>
        </w:rPr>
        <w:t>XXXXXXXXXXXXXXXXXXXXXXXXXXXXXXXX</w:t>
      </w:r>
      <w:r w:rsidR="003E58B5" w:rsidRPr="0042561E">
        <w:rPr>
          <w:rFonts w:eastAsia="Calibri" w:cs="Tahoma"/>
        </w:rPr>
        <w:t>, en lo sucesivo,</w:t>
      </w:r>
      <w:r w:rsidR="00F26F2D" w:rsidRPr="0042561E">
        <w:rPr>
          <w:rFonts w:eastAsia="Calibri" w:cs="Tahoma"/>
        </w:rPr>
        <w:t xml:space="preserve"> </w:t>
      </w:r>
      <w:r w:rsidR="00B83C05" w:rsidRPr="0042561E">
        <w:rPr>
          <w:rFonts w:eastAsia="Calibri" w:cs="Tahoma"/>
        </w:rPr>
        <w:t>la persona</w:t>
      </w:r>
      <w:r w:rsidRPr="0042561E">
        <w:rPr>
          <w:rFonts w:eastAsia="Calibri" w:cs="Tahoma"/>
        </w:rPr>
        <w:t xml:space="preserve"> </w:t>
      </w:r>
      <w:r w:rsidRPr="0042561E">
        <w:rPr>
          <w:rFonts w:cs="Tahoma"/>
          <w:color w:val="0D0D0D" w:themeColor="text1" w:themeTint="F2"/>
        </w:rPr>
        <w:t xml:space="preserve">Recurrente o Particular, en contra de la respuesta del Sujeto Obligado, </w:t>
      </w:r>
      <w:r w:rsidR="00AF2068" w:rsidRPr="00136F58">
        <w:rPr>
          <w:b/>
          <w:bCs/>
          <w:color w:val="000000"/>
          <w:szCs w:val="14"/>
        </w:rPr>
        <w:t xml:space="preserve">Ayuntamiento </w:t>
      </w:r>
      <w:r w:rsidR="003E58B5" w:rsidRPr="00136F58">
        <w:rPr>
          <w:b/>
          <w:bCs/>
          <w:color w:val="000000"/>
          <w:szCs w:val="14"/>
        </w:rPr>
        <w:t>Nextlalpan</w:t>
      </w:r>
      <w:r w:rsidRPr="00136F58">
        <w:rPr>
          <w:rFonts w:cs="Tahoma"/>
          <w:b/>
          <w:color w:val="0D0D0D" w:themeColor="text1" w:themeTint="F2"/>
        </w:rPr>
        <w:t>,</w:t>
      </w:r>
      <w:r w:rsidRPr="0042561E">
        <w:rPr>
          <w:rFonts w:cs="Tahoma"/>
          <w:color w:val="0D0D0D" w:themeColor="text1" w:themeTint="F2"/>
        </w:rPr>
        <w:t xml:space="preserve"> a la</w:t>
      </w:r>
      <w:r w:rsidR="00345BB5" w:rsidRPr="0042561E">
        <w:rPr>
          <w:rFonts w:cs="Tahoma"/>
          <w:color w:val="0D0D0D" w:themeColor="text1" w:themeTint="F2"/>
        </w:rPr>
        <w:t>s</w:t>
      </w:r>
      <w:r w:rsidRPr="0042561E">
        <w:rPr>
          <w:rFonts w:cs="Tahoma"/>
          <w:color w:val="0D0D0D" w:themeColor="text1" w:themeTint="F2"/>
        </w:rPr>
        <w:t xml:space="preserve"> solicitud</w:t>
      </w:r>
      <w:r w:rsidR="00345BB5" w:rsidRPr="0042561E">
        <w:rPr>
          <w:rFonts w:cs="Tahoma"/>
          <w:color w:val="0D0D0D" w:themeColor="text1" w:themeTint="F2"/>
        </w:rPr>
        <w:t>es</w:t>
      </w:r>
      <w:r w:rsidRPr="0042561E">
        <w:rPr>
          <w:rFonts w:cs="Tahoma"/>
          <w:color w:val="0D0D0D" w:themeColor="text1" w:themeTint="F2"/>
        </w:rPr>
        <w:t xml:space="preserve"> de acceso a la información pública</w:t>
      </w:r>
      <w:r w:rsidRPr="0042561E">
        <w:rPr>
          <w:rFonts w:ascii="Verdana" w:hAnsi="Verdana"/>
          <w:b/>
          <w:bCs/>
          <w:color w:val="FF0000"/>
        </w:rPr>
        <w:t xml:space="preserve"> </w:t>
      </w:r>
      <w:r w:rsidR="00235D0D" w:rsidRPr="0042561E">
        <w:t>00</w:t>
      </w:r>
      <w:r w:rsidR="003E58B5" w:rsidRPr="0042561E">
        <w:t>076</w:t>
      </w:r>
      <w:r w:rsidR="00235D0D" w:rsidRPr="0042561E">
        <w:t>/</w:t>
      </w:r>
      <w:r w:rsidR="003E58B5" w:rsidRPr="0042561E">
        <w:t>NEXTLAL</w:t>
      </w:r>
      <w:r w:rsidR="00235D0D" w:rsidRPr="0042561E">
        <w:t>/IP/2024</w:t>
      </w:r>
      <w:r w:rsidR="000C3B1F" w:rsidRPr="0042561E">
        <w:t xml:space="preserve">, </w:t>
      </w:r>
      <w:r w:rsidR="003E58B5" w:rsidRPr="0042561E">
        <w:t>00075/NEXTLAL/IP/2024 y 00074/NEXTLAL/IP/2024</w:t>
      </w:r>
      <w:r w:rsidR="004C37C3" w:rsidRPr="0042561E">
        <w:t xml:space="preserve">, </w:t>
      </w:r>
      <w:r w:rsidRPr="0042561E">
        <w:rPr>
          <w:rFonts w:cs="Tahoma"/>
          <w:color w:val="0D0D0D" w:themeColor="text1" w:themeTint="F2"/>
        </w:rPr>
        <w:t>se emite</w:t>
      </w:r>
      <w:r w:rsidRPr="0042561E">
        <w:rPr>
          <w:rFonts w:cs="Tahoma"/>
          <w:bCs/>
          <w:color w:val="0D0D0D" w:themeColor="text1" w:themeTint="F2"/>
        </w:rPr>
        <w:t xml:space="preserve"> la presente Resolución, con base en los Antecedentes y Considerandos que se exponen a continuación:</w:t>
      </w:r>
    </w:p>
    <w:p w14:paraId="134E03A6" w14:textId="77777777" w:rsidR="00DB3DC5" w:rsidRPr="0042561E" w:rsidRDefault="00DB3DC5" w:rsidP="00A45DC5">
      <w:pPr>
        <w:spacing w:after="0" w:line="360" w:lineRule="auto"/>
        <w:contextualSpacing/>
        <w:rPr>
          <w:rFonts w:eastAsia="Calibri" w:cs="Tahoma"/>
          <w:b/>
          <w:bCs/>
          <w:lang w:val="es-ES"/>
        </w:rPr>
      </w:pPr>
    </w:p>
    <w:p w14:paraId="32EEB02D" w14:textId="685749E3" w:rsidR="00DB3DC5" w:rsidRPr="0042561E" w:rsidRDefault="00DB3DC5" w:rsidP="00A45DC5">
      <w:pPr>
        <w:spacing w:after="0" w:line="360" w:lineRule="auto"/>
        <w:contextualSpacing/>
        <w:jc w:val="center"/>
        <w:rPr>
          <w:rFonts w:eastAsia="Calibri" w:cs="Tahoma"/>
          <w:b/>
          <w:bCs/>
          <w:lang w:val="es-ES"/>
        </w:rPr>
      </w:pPr>
      <w:r w:rsidRPr="0042561E">
        <w:rPr>
          <w:rFonts w:eastAsia="Calibri" w:cs="Tahoma"/>
          <w:b/>
          <w:bCs/>
          <w:lang w:val="es-ES"/>
        </w:rPr>
        <w:t>A N T E C E D E N T E S</w:t>
      </w:r>
    </w:p>
    <w:p w14:paraId="09E98305" w14:textId="77777777" w:rsidR="00DB3DC5" w:rsidRPr="0042561E" w:rsidRDefault="00DB3DC5" w:rsidP="00A45DC5">
      <w:pPr>
        <w:spacing w:after="0" w:line="360" w:lineRule="auto"/>
        <w:contextualSpacing/>
        <w:jc w:val="center"/>
        <w:rPr>
          <w:rFonts w:eastAsia="Calibri" w:cs="Tahoma"/>
          <w:b/>
          <w:bCs/>
          <w:lang w:val="es-ES"/>
        </w:rPr>
      </w:pPr>
    </w:p>
    <w:p w14:paraId="5E541408" w14:textId="32A9C54B" w:rsidR="00DB3DC5" w:rsidRPr="0042561E" w:rsidRDefault="00DB3DC5" w:rsidP="00A45DC5">
      <w:pPr>
        <w:spacing w:after="0" w:line="360" w:lineRule="auto"/>
        <w:contextualSpacing/>
        <w:rPr>
          <w:rFonts w:eastAsia="Calibri" w:cs="Tahoma"/>
          <w:b/>
          <w:bCs/>
          <w:lang w:val="es-ES"/>
        </w:rPr>
      </w:pPr>
      <w:r w:rsidRPr="0042561E">
        <w:rPr>
          <w:rFonts w:eastAsia="Calibri" w:cs="Tahoma"/>
          <w:b/>
          <w:bCs/>
          <w:lang w:val="es-ES"/>
        </w:rPr>
        <w:t>I. Presentación de la</w:t>
      </w:r>
      <w:r w:rsidR="00345BB5" w:rsidRPr="0042561E">
        <w:rPr>
          <w:rFonts w:eastAsia="Calibri" w:cs="Tahoma"/>
          <w:b/>
          <w:bCs/>
          <w:lang w:val="es-ES"/>
        </w:rPr>
        <w:t>s</w:t>
      </w:r>
      <w:r w:rsidRPr="0042561E">
        <w:rPr>
          <w:rFonts w:eastAsia="Calibri" w:cs="Tahoma"/>
          <w:b/>
          <w:bCs/>
          <w:lang w:val="es-ES"/>
        </w:rPr>
        <w:t xml:space="preserve"> solicitud</w:t>
      </w:r>
      <w:r w:rsidR="00345BB5" w:rsidRPr="0042561E">
        <w:rPr>
          <w:rFonts w:eastAsia="Calibri" w:cs="Tahoma"/>
          <w:b/>
          <w:bCs/>
          <w:lang w:val="es-ES"/>
        </w:rPr>
        <w:t>es</w:t>
      </w:r>
      <w:r w:rsidRPr="0042561E">
        <w:rPr>
          <w:rFonts w:eastAsia="Calibri" w:cs="Tahoma"/>
          <w:b/>
          <w:bCs/>
          <w:lang w:val="es-ES"/>
        </w:rPr>
        <w:t xml:space="preserve"> de información</w:t>
      </w:r>
    </w:p>
    <w:p w14:paraId="5A91601B" w14:textId="77777777" w:rsidR="00DB3DC5" w:rsidRPr="0042561E" w:rsidRDefault="00DB3DC5" w:rsidP="00A45DC5">
      <w:pPr>
        <w:spacing w:after="0" w:line="360" w:lineRule="auto"/>
        <w:contextualSpacing/>
        <w:rPr>
          <w:rFonts w:eastAsia="Calibri" w:cs="Tahoma"/>
          <w:b/>
          <w:bCs/>
          <w:lang w:val="es-ES"/>
        </w:rPr>
      </w:pPr>
    </w:p>
    <w:p w14:paraId="1620C68D" w14:textId="624FF55E" w:rsidR="00DB3DC5" w:rsidRPr="0042561E" w:rsidRDefault="00B83C05" w:rsidP="00A45DC5">
      <w:pPr>
        <w:spacing w:after="0" w:line="360" w:lineRule="auto"/>
        <w:contextualSpacing/>
        <w:rPr>
          <w:rFonts w:cs="Tahoma"/>
        </w:rPr>
      </w:pPr>
      <w:r w:rsidRPr="0042561E">
        <w:rPr>
          <w:rFonts w:eastAsia="Calibri" w:cs="Tahoma"/>
          <w:lang w:val="es-ES"/>
        </w:rPr>
        <w:t>El</w:t>
      </w:r>
      <w:r w:rsidR="00021C8D" w:rsidRPr="0042561E">
        <w:rPr>
          <w:rFonts w:eastAsia="Calibri" w:cs="Tahoma"/>
          <w:lang w:val="es-ES"/>
        </w:rPr>
        <w:t xml:space="preserve"> do</w:t>
      </w:r>
      <w:r w:rsidR="003E58B5" w:rsidRPr="0042561E">
        <w:rPr>
          <w:rFonts w:eastAsia="Calibri" w:cs="Tahoma"/>
          <w:lang w:val="es-ES"/>
        </w:rPr>
        <w:t>ce de noviembre</w:t>
      </w:r>
      <w:r w:rsidR="003C6FDF" w:rsidRPr="0042561E">
        <w:rPr>
          <w:rFonts w:eastAsia="Calibri" w:cs="Tahoma"/>
          <w:lang w:val="es-ES"/>
        </w:rPr>
        <w:t xml:space="preserve"> </w:t>
      </w:r>
      <w:r w:rsidR="00654698" w:rsidRPr="0042561E">
        <w:rPr>
          <w:rFonts w:eastAsia="Calibri" w:cs="Tahoma"/>
          <w:lang w:val="es-ES"/>
        </w:rPr>
        <w:t>de dos mil veinticuatro</w:t>
      </w:r>
      <w:r w:rsidR="00DB3DC5" w:rsidRPr="0042561E">
        <w:rPr>
          <w:rFonts w:eastAsia="Calibri" w:cs="Tahoma"/>
          <w:lang w:val="es-ES"/>
        </w:rPr>
        <w:t xml:space="preserve">, el Particular presentó </w:t>
      </w:r>
      <w:r w:rsidR="00021C8D" w:rsidRPr="0042561E">
        <w:rPr>
          <w:rFonts w:eastAsia="Calibri" w:cs="Tahoma"/>
          <w:lang w:val="es-ES"/>
        </w:rPr>
        <w:t>tres</w:t>
      </w:r>
      <w:r w:rsidR="00DB3DC5" w:rsidRPr="0042561E">
        <w:rPr>
          <w:rFonts w:eastAsia="Calibri" w:cs="Tahoma"/>
          <w:lang w:val="es-ES"/>
        </w:rPr>
        <w:t xml:space="preserve"> solicitud</w:t>
      </w:r>
      <w:r w:rsidR="00345BB5" w:rsidRPr="0042561E">
        <w:rPr>
          <w:rFonts w:eastAsia="Calibri" w:cs="Tahoma"/>
          <w:lang w:val="es-ES"/>
        </w:rPr>
        <w:t>es</w:t>
      </w:r>
      <w:r w:rsidR="00DB3DC5" w:rsidRPr="0042561E">
        <w:rPr>
          <w:rFonts w:eastAsia="Calibri" w:cs="Tahoma"/>
          <w:lang w:val="es-ES"/>
        </w:rPr>
        <w:t xml:space="preserve"> de acceso a la información, a través del Sistema de Acceso a la Información Mexiquense (SAIMEX), ante </w:t>
      </w:r>
      <w:r w:rsidR="003E58B5" w:rsidRPr="0042561E">
        <w:rPr>
          <w:rFonts w:eastAsia="Calibri" w:cs="Tahoma"/>
          <w:lang w:val="es-ES"/>
        </w:rPr>
        <w:t xml:space="preserve">el </w:t>
      </w:r>
      <w:r w:rsidR="00235D0D" w:rsidRPr="0042561E">
        <w:rPr>
          <w:bCs/>
          <w:color w:val="000000"/>
          <w:szCs w:val="14"/>
        </w:rPr>
        <w:t>Ayuntamiento de</w:t>
      </w:r>
      <w:r w:rsidR="003E58B5" w:rsidRPr="0042561E">
        <w:rPr>
          <w:bCs/>
          <w:color w:val="000000"/>
          <w:szCs w:val="14"/>
        </w:rPr>
        <w:t xml:space="preserve"> Nextlalpan</w:t>
      </w:r>
      <w:r w:rsidR="003C6FDF" w:rsidRPr="0042561E">
        <w:rPr>
          <w:rFonts w:eastAsia="Calibri" w:cs="Times New Roman"/>
          <w:color w:val="000000"/>
        </w:rPr>
        <w:t>,</w:t>
      </w:r>
      <w:r w:rsidR="007F0FB2" w:rsidRPr="0042561E">
        <w:rPr>
          <w:rFonts w:eastAsia="Calibri" w:cs="Times New Roman"/>
          <w:b/>
        </w:rPr>
        <w:t xml:space="preserve"> </w:t>
      </w:r>
      <w:r w:rsidR="00DB3DC5" w:rsidRPr="0042561E">
        <w:rPr>
          <w:rFonts w:cs="Tahoma"/>
        </w:rPr>
        <w:t>en los siguientes términos:</w:t>
      </w:r>
    </w:p>
    <w:p w14:paraId="7514E3BA" w14:textId="77777777" w:rsidR="0069765E" w:rsidRPr="0042561E" w:rsidRDefault="0069765E" w:rsidP="00A45DC5">
      <w:pPr>
        <w:pStyle w:val="Prrafodelista"/>
        <w:tabs>
          <w:tab w:val="left" w:pos="567"/>
        </w:tabs>
        <w:spacing w:after="0" w:line="360" w:lineRule="auto"/>
        <w:ind w:left="0"/>
        <w:rPr>
          <w:rFonts w:cs="Tahoma"/>
          <w:lang w:val="es-ES"/>
        </w:rPr>
      </w:pPr>
    </w:p>
    <w:tbl>
      <w:tblPr>
        <w:tblStyle w:val="Tablaconcuadrcula"/>
        <w:tblW w:w="8590" w:type="dxa"/>
        <w:tblLook w:val="04A0" w:firstRow="1" w:lastRow="0" w:firstColumn="1" w:lastColumn="0" w:noHBand="0" w:noVBand="1"/>
      </w:tblPr>
      <w:tblGrid>
        <w:gridCol w:w="2672"/>
        <w:gridCol w:w="5918"/>
      </w:tblGrid>
      <w:tr w:rsidR="00A60744" w:rsidRPr="0042561E" w14:paraId="2CBB2887" w14:textId="77777777" w:rsidTr="00A60744">
        <w:tc>
          <w:tcPr>
            <w:tcW w:w="267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A60744" w:rsidRPr="0042561E" w:rsidRDefault="00A60744" w:rsidP="00A45DC5">
            <w:pPr>
              <w:tabs>
                <w:tab w:val="left" w:pos="567"/>
              </w:tabs>
              <w:spacing w:line="360" w:lineRule="auto"/>
              <w:ind w:right="-28"/>
              <w:contextualSpacing/>
              <w:rPr>
                <w:rFonts w:cs="Tahoma"/>
                <w:b/>
                <w:sz w:val="20"/>
                <w:szCs w:val="20"/>
                <w:lang w:val="es-MX"/>
              </w:rPr>
            </w:pPr>
            <w:bookmarkStart w:id="0" w:name="_Hlk168659039"/>
            <w:r w:rsidRPr="0042561E">
              <w:rPr>
                <w:rFonts w:cs="Tahoma"/>
                <w:b/>
                <w:sz w:val="20"/>
                <w:szCs w:val="20"/>
                <w:lang w:val="es-MX"/>
              </w:rPr>
              <w:t>FOLIO DE SOLICITUD</w:t>
            </w:r>
          </w:p>
        </w:tc>
        <w:tc>
          <w:tcPr>
            <w:tcW w:w="59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77777777" w:rsidR="00A60744" w:rsidRPr="0042561E" w:rsidRDefault="00A60744" w:rsidP="00A45DC5">
            <w:pPr>
              <w:tabs>
                <w:tab w:val="left" w:pos="567"/>
              </w:tabs>
              <w:spacing w:line="360" w:lineRule="auto"/>
              <w:contextualSpacing/>
              <w:rPr>
                <w:rFonts w:cs="Tahoma"/>
                <w:b/>
                <w:sz w:val="20"/>
                <w:szCs w:val="20"/>
                <w:lang w:val="es-MX"/>
              </w:rPr>
            </w:pPr>
            <w:r w:rsidRPr="0042561E">
              <w:rPr>
                <w:rFonts w:cs="Tahoma"/>
                <w:b/>
                <w:sz w:val="20"/>
                <w:szCs w:val="20"/>
                <w:lang w:val="es-MX"/>
              </w:rPr>
              <w:t>DESCRIPCIÓN CLARA Y PRECISA DE LA INFORMACIÓN SOLICITADA</w:t>
            </w:r>
          </w:p>
        </w:tc>
      </w:tr>
      <w:tr w:rsidR="00A60744" w:rsidRPr="0042561E" w14:paraId="3BEA5A65" w14:textId="77777777" w:rsidTr="00A60744">
        <w:tc>
          <w:tcPr>
            <w:tcW w:w="2672" w:type="dxa"/>
            <w:tcBorders>
              <w:top w:val="single" w:sz="4" w:space="0" w:color="auto"/>
              <w:left w:val="single" w:sz="4" w:space="0" w:color="auto"/>
              <w:bottom w:val="single" w:sz="4" w:space="0" w:color="auto"/>
              <w:right w:val="single" w:sz="4" w:space="0" w:color="auto"/>
            </w:tcBorders>
            <w:hideMark/>
          </w:tcPr>
          <w:p w14:paraId="028E5CD0" w14:textId="6151C38B" w:rsidR="00A60744" w:rsidRPr="0042561E" w:rsidRDefault="003E58B5" w:rsidP="00A45DC5">
            <w:pPr>
              <w:spacing w:line="360" w:lineRule="auto"/>
              <w:rPr>
                <w:b/>
                <w:bCs/>
                <w:i/>
                <w:iCs/>
                <w:sz w:val="20"/>
                <w:szCs w:val="20"/>
                <w:lang w:val="es-MX"/>
              </w:rPr>
            </w:pPr>
            <w:r w:rsidRPr="0042561E">
              <w:rPr>
                <w:b/>
                <w:bCs/>
                <w:sz w:val="20"/>
                <w:szCs w:val="20"/>
              </w:rPr>
              <w:lastRenderedPageBreak/>
              <w:t>00076/NEXTLAL/IP/2024</w:t>
            </w:r>
          </w:p>
        </w:tc>
        <w:tc>
          <w:tcPr>
            <w:tcW w:w="5918" w:type="dxa"/>
            <w:tcBorders>
              <w:top w:val="single" w:sz="4" w:space="0" w:color="auto"/>
              <w:left w:val="single" w:sz="4" w:space="0" w:color="auto"/>
              <w:bottom w:val="single" w:sz="4" w:space="0" w:color="auto"/>
              <w:right w:val="single" w:sz="4" w:space="0" w:color="auto"/>
            </w:tcBorders>
            <w:hideMark/>
          </w:tcPr>
          <w:p w14:paraId="2A8B4532" w14:textId="28A3D4DE" w:rsidR="00A60744" w:rsidRPr="0042561E" w:rsidRDefault="003E58B5" w:rsidP="00A45DC5">
            <w:pPr>
              <w:tabs>
                <w:tab w:val="left" w:pos="567"/>
              </w:tabs>
              <w:spacing w:line="360" w:lineRule="auto"/>
              <w:contextualSpacing/>
              <w:rPr>
                <w:i/>
                <w:color w:val="000000"/>
                <w:sz w:val="20"/>
                <w:szCs w:val="20"/>
                <w:lang w:val="es-MX"/>
              </w:rPr>
            </w:pPr>
            <w:r w:rsidRPr="0042561E">
              <w:rPr>
                <w:i/>
                <w:color w:val="000000"/>
                <w:sz w:val="20"/>
                <w:szCs w:val="20"/>
                <w:lang w:val="es-MX"/>
              </w:rPr>
              <w:t>PRESUPUESTO DE EGRESOS GLOBAL PARA EL EJERCICIO 2022. DESGLOSADO POR CAPITULOS, CONCEPTOS, PARTIDAS GENERICAS Y ESPECIFICAS.</w:t>
            </w:r>
            <w:r w:rsidR="00A60744" w:rsidRPr="0042561E">
              <w:rPr>
                <w:i/>
                <w:color w:val="000000"/>
                <w:sz w:val="20"/>
                <w:szCs w:val="20"/>
                <w:lang w:val="es-MX"/>
              </w:rPr>
              <w:t>” (Sic)</w:t>
            </w:r>
          </w:p>
        </w:tc>
      </w:tr>
      <w:tr w:rsidR="00A60744" w:rsidRPr="0042561E" w14:paraId="7B9390CE" w14:textId="77777777" w:rsidTr="00A60744">
        <w:tc>
          <w:tcPr>
            <w:tcW w:w="2672" w:type="dxa"/>
            <w:tcBorders>
              <w:top w:val="single" w:sz="4" w:space="0" w:color="auto"/>
              <w:left w:val="single" w:sz="4" w:space="0" w:color="auto"/>
              <w:bottom w:val="single" w:sz="4" w:space="0" w:color="auto"/>
              <w:right w:val="single" w:sz="4" w:space="0" w:color="auto"/>
            </w:tcBorders>
            <w:hideMark/>
          </w:tcPr>
          <w:p w14:paraId="50F58B47" w14:textId="5F1C18E0" w:rsidR="00A60744" w:rsidRPr="0042561E" w:rsidRDefault="003E58B5" w:rsidP="00A45DC5">
            <w:pPr>
              <w:spacing w:line="360" w:lineRule="auto"/>
              <w:rPr>
                <w:b/>
                <w:bCs/>
                <w:i/>
                <w:iCs/>
                <w:sz w:val="20"/>
                <w:szCs w:val="20"/>
                <w:lang w:val="es-MX"/>
              </w:rPr>
            </w:pPr>
            <w:r w:rsidRPr="0042561E">
              <w:rPr>
                <w:b/>
                <w:bCs/>
                <w:sz w:val="20"/>
                <w:szCs w:val="20"/>
              </w:rPr>
              <w:t>00075/NEXTLAL/IP/2024</w:t>
            </w:r>
          </w:p>
        </w:tc>
        <w:tc>
          <w:tcPr>
            <w:tcW w:w="5918" w:type="dxa"/>
            <w:tcBorders>
              <w:top w:val="single" w:sz="4" w:space="0" w:color="auto"/>
              <w:left w:val="single" w:sz="4" w:space="0" w:color="auto"/>
              <w:bottom w:val="single" w:sz="4" w:space="0" w:color="auto"/>
              <w:right w:val="single" w:sz="4" w:space="0" w:color="auto"/>
            </w:tcBorders>
            <w:hideMark/>
          </w:tcPr>
          <w:p w14:paraId="76ECF583" w14:textId="010A2290" w:rsidR="00A60744" w:rsidRPr="0042561E" w:rsidRDefault="003E58B5" w:rsidP="00A45DC5">
            <w:pPr>
              <w:spacing w:line="360" w:lineRule="auto"/>
              <w:contextualSpacing/>
              <w:rPr>
                <w:rFonts w:eastAsia="Times New Roman" w:cs="Arial"/>
                <w:bCs/>
                <w:i/>
                <w:sz w:val="20"/>
                <w:szCs w:val="20"/>
                <w:lang w:val="es-MX" w:eastAsia="es-ES"/>
              </w:rPr>
            </w:pPr>
            <w:r w:rsidRPr="0042561E">
              <w:rPr>
                <w:rFonts w:eastAsia="Times New Roman" w:cs="Arial"/>
                <w:bCs/>
                <w:i/>
                <w:sz w:val="20"/>
                <w:szCs w:val="20"/>
                <w:lang w:val="es-MX" w:eastAsia="es-ES"/>
              </w:rPr>
              <w:t>PRESUPUESTO DE EGRESOS GLOBAL PARA EL EJERCICIO 2023. DESGLOSADO POR CAPITULOS, CONCEPTOS, PARTIDAS GENERICAS Y ESPECIFICAS.</w:t>
            </w:r>
            <w:r w:rsidR="00A60744" w:rsidRPr="0042561E">
              <w:rPr>
                <w:rFonts w:eastAsia="Times New Roman" w:cs="Arial"/>
                <w:bCs/>
                <w:i/>
                <w:sz w:val="20"/>
                <w:szCs w:val="20"/>
                <w:lang w:val="es-MX" w:eastAsia="es-ES"/>
              </w:rPr>
              <w:t xml:space="preserve">” </w:t>
            </w:r>
            <w:r w:rsidR="00A60744" w:rsidRPr="0042561E">
              <w:rPr>
                <w:i/>
                <w:color w:val="000000"/>
                <w:sz w:val="20"/>
                <w:szCs w:val="20"/>
                <w:lang w:val="es-MX"/>
              </w:rPr>
              <w:t xml:space="preserve">(Sic) </w:t>
            </w:r>
          </w:p>
        </w:tc>
      </w:tr>
      <w:tr w:rsidR="00A60744" w:rsidRPr="0042561E" w14:paraId="7298CD36" w14:textId="77777777" w:rsidTr="00A60744">
        <w:tc>
          <w:tcPr>
            <w:tcW w:w="2672" w:type="dxa"/>
            <w:tcBorders>
              <w:top w:val="single" w:sz="4" w:space="0" w:color="auto"/>
              <w:left w:val="single" w:sz="4" w:space="0" w:color="auto"/>
              <w:bottom w:val="single" w:sz="4" w:space="0" w:color="auto"/>
              <w:right w:val="single" w:sz="4" w:space="0" w:color="auto"/>
            </w:tcBorders>
          </w:tcPr>
          <w:p w14:paraId="29049B53" w14:textId="34668674" w:rsidR="00A60744" w:rsidRPr="0042561E" w:rsidRDefault="003E58B5" w:rsidP="00A45DC5">
            <w:pPr>
              <w:spacing w:line="360" w:lineRule="auto"/>
              <w:rPr>
                <w:b/>
                <w:bCs/>
                <w:i/>
                <w:iCs/>
                <w:sz w:val="20"/>
                <w:szCs w:val="20"/>
              </w:rPr>
            </w:pPr>
            <w:r w:rsidRPr="0042561E">
              <w:rPr>
                <w:b/>
                <w:bCs/>
                <w:sz w:val="20"/>
                <w:szCs w:val="20"/>
              </w:rPr>
              <w:t>00074/NEXTLAL/IP/2024</w:t>
            </w:r>
          </w:p>
        </w:tc>
        <w:tc>
          <w:tcPr>
            <w:tcW w:w="5918" w:type="dxa"/>
            <w:tcBorders>
              <w:top w:val="single" w:sz="4" w:space="0" w:color="auto"/>
              <w:left w:val="single" w:sz="4" w:space="0" w:color="auto"/>
              <w:bottom w:val="single" w:sz="4" w:space="0" w:color="auto"/>
              <w:right w:val="single" w:sz="4" w:space="0" w:color="auto"/>
            </w:tcBorders>
          </w:tcPr>
          <w:p w14:paraId="30C78DD4" w14:textId="2FE01220" w:rsidR="00A60744" w:rsidRPr="0042561E" w:rsidRDefault="003E58B5" w:rsidP="00A45DC5">
            <w:pPr>
              <w:spacing w:line="360" w:lineRule="auto"/>
              <w:contextualSpacing/>
              <w:rPr>
                <w:rFonts w:eastAsia="Times New Roman" w:cs="Arial"/>
                <w:bCs/>
                <w:i/>
                <w:sz w:val="20"/>
                <w:szCs w:val="20"/>
                <w:lang w:eastAsia="es-ES"/>
              </w:rPr>
            </w:pPr>
            <w:r w:rsidRPr="0042561E">
              <w:rPr>
                <w:rFonts w:eastAsia="Times New Roman" w:cs="Arial"/>
                <w:bCs/>
                <w:i/>
                <w:sz w:val="20"/>
                <w:szCs w:val="20"/>
                <w:lang w:val="es-MX" w:eastAsia="es-ES"/>
              </w:rPr>
              <w:t>PRESUPUESTO DE EGRESOS GLOBAL PARA EL EJERCICIO 2024. DESGLOSADO POR CAPITULOS, CONCEPTOS, PARTIDAS GENERICAS Y ESPECIFICAS.</w:t>
            </w:r>
            <w:r w:rsidR="00A60744" w:rsidRPr="0042561E">
              <w:rPr>
                <w:rFonts w:eastAsia="Times New Roman" w:cs="Arial"/>
                <w:bCs/>
                <w:i/>
                <w:sz w:val="20"/>
                <w:szCs w:val="20"/>
                <w:lang w:val="es-MX" w:eastAsia="es-ES"/>
              </w:rPr>
              <w:t xml:space="preserve">” </w:t>
            </w:r>
            <w:r w:rsidR="00A60744" w:rsidRPr="0042561E">
              <w:rPr>
                <w:i/>
                <w:color w:val="000000"/>
                <w:sz w:val="20"/>
                <w:szCs w:val="20"/>
                <w:lang w:val="es-MX"/>
              </w:rPr>
              <w:t>(Sic)</w:t>
            </w:r>
          </w:p>
        </w:tc>
      </w:tr>
      <w:bookmarkEnd w:id="0"/>
    </w:tbl>
    <w:p w14:paraId="3157961E" w14:textId="77777777" w:rsidR="007F0FB2" w:rsidRPr="0042561E" w:rsidRDefault="007F0FB2" w:rsidP="00A45DC5">
      <w:pPr>
        <w:spacing w:after="0" w:line="360" w:lineRule="auto"/>
        <w:contextualSpacing/>
        <w:rPr>
          <w:rFonts w:eastAsia="Calibri" w:cs="Tahoma"/>
          <w:b/>
          <w:bCs/>
        </w:rPr>
      </w:pPr>
    </w:p>
    <w:p w14:paraId="143ECF6C" w14:textId="0F8CF95A" w:rsidR="00345BB5" w:rsidRPr="0042561E" w:rsidRDefault="00345BB5" w:rsidP="00A45DC5">
      <w:pPr>
        <w:tabs>
          <w:tab w:val="left" w:pos="4667"/>
        </w:tabs>
        <w:spacing w:after="0" w:line="360" w:lineRule="auto"/>
        <w:rPr>
          <w:rFonts w:cs="Tahoma"/>
          <w:bCs/>
          <w:i/>
        </w:rPr>
      </w:pPr>
      <w:r w:rsidRPr="0042561E">
        <w:rPr>
          <w:rFonts w:cs="Tahoma"/>
          <w:bCs/>
          <w:iCs/>
        </w:rPr>
        <w:t xml:space="preserve">Es de señalar que en las </w:t>
      </w:r>
      <w:r w:rsidR="005F5B5C" w:rsidRPr="0042561E">
        <w:rPr>
          <w:rFonts w:cs="Tahoma"/>
          <w:bCs/>
          <w:iCs/>
        </w:rPr>
        <w:t>tres</w:t>
      </w:r>
      <w:r w:rsidRPr="0042561E">
        <w:rPr>
          <w:rFonts w:cs="Tahoma"/>
          <w:bCs/>
          <w:iCs/>
        </w:rPr>
        <w:t xml:space="preserve"> solicitudes de acceso a la información el ahora Recurrente </w:t>
      </w:r>
      <w:r w:rsidR="00AF57D5" w:rsidRPr="0042561E">
        <w:rPr>
          <w:rFonts w:cs="Tahoma"/>
          <w:bCs/>
          <w:iCs/>
        </w:rPr>
        <w:t>eligió</w:t>
      </w:r>
      <w:r w:rsidRPr="0042561E">
        <w:rPr>
          <w:rFonts w:cs="Tahoma"/>
          <w:bCs/>
          <w:iCs/>
        </w:rPr>
        <w:t xml:space="preserve"> </w:t>
      </w:r>
      <w:r w:rsidR="00AF57D5" w:rsidRPr="0042561E">
        <w:rPr>
          <w:rFonts w:cs="Tahoma"/>
          <w:bCs/>
          <w:iCs/>
        </w:rPr>
        <w:t xml:space="preserve">como </w:t>
      </w:r>
      <w:r w:rsidRPr="0042561E">
        <w:rPr>
          <w:rFonts w:cs="Tahoma"/>
          <w:bCs/>
          <w:iCs/>
        </w:rPr>
        <w:t xml:space="preserve">modalidad de entrega de la información </w:t>
      </w:r>
      <w:r w:rsidRPr="0042561E">
        <w:rPr>
          <w:rFonts w:cs="Tahoma"/>
          <w:bCs/>
          <w:i/>
        </w:rPr>
        <w:t>“A través del SAIMEX”.</w:t>
      </w:r>
    </w:p>
    <w:p w14:paraId="05388F14" w14:textId="77777777" w:rsidR="00F5739B" w:rsidRPr="0042561E" w:rsidRDefault="00F5739B" w:rsidP="00A45DC5">
      <w:pPr>
        <w:spacing w:after="0" w:line="360" w:lineRule="auto"/>
        <w:contextualSpacing/>
        <w:rPr>
          <w:rFonts w:eastAsia="Calibri" w:cs="Tahoma"/>
          <w:bCs/>
        </w:rPr>
      </w:pPr>
    </w:p>
    <w:p w14:paraId="675E2DC0" w14:textId="77BA791B" w:rsidR="00DB3DC5" w:rsidRPr="0042561E" w:rsidRDefault="00DB3DC5" w:rsidP="00A45DC5">
      <w:pPr>
        <w:spacing w:after="0" w:line="360" w:lineRule="auto"/>
        <w:contextualSpacing/>
        <w:rPr>
          <w:rFonts w:eastAsia="Calibri" w:cs="Tahoma"/>
          <w:b/>
          <w:bCs/>
        </w:rPr>
      </w:pPr>
      <w:r w:rsidRPr="0042561E">
        <w:rPr>
          <w:rFonts w:eastAsia="Calibri" w:cs="Tahoma"/>
          <w:b/>
          <w:bCs/>
        </w:rPr>
        <w:t xml:space="preserve"> </w:t>
      </w:r>
      <w:r w:rsidR="008757F1" w:rsidRPr="0042561E">
        <w:rPr>
          <w:rFonts w:eastAsia="Calibri" w:cs="Tahoma"/>
          <w:b/>
          <w:bCs/>
        </w:rPr>
        <w:t>I</w:t>
      </w:r>
      <w:r w:rsidRPr="0042561E">
        <w:rPr>
          <w:rFonts w:eastAsia="Calibri" w:cs="Tahoma"/>
          <w:b/>
          <w:bCs/>
        </w:rPr>
        <w:t xml:space="preserve">I. </w:t>
      </w:r>
      <w:r w:rsidRPr="0042561E">
        <w:rPr>
          <w:rFonts w:eastAsia="Calibri" w:cs="Tahoma"/>
          <w:b/>
        </w:rPr>
        <w:t>Respuesta</w:t>
      </w:r>
      <w:r w:rsidRPr="0042561E">
        <w:rPr>
          <w:rFonts w:eastAsia="Calibri" w:cs="Tahoma"/>
          <w:b/>
          <w:bCs/>
        </w:rPr>
        <w:t xml:space="preserve"> del Sujeto Obligado</w:t>
      </w:r>
    </w:p>
    <w:p w14:paraId="6BDD54F7" w14:textId="77777777" w:rsidR="00345BB5" w:rsidRPr="0042561E" w:rsidRDefault="00345BB5" w:rsidP="00A45DC5">
      <w:pPr>
        <w:spacing w:after="0" w:line="360" w:lineRule="auto"/>
        <w:contextualSpacing/>
        <w:rPr>
          <w:rFonts w:eastAsia="Calibri" w:cs="Tahoma"/>
          <w:b/>
          <w:bCs/>
        </w:rPr>
      </w:pPr>
    </w:p>
    <w:p w14:paraId="12EEC53D" w14:textId="167BAF4F" w:rsidR="00345BB5" w:rsidRPr="0042561E" w:rsidRDefault="00441DFE" w:rsidP="00A45DC5">
      <w:pPr>
        <w:autoSpaceDE w:val="0"/>
        <w:autoSpaceDN w:val="0"/>
        <w:adjustRightInd w:val="0"/>
        <w:spacing w:after="0" w:line="360" w:lineRule="auto"/>
        <w:rPr>
          <w:rFonts w:cs="Tahoma"/>
          <w:bCs/>
          <w:lang w:val="es-ES_tradnl"/>
        </w:rPr>
      </w:pPr>
      <w:r w:rsidRPr="0042561E">
        <w:rPr>
          <w:rFonts w:cs="Tahoma"/>
          <w:bCs/>
          <w:lang w:val="es-ES_tradnl"/>
        </w:rPr>
        <w:t xml:space="preserve">El </w:t>
      </w:r>
      <w:r w:rsidR="002502D2" w:rsidRPr="0042561E">
        <w:rPr>
          <w:rFonts w:cs="Tahoma"/>
          <w:bCs/>
          <w:lang w:val="es-ES_tradnl"/>
        </w:rPr>
        <w:t>trece de noviembre</w:t>
      </w:r>
      <w:r w:rsidR="005F5B5C" w:rsidRPr="0042561E">
        <w:rPr>
          <w:rFonts w:cs="Tahoma"/>
          <w:bCs/>
          <w:lang w:val="es-ES_tradnl"/>
        </w:rPr>
        <w:t xml:space="preserve"> </w:t>
      </w:r>
      <w:r w:rsidR="00F5739B" w:rsidRPr="0042561E">
        <w:rPr>
          <w:rFonts w:cs="Tahoma"/>
          <w:bCs/>
          <w:lang w:val="es-ES_tradnl"/>
        </w:rPr>
        <w:t>de dos mil veinticuatro</w:t>
      </w:r>
      <w:r w:rsidR="00345BB5" w:rsidRPr="0042561E">
        <w:rPr>
          <w:rFonts w:cs="Tahoma"/>
          <w:bCs/>
          <w:lang w:val="es-ES_tradnl"/>
        </w:rPr>
        <w:t xml:space="preserve">, </w:t>
      </w:r>
      <w:r w:rsidRPr="0042561E">
        <w:rPr>
          <w:rFonts w:cs="Tahoma"/>
          <w:bCs/>
          <w:lang w:val="es-ES_tradnl"/>
        </w:rPr>
        <w:t xml:space="preserve">el </w:t>
      </w:r>
      <w:r w:rsidR="001C619B" w:rsidRPr="0042561E">
        <w:rPr>
          <w:bCs/>
          <w:color w:val="000000"/>
          <w:szCs w:val="14"/>
        </w:rPr>
        <w:t>Ayuntamiento de</w:t>
      </w:r>
      <w:r w:rsidR="00A7566F" w:rsidRPr="0042561E">
        <w:rPr>
          <w:bCs/>
          <w:color w:val="000000"/>
          <w:szCs w:val="14"/>
        </w:rPr>
        <w:t xml:space="preserve"> </w:t>
      </w:r>
      <w:r w:rsidR="002502D2" w:rsidRPr="0042561E">
        <w:rPr>
          <w:bCs/>
          <w:color w:val="000000"/>
          <w:szCs w:val="14"/>
        </w:rPr>
        <w:t>Nextlalpan</w:t>
      </w:r>
      <w:r w:rsidR="00345BB5" w:rsidRPr="0042561E">
        <w:rPr>
          <w:rFonts w:cs="Tahoma"/>
          <w:bCs/>
          <w:lang w:val="es-ES_tradnl"/>
        </w:rPr>
        <w:t>, notificó la respuesta a las</w:t>
      </w:r>
      <w:r w:rsidR="00301814" w:rsidRPr="0042561E">
        <w:rPr>
          <w:rFonts w:cs="Tahoma"/>
          <w:bCs/>
          <w:lang w:val="es-ES_tradnl"/>
        </w:rPr>
        <w:t xml:space="preserve"> </w:t>
      </w:r>
      <w:r w:rsidR="00345BB5" w:rsidRPr="0042561E">
        <w:rPr>
          <w:rFonts w:cs="Tahoma"/>
          <w:bCs/>
          <w:lang w:val="es-ES_tradnl"/>
        </w:rPr>
        <w:t>solicitudes, a través del Sistema de Acceso a la Información Mexiquense (SAIMEX), mediante los documentos siguientes:</w:t>
      </w:r>
      <w:bookmarkStart w:id="1" w:name="_Hlk101903429"/>
    </w:p>
    <w:p w14:paraId="134F23B4" w14:textId="77777777" w:rsidR="002A55C6" w:rsidRPr="0042561E" w:rsidRDefault="002A55C6" w:rsidP="00A45DC5">
      <w:pPr>
        <w:autoSpaceDE w:val="0"/>
        <w:autoSpaceDN w:val="0"/>
        <w:adjustRightInd w:val="0"/>
        <w:spacing w:after="0" w:line="360" w:lineRule="auto"/>
        <w:rPr>
          <w:rFonts w:cs="Tahoma"/>
          <w:bCs/>
          <w:lang w:val="es-ES_tradnl"/>
        </w:rPr>
      </w:pPr>
    </w:p>
    <w:tbl>
      <w:tblPr>
        <w:tblStyle w:val="Tablaconcuadrcula"/>
        <w:tblW w:w="8921" w:type="dxa"/>
        <w:tblLayout w:type="fixed"/>
        <w:tblLook w:val="04A0" w:firstRow="1" w:lastRow="0" w:firstColumn="1" w:lastColumn="0" w:noHBand="0" w:noVBand="1"/>
      </w:tblPr>
      <w:tblGrid>
        <w:gridCol w:w="2547"/>
        <w:gridCol w:w="6374"/>
      </w:tblGrid>
      <w:tr w:rsidR="00A60744" w:rsidRPr="0042561E" w14:paraId="3A7D12AA" w14:textId="77777777" w:rsidTr="0074693B">
        <w:tc>
          <w:tcPr>
            <w:tcW w:w="254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A60744" w:rsidRPr="0042561E" w:rsidRDefault="00A60744" w:rsidP="00A45DC5">
            <w:pPr>
              <w:tabs>
                <w:tab w:val="left" w:pos="567"/>
              </w:tabs>
              <w:spacing w:line="360" w:lineRule="auto"/>
              <w:ind w:right="-28"/>
              <w:contextualSpacing/>
              <w:rPr>
                <w:rFonts w:cs="Tahoma"/>
                <w:b/>
                <w:sz w:val="20"/>
                <w:szCs w:val="20"/>
                <w:lang w:val="es-MX"/>
              </w:rPr>
            </w:pPr>
            <w:bookmarkStart w:id="2" w:name="_Hlk182401322"/>
            <w:r w:rsidRPr="0042561E">
              <w:rPr>
                <w:rFonts w:cs="Tahoma"/>
                <w:b/>
                <w:sz w:val="20"/>
                <w:szCs w:val="20"/>
                <w:lang w:val="es-MX"/>
              </w:rPr>
              <w:t>FOLIO DE SOLICITUD</w:t>
            </w:r>
          </w:p>
        </w:tc>
        <w:tc>
          <w:tcPr>
            <w:tcW w:w="6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A60744" w:rsidRPr="0042561E" w:rsidRDefault="00A60744" w:rsidP="00A45DC5">
            <w:pPr>
              <w:tabs>
                <w:tab w:val="left" w:pos="567"/>
              </w:tabs>
              <w:spacing w:line="360" w:lineRule="auto"/>
              <w:contextualSpacing/>
              <w:rPr>
                <w:rFonts w:cs="Tahoma"/>
                <w:b/>
                <w:sz w:val="20"/>
                <w:szCs w:val="20"/>
                <w:lang w:val="es-MX"/>
              </w:rPr>
            </w:pPr>
            <w:r w:rsidRPr="0042561E">
              <w:rPr>
                <w:rFonts w:cs="Tahoma"/>
                <w:b/>
                <w:sz w:val="20"/>
                <w:szCs w:val="20"/>
                <w:lang w:val="es-MX"/>
              </w:rPr>
              <w:t>RESPUESTA</w:t>
            </w:r>
          </w:p>
        </w:tc>
      </w:tr>
      <w:tr w:rsidR="00A60744" w:rsidRPr="0042561E" w14:paraId="222D65EE" w14:textId="77777777" w:rsidTr="0074693B">
        <w:tc>
          <w:tcPr>
            <w:tcW w:w="2547" w:type="dxa"/>
            <w:tcBorders>
              <w:top w:val="single" w:sz="4" w:space="0" w:color="auto"/>
              <w:left w:val="single" w:sz="4" w:space="0" w:color="auto"/>
              <w:bottom w:val="single" w:sz="4" w:space="0" w:color="auto"/>
              <w:right w:val="single" w:sz="4" w:space="0" w:color="auto"/>
            </w:tcBorders>
            <w:hideMark/>
          </w:tcPr>
          <w:p w14:paraId="59ADFEF1" w14:textId="56B17997" w:rsidR="00A60744" w:rsidRPr="0042561E" w:rsidRDefault="002502D2" w:rsidP="00A45DC5">
            <w:pPr>
              <w:spacing w:line="360" w:lineRule="auto"/>
              <w:rPr>
                <w:b/>
                <w:bCs/>
                <w:i/>
                <w:iCs/>
                <w:sz w:val="20"/>
                <w:szCs w:val="20"/>
                <w:lang w:val="es-MX"/>
              </w:rPr>
            </w:pPr>
            <w:r w:rsidRPr="0042561E">
              <w:rPr>
                <w:b/>
                <w:bCs/>
                <w:sz w:val="20"/>
                <w:szCs w:val="20"/>
              </w:rPr>
              <w:t>00076/NEXTLAL/IP/2024</w:t>
            </w:r>
          </w:p>
        </w:tc>
        <w:tc>
          <w:tcPr>
            <w:tcW w:w="6374" w:type="dxa"/>
            <w:tcBorders>
              <w:top w:val="single" w:sz="4" w:space="0" w:color="auto"/>
              <w:left w:val="single" w:sz="4" w:space="0" w:color="auto"/>
              <w:bottom w:val="single" w:sz="4" w:space="0" w:color="auto"/>
              <w:right w:val="single" w:sz="4" w:space="0" w:color="auto"/>
            </w:tcBorders>
            <w:hideMark/>
          </w:tcPr>
          <w:p w14:paraId="0A6EE11E" w14:textId="205B0D77" w:rsidR="002502D2" w:rsidRPr="0042561E" w:rsidRDefault="00A60744" w:rsidP="00A45DC5">
            <w:pPr>
              <w:autoSpaceDE w:val="0"/>
              <w:autoSpaceDN w:val="0"/>
              <w:adjustRightInd w:val="0"/>
              <w:spacing w:line="360" w:lineRule="auto"/>
              <w:rPr>
                <w:rFonts w:cs="Tahoma"/>
                <w:sz w:val="20"/>
                <w:szCs w:val="20"/>
                <w:lang w:val="es-ES_tradnl"/>
              </w:rPr>
            </w:pPr>
            <w:r w:rsidRPr="0042561E">
              <w:rPr>
                <w:rFonts w:cs="Tahoma"/>
                <w:sz w:val="20"/>
                <w:szCs w:val="20"/>
                <w:lang w:val="es-ES_tradnl"/>
              </w:rPr>
              <w:t xml:space="preserve">i. Oficio número </w:t>
            </w:r>
            <w:r w:rsidR="002502D2" w:rsidRPr="0042561E">
              <w:rPr>
                <w:rFonts w:cs="Tahoma"/>
                <w:sz w:val="20"/>
                <w:szCs w:val="20"/>
                <w:lang w:val="es-ES_tradnl"/>
              </w:rPr>
              <w:t xml:space="preserve">NEXUTAIP/135/2024, suscrito por la Titular de la Unidad de Transparencia y dirigido al Solicitante, </w:t>
            </w:r>
            <w:r w:rsidR="0074693B" w:rsidRPr="0042561E">
              <w:rPr>
                <w:rFonts w:cs="Tahoma"/>
                <w:sz w:val="20"/>
                <w:szCs w:val="20"/>
                <w:lang w:val="es-ES_tradnl"/>
              </w:rPr>
              <w:t>por medio del cual mencionó lo siguiente:</w:t>
            </w:r>
          </w:p>
          <w:p w14:paraId="533A4F42" w14:textId="77777777" w:rsidR="0074693B" w:rsidRPr="0042561E" w:rsidRDefault="0074693B" w:rsidP="00A45DC5">
            <w:pPr>
              <w:autoSpaceDE w:val="0"/>
              <w:autoSpaceDN w:val="0"/>
              <w:adjustRightInd w:val="0"/>
              <w:spacing w:line="360" w:lineRule="auto"/>
              <w:rPr>
                <w:rFonts w:cs="Tahoma"/>
                <w:sz w:val="20"/>
                <w:szCs w:val="20"/>
                <w:lang w:val="es-ES_tradnl"/>
              </w:rPr>
            </w:pPr>
          </w:p>
          <w:p w14:paraId="7DB05F89" w14:textId="77777777" w:rsidR="0074693B" w:rsidRPr="0042561E" w:rsidRDefault="0074693B" w:rsidP="0074693B">
            <w:pPr>
              <w:autoSpaceDE w:val="0"/>
              <w:autoSpaceDN w:val="0"/>
              <w:adjustRightInd w:val="0"/>
              <w:spacing w:line="360" w:lineRule="auto"/>
              <w:ind w:left="708"/>
              <w:rPr>
                <w:rFonts w:cs="Tahoma"/>
                <w:i/>
                <w:iCs/>
                <w:sz w:val="20"/>
                <w:szCs w:val="20"/>
                <w:lang w:val="es-ES_tradnl"/>
              </w:rPr>
            </w:pPr>
            <w:r w:rsidRPr="0042561E">
              <w:rPr>
                <w:rFonts w:cs="Tahoma"/>
                <w:i/>
                <w:iCs/>
                <w:sz w:val="20"/>
                <w:szCs w:val="20"/>
                <w:lang w:val="es-ES_tradnl"/>
              </w:rPr>
              <w:t xml:space="preserve">“…En respuesta a lo anterior, con fundamento en los artículos 12 y 161 de la Ley de Transparencia y Acceso a la Información Pública del Estado de México y Municipios se informa que la información </w:t>
            </w:r>
            <w:r w:rsidRPr="0042561E">
              <w:rPr>
                <w:rFonts w:cs="Tahoma"/>
                <w:i/>
                <w:iCs/>
                <w:sz w:val="20"/>
                <w:szCs w:val="20"/>
                <w:lang w:val="es-ES_tradnl"/>
              </w:rPr>
              <w:lastRenderedPageBreak/>
              <w:t>solicitada se encuentra disponible al público en medios electrónicos y podrá consultarla en los siguientes links:</w:t>
            </w:r>
          </w:p>
          <w:p w14:paraId="060B9E2C" w14:textId="77777777" w:rsidR="0074693B" w:rsidRPr="0042561E" w:rsidRDefault="0074693B" w:rsidP="0074693B">
            <w:pPr>
              <w:autoSpaceDE w:val="0"/>
              <w:autoSpaceDN w:val="0"/>
              <w:adjustRightInd w:val="0"/>
              <w:spacing w:line="360" w:lineRule="auto"/>
              <w:ind w:left="708"/>
              <w:rPr>
                <w:rFonts w:cs="Tahoma"/>
                <w:i/>
                <w:iCs/>
                <w:sz w:val="20"/>
                <w:szCs w:val="20"/>
                <w:lang w:val="es-ES_tradnl"/>
              </w:rPr>
            </w:pPr>
          </w:p>
          <w:p w14:paraId="292A6D01" w14:textId="5D5B4F63" w:rsidR="0074693B" w:rsidRPr="0042561E" w:rsidRDefault="00D9029F" w:rsidP="00D9029F">
            <w:pPr>
              <w:autoSpaceDE w:val="0"/>
              <w:autoSpaceDN w:val="0"/>
              <w:adjustRightInd w:val="0"/>
              <w:spacing w:line="360" w:lineRule="auto"/>
              <w:ind w:left="708"/>
              <w:rPr>
                <w:rFonts w:cs="Tahoma"/>
                <w:i/>
                <w:iCs/>
                <w:sz w:val="20"/>
                <w:szCs w:val="20"/>
                <w:lang w:val="es-ES_tradnl"/>
              </w:rPr>
            </w:pPr>
            <w:hyperlink r:id="rId8" w:history="1">
              <w:r w:rsidRPr="0042561E">
                <w:rPr>
                  <w:rStyle w:val="Hipervnculo"/>
                  <w:rFonts w:cs="Tahoma"/>
                  <w:i/>
                  <w:iCs/>
                  <w:sz w:val="20"/>
                  <w:szCs w:val="20"/>
                  <w:lang w:val="es-ES_tradnl"/>
                </w:rPr>
                <w:t>https://legislacion.edomex.gob.mx/sites/legislacion.edomex.gob.mx/files/files/pdf/gct/2022/febrero/feb251/feb251h.pdf</w:t>
              </w:r>
            </w:hyperlink>
            <w:r w:rsidRPr="0042561E">
              <w:rPr>
                <w:rFonts w:cs="Tahoma"/>
                <w:i/>
                <w:iCs/>
                <w:sz w:val="20"/>
                <w:szCs w:val="20"/>
                <w:lang w:val="es-ES_tradnl"/>
              </w:rPr>
              <w:t xml:space="preserve"> </w:t>
            </w:r>
            <w:r w:rsidR="0074693B" w:rsidRPr="0042561E">
              <w:rPr>
                <w:rFonts w:cs="Tahoma"/>
                <w:i/>
                <w:iCs/>
                <w:sz w:val="20"/>
                <w:szCs w:val="20"/>
                <w:lang w:val="es-ES_tradnl"/>
              </w:rPr>
              <w:t xml:space="preserve">        </w:t>
            </w:r>
          </w:p>
          <w:p w14:paraId="031A4749" w14:textId="4421E686" w:rsidR="00A60744" w:rsidRPr="0042561E" w:rsidRDefault="0074693B" w:rsidP="0074693B">
            <w:pPr>
              <w:autoSpaceDE w:val="0"/>
              <w:autoSpaceDN w:val="0"/>
              <w:adjustRightInd w:val="0"/>
              <w:spacing w:line="360" w:lineRule="auto"/>
              <w:ind w:left="708"/>
              <w:rPr>
                <w:rFonts w:cs="Tahoma"/>
                <w:i/>
                <w:iCs/>
                <w:sz w:val="20"/>
                <w:szCs w:val="20"/>
                <w:lang w:val="es-ES_tradnl"/>
              </w:rPr>
            </w:pPr>
            <w:r w:rsidRPr="0042561E">
              <w:rPr>
                <w:rFonts w:cs="Tahoma"/>
                <w:i/>
                <w:iCs/>
                <w:sz w:val="20"/>
                <w:szCs w:val="20"/>
                <w:lang w:val="es-ES_tradnl"/>
              </w:rPr>
              <w:t>…”</w:t>
            </w:r>
          </w:p>
        </w:tc>
      </w:tr>
      <w:tr w:rsidR="00A60744" w:rsidRPr="0042561E" w14:paraId="32DFB6AB" w14:textId="77777777" w:rsidTr="0074693B">
        <w:tc>
          <w:tcPr>
            <w:tcW w:w="2547" w:type="dxa"/>
            <w:tcBorders>
              <w:top w:val="single" w:sz="4" w:space="0" w:color="auto"/>
              <w:left w:val="single" w:sz="4" w:space="0" w:color="auto"/>
              <w:bottom w:val="single" w:sz="4" w:space="0" w:color="auto"/>
              <w:right w:val="single" w:sz="4" w:space="0" w:color="auto"/>
            </w:tcBorders>
            <w:hideMark/>
          </w:tcPr>
          <w:p w14:paraId="626C0052" w14:textId="0D302C7D" w:rsidR="00A60744" w:rsidRPr="0042561E" w:rsidRDefault="002502D2" w:rsidP="00A45DC5">
            <w:pPr>
              <w:spacing w:line="360" w:lineRule="auto"/>
              <w:rPr>
                <w:b/>
                <w:bCs/>
                <w:i/>
                <w:iCs/>
                <w:sz w:val="20"/>
                <w:szCs w:val="20"/>
                <w:lang w:val="es-MX"/>
              </w:rPr>
            </w:pPr>
            <w:r w:rsidRPr="0042561E">
              <w:rPr>
                <w:b/>
                <w:bCs/>
                <w:sz w:val="20"/>
                <w:szCs w:val="20"/>
              </w:rPr>
              <w:lastRenderedPageBreak/>
              <w:t>00075/NEXTLAL/IP/2024</w:t>
            </w:r>
          </w:p>
        </w:tc>
        <w:tc>
          <w:tcPr>
            <w:tcW w:w="6374" w:type="dxa"/>
            <w:tcBorders>
              <w:top w:val="single" w:sz="4" w:space="0" w:color="auto"/>
              <w:left w:val="single" w:sz="4" w:space="0" w:color="auto"/>
              <w:bottom w:val="single" w:sz="4" w:space="0" w:color="auto"/>
              <w:right w:val="single" w:sz="4" w:space="0" w:color="auto"/>
            </w:tcBorders>
            <w:hideMark/>
          </w:tcPr>
          <w:p w14:paraId="1AA6E394" w14:textId="5C8AAC1A" w:rsidR="00D9029F" w:rsidRPr="0042561E" w:rsidRDefault="00A60744" w:rsidP="00D9029F">
            <w:pPr>
              <w:autoSpaceDE w:val="0"/>
              <w:autoSpaceDN w:val="0"/>
              <w:adjustRightInd w:val="0"/>
              <w:spacing w:line="360" w:lineRule="auto"/>
              <w:rPr>
                <w:rFonts w:cs="Tahoma"/>
                <w:sz w:val="20"/>
                <w:szCs w:val="20"/>
                <w:lang w:val="es-ES_tradnl"/>
              </w:rPr>
            </w:pPr>
            <w:r w:rsidRPr="0042561E">
              <w:rPr>
                <w:rFonts w:eastAsia="Times New Roman" w:cs="Arial"/>
                <w:bCs/>
                <w:iCs/>
                <w:sz w:val="20"/>
                <w:szCs w:val="20"/>
                <w:lang w:val="es-MX" w:eastAsia="es-ES"/>
              </w:rPr>
              <w:t xml:space="preserve">i. Oficio número </w:t>
            </w:r>
            <w:r w:rsidR="00D9029F" w:rsidRPr="0042561E">
              <w:rPr>
                <w:rFonts w:cs="Tahoma"/>
                <w:sz w:val="20"/>
                <w:szCs w:val="20"/>
                <w:lang w:val="es-ES_tradnl"/>
              </w:rPr>
              <w:t>NEXUTAIP/134/2024, suscrito por la Titular de la Unidad de Transparencia y dirigido al Solicitante, por medio del cual mencionó lo siguiente:</w:t>
            </w:r>
          </w:p>
          <w:p w14:paraId="0F757132" w14:textId="77777777" w:rsidR="00D9029F" w:rsidRPr="0042561E" w:rsidRDefault="00D9029F" w:rsidP="00D9029F">
            <w:pPr>
              <w:autoSpaceDE w:val="0"/>
              <w:autoSpaceDN w:val="0"/>
              <w:adjustRightInd w:val="0"/>
              <w:spacing w:line="360" w:lineRule="auto"/>
              <w:rPr>
                <w:rFonts w:cs="Tahoma"/>
                <w:sz w:val="20"/>
                <w:szCs w:val="20"/>
                <w:lang w:val="es-ES_tradnl"/>
              </w:rPr>
            </w:pPr>
          </w:p>
          <w:p w14:paraId="6FB8C070" w14:textId="4EF9458D" w:rsidR="0074693B" w:rsidRPr="0042561E" w:rsidRDefault="00D9029F" w:rsidP="00D9029F">
            <w:pPr>
              <w:autoSpaceDE w:val="0"/>
              <w:autoSpaceDN w:val="0"/>
              <w:adjustRightInd w:val="0"/>
              <w:spacing w:line="360" w:lineRule="auto"/>
              <w:ind w:left="708"/>
              <w:rPr>
                <w:rFonts w:cs="Tahoma"/>
                <w:i/>
                <w:iCs/>
                <w:sz w:val="20"/>
                <w:szCs w:val="20"/>
                <w:lang w:val="es-ES_tradnl"/>
              </w:rPr>
            </w:pPr>
            <w:r w:rsidRPr="0042561E">
              <w:rPr>
                <w:rFonts w:cs="Tahoma"/>
                <w:i/>
                <w:iCs/>
                <w:sz w:val="20"/>
                <w:szCs w:val="20"/>
                <w:lang w:val="es-ES_tradnl"/>
              </w:rPr>
              <w:t>“…En respuesta a lo anterior, con fundamento en los artículos 12 y 161 de la Ley de Transparencia y Acceso a la Información Pública del Estado de México y Municipios se informa que la información solicitada se encuentra disponible al público en medios electrónicos y podrá consultarla en los siguientes links:</w:t>
            </w:r>
          </w:p>
          <w:p w14:paraId="046EA937" w14:textId="77777777" w:rsidR="00D9029F" w:rsidRPr="0042561E" w:rsidRDefault="00D9029F" w:rsidP="00D9029F">
            <w:pPr>
              <w:autoSpaceDE w:val="0"/>
              <w:autoSpaceDN w:val="0"/>
              <w:adjustRightInd w:val="0"/>
              <w:spacing w:line="360" w:lineRule="auto"/>
              <w:ind w:left="708"/>
              <w:rPr>
                <w:rFonts w:cs="Tahoma"/>
                <w:i/>
                <w:iCs/>
                <w:sz w:val="20"/>
                <w:szCs w:val="20"/>
                <w:lang w:val="es-ES_tradnl"/>
              </w:rPr>
            </w:pPr>
          </w:p>
          <w:p w14:paraId="525B55D9" w14:textId="568B9B87" w:rsidR="00D9029F" w:rsidRPr="0042561E" w:rsidRDefault="00D9029F" w:rsidP="00D9029F">
            <w:pPr>
              <w:autoSpaceDE w:val="0"/>
              <w:autoSpaceDN w:val="0"/>
              <w:adjustRightInd w:val="0"/>
              <w:spacing w:line="360" w:lineRule="auto"/>
              <w:ind w:left="708"/>
              <w:rPr>
                <w:rFonts w:cs="Tahoma"/>
                <w:i/>
                <w:iCs/>
                <w:sz w:val="20"/>
                <w:szCs w:val="20"/>
                <w:lang w:val="es-ES_tradnl"/>
              </w:rPr>
            </w:pPr>
            <w:hyperlink r:id="rId9" w:history="1">
              <w:r w:rsidRPr="0042561E">
                <w:rPr>
                  <w:rStyle w:val="Hipervnculo"/>
                  <w:rFonts w:cs="Tahoma"/>
                  <w:i/>
                  <w:iCs/>
                  <w:sz w:val="20"/>
                  <w:szCs w:val="20"/>
                  <w:lang w:val="es-ES_tradnl"/>
                </w:rPr>
                <w:t>https://legislacion.edomex.gob.mx/sites/legislacion.edomex.gob.mx/files/files/pdf/gct/2023/febrero/feb221/feb221f.pdf</w:t>
              </w:r>
            </w:hyperlink>
            <w:r w:rsidRPr="0042561E">
              <w:rPr>
                <w:rFonts w:cs="Tahoma"/>
                <w:i/>
                <w:iCs/>
                <w:sz w:val="20"/>
                <w:szCs w:val="20"/>
                <w:lang w:val="es-ES_tradnl"/>
              </w:rPr>
              <w:t xml:space="preserve"> </w:t>
            </w:r>
          </w:p>
          <w:p w14:paraId="2083D3ED" w14:textId="1A09756B" w:rsidR="00D9029F" w:rsidRPr="0042561E" w:rsidRDefault="00D9029F" w:rsidP="00D9029F">
            <w:pPr>
              <w:autoSpaceDE w:val="0"/>
              <w:autoSpaceDN w:val="0"/>
              <w:adjustRightInd w:val="0"/>
              <w:spacing w:line="360" w:lineRule="auto"/>
              <w:ind w:left="708"/>
              <w:rPr>
                <w:rFonts w:cs="Tahoma"/>
                <w:i/>
                <w:iCs/>
                <w:sz w:val="20"/>
                <w:szCs w:val="20"/>
                <w:lang w:val="es-ES_tradnl"/>
              </w:rPr>
            </w:pPr>
            <w:r w:rsidRPr="0042561E">
              <w:rPr>
                <w:rFonts w:cs="Tahoma"/>
                <w:i/>
                <w:iCs/>
                <w:sz w:val="20"/>
                <w:szCs w:val="20"/>
                <w:lang w:val="es-ES_tradnl"/>
              </w:rPr>
              <w:t>...”</w:t>
            </w:r>
          </w:p>
          <w:p w14:paraId="64552E57" w14:textId="4AC4151B" w:rsidR="00A60744" w:rsidRPr="0042561E" w:rsidRDefault="00A60744" w:rsidP="00A45DC5">
            <w:pPr>
              <w:autoSpaceDE w:val="0"/>
              <w:autoSpaceDN w:val="0"/>
              <w:adjustRightInd w:val="0"/>
              <w:spacing w:line="360" w:lineRule="auto"/>
              <w:rPr>
                <w:rFonts w:eastAsia="Times New Roman" w:cs="Arial"/>
                <w:bCs/>
                <w:iCs/>
                <w:sz w:val="20"/>
                <w:szCs w:val="20"/>
                <w:lang w:val="es-MX" w:eastAsia="es-ES"/>
              </w:rPr>
            </w:pPr>
          </w:p>
        </w:tc>
      </w:tr>
      <w:tr w:rsidR="00A60744" w:rsidRPr="0042561E" w14:paraId="43920A19" w14:textId="77777777" w:rsidTr="0074693B">
        <w:tc>
          <w:tcPr>
            <w:tcW w:w="2547" w:type="dxa"/>
            <w:tcBorders>
              <w:top w:val="single" w:sz="4" w:space="0" w:color="auto"/>
              <w:left w:val="single" w:sz="4" w:space="0" w:color="auto"/>
              <w:bottom w:val="single" w:sz="4" w:space="0" w:color="auto"/>
              <w:right w:val="single" w:sz="4" w:space="0" w:color="auto"/>
            </w:tcBorders>
          </w:tcPr>
          <w:p w14:paraId="532DC089" w14:textId="5EBDDDD3" w:rsidR="00A60744" w:rsidRPr="0042561E" w:rsidRDefault="002502D2" w:rsidP="00A45DC5">
            <w:pPr>
              <w:spacing w:line="360" w:lineRule="auto"/>
              <w:rPr>
                <w:b/>
                <w:bCs/>
                <w:i/>
                <w:iCs/>
                <w:sz w:val="20"/>
                <w:szCs w:val="20"/>
              </w:rPr>
            </w:pPr>
            <w:r w:rsidRPr="0042561E">
              <w:rPr>
                <w:b/>
                <w:bCs/>
                <w:sz w:val="20"/>
                <w:szCs w:val="20"/>
              </w:rPr>
              <w:t>00074/NEXTLAL/IP/2024</w:t>
            </w:r>
          </w:p>
        </w:tc>
        <w:tc>
          <w:tcPr>
            <w:tcW w:w="6374" w:type="dxa"/>
            <w:tcBorders>
              <w:top w:val="single" w:sz="4" w:space="0" w:color="auto"/>
              <w:left w:val="single" w:sz="4" w:space="0" w:color="auto"/>
              <w:bottom w:val="single" w:sz="4" w:space="0" w:color="auto"/>
              <w:right w:val="single" w:sz="4" w:space="0" w:color="auto"/>
            </w:tcBorders>
          </w:tcPr>
          <w:p w14:paraId="37D8378F" w14:textId="5D8AA254" w:rsidR="00D9029F" w:rsidRPr="0042561E" w:rsidRDefault="00A60744" w:rsidP="00D9029F">
            <w:pPr>
              <w:autoSpaceDE w:val="0"/>
              <w:autoSpaceDN w:val="0"/>
              <w:adjustRightInd w:val="0"/>
              <w:spacing w:line="360" w:lineRule="auto"/>
              <w:rPr>
                <w:rFonts w:cs="Tahoma"/>
                <w:sz w:val="20"/>
                <w:szCs w:val="20"/>
                <w:lang w:val="es-ES_tradnl"/>
              </w:rPr>
            </w:pPr>
            <w:r w:rsidRPr="0042561E">
              <w:rPr>
                <w:rFonts w:cs="Tahoma"/>
                <w:sz w:val="20"/>
                <w:szCs w:val="20"/>
                <w:lang w:val="es-ES_tradnl"/>
              </w:rPr>
              <w:t xml:space="preserve">i. Oficio número </w:t>
            </w:r>
            <w:r w:rsidR="00D9029F" w:rsidRPr="0042561E">
              <w:rPr>
                <w:rFonts w:cs="Tahoma"/>
                <w:sz w:val="20"/>
                <w:szCs w:val="20"/>
                <w:lang w:val="es-ES_tradnl"/>
              </w:rPr>
              <w:t>NEXUTAIP/133/2024, suscrito por la Titular de la Unidad de Transparencia y dirigido al Solicitante, por medio del cual mencionó lo siguiente:</w:t>
            </w:r>
          </w:p>
          <w:p w14:paraId="7CD83898" w14:textId="77777777" w:rsidR="00D9029F" w:rsidRPr="0042561E" w:rsidRDefault="00D9029F" w:rsidP="00D9029F">
            <w:pPr>
              <w:autoSpaceDE w:val="0"/>
              <w:autoSpaceDN w:val="0"/>
              <w:adjustRightInd w:val="0"/>
              <w:spacing w:line="360" w:lineRule="auto"/>
              <w:rPr>
                <w:rFonts w:cs="Tahoma"/>
                <w:sz w:val="20"/>
                <w:szCs w:val="20"/>
                <w:lang w:val="es-ES_tradnl"/>
              </w:rPr>
            </w:pPr>
          </w:p>
          <w:p w14:paraId="6AD79AC9" w14:textId="0E0022A5" w:rsidR="0074693B" w:rsidRPr="0042561E" w:rsidRDefault="00D9029F" w:rsidP="00D9029F">
            <w:pPr>
              <w:autoSpaceDE w:val="0"/>
              <w:autoSpaceDN w:val="0"/>
              <w:adjustRightInd w:val="0"/>
              <w:spacing w:line="360" w:lineRule="auto"/>
              <w:rPr>
                <w:rFonts w:cs="Tahoma"/>
                <w:sz w:val="20"/>
                <w:szCs w:val="20"/>
                <w:lang w:val="es-ES_tradnl"/>
              </w:rPr>
            </w:pPr>
            <w:r w:rsidRPr="0042561E">
              <w:rPr>
                <w:rFonts w:cs="Tahoma"/>
                <w:i/>
                <w:iCs/>
                <w:sz w:val="20"/>
                <w:szCs w:val="20"/>
                <w:lang w:val="es-ES_tradnl"/>
              </w:rPr>
              <w:t>“…En respuesta a lo anterior, con fundamento en los artículos 12 y 161 de la Ley de Transparencia y Acceso a la Información Pública del Estado de México y Municipios se informa que la información solicitada se encuentra disponible al público en medios electrónicos y podrá consultarla en los siguientes links:</w:t>
            </w:r>
          </w:p>
          <w:p w14:paraId="60986FFE" w14:textId="77777777" w:rsidR="00D9029F" w:rsidRPr="0042561E" w:rsidRDefault="00D9029F" w:rsidP="0074693B">
            <w:pPr>
              <w:autoSpaceDE w:val="0"/>
              <w:autoSpaceDN w:val="0"/>
              <w:adjustRightInd w:val="0"/>
              <w:spacing w:line="360" w:lineRule="auto"/>
              <w:rPr>
                <w:rFonts w:cs="Tahoma"/>
                <w:i/>
                <w:iCs/>
                <w:sz w:val="20"/>
                <w:szCs w:val="20"/>
                <w:lang w:val="es-ES_tradnl"/>
              </w:rPr>
            </w:pPr>
          </w:p>
          <w:p w14:paraId="0AFD1647" w14:textId="77777777" w:rsidR="00D9029F" w:rsidRPr="0042561E" w:rsidRDefault="00D9029F" w:rsidP="0074693B">
            <w:pPr>
              <w:autoSpaceDE w:val="0"/>
              <w:autoSpaceDN w:val="0"/>
              <w:adjustRightInd w:val="0"/>
              <w:spacing w:line="360" w:lineRule="auto"/>
              <w:rPr>
                <w:rFonts w:cs="Tahoma"/>
                <w:i/>
                <w:iCs/>
                <w:sz w:val="20"/>
                <w:szCs w:val="20"/>
                <w:lang w:val="es-ES_tradnl"/>
              </w:rPr>
            </w:pPr>
          </w:p>
          <w:p w14:paraId="4DB47CA7" w14:textId="4E7DBE7D" w:rsidR="00D9029F" w:rsidRPr="0042561E" w:rsidRDefault="00D9029F" w:rsidP="00D9029F">
            <w:pPr>
              <w:autoSpaceDE w:val="0"/>
              <w:autoSpaceDN w:val="0"/>
              <w:adjustRightInd w:val="0"/>
              <w:spacing w:line="360" w:lineRule="auto"/>
              <w:rPr>
                <w:rFonts w:cs="Tahoma"/>
                <w:i/>
                <w:iCs/>
                <w:sz w:val="20"/>
                <w:szCs w:val="20"/>
                <w:lang w:val="es-ES_tradnl"/>
              </w:rPr>
            </w:pPr>
            <w:hyperlink r:id="rId10" w:history="1">
              <w:r w:rsidRPr="0042561E">
                <w:rPr>
                  <w:rStyle w:val="Hipervnculo"/>
                  <w:rFonts w:cs="Tahoma"/>
                  <w:i/>
                  <w:iCs/>
                  <w:sz w:val="20"/>
                  <w:szCs w:val="20"/>
                  <w:lang w:val="es-ES_tradnl"/>
                </w:rPr>
                <w:t>https://legislacion.edomex.gob.mx/sites/legislacion.edomex.gpb.mx/files/files/pdf/gct/2024/febrero/feb231/feb231f.pdf</w:t>
              </w:r>
            </w:hyperlink>
            <w:r w:rsidRPr="0042561E">
              <w:rPr>
                <w:rFonts w:cs="Tahoma"/>
                <w:i/>
                <w:iCs/>
                <w:sz w:val="20"/>
                <w:szCs w:val="20"/>
                <w:lang w:val="es-ES_tradnl"/>
              </w:rPr>
              <w:t xml:space="preserve"> </w:t>
            </w:r>
          </w:p>
          <w:p w14:paraId="1D403731" w14:textId="20D3B425" w:rsidR="00A60744" w:rsidRPr="0042561E" w:rsidRDefault="00D9029F" w:rsidP="00A45DC5">
            <w:pPr>
              <w:autoSpaceDE w:val="0"/>
              <w:autoSpaceDN w:val="0"/>
              <w:adjustRightInd w:val="0"/>
              <w:spacing w:line="360" w:lineRule="auto"/>
              <w:rPr>
                <w:rFonts w:cs="Tahoma"/>
                <w:i/>
                <w:iCs/>
                <w:sz w:val="20"/>
                <w:szCs w:val="20"/>
                <w:lang w:val="es-ES_tradnl"/>
              </w:rPr>
            </w:pPr>
            <w:r w:rsidRPr="0042561E">
              <w:rPr>
                <w:rFonts w:cs="Tahoma"/>
                <w:i/>
                <w:iCs/>
                <w:sz w:val="20"/>
                <w:szCs w:val="20"/>
                <w:lang w:val="es-ES_tradnl"/>
              </w:rPr>
              <w:t>...”</w:t>
            </w:r>
          </w:p>
        </w:tc>
      </w:tr>
      <w:bookmarkEnd w:id="1"/>
      <w:bookmarkEnd w:id="2"/>
    </w:tbl>
    <w:p w14:paraId="1E9BE625" w14:textId="77777777" w:rsidR="00CE71FB" w:rsidRPr="0042561E" w:rsidRDefault="00CE71FB" w:rsidP="00A45DC5">
      <w:pPr>
        <w:autoSpaceDE w:val="0"/>
        <w:autoSpaceDN w:val="0"/>
        <w:adjustRightInd w:val="0"/>
        <w:spacing w:after="0" w:line="360" w:lineRule="auto"/>
        <w:contextualSpacing/>
        <w:rPr>
          <w:rFonts w:eastAsia="Calibri" w:cs="Tahoma"/>
          <w:b/>
          <w:color w:val="000000"/>
        </w:rPr>
      </w:pPr>
    </w:p>
    <w:p w14:paraId="6867D521" w14:textId="471A4A10" w:rsidR="00DB3DC5" w:rsidRPr="0042561E" w:rsidRDefault="00DB3DC5" w:rsidP="00A45DC5">
      <w:pPr>
        <w:autoSpaceDE w:val="0"/>
        <w:autoSpaceDN w:val="0"/>
        <w:adjustRightInd w:val="0"/>
        <w:spacing w:after="0" w:line="360" w:lineRule="auto"/>
        <w:contextualSpacing/>
        <w:rPr>
          <w:rFonts w:eastAsia="Calibri" w:cs="Tahoma"/>
          <w:b/>
          <w:color w:val="000000"/>
        </w:rPr>
      </w:pPr>
      <w:r w:rsidRPr="0042561E">
        <w:rPr>
          <w:rFonts w:eastAsia="Calibri" w:cs="Tahoma"/>
          <w:b/>
          <w:color w:val="000000"/>
        </w:rPr>
        <w:t>III. Interpo</w:t>
      </w:r>
      <w:r w:rsidR="0042561E" w:rsidRPr="0042561E">
        <w:rPr>
          <w:rFonts w:eastAsia="Calibri" w:cs="Tahoma"/>
          <w:b/>
          <w:color w:val="000000"/>
        </w:rPr>
        <w:t>sición del Recurso de Revisión</w:t>
      </w:r>
    </w:p>
    <w:p w14:paraId="72683D89" w14:textId="77777777" w:rsidR="00DB3DC5" w:rsidRPr="0042561E" w:rsidRDefault="00DB3DC5" w:rsidP="00A45DC5">
      <w:pPr>
        <w:spacing w:after="0" w:line="360" w:lineRule="auto"/>
        <w:contextualSpacing/>
        <w:rPr>
          <w:rFonts w:eastAsia="Times New Roman" w:cs="Tahoma"/>
          <w:bCs/>
          <w:color w:val="auto"/>
          <w:lang w:eastAsia="es-ES"/>
        </w:rPr>
      </w:pPr>
    </w:p>
    <w:p w14:paraId="240D95DA" w14:textId="22913739" w:rsidR="00DB3DC5" w:rsidRPr="0042561E" w:rsidRDefault="004C2401" w:rsidP="00A45DC5">
      <w:pPr>
        <w:widowControl w:val="0"/>
        <w:spacing w:after="0" w:line="360" w:lineRule="auto"/>
        <w:contextualSpacing/>
        <w:rPr>
          <w:rFonts w:eastAsia="Calibri" w:cs="Times New Roman"/>
          <w:bCs/>
        </w:rPr>
      </w:pPr>
      <w:r w:rsidRPr="0042561E">
        <w:rPr>
          <w:rFonts w:eastAsia="Calibri" w:cs="Times New Roman"/>
          <w:bCs/>
        </w:rPr>
        <w:t xml:space="preserve">El </w:t>
      </w:r>
      <w:r w:rsidR="00532D8F" w:rsidRPr="0042561E">
        <w:rPr>
          <w:rFonts w:eastAsia="Calibri" w:cs="Times New Roman"/>
          <w:bCs/>
        </w:rPr>
        <w:t>trece de noviembre</w:t>
      </w:r>
      <w:r w:rsidR="00E5556F" w:rsidRPr="0042561E">
        <w:rPr>
          <w:rFonts w:eastAsia="Calibri" w:cs="Times New Roman"/>
          <w:bCs/>
        </w:rPr>
        <w:t xml:space="preserve"> </w:t>
      </w:r>
      <w:r w:rsidR="00C340FF" w:rsidRPr="0042561E">
        <w:rPr>
          <w:rFonts w:eastAsia="Calibri" w:cs="Times New Roman"/>
          <w:bCs/>
        </w:rPr>
        <w:t>de dos mil veinticuatro</w:t>
      </w:r>
      <w:r w:rsidR="00DB3DC5" w:rsidRPr="0042561E">
        <w:rPr>
          <w:rFonts w:eastAsia="Calibri" w:cs="Times New Roman"/>
          <w:bCs/>
        </w:rPr>
        <w:t xml:space="preserve">, </w:t>
      </w:r>
      <w:r w:rsidR="00DB3DC5" w:rsidRPr="0042561E">
        <w:rPr>
          <w:rFonts w:eastAsia="Calibri" w:cs="Times New Roman"/>
          <w:bCs/>
          <w:lang w:val="es-ES"/>
        </w:rPr>
        <w:t>se recibió en este Instituto, a través del Sistema de Acceso a la Información Mexiquense (SAIMEX),</w:t>
      </w:r>
      <w:r w:rsidR="0031474C" w:rsidRPr="0042561E">
        <w:rPr>
          <w:rFonts w:eastAsia="Calibri" w:cs="Times New Roman"/>
          <w:bCs/>
          <w:lang w:val="es-ES"/>
        </w:rPr>
        <w:t xml:space="preserve"> </w:t>
      </w:r>
      <w:r w:rsidR="004A3894" w:rsidRPr="0042561E">
        <w:rPr>
          <w:rFonts w:eastAsia="Calibri" w:cs="Times New Roman"/>
          <w:bCs/>
          <w:lang w:val="es-ES"/>
        </w:rPr>
        <w:t>tres</w:t>
      </w:r>
      <w:r w:rsidR="006A0867" w:rsidRPr="0042561E">
        <w:rPr>
          <w:rFonts w:eastAsia="Calibri" w:cs="Times New Roman"/>
          <w:bCs/>
          <w:lang w:val="es-ES"/>
        </w:rPr>
        <w:t xml:space="preserve"> </w:t>
      </w:r>
      <w:r w:rsidR="00DB3DC5" w:rsidRPr="0042561E">
        <w:rPr>
          <w:rFonts w:eastAsia="Calibri" w:cs="Times New Roman"/>
          <w:bCs/>
          <w:lang w:val="es-ES"/>
        </w:rPr>
        <w:t>Recurso</w:t>
      </w:r>
      <w:r w:rsidR="006A0867" w:rsidRPr="0042561E">
        <w:rPr>
          <w:rFonts w:eastAsia="Calibri" w:cs="Times New Roman"/>
          <w:bCs/>
          <w:lang w:val="es-ES"/>
        </w:rPr>
        <w:t>s</w:t>
      </w:r>
      <w:r w:rsidR="00DB3DC5" w:rsidRPr="0042561E">
        <w:rPr>
          <w:rFonts w:eastAsia="Calibri" w:cs="Times New Roman"/>
          <w:bCs/>
          <w:lang w:val="es-ES"/>
        </w:rPr>
        <w:t xml:space="preserve"> de Revisión interpuesto</w:t>
      </w:r>
      <w:r w:rsidR="006A0867" w:rsidRPr="0042561E">
        <w:rPr>
          <w:rFonts w:eastAsia="Calibri" w:cs="Times New Roman"/>
          <w:bCs/>
          <w:lang w:val="es-ES"/>
        </w:rPr>
        <w:t>s</w:t>
      </w:r>
      <w:r w:rsidR="00DB3DC5" w:rsidRPr="0042561E">
        <w:rPr>
          <w:rFonts w:eastAsia="Calibri" w:cs="Times New Roman"/>
          <w:bCs/>
          <w:lang w:val="es-ES"/>
        </w:rPr>
        <w:t xml:space="preserve"> por la p</w:t>
      </w:r>
      <w:r w:rsidRPr="0042561E">
        <w:rPr>
          <w:rFonts w:eastAsia="Calibri" w:cs="Times New Roman"/>
          <w:bCs/>
          <w:lang w:val="es-ES"/>
        </w:rPr>
        <w:t>ersona</w:t>
      </w:r>
      <w:r w:rsidR="00DB3DC5" w:rsidRPr="0042561E">
        <w:rPr>
          <w:rFonts w:eastAsia="Calibri" w:cs="Times New Roman"/>
          <w:bCs/>
          <w:lang w:val="es-ES"/>
        </w:rPr>
        <w:t xml:space="preserve"> Recurrente, en contra de la</w:t>
      </w:r>
      <w:r w:rsidR="006A0867" w:rsidRPr="0042561E">
        <w:rPr>
          <w:rFonts w:eastAsia="Calibri" w:cs="Times New Roman"/>
          <w:bCs/>
          <w:lang w:val="es-ES"/>
        </w:rPr>
        <w:t>s</w:t>
      </w:r>
      <w:r w:rsidR="00DB3DC5" w:rsidRPr="0042561E">
        <w:rPr>
          <w:rFonts w:eastAsia="Calibri" w:cs="Times New Roman"/>
          <w:bCs/>
          <w:lang w:val="es-ES"/>
        </w:rPr>
        <w:t xml:space="preserve"> respuesta</w:t>
      </w:r>
      <w:r w:rsidR="006A0867" w:rsidRPr="0042561E">
        <w:rPr>
          <w:rFonts w:eastAsia="Calibri" w:cs="Times New Roman"/>
          <w:bCs/>
          <w:lang w:val="es-ES"/>
        </w:rPr>
        <w:t>s</w:t>
      </w:r>
      <w:r w:rsidR="00DB3DC5" w:rsidRPr="0042561E">
        <w:rPr>
          <w:rFonts w:eastAsia="Calibri" w:cs="Times New Roman"/>
          <w:bCs/>
          <w:lang w:val="es-ES"/>
        </w:rPr>
        <w:t xml:space="preserve"> del Sujeto Obligado</w:t>
      </w:r>
      <w:r w:rsidR="00DB3DC5" w:rsidRPr="0042561E">
        <w:rPr>
          <w:rFonts w:eastAsia="Calibri" w:cs="Times New Roman"/>
        </w:rPr>
        <w:t>,</w:t>
      </w:r>
      <w:r w:rsidR="00C340FF" w:rsidRPr="0042561E">
        <w:rPr>
          <w:rFonts w:eastAsia="Calibri" w:cs="Times New Roman"/>
        </w:rPr>
        <w:t xml:space="preserve"> </w:t>
      </w:r>
      <w:r w:rsidR="00DB3DC5" w:rsidRPr="0042561E">
        <w:rPr>
          <w:rFonts w:eastAsia="Times New Roman" w:cs="Tahoma"/>
          <w:bCs/>
          <w:color w:val="auto"/>
          <w:lang w:val="es-ES" w:eastAsia="es-ES"/>
        </w:rPr>
        <w:t>en los términos</w:t>
      </w:r>
      <w:r w:rsidR="00E5556F" w:rsidRPr="0042561E">
        <w:rPr>
          <w:rFonts w:eastAsia="Times New Roman" w:cs="Tahoma"/>
          <w:bCs/>
          <w:color w:val="auto"/>
          <w:lang w:val="es-ES" w:eastAsia="es-ES"/>
        </w:rPr>
        <w:t xml:space="preserve"> </w:t>
      </w:r>
      <w:r w:rsidR="004A3894" w:rsidRPr="0042561E">
        <w:rPr>
          <w:rFonts w:eastAsia="Times New Roman" w:cs="Tahoma"/>
          <w:bCs/>
          <w:color w:val="auto"/>
          <w:lang w:val="es-ES" w:eastAsia="es-ES"/>
        </w:rPr>
        <w:t xml:space="preserve">similares </w:t>
      </w:r>
      <w:r w:rsidR="000D1C9F" w:rsidRPr="0042561E">
        <w:rPr>
          <w:rFonts w:eastAsia="Times New Roman" w:cs="Tahoma"/>
          <w:bCs/>
          <w:color w:val="auto"/>
          <w:lang w:val="es-ES" w:eastAsia="es-ES"/>
        </w:rPr>
        <w:t>siguientes</w:t>
      </w:r>
      <w:r w:rsidR="00DB3DC5" w:rsidRPr="0042561E">
        <w:rPr>
          <w:rFonts w:eastAsia="Times New Roman" w:cs="Tahoma"/>
          <w:bCs/>
          <w:color w:val="auto"/>
          <w:lang w:val="es-ES" w:eastAsia="es-ES"/>
        </w:rPr>
        <w:t>:</w:t>
      </w:r>
    </w:p>
    <w:p w14:paraId="383A8105" w14:textId="77777777" w:rsidR="00DB3DC5" w:rsidRPr="0042561E" w:rsidRDefault="00DB3DC5" w:rsidP="00A45DC5">
      <w:pPr>
        <w:tabs>
          <w:tab w:val="left" w:pos="4667"/>
        </w:tabs>
        <w:spacing w:after="0" w:line="360" w:lineRule="auto"/>
        <w:ind w:left="567" w:right="567"/>
        <w:contextualSpacing/>
        <w:rPr>
          <w:rFonts w:cs="Tahoma"/>
          <w:b/>
          <w:bCs/>
          <w:i/>
          <w:sz w:val="20"/>
          <w:szCs w:val="20"/>
        </w:rPr>
      </w:pPr>
    </w:p>
    <w:p w14:paraId="0E422949" w14:textId="0C2B1169" w:rsidR="006A0867" w:rsidRPr="0042561E" w:rsidRDefault="006A0867" w:rsidP="00A45DC5">
      <w:pPr>
        <w:spacing w:after="0" w:line="360" w:lineRule="auto"/>
        <w:ind w:left="567" w:right="567"/>
        <w:contextualSpacing/>
        <w:rPr>
          <w:rFonts w:cs="Tahoma"/>
          <w:b/>
          <w:bCs/>
          <w:i/>
          <w:sz w:val="20"/>
          <w:szCs w:val="20"/>
        </w:rPr>
      </w:pPr>
      <w:r w:rsidRPr="0042561E">
        <w:rPr>
          <w:rFonts w:cs="Tahoma"/>
          <w:b/>
          <w:bCs/>
          <w:i/>
          <w:sz w:val="20"/>
          <w:szCs w:val="20"/>
        </w:rPr>
        <w:t>ACTO IMPUGNADO</w:t>
      </w:r>
    </w:p>
    <w:p w14:paraId="199F28DE" w14:textId="76D9DCA1" w:rsidR="006A0867" w:rsidRPr="0042561E" w:rsidRDefault="00532D8F" w:rsidP="00A45DC5">
      <w:pPr>
        <w:tabs>
          <w:tab w:val="left" w:pos="4667"/>
        </w:tabs>
        <w:spacing w:after="0" w:line="360" w:lineRule="auto"/>
        <w:ind w:left="567" w:right="567"/>
        <w:rPr>
          <w:rFonts w:cs="Tahoma"/>
          <w:bCs/>
          <w:i/>
          <w:sz w:val="20"/>
          <w:szCs w:val="20"/>
        </w:rPr>
      </w:pPr>
      <w:r w:rsidRPr="0042561E">
        <w:rPr>
          <w:rFonts w:cs="Tahoma"/>
          <w:bCs/>
          <w:i/>
          <w:sz w:val="20"/>
          <w:szCs w:val="20"/>
        </w:rPr>
        <w:t>PRESUPUESTO DE EGRESOS GLOBAL PARA EL EJERCICIO 2022, 2023 y 2024. DESGLOSADO POR CAPITULOS, CONCEPTOS, PARTIDAS GENERICAS Y ESPECIFICAS.</w:t>
      </w:r>
      <w:r w:rsidR="006A0867" w:rsidRPr="0042561E">
        <w:rPr>
          <w:rFonts w:cs="Tahoma"/>
          <w:bCs/>
          <w:i/>
          <w:sz w:val="20"/>
          <w:szCs w:val="20"/>
        </w:rPr>
        <w:t xml:space="preserve">” </w:t>
      </w:r>
      <w:r w:rsidRPr="0042561E">
        <w:rPr>
          <w:rFonts w:cs="Tahoma"/>
          <w:bCs/>
          <w:i/>
          <w:sz w:val="20"/>
          <w:szCs w:val="20"/>
        </w:rPr>
        <w:t>(Sic.)</w:t>
      </w:r>
    </w:p>
    <w:p w14:paraId="349885DE" w14:textId="77777777" w:rsidR="006A0867" w:rsidRPr="0042561E" w:rsidRDefault="006A0867" w:rsidP="00A45DC5">
      <w:pPr>
        <w:tabs>
          <w:tab w:val="left" w:pos="4667"/>
        </w:tabs>
        <w:spacing w:after="0" w:line="360" w:lineRule="auto"/>
        <w:ind w:left="567" w:right="567"/>
        <w:rPr>
          <w:rFonts w:cs="Tahoma"/>
          <w:bCs/>
          <w:i/>
          <w:sz w:val="20"/>
          <w:szCs w:val="20"/>
        </w:rPr>
      </w:pPr>
    </w:p>
    <w:p w14:paraId="09EF88BF" w14:textId="2FAF3435" w:rsidR="006A0867" w:rsidRPr="0042561E" w:rsidRDefault="006A0867" w:rsidP="00A45DC5">
      <w:pPr>
        <w:tabs>
          <w:tab w:val="left" w:pos="4667"/>
        </w:tabs>
        <w:spacing w:after="0" w:line="360" w:lineRule="auto"/>
        <w:ind w:left="567" w:right="567"/>
        <w:rPr>
          <w:rFonts w:cs="Tahoma"/>
          <w:b/>
          <w:bCs/>
          <w:i/>
          <w:sz w:val="20"/>
          <w:szCs w:val="20"/>
        </w:rPr>
      </w:pPr>
      <w:r w:rsidRPr="0042561E">
        <w:rPr>
          <w:rFonts w:cs="Tahoma"/>
          <w:b/>
          <w:bCs/>
          <w:i/>
          <w:sz w:val="20"/>
          <w:szCs w:val="20"/>
        </w:rPr>
        <w:t>RAZONES O MOTIVOS DE LA INCONFORMIDAD</w:t>
      </w:r>
    </w:p>
    <w:p w14:paraId="4B0AE814" w14:textId="31E0212A" w:rsidR="0036188C" w:rsidRPr="0042561E" w:rsidRDefault="00532D8F" w:rsidP="00A45DC5">
      <w:pPr>
        <w:tabs>
          <w:tab w:val="left" w:pos="4667"/>
        </w:tabs>
        <w:spacing w:after="0" w:line="360" w:lineRule="auto"/>
        <w:ind w:left="567" w:right="567"/>
        <w:rPr>
          <w:rFonts w:cs="Tahoma"/>
          <w:i/>
          <w:sz w:val="20"/>
          <w:szCs w:val="20"/>
        </w:rPr>
      </w:pPr>
      <w:r w:rsidRPr="0042561E">
        <w:rPr>
          <w:rFonts w:cs="Tahoma"/>
          <w:i/>
          <w:sz w:val="20"/>
          <w:szCs w:val="20"/>
        </w:rPr>
        <w:t xml:space="preserve">Remiten a un link donde únicamente aparece la caratula del presupuesto de egresos; sin embargo se solicita el desglose por capítulos, conceptos, partidas genéricas y </w:t>
      </w:r>
      <w:proofErr w:type="spellStart"/>
      <w:r w:rsidRPr="0042561E">
        <w:rPr>
          <w:rFonts w:cs="Tahoma"/>
          <w:i/>
          <w:sz w:val="20"/>
          <w:szCs w:val="20"/>
        </w:rPr>
        <w:t>especificas</w:t>
      </w:r>
      <w:proofErr w:type="spellEnd"/>
      <w:r w:rsidRPr="0042561E">
        <w:rPr>
          <w:rFonts w:cs="Tahoma"/>
          <w:i/>
          <w:sz w:val="20"/>
          <w:szCs w:val="20"/>
        </w:rPr>
        <w:t>, por lo tanto la respuesta es incompleta.</w:t>
      </w:r>
      <w:r w:rsidR="006A0867" w:rsidRPr="0042561E">
        <w:rPr>
          <w:rFonts w:cs="Tahoma"/>
          <w:i/>
          <w:sz w:val="20"/>
          <w:szCs w:val="20"/>
        </w:rPr>
        <w:t xml:space="preserve">” </w:t>
      </w:r>
      <w:r w:rsidR="004A3894" w:rsidRPr="0042561E">
        <w:rPr>
          <w:rFonts w:cs="Tahoma"/>
          <w:i/>
          <w:sz w:val="20"/>
          <w:szCs w:val="20"/>
        </w:rPr>
        <w:t>(Sic.)</w:t>
      </w:r>
    </w:p>
    <w:p w14:paraId="3F81F40A" w14:textId="77777777" w:rsidR="006D15F3" w:rsidRPr="0042561E" w:rsidRDefault="006D15F3" w:rsidP="00A45DC5">
      <w:pPr>
        <w:tabs>
          <w:tab w:val="left" w:pos="4667"/>
        </w:tabs>
        <w:spacing w:after="0" w:line="360" w:lineRule="auto"/>
        <w:ind w:right="567"/>
        <w:rPr>
          <w:rFonts w:cs="Tahoma"/>
          <w:i/>
          <w:sz w:val="20"/>
          <w:szCs w:val="20"/>
        </w:rPr>
      </w:pPr>
    </w:p>
    <w:p w14:paraId="2D3CE335" w14:textId="23D4666A" w:rsidR="00DB3DC5" w:rsidRPr="0042561E" w:rsidRDefault="00DB3DC5" w:rsidP="00A45DC5">
      <w:pPr>
        <w:spacing w:after="0" w:line="360" w:lineRule="auto"/>
        <w:contextualSpacing/>
        <w:rPr>
          <w:rFonts w:eastAsia="Batang" w:cs="Tahoma"/>
          <w:b/>
          <w:bCs/>
          <w:color w:val="000000"/>
        </w:rPr>
      </w:pPr>
      <w:r w:rsidRPr="0042561E">
        <w:rPr>
          <w:rFonts w:eastAsia="Calibri" w:cs="Tahoma"/>
          <w:b/>
          <w:color w:val="000000"/>
        </w:rPr>
        <w:t xml:space="preserve">IV. </w:t>
      </w:r>
      <w:r w:rsidRPr="0042561E">
        <w:rPr>
          <w:rFonts w:eastAsia="Batang" w:cs="Tahoma"/>
          <w:b/>
          <w:bCs/>
          <w:color w:val="000000"/>
        </w:rPr>
        <w:t>Trámite del Recurso de Revisión</w:t>
      </w:r>
      <w:r w:rsidRPr="0042561E">
        <w:rPr>
          <w:rFonts w:eastAsia="Calibri" w:cs="Tahoma"/>
          <w:b/>
          <w:color w:val="000000"/>
        </w:rPr>
        <w:t xml:space="preserve"> </w:t>
      </w:r>
      <w:r w:rsidR="0042561E" w:rsidRPr="0042561E">
        <w:rPr>
          <w:rFonts w:eastAsia="Batang" w:cs="Tahoma"/>
          <w:b/>
          <w:bCs/>
          <w:color w:val="000000"/>
        </w:rPr>
        <w:t>ante este Instituto</w:t>
      </w:r>
    </w:p>
    <w:p w14:paraId="13E537D5" w14:textId="77777777" w:rsidR="00DB3DC5" w:rsidRPr="0042561E" w:rsidRDefault="00DB3DC5" w:rsidP="00A45DC5">
      <w:pPr>
        <w:spacing w:after="0" w:line="360" w:lineRule="auto"/>
        <w:contextualSpacing/>
        <w:rPr>
          <w:rFonts w:eastAsia="Batang" w:cs="Tahoma"/>
          <w:b/>
          <w:bCs/>
          <w:color w:val="000000"/>
        </w:rPr>
      </w:pPr>
    </w:p>
    <w:p w14:paraId="5B9B961B" w14:textId="66486D2C" w:rsidR="00DB3DC5" w:rsidRPr="0042561E" w:rsidRDefault="00DB3DC5" w:rsidP="00A45DC5">
      <w:pPr>
        <w:spacing w:after="0" w:line="360" w:lineRule="auto"/>
        <w:contextualSpacing/>
        <w:rPr>
          <w:rFonts w:eastAsia="Batang" w:cs="Tahoma"/>
          <w:b/>
          <w:bCs/>
          <w:color w:val="000000"/>
        </w:rPr>
      </w:pPr>
      <w:r w:rsidRPr="0042561E">
        <w:rPr>
          <w:rFonts w:eastAsia="Batang" w:cs="Tahoma"/>
          <w:b/>
          <w:bCs/>
          <w:color w:val="000000"/>
        </w:rPr>
        <w:t xml:space="preserve">a) Turno del Medio de Impugnación. </w:t>
      </w:r>
      <w:r w:rsidRPr="0042561E">
        <w:rPr>
          <w:rFonts w:eastAsia="Batang" w:cs="Tahoma"/>
          <w:bCs/>
          <w:color w:val="000000"/>
        </w:rPr>
        <w:t xml:space="preserve">El </w:t>
      </w:r>
      <w:r w:rsidR="00532D8F" w:rsidRPr="0042561E">
        <w:rPr>
          <w:rFonts w:eastAsia="Calibri" w:cs="Times New Roman"/>
          <w:bCs/>
        </w:rPr>
        <w:t>trece de noviembre</w:t>
      </w:r>
      <w:r w:rsidR="00B709E8" w:rsidRPr="0042561E">
        <w:rPr>
          <w:rFonts w:eastAsia="Calibri" w:cs="Times New Roman"/>
          <w:bCs/>
        </w:rPr>
        <w:t xml:space="preserve"> </w:t>
      </w:r>
      <w:r w:rsidR="00FE097D" w:rsidRPr="0042561E">
        <w:rPr>
          <w:rFonts w:eastAsia="Times New Roman" w:cs="Tahoma"/>
          <w:bCs/>
          <w:color w:val="auto"/>
          <w:lang w:eastAsia="es-ES"/>
        </w:rPr>
        <w:t>de dos mil veinticuatro</w:t>
      </w:r>
      <w:r w:rsidRPr="0042561E">
        <w:rPr>
          <w:rFonts w:eastAsia="Batang" w:cs="Tahoma"/>
          <w:bCs/>
          <w:color w:val="000000"/>
        </w:rPr>
        <w:t xml:space="preserve">, el </w:t>
      </w:r>
      <w:r w:rsidRPr="0042561E">
        <w:rPr>
          <w:rFonts w:eastAsia="Calibri" w:cs="Tahoma"/>
          <w:color w:val="000000"/>
          <w:lang w:val="es-ES"/>
        </w:rPr>
        <w:t>Sistema de Acceso a la Información Mexiquense (SAIMEX),</w:t>
      </w:r>
      <w:r w:rsidRPr="0042561E">
        <w:rPr>
          <w:rFonts w:eastAsia="Batang" w:cs="Tahoma"/>
          <w:bCs/>
          <w:color w:val="000000"/>
        </w:rPr>
        <w:t xml:space="preserve"> </w:t>
      </w:r>
      <w:r w:rsidR="0089704B" w:rsidRPr="0042561E">
        <w:rPr>
          <w:rFonts w:eastAsia="Batang" w:cs="Tahoma"/>
          <w:bCs/>
          <w:lang w:val="es-ES_tradnl"/>
        </w:rPr>
        <w:t>asignó los números de expedientes</w:t>
      </w:r>
      <w:r w:rsidR="00532D8F" w:rsidRPr="0042561E">
        <w:rPr>
          <w:b/>
          <w:bCs/>
        </w:rPr>
        <w:t xml:space="preserve"> 07191/INFOEM/IP/RR/2024, 07193/INFOEM/IP/RR/2024 y 07194/INFOEM/IP/RR/2024</w:t>
      </w:r>
      <w:r w:rsidRPr="0042561E">
        <w:rPr>
          <w:rFonts w:eastAsia="Batang" w:cs="Tahoma"/>
          <w:bCs/>
          <w:color w:val="000000"/>
        </w:rPr>
        <w:t>,</w:t>
      </w:r>
      <w:r w:rsidR="00A15DAE" w:rsidRPr="0042561E">
        <w:rPr>
          <w:rFonts w:eastAsia="Batang" w:cs="Tahoma"/>
          <w:bCs/>
          <w:color w:val="000000"/>
        </w:rPr>
        <w:t xml:space="preserve"> </w:t>
      </w:r>
      <w:r w:rsidRPr="0042561E">
        <w:rPr>
          <w:rFonts w:eastAsia="Batang" w:cs="Tahoma"/>
          <w:bCs/>
          <w:color w:val="000000"/>
        </w:rPr>
        <w:t xml:space="preserve">al Medio de Impugnación que nos ocupa, con base en el sistema aprobado por el Pleno de este </w:t>
      </w:r>
      <w:r w:rsidR="00086A5E" w:rsidRPr="0042561E">
        <w:rPr>
          <w:rFonts w:eastAsia="Batang" w:cs="Tahoma"/>
          <w:bCs/>
          <w:color w:val="000000"/>
        </w:rPr>
        <w:t xml:space="preserve">Organismo </w:t>
      </w:r>
      <w:r w:rsidRPr="0042561E">
        <w:rPr>
          <w:rFonts w:eastAsia="Batang" w:cs="Tahoma"/>
          <w:bCs/>
          <w:color w:val="000000"/>
        </w:rPr>
        <w:t>Garante y lo</w:t>
      </w:r>
      <w:r w:rsidR="004C2401" w:rsidRPr="0042561E">
        <w:rPr>
          <w:rFonts w:eastAsia="Batang" w:cs="Tahoma"/>
          <w:bCs/>
          <w:color w:val="000000"/>
        </w:rPr>
        <w:t>s</w:t>
      </w:r>
      <w:r w:rsidRPr="0042561E">
        <w:rPr>
          <w:rFonts w:eastAsia="Batang" w:cs="Tahoma"/>
          <w:bCs/>
          <w:color w:val="000000"/>
        </w:rPr>
        <w:t xml:space="preserve"> turnó a</w:t>
      </w:r>
      <w:r w:rsidR="00086A5E" w:rsidRPr="0042561E">
        <w:rPr>
          <w:rFonts w:eastAsia="Batang" w:cs="Tahoma"/>
          <w:bCs/>
          <w:color w:val="000000"/>
        </w:rPr>
        <w:t xml:space="preserve"> los</w:t>
      </w:r>
      <w:r w:rsidR="00AD2A74" w:rsidRPr="0042561E">
        <w:rPr>
          <w:rFonts w:eastAsia="Batang" w:cs="Tahoma"/>
          <w:bCs/>
          <w:color w:val="000000"/>
        </w:rPr>
        <w:t xml:space="preserve"> </w:t>
      </w:r>
      <w:r w:rsidR="00AD2A74" w:rsidRPr="0042561E">
        <w:rPr>
          <w:rFonts w:eastAsia="Batang" w:cs="Tahoma"/>
          <w:bCs/>
          <w:color w:val="000000"/>
          <w:lang w:val="es-ES_tradnl"/>
        </w:rPr>
        <w:t>Comisionado</w:t>
      </w:r>
      <w:r w:rsidR="00AD2A74" w:rsidRPr="0042561E">
        <w:rPr>
          <w:rFonts w:eastAsia="Times New Roman" w:cs="Tahoma"/>
          <w:bCs/>
          <w:lang w:eastAsia="es-ES"/>
        </w:rPr>
        <w:t xml:space="preserve">s </w:t>
      </w:r>
      <w:r w:rsidR="00A15DAE" w:rsidRPr="0042561E">
        <w:rPr>
          <w:rFonts w:eastAsia="Times New Roman" w:cs="Tahoma"/>
          <w:bCs/>
          <w:lang w:eastAsia="es-ES"/>
        </w:rPr>
        <w:t xml:space="preserve">María del </w:t>
      </w:r>
      <w:r w:rsidR="00A15DAE" w:rsidRPr="0042561E">
        <w:rPr>
          <w:rFonts w:eastAsia="Times New Roman" w:cs="Tahoma"/>
          <w:bCs/>
          <w:lang w:eastAsia="es-ES"/>
        </w:rPr>
        <w:lastRenderedPageBreak/>
        <w:t>Rosario Mejía Ayala</w:t>
      </w:r>
      <w:r w:rsidR="00532D8F" w:rsidRPr="0042561E">
        <w:rPr>
          <w:rFonts w:eastAsia="Times New Roman" w:cs="Tahoma"/>
          <w:bCs/>
          <w:lang w:eastAsia="es-ES"/>
        </w:rPr>
        <w:t xml:space="preserve">, Guadalupe Ramírez Peña </w:t>
      </w:r>
      <w:r w:rsidR="00816119" w:rsidRPr="0042561E">
        <w:rPr>
          <w:rFonts w:eastAsia="Times New Roman" w:cs="Tahoma"/>
          <w:bCs/>
          <w:lang w:eastAsia="es-ES"/>
        </w:rPr>
        <w:t>y</w:t>
      </w:r>
      <w:r w:rsidR="00AD2A74" w:rsidRPr="0042561E">
        <w:rPr>
          <w:rFonts w:eastAsia="Times New Roman" w:cs="Tahoma"/>
          <w:bCs/>
          <w:lang w:eastAsia="es-ES"/>
        </w:rPr>
        <w:t xml:space="preserve"> Luis Gustavo Parra Noriega</w:t>
      </w:r>
      <w:r w:rsidRPr="0042561E">
        <w:rPr>
          <w:rFonts w:eastAsia="Batang" w:cs="Tahoma"/>
          <w:bCs/>
          <w:color w:val="000000"/>
        </w:rPr>
        <w:t>,</w:t>
      </w:r>
      <w:r w:rsidR="00086A5E" w:rsidRPr="0042561E">
        <w:rPr>
          <w:rFonts w:eastAsia="Batang" w:cs="Tahoma"/>
          <w:bCs/>
          <w:color w:val="000000"/>
        </w:rPr>
        <w:t xml:space="preserve"> </w:t>
      </w:r>
      <w:r w:rsidRPr="0042561E">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42561E" w:rsidRDefault="00DB3DC5" w:rsidP="00A45DC5">
      <w:pPr>
        <w:spacing w:after="0" w:line="360" w:lineRule="auto"/>
        <w:contextualSpacing/>
        <w:rPr>
          <w:rFonts w:eastAsia="Batang" w:cs="Tahoma"/>
          <w:bCs/>
          <w:color w:val="000000"/>
        </w:rPr>
      </w:pPr>
    </w:p>
    <w:p w14:paraId="2B3B5A4B" w14:textId="774238F0" w:rsidR="00DB3DC5" w:rsidRPr="0042561E" w:rsidRDefault="00DB3DC5" w:rsidP="00A45DC5">
      <w:pPr>
        <w:spacing w:after="0" w:line="360" w:lineRule="auto"/>
        <w:contextualSpacing/>
        <w:rPr>
          <w:rFonts w:eastAsia="Times New Roman" w:cs="Tahoma"/>
          <w:b/>
          <w:bCs/>
          <w:color w:val="auto"/>
          <w:lang w:eastAsia="es-ES"/>
        </w:rPr>
      </w:pPr>
      <w:r w:rsidRPr="0042561E">
        <w:rPr>
          <w:rFonts w:eastAsia="Times New Roman" w:cs="Tahoma"/>
          <w:b/>
          <w:bCs/>
          <w:color w:val="auto"/>
          <w:lang w:eastAsia="es-ES"/>
        </w:rPr>
        <w:t>b) Admisión de</w:t>
      </w:r>
      <w:r w:rsidR="0089704B" w:rsidRPr="0042561E">
        <w:rPr>
          <w:rFonts w:eastAsia="Times New Roman" w:cs="Tahoma"/>
          <w:b/>
          <w:bCs/>
          <w:color w:val="auto"/>
          <w:lang w:eastAsia="es-ES"/>
        </w:rPr>
        <w:t xml:space="preserve"> los</w:t>
      </w:r>
      <w:r w:rsidRPr="0042561E">
        <w:rPr>
          <w:rFonts w:eastAsia="Times New Roman" w:cs="Tahoma"/>
          <w:b/>
          <w:bCs/>
          <w:color w:val="auto"/>
          <w:lang w:eastAsia="es-ES"/>
        </w:rPr>
        <w:t xml:space="preserve"> Recurso</w:t>
      </w:r>
      <w:r w:rsidR="0089704B" w:rsidRPr="0042561E">
        <w:rPr>
          <w:rFonts w:eastAsia="Times New Roman" w:cs="Tahoma"/>
          <w:b/>
          <w:bCs/>
          <w:color w:val="auto"/>
          <w:lang w:eastAsia="es-ES"/>
        </w:rPr>
        <w:t>s</w:t>
      </w:r>
      <w:r w:rsidRPr="0042561E">
        <w:rPr>
          <w:rFonts w:eastAsia="Times New Roman" w:cs="Tahoma"/>
          <w:b/>
          <w:bCs/>
          <w:color w:val="auto"/>
          <w:lang w:eastAsia="es-ES"/>
        </w:rPr>
        <w:t xml:space="preserve"> de Revisión</w:t>
      </w:r>
      <w:r w:rsidRPr="0042561E">
        <w:rPr>
          <w:rFonts w:eastAsia="Times New Roman" w:cs="Tahoma"/>
          <w:b/>
          <w:bCs/>
          <w:color w:val="auto"/>
          <w:lang w:val="es-ES_tradnl" w:eastAsia="es-ES"/>
        </w:rPr>
        <w:t xml:space="preserve">. </w:t>
      </w:r>
      <w:r w:rsidRPr="0042561E">
        <w:rPr>
          <w:rFonts w:eastAsia="Times New Roman" w:cs="Tahoma"/>
          <w:bCs/>
          <w:color w:val="auto"/>
          <w:lang w:val="es-ES_tradnl" w:eastAsia="es-ES"/>
        </w:rPr>
        <w:t xml:space="preserve">El </w:t>
      </w:r>
      <w:r w:rsidR="00532D8F" w:rsidRPr="0042561E">
        <w:rPr>
          <w:rFonts w:eastAsia="Times New Roman" w:cs="Tahoma"/>
          <w:bCs/>
          <w:color w:val="auto"/>
          <w:lang w:val="es-ES_tradnl" w:eastAsia="es-ES"/>
        </w:rPr>
        <w:t>diecinueve</w:t>
      </w:r>
      <w:r w:rsidR="00B709E8" w:rsidRPr="0042561E">
        <w:rPr>
          <w:rFonts w:eastAsia="Times New Roman" w:cs="Tahoma"/>
          <w:bCs/>
          <w:color w:val="auto"/>
          <w:lang w:val="es-ES_tradnl" w:eastAsia="es-ES"/>
        </w:rPr>
        <w:t xml:space="preserve"> </w:t>
      </w:r>
      <w:r w:rsidR="00184747" w:rsidRPr="0042561E">
        <w:rPr>
          <w:rFonts w:eastAsia="Times New Roman" w:cs="Tahoma"/>
          <w:bCs/>
          <w:color w:val="auto"/>
          <w:lang w:val="es-ES_tradnl" w:eastAsia="es-ES"/>
        </w:rPr>
        <w:t xml:space="preserve">de noviembre </w:t>
      </w:r>
      <w:r w:rsidR="00FE097D" w:rsidRPr="0042561E">
        <w:rPr>
          <w:rFonts w:eastAsia="Batang" w:cs="Tahoma"/>
          <w:bCs/>
          <w:color w:val="000000"/>
        </w:rPr>
        <w:t>de dos mil veinticuatro</w:t>
      </w:r>
      <w:r w:rsidRPr="0042561E">
        <w:rPr>
          <w:rFonts w:eastAsia="Times New Roman" w:cs="Tahoma"/>
          <w:bCs/>
          <w:color w:val="auto"/>
          <w:lang w:val="es-ES_tradnl" w:eastAsia="es-ES"/>
        </w:rPr>
        <w:t>, se acordó la admisión de</w:t>
      </w:r>
      <w:r w:rsidR="0089704B" w:rsidRPr="0042561E">
        <w:rPr>
          <w:rFonts w:eastAsia="Times New Roman" w:cs="Tahoma"/>
          <w:bCs/>
          <w:color w:val="auto"/>
          <w:lang w:val="es-ES_tradnl" w:eastAsia="es-ES"/>
        </w:rPr>
        <w:t xml:space="preserve"> los</w:t>
      </w:r>
      <w:r w:rsidRPr="0042561E">
        <w:rPr>
          <w:rFonts w:eastAsia="Times New Roman" w:cs="Tahoma"/>
          <w:bCs/>
          <w:color w:val="auto"/>
          <w:lang w:val="es-ES_tradnl" w:eastAsia="es-ES"/>
        </w:rPr>
        <w:t xml:space="preserve"> Recurso</w:t>
      </w:r>
      <w:r w:rsidR="0089704B" w:rsidRPr="0042561E">
        <w:rPr>
          <w:rFonts w:eastAsia="Times New Roman" w:cs="Tahoma"/>
          <w:bCs/>
          <w:color w:val="auto"/>
          <w:lang w:val="es-ES_tradnl" w:eastAsia="es-ES"/>
        </w:rPr>
        <w:t>s</w:t>
      </w:r>
      <w:r w:rsidRPr="0042561E">
        <w:rPr>
          <w:rFonts w:eastAsia="Times New Roman" w:cs="Tahoma"/>
          <w:bCs/>
          <w:color w:val="auto"/>
          <w:lang w:val="es-ES_tradnl" w:eastAsia="es-ES"/>
        </w:rPr>
        <w:t xml:space="preserve"> de Revisión interpuesto por la Recurrente en contra del Sujeto Obligado, en términos del artículo 185, fracciones I y II de la Ley de Transparencia y Acceso a la Información Pública del Estado de México y Municipios, </w:t>
      </w:r>
      <w:r w:rsidR="0089704B" w:rsidRPr="0042561E">
        <w:rPr>
          <w:rFonts w:eastAsia="Times New Roman" w:cs="Tahoma"/>
          <w:bCs/>
          <w:color w:val="auto"/>
          <w:lang w:val="es-ES_tradnl" w:eastAsia="es-ES"/>
        </w:rPr>
        <w:t>los</w:t>
      </w:r>
      <w:r w:rsidRPr="0042561E">
        <w:rPr>
          <w:rFonts w:eastAsia="Times New Roman" w:cs="Tahoma"/>
          <w:bCs/>
          <w:color w:val="auto"/>
          <w:lang w:val="es-ES_tradnl" w:eastAsia="es-ES"/>
        </w:rPr>
        <w:t xml:space="preserve"> cual</w:t>
      </w:r>
      <w:r w:rsidR="0089704B" w:rsidRPr="0042561E">
        <w:rPr>
          <w:rFonts w:eastAsia="Times New Roman" w:cs="Tahoma"/>
          <w:bCs/>
          <w:color w:val="auto"/>
          <w:lang w:val="es-ES_tradnl" w:eastAsia="es-ES"/>
        </w:rPr>
        <w:t>es</w:t>
      </w:r>
      <w:r w:rsidRPr="0042561E">
        <w:rPr>
          <w:rFonts w:eastAsia="Times New Roman" w:cs="Tahoma"/>
          <w:bCs/>
          <w:color w:val="auto"/>
          <w:lang w:val="es-ES_tradnl" w:eastAsia="es-ES"/>
        </w:rPr>
        <w:t xml:space="preserve"> fue</w:t>
      </w:r>
      <w:r w:rsidR="0089704B" w:rsidRPr="0042561E">
        <w:rPr>
          <w:rFonts w:eastAsia="Times New Roman" w:cs="Tahoma"/>
          <w:bCs/>
          <w:color w:val="auto"/>
          <w:lang w:val="es-ES_tradnl" w:eastAsia="es-ES"/>
        </w:rPr>
        <w:t>ron</w:t>
      </w:r>
      <w:r w:rsidRPr="0042561E">
        <w:rPr>
          <w:rFonts w:eastAsia="Times New Roman" w:cs="Tahoma"/>
          <w:bCs/>
          <w:color w:val="auto"/>
          <w:lang w:val="es-ES_tradnl" w:eastAsia="es-ES"/>
        </w:rPr>
        <w:t xml:space="preserve"> debidamente notificado a las partes </w:t>
      </w:r>
      <w:r w:rsidR="007738F3" w:rsidRPr="0042561E">
        <w:rPr>
          <w:rFonts w:eastAsia="Times New Roman" w:cs="Tahoma"/>
          <w:bCs/>
          <w:color w:val="auto"/>
          <w:lang w:val="es-ES_tradnl" w:eastAsia="es-ES"/>
        </w:rPr>
        <w:t>el</w:t>
      </w:r>
      <w:r w:rsidR="00532D8F" w:rsidRPr="0042561E">
        <w:rPr>
          <w:rFonts w:eastAsia="Times New Roman" w:cs="Tahoma"/>
          <w:bCs/>
          <w:color w:val="auto"/>
          <w:lang w:val="es-ES_tradnl" w:eastAsia="es-ES"/>
        </w:rPr>
        <w:t xml:space="preserve"> mismo día</w:t>
      </w:r>
      <w:r w:rsidRPr="0042561E">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42561E" w:rsidRDefault="00DB3DC5" w:rsidP="00A45DC5">
      <w:pPr>
        <w:spacing w:after="0" w:line="360" w:lineRule="auto"/>
        <w:contextualSpacing/>
        <w:rPr>
          <w:rFonts w:cs="Tahoma"/>
        </w:rPr>
      </w:pPr>
    </w:p>
    <w:p w14:paraId="7DD32914" w14:textId="2E94F3DC" w:rsidR="0014339D" w:rsidRPr="0042561E" w:rsidRDefault="006778B9" w:rsidP="00A45DC5">
      <w:pPr>
        <w:spacing w:after="0" w:line="360" w:lineRule="auto"/>
        <w:rPr>
          <w:noProof/>
        </w:rPr>
      </w:pPr>
      <w:r w:rsidRPr="0042561E">
        <w:rPr>
          <w:rFonts w:cs="Tahoma"/>
          <w:b/>
        </w:rPr>
        <w:t xml:space="preserve">c) </w:t>
      </w:r>
      <w:r w:rsidRPr="0042561E">
        <w:rPr>
          <w:rFonts w:cs="Tahoma"/>
          <w:b/>
          <w:bCs/>
          <w:iCs/>
          <w:lang w:val="es-ES"/>
        </w:rPr>
        <w:t>Informe Justificado</w:t>
      </w:r>
      <w:r w:rsidR="00D8528B" w:rsidRPr="0042561E">
        <w:rPr>
          <w:rFonts w:cs="Tahoma"/>
          <w:b/>
          <w:bCs/>
          <w:iCs/>
          <w:lang w:val="es-ES"/>
        </w:rPr>
        <w:t xml:space="preserve"> </w:t>
      </w:r>
      <w:r w:rsidR="00D8528B" w:rsidRPr="0042561E">
        <w:rPr>
          <w:rFonts w:cs="Tahoma"/>
          <w:b/>
          <w:lang w:val="es-ES_tradnl"/>
        </w:rPr>
        <w:t xml:space="preserve">o Manifestaciones. </w:t>
      </w:r>
      <w:r w:rsidR="00D8528B" w:rsidRPr="0042561E">
        <w:rPr>
          <w:rFonts w:cs="Tahoma"/>
          <w:bCs/>
          <w:lang w:val="es-ES_tradnl"/>
        </w:rPr>
        <w:t>Las partes fueron omisas en emitir manifestaciones o alegatos</w:t>
      </w:r>
      <w:r w:rsidR="00D8528B" w:rsidRPr="0042561E">
        <w:rPr>
          <w:noProof/>
        </w:rPr>
        <w:t>.</w:t>
      </w:r>
    </w:p>
    <w:p w14:paraId="1D401FF3" w14:textId="77777777" w:rsidR="001334D1" w:rsidRPr="0042561E" w:rsidRDefault="001334D1" w:rsidP="00A45DC5">
      <w:pPr>
        <w:autoSpaceDE w:val="0"/>
        <w:autoSpaceDN w:val="0"/>
        <w:adjustRightInd w:val="0"/>
        <w:spacing w:after="0" w:line="360" w:lineRule="auto"/>
        <w:rPr>
          <w:rFonts w:eastAsia="Times New Roman" w:cs="Tahoma"/>
          <w:color w:val="auto"/>
          <w:lang w:eastAsia="es-ES"/>
        </w:rPr>
      </w:pPr>
    </w:p>
    <w:p w14:paraId="380BA0F2" w14:textId="029734F3" w:rsidR="001334D1" w:rsidRPr="0042561E" w:rsidRDefault="00D8528B" w:rsidP="00A45DC5">
      <w:pPr>
        <w:spacing w:after="0" w:line="360" w:lineRule="auto"/>
        <w:rPr>
          <w:rFonts w:eastAsia="Calibri" w:cs="Tahoma"/>
        </w:rPr>
      </w:pPr>
      <w:r w:rsidRPr="0042561E">
        <w:rPr>
          <w:rFonts w:cs="Tahoma"/>
          <w:b/>
        </w:rPr>
        <w:t>d</w:t>
      </w:r>
      <w:r w:rsidR="001334D1" w:rsidRPr="0042561E">
        <w:rPr>
          <w:rFonts w:cs="Tahoma"/>
          <w:b/>
        </w:rPr>
        <w:t xml:space="preserve">) </w:t>
      </w:r>
      <w:r w:rsidR="001334D1" w:rsidRPr="0042561E">
        <w:rPr>
          <w:rFonts w:eastAsia="Calibri" w:cs="Tahoma"/>
          <w:b/>
        </w:rPr>
        <w:t>Acumulación de los asuntos.</w:t>
      </w:r>
      <w:r w:rsidR="001334D1" w:rsidRPr="0042561E">
        <w:rPr>
          <w:rFonts w:eastAsia="Calibri" w:cs="Tahoma"/>
        </w:rPr>
        <w:t xml:space="preserve"> </w:t>
      </w:r>
      <w:r w:rsidR="00C605C9" w:rsidRPr="0042561E">
        <w:rPr>
          <w:rFonts w:eastAsia="Calibri" w:cs="Tahoma"/>
        </w:rPr>
        <w:t>El</w:t>
      </w:r>
      <w:r w:rsidR="00726C93" w:rsidRPr="0042561E">
        <w:rPr>
          <w:rFonts w:eastAsia="Calibri" w:cs="Tahoma"/>
        </w:rPr>
        <w:t xml:space="preserve"> </w:t>
      </w:r>
      <w:r w:rsidR="00532D8F" w:rsidRPr="0042561E">
        <w:rPr>
          <w:rFonts w:eastAsia="Calibri" w:cs="Tahoma"/>
        </w:rPr>
        <w:t>veintiocho</w:t>
      </w:r>
      <w:r w:rsidR="00726C93" w:rsidRPr="0042561E">
        <w:rPr>
          <w:rFonts w:eastAsia="Calibri" w:cs="Tahoma"/>
        </w:rPr>
        <w:t xml:space="preserve"> de noviembre</w:t>
      </w:r>
      <w:r w:rsidR="00B709E8" w:rsidRPr="0042561E">
        <w:rPr>
          <w:rFonts w:eastAsia="Calibri" w:cs="Tahoma"/>
        </w:rPr>
        <w:t xml:space="preserve"> </w:t>
      </w:r>
      <w:r w:rsidR="008C7D0C" w:rsidRPr="0042561E">
        <w:rPr>
          <w:rFonts w:eastAsia="Calibri" w:cs="Tahoma"/>
        </w:rPr>
        <w:t>de dos mil veinticuatro</w:t>
      </w:r>
      <w:r w:rsidR="00C605C9" w:rsidRPr="0042561E">
        <w:rPr>
          <w:rFonts w:eastAsia="Calibri" w:cs="Tahoma"/>
        </w:rPr>
        <w:t>, el Pleno del Instituto de Transparencia, Acceso a la Información Pública y Protección de Datos Personales del Estado de México y Municipios, durante la</w:t>
      </w:r>
      <w:r w:rsidR="00B709E8" w:rsidRPr="0042561E">
        <w:rPr>
          <w:rFonts w:eastAsia="Calibri" w:cs="Tahoma"/>
        </w:rPr>
        <w:t xml:space="preserve"> </w:t>
      </w:r>
      <w:r w:rsidR="00184747" w:rsidRPr="0042561E">
        <w:rPr>
          <w:rFonts w:eastAsia="Calibri" w:cs="Tahoma"/>
        </w:rPr>
        <w:t>Cuadragésima Primera</w:t>
      </w:r>
      <w:r w:rsidR="00B709E8" w:rsidRPr="0042561E">
        <w:rPr>
          <w:rFonts w:eastAsia="Calibri" w:cs="Tahoma"/>
        </w:rPr>
        <w:t xml:space="preserve"> Sesión Ordinaria celebrada el </w:t>
      </w:r>
      <w:r w:rsidR="00184747" w:rsidRPr="0042561E">
        <w:rPr>
          <w:rFonts w:eastAsia="Calibri" w:cs="Tahoma"/>
        </w:rPr>
        <w:t>veintisiete</w:t>
      </w:r>
      <w:r w:rsidR="00726C93" w:rsidRPr="0042561E">
        <w:rPr>
          <w:rFonts w:eastAsia="Calibri" w:cs="Tahoma"/>
        </w:rPr>
        <w:t xml:space="preserve"> de noviembre</w:t>
      </w:r>
      <w:r w:rsidR="00B709E8" w:rsidRPr="0042561E">
        <w:rPr>
          <w:rFonts w:eastAsia="Calibri" w:cs="Tahoma"/>
        </w:rPr>
        <w:t xml:space="preserve"> de dos mil veinticuatro</w:t>
      </w:r>
      <w:r w:rsidR="00C605C9" w:rsidRPr="0042561E">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42561E">
        <w:rPr>
          <w:rFonts w:eastAsia="Calibri" w:cs="Tahoma"/>
          <w:b/>
          <w:bCs/>
        </w:rPr>
        <w:t xml:space="preserve">decretó </w:t>
      </w:r>
      <w:r w:rsidR="00C605C9" w:rsidRPr="0042561E">
        <w:rPr>
          <w:rFonts w:eastAsia="Calibri" w:cs="Tahoma"/>
        </w:rPr>
        <w:t>la acumulación de</w:t>
      </w:r>
      <w:r w:rsidR="00726C93" w:rsidRPr="0042561E">
        <w:rPr>
          <w:rFonts w:eastAsia="Calibri" w:cs="Tahoma"/>
        </w:rPr>
        <w:t xml:space="preserve"> los</w:t>
      </w:r>
      <w:r w:rsidR="00C605C9" w:rsidRPr="0042561E">
        <w:rPr>
          <w:rFonts w:eastAsia="Calibri" w:cs="Tahoma"/>
        </w:rPr>
        <w:t xml:space="preserve"> Recurso</w:t>
      </w:r>
      <w:r w:rsidR="00726C93" w:rsidRPr="0042561E">
        <w:rPr>
          <w:rFonts w:eastAsia="Calibri" w:cs="Tahoma"/>
        </w:rPr>
        <w:t>s</w:t>
      </w:r>
      <w:r w:rsidR="00C605C9" w:rsidRPr="0042561E">
        <w:rPr>
          <w:rFonts w:eastAsia="Calibri" w:cs="Tahoma"/>
        </w:rPr>
        <w:t xml:space="preserve"> de Revisión</w:t>
      </w:r>
      <w:r w:rsidR="00B709E8" w:rsidRPr="0042561E">
        <w:rPr>
          <w:rFonts w:cs="Tahoma"/>
          <w:color w:val="0D0D0D" w:themeColor="text1" w:themeTint="F2"/>
          <w:lang w:val="es-ES_tradnl"/>
        </w:rPr>
        <w:t xml:space="preserve"> </w:t>
      </w:r>
      <w:r w:rsidR="00184747" w:rsidRPr="0042561E">
        <w:rPr>
          <w:b/>
          <w:bCs/>
        </w:rPr>
        <w:t>07193/INFOEM/IP/RR/2024 y 07194/INFOEM/IP/RR/2024</w:t>
      </w:r>
      <w:r w:rsidR="00726C93" w:rsidRPr="0042561E">
        <w:rPr>
          <w:b/>
          <w:bCs/>
        </w:rPr>
        <w:t xml:space="preserve"> </w:t>
      </w:r>
      <w:r w:rsidR="00C605C9" w:rsidRPr="0042561E">
        <w:rPr>
          <w:rFonts w:eastAsia="Calibri" w:cs="Tahoma"/>
        </w:rPr>
        <w:t>al diverso</w:t>
      </w:r>
      <w:r w:rsidR="00C605C9" w:rsidRPr="0042561E">
        <w:rPr>
          <w:rFonts w:cs="Tahoma"/>
          <w:b/>
          <w:bCs/>
          <w:color w:val="0D0D0D" w:themeColor="text1" w:themeTint="F2"/>
          <w:lang w:val="es-ES_tradnl"/>
        </w:rPr>
        <w:t xml:space="preserve"> </w:t>
      </w:r>
      <w:r w:rsidR="00F638F3" w:rsidRPr="0042561E">
        <w:rPr>
          <w:b/>
        </w:rPr>
        <w:lastRenderedPageBreak/>
        <w:t>0</w:t>
      </w:r>
      <w:r w:rsidR="00184747" w:rsidRPr="0042561E">
        <w:rPr>
          <w:b/>
        </w:rPr>
        <w:t>7191</w:t>
      </w:r>
      <w:r w:rsidR="00F638F3" w:rsidRPr="0042561E">
        <w:rPr>
          <w:b/>
        </w:rPr>
        <w:t>/INFOEM/IP/RR/2024</w:t>
      </w:r>
      <w:r w:rsidR="00C605C9" w:rsidRPr="0042561E">
        <w:rPr>
          <w:rFonts w:eastAsia="Calibri" w:cs="Tahoma"/>
          <w:b/>
          <w:bCs/>
        </w:rPr>
        <w:t>,</w:t>
      </w:r>
      <w:r w:rsidR="00C605C9" w:rsidRPr="0042561E">
        <w:rPr>
          <w:rFonts w:eastAsia="Calibri" w:cs="Tahoma"/>
        </w:rPr>
        <w:t xml:space="preserve"> por ser este último el más antiguo, sustanciado bajo el índice de esta Ponencia.</w:t>
      </w:r>
    </w:p>
    <w:p w14:paraId="5BDD2319" w14:textId="77777777" w:rsidR="00740744" w:rsidRPr="0042561E" w:rsidRDefault="00740744" w:rsidP="00A45DC5">
      <w:pPr>
        <w:spacing w:after="0" w:line="360" w:lineRule="auto"/>
        <w:rPr>
          <w:rFonts w:eastAsia="Calibri" w:cs="Tahoma"/>
        </w:rPr>
      </w:pPr>
    </w:p>
    <w:p w14:paraId="403F7296" w14:textId="4F670DED" w:rsidR="00DB3DC5" w:rsidRPr="0042561E" w:rsidRDefault="00D8528B" w:rsidP="00A45DC5">
      <w:pPr>
        <w:autoSpaceDE w:val="0"/>
        <w:autoSpaceDN w:val="0"/>
        <w:adjustRightInd w:val="0"/>
        <w:spacing w:after="0" w:line="360" w:lineRule="auto"/>
        <w:ind w:right="-28"/>
        <w:contextualSpacing/>
        <w:rPr>
          <w:rFonts w:eastAsia="Calibri" w:cs="Tahoma"/>
          <w:bCs/>
        </w:rPr>
      </w:pPr>
      <w:r w:rsidRPr="0042561E">
        <w:rPr>
          <w:rFonts w:eastAsia="Times New Roman" w:cs="Tahoma"/>
          <w:b/>
          <w:color w:val="auto"/>
          <w:szCs w:val="24"/>
          <w:lang w:eastAsia="es-ES"/>
        </w:rPr>
        <w:t>e</w:t>
      </w:r>
      <w:r w:rsidR="0014339D" w:rsidRPr="0042561E">
        <w:rPr>
          <w:rFonts w:eastAsia="Times New Roman" w:cs="Tahoma"/>
          <w:b/>
          <w:color w:val="auto"/>
          <w:szCs w:val="24"/>
          <w:lang w:eastAsia="es-ES"/>
        </w:rPr>
        <w:t xml:space="preserve">) </w:t>
      </w:r>
      <w:r w:rsidR="00DB3DC5" w:rsidRPr="0042561E">
        <w:rPr>
          <w:rFonts w:eastAsia="Times New Roman" w:cs="Tahoma"/>
          <w:b/>
          <w:color w:val="auto"/>
          <w:szCs w:val="24"/>
          <w:lang w:eastAsia="es-ES"/>
        </w:rPr>
        <w:t>Cierre de instrucción.</w:t>
      </w:r>
      <w:r w:rsidR="00DB3DC5" w:rsidRPr="0042561E">
        <w:rPr>
          <w:rFonts w:eastAsia="Times New Roman" w:cs="Tahoma"/>
          <w:color w:val="auto"/>
          <w:szCs w:val="24"/>
          <w:lang w:eastAsia="es-ES"/>
        </w:rPr>
        <w:t xml:space="preserve"> El</w:t>
      </w:r>
      <w:r w:rsidR="00145862" w:rsidRPr="0042561E">
        <w:rPr>
          <w:rFonts w:eastAsia="Times New Roman" w:cs="Tahoma"/>
          <w:color w:val="auto"/>
          <w:szCs w:val="24"/>
          <w:lang w:eastAsia="es-ES"/>
        </w:rPr>
        <w:t xml:space="preserve"> </w:t>
      </w:r>
      <w:r w:rsidR="00184747" w:rsidRPr="0042561E">
        <w:rPr>
          <w:rFonts w:eastAsia="Times New Roman" w:cs="Tahoma"/>
          <w:color w:val="auto"/>
          <w:szCs w:val="24"/>
          <w:lang w:eastAsia="es-ES"/>
        </w:rPr>
        <w:t>veintinueve</w:t>
      </w:r>
      <w:r w:rsidR="00B709E8" w:rsidRPr="0042561E">
        <w:rPr>
          <w:rFonts w:eastAsia="Times New Roman" w:cs="Tahoma"/>
          <w:color w:val="auto"/>
          <w:szCs w:val="24"/>
          <w:lang w:eastAsia="es-ES"/>
        </w:rPr>
        <w:t xml:space="preserve"> </w:t>
      </w:r>
      <w:r w:rsidR="005C599D" w:rsidRPr="0042561E">
        <w:rPr>
          <w:rFonts w:eastAsia="Times New Roman" w:cs="Tahoma"/>
          <w:color w:val="auto"/>
          <w:szCs w:val="24"/>
          <w:lang w:eastAsia="es-ES"/>
        </w:rPr>
        <w:t xml:space="preserve">de </w:t>
      </w:r>
      <w:r w:rsidR="00B709E8" w:rsidRPr="0042561E">
        <w:rPr>
          <w:rFonts w:eastAsia="Times New Roman" w:cs="Tahoma"/>
          <w:color w:val="auto"/>
          <w:szCs w:val="24"/>
          <w:lang w:eastAsia="es-ES"/>
        </w:rPr>
        <w:t>noviembre</w:t>
      </w:r>
      <w:r w:rsidR="00145862" w:rsidRPr="0042561E">
        <w:rPr>
          <w:rFonts w:eastAsia="Times New Roman" w:cs="Tahoma"/>
          <w:color w:val="auto"/>
          <w:szCs w:val="24"/>
          <w:lang w:eastAsia="es-ES"/>
        </w:rPr>
        <w:t xml:space="preserve"> de dos mil </w:t>
      </w:r>
      <w:r w:rsidR="0068713F" w:rsidRPr="0042561E">
        <w:rPr>
          <w:rFonts w:eastAsia="Times New Roman" w:cs="Tahoma"/>
          <w:color w:val="auto"/>
          <w:szCs w:val="24"/>
          <w:lang w:eastAsia="es-ES"/>
        </w:rPr>
        <w:t>veinticuatro</w:t>
      </w:r>
      <w:r w:rsidR="00DB3DC5" w:rsidRPr="0042561E">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42561E">
        <w:rPr>
          <w:rFonts w:eastAsia="Times New Roman" w:cs="Tahoma"/>
          <w:color w:val="auto"/>
          <w:szCs w:val="20"/>
          <w:lang w:val="es-ES" w:eastAsia="es-ES"/>
        </w:rPr>
        <w:t>Sistema de Acceso a la Información Mexiquense (SAIMEX)</w:t>
      </w:r>
      <w:r w:rsidR="00DB3DC5" w:rsidRPr="0042561E">
        <w:rPr>
          <w:rFonts w:eastAsia="Times New Roman" w:cs="Tahoma"/>
          <w:color w:val="auto"/>
          <w:szCs w:val="24"/>
          <w:lang w:eastAsia="es-ES"/>
        </w:rPr>
        <w:t xml:space="preserve">. </w:t>
      </w:r>
    </w:p>
    <w:p w14:paraId="44D053F7" w14:textId="77777777" w:rsidR="0014339D" w:rsidRPr="0042561E" w:rsidRDefault="0014339D" w:rsidP="00A45DC5">
      <w:pPr>
        <w:autoSpaceDE w:val="0"/>
        <w:autoSpaceDN w:val="0"/>
        <w:adjustRightInd w:val="0"/>
        <w:spacing w:after="0" w:line="360" w:lineRule="auto"/>
        <w:ind w:right="-28"/>
        <w:contextualSpacing/>
        <w:rPr>
          <w:rFonts w:eastAsia="Calibri" w:cs="Tahoma"/>
          <w:bCs/>
        </w:rPr>
      </w:pPr>
    </w:p>
    <w:p w14:paraId="5D1BB03E" w14:textId="77777777" w:rsidR="00DB3DC5" w:rsidRPr="0042561E" w:rsidRDefault="00DB3DC5" w:rsidP="00A45DC5">
      <w:pPr>
        <w:spacing w:after="0" w:line="360" w:lineRule="auto"/>
        <w:contextualSpacing/>
        <w:rPr>
          <w:rFonts w:eastAsia="Times New Roman" w:cs="Tahoma"/>
          <w:color w:val="000000"/>
          <w:szCs w:val="24"/>
          <w:lang w:eastAsia="es-ES"/>
        </w:rPr>
      </w:pPr>
      <w:r w:rsidRPr="0042561E">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42561E" w:rsidRDefault="00DB3DC5" w:rsidP="00A45DC5">
      <w:pPr>
        <w:spacing w:after="0" w:line="360" w:lineRule="auto"/>
        <w:contextualSpacing/>
        <w:rPr>
          <w:rFonts w:eastAsia="Times New Roman" w:cs="Tahoma"/>
          <w:b/>
          <w:color w:val="auto"/>
          <w:lang w:val="es-ES" w:eastAsia="es-ES"/>
        </w:rPr>
      </w:pPr>
    </w:p>
    <w:p w14:paraId="1AD6FB2C" w14:textId="73721A3B" w:rsidR="00DB3DC5" w:rsidRPr="0042561E" w:rsidRDefault="00DB3DC5" w:rsidP="00A45DC5">
      <w:pPr>
        <w:spacing w:after="0" w:line="360" w:lineRule="auto"/>
        <w:contextualSpacing/>
        <w:jc w:val="center"/>
        <w:rPr>
          <w:rFonts w:eastAsia="Times New Roman" w:cs="Tahoma"/>
          <w:b/>
          <w:color w:val="auto"/>
          <w:lang w:val="es-ES" w:eastAsia="es-ES"/>
        </w:rPr>
      </w:pPr>
      <w:r w:rsidRPr="0042561E">
        <w:rPr>
          <w:rFonts w:eastAsia="Times New Roman" w:cs="Tahoma"/>
          <w:b/>
          <w:color w:val="auto"/>
          <w:lang w:val="es-ES" w:eastAsia="es-ES"/>
        </w:rPr>
        <w:t>C O N S I D E R A N D O S</w:t>
      </w:r>
    </w:p>
    <w:p w14:paraId="446E7524" w14:textId="77777777" w:rsidR="00DB3DC5" w:rsidRPr="0042561E" w:rsidRDefault="00DB3DC5" w:rsidP="00A45DC5">
      <w:pPr>
        <w:spacing w:after="0" w:line="360" w:lineRule="auto"/>
        <w:contextualSpacing/>
        <w:jc w:val="center"/>
        <w:rPr>
          <w:rFonts w:eastAsia="Times New Roman" w:cs="Tahoma"/>
          <w:b/>
          <w:color w:val="auto"/>
          <w:lang w:val="es-ES" w:eastAsia="es-ES"/>
        </w:rPr>
      </w:pPr>
    </w:p>
    <w:p w14:paraId="5C90BBB8" w14:textId="775988DF" w:rsidR="00DB3DC5" w:rsidRPr="0042561E" w:rsidRDefault="00DB3DC5" w:rsidP="00A45DC5">
      <w:pPr>
        <w:autoSpaceDE w:val="0"/>
        <w:autoSpaceDN w:val="0"/>
        <w:adjustRightInd w:val="0"/>
        <w:spacing w:after="0" w:line="360" w:lineRule="auto"/>
        <w:contextualSpacing/>
        <w:rPr>
          <w:rFonts w:eastAsia="Times New Roman" w:cs="Tahoma"/>
          <w:b/>
          <w:color w:val="auto"/>
          <w:szCs w:val="24"/>
          <w:lang w:val="es-ES" w:eastAsia="es-ES"/>
        </w:rPr>
      </w:pPr>
      <w:r w:rsidRPr="0042561E">
        <w:rPr>
          <w:rFonts w:eastAsia="Calibri" w:cs="Tahoma"/>
          <w:b/>
          <w:color w:val="000000"/>
          <w:szCs w:val="24"/>
          <w:lang w:val="es-ES" w:eastAsia="es-MX"/>
        </w:rPr>
        <w:t>PRIMERO</w:t>
      </w:r>
      <w:r w:rsidRPr="0042561E">
        <w:rPr>
          <w:rFonts w:eastAsia="Calibri" w:cs="Tahoma"/>
          <w:color w:val="000000"/>
          <w:szCs w:val="24"/>
          <w:lang w:val="es-ES" w:eastAsia="es-MX"/>
        </w:rPr>
        <w:t xml:space="preserve">. </w:t>
      </w:r>
      <w:r w:rsidRPr="0042561E">
        <w:rPr>
          <w:rFonts w:eastAsia="Times New Roman" w:cs="Tahoma"/>
          <w:b/>
          <w:color w:val="auto"/>
          <w:szCs w:val="24"/>
          <w:lang w:val="es-ES" w:eastAsia="es-ES"/>
        </w:rPr>
        <w:t>Competencia</w:t>
      </w:r>
    </w:p>
    <w:p w14:paraId="377E7349" w14:textId="77777777" w:rsidR="00DB3DC5" w:rsidRPr="0042561E" w:rsidRDefault="00DB3DC5" w:rsidP="00A45DC5">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42561E" w:rsidRDefault="00DB3DC5" w:rsidP="00A45DC5">
      <w:pPr>
        <w:spacing w:after="0" w:line="360" w:lineRule="auto"/>
        <w:contextualSpacing/>
        <w:rPr>
          <w:rFonts w:eastAsia="Times New Roman" w:cs="Tahoma"/>
          <w:bCs/>
          <w:color w:val="auto"/>
          <w:lang w:eastAsia="es-ES"/>
        </w:rPr>
      </w:pPr>
      <w:bookmarkStart w:id="3" w:name="_Hlk63334754"/>
      <w:r w:rsidRPr="0042561E">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42561E">
        <w:rPr>
          <w:rFonts w:eastAsia="Times New Roman" w:cs="Tahoma"/>
          <w:bCs/>
          <w:color w:val="auto"/>
          <w:lang w:eastAsia="es-ES"/>
        </w:rPr>
        <w:t xml:space="preserve"> segundo</w:t>
      </w:r>
      <w:r w:rsidRPr="0042561E">
        <w:rPr>
          <w:rFonts w:eastAsia="Times New Roman" w:cs="Tahoma"/>
          <w:bCs/>
          <w:color w:val="auto"/>
          <w:lang w:eastAsia="es-ES"/>
        </w:rPr>
        <w:t xml:space="preserve">, trigésimo </w:t>
      </w:r>
      <w:r w:rsidR="003905B1" w:rsidRPr="0042561E">
        <w:rPr>
          <w:rFonts w:eastAsia="Times New Roman" w:cs="Tahoma"/>
          <w:bCs/>
          <w:color w:val="auto"/>
          <w:lang w:eastAsia="es-ES"/>
        </w:rPr>
        <w:t>tercero</w:t>
      </w:r>
      <w:r w:rsidRPr="0042561E">
        <w:rPr>
          <w:rFonts w:eastAsia="Times New Roman" w:cs="Tahoma"/>
          <w:bCs/>
          <w:color w:val="auto"/>
          <w:lang w:eastAsia="es-ES"/>
        </w:rPr>
        <w:t xml:space="preserve"> y trigésimo </w:t>
      </w:r>
      <w:r w:rsidR="003905B1" w:rsidRPr="0042561E">
        <w:rPr>
          <w:rFonts w:eastAsia="Times New Roman" w:cs="Tahoma"/>
          <w:bCs/>
          <w:color w:val="auto"/>
          <w:lang w:eastAsia="es-ES"/>
        </w:rPr>
        <w:t>cuarto</w:t>
      </w:r>
      <w:r w:rsidRPr="0042561E">
        <w:rPr>
          <w:rFonts w:eastAsia="Times New Roman" w:cs="Tahoma"/>
          <w:bCs/>
          <w:color w:val="auto"/>
          <w:lang w:eastAsia="es-ES"/>
        </w:rPr>
        <w:t xml:space="preserve">,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sidRPr="0042561E">
        <w:rPr>
          <w:rFonts w:eastAsia="Times New Roman" w:cs="Tahoma"/>
          <w:bCs/>
          <w:color w:val="auto"/>
          <w:lang w:eastAsia="es-ES"/>
        </w:rPr>
        <w:lastRenderedPageBreak/>
        <w:t>Municipios;</w:t>
      </w:r>
      <w:r w:rsidRPr="0042561E">
        <w:rPr>
          <w:rFonts w:eastAsia="Times New Roman" w:cs="Times New Roman"/>
          <w:bCs/>
          <w:color w:val="auto"/>
          <w:lang w:eastAsia="es-ES"/>
        </w:rPr>
        <w:t xml:space="preserve"> 7°, </w:t>
      </w:r>
      <w:r w:rsidRPr="0042561E">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3"/>
    </w:p>
    <w:p w14:paraId="34F007D6" w14:textId="77777777" w:rsidR="00DB3DC5" w:rsidRPr="0042561E" w:rsidRDefault="00DB3DC5" w:rsidP="00A45DC5">
      <w:pPr>
        <w:autoSpaceDE w:val="0"/>
        <w:autoSpaceDN w:val="0"/>
        <w:adjustRightInd w:val="0"/>
        <w:spacing w:after="0" w:line="360" w:lineRule="auto"/>
        <w:contextualSpacing/>
        <w:rPr>
          <w:rFonts w:eastAsia="Calibri" w:cs="Tahoma"/>
          <w:b/>
          <w:color w:val="000000"/>
          <w:szCs w:val="24"/>
          <w:lang w:val="es-ES" w:eastAsia="es-MX"/>
        </w:rPr>
      </w:pPr>
    </w:p>
    <w:p w14:paraId="77696DE3" w14:textId="40E4DCF4" w:rsidR="00DB3DC5" w:rsidRPr="0042561E" w:rsidRDefault="00DB3DC5" w:rsidP="00A45DC5">
      <w:pPr>
        <w:autoSpaceDE w:val="0"/>
        <w:autoSpaceDN w:val="0"/>
        <w:adjustRightInd w:val="0"/>
        <w:spacing w:after="0" w:line="360" w:lineRule="auto"/>
        <w:contextualSpacing/>
        <w:rPr>
          <w:rFonts w:eastAsia="Times New Roman" w:cs="Tahoma"/>
          <w:color w:val="auto"/>
          <w:szCs w:val="24"/>
          <w:lang w:val="es-ES" w:eastAsia="es-ES"/>
        </w:rPr>
      </w:pPr>
      <w:r w:rsidRPr="0042561E">
        <w:rPr>
          <w:rFonts w:eastAsia="Calibri" w:cs="Tahoma"/>
          <w:b/>
          <w:color w:val="000000"/>
          <w:szCs w:val="24"/>
          <w:lang w:val="es-ES" w:eastAsia="es-MX"/>
        </w:rPr>
        <w:t>SEGUNDO</w:t>
      </w:r>
      <w:r w:rsidRPr="0042561E">
        <w:rPr>
          <w:rFonts w:eastAsia="Calibri" w:cs="Tahoma"/>
          <w:color w:val="000000"/>
          <w:szCs w:val="24"/>
          <w:lang w:val="es-ES" w:eastAsia="es-MX"/>
        </w:rPr>
        <w:t xml:space="preserve">. </w:t>
      </w:r>
      <w:r w:rsidRPr="0042561E">
        <w:rPr>
          <w:rFonts w:eastAsia="Times New Roman" w:cs="Tahoma"/>
          <w:b/>
          <w:color w:val="auto"/>
          <w:szCs w:val="24"/>
          <w:lang w:val="es-ES" w:eastAsia="es-ES"/>
        </w:rPr>
        <w:t>Causales de improcedencia y sobreseimiento</w:t>
      </w:r>
      <w:r w:rsidRPr="0042561E">
        <w:rPr>
          <w:rFonts w:eastAsia="Times New Roman" w:cs="Tahoma"/>
          <w:color w:val="auto"/>
          <w:szCs w:val="24"/>
          <w:lang w:val="es-ES" w:eastAsia="es-ES"/>
        </w:rPr>
        <w:t xml:space="preserve"> </w:t>
      </w:r>
    </w:p>
    <w:p w14:paraId="22A992CE" w14:textId="77777777" w:rsidR="00DB3DC5" w:rsidRPr="0042561E" w:rsidRDefault="00DB3DC5" w:rsidP="00A45DC5">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42561E" w:rsidRDefault="00DB3DC5" w:rsidP="00A45DC5">
      <w:pPr>
        <w:autoSpaceDE w:val="0"/>
        <w:autoSpaceDN w:val="0"/>
        <w:adjustRightInd w:val="0"/>
        <w:spacing w:after="0" w:line="360" w:lineRule="auto"/>
        <w:contextualSpacing/>
        <w:rPr>
          <w:rFonts w:eastAsia="Times New Roman" w:cs="Tahoma"/>
          <w:color w:val="auto"/>
          <w:szCs w:val="24"/>
          <w:lang w:val="es-ES" w:eastAsia="es-ES"/>
        </w:rPr>
      </w:pPr>
      <w:r w:rsidRPr="0042561E">
        <w:rPr>
          <w:rFonts w:eastAsia="Times New Roman" w:cs="Tahoma"/>
          <w:color w:val="auto"/>
          <w:szCs w:val="24"/>
          <w:lang w:val="es-ES" w:eastAsia="es-ES"/>
        </w:rPr>
        <w:t xml:space="preserve">De las constancias que forma parte del Recurso de Revisión que se analiza, se advierte que previo al estudio del fondo de la </w:t>
      </w:r>
      <w:r w:rsidRPr="0042561E">
        <w:rPr>
          <w:rFonts w:eastAsia="Times New Roman" w:cs="Tahoma"/>
          <w:i/>
          <w:color w:val="auto"/>
          <w:szCs w:val="24"/>
          <w:lang w:val="es-ES" w:eastAsia="es-ES"/>
        </w:rPr>
        <w:t>litis</w:t>
      </w:r>
      <w:r w:rsidRPr="0042561E">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42561E" w:rsidRDefault="00DB3DC5" w:rsidP="00A45DC5">
      <w:pPr>
        <w:spacing w:after="0" w:line="360" w:lineRule="auto"/>
        <w:contextualSpacing/>
        <w:rPr>
          <w:b/>
          <w:lang w:val="es-ES"/>
        </w:rPr>
      </w:pPr>
    </w:p>
    <w:p w14:paraId="7CEF4E51" w14:textId="77777777" w:rsidR="00DB3DC5" w:rsidRPr="0042561E" w:rsidRDefault="00DB3DC5" w:rsidP="00A45DC5">
      <w:pPr>
        <w:spacing w:after="0" w:line="360" w:lineRule="auto"/>
        <w:contextualSpacing/>
        <w:rPr>
          <w:b/>
          <w:lang w:val="es-ES"/>
        </w:rPr>
      </w:pPr>
      <w:r w:rsidRPr="0042561E">
        <w:rPr>
          <w:b/>
          <w:lang w:val="es-ES"/>
        </w:rPr>
        <w:t>Causales de improcedencia</w:t>
      </w:r>
    </w:p>
    <w:p w14:paraId="039C7835" w14:textId="77777777" w:rsidR="00DB3DC5" w:rsidRPr="0042561E" w:rsidRDefault="00DB3DC5" w:rsidP="00A45DC5">
      <w:pPr>
        <w:spacing w:after="0" w:line="360" w:lineRule="auto"/>
        <w:contextualSpacing/>
      </w:pPr>
    </w:p>
    <w:p w14:paraId="24BC499F" w14:textId="77777777" w:rsidR="00DB3DC5" w:rsidRPr="0042561E" w:rsidRDefault="00DB3DC5" w:rsidP="00A45DC5">
      <w:pPr>
        <w:spacing w:after="0" w:line="360" w:lineRule="auto"/>
        <w:contextualSpacing/>
        <w:rPr>
          <w:rFonts w:eastAsia="Times New Roman" w:cs="Tahoma"/>
          <w:color w:val="auto"/>
          <w:lang w:eastAsia="es-ES"/>
        </w:rPr>
      </w:pPr>
      <w:r w:rsidRPr="0042561E">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42561E" w:rsidRDefault="00DB3DC5" w:rsidP="00A45DC5">
      <w:pPr>
        <w:spacing w:after="0" w:line="360" w:lineRule="auto"/>
        <w:contextualSpacing/>
        <w:rPr>
          <w:rFonts w:eastAsia="Times New Roman" w:cs="Tahoma"/>
          <w:color w:val="auto"/>
          <w:lang w:eastAsia="es-ES"/>
        </w:rPr>
      </w:pPr>
    </w:p>
    <w:p w14:paraId="344A6FE5" w14:textId="77777777" w:rsidR="00DB3DC5" w:rsidRPr="0042561E" w:rsidRDefault="00DB3DC5" w:rsidP="00A45DC5">
      <w:pPr>
        <w:spacing w:after="0" w:line="360" w:lineRule="auto"/>
        <w:contextualSpacing/>
        <w:rPr>
          <w:rFonts w:eastAsia="Times New Roman" w:cs="Tahoma"/>
          <w:color w:val="auto"/>
          <w:lang w:eastAsia="es-ES"/>
        </w:rPr>
      </w:pPr>
      <w:r w:rsidRPr="0042561E">
        <w:rPr>
          <w:rFonts w:eastAsia="Times New Roman" w:cs="Tahoma"/>
          <w:color w:val="auto"/>
          <w:lang w:eastAsia="es-ES"/>
        </w:rPr>
        <w:t>En el presente caso, </w:t>
      </w:r>
      <w:r w:rsidRPr="0042561E">
        <w:rPr>
          <w:rFonts w:eastAsia="Times New Roman" w:cs="Tahoma"/>
          <w:b/>
          <w:bCs/>
          <w:color w:val="auto"/>
          <w:lang w:eastAsia="es-ES"/>
        </w:rPr>
        <w:t>no se actualiza ninguna de las causales de improcedencia</w:t>
      </w:r>
      <w:r w:rsidRPr="0042561E">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42561E" w:rsidRDefault="00DB3DC5" w:rsidP="00A45DC5">
      <w:pPr>
        <w:spacing w:after="0" w:line="360" w:lineRule="auto"/>
        <w:contextualSpacing/>
        <w:rPr>
          <w:rFonts w:eastAsia="Times New Roman" w:cs="Tahoma"/>
          <w:color w:val="auto"/>
          <w:lang w:val="es-ES" w:eastAsia="es-ES"/>
        </w:rPr>
      </w:pPr>
    </w:p>
    <w:p w14:paraId="02892483" w14:textId="775C2387" w:rsidR="00D94EE7" w:rsidRPr="0042561E" w:rsidRDefault="00DB3DC5" w:rsidP="00A45DC5">
      <w:pPr>
        <w:spacing w:after="0" w:line="360" w:lineRule="auto"/>
        <w:contextualSpacing/>
        <w:rPr>
          <w:rFonts w:eastAsia="Times New Roman" w:cs="Tahoma"/>
          <w:bCs/>
          <w:color w:val="auto"/>
          <w:lang w:val="es-ES" w:eastAsia="es-ES"/>
        </w:rPr>
      </w:pPr>
      <w:r w:rsidRPr="0042561E">
        <w:rPr>
          <w:rFonts w:eastAsia="Times New Roman" w:cs="Tahoma"/>
          <w:color w:val="auto"/>
          <w:lang w:val="es-ES" w:eastAsia="es-ES"/>
        </w:rPr>
        <w:t>Conforme a lo anterior, se actualiza la causal de procedencia señalad</w:t>
      </w:r>
      <w:r w:rsidR="00BB36D2" w:rsidRPr="0042561E">
        <w:rPr>
          <w:rFonts w:eastAsia="Times New Roman" w:cs="Tahoma"/>
          <w:color w:val="auto"/>
          <w:lang w:val="es-ES" w:eastAsia="es-ES"/>
        </w:rPr>
        <w:t>a en el artículo 179</w:t>
      </w:r>
      <w:r w:rsidR="00A041E4" w:rsidRPr="0042561E">
        <w:t xml:space="preserve">, fracción V, de la Ley en cita, pues la persona Recurrente se inconformó </w:t>
      </w:r>
      <w:r w:rsidR="00184747" w:rsidRPr="0042561E">
        <w:t>con la entrega de información incompleta.</w:t>
      </w:r>
    </w:p>
    <w:p w14:paraId="0D958195" w14:textId="77777777" w:rsidR="00727FAC" w:rsidRPr="0042561E" w:rsidRDefault="00727FAC" w:rsidP="00A45DC5">
      <w:pPr>
        <w:spacing w:after="0" w:line="360" w:lineRule="auto"/>
        <w:contextualSpacing/>
        <w:rPr>
          <w:rFonts w:cs="Tahoma"/>
          <w:lang w:val="es-ES"/>
        </w:rPr>
      </w:pPr>
    </w:p>
    <w:p w14:paraId="7C183A55" w14:textId="47C4F360" w:rsidR="00DB3DC5" w:rsidRPr="0042561E" w:rsidRDefault="00DB3DC5" w:rsidP="00A45DC5">
      <w:pPr>
        <w:spacing w:after="0" w:line="360" w:lineRule="auto"/>
        <w:contextualSpacing/>
        <w:rPr>
          <w:rFonts w:eastAsia="Times New Roman" w:cs="Tahoma"/>
          <w:bCs/>
          <w:color w:val="0D0D0D" w:themeColor="text1" w:themeTint="F2"/>
          <w:lang w:eastAsia="es-ES"/>
        </w:rPr>
      </w:pPr>
      <w:r w:rsidRPr="0042561E">
        <w:rPr>
          <w:rFonts w:eastAsia="Times New Roman" w:cs="Tahoma"/>
          <w:b/>
          <w:bCs/>
          <w:color w:val="0D0D0D" w:themeColor="text1" w:themeTint="F2"/>
          <w:lang w:eastAsia="es-ES"/>
        </w:rPr>
        <w:t>Causales de sobreseimiento</w:t>
      </w:r>
    </w:p>
    <w:p w14:paraId="4882BDEC" w14:textId="77777777" w:rsidR="00DB3DC5" w:rsidRPr="0042561E" w:rsidRDefault="00DB3DC5" w:rsidP="00A45DC5">
      <w:pPr>
        <w:spacing w:after="0" w:line="360" w:lineRule="auto"/>
        <w:contextualSpacing/>
        <w:rPr>
          <w:rFonts w:eastAsia="Times New Roman" w:cs="Tahoma"/>
          <w:bCs/>
          <w:color w:val="0D0D0D" w:themeColor="text1" w:themeTint="F2"/>
          <w:lang w:eastAsia="es-ES"/>
        </w:rPr>
      </w:pPr>
    </w:p>
    <w:p w14:paraId="1C1FAC25" w14:textId="5560238B" w:rsidR="00DB3DC5" w:rsidRPr="0042561E" w:rsidRDefault="00DB3DC5" w:rsidP="00A45DC5">
      <w:pPr>
        <w:spacing w:after="0" w:line="360" w:lineRule="auto"/>
        <w:contextualSpacing/>
        <w:rPr>
          <w:rFonts w:eastAsia="Times New Roman" w:cs="Tahoma"/>
          <w:bCs/>
          <w:color w:val="0D0D0D" w:themeColor="text1" w:themeTint="F2"/>
          <w:lang w:eastAsia="es-ES"/>
        </w:rPr>
      </w:pPr>
      <w:r w:rsidRPr="0042561E">
        <w:rPr>
          <w:rFonts w:eastAsia="Times New Roman" w:cs="Tahoma"/>
          <w:bCs/>
          <w:color w:val="0D0D0D" w:themeColor="text1" w:themeTint="F2"/>
          <w:lang w:eastAsia="es-ES"/>
        </w:rPr>
        <w:t>Por ser de previo y especial pronunciamiento, este Instituto analiza si se actualiza alguna causal de sobreseimiento.</w:t>
      </w:r>
    </w:p>
    <w:p w14:paraId="23736C10" w14:textId="77777777" w:rsidR="00F063F0" w:rsidRPr="0042561E" w:rsidRDefault="00F063F0" w:rsidP="00A45DC5">
      <w:pPr>
        <w:spacing w:after="0" w:line="360" w:lineRule="auto"/>
        <w:contextualSpacing/>
        <w:rPr>
          <w:rFonts w:eastAsia="Times New Roman" w:cs="Tahoma"/>
          <w:bCs/>
          <w:color w:val="0D0D0D" w:themeColor="text1" w:themeTint="F2"/>
          <w:lang w:eastAsia="es-ES"/>
        </w:rPr>
      </w:pPr>
    </w:p>
    <w:p w14:paraId="061BC45D" w14:textId="77777777" w:rsidR="00DB3DC5" w:rsidRPr="0042561E" w:rsidRDefault="00DB3DC5" w:rsidP="00A45DC5">
      <w:pPr>
        <w:spacing w:after="0" w:line="360" w:lineRule="auto"/>
        <w:contextualSpacing/>
        <w:rPr>
          <w:rFonts w:eastAsia="Times New Roman" w:cs="Tahoma"/>
          <w:color w:val="auto"/>
          <w:szCs w:val="24"/>
          <w:lang w:eastAsia="es-ES"/>
        </w:rPr>
      </w:pPr>
      <w:r w:rsidRPr="0042561E">
        <w:rPr>
          <w:rFonts w:eastAsia="Times New Roman" w:cs="Tahoma"/>
          <w:bCs/>
          <w:color w:val="0D0D0D" w:themeColor="text1" w:themeTint="F2"/>
          <w:lang w:eastAsia="es-ES"/>
        </w:rPr>
        <w:t>Sobre el tema, e</w:t>
      </w:r>
      <w:r w:rsidRPr="0042561E">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42561E" w:rsidRDefault="00DB3DC5" w:rsidP="00A45DC5">
      <w:pPr>
        <w:spacing w:after="0" w:line="360" w:lineRule="auto"/>
        <w:contextualSpacing/>
        <w:rPr>
          <w:rFonts w:eastAsia="Times New Roman" w:cs="Tahoma"/>
          <w:color w:val="auto"/>
          <w:szCs w:val="24"/>
          <w:lang w:eastAsia="es-ES"/>
        </w:rPr>
      </w:pPr>
    </w:p>
    <w:p w14:paraId="6D96EC9B" w14:textId="77777777" w:rsidR="00DB3DC5" w:rsidRPr="0042561E" w:rsidRDefault="00DB3DC5" w:rsidP="00A45DC5">
      <w:pPr>
        <w:spacing w:after="0" w:line="360" w:lineRule="auto"/>
        <w:contextualSpacing/>
        <w:rPr>
          <w:rFonts w:eastAsia="Times New Roman" w:cs="Tahoma"/>
          <w:bCs/>
          <w:color w:val="0D0D0D" w:themeColor="text1" w:themeTint="F2"/>
          <w:lang w:eastAsia="es-ES"/>
        </w:rPr>
      </w:pPr>
      <w:r w:rsidRPr="0042561E">
        <w:rPr>
          <w:rFonts w:eastAsia="Times New Roman" w:cs="Tahoma"/>
          <w:bCs/>
          <w:color w:val="0D0D0D" w:themeColor="text1" w:themeTint="F2"/>
          <w:lang w:eastAsia="es-ES"/>
        </w:rPr>
        <w:t xml:space="preserve">Por tales motivos, se considera procedente entrar al fondo del presente asunto. </w:t>
      </w:r>
    </w:p>
    <w:p w14:paraId="51FFF3D0" w14:textId="77777777" w:rsidR="00DB3DC5" w:rsidRPr="0042561E" w:rsidRDefault="00DB3DC5" w:rsidP="00A45DC5">
      <w:pPr>
        <w:spacing w:after="0" w:line="360" w:lineRule="auto"/>
        <w:contextualSpacing/>
        <w:rPr>
          <w:rFonts w:eastAsia="Times New Roman" w:cs="Tahoma"/>
          <w:b/>
          <w:bCs/>
          <w:iCs/>
          <w:color w:val="auto"/>
          <w:lang w:val="es-ES" w:eastAsia="es-ES"/>
        </w:rPr>
      </w:pPr>
    </w:p>
    <w:p w14:paraId="633955FE" w14:textId="0B722701" w:rsidR="00DB3DC5" w:rsidRPr="0042561E" w:rsidRDefault="00DB3DC5" w:rsidP="00A45DC5">
      <w:pPr>
        <w:spacing w:after="0" w:line="360" w:lineRule="auto"/>
        <w:contextualSpacing/>
        <w:rPr>
          <w:rFonts w:eastAsia="Times New Roman" w:cs="Tahoma"/>
          <w:b/>
          <w:bCs/>
          <w:iCs/>
          <w:color w:val="auto"/>
          <w:lang w:val="es-ES" w:eastAsia="es-ES"/>
        </w:rPr>
      </w:pPr>
      <w:r w:rsidRPr="0042561E">
        <w:rPr>
          <w:rFonts w:eastAsia="Times New Roman" w:cs="Tahoma"/>
          <w:b/>
          <w:bCs/>
          <w:iCs/>
          <w:color w:val="auto"/>
          <w:lang w:val="es-ES" w:eastAsia="es-ES"/>
        </w:rPr>
        <w:t>TERCERO. Determinación de la Controversia</w:t>
      </w:r>
    </w:p>
    <w:p w14:paraId="29A4CC8A" w14:textId="77777777" w:rsidR="00DB3DC5" w:rsidRPr="0042561E" w:rsidRDefault="00DB3DC5" w:rsidP="00A45DC5">
      <w:pPr>
        <w:autoSpaceDE w:val="0"/>
        <w:autoSpaceDN w:val="0"/>
        <w:adjustRightInd w:val="0"/>
        <w:spacing w:after="0" w:line="360" w:lineRule="auto"/>
        <w:contextualSpacing/>
        <w:rPr>
          <w:rFonts w:eastAsia="Calibri" w:cs="Tahoma"/>
          <w:color w:val="000000"/>
          <w:lang w:val="es-ES" w:eastAsia="es-MX"/>
        </w:rPr>
      </w:pPr>
    </w:p>
    <w:p w14:paraId="4537B04A" w14:textId="1406EEA6" w:rsidR="00A041E4" w:rsidRPr="0042561E" w:rsidRDefault="00594710" w:rsidP="00184747">
      <w:pPr>
        <w:spacing w:after="0" w:line="360" w:lineRule="auto"/>
        <w:rPr>
          <w:rFonts w:cs="Tahoma"/>
        </w:rPr>
      </w:pPr>
      <w:bookmarkStart w:id="4" w:name="_Hlk181139484"/>
      <w:r w:rsidRPr="0042561E">
        <w:rPr>
          <w:rFonts w:cs="Tahoma"/>
        </w:rPr>
        <w:t xml:space="preserve">Con el objetivo de ilustrar la controversia planteada, resulta conveniente precisar, que una vez realizado el estudio de las constancias que integran el expediente en el que se actúa, se desprende que el Particular requirió, </w:t>
      </w:r>
      <w:r w:rsidR="00184747" w:rsidRPr="0042561E">
        <w:rPr>
          <w:rFonts w:cs="Tahoma"/>
        </w:rPr>
        <w:t>el Presupuesto de Egresos Global, del ejercicio fiscal dos mil veintidós, dos mil veintitrés y dos mil veinticuatro, con el desglose siguiente:</w:t>
      </w:r>
    </w:p>
    <w:p w14:paraId="778A4FA4" w14:textId="77777777" w:rsidR="00184747" w:rsidRPr="0042561E" w:rsidRDefault="00184747" w:rsidP="00184747">
      <w:pPr>
        <w:spacing w:after="0" w:line="360" w:lineRule="auto"/>
        <w:rPr>
          <w:rFonts w:cs="Tahoma"/>
        </w:rPr>
      </w:pPr>
    </w:p>
    <w:p w14:paraId="72A86E55" w14:textId="7BFE5D67" w:rsidR="00184747" w:rsidRPr="0042561E" w:rsidRDefault="00184747" w:rsidP="00184747">
      <w:pPr>
        <w:pStyle w:val="Prrafodelista"/>
        <w:numPr>
          <w:ilvl w:val="0"/>
          <w:numId w:val="28"/>
        </w:numPr>
        <w:spacing w:after="0" w:line="360" w:lineRule="auto"/>
        <w:rPr>
          <w:rFonts w:cs="Tahoma"/>
        </w:rPr>
      </w:pPr>
      <w:r w:rsidRPr="0042561E">
        <w:rPr>
          <w:rFonts w:cs="Tahoma"/>
        </w:rPr>
        <w:lastRenderedPageBreak/>
        <w:t>Capítulos</w:t>
      </w:r>
    </w:p>
    <w:p w14:paraId="32C39AFF" w14:textId="6368B520" w:rsidR="00184747" w:rsidRPr="0042561E" w:rsidRDefault="00184747" w:rsidP="00184747">
      <w:pPr>
        <w:pStyle w:val="Prrafodelista"/>
        <w:numPr>
          <w:ilvl w:val="0"/>
          <w:numId w:val="28"/>
        </w:numPr>
        <w:spacing w:after="0" w:line="360" w:lineRule="auto"/>
        <w:rPr>
          <w:rFonts w:cs="Tahoma"/>
        </w:rPr>
      </w:pPr>
      <w:r w:rsidRPr="0042561E">
        <w:rPr>
          <w:rFonts w:cs="Tahoma"/>
        </w:rPr>
        <w:t>Conceptos</w:t>
      </w:r>
    </w:p>
    <w:p w14:paraId="0B496118" w14:textId="6B2EA599" w:rsidR="00184747" w:rsidRPr="0042561E" w:rsidRDefault="00184747" w:rsidP="00184747">
      <w:pPr>
        <w:pStyle w:val="Prrafodelista"/>
        <w:numPr>
          <w:ilvl w:val="0"/>
          <w:numId w:val="28"/>
        </w:numPr>
        <w:spacing w:after="0" w:line="360" w:lineRule="auto"/>
        <w:rPr>
          <w:rFonts w:cs="Tahoma"/>
        </w:rPr>
      </w:pPr>
      <w:r w:rsidRPr="0042561E">
        <w:rPr>
          <w:rFonts w:cs="Tahoma"/>
        </w:rPr>
        <w:t>Partidas Genéricas y Específicas</w:t>
      </w:r>
    </w:p>
    <w:p w14:paraId="576B55A5" w14:textId="77777777" w:rsidR="00A041E4" w:rsidRPr="0042561E" w:rsidRDefault="00A041E4" w:rsidP="00A45DC5">
      <w:pPr>
        <w:spacing w:after="0" w:line="360" w:lineRule="auto"/>
        <w:rPr>
          <w:i/>
          <w:iCs/>
          <w:color w:val="000000"/>
          <w:sz w:val="20"/>
          <w:szCs w:val="20"/>
        </w:rPr>
      </w:pPr>
    </w:p>
    <w:p w14:paraId="4FAADC73" w14:textId="7CC2BC45" w:rsidR="000A0C40" w:rsidRPr="0042561E" w:rsidRDefault="00E722D9" w:rsidP="00A45DC5">
      <w:pPr>
        <w:spacing w:after="0" w:line="360" w:lineRule="auto"/>
        <w:rPr>
          <w:rFonts w:cs="Tahoma"/>
          <w:lang w:val="es-ES"/>
        </w:rPr>
      </w:pPr>
      <w:r w:rsidRPr="0042561E">
        <w:rPr>
          <w:color w:val="000000"/>
        </w:rPr>
        <w:t>En respuesta, el Sujeto Obligado, a través de</w:t>
      </w:r>
      <w:r w:rsidR="00184747" w:rsidRPr="0042561E">
        <w:rPr>
          <w:color w:val="000000"/>
        </w:rPr>
        <w:t xml:space="preserve">l Titular de la Unidad de Transparencia, mencionó que la información solicitada se encuentra disponible al público en medios electrónicos y adjuntó una liga electrónica </w:t>
      </w:r>
      <w:hyperlink r:id="rId11" w:history="1">
        <w:r w:rsidR="00184747" w:rsidRPr="0042561E">
          <w:rPr>
            <w:rStyle w:val="Hipervnculo"/>
          </w:rPr>
          <w:t>https://legislacion.edomex.gob.mx/sites/legislacion.edomex.gob.mx/files/files/pdf/gct/2022/febrero/feb251/feb251h.pdf</w:t>
        </w:r>
      </w:hyperlink>
      <w:r w:rsidRPr="0042561E">
        <w:rPr>
          <w:rFonts w:cs="Tahoma"/>
        </w:rPr>
        <w:t>;</w:t>
      </w:r>
      <w:r w:rsidRPr="0042561E">
        <w:t xml:space="preserve"> </w:t>
      </w:r>
      <w:r w:rsidRPr="0042561E">
        <w:rPr>
          <w:rFonts w:cs="Tahoma"/>
          <w:lang w:val="es-ES"/>
        </w:rPr>
        <w:t xml:space="preserve">ante dicha circunstancia, el Particular se inconformó </w:t>
      </w:r>
      <w:r w:rsidR="00184747" w:rsidRPr="0042561E">
        <w:rPr>
          <w:rFonts w:cs="Tahoma"/>
          <w:lang w:val="es-ES"/>
        </w:rPr>
        <w:t xml:space="preserve">de la entrega de información incompleta, al mencionar que la liga electrónica dirige a </w:t>
      </w:r>
      <w:r w:rsidR="00184747" w:rsidRPr="0042561E">
        <w:rPr>
          <w:rFonts w:cs="Tahoma"/>
        </w:rPr>
        <w:t>la caratula del presupuesto de egresos, sin embargo, solicitó el desglose por capítulos, conceptos, partidas genéricas y específicas</w:t>
      </w:r>
      <w:r w:rsidRPr="0042561E">
        <w:rPr>
          <w:rFonts w:cs="Tahoma"/>
          <w:lang w:val="es-ES"/>
        </w:rPr>
        <w:t xml:space="preserve">, lo cual </w:t>
      </w:r>
      <w:r w:rsidRPr="0042561E">
        <w:rPr>
          <w:rFonts w:eastAsia="Calibri" w:cs="Tahoma"/>
        </w:rPr>
        <w:t>actualiza la causal de procedencia prevista en la fracción V, del artículo 179 de la Ley de Transparencia y Acceso a la Información Pública del Estado de México y Municipios</w:t>
      </w:r>
      <w:r w:rsidRPr="0042561E">
        <w:rPr>
          <w:color w:val="0D0D0D"/>
        </w:rPr>
        <w:t xml:space="preserve">. </w:t>
      </w:r>
      <w:r w:rsidRPr="0042561E">
        <w:rPr>
          <w:rFonts w:eastAsia="Calibri" w:cs="Tahoma"/>
        </w:rPr>
        <w:t xml:space="preserve">Así, las cosas, una vez admitido y notificado el Recurso de Revisión a las partes, </w:t>
      </w:r>
      <w:bookmarkEnd w:id="4"/>
      <w:r w:rsidR="009A4085" w:rsidRPr="0042561E">
        <w:rPr>
          <w:rFonts w:eastAsia="Calibri" w:cs="Tahoma"/>
        </w:rPr>
        <w:t>estas fueron omisas en emitir manifestaciones o alegatos.</w:t>
      </w:r>
    </w:p>
    <w:p w14:paraId="5B88E8E3" w14:textId="77777777" w:rsidR="009F4878" w:rsidRPr="0042561E" w:rsidRDefault="009F4878" w:rsidP="00A45DC5">
      <w:pPr>
        <w:tabs>
          <w:tab w:val="left" w:pos="4962"/>
        </w:tabs>
        <w:spacing w:after="0" w:line="360" w:lineRule="auto"/>
        <w:contextualSpacing/>
        <w:rPr>
          <w:rFonts w:cs="Tahoma"/>
          <w:lang w:val="es-ES"/>
        </w:rPr>
      </w:pPr>
    </w:p>
    <w:p w14:paraId="3A6521F2" w14:textId="56807173" w:rsidR="00DB3DC5" w:rsidRPr="0042561E" w:rsidRDefault="00DB3DC5" w:rsidP="00A45DC5">
      <w:pPr>
        <w:tabs>
          <w:tab w:val="left" w:pos="4962"/>
        </w:tabs>
        <w:spacing w:after="0" w:line="360" w:lineRule="auto"/>
        <w:contextualSpacing/>
        <w:rPr>
          <w:rFonts w:eastAsia="Calibri" w:cs="Tahoma"/>
          <w:bCs/>
          <w:szCs w:val="24"/>
        </w:rPr>
      </w:pPr>
      <w:r w:rsidRPr="0042561E">
        <w:rPr>
          <w:rFonts w:eastAsia="Calibri" w:cs="Tahoma"/>
          <w:iCs/>
          <w:lang w:val="es-ES" w:eastAsia="es-ES_tradnl"/>
        </w:rPr>
        <w:t>Lo anterior, se desprende de las documentales que obran en el expediente de referencia, materia de la presente resolución, consistente en: la solicitud de información</w:t>
      </w:r>
      <w:r w:rsidR="001F3934" w:rsidRPr="0042561E">
        <w:rPr>
          <w:rFonts w:eastAsia="Calibri" w:cs="Tahoma"/>
          <w:iCs/>
          <w:lang w:val="es-ES" w:eastAsia="es-ES_tradnl"/>
        </w:rPr>
        <w:t>,</w:t>
      </w:r>
      <w:r w:rsidRPr="0042561E">
        <w:rPr>
          <w:rFonts w:eastAsia="Calibri" w:cs="Tahoma"/>
          <w:iCs/>
          <w:lang w:eastAsia="es-ES_tradnl"/>
        </w:rPr>
        <w:t xml:space="preserve"> el escrito recursal</w:t>
      </w:r>
      <w:r w:rsidR="001F3934" w:rsidRPr="0042561E">
        <w:rPr>
          <w:rFonts w:eastAsia="Calibri" w:cs="Tahoma"/>
          <w:iCs/>
          <w:lang w:eastAsia="es-ES_tradnl"/>
        </w:rPr>
        <w:t xml:space="preserve"> y</w:t>
      </w:r>
      <w:r w:rsidRPr="0042561E">
        <w:rPr>
          <w:rFonts w:eastAsia="Calibri" w:cs="Tahoma"/>
          <w:iCs/>
          <w:lang w:eastAsia="es-ES_tradnl"/>
        </w:rPr>
        <w:t xml:space="preserve"> el Informe Justificado; </w:t>
      </w:r>
      <w:r w:rsidRPr="0042561E">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42561E" w:rsidRDefault="00DB3DC5" w:rsidP="00A45DC5">
      <w:pPr>
        <w:autoSpaceDE w:val="0"/>
        <w:autoSpaceDN w:val="0"/>
        <w:adjustRightInd w:val="0"/>
        <w:spacing w:after="0" w:line="360" w:lineRule="auto"/>
        <w:contextualSpacing/>
        <w:rPr>
          <w:rFonts w:eastAsia="Times New Roman" w:cs="Tahoma"/>
          <w:b/>
          <w:bCs/>
          <w:iCs/>
          <w:color w:val="auto"/>
          <w:lang w:val="es-ES" w:eastAsia="es-ES"/>
        </w:rPr>
      </w:pPr>
    </w:p>
    <w:p w14:paraId="6818EF86" w14:textId="26FD65EB" w:rsidR="00DB3DC5" w:rsidRPr="0042561E" w:rsidRDefault="00DB3DC5" w:rsidP="00A45DC5">
      <w:pPr>
        <w:spacing w:after="0" w:line="360" w:lineRule="auto"/>
        <w:contextualSpacing/>
        <w:rPr>
          <w:rFonts w:eastAsia="Times New Roman" w:cs="Tahoma"/>
          <w:b/>
          <w:bCs/>
          <w:iCs/>
          <w:color w:val="auto"/>
          <w:lang w:eastAsia="es-ES"/>
        </w:rPr>
      </w:pPr>
      <w:r w:rsidRPr="0042561E">
        <w:rPr>
          <w:rFonts w:eastAsia="Times New Roman" w:cs="Tahoma"/>
          <w:b/>
          <w:bCs/>
          <w:iCs/>
          <w:color w:val="auto"/>
          <w:lang w:val="es-ES" w:eastAsia="es-ES"/>
        </w:rPr>
        <w:t xml:space="preserve">CUARTO. </w:t>
      </w:r>
      <w:r w:rsidRPr="0042561E">
        <w:rPr>
          <w:rFonts w:eastAsia="Times New Roman" w:cs="Tahoma"/>
          <w:b/>
          <w:bCs/>
          <w:iCs/>
          <w:color w:val="auto"/>
          <w:lang w:eastAsia="es-ES"/>
        </w:rPr>
        <w:t>Marco normativo aplicable en materia de transparencia y acceso a la información pública</w:t>
      </w:r>
    </w:p>
    <w:p w14:paraId="1FA9DF31" w14:textId="77777777" w:rsidR="00DB3DC5" w:rsidRPr="0042561E" w:rsidRDefault="00DB3DC5" w:rsidP="00A45DC5">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42561E" w:rsidRDefault="00DB3DC5" w:rsidP="00A45DC5">
      <w:pPr>
        <w:spacing w:after="0" w:line="360" w:lineRule="auto"/>
        <w:contextualSpacing/>
        <w:rPr>
          <w:rFonts w:eastAsia="Times New Roman" w:cs="Tahoma"/>
          <w:bCs/>
          <w:iCs/>
          <w:color w:val="auto"/>
          <w:lang w:eastAsia="es-ES"/>
        </w:rPr>
      </w:pPr>
      <w:r w:rsidRPr="0042561E">
        <w:rPr>
          <w:rFonts w:eastAsia="Times New Roman" w:cs="Tahoma"/>
          <w:bCs/>
          <w:iCs/>
          <w:color w:val="auto"/>
          <w:lang w:eastAsia="es-ES"/>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42561E" w:rsidRDefault="00DB3DC5" w:rsidP="00A45DC5">
      <w:pPr>
        <w:spacing w:after="0" w:line="360" w:lineRule="auto"/>
        <w:contextualSpacing/>
        <w:rPr>
          <w:rFonts w:eastAsia="Times New Roman" w:cs="Tahoma"/>
          <w:bCs/>
          <w:iCs/>
          <w:color w:val="auto"/>
          <w:lang w:eastAsia="es-ES"/>
        </w:rPr>
      </w:pPr>
    </w:p>
    <w:p w14:paraId="6A58FB7E" w14:textId="77777777" w:rsidR="00DB3DC5" w:rsidRPr="0042561E" w:rsidRDefault="00DB3DC5" w:rsidP="00A45DC5">
      <w:pPr>
        <w:spacing w:after="0" w:line="360" w:lineRule="auto"/>
        <w:contextualSpacing/>
        <w:rPr>
          <w:rFonts w:eastAsia="Times New Roman" w:cs="Tahoma"/>
          <w:bCs/>
          <w:iCs/>
          <w:color w:val="auto"/>
          <w:lang w:eastAsia="es-ES"/>
        </w:rPr>
      </w:pPr>
      <w:r w:rsidRPr="0042561E">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42561E" w:rsidRDefault="00DB3DC5" w:rsidP="00A45DC5">
      <w:pPr>
        <w:spacing w:after="0" w:line="360" w:lineRule="auto"/>
        <w:contextualSpacing/>
        <w:rPr>
          <w:rFonts w:eastAsia="Times New Roman" w:cs="Tahoma"/>
          <w:bCs/>
          <w:iCs/>
          <w:color w:val="auto"/>
          <w:lang w:eastAsia="es-ES"/>
        </w:rPr>
      </w:pPr>
    </w:p>
    <w:p w14:paraId="23374816" w14:textId="77777777" w:rsidR="00DB3DC5" w:rsidRPr="0042561E" w:rsidRDefault="00DB3DC5" w:rsidP="00A45DC5">
      <w:pPr>
        <w:spacing w:after="0" w:line="360" w:lineRule="auto"/>
        <w:contextualSpacing/>
        <w:rPr>
          <w:rFonts w:eastAsia="Times New Roman" w:cs="Tahoma"/>
          <w:bCs/>
          <w:iCs/>
          <w:color w:val="auto"/>
          <w:lang w:eastAsia="es-ES"/>
        </w:rPr>
      </w:pPr>
      <w:r w:rsidRPr="0042561E">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42561E" w:rsidRDefault="00DB3DC5" w:rsidP="00A45DC5">
      <w:pPr>
        <w:spacing w:after="0" w:line="360" w:lineRule="auto"/>
        <w:contextualSpacing/>
        <w:rPr>
          <w:rFonts w:eastAsia="Times New Roman" w:cs="Tahoma"/>
          <w:bCs/>
          <w:iCs/>
          <w:color w:val="auto"/>
          <w:lang w:eastAsia="es-ES"/>
        </w:rPr>
      </w:pPr>
    </w:p>
    <w:p w14:paraId="015A559C" w14:textId="77777777" w:rsidR="00DB3DC5" w:rsidRPr="0042561E" w:rsidRDefault="00DB3DC5" w:rsidP="00A45DC5">
      <w:pPr>
        <w:spacing w:after="0" w:line="360" w:lineRule="auto"/>
        <w:contextualSpacing/>
        <w:rPr>
          <w:rFonts w:eastAsia="Times New Roman" w:cs="Tahoma"/>
          <w:bCs/>
          <w:iCs/>
          <w:color w:val="auto"/>
          <w:lang w:eastAsia="es-ES"/>
        </w:rPr>
      </w:pPr>
      <w:r w:rsidRPr="0042561E">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42561E" w:rsidRDefault="00DB3DC5" w:rsidP="00A45DC5">
      <w:pPr>
        <w:spacing w:after="0" w:line="360" w:lineRule="auto"/>
        <w:contextualSpacing/>
        <w:rPr>
          <w:rFonts w:eastAsia="Times New Roman" w:cs="Tahoma"/>
          <w:bCs/>
          <w:iCs/>
          <w:color w:val="auto"/>
          <w:lang w:eastAsia="es-ES"/>
        </w:rPr>
      </w:pPr>
    </w:p>
    <w:p w14:paraId="269C520F" w14:textId="03AF8747" w:rsidR="00DB3DC5" w:rsidRPr="0042561E" w:rsidRDefault="00DB3DC5" w:rsidP="00A45DC5">
      <w:pPr>
        <w:spacing w:after="0" w:line="360" w:lineRule="auto"/>
        <w:contextualSpacing/>
        <w:rPr>
          <w:rFonts w:eastAsia="Times New Roman" w:cs="Tahoma"/>
          <w:bCs/>
          <w:iCs/>
          <w:color w:val="auto"/>
          <w:lang w:eastAsia="es-ES"/>
        </w:rPr>
      </w:pPr>
      <w:r w:rsidRPr="0042561E">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42561E" w:rsidRDefault="00DE3357" w:rsidP="00A45DC5">
      <w:pPr>
        <w:spacing w:after="0" w:line="360" w:lineRule="auto"/>
        <w:contextualSpacing/>
        <w:rPr>
          <w:rFonts w:eastAsia="Times New Roman" w:cs="Tahoma"/>
          <w:bCs/>
          <w:iCs/>
          <w:color w:val="auto"/>
          <w:lang w:eastAsia="es-ES"/>
        </w:rPr>
      </w:pPr>
    </w:p>
    <w:p w14:paraId="5604CF35" w14:textId="77777777" w:rsidR="00DB3DC5" w:rsidRPr="0042561E" w:rsidRDefault="00DB3DC5" w:rsidP="00A45DC5">
      <w:pPr>
        <w:widowControl w:val="0"/>
        <w:spacing w:after="0" w:line="360" w:lineRule="auto"/>
        <w:contextualSpacing/>
        <w:rPr>
          <w:rFonts w:eastAsia="Times New Roman" w:cs="Tahoma"/>
          <w:bCs/>
          <w:iCs/>
          <w:color w:val="auto"/>
          <w:lang w:eastAsia="es-ES"/>
        </w:rPr>
      </w:pPr>
      <w:r w:rsidRPr="0042561E">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42561E" w:rsidRDefault="00DB3DC5" w:rsidP="00A45DC5">
      <w:pPr>
        <w:spacing w:after="0" w:line="360" w:lineRule="auto"/>
        <w:contextualSpacing/>
        <w:rPr>
          <w:rFonts w:eastAsia="Times New Roman" w:cs="Tahoma"/>
          <w:bCs/>
          <w:iCs/>
          <w:color w:val="auto"/>
          <w:lang w:eastAsia="es-ES"/>
        </w:rPr>
      </w:pPr>
    </w:p>
    <w:p w14:paraId="0FF7C948" w14:textId="77777777" w:rsidR="00DB3DC5" w:rsidRPr="0042561E" w:rsidRDefault="00DB3DC5" w:rsidP="00A45DC5">
      <w:pPr>
        <w:spacing w:after="0" w:line="360" w:lineRule="auto"/>
        <w:contextualSpacing/>
        <w:rPr>
          <w:rFonts w:eastAsia="Times New Roman" w:cs="Tahoma"/>
          <w:bCs/>
          <w:iCs/>
          <w:color w:val="auto"/>
          <w:lang w:eastAsia="es-ES"/>
        </w:rPr>
      </w:pPr>
      <w:r w:rsidRPr="0042561E">
        <w:rPr>
          <w:rFonts w:eastAsia="Times New Roman" w:cs="Tahoma"/>
          <w:bCs/>
          <w:iCs/>
          <w:color w:val="auto"/>
          <w:lang w:eastAsia="es-ES"/>
        </w:rPr>
        <w:t xml:space="preserve">El artículo 19, que, se presume que la información debe existir si se refiere a las facultades, competencias y funciones que los ordenamientos jurídicos aplicables otorgan a los sujetos </w:t>
      </w:r>
      <w:r w:rsidRPr="0042561E">
        <w:rPr>
          <w:rFonts w:eastAsia="Times New Roman" w:cs="Tahoma"/>
          <w:bCs/>
          <w:iCs/>
          <w:color w:val="auto"/>
          <w:lang w:eastAsia="es-ES"/>
        </w:rPr>
        <w:lastRenderedPageBreak/>
        <w:t>obligados y en caso de que dichas facultades no se hayan ejercido, se deberá motivar la respuesta en función de las causas que motivaron tal circunstancia.</w:t>
      </w:r>
    </w:p>
    <w:p w14:paraId="120AAD97" w14:textId="77777777" w:rsidR="00DB3DC5" w:rsidRPr="0042561E" w:rsidRDefault="00DB3DC5" w:rsidP="00A45DC5">
      <w:pPr>
        <w:spacing w:after="0" w:line="360" w:lineRule="auto"/>
        <w:contextualSpacing/>
        <w:rPr>
          <w:rFonts w:cs="Tahoma"/>
          <w:bCs/>
          <w:iCs/>
          <w:lang w:val="es-ES"/>
        </w:rPr>
      </w:pPr>
    </w:p>
    <w:p w14:paraId="3EB23114" w14:textId="77ECB38F" w:rsidR="00DB3DC5" w:rsidRPr="0042561E" w:rsidRDefault="00DB3DC5" w:rsidP="00A45DC5">
      <w:pPr>
        <w:spacing w:after="0" w:line="360" w:lineRule="auto"/>
        <w:contextualSpacing/>
        <w:rPr>
          <w:rFonts w:eastAsia="Times New Roman" w:cs="Tahoma"/>
          <w:b/>
          <w:bCs/>
          <w:iCs/>
          <w:color w:val="auto"/>
          <w:lang w:val="es-ES" w:eastAsia="es-ES"/>
        </w:rPr>
      </w:pPr>
      <w:r w:rsidRPr="0042561E">
        <w:rPr>
          <w:rFonts w:eastAsia="Times New Roman" w:cs="Tahoma"/>
          <w:b/>
          <w:bCs/>
          <w:iCs/>
          <w:color w:val="auto"/>
          <w:lang w:val="es-ES" w:eastAsia="es-ES"/>
        </w:rPr>
        <w:t>Q</w:t>
      </w:r>
      <w:r w:rsidR="0043429F" w:rsidRPr="0042561E">
        <w:rPr>
          <w:rFonts w:eastAsia="Times New Roman" w:cs="Tahoma"/>
          <w:b/>
          <w:bCs/>
          <w:iCs/>
          <w:color w:val="auto"/>
          <w:lang w:val="es-ES" w:eastAsia="es-ES"/>
        </w:rPr>
        <w:t>UINTO</w:t>
      </w:r>
      <w:r w:rsidRPr="0042561E">
        <w:rPr>
          <w:rFonts w:eastAsia="Times New Roman" w:cs="Tahoma"/>
          <w:b/>
          <w:bCs/>
          <w:iCs/>
          <w:color w:val="auto"/>
          <w:lang w:val="es-ES" w:eastAsia="es-ES"/>
        </w:rPr>
        <w:t>. Estudio de Fondo</w:t>
      </w:r>
    </w:p>
    <w:p w14:paraId="5511A115" w14:textId="77777777" w:rsidR="00DB3DC5" w:rsidRPr="0042561E" w:rsidRDefault="00DB3DC5" w:rsidP="00A45DC5">
      <w:pPr>
        <w:spacing w:after="0" w:line="360" w:lineRule="auto"/>
        <w:contextualSpacing/>
        <w:rPr>
          <w:rFonts w:eastAsia="Times New Roman" w:cs="Tahoma"/>
          <w:b/>
          <w:bCs/>
          <w:iCs/>
          <w:color w:val="auto"/>
          <w:lang w:val="es-ES" w:eastAsia="es-ES"/>
        </w:rPr>
      </w:pPr>
    </w:p>
    <w:p w14:paraId="409442E5" w14:textId="2F283135" w:rsidR="00875826" w:rsidRPr="0042561E" w:rsidRDefault="001F3934" w:rsidP="00875826">
      <w:pPr>
        <w:spacing w:after="0" w:line="360" w:lineRule="auto"/>
        <w:rPr>
          <w:rFonts w:eastAsia="Times New Roman" w:cs="Tahoma"/>
          <w:bCs/>
          <w:iCs/>
          <w:lang w:eastAsia="es-ES"/>
        </w:rPr>
      </w:pPr>
      <w:r w:rsidRPr="0042561E">
        <w:rPr>
          <w:rFonts w:eastAsia="Times New Roman" w:cs="Tahoma"/>
          <w:bCs/>
          <w:iCs/>
          <w:color w:val="auto"/>
          <w:lang w:eastAsia="es-ES"/>
        </w:rPr>
        <w:t xml:space="preserve">Expuestas las posturas de las partes, se procede al análisis del agravio hecho valer por </w:t>
      </w:r>
      <w:r w:rsidR="00875826" w:rsidRPr="0042561E">
        <w:rPr>
          <w:rFonts w:eastAsia="Times New Roman" w:cs="Tahoma"/>
          <w:bCs/>
          <w:iCs/>
          <w:color w:val="auto"/>
          <w:lang w:eastAsia="es-ES"/>
        </w:rPr>
        <w:t>la persona</w:t>
      </w:r>
      <w:r w:rsidRPr="0042561E">
        <w:rPr>
          <w:rFonts w:eastAsia="Times New Roman" w:cs="Tahoma"/>
          <w:bCs/>
          <w:iCs/>
          <w:color w:val="auto"/>
          <w:lang w:eastAsia="es-ES"/>
        </w:rPr>
        <w:t xml:space="preserve"> Recurrente, </w:t>
      </w:r>
      <w:r w:rsidR="00875826" w:rsidRPr="0042561E">
        <w:rPr>
          <w:color w:val="000000"/>
        </w:rPr>
        <w:t xml:space="preserve">concerniente </w:t>
      </w:r>
      <w:r w:rsidR="00875826" w:rsidRPr="0042561E">
        <w:t>a la</w:t>
      </w:r>
      <w:r w:rsidR="00531110" w:rsidRPr="0042561E">
        <w:t xml:space="preserve"> entrega de información incompleta</w:t>
      </w:r>
      <w:r w:rsidR="00875826" w:rsidRPr="0042561E">
        <w:t xml:space="preserve">, </w:t>
      </w:r>
      <w:r w:rsidR="00875826" w:rsidRPr="0042561E">
        <w:rPr>
          <w:rFonts w:eastAsia="Times New Roman" w:cs="Tahoma"/>
          <w:bCs/>
          <w:iCs/>
          <w:lang w:eastAsia="es-ES"/>
        </w:rPr>
        <w:t>por lo que, en principio es necesario contextualizar la solicitud de información.</w:t>
      </w:r>
    </w:p>
    <w:p w14:paraId="4163990B" w14:textId="77777777" w:rsidR="00C41B42" w:rsidRPr="0042561E" w:rsidRDefault="00C41B42" w:rsidP="00875826">
      <w:pPr>
        <w:spacing w:after="0" w:line="360" w:lineRule="auto"/>
        <w:rPr>
          <w:rFonts w:eastAsia="Times New Roman" w:cs="Tahoma"/>
          <w:bCs/>
          <w:iCs/>
          <w:lang w:eastAsia="es-ES"/>
        </w:rPr>
      </w:pPr>
    </w:p>
    <w:p w14:paraId="4CD0BFC7" w14:textId="1CD4078A" w:rsidR="00C41B42" w:rsidRPr="0042561E" w:rsidRDefault="00C41B42" w:rsidP="00C41B42">
      <w:pPr>
        <w:spacing w:after="0" w:line="360" w:lineRule="auto"/>
        <w:ind w:right="-93"/>
        <w:rPr>
          <w:rFonts w:eastAsia="Times New Roman" w:cs="Tahoma"/>
          <w:iCs/>
          <w:color w:val="auto"/>
          <w:lang w:eastAsia="es-ES"/>
        </w:rPr>
      </w:pPr>
      <w:r w:rsidRPr="0042561E">
        <w:rPr>
          <w:rFonts w:eastAsia="Times New Roman" w:cs="Tahoma"/>
          <w:iCs/>
          <w:color w:val="auto"/>
          <w:lang w:eastAsia="es-ES"/>
        </w:rPr>
        <w:t xml:space="preserve">Al respecto, </w:t>
      </w:r>
      <w:r w:rsidRPr="0042561E">
        <w:rPr>
          <w:rFonts w:eastAsia="Times New Roman" w:cs="Times New Roman"/>
          <w:color w:val="auto"/>
          <w:lang w:val="es-ES" w:eastAsia="es-ES"/>
        </w:rPr>
        <w:t xml:space="preserve">el </w:t>
      </w:r>
      <w:r w:rsidRPr="0042561E">
        <w:rPr>
          <w:rFonts w:eastAsia="Calibri" w:cs="Tahoma"/>
          <w:bCs/>
          <w:color w:val="auto"/>
        </w:rPr>
        <w:t xml:space="preserve">párrafo tercero del artículo 285, del Código Financiero del Estado de México y Municipios, que precisa que el Ayuntamiento es el encargado de aprobar el Presupuesto de Egresos del Municipio. </w:t>
      </w:r>
    </w:p>
    <w:p w14:paraId="7F5A2023" w14:textId="77777777" w:rsidR="00C41B42" w:rsidRPr="0042561E" w:rsidRDefault="00C41B42" w:rsidP="00C41B42">
      <w:pPr>
        <w:spacing w:after="0" w:line="360" w:lineRule="auto"/>
        <w:ind w:right="-93"/>
        <w:rPr>
          <w:rFonts w:eastAsia="Calibri" w:cs="Tahoma"/>
          <w:bCs/>
          <w:color w:val="auto"/>
        </w:rPr>
      </w:pPr>
    </w:p>
    <w:p w14:paraId="3F8FDFAB" w14:textId="77777777" w:rsidR="00C41B42" w:rsidRPr="0042561E" w:rsidRDefault="00C41B42" w:rsidP="00C41B42">
      <w:pPr>
        <w:spacing w:after="0" w:line="360" w:lineRule="auto"/>
        <w:ind w:right="-93"/>
        <w:rPr>
          <w:rFonts w:eastAsia="Calibri" w:cs="Tahoma"/>
          <w:bCs/>
          <w:color w:val="auto"/>
        </w:rPr>
      </w:pPr>
      <w:r w:rsidRPr="0042561E">
        <w:rPr>
          <w:rFonts w:eastAsia="Calibri" w:cs="Tahoma"/>
          <w:bCs/>
          <w:color w:val="auto"/>
        </w:rPr>
        <w:t>En el mismo sentido, el artículo 31, fracción XIX, de la Ley Orgánica Municipal del Estado de México, establece que los Ayuntamientos serán los encargados de aprobar anualmente, el Presupuesto de Egresos, en base a los ingresos presupuestados para el ejercicio de corresponda.</w:t>
      </w:r>
    </w:p>
    <w:p w14:paraId="0D846DD4" w14:textId="77777777" w:rsidR="00C41B42" w:rsidRPr="0042561E" w:rsidRDefault="00C41B42" w:rsidP="00C41B42">
      <w:pPr>
        <w:spacing w:after="0" w:line="360" w:lineRule="auto"/>
        <w:ind w:right="-93"/>
        <w:rPr>
          <w:rFonts w:eastAsia="Times New Roman" w:cs="Times New Roman"/>
          <w:color w:val="auto"/>
          <w:lang w:val="es-ES" w:eastAsia="es-ES"/>
        </w:rPr>
      </w:pPr>
    </w:p>
    <w:p w14:paraId="2C76152A" w14:textId="77777777" w:rsidR="00C41B42" w:rsidRPr="0042561E" w:rsidRDefault="00C41B42" w:rsidP="00C41B42">
      <w:pPr>
        <w:spacing w:after="0" w:line="360" w:lineRule="auto"/>
        <w:ind w:right="-93"/>
        <w:rPr>
          <w:rFonts w:eastAsia="Calibri" w:cs="Tahoma"/>
          <w:b/>
          <w:bCs/>
          <w:color w:val="auto"/>
        </w:rPr>
      </w:pPr>
      <w:r w:rsidRPr="0042561E">
        <w:rPr>
          <w:rFonts w:eastAsia="Times New Roman" w:cs="Times New Roman"/>
          <w:color w:val="auto"/>
          <w:lang w:val="es-ES" w:eastAsia="es-ES"/>
        </w:rPr>
        <w:t xml:space="preserve">Además, </w:t>
      </w:r>
      <w:r w:rsidRPr="0042561E">
        <w:rPr>
          <w:rFonts w:eastAsia="Calibri" w:cs="Tahoma"/>
          <w:bCs/>
          <w:color w:val="auto"/>
        </w:rPr>
        <w:t>los diversos 100 y 101, fracción II, de dicho ordenamiento jurídico, prevén que el Presupuesto de Egresos, deberá contener las previsiones de gasto público y se conformará, entre otras cosas, por los programas en que se señalen objetivos, metas y unidades responsables para su ejecución, así como la valuación estimada del programa.</w:t>
      </w:r>
    </w:p>
    <w:p w14:paraId="4916BA1C" w14:textId="77777777" w:rsidR="00C41B42" w:rsidRPr="0042561E" w:rsidRDefault="00C41B42" w:rsidP="00C41B42">
      <w:pPr>
        <w:spacing w:after="0" w:line="360" w:lineRule="auto"/>
        <w:rPr>
          <w:rFonts w:eastAsia="Times New Roman" w:cs="Times New Roman"/>
          <w:color w:val="auto"/>
          <w:lang w:val="es-ES" w:eastAsia="es-ES"/>
        </w:rPr>
      </w:pPr>
    </w:p>
    <w:p w14:paraId="07EE9373" w14:textId="582B8548" w:rsidR="00C41B42" w:rsidRPr="0042561E" w:rsidRDefault="00C41B42" w:rsidP="00C41B42">
      <w:pPr>
        <w:spacing w:after="0" w:line="360" w:lineRule="auto"/>
        <w:rPr>
          <w:rFonts w:eastAsia="Times New Roman" w:cs="Times New Roman"/>
          <w:bCs/>
          <w:iCs/>
          <w:color w:val="auto"/>
          <w:lang w:val="es-ES" w:eastAsia="es-ES"/>
        </w:rPr>
      </w:pPr>
      <w:r w:rsidRPr="0042561E">
        <w:rPr>
          <w:rFonts w:eastAsia="Times New Roman" w:cs="Times New Roman"/>
          <w:bCs/>
          <w:color w:val="auto"/>
          <w:lang w:eastAsia="es-ES"/>
        </w:rPr>
        <w:t xml:space="preserve">En ese contexto, </w:t>
      </w:r>
      <w:r w:rsidRPr="0042561E">
        <w:rPr>
          <w:rFonts w:eastAsia="Times New Roman" w:cs="Tahoma"/>
          <w:bCs/>
          <w:color w:val="auto"/>
          <w:lang w:eastAsia="es-ES"/>
        </w:rPr>
        <w:t>el Glosario de Términos</w:t>
      </w:r>
      <w:r w:rsidRPr="0042561E">
        <w:rPr>
          <w:rFonts w:eastAsia="Times New Roman" w:cs="Times New Roman"/>
          <w:bCs/>
          <w:color w:val="auto"/>
          <w:lang w:eastAsia="es-ES"/>
        </w:rPr>
        <w:t xml:space="preserve"> del </w:t>
      </w:r>
      <w:r w:rsidRPr="0042561E">
        <w:rPr>
          <w:rFonts w:eastAsia="Times New Roman" w:cs="Times New Roman"/>
          <w:bCs/>
          <w:iCs/>
          <w:color w:val="auto"/>
          <w:lang w:val="es-ES" w:eastAsia="es-ES"/>
        </w:rPr>
        <w:t>Manual para la Planeación, Programación y Presupuesto de Egresos Municipal para los ejercicios fiscales de dos mil veintidós, dos mil veintitrés y dos mil veinticuatro</w:t>
      </w:r>
      <w:r w:rsidRPr="0042561E">
        <w:rPr>
          <w:rFonts w:eastAsia="Times New Roman" w:cs="Times New Roman"/>
          <w:bCs/>
          <w:color w:val="auto"/>
          <w:lang w:eastAsia="es-ES"/>
        </w:rPr>
        <w:t xml:space="preserve">, </w:t>
      </w:r>
      <w:r w:rsidRPr="0042561E">
        <w:rPr>
          <w:rFonts w:eastAsia="Times New Roman" w:cs="Tahoma"/>
          <w:bCs/>
          <w:color w:val="auto"/>
          <w:lang w:eastAsia="es-ES"/>
        </w:rPr>
        <w:t xml:space="preserve">establecen que el presupuesto es la estimación financiera </w:t>
      </w:r>
      <w:r w:rsidRPr="0042561E">
        <w:rPr>
          <w:rFonts w:eastAsia="Times New Roman" w:cs="Tahoma"/>
          <w:bCs/>
          <w:color w:val="auto"/>
          <w:lang w:eastAsia="es-ES"/>
        </w:rPr>
        <w:lastRenderedPageBreak/>
        <w:t>anticipada de los egresos e ingresos del gobierno, necesario para cumplir con los propósitos de un programa determinado; por otra parte, establece lo siguiente:</w:t>
      </w:r>
    </w:p>
    <w:p w14:paraId="669B5CFF" w14:textId="77777777" w:rsidR="00C41B42" w:rsidRPr="0042561E" w:rsidRDefault="00C41B42" w:rsidP="00C41B42">
      <w:pPr>
        <w:spacing w:after="0" w:line="360" w:lineRule="auto"/>
        <w:rPr>
          <w:rFonts w:eastAsia="Times New Roman" w:cs="Tahoma"/>
          <w:bCs/>
          <w:color w:val="auto"/>
          <w:lang w:eastAsia="es-ES"/>
        </w:rPr>
      </w:pPr>
    </w:p>
    <w:p w14:paraId="714B81A5" w14:textId="77777777" w:rsidR="00C41B42" w:rsidRPr="0042561E" w:rsidRDefault="00C41B42" w:rsidP="00C41B42">
      <w:pPr>
        <w:numPr>
          <w:ilvl w:val="0"/>
          <w:numId w:val="30"/>
        </w:numPr>
        <w:spacing w:after="0" w:line="360" w:lineRule="auto"/>
        <w:contextualSpacing/>
        <w:jc w:val="left"/>
        <w:rPr>
          <w:rFonts w:eastAsia="Times New Roman" w:cs="Tahoma"/>
          <w:bCs/>
          <w:color w:val="auto"/>
          <w:lang w:eastAsia="es-ES"/>
        </w:rPr>
      </w:pPr>
      <w:r w:rsidRPr="0042561E">
        <w:rPr>
          <w:rFonts w:eastAsia="Times New Roman" w:cs="Tahoma"/>
          <w:b/>
          <w:color w:val="auto"/>
          <w:lang w:eastAsia="es-ES"/>
        </w:rPr>
        <w:t xml:space="preserve">Presupuesto Autorizado: </w:t>
      </w:r>
      <w:r w:rsidRPr="0042561E">
        <w:rPr>
          <w:rFonts w:eastAsia="Times New Roman" w:cs="Tahoma"/>
          <w:bCs/>
          <w:color w:val="auto"/>
          <w:lang w:eastAsia="es-ES"/>
        </w:rPr>
        <w:t>Es el monto de recursos que se autoriza ejercer en un ejercicio fiscal, a través del Decreto del Presupuesto de Egresos.</w:t>
      </w:r>
    </w:p>
    <w:p w14:paraId="78B97D11" w14:textId="77777777" w:rsidR="00C41B42" w:rsidRPr="0042561E" w:rsidRDefault="00C41B42" w:rsidP="00C41B42">
      <w:pPr>
        <w:spacing w:after="0" w:line="360" w:lineRule="auto"/>
        <w:ind w:left="720"/>
        <w:contextualSpacing/>
        <w:rPr>
          <w:rFonts w:eastAsia="Times New Roman" w:cs="Tahoma"/>
          <w:bCs/>
          <w:color w:val="auto"/>
          <w:lang w:eastAsia="es-ES"/>
        </w:rPr>
      </w:pPr>
    </w:p>
    <w:p w14:paraId="7EFFE531" w14:textId="77777777" w:rsidR="00C41B42" w:rsidRPr="0042561E" w:rsidRDefault="00C41B42" w:rsidP="00C41B42">
      <w:pPr>
        <w:numPr>
          <w:ilvl w:val="0"/>
          <w:numId w:val="30"/>
        </w:numPr>
        <w:spacing w:after="0" w:line="360" w:lineRule="auto"/>
        <w:contextualSpacing/>
        <w:jc w:val="left"/>
        <w:rPr>
          <w:rFonts w:eastAsia="Times New Roman" w:cs="Tahoma"/>
          <w:bCs/>
          <w:color w:val="auto"/>
          <w:lang w:eastAsia="es-ES"/>
        </w:rPr>
      </w:pPr>
      <w:r w:rsidRPr="0042561E">
        <w:rPr>
          <w:rFonts w:eastAsia="Times New Roman" w:cs="Tahoma"/>
          <w:bCs/>
          <w:color w:val="auto"/>
          <w:lang w:eastAsia="es-ES"/>
        </w:rPr>
        <w:t xml:space="preserve"> </w:t>
      </w:r>
      <w:r w:rsidRPr="0042561E">
        <w:rPr>
          <w:rFonts w:eastAsia="Times New Roman" w:cs="Tahoma"/>
          <w:b/>
          <w:color w:val="auto"/>
          <w:lang w:eastAsia="es-ES"/>
        </w:rPr>
        <w:t>Presupuesto Ejercido</w:t>
      </w:r>
      <w:r w:rsidRPr="0042561E">
        <w:rPr>
          <w:rFonts w:eastAsia="Times New Roman" w:cs="Tahoma"/>
          <w:bCs/>
          <w:color w:val="auto"/>
          <w:lang w:eastAsia="es-ES"/>
        </w:rPr>
        <w:t>: Es el importe de erogaciones realizadas, respaldadas por los documentos comprobatorios presentados a la dependencia una vez autorizadas para su pago, con cargo al presupuesto autorizado.</w:t>
      </w:r>
    </w:p>
    <w:p w14:paraId="1BA37457" w14:textId="77777777" w:rsidR="00C41B42" w:rsidRPr="0042561E" w:rsidRDefault="00C41B42" w:rsidP="00875826">
      <w:pPr>
        <w:spacing w:after="0" w:line="360" w:lineRule="auto"/>
        <w:rPr>
          <w:rFonts w:eastAsia="Times New Roman" w:cs="Tahoma"/>
          <w:bCs/>
          <w:iCs/>
          <w:lang w:eastAsia="es-ES"/>
        </w:rPr>
      </w:pPr>
    </w:p>
    <w:p w14:paraId="6AD5AA0F" w14:textId="2BD4320F" w:rsidR="00C41B42" w:rsidRPr="0042561E" w:rsidRDefault="00C41B42" w:rsidP="00C41B42">
      <w:pPr>
        <w:spacing w:after="0" w:line="360" w:lineRule="auto"/>
        <w:rPr>
          <w:rFonts w:eastAsia="Times New Roman" w:cs="Tahoma"/>
          <w:bCs/>
          <w:iCs/>
          <w:lang w:eastAsia="es-ES"/>
        </w:rPr>
      </w:pPr>
      <w:r w:rsidRPr="0042561E">
        <w:rPr>
          <w:rFonts w:eastAsia="Times New Roman" w:cs="Tahoma"/>
          <w:bCs/>
          <w:iCs/>
          <w:lang w:eastAsia="es-ES"/>
        </w:rPr>
        <w:t>En tal sentido, el Manual para la Planeación, Programación y Presupuesto de Egresos Municipal para el Ejercicio Fiscal, vigente, establece que para las administraciones municipales, el Presupuesto basado en Resultados (</w:t>
      </w:r>
      <w:proofErr w:type="spellStart"/>
      <w:r w:rsidRPr="0042561E">
        <w:rPr>
          <w:rFonts w:eastAsia="Times New Roman" w:cs="Tahoma"/>
          <w:bCs/>
          <w:iCs/>
          <w:lang w:eastAsia="es-ES"/>
        </w:rPr>
        <w:t>PbR</w:t>
      </w:r>
      <w:proofErr w:type="spellEnd"/>
      <w:r w:rsidRPr="0042561E">
        <w:rPr>
          <w:rFonts w:eastAsia="Times New Roman" w:cs="Tahoma"/>
          <w:bCs/>
          <w:iCs/>
          <w:lang w:eastAsia="es-ES"/>
        </w:rPr>
        <w:t>),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por lo que, apoya a la asignación objetiva de los recursos públicos para fortalecer las políticas, programas y proyectos para el desempeño gubernamental.</w:t>
      </w:r>
    </w:p>
    <w:p w14:paraId="21EA00AE" w14:textId="77777777" w:rsidR="00C41B42" w:rsidRPr="0042561E" w:rsidRDefault="00C41B42" w:rsidP="00C41B42">
      <w:pPr>
        <w:spacing w:after="0" w:line="360" w:lineRule="auto"/>
        <w:rPr>
          <w:rFonts w:eastAsia="Times New Roman" w:cs="Tahoma"/>
          <w:bCs/>
          <w:iCs/>
          <w:lang w:eastAsia="es-ES"/>
        </w:rPr>
      </w:pPr>
      <w:r w:rsidRPr="0042561E">
        <w:rPr>
          <w:rFonts w:eastAsia="Times New Roman" w:cs="Tahoma"/>
          <w:bCs/>
          <w:iCs/>
          <w:lang w:eastAsia="es-ES"/>
        </w:rPr>
        <w:t> </w:t>
      </w:r>
    </w:p>
    <w:p w14:paraId="2928D72C" w14:textId="77777777" w:rsidR="00C41B42" w:rsidRPr="0042561E" w:rsidRDefault="00C41B42" w:rsidP="00C41B42">
      <w:pPr>
        <w:spacing w:after="0" w:line="360" w:lineRule="auto"/>
        <w:rPr>
          <w:rFonts w:eastAsia="Times New Roman" w:cs="Tahoma"/>
          <w:bCs/>
          <w:iCs/>
          <w:lang w:eastAsia="es-ES"/>
        </w:rPr>
      </w:pPr>
      <w:r w:rsidRPr="0042561E">
        <w:rPr>
          <w:rFonts w:eastAsia="Times New Roman" w:cs="Tahoma"/>
          <w:bCs/>
          <w:iCs/>
          <w:lang w:eastAsia="es-ES"/>
        </w:rPr>
        <w:t xml:space="preserve">Dicho documento contempla que para asegurar la integración del anteproyecto-proyecto de presupuesto, en cumplimiento a lo que establece el artículo 134 de la Constitución Política de los Estados Unidos Mexicanos, se deberá trabajar haciendo uso del método de </w:t>
      </w:r>
      <w:proofErr w:type="spellStart"/>
      <w:r w:rsidRPr="0042561E">
        <w:rPr>
          <w:rFonts w:eastAsia="Times New Roman" w:cs="Tahoma"/>
          <w:bCs/>
          <w:iCs/>
          <w:lang w:eastAsia="es-ES"/>
        </w:rPr>
        <w:t>PbR</w:t>
      </w:r>
      <w:proofErr w:type="spellEnd"/>
      <w:r w:rsidRPr="0042561E">
        <w:rPr>
          <w:rFonts w:eastAsia="Times New Roman" w:cs="Tahoma"/>
          <w:bCs/>
          <w:iCs/>
          <w:lang w:eastAsia="es-ES"/>
        </w:rPr>
        <w:t>, que identifique los logros o resultados del actuar de la administración municipal, mismo que está dado por su concepción en la aplicación de los recursos en los logros previstos.</w:t>
      </w:r>
    </w:p>
    <w:p w14:paraId="1ED38329" w14:textId="77777777" w:rsidR="00C41B42" w:rsidRPr="0042561E" w:rsidRDefault="00C41B42" w:rsidP="00C41B42">
      <w:pPr>
        <w:spacing w:after="0" w:line="360" w:lineRule="auto"/>
        <w:rPr>
          <w:rFonts w:eastAsia="Times New Roman" w:cs="Tahoma"/>
          <w:bCs/>
          <w:iCs/>
          <w:lang w:eastAsia="es-ES"/>
        </w:rPr>
      </w:pPr>
    </w:p>
    <w:p w14:paraId="02C86992" w14:textId="746BC750" w:rsidR="00C41B42" w:rsidRPr="0042561E" w:rsidRDefault="00C41B42" w:rsidP="00C41B42">
      <w:pPr>
        <w:spacing w:after="0" w:line="360" w:lineRule="auto"/>
        <w:rPr>
          <w:rFonts w:eastAsia="Times New Roman" w:cs="Tahoma"/>
          <w:bCs/>
          <w:iCs/>
          <w:lang w:eastAsia="es-ES"/>
        </w:rPr>
      </w:pPr>
      <w:r w:rsidRPr="0042561E">
        <w:rPr>
          <w:rFonts w:eastAsia="Times New Roman" w:cs="Tahoma"/>
          <w:bCs/>
          <w:iCs/>
          <w:lang w:eastAsia="es-ES"/>
        </w:rPr>
        <w:lastRenderedPageBreak/>
        <w:t>En ese orden de ideas, el Manual para la Planeación, Programación y Presupuesto de Egresos Municipal</w:t>
      </w:r>
      <w:r w:rsidR="00520BFC" w:rsidRPr="0042561E">
        <w:rPr>
          <w:rFonts w:eastAsia="Times New Roman" w:cs="Tahoma"/>
          <w:bCs/>
          <w:iCs/>
          <w:lang w:eastAsia="es-ES"/>
        </w:rPr>
        <w:t>, vigente</w:t>
      </w:r>
      <w:r w:rsidRPr="0042561E">
        <w:rPr>
          <w:rFonts w:eastAsia="Times New Roman" w:cs="Tahoma"/>
          <w:bCs/>
          <w:iCs/>
          <w:lang w:eastAsia="es-ES"/>
        </w:rPr>
        <w:t>, establece en su apartado 3.2.1. Lineamientos para la integración del Programa Anual, precisan que el </w:t>
      </w:r>
      <w:r w:rsidRPr="0042561E">
        <w:rPr>
          <w:rFonts w:eastAsia="Times New Roman" w:cs="Tahoma"/>
          <w:b/>
          <w:bCs/>
          <w:iCs/>
          <w:lang w:eastAsia="es-ES"/>
        </w:rPr>
        <w:t>Programa Operativo Anual,</w:t>
      </w:r>
      <w:r w:rsidRPr="0042561E">
        <w:rPr>
          <w:rFonts w:eastAsia="Times New Roman" w:cs="Tahoma"/>
          <w:bCs/>
          <w:iCs/>
          <w:lang w:eastAsia="es-ES"/>
        </w:rPr>
        <w:t> constituye un componente del Presupuesto basado en Resultados, en el cual, </w:t>
      </w:r>
      <w:r w:rsidRPr="0042561E">
        <w:rPr>
          <w:rFonts w:eastAsia="Times New Roman" w:cs="Tahoma"/>
          <w:b/>
          <w:bCs/>
          <w:iCs/>
          <w:lang w:eastAsia="es-ES"/>
        </w:rPr>
        <w:t>se plasman los objetivos, estrategias, metas de actividad, indicadores y proyectos, </w:t>
      </w:r>
      <w:r w:rsidRPr="0042561E">
        <w:rPr>
          <w:rFonts w:eastAsia="Times New Roman" w:cs="Tahoma"/>
          <w:bCs/>
          <w:iCs/>
          <w:lang w:eastAsia="es-ES"/>
        </w:rPr>
        <w:t>de acuerdo a las prioridades del Plan de Desarrollo Municipal y demandas ciudadanas, para ser traducidas en resultados concretos a </w:t>
      </w:r>
      <w:r w:rsidRPr="0042561E">
        <w:rPr>
          <w:rFonts w:eastAsia="Times New Roman" w:cs="Tahoma"/>
          <w:b/>
          <w:bCs/>
          <w:iCs/>
          <w:lang w:eastAsia="es-ES"/>
        </w:rPr>
        <w:t>visualizarse en el período presupuestal determinado, </w:t>
      </w:r>
      <w:r w:rsidRPr="0042561E">
        <w:rPr>
          <w:rFonts w:eastAsia="Times New Roman" w:cs="Tahoma"/>
          <w:bCs/>
          <w:iCs/>
          <w:lang w:eastAsia="es-ES"/>
        </w:rPr>
        <w:t>lo cual permite conocer con certeza lo que se va hacer con el presupuesto, que se busca lograr, así como, en que tiempo y la forma en que se realizará.</w:t>
      </w:r>
      <w:r w:rsidR="00520BFC" w:rsidRPr="0042561E">
        <w:rPr>
          <w:rFonts w:eastAsia="Times New Roman" w:cs="Tahoma"/>
          <w:bCs/>
          <w:iCs/>
          <w:lang w:eastAsia="es-ES"/>
        </w:rPr>
        <w:t xml:space="preserve"> </w:t>
      </w:r>
      <w:r w:rsidRPr="0042561E">
        <w:rPr>
          <w:rFonts w:eastAsia="Times New Roman" w:cs="Tahoma"/>
          <w:bCs/>
          <w:iCs/>
          <w:lang w:eastAsia="es-ES"/>
        </w:rPr>
        <w:t>Además, establece que el Presupuesto es la estimación financiera anticipada de los ingresos y egresos del gobierno, necesarios para cumplir con los objetivos establecidos. </w:t>
      </w:r>
      <w:r w:rsidRPr="0042561E">
        <w:rPr>
          <w:rFonts w:eastAsia="Times New Roman" w:cs="Tahoma"/>
          <w:bCs/>
          <w:iCs/>
          <w:lang w:val="es-ES" w:eastAsia="es-ES"/>
        </w:rPr>
        <w:t>Además, </w:t>
      </w:r>
      <w:r w:rsidRPr="0042561E">
        <w:rPr>
          <w:rFonts w:eastAsia="Times New Roman" w:cs="Tahoma"/>
          <w:bCs/>
          <w:iCs/>
          <w:lang w:eastAsia="es-ES"/>
        </w:rPr>
        <w:t xml:space="preserve">de dicho Manual establece que </w:t>
      </w:r>
      <w:r w:rsidR="00520BFC" w:rsidRPr="0042561E">
        <w:rPr>
          <w:rFonts w:eastAsia="Times New Roman" w:cs="Tahoma"/>
          <w:bCs/>
          <w:iCs/>
          <w:lang w:eastAsia="es-ES"/>
        </w:rPr>
        <w:t xml:space="preserve">el </w:t>
      </w:r>
      <w:r w:rsidRPr="0042561E">
        <w:rPr>
          <w:rFonts w:eastAsia="Times New Roman" w:cs="Tahoma"/>
          <w:bCs/>
          <w:iCs/>
          <w:lang w:eastAsia="es-ES"/>
        </w:rPr>
        <w:t xml:space="preserve">Presupuesto de Egresos, contendrá los egresos e ingresos, conformados, entre otros, </w:t>
      </w:r>
      <w:r w:rsidR="0013775A" w:rsidRPr="0042561E">
        <w:rPr>
          <w:rFonts w:eastAsia="Times New Roman" w:cs="Tahoma"/>
          <w:bCs/>
          <w:iCs/>
          <w:lang w:eastAsia="es-ES"/>
        </w:rPr>
        <w:t>el siguiente</w:t>
      </w:r>
      <w:r w:rsidRPr="0042561E">
        <w:rPr>
          <w:rFonts w:eastAsia="Times New Roman" w:cs="Tahoma"/>
          <w:bCs/>
          <w:iCs/>
          <w:lang w:eastAsia="es-ES"/>
        </w:rPr>
        <w:t>:</w:t>
      </w:r>
    </w:p>
    <w:p w14:paraId="59117BEE" w14:textId="281A3680" w:rsidR="00C41B42" w:rsidRPr="0042561E" w:rsidRDefault="00C41B42" w:rsidP="00C41B42">
      <w:pPr>
        <w:spacing w:after="0" w:line="360" w:lineRule="auto"/>
        <w:rPr>
          <w:rFonts w:eastAsia="Times New Roman" w:cs="Tahoma"/>
          <w:bCs/>
          <w:iCs/>
          <w:lang w:eastAsia="es-ES"/>
        </w:rPr>
      </w:pPr>
      <w:r w:rsidRPr="0042561E">
        <w:rPr>
          <w:rFonts w:eastAsia="Times New Roman" w:cs="Tahoma"/>
          <w:bCs/>
          <w:iCs/>
          <w:lang w:val="es-ES" w:eastAsia="es-ES"/>
        </w:rPr>
        <w:t>  </w:t>
      </w:r>
    </w:p>
    <w:p w14:paraId="517DBCDF" w14:textId="77777777" w:rsidR="00BD2919" w:rsidRPr="0042561E" w:rsidRDefault="00C41B42" w:rsidP="00C41B42">
      <w:pPr>
        <w:pStyle w:val="Prrafodelista"/>
        <w:numPr>
          <w:ilvl w:val="0"/>
          <w:numId w:val="32"/>
        </w:numPr>
        <w:spacing w:after="0" w:line="360" w:lineRule="auto"/>
        <w:rPr>
          <w:rFonts w:eastAsia="Times New Roman" w:cs="Tahoma"/>
          <w:bCs/>
          <w:iCs/>
          <w:lang w:eastAsia="es-ES"/>
        </w:rPr>
      </w:pPr>
      <w:r w:rsidRPr="0042561E">
        <w:rPr>
          <w:rFonts w:eastAsia="Times New Roman" w:cs="Tahoma"/>
          <w:b/>
          <w:bCs/>
          <w:iCs/>
          <w:lang w:eastAsia="es-ES"/>
        </w:rPr>
        <w:t>PbRM-04a Presupuesto de Egresos Detallado: </w:t>
      </w:r>
      <w:r w:rsidRPr="0042561E">
        <w:rPr>
          <w:rFonts w:eastAsia="Times New Roman" w:cs="Tahoma"/>
          <w:bCs/>
          <w:iCs/>
          <w:lang w:eastAsia="es-ES"/>
        </w:rPr>
        <w:t>Que registra los proyectos por partida de gasto, identificando los montos por Partida Específica, Partida Genérica, Concepto y Capítulo del Gasto, de cada proyecto a nivel de Dependencia General y Auxiliar.</w:t>
      </w:r>
    </w:p>
    <w:p w14:paraId="45D98BB4" w14:textId="77777777" w:rsidR="0013775A" w:rsidRPr="0042561E" w:rsidRDefault="0013775A" w:rsidP="00875826">
      <w:pPr>
        <w:spacing w:after="0" w:line="360" w:lineRule="auto"/>
        <w:rPr>
          <w:rFonts w:eastAsia="Times New Roman" w:cs="Tahoma"/>
          <w:bCs/>
          <w:iCs/>
          <w:lang w:eastAsia="es-ES"/>
        </w:rPr>
      </w:pPr>
    </w:p>
    <w:p w14:paraId="097F50AB" w14:textId="30B5B47A" w:rsidR="00C41B42" w:rsidRPr="0042561E" w:rsidRDefault="00C41B42" w:rsidP="00875826">
      <w:pPr>
        <w:spacing w:after="0" w:line="360" w:lineRule="auto"/>
        <w:rPr>
          <w:rFonts w:eastAsia="Times New Roman" w:cs="Tahoma"/>
          <w:iCs/>
          <w:lang w:eastAsia="es-ES"/>
        </w:rPr>
      </w:pPr>
      <w:r w:rsidRPr="0042561E">
        <w:rPr>
          <w:rFonts w:eastAsia="Times New Roman" w:cs="Tahoma"/>
          <w:bCs/>
          <w:iCs/>
          <w:lang w:eastAsia="es-ES"/>
        </w:rPr>
        <w:t xml:space="preserve">Conforme a lo anterior, se logra vislumbrar </w:t>
      </w:r>
      <w:r w:rsidR="0013775A" w:rsidRPr="0042561E">
        <w:rPr>
          <w:rFonts w:eastAsia="Times New Roman" w:cs="Tahoma"/>
          <w:bCs/>
          <w:iCs/>
          <w:lang w:eastAsia="es-ES"/>
        </w:rPr>
        <w:t>que el documento que da cuenta de lo peticionado es el</w:t>
      </w:r>
      <w:r w:rsidRPr="0042561E">
        <w:rPr>
          <w:rFonts w:eastAsia="Times New Roman" w:cs="Tahoma"/>
          <w:bCs/>
          <w:iCs/>
          <w:lang w:eastAsia="es-ES"/>
        </w:rPr>
        <w:t> </w:t>
      </w:r>
      <w:r w:rsidR="00BD2919" w:rsidRPr="0042561E">
        <w:rPr>
          <w:rFonts w:eastAsia="Times New Roman" w:cs="Tahoma"/>
          <w:iCs/>
          <w:lang w:eastAsia="es-ES"/>
        </w:rPr>
        <w:t xml:space="preserve">PbRM-04a Presupuesto de Egresos Detallado, </w:t>
      </w:r>
      <w:r w:rsidR="0013775A" w:rsidRPr="0042561E">
        <w:rPr>
          <w:rFonts w:eastAsia="Times New Roman" w:cs="Tahoma"/>
          <w:iCs/>
          <w:lang w:eastAsia="es-ES"/>
        </w:rPr>
        <w:t xml:space="preserve">al contener el nivel de desglose solicitado, es decir, </w:t>
      </w:r>
      <w:r w:rsidR="00BD2919" w:rsidRPr="0042561E">
        <w:rPr>
          <w:rFonts w:eastAsia="Times New Roman" w:cs="Tahoma"/>
          <w:iCs/>
          <w:lang w:eastAsia="es-ES"/>
        </w:rPr>
        <w:t xml:space="preserve">por capítulos, conceptos y partidas genéricas y específicas, del ejercicio fiscal dos mil veintidós, dos mil veintitrés y dos mil veinticuatro. </w:t>
      </w:r>
    </w:p>
    <w:p w14:paraId="1A6BBFA9" w14:textId="77777777" w:rsidR="0013775A" w:rsidRPr="0042561E" w:rsidRDefault="0013775A" w:rsidP="00875826">
      <w:pPr>
        <w:spacing w:after="0" w:line="360" w:lineRule="auto"/>
        <w:rPr>
          <w:rFonts w:eastAsia="Times New Roman" w:cs="Tahoma"/>
          <w:bCs/>
          <w:iCs/>
          <w:lang w:eastAsia="es-ES"/>
        </w:rPr>
      </w:pPr>
    </w:p>
    <w:p w14:paraId="66A9AB50" w14:textId="56A12A68" w:rsidR="0037035C" w:rsidRPr="0042561E" w:rsidRDefault="0037035C" w:rsidP="003F1E21">
      <w:pPr>
        <w:spacing w:after="0" w:line="360" w:lineRule="auto"/>
        <w:rPr>
          <w:rFonts w:cs="Tahoma"/>
          <w:bCs/>
          <w:color w:val="0D0D0D"/>
        </w:rPr>
      </w:pPr>
      <w:bookmarkStart w:id="5" w:name="_Hlk144889465"/>
      <w:r w:rsidRPr="0042561E">
        <w:rPr>
          <w:rFonts w:eastAsia="Calibri" w:cs="Tahoma"/>
          <w:color w:val="000000"/>
        </w:rPr>
        <w:t>Ahora bien, de las constancias que obran en el expediente electrónico, se advierte que el Sujeto Obligado</w:t>
      </w:r>
      <w:r w:rsidRPr="0042561E">
        <w:rPr>
          <w:rFonts w:cs="Tahoma"/>
          <w:bCs/>
          <w:color w:val="0D0D0D"/>
        </w:rPr>
        <w:t xml:space="preserve">, </w:t>
      </w:r>
      <w:r w:rsidR="00C97E97" w:rsidRPr="0042561E">
        <w:rPr>
          <w:rFonts w:cs="Tahoma"/>
          <w:bCs/>
          <w:color w:val="0D0D0D"/>
        </w:rPr>
        <w:t>a través de la Titular de la Unidad de Transparencia, emitió respuesta</w:t>
      </w:r>
      <w:r w:rsidRPr="0042561E">
        <w:rPr>
          <w:rFonts w:eastAsia="Calibri" w:cs="Arial"/>
          <w:bCs/>
          <w:color w:val="000000"/>
          <w:lang w:val="es-ES"/>
        </w:rPr>
        <w:t xml:space="preserve">; </w:t>
      </w:r>
      <w:r w:rsidRPr="0042561E">
        <w:rPr>
          <w:bCs/>
          <w:lang w:val="es-ES"/>
        </w:rPr>
        <w:t xml:space="preserve">por lo que, es oportuno </w:t>
      </w:r>
      <w:r w:rsidRPr="0042561E">
        <w:rPr>
          <w:bCs/>
        </w:rPr>
        <w:t xml:space="preserve">hacer referencia al </w:t>
      </w:r>
      <w:r w:rsidRPr="0042561E">
        <w:rPr>
          <w:b/>
          <w:bCs/>
        </w:rPr>
        <w:t>procedimiento de búsqueda que deben de seguir los Sujetos Obligados para localizar la información</w:t>
      </w:r>
      <w:r w:rsidRPr="0042561E">
        <w:rPr>
          <w:bCs/>
        </w:rPr>
        <w:t xml:space="preserve">, el cual se encuentra previsto en </w:t>
      </w:r>
      <w:r w:rsidR="003F1E21" w:rsidRPr="0042561E">
        <w:rPr>
          <w:bCs/>
        </w:rPr>
        <w:t>el artículo</w:t>
      </w:r>
      <w:r w:rsidRPr="0042561E">
        <w:rPr>
          <w:bCs/>
        </w:rPr>
        <w:t xml:space="preserve"> 162 de la Ley de Transparencia y Acceso a la Información Pública del Estado de México y </w:t>
      </w:r>
      <w:r w:rsidRPr="0042561E">
        <w:rPr>
          <w:bCs/>
        </w:rPr>
        <w:lastRenderedPageBreak/>
        <w:t xml:space="preserve">Municipios, </w:t>
      </w:r>
      <w:r w:rsidR="003F1E21" w:rsidRPr="0042561E">
        <w:rPr>
          <w:bCs/>
        </w:rPr>
        <w:t>el cual establece que las</w:t>
      </w:r>
      <w:r w:rsidRPr="0042561E">
        <w:rPr>
          <w:bCs/>
          <w:lang w:val="es-ES"/>
        </w:rPr>
        <w:t xml:space="preserve"> Unidades de Transparencia garantizarán que las solicitudes de acceso a la información se turnen a todas las áreas competentes que cuenten con la información o deban tenerla -</w:t>
      </w:r>
      <w:r w:rsidR="0069765E" w:rsidRPr="0042561E">
        <w:rPr>
          <w:bCs/>
          <w:lang w:val="es-ES"/>
        </w:rPr>
        <w:t>de acuerdo con</w:t>
      </w:r>
      <w:r w:rsidRPr="0042561E">
        <w:rPr>
          <w:bCs/>
          <w:lang w:val="es-ES"/>
        </w:rPr>
        <w:t xml:space="preserve"> las facultades, competencias y funciones-, con el objeto de que dichas áreas realicen una búsqueda exhaustiva y razonable de la información requerida</w:t>
      </w:r>
      <w:r w:rsidR="003F1E21" w:rsidRPr="0042561E">
        <w:rPr>
          <w:bCs/>
          <w:lang w:val="es-ES"/>
        </w:rPr>
        <w:t>.</w:t>
      </w:r>
    </w:p>
    <w:p w14:paraId="05987A41" w14:textId="77777777" w:rsidR="00C97E97" w:rsidRPr="0042561E" w:rsidRDefault="00C97E97" w:rsidP="00C97E97">
      <w:pPr>
        <w:spacing w:after="0" w:line="360" w:lineRule="auto"/>
        <w:rPr>
          <w:bCs/>
          <w:lang w:val="es-ES"/>
        </w:rPr>
      </w:pPr>
    </w:p>
    <w:p w14:paraId="4B44C51C" w14:textId="3A1FE57E" w:rsidR="00C97E97" w:rsidRPr="0042561E" w:rsidRDefault="00C97E97" w:rsidP="00C97E97">
      <w:pPr>
        <w:spacing w:after="0" w:line="360" w:lineRule="auto"/>
        <w:rPr>
          <w:bCs/>
        </w:rPr>
      </w:pPr>
      <w:r w:rsidRPr="0042561E">
        <w:rPr>
          <w:bCs/>
          <w:lang w:val="es-ES"/>
        </w:rPr>
        <w:t xml:space="preserve">De lo anterior, cabe traer a colación los artículos 42 y 50 del Bando Municipal de Nextlalpan, dos mil veinticuatro, donde establece que, </w:t>
      </w:r>
      <w:r w:rsidRPr="0042561E">
        <w:rPr>
          <w:bCs/>
        </w:rPr>
        <w:t>para el ejercicio de sus atribuciones y responsabilidades ejecutivas, el Ayuntamiento se auxiliará de una Tesorería Municipal que es el órgano recaudador y fiscalizador, responsable de administrar las finanzas y la Hacienda Pública Municipal, recaudar los ingresos y realizar las erogaciones que efectúe la Administración Pública Municipal.</w:t>
      </w:r>
    </w:p>
    <w:p w14:paraId="27F7B0C3" w14:textId="77777777" w:rsidR="00C97E97" w:rsidRPr="0042561E" w:rsidRDefault="00C97E97" w:rsidP="00C97E97">
      <w:pPr>
        <w:spacing w:after="0" w:line="360" w:lineRule="auto"/>
        <w:rPr>
          <w:bCs/>
          <w:lang w:val="es-ES"/>
        </w:rPr>
      </w:pPr>
    </w:p>
    <w:p w14:paraId="3B1F5099" w14:textId="5BBFEE54" w:rsidR="0037035C" w:rsidRPr="0042561E" w:rsidRDefault="0037035C" w:rsidP="00A45DC5">
      <w:pPr>
        <w:spacing w:after="0" w:line="360" w:lineRule="auto"/>
        <w:rPr>
          <w:rFonts w:eastAsia="Calibri" w:cs="Tahoma"/>
          <w:color w:val="000000"/>
          <w:szCs w:val="24"/>
          <w:lang w:val="es-ES" w:eastAsia="es-MX"/>
        </w:rPr>
      </w:pPr>
      <w:r w:rsidRPr="0042561E">
        <w:rPr>
          <w:rFonts w:eastAsia="Times New Roman" w:cs="Tahoma"/>
          <w:bCs/>
          <w:iCs/>
          <w:color w:val="auto"/>
          <w:lang w:eastAsia="es-ES"/>
        </w:rPr>
        <w:t xml:space="preserve">Así, </w:t>
      </w:r>
      <w:r w:rsidRPr="0042561E">
        <w:rPr>
          <w:rFonts w:cs="Tahoma"/>
          <w:bCs/>
          <w:iCs/>
        </w:rPr>
        <w:t xml:space="preserve">se logra colegir que el Sujeto Obligado </w:t>
      </w:r>
      <w:r w:rsidR="00C97E97" w:rsidRPr="0042561E">
        <w:rPr>
          <w:rFonts w:cs="Tahoma"/>
          <w:bCs/>
          <w:iCs/>
        </w:rPr>
        <w:t xml:space="preserve">no </w:t>
      </w:r>
      <w:r w:rsidRPr="0042561E">
        <w:rPr>
          <w:rFonts w:cs="Tahoma"/>
          <w:bCs/>
          <w:iCs/>
        </w:rPr>
        <w:t>cumplió</w:t>
      </w:r>
      <w:r w:rsidR="00F2230B" w:rsidRPr="0042561E">
        <w:rPr>
          <w:rFonts w:cs="Tahoma"/>
          <w:bCs/>
          <w:iCs/>
        </w:rPr>
        <w:t xml:space="preserve"> </w:t>
      </w:r>
      <w:r w:rsidRPr="0042561E">
        <w:rPr>
          <w:rFonts w:cs="Tahoma"/>
          <w:bCs/>
          <w:iCs/>
        </w:rPr>
        <w:t xml:space="preserve">con el procedimiento de búsqueda </w:t>
      </w:r>
      <w:r w:rsidRPr="0042561E">
        <w:rPr>
          <w:rFonts w:eastAsia="Calibri" w:cs="Tahoma"/>
          <w:color w:val="000000"/>
          <w:szCs w:val="24"/>
          <w:lang w:val="es-ES" w:eastAsia="es-MX"/>
        </w:rPr>
        <w:t xml:space="preserve">establecido en el artículo 162 de la Ley de Transparencia y Acceso a la Información Pública del Estado de México y Municipios, toda vez, que </w:t>
      </w:r>
      <w:r w:rsidR="00C97E97" w:rsidRPr="0042561E">
        <w:rPr>
          <w:rFonts w:eastAsia="Calibri" w:cs="Tahoma"/>
          <w:color w:val="000000"/>
          <w:szCs w:val="24"/>
          <w:lang w:val="es-ES" w:eastAsia="es-MX"/>
        </w:rPr>
        <w:t xml:space="preserve">no </w:t>
      </w:r>
      <w:r w:rsidRPr="0042561E">
        <w:rPr>
          <w:rFonts w:eastAsia="Calibri" w:cs="Tahoma"/>
          <w:color w:val="000000"/>
          <w:szCs w:val="24"/>
          <w:lang w:val="es-ES" w:eastAsia="es-MX"/>
        </w:rPr>
        <w:t>gestionó el requerimiento de información a</w:t>
      </w:r>
      <w:r w:rsidR="00C97E97" w:rsidRPr="0042561E">
        <w:rPr>
          <w:rFonts w:eastAsia="Calibri" w:cs="Tahoma"/>
          <w:color w:val="000000"/>
          <w:szCs w:val="24"/>
          <w:lang w:val="es-ES" w:eastAsia="es-MX"/>
        </w:rPr>
        <w:t>l área competente</w:t>
      </w:r>
      <w:r w:rsidR="00F2230B" w:rsidRPr="0042561E">
        <w:rPr>
          <w:rFonts w:eastAsia="Calibri" w:cs="Tahoma"/>
          <w:color w:val="000000"/>
          <w:szCs w:val="24"/>
          <w:lang w:val="es-ES" w:eastAsia="es-MX"/>
        </w:rPr>
        <w:t xml:space="preserve"> </w:t>
      </w:r>
      <w:r w:rsidR="00C1500F" w:rsidRPr="0042561E">
        <w:rPr>
          <w:rFonts w:eastAsia="Calibri" w:cs="Tahoma"/>
          <w:color w:val="000000"/>
          <w:szCs w:val="24"/>
          <w:lang w:val="es-ES" w:eastAsia="es-MX"/>
        </w:rPr>
        <w:t>de conocer la información, a saber, la Tesorería Municipal</w:t>
      </w:r>
      <w:r w:rsidR="00C97E97" w:rsidRPr="0042561E">
        <w:rPr>
          <w:rFonts w:eastAsia="Calibri" w:cs="Tahoma"/>
          <w:color w:val="000000"/>
          <w:szCs w:val="24"/>
          <w:lang w:val="es-ES" w:eastAsia="es-MX"/>
        </w:rPr>
        <w:t>.</w:t>
      </w:r>
    </w:p>
    <w:p w14:paraId="4B88EC57" w14:textId="77777777" w:rsidR="00CA4534" w:rsidRPr="0042561E" w:rsidRDefault="00CA4534" w:rsidP="00A45DC5">
      <w:pPr>
        <w:spacing w:after="0" w:line="360" w:lineRule="auto"/>
        <w:rPr>
          <w:rFonts w:eastAsia="Calibri" w:cs="Tahoma"/>
          <w:b/>
          <w:bCs/>
          <w:color w:val="000000"/>
          <w:szCs w:val="24"/>
          <w:lang w:val="es-ES" w:eastAsia="es-MX"/>
        </w:rPr>
      </w:pPr>
    </w:p>
    <w:p w14:paraId="748E8071" w14:textId="7CAB1767" w:rsidR="00B40743" w:rsidRPr="0042561E" w:rsidRDefault="006C7941" w:rsidP="00A45DC5">
      <w:pPr>
        <w:spacing w:after="0" w:line="360" w:lineRule="auto"/>
        <w:rPr>
          <w:color w:val="000000"/>
        </w:rPr>
      </w:pPr>
      <w:r w:rsidRPr="0042561E">
        <w:rPr>
          <w:color w:val="000000"/>
        </w:rPr>
        <w:t xml:space="preserve">Ahora bien, en respuesta, </w:t>
      </w:r>
      <w:r w:rsidR="00B40743" w:rsidRPr="0042561E">
        <w:rPr>
          <w:color w:val="000000"/>
        </w:rPr>
        <w:t>la Titular de la Unidad de Transparencia mencionó que la información solicitada se encuentra disponible al público en medios electrónicos y adjuntó</w:t>
      </w:r>
      <w:r w:rsidR="006D1322" w:rsidRPr="0042561E">
        <w:rPr>
          <w:color w:val="000000"/>
        </w:rPr>
        <w:t xml:space="preserve"> tres</w:t>
      </w:r>
      <w:r w:rsidR="00B40743" w:rsidRPr="0042561E">
        <w:rPr>
          <w:color w:val="000000"/>
        </w:rPr>
        <w:t xml:space="preserve"> liga</w:t>
      </w:r>
      <w:r w:rsidR="006D1322" w:rsidRPr="0042561E">
        <w:rPr>
          <w:color w:val="000000"/>
        </w:rPr>
        <w:t>s</w:t>
      </w:r>
      <w:r w:rsidR="00B40743" w:rsidRPr="0042561E">
        <w:rPr>
          <w:color w:val="000000"/>
        </w:rPr>
        <w:t xml:space="preserve"> electrónica</w:t>
      </w:r>
      <w:r w:rsidR="006D1322" w:rsidRPr="0042561E">
        <w:rPr>
          <w:color w:val="000000"/>
        </w:rPr>
        <w:t>s</w:t>
      </w:r>
      <w:r w:rsidR="00B40743" w:rsidRPr="0042561E">
        <w:rPr>
          <w:color w:val="000000"/>
        </w:rPr>
        <w:t xml:space="preserve"> </w:t>
      </w:r>
      <w:hyperlink r:id="rId12" w:history="1">
        <w:r w:rsidR="00B40743" w:rsidRPr="0042561E">
          <w:rPr>
            <w:rStyle w:val="Hipervnculo"/>
          </w:rPr>
          <w:t>https://legislacion.edomex.gob.mx/sites/legislacion.edomex.gob.mx/files/files/pdf/gct/2022/febrero/feb251/feb251h.pdf</w:t>
        </w:r>
      </w:hyperlink>
      <w:r w:rsidR="00B40743" w:rsidRPr="0042561E">
        <w:rPr>
          <w:color w:val="000000"/>
        </w:rPr>
        <w:t>,</w:t>
      </w:r>
      <w:r w:rsidR="006D1322" w:rsidRPr="0042561E">
        <w:rPr>
          <w:color w:val="000000"/>
        </w:rPr>
        <w:t xml:space="preserve"> </w:t>
      </w:r>
      <w:hyperlink r:id="rId13" w:history="1">
        <w:r w:rsidR="006D1322" w:rsidRPr="0042561E">
          <w:rPr>
            <w:rStyle w:val="Hipervnculo"/>
          </w:rPr>
          <w:t>https://legislacion.edomex.gob.mx/sites/legislacion.edomex.gob.mx/files/files/pdf/gct/2023/febrero/feb221/feb221f.pdf</w:t>
        </w:r>
      </w:hyperlink>
      <w:r w:rsidR="006D1322" w:rsidRPr="0042561E">
        <w:rPr>
          <w:color w:val="000000"/>
        </w:rPr>
        <w:t xml:space="preserve"> y </w:t>
      </w:r>
      <w:hyperlink r:id="rId14" w:history="1">
        <w:r w:rsidR="006D1322" w:rsidRPr="0042561E">
          <w:rPr>
            <w:rStyle w:val="Hipervnculo"/>
          </w:rPr>
          <w:t>https://legislacion.edomex.gob.mx/sites/legislacion.edomex.gpb.mx/files/files/pdf/gct/2024/febrero/feb231/feb231f.pdf</w:t>
        </w:r>
      </w:hyperlink>
      <w:r w:rsidR="006D1322" w:rsidRPr="0042561E">
        <w:rPr>
          <w:color w:val="000000"/>
        </w:rPr>
        <w:t>,</w:t>
      </w:r>
      <w:r w:rsidR="00B40743" w:rsidRPr="0042561E">
        <w:rPr>
          <w:color w:val="000000"/>
        </w:rPr>
        <w:t xml:space="preserve"> la</w:t>
      </w:r>
      <w:r w:rsidR="006D1322" w:rsidRPr="0042561E">
        <w:rPr>
          <w:color w:val="000000"/>
        </w:rPr>
        <w:t>s</w:t>
      </w:r>
      <w:r w:rsidR="00B40743" w:rsidRPr="0042561E">
        <w:rPr>
          <w:color w:val="000000"/>
        </w:rPr>
        <w:t xml:space="preserve"> cual</w:t>
      </w:r>
      <w:r w:rsidR="006D1322" w:rsidRPr="0042561E">
        <w:rPr>
          <w:color w:val="000000"/>
        </w:rPr>
        <w:t>es</w:t>
      </w:r>
      <w:r w:rsidR="00B40743" w:rsidRPr="0042561E">
        <w:rPr>
          <w:color w:val="000000"/>
        </w:rPr>
        <w:t xml:space="preserve"> lleva</w:t>
      </w:r>
      <w:r w:rsidR="006D1322" w:rsidRPr="0042561E">
        <w:rPr>
          <w:color w:val="000000"/>
        </w:rPr>
        <w:t>n</w:t>
      </w:r>
      <w:r w:rsidR="00B40743" w:rsidRPr="0042561E">
        <w:rPr>
          <w:color w:val="000000"/>
        </w:rPr>
        <w:t xml:space="preserve"> a lo siguiente:</w:t>
      </w:r>
    </w:p>
    <w:p w14:paraId="4DD6A504" w14:textId="77777777" w:rsidR="00B40743" w:rsidRPr="0042561E" w:rsidRDefault="00B40743" w:rsidP="00A45DC5">
      <w:pPr>
        <w:spacing w:after="0" w:line="360" w:lineRule="auto"/>
        <w:rPr>
          <w:color w:val="000000"/>
        </w:rPr>
      </w:pPr>
    </w:p>
    <w:p w14:paraId="1F53F830" w14:textId="04B1C9E6" w:rsidR="00B40743" w:rsidRPr="0042561E" w:rsidRDefault="00B40743" w:rsidP="0013775A">
      <w:pPr>
        <w:spacing w:after="0" w:line="360" w:lineRule="auto"/>
        <w:jc w:val="center"/>
        <w:rPr>
          <w:color w:val="000000"/>
        </w:rPr>
      </w:pPr>
      <w:r w:rsidRPr="0042561E">
        <w:rPr>
          <w:noProof/>
          <w:color w:val="000000"/>
          <w:lang w:eastAsia="es-MX"/>
          <w14:ligatures w14:val="standardContextual"/>
        </w:rPr>
        <w:drawing>
          <wp:inline distT="0" distB="0" distL="0" distR="0" wp14:anchorId="339B30A2" wp14:editId="16045E05">
            <wp:extent cx="4867275" cy="1634960"/>
            <wp:effectExtent l="0" t="0" r="0" b="3810"/>
            <wp:docPr id="1037705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05024" name="Imagen 1037705024"/>
                    <pic:cNvPicPr/>
                  </pic:nvPicPr>
                  <pic:blipFill>
                    <a:blip r:embed="rId15">
                      <a:extLst>
                        <a:ext uri="{28A0092B-C50C-407E-A947-70E740481C1C}">
                          <a14:useLocalDpi xmlns:a14="http://schemas.microsoft.com/office/drawing/2010/main" val="0"/>
                        </a:ext>
                      </a:extLst>
                    </a:blip>
                    <a:stretch>
                      <a:fillRect/>
                    </a:stretch>
                  </pic:blipFill>
                  <pic:spPr>
                    <a:xfrm>
                      <a:off x="0" y="0"/>
                      <a:ext cx="4880360" cy="1639355"/>
                    </a:xfrm>
                    <a:prstGeom prst="rect">
                      <a:avLst/>
                    </a:prstGeom>
                  </pic:spPr>
                </pic:pic>
              </a:graphicData>
            </a:graphic>
          </wp:inline>
        </w:drawing>
      </w:r>
    </w:p>
    <w:p w14:paraId="1B0FED9D" w14:textId="77777777" w:rsidR="00B40743" w:rsidRPr="0042561E" w:rsidRDefault="00B40743" w:rsidP="00A45DC5">
      <w:pPr>
        <w:spacing w:after="0" w:line="360" w:lineRule="auto"/>
        <w:rPr>
          <w:color w:val="000000"/>
        </w:rPr>
      </w:pPr>
    </w:p>
    <w:p w14:paraId="2C3A3BF2" w14:textId="05DEC322" w:rsidR="00B40743" w:rsidRPr="0042561E" w:rsidRDefault="006D1322" w:rsidP="0013775A">
      <w:pPr>
        <w:spacing w:after="0" w:line="360" w:lineRule="auto"/>
        <w:jc w:val="center"/>
        <w:rPr>
          <w:color w:val="000000"/>
        </w:rPr>
      </w:pPr>
      <w:r w:rsidRPr="0042561E">
        <w:rPr>
          <w:noProof/>
          <w:color w:val="000000"/>
          <w:lang w:eastAsia="es-MX"/>
          <w14:ligatures w14:val="standardContextual"/>
        </w:rPr>
        <w:drawing>
          <wp:inline distT="0" distB="0" distL="0" distR="0" wp14:anchorId="4DF0ABBE" wp14:editId="74D3719E">
            <wp:extent cx="4781550" cy="1376482"/>
            <wp:effectExtent l="0" t="0" r="0" b="0"/>
            <wp:docPr id="711159933" name="Imagen 2"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59933" name="Imagen 2" descr="Interfaz de usuario gráfica, Texto, Aplicación, Correo electrónic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799765" cy="1381726"/>
                    </a:xfrm>
                    <a:prstGeom prst="rect">
                      <a:avLst/>
                    </a:prstGeom>
                  </pic:spPr>
                </pic:pic>
              </a:graphicData>
            </a:graphic>
          </wp:inline>
        </w:drawing>
      </w:r>
    </w:p>
    <w:p w14:paraId="1A93C2C5" w14:textId="32447C3C" w:rsidR="006D1322" w:rsidRPr="0042561E" w:rsidRDefault="006D1322" w:rsidP="003F2385">
      <w:pPr>
        <w:spacing w:after="0" w:line="360" w:lineRule="auto"/>
        <w:jc w:val="center"/>
        <w:rPr>
          <w:color w:val="000000"/>
        </w:rPr>
      </w:pPr>
      <w:r w:rsidRPr="0042561E">
        <w:rPr>
          <w:noProof/>
          <w:color w:val="000000"/>
          <w:lang w:eastAsia="es-MX"/>
          <w14:ligatures w14:val="standardContextual"/>
        </w:rPr>
        <w:drawing>
          <wp:inline distT="0" distB="0" distL="0" distR="0" wp14:anchorId="085ECFA2" wp14:editId="555D0925">
            <wp:extent cx="4362450" cy="2009530"/>
            <wp:effectExtent l="0" t="0" r="0" b="0"/>
            <wp:docPr id="751040575"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40575" name="Imagen 4" descr="Interfaz de usuario gráfica, Aplicación&#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74103" cy="2014898"/>
                    </a:xfrm>
                    <a:prstGeom prst="rect">
                      <a:avLst/>
                    </a:prstGeom>
                  </pic:spPr>
                </pic:pic>
              </a:graphicData>
            </a:graphic>
          </wp:inline>
        </w:drawing>
      </w:r>
    </w:p>
    <w:p w14:paraId="7F0D2285" w14:textId="77777777" w:rsidR="00B40743" w:rsidRPr="0042561E" w:rsidRDefault="00B40743" w:rsidP="00A45DC5">
      <w:pPr>
        <w:spacing w:after="0" w:line="360" w:lineRule="auto"/>
        <w:rPr>
          <w:color w:val="000000"/>
        </w:rPr>
      </w:pPr>
    </w:p>
    <w:p w14:paraId="330810D1" w14:textId="26864A59" w:rsidR="00C622F9" w:rsidRPr="0042561E" w:rsidRDefault="00C622F9" w:rsidP="00C622F9">
      <w:pPr>
        <w:spacing w:after="0" w:line="360" w:lineRule="auto"/>
        <w:rPr>
          <w:rFonts w:eastAsia="Times New Roman" w:cs="Tahoma"/>
          <w:color w:val="auto"/>
          <w:lang w:eastAsia="es-ES"/>
        </w:rPr>
      </w:pPr>
      <w:r w:rsidRPr="0042561E">
        <w:rPr>
          <w:color w:val="000000"/>
        </w:rPr>
        <w:t xml:space="preserve">De lo anterior, se observa </w:t>
      </w:r>
      <w:r w:rsidR="0013775A" w:rsidRPr="0042561E">
        <w:rPr>
          <w:color w:val="000000"/>
        </w:rPr>
        <w:t>que,</w:t>
      </w:r>
      <w:r w:rsidRPr="0042561E">
        <w:rPr>
          <w:color w:val="000000"/>
        </w:rPr>
        <w:t xml:space="preserve"> si bien emitió tres ligas electrónicas para consultar la información, dos llevan a la carátula del presupuesto de egresos, lo cual es información que no solicitó el Particular, y </w:t>
      </w:r>
      <w:r w:rsidR="0013775A" w:rsidRPr="0042561E">
        <w:rPr>
          <w:color w:val="000000"/>
        </w:rPr>
        <w:t>el tercer remite</w:t>
      </w:r>
      <w:r w:rsidRPr="0042561E">
        <w:rPr>
          <w:color w:val="000000"/>
        </w:rPr>
        <w:t xml:space="preserve"> a una página no encontrada; </w:t>
      </w:r>
      <w:r w:rsidRPr="0042561E">
        <w:rPr>
          <w:rFonts w:eastAsia="Times New Roman" w:cs="Tahoma"/>
          <w:bCs/>
          <w:iCs/>
          <w:color w:val="auto"/>
          <w:lang w:val="es-ES" w:eastAsia="es-ES"/>
        </w:rPr>
        <w:t>s</w:t>
      </w:r>
      <w:r w:rsidRPr="0042561E">
        <w:rPr>
          <w:rFonts w:eastAsia="Calibri" w:cs="Tahoma"/>
          <w:lang w:val="es-ES"/>
        </w:rPr>
        <w:t xml:space="preserve">obre el tema </w:t>
      </w:r>
      <w:r w:rsidRPr="0042561E">
        <w:rPr>
          <w:rFonts w:eastAsia="Calibri" w:cs="Times New Roman"/>
        </w:rPr>
        <w:t xml:space="preserve">el </w:t>
      </w:r>
      <w:r w:rsidRPr="0042561E">
        <w:rPr>
          <w:rFonts w:eastAsia="Times New Roman" w:cs="Tahoma"/>
          <w:color w:val="auto"/>
          <w:lang w:val="es-ES" w:eastAsia="es-ES"/>
        </w:rPr>
        <w:t>artículo 1.8, fracción IX, del Código Administrativo del Estado de México, establece que para que un acto administrativo tenga validez, deberá guardar congruencia con lo solicitado.</w:t>
      </w:r>
    </w:p>
    <w:p w14:paraId="5779EA28" w14:textId="77777777" w:rsidR="00C622F9" w:rsidRPr="0042561E" w:rsidRDefault="00C622F9" w:rsidP="00C622F9">
      <w:pPr>
        <w:tabs>
          <w:tab w:val="center" w:pos="4522"/>
        </w:tabs>
        <w:spacing w:after="0" w:line="360" w:lineRule="auto"/>
        <w:contextualSpacing/>
        <w:rPr>
          <w:rFonts w:eastAsia="Times New Roman" w:cs="Tahoma"/>
          <w:color w:val="auto"/>
          <w:lang w:val="es-ES" w:eastAsia="es-ES"/>
        </w:rPr>
      </w:pPr>
    </w:p>
    <w:p w14:paraId="7B18DE43" w14:textId="77777777" w:rsidR="00C622F9" w:rsidRPr="0042561E" w:rsidRDefault="00C622F9" w:rsidP="00C622F9">
      <w:pPr>
        <w:tabs>
          <w:tab w:val="center" w:pos="4522"/>
        </w:tabs>
        <w:spacing w:after="0" w:line="360" w:lineRule="auto"/>
        <w:rPr>
          <w:rFonts w:eastAsia="Calibri" w:cs="Times New Roman"/>
          <w:iCs/>
          <w:color w:val="000000"/>
          <w:sz w:val="24"/>
          <w:szCs w:val="24"/>
        </w:rPr>
      </w:pPr>
      <w:r w:rsidRPr="0042561E">
        <w:rPr>
          <w:rFonts w:eastAsia="Calibri" w:cs="Times New Roman"/>
          <w:color w:val="000000"/>
        </w:rPr>
        <w:t xml:space="preserve">Situación que se robustece, con el </w:t>
      </w:r>
      <w:r w:rsidRPr="0042561E">
        <w:rPr>
          <w:rFonts w:eastAsia="Calibri" w:cs="Tahoma"/>
          <w:bCs/>
          <w:lang w:val="es-ES"/>
        </w:rPr>
        <w:t>el Criterio de Interpretación</w:t>
      </w:r>
      <w:r w:rsidRPr="0042561E">
        <w:rPr>
          <w:rFonts w:eastAsia="Calibri" w:cs="Tahoma"/>
          <w:bCs/>
          <w:lang w:val="x-none"/>
        </w:rPr>
        <w:t xml:space="preserve">, con clave de control </w:t>
      </w:r>
      <w:r w:rsidRPr="0042561E">
        <w:rPr>
          <w:rFonts w:eastAsia="Calibri" w:cs="Tahoma"/>
          <w:bCs/>
          <w:lang w:val="es-ES"/>
        </w:rPr>
        <w:t xml:space="preserve">SO/002/2017, de la Segunda Época, emitido por el Instituto Nacional de Transparencia, Acceso a la Información y Protección de Datos Personales, que </w:t>
      </w:r>
      <w:r w:rsidRPr="0042561E">
        <w:rPr>
          <w:rFonts w:eastAsia="Calibri" w:cs="Times New Roman"/>
          <w:color w:val="000000"/>
        </w:rPr>
        <w:t xml:space="preserve">establece que todo acto administrativo debe apegarse al </w:t>
      </w:r>
      <w:r w:rsidRPr="0042561E">
        <w:rPr>
          <w:rFonts w:eastAsia="Calibri" w:cs="Times New Roman"/>
          <w:b/>
          <w:bCs/>
          <w:color w:val="000000"/>
        </w:rPr>
        <w:t>principio de congruencia</w:t>
      </w:r>
      <w:r w:rsidRPr="0042561E">
        <w:rPr>
          <w:rFonts w:eastAsia="Calibri" w:cs="Times New Roman"/>
          <w:color w:val="000000"/>
        </w:rPr>
        <w:t xml:space="preserve">, entendiendo por éste que </w:t>
      </w:r>
      <w:r w:rsidRPr="0042561E">
        <w:rPr>
          <w:rFonts w:eastAsia="Calibri" w:cs="Tahoma"/>
          <w:bCs/>
          <w:iCs/>
          <w:color w:val="auto"/>
        </w:rPr>
        <w:t>exista concordancia entre el requerimiento formulado por el particular y la respuesta proporcionada por el sujeto obligado</w:t>
      </w:r>
      <w:r w:rsidRPr="0042561E">
        <w:rPr>
          <w:rFonts w:eastAsia="Calibri" w:cs="Times New Roman"/>
          <w:color w:val="000000"/>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413B976" w14:textId="77777777" w:rsidR="00C622F9" w:rsidRPr="0042561E" w:rsidRDefault="00C622F9" w:rsidP="00C622F9">
      <w:pPr>
        <w:spacing w:after="0" w:line="360" w:lineRule="auto"/>
        <w:rPr>
          <w:rFonts w:eastAsia="Calibri" w:cs="Times New Roman"/>
        </w:rPr>
      </w:pPr>
    </w:p>
    <w:p w14:paraId="03BEA6EF" w14:textId="4589F2B4" w:rsidR="00C622F9" w:rsidRPr="0042561E" w:rsidRDefault="00C622F9" w:rsidP="00C622F9">
      <w:pPr>
        <w:spacing w:after="0" w:line="360" w:lineRule="auto"/>
        <w:rPr>
          <w:rFonts w:eastAsia="Calibri" w:cs="Times New Roman"/>
          <w:b/>
          <w:lang w:val="es-ES_tradnl"/>
        </w:rPr>
      </w:pPr>
      <w:r w:rsidRPr="0042561E">
        <w:rPr>
          <w:rFonts w:eastAsia="Calibri" w:cs="Times New Roman"/>
        </w:rPr>
        <w:t xml:space="preserve">Del citado criterio, se desprende que </w:t>
      </w:r>
      <w:r w:rsidRPr="0042561E">
        <w:rPr>
          <w:rFonts w:eastAsia="Calibri" w:cs="Times New Roman"/>
          <w:bCs/>
        </w:rPr>
        <w:t>todo acto administrativo debe apegarse al</w:t>
      </w:r>
      <w:r w:rsidRPr="0042561E">
        <w:rPr>
          <w:rFonts w:eastAsia="Calibri" w:cs="Times New Roman"/>
          <w:lang w:val="es-ES"/>
        </w:rPr>
        <w:t xml:space="preserve"> </w:t>
      </w:r>
      <w:r w:rsidRPr="0042561E">
        <w:rPr>
          <w:rFonts w:eastAsia="Calibri" w:cs="Times New Roman"/>
          <w:b/>
          <w:lang w:val="es-ES"/>
        </w:rPr>
        <w:t xml:space="preserve">Principio de Congruencia, </w:t>
      </w:r>
      <w:r w:rsidRPr="0042561E">
        <w:rPr>
          <w:rFonts w:eastAsia="Calibri" w:cs="Times New Roman"/>
          <w:lang w:val="es-ES"/>
        </w:rPr>
        <w:t>el cual</w:t>
      </w:r>
      <w:r w:rsidRPr="0042561E">
        <w:rPr>
          <w:rFonts w:eastAsia="Calibri" w:cs="Times New Roman"/>
          <w:b/>
          <w:lang w:val="es-ES"/>
        </w:rPr>
        <w:t xml:space="preserve"> </w:t>
      </w:r>
      <w:r w:rsidRPr="0042561E">
        <w:rPr>
          <w:rFonts w:eastAsia="Calibri" w:cs="Times New Roman"/>
          <w:lang w:val="es-ES"/>
        </w:rPr>
        <w:t xml:space="preserve">implica que exista concordancia entre el requerimiento formulado y la respuesta entregada; por lo que, el Sujeto Obligado no atendió </w:t>
      </w:r>
      <w:r w:rsidRPr="0042561E">
        <w:rPr>
          <w:rFonts w:eastAsia="Calibri" w:cs="Times New Roman"/>
          <w:lang w:val="x-none"/>
        </w:rPr>
        <w:t xml:space="preserve">dicho principio, pues de la información entrega no contiene lo solicitado, además, una liga electrónica remite a una página no encontrada, por lo que, </w:t>
      </w:r>
      <w:r w:rsidRPr="0042561E">
        <w:rPr>
          <w:rFonts w:eastAsia="Calibri" w:cs="Times New Roman"/>
          <w:bCs/>
          <w:lang w:val="es-ES_tradnl"/>
        </w:rPr>
        <w:t xml:space="preserve">se advierte que el agravio resulta </w:t>
      </w:r>
      <w:r w:rsidRPr="0042561E">
        <w:rPr>
          <w:rFonts w:eastAsia="Calibri" w:cs="Times New Roman"/>
          <w:b/>
          <w:lang w:val="es-ES_tradnl"/>
        </w:rPr>
        <w:t>FUNDADO.</w:t>
      </w:r>
    </w:p>
    <w:p w14:paraId="62849ED6" w14:textId="77777777" w:rsidR="00C622F9" w:rsidRPr="0042561E" w:rsidRDefault="00C622F9" w:rsidP="00C622F9">
      <w:pPr>
        <w:spacing w:after="0" w:line="360" w:lineRule="auto"/>
        <w:rPr>
          <w:rFonts w:eastAsia="Calibri" w:cs="Times New Roman"/>
          <w:b/>
          <w:lang w:val="es-ES_tradnl"/>
        </w:rPr>
      </w:pPr>
    </w:p>
    <w:p w14:paraId="410CD26F" w14:textId="7CA5626B" w:rsidR="00F320F0" w:rsidRPr="0042561E" w:rsidRDefault="00F320F0" w:rsidP="00F320F0">
      <w:pPr>
        <w:spacing w:after="0" w:line="360" w:lineRule="auto"/>
        <w:rPr>
          <w:rFonts w:eastAsia="Calibri" w:cs="Times New Roman"/>
          <w:bCs/>
          <w:lang w:val="es-ES"/>
        </w:rPr>
      </w:pPr>
      <w:r w:rsidRPr="0042561E">
        <w:rPr>
          <w:rFonts w:eastAsia="Calibri" w:cs="Times New Roman"/>
          <w:iCs/>
          <w:lang w:val="es-ES"/>
        </w:rPr>
        <w:t>Conforme a lo anterior, se consider</w:t>
      </w:r>
      <w:r w:rsidRPr="0042561E">
        <w:rPr>
          <w:rFonts w:eastAsia="Calibri" w:cs="Times New Roman"/>
          <w:bCs/>
          <w:lang w:val="es-ES"/>
        </w:rPr>
        <w:t xml:space="preserve">a que, para atender el requerimiento de información, el Sujeto Obligado deberá realizar una búsqueda exhaustiva y razonable en los archivos de la Tesorería Municipal, a fin de que proporcione </w:t>
      </w:r>
      <w:r w:rsidRPr="0042561E">
        <w:rPr>
          <w:rFonts w:eastAsia="Times New Roman" w:cs="Tahoma"/>
          <w:bCs/>
          <w:iCs/>
          <w:lang w:eastAsia="es-ES"/>
        </w:rPr>
        <w:t>el formato </w:t>
      </w:r>
      <w:r w:rsidRPr="0042561E">
        <w:rPr>
          <w:rFonts w:eastAsia="Times New Roman" w:cs="Tahoma"/>
          <w:iCs/>
          <w:lang w:eastAsia="es-ES"/>
        </w:rPr>
        <w:t xml:space="preserve">PbRM-04a Presupuesto de Egresos Detallado, </w:t>
      </w:r>
      <w:r w:rsidR="0013775A" w:rsidRPr="0042561E">
        <w:rPr>
          <w:rFonts w:eastAsia="Times New Roman" w:cs="Tahoma"/>
          <w:iCs/>
          <w:lang w:eastAsia="es-ES"/>
        </w:rPr>
        <w:t xml:space="preserve">que contiene el nivel de desglose solicitado, es decir, por </w:t>
      </w:r>
      <w:r w:rsidRPr="0042561E">
        <w:rPr>
          <w:rFonts w:eastAsia="Times New Roman" w:cs="Tahoma"/>
          <w:iCs/>
          <w:lang w:eastAsia="es-ES"/>
        </w:rPr>
        <w:t>capítulos, conceptos y partidas genéricas y específicas, del ejercicio fiscal dos mil veintidós, dos mil veintitrés y dos mil veinticuatro</w:t>
      </w:r>
      <w:r w:rsidRPr="0042561E">
        <w:rPr>
          <w:rFonts w:eastAsia="Calibri" w:cs="Times New Roman"/>
          <w:bCs/>
          <w:lang w:val="es-ES"/>
        </w:rPr>
        <w:t xml:space="preserve">; </w:t>
      </w:r>
      <w:r w:rsidRPr="0042561E">
        <w:rPr>
          <w:rFonts w:eastAsia="Calibri" w:cs="Times New Roman"/>
          <w:lang w:val="es-ES"/>
        </w:rPr>
        <w:t>d</w:t>
      </w:r>
      <w:r w:rsidRPr="0042561E">
        <w:rPr>
          <w:rFonts w:eastAsia="Calibri" w:cs="Times New Roman"/>
          <w:bCs/>
        </w:rPr>
        <w:t>icha</w:t>
      </w:r>
      <w:r w:rsidRPr="0042561E">
        <w:rPr>
          <w:rFonts w:eastAsia="Calibri" w:cs="Times New Roman"/>
          <w:bCs/>
          <w:iCs/>
          <w:lang w:val="es-ES"/>
        </w:rPr>
        <w:t xml:space="preserve"> determinación toma relevancia, pues </w:t>
      </w:r>
      <w:r w:rsidRPr="0042561E">
        <w:rPr>
          <w:rFonts w:eastAsia="Calibri" w:cs="Times New Roman"/>
        </w:rPr>
        <w:t xml:space="preserve">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w:t>
      </w:r>
      <w:r w:rsidRPr="0042561E">
        <w:rPr>
          <w:rFonts w:eastAsia="Calibri" w:cs="Times New Roman"/>
        </w:rPr>
        <w:lastRenderedPageBreak/>
        <w:t>procesamiento de la misma, ni presentarla conforme al interés del Solicitante, además, que tampoco deberá generarla, resumirla, efectuar cálculos o practicar investigaciones.</w:t>
      </w:r>
    </w:p>
    <w:p w14:paraId="23F1C45E" w14:textId="77777777" w:rsidR="00F320F0" w:rsidRPr="0042561E" w:rsidRDefault="00F320F0" w:rsidP="00F320F0">
      <w:pPr>
        <w:spacing w:after="0" w:line="360" w:lineRule="auto"/>
        <w:rPr>
          <w:rFonts w:eastAsia="Calibri" w:cs="Times New Roman"/>
        </w:rPr>
      </w:pPr>
    </w:p>
    <w:p w14:paraId="0D070E09" w14:textId="77777777" w:rsidR="00F320F0" w:rsidRPr="0042561E" w:rsidRDefault="00F320F0" w:rsidP="00F320F0">
      <w:pPr>
        <w:spacing w:after="0" w:line="360" w:lineRule="auto"/>
        <w:rPr>
          <w:rFonts w:eastAsia="Calibri" w:cs="Times New Roman"/>
        </w:rPr>
      </w:pPr>
      <w:r w:rsidRPr="0042561E">
        <w:rPr>
          <w:rFonts w:eastAsia="Calibri" w:cs="Times New Roman"/>
        </w:rPr>
        <w:t xml:space="preserve">De esta manera, </w:t>
      </w:r>
      <w:r w:rsidRPr="0042561E">
        <w:rPr>
          <w:rFonts w:eastAsia="Calibri" w:cs="Times New Roman"/>
          <w:lang w:val="es-ES"/>
        </w:rPr>
        <w:t xml:space="preserve">el derecho de acceso a la información pública se satisface en aquellos casos en que se entregue el soporte documental en el que conste la información solicitada, sin necesidad de elaborar documentos </w:t>
      </w:r>
      <w:r w:rsidRPr="0042561E">
        <w:rPr>
          <w:rFonts w:eastAsia="Calibri" w:cs="Times New Roman"/>
          <w:i/>
        </w:rPr>
        <w:t>ad hoc</w:t>
      </w:r>
      <w:r w:rsidRPr="0042561E">
        <w:rPr>
          <w:rFonts w:eastAsia="Calibri" w:cs="Times New Roman"/>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62B23879" w14:textId="77777777" w:rsidR="00F320F0" w:rsidRPr="0042561E" w:rsidRDefault="00F320F0" w:rsidP="00F320F0">
      <w:pPr>
        <w:spacing w:after="0" w:line="360" w:lineRule="auto"/>
        <w:rPr>
          <w:rFonts w:eastAsia="Calibri" w:cs="Times New Roman"/>
          <w:iCs/>
        </w:rPr>
      </w:pPr>
    </w:p>
    <w:p w14:paraId="6A2D658D" w14:textId="2444AF19" w:rsidR="00F320F0" w:rsidRPr="0042561E" w:rsidRDefault="00F320F0" w:rsidP="00F320F0">
      <w:pPr>
        <w:spacing w:after="0" w:line="360" w:lineRule="auto"/>
        <w:rPr>
          <w:color w:val="000000"/>
        </w:rPr>
      </w:pPr>
      <w:r w:rsidRPr="0042561E">
        <w:rPr>
          <w:rFonts w:eastAsia="Calibri" w:cs="Times New Roman"/>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w:t>
      </w:r>
      <w:r w:rsidRPr="0042561E">
        <w:rPr>
          <w:rFonts w:eastAsia="Times New Roman" w:cs="Tahoma"/>
          <w:bCs/>
          <w:iCs/>
          <w:lang w:eastAsia="es-ES"/>
        </w:rPr>
        <w:t>formato </w:t>
      </w:r>
      <w:r w:rsidRPr="0042561E">
        <w:rPr>
          <w:rFonts w:eastAsia="Times New Roman" w:cs="Tahoma"/>
          <w:iCs/>
          <w:lang w:eastAsia="es-ES"/>
        </w:rPr>
        <w:t>PbRM-04a Presupuesto de Egresos Detallado.</w:t>
      </w:r>
      <w:r w:rsidR="0013775A" w:rsidRPr="0042561E">
        <w:rPr>
          <w:rFonts w:eastAsia="Times New Roman" w:cs="Tahoma"/>
          <w:iCs/>
          <w:lang w:eastAsia="es-ES"/>
        </w:rPr>
        <w:t xml:space="preserve"> Cabe señalar que dicho documento no contiene datos clasificables, por lo que, deberá proporcionarlo en versión íntegra.</w:t>
      </w:r>
    </w:p>
    <w:p w14:paraId="01517EA5" w14:textId="77777777" w:rsidR="00F320F0" w:rsidRPr="0042561E" w:rsidRDefault="00F320F0" w:rsidP="00F320F0">
      <w:pPr>
        <w:spacing w:after="0" w:line="360" w:lineRule="auto"/>
        <w:rPr>
          <w:rFonts w:eastAsia="Calibri" w:cs="Times New Roman"/>
          <w:lang w:val="es-ES"/>
        </w:rPr>
      </w:pPr>
    </w:p>
    <w:p w14:paraId="541D6C32" w14:textId="77777777" w:rsidR="00447EE3" w:rsidRPr="0042561E" w:rsidRDefault="00447EE3" w:rsidP="00447EE3">
      <w:pPr>
        <w:spacing w:after="0" w:line="360" w:lineRule="auto"/>
        <w:contextualSpacing/>
        <w:rPr>
          <w:rFonts w:eastAsia="Calibri" w:cs="Tahoma"/>
          <w:b/>
        </w:rPr>
      </w:pPr>
      <w:r w:rsidRPr="0042561E">
        <w:rPr>
          <w:rFonts w:eastAsia="Calibri" w:cs="Tahoma"/>
          <w:b/>
        </w:rPr>
        <w:t>SEXTO. Decisión</w:t>
      </w:r>
    </w:p>
    <w:p w14:paraId="07CC8E2A" w14:textId="77777777" w:rsidR="00447EE3" w:rsidRPr="0042561E" w:rsidRDefault="00447EE3" w:rsidP="00447EE3">
      <w:pPr>
        <w:spacing w:after="0" w:line="360" w:lineRule="auto"/>
        <w:contextualSpacing/>
        <w:rPr>
          <w:rFonts w:eastAsia="Calibri" w:cs="Tahoma"/>
          <w:b/>
        </w:rPr>
      </w:pPr>
    </w:p>
    <w:p w14:paraId="4D76861F" w14:textId="0ADB30F8" w:rsidR="00447EE3" w:rsidRPr="0042561E" w:rsidRDefault="00447EE3" w:rsidP="00447EE3">
      <w:pPr>
        <w:spacing w:after="0" w:line="360" w:lineRule="auto"/>
      </w:pPr>
      <w:r w:rsidRPr="0042561E">
        <w:t xml:space="preserve">De acuerdo con lo expuesto y, con fundamento en el artículo 186, fracción III, de la Ley de Transparencia y Acceso a la Información Pública del Estado de México y Municipios, este Instituto considera procedente </w:t>
      </w:r>
      <w:r w:rsidRPr="0042561E">
        <w:rPr>
          <w:b/>
        </w:rPr>
        <w:t xml:space="preserve">REVOCAR </w:t>
      </w:r>
      <w:r w:rsidRPr="0042561E">
        <w:t xml:space="preserve">la respuesta del Ayuntamiento de </w:t>
      </w:r>
      <w:r w:rsidR="006B14B4" w:rsidRPr="0042561E">
        <w:t>Nextlalpan</w:t>
      </w:r>
      <w:r w:rsidRPr="0042561E">
        <w:rPr>
          <w:b/>
        </w:rPr>
        <w:t xml:space="preserve">, </w:t>
      </w:r>
      <w:r w:rsidRPr="0042561E">
        <w:t>a efecto de que previa búsqueda exhaustiva y razonable, entregue la</w:t>
      </w:r>
      <w:r w:rsidR="001B5D53" w:rsidRPr="0042561E">
        <w:t xml:space="preserve"> información solicitada.</w:t>
      </w:r>
    </w:p>
    <w:p w14:paraId="57043B30" w14:textId="77777777" w:rsidR="00447EE3" w:rsidRPr="0042561E" w:rsidRDefault="00447EE3" w:rsidP="00447EE3">
      <w:pPr>
        <w:spacing w:after="0" w:line="360" w:lineRule="auto"/>
      </w:pPr>
    </w:p>
    <w:p w14:paraId="585F77CD" w14:textId="77777777" w:rsidR="00447EE3" w:rsidRPr="0042561E" w:rsidRDefault="00447EE3" w:rsidP="00447EE3">
      <w:pPr>
        <w:spacing w:after="0" w:line="360" w:lineRule="auto"/>
        <w:contextualSpacing/>
        <w:rPr>
          <w:rFonts w:eastAsia="Calibri" w:cs="Tahoma"/>
          <w:b/>
          <w:bCs/>
        </w:rPr>
      </w:pPr>
      <w:r w:rsidRPr="0042561E">
        <w:rPr>
          <w:rFonts w:eastAsia="Calibri" w:cs="Tahoma"/>
          <w:b/>
          <w:bCs/>
        </w:rPr>
        <w:t>Términos de la Resolución para conocimiento del Particular</w:t>
      </w:r>
    </w:p>
    <w:p w14:paraId="6183EBBB" w14:textId="77777777" w:rsidR="00447EE3" w:rsidRPr="0042561E" w:rsidRDefault="00447EE3" w:rsidP="00447EE3">
      <w:pPr>
        <w:spacing w:after="0" w:line="360" w:lineRule="auto"/>
        <w:contextualSpacing/>
        <w:rPr>
          <w:rFonts w:eastAsia="Calibri" w:cs="Tahoma"/>
          <w:b/>
          <w:bCs/>
        </w:rPr>
      </w:pPr>
    </w:p>
    <w:p w14:paraId="6A1DF07C" w14:textId="0E82151A" w:rsidR="00447EE3" w:rsidRPr="0042561E" w:rsidRDefault="00447EE3" w:rsidP="00447EE3">
      <w:pPr>
        <w:spacing w:after="0" w:line="360" w:lineRule="auto"/>
        <w:rPr>
          <w:color w:val="000000"/>
        </w:rPr>
      </w:pPr>
      <w:r w:rsidRPr="0042561E">
        <w:lastRenderedPageBreak/>
        <w:t xml:space="preserve">Se le hace del conocimiento a la persona Recurrente que, en el presente asunto, se le da la razón, pues </w:t>
      </w:r>
      <w:r w:rsidR="006B14B4" w:rsidRPr="0042561E">
        <w:t>remitió información que no corresponde con lo que solicitó, además que, una liga electrónica no lleva a ninguna información, por lo que, deberá entregar la información solicitada.</w:t>
      </w:r>
      <w:r w:rsidRPr="0042561E">
        <w:t xml:space="preserve"> </w:t>
      </w:r>
      <w:r w:rsidRPr="0042561E">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99FACD3" w14:textId="77777777" w:rsidR="00447EE3" w:rsidRPr="0042561E" w:rsidRDefault="00447EE3" w:rsidP="00447EE3">
      <w:pPr>
        <w:spacing w:after="0" w:line="360" w:lineRule="auto"/>
        <w:contextualSpacing/>
        <w:rPr>
          <w:rFonts w:eastAsia="Calibri"/>
        </w:rPr>
      </w:pPr>
    </w:p>
    <w:p w14:paraId="1DB5E416" w14:textId="77777777" w:rsidR="00447EE3" w:rsidRPr="0042561E" w:rsidRDefault="00447EE3" w:rsidP="00447EE3">
      <w:pPr>
        <w:spacing w:after="0" w:line="360" w:lineRule="auto"/>
        <w:contextualSpacing/>
        <w:rPr>
          <w:rFonts w:eastAsia="Calibri"/>
        </w:rPr>
      </w:pPr>
      <w:r w:rsidRPr="0042561E">
        <w:rPr>
          <w:rFonts w:eastAsia="Calibri"/>
        </w:rPr>
        <w:t>Por lo expuesto y fundado, este Pleno:</w:t>
      </w:r>
    </w:p>
    <w:p w14:paraId="65FBD3C4" w14:textId="77777777" w:rsidR="00447EE3" w:rsidRPr="0042561E" w:rsidRDefault="00447EE3" w:rsidP="00447EE3">
      <w:pPr>
        <w:spacing w:after="0" w:line="360" w:lineRule="auto"/>
        <w:contextualSpacing/>
        <w:rPr>
          <w:rFonts w:eastAsia="Calibri"/>
          <w:b/>
          <w:bCs/>
        </w:rPr>
      </w:pPr>
    </w:p>
    <w:p w14:paraId="08F7F3C1" w14:textId="77777777" w:rsidR="00447EE3" w:rsidRPr="0042561E" w:rsidRDefault="00447EE3" w:rsidP="00447EE3">
      <w:pPr>
        <w:spacing w:after="0" w:line="360" w:lineRule="auto"/>
        <w:contextualSpacing/>
        <w:jc w:val="center"/>
        <w:rPr>
          <w:rFonts w:eastAsia="Calibri"/>
          <w:b/>
          <w:bCs/>
        </w:rPr>
      </w:pPr>
      <w:r w:rsidRPr="0042561E">
        <w:rPr>
          <w:rFonts w:eastAsia="Calibri"/>
          <w:b/>
          <w:bCs/>
        </w:rPr>
        <w:t>R E S U E L V E</w:t>
      </w:r>
    </w:p>
    <w:p w14:paraId="2B4ED5A8" w14:textId="77777777" w:rsidR="00447EE3" w:rsidRPr="0042561E" w:rsidRDefault="00447EE3" w:rsidP="00447EE3">
      <w:pPr>
        <w:spacing w:after="0" w:line="360" w:lineRule="auto"/>
        <w:contextualSpacing/>
        <w:rPr>
          <w:rFonts w:eastAsia="Calibri"/>
        </w:rPr>
      </w:pPr>
    </w:p>
    <w:p w14:paraId="68E42049" w14:textId="3C26E3FF" w:rsidR="0067722C" w:rsidRPr="0042561E" w:rsidRDefault="00447EE3" w:rsidP="00447EE3">
      <w:pPr>
        <w:spacing w:after="0" w:line="360" w:lineRule="auto"/>
        <w:contextualSpacing/>
        <w:rPr>
          <w:bCs/>
        </w:rPr>
      </w:pPr>
      <w:r w:rsidRPr="0042561E">
        <w:rPr>
          <w:rFonts w:cs="Tahoma"/>
          <w:b/>
          <w:bCs/>
        </w:rPr>
        <w:t xml:space="preserve">PRIMERO. </w:t>
      </w:r>
      <w:r w:rsidRPr="0042561E">
        <w:rPr>
          <w:rFonts w:cs="Tahoma"/>
          <w:bCs/>
        </w:rPr>
        <w:t xml:space="preserve">Se </w:t>
      </w:r>
      <w:r w:rsidRPr="0042561E">
        <w:rPr>
          <w:rFonts w:cs="Tahoma"/>
          <w:b/>
          <w:bCs/>
        </w:rPr>
        <w:t xml:space="preserve">REVOCA </w:t>
      </w:r>
      <w:r w:rsidRPr="0042561E">
        <w:rPr>
          <w:rFonts w:cs="Tahoma"/>
          <w:bCs/>
        </w:rPr>
        <w:t xml:space="preserve">la respuesta entregada por el Ayuntamiento de </w:t>
      </w:r>
      <w:r w:rsidR="006B14B4" w:rsidRPr="0042561E">
        <w:rPr>
          <w:rFonts w:cs="Tahoma"/>
          <w:bCs/>
        </w:rPr>
        <w:t>Nextlalpan</w:t>
      </w:r>
      <w:r w:rsidRPr="0042561E">
        <w:rPr>
          <w:rFonts w:cs="Tahoma"/>
          <w:bCs/>
        </w:rPr>
        <w:t>, a la</w:t>
      </w:r>
      <w:r w:rsidR="001B5D53" w:rsidRPr="0042561E">
        <w:rPr>
          <w:rFonts w:cs="Tahoma"/>
          <w:bCs/>
        </w:rPr>
        <w:t>s</w:t>
      </w:r>
      <w:r w:rsidRPr="0042561E">
        <w:rPr>
          <w:rFonts w:cs="Tahoma"/>
          <w:bCs/>
        </w:rPr>
        <w:t xml:space="preserve"> solicitud</w:t>
      </w:r>
      <w:r w:rsidR="001B5D53" w:rsidRPr="0042561E">
        <w:rPr>
          <w:rFonts w:cs="Tahoma"/>
          <w:bCs/>
        </w:rPr>
        <w:t>es</w:t>
      </w:r>
      <w:r w:rsidRPr="0042561E">
        <w:rPr>
          <w:rFonts w:cs="Tahoma"/>
          <w:bCs/>
        </w:rPr>
        <w:t xml:space="preserve"> de información</w:t>
      </w:r>
      <w:r w:rsidR="006B14B4" w:rsidRPr="0042561E">
        <w:t xml:space="preserve"> 00076/NEXTLAL/IP/2024, 00075/NEXTLAL/IP/2024 y 00074/NEXTLAL/IP/2024</w:t>
      </w:r>
      <w:r w:rsidRPr="0042561E">
        <w:rPr>
          <w:bCs/>
        </w:rPr>
        <w:t xml:space="preserve">, por resultar </w:t>
      </w:r>
      <w:r w:rsidRPr="0042561E">
        <w:rPr>
          <w:b/>
          <w:bCs/>
        </w:rPr>
        <w:t>FUNDADAS</w:t>
      </w:r>
      <w:r w:rsidRPr="0042561E">
        <w:rPr>
          <w:rFonts w:cs="Tahoma"/>
          <w:b/>
          <w:bCs/>
        </w:rPr>
        <w:t xml:space="preserve"> </w:t>
      </w:r>
      <w:r w:rsidRPr="0042561E">
        <w:rPr>
          <w:rFonts w:eastAsia="Calibri" w:cs="Tahoma"/>
          <w:bCs/>
        </w:rPr>
        <w:t>las razones o motivos de inconformidad hechos valer por el Recurrente</w:t>
      </w:r>
      <w:r w:rsidRPr="0042561E">
        <w:rPr>
          <w:rFonts w:cs="Tahoma"/>
          <w:bCs/>
        </w:rPr>
        <w:t xml:space="preserve">, </w:t>
      </w:r>
      <w:r w:rsidRPr="0042561E">
        <w:rPr>
          <w:rFonts w:eastAsia="Calibri" w:cs="Tahoma"/>
          <w:bCs/>
        </w:rPr>
        <w:t>en términos de los considerandos QUINTO y SEXTO de la presente Resolución.</w:t>
      </w:r>
    </w:p>
    <w:p w14:paraId="24609B9A" w14:textId="77777777" w:rsidR="0067722C" w:rsidRPr="0042561E" w:rsidRDefault="0067722C" w:rsidP="00447EE3">
      <w:pPr>
        <w:spacing w:after="0" w:line="360" w:lineRule="auto"/>
        <w:contextualSpacing/>
        <w:rPr>
          <w:rFonts w:eastAsia="Times New Roman" w:cs="Tahoma"/>
          <w:bCs/>
          <w:lang w:eastAsia="es-ES"/>
        </w:rPr>
      </w:pPr>
    </w:p>
    <w:p w14:paraId="60250E3B" w14:textId="779DB555" w:rsidR="006B14B4" w:rsidRPr="0042561E" w:rsidRDefault="00447EE3" w:rsidP="0067722C">
      <w:pPr>
        <w:spacing w:after="0" w:line="360" w:lineRule="auto"/>
      </w:pPr>
      <w:r w:rsidRPr="0042561E">
        <w:rPr>
          <w:rFonts w:cs="Tahoma"/>
          <w:b/>
          <w:bCs/>
        </w:rPr>
        <w:t xml:space="preserve">SEGUNDO. </w:t>
      </w:r>
      <w:r w:rsidRPr="0042561E">
        <w:t xml:space="preserve">Se </w:t>
      </w:r>
      <w:r w:rsidRPr="0042561E">
        <w:rPr>
          <w:b/>
        </w:rPr>
        <w:t>ORDENA</w:t>
      </w:r>
      <w:r w:rsidRPr="0042561E">
        <w:t xml:space="preserve"> al Ente Recurrido</w:t>
      </w:r>
      <w:r w:rsidRPr="0042561E">
        <w:rPr>
          <w:b/>
        </w:rPr>
        <w:t xml:space="preserve">, </w:t>
      </w:r>
      <w:r w:rsidRPr="0042561E">
        <w:t xml:space="preserve">a efecto de que previa búsqueda exhaustiva y razonable, en los archivos de las unidades administrativas competentes, entregue a través del Sistema de Acceso a la Información Mexiquense (SAIMEX), </w:t>
      </w:r>
      <w:r w:rsidR="006B14B4" w:rsidRPr="0042561E">
        <w:t>lo siguiente:</w:t>
      </w:r>
    </w:p>
    <w:p w14:paraId="4931171C" w14:textId="77777777" w:rsidR="006B14B4" w:rsidRPr="0042561E" w:rsidRDefault="006B14B4" w:rsidP="0067722C">
      <w:pPr>
        <w:spacing w:after="0" w:line="360" w:lineRule="auto"/>
      </w:pPr>
    </w:p>
    <w:p w14:paraId="574A673A" w14:textId="0F882694" w:rsidR="006B14B4" w:rsidRPr="0042561E" w:rsidRDefault="006B14B4" w:rsidP="006B14B4">
      <w:pPr>
        <w:pStyle w:val="Prrafodelista"/>
        <w:numPr>
          <w:ilvl w:val="0"/>
          <w:numId w:val="33"/>
        </w:numPr>
        <w:spacing w:after="0" w:line="360" w:lineRule="auto"/>
      </w:pPr>
      <w:r w:rsidRPr="0042561E">
        <w:rPr>
          <w:rFonts w:eastAsia="Times New Roman" w:cs="Tahoma"/>
          <w:bCs/>
          <w:iCs/>
          <w:lang w:eastAsia="es-ES"/>
        </w:rPr>
        <w:t>El formato </w:t>
      </w:r>
      <w:r w:rsidRPr="0042561E">
        <w:rPr>
          <w:rFonts w:eastAsia="Times New Roman" w:cs="Tahoma"/>
          <w:iCs/>
          <w:lang w:eastAsia="es-ES"/>
        </w:rPr>
        <w:t>PbRM-04a Presupuesto de Egresos Detallado, del ejercicio fiscal dos mil veintidós, dos mil veintitrés y dos mil veinticuatro.</w:t>
      </w:r>
    </w:p>
    <w:p w14:paraId="5B258AB1" w14:textId="77777777" w:rsidR="0067722C" w:rsidRPr="0042561E" w:rsidRDefault="0067722C" w:rsidP="00447EE3">
      <w:pPr>
        <w:spacing w:after="0" w:line="360" w:lineRule="auto"/>
        <w:ind w:right="-91"/>
        <w:contextualSpacing/>
        <w:rPr>
          <w:rFonts w:eastAsia="Calibri" w:cs="Tahoma"/>
          <w:b/>
          <w:bCs/>
        </w:rPr>
      </w:pPr>
    </w:p>
    <w:p w14:paraId="7D46D0C7" w14:textId="77777777" w:rsidR="00447EE3" w:rsidRPr="0042561E" w:rsidRDefault="00447EE3" w:rsidP="00447EE3">
      <w:pPr>
        <w:spacing w:after="0" w:line="360" w:lineRule="auto"/>
        <w:ind w:right="-28"/>
        <w:contextualSpacing/>
        <w:rPr>
          <w:rFonts w:cs="Tahoma"/>
          <w:b/>
          <w:iCs/>
        </w:rPr>
      </w:pPr>
      <w:r w:rsidRPr="0042561E">
        <w:rPr>
          <w:rFonts w:eastAsia="Calibri" w:cs="Tahoma"/>
          <w:b/>
          <w:bCs/>
        </w:rPr>
        <w:t xml:space="preserve">TERCERO. </w:t>
      </w:r>
      <w:r w:rsidRPr="0042561E">
        <w:rPr>
          <w:rFonts w:cs="Tahoma"/>
          <w:b/>
          <w:bCs/>
          <w:iCs/>
        </w:rPr>
        <w:t xml:space="preserve">NOTIFÍQUESE POR SAIMEX </w:t>
      </w:r>
      <w:r w:rsidRPr="0042561E">
        <w:rPr>
          <w:rFonts w:cs="Tahoma"/>
          <w:bCs/>
          <w:iCs/>
        </w:rPr>
        <w:t xml:space="preserve">la presente resolución al Titular de la Unidad de Transparencia del Sujeto Obligado, para que conforme al artículo 186, último párrafo, 189, </w:t>
      </w:r>
      <w:r w:rsidRPr="0042561E">
        <w:rPr>
          <w:rFonts w:cs="Tahoma"/>
          <w:bCs/>
          <w:iCs/>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0C45409" w14:textId="77777777" w:rsidR="00447EE3" w:rsidRPr="0042561E" w:rsidRDefault="00447EE3" w:rsidP="00447EE3">
      <w:pPr>
        <w:spacing w:after="0" w:line="360" w:lineRule="auto"/>
        <w:ind w:right="-28"/>
        <w:contextualSpacing/>
        <w:rPr>
          <w:rFonts w:eastAsia="Calibri" w:cs="Tahoma"/>
          <w:color w:val="000000"/>
          <w:lang w:val="es-ES"/>
        </w:rPr>
      </w:pPr>
    </w:p>
    <w:p w14:paraId="26D8ACEC" w14:textId="338DD7B7" w:rsidR="00447EE3" w:rsidRPr="0042561E" w:rsidRDefault="00447EE3" w:rsidP="00447EE3">
      <w:pPr>
        <w:spacing w:after="0" w:line="360" w:lineRule="auto"/>
        <w:contextualSpacing/>
        <w:rPr>
          <w:rFonts w:eastAsia="Calibri" w:cs="Tahoma"/>
          <w:iCs/>
          <w:color w:val="000000"/>
        </w:rPr>
      </w:pPr>
      <w:r w:rsidRPr="0042561E">
        <w:rPr>
          <w:rFonts w:eastAsia="Calibri" w:cs="Tahoma"/>
          <w:iCs/>
          <w:color w:val="000000"/>
        </w:rPr>
        <w:t xml:space="preserve">De conformidad con el artículo 198 de la Ley </w:t>
      </w:r>
      <w:r w:rsidR="0013775A" w:rsidRPr="0042561E">
        <w:rPr>
          <w:rFonts w:eastAsia="Calibri" w:cs="Tahoma"/>
          <w:iCs/>
          <w:color w:val="000000"/>
        </w:rPr>
        <w:t>de la materia</w:t>
      </w:r>
      <w:r w:rsidRPr="0042561E">
        <w:rPr>
          <w:rFonts w:eastAsia="Calibri" w:cs="Tahoma"/>
          <w:iCs/>
          <w:color w:val="000000"/>
        </w:rPr>
        <w:t>, de considerarlo procedente, el Sujeto Obligado de manera fundada y motivada, podrá solicitar una ampliación de plazo para el cumplimiento de la presente resolución.</w:t>
      </w:r>
    </w:p>
    <w:p w14:paraId="616E906E" w14:textId="77777777" w:rsidR="00447EE3" w:rsidRPr="0042561E" w:rsidRDefault="00447EE3" w:rsidP="00447EE3">
      <w:pPr>
        <w:spacing w:after="0" w:line="360" w:lineRule="auto"/>
        <w:contextualSpacing/>
        <w:rPr>
          <w:rFonts w:eastAsia="Calibri" w:cs="Tahoma"/>
          <w:color w:val="000000"/>
          <w:lang w:val="es-ES"/>
        </w:rPr>
      </w:pPr>
    </w:p>
    <w:p w14:paraId="69A7BCBA" w14:textId="77777777" w:rsidR="00447EE3" w:rsidRPr="0042561E" w:rsidRDefault="00447EE3" w:rsidP="00447EE3">
      <w:pPr>
        <w:spacing w:after="0" w:line="360" w:lineRule="auto"/>
        <w:contextualSpacing/>
        <w:rPr>
          <w:rFonts w:eastAsia="Times New Roman" w:cs="Tahoma"/>
          <w:lang w:eastAsia="es-ES"/>
        </w:rPr>
      </w:pPr>
      <w:r w:rsidRPr="0042561E">
        <w:rPr>
          <w:rFonts w:eastAsia="Calibri" w:cs="Tahoma"/>
          <w:b/>
        </w:rPr>
        <w:t>CUARTO</w:t>
      </w:r>
      <w:r w:rsidRPr="0042561E">
        <w:rPr>
          <w:rFonts w:eastAsia="Calibri" w:cs="Tahoma"/>
          <w:b/>
          <w:bCs/>
        </w:rPr>
        <w:t xml:space="preserve">. </w:t>
      </w:r>
      <w:r w:rsidRPr="0042561E">
        <w:rPr>
          <w:rFonts w:cs="Tahoma"/>
          <w:b/>
        </w:rPr>
        <w:t>NOTIFÍQUESE POR SAIMEX</w:t>
      </w:r>
      <w:r w:rsidRPr="0042561E">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3001392" w14:textId="77777777" w:rsidR="00447EE3" w:rsidRPr="0042561E" w:rsidRDefault="00447EE3" w:rsidP="00447EE3">
      <w:pPr>
        <w:spacing w:after="0" w:line="360" w:lineRule="auto"/>
        <w:contextualSpacing/>
        <w:rPr>
          <w:rFonts w:cs="Arial"/>
          <w:b/>
          <w:bCs/>
        </w:rPr>
      </w:pPr>
    </w:p>
    <w:p w14:paraId="14FBA660" w14:textId="3F974AC0" w:rsidR="00447EE3" w:rsidRDefault="00447EE3" w:rsidP="00447EE3">
      <w:pPr>
        <w:spacing w:after="0" w:line="360" w:lineRule="auto"/>
        <w:contextualSpacing/>
        <w:rPr>
          <w:rFonts w:cs="Tahoma"/>
          <w:b/>
          <w:bCs/>
        </w:rPr>
      </w:pPr>
      <w:r w:rsidRPr="0042561E">
        <w:rPr>
          <w:rFonts w:eastAsia="Calibri" w:cs="Tahoma"/>
          <w:bCs/>
        </w:rPr>
        <w:t>ASÍ LO RESUELVE, POR </w:t>
      </w:r>
      <w:r w:rsidRPr="0042561E">
        <w:rPr>
          <w:rFonts w:eastAsia="Calibri" w:cs="Tahoma"/>
          <w:b/>
          <w:bCs/>
        </w:rPr>
        <w:t>UNANIMIDAD</w:t>
      </w:r>
      <w:r w:rsidRPr="0042561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13EBE" w:rsidRPr="0042561E">
        <w:rPr>
          <w:rFonts w:eastAsia="Calibri" w:cs="Tahoma"/>
          <w:bCs/>
        </w:rPr>
        <w:t>CUADRAGÉSIMA</w:t>
      </w:r>
      <w:r w:rsidR="008427E5" w:rsidRPr="0042561E">
        <w:rPr>
          <w:rFonts w:eastAsia="Calibri" w:cs="Tahoma"/>
          <w:bCs/>
        </w:rPr>
        <w:t xml:space="preserve"> SEGUNDA</w:t>
      </w:r>
      <w:r w:rsidRPr="0042561E">
        <w:rPr>
          <w:rFonts w:eastAsia="Calibri" w:cs="Tahoma"/>
          <w:bCs/>
        </w:rPr>
        <w:t xml:space="preserve"> SESIÓN ORDINARIA, CELEBRADA EL </w:t>
      </w:r>
      <w:r w:rsidR="008427E5" w:rsidRPr="0042561E">
        <w:rPr>
          <w:rFonts w:eastAsia="Calibri" w:cs="Tahoma"/>
          <w:bCs/>
        </w:rPr>
        <w:t>CUATRO DE DICIEMBRE</w:t>
      </w:r>
      <w:r w:rsidRPr="0042561E">
        <w:rPr>
          <w:rFonts w:eastAsia="Calibri" w:cs="Tahoma"/>
          <w:bCs/>
        </w:rPr>
        <w:t xml:space="preserve"> DE DOS MIL VEINTICUATRO, ANTE EL SECRETARIO TÉCNICO DEL PLENO, ALEXIS TAPIA RAMÍREZ.</w:t>
      </w:r>
    </w:p>
    <w:p w14:paraId="56795B2D" w14:textId="77777777" w:rsidR="00447EE3" w:rsidRDefault="00447EE3" w:rsidP="00A45DC5">
      <w:pPr>
        <w:spacing w:after="0" w:line="360" w:lineRule="auto"/>
        <w:rPr>
          <w:color w:val="000000"/>
        </w:rPr>
      </w:pPr>
    </w:p>
    <w:p w14:paraId="51B53487" w14:textId="77777777" w:rsidR="00DB7A46" w:rsidRDefault="00DB7A46" w:rsidP="00A45DC5">
      <w:pPr>
        <w:spacing w:after="0" w:line="360" w:lineRule="auto"/>
        <w:rPr>
          <w:color w:val="000000"/>
        </w:rPr>
      </w:pPr>
    </w:p>
    <w:p w14:paraId="1A1404EE" w14:textId="77777777" w:rsidR="00DB7A46" w:rsidRDefault="00DB7A46" w:rsidP="00A45DC5">
      <w:pPr>
        <w:spacing w:after="0" w:line="360" w:lineRule="auto"/>
        <w:rPr>
          <w:color w:val="000000"/>
        </w:rPr>
      </w:pPr>
    </w:p>
    <w:p w14:paraId="69D38C79" w14:textId="77777777" w:rsidR="00DB7A46" w:rsidRDefault="00DB7A46" w:rsidP="00A45DC5">
      <w:pPr>
        <w:spacing w:after="0" w:line="360" w:lineRule="auto"/>
        <w:rPr>
          <w:color w:val="000000"/>
        </w:rPr>
      </w:pPr>
    </w:p>
    <w:p w14:paraId="4BAA162C" w14:textId="77777777" w:rsidR="00DB7A46" w:rsidRDefault="00DB7A46" w:rsidP="00A45DC5">
      <w:pPr>
        <w:spacing w:after="0" w:line="360" w:lineRule="auto"/>
        <w:rPr>
          <w:color w:val="000000"/>
        </w:rPr>
      </w:pPr>
    </w:p>
    <w:p w14:paraId="3A473241" w14:textId="77777777" w:rsidR="00DB7A46" w:rsidRDefault="00DB7A46" w:rsidP="00A45DC5">
      <w:pPr>
        <w:spacing w:after="0" w:line="360" w:lineRule="auto"/>
        <w:rPr>
          <w:color w:val="000000"/>
        </w:rPr>
      </w:pPr>
    </w:p>
    <w:p w14:paraId="4CA30076" w14:textId="77777777" w:rsidR="006C7941" w:rsidRPr="004F055F" w:rsidRDefault="006C7941" w:rsidP="00A45DC5">
      <w:pPr>
        <w:spacing w:after="0" w:line="360" w:lineRule="auto"/>
        <w:rPr>
          <w:rFonts w:eastAsia="Calibri" w:cs="Times New Roman"/>
          <w:bCs/>
          <w:color w:val="000000"/>
        </w:rPr>
      </w:pPr>
    </w:p>
    <w:bookmarkEnd w:id="5"/>
    <w:p w14:paraId="4291BD38" w14:textId="77777777" w:rsidR="00C90DF7" w:rsidRDefault="00C90DF7" w:rsidP="00A45DC5">
      <w:pPr>
        <w:spacing w:after="0" w:line="360" w:lineRule="auto"/>
        <w:contextualSpacing/>
        <w:rPr>
          <w:rFonts w:eastAsia="Calibri" w:cs="Times New Roman"/>
          <w:bCs/>
          <w:color w:val="000000"/>
        </w:rPr>
      </w:pPr>
    </w:p>
    <w:p w14:paraId="77FEB688" w14:textId="77777777" w:rsidR="00DB3DC5" w:rsidRDefault="00DB3DC5" w:rsidP="00A45DC5">
      <w:pPr>
        <w:spacing w:after="0" w:line="360" w:lineRule="auto"/>
        <w:contextualSpacing/>
      </w:pPr>
    </w:p>
    <w:p w14:paraId="01AD689C" w14:textId="77777777" w:rsidR="00DB3DC5" w:rsidRDefault="00DB3DC5" w:rsidP="00A45DC5">
      <w:pPr>
        <w:spacing w:after="0" w:line="360" w:lineRule="auto"/>
        <w:contextualSpacing/>
      </w:pPr>
    </w:p>
    <w:p w14:paraId="3EC3E9BD" w14:textId="77777777" w:rsidR="00CE7148" w:rsidRDefault="00CE7148" w:rsidP="00A45DC5">
      <w:pPr>
        <w:spacing w:after="0" w:line="360" w:lineRule="auto"/>
      </w:pPr>
    </w:p>
    <w:sectPr w:rsidR="00CE7148" w:rsidSect="007F271C">
      <w:headerReference w:type="even" r:id="rId18"/>
      <w:headerReference w:type="default" r:id="rId19"/>
      <w:footerReference w:type="even" r:id="rId20"/>
      <w:footerReference w:type="default" r:id="rId21"/>
      <w:headerReference w:type="first" r:id="rId22"/>
      <w:footerReference w:type="first" r:id="rId23"/>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0179A" w14:textId="77777777" w:rsidR="008D5266" w:rsidRDefault="008D5266" w:rsidP="00DB3DC5">
      <w:pPr>
        <w:spacing w:after="0" w:line="240" w:lineRule="auto"/>
      </w:pPr>
      <w:r>
        <w:separator/>
      </w:r>
    </w:p>
  </w:endnote>
  <w:endnote w:type="continuationSeparator" w:id="0">
    <w:p w14:paraId="11574858" w14:textId="77777777" w:rsidR="008D5266" w:rsidRDefault="008D5266"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28AB">
              <w:rPr>
                <w:b/>
                <w:bCs/>
                <w:noProof/>
              </w:rPr>
              <w:t>20</w:t>
            </w:r>
            <w:r>
              <w:rPr>
                <w:b/>
                <w:bCs/>
                <w:sz w:val="24"/>
                <w:szCs w:val="24"/>
              </w:rPr>
              <w:fldChar w:fldCharType="end"/>
            </w:r>
          </w:p>
        </w:sdtContent>
      </w:sdt>
    </w:sdtContent>
  </w:sdt>
  <w:p w14:paraId="68EED6E3" w14:textId="77777777" w:rsidR="00F43CA6" w:rsidRDefault="00F43C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28AB">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28AB">
              <w:rPr>
                <w:b/>
                <w:bCs/>
                <w:noProof/>
              </w:rPr>
              <w:t>20</w:t>
            </w:r>
            <w:r>
              <w:rPr>
                <w:b/>
                <w:bCs/>
                <w:sz w:val="24"/>
                <w:szCs w:val="24"/>
              </w:rPr>
              <w:fldChar w:fldCharType="end"/>
            </w:r>
          </w:p>
        </w:sdtContent>
      </w:sdt>
    </w:sdtContent>
  </w:sdt>
  <w:p w14:paraId="5C9540ED" w14:textId="77777777" w:rsidR="00F43CA6" w:rsidRDefault="00F43C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28A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28AB">
              <w:rPr>
                <w:b/>
                <w:bCs/>
                <w:noProof/>
              </w:rPr>
              <w:t>20</w:t>
            </w:r>
            <w:r>
              <w:rPr>
                <w:b/>
                <w:bCs/>
                <w:sz w:val="24"/>
                <w:szCs w:val="24"/>
              </w:rPr>
              <w:fldChar w:fldCharType="end"/>
            </w:r>
          </w:p>
        </w:sdtContent>
      </w:sdt>
    </w:sdtContent>
  </w:sdt>
  <w:p w14:paraId="601C40B8" w14:textId="77777777" w:rsidR="00F43CA6" w:rsidRDefault="00F43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4704" w14:textId="77777777" w:rsidR="008D5266" w:rsidRDefault="008D5266" w:rsidP="00DB3DC5">
      <w:pPr>
        <w:spacing w:after="0" w:line="240" w:lineRule="auto"/>
      </w:pPr>
      <w:r>
        <w:separator/>
      </w:r>
    </w:p>
  </w:footnote>
  <w:footnote w:type="continuationSeparator" w:id="0">
    <w:p w14:paraId="71AAE2AE" w14:textId="77777777" w:rsidR="008D5266" w:rsidRDefault="008D5266"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F43CA6" w:rsidRPr="00E152D8" w14:paraId="04B090CA" w14:textId="77777777" w:rsidTr="00347876">
      <w:trPr>
        <w:trHeight w:val="132"/>
      </w:trPr>
      <w:tc>
        <w:tcPr>
          <w:tcW w:w="2691" w:type="dxa"/>
        </w:tcPr>
        <w:p w14:paraId="476D4D8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F43CA6" w:rsidRPr="00EE1572" w:rsidRDefault="00F43CA6" w:rsidP="00347876">
          <w:pPr>
            <w:tabs>
              <w:tab w:val="right" w:pos="8838"/>
            </w:tabs>
            <w:ind w:left="-28" w:right="-32"/>
            <w:rPr>
              <w:rFonts w:eastAsia="Calibri" w:cs="Tahoma"/>
            </w:rPr>
          </w:pPr>
          <w:r w:rsidRPr="00EE1572">
            <w:rPr>
              <w:rFonts w:eastAsia="Calibri" w:cs="Tahoma"/>
            </w:rPr>
            <w:t>03846/INFOEM/IP/RR/2020</w:t>
          </w:r>
        </w:p>
      </w:tc>
    </w:tr>
    <w:tr w:rsidR="00F43CA6" w:rsidRPr="00E152D8" w14:paraId="1A944E3B" w14:textId="77777777" w:rsidTr="00347876">
      <w:trPr>
        <w:trHeight w:val="261"/>
      </w:trPr>
      <w:tc>
        <w:tcPr>
          <w:tcW w:w="2691" w:type="dxa"/>
        </w:tcPr>
        <w:p w14:paraId="04AF3D79"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F43CA6" w:rsidRPr="00EE1572" w:rsidRDefault="00F43CA6" w:rsidP="00347876">
          <w:pPr>
            <w:tabs>
              <w:tab w:val="right" w:pos="8838"/>
            </w:tabs>
            <w:ind w:right="-32"/>
            <w:rPr>
              <w:rFonts w:eastAsia="Calibri" w:cs="Tahoma"/>
              <w:lang w:val="es-MX"/>
            </w:rPr>
          </w:pPr>
          <w:r w:rsidRPr="00EE1572">
            <w:rPr>
              <w:rFonts w:eastAsia="Calibri" w:cs="Tahoma"/>
              <w:lang w:val="es-MX"/>
            </w:rPr>
            <w:t>Ayuntamiento de Temascalcingo</w:t>
          </w:r>
        </w:p>
      </w:tc>
    </w:tr>
    <w:tr w:rsidR="00F43CA6" w:rsidRPr="00E152D8" w14:paraId="51F43EE6" w14:textId="77777777" w:rsidTr="00347876">
      <w:trPr>
        <w:trHeight w:val="261"/>
      </w:trPr>
      <w:tc>
        <w:tcPr>
          <w:tcW w:w="2691" w:type="dxa"/>
        </w:tcPr>
        <w:p w14:paraId="4689E914"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F43CA6" w:rsidRPr="00E152D8" w:rsidRDefault="00F43CA6"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F43CA6" w:rsidRDefault="00F35A5D">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804"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69765E" w:rsidRPr="00E152D8" w14:paraId="6AD70801" w14:textId="77777777" w:rsidTr="005F4C2F">
      <w:trPr>
        <w:trHeight w:val="138"/>
      </w:trPr>
      <w:tc>
        <w:tcPr>
          <w:tcW w:w="2551" w:type="dxa"/>
          <w:vAlign w:val="center"/>
        </w:tcPr>
        <w:p w14:paraId="4714C583" w14:textId="77777777" w:rsidR="00F43CA6" w:rsidRPr="00E152D8" w:rsidRDefault="00F43CA6"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3" w:type="dxa"/>
        </w:tcPr>
        <w:p w14:paraId="02EA1FEA" w14:textId="4B458F2A" w:rsidR="00F43CA6" w:rsidRPr="00051642" w:rsidRDefault="005F4C2F" w:rsidP="005F4C2F">
          <w:pPr>
            <w:tabs>
              <w:tab w:val="right" w:pos="8838"/>
            </w:tabs>
            <w:ind w:right="-108"/>
            <w:rPr>
              <w:rFonts w:eastAsia="Calibri" w:cs="Tahoma"/>
            </w:rPr>
          </w:pPr>
          <w:r>
            <w:t>0</w:t>
          </w:r>
          <w:r w:rsidR="003E58B5">
            <w:t>7191</w:t>
          </w:r>
          <w:r w:rsidR="00F43CA6" w:rsidRPr="00180E70">
            <w:t>/INFOEM/IP/RR/2024</w:t>
          </w:r>
          <w:r w:rsidR="00F43CA6">
            <w:t xml:space="preserve"> </w:t>
          </w:r>
          <w:r w:rsidR="00F43CA6">
            <w:rPr>
              <w:rFonts w:eastAsia="Calibri" w:cs="Tahoma"/>
              <w:lang w:val="es-MX"/>
            </w:rPr>
            <w:t>y acumulado</w:t>
          </w:r>
          <w:r>
            <w:rPr>
              <w:rFonts w:eastAsia="Calibri" w:cs="Tahoma"/>
              <w:lang w:val="es-MX"/>
            </w:rPr>
            <w:t>s</w:t>
          </w:r>
        </w:p>
      </w:tc>
    </w:tr>
    <w:tr w:rsidR="0069765E" w:rsidRPr="00E152D8" w14:paraId="7FF5EABC" w14:textId="77777777" w:rsidTr="005F4C2F">
      <w:trPr>
        <w:trHeight w:val="273"/>
      </w:trPr>
      <w:tc>
        <w:tcPr>
          <w:tcW w:w="2551" w:type="dxa"/>
        </w:tcPr>
        <w:p w14:paraId="565B10D1"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7EA0F578" w14:textId="714B58BB" w:rsidR="00F43CA6" w:rsidRPr="00051642" w:rsidRDefault="00F43CA6" w:rsidP="0069765E">
          <w:pPr>
            <w:tabs>
              <w:tab w:val="right" w:pos="8838"/>
            </w:tabs>
            <w:ind w:right="169"/>
            <w:rPr>
              <w:rFonts w:eastAsia="Calibri" w:cs="Tahoma"/>
              <w:lang w:val="es-MX"/>
            </w:rPr>
          </w:pPr>
          <w:r>
            <w:rPr>
              <w:bCs/>
              <w:color w:val="000000"/>
              <w:szCs w:val="14"/>
            </w:rPr>
            <w:t xml:space="preserve">Ayuntamiento </w:t>
          </w:r>
          <w:r w:rsidR="009777A3">
            <w:rPr>
              <w:bCs/>
              <w:color w:val="000000"/>
              <w:szCs w:val="14"/>
            </w:rPr>
            <w:t xml:space="preserve">de </w:t>
          </w:r>
          <w:r w:rsidR="003E58B5">
            <w:rPr>
              <w:bCs/>
              <w:color w:val="000000"/>
              <w:szCs w:val="14"/>
            </w:rPr>
            <w:t>Nextlalpan</w:t>
          </w:r>
        </w:p>
      </w:tc>
    </w:tr>
    <w:tr w:rsidR="0069765E" w:rsidRPr="00E152D8" w14:paraId="3156BE5F" w14:textId="77777777" w:rsidTr="005F4C2F">
      <w:trPr>
        <w:trHeight w:val="273"/>
      </w:trPr>
      <w:tc>
        <w:tcPr>
          <w:tcW w:w="2551" w:type="dxa"/>
        </w:tcPr>
        <w:p w14:paraId="183B2F1A"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318AB537" w14:textId="77777777" w:rsidR="00F43CA6" w:rsidRPr="00E152D8" w:rsidRDefault="00F43CA6" w:rsidP="0069765E">
          <w:pPr>
            <w:tabs>
              <w:tab w:val="right" w:pos="8838"/>
            </w:tabs>
            <w:ind w:right="-170"/>
            <w:rPr>
              <w:rFonts w:eastAsia="Calibri" w:cs="Tahoma"/>
              <w:b/>
              <w:lang w:val="es-MX"/>
            </w:rPr>
          </w:pPr>
          <w:r w:rsidRPr="00E152D8">
            <w:rPr>
              <w:rFonts w:eastAsia="Calibri" w:cs="Tahoma"/>
              <w:lang w:val="es-MX"/>
            </w:rPr>
            <w:t>Luis Gustavo Parra Noriega</w:t>
          </w:r>
        </w:p>
      </w:tc>
    </w:tr>
  </w:tbl>
  <w:p w14:paraId="67D20F9C" w14:textId="77777777" w:rsidR="00F43CA6" w:rsidRDefault="00F35A5D"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379"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828"/>
    </w:tblGrid>
    <w:tr w:rsidR="0069765E" w:rsidRPr="00E152D8" w14:paraId="773597DE" w14:textId="77777777" w:rsidTr="005F4C2F">
      <w:trPr>
        <w:trHeight w:val="132"/>
      </w:trPr>
      <w:tc>
        <w:tcPr>
          <w:tcW w:w="2551" w:type="dxa"/>
        </w:tcPr>
        <w:p w14:paraId="4FCB3AA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3828" w:type="dxa"/>
        </w:tcPr>
        <w:p w14:paraId="42955DA0" w14:textId="6F2B0547" w:rsidR="00F43CA6" w:rsidRPr="00051642" w:rsidRDefault="003E58B5" w:rsidP="005F4C2F">
          <w:pPr>
            <w:tabs>
              <w:tab w:val="right" w:pos="8838"/>
            </w:tabs>
            <w:ind w:left="-111" w:right="597"/>
            <w:rPr>
              <w:rFonts w:eastAsia="Calibri" w:cs="Tahoma"/>
            </w:rPr>
          </w:pPr>
          <w:r>
            <w:t>07191</w:t>
          </w:r>
          <w:r w:rsidR="00F43CA6" w:rsidRPr="00180E70">
            <w:t>/INFOEM/IP/RR/2024</w:t>
          </w:r>
          <w:r w:rsidR="00F43CA6">
            <w:t xml:space="preserve"> </w:t>
          </w:r>
          <w:r w:rsidR="00F43CA6">
            <w:rPr>
              <w:rFonts w:eastAsia="Calibri" w:cs="Tahoma"/>
              <w:lang w:val="es-MX"/>
            </w:rPr>
            <w:t>y acumulado</w:t>
          </w:r>
          <w:r w:rsidR="005F4C2F">
            <w:rPr>
              <w:rFonts w:eastAsia="Calibri" w:cs="Tahoma"/>
              <w:lang w:val="es-MX"/>
            </w:rPr>
            <w:t>s</w:t>
          </w:r>
        </w:p>
      </w:tc>
    </w:tr>
    <w:tr w:rsidR="0069765E" w:rsidRPr="00E152D8" w14:paraId="202FB661" w14:textId="77777777" w:rsidTr="005F4C2F">
      <w:trPr>
        <w:trHeight w:val="132"/>
      </w:trPr>
      <w:tc>
        <w:tcPr>
          <w:tcW w:w="2551" w:type="dxa"/>
          <w:shd w:val="clear" w:color="auto" w:fill="auto"/>
        </w:tcPr>
        <w:p w14:paraId="5E100A32" w14:textId="77777777" w:rsidR="00F43CA6" w:rsidRPr="00E152D8" w:rsidRDefault="00F43CA6"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3828" w:type="dxa"/>
          <w:shd w:val="clear" w:color="auto" w:fill="auto"/>
        </w:tcPr>
        <w:p w14:paraId="1FFEB7B3" w14:textId="77777777" w:rsidR="00F43CA6" w:rsidRPr="00720CA7" w:rsidRDefault="00720CA7" w:rsidP="00DB3DC5">
          <w:pPr>
            <w:tabs>
              <w:tab w:val="right" w:pos="8838"/>
            </w:tabs>
            <w:ind w:left="-113"/>
            <w:rPr>
              <w:rFonts w:eastAsia="Calibri" w:cs="Tahoma"/>
              <w:highlight w:val="black"/>
              <w:lang w:val="es-MX"/>
            </w:rPr>
          </w:pPr>
          <w:r w:rsidRPr="00720CA7">
            <w:rPr>
              <w:rFonts w:eastAsia="Calibri" w:cs="Tahoma"/>
              <w:highlight w:val="black"/>
              <w:lang w:val="es-MX"/>
            </w:rPr>
            <w:t>XXXXXXXXXXXXXXXXXXXXX</w:t>
          </w:r>
        </w:p>
        <w:p w14:paraId="28640565" w14:textId="530B92A4" w:rsidR="00720CA7" w:rsidRPr="00E21446" w:rsidRDefault="00720CA7" w:rsidP="00DB3DC5">
          <w:pPr>
            <w:tabs>
              <w:tab w:val="right" w:pos="8838"/>
            </w:tabs>
            <w:ind w:left="-113"/>
            <w:rPr>
              <w:rFonts w:eastAsia="Calibri" w:cs="Tahoma"/>
              <w:lang w:val="es-MX"/>
            </w:rPr>
          </w:pPr>
          <w:r w:rsidRPr="00720CA7">
            <w:rPr>
              <w:rFonts w:eastAsia="Calibri" w:cs="Tahoma"/>
              <w:highlight w:val="black"/>
              <w:lang w:val="es-MX"/>
            </w:rPr>
            <w:t>XXXXXXXX</w:t>
          </w:r>
        </w:p>
      </w:tc>
    </w:tr>
    <w:tr w:rsidR="0069765E" w:rsidRPr="00E152D8" w14:paraId="1BA9B09B" w14:textId="77777777" w:rsidTr="005F4C2F">
      <w:trPr>
        <w:trHeight w:val="261"/>
      </w:trPr>
      <w:tc>
        <w:tcPr>
          <w:tcW w:w="2551" w:type="dxa"/>
        </w:tcPr>
        <w:p w14:paraId="6174740A"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828" w:type="dxa"/>
        </w:tcPr>
        <w:p w14:paraId="4B948471" w14:textId="10FBB292" w:rsidR="00F43CA6" w:rsidRPr="00180E70" w:rsidRDefault="00F43CA6" w:rsidP="005F4C2F">
          <w:pPr>
            <w:tabs>
              <w:tab w:val="right" w:pos="8838"/>
            </w:tabs>
            <w:ind w:left="-111" w:right="456"/>
            <w:rPr>
              <w:rFonts w:eastAsia="Calibri" w:cs="Tahoma"/>
              <w:lang w:val="es-MX"/>
            </w:rPr>
          </w:pPr>
          <w:r>
            <w:rPr>
              <w:bCs/>
              <w:color w:val="000000"/>
              <w:szCs w:val="14"/>
            </w:rPr>
            <w:t>Ayuntamiento de</w:t>
          </w:r>
          <w:r w:rsidR="009777A3">
            <w:rPr>
              <w:bCs/>
              <w:color w:val="000000"/>
              <w:szCs w:val="14"/>
            </w:rPr>
            <w:t xml:space="preserve"> </w:t>
          </w:r>
          <w:r w:rsidR="003E58B5">
            <w:rPr>
              <w:bCs/>
              <w:color w:val="000000"/>
              <w:szCs w:val="14"/>
            </w:rPr>
            <w:t>Nextlalpan</w:t>
          </w:r>
        </w:p>
      </w:tc>
    </w:tr>
    <w:tr w:rsidR="0069765E" w:rsidRPr="00E152D8" w14:paraId="3F18AACD" w14:textId="77777777" w:rsidTr="005F4C2F">
      <w:trPr>
        <w:trHeight w:val="261"/>
      </w:trPr>
      <w:tc>
        <w:tcPr>
          <w:tcW w:w="2551" w:type="dxa"/>
        </w:tcPr>
        <w:p w14:paraId="57E8DDB5"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3828" w:type="dxa"/>
        </w:tcPr>
        <w:p w14:paraId="1B8E59D3" w14:textId="77777777" w:rsidR="00F43CA6" w:rsidRPr="00E152D8" w:rsidRDefault="00F43CA6"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F43CA6" w:rsidRDefault="00F35A5D"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C70"/>
    <w:multiLevelType w:val="hybridMultilevel"/>
    <w:tmpl w:val="9A3C8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6C2743"/>
    <w:multiLevelType w:val="hybridMultilevel"/>
    <w:tmpl w:val="C5BEC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510FFF"/>
    <w:multiLevelType w:val="hybridMultilevel"/>
    <w:tmpl w:val="13D8C566"/>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 w15:restartNumberingAfterBreak="0">
    <w:nsid w:val="26636C2C"/>
    <w:multiLevelType w:val="hybridMultilevel"/>
    <w:tmpl w:val="5B24F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C865C3"/>
    <w:multiLevelType w:val="hybridMultilevel"/>
    <w:tmpl w:val="71BA6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314443C"/>
    <w:multiLevelType w:val="multilevel"/>
    <w:tmpl w:val="067A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EB34B7"/>
    <w:multiLevelType w:val="hybridMultilevel"/>
    <w:tmpl w:val="13D8C56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0E5C6D"/>
    <w:multiLevelType w:val="hybridMultilevel"/>
    <w:tmpl w:val="13D8C566"/>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4" w15:restartNumberingAfterBreak="0">
    <w:nsid w:val="43013C50"/>
    <w:multiLevelType w:val="hybridMultilevel"/>
    <w:tmpl w:val="71BA6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CF08E8"/>
    <w:multiLevelType w:val="hybridMultilevel"/>
    <w:tmpl w:val="C36483E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FB75649"/>
    <w:multiLevelType w:val="hybridMultilevel"/>
    <w:tmpl w:val="FAF4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2E6E67"/>
    <w:multiLevelType w:val="hybridMultilevel"/>
    <w:tmpl w:val="4A3E8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40A434B"/>
    <w:multiLevelType w:val="hybridMultilevel"/>
    <w:tmpl w:val="13D8C566"/>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15:restartNumberingAfterBreak="0">
    <w:nsid w:val="55FA194C"/>
    <w:multiLevelType w:val="hybridMultilevel"/>
    <w:tmpl w:val="71BA6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C535A9"/>
    <w:multiLevelType w:val="hybridMultilevel"/>
    <w:tmpl w:val="8F8C6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025FAD"/>
    <w:multiLevelType w:val="hybridMultilevel"/>
    <w:tmpl w:val="59F6AD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186D9D"/>
    <w:multiLevelType w:val="hybridMultilevel"/>
    <w:tmpl w:val="71BA6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417A76"/>
    <w:multiLevelType w:val="hybridMultilevel"/>
    <w:tmpl w:val="14F69642"/>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A432968"/>
    <w:multiLevelType w:val="hybridMultilevel"/>
    <w:tmpl w:val="57666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ED46DB5"/>
    <w:multiLevelType w:val="hybridMultilevel"/>
    <w:tmpl w:val="13D8C566"/>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26495042">
    <w:abstractNumId w:val="18"/>
  </w:num>
  <w:num w:numId="2" w16cid:durableId="5676926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435651">
    <w:abstractNumId w:val="3"/>
  </w:num>
  <w:num w:numId="4" w16cid:durableId="1041054648">
    <w:abstractNumId w:val="31"/>
  </w:num>
  <w:num w:numId="5" w16cid:durableId="1559778395">
    <w:abstractNumId w:val="4"/>
  </w:num>
  <w:num w:numId="6" w16cid:durableId="309987305">
    <w:abstractNumId w:val="16"/>
  </w:num>
  <w:num w:numId="7" w16cid:durableId="842431399">
    <w:abstractNumId w:val="11"/>
  </w:num>
  <w:num w:numId="8" w16cid:durableId="189297806">
    <w:abstractNumId w:val="17"/>
  </w:num>
  <w:num w:numId="9" w16cid:durableId="1207108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6344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9437426">
    <w:abstractNumId w:val="26"/>
  </w:num>
  <w:num w:numId="12" w16cid:durableId="1921981858">
    <w:abstractNumId w:val="15"/>
  </w:num>
  <w:num w:numId="13" w16cid:durableId="1117484287">
    <w:abstractNumId w:val="7"/>
  </w:num>
  <w:num w:numId="14" w16cid:durableId="549726936">
    <w:abstractNumId w:val="25"/>
  </w:num>
  <w:num w:numId="15" w16cid:durableId="1915045169">
    <w:abstractNumId w:val="14"/>
  </w:num>
  <w:num w:numId="16" w16cid:durableId="902987342">
    <w:abstractNumId w:val="22"/>
  </w:num>
  <w:num w:numId="17" w16cid:durableId="733967700">
    <w:abstractNumId w:val="10"/>
  </w:num>
  <w:num w:numId="18" w16cid:durableId="819469359">
    <w:abstractNumId w:val="23"/>
  </w:num>
  <w:num w:numId="19" w16cid:durableId="1438714660">
    <w:abstractNumId w:val="24"/>
  </w:num>
  <w:num w:numId="20" w16cid:durableId="243956520">
    <w:abstractNumId w:val="1"/>
  </w:num>
  <w:num w:numId="21" w16cid:durableId="789864427">
    <w:abstractNumId w:val="19"/>
  </w:num>
  <w:num w:numId="22" w16cid:durableId="130755013">
    <w:abstractNumId w:val="21"/>
  </w:num>
  <w:num w:numId="23" w16cid:durableId="60687872">
    <w:abstractNumId w:val="28"/>
  </w:num>
  <w:num w:numId="24" w16cid:durableId="1821076886">
    <w:abstractNumId w:val="6"/>
  </w:num>
  <w:num w:numId="25" w16cid:durableId="909537831">
    <w:abstractNumId w:val="13"/>
  </w:num>
  <w:num w:numId="26" w16cid:durableId="895970385">
    <w:abstractNumId w:val="32"/>
  </w:num>
  <w:num w:numId="27" w16cid:durableId="2003387157">
    <w:abstractNumId w:val="5"/>
  </w:num>
  <w:num w:numId="28" w16cid:durableId="27537157">
    <w:abstractNumId w:val="0"/>
  </w:num>
  <w:num w:numId="29" w16cid:durableId="67270167">
    <w:abstractNumId w:val="9"/>
  </w:num>
  <w:num w:numId="30" w16cid:durableId="2027949534">
    <w:abstractNumId w:val="12"/>
  </w:num>
  <w:num w:numId="31" w16cid:durableId="1560555853">
    <w:abstractNumId w:val="2"/>
  </w:num>
  <w:num w:numId="32" w16cid:durableId="1714648454">
    <w:abstractNumId w:val="29"/>
  </w:num>
  <w:num w:numId="33" w16cid:durableId="1243754328">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45A6"/>
    <w:rsid w:val="00014BE4"/>
    <w:rsid w:val="00020AD3"/>
    <w:rsid w:val="00021C8D"/>
    <w:rsid w:val="00021EBC"/>
    <w:rsid w:val="00036E16"/>
    <w:rsid w:val="00037991"/>
    <w:rsid w:val="00045728"/>
    <w:rsid w:val="00046A54"/>
    <w:rsid w:val="000644D9"/>
    <w:rsid w:val="00066007"/>
    <w:rsid w:val="00070115"/>
    <w:rsid w:val="000729D1"/>
    <w:rsid w:val="00075392"/>
    <w:rsid w:val="00083012"/>
    <w:rsid w:val="000845AF"/>
    <w:rsid w:val="0008576C"/>
    <w:rsid w:val="00086A5E"/>
    <w:rsid w:val="00094584"/>
    <w:rsid w:val="000A0310"/>
    <w:rsid w:val="000A0A70"/>
    <w:rsid w:val="000A0C40"/>
    <w:rsid w:val="000A2D13"/>
    <w:rsid w:val="000A3E85"/>
    <w:rsid w:val="000A4D8C"/>
    <w:rsid w:val="000B2239"/>
    <w:rsid w:val="000B5683"/>
    <w:rsid w:val="000B6729"/>
    <w:rsid w:val="000B7166"/>
    <w:rsid w:val="000C23EC"/>
    <w:rsid w:val="000C2FB7"/>
    <w:rsid w:val="000C3B1F"/>
    <w:rsid w:val="000C3B34"/>
    <w:rsid w:val="000D1C9F"/>
    <w:rsid w:val="000D38A4"/>
    <w:rsid w:val="000D5D25"/>
    <w:rsid w:val="000E0E8D"/>
    <w:rsid w:val="000E6192"/>
    <w:rsid w:val="000E6C1E"/>
    <w:rsid w:val="000F5268"/>
    <w:rsid w:val="000F5AD1"/>
    <w:rsid w:val="001023EA"/>
    <w:rsid w:val="00102F00"/>
    <w:rsid w:val="0010603A"/>
    <w:rsid w:val="001067F6"/>
    <w:rsid w:val="0011060D"/>
    <w:rsid w:val="00110D4D"/>
    <w:rsid w:val="00121303"/>
    <w:rsid w:val="0012205C"/>
    <w:rsid w:val="00124585"/>
    <w:rsid w:val="00131023"/>
    <w:rsid w:val="001334D1"/>
    <w:rsid w:val="00133A4B"/>
    <w:rsid w:val="00136CFC"/>
    <w:rsid w:val="00136F58"/>
    <w:rsid w:val="0013775A"/>
    <w:rsid w:val="0014058D"/>
    <w:rsid w:val="0014339D"/>
    <w:rsid w:val="00145862"/>
    <w:rsid w:val="001503DD"/>
    <w:rsid w:val="001529D4"/>
    <w:rsid w:val="0015328B"/>
    <w:rsid w:val="001553B7"/>
    <w:rsid w:val="00155A01"/>
    <w:rsid w:val="00161395"/>
    <w:rsid w:val="001613BF"/>
    <w:rsid w:val="00164F45"/>
    <w:rsid w:val="0016738A"/>
    <w:rsid w:val="001674D5"/>
    <w:rsid w:val="00175902"/>
    <w:rsid w:val="001761EE"/>
    <w:rsid w:val="00180E70"/>
    <w:rsid w:val="00181660"/>
    <w:rsid w:val="00182ADC"/>
    <w:rsid w:val="00184747"/>
    <w:rsid w:val="00185441"/>
    <w:rsid w:val="00195CB3"/>
    <w:rsid w:val="001A0D5A"/>
    <w:rsid w:val="001A23F4"/>
    <w:rsid w:val="001A719F"/>
    <w:rsid w:val="001A78E7"/>
    <w:rsid w:val="001B5D53"/>
    <w:rsid w:val="001B5E45"/>
    <w:rsid w:val="001B672C"/>
    <w:rsid w:val="001B6B60"/>
    <w:rsid w:val="001C1351"/>
    <w:rsid w:val="001C3357"/>
    <w:rsid w:val="001C619B"/>
    <w:rsid w:val="001C7AC2"/>
    <w:rsid w:val="001D0C46"/>
    <w:rsid w:val="001D2A97"/>
    <w:rsid w:val="001D34A6"/>
    <w:rsid w:val="001D4BA0"/>
    <w:rsid w:val="001D5786"/>
    <w:rsid w:val="001D5C76"/>
    <w:rsid w:val="001D6ABD"/>
    <w:rsid w:val="001F3934"/>
    <w:rsid w:val="001F470B"/>
    <w:rsid w:val="001F55D5"/>
    <w:rsid w:val="001F6F02"/>
    <w:rsid w:val="00201770"/>
    <w:rsid w:val="00202C9E"/>
    <w:rsid w:val="002066C7"/>
    <w:rsid w:val="00211AA8"/>
    <w:rsid w:val="002156CE"/>
    <w:rsid w:val="00221CB6"/>
    <w:rsid w:val="002247F3"/>
    <w:rsid w:val="00230A95"/>
    <w:rsid w:val="00230BC7"/>
    <w:rsid w:val="00232980"/>
    <w:rsid w:val="00235D0D"/>
    <w:rsid w:val="002502D2"/>
    <w:rsid w:val="00250655"/>
    <w:rsid w:val="00251E59"/>
    <w:rsid w:val="00254457"/>
    <w:rsid w:val="002579DC"/>
    <w:rsid w:val="00260D23"/>
    <w:rsid w:val="002610DA"/>
    <w:rsid w:val="00264675"/>
    <w:rsid w:val="00265CFE"/>
    <w:rsid w:val="00267882"/>
    <w:rsid w:val="00267A78"/>
    <w:rsid w:val="00267D93"/>
    <w:rsid w:val="002705C2"/>
    <w:rsid w:val="0027109D"/>
    <w:rsid w:val="00271133"/>
    <w:rsid w:val="00275938"/>
    <w:rsid w:val="00275E0B"/>
    <w:rsid w:val="002766F3"/>
    <w:rsid w:val="00292257"/>
    <w:rsid w:val="002977E5"/>
    <w:rsid w:val="00297E98"/>
    <w:rsid w:val="002A05AF"/>
    <w:rsid w:val="002A0BE5"/>
    <w:rsid w:val="002A1789"/>
    <w:rsid w:val="002A3C45"/>
    <w:rsid w:val="002A4127"/>
    <w:rsid w:val="002A55C6"/>
    <w:rsid w:val="002B3DAC"/>
    <w:rsid w:val="002C03FE"/>
    <w:rsid w:val="002C0400"/>
    <w:rsid w:val="002C19D9"/>
    <w:rsid w:val="002C3216"/>
    <w:rsid w:val="002D0825"/>
    <w:rsid w:val="002D0917"/>
    <w:rsid w:val="002D2EA3"/>
    <w:rsid w:val="002E0F00"/>
    <w:rsid w:val="002E2D12"/>
    <w:rsid w:val="002E526D"/>
    <w:rsid w:val="002E7961"/>
    <w:rsid w:val="002F551A"/>
    <w:rsid w:val="00301814"/>
    <w:rsid w:val="003023DD"/>
    <w:rsid w:val="003051E9"/>
    <w:rsid w:val="00305A6A"/>
    <w:rsid w:val="00306FB6"/>
    <w:rsid w:val="00314630"/>
    <w:rsid w:val="0031474C"/>
    <w:rsid w:val="00324CAF"/>
    <w:rsid w:val="0033399F"/>
    <w:rsid w:val="00335596"/>
    <w:rsid w:val="0033782D"/>
    <w:rsid w:val="00342C87"/>
    <w:rsid w:val="00345BB5"/>
    <w:rsid w:val="00347876"/>
    <w:rsid w:val="00355C02"/>
    <w:rsid w:val="00360154"/>
    <w:rsid w:val="00360D2C"/>
    <w:rsid w:val="00360E9F"/>
    <w:rsid w:val="0036188C"/>
    <w:rsid w:val="00363DED"/>
    <w:rsid w:val="00365137"/>
    <w:rsid w:val="0037035C"/>
    <w:rsid w:val="00370B83"/>
    <w:rsid w:val="0037267B"/>
    <w:rsid w:val="003728AC"/>
    <w:rsid w:val="00374B7A"/>
    <w:rsid w:val="0038696D"/>
    <w:rsid w:val="00387E7C"/>
    <w:rsid w:val="003905B1"/>
    <w:rsid w:val="00390BA0"/>
    <w:rsid w:val="00391ADC"/>
    <w:rsid w:val="003947D1"/>
    <w:rsid w:val="00395DF9"/>
    <w:rsid w:val="003A123A"/>
    <w:rsid w:val="003B04E1"/>
    <w:rsid w:val="003C221F"/>
    <w:rsid w:val="003C6FDF"/>
    <w:rsid w:val="003D4A16"/>
    <w:rsid w:val="003E04AF"/>
    <w:rsid w:val="003E58B5"/>
    <w:rsid w:val="003E6E3A"/>
    <w:rsid w:val="003F1E21"/>
    <w:rsid w:val="003F2385"/>
    <w:rsid w:val="003F3586"/>
    <w:rsid w:val="003F5EB5"/>
    <w:rsid w:val="003F63DA"/>
    <w:rsid w:val="004027BE"/>
    <w:rsid w:val="00402807"/>
    <w:rsid w:val="00404A31"/>
    <w:rsid w:val="00411106"/>
    <w:rsid w:val="004232E0"/>
    <w:rsid w:val="0042346D"/>
    <w:rsid w:val="0042561E"/>
    <w:rsid w:val="00425F7D"/>
    <w:rsid w:val="0043429F"/>
    <w:rsid w:val="00441DFE"/>
    <w:rsid w:val="00444157"/>
    <w:rsid w:val="00444229"/>
    <w:rsid w:val="00444475"/>
    <w:rsid w:val="00445770"/>
    <w:rsid w:val="00447EE3"/>
    <w:rsid w:val="004500E2"/>
    <w:rsid w:val="00450DE3"/>
    <w:rsid w:val="004557B9"/>
    <w:rsid w:val="00456B51"/>
    <w:rsid w:val="004610AE"/>
    <w:rsid w:val="0047001B"/>
    <w:rsid w:val="0047194D"/>
    <w:rsid w:val="00476226"/>
    <w:rsid w:val="004908D0"/>
    <w:rsid w:val="00494F0B"/>
    <w:rsid w:val="0049737D"/>
    <w:rsid w:val="004A171A"/>
    <w:rsid w:val="004A27E9"/>
    <w:rsid w:val="004A3894"/>
    <w:rsid w:val="004A3DE4"/>
    <w:rsid w:val="004A3E41"/>
    <w:rsid w:val="004A5365"/>
    <w:rsid w:val="004A5AD5"/>
    <w:rsid w:val="004B4B36"/>
    <w:rsid w:val="004B6AAC"/>
    <w:rsid w:val="004C2401"/>
    <w:rsid w:val="004C37C3"/>
    <w:rsid w:val="004C3FB9"/>
    <w:rsid w:val="004C7726"/>
    <w:rsid w:val="004D5410"/>
    <w:rsid w:val="004E5AB1"/>
    <w:rsid w:val="004E79ED"/>
    <w:rsid w:val="004F055F"/>
    <w:rsid w:val="00503793"/>
    <w:rsid w:val="00504829"/>
    <w:rsid w:val="00507916"/>
    <w:rsid w:val="005118CA"/>
    <w:rsid w:val="00512E75"/>
    <w:rsid w:val="0051651C"/>
    <w:rsid w:val="00517E76"/>
    <w:rsid w:val="00520BFC"/>
    <w:rsid w:val="005250D7"/>
    <w:rsid w:val="0052712D"/>
    <w:rsid w:val="00531110"/>
    <w:rsid w:val="00532D8F"/>
    <w:rsid w:val="00542237"/>
    <w:rsid w:val="00547A40"/>
    <w:rsid w:val="0055035F"/>
    <w:rsid w:val="00562F9A"/>
    <w:rsid w:val="00566D63"/>
    <w:rsid w:val="0056753F"/>
    <w:rsid w:val="00567E48"/>
    <w:rsid w:val="00572301"/>
    <w:rsid w:val="00587799"/>
    <w:rsid w:val="0059178F"/>
    <w:rsid w:val="005926F0"/>
    <w:rsid w:val="00594710"/>
    <w:rsid w:val="005A231A"/>
    <w:rsid w:val="005A64FF"/>
    <w:rsid w:val="005A6BEC"/>
    <w:rsid w:val="005A7DC1"/>
    <w:rsid w:val="005B03EC"/>
    <w:rsid w:val="005B4149"/>
    <w:rsid w:val="005B5485"/>
    <w:rsid w:val="005B6D7A"/>
    <w:rsid w:val="005C2558"/>
    <w:rsid w:val="005C5466"/>
    <w:rsid w:val="005C599D"/>
    <w:rsid w:val="005C6124"/>
    <w:rsid w:val="005C77CA"/>
    <w:rsid w:val="005C7FC3"/>
    <w:rsid w:val="005D04FC"/>
    <w:rsid w:val="005D69E6"/>
    <w:rsid w:val="005E12BE"/>
    <w:rsid w:val="005E452E"/>
    <w:rsid w:val="005F00AC"/>
    <w:rsid w:val="005F33EA"/>
    <w:rsid w:val="005F34F5"/>
    <w:rsid w:val="005F4C2F"/>
    <w:rsid w:val="005F59BC"/>
    <w:rsid w:val="005F5B5C"/>
    <w:rsid w:val="005F7560"/>
    <w:rsid w:val="00600A07"/>
    <w:rsid w:val="00606D94"/>
    <w:rsid w:val="0061014C"/>
    <w:rsid w:val="00616508"/>
    <w:rsid w:val="00620C6C"/>
    <w:rsid w:val="00624047"/>
    <w:rsid w:val="00631C4D"/>
    <w:rsid w:val="0064304B"/>
    <w:rsid w:val="006437A8"/>
    <w:rsid w:val="00647273"/>
    <w:rsid w:val="00652431"/>
    <w:rsid w:val="00654698"/>
    <w:rsid w:val="00657B40"/>
    <w:rsid w:val="00660FC5"/>
    <w:rsid w:val="006613D1"/>
    <w:rsid w:val="00662865"/>
    <w:rsid w:val="00662E96"/>
    <w:rsid w:val="006649AD"/>
    <w:rsid w:val="00664A6E"/>
    <w:rsid w:val="006651F1"/>
    <w:rsid w:val="00667417"/>
    <w:rsid w:val="006720F9"/>
    <w:rsid w:val="006723D0"/>
    <w:rsid w:val="00673579"/>
    <w:rsid w:val="006760A0"/>
    <w:rsid w:val="00676931"/>
    <w:rsid w:val="0067722C"/>
    <w:rsid w:val="006778B9"/>
    <w:rsid w:val="0068166C"/>
    <w:rsid w:val="006860F2"/>
    <w:rsid w:val="0068713F"/>
    <w:rsid w:val="006877B4"/>
    <w:rsid w:val="00687DCC"/>
    <w:rsid w:val="00691634"/>
    <w:rsid w:val="00691836"/>
    <w:rsid w:val="00693257"/>
    <w:rsid w:val="006936CC"/>
    <w:rsid w:val="00696E28"/>
    <w:rsid w:val="0069765E"/>
    <w:rsid w:val="006A0867"/>
    <w:rsid w:val="006A0D26"/>
    <w:rsid w:val="006A39EC"/>
    <w:rsid w:val="006A6F3D"/>
    <w:rsid w:val="006A779A"/>
    <w:rsid w:val="006B14B4"/>
    <w:rsid w:val="006B1B7E"/>
    <w:rsid w:val="006B2866"/>
    <w:rsid w:val="006B3F1A"/>
    <w:rsid w:val="006B6699"/>
    <w:rsid w:val="006B6DC3"/>
    <w:rsid w:val="006C1D3A"/>
    <w:rsid w:val="006C415A"/>
    <w:rsid w:val="006C7941"/>
    <w:rsid w:val="006C7EE1"/>
    <w:rsid w:val="006D1322"/>
    <w:rsid w:val="006D15F3"/>
    <w:rsid w:val="006D1800"/>
    <w:rsid w:val="006D1ED4"/>
    <w:rsid w:val="006D3E73"/>
    <w:rsid w:val="006E4FC2"/>
    <w:rsid w:val="006E5791"/>
    <w:rsid w:val="006F0B9E"/>
    <w:rsid w:val="006F36F7"/>
    <w:rsid w:val="007010F2"/>
    <w:rsid w:val="007146FE"/>
    <w:rsid w:val="00716648"/>
    <w:rsid w:val="00720CA7"/>
    <w:rsid w:val="00721527"/>
    <w:rsid w:val="00721B8E"/>
    <w:rsid w:val="00725047"/>
    <w:rsid w:val="00725C4E"/>
    <w:rsid w:val="00726C93"/>
    <w:rsid w:val="00727FAC"/>
    <w:rsid w:val="007309C0"/>
    <w:rsid w:val="00731923"/>
    <w:rsid w:val="00733EC5"/>
    <w:rsid w:val="007341A3"/>
    <w:rsid w:val="00740744"/>
    <w:rsid w:val="0074693B"/>
    <w:rsid w:val="00751B82"/>
    <w:rsid w:val="007608DF"/>
    <w:rsid w:val="00763706"/>
    <w:rsid w:val="00764157"/>
    <w:rsid w:val="00766536"/>
    <w:rsid w:val="0077102C"/>
    <w:rsid w:val="00771E12"/>
    <w:rsid w:val="00771EED"/>
    <w:rsid w:val="007738F3"/>
    <w:rsid w:val="007751D1"/>
    <w:rsid w:val="0077524C"/>
    <w:rsid w:val="007752BD"/>
    <w:rsid w:val="00783479"/>
    <w:rsid w:val="007849C0"/>
    <w:rsid w:val="00784C5C"/>
    <w:rsid w:val="00795266"/>
    <w:rsid w:val="007A3FDD"/>
    <w:rsid w:val="007B0396"/>
    <w:rsid w:val="007B0BBD"/>
    <w:rsid w:val="007B356B"/>
    <w:rsid w:val="007B519B"/>
    <w:rsid w:val="007C2F52"/>
    <w:rsid w:val="007C40CF"/>
    <w:rsid w:val="007D1412"/>
    <w:rsid w:val="007D7A7E"/>
    <w:rsid w:val="007E6A61"/>
    <w:rsid w:val="007F08B3"/>
    <w:rsid w:val="007F0FB2"/>
    <w:rsid w:val="007F271C"/>
    <w:rsid w:val="007F466A"/>
    <w:rsid w:val="007F510E"/>
    <w:rsid w:val="00801E20"/>
    <w:rsid w:val="008022B3"/>
    <w:rsid w:val="00810740"/>
    <w:rsid w:val="00814335"/>
    <w:rsid w:val="00815227"/>
    <w:rsid w:val="00816119"/>
    <w:rsid w:val="00816E16"/>
    <w:rsid w:val="00820107"/>
    <w:rsid w:val="0082097F"/>
    <w:rsid w:val="0082667E"/>
    <w:rsid w:val="00826E2F"/>
    <w:rsid w:val="00831873"/>
    <w:rsid w:val="008378FA"/>
    <w:rsid w:val="0084189A"/>
    <w:rsid w:val="008427E5"/>
    <w:rsid w:val="00843854"/>
    <w:rsid w:val="00843F6F"/>
    <w:rsid w:val="00845A43"/>
    <w:rsid w:val="00857D7F"/>
    <w:rsid w:val="00861DFB"/>
    <w:rsid w:val="008623AB"/>
    <w:rsid w:val="00871A36"/>
    <w:rsid w:val="00871CAB"/>
    <w:rsid w:val="008757F1"/>
    <w:rsid w:val="00875826"/>
    <w:rsid w:val="00876A9F"/>
    <w:rsid w:val="00876B0D"/>
    <w:rsid w:val="00881817"/>
    <w:rsid w:val="0088320C"/>
    <w:rsid w:val="008839B1"/>
    <w:rsid w:val="008851BD"/>
    <w:rsid w:val="00891921"/>
    <w:rsid w:val="0089704B"/>
    <w:rsid w:val="008A4428"/>
    <w:rsid w:val="008A492A"/>
    <w:rsid w:val="008A513A"/>
    <w:rsid w:val="008A6ABF"/>
    <w:rsid w:val="008A7374"/>
    <w:rsid w:val="008B0772"/>
    <w:rsid w:val="008C2158"/>
    <w:rsid w:val="008C2A40"/>
    <w:rsid w:val="008C7D0C"/>
    <w:rsid w:val="008D123D"/>
    <w:rsid w:val="008D21F3"/>
    <w:rsid w:val="008D5266"/>
    <w:rsid w:val="008D6420"/>
    <w:rsid w:val="008D76D7"/>
    <w:rsid w:val="008F1415"/>
    <w:rsid w:val="008F2122"/>
    <w:rsid w:val="008F42E3"/>
    <w:rsid w:val="008F722E"/>
    <w:rsid w:val="00905678"/>
    <w:rsid w:val="0091621C"/>
    <w:rsid w:val="00917685"/>
    <w:rsid w:val="00920C0F"/>
    <w:rsid w:val="009274A1"/>
    <w:rsid w:val="00932315"/>
    <w:rsid w:val="00932C18"/>
    <w:rsid w:val="00937303"/>
    <w:rsid w:val="00942587"/>
    <w:rsid w:val="00943E70"/>
    <w:rsid w:val="009445B3"/>
    <w:rsid w:val="00947735"/>
    <w:rsid w:val="00950313"/>
    <w:rsid w:val="00950711"/>
    <w:rsid w:val="00953052"/>
    <w:rsid w:val="0095445B"/>
    <w:rsid w:val="009579CC"/>
    <w:rsid w:val="00962123"/>
    <w:rsid w:val="00963FF5"/>
    <w:rsid w:val="0096426C"/>
    <w:rsid w:val="00966DAE"/>
    <w:rsid w:val="0097343E"/>
    <w:rsid w:val="009743A5"/>
    <w:rsid w:val="009777A3"/>
    <w:rsid w:val="00987A5A"/>
    <w:rsid w:val="00993137"/>
    <w:rsid w:val="009951FA"/>
    <w:rsid w:val="009A4085"/>
    <w:rsid w:val="009A40F2"/>
    <w:rsid w:val="009B365B"/>
    <w:rsid w:val="009C3695"/>
    <w:rsid w:val="009D02A0"/>
    <w:rsid w:val="009D4D54"/>
    <w:rsid w:val="009E18F0"/>
    <w:rsid w:val="009E1D6F"/>
    <w:rsid w:val="009E1D95"/>
    <w:rsid w:val="009E2D2E"/>
    <w:rsid w:val="009E55A1"/>
    <w:rsid w:val="009E562A"/>
    <w:rsid w:val="009F13CF"/>
    <w:rsid w:val="009F3130"/>
    <w:rsid w:val="009F4878"/>
    <w:rsid w:val="009F7F44"/>
    <w:rsid w:val="00A00402"/>
    <w:rsid w:val="00A041E4"/>
    <w:rsid w:val="00A06DCB"/>
    <w:rsid w:val="00A11436"/>
    <w:rsid w:val="00A11799"/>
    <w:rsid w:val="00A15DAE"/>
    <w:rsid w:val="00A21B4D"/>
    <w:rsid w:val="00A234A1"/>
    <w:rsid w:val="00A24C3A"/>
    <w:rsid w:val="00A25800"/>
    <w:rsid w:val="00A25B47"/>
    <w:rsid w:val="00A269F1"/>
    <w:rsid w:val="00A27E34"/>
    <w:rsid w:val="00A36BDA"/>
    <w:rsid w:val="00A45DC5"/>
    <w:rsid w:val="00A514B6"/>
    <w:rsid w:val="00A53051"/>
    <w:rsid w:val="00A555FF"/>
    <w:rsid w:val="00A60744"/>
    <w:rsid w:val="00A6466E"/>
    <w:rsid w:val="00A658CF"/>
    <w:rsid w:val="00A70740"/>
    <w:rsid w:val="00A71741"/>
    <w:rsid w:val="00A729B6"/>
    <w:rsid w:val="00A7566F"/>
    <w:rsid w:val="00A759BB"/>
    <w:rsid w:val="00A837B8"/>
    <w:rsid w:val="00A85855"/>
    <w:rsid w:val="00A86310"/>
    <w:rsid w:val="00A863A4"/>
    <w:rsid w:val="00A87DB7"/>
    <w:rsid w:val="00A92399"/>
    <w:rsid w:val="00AB0ED2"/>
    <w:rsid w:val="00AB2746"/>
    <w:rsid w:val="00AB600B"/>
    <w:rsid w:val="00AB7E61"/>
    <w:rsid w:val="00AC1028"/>
    <w:rsid w:val="00AD059D"/>
    <w:rsid w:val="00AD2A74"/>
    <w:rsid w:val="00AD62A7"/>
    <w:rsid w:val="00AE14E2"/>
    <w:rsid w:val="00AE199A"/>
    <w:rsid w:val="00AE1F48"/>
    <w:rsid w:val="00AE29D2"/>
    <w:rsid w:val="00AF19B3"/>
    <w:rsid w:val="00AF2068"/>
    <w:rsid w:val="00AF57D5"/>
    <w:rsid w:val="00B000C5"/>
    <w:rsid w:val="00B05FF4"/>
    <w:rsid w:val="00B12570"/>
    <w:rsid w:val="00B13EBE"/>
    <w:rsid w:val="00B16DB5"/>
    <w:rsid w:val="00B24298"/>
    <w:rsid w:val="00B25E62"/>
    <w:rsid w:val="00B31719"/>
    <w:rsid w:val="00B33AF8"/>
    <w:rsid w:val="00B34D94"/>
    <w:rsid w:val="00B350DF"/>
    <w:rsid w:val="00B40743"/>
    <w:rsid w:val="00B557DF"/>
    <w:rsid w:val="00B5725C"/>
    <w:rsid w:val="00B60D25"/>
    <w:rsid w:val="00B6161E"/>
    <w:rsid w:val="00B67F09"/>
    <w:rsid w:val="00B709E8"/>
    <w:rsid w:val="00B7341F"/>
    <w:rsid w:val="00B801BB"/>
    <w:rsid w:val="00B83462"/>
    <w:rsid w:val="00B83C05"/>
    <w:rsid w:val="00B8400C"/>
    <w:rsid w:val="00B841F8"/>
    <w:rsid w:val="00B84B69"/>
    <w:rsid w:val="00B8531A"/>
    <w:rsid w:val="00B946B5"/>
    <w:rsid w:val="00B95FC8"/>
    <w:rsid w:val="00BA56CE"/>
    <w:rsid w:val="00BA58BA"/>
    <w:rsid w:val="00BB36D2"/>
    <w:rsid w:val="00BB5491"/>
    <w:rsid w:val="00BD2919"/>
    <w:rsid w:val="00BD3F2C"/>
    <w:rsid w:val="00BD4ABE"/>
    <w:rsid w:val="00BD624B"/>
    <w:rsid w:val="00BE3C4E"/>
    <w:rsid w:val="00BE5907"/>
    <w:rsid w:val="00C053E1"/>
    <w:rsid w:val="00C074DA"/>
    <w:rsid w:val="00C13F2D"/>
    <w:rsid w:val="00C1500F"/>
    <w:rsid w:val="00C17EBF"/>
    <w:rsid w:val="00C2089F"/>
    <w:rsid w:val="00C2763F"/>
    <w:rsid w:val="00C322BA"/>
    <w:rsid w:val="00C337E5"/>
    <w:rsid w:val="00C340FF"/>
    <w:rsid w:val="00C3578F"/>
    <w:rsid w:val="00C409A6"/>
    <w:rsid w:val="00C415FA"/>
    <w:rsid w:val="00C41B42"/>
    <w:rsid w:val="00C44B01"/>
    <w:rsid w:val="00C52ECC"/>
    <w:rsid w:val="00C5380E"/>
    <w:rsid w:val="00C54015"/>
    <w:rsid w:val="00C605C9"/>
    <w:rsid w:val="00C6092F"/>
    <w:rsid w:val="00C6210D"/>
    <w:rsid w:val="00C622F9"/>
    <w:rsid w:val="00C6484B"/>
    <w:rsid w:val="00C66273"/>
    <w:rsid w:val="00C679B0"/>
    <w:rsid w:val="00C7140B"/>
    <w:rsid w:val="00C8608C"/>
    <w:rsid w:val="00C871AC"/>
    <w:rsid w:val="00C90DF7"/>
    <w:rsid w:val="00C923EC"/>
    <w:rsid w:val="00C92769"/>
    <w:rsid w:val="00C9544F"/>
    <w:rsid w:val="00C97E97"/>
    <w:rsid w:val="00CA422C"/>
    <w:rsid w:val="00CA4424"/>
    <w:rsid w:val="00CA4534"/>
    <w:rsid w:val="00CA4FBD"/>
    <w:rsid w:val="00CA79CB"/>
    <w:rsid w:val="00CB2FA4"/>
    <w:rsid w:val="00CC0868"/>
    <w:rsid w:val="00CD0922"/>
    <w:rsid w:val="00CD20AC"/>
    <w:rsid w:val="00CD27A5"/>
    <w:rsid w:val="00CE0547"/>
    <w:rsid w:val="00CE10DA"/>
    <w:rsid w:val="00CE52A0"/>
    <w:rsid w:val="00CE6A0D"/>
    <w:rsid w:val="00CE7148"/>
    <w:rsid w:val="00CE71FB"/>
    <w:rsid w:val="00D012CE"/>
    <w:rsid w:val="00D04C8C"/>
    <w:rsid w:val="00D05839"/>
    <w:rsid w:val="00D06BB0"/>
    <w:rsid w:val="00D07290"/>
    <w:rsid w:val="00D16FC1"/>
    <w:rsid w:val="00D21E6E"/>
    <w:rsid w:val="00D252D9"/>
    <w:rsid w:val="00D26F48"/>
    <w:rsid w:val="00D321EA"/>
    <w:rsid w:val="00D50363"/>
    <w:rsid w:val="00D627CD"/>
    <w:rsid w:val="00D65375"/>
    <w:rsid w:val="00D65FB6"/>
    <w:rsid w:val="00D74C1C"/>
    <w:rsid w:val="00D76585"/>
    <w:rsid w:val="00D77576"/>
    <w:rsid w:val="00D83BBF"/>
    <w:rsid w:val="00D84D9C"/>
    <w:rsid w:val="00D8528B"/>
    <w:rsid w:val="00D8570C"/>
    <w:rsid w:val="00D9029F"/>
    <w:rsid w:val="00D943CD"/>
    <w:rsid w:val="00D94737"/>
    <w:rsid w:val="00D94EE7"/>
    <w:rsid w:val="00D957A8"/>
    <w:rsid w:val="00D95C1D"/>
    <w:rsid w:val="00D974AD"/>
    <w:rsid w:val="00DA2D9B"/>
    <w:rsid w:val="00DA7B92"/>
    <w:rsid w:val="00DB29D2"/>
    <w:rsid w:val="00DB3DC5"/>
    <w:rsid w:val="00DB5FCA"/>
    <w:rsid w:val="00DB7A46"/>
    <w:rsid w:val="00DC12EE"/>
    <w:rsid w:val="00DC1FC6"/>
    <w:rsid w:val="00DC26A1"/>
    <w:rsid w:val="00DC28AB"/>
    <w:rsid w:val="00DC3358"/>
    <w:rsid w:val="00DC3EDC"/>
    <w:rsid w:val="00DC42DF"/>
    <w:rsid w:val="00DC61B3"/>
    <w:rsid w:val="00DD2693"/>
    <w:rsid w:val="00DD3209"/>
    <w:rsid w:val="00DD3A8B"/>
    <w:rsid w:val="00DD43DC"/>
    <w:rsid w:val="00DD61E6"/>
    <w:rsid w:val="00DD6EB5"/>
    <w:rsid w:val="00DE3357"/>
    <w:rsid w:val="00DF012F"/>
    <w:rsid w:val="00DF0EAB"/>
    <w:rsid w:val="00DF1B85"/>
    <w:rsid w:val="00DF78C3"/>
    <w:rsid w:val="00E063FC"/>
    <w:rsid w:val="00E07591"/>
    <w:rsid w:val="00E15471"/>
    <w:rsid w:val="00E15C79"/>
    <w:rsid w:val="00E16046"/>
    <w:rsid w:val="00E338E6"/>
    <w:rsid w:val="00E34097"/>
    <w:rsid w:val="00E355D9"/>
    <w:rsid w:val="00E36CEA"/>
    <w:rsid w:val="00E3775C"/>
    <w:rsid w:val="00E421AE"/>
    <w:rsid w:val="00E42505"/>
    <w:rsid w:val="00E43743"/>
    <w:rsid w:val="00E43B2E"/>
    <w:rsid w:val="00E4792C"/>
    <w:rsid w:val="00E507FE"/>
    <w:rsid w:val="00E54314"/>
    <w:rsid w:val="00E5556F"/>
    <w:rsid w:val="00E64AC6"/>
    <w:rsid w:val="00E722D9"/>
    <w:rsid w:val="00E72C1B"/>
    <w:rsid w:val="00E75043"/>
    <w:rsid w:val="00E86E5D"/>
    <w:rsid w:val="00E91037"/>
    <w:rsid w:val="00E93746"/>
    <w:rsid w:val="00E94F23"/>
    <w:rsid w:val="00EA0C4B"/>
    <w:rsid w:val="00EB0ED3"/>
    <w:rsid w:val="00EB5363"/>
    <w:rsid w:val="00EB696D"/>
    <w:rsid w:val="00EC1BC3"/>
    <w:rsid w:val="00ED2D4A"/>
    <w:rsid w:val="00ED2E54"/>
    <w:rsid w:val="00ED2F9F"/>
    <w:rsid w:val="00ED789D"/>
    <w:rsid w:val="00ED7D1E"/>
    <w:rsid w:val="00EE0222"/>
    <w:rsid w:val="00EE3B14"/>
    <w:rsid w:val="00EE570F"/>
    <w:rsid w:val="00EE6D1B"/>
    <w:rsid w:val="00EE6EE9"/>
    <w:rsid w:val="00F016FC"/>
    <w:rsid w:val="00F02C7A"/>
    <w:rsid w:val="00F056C9"/>
    <w:rsid w:val="00F063F0"/>
    <w:rsid w:val="00F11FC0"/>
    <w:rsid w:val="00F12D8F"/>
    <w:rsid w:val="00F1569E"/>
    <w:rsid w:val="00F165B9"/>
    <w:rsid w:val="00F2230B"/>
    <w:rsid w:val="00F26F2D"/>
    <w:rsid w:val="00F2775B"/>
    <w:rsid w:val="00F320F0"/>
    <w:rsid w:val="00F3234B"/>
    <w:rsid w:val="00F33709"/>
    <w:rsid w:val="00F42724"/>
    <w:rsid w:val="00F43CA6"/>
    <w:rsid w:val="00F47ED7"/>
    <w:rsid w:val="00F50CAC"/>
    <w:rsid w:val="00F5389E"/>
    <w:rsid w:val="00F5739B"/>
    <w:rsid w:val="00F638F3"/>
    <w:rsid w:val="00F643F5"/>
    <w:rsid w:val="00F65CBF"/>
    <w:rsid w:val="00F67B57"/>
    <w:rsid w:val="00F70A6B"/>
    <w:rsid w:val="00F75544"/>
    <w:rsid w:val="00F85C84"/>
    <w:rsid w:val="00F87555"/>
    <w:rsid w:val="00F92554"/>
    <w:rsid w:val="00F938F7"/>
    <w:rsid w:val="00F96536"/>
    <w:rsid w:val="00FA07FE"/>
    <w:rsid w:val="00FA2C7B"/>
    <w:rsid w:val="00FB1B3A"/>
    <w:rsid w:val="00FB4882"/>
    <w:rsid w:val="00FB7CB2"/>
    <w:rsid w:val="00FC137F"/>
    <w:rsid w:val="00FC314E"/>
    <w:rsid w:val="00FC59C1"/>
    <w:rsid w:val="00FC66F8"/>
    <w:rsid w:val="00FD3201"/>
    <w:rsid w:val="00FE097D"/>
    <w:rsid w:val="00FE2A49"/>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9F"/>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 w:type="character" w:customStyle="1" w:styleId="Mencinsinresolver3">
    <w:name w:val="Mención sin resolver3"/>
    <w:basedOn w:val="Fuentedeprrafopredeter"/>
    <w:uiPriority w:val="99"/>
    <w:semiHidden/>
    <w:unhideWhenUsed/>
    <w:rsid w:val="008A7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3474932">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16458987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25661629">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657349778">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31671507">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898009996">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 w:id="21446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2/febrero/feb251/feb251h.pdf" TargetMode="External"/><Relationship Id="rId13" Type="http://schemas.openxmlformats.org/officeDocument/2006/relationships/hyperlink" Target="https://legislacion.edomex.gob.mx/sites/legislacion.edomex.gob.mx/files/files/pdf/gct/2023/febrero/feb221/feb221f.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22/febrero/feb251/feb251h.pdf" TargetMode="External"/><Relationship Id="rId17" Type="http://schemas.openxmlformats.org/officeDocument/2006/relationships/image" Target="media/image3.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22/febrero/feb251/feb251h.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tmp"/><Relationship Id="rId23" Type="http://schemas.openxmlformats.org/officeDocument/2006/relationships/footer" Target="footer3.xml"/><Relationship Id="rId10" Type="http://schemas.openxmlformats.org/officeDocument/2006/relationships/hyperlink" Target="https://legislacion.edomex.gob.mx/sites/legislacion.edomex.gpb.mx/files/files/pdf/gct/2024/febrero/feb231/feb231f.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23/febrero/feb221/feb221f.pdf" TargetMode="External"/><Relationship Id="rId14" Type="http://schemas.openxmlformats.org/officeDocument/2006/relationships/hyperlink" Target="https://legislacion.edomex.gob.mx/sites/legislacion.edomex.gpb.mx/files/files/pdf/gct/2024/febrero/feb231/feb231f.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8590-8B6C-409B-9230-F4C7D53A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4718</Words>
  <Characters>25949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Israel Martinez Serrano</cp:lastModifiedBy>
  <cp:revision>5</cp:revision>
  <cp:lastPrinted>2024-12-05T22:49:00Z</cp:lastPrinted>
  <dcterms:created xsi:type="dcterms:W3CDTF">2024-12-05T22:49:00Z</dcterms:created>
  <dcterms:modified xsi:type="dcterms:W3CDTF">2024-12-11T00:36:00Z</dcterms:modified>
</cp:coreProperties>
</file>