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8D7A" w14:textId="77777777" w:rsidR="00B41F13" w:rsidRPr="004E1F4E" w:rsidRDefault="00771C34">
      <w:pPr>
        <w:spacing w:line="360" w:lineRule="auto"/>
        <w:jc w:val="both"/>
        <w:rPr>
          <w:rFonts w:ascii="Palatino Linotype" w:eastAsia="Palatino Linotype" w:hAnsi="Palatino Linotype" w:cs="Palatino Linotype"/>
          <w:sz w:val="22"/>
          <w:szCs w:val="22"/>
        </w:rPr>
      </w:pPr>
      <w:bookmarkStart w:id="0" w:name="_heading=h.1fob9te" w:colFirst="0" w:colLast="0"/>
      <w:bookmarkEnd w:id="0"/>
      <w:r w:rsidRPr="004E1F4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nueve de octubre de dos mil veinticuatro. </w:t>
      </w:r>
    </w:p>
    <w:p w14:paraId="3E8166D9"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05537165"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VISTO</w:t>
      </w:r>
      <w:r w:rsidRPr="004E1F4E">
        <w:rPr>
          <w:rFonts w:ascii="Palatino Linotype" w:eastAsia="Palatino Linotype" w:hAnsi="Palatino Linotype" w:cs="Palatino Linotype"/>
          <w:sz w:val="22"/>
          <w:szCs w:val="22"/>
        </w:rPr>
        <w:t xml:space="preserve"> el expediente formado con motivo del recurso de revisión </w:t>
      </w:r>
      <w:r w:rsidRPr="004E1F4E">
        <w:rPr>
          <w:rFonts w:ascii="Palatino Linotype" w:eastAsia="Palatino Linotype" w:hAnsi="Palatino Linotype" w:cs="Palatino Linotype"/>
          <w:b/>
          <w:sz w:val="22"/>
          <w:szCs w:val="22"/>
        </w:rPr>
        <w:t>05109/INFOEM/IP/RR/2024</w:t>
      </w:r>
      <w:r w:rsidRPr="004E1F4E">
        <w:rPr>
          <w:rFonts w:ascii="Palatino Linotype" w:eastAsia="Palatino Linotype" w:hAnsi="Palatino Linotype" w:cs="Palatino Linotype"/>
          <w:sz w:val="22"/>
          <w:szCs w:val="22"/>
        </w:rPr>
        <w:t>, interpuesto por</w:t>
      </w:r>
      <w:r w:rsidRPr="004E1F4E">
        <w:rPr>
          <w:rFonts w:ascii="Palatino Linotype" w:eastAsia="Palatino Linotype" w:hAnsi="Palatino Linotype" w:cs="Palatino Linotype"/>
          <w:b/>
          <w:sz w:val="22"/>
          <w:szCs w:val="22"/>
        </w:rPr>
        <w:t xml:space="preserve"> una persona usuaria del Sistema de Acceso a la Información Mexiquense,</w:t>
      </w:r>
      <w:r w:rsidRPr="004E1F4E">
        <w:rPr>
          <w:rFonts w:ascii="Palatino Linotype" w:eastAsia="Palatino Linotype" w:hAnsi="Palatino Linotype" w:cs="Palatino Linotype"/>
          <w:sz w:val="22"/>
          <w:szCs w:val="22"/>
        </w:rPr>
        <w:t xml:space="preserve"> en lo sucesivo será identificada como</w:t>
      </w:r>
      <w:r w:rsidRPr="004E1F4E">
        <w:rPr>
          <w:rFonts w:ascii="Palatino Linotype" w:eastAsia="Palatino Linotype" w:hAnsi="Palatino Linotype" w:cs="Palatino Linotype"/>
          <w:b/>
          <w:sz w:val="22"/>
          <w:szCs w:val="22"/>
        </w:rPr>
        <w:t xml:space="preserve"> </w:t>
      </w:r>
      <w:r w:rsidRPr="004E1F4E">
        <w:rPr>
          <w:rFonts w:ascii="Palatino Linotype" w:eastAsia="Palatino Linotype" w:hAnsi="Palatino Linotype" w:cs="Palatino Linotype"/>
          <w:sz w:val="22"/>
          <w:szCs w:val="22"/>
        </w:rPr>
        <w:t xml:space="preserve">la parte </w:t>
      </w:r>
      <w:r w:rsidRPr="004E1F4E">
        <w:rPr>
          <w:rFonts w:ascii="Palatino Linotype" w:eastAsia="Palatino Linotype" w:hAnsi="Palatino Linotype" w:cs="Palatino Linotype"/>
          <w:b/>
          <w:sz w:val="22"/>
          <w:szCs w:val="22"/>
        </w:rPr>
        <w:t>Recurrente,</w:t>
      </w:r>
      <w:r w:rsidRPr="004E1F4E">
        <w:rPr>
          <w:rFonts w:ascii="Palatino Linotype" w:eastAsia="Palatino Linotype" w:hAnsi="Palatino Linotype" w:cs="Palatino Linotype"/>
          <w:sz w:val="22"/>
          <w:szCs w:val="22"/>
        </w:rPr>
        <w:t xml:space="preserve"> en contra de la respuesta a su solicitud de información por parte del</w:t>
      </w:r>
      <w:r w:rsidRPr="004E1F4E">
        <w:rPr>
          <w:rFonts w:ascii="Palatino Linotype" w:eastAsia="Palatino Linotype" w:hAnsi="Palatino Linotype" w:cs="Palatino Linotype"/>
          <w:b/>
          <w:sz w:val="22"/>
          <w:szCs w:val="22"/>
        </w:rPr>
        <w:t xml:space="preserve"> Ayuntamiento de Ecatepec de Morelos, </w:t>
      </w:r>
      <w:r w:rsidRPr="004E1F4E">
        <w:rPr>
          <w:rFonts w:ascii="Palatino Linotype" w:eastAsia="Palatino Linotype" w:hAnsi="Palatino Linotype" w:cs="Palatino Linotype"/>
          <w:sz w:val="22"/>
          <w:szCs w:val="22"/>
        </w:rPr>
        <w:t xml:space="preserve">en lo sucesivo el </w:t>
      </w:r>
      <w:r w:rsidRPr="004E1F4E">
        <w:rPr>
          <w:rFonts w:ascii="Palatino Linotype" w:eastAsia="Palatino Linotype" w:hAnsi="Palatino Linotype" w:cs="Palatino Linotype"/>
          <w:b/>
          <w:sz w:val="22"/>
          <w:szCs w:val="22"/>
        </w:rPr>
        <w:t xml:space="preserve">Sujeto Obligado, </w:t>
      </w:r>
      <w:r w:rsidRPr="004E1F4E">
        <w:rPr>
          <w:rFonts w:ascii="Palatino Linotype" w:eastAsia="Palatino Linotype" w:hAnsi="Palatino Linotype" w:cs="Palatino Linotype"/>
          <w:sz w:val="22"/>
          <w:szCs w:val="22"/>
        </w:rPr>
        <w:t xml:space="preserve">se procede a dictar la presente resolución con base en los siguientes: </w:t>
      </w:r>
    </w:p>
    <w:p w14:paraId="6D31EC02"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2F37EB09" w14:textId="77777777" w:rsidR="00B41F13" w:rsidRPr="004E1F4E" w:rsidRDefault="00771C34">
      <w:pPr>
        <w:spacing w:line="360" w:lineRule="auto"/>
        <w:jc w:val="center"/>
        <w:rPr>
          <w:rFonts w:ascii="Palatino Linotype" w:eastAsia="Palatino Linotype" w:hAnsi="Palatino Linotype" w:cs="Palatino Linotype"/>
          <w:b/>
          <w:sz w:val="22"/>
          <w:szCs w:val="22"/>
        </w:rPr>
      </w:pPr>
      <w:r w:rsidRPr="004E1F4E">
        <w:rPr>
          <w:rFonts w:ascii="Palatino Linotype" w:eastAsia="Palatino Linotype" w:hAnsi="Palatino Linotype" w:cs="Palatino Linotype"/>
          <w:b/>
          <w:sz w:val="22"/>
          <w:szCs w:val="22"/>
        </w:rPr>
        <w:t>I. A N T E C E D E N T E S</w:t>
      </w:r>
    </w:p>
    <w:p w14:paraId="0F4077BD" w14:textId="77777777" w:rsidR="00B41F13" w:rsidRPr="004E1F4E" w:rsidRDefault="00B41F13">
      <w:pPr>
        <w:spacing w:line="360" w:lineRule="auto"/>
        <w:jc w:val="center"/>
        <w:rPr>
          <w:rFonts w:ascii="Palatino Linotype" w:eastAsia="Palatino Linotype" w:hAnsi="Palatino Linotype" w:cs="Palatino Linotype"/>
          <w:b/>
          <w:sz w:val="22"/>
          <w:szCs w:val="22"/>
        </w:rPr>
      </w:pPr>
    </w:p>
    <w:p w14:paraId="373E3B5E"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1. Solicitud de acceso a la información.</w:t>
      </w:r>
      <w:r w:rsidRPr="004E1F4E">
        <w:rPr>
          <w:rFonts w:ascii="Palatino Linotype" w:eastAsia="Palatino Linotype" w:hAnsi="Palatino Linotype" w:cs="Palatino Linotype"/>
          <w:sz w:val="22"/>
          <w:szCs w:val="22"/>
        </w:rPr>
        <w:t xml:space="preserve"> Con fecha </w:t>
      </w:r>
      <w:r w:rsidRPr="004E1F4E">
        <w:rPr>
          <w:rFonts w:ascii="Palatino Linotype" w:eastAsia="Palatino Linotype" w:hAnsi="Palatino Linotype" w:cs="Palatino Linotype"/>
          <w:b/>
          <w:sz w:val="22"/>
          <w:szCs w:val="22"/>
        </w:rPr>
        <w:t>veinticinco de junio de</w:t>
      </w:r>
      <w:r w:rsidRPr="004E1F4E">
        <w:rPr>
          <w:rFonts w:ascii="Palatino Linotype" w:eastAsia="Palatino Linotype" w:hAnsi="Palatino Linotype" w:cs="Palatino Linotype"/>
          <w:sz w:val="22"/>
          <w:szCs w:val="22"/>
        </w:rPr>
        <w:t xml:space="preserve"> </w:t>
      </w:r>
      <w:r w:rsidRPr="004E1F4E">
        <w:rPr>
          <w:rFonts w:ascii="Palatino Linotype" w:eastAsia="Palatino Linotype" w:hAnsi="Palatino Linotype" w:cs="Palatino Linotype"/>
          <w:b/>
          <w:sz w:val="22"/>
          <w:szCs w:val="22"/>
        </w:rPr>
        <w:t>dos mil veinticuatro,</w:t>
      </w:r>
      <w:r w:rsidRPr="004E1F4E">
        <w:rPr>
          <w:rFonts w:ascii="Palatino Linotype" w:eastAsia="Palatino Linotype" w:hAnsi="Palatino Linotype" w:cs="Palatino Linotype"/>
          <w:sz w:val="22"/>
          <w:szCs w:val="22"/>
        </w:rPr>
        <w:t xml:space="preserve"> la parte </w:t>
      </w:r>
      <w:r w:rsidRPr="004E1F4E">
        <w:rPr>
          <w:rFonts w:ascii="Palatino Linotype" w:eastAsia="Palatino Linotype" w:hAnsi="Palatino Linotype" w:cs="Palatino Linotype"/>
          <w:b/>
          <w:sz w:val="22"/>
          <w:szCs w:val="22"/>
        </w:rPr>
        <w:t xml:space="preserve">Recurrente </w:t>
      </w:r>
      <w:r w:rsidRPr="004E1F4E">
        <w:rPr>
          <w:rFonts w:ascii="Palatino Linotype" w:eastAsia="Palatino Linotype" w:hAnsi="Palatino Linotype" w:cs="Palatino Linotype"/>
          <w:sz w:val="22"/>
          <w:szCs w:val="22"/>
        </w:rPr>
        <w:t xml:space="preserve">presentó, a través del Sistema de Acceso a la Información Mexiquense, en lo subsecuente el </w:t>
      </w:r>
      <w:r w:rsidRPr="004E1F4E">
        <w:rPr>
          <w:rFonts w:ascii="Palatino Linotype" w:eastAsia="Palatino Linotype" w:hAnsi="Palatino Linotype" w:cs="Palatino Linotype"/>
          <w:b/>
          <w:sz w:val="22"/>
          <w:szCs w:val="22"/>
        </w:rPr>
        <w:t>SAIMEX,</w:t>
      </w:r>
      <w:r w:rsidRPr="004E1F4E">
        <w:rPr>
          <w:rFonts w:ascii="Palatino Linotype" w:eastAsia="Palatino Linotype" w:hAnsi="Palatino Linotype" w:cs="Palatino Linotype"/>
          <w:sz w:val="22"/>
          <w:szCs w:val="22"/>
        </w:rPr>
        <w:t xml:space="preserve"> ante el </w:t>
      </w:r>
      <w:r w:rsidRPr="004E1F4E">
        <w:rPr>
          <w:rFonts w:ascii="Palatino Linotype" w:eastAsia="Palatino Linotype" w:hAnsi="Palatino Linotype" w:cs="Palatino Linotype"/>
          <w:b/>
          <w:sz w:val="22"/>
          <w:szCs w:val="22"/>
        </w:rPr>
        <w:t>Sujeto Obligado</w:t>
      </w:r>
      <w:r w:rsidRPr="004E1F4E">
        <w:rPr>
          <w:rFonts w:ascii="Palatino Linotype" w:eastAsia="Palatino Linotype" w:hAnsi="Palatino Linotype" w:cs="Palatino Linotype"/>
          <w:sz w:val="22"/>
          <w:szCs w:val="22"/>
        </w:rPr>
        <w:t>, la solicitud de acceso a la información pública, a la que se le asignó el número</w:t>
      </w:r>
      <w:r w:rsidRPr="004E1F4E">
        <w:rPr>
          <w:rFonts w:ascii="Palatino Linotype" w:eastAsia="Palatino Linotype" w:hAnsi="Palatino Linotype" w:cs="Palatino Linotype"/>
          <w:b/>
          <w:sz w:val="22"/>
          <w:szCs w:val="22"/>
        </w:rPr>
        <w:t xml:space="preserve"> 00972/ECATEPEC/IP/2024, </w:t>
      </w:r>
      <w:r w:rsidRPr="004E1F4E">
        <w:rPr>
          <w:rFonts w:ascii="Palatino Linotype" w:eastAsia="Palatino Linotype" w:hAnsi="Palatino Linotype" w:cs="Palatino Linotype"/>
          <w:sz w:val="22"/>
          <w:szCs w:val="22"/>
        </w:rPr>
        <w:t xml:space="preserve">mediante la cual requirió la información siguiente: </w:t>
      </w:r>
    </w:p>
    <w:p w14:paraId="69785758" w14:textId="77777777" w:rsidR="00771C34" w:rsidRPr="004E1F4E" w:rsidRDefault="00771C34">
      <w:pPr>
        <w:spacing w:line="360" w:lineRule="auto"/>
        <w:jc w:val="both"/>
        <w:rPr>
          <w:rFonts w:ascii="Palatino Linotype" w:eastAsia="Palatino Linotype" w:hAnsi="Palatino Linotype" w:cs="Palatino Linotype"/>
          <w:sz w:val="22"/>
          <w:szCs w:val="22"/>
        </w:rPr>
      </w:pPr>
    </w:p>
    <w:p w14:paraId="48BBAEC6" w14:textId="77777777" w:rsidR="00B41F13" w:rsidRPr="004E1F4E" w:rsidRDefault="00771C34" w:rsidP="00771C34">
      <w:pPr>
        <w:tabs>
          <w:tab w:val="center" w:pos="4252"/>
          <w:tab w:val="right" w:pos="8504"/>
        </w:tabs>
        <w:spacing w:line="276" w:lineRule="auto"/>
        <w:ind w:left="851" w:right="902"/>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“En relación con el Consejo Municipal de Protección al Ambiente, previsto en el Bando Municipal del Ayuntamiento de Ecatepec de Morelos 2018, solicito la siguiente información del periodo del 1 enero al 31 de diciembre de 2018: 1.- Orden del día de las sesiones y reuniones realizadas 2.- Listas de asistencia de las sesiones y reuniones realizadas 3.- Actas o minutas de las sesiones y reuniones realizadas 4.- Documentos de planeación operativa elaborados (programas, planes, metodologías, cronogramas o similares).” (sic) </w:t>
      </w:r>
    </w:p>
    <w:p w14:paraId="632CB9AB" w14:textId="77777777" w:rsidR="00B41F13" w:rsidRPr="004E1F4E" w:rsidRDefault="00771C34">
      <w:pPr>
        <w:spacing w:line="360" w:lineRule="auto"/>
        <w:jc w:val="both"/>
        <w:rPr>
          <w:rFonts w:ascii="Palatino Linotype" w:eastAsia="Palatino Linotype" w:hAnsi="Palatino Linotype" w:cs="Palatino Linotype"/>
          <w:b/>
          <w:sz w:val="22"/>
          <w:szCs w:val="22"/>
        </w:rPr>
      </w:pPr>
      <w:r w:rsidRPr="004E1F4E">
        <w:rPr>
          <w:rFonts w:ascii="Palatino Linotype" w:eastAsia="Palatino Linotype" w:hAnsi="Palatino Linotype" w:cs="Palatino Linotype"/>
          <w:b/>
          <w:sz w:val="22"/>
          <w:szCs w:val="22"/>
        </w:rPr>
        <w:lastRenderedPageBreak/>
        <w:t>Modalidad de Entrega:</w:t>
      </w:r>
      <w:r w:rsidRPr="004E1F4E">
        <w:rPr>
          <w:rFonts w:ascii="Palatino Linotype" w:eastAsia="Palatino Linotype" w:hAnsi="Palatino Linotype" w:cs="Palatino Linotype"/>
          <w:sz w:val="22"/>
          <w:szCs w:val="22"/>
        </w:rPr>
        <w:t xml:space="preserve"> a través </w:t>
      </w:r>
      <w:r w:rsidRPr="004E1F4E">
        <w:rPr>
          <w:rFonts w:ascii="Palatino Linotype" w:eastAsia="Palatino Linotype" w:hAnsi="Palatino Linotype" w:cs="Palatino Linotype"/>
          <w:b/>
          <w:sz w:val="22"/>
          <w:szCs w:val="22"/>
        </w:rPr>
        <w:t>de SAIMEX</w:t>
      </w:r>
    </w:p>
    <w:p w14:paraId="45DBC9DC" w14:textId="77777777" w:rsidR="00B41F13" w:rsidRPr="004E1F4E" w:rsidRDefault="00B41F1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1" w:name="_heading=h.3dy6vkm" w:colFirst="0" w:colLast="0"/>
      <w:bookmarkEnd w:id="1"/>
    </w:p>
    <w:p w14:paraId="1BDBD69D" w14:textId="77777777" w:rsidR="00B41F13" w:rsidRPr="004E1F4E" w:rsidRDefault="00771C34">
      <w:pPr>
        <w:pBdr>
          <w:top w:val="nil"/>
          <w:left w:val="nil"/>
          <w:bottom w:val="nil"/>
          <w:right w:val="nil"/>
          <w:between w:val="nil"/>
        </w:pBdr>
        <w:spacing w:line="360" w:lineRule="auto"/>
        <w:jc w:val="both"/>
        <w:rPr>
          <w:rFonts w:ascii="Palatino Linotype" w:eastAsia="Palatino Linotype" w:hAnsi="Palatino Linotype" w:cs="Palatino Linotype"/>
        </w:rPr>
      </w:pPr>
      <w:r w:rsidRPr="004E1F4E">
        <w:rPr>
          <w:rFonts w:ascii="Palatino Linotype" w:eastAsia="Palatino Linotype" w:hAnsi="Palatino Linotype" w:cs="Palatino Linotype"/>
          <w:b/>
          <w:sz w:val="22"/>
          <w:szCs w:val="22"/>
        </w:rPr>
        <w:t>2</w:t>
      </w:r>
      <w:r w:rsidRPr="004E1F4E">
        <w:rPr>
          <w:rFonts w:ascii="Palatino Linotype" w:eastAsia="Palatino Linotype" w:hAnsi="Palatino Linotype" w:cs="Palatino Linotype"/>
          <w:sz w:val="22"/>
          <w:szCs w:val="22"/>
        </w:rPr>
        <w:t xml:space="preserve">. </w:t>
      </w:r>
      <w:r w:rsidRPr="004E1F4E">
        <w:rPr>
          <w:rFonts w:ascii="Palatino Linotype" w:eastAsia="Palatino Linotype" w:hAnsi="Palatino Linotype" w:cs="Palatino Linotype"/>
          <w:b/>
        </w:rPr>
        <w:t xml:space="preserve">Respuesta. </w:t>
      </w:r>
      <w:r w:rsidRPr="004E1F4E">
        <w:rPr>
          <w:rFonts w:ascii="Palatino Linotype" w:eastAsia="Palatino Linotype" w:hAnsi="Palatino Linotype" w:cs="Palatino Linotype"/>
        </w:rPr>
        <w:t>La parte recurrente no dio respuesta a la solicitud de información.</w:t>
      </w:r>
    </w:p>
    <w:p w14:paraId="5BC508C5" w14:textId="77777777" w:rsidR="00B41F13" w:rsidRPr="004E1F4E" w:rsidRDefault="00B41F13">
      <w:pPr>
        <w:spacing w:line="360" w:lineRule="auto"/>
        <w:ind w:right="49"/>
        <w:jc w:val="both"/>
        <w:rPr>
          <w:rFonts w:ascii="Palatino Linotype" w:eastAsia="Palatino Linotype" w:hAnsi="Palatino Linotype" w:cs="Palatino Linotype"/>
          <w:i/>
          <w:sz w:val="22"/>
          <w:szCs w:val="22"/>
        </w:rPr>
      </w:pPr>
    </w:p>
    <w:p w14:paraId="30EE4F33"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 xml:space="preserve">3. Interposición del recurso de revisión. </w:t>
      </w:r>
      <w:r w:rsidRPr="004E1F4E">
        <w:rPr>
          <w:rFonts w:ascii="Palatino Linotype" w:eastAsia="Palatino Linotype" w:hAnsi="Palatino Linotype" w:cs="Palatino Linotype"/>
          <w:sz w:val="22"/>
          <w:szCs w:val="22"/>
        </w:rPr>
        <w:t xml:space="preserve">Inconforme con los términos de la respuesta emitida por parte del </w:t>
      </w:r>
      <w:r w:rsidRPr="004E1F4E">
        <w:rPr>
          <w:rFonts w:ascii="Palatino Linotype" w:eastAsia="Palatino Linotype" w:hAnsi="Palatino Linotype" w:cs="Palatino Linotype"/>
          <w:b/>
          <w:sz w:val="22"/>
          <w:szCs w:val="22"/>
        </w:rPr>
        <w:t>Sujeto Obligado</w:t>
      </w:r>
      <w:r w:rsidRPr="004E1F4E">
        <w:rPr>
          <w:rFonts w:ascii="Palatino Linotype" w:eastAsia="Palatino Linotype" w:hAnsi="Palatino Linotype" w:cs="Palatino Linotype"/>
          <w:sz w:val="22"/>
          <w:szCs w:val="22"/>
        </w:rPr>
        <w:t>, el</w:t>
      </w:r>
      <w:r w:rsidRPr="004E1F4E">
        <w:rPr>
          <w:rFonts w:ascii="Palatino Linotype" w:eastAsia="Palatino Linotype" w:hAnsi="Palatino Linotype" w:cs="Palatino Linotype"/>
          <w:b/>
          <w:sz w:val="22"/>
          <w:szCs w:val="22"/>
        </w:rPr>
        <w:t xml:space="preserve"> veintiséis de agosto de dos mil veinticuatro,</w:t>
      </w:r>
      <w:r w:rsidRPr="004E1F4E">
        <w:rPr>
          <w:rFonts w:ascii="Palatino Linotype" w:eastAsia="Palatino Linotype" w:hAnsi="Palatino Linotype" w:cs="Palatino Linotype"/>
          <w:sz w:val="22"/>
          <w:szCs w:val="22"/>
        </w:rPr>
        <w:t xml:space="preserve"> la parte </w:t>
      </w:r>
      <w:r w:rsidRPr="004E1F4E">
        <w:rPr>
          <w:rFonts w:ascii="Palatino Linotype" w:eastAsia="Palatino Linotype" w:hAnsi="Palatino Linotype" w:cs="Palatino Linotype"/>
          <w:b/>
          <w:sz w:val="22"/>
          <w:szCs w:val="22"/>
        </w:rPr>
        <w:t>Recurrente</w:t>
      </w:r>
      <w:r w:rsidRPr="004E1F4E">
        <w:rPr>
          <w:rFonts w:ascii="Palatino Linotype" w:eastAsia="Palatino Linotype" w:hAnsi="Palatino Linotype" w:cs="Palatino Linotype"/>
          <w:sz w:val="22"/>
          <w:szCs w:val="22"/>
        </w:rPr>
        <w:t xml:space="preserve"> interpuso el recurso de revisión a través de </w:t>
      </w:r>
      <w:r w:rsidRPr="004E1F4E">
        <w:rPr>
          <w:rFonts w:ascii="Palatino Linotype" w:eastAsia="Palatino Linotype" w:hAnsi="Palatino Linotype" w:cs="Palatino Linotype"/>
          <w:b/>
          <w:sz w:val="22"/>
          <w:szCs w:val="22"/>
        </w:rPr>
        <w:t xml:space="preserve">SAIMEX, </w:t>
      </w:r>
      <w:r w:rsidRPr="004E1F4E">
        <w:rPr>
          <w:rFonts w:ascii="Palatino Linotype" w:eastAsia="Palatino Linotype" w:hAnsi="Palatino Linotype" w:cs="Palatino Linotype"/>
          <w:sz w:val="22"/>
          <w:szCs w:val="22"/>
        </w:rPr>
        <w:t>en donde se manifestó de la siguiente manera:</w:t>
      </w:r>
    </w:p>
    <w:p w14:paraId="41612501" w14:textId="77777777" w:rsidR="00B41F13" w:rsidRPr="004E1F4E" w:rsidRDefault="00B41F13">
      <w:pPr>
        <w:spacing w:line="360" w:lineRule="auto"/>
        <w:ind w:right="49"/>
        <w:jc w:val="both"/>
        <w:rPr>
          <w:rFonts w:ascii="Palatino Linotype" w:eastAsia="Palatino Linotype" w:hAnsi="Palatino Linotype" w:cs="Palatino Linotype"/>
          <w:b/>
          <w:sz w:val="22"/>
          <w:szCs w:val="22"/>
        </w:rPr>
      </w:pPr>
    </w:p>
    <w:p w14:paraId="46D56A29" w14:textId="77777777" w:rsidR="00B41F13" w:rsidRPr="004E1F4E" w:rsidRDefault="00771C34">
      <w:pPr>
        <w:tabs>
          <w:tab w:val="left" w:pos="2745"/>
        </w:tabs>
        <w:spacing w:line="276" w:lineRule="auto"/>
        <w:ind w:left="567"/>
        <w:jc w:val="both"/>
        <w:rPr>
          <w:rFonts w:ascii="Palatino Linotype" w:eastAsia="Palatino Linotype" w:hAnsi="Palatino Linotype" w:cs="Palatino Linotype"/>
          <w:b/>
          <w:sz w:val="22"/>
          <w:szCs w:val="22"/>
        </w:rPr>
      </w:pPr>
      <w:r w:rsidRPr="004E1F4E">
        <w:rPr>
          <w:rFonts w:ascii="Palatino Linotype" w:eastAsia="Palatino Linotype" w:hAnsi="Palatino Linotype" w:cs="Palatino Linotype"/>
          <w:b/>
          <w:sz w:val="22"/>
          <w:szCs w:val="22"/>
        </w:rPr>
        <w:t xml:space="preserve">Acto impugnado: </w:t>
      </w:r>
      <w:r w:rsidRPr="004E1F4E">
        <w:rPr>
          <w:rFonts w:ascii="Palatino Linotype" w:eastAsia="Palatino Linotype" w:hAnsi="Palatino Linotype" w:cs="Palatino Linotype"/>
          <w:i/>
          <w:sz w:val="22"/>
          <w:szCs w:val="22"/>
        </w:rPr>
        <w:t xml:space="preserve">“Se niegan a dar la información.” </w:t>
      </w:r>
    </w:p>
    <w:p w14:paraId="045675B9" w14:textId="77777777" w:rsidR="00B41F13" w:rsidRPr="004E1F4E" w:rsidRDefault="00B41F13">
      <w:pPr>
        <w:spacing w:line="360" w:lineRule="auto"/>
        <w:ind w:left="567"/>
        <w:jc w:val="both"/>
        <w:rPr>
          <w:rFonts w:ascii="Palatino Linotype" w:eastAsia="Palatino Linotype" w:hAnsi="Palatino Linotype" w:cs="Palatino Linotype"/>
          <w:i/>
          <w:sz w:val="22"/>
          <w:szCs w:val="22"/>
        </w:rPr>
      </w:pPr>
      <w:bookmarkStart w:id="2" w:name="_heading=h.30j0zll" w:colFirst="0" w:colLast="0"/>
      <w:bookmarkEnd w:id="2"/>
    </w:p>
    <w:p w14:paraId="03EEF0FC" w14:textId="77777777" w:rsidR="00B41F13" w:rsidRPr="004E1F4E" w:rsidRDefault="00771C34">
      <w:pPr>
        <w:spacing w:line="276" w:lineRule="auto"/>
        <w:ind w:left="567"/>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sz w:val="22"/>
          <w:szCs w:val="22"/>
        </w:rPr>
        <w:t>Razones o motivos de inconformidad</w:t>
      </w:r>
      <w:r w:rsidRPr="004E1F4E">
        <w:rPr>
          <w:rFonts w:ascii="Palatino Linotype" w:eastAsia="Palatino Linotype" w:hAnsi="Palatino Linotype" w:cs="Palatino Linotype"/>
          <w:sz w:val="22"/>
          <w:szCs w:val="22"/>
        </w:rPr>
        <w:t xml:space="preserve">: </w:t>
      </w:r>
      <w:r w:rsidRPr="004E1F4E">
        <w:rPr>
          <w:rFonts w:ascii="Palatino Linotype" w:eastAsia="Palatino Linotype" w:hAnsi="Palatino Linotype" w:cs="Palatino Linotype"/>
          <w:i/>
          <w:sz w:val="22"/>
          <w:szCs w:val="22"/>
        </w:rPr>
        <w:t xml:space="preserve">“Se niegan a dar la información.” </w:t>
      </w:r>
    </w:p>
    <w:p w14:paraId="009F9E8F"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06929178" w14:textId="77777777" w:rsidR="00B41F13" w:rsidRPr="004E1F4E" w:rsidRDefault="00771C34">
      <w:pPr>
        <w:spacing w:line="360" w:lineRule="auto"/>
        <w:ind w:right="51"/>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 xml:space="preserve">4. Turno. </w:t>
      </w:r>
      <w:r w:rsidRPr="004E1F4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E1F4E">
        <w:rPr>
          <w:rFonts w:ascii="Palatino Linotype" w:eastAsia="Palatino Linotype" w:hAnsi="Palatino Linotype" w:cs="Palatino Linotype"/>
          <w:b/>
          <w:sz w:val="22"/>
          <w:szCs w:val="22"/>
        </w:rPr>
        <w:t xml:space="preserve">Guadalupe Ramírez Peña, </w:t>
      </w:r>
      <w:r w:rsidRPr="004E1F4E">
        <w:rPr>
          <w:rFonts w:ascii="Palatino Linotype" w:eastAsia="Palatino Linotype" w:hAnsi="Palatino Linotype" w:cs="Palatino Linotype"/>
          <w:sz w:val="22"/>
          <w:szCs w:val="22"/>
        </w:rPr>
        <w:t xml:space="preserve">a efecto de que analizara sobre su admisión o su </w:t>
      </w:r>
      <w:proofErr w:type="spellStart"/>
      <w:r w:rsidRPr="004E1F4E">
        <w:rPr>
          <w:rFonts w:ascii="Palatino Linotype" w:eastAsia="Palatino Linotype" w:hAnsi="Palatino Linotype" w:cs="Palatino Linotype"/>
          <w:sz w:val="22"/>
          <w:szCs w:val="22"/>
        </w:rPr>
        <w:t>desechamiento</w:t>
      </w:r>
      <w:proofErr w:type="spellEnd"/>
      <w:r w:rsidRPr="004E1F4E">
        <w:rPr>
          <w:rFonts w:ascii="Palatino Linotype" w:eastAsia="Palatino Linotype" w:hAnsi="Palatino Linotype" w:cs="Palatino Linotype"/>
          <w:sz w:val="22"/>
          <w:szCs w:val="22"/>
        </w:rPr>
        <w:t>.</w:t>
      </w:r>
    </w:p>
    <w:p w14:paraId="3FE360F1" w14:textId="77777777" w:rsidR="00B41F13" w:rsidRPr="004E1F4E" w:rsidRDefault="00B41F13">
      <w:pPr>
        <w:spacing w:line="360" w:lineRule="auto"/>
        <w:ind w:right="51"/>
        <w:jc w:val="both"/>
        <w:rPr>
          <w:rFonts w:ascii="Palatino Linotype" w:eastAsia="Palatino Linotype" w:hAnsi="Palatino Linotype" w:cs="Palatino Linotype"/>
          <w:sz w:val="22"/>
          <w:szCs w:val="22"/>
        </w:rPr>
      </w:pPr>
    </w:p>
    <w:p w14:paraId="110AD34E"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5. Admisión del Recurso de revisión.</w:t>
      </w:r>
      <w:r w:rsidRPr="004E1F4E">
        <w:rPr>
          <w:rFonts w:ascii="Palatino Linotype" w:eastAsia="Palatino Linotype" w:hAnsi="Palatino Linotype" w:cs="Palatino Linotype"/>
          <w:sz w:val="22"/>
          <w:szCs w:val="22"/>
        </w:rPr>
        <w:t xml:space="preserve"> Con fecha</w:t>
      </w:r>
      <w:r w:rsidRPr="004E1F4E">
        <w:rPr>
          <w:rFonts w:ascii="Palatino Linotype" w:eastAsia="Palatino Linotype" w:hAnsi="Palatino Linotype" w:cs="Palatino Linotype"/>
          <w:b/>
          <w:sz w:val="22"/>
          <w:szCs w:val="22"/>
        </w:rPr>
        <w:t xml:space="preserve"> veintinueve de agosto de dos mil veinticuatro, </w:t>
      </w:r>
      <w:r w:rsidRPr="004E1F4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E1F4E">
        <w:rPr>
          <w:rFonts w:ascii="Palatino Linotype" w:eastAsia="Palatino Linotype" w:hAnsi="Palatino Linotype" w:cs="Palatino Linotype"/>
          <w:b/>
          <w:sz w:val="22"/>
          <w:szCs w:val="22"/>
        </w:rPr>
        <w:t xml:space="preserve">Sujeto Obligado </w:t>
      </w:r>
      <w:r w:rsidRPr="004E1F4E">
        <w:rPr>
          <w:rFonts w:ascii="Palatino Linotype" w:eastAsia="Palatino Linotype" w:hAnsi="Palatino Linotype" w:cs="Palatino Linotype"/>
          <w:sz w:val="22"/>
          <w:szCs w:val="22"/>
        </w:rPr>
        <w:t>presentara su informe justificado.</w:t>
      </w:r>
    </w:p>
    <w:p w14:paraId="67591214" w14:textId="77777777" w:rsidR="00B41F13" w:rsidRPr="004E1F4E" w:rsidRDefault="00771C3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3" w:name="_heading=h.2s8eyo1" w:colFirst="0" w:colLast="0"/>
      <w:bookmarkEnd w:id="3"/>
      <w:r w:rsidRPr="004E1F4E">
        <w:rPr>
          <w:rFonts w:ascii="Palatino Linotype" w:eastAsia="Palatino Linotype" w:hAnsi="Palatino Linotype" w:cs="Palatino Linotype"/>
          <w:b/>
          <w:sz w:val="22"/>
          <w:szCs w:val="22"/>
        </w:rPr>
        <w:lastRenderedPageBreak/>
        <w:t>6. Manifestaciones</w:t>
      </w:r>
      <w:r w:rsidRPr="004E1F4E">
        <w:rPr>
          <w:rFonts w:ascii="Palatino Linotype" w:eastAsia="Palatino Linotype" w:hAnsi="Palatino Linotype" w:cs="Palatino Linotype"/>
          <w:sz w:val="22"/>
          <w:szCs w:val="22"/>
        </w:rPr>
        <w:t xml:space="preserve">. El </w:t>
      </w:r>
      <w:r w:rsidRPr="004E1F4E">
        <w:rPr>
          <w:rFonts w:ascii="Palatino Linotype" w:eastAsia="Palatino Linotype" w:hAnsi="Palatino Linotype" w:cs="Palatino Linotype"/>
          <w:b/>
          <w:sz w:val="22"/>
          <w:szCs w:val="22"/>
        </w:rPr>
        <w:t>doce de septiembre de dos mil veinticuatro</w:t>
      </w:r>
      <w:r w:rsidRPr="004E1F4E">
        <w:rPr>
          <w:rFonts w:ascii="Palatino Linotype" w:eastAsia="Palatino Linotype" w:hAnsi="Palatino Linotype" w:cs="Palatino Linotype"/>
          <w:sz w:val="22"/>
          <w:szCs w:val="22"/>
        </w:rPr>
        <w:t xml:space="preserve"> el </w:t>
      </w:r>
      <w:r w:rsidRPr="004E1F4E">
        <w:rPr>
          <w:rFonts w:ascii="Palatino Linotype" w:eastAsia="Palatino Linotype" w:hAnsi="Palatino Linotype" w:cs="Palatino Linotype"/>
          <w:b/>
          <w:sz w:val="22"/>
          <w:szCs w:val="22"/>
        </w:rPr>
        <w:t xml:space="preserve">Sujeto Obligado, </w:t>
      </w:r>
      <w:r w:rsidRPr="004E1F4E">
        <w:rPr>
          <w:rFonts w:ascii="Palatino Linotype" w:eastAsia="Palatino Linotype" w:hAnsi="Palatino Linotype" w:cs="Palatino Linotype"/>
          <w:sz w:val="22"/>
          <w:szCs w:val="22"/>
        </w:rPr>
        <w:t xml:space="preserve">haciendo uso de su derecho, remitió su informe justificado consistente en los archivos electrónicos siguientes: </w:t>
      </w:r>
    </w:p>
    <w:p w14:paraId="5F1772B0" w14:textId="77777777" w:rsidR="00B41F13" w:rsidRPr="004E1F4E" w:rsidRDefault="00B41F1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197B995" w14:textId="77777777" w:rsidR="00B41F13" w:rsidRPr="004E1F4E" w:rsidRDefault="00771C34">
      <w:pPr>
        <w:numPr>
          <w:ilvl w:val="0"/>
          <w:numId w:val="1"/>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Oficio de fecha once de septiembre de dos mil veinticuatro, signado por el Encargado de Despacho de la Dirección de Medio Ambiente y Ecología, mediante el cual informa que, se hizo una búsqueda minuciosa en los archivos que obran en la dirección y no se encontró información relacionada a la solicitada. </w:t>
      </w:r>
    </w:p>
    <w:p w14:paraId="54B75554" w14:textId="77777777" w:rsidR="00B41F13" w:rsidRPr="004E1F4E" w:rsidRDefault="00B41F13">
      <w:pPr>
        <w:pBdr>
          <w:top w:val="nil"/>
          <w:left w:val="nil"/>
          <w:bottom w:val="nil"/>
          <w:right w:val="nil"/>
          <w:between w:val="nil"/>
        </w:pBdr>
        <w:tabs>
          <w:tab w:val="left" w:pos="284"/>
        </w:tabs>
        <w:spacing w:line="360" w:lineRule="auto"/>
        <w:ind w:left="720" w:right="49"/>
        <w:jc w:val="both"/>
        <w:rPr>
          <w:rFonts w:ascii="Palatino Linotype" w:eastAsia="Palatino Linotype" w:hAnsi="Palatino Linotype" w:cs="Palatino Linotype"/>
          <w:sz w:val="22"/>
          <w:szCs w:val="22"/>
        </w:rPr>
      </w:pPr>
    </w:p>
    <w:p w14:paraId="18516D4E" w14:textId="77777777" w:rsidR="00B41F13" w:rsidRPr="004E1F4E" w:rsidRDefault="00771C3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bookmarkStart w:id="4" w:name="_heading=h.1ksv4uv" w:colFirst="0" w:colLast="0"/>
      <w:bookmarkEnd w:id="4"/>
      <w:r w:rsidRPr="004E1F4E">
        <w:rPr>
          <w:rFonts w:ascii="Palatino Linotype" w:eastAsia="Palatino Linotype" w:hAnsi="Palatino Linotype" w:cs="Palatino Linotype"/>
          <w:sz w:val="22"/>
          <w:szCs w:val="22"/>
        </w:rPr>
        <w:t xml:space="preserve">Documentos que el </w:t>
      </w:r>
      <w:r w:rsidRPr="004E1F4E">
        <w:rPr>
          <w:rFonts w:ascii="Palatino Linotype" w:eastAsia="Palatino Linotype" w:hAnsi="Palatino Linotype" w:cs="Palatino Linotype"/>
          <w:b/>
          <w:sz w:val="22"/>
          <w:szCs w:val="22"/>
        </w:rPr>
        <w:t>dos de octubre de dos mil veinticuatro</w:t>
      </w:r>
      <w:r w:rsidRPr="004E1F4E">
        <w:rPr>
          <w:rFonts w:ascii="Palatino Linotype" w:eastAsia="Palatino Linotype" w:hAnsi="Palatino Linotype" w:cs="Palatino Linotype"/>
          <w:sz w:val="22"/>
          <w:szCs w:val="22"/>
        </w:rPr>
        <w:t xml:space="preserve">, se hicieron del conocimiento de la parte </w:t>
      </w:r>
      <w:r w:rsidRPr="004E1F4E">
        <w:rPr>
          <w:rFonts w:ascii="Palatino Linotype" w:eastAsia="Palatino Linotype" w:hAnsi="Palatino Linotype" w:cs="Palatino Linotype"/>
          <w:b/>
          <w:sz w:val="22"/>
          <w:szCs w:val="22"/>
        </w:rPr>
        <w:t xml:space="preserve">Recurrente. </w:t>
      </w:r>
    </w:p>
    <w:p w14:paraId="06DB117F" w14:textId="77777777" w:rsidR="00B41F13" w:rsidRPr="004E1F4E" w:rsidRDefault="00B41F1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D3AE58B" w14:textId="77777777" w:rsidR="00B41F13" w:rsidRPr="004E1F4E" w:rsidRDefault="00771C3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La parte Recurrente fue omisa en rendir manifestaciones. </w:t>
      </w:r>
    </w:p>
    <w:p w14:paraId="7784C602"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3BAD23A0"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 xml:space="preserve">7. Cierre de instrucción. </w:t>
      </w:r>
      <w:r w:rsidRPr="004E1F4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4E1F4E">
        <w:rPr>
          <w:rFonts w:ascii="Palatino Linotype" w:eastAsia="Palatino Linotype" w:hAnsi="Palatino Linotype" w:cs="Palatino Linotype"/>
          <w:b/>
          <w:sz w:val="22"/>
          <w:szCs w:val="22"/>
        </w:rPr>
        <w:t xml:space="preserve">nueve de </w:t>
      </w:r>
      <w:proofErr w:type="gramStart"/>
      <w:r w:rsidRPr="004E1F4E">
        <w:rPr>
          <w:rFonts w:ascii="Palatino Linotype" w:eastAsia="Palatino Linotype" w:hAnsi="Palatino Linotype" w:cs="Palatino Linotype"/>
          <w:b/>
          <w:sz w:val="22"/>
          <w:szCs w:val="22"/>
        </w:rPr>
        <w:t>octubre  de</w:t>
      </w:r>
      <w:proofErr w:type="gramEnd"/>
      <w:r w:rsidRPr="004E1F4E">
        <w:rPr>
          <w:rFonts w:ascii="Palatino Linotype" w:eastAsia="Palatino Linotype" w:hAnsi="Palatino Linotype" w:cs="Palatino Linotype"/>
          <w:b/>
          <w:sz w:val="22"/>
          <w:szCs w:val="22"/>
        </w:rPr>
        <w:t xml:space="preserve"> dos mil veinticuatro</w:t>
      </w:r>
      <w:r w:rsidRPr="004E1F4E">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C3C965A"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3B60E3BF"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F0DE357"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22D748FD"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3817D738"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05A859DC" w14:textId="77777777" w:rsidR="00B41F13" w:rsidRPr="004E1F4E" w:rsidRDefault="00771C34">
      <w:pPr>
        <w:widowControl w:val="0"/>
        <w:spacing w:line="360" w:lineRule="auto"/>
        <w:jc w:val="center"/>
        <w:rPr>
          <w:rFonts w:ascii="Palatino Linotype" w:eastAsia="Palatino Linotype" w:hAnsi="Palatino Linotype" w:cs="Palatino Linotype"/>
          <w:b/>
          <w:sz w:val="22"/>
          <w:szCs w:val="22"/>
        </w:rPr>
      </w:pPr>
      <w:r w:rsidRPr="004E1F4E">
        <w:rPr>
          <w:rFonts w:ascii="Palatino Linotype" w:eastAsia="Palatino Linotype" w:hAnsi="Palatino Linotype" w:cs="Palatino Linotype"/>
          <w:b/>
          <w:sz w:val="22"/>
          <w:szCs w:val="22"/>
        </w:rPr>
        <w:lastRenderedPageBreak/>
        <w:t>II. C O N S I D E R A N D O S</w:t>
      </w:r>
    </w:p>
    <w:p w14:paraId="268C1096" w14:textId="77777777" w:rsidR="00B41F13" w:rsidRPr="004E1F4E" w:rsidRDefault="00B41F13">
      <w:pPr>
        <w:widowControl w:val="0"/>
        <w:spacing w:line="360" w:lineRule="auto"/>
        <w:jc w:val="center"/>
        <w:rPr>
          <w:rFonts w:ascii="Palatino Linotype" w:eastAsia="Palatino Linotype" w:hAnsi="Palatino Linotype" w:cs="Palatino Linotype"/>
          <w:b/>
          <w:sz w:val="22"/>
          <w:szCs w:val="22"/>
        </w:rPr>
      </w:pPr>
    </w:p>
    <w:p w14:paraId="6664FECA"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 xml:space="preserve">Primero. Competencia. </w:t>
      </w:r>
      <w:r w:rsidRPr="004E1F4E">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B8F8358"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5BAE9963"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Segundo. Oportunidad y Procedibilidad del Recurso de Revisión.</w:t>
      </w:r>
      <w:r w:rsidRPr="004E1F4E">
        <w:rPr>
          <w:rFonts w:ascii="Palatino Linotype" w:eastAsia="Palatino Linotype" w:hAnsi="Palatino Linotype" w:cs="Palatino Linotype"/>
          <w:sz w:val="22"/>
          <w:szCs w:val="22"/>
        </w:rPr>
        <w:t xml:space="preserve"> Es de precisar que la</w:t>
      </w:r>
      <w:r w:rsidRPr="004E1F4E">
        <w:rPr>
          <w:rFonts w:ascii="Palatino Linotype" w:eastAsia="Palatino Linotype" w:hAnsi="Palatino Linotype" w:cs="Palatino Linotype"/>
          <w:b/>
          <w:sz w:val="22"/>
          <w:szCs w:val="22"/>
        </w:rPr>
        <w:t xml:space="preserve"> </w:t>
      </w:r>
      <w:r w:rsidRPr="004E1F4E">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166, del tenor literal siguiente: </w:t>
      </w:r>
    </w:p>
    <w:p w14:paraId="543F63AC"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1EDFAF3A" w14:textId="77777777" w:rsidR="00B41F13" w:rsidRPr="004E1F4E" w:rsidRDefault="00771C34">
      <w:pPr>
        <w:ind w:left="851" w:right="851"/>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r w:rsidRPr="004E1F4E">
        <w:rPr>
          <w:rFonts w:ascii="Palatino Linotype" w:eastAsia="Palatino Linotype" w:hAnsi="Palatino Linotype" w:cs="Palatino Linotype"/>
          <w:b/>
          <w:i/>
          <w:sz w:val="22"/>
          <w:szCs w:val="22"/>
        </w:rPr>
        <w:t xml:space="preserve">Artículo 163. </w:t>
      </w:r>
      <w:r w:rsidRPr="004E1F4E">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06521393" w14:textId="77777777" w:rsidR="00B41F13" w:rsidRPr="004E1F4E" w:rsidRDefault="00771C34">
      <w:pPr>
        <w:ind w:left="851" w:right="851"/>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p>
    <w:p w14:paraId="15C5972B" w14:textId="77777777" w:rsidR="00B41F13" w:rsidRPr="004E1F4E" w:rsidRDefault="00771C34">
      <w:pPr>
        <w:ind w:left="851" w:right="851"/>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Artículo 166.</w:t>
      </w:r>
      <w:r w:rsidRPr="004E1F4E">
        <w:rPr>
          <w:rFonts w:ascii="Palatino Linotype" w:eastAsia="Palatino Linotype" w:hAnsi="Palatino Linotype" w:cs="Palatino Linotype"/>
          <w:i/>
          <w:sz w:val="22"/>
          <w:szCs w:val="22"/>
        </w:rPr>
        <w:t xml:space="preserve"> […]</w:t>
      </w:r>
    </w:p>
    <w:p w14:paraId="5844F8E7" w14:textId="77777777" w:rsidR="00B41F13" w:rsidRPr="004E1F4E" w:rsidRDefault="00771C34">
      <w:pPr>
        <w:ind w:left="851" w:right="851"/>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Cuando el sujeto obligado no entregue la respuesta a la solicitud dentro del plazo previsto en la Ley, la solicitud se entenderá negada y el solicitante podrá interponer el recurso de revisión previsto en este ordenamiento.” </w:t>
      </w:r>
    </w:p>
    <w:p w14:paraId="690D9D2B" w14:textId="77777777" w:rsidR="00B41F13" w:rsidRPr="004E1F4E" w:rsidRDefault="00B41F13">
      <w:pPr>
        <w:spacing w:line="360" w:lineRule="auto"/>
        <w:ind w:left="851" w:right="851"/>
        <w:jc w:val="both"/>
        <w:rPr>
          <w:rFonts w:ascii="Palatino Linotype" w:eastAsia="Palatino Linotype" w:hAnsi="Palatino Linotype" w:cs="Palatino Linotype"/>
          <w:i/>
          <w:sz w:val="22"/>
          <w:szCs w:val="22"/>
        </w:rPr>
      </w:pPr>
    </w:p>
    <w:p w14:paraId="4A536000"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De la interpretación sistemática a los preceptos legales insertos, se obtiene que el plazo que les asiste a los Sujetos Obligados para entregar la respuesta a una solicitud de información </w:t>
      </w:r>
      <w:r w:rsidRPr="004E1F4E">
        <w:rPr>
          <w:rFonts w:ascii="Palatino Linotype" w:eastAsia="Palatino Linotype" w:hAnsi="Palatino Linotype" w:cs="Palatino Linotype"/>
          <w:sz w:val="22"/>
          <w:szCs w:val="22"/>
        </w:rPr>
        <w:lastRenderedPageBreak/>
        <w:t>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B96B09F"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5F02AEAF"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4F45136"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2BDC2BBB"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Por su parte, el artículo 178 del citado ordenamiento, establece:</w:t>
      </w:r>
    </w:p>
    <w:p w14:paraId="388677BB"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19AC0FC3" w14:textId="77777777" w:rsidR="00B41F13" w:rsidRPr="004E1F4E" w:rsidRDefault="00771C34">
      <w:pPr>
        <w:ind w:left="567" w:right="560"/>
        <w:jc w:val="both"/>
        <w:rPr>
          <w:rFonts w:ascii="Palatino Linotype" w:eastAsia="Palatino Linotype" w:hAnsi="Palatino Linotype" w:cs="Palatino Linotype"/>
          <w:b/>
          <w:i/>
          <w:sz w:val="22"/>
          <w:szCs w:val="22"/>
        </w:rPr>
      </w:pPr>
      <w:r w:rsidRPr="004E1F4E">
        <w:rPr>
          <w:rFonts w:ascii="Palatino Linotype" w:eastAsia="Palatino Linotype" w:hAnsi="Palatino Linotype" w:cs="Palatino Linotype"/>
          <w:i/>
          <w:sz w:val="22"/>
          <w:szCs w:val="22"/>
        </w:rPr>
        <w:t>“</w:t>
      </w:r>
      <w:r w:rsidRPr="004E1F4E">
        <w:rPr>
          <w:rFonts w:ascii="Palatino Linotype" w:eastAsia="Palatino Linotype" w:hAnsi="Palatino Linotype" w:cs="Palatino Linotype"/>
          <w:b/>
          <w:i/>
          <w:sz w:val="22"/>
          <w:szCs w:val="22"/>
        </w:rPr>
        <w:t xml:space="preserve">Artículo 178. </w:t>
      </w:r>
      <w:r w:rsidRPr="004E1F4E">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4E1F4E">
        <w:rPr>
          <w:rFonts w:ascii="Palatino Linotype" w:eastAsia="Palatino Linotype" w:hAnsi="Palatino Linotype" w:cs="Palatino Linotype"/>
          <w:b/>
          <w:i/>
          <w:sz w:val="22"/>
          <w:szCs w:val="22"/>
        </w:rPr>
        <w:t>.</w:t>
      </w:r>
    </w:p>
    <w:p w14:paraId="78E5629C" w14:textId="77777777" w:rsidR="00B41F13" w:rsidRPr="004E1F4E" w:rsidRDefault="00B41F13">
      <w:pPr>
        <w:ind w:left="567" w:right="560"/>
        <w:jc w:val="both"/>
        <w:rPr>
          <w:rFonts w:ascii="Palatino Linotype" w:eastAsia="Palatino Linotype" w:hAnsi="Palatino Linotype" w:cs="Palatino Linotype"/>
          <w:b/>
          <w:i/>
          <w:sz w:val="22"/>
          <w:szCs w:val="22"/>
        </w:rPr>
      </w:pPr>
    </w:p>
    <w:p w14:paraId="1304F269" w14:textId="77777777" w:rsidR="00B41F13" w:rsidRPr="004E1F4E" w:rsidRDefault="00771C34">
      <w:pPr>
        <w:ind w:left="567" w:right="560"/>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A falta de respuesta del sujeto obligado, dentro de los plazos establecidos en esta Ley, a una solicitud de acceso a la información pública, el recurso podrá ser interpuesto en cualquier momento acompañado con el documento que pruebe la fecha en que presentó la solicitud. </w:t>
      </w:r>
    </w:p>
    <w:p w14:paraId="3FD463D0" w14:textId="77777777" w:rsidR="00B41F13" w:rsidRPr="004E1F4E" w:rsidRDefault="00B41F13">
      <w:pPr>
        <w:ind w:left="567" w:right="560"/>
        <w:jc w:val="both"/>
        <w:rPr>
          <w:rFonts w:ascii="Palatino Linotype" w:eastAsia="Palatino Linotype" w:hAnsi="Palatino Linotype" w:cs="Palatino Linotype"/>
          <w:i/>
          <w:sz w:val="22"/>
          <w:szCs w:val="22"/>
        </w:rPr>
      </w:pPr>
    </w:p>
    <w:p w14:paraId="5205E8D8" w14:textId="77777777" w:rsidR="00B41F13" w:rsidRPr="004E1F4E" w:rsidRDefault="00771C34">
      <w:pPr>
        <w:ind w:left="567" w:right="560"/>
        <w:jc w:val="both"/>
        <w:rPr>
          <w:rFonts w:ascii="Palatino Linotype" w:eastAsia="Palatino Linotype" w:hAnsi="Palatino Linotype" w:cs="Palatino Linotype"/>
          <w:b/>
          <w:i/>
          <w:sz w:val="22"/>
          <w:szCs w:val="22"/>
        </w:rPr>
      </w:pPr>
      <w:r w:rsidRPr="004E1F4E">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4E1F4E">
        <w:rPr>
          <w:rFonts w:ascii="Palatino Linotype" w:eastAsia="Palatino Linotype" w:hAnsi="Palatino Linotype" w:cs="Palatino Linotype"/>
          <w:b/>
          <w:i/>
          <w:sz w:val="22"/>
          <w:szCs w:val="22"/>
        </w:rPr>
        <w:t>”</w:t>
      </w:r>
    </w:p>
    <w:p w14:paraId="47C28ED8" w14:textId="77777777" w:rsidR="00B41F13" w:rsidRPr="004E1F4E" w:rsidRDefault="00B41F13">
      <w:pPr>
        <w:spacing w:line="360" w:lineRule="auto"/>
        <w:ind w:left="851" w:right="851"/>
        <w:jc w:val="both"/>
        <w:rPr>
          <w:rFonts w:ascii="Palatino Linotype" w:eastAsia="Palatino Linotype" w:hAnsi="Palatino Linotype" w:cs="Palatino Linotype"/>
          <w:i/>
          <w:sz w:val="22"/>
          <w:szCs w:val="22"/>
        </w:rPr>
      </w:pPr>
    </w:p>
    <w:p w14:paraId="0DEECF49"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De lo anterior, se advierte que el recurso de revisión se han de interponer dentro del plazo de quince días hábiles, a partir de la fecha en que el </w:t>
      </w:r>
      <w:r w:rsidRPr="004E1F4E">
        <w:rPr>
          <w:rFonts w:ascii="Palatino Linotype" w:eastAsia="Palatino Linotype" w:hAnsi="Palatino Linotype" w:cs="Palatino Linotype"/>
          <w:b/>
          <w:sz w:val="22"/>
          <w:szCs w:val="22"/>
        </w:rPr>
        <w:t xml:space="preserve">Sujeto Obligado </w:t>
      </w:r>
      <w:r w:rsidRPr="004E1F4E">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4E1F4E">
        <w:rPr>
          <w:rFonts w:ascii="Palatino Linotype" w:eastAsia="Palatino Linotype" w:hAnsi="Palatino Linotype" w:cs="Palatino Linotype"/>
          <w:b/>
          <w:sz w:val="22"/>
          <w:szCs w:val="22"/>
          <w:u w:val="single"/>
        </w:rPr>
        <w:t>la interposición del recurso de revisión puede ser en cualquier momento.</w:t>
      </w:r>
    </w:p>
    <w:p w14:paraId="1D92DCB1"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lastRenderedPageBreak/>
        <w:t xml:space="preserve">La negativa ficta constituye una presunción legal, en el entendido de que donde no hubo respuesta por parte del </w:t>
      </w:r>
      <w:r w:rsidRPr="004E1F4E">
        <w:rPr>
          <w:rFonts w:ascii="Palatino Linotype" w:eastAsia="Palatino Linotype" w:hAnsi="Palatino Linotype" w:cs="Palatino Linotype"/>
          <w:b/>
          <w:sz w:val="22"/>
          <w:szCs w:val="22"/>
        </w:rPr>
        <w:t xml:space="preserve">Sujeto Obligado </w:t>
      </w:r>
      <w:r w:rsidRPr="004E1F4E">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26293C7B"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17020DC8"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4E1F4E">
        <w:rPr>
          <w:rFonts w:ascii="Palatino Linotype" w:eastAsia="Palatino Linotype" w:hAnsi="Palatino Linotype" w:cs="Palatino Linotype"/>
          <w:sz w:val="22"/>
          <w:szCs w:val="22"/>
        </w:rPr>
        <w:t>desechamiento</w:t>
      </w:r>
      <w:proofErr w:type="spellEnd"/>
      <w:r w:rsidRPr="004E1F4E">
        <w:rPr>
          <w:rFonts w:ascii="Palatino Linotype" w:eastAsia="Palatino Linotype" w:hAnsi="Palatino Linotype" w:cs="Palatino Linotype"/>
          <w:sz w:val="22"/>
          <w:szCs w:val="22"/>
        </w:rPr>
        <w:t xml:space="preserve"> del mismo.</w:t>
      </w:r>
    </w:p>
    <w:p w14:paraId="44D775FE"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18D65DEE"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4E1F4E">
        <w:rPr>
          <w:rFonts w:ascii="Palatino Linotype" w:eastAsia="Palatino Linotype" w:hAnsi="Palatino Linotype" w:cs="Palatino Linotype"/>
          <w:b/>
          <w:sz w:val="22"/>
          <w:szCs w:val="22"/>
        </w:rPr>
        <w:t>Sujeto Obligado</w:t>
      </w:r>
      <w:r w:rsidRPr="004E1F4E">
        <w:rPr>
          <w:rFonts w:ascii="Palatino Linotype" w:eastAsia="Palatino Linotype" w:hAnsi="Palatino Linotype" w:cs="Palatino Linotype"/>
          <w:sz w:val="22"/>
          <w:szCs w:val="22"/>
        </w:rPr>
        <w:t>,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2DE1FF7" w14:textId="77777777" w:rsidR="00B41F13" w:rsidRPr="004E1F4E" w:rsidRDefault="00771C34">
      <w:pPr>
        <w:tabs>
          <w:tab w:val="left" w:pos="1276"/>
        </w:tabs>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lastRenderedPageBreak/>
        <w:t>“CRITERIO 0001-15. NEGATIVA FICTA. PLAZO PARA INTERPONER EL RECURSO DE REVISIÓN TRATÁNDOSE DE</w:t>
      </w:r>
      <w:r w:rsidRPr="004E1F4E">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w:t>
      </w:r>
    </w:p>
    <w:p w14:paraId="4E7D42E3" w14:textId="77777777" w:rsidR="00B41F13" w:rsidRPr="004E1F4E" w:rsidRDefault="00B41F13">
      <w:pPr>
        <w:spacing w:line="360" w:lineRule="auto"/>
        <w:ind w:left="567" w:right="843"/>
        <w:jc w:val="both"/>
        <w:rPr>
          <w:rFonts w:ascii="Palatino Linotype" w:eastAsia="Palatino Linotype" w:hAnsi="Palatino Linotype" w:cs="Palatino Linotype"/>
          <w:i/>
          <w:sz w:val="22"/>
          <w:szCs w:val="22"/>
        </w:rPr>
      </w:pPr>
    </w:p>
    <w:p w14:paraId="367BD78E"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8093B4D"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2534D536"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w:t>
      </w:r>
    </w:p>
    <w:p w14:paraId="76E44318"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2DEEDEB0" w14:textId="77777777" w:rsidR="00B41F13" w:rsidRPr="004E1F4E" w:rsidRDefault="00771C34">
      <w:pPr>
        <w:ind w:left="851" w:right="851"/>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r w:rsidRPr="004E1F4E">
        <w:rPr>
          <w:rFonts w:ascii="Palatino Linotype" w:eastAsia="Palatino Linotype" w:hAnsi="Palatino Linotype" w:cs="Palatino Linotype"/>
          <w:b/>
          <w:i/>
          <w:sz w:val="22"/>
          <w:szCs w:val="22"/>
        </w:rPr>
        <w:t xml:space="preserve">Artículo 179. </w:t>
      </w:r>
      <w:r w:rsidRPr="004E1F4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FE1E03A" w14:textId="77777777" w:rsidR="00B41F13" w:rsidRPr="004E1F4E" w:rsidRDefault="00771C34">
      <w:pPr>
        <w:ind w:left="851" w:right="851"/>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p>
    <w:p w14:paraId="5763E630" w14:textId="77777777" w:rsidR="00B41F13" w:rsidRPr="004E1F4E" w:rsidRDefault="00771C34">
      <w:pPr>
        <w:ind w:left="851" w:right="851"/>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 xml:space="preserve">VII. </w:t>
      </w:r>
      <w:r w:rsidRPr="004E1F4E">
        <w:rPr>
          <w:rFonts w:ascii="Palatino Linotype" w:eastAsia="Palatino Linotype" w:hAnsi="Palatino Linotype" w:cs="Palatino Linotype"/>
          <w:i/>
          <w:sz w:val="22"/>
          <w:szCs w:val="22"/>
        </w:rPr>
        <w:t>La falta de respuesta a una solicitud de acceso a la información;”</w:t>
      </w:r>
    </w:p>
    <w:p w14:paraId="2E82A677" w14:textId="77777777" w:rsidR="00B41F13" w:rsidRPr="004E1F4E" w:rsidRDefault="00B41F13">
      <w:pPr>
        <w:spacing w:line="360" w:lineRule="auto"/>
        <w:ind w:left="1134" w:right="851"/>
        <w:jc w:val="both"/>
        <w:rPr>
          <w:rFonts w:ascii="Palatino Linotype" w:eastAsia="Palatino Linotype" w:hAnsi="Palatino Linotype" w:cs="Palatino Linotype"/>
          <w:i/>
          <w:sz w:val="22"/>
          <w:szCs w:val="22"/>
        </w:rPr>
      </w:pPr>
    </w:p>
    <w:p w14:paraId="6538F3B4"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lastRenderedPageBreak/>
        <w:t>El precepto legal citado, establece como supuesto de procedencia del recurso de revisión, en aquellos casos en que la parte Recurrente estime negado el acceso a la información por la falta de respuesta por el Sujeto Obligado, en este asunto se actualiza la hipótesis jurídica citada, en atención a que la parte Recurrente combate falta de trámite por el Sujeto Obligado y expresa motivos de inconformidad en contra de dicha circunstancia.</w:t>
      </w:r>
    </w:p>
    <w:p w14:paraId="54EA1D60" w14:textId="77777777" w:rsidR="00B41F13" w:rsidRPr="004E1F4E" w:rsidRDefault="00B41F13">
      <w:pPr>
        <w:spacing w:line="360" w:lineRule="auto"/>
        <w:jc w:val="both"/>
        <w:rPr>
          <w:rFonts w:ascii="Palatino Linotype" w:eastAsia="Palatino Linotype" w:hAnsi="Palatino Linotype" w:cs="Palatino Linotype"/>
          <w:b/>
          <w:sz w:val="22"/>
          <w:szCs w:val="22"/>
        </w:rPr>
      </w:pPr>
    </w:p>
    <w:p w14:paraId="3475D5AD"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Tercero. Materia de Revisión</w:t>
      </w:r>
      <w:r w:rsidRPr="004E1F4E">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VII del artículo 179 de la Ley de Transparencia y Acceso a la Información Pública del Estado de México y Municipios.  </w:t>
      </w:r>
    </w:p>
    <w:p w14:paraId="2793139C"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5063FF45"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Cuarto.</w:t>
      </w:r>
      <w:r w:rsidRPr="004E1F4E">
        <w:rPr>
          <w:rFonts w:ascii="Palatino Linotype" w:eastAsia="Palatino Linotype" w:hAnsi="Palatino Linotype" w:cs="Palatino Linotype"/>
          <w:sz w:val="22"/>
          <w:szCs w:val="22"/>
        </w:rPr>
        <w:t xml:space="preserve"> </w:t>
      </w:r>
      <w:r w:rsidRPr="004E1F4E">
        <w:rPr>
          <w:rFonts w:ascii="Palatino Linotype" w:eastAsia="Palatino Linotype" w:hAnsi="Palatino Linotype" w:cs="Palatino Linotype"/>
          <w:b/>
          <w:sz w:val="22"/>
          <w:szCs w:val="22"/>
        </w:rPr>
        <w:t>Estudio de fondo del asunto.</w:t>
      </w:r>
      <w:r w:rsidRPr="004E1F4E">
        <w:rPr>
          <w:rFonts w:ascii="Palatino Linotype" w:eastAsia="Palatino Linotype" w:hAnsi="Palatino Linotype" w:cs="Palatino Linotype"/>
          <w:sz w:val="22"/>
          <w:szCs w:val="22"/>
        </w:rPr>
        <w:t xml:space="preserve">  Es conveniente analizar si la respuesta e informe justificado del Sujeto Obligado</w:t>
      </w:r>
      <w:r w:rsidRPr="004E1F4E">
        <w:rPr>
          <w:rFonts w:ascii="Palatino Linotype" w:eastAsia="Palatino Linotype" w:hAnsi="Palatino Linotype" w:cs="Palatino Linotype"/>
          <w:b/>
          <w:sz w:val="22"/>
          <w:szCs w:val="22"/>
        </w:rPr>
        <w:t xml:space="preserve"> </w:t>
      </w:r>
      <w:r w:rsidRPr="004E1F4E">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44CB5E"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153A8BB3" w14:textId="77777777" w:rsidR="00B41F13" w:rsidRPr="004E1F4E" w:rsidRDefault="00771C34">
      <w:pPr>
        <w:tabs>
          <w:tab w:val="left" w:pos="851"/>
        </w:tabs>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r w:rsidRPr="004E1F4E">
        <w:rPr>
          <w:rFonts w:ascii="Palatino Linotype" w:eastAsia="Palatino Linotype" w:hAnsi="Palatino Linotype" w:cs="Palatino Linotype"/>
          <w:b/>
          <w:i/>
          <w:sz w:val="22"/>
          <w:szCs w:val="22"/>
        </w:rPr>
        <w:t>Artículo 4</w:t>
      </w:r>
      <w:r w:rsidRPr="004E1F4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20E0E80" w14:textId="77777777" w:rsidR="00B41F13" w:rsidRPr="004E1F4E" w:rsidRDefault="00771C34">
      <w:pPr>
        <w:tabs>
          <w:tab w:val="left" w:pos="851"/>
        </w:tabs>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E1F4E">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4E1F4E">
        <w:rPr>
          <w:rFonts w:ascii="Palatino Linotype" w:eastAsia="Palatino Linotype" w:hAnsi="Palatino Linotype" w:cs="Palatino Linotype"/>
          <w:i/>
          <w:sz w:val="22"/>
          <w:szCs w:val="22"/>
        </w:rPr>
        <w:lastRenderedPageBreak/>
        <w:t>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04EE803" w14:textId="77777777" w:rsidR="00B41F13" w:rsidRPr="004E1F4E" w:rsidRDefault="00771C34">
      <w:pPr>
        <w:tabs>
          <w:tab w:val="left" w:pos="851"/>
        </w:tabs>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4E1F4E">
        <w:rPr>
          <w:rFonts w:ascii="Palatino Linotype" w:eastAsia="Palatino Linotype" w:hAnsi="Palatino Linotype" w:cs="Palatino Linotype"/>
          <w:i/>
          <w:sz w:val="22"/>
          <w:szCs w:val="22"/>
        </w:rPr>
        <w:t>.”</w:t>
      </w:r>
    </w:p>
    <w:p w14:paraId="1E27BF0B"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75D8CE74"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9752098" w14:textId="77777777" w:rsidR="00B41F13" w:rsidRPr="004E1F4E" w:rsidRDefault="00B41F13">
      <w:pPr>
        <w:ind w:left="567" w:right="616"/>
        <w:jc w:val="both"/>
        <w:rPr>
          <w:rFonts w:ascii="Palatino Linotype" w:eastAsia="Palatino Linotype" w:hAnsi="Palatino Linotype" w:cs="Palatino Linotype"/>
          <w:sz w:val="22"/>
          <w:szCs w:val="22"/>
        </w:rPr>
      </w:pPr>
    </w:p>
    <w:p w14:paraId="3D7022CA" w14:textId="77777777" w:rsidR="00B41F13" w:rsidRPr="004E1F4E" w:rsidRDefault="00771C34">
      <w:pPr>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r w:rsidRPr="004E1F4E">
        <w:rPr>
          <w:rFonts w:ascii="Palatino Linotype" w:eastAsia="Palatino Linotype" w:hAnsi="Palatino Linotype" w:cs="Palatino Linotype"/>
          <w:b/>
          <w:i/>
          <w:sz w:val="22"/>
          <w:szCs w:val="22"/>
        </w:rPr>
        <w:t>Artículo 12.-</w:t>
      </w:r>
      <w:r w:rsidRPr="004E1F4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1F3625F" w14:textId="77777777" w:rsidR="00B41F13" w:rsidRPr="004E1F4E" w:rsidRDefault="00B41F13">
      <w:pPr>
        <w:ind w:left="567" w:right="616"/>
        <w:jc w:val="both"/>
        <w:rPr>
          <w:rFonts w:ascii="Palatino Linotype" w:eastAsia="Palatino Linotype" w:hAnsi="Palatino Linotype" w:cs="Palatino Linotype"/>
          <w:i/>
          <w:sz w:val="22"/>
          <w:szCs w:val="22"/>
        </w:rPr>
      </w:pPr>
    </w:p>
    <w:p w14:paraId="411198D3" w14:textId="77777777" w:rsidR="00B41F13" w:rsidRPr="004E1F4E" w:rsidRDefault="00771C34">
      <w:pPr>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4E1F4E">
        <w:rPr>
          <w:rFonts w:ascii="Palatino Linotype" w:eastAsia="Palatino Linotype" w:hAnsi="Palatino Linotype" w:cs="Palatino Linotype"/>
          <w:i/>
          <w:sz w:val="22"/>
          <w:szCs w:val="22"/>
        </w:rPr>
        <w:t xml:space="preserve">. </w:t>
      </w:r>
      <w:r w:rsidRPr="004E1F4E">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4E1F4E">
        <w:rPr>
          <w:rFonts w:ascii="Palatino Linotype" w:eastAsia="Palatino Linotype" w:hAnsi="Palatino Linotype" w:cs="Palatino Linotype"/>
          <w:i/>
          <w:sz w:val="22"/>
          <w:szCs w:val="22"/>
        </w:rPr>
        <w:t xml:space="preserve">.” </w:t>
      </w:r>
    </w:p>
    <w:p w14:paraId="5B20A6F9" w14:textId="77777777" w:rsidR="00B41F13" w:rsidRPr="004E1F4E" w:rsidRDefault="00B41F13">
      <w:pPr>
        <w:ind w:left="567" w:right="616"/>
        <w:jc w:val="both"/>
        <w:rPr>
          <w:rFonts w:ascii="Palatino Linotype" w:eastAsia="Palatino Linotype" w:hAnsi="Palatino Linotype" w:cs="Palatino Linotype"/>
          <w:i/>
          <w:sz w:val="22"/>
          <w:szCs w:val="22"/>
        </w:rPr>
      </w:pPr>
    </w:p>
    <w:p w14:paraId="0EB293DF" w14:textId="77777777" w:rsidR="00B41F13" w:rsidRPr="004E1F4E" w:rsidRDefault="00771C34">
      <w:pPr>
        <w:spacing w:line="360" w:lineRule="auto"/>
        <w:ind w:right="-93"/>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w:t>
      </w:r>
      <w:r w:rsidRPr="004E1F4E">
        <w:rPr>
          <w:rFonts w:ascii="Palatino Linotype" w:eastAsia="Palatino Linotype" w:hAnsi="Palatino Linotype" w:cs="Palatino Linotype"/>
          <w:sz w:val="22"/>
          <w:szCs w:val="22"/>
        </w:rPr>
        <w:lastRenderedPageBreak/>
        <w:t>estado que se encuentran, sin necesidad de concretarse al interés o términos específicos del solicitante.</w:t>
      </w:r>
    </w:p>
    <w:p w14:paraId="73DF9DB0" w14:textId="77777777" w:rsidR="00B41F13" w:rsidRPr="004E1F4E" w:rsidRDefault="00B41F13">
      <w:pPr>
        <w:spacing w:line="360" w:lineRule="auto"/>
        <w:ind w:right="-93"/>
        <w:jc w:val="both"/>
        <w:rPr>
          <w:rFonts w:ascii="Palatino Linotype" w:eastAsia="Palatino Linotype" w:hAnsi="Palatino Linotype" w:cs="Palatino Linotype"/>
          <w:sz w:val="22"/>
          <w:szCs w:val="22"/>
        </w:rPr>
      </w:pPr>
    </w:p>
    <w:p w14:paraId="64B1544F" w14:textId="77777777" w:rsidR="00B41F13" w:rsidRPr="004E1F4E" w:rsidRDefault="00771C34">
      <w:pPr>
        <w:spacing w:line="360" w:lineRule="auto"/>
        <w:jc w:val="both"/>
        <w:rPr>
          <w:rFonts w:ascii="Palatino Linotype" w:eastAsia="Palatino Linotype" w:hAnsi="Palatino Linotype" w:cs="Palatino Linotype"/>
          <w:b/>
          <w:sz w:val="22"/>
          <w:szCs w:val="22"/>
        </w:rPr>
      </w:pPr>
      <w:r w:rsidRPr="004E1F4E">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4E1F4E">
        <w:rPr>
          <w:rFonts w:ascii="Palatino Linotype" w:eastAsia="Palatino Linotype" w:hAnsi="Palatino Linotype" w:cs="Palatino Linotype"/>
          <w:b/>
          <w:sz w:val="22"/>
          <w:szCs w:val="22"/>
        </w:rPr>
        <w:t xml:space="preserve"> </w:t>
      </w:r>
    </w:p>
    <w:p w14:paraId="01FC3FC8" w14:textId="77777777" w:rsidR="00B41F13" w:rsidRPr="004E1F4E" w:rsidRDefault="00B41F13">
      <w:pPr>
        <w:spacing w:line="360" w:lineRule="auto"/>
        <w:jc w:val="both"/>
        <w:rPr>
          <w:rFonts w:ascii="Palatino Linotype" w:eastAsia="Palatino Linotype" w:hAnsi="Palatino Linotype" w:cs="Palatino Linotype"/>
          <w:b/>
          <w:sz w:val="22"/>
          <w:szCs w:val="22"/>
        </w:rPr>
      </w:pPr>
    </w:p>
    <w:p w14:paraId="45279068" w14:textId="77777777" w:rsidR="00B41F13" w:rsidRPr="004E1F4E" w:rsidRDefault="00771C34">
      <w:pPr>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r w:rsidRPr="004E1F4E">
        <w:rPr>
          <w:rFonts w:ascii="Palatino Linotype" w:eastAsia="Palatino Linotype" w:hAnsi="Palatino Linotype" w:cs="Palatino Linotype"/>
          <w:b/>
          <w:i/>
          <w:sz w:val="22"/>
          <w:szCs w:val="22"/>
        </w:rPr>
        <w:t>No existe obligación de elaborar documentos ad hoc para atender las solicitudes de acceso a la información.</w:t>
      </w:r>
      <w:r w:rsidRPr="004E1F4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9DBBAD4" w14:textId="77777777" w:rsidR="00B41F13" w:rsidRPr="004E1F4E" w:rsidRDefault="00B41F13">
      <w:pPr>
        <w:ind w:left="567" w:right="616"/>
        <w:jc w:val="both"/>
        <w:rPr>
          <w:rFonts w:ascii="Palatino Linotype" w:eastAsia="Palatino Linotype" w:hAnsi="Palatino Linotype" w:cs="Palatino Linotype"/>
          <w:i/>
          <w:sz w:val="22"/>
          <w:szCs w:val="22"/>
        </w:rPr>
      </w:pPr>
    </w:p>
    <w:p w14:paraId="1D9B27B7"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44F6302"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54962129"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E830F24"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4E8AB7A"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0D07212B" w14:textId="77777777" w:rsidR="00B41F13" w:rsidRPr="004E1F4E" w:rsidRDefault="00771C34">
      <w:pPr>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r w:rsidRPr="004E1F4E">
        <w:rPr>
          <w:rFonts w:ascii="Palatino Linotype" w:eastAsia="Palatino Linotype" w:hAnsi="Palatino Linotype" w:cs="Palatino Linotype"/>
          <w:b/>
          <w:i/>
          <w:sz w:val="22"/>
          <w:szCs w:val="22"/>
        </w:rPr>
        <w:t xml:space="preserve">Artículo 3. </w:t>
      </w:r>
      <w:r w:rsidRPr="004E1F4E">
        <w:rPr>
          <w:rFonts w:ascii="Palatino Linotype" w:eastAsia="Palatino Linotype" w:hAnsi="Palatino Linotype" w:cs="Palatino Linotype"/>
          <w:i/>
          <w:sz w:val="22"/>
          <w:szCs w:val="22"/>
        </w:rPr>
        <w:t>Para los efectos de la presente Ley se entenderá por:</w:t>
      </w:r>
    </w:p>
    <w:p w14:paraId="65902AC9" w14:textId="77777777" w:rsidR="00B41F13" w:rsidRPr="004E1F4E" w:rsidRDefault="00771C34">
      <w:pPr>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p>
    <w:p w14:paraId="66C65BC0" w14:textId="77777777" w:rsidR="00B41F13" w:rsidRPr="004E1F4E" w:rsidRDefault="00771C34">
      <w:pPr>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XI. Documento:</w:t>
      </w:r>
      <w:r w:rsidRPr="004E1F4E">
        <w:rPr>
          <w:rFonts w:ascii="Palatino Linotype" w:eastAsia="Palatino Linotype" w:hAnsi="Palatino Linotype" w:cs="Palatino Linotype"/>
          <w:i/>
          <w:sz w:val="22"/>
          <w:szCs w:val="22"/>
        </w:rPr>
        <w:t xml:space="preserve"> Los expedientes, reportes, estudios, actas</w:t>
      </w:r>
      <w:r w:rsidRPr="004E1F4E">
        <w:rPr>
          <w:rFonts w:ascii="Palatino Linotype" w:eastAsia="Palatino Linotype" w:hAnsi="Palatino Linotype" w:cs="Palatino Linotype"/>
          <w:b/>
          <w:i/>
          <w:sz w:val="22"/>
          <w:szCs w:val="22"/>
        </w:rPr>
        <w:t>,</w:t>
      </w:r>
      <w:r w:rsidRPr="004E1F4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2BAC2D1" w14:textId="77777777" w:rsidR="00B41F13" w:rsidRPr="004E1F4E" w:rsidRDefault="00B41F13">
      <w:pPr>
        <w:spacing w:line="360" w:lineRule="auto"/>
        <w:ind w:left="851" w:right="899"/>
        <w:jc w:val="both"/>
        <w:rPr>
          <w:rFonts w:ascii="Palatino Linotype" w:eastAsia="Palatino Linotype" w:hAnsi="Palatino Linotype" w:cs="Palatino Linotype"/>
          <w:sz w:val="22"/>
          <w:szCs w:val="22"/>
        </w:rPr>
      </w:pPr>
    </w:p>
    <w:p w14:paraId="31D0C59C"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139CAEA" w14:textId="77777777" w:rsidR="00B41F13" w:rsidRPr="004E1F4E" w:rsidRDefault="00B41F13">
      <w:pPr>
        <w:spacing w:line="360" w:lineRule="auto"/>
        <w:ind w:left="851" w:right="899"/>
        <w:jc w:val="both"/>
        <w:rPr>
          <w:rFonts w:ascii="Palatino Linotype" w:eastAsia="Palatino Linotype" w:hAnsi="Palatino Linotype" w:cs="Palatino Linotype"/>
          <w:sz w:val="22"/>
          <w:szCs w:val="22"/>
        </w:rPr>
      </w:pPr>
    </w:p>
    <w:p w14:paraId="112A334D" w14:textId="77777777" w:rsidR="00B41F13" w:rsidRPr="004E1F4E" w:rsidRDefault="00771C34">
      <w:pPr>
        <w:tabs>
          <w:tab w:val="left" w:pos="7797"/>
        </w:tabs>
        <w:ind w:left="709" w:right="616"/>
        <w:jc w:val="both"/>
        <w:rPr>
          <w:rFonts w:ascii="Palatino Linotype" w:eastAsia="Palatino Linotype" w:hAnsi="Palatino Linotype" w:cs="Palatino Linotype"/>
          <w:b/>
          <w:i/>
          <w:sz w:val="22"/>
          <w:szCs w:val="22"/>
        </w:rPr>
      </w:pPr>
      <w:r w:rsidRPr="004E1F4E">
        <w:rPr>
          <w:rFonts w:ascii="Palatino Linotype" w:eastAsia="Palatino Linotype" w:hAnsi="Palatino Linotype" w:cs="Palatino Linotype"/>
          <w:b/>
          <w:sz w:val="22"/>
          <w:szCs w:val="22"/>
        </w:rPr>
        <w:t>“</w:t>
      </w:r>
      <w:r w:rsidRPr="004E1F4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4E1F4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4E1F4E">
        <w:rPr>
          <w:rFonts w:ascii="Palatino Linotype" w:eastAsia="Palatino Linotype" w:hAnsi="Palatino Linotype" w:cs="Palatino Linotype"/>
          <w:i/>
          <w:sz w:val="22"/>
          <w:szCs w:val="22"/>
        </w:rPr>
        <w:lastRenderedPageBreak/>
        <w:t>organismos públicos, en virtud del ejercicio de sus funciones de derecho público, sin importar su fuente, soporte o fecha de elaboración.</w:t>
      </w:r>
    </w:p>
    <w:p w14:paraId="1AFEBE9B" w14:textId="77777777" w:rsidR="00B41F13" w:rsidRPr="004E1F4E" w:rsidRDefault="00771C34">
      <w:pPr>
        <w:tabs>
          <w:tab w:val="left" w:pos="7797"/>
        </w:tabs>
        <w:ind w:left="709"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En </w:t>
      </w:r>
      <w:proofErr w:type="gramStart"/>
      <w:r w:rsidRPr="004E1F4E">
        <w:rPr>
          <w:rFonts w:ascii="Palatino Linotype" w:eastAsia="Palatino Linotype" w:hAnsi="Palatino Linotype" w:cs="Palatino Linotype"/>
          <w:i/>
          <w:sz w:val="22"/>
          <w:szCs w:val="22"/>
        </w:rPr>
        <w:t>consecuencia</w:t>
      </w:r>
      <w:proofErr w:type="gramEnd"/>
      <w:r w:rsidRPr="004E1F4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9E30B8A" w14:textId="77777777" w:rsidR="00B41F13" w:rsidRPr="004E1F4E" w:rsidRDefault="00771C34">
      <w:pPr>
        <w:tabs>
          <w:tab w:val="left" w:pos="7797"/>
        </w:tabs>
        <w:ind w:left="709"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1) Que se trate de información registrada en cualquier soporte documental, </w:t>
      </w:r>
      <w:proofErr w:type="gramStart"/>
      <w:r w:rsidRPr="004E1F4E">
        <w:rPr>
          <w:rFonts w:ascii="Palatino Linotype" w:eastAsia="Palatino Linotype" w:hAnsi="Palatino Linotype" w:cs="Palatino Linotype"/>
          <w:i/>
          <w:sz w:val="22"/>
          <w:szCs w:val="22"/>
        </w:rPr>
        <w:t>que</w:t>
      </w:r>
      <w:proofErr w:type="gramEnd"/>
      <w:r w:rsidRPr="004E1F4E">
        <w:rPr>
          <w:rFonts w:ascii="Palatino Linotype" w:eastAsia="Palatino Linotype" w:hAnsi="Palatino Linotype" w:cs="Palatino Linotype"/>
          <w:i/>
          <w:sz w:val="22"/>
          <w:szCs w:val="22"/>
        </w:rPr>
        <w:t xml:space="preserve"> en ejercicio de las atribuciones conferidas, sea generada por los Sujetos Obligados;</w:t>
      </w:r>
    </w:p>
    <w:p w14:paraId="563E6EB2" w14:textId="77777777" w:rsidR="00B41F13" w:rsidRPr="004E1F4E" w:rsidRDefault="00771C34">
      <w:pPr>
        <w:tabs>
          <w:tab w:val="left" w:pos="7797"/>
        </w:tabs>
        <w:ind w:left="709" w:right="616"/>
        <w:jc w:val="both"/>
        <w:rPr>
          <w:rFonts w:ascii="Palatino Linotype" w:eastAsia="Palatino Linotype" w:hAnsi="Palatino Linotype" w:cs="Palatino Linotype"/>
          <w:b/>
          <w:i/>
          <w:sz w:val="22"/>
          <w:szCs w:val="22"/>
        </w:rPr>
      </w:pPr>
      <w:r w:rsidRPr="004E1F4E">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4E1F4E">
        <w:rPr>
          <w:rFonts w:ascii="Palatino Linotype" w:eastAsia="Palatino Linotype" w:hAnsi="Palatino Linotype" w:cs="Palatino Linotype"/>
          <w:b/>
          <w:i/>
          <w:sz w:val="22"/>
          <w:szCs w:val="22"/>
        </w:rPr>
        <w:t>que</w:t>
      </w:r>
      <w:proofErr w:type="gramEnd"/>
      <w:r w:rsidRPr="004E1F4E">
        <w:rPr>
          <w:rFonts w:ascii="Palatino Linotype" w:eastAsia="Palatino Linotype" w:hAnsi="Palatino Linotype" w:cs="Palatino Linotype"/>
          <w:b/>
          <w:i/>
          <w:sz w:val="22"/>
          <w:szCs w:val="22"/>
        </w:rPr>
        <w:t xml:space="preserve"> en ejercicio de las atribuciones conferidas, sea administrada por los Sujetos Obligados, y</w:t>
      </w:r>
    </w:p>
    <w:p w14:paraId="34297A08" w14:textId="77777777" w:rsidR="00B41F13" w:rsidRPr="004E1F4E" w:rsidRDefault="00771C34">
      <w:pPr>
        <w:tabs>
          <w:tab w:val="left" w:pos="7797"/>
        </w:tabs>
        <w:ind w:left="709" w:right="616"/>
        <w:jc w:val="both"/>
        <w:rPr>
          <w:rFonts w:ascii="Palatino Linotype" w:eastAsia="Palatino Linotype" w:hAnsi="Palatino Linotype" w:cs="Palatino Linotype"/>
          <w:b/>
          <w:i/>
          <w:sz w:val="22"/>
          <w:szCs w:val="22"/>
        </w:rPr>
      </w:pPr>
      <w:r w:rsidRPr="004E1F4E">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4E1F4E">
        <w:rPr>
          <w:rFonts w:ascii="Palatino Linotype" w:eastAsia="Palatino Linotype" w:hAnsi="Palatino Linotype" w:cs="Palatino Linotype"/>
          <w:b/>
          <w:i/>
          <w:sz w:val="22"/>
          <w:szCs w:val="22"/>
        </w:rPr>
        <w:t>que</w:t>
      </w:r>
      <w:proofErr w:type="gramEnd"/>
      <w:r w:rsidRPr="004E1F4E">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363B56CE"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1D7DE4C5"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De las actuaciones que integran el expediente electrónico, se procede al análisis de los agravios hechos valer por el Recurrente, relativos a la falta de respuesta a una solicitud de acceso a la información, lo que actualiza la causal de procedencia prevista en la fracción VII del artículo 179 de la Ley de Transparencia y Acceso a la Información Pública del Estado de México y Municipios.</w:t>
      </w:r>
    </w:p>
    <w:p w14:paraId="01BE1B6F"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752F17D6"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Ahora bien, del análisis de la solicitud de información, motivo del recurso de revisión que ahora se resuelve, se advierte que la parte Recurrente requirió al Sujeto Obligado le proporcione, información consistente en lo siguiente:</w:t>
      </w:r>
    </w:p>
    <w:p w14:paraId="2AB25486"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166152C1" w14:textId="77777777" w:rsidR="00B41F13" w:rsidRPr="004E1F4E" w:rsidRDefault="00771C34">
      <w:pPr>
        <w:spacing w:line="360" w:lineRule="auto"/>
        <w:ind w:left="567" w:right="616"/>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Del Consejo Municipal de Protección al Ambiente, previsto en el Bando Municipal del Ayuntamiento de Ecatepec de Morelos 2018, solicito la siguiente información del periodo del 1 enero al 31 de diciembre de 2018: </w:t>
      </w:r>
    </w:p>
    <w:p w14:paraId="2EB060D3" w14:textId="77777777" w:rsidR="00B41F13" w:rsidRPr="004E1F4E" w:rsidRDefault="00B41F13">
      <w:pPr>
        <w:spacing w:line="360" w:lineRule="auto"/>
        <w:ind w:left="567" w:right="616"/>
        <w:jc w:val="both"/>
        <w:rPr>
          <w:rFonts w:ascii="Palatino Linotype" w:eastAsia="Palatino Linotype" w:hAnsi="Palatino Linotype" w:cs="Palatino Linotype"/>
          <w:sz w:val="22"/>
          <w:szCs w:val="22"/>
        </w:rPr>
      </w:pPr>
    </w:p>
    <w:p w14:paraId="3F7F46A9" w14:textId="77777777" w:rsidR="00B41F13" w:rsidRPr="004E1F4E" w:rsidRDefault="00771C34">
      <w:pPr>
        <w:spacing w:line="360" w:lineRule="auto"/>
        <w:ind w:left="567" w:right="616"/>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1.- Orden del día de las sesiones y reuniones realizadas. </w:t>
      </w:r>
    </w:p>
    <w:p w14:paraId="10C68A3A" w14:textId="77777777" w:rsidR="00B41F13" w:rsidRPr="004E1F4E" w:rsidRDefault="00771C34">
      <w:pPr>
        <w:spacing w:line="360" w:lineRule="auto"/>
        <w:ind w:left="567" w:right="616"/>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2.- Listas de asistencia de las sesiones y reuniones realizadas. </w:t>
      </w:r>
    </w:p>
    <w:p w14:paraId="2BB19BD4" w14:textId="77777777" w:rsidR="00B41F13" w:rsidRPr="004E1F4E" w:rsidRDefault="00771C34">
      <w:pPr>
        <w:spacing w:line="360" w:lineRule="auto"/>
        <w:ind w:left="567" w:right="616"/>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3.- Actas o minutas de las sesiones y reuniones realizadas. </w:t>
      </w:r>
    </w:p>
    <w:p w14:paraId="57B3D5CD" w14:textId="77777777" w:rsidR="00B41F13" w:rsidRPr="004E1F4E" w:rsidRDefault="00771C34">
      <w:pPr>
        <w:spacing w:line="360" w:lineRule="auto"/>
        <w:ind w:left="567" w:right="616"/>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lastRenderedPageBreak/>
        <w:t>4.- Documentos de planeación operativa elaborados (programas, planes, metodologías, cronogramas o similares).</w:t>
      </w:r>
    </w:p>
    <w:p w14:paraId="291E05BF" w14:textId="77777777" w:rsidR="00B41F13" w:rsidRPr="004E1F4E" w:rsidRDefault="00B41F13">
      <w:pPr>
        <w:spacing w:line="360" w:lineRule="auto"/>
        <w:ind w:right="616"/>
        <w:jc w:val="both"/>
        <w:rPr>
          <w:rFonts w:ascii="Palatino Linotype" w:eastAsia="Palatino Linotype" w:hAnsi="Palatino Linotype" w:cs="Palatino Linotype"/>
          <w:i/>
          <w:sz w:val="22"/>
          <w:szCs w:val="22"/>
        </w:rPr>
      </w:pPr>
    </w:p>
    <w:p w14:paraId="7FCF35EB"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El Sujeto Obligado fue omiso en proporcionar respuesta, situación por la cual, la parte Recurrente se inconformó. </w:t>
      </w:r>
    </w:p>
    <w:p w14:paraId="4B5467CA"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001E8E1F"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En atención a ello, mediante informe justificado, el Sujeto Obligado refirió a través de su Encargado del Despacho de la Dirección de Medio Ambiente y Ecología que derivado de una búsqueda minuciosa en los archivos que obran en la dirección y no se encontró información relacionada a la solicitada. </w:t>
      </w:r>
    </w:p>
    <w:p w14:paraId="2F3EF7A8"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1DAFAAF2" w14:textId="77777777" w:rsidR="00B41F13" w:rsidRPr="004E1F4E" w:rsidRDefault="00771C34">
      <w:pPr>
        <w:spacing w:line="360" w:lineRule="auto"/>
        <w:ind w:right="49"/>
        <w:jc w:val="both"/>
        <w:rPr>
          <w:rFonts w:ascii="Palatino Linotype" w:eastAsia="Palatino Linotype" w:hAnsi="Palatino Linotype" w:cs="Palatino Linotype"/>
          <w:b/>
          <w:sz w:val="22"/>
          <w:szCs w:val="22"/>
        </w:rPr>
      </w:pPr>
      <w:r w:rsidRPr="004E1F4E">
        <w:rPr>
          <w:rFonts w:ascii="Palatino Linotype" w:eastAsia="Palatino Linotype" w:hAnsi="Palatino Linotype" w:cs="Palatino Linotype"/>
          <w:sz w:val="22"/>
          <w:szCs w:val="22"/>
        </w:rPr>
        <w:t xml:space="preserve">Ahora bien, en principio, resulta necesario calificar los agravios hechos valer por la parte Recurrente, por lo que, es destacar que, en efecto, no se advierte que el Sujeto Obligado haya dado respuesta en el plazo previsto para tal efecto, por lo que se considera que sus agravios devienen </w:t>
      </w:r>
      <w:r w:rsidRPr="004E1F4E">
        <w:rPr>
          <w:rFonts w:ascii="Palatino Linotype" w:eastAsia="Palatino Linotype" w:hAnsi="Palatino Linotype" w:cs="Palatino Linotype"/>
          <w:b/>
          <w:sz w:val="22"/>
          <w:szCs w:val="22"/>
        </w:rPr>
        <w:t xml:space="preserve">FUNDADOS. </w:t>
      </w:r>
    </w:p>
    <w:p w14:paraId="773DCFA4"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1953BC98"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Señalado esto, resulta necesario contextualizar la información solicitada, para ello, es de recordar que la parte Recurrente solicitó </w:t>
      </w:r>
      <w:proofErr w:type="gramStart"/>
      <w:r w:rsidRPr="004E1F4E">
        <w:rPr>
          <w:rFonts w:ascii="Palatino Linotype" w:eastAsia="Palatino Linotype" w:hAnsi="Palatino Linotype" w:cs="Palatino Linotype"/>
          <w:sz w:val="22"/>
          <w:szCs w:val="22"/>
        </w:rPr>
        <w:t>información  respecto</w:t>
      </w:r>
      <w:proofErr w:type="gramEnd"/>
      <w:r w:rsidRPr="004E1F4E">
        <w:rPr>
          <w:rFonts w:ascii="Palatino Linotype" w:eastAsia="Palatino Linotype" w:hAnsi="Palatino Linotype" w:cs="Palatino Linotype"/>
          <w:sz w:val="22"/>
          <w:szCs w:val="22"/>
        </w:rPr>
        <w:t xml:space="preserve"> del Consejo Municipal de Protección al Ambiente el cual es un órgano auxiliar del Ayuntamiento en la consulta y participación en la preservación, conservación y restauración del equilibrio ecológico. </w:t>
      </w:r>
    </w:p>
    <w:p w14:paraId="3C76C9FE"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342FE6A6"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Ahora bien, debido a que la parte Recurrente solicitó información del año dos mil dieciocho se procedió a consultar el Bando Municipal de Ecatepec de Morelos del año 2018, encontrando en su artículo 36 lo siguiente:</w:t>
      </w:r>
    </w:p>
    <w:p w14:paraId="2CB02BD3" w14:textId="77777777" w:rsidR="00B41F13" w:rsidRPr="004E1F4E" w:rsidRDefault="00B41F13">
      <w:pPr>
        <w:spacing w:line="276" w:lineRule="auto"/>
        <w:ind w:left="567" w:right="616"/>
        <w:jc w:val="both"/>
        <w:rPr>
          <w:rFonts w:ascii="Palatino Linotype" w:eastAsia="Palatino Linotype" w:hAnsi="Palatino Linotype" w:cs="Palatino Linotype"/>
          <w:i/>
          <w:sz w:val="20"/>
          <w:szCs w:val="20"/>
        </w:rPr>
      </w:pPr>
    </w:p>
    <w:p w14:paraId="7D8DF5FF"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Artículo 36.</w:t>
      </w:r>
      <w:r w:rsidRPr="004E1F4E">
        <w:rPr>
          <w:rFonts w:ascii="Palatino Linotype" w:eastAsia="Palatino Linotype" w:hAnsi="Palatino Linotype" w:cs="Palatino Linotype"/>
          <w:i/>
          <w:sz w:val="22"/>
          <w:szCs w:val="22"/>
        </w:rPr>
        <w:t xml:space="preserve"> El H. Ayuntamiento, para el eficaz desempeño de sus funciones públicas, podrá auxiliarse por: </w:t>
      </w:r>
    </w:p>
    <w:p w14:paraId="4A232841"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lastRenderedPageBreak/>
        <w:t xml:space="preserve">I. Las Comisiones del H. Ayuntamiento; </w:t>
      </w:r>
    </w:p>
    <w:p w14:paraId="41CC1FC1"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II. La Comisión de Planeación para el Desarrollo Municipal;</w:t>
      </w:r>
    </w:p>
    <w:p w14:paraId="4EEAF64B"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III. Delegaciones, Subdelegaciones y Consejos de Participación Ciudadana; </w:t>
      </w:r>
    </w:p>
    <w:p w14:paraId="26F78A84"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IV. Los Comités, Comisiones y Consejos que determine el H. Ayuntamiento para el mejor desempeño del servicio público, entre los que destacan: </w:t>
      </w:r>
    </w:p>
    <w:p w14:paraId="0189B9AE"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proofErr w:type="spellStart"/>
      <w:proofErr w:type="gramStart"/>
      <w:r w:rsidRPr="004E1F4E">
        <w:rPr>
          <w:rFonts w:ascii="Palatino Linotype" w:eastAsia="Palatino Linotype" w:hAnsi="Palatino Linotype" w:cs="Palatino Linotype"/>
          <w:i/>
          <w:sz w:val="22"/>
          <w:szCs w:val="22"/>
        </w:rPr>
        <w:t>a.Consejo</w:t>
      </w:r>
      <w:proofErr w:type="spellEnd"/>
      <w:proofErr w:type="gramEnd"/>
      <w:r w:rsidRPr="004E1F4E">
        <w:rPr>
          <w:rFonts w:ascii="Palatino Linotype" w:eastAsia="Palatino Linotype" w:hAnsi="Palatino Linotype" w:cs="Palatino Linotype"/>
          <w:i/>
          <w:sz w:val="22"/>
          <w:szCs w:val="22"/>
        </w:rPr>
        <w:t xml:space="preserve"> Municipal de Protección Civil; </w:t>
      </w:r>
    </w:p>
    <w:p w14:paraId="1BA505E1"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proofErr w:type="spellStart"/>
      <w:proofErr w:type="gramStart"/>
      <w:r w:rsidRPr="004E1F4E">
        <w:rPr>
          <w:rFonts w:ascii="Palatino Linotype" w:eastAsia="Palatino Linotype" w:hAnsi="Palatino Linotype" w:cs="Palatino Linotype"/>
          <w:i/>
          <w:sz w:val="22"/>
          <w:szCs w:val="22"/>
        </w:rPr>
        <w:t>b.Consejo</w:t>
      </w:r>
      <w:proofErr w:type="spellEnd"/>
      <w:proofErr w:type="gramEnd"/>
      <w:r w:rsidRPr="004E1F4E">
        <w:rPr>
          <w:rFonts w:ascii="Palatino Linotype" w:eastAsia="Palatino Linotype" w:hAnsi="Palatino Linotype" w:cs="Palatino Linotype"/>
          <w:i/>
          <w:sz w:val="22"/>
          <w:szCs w:val="22"/>
        </w:rPr>
        <w:t xml:space="preserve"> Municipal de Seguridad Pública; </w:t>
      </w:r>
    </w:p>
    <w:p w14:paraId="24DF4F06"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proofErr w:type="spellStart"/>
      <w:r w:rsidRPr="004E1F4E">
        <w:rPr>
          <w:rFonts w:ascii="Palatino Linotype" w:eastAsia="Palatino Linotype" w:hAnsi="Palatino Linotype" w:cs="Palatino Linotype"/>
          <w:i/>
          <w:sz w:val="22"/>
          <w:szCs w:val="22"/>
        </w:rPr>
        <w:t>c.Consejo</w:t>
      </w:r>
      <w:proofErr w:type="spellEnd"/>
      <w:r w:rsidRPr="004E1F4E">
        <w:rPr>
          <w:rFonts w:ascii="Palatino Linotype" w:eastAsia="Palatino Linotype" w:hAnsi="Palatino Linotype" w:cs="Palatino Linotype"/>
          <w:i/>
          <w:sz w:val="22"/>
          <w:szCs w:val="22"/>
        </w:rPr>
        <w:t xml:space="preserve"> Municipal de Población en Ecatepec; </w:t>
      </w:r>
    </w:p>
    <w:p w14:paraId="25E766B2"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proofErr w:type="spellStart"/>
      <w:r w:rsidRPr="004E1F4E">
        <w:rPr>
          <w:rFonts w:ascii="Palatino Linotype" w:eastAsia="Palatino Linotype" w:hAnsi="Palatino Linotype" w:cs="Palatino Linotype"/>
          <w:i/>
          <w:sz w:val="22"/>
          <w:szCs w:val="22"/>
        </w:rPr>
        <w:t>d.Consejo</w:t>
      </w:r>
      <w:proofErr w:type="spellEnd"/>
      <w:r w:rsidRPr="004E1F4E">
        <w:rPr>
          <w:rFonts w:ascii="Palatino Linotype" w:eastAsia="Palatino Linotype" w:hAnsi="Palatino Linotype" w:cs="Palatino Linotype"/>
          <w:i/>
          <w:sz w:val="22"/>
          <w:szCs w:val="22"/>
        </w:rPr>
        <w:t xml:space="preserve"> Municipal de Prevención y Control del Crecimiento Urbano; </w:t>
      </w:r>
    </w:p>
    <w:p w14:paraId="395B7DC3"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proofErr w:type="spellStart"/>
      <w:proofErr w:type="gramStart"/>
      <w:r w:rsidRPr="004E1F4E">
        <w:rPr>
          <w:rFonts w:ascii="Palatino Linotype" w:eastAsia="Palatino Linotype" w:hAnsi="Palatino Linotype" w:cs="Palatino Linotype"/>
          <w:i/>
          <w:sz w:val="22"/>
          <w:szCs w:val="22"/>
        </w:rPr>
        <w:t>e.Comité</w:t>
      </w:r>
      <w:proofErr w:type="spellEnd"/>
      <w:proofErr w:type="gramEnd"/>
      <w:r w:rsidRPr="004E1F4E">
        <w:rPr>
          <w:rFonts w:ascii="Palatino Linotype" w:eastAsia="Palatino Linotype" w:hAnsi="Palatino Linotype" w:cs="Palatino Linotype"/>
          <w:i/>
          <w:sz w:val="22"/>
          <w:szCs w:val="22"/>
        </w:rPr>
        <w:t xml:space="preserve"> de Planeación para el Desarrollo Municipal;</w:t>
      </w:r>
    </w:p>
    <w:p w14:paraId="05F481CA"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 </w:t>
      </w:r>
      <w:proofErr w:type="spellStart"/>
      <w:proofErr w:type="gramStart"/>
      <w:r w:rsidRPr="004E1F4E">
        <w:rPr>
          <w:rFonts w:ascii="Palatino Linotype" w:eastAsia="Palatino Linotype" w:hAnsi="Palatino Linotype" w:cs="Palatino Linotype"/>
          <w:i/>
          <w:sz w:val="22"/>
          <w:szCs w:val="22"/>
        </w:rPr>
        <w:t>f.Comisión</w:t>
      </w:r>
      <w:proofErr w:type="spellEnd"/>
      <w:proofErr w:type="gramEnd"/>
      <w:r w:rsidRPr="004E1F4E">
        <w:rPr>
          <w:rFonts w:ascii="Palatino Linotype" w:eastAsia="Palatino Linotype" w:hAnsi="Palatino Linotype" w:cs="Palatino Linotype"/>
          <w:i/>
          <w:sz w:val="22"/>
          <w:szCs w:val="22"/>
        </w:rPr>
        <w:t xml:space="preserve"> Municipal para el Bienestar y la Incorporación al Desarrollo de las Personas con Discapacidad; </w:t>
      </w:r>
    </w:p>
    <w:p w14:paraId="1023D962"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proofErr w:type="spellStart"/>
      <w:proofErr w:type="gramStart"/>
      <w:r w:rsidRPr="004E1F4E">
        <w:rPr>
          <w:rFonts w:ascii="Palatino Linotype" w:eastAsia="Palatino Linotype" w:hAnsi="Palatino Linotype" w:cs="Palatino Linotype"/>
          <w:i/>
          <w:sz w:val="22"/>
          <w:szCs w:val="22"/>
        </w:rPr>
        <w:t>g.Comité</w:t>
      </w:r>
      <w:proofErr w:type="spellEnd"/>
      <w:proofErr w:type="gramEnd"/>
      <w:r w:rsidRPr="004E1F4E">
        <w:rPr>
          <w:rFonts w:ascii="Palatino Linotype" w:eastAsia="Palatino Linotype" w:hAnsi="Palatino Linotype" w:cs="Palatino Linotype"/>
          <w:i/>
          <w:sz w:val="22"/>
          <w:szCs w:val="22"/>
        </w:rPr>
        <w:t xml:space="preserve"> de Información; </w:t>
      </w:r>
    </w:p>
    <w:p w14:paraId="4A574484" w14:textId="77777777" w:rsidR="00B41F13" w:rsidRPr="004E1F4E" w:rsidRDefault="00771C34">
      <w:pPr>
        <w:spacing w:line="276" w:lineRule="auto"/>
        <w:ind w:left="567" w:right="616"/>
        <w:jc w:val="both"/>
        <w:rPr>
          <w:rFonts w:ascii="Palatino Linotype" w:eastAsia="Palatino Linotype" w:hAnsi="Palatino Linotype" w:cs="Palatino Linotype"/>
          <w:b/>
          <w:i/>
          <w:sz w:val="22"/>
          <w:szCs w:val="22"/>
          <w:u w:val="single"/>
        </w:rPr>
      </w:pPr>
      <w:proofErr w:type="spellStart"/>
      <w:proofErr w:type="gramStart"/>
      <w:r w:rsidRPr="004E1F4E">
        <w:rPr>
          <w:rFonts w:ascii="Palatino Linotype" w:eastAsia="Palatino Linotype" w:hAnsi="Palatino Linotype" w:cs="Palatino Linotype"/>
          <w:b/>
          <w:i/>
          <w:sz w:val="22"/>
          <w:szCs w:val="22"/>
          <w:u w:val="single"/>
        </w:rPr>
        <w:t>h.Consejo</w:t>
      </w:r>
      <w:proofErr w:type="spellEnd"/>
      <w:proofErr w:type="gramEnd"/>
      <w:r w:rsidRPr="004E1F4E">
        <w:rPr>
          <w:rFonts w:ascii="Palatino Linotype" w:eastAsia="Palatino Linotype" w:hAnsi="Palatino Linotype" w:cs="Palatino Linotype"/>
          <w:b/>
          <w:i/>
          <w:sz w:val="22"/>
          <w:szCs w:val="22"/>
          <w:u w:val="single"/>
        </w:rPr>
        <w:t xml:space="preserve"> Municipal de Protección al Ambiente; </w:t>
      </w:r>
    </w:p>
    <w:p w14:paraId="10EC5379"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proofErr w:type="spellStart"/>
      <w:r w:rsidRPr="004E1F4E">
        <w:rPr>
          <w:rFonts w:ascii="Palatino Linotype" w:eastAsia="Palatino Linotype" w:hAnsi="Palatino Linotype" w:cs="Palatino Linotype"/>
          <w:i/>
          <w:sz w:val="22"/>
          <w:szCs w:val="22"/>
        </w:rPr>
        <w:t>i.Consejo</w:t>
      </w:r>
      <w:proofErr w:type="spellEnd"/>
      <w:r w:rsidRPr="004E1F4E">
        <w:rPr>
          <w:rFonts w:ascii="Palatino Linotype" w:eastAsia="Palatino Linotype" w:hAnsi="Palatino Linotype" w:cs="Palatino Linotype"/>
          <w:i/>
          <w:sz w:val="22"/>
          <w:szCs w:val="22"/>
        </w:rPr>
        <w:t xml:space="preserve"> Municipal de Lucha Contra las Drogas y la Delincuencia; </w:t>
      </w:r>
    </w:p>
    <w:p w14:paraId="554B026D"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proofErr w:type="spellStart"/>
      <w:proofErr w:type="gramStart"/>
      <w:r w:rsidRPr="004E1F4E">
        <w:rPr>
          <w:rFonts w:ascii="Palatino Linotype" w:eastAsia="Palatino Linotype" w:hAnsi="Palatino Linotype" w:cs="Palatino Linotype"/>
          <w:i/>
          <w:sz w:val="22"/>
          <w:szCs w:val="22"/>
        </w:rPr>
        <w:t>j.Consejo</w:t>
      </w:r>
      <w:proofErr w:type="spellEnd"/>
      <w:proofErr w:type="gramEnd"/>
      <w:r w:rsidRPr="004E1F4E">
        <w:rPr>
          <w:rFonts w:ascii="Palatino Linotype" w:eastAsia="Palatino Linotype" w:hAnsi="Palatino Linotype" w:cs="Palatino Linotype"/>
          <w:i/>
          <w:sz w:val="22"/>
          <w:szCs w:val="22"/>
        </w:rPr>
        <w:t xml:space="preserve"> Municipal de Protección a la Biodiversidad y Desarrollo Sustentable; </w:t>
      </w:r>
      <w:proofErr w:type="spellStart"/>
      <w:r w:rsidRPr="004E1F4E">
        <w:rPr>
          <w:rFonts w:ascii="Palatino Linotype" w:eastAsia="Palatino Linotype" w:hAnsi="Palatino Linotype" w:cs="Palatino Linotype"/>
          <w:i/>
          <w:sz w:val="22"/>
          <w:szCs w:val="22"/>
        </w:rPr>
        <w:t>k.Consejo</w:t>
      </w:r>
      <w:proofErr w:type="spellEnd"/>
      <w:r w:rsidRPr="004E1F4E">
        <w:rPr>
          <w:rFonts w:ascii="Palatino Linotype" w:eastAsia="Palatino Linotype" w:hAnsi="Palatino Linotype" w:cs="Palatino Linotype"/>
          <w:i/>
          <w:sz w:val="22"/>
          <w:szCs w:val="22"/>
        </w:rPr>
        <w:t xml:space="preserve"> Municipal de Salud; </w:t>
      </w:r>
    </w:p>
    <w:p w14:paraId="39A8F5A7"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proofErr w:type="spellStart"/>
      <w:r w:rsidRPr="004E1F4E">
        <w:rPr>
          <w:rFonts w:ascii="Palatino Linotype" w:eastAsia="Palatino Linotype" w:hAnsi="Palatino Linotype" w:cs="Palatino Linotype"/>
          <w:i/>
          <w:sz w:val="22"/>
          <w:szCs w:val="22"/>
        </w:rPr>
        <w:t>l.Consejo</w:t>
      </w:r>
      <w:proofErr w:type="spellEnd"/>
      <w:r w:rsidRPr="004E1F4E">
        <w:rPr>
          <w:rFonts w:ascii="Palatino Linotype" w:eastAsia="Palatino Linotype" w:hAnsi="Palatino Linotype" w:cs="Palatino Linotype"/>
          <w:i/>
          <w:sz w:val="22"/>
          <w:szCs w:val="22"/>
        </w:rPr>
        <w:t xml:space="preserve"> Municipal de Equidad y Género; </w:t>
      </w:r>
    </w:p>
    <w:p w14:paraId="21E4CA48"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V. Los demás que apruebe el H. Ayuntamiento. Los consejos y comités conducirán sus actividades en forma programada, con base en las políticas y objetivos previstos. </w:t>
      </w:r>
    </w:p>
    <w:p w14:paraId="6130F1FD" w14:textId="77777777" w:rsidR="00B41F13" w:rsidRPr="004E1F4E" w:rsidRDefault="00B41F13">
      <w:pPr>
        <w:spacing w:line="276" w:lineRule="auto"/>
        <w:ind w:left="567" w:right="616"/>
        <w:jc w:val="both"/>
        <w:rPr>
          <w:rFonts w:ascii="Palatino Linotype" w:eastAsia="Palatino Linotype" w:hAnsi="Palatino Linotype" w:cs="Palatino Linotype"/>
          <w:i/>
          <w:sz w:val="22"/>
          <w:szCs w:val="22"/>
        </w:rPr>
      </w:pPr>
    </w:p>
    <w:p w14:paraId="2DC05BD7"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Sus funciones deberán regirse por el reglamento municipal correspondiente y demás disposiciones legales aplicables; la cita de las comisiones, consejos y comités son de manera enunciativa y no limitativa, siempre y cuando exista el soporte legal para su creación.</w:t>
      </w:r>
    </w:p>
    <w:p w14:paraId="47901448"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7D66EB70"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Asimismo, es de destacar que de conformidad con el Reglamento de Conservación y Protección al Medio Ambiente establece que: </w:t>
      </w:r>
    </w:p>
    <w:p w14:paraId="70632D5B"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27CFFE10" w14:textId="77777777" w:rsidR="00B41F13" w:rsidRPr="004E1F4E" w:rsidRDefault="00771C34">
      <w:pPr>
        <w:spacing w:line="276" w:lineRule="auto"/>
        <w:ind w:left="567" w:right="616"/>
        <w:jc w:val="both"/>
        <w:rPr>
          <w:rFonts w:ascii="Palatino Linotype" w:eastAsia="Palatino Linotype" w:hAnsi="Palatino Linotype" w:cs="Palatino Linotype"/>
          <w:b/>
          <w:i/>
          <w:sz w:val="22"/>
          <w:szCs w:val="22"/>
        </w:rPr>
      </w:pPr>
      <w:r w:rsidRPr="004E1F4E">
        <w:rPr>
          <w:rFonts w:ascii="Palatino Linotype" w:eastAsia="Palatino Linotype" w:hAnsi="Palatino Linotype" w:cs="Palatino Linotype"/>
          <w:b/>
          <w:i/>
          <w:sz w:val="22"/>
          <w:szCs w:val="22"/>
        </w:rPr>
        <w:t>Artículo 13.-</w:t>
      </w:r>
      <w:r w:rsidRPr="004E1F4E">
        <w:rPr>
          <w:rFonts w:ascii="Palatino Linotype" w:eastAsia="Palatino Linotype" w:hAnsi="Palatino Linotype" w:cs="Palatino Linotype"/>
          <w:i/>
          <w:sz w:val="22"/>
          <w:szCs w:val="22"/>
        </w:rPr>
        <w:t xml:space="preserve"> Para coadyuvar en la aplicación, vigilancia y cumplimiento de este reglamento en el territorio municipal, se constituye el </w:t>
      </w:r>
      <w:r w:rsidRPr="004E1F4E">
        <w:rPr>
          <w:rFonts w:ascii="Palatino Linotype" w:eastAsia="Palatino Linotype" w:hAnsi="Palatino Linotype" w:cs="Palatino Linotype"/>
          <w:b/>
          <w:i/>
          <w:sz w:val="22"/>
          <w:szCs w:val="22"/>
        </w:rPr>
        <w:t xml:space="preserve">Consejo Municipal de Protección al Ambiente. </w:t>
      </w:r>
    </w:p>
    <w:p w14:paraId="715264FB" w14:textId="77777777" w:rsidR="00B41F13" w:rsidRPr="004E1F4E" w:rsidRDefault="00B41F13">
      <w:pPr>
        <w:spacing w:line="276" w:lineRule="auto"/>
        <w:ind w:left="567" w:right="616"/>
        <w:jc w:val="both"/>
        <w:rPr>
          <w:rFonts w:ascii="Palatino Linotype" w:eastAsia="Palatino Linotype" w:hAnsi="Palatino Linotype" w:cs="Palatino Linotype"/>
          <w:i/>
          <w:sz w:val="22"/>
          <w:szCs w:val="22"/>
        </w:rPr>
      </w:pPr>
    </w:p>
    <w:p w14:paraId="00F8E1BB"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lastRenderedPageBreak/>
        <w:t>Artículo 14.-</w:t>
      </w:r>
      <w:r w:rsidRPr="004E1F4E">
        <w:rPr>
          <w:rFonts w:ascii="Palatino Linotype" w:eastAsia="Palatino Linotype" w:hAnsi="Palatino Linotype" w:cs="Palatino Linotype"/>
          <w:i/>
          <w:sz w:val="22"/>
          <w:szCs w:val="22"/>
        </w:rPr>
        <w:t xml:space="preserve"> El Consejo Municipal de Protección al Ambiente será un órgano de consulta y opinión dependiente de la Administración Pública Municipal, que contará con un Consejo Consultivo que coordinará todas las acciones sobre la materia.</w:t>
      </w:r>
    </w:p>
    <w:p w14:paraId="66F86FD0" w14:textId="77777777" w:rsidR="00B41F13" w:rsidRPr="004E1F4E" w:rsidRDefault="00B41F13">
      <w:pPr>
        <w:spacing w:line="276" w:lineRule="auto"/>
        <w:ind w:left="567" w:right="616"/>
        <w:jc w:val="both"/>
        <w:rPr>
          <w:rFonts w:ascii="Palatino Linotype" w:eastAsia="Palatino Linotype" w:hAnsi="Palatino Linotype" w:cs="Palatino Linotype"/>
          <w:i/>
          <w:sz w:val="22"/>
          <w:szCs w:val="22"/>
        </w:rPr>
      </w:pPr>
    </w:p>
    <w:p w14:paraId="63E67732"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Artículo 15</w:t>
      </w:r>
      <w:r w:rsidRPr="004E1F4E">
        <w:rPr>
          <w:rFonts w:ascii="Palatino Linotype" w:eastAsia="Palatino Linotype" w:hAnsi="Palatino Linotype" w:cs="Palatino Linotype"/>
          <w:i/>
          <w:sz w:val="22"/>
          <w:szCs w:val="22"/>
        </w:rPr>
        <w:t xml:space="preserve">.- El consejo consultivo se integrará de la siguiente forma: </w:t>
      </w:r>
    </w:p>
    <w:p w14:paraId="1B77AF67"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 Un </w:t>
      </w:r>
      <w:proofErr w:type="gramStart"/>
      <w:r w:rsidRPr="004E1F4E">
        <w:rPr>
          <w:rFonts w:ascii="Palatino Linotype" w:eastAsia="Palatino Linotype" w:hAnsi="Palatino Linotype" w:cs="Palatino Linotype"/>
          <w:i/>
          <w:sz w:val="22"/>
          <w:szCs w:val="22"/>
        </w:rPr>
        <w:t>Presidente.-</w:t>
      </w:r>
      <w:proofErr w:type="gramEnd"/>
      <w:r w:rsidRPr="004E1F4E">
        <w:rPr>
          <w:rFonts w:ascii="Palatino Linotype" w:eastAsia="Palatino Linotype" w:hAnsi="Palatino Linotype" w:cs="Palatino Linotype"/>
          <w:i/>
          <w:sz w:val="22"/>
          <w:szCs w:val="22"/>
        </w:rPr>
        <w:t xml:space="preserve"> El cual será un ciudadano destacado en el área ambiental que no sea servidor público. El mismo será designado por el Ejecutivo Municipal; </w:t>
      </w:r>
    </w:p>
    <w:p w14:paraId="5990CE05"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II. Un </w:t>
      </w:r>
      <w:proofErr w:type="gramStart"/>
      <w:r w:rsidRPr="004E1F4E">
        <w:rPr>
          <w:rFonts w:ascii="Palatino Linotype" w:eastAsia="Palatino Linotype" w:hAnsi="Palatino Linotype" w:cs="Palatino Linotype"/>
          <w:i/>
          <w:sz w:val="22"/>
          <w:szCs w:val="22"/>
        </w:rPr>
        <w:t>Secretario Técnico</w:t>
      </w:r>
      <w:proofErr w:type="gramEnd"/>
      <w:r w:rsidRPr="004E1F4E">
        <w:rPr>
          <w:rFonts w:ascii="Palatino Linotype" w:eastAsia="Palatino Linotype" w:hAnsi="Palatino Linotype" w:cs="Palatino Linotype"/>
          <w:i/>
          <w:sz w:val="22"/>
          <w:szCs w:val="22"/>
        </w:rPr>
        <w:t xml:space="preserve">, quien será el Titular de la Dirección; </w:t>
      </w:r>
    </w:p>
    <w:p w14:paraId="233C7A39"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III. Cinco </w:t>
      </w:r>
      <w:proofErr w:type="gramStart"/>
      <w:r w:rsidRPr="004E1F4E">
        <w:rPr>
          <w:rFonts w:ascii="Palatino Linotype" w:eastAsia="Palatino Linotype" w:hAnsi="Palatino Linotype" w:cs="Palatino Linotype"/>
          <w:i/>
          <w:sz w:val="22"/>
          <w:szCs w:val="22"/>
        </w:rPr>
        <w:t>Vocales.-</w:t>
      </w:r>
      <w:proofErr w:type="gramEnd"/>
      <w:r w:rsidRPr="004E1F4E">
        <w:rPr>
          <w:rFonts w:ascii="Palatino Linotype" w:eastAsia="Palatino Linotype" w:hAnsi="Palatino Linotype" w:cs="Palatino Linotype"/>
          <w:i/>
          <w:sz w:val="22"/>
          <w:szCs w:val="22"/>
        </w:rPr>
        <w:t xml:space="preserve"> Los cuales serán miembros de los sectores públicos, privados y/o sociales con amplio conocimiento e interés en la materia. </w:t>
      </w:r>
    </w:p>
    <w:p w14:paraId="62299F77" w14:textId="77777777" w:rsidR="00B41F13" w:rsidRPr="004E1F4E" w:rsidRDefault="00B41F13">
      <w:pPr>
        <w:spacing w:line="276" w:lineRule="auto"/>
        <w:ind w:left="567" w:right="616"/>
        <w:jc w:val="both"/>
        <w:rPr>
          <w:rFonts w:ascii="Palatino Linotype" w:eastAsia="Palatino Linotype" w:hAnsi="Palatino Linotype" w:cs="Palatino Linotype"/>
          <w:i/>
          <w:sz w:val="22"/>
          <w:szCs w:val="22"/>
        </w:rPr>
      </w:pPr>
    </w:p>
    <w:p w14:paraId="71D7925C"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Artículo 16.-</w:t>
      </w:r>
      <w:r w:rsidRPr="004E1F4E">
        <w:rPr>
          <w:rFonts w:ascii="Palatino Linotype" w:eastAsia="Palatino Linotype" w:hAnsi="Palatino Linotype" w:cs="Palatino Linotype"/>
          <w:i/>
          <w:sz w:val="22"/>
          <w:szCs w:val="22"/>
        </w:rPr>
        <w:t xml:space="preserve"> Serán atribuciones y facultades del Consejo Municipal, las siguientes: </w:t>
      </w:r>
    </w:p>
    <w:p w14:paraId="7616D678"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 Proporcionar, consulta y emitir opiniones en materia de protección al ambiente; </w:t>
      </w:r>
    </w:p>
    <w:p w14:paraId="652EADF5"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II. Promover tareas de concertación entre los sectores de la sociedad y el gobierno; </w:t>
      </w:r>
    </w:p>
    <w:p w14:paraId="4AD46D4A"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III. Promover y sugerir el origen y destino del fondo financiero destinado a la protección del ambiente; </w:t>
      </w:r>
    </w:p>
    <w:p w14:paraId="52718F31"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IV. Gestionar los asuntos de su competencia; </w:t>
      </w:r>
    </w:p>
    <w:p w14:paraId="698F2670"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V. Colaborar con las dependencias del municipio y la Secretaría del Medio Ambiente del Gobierno del Estado de México en los casos de emergencia o contingencia ambiental; </w:t>
      </w:r>
    </w:p>
    <w:p w14:paraId="33C27626"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VI. Promover actividades de colaboración ciudadana y ayuda social en materia de protección al ambiente; y </w:t>
      </w:r>
    </w:p>
    <w:p w14:paraId="463B5304"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VII. Las demás que le asigne el H. Ayuntamiento, el Consejo Consultivo Estatal y la Secretaría del Medio Ambiente del Gobierno del Estado de México.</w:t>
      </w:r>
    </w:p>
    <w:p w14:paraId="6CEC97AB"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4B836572"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De lo anterior, se advierte que, las disposiciones normativas que regían al Ayuntamiento de Ecatepec de Morelos en el año 2018, establecían que, este</w:t>
      </w:r>
      <w:r w:rsidRPr="004E1F4E">
        <w:rPr>
          <w:rFonts w:ascii="Palatino Linotype" w:eastAsia="Palatino Linotype" w:hAnsi="Palatino Linotype" w:cs="Palatino Linotype"/>
          <w:b/>
          <w:i/>
          <w:sz w:val="22"/>
          <w:szCs w:val="22"/>
        </w:rPr>
        <w:t xml:space="preserve"> podría auxiliarse </w:t>
      </w:r>
      <w:r w:rsidRPr="004E1F4E">
        <w:rPr>
          <w:rFonts w:ascii="Palatino Linotype" w:eastAsia="Palatino Linotype" w:hAnsi="Palatino Linotype" w:cs="Palatino Linotype"/>
          <w:sz w:val="22"/>
          <w:szCs w:val="22"/>
        </w:rPr>
        <w:t xml:space="preserve">por Comités, Comisiones y Consejos, entre los cuales se encuentra el </w:t>
      </w:r>
      <w:r w:rsidRPr="004E1F4E">
        <w:rPr>
          <w:rFonts w:ascii="Palatino Linotype" w:eastAsia="Palatino Linotype" w:hAnsi="Palatino Linotype" w:cs="Palatino Linotype"/>
          <w:b/>
          <w:i/>
          <w:sz w:val="22"/>
          <w:szCs w:val="22"/>
        </w:rPr>
        <w:t xml:space="preserve">Consejo Municipal de Protección al Ambiente, </w:t>
      </w:r>
      <w:r w:rsidRPr="004E1F4E">
        <w:rPr>
          <w:rFonts w:ascii="Palatino Linotype" w:eastAsia="Palatino Linotype" w:hAnsi="Palatino Linotype" w:cs="Palatino Linotype"/>
          <w:sz w:val="22"/>
          <w:szCs w:val="22"/>
        </w:rPr>
        <w:t xml:space="preserve">el cual debía integrarse por un </w:t>
      </w:r>
      <w:proofErr w:type="gramStart"/>
      <w:r w:rsidRPr="004E1F4E">
        <w:rPr>
          <w:rFonts w:ascii="Palatino Linotype" w:eastAsia="Palatino Linotype" w:hAnsi="Palatino Linotype" w:cs="Palatino Linotype"/>
          <w:sz w:val="22"/>
          <w:szCs w:val="22"/>
        </w:rPr>
        <w:t>Presidente</w:t>
      </w:r>
      <w:proofErr w:type="gramEnd"/>
      <w:r w:rsidRPr="004E1F4E">
        <w:rPr>
          <w:rFonts w:ascii="Palatino Linotype" w:eastAsia="Palatino Linotype" w:hAnsi="Palatino Linotype" w:cs="Palatino Linotype"/>
          <w:sz w:val="22"/>
          <w:szCs w:val="22"/>
        </w:rPr>
        <w:t xml:space="preserve">, un Secretario Técnico y cinco vocales.  </w:t>
      </w:r>
    </w:p>
    <w:p w14:paraId="0AD796AA" w14:textId="77777777" w:rsidR="00B41F13" w:rsidRPr="004E1F4E" w:rsidRDefault="00B41F13">
      <w:pPr>
        <w:spacing w:line="360" w:lineRule="auto"/>
        <w:ind w:right="49"/>
        <w:rPr>
          <w:rFonts w:ascii="Palatino Linotype" w:eastAsia="Palatino Linotype" w:hAnsi="Palatino Linotype" w:cs="Palatino Linotype"/>
          <w:sz w:val="22"/>
          <w:szCs w:val="22"/>
        </w:rPr>
      </w:pPr>
    </w:p>
    <w:p w14:paraId="0BBBBFD8"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lastRenderedPageBreak/>
        <w:t xml:space="preserve">En atención a ello, es de destacar que la normatividad precisaba que el Sujeto Obligado </w:t>
      </w:r>
      <w:r w:rsidRPr="004E1F4E">
        <w:rPr>
          <w:rFonts w:ascii="Palatino Linotype" w:eastAsia="Palatino Linotype" w:hAnsi="Palatino Linotype" w:cs="Palatino Linotype"/>
          <w:i/>
          <w:sz w:val="22"/>
          <w:szCs w:val="22"/>
        </w:rPr>
        <w:t xml:space="preserve">podría o no auxiliarse </w:t>
      </w:r>
      <w:r w:rsidRPr="004E1F4E">
        <w:rPr>
          <w:rFonts w:ascii="Palatino Linotype" w:eastAsia="Palatino Linotype" w:hAnsi="Palatino Linotype" w:cs="Palatino Linotype"/>
          <w:sz w:val="22"/>
          <w:szCs w:val="22"/>
        </w:rPr>
        <w:t xml:space="preserve">por el Consejo Municipal de Protección al Ambiente, lo que permite entender que, esta atribución es facultativa, es decir, que la creación de dicho consejo era </w:t>
      </w:r>
      <w:r w:rsidRPr="004E1F4E">
        <w:rPr>
          <w:rFonts w:ascii="Palatino Linotype" w:eastAsia="Palatino Linotype" w:hAnsi="Palatino Linotype" w:cs="Palatino Linotype"/>
          <w:b/>
          <w:sz w:val="22"/>
          <w:szCs w:val="22"/>
        </w:rPr>
        <w:t>opcional y no obligatoria</w:t>
      </w:r>
      <w:r w:rsidRPr="004E1F4E">
        <w:rPr>
          <w:rFonts w:ascii="Palatino Linotype" w:eastAsia="Palatino Linotype" w:hAnsi="Palatino Linotype" w:cs="Palatino Linotype"/>
          <w:sz w:val="22"/>
          <w:szCs w:val="22"/>
        </w:rPr>
        <w:t xml:space="preserve">, situación que se deja a la libre voluntad de la autoridad. </w:t>
      </w:r>
    </w:p>
    <w:p w14:paraId="3CBB6AE8"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7D010AEA"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Por otro lado, se tiene que, mediante informe justificado, el Encargado del Despacho de la Dirección de Medio Ambiente y Ecología informó que había realizado una búsqueda minuciosa en los archivos que obran en la dirección </w:t>
      </w:r>
      <w:r w:rsidRPr="004E1F4E">
        <w:rPr>
          <w:rFonts w:ascii="Palatino Linotype" w:eastAsia="Palatino Linotype" w:hAnsi="Palatino Linotype" w:cs="Palatino Linotype"/>
          <w:b/>
          <w:sz w:val="22"/>
          <w:szCs w:val="22"/>
          <w:u w:val="single"/>
        </w:rPr>
        <w:t>no se localizó información relacionada con el Consejo Municipal de Protección a la Biodiversidad y Desarrollo Sustentable</w:t>
      </w:r>
      <w:r w:rsidRPr="004E1F4E">
        <w:rPr>
          <w:rFonts w:ascii="Palatino Linotype" w:eastAsia="Palatino Linotype" w:hAnsi="Palatino Linotype" w:cs="Palatino Linotype"/>
          <w:sz w:val="22"/>
          <w:szCs w:val="22"/>
        </w:rPr>
        <w:t xml:space="preserve">, tal como se logra apreciar a continuación: </w:t>
      </w:r>
    </w:p>
    <w:p w14:paraId="2C0C9B89"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7AB7993A"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noProof/>
          <w:sz w:val="22"/>
          <w:szCs w:val="22"/>
        </w:rPr>
        <w:drawing>
          <wp:inline distT="0" distB="0" distL="0" distR="0" wp14:anchorId="6DD7733A" wp14:editId="7D6C5C79">
            <wp:extent cx="5611008" cy="254353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1008" cy="2543530"/>
                    </a:xfrm>
                    <a:prstGeom prst="rect">
                      <a:avLst/>
                    </a:prstGeom>
                    <a:ln/>
                  </pic:spPr>
                </pic:pic>
              </a:graphicData>
            </a:graphic>
          </wp:inline>
        </w:drawing>
      </w:r>
      <w:r w:rsidRPr="004E1F4E">
        <w:rPr>
          <w:noProof/>
        </w:rPr>
        <mc:AlternateContent>
          <mc:Choice Requires="wpg">
            <w:drawing>
              <wp:anchor distT="0" distB="0" distL="114300" distR="114300" simplePos="0" relativeHeight="251658240" behindDoc="0" locked="0" layoutInCell="1" hidden="0" allowOverlap="1" wp14:anchorId="41247715" wp14:editId="2EF9347A">
                <wp:simplePos x="0" y="0"/>
                <wp:positionH relativeFrom="column">
                  <wp:posOffset>-12699</wp:posOffset>
                </wp:positionH>
                <wp:positionV relativeFrom="paragraph">
                  <wp:posOffset>584200</wp:posOffset>
                </wp:positionV>
                <wp:extent cx="5591810" cy="923925"/>
                <wp:effectExtent l="0" t="0" r="0" b="0"/>
                <wp:wrapNone/>
                <wp:docPr id="11" name="Rectángulo 11"/>
                <wp:cNvGraphicFramePr/>
                <a:graphic xmlns:a="http://schemas.openxmlformats.org/drawingml/2006/main">
                  <a:graphicData uri="http://schemas.microsoft.com/office/word/2010/wordprocessingShape">
                    <wps:wsp>
                      <wps:cNvSpPr/>
                      <wps:spPr>
                        <a:xfrm>
                          <a:off x="2569145" y="3337088"/>
                          <a:ext cx="5553710" cy="885825"/>
                        </a:xfrm>
                        <a:prstGeom prst="rect">
                          <a:avLst/>
                        </a:prstGeom>
                        <a:noFill/>
                        <a:ln w="38100" cap="flat" cmpd="sng">
                          <a:solidFill>
                            <a:srgbClr val="FF0000"/>
                          </a:solidFill>
                          <a:prstDash val="solid"/>
                          <a:round/>
                          <a:headEnd type="none" w="sm" len="sm"/>
                          <a:tailEnd type="none" w="sm" len="sm"/>
                        </a:ln>
                      </wps:spPr>
                      <wps:txbx>
                        <w:txbxContent>
                          <w:p w14:paraId="10180ABB" w14:textId="77777777" w:rsidR="00B41F13" w:rsidRDefault="00B41F13">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wp:posOffset>
                </wp:positionH>
                <wp:positionV relativeFrom="paragraph">
                  <wp:posOffset>584200</wp:posOffset>
                </wp:positionV>
                <wp:extent cx="5591810" cy="923925"/>
                <wp:effectExtent b="0" l="0" r="0" t="0"/>
                <wp:wrapNone/>
                <wp:docPr id="1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591810" cy="923925"/>
                        </a:xfrm>
                        <a:prstGeom prst="rect"/>
                        <a:ln/>
                      </pic:spPr>
                    </pic:pic>
                  </a:graphicData>
                </a:graphic>
              </wp:anchor>
            </w:drawing>
          </mc:Fallback>
        </mc:AlternateContent>
      </w:r>
    </w:p>
    <w:p w14:paraId="707E4AB1"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3804559F"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No obstante, como se desprende de la solicitud, la parte Recurrente solicitó información del Consejo Municipal de Protección al Ambiente, no así del Consejo Municipal de Protección a la Biodiversidad y Desarrollo Sustentable, como se puede observar: </w:t>
      </w:r>
    </w:p>
    <w:p w14:paraId="19558F34"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02637A96"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noProof/>
          <w:sz w:val="22"/>
          <w:szCs w:val="22"/>
        </w:rPr>
        <w:lastRenderedPageBreak/>
        <w:drawing>
          <wp:inline distT="0" distB="0" distL="0" distR="0" wp14:anchorId="295EE99D" wp14:editId="3934F5D7">
            <wp:extent cx="5612130" cy="113030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1130300"/>
                    </a:xfrm>
                    <a:prstGeom prst="rect">
                      <a:avLst/>
                    </a:prstGeom>
                    <a:ln/>
                  </pic:spPr>
                </pic:pic>
              </a:graphicData>
            </a:graphic>
          </wp:inline>
        </w:drawing>
      </w:r>
      <w:r w:rsidRPr="004E1F4E">
        <w:rPr>
          <w:noProof/>
        </w:rPr>
        <mc:AlternateContent>
          <mc:Choice Requires="wpg">
            <w:drawing>
              <wp:anchor distT="0" distB="0" distL="114300" distR="114300" simplePos="0" relativeHeight="251659264" behindDoc="0" locked="0" layoutInCell="1" hidden="0" allowOverlap="1" wp14:anchorId="3FC80FB9" wp14:editId="79100525">
                <wp:simplePos x="0" y="0"/>
                <wp:positionH relativeFrom="column">
                  <wp:posOffset>647700</wp:posOffset>
                </wp:positionH>
                <wp:positionV relativeFrom="paragraph">
                  <wp:posOffset>685800</wp:posOffset>
                </wp:positionV>
                <wp:extent cx="1733550" cy="200025"/>
                <wp:effectExtent l="0" t="0" r="0" b="0"/>
                <wp:wrapNone/>
                <wp:docPr id="12" name="Rectángulo 12"/>
                <wp:cNvGraphicFramePr/>
                <a:graphic xmlns:a="http://schemas.openxmlformats.org/drawingml/2006/main">
                  <a:graphicData uri="http://schemas.microsoft.com/office/word/2010/wordprocessingShape">
                    <wps:wsp>
                      <wps:cNvSpPr/>
                      <wps:spPr>
                        <a:xfrm>
                          <a:off x="4498275" y="3699038"/>
                          <a:ext cx="1695450" cy="161925"/>
                        </a:xfrm>
                        <a:prstGeom prst="rect">
                          <a:avLst/>
                        </a:prstGeom>
                        <a:noFill/>
                        <a:ln w="38100" cap="flat" cmpd="sng">
                          <a:solidFill>
                            <a:srgbClr val="FF0000"/>
                          </a:solidFill>
                          <a:prstDash val="solid"/>
                          <a:round/>
                          <a:headEnd type="none" w="sm" len="sm"/>
                          <a:tailEnd type="none" w="sm" len="sm"/>
                        </a:ln>
                        <a:effectLst>
                          <a:outerShdw blurRad="40000" dist="23000" dir="5400000" rotWithShape="0">
                            <a:srgbClr val="000000">
                              <a:alpha val="34901"/>
                            </a:srgbClr>
                          </a:outerShdw>
                        </a:effectLst>
                      </wps:spPr>
                      <wps:txbx>
                        <w:txbxContent>
                          <w:p w14:paraId="5BF044B4" w14:textId="77777777" w:rsidR="00B41F13" w:rsidRDefault="00B41F13">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647700</wp:posOffset>
                </wp:positionH>
                <wp:positionV relativeFrom="paragraph">
                  <wp:posOffset>685800</wp:posOffset>
                </wp:positionV>
                <wp:extent cx="1733550" cy="200025"/>
                <wp:effectExtent b="0" l="0" r="0" t="0"/>
                <wp:wrapNone/>
                <wp:docPr id="1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733550" cy="200025"/>
                        </a:xfrm>
                        <a:prstGeom prst="rect"/>
                        <a:ln/>
                      </pic:spPr>
                    </pic:pic>
                  </a:graphicData>
                </a:graphic>
              </wp:anchor>
            </w:drawing>
          </mc:Fallback>
        </mc:AlternateContent>
      </w:r>
    </w:p>
    <w:p w14:paraId="3D6284EA"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0791D63C"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Por lo que, se colige que, el pronunciamiento del Sujeto Obligado realizado mediante informe justificado, </w:t>
      </w:r>
      <w:r w:rsidRPr="004E1F4E">
        <w:rPr>
          <w:rFonts w:ascii="Palatino Linotype" w:eastAsia="Palatino Linotype" w:hAnsi="Palatino Linotype" w:cs="Palatino Linotype"/>
          <w:b/>
          <w:sz w:val="22"/>
          <w:szCs w:val="22"/>
        </w:rPr>
        <w:t>no guarda relación con lo ahora requerido</w:t>
      </w:r>
      <w:r w:rsidRPr="004E1F4E">
        <w:rPr>
          <w:rFonts w:ascii="Palatino Linotype" w:eastAsia="Palatino Linotype" w:hAnsi="Palatino Linotype" w:cs="Palatino Linotype"/>
          <w:sz w:val="22"/>
          <w:szCs w:val="22"/>
        </w:rPr>
        <w:t xml:space="preserve">, pues se tratan de órganos auxiliares diferentes y ambas figuras son contempladas en el Bando Municipal de Ecatepec de Morelos </w:t>
      </w:r>
    </w:p>
    <w:p w14:paraId="00D48262"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 </w:t>
      </w:r>
    </w:p>
    <w:p w14:paraId="739AA11F"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Artículo 36.</w:t>
      </w:r>
      <w:r w:rsidRPr="004E1F4E">
        <w:rPr>
          <w:rFonts w:ascii="Palatino Linotype" w:eastAsia="Palatino Linotype" w:hAnsi="Palatino Linotype" w:cs="Palatino Linotype"/>
          <w:i/>
          <w:sz w:val="22"/>
          <w:szCs w:val="22"/>
        </w:rPr>
        <w:t xml:space="preserve"> El H. Ayuntamiento, para el eficaz desempeño de sus funciones públicas, podrá auxiliarse por: </w:t>
      </w:r>
    </w:p>
    <w:p w14:paraId="0E2412F5"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p>
    <w:p w14:paraId="18F80737" w14:textId="77777777" w:rsidR="00B41F13" w:rsidRPr="004E1F4E" w:rsidRDefault="00771C34">
      <w:pPr>
        <w:spacing w:line="276" w:lineRule="auto"/>
        <w:ind w:left="567" w:right="616"/>
        <w:jc w:val="both"/>
        <w:rPr>
          <w:rFonts w:ascii="Palatino Linotype" w:eastAsia="Palatino Linotype" w:hAnsi="Palatino Linotype" w:cs="Palatino Linotype"/>
          <w:b/>
          <w:i/>
          <w:sz w:val="22"/>
          <w:szCs w:val="22"/>
          <w:u w:val="single"/>
        </w:rPr>
      </w:pPr>
      <w:proofErr w:type="spellStart"/>
      <w:proofErr w:type="gramStart"/>
      <w:r w:rsidRPr="004E1F4E">
        <w:rPr>
          <w:rFonts w:ascii="Palatino Linotype" w:eastAsia="Palatino Linotype" w:hAnsi="Palatino Linotype" w:cs="Palatino Linotype"/>
          <w:b/>
          <w:i/>
          <w:sz w:val="22"/>
          <w:szCs w:val="22"/>
          <w:u w:val="single"/>
        </w:rPr>
        <w:t>h.Consejo</w:t>
      </w:r>
      <w:proofErr w:type="spellEnd"/>
      <w:proofErr w:type="gramEnd"/>
      <w:r w:rsidRPr="004E1F4E">
        <w:rPr>
          <w:rFonts w:ascii="Palatino Linotype" w:eastAsia="Palatino Linotype" w:hAnsi="Palatino Linotype" w:cs="Palatino Linotype"/>
          <w:b/>
          <w:i/>
          <w:sz w:val="22"/>
          <w:szCs w:val="22"/>
          <w:u w:val="single"/>
        </w:rPr>
        <w:t xml:space="preserve"> Municipal de Protección al Ambiente; </w:t>
      </w:r>
    </w:p>
    <w:p w14:paraId="7E398405"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proofErr w:type="spellStart"/>
      <w:r w:rsidRPr="004E1F4E">
        <w:rPr>
          <w:rFonts w:ascii="Palatino Linotype" w:eastAsia="Palatino Linotype" w:hAnsi="Palatino Linotype" w:cs="Palatino Linotype"/>
          <w:i/>
          <w:sz w:val="22"/>
          <w:szCs w:val="22"/>
        </w:rPr>
        <w:t>i.Consejo</w:t>
      </w:r>
      <w:proofErr w:type="spellEnd"/>
      <w:r w:rsidRPr="004E1F4E">
        <w:rPr>
          <w:rFonts w:ascii="Palatino Linotype" w:eastAsia="Palatino Linotype" w:hAnsi="Palatino Linotype" w:cs="Palatino Linotype"/>
          <w:i/>
          <w:sz w:val="22"/>
          <w:szCs w:val="22"/>
        </w:rPr>
        <w:t xml:space="preserve"> Municipal de Lucha Contra las Drogas y la Delincuencia; </w:t>
      </w:r>
    </w:p>
    <w:p w14:paraId="7F8AB91C" w14:textId="77777777" w:rsidR="00B41F13" w:rsidRPr="004E1F4E" w:rsidRDefault="00771C34">
      <w:pPr>
        <w:spacing w:line="276" w:lineRule="auto"/>
        <w:ind w:left="567" w:right="616"/>
        <w:jc w:val="both"/>
        <w:rPr>
          <w:rFonts w:ascii="Palatino Linotype" w:eastAsia="Palatino Linotype" w:hAnsi="Palatino Linotype" w:cs="Palatino Linotype"/>
          <w:b/>
          <w:i/>
          <w:sz w:val="22"/>
          <w:szCs w:val="22"/>
          <w:u w:val="single"/>
        </w:rPr>
      </w:pPr>
      <w:proofErr w:type="spellStart"/>
      <w:proofErr w:type="gramStart"/>
      <w:r w:rsidRPr="004E1F4E">
        <w:rPr>
          <w:rFonts w:ascii="Palatino Linotype" w:eastAsia="Palatino Linotype" w:hAnsi="Palatino Linotype" w:cs="Palatino Linotype"/>
          <w:b/>
          <w:i/>
          <w:sz w:val="22"/>
          <w:szCs w:val="22"/>
          <w:u w:val="single"/>
        </w:rPr>
        <w:t>j.Consejo</w:t>
      </w:r>
      <w:proofErr w:type="spellEnd"/>
      <w:proofErr w:type="gramEnd"/>
      <w:r w:rsidRPr="004E1F4E">
        <w:rPr>
          <w:rFonts w:ascii="Palatino Linotype" w:eastAsia="Palatino Linotype" w:hAnsi="Palatino Linotype" w:cs="Palatino Linotype"/>
          <w:b/>
          <w:i/>
          <w:sz w:val="22"/>
          <w:szCs w:val="22"/>
          <w:u w:val="single"/>
        </w:rPr>
        <w:t xml:space="preserve"> Municipal de Protección a la Biodiversidad y Desarrollo Sustentable; </w:t>
      </w:r>
    </w:p>
    <w:p w14:paraId="07EC6CC6"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p>
    <w:p w14:paraId="14159650"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1B343F40"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Es por ello que, resulta indispensable traer a colación el Criterio 02/17 emitido por el Instituto Nacional de Transparencia, Acceso a la Información y Protección de Datos Personales el cual establece lo siguiente:</w:t>
      </w:r>
    </w:p>
    <w:p w14:paraId="3E6B38F7" w14:textId="77777777" w:rsidR="00B41F13" w:rsidRPr="004E1F4E" w:rsidRDefault="00B41F13">
      <w:pPr>
        <w:pBdr>
          <w:top w:val="nil"/>
          <w:left w:val="nil"/>
          <w:bottom w:val="nil"/>
          <w:right w:val="nil"/>
          <w:between w:val="nil"/>
        </w:pBdr>
        <w:ind w:left="567" w:right="701"/>
        <w:jc w:val="both"/>
        <w:rPr>
          <w:rFonts w:ascii="Palatino Linotype" w:eastAsia="Palatino Linotype" w:hAnsi="Palatino Linotype" w:cs="Palatino Linotype"/>
          <w:i/>
          <w:sz w:val="22"/>
          <w:szCs w:val="22"/>
        </w:rPr>
      </w:pPr>
    </w:p>
    <w:p w14:paraId="327536D8" w14:textId="77777777" w:rsidR="00B41F13" w:rsidRPr="004E1F4E" w:rsidRDefault="00771C34">
      <w:pPr>
        <w:pBdr>
          <w:top w:val="nil"/>
          <w:left w:val="nil"/>
          <w:bottom w:val="nil"/>
          <w:right w:val="nil"/>
          <w:between w:val="nil"/>
        </w:pBdr>
        <w:ind w:left="567" w:right="701"/>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Congruencia y exhaustividad. Sus alcances para garantizar el derecho de acceso a la información.</w:t>
      </w:r>
      <w:r w:rsidRPr="004E1F4E">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w:t>
      </w:r>
      <w:r w:rsidRPr="004E1F4E">
        <w:rPr>
          <w:rFonts w:ascii="Palatino Linotype" w:eastAsia="Palatino Linotype" w:hAnsi="Palatino Linotype" w:cs="Palatino Linotype"/>
          <w:i/>
          <w:sz w:val="22"/>
          <w:szCs w:val="22"/>
        </w:rPr>
        <w:lastRenderedPageBreak/>
        <w:t>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5C5D183" w14:textId="77777777" w:rsidR="00B41F13" w:rsidRPr="004E1F4E" w:rsidRDefault="00B41F13">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21036EA6"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4E1F4E">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4E1F4E">
        <w:rPr>
          <w:rFonts w:ascii="Palatino Linotype" w:eastAsia="Palatino Linotype" w:hAnsi="Palatino Linotype" w:cs="Palatino Linotype"/>
          <w:sz w:val="22"/>
          <w:szCs w:val="22"/>
        </w:rPr>
        <w:t xml:space="preserve">, mientras que la exhaustividad establece que el sujeto obligado </w:t>
      </w:r>
      <w:r w:rsidRPr="004E1F4E">
        <w:rPr>
          <w:rFonts w:ascii="Palatino Linotype" w:eastAsia="Palatino Linotype" w:hAnsi="Palatino Linotype" w:cs="Palatino Linotype"/>
          <w:b/>
          <w:sz w:val="22"/>
          <w:szCs w:val="22"/>
        </w:rPr>
        <w:t>deberá atender de manera expresa cada uno de los puntos solicitados</w:t>
      </w:r>
      <w:r w:rsidRPr="004E1F4E">
        <w:rPr>
          <w:rFonts w:ascii="Palatino Linotype" w:eastAsia="Palatino Linotype" w:hAnsi="Palatino Linotype" w:cs="Palatino Linotype"/>
          <w:sz w:val="22"/>
          <w:szCs w:val="22"/>
        </w:rPr>
        <w:t xml:space="preserve">, situación que en el presente caso </w:t>
      </w:r>
      <w:r w:rsidRPr="004E1F4E">
        <w:rPr>
          <w:rFonts w:ascii="Palatino Linotype" w:eastAsia="Palatino Linotype" w:hAnsi="Palatino Linotype" w:cs="Palatino Linotype"/>
          <w:b/>
          <w:sz w:val="22"/>
          <w:szCs w:val="22"/>
          <w:u w:val="single"/>
        </w:rPr>
        <w:t>no aconteció</w:t>
      </w:r>
      <w:r w:rsidRPr="004E1F4E">
        <w:rPr>
          <w:rFonts w:ascii="Palatino Linotype" w:eastAsia="Palatino Linotype" w:hAnsi="Palatino Linotype" w:cs="Palatino Linotype"/>
          <w:sz w:val="22"/>
          <w:szCs w:val="22"/>
        </w:rPr>
        <w:t xml:space="preserve">, pues el Sujeto Obligado no fue congruente entre la información que se solicitó con la referida mediante informe justificado. </w:t>
      </w:r>
    </w:p>
    <w:p w14:paraId="1BB8AAE7"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1681162B"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Finalmente, es de señalar que, para la atención de las solicitudes de acceso a la información, debe privilegiarse el </w:t>
      </w:r>
      <w:r w:rsidRPr="004E1F4E">
        <w:rPr>
          <w:rFonts w:ascii="Palatino Linotype" w:eastAsia="Palatino Linotype" w:hAnsi="Palatino Linotype" w:cs="Palatino Linotype"/>
          <w:b/>
          <w:sz w:val="22"/>
          <w:szCs w:val="22"/>
        </w:rPr>
        <w:t>principio de máxima publicidad</w:t>
      </w:r>
      <w:r w:rsidRPr="004E1F4E">
        <w:rPr>
          <w:rFonts w:ascii="Palatino Linotype" w:eastAsia="Palatino Linotype" w:hAnsi="Palatino Linotype" w:cs="Palatino Linotype"/>
          <w:sz w:val="22"/>
          <w:szCs w:val="22"/>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13C3693"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2E06A621"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0201C39"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7AE7A78C" w14:textId="77777777" w:rsidR="00B41F13" w:rsidRPr="004E1F4E" w:rsidRDefault="00771C34">
      <w:pPr>
        <w:numPr>
          <w:ilvl w:val="0"/>
          <w:numId w:val="2"/>
        </w:num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Las Unidades de Transparencia de los Sujetos Obligados deben garantizar las medidas y condiciones de accesibilidad para que toda persona puede ejercer el </w:t>
      </w:r>
      <w:r w:rsidRPr="004E1F4E">
        <w:rPr>
          <w:rFonts w:ascii="Palatino Linotype" w:eastAsia="Palatino Linotype" w:hAnsi="Palatino Linotype" w:cs="Palatino Linotype"/>
          <w:sz w:val="22"/>
          <w:szCs w:val="22"/>
        </w:rPr>
        <w:lastRenderedPageBreak/>
        <w:t>derecho de acceso a la información; por lo que, son las responsables de hacer las notificaciones correspondientes, además de llevar a cabo de todas las gestiones necesarias para facilitar el acceso de la información;</w:t>
      </w:r>
    </w:p>
    <w:p w14:paraId="241394D5" w14:textId="77777777" w:rsidR="00B41F13" w:rsidRPr="004E1F4E" w:rsidRDefault="00771C34">
      <w:pPr>
        <w:numPr>
          <w:ilvl w:val="0"/>
          <w:numId w:val="2"/>
        </w:num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E41634E" w14:textId="77777777" w:rsidR="00B41F13" w:rsidRPr="004E1F4E" w:rsidRDefault="00771C34">
      <w:pPr>
        <w:numPr>
          <w:ilvl w:val="0"/>
          <w:numId w:val="2"/>
        </w:num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4E1F4E">
        <w:rPr>
          <w:rFonts w:ascii="Palatino Linotype" w:eastAsia="Palatino Linotype" w:hAnsi="Palatino Linotype" w:cs="Palatino Linotype"/>
          <w:b/>
          <w:sz w:val="22"/>
          <w:szCs w:val="22"/>
        </w:rPr>
        <w:t>quince días, contados a partir del día siguiente a la presentación de ésta.</w:t>
      </w:r>
      <w:r w:rsidRPr="004E1F4E">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4D8B7C74" w14:textId="77777777" w:rsidR="00B41F13" w:rsidRPr="004E1F4E" w:rsidRDefault="00771C34">
      <w:pPr>
        <w:numPr>
          <w:ilvl w:val="0"/>
          <w:numId w:val="2"/>
        </w:numPr>
        <w:spacing w:line="360" w:lineRule="auto"/>
        <w:jc w:val="both"/>
        <w:rPr>
          <w:rFonts w:ascii="Palatino Linotype" w:eastAsia="Palatino Linotype" w:hAnsi="Palatino Linotype" w:cs="Palatino Linotype"/>
          <w:b/>
          <w:sz w:val="22"/>
          <w:szCs w:val="22"/>
          <w:u w:val="single"/>
        </w:rPr>
      </w:pPr>
      <w:r w:rsidRPr="004E1F4E">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B32552A" w14:textId="77777777" w:rsidR="00B41F13" w:rsidRPr="004E1F4E" w:rsidRDefault="00771C34">
      <w:pPr>
        <w:numPr>
          <w:ilvl w:val="0"/>
          <w:numId w:val="2"/>
        </w:numPr>
        <w:spacing w:line="360" w:lineRule="auto"/>
        <w:jc w:val="both"/>
        <w:rPr>
          <w:rFonts w:ascii="Palatino Linotype" w:eastAsia="Palatino Linotype" w:hAnsi="Palatino Linotype" w:cs="Palatino Linotype"/>
          <w:b/>
          <w:sz w:val="22"/>
          <w:szCs w:val="22"/>
        </w:rPr>
      </w:pPr>
      <w:r w:rsidRPr="004E1F4E">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4FA2318" w14:textId="77777777" w:rsidR="00B41F13" w:rsidRPr="004E1F4E" w:rsidRDefault="00771C34">
      <w:pPr>
        <w:numPr>
          <w:ilvl w:val="0"/>
          <w:numId w:val="2"/>
        </w:numPr>
        <w:spacing w:line="360" w:lineRule="auto"/>
        <w:jc w:val="both"/>
        <w:rPr>
          <w:rFonts w:ascii="Palatino Linotype" w:eastAsia="Palatino Linotype" w:hAnsi="Palatino Linotype" w:cs="Palatino Linotype"/>
          <w:b/>
          <w:sz w:val="22"/>
          <w:szCs w:val="22"/>
        </w:rPr>
      </w:pPr>
      <w:r w:rsidRPr="004E1F4E">
        <w:rPr>
          <w:rFonts w:ascii="Palatino Linotype" w:eastAsia="Palatino Linotype" w:hAnsi="Palatino Linotype" w:cs="Palatino Linotype"/>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w:t>
      </w:r>
      <w:r w:rsidRPr="004E1F4E">
        <w:rPr>
          <w:rFonts w:ascii="Palatino Linotype" w:eastAsia="Palatino Linotype" w:hAnsi="Palatino Linotype" w:cs="Palatino Linotype"/>
          <w:sz w:val="22"/>
          <w:szCs w:val="22"/>
        </w:rPr>
        <w:lastRenderedPageBreak/>
        <w:t>en un plazo no mayor a treinta días hábiles; por lo que, una vez trascurrida dicha temporalidad, los Sujetos Obligados darán por concluida la solicitud y procederán de ser el caso, a la destrucción del material.</w:t>
      </w:r>
    </w:p>
    <w:p w14:paraId="1B212CDB"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62C29EEE"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Por ello, se colige que la Unidad de Transparencia, debe seguir un procedimiento de búsqueda exhaustiva y razonable en las unidades administrativas, que de conformidad con sus atribuciones, facultades y competencia contarán con la información solicitada, las cuales, pudiera ser de manera enunciativa más no limitativa en la Secretaría del Ayuntamiento y en la Dirección de Desarrollo Metropolitano y Medio Ambiente, con la finalidad de que realicen una nueva búsqueda exhaustiva y razonable de lo que se requiere, en atención a lo siguiente: </w:t>
      </w:r>
    </w:p>
    <w:p w14:paraId="5F57F457"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4C458C50" w14:textId="77777777" w:rsidR="00B41F13" w:rsidRPr="004E1F4E" w:rsidRDefault="00771C34">
      <w:pPr>
        <w:spacing w:line="360" w:lineRule="auto"/>
        <w:ind w:right="49"/>
        <w:jc w:val="center"/>
        <w:rPr>
          <w:rFonts w:ascii="Palatino Linotype" w:eastAsia="Palatino Linotype" w:hAnsi="Palatino Linotype" w:cs="Palatino Linotype"/>
          <w:b/>
          <w:sz w:val="22"/>
          <w:szCs w:val="22"/>
        </w:rPr>
      </w:pPr>
      <w:r w:rsidRPr="004E1F4E">
        <w:rPr>
          <w:rFonts w:ascii="Palatino Linotype" w:eastAsia="Palatino Linotype" w:hAnsi="Palatino Linotype" w:cs="Palatino Linotype"/>
          <w:b/>
          <w:sz w:val="22"/>
          <w:szCs w:val="22"/>
        </w:rPr>
        <w:t>Ley Orgánica Municipal del Estado de México</w:t>
      </w:r>
    </w:p>
    <w:p w14:paraId="2324C9AF" w14:textId="77777777" w:rsidR="00B41F13" w:rsidRPr="004E1F4E" w:rsidRDefault="00B41F13">
      <w:pPr>
        <w:spacing w:line="360" w:lineRule="auto"/>
        <w:ind w:right="49"/>
        <w:jc w:val="center"/>
        <w:rPr>
          <w:rFonts w:ascii="Palatino Linotype" w:eastAsia="Palatino Linotype" w:hAnsi="Palatino Linotype" w:cs="Palatino Linotype"/>
          <w:b/>
          <w:i/>
          <w:sz w:val="22"/>
          <w:szCs w:val="22"/>
        </w:rPr>
      </w:pPr>
    </w:p>
    <w:p w14:paraId="5559F246"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Artículo 91.-</w:t>
      </w:r>
      <w:r w:rsidRPr="004E1F4E">
        <w:rPr>
          <w:rFonts w:ascii="Palatino Linotype" w:eastAsia="Palatino Linotype" w:hAnsi="Palatino Linotype" w:cs="Palatino Linotype"/>
          <w:i/>
          <w:sz w:val="22"/>
          <w:szCs w:val="22"/>
        </w:rPr>
        <w:t xml:space="preserve"> La Secretaría del Ayuntamiento estará a cargo de un </w:t>
      </w:r>
      <w:proofErr w:type="gramStart"/>
      <w:r w:rsidRPr="004E1F4E">
        <w:rPr>
          <w:rFonts w:ascii="Palatino Linotype" w:eastAsia="Palatino Linotype" w:hAnsi="Palatino Linotype" w:cs="Palatino Linotype"/>
          <w:i/>
          <w:sz w:val="22"/>
          <w:szCs w:val="22"/>
        </w:rPr>
        <w:t>Secretario</w:t>
      </w:r>
      <w:proofErr w:type="gramEnd"/>
      <w:r w:rsidRPr="004E1F4E">
        <w:rPr>
          <w:rFonts w:ascii="Palatino Linotype" w:eastAsia="Palatino Linotype" w:hAnsi="Palatino Linotype" w:cs="Palatino Linotype"/>
          <w:i/>
          <w:sz w:val="22"/>
          <w:szCs w:val="22"/>
        </w:rPr>
        <w:t>,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76B04E01"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p>
    <w:p w14:paraId="64AD6FC0"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V. Validar con su firma, los documentos oficiales emanados del ayuntamiento o de cualquiera de sus miembros; </w:t>
      </w:r>
    </w:p>
    <w:p w14:paraId="6CA50E76"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VI. Tener a su cargo el archivo general del ayuntamiento;</w:t>
      </w:r>
    </w:p>
    <w:p w14:paraId="1328AC6C" w14:textId="77777777" w:rsidR="00B41F13" w:rsidRPr="004E1F4E" w:rsidRDefault="00771C34">
      <w:pPr>
        <w:spacing w:line="276" w:lineRule="auto"/>
        <w:ind w:left="567" w:right="616"/>
        <w:jc w:val="both"/>
        <w:rPr>
          <w:rFonts w:ascii="Palatino Linotype" w:eastAsia="Palatino Linotype" w:hAnsi="Palatino Linotype" w:cs="Palatino Linotype"/>
          <w:i/>
          <w:sz w:val="20"/>
          <w:szCs w:val="20"/>
        </w:rPr>
      </w:pPr>
      <w:r w:rsidRPr="004E1F4E">
        <w:rPr>
          <w:rFonts w:ascii="Palatino Linotype" w:eastAsia="Palatino Linotype" w:hAnsi="Palatino Linotype" w:cs="Palatino Linotype"/>
          <w:i/>
          <w:sz w:val="22"/>
          <w:szCs w:val="22"/>
        </w:rPr>
        <w:t>…</w:t>
      </w:r>
    </w:p>
    <w:p w14:paraId="1A6B5FE9"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244B3BB9" w14:textId="77777777" w:rsidR="00B41F13" w:rsidRPr="004E1F4E" w:rsidRDefault="00771C34">
      <w:pPr>
        <w:spacing w:line="360" w:lineRule="auto"/>
        <w:ind w:right="49"/>
        <w:jc w:val="center"/>
        <w:rPr>
          <w:rFonts w:ascii="Palatino Linotype" w:eastAsia="Palatino Linotype" w:hAnsi="Palatino Linotype" w:cs="Palatino Linotype"/>
          <w:b/>
          <w:sz w:val="22"/>
          <w:szCs w:val="22"/>
        </w:rPr>
      </w:pPr>
      <w:r w:rsidRPr="004E1F4E">
        <w:rPr>
          <w:rFonts w:ascii="Palatino Linotype" w:eastAsia="Palatino Linotype" w:hAnsi="Palatino Linotype" w:cs="Palatino Linotype"/>
          <w:b/>
          <w:sz w:val="22"/>
          <w:szCs w:val="22"/>
        </w:rPr>
        <w:t>Bando Municipal del Ayuntamiento de Ecatepec de Morelos</w:t>
      </w:r>
    </w:p>
    <w:p w14:paraId="753EE605"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090B4867"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Artículo 73</w:t>
      </w:r>
      <w:r w:rsidRPr="004E1F4E">
        <w:rPr>
          <w:rFonts w:ascii="Palatino Linotype" w:eastAsia="Palatino Linotype" w:hAnsi="Palatino Linotype" w:cs="Palatino Linotype"/>
          <w:i/>
          <w:sz w:val="22"/>
          <w:szCs w:val="22"/>
        </w:rPr>
        <w:t xml:space="preserve">. La Dirección de Desarrollo Metropolitano y Medio Ambiente fortalecerá las relaciones armónicas de la Zona Metropolitana del Valle de México, de acuerdo a las </w:t>
      </w:r>
      <w:r w:rsidRPr="004E1F4E">
        <w:rPr>
          <w:rFonts w:ascii="Palatino Linotype" w:eastAsia="Palatino Linotype" w:hAnsi="Palatino Linotype" w:cs="Palatino Linotype"/>
          <w:i/>
          <w:sz w:val="22"/>
          <w:szCs w:val="22"/>
        </w:rPr>
        <w:lastRenderedPageBreak/>
        <w:t xml:space="preserve">políticas que acuerden los gobiernos involucrados y vigilará el cumplimiento de las disposiciones cuyo objeto es la conservación, restauración, protección, preservación y mejoramiento del medio ambiente, de conformidad con la legislación aplicable. </w:t>
      </w:r>
    </w:p>
    <w:p w14:paraId="10E55131" w14:textId="77777777" w:rsidR="00B41F13" w:rsidRPr="004E1F4E" w:rsidRDefault="00B41F13">
      <w:pPr>
        <w:spacing w:line="276" w:lineRule="auto"/>
        <w:ind w:left="567" w:right="616"/>
        <w:jc w:val="both"/>
        <w:rPr>
          <w:rFonts w:ascii="Palatino Linotype" w:eastAsia="Palatino Linotype" w:hAnsi="Palatino Linotype" w:cs="Palatino Linotype"/>
          <w:i/>
          <w:sz w:val="22"/>
          <w:szCs w:val="22"/>
        </w:rPr>
      </w:pPr>
    </w:p>
    <w:p w14:paraId="48687A00"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Esta Dirección tendrá a su cargo la formulación, conducción y evaluación de la política ambiental municipal, y deberá ser establecida de conformidad con las leyes federales, estatales y demás ordenamientos legales de la materia.</w:t>
      </w:r>
    </w:p>
    <w:p w14:paraId="6B1D2A7D" w14:textId="77777777" w:rsidR="00B41F13" w:rsidRPr="004E1F4E" w:rsidRDefault="00B41F13">
      <w:pPr>
        <w:spacing w:line="276" w:lineRule="auto"/>
        <w:ind w:left="567" w:right="616"/>
        <w:jc w:val="both"/>
        <w:rPr>
          <w:rFonts w:ascii="Palatino Linotype" w:eastAsia="Palatino Linotype" w:hAnsi="Palatino Linotype" w:cs="Palatino Linotype"/>
          <w:i/>
          <w:sz w:val="22"/>
          <w:szCs w:val="22"/>
        </w:rPr>
      </w:pPr>
    </w:p>
    <w:p w14:paraId="58F3EB1B" w14:textId="77777777" w:rsidR="00B41F13" w:rsidRPr="004E1F4E" w:rsidRDefault="00771C34">
      <w:pPr>
        <w:spacing w:line="276" w:lineRule="auto"/>
        <w:ind w:left="567" w:right="616"/>
        <w:jc w:val="both"/>
        <w:rPr>
          <w:rFonts w:ascii="Palatino Linotype" w:eastAsia="Palatino Linotype" w:hAnsi="Palatino Linotype" w:cs="Palatino Linotype"/>
          <w:i/>
          <w:sz w:val="20"/>
          <w:szCs w:val="20"/>
        </w:rPr>
      </w:pPr>
      <w:r w:rsidRPr="004E1F4E">
        <w:rPr>
          <w:rFonts w:ascii="Palatino Linotype" w:eastAsia="Palatino Linotype" w:hAnsi="Palatino Linotype" w:cs="Palatino Linotype"/>
          <w:i/>
          <w:sz w:val="22"/>
          <w:szCs w:val="22"/>
        </w:rPr>
        <w:t xml:space="preserve"> La Dirección podrá recibir, integrar, evaluar y, en su caso, expedir las autorizaciones, licencias, permisos y/o registros de carácter municipal, así como aquellos que son atribución de la Secretaría del Medio Ambiente del Gobierno del Estado de México y que por los instrumentos legales le hayan sido legalmente delegados al municipio.</w:t>
      </w:r>
    </w:p>
    <w:p w14:paraId="208F41A7"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32D66B27"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Dicho esto, se considera que, los agravios hechos valer por la parte Recurrente en su medio de impugnación devienen </w:t>
      </w:r>
      <w:r w:rsidRPr="004E1F4E">
        <w:rPr>
          <w:rFonts w:ascii="Palatino Linotype" w:eastAsia="Palatino Linotype" w:hAnsi="Palatino Linotype" w:cs="Palatino Linotype"/>
          <w:b/>
          <w:sz w:val="22"/>
          <w:szCs w:val="22"/>
        </w:rPr>
        <w:t xml:space="preserve">FUNDADOS </w:t>
      </w:r>
      <w:r w:rsidRPr="004E1F4E">
        <w:rPr>
          <w:rFonts w:ascii="Palatino Linotype" w:eastAsia="Palatino Linotype" w:hAnsi="Palatino Linotype" w:cs="Palatino Linotype"/>
          <w:sz w:val="22"/>
          <w:szCs w:val="22"/>
        </w:rPr>
        <w:t xml:space="preserve">por lo que, se determina </w:t>
      </w:r>
      <w:r w:rsidRPr="004E1F4E">
        <w:rPr>
          <w:rFonts w:ascii="Palatino Linotype" w:eastAsia="Palatino Linotype" w:hAnsi="Palatino Linotype" w:cs="Palatino Linotype"/>
          <w:b/>
          <w:sz w:val="22"/>
          <w:szCs w:val="22"/>
        </w:rPr>
        <w:t>ORDENAR</w:t>
      </w:r>
      <w:r w:rsidRPr="004E1F4E">
        <w:rPr>
          <w:rFonts w:ascii="Palatino Linotype" w:eastAsia="Palatino Linotype" w:hAnsi="Palatino Linotype" w:cs="Palatino Linotype"/>
          <w:sz w:val="22"/>
          <w:szCs w:val="22"/>
        </w:rPr>
        <w:t xml:space="preserve">, vía Sistema de Acceso a la Información Mexiquense, previa búsqueda exhaustiva y razonable, de ser el caso, en versión pública, lo siguiente: </w:t>
      </w:r>
    </w:p>
    <w:p w14:paraId="66D97595"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3F80BABB" w14:textId="77777777" w:rsidR="00B41F13" w:rsidRPr="004E1F4E" w:rsidRDefault="00771C34">
      <w:pPr>
        <w:spacing w:line="360" w:lineRule="auto"/>
        <w:ind w:left="567" w:right="560"/>
        <w:jc w:val="both"/>
        <w:rPr>
          <w:rFonts w:ascii="Palatino Linotype" w:eastAsia="Palatino Linotype" w:hAnsi="Palatino Linotype" w:cs="Palatino Linotype"/>
          <w:b/>
          <w:sz w:val="22"/>
          <w:szCs w:val="22"/>
        </w:rPr>
      </w:pPr>
      <w:r w:rsidRPr="004E1F4E">
        <w:rPr>
          <w:rFonts w:ascii="Palatino Linotype" w:eastAsia="Palatino Linotype" w:hAnsi="Palatino Linotype" w:cs="Palatino Linotype"/>
          <w:b/>
          <w:sz w:val="22"/>
          <w:szCs w:val="22"/>
        </w:rPr>
        <w:t>Del Consejo Municipal de Protección al Ambiente del 1 enero al 31 de diciembre de 2018:</w:t>
      </w:r>
    </w:p>
    <w:p w14:paraId="48887D76" w14:textId="77777777" w:rsidR="00B41F13" w:rsidRPr="004E1F4E" w:rsidRDefault="00B41F13">
      <w:pPr>
        <w:spacing w:line="360" w:lineRule="auto"/>
        <w:ind w:left="567" w:right="560"/>
        <w:jc w:val="both"/>
        <w:rPr>
          <w:rFonts w:ascii="Palatino Linotype" w:eastAsia="Palatino Linotype" w:hAnsi="Palatino Linotype" w:cs="Palatino Linotype"/>
          <w:sz w:val="22"/>
          <w:szCs w:val="22"/>
        </w:rPr>
      </w:pPr>
    </w:p>
    <w:p w14:paraId="3741F66D" w14:textId="77777777" w:rsidR="00B41F13" w:rsidRPr="004E1F4E" w:rsidRDefault="00771C34">
      <w:pPr>
        <w:spacing w:line="360" w:lineRule="auto"/>
        <w:ind w:left="567" w:right="560"/>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1.- Orden del día de las sesiones y reuniones realizadas.</w:t>
      </w:r>
    </w:p>
    <w:p w14:paraId="78979646" w14:textId="77777777" w:rsidR="00B41F13" w:rsidRPr="004E1F4E" w:rsidRDefault="00771C34">
      <w:pPr>
        <w:spacing w:line="360" w:lineRule="auto"/>
        <w:ind w:left="567" w:right="560"/>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2.- Listas de asistencia de las sesiones y reuniones realizadas. </w:t>
      </w:r>
    </w:p>
    <w:p w14:paraId="6A6D0419" w14:textId="77777777" w:rsidR="00B41F13" w:rsidRPr="004E1F4E" w:rsidRDefault="00771C34">
      <w:pPr>
        <w:spacing w:line="360" w:lineRule="auto"/>
        <w:ind w:left="567" w:right="560"/>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3.- Actas o minutas de las sesiones y reuniones realizadas.</w:t>
      </w:r>
    </w:p>
    <w:p w14:paraId="734318E8" w14:textId="77777777" w:rsidR="00B41F13" w:rsidRPr="004E1F4E" w:rsidRDefault="00771C34">
      <w:pPr>
        <w:spacing w:line="360" w:lineRule="auto"/>
        <w:ind w:left="567" w:right="560"/>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4.- Documentos de planeación operativa elaborados (programas, planes, metodologías, cronogramas o similares).</w:t>
      </w:r>
    </w:p>
    <w:p w14:paraId="701F76B6" w14:textId="77777777" w:rsidR="00B41F13" w:rsidRPr="004E1F4E" w:rsidRDefault="00B41F13">
      <w:pPr>
        <w:spacing w:line="360" w:lineRule="auto"/>
        <w:ind w:right="560"/>
        <w:jc w:val="both"/>
        <w:rPr>
          <w:rFonts w:ascii="Palatino Linotype" w:eastAsia="Palatino Linotype" w:hAnsi="Palatino Linotype" w:cs="Palatino Linotype"/>
          <w:sz w:val="22"/>
          <w:szCs w:val="22"/>
        </w:rPr>
      </w:pPr>
    </w:p>
    <w:p w14:paraId="021A1CD5" w14:textId="77777777" w:rsidR="00B41F13" w:rsidRPr="004E1F4E" w:rsidRDefault="00771C34">
      <w:pPr>
        <w:spacing w:line="276" w:lineRule="auto"/>
        <w:ind w:left="567" w:right="615"/>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Deberá emitir el Acuerdo del Comité de Transparencia de conformidad con la Ley de Transparencia y Acceso a la Información Pública del Estado de México y Municipios, </w:t>
      </w:r>
      <w:r w:rsidRPr="004E1F4E">
        <w:rPr>
          <w:rFonts w:ascii="Palatino Linotype" w:eastAsia="Palatino Linotype" w:hAnsi="Palatino Linotype" w:cs="Palatino Linotype"/>
          <w:i/>
          <w:sz w:val="22"/>
          <w:szCs w:val="22"/>
        </w:rPr>
        <w:lastRenderedPageBreak/>
        <w:t>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3ED0BC78" w14:textId="77777777" w:rsidR="00B41F13" w:rsidRPr="004E1F4E" w:rsidRDefault="00B41F13">
      <w:pPr>
        <w:spacing w:line="276" w:lineRule="auto"/>
        <w:ind w:left="567" w:right="615"/>
        <w:jc w:val="both"/>
        <w:rPr>
          <w:rFonts w:ascii="Palatino Linotype" w:eastAsia="Palatino Linotype" w:hAnsi="Palatino Linotype" w:cs="Palatino Linotype"/>
          <w:i/>
          <w:sz w:val="22"/>
          <w:szCs w:val="22"/>
        </w:rPr>
      </w:pPr>
    </w:p>
    <w:p w14:paraId="68DB1E10" w14:textId="77777777" w:rsidR="00B41F13" w:rsidRPr="004E1F4E" w:rsidRDefault="00771C34">
      <w:pPr>
        <w:pBdr>
          <w:top w:val="nil"/>
          <w:left w:val="nil"/>
          <w:bottom w:val="nil"/>
          <w:right w:val="nil"/>
          <w:between w:val="nil"/>
        </w:pBdr>
        <w:tabs>
          <w:tab w:val="left" w:pos="567"/>
          <w:tab w:val="left" w:pos="993"/>
        </w:tabs>
        <w:spacing w:line="276" w:lineRule="auto"/>
        <w:ind w:left="567" w:right="560"/>
        <w:jc w:val="both"/>
        <w:rPr>
          <w:rFonts w:ascii="Palatino Linotype" w:eastAsia="Palatino Linotype" w:hAnsi="Palatino Linotype" w:cs="Palatino Linotype"/>
          <w:b/>
          <w:i/>
          <w:sz w:val="22"/>
          <w:szCs w:val="22"/>
        </w:rPr>
      </w:pPr>
      <w:r w:rsidRPr="004E1F4E">
        <w:rPr>
          <w:rFonts w:ascii="Palatino Linotype" w:eastAsia="Palatino Linotype" w:hAnsi="Palatino Linotype" w:cs="Palatino Linotype"/>
          <w:i/>
          <w:sz w:val="22"/>
          <w:szCs w:val="22"/>
        </w:rPr>
        <w:t xml:space="preserve">Para el caso de que la información que se ordena entregar no obre en los archivos del Sujeto Obligado, debido a que el Consejo Municipal de Protección al Ambiente no haya sido integrado, este deberá hacerlo del conocimiento del Particular en términos del artículo 19, párrafo segundo, de la Ley de Transparencia y Acceso a la Información Pública del Estado de México y Municipios, para tenerse por colmado dicho requerimiento. </w:t>
      </w:r>
    </w:p>
    <w:p w14:paraId="391D2DD2" w14:textId="77777777" w:rsidR="00B41F13" w:rsidRPr="004E1F4E" w:rsidRDefault="00B41F13">
      <w:pPr>
        <w:spacing w:line="360" w:lineRule="auto"/>
        <w:ind w:right="560"/>
        <w:jc w:val="both"/>
        <w:rPr>
          <w:rFonts w:ascii="Palatino Linotype" w:eastAsia="Palatino Linotype" w:hAnsi="Palatino Linotype" w:cs="Palatino Linotype"/>
          <w:sz w:val="22"/>
          <w:szCs w:val="22"/>
        </w:rPr>
      </w:pPr>
    </w:p>
    <w:p w14:paraId="2F739B3F"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Por otro lado, es de señalar que, como ya se mencionó </w:t>
      </w:r>
      <w:r w:rsidRPr="004E1F4E">
        <w:rPr>
          <w:rFonts w:ascii="Palatino Linotype" w:eastAsia="Palatino Linotype" w:hAnsi="Palatino Linotype" w:cs="Palatino Linotype"/>
          <w:b/>
          <w:sz w:val="22"/>
          <w:szCs w:val="22"/>
        </w:rPr>
        <w:t>el Sujeto Obligado,</w:t>
      </w:r>
      <w:r w:rsidRPr="004E1F4E">
        <w:rPr>
          <w:rFonts w:ascii="Palatino Linotype" w:eastAsia="Palatino Linotype" w:hAnsi="Palatino Linotype" w:cs="Palatino Linotype"/>
          <w:sz w:val="22"/>
          <w:szCs w:val="22"/>
        </w:rPr>
        <w:t xml:space="preserve"> </w:t>
      </w:r>
      <w:r w:rsidRPr="004E1F4E">
        <w:rPr>
          <w:rFonts w:ascii="Palatino Linotype" w:eastAsia="Palatino Linotype" w:hAnsi="Palatino Linotype" w:cs="Palatino Linotype"/>
          <w:sz w:val="22"/>
          <w:szCs w:val="22"/>
          <w:u w:val="single"/>
        </w:rPr>
        <w:t>omitió proporcionar la respuesta a la solicitud de acceso a la información pública,</w:t>
      </w:r>
      <w:r w:rsidRPr="004E1F4E">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4E1F4E">
        <w:rPr>
          <w:rFonts w:ascii="Palatino Linotype" w:eastAsia="Palatino Linotype" w:hAnsi="Palatino Linotype" w:cs="Palatino Linotype"/>
          <w:b/>
          <w:sz w:val="22"/>
          <w:szCs w:val="22"/>
        </w:rPr>
        <w:t xml:space="preserve">ORDENA </w:t>
      </w:r>
      <w:r w:rsidRPr="004E1F4E">
        <w:rPr>
          <w:rFonts w:ascii="Palatino Linotype" w:eastAsia="Palatino Linotype" w:hAnsi="Palatino Linotype" w:cs="Palatino Linotype"/>
          <w:sz w:val="22"/>
          <w:szCs w:val="22"/>
        </w:rPr>
        <w:t xml:space="preserve">dar vista a la </w:t>
      </w:r>
      <w:r w:rsidRPr="004E1F4E">
        <w:rPr>
          <w:rFonts w:ascii="Palatino Linotype" w:eastAsia="Palatino Linotype" w:hAnsi="Palatino Linotype" w:cs="Palatino Linotype"/>
          <w:b/>
          <w:sz w:val="22"/>
          <w:szCs w:val="22"/>
        </w:rPr>
        <w:t>Secretaría Técnica del Pleno</w:t>
      </w:r>
      <w:r w:rsidRPr="004E1F4E">
        <w:rPr>
          <w:rFonts w:ascii="Palatino Linotype" w:eastAsia="Palatino Linotype" w:hAnsi="Palatino Linotype" w:cs="Palatino Linotype"/>
          <w:sz w:val="22"/>
          <w:szCs w:val="22"/>
        </w:rPr>
        <w:t xml:space="preserve"> a efecto de que ejerza las atribuciones previstas en la normatividad aplicable y comunique al </w:t>
      </w:r>
      <w:r w:rsidRPr="004E1F4E">
        <w:rPr>
          <w:rFonts w:ascii="Palatino Linotype" w:eastAsia="Palatino Linotype" w:hAnsi="Palatino Linotype" w:cs="Palatino Linotype"/>
          <w:b/>
          <w:sz w:val="22"/>
          <w:szCs w:val="22"/>
        </w:rPr>
        <w:t>Órgano Interno de Control Competente</w:t>
      </w:r>
      <w:r w:rsidRPr="004E1F4E">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01177E15"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7D4C95F6"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Quinto. Versión Pública</w:t>
      </w:r>
      <w:r w:rsidRPr="004E1F4E">
        <w:rPr>
          <w:rFonts w:ascii="Palatino Linotype" w:eastAsia="Palatino Linotype" w:hAnsi="Palatino Linotype" w:cs="Palatino Linotype"/>
          <w:sz w:val="22"/>
          <w:szCs w:val="22"/>
        </w:rPr>
        <w:t xml:space="preserve">. Finalmente, para la entrega de la información que se determina ordenar, el Sujeto Obligado deberá realizar un análisis con la finalidad de 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w:t>
      </w:r>
      <w:r w:rsidRPr="004E1F4E">
        <w:rPr>
          <w:rFonts w:ascii="Palatino Linotype" w:eastAsia="Palatino Linotype" w:hAnsi="Palatino Linotype" w:cs="Palatino Linotype"/>
          <w:sz w:val="22"/>
          <w:szCs w:val="22"/>
        </w:rPr>
        <w:lastRenderedPageBreak/>
        <w:t>el derecho de acceso a la información pública del recurrente sin menoscabar el derecho a la protección de los datos personales de terceros.</w:t>
      </w:r>
    </w:p>
    <w:p w14:paraId="7E21F042"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770AFCF3" w14:textId="77777777" w:rsidR="00B41F13" w:rsidRPr="004E1F4E" w:rsidRDefault="00771C34">
      <w:pPr>
        <w:spacing w:line="360" w:lineRule="auto"/>
        <w:ind w:right="50"/>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7B96E28C" w14:textId="77777777" w:rsidR="00B41F13" w:rsidRPr="004E1F4E" w:rsidRDefault="00B41F13">
      <w:pPr>
        <w:spacing w:line="360" w:lineRule="auto"/>
        <w:ind w:right="50"/>
        <w:jc w:val="both"/>
        <w:rPr>
          <w:rFonts w:ascii="Palatino Linotype" w:eastAsia="Palatino Linotype" w:hAnsi="Palatino Linotype" w:cs="Palatino Linotype"/>
          <w:sz w:val="22"/>
          <w:szCs w:val="22"/>
        </w:rPr>
      </w:pPr>
    </w:p>
    <w:p w14:paraId="667E00D4"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r w:rsidRPr="004E1F4E">
        <w:rPr>
          <w:rFonts w:ascii="Palatino Linotype" w:eastAsia="Palatino Linotype" w:hAnsi="Palatino Linotype" w:cs="Palatino Linotype"/>
          <w:b/>
          <w:i/>
          <w:sz w:val="22"/>
          <w:szCs w:val="22"/>
        </w:rPr>
        <w:t>Artículo 3.</w:t>
      </w:r>
      <w:r w:rsidRPr="004E1F4E">
        <w:rPr>
          <w:rFonts w:ascii="Palatino Linotype" w:eastAsia="Palatino Linotype" w:hAnsi="Palatino Linotype" w:cs="Palatino Linotype"/>
          <w:i/>
          <w:sz w:val="22"/>
          <w:szCs w:val="22"/>
        </w:rPr>
        <w:t xml:space="preserve"> Para los efectos de la presente Ley se entenderá por:</w:t>
      </w:r>
    </w:p>
    <w:p w14:paraId="0AF2BB7B"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p>
    <w:p w14:paraId="1D0F17D5"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6711F80E"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XX. Información clasificada: Aquella considerada por la presente Ley como reservada o confidencial;</w:t>
      </w:r>
    </w:p>
    <w:p w14:paraId="37661B56"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3337B72"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4913B003"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p>
    <w:p w14:paraId="135436A3"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Artículo 91.</w:t>
      </w:r>
      <w:r w:rsidRPr="004E1F4E">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0C0D300"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Artículo 132.</w:t>
      </w:r>
      <w:r w:rsidRPr="004E1F4E">
        <w:rPr>
          <w:rFonts w:ascii="Palatino Linotype" w:eastAsia="Palatino Linotype" w:hAnsi="Palatino Linotype" w:cs="Palatino Linotype"/>
          <w:i/>
          <w:sz w:val="22"/>
          <w:szCs w:val="22"/>
        </w:rPr>
        <w:t xml:space="preserve"> La clasificación de la información se llevará a cabo en el momento en que:</w:t>
      </w:r>
    </w:p>
    <w:p w14:paraId="206B5AED" w14:textId="77777777" w:rsidR="00B41F13" w:rsidRPr="004E1F4E" w:rsidRDefault="00771C34">
      <w:pPr>
        <w:tabs>
          <w:tab w:val="left" w:pos="1134"/>
        </w:tabs>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I. Se reciba una solicitud de acceso a la información;</w:t>
      </w:r>
    </w:p>
    <w:p w14:paraId="518C0B37" w14:textId="77777777" w:rsidR="00B41F13" w:rsidRPr="004E1F4E" w:rsidRDefault="00771C34">
      <w:pPr>
        <w:tabs>
          <w:tab w:val="left" w:pos="1134"/>
        </w:tabs>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II. Se determine mediante resolución de autoridad competente; o</w:t>
      </w:r>
    </w:p>
    <w:p w14:paraId="04972403" w14:textId="77777777" w:rsidR="00B41F13" w:rsidRPr="004E1F4E" w:rsidRDefault="00771C34">
      <w:pPr>
        <w:tabs>
          <w:tab w:val="left" w:pos="1134"/>
        </w:tabs>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III. Se generen versiones públicas para dar cumplimiento a las obligaciones de transparencia previstas en esta Ley.</w:t>
      </w:r>
    </w:p>
    <w:p w14:paraId="354D3133"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p>
    <w:p w14:paraId="6D654E83"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Artículo 143</w:t>
      </w:r>
      <w:r w:rsidRPr="004E1F4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281E163"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lastRenderedPageBreak/>
        <w:t>I. Se refiera a la información privada y los datos personales concernientes a una persona física o jurídico colectiva identificada o identificable;</w:t>
      </w:r>
    </w:p>
    <w:p w14:paraId="2BB07F17"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D084CF4"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327CFDF0"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026BD1A"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9314AE9" w14:textId="77777777" w:rsidR="00B41F13" w:rsidRPr="004E1F4E" w:rsidRDefault="00B41F13">
      <w:pPr>
        <w:spacing w:line="276" w:lineRule="auto"/>
        <w:ind w:left="567" w:right="616"/>
        <w:jc w:val="both"/>
        <w:rPr>
          <w:rFonts w:ascii="Palatino Linotype" w:eastAsia="Palatino Linotype" w:hAnsi="Palatino Linotype" w:cs="Palatino Linotype"/>
          <w:i/>
          <w:sz w:val="22"/>
          <w:szCs w:val="22"/>
        </w:rPr>
      </w:pPr>
    </w:p>
    <w:p w14:paraId="2313BCE4"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7423C70" w14:textId="77777777" w:rsidR="00B41F13" w:rsidRPr="004E1F4E" w:rsidRDefault="00B41F13">
      <w:pPr>
        <w:spacing w:line="276" w:lineRule="auto"/>
        <w:jc w:val="both"/>
        <w:rPr>
          <w:rFonts w:ascii="Palatino Linotype" w:eastAsia="Palatino Linotype" w:hAnsi="Palatino Linotype" w:cs="Palatino Linotype"/>
          <w:sz w:val="22"/>
          <w:szCs w:val="22"/>
        </w:rPr>
      </w:pPr>
    </w:p>
    <w:p w14:paraId="531564B6"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76C573A7"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0FF2D032"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 “</w:t>
      </w:r>
      <w:r w:rsidRPr="004E1F4E">
        <w:rPr>
          <w:rFonts w:ascii="Palatino Linotype" w:eastAsia="Palatino Linotype" w:hAnsi="Palatino Linotype" w:cs="Palatino Linotype"/>
          <w:b/>
          <w:i/>
          <w:sz w:val="22"/>
          <w:szCs w:val="22"/>
        </w:rPr>
        <w:t>Quincuagésimo</w:t>
      </w:r>
      <w:r w:rsidRPr="004E1F4E">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w:t>
      </w:r>
      <w:r w:rsidRPr="004E1F4E">
        <w:rPr>
          <w:rFonts w:ascii="Palatino Linotype" w:eastAsia="Palatino Linotype" w:hAnsi="Palatino Linotype" w:cs="Palatino Linotype"/>
          <w:i/>
          <w:sz w:val="22"/>
          <w:szCs w:val="22"/>
        </w:rPr>
        <w:lastRenderedPageBreak/>
        <w:t xml:space="preserve">o expedientes, siempre y cuando cumplan lo establecido en los presentes Lineamientos, así como en las correspondientes Leyes Generales. </w:t>
      </w:r>
    </w:p>
    <w:p w14:paraId="7129D1D2"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Quincuagésimo primero.</w:t>
      </w:r>
      <w:r w:rsidRPr="004E1F4E">
        <w:rPr>
          <w:rFonts w:ascii="Palatino Linotype" w:eastAsia="Palatino Linotype" w:hAnsi="Palatino Linotype" w:cs="Palatino Linotype"/>
          <w:i/>
          <w:sz w:val="22"/>
          <w:szCs w:val="22"/>
        </w:rPr>
        <w:t xml:space="preserve"> Toda acta del Comité de Transparencia deberá contener: </w:t>
      </w:r>
    </w:p>
    <w:p w14:paraId="6C636650"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 El número de sesión y fecha; </w:t>
      </w:r>
    </w:p>
    <w:p w14:paraId="3C59032C"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II. El nombre del área que solicitó la clasificación de información; </w:t>
      </w:r>
    </w:p>
    <w:p w14:paraId="3DDB8F6B"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III. La fundamentación legal y motivación correspondiente; </w:t>
      </w:r>
    </w:p>
    <w:p w14:paraId="2B19CCF2"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IV. La resolución o resoluciones aprobadas; y </w:t>
      </w:r>
    </w:p>
    <w:p w14:paraId="17D827EC"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V. La rúbrica o firma digital de cada integrante del Comité de Transparencia. </w:t>
      </w:r>
    </w:p>
    <w:p w14:paraId="5A805190"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7C5F06F"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I. Los motivos y razonamientos que sustenten la confirmación o modificación de la prueba de daño;</w:t>
      </w:r>
    </w:p>
    <w:p w14:paraId="4FA5941C"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II. Descripción de las partes o secciones reservadas, en caso de clasificación parcial; </w:t>
      </w:r>
    </w:p>
    <w:p w14:paraId="1E2FE272"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III. El periodo por el que mantendrá su clasificación y fecha de expiración; y </w:t>
      </w:r>
    </w:p>
    <w:p w14:paraId="2E0EF4F3"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0ED7D756"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96CB58B"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A7D4AEC"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Quincuagésimo segundo.</w:t>
      </w:r>
      <w:r w:rsidRPr="004E1F4E">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3B006C5"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33006E89"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329D55BD"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58EEF093"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III. Señalar las personas o instancias autorizadas a acceder a la información clasificada.</w:t>
      </w:r>
    </w:p>
    <w:p w14:paraId="61902B17"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72D1FC93" w14:textId="77777777" w:rsidR="00B41F13" w:rsidRPr="004E1F4E" w:rsidRDefault="00B41F13">
      <w:pPr>
        <w:spacing w:line="276" w:lineRule="auto"/>
        <w:ind w:left="567" w:right="616"/>
        <w:jc w:val="both"/>
        <w:rPr>
          <w:rFonts w:ascii="Palatino Linotype" w:eastAsia="Palatino Linotype" w:hAnsi="Palatino Linotype" w:cs="Palatino Linotype"/>
          <w:i/>
          <w:sz w:val="22"/>
          <w:szCs w:val="22"/>
        </w:rPr>
      </w:pPr>
    </w:p>
    <w:p w14:paraId="7CD390D4" w14:textId="77777777" w:rsidR="00B41F13" w:rsidRPr="004E1F4E" w:rsidRDefault="00771C34">
      <w:pPr>
        <w:spacing w:line="360" w:lineRule="auto"/>
        <w:ind w:right="50"/>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Asimismo, se deberá observar el Lineamiento Quincuagésimo tercero de los Lineamientos Generales en Materia de Clasificación y Desclasificación de la Información </w:t>
      </w:r>
      <w:proofErr w:type="spellStart"/>
      <w:r w:rsidRPr="004E1F4E">
        <w:rPr>
          <w:rFonts w:ascii="Palatino Linotype" w:eastAsia="Palatino Linotype" w:hAnsi="Palatino Linotype" w:cs="Palatino Linotype"/>
          <w:sz w:val="22"/>
          <w:szCs w:val="22"/>
        </w:rPr>
        <w:t>supraindicados</w:t>
      </w:r>
      <w:proofErr w:type="spellEnd"/>
      <w:r w:rsidRPr="004E1F4E">
        <w:rPr>
          <w:rFonts w:ascii="Palatino Linotype" w:eastAsia="Palatino Linotype" w:hAnsi="Palatino Linotype" w:cs="Palatino Linotype"/>
          <w:sz w:val="22"/>
          <w:szCs w:val="22"/>
        </w:rPr>
        <w:t xml:space="preserve"> el cual establece los formatos para la clasificación de los documentos, conforme a lo siguiente: </w:t>
      </w:r>
    </w:p>
    <w:p w14:paraId="5B6817EA" w14:textId="77777777" w:rsidR="00B41F13" w:rsidRPr="004E1F4E" w:rsidRDefault="00771C34">
      <w:pPr>
        <w:ind w:left="851" w:right="900"/>
        <w:jc w:val="center"/>
        <w:rPr>
          <w:rFonts w:ascii="Palatino Linotype" w:eastAsia="Palatino Linotype" w:hAnsi="Palatino Linotype" w:cs="Palatino Linotype"/>
          <w:b/>
          <w:i/>
          <w:sz w:val="22"/>
          <w:szCs w:val="22"/>
        </w:rPr>
      </w:pPr>
      <w:r w:rsidRPr="004E1F4E">
        <w:rPr>
          <w:rFonts w:ascii="Palatino Linotype" w:eastAsia="Palatino Linotype" w:hAnsi="Palatino Linotype" w:cs="Palatino Linotype"/>
          <w:b/>
          <w:i/>
          <w:sz w:val="22"/>
          <w:szCs w:val="22"/>
        </w:rPr>
        <w:t>CAPÍTULO VIII</w:t>
      </w:r>
    </w:p>
    <w:p w14:paraId="436A526F" w14:textId="77777777" w:rsidR="00B41F13" w:rsidRPr="004E1F4E" w:rsidRDefault="00771C34">
      <w:pPr>
        <w:ind w:left="851" w:right="900"/>
        <w:jc w:val="center"/>
        <w:rPr>
          <w:rFonts w:ascii="Palatino Linotype" w:eastAsia="Palatino Linotype" w:hAnsi="Palatino Linotype" w:cs="Palatino Linotype"/>
          <w:b/>
          <w:i/>
          <w:sz w:val="22"/>
          <w:szCs w:val="22"/>
        </w:rPr>
      </w:pPr>
      <w:r w:rsidRPr="004E1F4E">
        <w:rPr>
          <w:rFonts w:ascii="Palatino Linotype" w:eastAsia="Palatino Linotype" w:hAnsi="Palatino Linotype" w:cs="Palatino Linotype"/>
          <w:b/>
          <w:i/>
          <w:sz w:val="22"/>
          <w:szCs w:val="22"/>
        </w:rPr>
        <w:t xml:space="preserve">DE LOS ELEMENTOS PARA LA CLASIFICACIÓN </w:t>
      </w:r>
    </w:p>
    <w:p w14:paraId="60E951C7" w14:textId="77777777" w:rsidR="00B41F13" w:rsidRPr="004E1F4E" w:rsidRDefault="00771C34">
      <w:pPr>
        <w:ind w:left="851" w:right="902"/>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Quincuagésimo tercero. </w:t>
      </w:r>
      <w:r w:rsidRPr="004E1F4E">
        <w:rPr>
          <w:rFonts w:ascii="Palatino Linotype" w:eastAsia="Palatino Linotype" w:hAnsi="Palatino Linotype" w:cs="Palatino Linotype"/>
          <w:i/>
          <w:sz w:val="22"/>
          <w:szCs w:val="22"/>
          <w:u w:val="single"/>
        </w:rPr>
        <w:t>El formato para señalar la clasificación de un documento o expediente que contenga información reservada</w:t>
      </w:r>
      <w:r w:rsidRPr="004E1F4E">
        <w:rPr>
          <w:rFonts w:ascii="Palatino Linotype" w:eastAsia="Palatino Linotype" w:hAnsi="Palatino Linotype" w:cs="Palatino Linotype"/>
          <w:i/>
          <w:sz w:val="22"/>
          <w:szCs w:val="22"/>
        </w:rPr>
        <w:t xml:space="preserve">, es el siguiente: </w:t>
      </w:r>
    </w:p>
    <w:p w14:paraId="71F316E2" w14:textId="77777777" w:rsidR="00B41F13" w:rsidRPr="004E1F4E" w:rsidRDefault="00B41F13">
      <w:pPr>
        <w:ind w:left="851" w:right="902"/>
        <w:jc w:val="both"/>
        <w:rPr>
          <w:rFonts w:ascii="Palatino Linotype" w:eastAsia="Palatino Linotype" w:hAnsi="Palatino Linotype" w:cs="Palatino Linotype"/>
          <w:i/>
          <w:sz w:val="22"/>
          <w:szCs w:val="22"/>
        </w:rPr>
      </w:pPr>
    </w:p>
    <w:tbl>
      <w:tblPr>
        <w:tblStyle w:val="a4"/>
        <w:tblW w:w="7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3691"/>
      </w:tblGrid>
      <w:tr w:rsidR="004E1F4E" w:rsidRPr="004E1F4E" w14:paraId="154F4464" w14:textId="77777777">
        <w:trPr>
          <w:trHeight w:val="262"/>
          <w:jc w:val="center"/>
        </w:trPr>
        <w:tc>
          <w:tcPr>
            <w:tcW w:w="1271" w:type="dxa"/>
            <w:tcBorders>
              <w:top w:val="nil"/>
              <w:left w:val="nil"/>
            </w:tcBorders>
          </w:tcPr>
          <w:p w14:paraId="15C1C2E8" w14:textId="77777777" w:rsidR="00B41F13" w:rsidRPr="004E1F4E" w:rsidRDefault="00B41F13">
            <w:pPr>
              <w:rPr>
                <w:rFonts w:ascii="Palatino Linotype" w:eastAsia="Palatino Linotype" w:hAnsi="Palatino Linotype" w:cs="Palatino Linotype"/>
                <w:sz w:val="20"/>
                <w:szCs w:val="20"/>
              </w:rPr>
            </w:pPr>
          </w:p>
        </w:tc>
        <w:tc>
          <w:tcPr>
            <w:tcW w:w="2693" w:type="dxa"/>
            <w:shd w:val="clear" w:color="auto" w:fill="D9D9D9"/>
          </w:tcPr>
          <w:p w14:paraId="455EF9D9" w14:textId="77777777" w:rsidR="00B41F13" w:rsidRPr="004E1F4E" w:rsidRDefault="00771C34">
            <w:pPr>
              <w:tabs>
                <w:tab w:val="center" w:pos="1238"/>
                <w:tab w:val="right" w:pos="2477"/>
              </w:tabs>
              <w:rPr>
                <w:rFonts w:ascii="Palatino Linotype" w:eastAsia="Palatino Linotype" w:hAnsi="Palatino Linotype" w:cs="Palatino Linotype"/>
                <w:b/>
                <w:sz w:val="20"/>
                <w:szCs w:val="20"/>
              </w:rPr>
            </w:pPr>
            <w:r w:rsidRPr="004E1F4E">
              <w:rPr>
                <w:rFonts w:ascii="Palatino Linotype" w:eastAsia="Palatino Linotype" w:hAnsi="Palatino Linotype" w:cs="Palatino Linotype"/>
                <w:b/>
                <w:sz w:val="20"/>
                <w:szCs w:val="20"/>
              </w:rPr>
              <w:tab/>
              <w:t>Concepto</w:t>
            </w:r>
            <w:r w:rsidRPr="004E1F4E">
              <w:rPr>
                <w:rFonts w:ascii="Palatino Linotype" w:eastAsia="Palatino Linotype" w:hAnsi="Palatino Linotype" w:cs="Palatino Linotype"/>
                <w:b/>
                <w:sz w:val="20"/>
                <w:szCs w:val="20"/>
              </w:rPr>
              <w:tab/>
            </w:r>
          </w:p>
        </w:tc>
        <w:tc>
          <w:tcPr>
            <w:tcW w:w="3691" w:type="dxa"/>
            <w:shd w:val="clear" w:color="auto" w:fill="D9D9D9"/>
          </w:tcPr>
          <w:p w14:paraId="67A3E32E" w14:textId="77777777" w:rsidR="00B41F13" w:rsidRPr="004E1F4E" w:rsidRDefault="00771C34">
            <w:pPr>
              <w:jc w:val="center"/>
              <w:rPr>
                <w:rFonts w:ascii="Palatino Linotype" w:eastAsia="Palatino Linotype" w:hAnsi="Palatino Linotype" w:cs="Palatino Linotype"/>
                <w:b/>
                <w:sz w:val="20"/>
                <w:szCs w:val="20"/>
              </w:rPr>
            </w:pPr>
            <w:r w:rsidRPr="004E1F4E">
              <w:rPr>
                <w:rFonts w:ascii="Palatino Linotype" w:eastAsia="Palatino Linotype" w:hAnsi="Palatino Linotype" w:cs="Palatino Linotype"/>
                <w:b/>
                <w:sz w:val="20"/>
                <w:szCs w:val="20"/>
              </w:rPr>
              <w:t>Dónde</w:t>
            </w:r>
          </w:p>
        </w:tc>
      </w:tr>
      <w:tr w:rsidR="004E1F4E" w:rsidRPr="004E1F4E" w14:paraId="69109CAE" w14:textId="77777777">
        <w:trPr>
          <w:jc w:val="center"/>
        </w:trPr>
        <w:tc>
          <w:tcPr>
            <w:tcW w:w="1271" w:type="dxa"/>
            <w:vMerge w:val="restart"/>
            <w:shd w:val="clear" w:color="auto" w:fill="D9D9D9"/>
          </w:tcPr>
          <w:p w14:paraId="1CFF5A4A" w14:textId="77777777" w:rsidR="00B41F13" w:rsidRPr="004E1F4E" w:rsidRDefault="00B41F13">
            <w:pPr>
              <w:jc w:val="both"/>
              <w:rPr>
                <w:rFonts w:ascii="Palatino Linotype" w:eastAsia="Palatino Linotype" w:hAnsi="Palatino Linotype" w:cs="Palatino Linotype"/>
                <w:b/>
                <w:sz w:val="20"/>
                <w:szCs w:val="20"/>
              </w:rPr>
            </w:pPr>
          </w:p>
          <w:p w14:paraId="0B3797F0" w14:textId="77777777" w:rsidR="00B41F13" w:rsidRPr="004E1F4E" w:rsidRDefault="00B41F13">
            <w:pPr>
              <w:jc w:val="both"/>
              <w:rPr>
                <w:rFonts w:ascii="Palatino Linotype" w:eastAsia="Palatino Linotype" w:hAnsi="Palatino Linotype" w:cs="Palatino Linotype"/>
                <w:b/>
                <w:sz w:val="20"/>
                <w:szCs w:val="20"/>
              </w:rPr>
            </w:pPr>
          </w:p>
          <w:p w14:paraId="6ECC7780" w14:textId="77777777" w:rsidR="00B41F13" w:rsidRPr="004E1F4E" w:rsidRDefault="00B41F13">
            <w:pPr>
              <w:jc w:val="both"/>
              <w:rPr>
                <w:rFonts w:ascii="Palatino Linotype" w:eastAsia="Palatino Linotype" w:hAnsi="Palatino Linotype" w:cs="Palatino Linotype"/>
                <w:b/>
                <w:sz w:val="20"/>
                <w:szCs w:val="20"/>
              </w:rPr>
            </w:pPr>
          </w:p>
          <w:p w14:paraId="351154E0" w14:textId="77777777" w:rsidR="00B41F13" w:rsidRPr="004E1F4E" w:rsidRDefault="00B41F13">
            <w:pPr>
              <w:jc w:val="both"/>
              <w:rPr>
                <w:rFonts w:ascii="Palatino Linotype" w:eastAsia="Palatino Linotype" w:hAnsi="Palatino Linotype" w:cs="Palatino Linotype"/>
                <w:b/>
                <w:sz w:val="20"/>
                <w:szCs w:val="20"/>
              </w:rPr>
            </w:pPr>
          </w:p>
          <w:p w14:paraId="74F1D416" w14:textId="77777777" w:rsidR="00B41F13" w:rsidRPr="004E1F4E" w:rsidRDefault="00B41F13">
            <w:pPr>
              <w:jc w:val="both"/>
              <w:rPr>
                <w:rFonts w:ascii="Palatino Linotype" w:eastAsia="Palatino Linotype" w:hAnsi="Palatino Linotype" w:cs="Palatino Linotype"/>
                <w:b/>
                <w:sz w:val="20"/>
                <w:szCs w:val="20"/>
              </w:rPr>
            </w:pPr>
          </w:p>
          <w:p w14:paraId="7C625177" w14:textId="77777777" w:rsidR="00B41F13" w:rsidRPr="004E1F4E" w:rsidRDefault="00B41F13">
            <w:pPr>
              <w:jc w:val="both"/>
              <w:rPr>
                <w:rFonts w:ascii="Palatino Linotype" w:eastAsia="Palatino Linotype" w:hAnsi="Palatino Linotype" w:cs="Palatino Linotype"/>
                <w:b/>
                <w:sz w:val="20"/>
                <w:szCs w:val="20"/>
              </w:rPr>
            </w:pPr>
          </w:p>
          <w:p w14:paraId="62DC3DA3" w14:textId="77777777" w:rsidR="00B41F13" w:rsidRPr="004E1F4E" w:rsidRDefault="00771C34">
            <w:pPr>
              <w:jc w:val="both"/>
              <w:rPr>
                <w:rFonts w:ascii="Palatino Linotype" w:eastAsia="Palatino Linotype" w:hAnsi="Palatino Linotype" w:cs="Palatino Linotype"/>
                <w:b/>
                <w:sz w:val="20"/>
                <w:szCs w:val="20"/>
              </w:rPr>
            </w:pPr>
            <w:r w:rsidRPr="004E1F4E">
              <w:rPr>
                <w:rFonts w:ascii="Palatino Linotype" w:eastAsia="Palatino Linotype" w:hAnsi="Palatino Linotype" w:cs="Palatino Linotype"/>
                <w:b/>
                <w:sz w:val="20"/>
                <w:szCs w:val="20"/>
              </w:rPr>
              <w:t xml:space="preserve">Sello oficial o logotipo del sujeto obligado </w:t>
            </w:r>
          </w:p>
        </w:tc>
        <w:tc>
          <w:tcPr>
            <w:tcW w:w="2693" w:type="dxa"/>
          </w:tcPr>
          <w:p w14:paraId="36357659" w14:textId="77777777" w:rsidR="00B41F13" w:rsidRPr="004E1F4E" w:rsidRDefault="00771C34">
            <w:pPr>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Fecha de clasificación</w:t>
            </w:r>
          </w:p>
        </w:tc>
        <w:tc>
          <w:tcPr>
            <w:tcW w:w="3691" w:type="dxa"/>
          </w:tcPr>
          <w:p w14:paraId="3C0A0FE5" w14:textId="77777777" w:rsidR="00B41F13" w:rsidRPr="004E1F4E" w:rsidRDefault="00771C34">
            <w:pPr>
              <w:jc w:val="both"/>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 xml:space="preserve">Se anotará la fecha en la que el Comité de Transparencia confirmó la clasificación del documento o expediente, en su caso. </w:t>
            </w:r>
          </w:p>
        </w:tc>
      </w:tr>
      <w:tr w:rsidR="004E1F4E" w:rsidRPr="004E1F4E" w14:paraId="242B6697" w14:textId="77777777">
        <w:trPr>
          <w:jc w:val="center"/>
        </w:trPr>
        <w:tc>
          <w:tcPr>
            <w:tcW w:w="1271" w:type="dxa"/>
            <w:vMerge/>
            <w:shd w:val="clear" w:color="auto" w:fill="D9D9D9"/>
          </w:tcPr>
          <w:p w14:paraId="3D57ACE8" w14:textId="77777777" w:rsidR="00B41F13" w:rsidRPr="004E1F4E" w:rsidRDefault="00B41F1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6791171F" w14:textId="77777777" w:rsidR="00B41F13" w:rsidRPr="004E1F4E" w:rsidRDefault="00771C34">
            <w:pPr>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 xml:space="preserve">Área </w:t>
            </w:r>
          </w:p>
        </w:tc>
        <w:tc>
          <w:tcPr>
            <w:tcW w:w="3691" w:type="dxa"/>
          </w:tcPr>
          <w:p w14:paraId="4430EE1B" w14:textId="77777777" w:rsidR="00B41F13" w:rsidRPr="004E1F4E" w:rsidRDefault="00771C34">
            <w:pPr>
              <w:jc w:val="both"/>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 xml:space="preserve">Se señalará el nombre del área del cual es titular quien clasifica. </w:t>
            </w:r>
          </w:p>
        </w:tc>
      </w:tr>
      <w:tr w:rsidR="004E1F4E" w:rsidRPr="004E1F4E" w14:paraId="3914BF18" w14:textId="77777777">
        <w:trPr>
          <w:jc w:val="center"/>
        </w:trPr>
        <w:tc>
          <w:tcPr>
            <w:tcW w:w="1271" w:type="dxa"/>
            <w:vMerge/>
            <w:shd w:val="clear" w:color="auto" w:fill="D9D9D9"/>
          </w:tcPr>
          <w:p w14:paraId="300B6E19" w14:textId="77777777" w:rsidR="00B41F13" w:rsidRPr="004E1F4E" w:rsidRDefault="00B41F1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418B743F" w14:textId="77777777" w:rsidR="00B41F13" w:rsidRPr="004E1F4E" w:rsidRDefault="00771C34">
            <w:pPr>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Información Reservada</w:t>
            </w:r>
          </w:p>
        </w:tc>
        <w:tc>
          <w:tcPr>
            <w:tcW w:w="3691" w:type="dxa"/>
          </w:tcPr>
          <w:p w14:paraId="1DF77373" w14:textId="77777777" w:rsidR="00B41F13" w:rsidRPr="004E1F4E" w:rsidRDefault="00771C34">
            <w:pPr>
              <w:jc w:val="both"/>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Se indicarán las partes o páginas del documento que se clasifican como reservadas, o, en su caso, se precisará que se ha reservado el documento o expediente en su totalidad.</w:t>
            </w:r>
          </w:p>
        </w:tc>
      </w:tr>
      <w:tr w:rsidR="004E1F4E" w:rsidRPr="004E1F4E" w14:paraId="1E57662E" w14:textId="77777777">
        <w:trPr>
          <w:jc w:val="center"/>
        </w:trPr>
        <w:tc>
          <w:tcPr>
            <w:tcW w:w="1271" w:type="dxa"/>
            <w:vMerge/>
            <w:shd w:val="clear" w:color="auto" w:fill="D9D9D9"/>
          </w:tcPr>
          <w:p w14:paraId="6BF3DE06" w14:textId="77777777" w:rsidR="00B41F13" w:rsidRPr="004E1F4E" w:rsidRDefault="00B41F1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05997203" w14:textId="77777777" w:rsidR="00B41F13" w:rsidRPr="004E1F4E" w:rsidRDefault="00771C34">
            <w:pPr>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 xml:space="preserve">Periodo de Reserva </w:t>
            </w:r>
          </w:p>
        </w:tc>
        <w:tc>
          <w:tcPr>
            <w:tcW w:w="3691" w:type="dxa"/>
          </w:tcPr>
          <w:p w14:paraId="6AB78ADE" w14:textId="77777777" w:rsidR="00B41F13" w:rsidRPr="004E1F4E" w:rsidRDefault="00771C34">
            <w:pPr>
              <w:jc w:val="both"/>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 xml:space="preserve">Se anotará el número de años o meses por los que se mantendrá reservado el documento, el expediente o, en su caso, las partes o secciones reservadas. </w:t>
            </w:r>
          </w:p>
        </w:tc>
      </w:tr>
      <w:tr w:rsidR="004E1F4E" w:rsidRPr="004E1F4E" w14:paraId="0CA96A5B" w14:textId="77777777">
        <w:trPr>
          <w:jc w:val="center"/>
        </w:trPr>
        <w:tc>
          <w:tcPr>
            <w:tcW w:w="1271" w:type="dxa"/>
            <w:vMerge/>
            <w:shd w:val="clear" w:color="auto" w:fill="D9D9D9"/>
          </w:tcPr>
          <w:p w14:paraId="19F7AC09" w14:textId="77777777" w:rsidR="00B41F13" w:rsidRPr="004E1F4E" w:rsidRDefault="00B41F1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4D8F8705" w14:textId="77777777" w:rsidR="00B41F13" w:rsidRPr="004E1F4E" w:rsidRDefault="00771C34">
            <w:pPr>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Fundamento legal</w:t>
            </w:r>
          </w:p>
        </w:tc>
        <w:tc>
          <w:tcPr>
            <w:tcW w:w="3691" w:type="dxa"/>
          </w:tcPr>
          <w:p w14:paraId="163BBC09" w14:textId="77777777" w:rsidR="00B41F13" w:rsidRPr="004E1F4E" w:rsidRDefault="00771C34">
            <w:pPr>
              <w:jc w:val="both"/>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 xml:space="preserve">Se señalará el nombre del ordenamiento el o los artículos, fracciones, párrafos con base en los cuales se sustente la reserva. </w:t>
            </w:r>
          </w:p>
        </w:tc>
      </w:tr>
      <w:tr w:rsidR="004E1F4E" w:rsidRPr="004E1F4E" w14:paraId="0E504F6C" w14:textId="77777777">
        <w:trPr>
          <w:jc w:val="center"/>
        </w:trPr>
        <w:tc>
          <w:tcPr>
            <w:tcW w:w="1271" w:type="dxa"/>
            <w:vMerge/>
            <w:shd w:val="clear" w:color="auto" w:fill="D9D9D9"/>
          </w:tcPr>
          <w:p w14:paraId="5A61EAAA" w14:textId="77777777" w:rsidR="00B41F13" w:rsidRPr="004E1F4E" w:rsidRDefault="00B41F1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693" w:type="dxa"/>
          </w:tcPr>
          <w:p w14:paraId="79747224" w14:textId="77777777" w:rsidR="00B41F13" w:rsidRPr="004E1F4E" w:rsidRDefault="00771C34">
            <w:pPr>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Ampliación del periodo de reserva</w:t>
            </w:r>
          </w:p>
        </w:tc>
        <w:tc>
          <w:tcPr>
            <w:tcW w:w="3691" w:type="dxa"/>
          </w:tcPr>
          <w:p w14:paraId="034BCEFC" w14:textId="77777777" w:rsidR="00B41F13" w:rsidRPr="004E1F4E" w:rsidRDefault="00771C34">
            <w:pPr>
              <w:jc w:val="both"/>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 xml:space="preserve">En caso de haber solicitado la ampliación del periodo de reserva originalmente establecido, se deberá anotar el número de años o meses por los que se amplía la reserva. </w:t>
            </w:r>
          </w:p>
        </w:tc>
      </w:tr>
      <w:tr w:rsidR="004E1F4E" w:rsidRPr="004E1F4E" w14:paraId="0AD9EB82" w14:textId="77777777">
        <w:trPr>
          <w:jc w:val="center"/>
        </w:trPr>
        <w:tc>
          <w:tcPr>
            <w:tcW w:w="3964" w:type="dxa"/>
            <w:gridSpan w:val="2"/>
            <w:shd w:val="clear" w:color="auto" w:fill="D9D9D9"/>
          </w:tcPr>
          <w:p w14:paraId="3A03ACB7" w14:textId="77777777" w:rsidR="00B41F13" w:rsidRPr="004E1F4E" w:rsidRDefault="00771C34">
            <w:pPr>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lastRenderedPageBreak/>
              <w:t>Rúbrica del titular del área</w:t>
            </w:r>
          </w:p>
        </w:tc>
        <w:tc>
          <w:tcPr>
            <w:tcW w:w="3691" w:type="dxa"/>
            <w:shd w:val="clear" w:color="auto" w:fill="D9D9D9"/>
          </w:tcPr>
          <w:p w14:paraId="3A05C817" w14:textId="77777777" w:rsidR="00B41F13" w:rsidRPr="004E1F4E" w:rsidRDefault="00771C34">
            <w:pPr>
              <w:jc w:val="both"/>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 xml:space="preserve">Rúbrica autógrafa o firma digital de quien clasifica. </w:t>
            </w:r>
          </w:p>
        </w:tc>
      </w:tr>
      <w:tr w:rsidR="004E1F4E" w:rsidRPr="004E1F4E" w14:paraId="71D7B90E" w14:textId="77777777">
        <w:trPr>
          <w:jc w:val="center"/>
        </w:trPr>
        <w:tc>
          <w:tcPr>
            <w:tcW w:w="3964" w:type="dxa"/>
            <w:gridSpan w:val="2"/>
            <w:shd w:val="clear" w:color="auto" w:fill="D9D9D9"/>
          </w:tcPr>
          <w:p w14:paraId="652C82D6" w14:textId="77777777" w:rsidR="00B41F13" w:rsidRPr="004E1F4E" w:rsidRDefault="00771C34">
            <w:pPr>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 xml:space="preserve">Fecha de desclasificación </w:t>
            </w:r>
          </w:p>
        </w:tc>
        <w:tc>
          <w:tcPr>
            <w:tcW w:w="3691" w:type="dxa"/>
            <w:shd w:val="clear" w:color="auto" w:fill="D9D9D9"/>
          </w:tcPr>
          <w:p w14:paraId="77A436D0" w14:textId="77777777" w:rsidR="00B41F13" w:rsidRPr="004E1F4E" w:rsidRDefault="00771C34">
            <w:pPr>
              <w:jc w:val="both"/>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 xml:space="preserve">Se anotará la fecha en que se desclasifica el documento. </w:t>
            </w:r>
          </w:p>
        </w:tc>
      </w:tr>
      <w:tr w:rsidR="004E1F4E" w:rsidRPr="004E1F4E" w14:paraId="421A4F28" w14:textId="77777777">
        <w:trPr>
          <w:jc w:val="center"/>
        </w:trPr>
        <w:tc>
          <w:tcPr>
            <w:tcW w:w="3964" w:type="dxa"/>
            <w:gridSpan w:val="2"/>
            <w:shd w:val="clear" w:color="auto" w:fill="D9D9D9"/>
          </w:tcPr>
          <w:p w14:paraId="7BE332B6" w14:textId="77777777" w:rsidR="00B41F13" w:rsidRPr="004E1F4E" w:rsidRDefault="00771C34">
            <w:pPr>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 xml:space="preserve">Rúbrica y cargo del servidor público </w:t>
            </w:r>
          </w:p>
        </w:tc>
        <w:tc>
          <w:tcPr>
            <w:tcW w:w="3691" w:type="dxa"/>
            <w:shd w:val="clear" w:color="auto" w:fill="D9D9D9"/>
          </w:tcPr>
          <w:p w14:paraId="561D6E38" w14:textId="77777777" w:rsidR="00B41F13" w:rsidRPr="004E1F4E" w:rsidRDefault="00771C34">
            <w:pPr>
              <w:jc w:val="both"/>
              <w:rPr>
                <w:rFonts w:ascii="Palatino Linotype" w:eastAsia="Palatino Linotype" w:hAnsi="Palatino Linotype" w:cs="Palatino Linotype"/>
                <w:sz w:val="20"/>
                <w:szCs w:val="20"/>
              </w:rPr>
            </w:pPr>
            <w:r w:rsidRPr="004E1F4E">
              <w:rPr>
                <w:rFonts w:ascii="Palatino Linotype" w:eastAsia="Palatino Linotype" w:hAnsi="Palatino Linotype" w:cs="Palatino Linotype"/>
                <w:sz w:val="20"/>
                <w:szCs w:val="20"/>
              </w:rPr>
              <w:t xml:space="preserve">Rúbrica autógrafa o firma digital de quien desclasifica. </w:t>
            </w:r>
          </w:p>
        </w:tc>
      </w:tr>
    </w:tbl>
    <w:p w14:paraId="065B9231" w14:textId="77777777" w:rsidR="00B41F13" w:rsidRPr="004E1F4E" w:rsidRDefault="00B41F13">
      <w:pPr>
        <w:spacing w:line="360" w:lineRule="auto"/>
        <w:ind w:right="902"/>
        <w:rPr>
          <w:rFonts w:ascii="Palatino Linotype" w:eastAsia="Palatino Linotype" w:hAnsi="Palatino Linotype" w:cs="Palatino Linotype"/>
          <w:i/>
          <w:sz w:val="22"/>
          <w:szCs w:val="22"/>
        </w:rPr>
      </w:pPr>
    </w:p>
    <w:p w14:paraId="0204216B" w14:textId="77777777" w:rsidR="00B41F13" w:rsidRPr="004E1F4E" w:rsidRDefault="00771C34">
      <w:pPr>
        <w:spacing w:line="276" w:lineRule="auto"/>
        <w:ind w:left="567" w:right="902"/>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Los documentos que integren un expediente reservado en su totalidad no deberán marcarse en lo individual.</w:t>
      </w:r>
    </w:p>
    <w:p w14:paraId="7382C183" w14:textId="77777777" w:rsidR="00B41F13" w:rsidRPr="004E1F4E" w:rsidRDefault="00771C34">
      <w:pPr>
        <w:spacing w:line="276" w:lineRule="auto"/>
        <w:ind w:left="567" w:right="902"/>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7A46AEE8"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04B0F5D8"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13D400D1"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472FFEE2" w14:textId="77777777" w:rsidR="00B41F13" w:rsidRPr="004E1F4E" w:rsidRDefault="00771C3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r w:rsidRPr="004E1F4E">
        <w:rPr>
          <w:rFonts w:ascii="Palatino Linotype" w:eastAsia="Palatino Linotype" w:hAnsi="Palatino Linotype" w:cs="Palatino Linotype"/>
          <w:b/>
          <w:i/>
          <w:sz w:val="22"/>
          <w:szCs w:val="22"/>
        </w:rPr>
        <w:t>Quincuagésimo cuarto.</w:t>
      </w:r>
      <w:r w:rsidRPr="004E1F4E">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751FD58"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Quincuagésimo quinto.</w:t>
      </w:r>
      <w:r w:rsidRPr="004E1F4E">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4E1F4E">
        <w:rPr>
          <w:rFonts w:ascii="Palatino Linotype" w:eastAsia="Palatino Linotype" w:hAnsi="Palatino Linotype" w:cs="Palatino Linotype"/>
          <w:i/>
          <w:sz w:val="22"/>
          <w:szCs w:val="22"/>
        </w:rPr>
        <w:t>testado</w:t>
      </w:r>
      <w:proofErr w:type="spellEnd"/>
      <w:r w:rsidRPr="004E1F4E">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F70D942"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w:t>
      </w:r>
    </w:p>
    <w:p w14:paraId="674B8CF8"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b/>
          <w:i/>
          <w:sz w:val="22"/>
          <w:szCs w:val="22"/>
        </w:rPr>
        <w:t>Quincuagésimo séptimo.</w:t>
      </w:r>
      <w:r w:rsidRPr="004E1F4E">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86BF7AF"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4109DC80"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lastRenderedPageBreak/>
        <w:t>II. El nombre de los integrantes de los sujetos obligados en los documentos, y sus firmas autógrafas o digitales, cuando sean utilizados en el ejercicio de las facultades conferidas para el desempeño del servicio público, y</w:t>
      </w:r>
    </w:p>
    <w:p w14:paraId="325CF1DE"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2B7A38C"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A09F9CA" w14:textId="77777777" w:rsidR="00B41F13" w:rsidRPr="004E1F4E" w:rsidRDefault="00771C34">
      <w:pPr>
        <w:spacing w:line="276" w:lineRule="auto"/>
        <w:ind w:left="567" w:right="616"/>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7BC0A29B" w14:textId="77777777" w:rsidR="00B41F13" w:rsidRPr="004E1F4E" w:rsidRDefault="00B41F13">
      <w:pPr>
        <w:spacing w:line="276" w:lineRule="auto"/>
        <w:ind w:left="567" w:right="616"/>
        <w:jc w:val="both"/>
        <w:rPr>
          <w:rFonts w:ascii="Palatino Linotype" w:eastAsia="Palatino Linotype" w:hAnsi="Palatino Linotype" w:cs="Palatino Linotype"/>
          <w:i/>
          <w:sz w:val="22"/>
          <w:szCs w:val="22"/>
        </w:rPr>
      </w:pPr>
    </w:p>
    <w:p w14:paraId="282B078D"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15CD6DCA"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04F98F64"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4E1F4E">
        <w:rPr>
          <w:rFonts w:ascii="Palatino Linotype" w:eastAsia="Palatino Linotype" w:hAnsi="Palatino Linotype" w:cs="Palatino Linotype"/>
          <w:b/>
          <w:sz w:val="22"/>
          <w:szCs w:val="22"/>
        </w:rPr>
        <w:t>RECURRENTE</w:t>
      </w:r>
      <w:r w:rsidRPr="004E1F4E">
        <w:rPr>
          <w:rFonts w:ascii="Palatino Linotype" w:eastAsia="Palatino Linotype" w:hAnsi="Palatino Linotype" w:cs="Palatino Linotype"/>
          <w:sz w:val="22"/>
          <w:szCs w:val="22"/>
        </w:rPr>
        <w:t xml:space="preserve"> dentro del recurso de revisión </w:t>
      </w:r>
      <w:r w:rsidRPr="004E1F4E">
        <w:rPr>
          <w:rFonts w:ascii="Palatino Linotype" w:eastAsia="Palatino Linotype" w:hAnsi="Palatino Linotype" w:cs="Palatino Linotype"/>
          <w:b/>
          <w:sz w:val="22"/>
          <w:szCs w:val="22"/>
        </w:rPr>
        <w:t>05109/INFOEM/IP/RR/2024</w:t>
      </w:r>
      <w:r w:rsidRPr="004E1F4E">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se </w:t>
      </w:r>
      <w:r w:rsidRPr="004E1F4E">
        <w:rPr>
          <w:rFonts w:ascii="Palatino Linotype" w:eastAsia="Palatino Linotype" w:hAnsi="Palatino Linotype" w:cs="Palatino Linotype"/>
          <w:b/>
          <w:sz w:val="22"/>
          <w:szCs w:val="22"/>
        </w:rPr>
        <w:t>ORDENA</w:t>
      </w:r>
      <w:r w:rsidRPr="004E1F4E">
        <w:rPr>
          <w:rFonts w:ascii="Palatino Linotype" w:eastAsia="Palatino Linotype" w:hAnsi="Palatino Linotype" w:cs="Palatino Linotype"/>
          <w:sz w:val="22"/>
          <w:szCs w:val="22"/>
        </w:rPr>
        <w:t xml:space="preserve"> la respuesta a la solicitud de información número </w:t>
      </w:r>
      <w:r w:rsidRPr="004E1F4E">
        <w:rPr>
          <w:rFonts w:ascii="Palatino Linotype" w:eastAsia="Palatino Linotype" w:hAnsi="Palatino Linotype" w:cs="Palatino Linotype"/>
          <w:b/>
          <w:sz w:val="22"/>
          <w:szCs w:val="22"/>
        </w:rPr>
        <w:t>00972/ECATEPEC/IP/2024.</w:t>
      </w:r>
    </w:p>
    <w:p w14:paraId="74FE9ADC" w14:textId="77777777" w:rsidR="00B41F13" w:rsidRPr="004E1F4E" w:rsidRDefault="00B41F13">
      <w:pPr>
        <w:spacing w:line="360" w:lineRule="auto"/>
        <w:ind w:right="49"/>
        <w:jc w:val="both"/>
        <w:rPr>
          <w:rFonts w:ascii="Palatino Linotype" w:eastAsia="Palatino Linotype" w:hAnsi="Palatino Linotype" w:cs="Palatino Linotype"/>
          <w:b/>
          <w:sz w:val="22"/>
          <w:szCs w:val="22"/>
        </w:rPr>
      </w:pPr>
    </w:p>
    <w:p w14:paraId="6687D837"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47E9E36"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08882422"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69DEEDC3" w14:textId="77777777" w:rsidR="00B41F13" w:rsidRPr="004E1F4E" w:rsidRDefault="00771C34">
      <w:pPr>
        <w:widowControl w:val="0"/>
        <w:spacing w:line="360" w:lineRule="auto"/>
        <w:jc w:val="center"/>
        <w:rPr>
          <w:rFonts w:ascii="Palatino Linotype" w:eastAsia="Palatino Linotype" w:hAnsi="Palatino Linotype" w:cs="Palatino Linotype"/>
          <w:b/>
          <w:sz w:val="22"/>
          <w:szCs w:val="22"/>
        </w:rPr>
      </w:pPr>
      <w:r w:rsidRPr="004E1F4E">
        <w:rPr>
          <w:rFonts w:ascii="Palatino Linotype" w:eastAsia="Palatino Linotype" w:hAnsi="Palatino Linotype" w:cs="Palatino Linotype"/>
          <w:b/>
          <w:sz w:val="22"/>
          <w:szCs w:val="22"/>
        </w:rPr>
        <w:t>III. R E S U E L V E:</w:t>
      </w:r>
    </w:p>
    <w:p w14:paraId="285441A2" w14:textId="77777777" w:rsidR="00B41F13" w:rsidRPr="004E1F4E" w:rsidRDefault="00B41F13">
      <w:pPr>
        <w:spacing w:line="360" w:lineRule="auto"/>
        <w:jc w:val="both"/>
        <w:rPr>
          <w:rFonts w:ascii="Palatino Linotype" w:eastAsia="Palatino Linotype" w:hAnsi="Palatino Linotype" w:cs="Palatino Linotype"/>
          <w:b/>
          <w:sz w:val="22"/>
          <w:szCs w:val="22"/>
          <w:u w:val="single"/>
        </w:rPr>
      </w:pPr>
    </w:p>
    <w:p w14:paraId="4366BDFE"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 xml:space="preserve">Primero. </w:t>
      </w:r>
      <w:r w:rsidRPr="004E1F4E">
        <w:rPr>
          <w:rFonts w:ascii="Palatino Linotype" w:eastAsia="Palatino Linotype" w:hAnsi="Palatino Linotype" w:cs="Palatino Linotype"/>
          <w:sz w:val="22"/>
          <w:szCs w:val="22"/>
        </w:rPr>
        <w:t>Resultan</w:t>
      </w:r>
      <w:r w:rsidRPr="004E1F4E">
        <w:rPr>
          <w:rFonts w:ascii="Palatino Linotype" w:eastAsia="Palatino Linotype" w:hAnsi="Palatino Linotype" w:cs="Palatino Linotype"/>
          <w:b/>
          <w:sz w:val="22"/>
          <w:szCs w:val="22"/>
        </w:rPr>
        <w:t xml:space="preserve"> FUNDADOS </w:t>
      </w:r>
      <w:r w:rsidRPr="004E1F4E">
        <w:rPr>
          <w:rFonts w:ascii="Palatino Linotype" w:eastAsia="Palatino Linotype" w:hAnsi="Palatino Linotype" w:cs="Palatino Linotype"/>
          <w:sz w:val="22"/>
          <w:szCs w:val="22"/>
        </w:rPr>
        <w:t xml:space="preserve">los motivos de inconformidad de la parte </w:t>
      </w:r>
      <w:r w:rsidRPr="004E1F4E">
        <w:rPr>
          <w:rFonts w:ascii="Palatino Linotype" w:eastAsia="Palatino Linotype" w:hAnsi="Palatino Linotype" w:cs="Palatino Linotype"/>
          <w:b/>
          <w:sz w:val="22"/>
          <w:szCs w:val="22"/>
        </w:rPr>
        <w:t>Recurrente</w:t>
      </w:r>
      <w:r w:rsidRPr="004E1F4E">
        <w:rPr>
          <w:rFonts w:ascii="Palatino Linotype" w:eastAsia="Palatino Linotype" w:hAnsi="Palatino Linotype" w:cs="Palatino Linotype"/>
          <w:sz w:val="22"/>
          <w:szCs w:val="22"/>
        </w:rPr>
        <w:t xml:space="preserve">, hechos valer en el Recurso de Revisión </w:t>
      </w:r>
      <w:r w:rsidRPr="004E1F4E">
        <w:rPr>
          <w:rFonts w:ascii="Palatino Linotype" w:eastAsia="Palatino Linotype" w:hAnsi="Palatino Linotype" w:cs="Palatino Linotype"/>
          <w:b/>
          <w:sz w:val="22"/>
          <w:szCs w:val="22"/>
        </w:rPr>
        <w:t>05109/INFOEM/IP/RR/2024</w:t>
      </w:r>
      <w:r w:rsidRPr="004E1F4E">
        <w:rPr>
          <w:rFonts w:ascii="Palatino Linotype" w:eastAsia="Palatino Linotype" w:hAnsi="Palatino Linotype" w:cs="Palatino Linotype"/>
          <w:sz w:val="22"/>
          <w:szCs w:val="22"/>
        </w:rPr>
        <w:t>, en términos del</w:t>
      </w:r>
      <w:r w:rsidRPr="004E1F4E">
        <w:rPr>
          <w:rFonts w:ascii="Palatino Linotype" w:eastAsia="Palatino Linotype" w:hAnsi="Palatino Linotype" w:cs="Palatino Linotype"/>
          <w:b/>
          <w:sz w:val="22"/>
          <w:szCs w:val="22"/>
        </w:rPr>
        <w:t xml:space="preserve"> Considerando</w:t>
      </w:r>
      <w:r w:rsidRPr="004E1F4E">
        <w:rPr>
          <w:rFonts w:ascii="Palatino Linotype" w:eastAsia="Palatino Linotype" w:hAnsi="Palatino Linotype" w:cs="Palatino Linotype"/>
          <w:sz w:val="22"/>
          <w:szCs w:val="22"/>
        </w:rPr>
        <w:t xml:space="preserve"> </w:t>
      </w:r>
      <w:r w:rsidRPr="004E1F4E">
        <w:rPr>
          <w:rFonts w:ascii="Palatino Linotype" w:eastAsia="Palatino Linotype" w:hAnsi="Palatino Linotype" w:cs="Palatino Linotype"/>
          <w:b/>
          <w:sz w:val="22"/>
          <w:szCs w:val="22"/>
        </w:rPr>
        <w:t>Cuarto</w:t>
      </w:r>
      <w:r w:rsidRPr="004E1F4E">
        <w:rPr>
          <w:rFonts w:ascii="Palatino Linotype" w:eastAsia="Palatino Linotype" w:hAnsi="Palatino Linotype" w:cs="Palatino Linotype"/>
          <w:sz w:val="22"/>
          <w:szCs w:val="22"/>
        </w:rPr>
        <w:t xml:space="preserve"> de la presente resolución.</w:t>
      </w:r>
    </w:p>
    <w:p w14:paraId="57938074" w14:textId="77777777" w:rsidR="00B41F13" w:rsidRPr="004E1F4E" w:rsidRDefault="00B41F13">
      <w:pPr>
        <w:spacing w:line="360" w:lineRule="auto"/>
        <w:jc w:val="both"/>
        <w:rPr>
          <w:rFonts w:ascii="Palatino Linotype" w:eastAsia="Palatino Linotype" w:hAnsi="Palatino Linotype" w:cs="Palatino Linotype"/>
          <w:sz w:val="22"/>
          <w:szCs w:val="22"/>
        </w:rPr>
      </w:pPr>
    </w:p>
    <w:p w14:paraId="50B3D169" w14:textId="77777777" w:rsidR="00B41F13" w:rsidRPr="004E1F4E" w:rsidRDefault="00771C3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5" w:name="_heading=h.44sinio" w:colFirst="0" w:colLast="0"/>
      <w:bookmarkEnd w:id="5"/>
      <w:r w:rsidRPr="004E1F4E">
        <w:rPr>
          <w:rFonts w:ascii="Palatino Linotype" w:eastAsia="Palatino Linotype" w:hAnsi="Palatino Linotype" w:cs="Palatino Linotype"/>
          <w:b/>
          <w:sz w:val="22"/>
          <w:szCs w:val="22"/>
        </w:rPr>
        <w:t xml:space="preserve">Segundo. </w:t>
      </w:r>
      <w:r w:rsidRPr="004E1F4E">
        <w:rPr>
          <w:rFonts w:ascii="Palatino Linotype" w:eastAsia="Palatino Linotype" w:hAnsi="Palatino Linotype" w:cs="Palatino Linotype"/>
          <w:sz w:val="22"/>
          <w:szCs w:val="22"/>
        </w:rPr>
        <w:t>Se</w:t>
      </w:r>
      <w:r w:rsidRPr="004E1F4E">
        <w:rPr>
          <w:rFonts w:ascii="Palatino Linotype" w:eastAsia="Palatino Linotype" w:hAnsi="Palatino Linotype" w:cs="Palatino Linotype"/>
          <w:b/>
          <w:sz w:val="22"/>
          <w:szCs w:val="22"/>
        </w:rPr>
        <w:t xml:space="preserve"> ORDENA </w:t>
      </w:r>
      <w:r w:rsidRPr="004E1F4E">
        <w:rPr>
          <w:rFonts w:ascii="Palatino Linotype" w:eastAsia="Palatino Linotype" w:hAnsi="Palatino Linotype" w:cs="Palatino Linotype"/>
          <w:sz w:val="22"/>
          <w:szCs w:val="22"/>
        </w:rPr>
        <w:t xml:space="preserve">al </w:t>
      </w:r>
      <w:r w:rsidRPr="004E1F4E">
        <w:rPr>
          <w:rFonts w:ascii="Palatino Linotype" w:eastAsia="Palatino Linotype" w:hAnsi="Palatino Linotype" w:cs="Palatino Linotype"/>
          <w:b/>
          <w:sz w:val="22"/>
          <w:szCs w:val="22"/>
        </w:rPr>
        <w:t>SUJETO OBLIGADO</w:t>
      </w:r>
      <w:r w:rsidRPr="004E1F4E">
        <w:rPr>
          <w:rFonts w:ascii="Palatino Linotype" w:eastAsia="Palatino Linotype" w:hAnsi="Palatino Linotype" w:cs="Palatino Linotype"/>
          <w:sz w:val="22"/>
          <w:szCs w:val="22"/>
        </w:rPr>
        <w:t xml:space="preserve"> a que,</w:t>
      </w:r>
      <w:r w:rsidRPr="004E1F4E">
        <w:rPr>
          <w:rFonts w:ascii="Palatino Linotype" w:eastAsia="Palatino Linotype" w:hAnsi="Palatino Linotype" w:cs="Palatino Linotype"/>
          <w:b/>
          <w:sz w:val="22"/>
          <w:szCs w:val="22"/>
        </w:rPr>
        <w:t xml:space="preserve"> </w:t>
      </w:r>
      <w:r w:rsidRPr="004E1F4E">
        <w:rPr>
          <w:rFonts w:ascii="Palatino Linotype" w:eastAsia="Palatino Linotype" w:hAnsi="Palatino Linotype" w:cs="Palatino Linotype"/>
          <w:sz w:val="22"/>
          <w:szCs w:val="22"/>
        </w:rPr>
        <w:t xml:space="preserve">en términos del Considerando Cuarto y Quinto, haga entrega, previa búsqueda exhaustiva y razonable, vía Sistema de Acceso a la Información Mexiquense (SAIMEX), de ser el caso, en versión pública del </w:t>
      </w:r>
      <w:r w:rsidRPr="004E1F4E">
        <w:rPr>
          <w:rFonts w:ascii="Palatino Linotype" w:eastAsia="Palatino Linotype" w:hAnsi="Palatino Linotype" w:cs="Palatino Linotype"/>
          <w:b/>
          <w:sz w:val="22"/>
          <w:szCs w:val="22"/>
        </w:rPr>
        <w:t xml:space="preserve">Consejo Municipal de Protección al Ambiente del uno de enero al treinta y uno de diciembre de dos mil dieciocho </w:t>
      </w:r>
      <w:r w:rsidRPr="004E1F4E">
        <w:rPr>
          <w:rFonts w:ascii="Palatino Linotype" w:eastAsia="Palatino Linotype" w:hAnsi="Palatino Linotype" w:cs="Palatino Linotype"/>
          <w:sz w:val="22"/>
          <w:szCs w:val="22"/>
        </w:rPr>
        <w:t>lo siguiente</w:t>
      </w:r>
      <w:r w:rsidRPr="004E1F4E">
        <w:rPr>
          <w:rFonts w:ascii="Palatino Linotype" w:eastAsia="Palatino Linotype" w:hAnsi="Palatino Linotype" w:cs="Palatino Linotype"/>
          <w:b/>
          <w:sz w:val="22"/>
          <w:szCs w:val="22"/>
        </w:rPr>
        <w:t>:</w:t>
      </w:r>
    </w:p>
    <w:p w14:paraId="1D7578DF" w14:textId="77777777" w:rsidR="00B41F13" w:rsidRPr="004E1F4E" w:rsidRDefault="00B41F13">
      <w:pPr>
        <w:spacing w:line="360" w:lineRule="auto"/>
        <w:ind w:left="567" w:right="560"/>
        <w:jc w:val="both"/>
        <w:rPr>
          <w:rFonts w:ascii="Palatino Linotype" w:eastAsia="Palatino Linotype" w:hAnsi="Palatino Linotype" w:cs="Palatino Linotype"/>
          <w:sz w:val="22"/>
          <w:szCs w:val="22"/>
        </w:rPr>
      </w:pPr>
    </w:p>
    <w:p w14:paraId="3EAAC0AE" w14:textId="77777777" w:rsidR="00B41F13" w:rsidRPr="004E1F4E" w:rsidRDefault="00771C34">
      <w:pPr>
        <w:spacing w:line="360" w:lineRule="auto"/>
        <w:ind w:left="567" w:right="560"/>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1.- Orden del día de las sesiones y reuniones realizadas.</w:t>
      </w:r>
    </w:p>
    <w:p w14:paraId="37AE997F" w14:textId="77777777" w:rsidR="00B41F13" w:rsidRPr="004E1F4E" w:rsidRDefault="00771C34">
      <w:pPr>
        <w:spacing w:line="360" w:lineRule="auto"/>
        <w:ind w:left="567" w:right="560"/>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 xml:space="preserve">2.- Listas de asistencia de las sesiones y reuniones realizadas. </w:t>
      </w:r>
    </w:p>
    <w:p w14:paraId="40435F26" w14:textId="77777777" w:rsidR="00B41F13" w:rsidRPr="004E1F4E" w:rsidRDefault="00771C34">
      <w:pPr>
        <w:spacing w:line="360" w:lineRule="auto"/>
        <w:ind w:left="567" w:right="560"/>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3.- Actas o minutas de las sesiones y reuniones realizadas.</w:t>
      </w:r>
    </w:p>
    <w:p w14:paraId="73A60F9D" w14:textId="77777777" w:rsidR="00B41F13" w:rsidRPr="004E1F4E" w:rsidRDefault="00771C34">
      <w:pPr>
        <w:spacing w:line="360" w:lineRule="auto"/>
        <w:ind w:left="567" w:right="560"/>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4.- Documentos de planeación operativa elaborados (programas, planes, metodologías, cronogramas o similares).</w:t>
      </w:r>
    </w:p>
    <w:p w14:paraId="44B1FFEF" w14:textId="77777777" w:rsidR="00B41F13" w:rsidRPr="004E1F4E" w:rsidRDefault="00771C34">
      <w:pPr>
        <w:spacing w:line="276" w:lineRule="auto"/>
        <w:ind w:left="567" w:right="615"/>
        <w:jc w:val="both"/>
        <w:rPr>
          <w:rFonts w:ascii="Palatino Linotype" w:eastAsia="Palatino Linotype" w:hAnsi="Palatino Linotype" w:cs="Palatino Linotype"/>
          <w:i/>
          <w:sz w:val="22"/>
          <w:szCs w:val="22"/>
        </w:rPr>
      </w:pPr>
      <w:r w:rsidRPr="004E1F4E">
        <w:rPr>
          <w:rFonts w:ascii="Palatino Linotype" w:eastAsia="Palatino Linotype" w:hAnsi="Palatino Linotype" w:cs="Palatino Linotype"/>
          <w:i/>
          <w:sz w:val="22"/>
          <w:szCs w:val="22"/>
        </w:rPr>
        <w:t xml:space="preserve">Deberá emitir el Acuerdo del Comité de Transparencia de conformidad con la Ley de Transparencia y Acceso a la Información Pública del Estado de México y Municipios, en el que funde y motive las razones sobre los datos que se supriman, eliminen o testen </w:t>
      </w:r>
      <w:r w:rsidRPr="004E1F4E">
        <w:rPr>
          <w:rFonts w:ascii="Palatino Linotype" w:eastAsia="Palatino Linotype" w:hAnsi="Palatino Linotype" w:cs="Palatino Linotype"/>
          <w:i/>
          <w:sz w:val="22"/>
          <w:szCs w:val="22"/>
        </w:rPr>
        <w:lastRenderedPageBreak/>
        <w:t>de los soportes documentales objeto de las versiones públicas que se formulen y se pongan a disposición de la parte Recurrente, mismo que igualmente hará de su conocimiento.</w:t>
      </w:r>
    </w:p>
    <w:p w14:paraId="7BB43E13" w14:textId="77777777" w:rsidR="00B41F13" w:rsidRPr="004E1F4E" w:rsidRDefault="00B41F13">
      <w:pPr>
        <w:spacing w:line="276" w:lineRule="auto"/>
        <w:ind w:left="567" w:right="615"/>
        <w:jc w:val="both"/>
        <w:rPr>
          <w:rFonts w:ascii="Palatino Linotype" w:eastAsia="Palatino Linotype" w:hAnsi="Palatino Linotype" w:cs="Palatino Linotype"/>
          <w:i/>
          <w:sz w:val="22"/>
          <w:szCs w:val="22"/>
        </w:rPr>
      </w:pPr>
    </w:p>
    <w:p w14:paraId="4CBE5F54" w14:textId="77777777" w:rsidR="00B41F13" w:rsidRPr="004E1F4E" w:rsidRDefault="00771C34">
      <w:pPr>
        <w:pBdr>
          <w:top w:val="nil"/>
          <w:left w:val="nil"/>
          <w:bottom w:val="nil"/>
          <w:right w:val="nil"/>
          <w:between w:val="nil"/>
        </w:pBdr>
        <w:tabs>
          <w:tab w:val="left" w:pos="567"/>
          <w:tab w:val="left" w:pos="993"/>
        </w:tabs>
        <w:spacing w:line="276" w:lineRule="auto"/>
        <w:ind w:left="567" w:right="560"/>
        <w:jc w:val="both"/>
        <w:rPr>
          <w:rFonts w:ascii="Palatino Linotype" w:eastAsia="Palatino Linotype" w:hAnsi="Palatino Linotype" w:cs="Palatino Linotype"/>
          <w:b/>
          <w:i/>
          <w:sz w:val="22"/>
          <w:szCs w:val="22"/>
        </w:rPr>
      </w:pPr>
      <w:r w:rsidRPr="004E1F4E">
        <w:rPr>
          <w:rFonts w:ascii="Palatino Linotype" w:eastAsia="Palatino Linotype" w:hAnsi="Palatino Linotype" w:cs="Palatino Linotype"/>
          <w:i/>
          <w:sz w:val="22"/>
          <w:szCs w:val="22"/>
        </w:rPr>
        <w:t xml:space="preserve">Para el caso de que la información que se ordena entregar no obre en los archivos del Sujeto Obligado, debido a que el Consejo Municipal de Protección al Ambiente no haya sido integrado, este deberá hacerlo del conocimiento del Particular en términos del artículo 19, párrafo segundo, de la Ley de Transparencia y Acceso a la Información Pública del Estado de México y Municipios, para tenerse por colmado dicho requerimiento. </w:t>
      </w:r>
    </w:p>
    <w:p w14:paraId="3E5C003E" w14:textId="77777777" w:rsidR="00B41F13" w:rsidRPr="004E1F4E" w:rsidRDefault="00B41F13">
      <w:pPr>
        <w:spacing w:line="360" w:lineRule="auto"/>
        <w:ind w:right="49"/>
        <w:jc w:val="both"/>
        <w:rPr>
          <w:rFonts w:ascii="Palatino Linotype" w:eastAsia="Palatino Linotype" w:hAnsi="Palatino Linotype" w:cs="Palatino Linotype"/>
          <w:b/>
          <w:sz w:val="22"/>
          <w:szCs w:val="22"/>
        </w:rPr>
      </w:pPr>
    </w:p>
    <w:p w14:paraId="6A82257C"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Tercero.</w:t>
      </w:r>
      <w:r w:rsidRPr="004E1F4E">
        <w:rPr>
          <w:rFonts w:ascii="Palatino Linotype" w:eastAsia="Palatino Linotype" w:hAnsi="Palatino Linotype" w:cs="Palatino Linotype"/>
          <w:sz w:val="22"/>
          <w:szCs w:val="22"/>
        </w:rPr>
        <w:t xml:space="preserve"> </w:t>
      </w:r>
      <w:r w:rsidRPr="004E1F4E">
        <w:rPr>
          <w:rFonts w:ascii="Palatino Linotype" w:eastAsia="Palatino Linotype" w:hAnsi="Palatino Linotype" w:cs="Palatino Linotype"/>
          <w:b/>
          <w:sz w:val="22"/>
          <w:szCs w:val="22"/>
        </w:rPr>
        <w:t xml:space="preserve">Notifíquese vía SAIMEX </w:t>
      </w:r>
      <w:r w:rsidRPr="004E1F4E">
        <w:rPr>
          <w:rFonts w:ascii="Palatino Linotype" w:eastAsia="Palatino Linotype" w:hAnsi="Palatino Linotype" w:cs="Palatino Linotype"/>
          <w:sz w:val="22"/>
          <w:szCs w:val="22"/>
        </w:rPr>
        <w:t>la presente resolución al T</w:t>
      </w:r>
      <w:r w:rsidRPr="004E1F4E">
        <w:rPr>
          <w:rFonts w:ascii="Palatino Linotype" w:eastAsia="Palatino Linotype" w:hAnsi="Palatino Linotype" w:cs="Palatino Linotype"/>
          <w:b/>
          <w:sz w:val="22"/>
          <w:szCs w:val="22"/>
        </w:rPr>
        <w:t xml:space="preserve">itular de la Unidad de Transparencia </w:t>
      </w:r>
      <w:r w:rsidRPr="004E1F4E">
        <w:rPr>
          <w:rFonts w:ascii="Palatino Linotype" w:eastAsia="Palatino Linotype" w:hAnsi="Palatino Linotype" w:cs="Palatino Linotype"/>
          <w:sz w:val="22"/>
          <w:szCs w:val="22"/>
        </w:rPr>
        <w:t xml:space="preserve">del </w:t>
      </w:r>
      <w:r w:rsidRPr="004E1F4E">
        <w:rPr>
          <w:rFonts w:ascii="Palatino Linotype" w:eastAsia="Palatino Linotype" w:hAnsi="Palatino Linotype" w:cs="Palatino Linotype"/>
          <w:b/>
          <w:sz w:val="22"/>
          <w:szCs w:val="22"/>
        </w:rPr>
        <w:t>SUJETO OBLIGADO</w:t>
      </w:r>
      <w:r w:rsidRPr="004E1F4E">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DE4F385"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735EF740" w14:textId="77777777" w:rsidR="00B41F13" w:rsidRPr="004E1F4E" w:rsidRDefault="00771C34">
      <w:pPr>
        <w:spacing w:line="360" w:lineRule="auto"/>
        <w:ind w:right="49"/>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Cuarto.</w:t>
      </w:r>
      <w:r w:rsidRPr="004E1F4E">
        <w:rPr>
          <w:rFonts w:ascii="Palatino Linotype" w:eastAsia="Palatino Linotype" w:hAnsi="Palatino Linotype" w:cs="Palatino Linotype"/>
          <w:sz w:val="22"/>
          <w:szCs w:val="22"/>
        </w:rPr>
        <w:t xml:space="preserve"> </w:t>
      </w:r>
      <w:r w:rsidRPr="004E1F4E">
        <w:rPr>
          <w:rFonts w:ascii="Palatino Linotype" w:eastAsia="Palatino Linotype" w:hAnsi="Palatino Linotype" w:cs="Palatino Linotype"/>
          <w:b/>
          <w:sz w:val="22"/>
          <w:szCs w:val="22"/>
        </w:rPr>
        <w:t>Notifíquese vía SAIMEX</w:t>
      </w:r>
      <w:r w:rsidRPr="004E1F4E">
        <w:rPr>
          <w:rFonts w:ascii="Palatino Linotype" w:eastAsia="Palatino Linotype" w:hAnsi="Palatino Linotype" w:cs="Palatino Linotype"/>
          <w:sz w:val="22"/>
          <w:szCs w:val="22"/>
        </w:rPr>
        <w:t xml:space="preserve"> a la parte </w:t>
      </w:r>
      <w:r w:rsidRPr="004E1F4E">
        <w:rPr>
          <w:rFonts w:ascii="Palatino Linotype" w:eastAsia="Palatino Linotype" w:hAnsi="Palatino Linotype" w:cs="Palatino Linotype"/>
          <w:b/>
          <w:sz w:val="22"/>
          <w:szCs w:val="22"/>
        </w:rPr>
        <w:t xml:space="preserve">RECURRENTE </w:t>
      </w:r>
      <w:r w:rsidRPr="004E1F4E">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o bien, vía Juicio de Amparo en los términos de las leyes aplicables.</w:t>
      </w:r>
    </w:p>
    <w:p w14:paraId="1D404C76"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46C2083C"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 xml:space="preserve">Quinto. Notifíquese, </w:t>
      </w:r>
      <w:r w:rsidRPr="004E1F4E">
        <w:rPr>
          <w:rFonts w:ascii="Palatino Linotype" w:eastAsia="Palatino Linotype" w:hAnsi="Palatino Linotype" w:cs="Palatino Linotype"/>
          <w:sz w:val="22"/>
          <w:szCs w:val="22"/>
        </w:rPr>
        <w:t xml:space="preserve">vía </w:t>
      </w:r>
      <w:r w:rsidRPr="004E1F4E">
        <w:rPr>
          <w:rFonts w:ascii="Palatino Linotype" w:eastAsia="Palatino Linotype" w:hAnsi="Palatino Linotype" w:cs="Palatino Linotype"/>
          <w:b/>
          <w:sz w:val="22"/>
          <w:szCs w:val="22"/>
        </w:rPr>
        <w:t xml:space="preserve">SAIMEX </w:t>
      </w:r>
      <w:r w:rsidRPr="004E1F4E">
        <w:rPr>
          <w:rFonts w:ascii="Palatino Linotype" w:eastAsia="Palatino Linotype" w:hAnsi="Palatino Linotype" w:cs="Palatino Linotype"/>
          <w:sz w:val="22"/>
          <w:szCs w:val="22"/>
        </w:rPr>
        <w:t xml:space="preserve">a </w:t>
      </w:r>
      <w:r w:rsidRPr="004E1F4E">
        <w:rPr>
          <w:rFonts w:ascii="Palatino Linotype" w:eastAsia="Palatino Linotype" w:hAnsi="Palatino Linotype" w:cs="Palatino Linotype"/>
          <w:b/>
          <w:sz w:val="22"/>
          <w:szCs w:val="22"/>
        </w:rPr>
        <w:t>la Parte</w:t>
      </w:r>
      <w:r w:rsidRPr="004E1F4E">
        <w:rPr>
          <w:rFonts w:ascii="Palatino Linotype" w:eastAsia="Palatino Linotype" w:hAnsi="Palatino Linotype" w:cs="Palatino Linotype"/>
          <w:sz w:val="22"/>
          <w:szCs w:val="22"/>
        </w:rPr>
        <w:t xml:space="preserve"> </w:t>
      </w:r>
      <w:r w:rsidRPr="004E1F4E">
        <w:rPr>
          <w:rFonts w:ascii="Palatino Linotype" w:eastAsia="Palatino Linotype" w:hAnsi="Palatino Linotype" w:cs="Palatino Linotype"/>
          <w:b/>
          <w:sz w:val="22"/>
          <w:szCs w:val="22"/>
        </w:rPr>
        <w:t xml:space="preserve">Recurrente </w:t>
      </w:r>
      <w:r w:rsidRPr="004E1F4E">
        <w:rPr>
          <w:rFonts w:ascii="Palatino Linotype" w:eastAsia="Palatino Linotype" w:hAnsi="Palatino Linotype" w:cs="Palatino Linotype"/>
          <w:sz w:val="22"/>
          <w:szCs w:val="22"/>
        </w:rPr>
        <w:t xml:space="preserve">que la respuesta que dé </w:t>
      </w:r>
      <w:r w:rsidRPr="004E1F4E">
        <w:rPr>
          <w:rFonts w:ascii="Palatino Linotype" w:eastAsia="Palatino Linotype" w:hAnsi="Palatino Linotype" w:cs="Palatino Linotype"/>
          <w:b/>
          <w:sz w:val="22"/>
          <w:szCs w:val="22"/>
        </w:rPr>
        <w:t>el Sujeto Obligado</w:t>
      </w:r>
      <w:r w:rsidRPr="004E1F4E">
        <w:rPr>
          <w:rFonts w:ascii="Palatino Linotype" w:eastAsia="Palatino Linotype" w:hAnsi="Palatino Linotype" w:cs="Palatino Linotype"/>
          <w:sz w:val="22"/>
          <w:szCs w:val="22"/>
        </w:rPr>
        <w:t xml:space="preserve"> derivada de la presente resolución es susceptible de ser impugnada nuevamente, </w:t>
      </w:r>
      <w:r w:rsidRPr="004E1F4E">
        <w:rPr>
          <w:rFonts w:ascii="Palatino Linotype" w:eastAsia="Palatino Linotype" w:hAnsi="Palatino Linotype" w:cs="Palatino Linotype"/>
          <w:sz w:val="22"/>
          <w:szCs w:val="22"/>
        </w:rPr>
        <w:lastRenderedPageBreak/>
        <w:t>mediante recurso de revisión, ante el Instituto, en términos del artículo 179, último párrafo de la Ley de Transparencia y Acceso a la Información Pública del Estado de México y Municipios.</w:t>
      </w:r>
    </w:p>
    <w:p w14:paraId="1CC2B692" w14:textId="77777777" w:rsidR="00B41F13" w:rsidRPr="004E1F4E" w:rsidRDefault="00B41F13">
      <w:pPr>
        <w:spacing w:line="360" w:lineRule="auto"/>
        <w:jc w:val="both"/>
        <w:rPr>
          <w:rFonts w:ascii="Palatino Linotype" w:eastAsia="Palatino Linotype" w:hAnsi="Palatino Linotype" w:cs="Palatino Linotype"/>
          <w:b/>
          <w:sz w:val="22"/>
          <w:szCs w:val="22"/>
        </w:rPr>
      </w:pPr>
    </w:p>
    <w:p w14:paraId="74E2D188" w14:textId="77777777"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b/>
          <w:sz w:val="22"/>
          <w:szCs w:val="22"/>
        </w:rPr>
        <w:t xml:space="preserve">Sexto. Gírese </w:t>
      </w:r>
      <w:r w:rsidRPr="004E1F4E">
        <w:rPr>
          <w:rFonts w:ascii="Palatino Linotype" w:eastAsia="Palatino Linotype" w:hAnsi="Palatino Linotype" w:cs="Palatino Linotype"/>
          <w:sz w:val="22"/>
          <w:szCs w:val="22"/>
        </w:rPr>
        <w:t>oficio a la</w:t>
      </w:r>
      <w:r w:rsidRPr="004E1F4E">
        <w:rPr>
          <w:rFonts w:ascii="Palatino Linotype" w:eastAsia="Palatino Linotype" w:hAnsi="Palatino Linotype" w:cs="Palatino Linotype"/>
          <w:b/>
          <w:sz w:val="22"/>
          <w:szCs w:val="22"/>
        </w:rPr>
        <w:t xml:space="preserve"> Secretaría Técnica del Pleno </w:t>
      </w:r>
      <w:r w:rsidRPr="004E1F4E">
        <w:rPr>
          <w:rFonts w:ascii="Palatino Linotype" w:eastAsia="Palatino Linotype" w:hAnsi="Palatino Linotype" w:cs="Palatino Linotype"/>
          <w:sz w:val="22"/>
          <w:szCs w:val="22"/>
        </w:rPr>
        <w:t xml:space="preserve">de este Instituto a fin de que en ejercicio de sus atribuciones haga del conocimiento del </w:t>
      </w:r>
      <w:r w:rsidRPr="004E1F4E">
        <w:rPr>
          <w:rFonts w:ascii="Palatino Linotype" w:eastAsia="Palatino Linotype" w:hAnsi="Palatino Linotype" w:cs="Palatino Linotype"/>
          <w:b/>
          <w:sz w:val="22"/>
          <w:szCs w:val="22"/>
        </w:rPr>
        <w:t>Órgano Interno de Control Competente</w:t>
      </w:r>
      <w:r w:rsidRPr="004E1F4E">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4E1F4E">
        <w:rPr>
          <w:rFonts w:ascii="Palatino Linotype" w:eastAsia="Palatino Linotype" w:hAnsi="Palatino Linotype" w:cs="Palatino Linotype"/>
          <w:b/>
          <w:sz w:val="22"/>
          <w:szCs w:val="22"/>
        </w:rPr>
        <w:t>Considerando Cuarto</w:t>
      </w:r>
      <w:r w:rsidRPr="004E1F4E">
        <w:rPr>
          <w:rFonts w:ascii="Palatino Linotype" w:eastAsia="Palatino Linotype" w:hAnsi="Palatino Linotype" w:cs="Palatino Linotype"/>
          <w:sz w:val="22"/>
          <w:szCs w:val="22"/>
        </w:rPr>
        <w:t xml:space="preserve"> de este fallo.</w:t>
      </w:r>
    </w:p>
    <w:p w14:paraId="3C8D4E16" w14:textId="77777777" w:rsidR="00B41F13" w:rsidRPr="004E1F4E" w:rsidRDefault="00B41F13">
      <w:pPr>
        <w:spacing w:line="360" w:lineRule="auto"/>
        <w:ind w:right="49"/>
        <w:jc w:val="both"/>
        <w:rPr>
          <w:rFonts w:ascii="Palatino Linotype" w:eastAsia="Palatino Linotype" w:hAnsi="Palatino Linotype" w:cs="Palatino Linotype"/>
          <w:sz w:val="22"/>
          <w:szCs w:val="22"/>
        </w:rPr>
      </w:pPr>
    </w:p>
    <w:p w14:paraId="13F96941" w14:textId="16D74BDA" w:rsidR="00B41F13" w:rsidRPr="004E1F4E" w:rsidRDefault="00771C34">
      <w:pPr>
        <w:spacing w:line="360" w:lineRule="auto"/>
        <w:jc w:val="both"/>
        <w:rPr>
          <w:rFonts w:ascii="Palatino Linotype" w:eastAsia="Palatino Linotype" w:hAnsi="Palatino Linotype" w:cs="Palatino Linotype"/>
          <w:sz w:val="22"/>
          <w:szCs w:val="22"/>
        </w:rPr>
      </w:pPr>
      <w:r w:rsidRPr="004E1F4E">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w:t>
      </w:r>
      <w:r w:rsidR="00065F50">
        <w:rPr>
          <w:rFonts w:ascii="Palatino Linotype" w:eastAsia="Palatino Linotype" w:hAnsi="Palatino Linotype" w:cs="Palatino Linotype"/>
          <w:sz w:val="22"/>
          <w:szCs w:val="22"/>
        </w:rPr>
        <w:t xml:space="preserve">REZ PEÑA; EN LA TRIGÉSIMO SEXTA </w:t>
      </w:r>
      <w:r w:rsidRPr="004E1F4E">
        <w:rPr>
          <w:rFonts w:ascii="Palatino Linotype" w:eastAsia="Palatino Linotype" w:hAnsi="Palatino Linotype" w:cs="Palatino Linotype"/>
          <w:sz w:val="22"/>
          <w:szCs w:val="22"/>
        </w:rPr>
        <w:t xml:space="preserve">SESIÓN ORDINARIA CELEBRADA EL </w:t>
      </w:r>
      <w:r w:rsidR="00065F50">
        <w:rPr>
          <w:rFonts w:ascii="Palatino Linotype" w:eastAsia="Palatino Linotype" w:hAnsi="Palatino Linotype" w:cs="Palatino Linotype"/>
          <w:sz w:val="22"/>
          <w:szCs w:val="22"/>
        </w:rPr>
        <w:t>NUEVE DE OCTUBRE</w:t>
      </w:r>
      <w:r w:rsidRPr="004E1F4E">
        <w:rPr>
          <w:rFonts w:ascii="Palatino Linotype" w:eastAsia="Palatino Linotype" w:hAnsi="Palatino Linotype" w:cs="Palatino Linotype"/>
          <w:sz w:val="22"/>
          <w:szCs w:val="22"/>
        </w:rPr>
        <w:t xml:space="preserve"> DE DOS MIL VEINTICUATRO, ANTE EL SECRETARIO TÉCNICO DEL PLENO ALEXIS TAPIA RAMÍREZ.</w:t>
      </w:r>
    </w:p>
    <w:p w14:paraId="62478C1F" w14:textId="21442687" w:rsidR="00B41F13" w:rsidRPr="004E1F4E" w:rsidRDefault="00B41F13">
      <w:pPr>
        <w:spacing w:line="360" w:lineRule="auto"/>
        <w:jc w:val="both"/>
        <w:rPr>
          <w:rFonts w:ascii="Palatino Linotype" w:eastAsia="Palatino Linotype" w:hAnsi="Palatino Linotype" w:cs="Palatino Linotype"/>
          <w:sz w:val="22"/>
          <w:szCs w:val="22"/>
        </w:rPr>
      </w:pPr>
    </w:p>
    <w:p w14:paraId="4E86C835" w14:textId="23BB77D1" w:rsidR="004E1F4E" w:rsidRPr="004E1F4E" w:rsidRDefault="004E1F4E">
      <w:pPr>
        <w:spacing w:line="360" w:lineRule="auto"/>
        <w:jc w:val="both"/>
        <w:rPr>
          <w:rFonts w:ascii="Palatino Linotype" w:eastAsia="Palatino Linotype" w:hAnsi="Palatino Linotype" w:cs="Palatino Linotype"/>
          <w:sz w:val="22"/>
          <w:szCs w:val="22"/>
        </w:rPr>
      </w:pPr>
    </w:p>
    <w:p w14:paraId="69F0493E" w14:textId="4236B1D4" w:rsidR="004E1F4E" w:rsidRPr="004E1F4E" w:rsidRDefault="004E1F4E">
      <w:pPr>
        <w:spacing w:line="360" w:lineRule="auto"/>
        <w:jc w:val="both"/>
        <w:rPr>
          <w:rFonts w:ascii="Palatino Linotype" w:eastAsia="Palatino Linotype" w:hAnsi="Palatino Linotype" w:cs="Palatino Linotype"/>
          <w:sz w:val="22"/>
          <w:szCs w:val="22"/>
        </w:rPr>
      </w:pPr>
    </w:p>
    <w:p w14:paraId="4750F7D8" w14:textId="0840ED8B" w:rsidR="004E1F4E" w:rsidRPr="004E1F4E" w:rsidRDefault="004E1F4E">
      <w:pPr>
        <w:spacing w:line="360" w:lineRule="auto"/>
        <w:jc w:val="both"/>
        <w:rPr>
          <w:rFonts w:ascii="Palatino Linotype" w:eastAsia="Palatino Linotype" w:hAnsi="Palatino Linotype" w:cs="Palatino Linotype"/>
          <w:sz w:val="22"/>
          <w:szCs w:val="22"/>
        </w:rPr>
      </w:pPr>
    </w:p>
    <w:p w14:paraId="3DE59954" w14:textId="2C380F52" w:rsidR="004E1F4E" w:rsidRPr="004E1F4E" w:rsidRDefault="004E1F4E">
      <w:pPr>
        <w:spacing w:line="360" w:lineRule="auto"/>
        <w:jc w:val="both"/>
        <w:rPr>
          <w:rFonts w:ascii="Palatino Linotype" w:eastAsia="Palatino Linotype" w:hAnsi="Palatino Linotype" w:cs="Palatino Linotype"/>
          <w:sz w:val="22"/>
          <w:szCs w:val="22"/>
        </w:rPr>
      </w:pPr>
    </w:p>
    <w:p w14:paraId="7DB09487" w14:textId="7A3EF3C7" w:rsidR="004E1F4E" w:rsidRPr="004E1F4E" w:rsidRDefault="004E1F4E">
      <w:pPr>
        <w:spacing w:line="360" w:lineRule="auto"/>
        <w:jc w:val="both"/>
        <w:rPr>
          <w:rFonts w:ascii="Palatino Linotype" w:eastAsia="Palatino Linotype" w:hAnsi="Palatino Linotype" w:cs="Palatino Linotype"/>
          <w:sz w:val="22"/>
          <w:szCs w:val="22"/>
        </w:rPr>
      </w:pPr>
    </w:p>
    <w:p w14:paraId="5C1B197E" w14:textId="16ADEEE3" w:rsidR="004E1F4E" w:rsidRPr="004E1F4E" w:rsidRDefault="004E1F4E">
      <w:pPr>
        <w:spacing w:line="360" w:lineRule="auto"/>
        <w:jc w:val="both"/>
        <w:rPr>
          <w:rFonts w:ascii="Palatino Linotype" w:eastAsia="Palatino Linotype" w:hAnsi="Palatino Linotype" w:cs="Palatino Linotype"/>
          <w:sz w:val="22"/>
          <w:szCs w:val="22"/>
        </w:rPr>
      </w:pPr>
    </w:p>
    <w:p w14:paraId="29B23476" w14:textId="34935CF9" w:rsidR="004E1F4E" w:rsidRPr="004E1F4E" w:rsidRDefault="004E1F4E">
      <w:pPr>
        <w:spacing w:line="360" w:lineRule="auto"/>
        <w:jc w:val="both"/>
        <w:rPr>
          <w:rFonts w:ascii="Palatino Linotype" w:eastAsia="Palatino Linotype" w:hAnsi="Palatino Linotype" w:cs="Palatino Linotype"/>
          <w:sz w:val="22"/>
          <w:szCs w:val="22"/>
        </w:rPr>
      </w:pPr>
    </w:p>
    <w:p w14:paraId="14628896" w14:textId="77777777" w:rsidR="004E1F4E" w:rsidRPr="004E1F4E" w:rsidRDefault="004E1F4E">
      <w:pPr>
        <w:spacing w:line="360" w:lineRule="auto"/>
        <w:jc w:val="both"/>
        <w:rPr>
          <w:rFonts w:ascii="Palatino Linotype" w:eastAsia="Palatino Linotype" w:hAnsi="Palatino Linotype" w:cs="Palatino Linotype"/>
          <w:sz w:val="22"/>
          <w:szCs w:val="22"/>
        </w:rPr>
      </w:pPr>
    </w:p>
    <w:sectPr w:rsidR="004E1F4E" w:rsidRPr="004E1F4E">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617A" w14:textId="77777777" w:rsidR="009B0602" w:rsidRDefault="009B0602">
      <w:r>
        <w:separator/>
      </w:r>
    </w:p>
  </w:endnote>
  <w:endnote w:type="continuationSeparator" w:id="0">
    <w:p w14:paraId="6E64DF2E" w14:textId="77777777" w:rsidR="009B0602" w:rsidRDefault="009B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F738" w14:textId="77777777" w:rsidR="00B41F13" w:rsidRDefault="00771C3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65F50">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65F50">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739CFC41" w14:textId="77777777" w:rsidR="00B41F13" w:rsidRDefault="00B41F1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E2B2" w14:textId="77777777" w:rsidR="00B41F13" w:rsidRDefault="00771C3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65F5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65F50">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4906A48D" w14:textId="77777777" w:rsidR="00B41F13" w:rsidRDefault="00B41F13">
    <w:pPr>
      <w:pBdr>
        <w:top w:val="nil"/>
        <w:left w:val="nil"/>
        <w:bottom w:val="nil"/>
        <w:right w:val="nil"/>
        <w:between w:val="nil"/>
      </w:pBdr>
      <w:tabs>
        <w:tab w:val="center" w:pos="4252"/>
        <w:tab w:val="right" w:pos="8504"/>
      </w:tabs>
      <w:rPr>
        <w:rFonts w:ascii="Palatino Linotype" w:eastAsia="Palatino Linotype" w:hAnsi="Palatino Linotype" w:cs="Palatino Linotype"/>
        <w:i/>
        <w:sz w:val="22"/>
        <w:szCs w:val="22"/>
      </w:rPr>
    </w:pPr>
    <w:bookmarkStart w:id="7" w:name="_heading=h.gjdgxs" w:colFirst="0" w:colLast="0"/>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90F5" w14:textId="77777777" w:rsidR="009B0602" w:rsidRDefault="009B0602">
      <w:r>
        <w:separator/>
      </w:r>
    </w:p>
  </w:footnote>
  <w:footnote w:type="continuationSeparator" w:id="0">
    <w:p w14:paraId="2F80BAAC" w14:textId="77777777" w:rsidR="009B0602" w:rsidRDefault="009B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03D6" w14:textId="77777777" w:rsidR="00B41F13" w:rsidRDefault="00771C34">
    <w:pPr>
      <w:rPr>
        <w:rFonts w:ascii="Cambria" w:eastAsia="Cambria" w:hAnsi="Cambria" w:cs="Cambria"/>
        <w:color w:val="000000"/>
      </w:rPr>
    </w:pPr>
    <w:r>
      <w:rPr>
        <w:noProof/>
      </w:rPr>
      <w:drawing>
        <wp:anchor distT="0" distB="0" distL="0" distR="0" simplePos="0" relativeHeight="251658240" behindDoc="1" locked="0" layoutInCell="1" hidden="0" allowOverlap="1" wp14:anchorId="791F1111" wp14:editId="37DEACF1">
          <wp:simplePos x="0" y="0"/>
          <wp:positionH relativeFrom="column">
            <wp:posOffset>-755649</wp:posOffset>
          </wp:positionH>
          <wp:positionV relativeFrom="paragraph">
            <wp:posOffset>-363854</wp:posOffset>
          </wp:positionV>
          <wp:extent cx="7809865" cy="10165715"/>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665" w:type="dxa"/>
      <w:tblInd w:w="3814" w:type="dxa"/>
      <w:tblLayout w:type="fixed"/>
      <w:tblLook w:val="0400" w:firstRow="0" w:lastRow="0" w:firstColumn="0" w:lastColumn="0" w:noHBand="0" w:noVBand="1"/>
    </w:tblPr>
    <w:tblGrid>
      <w:gridCol w:w="2489"/>
      <w:gridCol w:w="3176"/>
    </w:tblGrid>
    <w:tr w:rsidR="00B41F13" w14:paraId="3191BA2A" w14:textId="77777777">
      <w:tc>
        <w:tcPr>
          <w:tcW w:w="2489" w:type="dxa"/>
          <w:shd w:val="clear" w:color="auto" w:fill="auto"/>
        </w:tcPr>
        <w:p w14:paraId="0DE6EE81" w14:textId="77777777" w:rsidR="00B41F13" w:rsidRDefault="00771C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76" w:type="dxa"/>
          <w:shd w:val="clear" w:color="auto" w:fill="auto"/>
          <w:vAlign w:val="center"/>
        </w:tcPr>
        <w:p w14:paraId="6F588275" w14:textId="77777777" w:rsidR="00B41F13" w:rsidRDefault="00771C3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05109/INFOEM/IP/RR/2024</w:t>
          </w:r>
        </w:p>
      </w:tc>
    </w:tr>
    <w:tr w:rsidR="00B41F13" w14:paraId="76777F9A" w14:textId="77777777">
      <w:trPr>
        <w:trHeight w:val="228"/>
      </w:trPr>
      <w:tc>
        <w:tcPr>
          <w:tcW w:w="2489" w:type="dxa"/>
          <w:shd w:val="clear" w:color="auto" w:fill="auto"/>
          <w:vAlign w:val="center"/>
        </w:tcPr>
        <w:p w14:paraId="3E9FBA3F" w14:textId="77777777" w:rsidR="00B41F13" w:rsidRDefault="00771C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10B8C653" w14:textId="77777777" w:rsidR="00B41F13" w:rsidRDefault="00B41F13">
          <w:pPr>
            <w:rPr>
              <w:rFonts w:ascii="Palatino Linotype" w:eastAsia="Palatino Linotype" w:hAnsi="Palatino Linotype" w:cs="Palatino Linotype"/>
              <w:b/>
              <w:sz w:val="22"/>
              <w:szCs w:val="22"/>
            </w:rPr>
          </w:pPr>
        </w:p>
      </w:tc>
      <w:tc>
        <w:tcPr>
          <w:tcW w:w="3176" w:type="dxa"/>
          <w:shd w:val="clear" w:color="auto" w:fill="auto"/>
          <w:vAlign w:val="center"/>
        </w:tcPr>
        <w:p w14:paraId="1B9D23EA" w14:textId="77777777" w:rsidR="00B41F13" w:rsidRDefault="00771C34">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B41F13" w14:paraId="4B97A00B" w14:textId="77777777">
      <w:tc>
        <w:tcPr>
          <w:tcW w:w="2489" w:type="dxa"/>
          <w:shd w:val="clear" w:color="auto" w:fill="auto"/>
          <w:vAlign w:val="center"/>
        </w:tcPr>
        <w:p w14:paraId="61672E9B" w14:textId="77777777" w:rsidR="00B41F13" w:rsidRDefault="00771C3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76" w:type="dxa"/>
          <w:shd w:val="clear" w:color="auto" w:fill="auto"/>
          <w:vAlign w:val="center"/>
        </w:tcPr>
        <w:p w14:paraId="4E73CD4B" w14:textId="77777777" w:rsidR="00B41F13" w:rsidRDefault="00771C3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2E3B21F" w14:textId="77777777" w:rsidR="00B41F13" w:rsidRDefault="00771C3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B5D" w14:textId="77777777" w:rsidR="00B41F13" w:rsidRDefault="00771C3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49D6573" wp14:editId="5549ED0E">
          <wp:simplePos x="0" y="0"/>
          <wp:positionH relativeFrom="column">
            <wp:posOffset>-688339</wp:posOffset>
          </wp:positionH>
          <wp:positionV relativeFrom="paragraph">
            <wp:posOffset>-156844</wp:posOffset>
          </wp:positionV>
          <wp:extent cx="7809865" cy="10165715"/>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5883" w:type="dxa"/>
      <w:tblInd w:w="3184" w:type="dxa"/>
      <w:tblLayout w:type="fixed"/>
      <w:tblLook w:val="0400" w:firstRow="0" w:lastRow="0" w:firstColumn="0" w:lastColumn="0" w:noHBand="0" w:noVBand="1"/>
    </w:tblPr>
    <w:tblGrid>
      <w:gridCol w:w="2551"/>
      <w:gridCol w:w="3332"/>
    </w:tblGrid>
    <w:tr w:rsidR="00B41F13" w14:paraId="1551F0A1" w14:textId="77777777">
      <w:tc>
        <w:tcPr>
          <w:tcW w:w="2551" w:type="dxa"/>
          <w:shd w:val="clear" w:color="auto" w:fill="auto"/>
          <w:vAlign w:val="center"/>
        </w:tcPr>
        <w:p w14:paraId="57E389B3" w14:textId="77777777" w:rsidR="00B41F13" w:rsidRDefault="00771C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32" w:type="dxa"/>
          <w:shd w:val="clear" w:color="auto" w:fill="auto"/>
          <w:vAlign w:val="center"/>
        </w:tcPr>
        <w:p w14:paraId="4F268F3D" w14:textId="77777777" w:rsidR="00B41F13" w:rsidRDefault="00771C3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05109/INFOEM/IP/RR/2024</w:t>
          </w:r>
        </w:p>
      </w:tc>
    </w:tr>
    <w:tr w:rsidR="00B41F13" w14:paraId="57915F96" w14:textId="77777777">
      <w:trPr>
        <w:trHeight w:val="130"/>
      </w:trPr>
      <w:tc>
        <w:tcPr>
          <w:tcW w:w="2551" w:type="dxa"/>
          <w:shd w:val="clear" w:color="auto" w:fill="auto"/>
          <w:vAlign w:val="center"/>
        </w:tcPr>
        <w:p w14:paraId="0388FF53" w14:textId="77777777" w:rsidR="00B41F13" w:rsidRDefault="00771C34">
          <w:pPr>
            <w:rPr>
              <w:rFonts w:ascii="Palatino Linotype" w:eastAsia="Palatino Linotype" w:hAnsi="Palatino Linotype" w:cs="Palatino Linotype"/>
              <w:b/>
              <w:sz w:val="22"/>
              <w:szCs w:val="22"/>
            </w:rPr>
          </w:pPr>
          <w:bookmarkStart w:id="6" w:name="_heading=h.2jxsxqh" w:colFirst="0" w:colLast="0"/>
          <w:bookmarkEnd w:id="6"/>
          <w:r>
            <w:rPr>
              <w:rFonts w:ascii="Palatino Linotype" w:eastAsia="Palatino Linotype" w:hAnsi="Palatino Linotype" w:cs="Palatino Linotype"/>
              <w:b/>
              <w:sz w:val="22"/>
              <w:szCs w:val="22"/>
            </w:rPr>
            <w:t>Recurrente:</w:t>
          </w:r>
        </w:p>
      </w:tc>
      <w:tc>
        <w:tcPr>
          <w:tcW w:w="3332" w:type="dxa"/>
          <w:shd w:val="clear" w:color="auto" w:fill="auto"/>
          <w:vAlign w:val="center"/>
        </w:tcPr>
        <w:p w14:paraId="39B7B46C" w14:textId="77777777" w:rsidR="00B41F13" w:rsidRDefault="00B41F13">
          <w:pPr>
            <w:ind w:left="-45"/>
            <w:jc w:val="both"/>
            <w:rPr>
              <w:rFonts w:ascii="Palatino Linotype" w:eastAsia="Palatino Linotype" w:hAnsi="Palatino Linotype" w:cs="Palatino Linotype"/>
              <w:b/>
              <w:sz w:val="22"/>
              <w:szCs w:val="22"/>
            </w:rPr>
          </w:pPr>
        </w:p>
      </w:tc>
    </w:tr>
    <w:tr w:rsidR="00B41F13" w14:paraId="6BBC71A9" w14:textId="77777777">
      <w:trPr>
        <w:trHeight w:val="228"/>
      </w:trPr>
      <w:tc>
        <w:tcPr>
          <w:tcW w:w="2551" w:type="dxa"/>
          <w:shd w:val="clear" w:color="auto" w:fill="auto"/>
          <w:vAlign w:val="center"/>
        </w:tcPr>
        <w:p w14:paraId="7F0CDAD9" w14:textId="77777777" w:rsidR="00B41F13" w:rsidRDefault="00771C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B34C379" w14:textId="77777777" w:rsidR="00B41F13" w:rsidRDefault="00B41F13">
          <w:pPr>
            <w:rPr>
              <w:rFonts w:ascii="Palatino Linotype" w:eastAsia="Palatino Linotype" w:hAnsi="Palatino Linotype" w:cs="Palatino Linotype"/>
              <w:b/>
              <w:sz w:val="22"/>
              <w:szCs w:val="22"/>
            </w:rPr>
          </w:pPr>
        </w:p>
      </w:tc>
      <w:tc>
        <w:tcPr>
          <w:tcW w:w="3332" w:type="dxa"/>
          <w:shd w:val="clear" w:color="auto" w:fill="auto"/>
          <w:vAlign w:val="center"/>
        </w:tcPr>
        <w:p w14:paraId="223BD08D" w14:textId="77777777" w:rsidR="00B41F13" w:rsidRDefault="00771C34">
          <w:pPr>
            <w:ind w:left="-45" w:right="44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B41F13" w14:paraId="3DA51E0C" w14:textId="77777777">
      <w:tc>
        <w:tcPr>
          <w:tcW w:w="2551" w:type="dxa"/>
          <w:shd w:val="clear" w:color="auto" w:fill="auto"/>
          <w:vAlign w:val="center"/>
        </w:tcPr>
        <w:p w14:paraId="37614254" w14:textId="77777777" w:rsidR="00B41F13" w:rsidRDefault="00771C3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32" w:type="dxa"/>
          <w:shd w:val="clear" w:color="auto" w:fill="auto"/>
          <w:vAlign w:val="center"/>
        </w:tcPr>
        <w:p w14:paraId="293A5394" w14:textId="77777777" w:rsidR="00B41F13" w:rsidRDefault="00771C3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7E7E91" w14:textId="77777777" w:rsidR="00B41F13" w:rsidRDefault="00B41F13">
    <w:pPr>
      <w:pBdr>
        <w:top w:val="nil"/>
        <w:left w:val="nil"/>
        <w:bottom w:val="nil"/>
        <w:right w:val="nil"/>
        <w:between w:val="nil"/>
      </w:pBdr>
      <w:tabs>
        <w:tab w:val="center" w:pos="4252"/>
        <w:tab w:val="right" w:pos="8504"/>
      </w:tabs>
      <w:rPr>
        <w:rFonts w:ascii="Cambria" w:eastAsia="Cambria" w:hAnsi="Cambria" w:cs="Cambria"/>
        <w:color w:val="000000"/>
      </w:rPr>
    </w:pPr>
  </w:p>
  <w:p w14:paraId="49CA29BC" w14:textId="77777777" w:rsidR="00B41F13" w:rsidRDefault="00B41F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3462E"/>
    <w:multiLevelType w:val="multilevel"/>
    <w:tmpl w:val="3D72C56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8B176C"/>
    <w:multiLevelType w:val="multilevel"/>
    <w:tmpl w:val="62D4C9A0"/>
    <w:lvl w:ilvl="0">
      <w:start w:val="6"/>
      <w:numFmt w:val="bullet"/>
      <w:pStyle w:val="Listaconvietas2"/>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13"/>
    <w:rsid w:val="00065F50"/>
    <w:rsid w:val="00092CFE"/>
    <w:rsid w:val="004E1F4E"/>
    <w:rsid w:val="00771C34"/>
    <w:rsid w:val="008D5F27"/>
    <w:rsid w:val="009B0602"/>
    <w:rsid w:val="00B41F13"/>
    <w:rsid w:val="00B50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1BFEC"/>
  <w15:docId w15:val="{E5EB548E-5642-4A4E-9851-0EC1E65C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4">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4"/>
    <w:tblPr>
      <w:tblStyleRowBandSize w:val="1"/>
      <w:tblStyleColBandSize w:val="1"/>
      <w:tblCellMar>
        <w:left w:w="115" w:type="dxa"/>
        <w:right w:w="115" w:type="dxa"/>
      </w:tblCellMar>
    </w:tblPr>
  </w:style>
  <w:style w:type="table" w:customStyle="1" w:styleId="3">
    <w:name w:val="3"/>
    <w:basedOn w:val="TableNormal14"/>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4"/>
    <w:tblPr>
      <w:tblStyleRowBandSize w:val="1"/>
      <w:tblStyleColBandSize w:val="1"/>
      <w:tblCellMar>
        <w:left w:w="115" w:type="dxa"/>
        <w:right w:w="115" w:type="dxa"/>
      </w:tblCellMar>
    </w:tblPr>
  </w:style>
  <w:style w:type="table" w:customStyle="1" w:styleId="1">
    <w:name w:val="1"/>
    <w:basedOn w:val="TableNormal14"/>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115" w:type="dxa"/>
        <w:right w:w="115"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5"/>
    <w:tblPr>
      <w:tblStyleRowBandSize w:val="1"/>
      <w:tblStyleColBandSize w:val="1"/>
      <w:tblCellMar>
        <w:left w:w="115" w:type="dxa"/>
        <w:right w:w="115"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35">
    <w:name w:val="3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4">
    <w:name w:val="34"/>
    <w:basedOn w:val="TableNormal10"/>
    <w:tblPr>
      <w:tblStyleRowBandSize w:val="1"/>
      <w:tblStyleColBandSize w:val="1"/>
      <w:tblCellMar>
        <w:left w:w="115" w:type="dxa"/>
        <w:right w:w="115" w:type="dxa"/>
      </w:tblCellMar>
    </w:tblPr>
  </w:style>
  <w:style w:type="table" w:customStyle="1" w:styleId="33">
    <w:name w:val="33"/>
    <w:basedOn w:val="TableNormal10"/>
    <w:tblPr>
      <w:tblStyleRowBandSize w:val="1"/>
      <w:tblStyleColBandSize w:val="1"/>
      <w:tblCellMar>
        <w:left w:w="115" w:type="dxa"/>
        <w:right w:w="115" w:type="dxa"/>
      </w:tblCellMar>
    </w:tblPr>
  </w:style>
  <w:style w:type="table" w:customStyle="1" w:styleId="32">
    <w:name w:val="32"/>
    <w:basedOn w:val="TableNormal11"/>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1">
    <w:name w:val="31"/>
    <w:basedOn w:val="TableNormal11"/>
    <w:tblPr>
      <w:tblStyleRowBandSize w:val="1"/>
      <w:tblStyleColBandSize w:val="1"/>
      <w:tblCellMar>
        <w:left w:w="115" w:type="dxa"/>
        <w:right w:w="115" w:type="dxa"/>
      </w:tblCellMar>
    </w:tblPr>
  </w:style>
  <w:style w:type="table" w:customStyle="1" w:styleId="30">
    <w:name w:val="30"/>
    <w:basedOn w:val="TableNormal11"/>
    <w:tblPr>
      <w:tblStyleRowBandSize w:val="1"/>
      <w:tblStyleColBandSize w:val="1"/>
      <w:tblCellMar>
        <w:left w:w="115" w:type="dxa"/>
        <w:right w:w="115" w:type="dxa"/>
      </w:tblCellMar>
    </w:tblPr>
  </w:style>
  <w:style w:type="table" w:customStyle="1" w:styleId="29">
    <w:name w:val="29"/>
    <w:basedOn w:val="TableNormal1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8">
    <w:name w:val="28"/>
    <w:basedOn w:val="TableNormal12"/>
    <w:tblPr>
      <w:tblStyleRowBandSize w:val="1"/>
      <w:tblStyleColBandSize w:val="1"/>
      <w:tblCellMar>
        <w:left w:w="115" w:type="dxa"/>
        <w:right w:w="115" w:type="dxa"/>
      </w:tblCellMar>
    </w:tblPr>
  </w:style>
  <w:style w:type="table" w:customStyle="1" w:styleId="27">
    <w:name w:val="27"/>
    <w:basedOn w:val="TableNormal12"/>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table" w:customStyle="1" w:styleId="26">
    <w:name w:val="26"/>
    <w:basedOn w:val="TableNormal13"/>
    <w:tblPr>
      <w:tblStyleRowBandSize w:val="1"/>
      <w:tblStyleColBandSize w:val="1"/>
      <w:tblCellMar>
        <w:left w:w="115" w:type="dxa"/>
        <w:right w:w="115" w:type="dxa"/>
      </w:tblCellMar>
    </w:tblPr>
  </w:style>
  <w:style w:type="table" w:customStyle="1" w:styleId="25">
    <w:name w:val="25"/>
    <w:basedOn w:val="TableNormal13"/>
    <w:tblPr>
      <w:tblStyleRowBandSize w:val="1"/>
      <w:tblStyleColBandSize w:val="1"/>
      <w:tblCellMar>
        <w:left w:w="115" w:type="dxa"/>
        <w:right w:w="115" w:type="dxa"/>
      </w:tblCellMar>
    </w:tblPr>
  </w:style>
  <w:style w:type="character" w:customStyle="1" w:styleId="Mencinsinresolver5">
    <w:name w:val="Mención sin resolver5"/>
    <w:basedOn w:val="Fuentedeprrafopredeter"/>
    <w:uiPriority w:val="99"/>
    <w:semiHidden/>
    <w:unhideWhenUsed/>
    <w:rsid w:val="00FD1A55"/>
    <w:rPr>
      <w:color w:val="605E5C"/>
      <w:shd w:val="clear" w:color="auto" w:fill="E1DFDD"/>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B44"/>
    <w:pPr>
      <w:numPr>
        <w:numId w:val="1"/>
      </w:numPr>
      <w:contextualSpacing/>
    </w:p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6MfEBJ9sm+O3YZJ/O7jyGvxUmg==">CgMxLjAyCWguMWZvYjl0ZTIJaC4zZHk2dmttMgloLjMwajB6bGwyCWguMnM4ZXlvMTIJaC4xa3N2NHV2MgloLjQ0c2luaW8yCWguMmp4c3hxaDIIaC5namRneHM4AHIhMVJkMjl1ZnBNd3NPT0FTRzFxckNBLXVYeTY0OEVFTDBU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8603</Words>
  <Characters>47318</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2024-10-11T18:19:00Z</cp:lastPrinted>
  <dcterms:created xsi:type="dcterms:W3CDTF">2024-10-24T19:33:00Z</dcterms:created>
  <dcterms:modified xsi:type="dcterms:W3CDTF">2024-10-24T19:33:00Z</dcterms:modified>
</cp:coreProperties>
</file>