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A20E" w14:textId="77777777" w:rsidR="008B41E1" w:rsidRPr="00C7081F" w:rsidRDefault="008B41E1">
      <w:pPr>
        <w:widowControl w:val="0"/>
        <w:pBdr>
          <w:top w:val="nil"/>
          <w:left w:val="nil"/>
          <w:bottom w:val="nil"/>
          <w:right w:val="nil"/>
          <w:between w:val="nil"/>
        </w:pBdr>
        <w:spacing w:line="276" w:lineRule="auto"/>
      </w:pPr>
    </w:p>
    <w:p w14:paraId="35BBA20F" w14:textId="77777777" w:rsidR="008B41E1" w:rsidRPr="00C7081F" w:rsidRDefault="000F4881">
      <w:pPr>
        <w:tabs>
          <w:tab w:val="left" w:pos="3465"/>
        </w:tabs>
        <w:spacing w:line="360" w:lineRule="auto"/>
        <w:jc w:val="both"/>
        <w:rPr>
          <w:rFonts w:ascii="Palatino Linotype" w:eastAsia="Palatino Linotype" w:hAnsi="Palatino Linotype" w:cs="Palatino Linotype"/>
        </w:rPr>
      </w:pPr>
      <w:r w:rsidRPr="00C7081F">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trece</w:t>
      </w:r>
      <w:r w:rsidR="00C7081F">
        <w:rPr>
          <w:rFonts w:ascii="Palatino Linotype" w:eastAsia="Palatino Linotype" w:hAnsi="Palatino Linotype" w:cs="Palatino Linotype"/>
        </w:rPr>
        <w:t xml:space="preserve"> (13)</w:t>
      </w:r>
      <w:r w:rsidRPr="00C7081F">
        <w:rPr>
          <w:rFonts w:ascii="Palatino Linotype" w:eastAsia="Palatino Linotype" w:hAnsi="Palatino Linotype" w:cs="Palatino Linotype"/>
        </w:rPr>
        <w:t xml:space="preserve"> de marzo de dos mil veinticuatro.</w:t>
      </w:r>
    </w:p>
    <w:p w14:paraId="35BBA210" w14:textId="77777777" w:rsidR="008B41E1" w:rsidRPr="00C7081F" w:rsidRDefault="008B41E1">
      <w:pPr>
        <w:tabs>
          <w:tab w:val="left" w:pos="3465"/>
        </w:tabs>
        <w:spacing w:line="360" w:lineRule="auto"/>
        <w:jc w:val="both"/>
        <w:rPr>
          <w:rFonts w:ascii="Palatino Linotype" w:eastAsia="Palatino Linotype" w:hAnsi="Palatino Linotype" w:cs="Palatino Linotype"/>
        </w:rPr>
      </w:pPr>
    </w:p>
    <w:p w14:paraId="35BBA211" w14:textId="75AD7D40" w:rsidR="008B41E1" w:rsidRPr="00C7081F" w:rsidRDefault="000F4881">
      <w:pPr>
        <w:spacing w:line="360" w:lineRule="auto"/>
        <w:jc w:val="both"/>
        <w:rPr>
          <w:rFonts w:ascii="Palatino Linotype" w:eastAsia="Palatino Linotype" w:hAnsi="Palatino Linotype" w:cs="Palatino Linotype"/>
        </w:rPr>
      </w:pPr>
      <w:r w:rsidRPr="00C7081F">
        <w:rPr>
          <w:rFonts w:ascii="Palatino Linotype" w:eastAsia="Palatino Linotype" w:hAnsi="Palatino Linotype" w:cs="Palatino Linotype"/>
          <w:b/>
        </w:rPr>
        <w:t>VISTO</w:t>
      </w:r>
      <w:r w:rsidRPr="00C7081F">
        <w:rPr>
          <w:rFonts w:ascii="Palatino Linotype" w:eastAsia="Palatino Linotype" w:hAnsi="Palatino Linotype" w:cs="Palatino Linotype"/>
        </w:rPr>
        <w:t xml:space="preserve"> el expediente electrónico formado con motivo del recurso de revisión </w:t>
      </w:r>
      <w:r w:rsidRPr="00C7081F">
        <w:rPr>
          <w:rFonts w:ascii="Palatino Linotype" w:eastAsia="Palatino Linotype" w:hAnsi="Palatino Linotype" w:cs="Palatino Linotype"/>
          <w:b/>
        </w:rPr>
        <w:t>016063/INFOEM/IP/RR/2022</w:t>
      </w:r>
      <w:r w:rsidRPr="00C7081F">
        <w:rPr>
          <w:rFonts w:ascii="Palatino Linotype" w:eastAsia="Palatino Linotype" w:hAnsi="Palatino Linotype" w:cs="Palatino Linotype"/>
        </w:rPr>
        <w:t>,</w:t>
      </w:r>
      <w:r w:rsidRPr="00C7081F">
        <w:rPr>
          <w:rFonts w:ascii="Palatino Linotype" w:eastAsia="Palatino Linotype" w:hAnsi="Palatino Linotype" w:cs="Palatino Linotype"/>
          <w:b/>
        </w:rPr>
        <w:t xml:space="preserve"> </w:t>
      </w:r>
      <w:r w:rsidRPr="00C7081F">
        <w:rPr>
          <w:rFonts w:ascii="Palatino Linotype" w:eastAsia="Palatino Linotype" w:hAnsi="Palatino Linotype" w:cs="Palatino Linotype"/>
        </w:rPr>
        <w:t xml:space="preserve">promovido por </w:t>
      </w:r>
      <w:r w:rsidR="00184236">
        <w:rPr>
          <w:rFonts w:ascii="Palatino Linotype" w:eastAsia="Palatino Linotype" w:hAnsi="Palatino Linotype" w:cs="Palatino Linotype"/>
          <w:b/>
        </w:rPr>
        <w:t>XXX XXX</w:t>
      </w:r>
      <w:r w:rsidRPr="00C7081F">
        <w:rPr>
          <w:rFonts w:ascii="Palatino Linotype" w:eastAsia="Palatino Linotype" w:hAnsi="Palatino Linotype" w:cs="Palatino Linotype"/>
          <w:b/>
        </w:rPr>
        <w:t>,</w:t>
      </w:r>
      <w:r w:rsidRPr="00C7081F">
        <w:rPr>
          <w:rFonts w:ascii="Palatino Linotype" w:eastAsia="Palatino Linotype" w:hAnsi="Palatino Linotype" w:cs="Palatino Linotype"/>
        </w:rPr>
        <w:t xml:space="preserve"> a quien en lo sucesivo se le identificará como </w:t>
      </w:r>
      <w:r w:rsidRPr="00C7081F">
        <w:rPr>
          <w:rFonts w:ascii="Palatino Linotype" w:eastAsia="Palatino Linotype" w:hAnsi="Palatino Linotype" w:cs="Palatino Linotype"/>
          <w:b/>
        </w:rPr>
        <w:t>EL RECURRENTE</w:t>
      </w:r>
      <w:r w:rsidRPr="00C7081F">
        <w:rPr>
          <w:rFonts w:ascii="Palatino Linotype" w:eastAsia="Palatino Linotype" w:hAnsi="Palatino Linotype" w:cs="Palatino Linotype"/>
        </w:rPr>
        <w:t xml:space="preserve">, en contra de la respuesta del </w:t>
      </w:r>
      <w:r w:rsidRPr="00C7081F">
        <w:rPr>
          <w:rFonts w:ascii="Palatino Linotype" w:eastAsia="Palatino Linotype" w:hAnsi="Palatino Linotype" w:cs="Palatino Linotype"/>
          <w:b/>
        </w:rPr>
        <w:t xml:space="preserve">Ayuntamiento de Tultitlan, </w:t>
      </w:r>
      <w:r w:rsidRPr="00C7081F">
        <w:rPr>
          <w:rFonts w:ascii="Palatino Linotype" w:eastAsia="Palatino Linotype" w:hAnsi="Palatino Linotype" w:cs="Palatino Linotype"/>
        </w:rPr>
        <w:t xml:space="preserve">en </w:t>
      </w:r>
      <w:r w:rsidR="00C7081F">
        <w:rPr>
          <w:rFonts w:ascii="Palatino Linotype" w:eastAsia="Palatino Linotype" w:hAnsi="Palatino Linotype" w:cs="Palatino Linotype"/>
        </w:rPr>
        <w:t>adelante</w:t>
      </w:r>
      <w:r w:rsidRPr="00C7081F">
        <w:rPr>
          <w:rFonts w:ascii="Palatino Linotype" w:eastAsia="Palatino Linotype" w:hAnsi="Palatino Linotype" w:cs="Palatino Linotype"/>
        </w:rPr>
        <w:t xml:space="preserve"> el</w:t>
      </w:r>
      <w:r w:rsidRPr="00C7081F">
        <w:rPr>
          <w:rFonts w:ascii="Palatino Linotype" w:eastAsia="Palatino Linotype" w:hAnsi="Palatino Linotype" w:cs="Palatino Linotype"/>
          <w:b/>
        </w:rPr>
        <w:t xml:space="preserve"> SUJETO OBLIGADO</w:t>
      </w:r>
      <w:r w:rsidRPr="00C7081F">
        <w:rPr>
          <w:rFonts w:ascii="Palatino Linotype" w:eastAsia="Palatino Linotype" w:hAnsi="Palatino Linotype" w:cs="Palatino Linotype"/>
        </w:rPr>
        <w:t>, se procede a dictar la presente resolución, con base en los siguientes:</w:t>
      </w:r>
    </w:p>
    <w:p w14:paraId="35BBA212" w14:textId="77777777" w:rsidR="008B41E1" w:rsidRPr="00C7081F" w:rsidRDefault="008B41E1">
      <w:pPr>
        <w:spacing w:line="360" w:lineRule="auto"/>
        <w:jc w:val="both"/>
        <w:rPr>
          <w:rFonts w:ascii="Palatino Linotype" w:eastAsia="Palatino Linotype" w:hAnsi="Palatino Linotype" w:cs="Palatino Linotype"/>
        </w:rPr>
      </w:pPr>
    </w:p>
    <w:p w14:paraId="35BBA213" w14:textId="77777777" w:rsidR="008B41E1" w:rsidRPr="00C7081F" w:rsidRDefault="000F4881">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C7081F">
        <w:rPr>
          <w:rFonts w:ascii="Palatino Linotype" w:eastAsia="Palatino Linotype" w:hAnsi="Palatino Linotype" w:cs="Palatino Linotype"/>
          <w:b/>
          <w:color w:val="000000"/>
          <w:sz w:val="24"/>
          <w:szCs w:val="24"/>
        </w:rPr>
        <w:t>ANTECEDENTES</w:t>
      </w:r>
    </w:p>
    <w:p w14:paraId="35BBA214" w14:textId="77777777" w:rsidR="008B41E1" w:rsidRPr="00C7081F" w:rsidRDefault="008B41E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BBA215" w14:textId="77777777" w:rsidR="008B41E1" w:rsidRPr="00C7081F" w:rsidRDefault="000F4881">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El día tres de octubre de dos mil veintidós</w:t>
      </w:r>
      <w:r w:rsidRPr="00C7081F">
        <w:rPr>
          <w:rFonts w:ascii="Palatino Linotype" w:eastAsia="Palatino Linotype" w:hAnsi="Palatino Linotype" w:cs="Palatino Linotype"/>
          <w:b/>
          <w:color w:val="000000"/>
        </w:rPr>
        <w:t xml:space="preserve">, </w:t>
      </w:r>
      <w:r w:rsidRPr="00C7081F">
        <w:rPr>
          <w:rFonts w:ascii="Palatino Linotype" w:eastAsia="Palatino Linotype" w:hAnsi="Palatino Linotype" w:cs="Palatino Linotype"/>
          <w:color w:val="000000"/>
        </w:rPr>
        <w:t xml:space="preserve">se presentó ante el </w:t>
      </w:r>
      <w:r w:rsidRPr="00C7081F">
        <w:rPr>
          <w:rFonts w:ascii="Palatino Linotype" w:eastAsia="Palatino Linotype" w:hAnsi="Palatino Linotype" w:cs="Palatino Linotype"/>
          <w:b/>
          <w:color w:val="000000"/>
        </w:rPr>
        <w:t>SUJETO OBLIGADO</w:t>
      </w:r>
      <w:r w:rsidRPr="00C7081F">
        <w:rPr>
          <w:rFonts w:ascii="Palatino Linotype" w:eastAsia="Palatino Linotype" w:hAnsi="Palatino Linotype" w:cs="Palatino Linotype"/>
          <w:color w:val="000000"/>
        </w:rPr>
        <w:t xml:space="preserve"> vía SAIMEX, la solicitud de información pública registrada con el número</w:t>
      </w:r>
      <w:r w:rsidRPr="00C7081F">
        <w:rPr>
          <w:rFonts w:ascii="Palatino Linotype" w:eastAsia="Palatino Linotype" w:hAnsi="Palatino Linotype" w:cs="Palatino Linotype"/>
          <w:b/>
          <w:color w:val="000000"/>
        </w:rPr>
        <w:t xml:space="preserve">   00247/TULTITLA/IP/2022; </w:t>
      </w:r>
      <w:r w:rsidR="00C7081F">
        <w:rPr>
          <w:rFonts w:ascii="Palatino Linotype" w:eastAsia="Palatino Linotype" w:hAnsi="Palatino Linotype" w:cs="Palatino Linotype"/>
          <w:color w:val="000000"/>
        </w:rPr>
        <w:t>en la que</w:t>
      </w:r>
      <w:r w:rsidRPr="00C7081F">
        <w:rPr>
          <w:rFonts w:ascii="Palatino Linotype" w:eastAsia="Palatino Linotype" w:hAnsi="Palatino Linotype" w:cs="Palatino Linotype"/>
          <w:color w:val="000000"/>
        </w:rPr>
        <w:t xml:space="preserve"> se solicitó la siguiente información:</w:t>
      </w:r>
    </w:p>
    <w:p w14:paraId="35BBA216" w14:textId="77777777" w:rsidR="008B41E1" w:rsidRPr="00C7081F" w:rsidRDefault="008B41E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BBA217" w14:textId="77777777" w:rsidR="008B41E1" w:rsidRPr="00C7081F" w:rsidRDefault="000F4881">
      <w:pPr>
        <w:pBdr>
          <w:top w:val="nil"/>
          <w:left w:val="nil"/>
          <w:bottom w:val="nil"/>
          <w:right w:val="nil"/>
          <w:between w:val="nil"/>
        </w:pBdr>
        <w:spacing w:line="360" w:lineRule="auto"/>
        <w:ind w:left="426" w:right="474"/>
        <w:jc w:val="both"/>
        <w:rPr>
          <w:rFonts w:ascii="Palatino Linotype" w:eastAsia="Palatino Linotype" w:hAnsi="Palatino Linotype" w:cs="Palatino Linotype"/>
          <w:i/>
          <w:color w:val="000000"/>
        </w:rPr>
      </w:pPr>
      <w:r w:rsidRPr="00C7081F">
        <w:rPr>
          <w:rFonts w:ascii="Palatino Linotype" w:eastAsia="Palatino Linotype" w:hAnsi="Palatino Linotype" w:cs="Palatino Linotype"/>
          <w:i/>
          <w:color w:val="000000"/>
        </w:rPr>
        <w:t xml:space="preserve">“saber cual fue el ultimo acto de autoridad en el cual se autoriza y se aprueba el aumento salarial a los policías de seguridad publica en especifico, de cuanto fue el aumento al salario, si fue universal o hubo excepciones, de cuanto era el salario del policia (servidor publico) Guillermo Callejas Chávez antes y después del aumento así como al momento de que el ayuntamiento lo separo del cargo, información solicitada a la presidenta </w:t>
      </w:r>
      <w:r w:rsidRPr="00C7081F">
        <w:rPr>
          <w:rFonts w:ascii="Palatino Linotype" w:eastAsia="Palatino Linotype" w:hAnsi="Palatino Linotype" w:cs="Palatino Linotype"/>
          <w:i/>
          <w:color w:val="000000"/>
        </w:rPr>
        <w:lastRenderedPageBreak/>
        <w:t>municipal reelecta, tesorero municipal, recursos humanos y departamento de nomina, esto por estar bajo los principios de trasparencia y rendicion de cuentas.”</w:t>
      </w:r>
    </w:p>
    <w:p w14:paraId="35BBA218" w14:textId="77777777" w:rsidR="008B41E1" w:rsidRPr="00C7081F" w:rsidRDefault="008B41E1">
      <w:pPr>
        <w:pBdr>
          <w:top w:val="nil"/>
          <w:left w:val="nil"/>
          <w:bottom w:val="nil"/>
          <w:right w:val="nil"/>
          <w:between w:val="nil"/>
        </w:pBdr>
        <w:spacing w:line="360" w:lineRule="auto"/>
        <w:ind w:left="426" w:right="474"/>
        <w:jc w:val="both"/>
        <w:rPr>
          <w:rFonts w:ascii="Palatino Linotype" w:eastAsia="Palatino Linotype" w:hAnsi="Palatino Linotype" w:cs="Palatino Linotype"/>
          <w:i/>
          <w:color w:val="000000"/>
        </w:rPr>
      </w:pPr>
    </w:p>
    <w:p w14:paraId="35BBA219" w14:textId="77777777" w:rsidR="008B41E1" w:rsidRPr="00C7081F" w:rsidRDefault="000F4881">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C7081F">
        <w:rPr>
          <w:rFonts w:ascii="Palatino Linotype" w:eastAsia="Palatino Linotype" w:hAnsi="Palatino Linotype" w:cs="Palatino Linotype"/>
          <w:color w:val="000000"/>
        </w:rPr>
        <w:t xml:space="preserve">De lo anterior, el veinte de octubre de dos mil veintidós, el </w:t>
      </w:r>
      <w:r w:rsidRPr="00C7081F">
        <w:rPr>
          <w:rFonts w:ascii="Palatino Linotype" w:eastAsia="Palatino Linotype" w:hAnsi="Palatino Linotype" w:cs="Palatino Linotype"/>
          <w:b/>
          <w:color w:val="000000"/>
        </w:rPr>
        <w:t xml:space="preserve">SUJETO OBLIGADO </w:t>
      </w:r>
      <w:r w:rsidRPr="00C7081F">
        <w:rPr>
          <w:rFonts w:ascii="Palatino Linotype" w:eastAsia="Palatino Linotype" w:hAnsi="Palatino Linotype" w:cs="Palatino Linotype"/>
          <w:color w:val="000000"/>
        </w:rPr>
        <w:t xml:space="preserve">emitió el acuerdo de prórroga para atender la solicitud de información número </w:t>
      </w:r>
      <w:r w:rsidRPr="00C7081F">
        <w:rPr>
          <w:rFonts w:ascii="Palatino Linotype" w:eastAsia="Palatino Linotype" w:hAnsi="Palatino Linotype" w:cs="Palatino Linotype"/>
          <w:b/>
          <w:color w:val="000000"/>
        </w:rPr>
        <w:t>00247/TULTITLA/IP/2022.</w:t>
      </w:r>
    </w:p>
    <w:p w14:paraId="35BBA21A" w14:textId="77777777" w:rsidR="008B41E1" w:rsidRPr="00C7081F" w:rsidRDefault="008B41E1">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35BBA21B" w14:textId="77777777" w:rsidR="008B41E1" w:rsidRPr="00C7081F" w:rsidRDefault="000F4881">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C7081F">
        <w:rPr>
          <w:rFonts w:ascii="Palatino Linotype" w:eastAsia="Palatino Linotype" w:hAnsi="Palatino Linotype" w:cs="Palatino Linotype"/>
          <w:color w:val="000000"/>
        </w:rPr>
        <w:t xml:space="preserve">Posteriormente el uno de noviembre de dos mil veintidós </w:t>
      </w:r>
      <w:r w:rsidRPr="00C7081F">
        <w:rPr>
          <w:rFonts w:ascii="Palatino Linotype" w:eastAsia="Palatino Linotype" w:hAnsi="Palatino Linotype" w:cs="Palatino Linotype"/>
          <w:b/>
          <w:color w:val="000000"/>
        </w:rPr>
        <w:t xml:space="preserve">SUJETO OBLIGADO </w:t>
      </w:r>
      <w:r w:rsidRPr="00C7081F">
        <w:rPr>
          <w:rFonts w:ascii="Palatino Linotype" w:eastAsia="Palatino Linotype" w:hAnsi="Palatino Linotype" w:cs="Palatino Linotype"/>
          <w:color w:val="000000"/>
        </w:rPr>
        <w:t>dio respuesta a la solicitud dos veces, mediante el siguiente documento:</w:t>
      </w:r>
    </w:p>
    <w:p w14:paraId="35BBA21C" w14:textId="77777777" w:rsidR="008B41E1" w:rsidRPr="00C7081F" w:rsidRDefault="000F4881">
      <w:pPr>
        <w:spacing w:line="360" w:lineRule="auto"/>
        <w:ind w:left="567" w:right="474"/>
        <w:jc w:val="both"/>
        <w:rPr>
          <w:rFonts w:ascii="Palatino Linotype" w:eastAsia="Palatino Linotype" w:hAnsi="Palatino Linotype" w:cs="Palatino Linotype"/>
          <w:b/>
          <w:i/>
          <w:color w:val="000000"/>
          <w:sz w:val="22"/>
        </w:rPr>
      </w:pPr>
      <w:r w:rsidRPr="00C7081F">
        <w:rPr>
          <w:rFonts w:ascii="Palatino Linotype" w:eastAsia="Palatino Linotype" w:hAnsi="Palatino Linotype" w:cs="Palatino Linotype"/>
          <w:b/>
          <w:i/>
          <w:color w:val="000000"/>
          <w:sz w:val="22"/>
        </w:rPr>
        <w:t xml:space="preserve">Respuesta única: </w:t>
      </w:r>
    </w:p>
    <w:p w14:paraId="35BBA21D" w14:textId="77777777" w:rsidR="008B41E1" w:rsidRPr="00C7081F" w:rsidRDefault="000F4881">
      <w:pPr>
        <w:pBdr>
          <w:top w:val="nil"/>
          <w:left w:val="nil"/>
          <w:bottom w:val="nil"/>
          <w:right w:val="nil"/>
          <w:between w:val="nil"/>
        </w:pBdr>
        <w:spacing w:line="360" w:lineRule="auto"/>
        <w:ind w:left="567" w:right="474"/>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“Acta de la Novena Sesión Extraordinaria del Comité de Transparencia del Ayuntamiento de Tultitlán, Estado de México, mediante la cual la Directora de Administración, manifiesta que la información solicitada si existe por parte de la </w:t>
      </w:r>
      <w:r w:rsidRPr="00C7081F">
        <w:rPr>
          <w:rFonts w:ascii="Palatino Linotype" w:eastAsia="Palatino Linotype" w:hAnsi="Palatino Linotype" w:cs="Palatino Linotype"/>
          <w:b/>
          <w:i/>
          <w:color w:val="000000"/>
          <w:sz w:val="22"/>
        </w:rPr>
        <w:t xml:space="preserve">SUBDIRECCIÓN DE RECURSOS HUMANOS, </w:t>
      </w:r>
      <w:r w:rsidRPr="00C7081F">
        <w:rPr>
          <w:rFonts w:ascii="Palatino Linotype" w:eastAsia="Palatino Linotype" w:hAnsi="Palatino Linotype" w:cs="Palatino Linotype"/>
          <w:i/>
          <w:color w:val="000000"/>
          <w:sz w:val="22"/>
        </w:rPr>
        <w:t xml:space="preserve">pero que el entregarla vulneraría la conducción de los expedientes judiciales o procedimientos administrativos seguidos en forma juicio que no han concluido. </w:t>
      </w:r>
    </w:p>
    <w:p w14:paraId="35BBA21E" w14:textId="77777777" w:rsidR="008B41E1" w:rsidRPr="00C7081F" w:rsidRDefault="000F4881">
      <w:pPr>
        <w:pBdr>
          <w:top w:val="nil"/>
          <w:left w:val="nil"/>
          <w:bottom w:val="nil"/>
          <w:right w:val="nil"/>
          <w:between w:val="nil"/>
        </w:pBdr>
        <w:spacing w:line="360" w:lineRule="auto"/>
        <w:ind w:left="567" w:right="474"/>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Así mismo, en la información que se remite se observa que la Comisión de Honor y Justicia y la Secretaría Técnica del Consejo de Seguridad Ciudadana confirman que existe investigación y procedimiento administrativo abierto y vigente en la siguiente ubicación: </w:t>
      </w:r>
    </w:p>
    <w:p w14:paraId="35BBA21F" w14:textId="77777777" w:rsidR="008B41E1" w:rsidRPr="00C7081F" w:rsidRDefault="000F4881">
      <w:pPr>
        <w:pBdr>
          <w:top w:val="nil"/>
          <w:left w:val="nil"/>
          <w:bottom w:val="nil"/>
          <w:right w:val="nil"/>
          <w:between w:val="nil"/>
        </w:pBdr>
        <w:spacing w:line="360" w:lineRule="auto"/>
        <w:ind w:left="567" w:right="474"/>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 Juicio: S99 2021 en la Sexta Sala Regional </w:t>
      </w:r>
    </w:p>
    <w:p w14:paraId="35BBA220" w14:textId="77777777" w:rsidR="008B41E1" w:rsidRPr="00C7081F" w:rsidRDefault="000F4881">
      <w:pPr>
        <w:pBdr>
          <w:top w:val="nil"/>
          <w:left w:val="nil"/>
          <w:bottom w:val="nil"/>
          <w:right w:val="nil"/>
          <w:between w:val="nil"/>
        </w:pBdr>
        <w:spacing w:line="360" w:lineRule="auto"/>
        <w:ind w:left="567" w:right="474"/>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Recurso de Revisión: 1108/2022 Tercera Sección de la Sala Superior</w:t>
      </w:r>
    </w:p>
    <w:p w14:paraId="35BBA221" w14:textId="77777777" w:rsidR="008B41E1" w:rsidRPr="00C7081F" w:rsidRDefault="000F4881">
      <w:pPr>
        <w:pBdr>
          <w:top w:val="nil"/>
          <w:left w:val="nil"/>
          <w:bottom w:val="nil"/>
          <w:right w:val="nil"/>
          <w:between w:val="nil"/>
        </w:pBdr>
        <w:spacing w:line="360" w:lineRule="auto"/>
        <w:ind w:left="567" w:right="474"/>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En ese sentido, se observa que mediante el acuerdo CT/SE9/31/10/2022, se declaración la clasificación de la información como reservada. </w:t>
      </w:r>
    </w:p>
    <w:p w14:paraId="35BBA222" w14:textId="77777777" w:rsidR="008B41E1" w:rsidRPr="00C7081F" w:rsidRDefault="000F4881">
      <w:pPr>
        <w:pBdr>
          <w:top w:val="nil"/>
          <w:left w:val="nil"/>
          <w:bottom w:val="nil"/>
          <w:right w:val="nil"/>
          <w:between w:val="nil"/>
        </w:pBdr>
        <w:spacing w:line="360" w:lineRule="auto"/>
        <w:ind w:left="567" w:right="474"/>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Posteriormente se puede observar el oficio TM/3430/2022 del trece de octubre de dos mil veintidós, mediante el cual el Tesorero Municipal, solicita amablemente que la petición por </w:t>
      </w:r>
      <w:r w:rsidRPr="00C7081F">
        <w:rPr>
          <w:rFonts w:ascii="Palatino Linotype" w:eastAsia="Palatino Linotype" w:hAnsi="Palatino Linotype" w:cs="Palatino Linotype"/>
          <w:i/>
          <w:color w:val="000000"/>
          <w:sz w:val="22"/>
        </w:rPr>
        <w:lastRenderedPageBreak/>
        <w:t xml:space="preserve">parte de la Unidad de Transparencia se turne al área competente, ya que es un tema que se encuentra fuera de las funciones de dicha tesorería. </w:t>
      </w:r>
    </w:p>
    <w:p w14:paraId="35BBA223" w14:textId="77777777" w:rsidR="008B41E1" w:rsidRPr="00C7081F" w:rsidRDefault="000F4881">
      <w:pPr>
        <w:pBdr>
          <w:top w:val="nil"/>
          <w:left w:val="nil"/>
          <w:bottom w:val="nil"/>
          <w:right w:val="nil"/>
          <w:between w:val="nil"/>
        </w:pBdr>
        <w:spacing w:line="360" w:lineRule="auto"/>
        <w:ind w:left="567" w:right="474"/>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Por último, en respuesta se anexo la respuesta del Director de Seguridad Ciudadana, Vialidad y Protección Civil, con el oficio DSCVYPC/CJ/60132022 del seis de octubre de dos mil veintidós, mediante el cual informan que lo solicitado no compete a dicha área, por lo que, no se cuenta la información requerida por el solicitante…”</w:t>
      </w:r>
    </w:p>
    <w:p w14:paraId="35BBA224" w14:textId="77777777" w:rsidR="008B41E1" w:rsidRPr="00C7081F" w:rsidRDefault="008B41E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BBA225" w14:textId="77777777" w:rsidR="008B41E1" w:rsidRPr="00C7081F" w:rsidRDefault="000F4881">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Por lo que, inconforme con la respuesta, en fecha dos de noviembre de dos mil veintidós, el particular interpuso el recurso de revisión de mérito, manifestando las siguientes razones o motivos de inconformidad:</w:t>
      </w:r>
    </w:p>
    <w:p w14:paraId="35BBA226" w14:textId="77777777" w:rsidR="008B41E1" w:rsidRPr="00C7081F" w:rsidRDefault="000F4881">
      <w:pPr>
        <w:numPr>
          <w:ilvl w:val="0"/>
          <w:numId w:val="7"/>
        </w:numPr>
        <w:pBdr>
          <w:top w:val="nil"/>
          <w:left w:val="nil"/>
          <w:bottom w:val="nil"/>
          <w:right w:val="nil"/>
          <w:between w:val="nil"/>
        </w:pBdr>
        <w:spacing w:line="360" w:lineRule="auto"/>
        <w:ind w:right="474"/>
        <w:jc w:val="both"/>
        <w:rPr>
          <w:rFonts w:ascii="Palatino Linotype" w:eastAsia="Palatino Linotype" w:hAnsi="Palatino Linotype" w:cs="Palatino Linotype"/>
          <w:i/>
          <w:color w:val="000000"/>
          <w:sz w:val="22"/>
        </w:rPr>
      </w:pPr>
      <w:bookmarkStart w:id="1" w:name="_heading=h.30j0zll" w:colFirst="0" w:colLast="0"/>
      <w:bookmarkEnd w:id="1"/>
      <w:r w:rsidRPr="00C7081F">
        <w:rPr>
          <w:rFonts w:ascii="Palatino Linotype" w:eastAsia="Palatino Linotype" w:hAnsi="Palatino Linotype" w:cs="Palatino Linotype"/>
          <w:b/>
          <w:color w:val="000000"/>
          <w:sz w:val="22"/>
        </w:rPr>
        <w:t xml:space="preserve">Acto impugnado: </w:t>
      </w:r>
      <w:r w:rsidRPr="00C7081F">
        <w:rPr>
          <w:rFonts w:ascii="Palatino Linotype" w:eastAsia="Palatino Linotype" w:hAnsi="Palatino Linotype" w:cs="Palatino Linotype"/>
          <w:i/>
          <w:color w:val="000000"/>
          <w:sz w:val="22"/>
        </w:rPr>
        <w:t>“la respuesta de fecha 01 de Noviembre de 2022 por parte del C. AARON MANUEL RUIZ ZUBIETA responsable de la unidad de información del Ayuntamiento de Tultitlán a la solicitud: 00247/TULTITLA/IP/2022 de fecha 03 de octubre de 2022 la cual da por reservada la información requerida.</w:t>
      </w:r>
      <w:r w:rsidRPr="00C7081F">
        <w:rPr>
          <w:rFonts w:ascii="Palatino Linotype" w:eastAsia="Palatino Linotype" w:hAnsi="Palatino Linotype" w:cs="Palatino Linotype"/>
          <w:color w:val="000000"/>
          <w:sz w:val="22"/>
        </w:rPr>
        <w:t xml:space="preserve">” </w:t>
      </w:r>
    </w:p>
    <w:p w14:paraId="35BBA227" w14:textId="7B288938" w:rsidR="008B41E1" w:rsidRPr="00C7081F" w:rsidRDefault="000F4881">
      <w:pPr>
        <w:numPr>
          <w:ilvl w:val="0"/>
          <w:numId w:val="7"/>
        </w:numPr>
        <w:pBdr>
          <w:top w:val="nil"/>
          <w:left w:val="nil"/>
          <w:bottom w:val="nil"/>
          <w:right w:val="nil"/>
          <w:between w:val="nil"/>
        </w:pBdr>
        <w:spacing w:line="360" w:lineRule="auto"/>
        <w:ind w:right="474"/>
        <w:jc w:val="both"/>
        <w:rPr>
          <w:rFonts w:ascii="Palatino Linotype" w:eastAsia="Palatino Linotype" w:hAnsi="Palatino Linotype" w:cs="Palatino Linotype"/>
          <w:i/>
          <w:color w:val="000000"/>
          <w:sz w:val="22"/>
        </w:rPr>
      </w:pPr>
      <w:bookmarkStart w:id="2" w:name="_heading=h.1fob9te" w:colFirst="0" w:colLast="0"/>
      <w:bookmarkEnd w:id="2"/>
      <w:r w:rsidRPr="00C7081F">
        <w:rPr>
          <w:rFonts w:ascii="Palatino Linotype" w:eastAsia="Palatino Linotype" w:hAnsi="Palatino Linotype" w:cs="Palatino Linotype"/>
          <w:b/>
          <w:color w:val="000000"/>
          <w:sz w:val="22"/>
        </w:rPr>
        <w:t xml:space="preserve">Razones o Motivos de inconformidad: </w:t>
      </w:r>
      <w:r w:rsidRPr="00C7081F">
        <w:rPr>
          <w:rFonts w:ascii="Palatino Linotype" w:eastAsia="Palatino Linotype" w:hAnsi="Palatino Linotype" w:cs="Palatino Linotype"/>
          <w:i/>
          <w:color w:val="000000"/>
          <w:sz w:val="22"/>
        </w:rPr>
        <w:t xml:space="preserve">“Que en términos de los artículos 1, 5, 8 de la Constitución Política Mexicana, así como los artículos 176, 177,178 y 179 fracción II de la Ley de Transparencia y Acceso a la Información Pública del Estado de México se interpone Recurso de Revisión por las siguientes razones y motivos: que en fecha 03 de agosto de 2022 solicite al ayuntamiento de Tultitlan Estado de México información referente a los siguientes puntos: 1. Saber cual fue el ultimo acto de autoridad en el cual se autoriza y se aprueba el aumento salarial a los policías de seguridad publica en especifico, de cuanto fue el aumento al salario. 2. En relación a la solicitud del punto 1 saber si fue universal o hubo excepciones. 3 . De cuanto era el salario del policía (servidor publico) Guillermo Callejas Chávez antes y después del aumento así como al momento de que el ayuntamiento lo separo del cargo, información solicitada a la presidenta municipal reelecta, tesorero municipal, </w:t>
      </w:r>
      <w:r w:rsidRPr="00C7081F">
        <w:rPr>
          <w:rFonts w:ascii="Palatino Linotype" w:eastAsia="Palatino Linotype" w:hAnsi="Palatino Linotype" w:cs="Palatino Linotype"/>
          <w:i/>
          <w:color w:val="000000"/>
          <w:sz w:val="22"/>
        </w:rPr>
        <w:lastRenderedPageBreak/>
        <w:t xml:space="preserve">recursos humanos y departamento de nomina, esto por estar bajo los principios de trasparencia y rendición de cuentas. Sin embargo a pesar de que se le otorgo prorroga para su contestación. El día 01 de noviembre la contestación, que no fue por parte de ninguna de las autoridades mencionadas, fue en razón de que la información había sido considerada como RESERVADA por así solicitarlo la Dirección de Administración, SOLICITUD NI PROCEDIMIENTO que se adjunte a la respuesta dada a este recurrente, DONDE JUSTIFIQUE el porqué de la clasificación de la información solicitada en los números 1 y 2 de este recurso, por que no basta con decir por que es clasificada sino que tiene que fundar y motivar dicha afirmación y que además conste por escrito esto es que se me muestre el procedimiento llevado a cabo para tales efectos , entonces las autoridades obligadas no observan el articulo 1 párrafo tercero y vulneran el derecho fundamental del articulo 5 y el derecho humano de legalidad contenido en el articulo 16 todos de la Carta Magna pues me crea incertidumbre e inseguridad jurídica al no fundar ni motivar las razones por las cuales la Dirección en mención decidió que la información solicitada en cuanto a los aumentos de salario a los integrantes de seguridad pública según se desprende de mi petición que hoy se recurre , se considerara RESERVADA , ya que los actos de autoridad tendientes aumentar el salario de los integrantes de seguridad publica y de Guillermo Callejas Chávez siendo este un ex servidor publico de Tultitlan tal información debe considerarse de orden publico e interés general y el clasificar dichos actos atenta contra el principio de rendición de cuentas y el derecho a la transparencia e información publica por parte de la autoridad obligada ya que todos los ciudadanos debemos saber de cuanto fue el aumento salarial de los servidores públicos policías de Tultitlan ya que los recursos públicos para el pago de los policías se desprenden nuestros impuestos . En ese orden la autoridad señala que hay dos investigaciones y procedimientos en curso el S99/2021 del que desconozco totalmente su existencia y no me puedo pronunciar al respecto y el 1108/2022 sin especificar que relación tienen estos procedimientos con la solicitud planeada ya que solo fundamenta y motiva esta </w:t>
      </w:r>
      <w:r w:rsidRPr="00C7081F">
        <w:rPr>
          <w:rFonts w:ascii="Palatino Linotype" w:eastAsia="Palatino Linotype" w:hAnsi="Palatino Linotype" w:cs="Palatino Linotype"/>
          <w:i/>
          <w:color w:val="000000"/>
          <w:sz w:val="22"/>
        </w:rPr>
        <w:lastRenderedPageBreak/>
        <w:t xml:space="preserve">parte con indicar QUE SE VULNERA LA CONDUCCION DE EXPEDIENTES JUDICIAL O ADMINISTRATIVOS, por lo que la autoridad TAMPOCO ME DA A CONOCER LOS MOTIVOS del porque se afectaría la conducción de los procedimientos antes mencionados y LA RELACION QUE TIENEN CON DICHA INFORMACION , esto es que su respuesta es confusa y me causa incertidumbre e inseguridad jurídica por falta de fundamentación y motivación argumentos que se sostienen con la siguiente tesis :( TRIBUNAL DE JUSTICIA ADMINISTRATIVA DEL ESTADO DE MEXICO, JURISPRUDENCIA PE-9 FUNDAMENTACIÓN Y MOTIVACIÓN DEL ACTO IMPUGNADO. SE DEBEN EXPRESAR EN EL MOMENTO DE PRODUCIRSE. Al señalar el artículo 16 de la Constitución General de la República que todo acto de autoridad debe estar debidamente fundado y motivado, exige que tanto las disposiciones legales como las circunstancias o motivos aplicables al caso se mencionen al producirse dicho acto, sin que puedan suplirse estos requisitos en las contestaciones de demanda de los juicios de lo contencioso administrativo o en cualquier otro escrito que formulen con posterioridad las autoridades responsables.) Quiero expresar mi extrañamiento por la injerencia de la Comisión de Honor y Justicia del Ayuntamiento de Tultitlan sin que sea autoridad obligada en la petición realizada y no justifique funde y motive la relación entre lo peticionado y los procedimientos que esta proporciona a dar la información solicitada y que no que no sean las autoridades obligadas quienes contesten la petición. Por lo antes expuesto solicito respetuosamente se sirva PRIMERO tener por presentado el presente recurso en tiempo y forma , SEGUNDO la concesión de la suplencia de la queja y TERCERO por la vulneración de derechos humanos y fundamentales se en atención al articulo 1 párrafo tercero se obligue a las autoridades a la entrega de la información solicitada . Protesto lo necesario. </w:t>
      </w:r>
      <w:r w:rsidR="00184236">
        <w:rPr>
          <w:rFonts w:ascii="Palatino Linotype" w:eastAsia="Palatino Linotype" w:hAnsi="Palatino Linotype" w:cs="Palatino Linotype"/>
          <w:i/>
          <w:color w:val="000000"/>
          <w:sz w:val="22"/>
        </w:rPr>
        <w:t>XXX XXX XXX</w:t>
      </w:r>
      <w:r w:rsidRPr="00C7081F">
        <w:rPr>
          <w:rFonts w:ascii="Palatino Linotype" w:eastAsia="Palatino Linotype" w:hAnsi="Palatino Linotype" w:cs="Palatino Linotype"/>
          <w:i/>
          <w:color w:val="000000"/>
          <w:sz w:val="22"/>
        </w:rPr>
        <w:t>”</w:t>
      </w:r>
    </w:p>
    <w:p w14:paraId="35BBA228" w14:textId="77777777" w:rsidR="008B41E1" w:rsidRPr="00C7081F" w:rsidRDefault="008B41E1">
      <w:pPr>
        <w:pBdr>
          <w:top w:val="nil"/>
          <w:left w:val="nil"/>
          <w:bottom w:val="nil"/>
          <w:right w:val="nil"/>
          <w:between w:val="nil"/>
        </w:pBdr>
        <w:spacing w:line="360" w:lineRule="auto"/>
        <w:ind w:left="1004"/>
        <w:jc w:val="both"/>
        <w:rPr>
          <w:rFonts w:ascii="Palatino Linotype" w:eastAsia="Palatino Linotype" w:hAnsi="Palatino Linotype" w:cs="Palatino Linotype"/>
          <w:i/>
          <w:color w:val="000000"/>
        </w:rPr>
      </w:pPr>
    </w:p>
    <w:p w14:paraId="35BBA229" w14:textId="77777777" w:rsidR="008B41E1" w:rsidRPr="00C7081F" w:rsidRDefault="000F4881">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C7081F">
        <w:rPr>
          <w:rFonts w:ascii="Palatino Linotype" w:eastAsia="Palatino Linotype" w:hAnsi="Palatino Linotype" w:cs="Palatino Linotype"/>
          <w:color w:val="000000"/>
        </w:rPr>
        <w:lastRenderedPageBreak/>
        <w:t xml:space="preserve">La Comisionada Ponente con fundamento en lo dispuesto por el artículo 185 fracción II de la ley de la materia, a través del acuerdo de admisión de fecha nueve de noviembre de dos mil veintidós, se puso a disposición de las partes el expediente electrónico vía </w:t>
      </w:r>
      <w:r w:rsidRPr="00C7081F">
        <w:rPr>
          <w:rFonts w:ascii="Palatino Linotype" w:eastAsia="Palatino Linotype" w:hAnsi="Palatino Linotype" w:cs="Palatino Linotype"/>
          <w:b/>
          <w:color w:val="000000"/>
        </w:rPr>
        <w:t xml:space="preserve">SAIMEX </w:t>
      </w:r>
      <w:r w:rsidRPr="00C7081F">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sidRPr="00C7081F">
        <w:rPr>
          <w:rFonts w:ascii="Palatino Linotype" w:eastAsia="Palatino Linotype" w:hAnsi="Palatino Linotype" w:cs="Palatino Linotype"/>
          <w:b/>
          <w:color w:val="000000"/>
        </w:rPr>
        <w:t>SUJETO OBLIGADO</w:t>
      </w:r>
      <w:r w:rsidRPr="00C7081F">
        <w:rPr>
          <w:rFonts w:ascii="Palatino Linotype" w:eastAsia="Palatino Linotype" w:hAnsi="Palatino Linotype" w:cs="Palatino Linotype"/>
          <w:color w:val="000000"/>
        </w:rPr>
        <w:t xml:space="preserve"> presentará el Informe Justificado procedente.</w:t>
      </w:r>
    </w:p>
    <w:p w14:paraId="35BBA22A" w14:textId="77777777" w:rsidR="008B41E1" w:rsidRPr="00C7081F" w:rsidRDefault="008B41E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BBA22B" w14:textId="77777777" w:rsidR="008B41E1" w:rsidRPr="00C7081F" w:rsidRDefault="000F4881">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De lo anterior, El </w:t>
      </w:r>
      <w:r w:rsidRPr="00C7081F">
        <w:rPr>
          <w:rFonts w:ascii="Palatino Linotype" w:eastAsia="Palatino Linotype" w:hAnsi="Palatino Linotype" w:cs="Palatino Linotype"/>
          <w:b/>
          <w:color w:val="000000"/>
        </w:rPr>
        <w:t xml:space="preserve">SUJETO OBLIGADO </w:t>
      </w:r>
      <w:r w:rsidRPr="00C7081F">
        <w:rPr>
          <w:rFonts w:ascii="Palatino Linotype" w:eastAsia="Palatino Linotype" w:hAnsi="Palatino Linotype" w:cs="Palatino Linotype"/>
          <w:color w:val="000000"/>
        </w:rPr>
        <w:t xml:space="preserve">y el  </w:t>
      </w:r>
      <w:r w:rsidRPr="00C7081F">
        <w:rPr>
          <w:rFonts w:ascii="Palatino Linotype" w:eastAsia="Palatino Linotype" w:hAnsi="Palatino Linotype" w:cs="Palatino Linotype"/>
          <w:b/>
          <w:color w:val="000000"/>
        </w:rPr>
        <w:t xml:space="preserve">PARTICULAR </w:t>
      </w:r>
      <w:r w:rsidRPr="00C7081F">
        <w:rPr>
          <w:rFonts w:ascii="Palatino Linotype" w:eastAsia="Palatino Linotype" w:hAnsi="Palatino Linotype" w:cs="Palatino Linotype"/>
          <w:color w:val="000000"/>
        </w:rPr>
        <w:t>dejaron de realizar manifestaciones que a su derecho conviniera y asistiera, respectivamente.</w:t>
      </w:r>
    </w:p>
    <w:p w14:paraId="35BBA22C" w14:textId="77777777" w:rsidR="008B41E1" w:rsidRPr="00C7081F" w:rsidRDefault="008B41E1">
      <w:pPr>
        <w:spacing w:line="360" w:lineRule="auto"/>
        <w:jc w:val="both"/>
        <w:rPr>
          <w:rFonts w:ascii="Palatino Linotype" w:eastAsia="Palatino Linotype" w:hAnsi="Palatino Linotype" w:cs="Palatino Linotype"/>
        </w:rPr>
      </w:pPr>
    </w:p>
    <w:p w14:paraId="35BBA22D"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b/>
          <w:color w:val="000000"/>
        </w:rPr>
      </w:pPr>
      <w:r w:rsidRPr="00C7081F">
        <w:rPr>
          <w:rFonts w:ascii="Palatino Linotype" w:eastAsia="Palatino Linotype" w:hAnsi="Palatino Linotype" w:cs="Palatino Linotype"/>
        </w:rPr>
        <w:t>En fecha veinticuatro de enero de dos mil veintitrés, se amplió el término para resolver; al respecto es menester realizar las siguientes precisiones.</w:t>
      </w:r>
    </w:p>
    <w:p w14:paraId="35BBA22E" w14:textId="77777777" w:rsidR="008B41E1" w:rsidRPr="00C7081F" w:rsidRDefault="008B41E1">
      <w:pPr>
        <w:spacing w:line="360" w:lineRule="auto"/>
        <w:rPr>
          <w:rFonts w:ascii="Palatino Linotype" w:eastAsia="Palatino Linotype" w:hAnsi="Palatino Linotype" w:cs="Palatino Linotype"/>
        </w:rPr>
      </w:pPr>
    </w:p>
    <w:p w14:paraId="35BBA22F" w14:textId="77777777" w:rsidR="008B41E1" w:rsidRPr="00C7081F" w:rsidRDefault="000F4881">
      <w:pPr>
        <w:numPr>
          <w:ilvl w:val="0"/>
          <w:numId w:val="3"/>
        </w:numPr>
        <w:spacing w:line="360" w:lineRule="auto"/>
        <w:jc w:val="both"/>
        <w:rPr>
          <w:rFonts w:ascii="Palatino Linotype" w:eastAsia="Palatino Linotype" w:hAnsi="Palatino Linotype" w:cs="Palatino Linotype"/>
          <w:b/>
          <w:color w:val="000000"/>
        </w:rPr>
      </w:pPr>
      <w:r w:rsidRPr="00C7081F">
        <w:rPr>
          <w:rFonts w:ascii="Palatino Linotype" w:eastAsia="Palatino Linotype" w:hAnsi="Palatino Linotype" w:cs="Palatino Linotype"/>
          <w:b/>
          <w:color w:val="000000"/>
        </w:rPr>
        <w:t>De previo y especial pronunciamiento. Argumentos a considerar en las resoluciones a los recursos de revisión para justificar los fallos emitidos fuera del plazo legal de 45 días.</w:t>
      </w:r>
    </w:p>
    <w:p w14:paraId="35BBA230"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t xml:space="preserve">Este Organismo Garante no pasa por alto justificar, que la dilación en la resolución del </w:t>
      </w:r>
      <w:r w:rsidRPr="00C7081F">
        <w:rPr>
          <w:rFonts w:ascii="Palatino Linotype" w:eastAsia="Palatino Linotype" w:hAnsi="Palatino Linotype" w:cs="Palatino Linotype"/>
          <w:color w:val="000000"/>
        </w:rPr>
        <w:t>presente</w:t>
      </w:r>
      <w:r w:rsidRPr="00C7081F">
        <w:rPr>
          <w:rFonts w:ascii="Palatino Linotype" w:eastAsia="Palatino Linotype" w:hAnsi="Palatino Linotype" w:cs="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w:t>
      </w:r>
      <w:r w:rsidRPr="00C7081F">
        <w:rPr>
          <w:rFonts w:ascii="Palatino Linotype" w:eastAsia="Palatino Linotype" w:hAnsi="Palatino Linotype" w:cs="Palatino Linotype"/>
        </w:rPr>
        <w:lastRenderedPageBreak/>
        <w:t>capacidades técnicas y humanas del personal encargado de la proyección de las resoluciones a dichos medios de impugnación.</w:t>
      </w:r>
    </w:p>
    <w:p w14:paraId="35BBA231" w14:textId="77777777" w:rsidR="008B41E1" w:rsidRPr="00C7081F" w:rsidRDefault="008B41E1">
      <w:pPr>
        <w:spacing w:line="360" w:lineRule="auto"/>
        <w:jc w:val="both"/>
        <w:rPr>
          <w:rFonts w:ascii="Palatino Linotype" w:eastAsia="Palatino Linotype" w:hAnsi="Palatino Linotype" w:cs="Palatino Linotype"/>
        </w:rPr>
      </w:pPr>
    </w:p>
    <w:p w14:paraId="35BBA232"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5BBA233" w14:textId="77777777" w:rsidR="008B41E1" w:rsidRPr="00C7081F" w:rsidRDefault="008B41E1">
      <w:pPr>
        <w:spacing w:line="360" w:lineRule="auto"/>
        <w:ind w:left="720"/>
        <w:rPr>
          <w:rFonts w:ascii="Palatino Linotype" w:eastAsia="Palatino Linotype" w:hAnsi="Palatino Linotype" w:cs="Palatino Linotype"/>
        </w:rPr>
      </w:pPr>
    </w:p>
    <w:p w14:paraId="35BBA234"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5BBA235" w14:textId="77777777" w:rsidR="008B41E1" w:rsidRPr="00C7081F" w:rsidRDefault="008B41E1">
      <w:pPr>
        <w:spacing w:line="360" w:lineRule="auto"/>
        <w:ind w:left="720"/>
        <w:rPr>
          <w:rFonts w:ascii="Palatino Linotype" w:eastAsia="Palatino Linotype" w:hAnsi="Palatino Linotype" w:cs="Palatino Linotype"/>
        </w:rPr>
      </w:pPr>
    </w:p>
    <w:p w14:paraId="35BBA236"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5BBA237" w14:textId="77777777" w:rsidR="008B41E1" w:rsidRPr="00C7081F" w:rsidRDefault="008B41E1">
      <w:pPr>
        <w:spacing w:line="360" w:lineRule="auto"/>
        <w:ind w:left="720"/>
        <w:rPr>
          <w:rFonts w:ascii="Palatino Linotype" w:eastAsia="Palatino Linotype" w:hAnsi="Palatino Linotype" w:cs="Palatino Linotype"/>
        </w:rPr>
      </w:pPr>
    </w:p>
    <w:p w14:paraId="35BBA238"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35BBA239" w14:textId="77777777" w:rsidR="008B41E1" w:rsidRPr="00C7081F" w:rsidRDefault="008B41E1">
      <w:pPr>
        <w:spacing w:line="360" w:lineRule="auto"/>
        <w:jc w:val="both"/>
        <w:rPr>
          <w:rFonts w:ascii="Palatino Linotype" w:eastAsia="Palatino Linotype" w:hAnsi="Palatino Linotype" w:cs="Palatino Linotype"/>
        </w:rPr>
      </w:pPr>
    </w:p>
    <w:p w14:paraId="35BBA23A" w14:textId="77777777" w:rsidR="008B41E1" w:rsidRPr="00C7081F" w:rsidRDefault="000F4881">
      <w:pPr>
        <w:numPr>
          <w:ilvl w:val="0"/>
          <w:numId w:val="2"/>
        </w:numPr>
        <w:spacing w:line="360" w:lineRule="auto"/>
        <w:jc w:val="both"/>
        <w:rPr>
          <w:rFonts w:ascii="Palatino Linotype" w:eastAsia="Palatino Linotype" w:hAnsi="Palatino Linotype" w:cs="Palatino Linotype"/>
          <w:sz w:val="22"/>
        </w:rPr>
      </w:pPr>
      <w:r w:rsidRPr="00C7081F">
        <w:rPr>
          <w:rFonts w:ascii="Palatino Linotype" w:eastAsia="Palatino Linotype" w:hAnsi="Palatino Linotype" w:cs="Palatino Linotype"/>
          <w:sz w:val="22"/>
        </w:rPr>
        <w:lastRenderedPageBreak/>
        <w:t xml:space="preserve">Complejidad del Asunto: La complejidad de la prueba, la pluralidad de sujetos procesales, el tiempo transcurrido, las características y contexto del recurso. </w:t>
      </w:r>
    </w:p>
    <w:p w14:paraId="35BBA23B" w14:textId="77777777" w:rsidR="008B41E1" w:rsidRPr="00C7081F" w:rsidRDefault="000F4881">
      <w:pPr>
        <w:numPr>
          <w:ilvl w:val="0"/>
          <w:numId w:val="2"/>
        </w:numPr>
        <w:spacing w:line="360" w:lineRule="auto"/>
        <w:jc w:val="both"/>
        <w:rPr>
          <w:rFonts w:ascii="Palatino Linotype" w:eastAsia="Palatino Linotype" w:hAnsi="Palatino Linotype" w:cs="Palatino Linotype"/>
          <w:sz w:val="22"/>
        </w:rPr>
      </w:pPr>
      <w:r w:rsidRPr="00C7081F">
        <w:rPr>
          <w:rFonts w:ascii="Palatino Linotype" w:eastAsia="Palatino Linotype" w:hAnsi="Palatino Linotype" w:cs="Palatino Linotype"/>
          <w:sz w:val="22"/>
        </w:rPr>
        <w:t>Actividad Procesal del interesado. Acciones u omisiones del interesado.</w:t>
      </w:r>
    </w:p>
    <w:p w14:paraId="35BBA23C" w14:textId="77777777" w:rsidR="008B41E1" w:rsidRPr="00C7081F" w:rsidRDefault="000F4881">
      <w:pPr>
        <w:numPr>
          <w:ilvl w:val="0"/>
          <w:numId w:val="2"/>
        </w:numPr>
        <w:spacing w:line="360" w:lineRule="auto"/>
        <w:jc w:val="both"/>
        <w:rPr>
          <w:rFonts w:ascii="Palatino Linotype" w:eastAsia="Palatino Linotype" w:hAnsi="Palatino Linotype" w:cs="Palatino Linotype"/>
          <w:sz w:val="22"/>
        </w:rPr>
      </w:pPr>
      <w:r w:rsidRPr="00C7081F">
        <w:rPr>
          <w:rFonts w:ascii="Palatino Linotype" w:eastAsia="Palatino Linotype" w:hAnsi="Palatino Linotype" w:cs="Palatino Linotype"/>
          <w:sz w:val="22"/>
        </w:rPr>
        <w:t>Conducta de la Autoridad: Las Acciones u omisiones realizadas en el procedimiento. Así como si la autoridad actuó con la debida diligencia.</w:t>
      </w:r>
    </w:p>
    <w:p w14:paraId="35BBA23D" w14:textId="77777777" w:rsidR="008B41E1" w:rsidRPr="00C7081F" w:rsidRDefault="000F4881">
      <w:pPr>
        <w:spacing w:line="360" w:lineRule="auto"/>
        <w:ind w:left="851" w:hanging="284"/>
        <w:jc w:val="both"/>
        <w:rPr>
          <w:rFonts w:ascii="Palatino Linotype" w:eastAsia="Palatino Linotype" w:hAnsi="Palatino Linotype" w:cs="Palatino Linotype"/>
          <w:sz w:val="22"/>
        </w:rPr>
      </w:pPr>
      <w:r w:rsidRPr="00C7081F">
        <w:rPr>
          <w:rFonts w:ascii="Palatino Linotype" w:eastAsia="Palatino Linotype" w:hAnsi="Palatino Linotype" w:cs="Palatino Linotype"/>
          <w:sz w:val="22"/>
        </w:rPr>
        <w:t>d) La afectación generada en la situación jurídica de la persona involucrada en el proceso: Violación a sus derechos humanos.</w:t>
      </w:r>
    </w:p>
    <w:p w14:paraId="35BBA23E" w14:textId="77777777" w:rsidR="008B41E1" w:rsidRPr="00C7081F" w:rsidRDefault="008B41E1">
      <w:pPr>
        <w:spacing w:line="360" w:lineRule="auto"/>
        <w:ind w:left="851" w:hanging="284"/>
        <w:jc w:val="both"/>
        <w:rPr>
          <w:rFonts w:ascii="Palatino Linotype" w:eastAsia="Palatino Linotype" w:hAnsi="Palatino Linotype" w:cs="Palatino Linotype"/>
        </w:rPr>
      </w:pPr>
    </w:p>
    <w:p w14:paraId="35BBA23F"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5BBA240" w14:textId="77777777" w:rsidR="008B41E1" w:rsidRPr="00C7081F" w:rsidRDefault="008B41E1">
      <w:pPr>
        <w:spacing w:line="360" w:lineRule="auto"/>
        <w:jc w:val="both"/>
        <w:rPr>
          <w:rFonts w:ascii="Palatino Linotype" w:eastAsia="Palatino Linotype" w:hAnsi="Palatino Linotype" w:cs="Palatino Linotype"/>
        </w:rPr>
      </w:pPr>
    </w:p>
    <w:p w14:paraId="35BBA241"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b/>
        </w:rPr>
      </w:pPr>
      <w:r w:rsidRPr="00C7081F">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C7081F">
        <w:rPr>
          <w:rFonts w:ascii="Palatino Linotype" w:eastAsia="Palatino Linotype" w:hAnsi="Palatino Linotype" w:cs="Palatino Linotype"/>
          <w:i/>
        </w:rPr>
        <w:t xml:space="preserve">“TÉRMINOS PROCESALES. PARA DETERMINAR SI UN FUNCIONARIO JUDICIAL ACTUÓ </w:t>
      </w:r>
      <w:r w:rsidRPr="00C7081F">
        <w:rPr>
          <w:rFonts w:ascii="Palatino Linotype" w:eastAsia="Palatino Linotype" w:hAnsi="Palatino Linotype" w:cs="Palatino Linotype"/>
        </w:rPr>
        <w:t>INDEBIDAMENTE</w:t>
      </w:r>
      <w:r w:rsidRPr="00C7081F">
        <w:rPr>
          <w:rFonts w:ascii="Palatino Linotype" w:eastAsia="Palatino Linotype" w:hAnsi="Palatino Linotype" w:cs="Palatino Linotype"/>
          <w:i/>
        </w:rPr>
        <w:t xml:space="preserve"> POR NO RESPETARLOS SE DEBE ATENDER AL PRESUPUESTO QUE CONSIDERÓ EL LEGISLADOR AL FIJARLOS Y LAS CARACTERÍSTICAS DEL CASO.”</w:t>
      </w:r>
      <w:r w:rsidRPr="00C7081F">
        <w:rPr>
          <w:rFonts w:ascii="Palatino Linotype" w:eastAsia="Palatino Linotype" w:hAnsi="Palatino Linotype" w:cs="Palatino Linotype"/>
        </w:rPr>
        <w:t>, visible en la Gaceta del Seminario Judicial de la Federación con el registro digital 205635.</w:t>
      </w:r>
    </w:p>
    <w:p w14:paraId="35BBA242" w14:textId="77777777" w:rsidR="008B41E1" w:rsidRPr="00C7081F" w:rsidRDefault="008B41E1">
      <w:pPr>
        <w:spacing w:line="360" w:lineRule="auto"/>
        <w:jc w:val="both"/>
        <w:rPr>
          <w:rFonts w:ascii="Palatino Linotype" w:eastAsia="Palatino Linotype" w:hAnsi="Palatino Linotype" w:cs="Palatino Linotype"/>
        </w:rPr>
      </w:pPr>
    </w:p>
    <w:p w14:paraId="35BBA243"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w:t>
      </w:r>
      <w:r w:rsidRPr="00C7081F">
        <w:rPr>
          <w:rFonts w:ascii="Palatino Linotype" w:eastAsia="Palatino Linotype" w:hAnsi="Palatino Linotype" w:cs="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5BBA244" w14:textId="77777777" w:rsidR="008B41E1" w:rsidRPr="00C7081F" w:rsidRDefault="008B41E1">
      <w:pPr>
        <w:spacing w:line="360" w:lineRule="auto"/>
        <w:ind w:left="720"/>
        <w:rPr>
          <w:rFonts w:ascii="Palatino Linotype" w:eastAsia="Palatino Linotype" w:hAnsi="Palatino Linotype" w:cs="Palatino Linotype"/>
        </w:rPr>
      </w:pPr>
    </w:p>
    <w:p w14:paraId="35BBA245"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5BBA246" w14:textId="77777777" w:rsidR="008B41E1" w:rsidRPr="00C7081F" w:rsidRDefault="008B41E1">
      <w:pPr>
        <w:spacing w:line="360" w:lineRule="auto"/>
        <w:jc w:val="both"/>
        <w:rPr>
          <w:rFonts w:ascii="Palatino Linotype" w:eastAsia="Palatino Linotype" w:hAnsi="Palatino Linotype" w:cs="Palatino Linotype"/>
        </w:rPr>
      </w:pPr>
    </w:p>
    <w:p w14:paraId="35BBA247"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5BBA248" w14:textId="77777777" w:rsidR="008B41E1" w:rsidRPr="00C7081F" w:rsidRDefault="000F4881">
      <w:pPr>
        <w:spacing w:line="360" w:lineRule="auto"/>
        <w:ind w:left="425" w:right="476"/>
        <w:jc w:val="both"/>
        <w:rPr>
          <w:rFonts w:ascii="Palatino Linotype" w:eastAsia="Palatino Linotype" w:hAnsi="Palatino Linotype" w:cs="Palatino Linotype"/>
          <w:sz w:val="22"/>
        </w:rPr>
      </w:pPr>
      <w:r w:rsidRPr="00C7081F">
        <w:rPr>
          <w:rFonts w:ascii="Palatino Linotype" w:eastAsia="Palatino Linotype" w:hAnsi="Palatino Linotype" w:cs="Palatino Linotype"/>
        </w:rPr>
        <w:t xml:space="preserve"> </w:t>
      </w:r>
      <w:r w:rsidRPr="00C7081F">
        <w:rPr>
          <w:rFonts w:ascii="Palatino Linotype" w:eastAsia="Palatino Linotype" w:hAnsi="Palatino Linotype" w:cs="Palatino Linotype"/>
          <w:i/>
          <w:sz w:val="22"/>
        </w:rPr>
        <w:t>“PLAZO RAZONABLE PARA RESOLVER. DIMENSIÓN Y EFECTOS DE ESTE CONCEPTO CUANDO SE ADUCE EXCESIVA CARGA DE TRABAJO.”</w:t>
      </w:r>
      <w:r w:rsidRPr="00C7081F">
        <w:rPr>
          <w:rFonts w:ascii="Palatino Linotype" w:eastAsia="Palatino Linotype" w:hAnsi="Palatino Linotype" w:cs="Palatino Linotype"/>
          <w:sz w:val="22"/>
        </w:rPr>
        <w:t xml:space="preserve"> consultable en el Seminario Judicial de la Federación y su gaceta, con el registro digital 2002351.</w:t>
      </w:r>
    </w:p>
    <w:p w14:paraId="35BBA249" w14:textId="77777777" w:rsidR="008B41E1" w:rsidRPr="00C7081F" w:rsidRDefault="008B41E1">
      <w:pPr>
        <w:spacing w:line="360" w:lineRule="auto"/>
        <w:ind w:left="425" w:right="476"/>
        <w:jc w:val="both"/>
        <w:rPr>
          <w:rFonts w:ascii="Palatino Linotype" w:eastAsia="Palatino Linotype" w:hAnsi="Palatino Linotype" w:cs="Palatino Linotype"/>
          <w:b/>
          <w:sz w:val="22"/>
        </w:rPr>
      </w:pPr>
    </w:p>
    <w:p w14:paraId="35BBA24A" w14:textId="77777777" w:rsidR="008B41E1" w:rsidRPr="00C7081F" w:rsidRDefault="000F4881">
      <w:pPr>
        <w:spacing w:line="360" w:lineRule="auto"/>
        <w:ind w:left="425" w:right="476"/>
        <w:jc w:val="both"/>
        <w:rPr>
          <w:rFonts w:ascii="Palatino Linotype" w:eastAsia="Palatino Linotype" w:hAnsi="Palatino Linotype" w:cs="Palatino Linotype"/>
          <w:sz w:val="22"/>
        </w:rPr>
      </w:pPr>
      <w:r w:rsidRPr="00C7081F">
        <w:rPr>
          <w:rFonts w:ascii="Palatino Linotype" w:eastAsia="Palatino Linotype" w:hAnsi="Palatino Linotype" w:cs="Palatino Linotype"/>
          <w:i/>
          <w:sz w:val="22"/>
        </w:rPr>
        <w:t>“PLAZO RAZONABLE PARA RESOLVER. CONCEPTO Y ELEMENTOS QUE LO INTEGRAN A LA LUZ DEL DERECHO INTERNACIONAL DE LOS DERECHOS HUMANOS.”</w:t>
      </w:r>
      <w:r w:rsidRPr="00C7081F">
        <w:rPr>
          <w:rFonts w:ascii="Palatino Linotype" w:eastAsia="Palatino Linotype" w:hAnsi="Palatino Linotype" w:cs="Palatino Linotype"/>
          <w:sz w:val="22"/>
        </w:rPr>
        <w:t>, visible en el Seminario Judicial de la Federación y su gaceta, con el registro digital 2002350.”</w:t>
      </w:r>
    </w:p>
    <w:p w14:paraId="35BBA24B"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lastRenderedPageBreak/>
        <w:t>Seguidamente el día veinte de febrero de dos mil veinticuatro, se decretó el cierre de instrucción y --------------------------------------------------------------------------------</w:t>
      </w:r>
      <w:r w:rsidR="00C7081F">
        <w:rPr>
          <w:rFonts w:ascii="Palatino Linotype" w:eastAsia="Palatino Linotype" w:hAnsi="Palatino Linotype" w:cs="Palatino Linotype"/>
        </w:rPr>
        <w:t>-------------</w:t>
      </w:r>
    </w:p>
    <w:p w14:paraId="35BBA24C" w14:textId="77777777" w:rsidR="008B41E1" w:rsidRPr="00C7081F" w:rsidRDefault="008B41E1">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35BBA24D" w14:textId="77777777" w:rsidR="008B41E1" w:rsidRPr="00C7081F" w:rsidRDefault="000F4881">
      <w:pPr>
        <w:pStyle w:val="Ttulo1"/>
        <w:spacing w:before="0" w:line="360" w:lineRule="auto"/>
        <w:jc w:val="center"/>
        <w:rPr>
          <w:rFonts w:ascii="Palatino Linotype" w:eastAsia="Palatino Linotype" w:hAnsi="Palatino Linotype" w:cs="Palatino Linotype"/>
          <w:b/>
          <w:color w:val="000000"/>
          <w:sz w:val="24"/>
          <w:szCs w:val="24"/>
        </w:rPr>
      </w:pPr>
      <w:bookmarkStart w:id="3" w:name="_heading=h.3znysh7" w:colFirst="0" w:colLast="0"/>
      <w:bookmarkEnd w:id="3"/>
      <w:r w:rsidRPr="00C7081F">
        <w:rPr>
          <w:rFonts w:ascii="Palatino Linotype" w:eastAsia="Palatino Linotype" w:hAnsi="Palatino Linotype" w:cs="Palatino Linotype"/>
          <w:b/>
          <w:color w:val="000000"/>
          <w:sz w:val="24"/>
          <w:szCs w:val="24"/>
        </w:rPr>
        <w:t>CONSIDERANDO</w:t>
      </w:r>
    </w:p>
    <w:p w14:paraId="35BBA24E" w14:textId="77777777" w:rsidR="008B41E1" w:rsidRPr="00C7081F" w:rsidRDefault="008B41E1">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p>
    <w:p w14:paraId="35BBA24F" w14:textId="77777777" w:rsidR="008B41E1" w:rsidRPr="00C7081F" w:rsidRDefault="000F4881">
      <w:pPr>
        <w:pStyle w:val="Ttulo2"/>
        <w:spacing w:before="0" w:line="360" w:lineRule="auto"/>
        <w:rPr>
          <w:rFonts w:ascii="Palatino Linotype" w:eastAsia="Palatino Linotype" w:hAnsi="Palatino Linotype" w:cs="Palatino Linotype"/>
          <w:b/>
          <w:color w:val="000000"/>
          <w:sz w:val="24"/>
          <w:szCs w:val="24"/>
        </w:rPr>
      </w:pPr>
      <w:r w:rsidRPr="00C7081F">
        <w:rPr>
          <w:rFonts w:ascii="Palatino Linotype" w:eastAsia="Palatino Linotype" w:hAnsi="Palatino Linotype" w:cs="Palatino Linotype"/>
          <w:b/>
          <w:color w:val="000000"/>
          <w:sz w:val="24"/>
          <w:szCs w:val="24"/>
        </w:rPr>
        <w:t>PRIMERO. De la competencia</w:t>
      </w:r>
    </w:p>
    <w:p w14:paraId="35BBA250"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Este </w:t>
      </w:r>
      <w:r w:rsidRPr="00C7081F">
        <w:rPr>
          <w:rFonts w:ascii="Palatino Linotype" w:eastAsia="Palatino Linotype" w:hAnsi="Palatino Linotype" w:cs="Palatino Linotype"/>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5BBA251" w14:textId="77777777" w:rsidR="008B41E1" w:rsidRPr="00C7081F" w:rsidRDefault="000F4881">
      <w:pPr>
        <w:spacing w:line="360" w:lineRule="auto"/>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 </w:t>
      </w:r>
    </w:p>
    <w:p w14:paraId="35BBA252" w14:textId="77777777" w:rsidR="008B41E1" w:rsidRPr="00C7081F" w:rsidRDefault="000F4881">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C7081F">
        <w:rPr>
          <w:rFonts w:ascii="Palatino Linotype" w:eastAsia="Palatino Linotype" w:hAnsi="Palatino Linotype" w:cs="Palatino Linotype"/>
          <w:b/>
          <w:color w:val="000000"/>
          <w:sz w:val="24"/>
          <w:szCs w:val="24"/>
        </w:rPr>
        <w:t>SEGUNDO. De la oportunidad y procedencia.</w:t>
      </w:r>
    </w:p>
    <w:p w14:paraId="35BBA253" w14:textId="77777777" w:rsidR="008B41E1" w:rsidRPr="00C7081F" w:rsidRDefault="000F4881">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El medio de impugnación fue presentado a través del </w:t>
      </w:r>
      <w:r w:rsidRPr="00C7081F">
        <w:rPr>
          <w:rFonts w:ascii="Palatino Linotype" w:eastAsia="Palatino Linotype" w:hAnsi="Palatino Linotype" w:cs="Palatino Linotype"/>
          <w:b/>
          <w:color w:val="000000"/>
        </w:rPr>
        <w:t>SAIMEX,</w:t>
      </w:r>
      <w:r w:rsidRPr="00C7081F">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C7081F">
        <w:rPr>
          <w:rFonts w:ascii="Palatino Linotype" w:eastAsia="Palatino Linotype" w:hAnsi="Palatino Linotype" w:cs="Palatino Linotype"/>
          <w:b/>
          <w:color w:val="000000"/>
        </w:rPr>
        <w:t>SUJETO OBLIGADO</w:t>
      </w:r>
      <w:r w:rsidRPr="00C7081F">
        <w:rPr>
          <w:rFonts w:ascii="Palatino Linotype" w:eastAsia="Palatino Linotype" w:hAnsi="Palatino Linotype" w:cs="Palatino Linotype"/>
          <w:color w:val="000000"/>
        </w:rPr>
        <w:t xml:space="preserve"> entregó su respuesta el uno de noviembre de dos mil veintidós, de tal forma que el plazo para interponer el recurso de revisión transcurrió del tres al veinticuatro de noviembre de </w:t>
      </w:r>
      <w:r w:rsidRPr="00C7081F">
        <w:rPr>
          <w:rFonts w:ascii="Palatino Linotype" w:eastAsia="Palatino Linotype" w:hAnsi="Palatino Linotype" w:cs="Palatino Linotype"/>
          <w:color w:val="000000"/>
        </w:rPr>
        <w:lastRenderedPageBreak/>
        <w:t xml:space="preserve">dos mil veintidós; en consecuencia, el ahora </w:t>
      </w:r>
      <w:r w:rsidRPr="00C7081F">
        <w:rPr>
          <w:rFonts w:ascii="Palatino Linotype" w:eastAsia="Palatino Linotype" w:hAnsi="Palatino Linotype" w:cs="Palatino Linotype"/>
          <w:b/>
          <w:color w:val="000000"/>
        </w:rPr>
        <w:t>RECURRENTE</w:t>
      </w:r>
      <w:r w:rsidRPr="00C7081F">
        <w:rPr>
          <w:rFonts w:ascii="Palatino Linotype" w:eastAsia="Palatino Linotype" w:hAnsi="Palatino Linotype" w:cs="Palatino Linotype"/>
          <w:color w:val="000000"/>
        </w:rPr>
        <w:t xml:space="preserve"> presentó su inconformidad el día tres de noviembre de dos mil veintidós; es decir dentro del lapso legalmente establecido para tal efecto. </w:t>
      </w:r>
    </w:p>
    <w:p w14:paraId="35BBA254" w14:textId="77777777" w:rsidR="008B41E1" w:rsidRPr="00C7081F" w:rsidRDefault="008B41E1">
      <w:pPr>
        <w:spacing w:line="360" w:lineRule="auto"/>
        <w:rPr>
          <w:rFonts w:ascii="Palatino Linotype" w:eastAsia="Palatino Linotype" w:hAnsi="Palatino Linotype" w:cs="Palatino Linotype"/>
        </w:rPr>
      </w:pPr>
    </w:p>
    <w:p w14:paraId="35BBA255"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5BBA256" w14:textId="77777777" w:rsidR="008B41E1" w:rsidRPr="00C7081F" w:rsidRDefault="008B41E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BBA257" w14:textId="77777777" w:rsidR="008B41E1" w:rsidRPr="00C7081F" w:rsidRDefault="000F4881">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C7081F">
        <w:rPr>
          <w:rFonts w:ascii="Palatino Linotype" w:eastAsia="Palatino Linotype" w:hAnsi="Palatino Linotype" w:cs="Palatino Linotype"/>
          <w:b/>
          <w:color w:val="000000"/>
          <w:sz w:val="24"/>
          <w:szCs w:val="24"/>
        </w:rPr>
        <w:t xml:space="preserve">TERCERO. Del planteamiento de la </w:t>
      </w:r>
      <w:r w:rsidRPr="00C7081F">
        <w:rPr>
          <w:rFonts w:ascii="Palatino Linotype" w:eastAsia="Palatino Linotype" w:hAnsi="Palatino Linotype" w:cs="Palatino Linotype"/>
          <w:b/>
          <w:i/>
          <w:color w:val="000000"/>
          <w:sz w:val="24"/>
          <w:szCs w:val="24"/>
        </w:rPr>
        <w:t>Litis</w:t>
      </w:r>
    </w:p>
    <w:p w14:paraId="35BBA258" w14:textId="77777777" w:rsidR="008B41E1" w:rsidRPr="00C7081F" w:rsidRDefault="000F4881">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Se solicitó tener acceso, a la información que a continuación se desagrega:</w:t>
      </w:r>
    </w:p>
    <w:p w14:paraId="35BBA259" w14:textId="77777777" w:rsidR="008B41E1" w:rsidRPr="00C7081F" w:rsidRDefault="000F4881">
      <w:pPr>
        <w:numPr>
          <w:ilvl w:val="1"/>
          <w:numId w:val="8"/>
        </w:num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C7081F">
        <w:rPr>
          <w:rFonts w:ascii="Palatino Linotype" w:eastAsia="Palatino Linotype" w:hAnsi="Palatino Linotype" w:cs="Palatino Linotype"/>
          <w:b/>
          <w:color w:val="000000"/>
          <w:sz w:val="22"/>
        </w:rPr>
        <w:t>Último acto de autoridad en el cual se autoriza y se aprueba el aumento salarial a los policías de seguridad publica en específico;</w:t>
      </w:r>
    </w:p>
    <w:p w14:paraId="35BBA25A" w14:textId="77777777" w:rsidR="008B41E1" w:rsidRPr="00C7081F" w:rsidRDefault="000F4881">
      <w:pPr>
        <w:numPr>
          <w:ilvl w:val="1"/>
          <w:numId w:val="8"/>
        </w:num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C7081F">
        <w:rPr>
          <w:rFonts w:ascii="Palatino Linotype" w:eastAsia="Palatino Linotype" w:hAnsi="Palatino Linotype" w:cs="Palatino Linotype"/>
          <w:b/>
          <w:color w:val="000000"/>
          <w:sz w:val="22"/>
        </w:rPr>
        <w:t>Monto del aumento al salario, si fue universal o hubo excepciones; y</w:t>
      </w:r>
    </w:p>
    <w:p w14:paraId="35BBA25B" w14:textId="77777777" w:rsidR="008B41E1" w:rsidRPr="00C7081F" w:rsidRDefault="000F4881">
      <w:pPr>
        <w:numPr>
          <w:ilvl w:val="1"/>
          <w:numId w:val="8"/>
        </w:num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rPr>
      </w:pPr>
      <w:r w:rsidRPr="00C7081F">
        <w:rPr>
          <w:rFonts w:ascii="Palatino Linotype" w:eastAsia="Palatino Linotype" w:hAnsi="Palatino Linotype" w:cs="Palatino Linotype"/>
          <w:b/>
          <w:color w:val="000000"/>
          <w:sz w:val="22"/>
        </w:rPr>
        <w:t>Monto del salario del policía (servidor público) referido en la solicitud de información, antes y después del aumento, así como al momento de que el ayuntamiento lo separo del cargo.</w:t>
      </w:r>
    </w:p>
    <w:p w14:paraId="35BBA25C" w14:textId="77777777" w:rsidR="008B41E1" w:rsidRPr="00C7081F" w:rsidRDefault="008B41E1">
      <w:pPr>
        <w:pBdr>
          <w:top w:val="nil"/>
          <w:left w:val="nil"/>
          <w:bottom w:val="nil"/>
          <w:right w:val="nil"/>
          <w:between w:val="nil"/>
        </w:pBdr>
        <w:ind w:left="720"/>
        <w:rPr>
          <w:rFonts w:ascii="Palatino Linotype" w:eastAsia="Palatino Linotype" w:hAnsi="Palatino Linotype" w:cs="Palatino Linotype"/>
          <w:b/>
          <w:color w:val="000000"/>
        </w:rPr>
      </w:pPr>
    </w:p>
    <w:p w14:paraId="35BBA25D" w14:textId="77777777" w:rsidR="008B41E1" w:rsidRPr="00C7081F" w:rsidRDefault="000F4881">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En respuesta, el </w:t>
      </w:r>
      <w:r w:rsidRPr="00C7081F">
        <w:rPr>
          <w:rFonts w:ascii="Palatino Linotype" w:eastAsia="Palatino Linotype" w:hAnsi="Palatino Linotype" w:cs="Palatino Linotype"/>
          <w:b/>
          <w:color w:val="000000"/>
        </w:rPr>
        <w:t xml:space="preserve">SUJETO OBLIGADO </w:t>
      </w:r>
      <w:r w:rsidRPr="00C7081F">
        <w:rPr>
          <w:rFonts w:ascii="Palatino Linotype" w:eastAsia="Palatino Linotype" w:hAnsi="Palatino Linotype" w:cs="Palatino Linotype"/>
          <w:color w:val="000000"/>
        </w:rPr>
        <w:t xml:space="preserve">mediante oficio, respondió con un archivo electrónico cuyo contenido ya fue transcrito en el anterior Parrado 2, atento a lo anterior el ahora </w:t>
      </w:r>
      <w:r w:rsidRPr="00C7081F">
        <w:rPr>
          <w:rFonts w:ascii="Palatino Linotype" w:eastAsia="Palatino Linotype" w:hAnsi="Palatino Linotype" w:cs="Palatino Linotype"/>
          <w:b/>
          <w:color w:val="000000"/>
        </w:rPr>
        <w:t xml:space="preserve">RECURRENTE </w:t>
      </w:r>
      <w:r w:rsidRPr="00C7081F">
        <w:rPr>
          <w:rFonts w:ascii="Palatino Linotype" w:eastAsia="Palatino Linotype" w:hAnsi="Palatino Linotype" w:cs="Palatino Linotype"/>
          <w:color w:val="000000"/>
        </w:rPr>
        <w:t>se inconformó en contra de la reserva de la información requerida.</w:t>
      </w:r>
    </w:p>
    <w:p w14:paraId="35BBA25E" w14:textId="77777777" w:rsidR="008B41E1" w:rsidRPr="00C7081F" w:rsidRDefault="008B41E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BBA25F"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t xml:space="preserve">En dichas condiciones, la </w:t>
      </w:r>
      <w:r w:rsidRPr="00C7081F">
        <w:rPr>
          <w:rFonts w:ascii="Palatino Linotype" w:eastAsia="Palatino Linotype" w:hAnsi="Palatino Linotype" w:cs="Palatino Linotype"/>
          <w:i/>
        </w:rPr>
        <w:t>Litis</w:t>
      </w:r>
      <w:r w:rsidRPr="00C7081F">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C7081F">
        <w:rPr>
          <w:rFonts w:ascii="Palatino Linotype" w:eastAsia="Palatino Linotype" w:hAnsi="Palatino Linotype" w:cs="Palatino Linotype"/>
          <w:b/>
        </w:rPr>
        <w:t xml:space="preserve">fracción </w:t>
      </w:r>
      <w:r w:rsidRPr="00C7081F">
        <w:rPr>
          <w:rFonts w:ascii="Palatino Linotype" w:eastAsia="Palatino Linotype" w:hAnsi="Palatino Linotype" w:cs="Palatino Linotype"/>
          <w:b/>
        </w:rPr>
        <w:lastRenderedPageBreak/>
        <w:t xml:space="preserve">II </w:t>
      </w:r>
      <w:r w:rsidRPr="00C7081F">
        <w:rPr>
          <w:rFonts w:ascii="Palatino Linotype" w:eastAsia="Palatino Linotype" w:hAnsi="Palatino Linotype" w:cs="Palatino Linotype"/>
        </w:rPr>
        <w:t xml:space="preserve">de la </w:t>
      </w:r>
      <w:r w:rsidRPr="00C7081F">
        <w:rPr>
          <w:rFonts w:ascii="Palatino Linotype" w:eastAsia="Palatino Linotype" w:hAnsi="Palatino Linotype" w:cs="Palatino Linotype"/>
          <w:b/>
        </w:rPr>
        <w:t>Ley de Transparencia y Acceso a la Información Pública del Estado de México y Municipios</w:t>
      </w:r>
      <w:r w:rsidRPr="00C7081F">
        <w:rPr>
          <w:rFonts w:ascii="Palatino Linotype" w:eastAsia="Palatino Linotype" w:hAnsi="Palatino Linotype" w:cs="Palatino Linotype"/>
        </w:rPr>
        <w:t xml:space="preserve">; </w:t>
      </w:r>
      <w:r w:rsidRPr="00C7081F">
        <w:rPr>
          <w:rFonts w:ascii="Palatino Linotype" w:eastAsia="Palatino Linotype" w:hAnsi="Palatino Linotype" w:cs="Palatino Linotype"/>
          <w:color w:val="000000"/>
        </w:rPr>
        <w:t xml:space="preserve">fracción que determina la hipótesis jurídica relativa a la clasificación de la información de lo solicitado; </w:t>
      </w:r>
      <w:r w:rsidRPr="00C7081F">
        <w:rPr>
          <w:rFonts w:ascii="Palatino Linotype" w:eastAsia="Palatino Linotype" w:hAnsi="Palatino Linotype" w:cs="Palatino Linotype"/>
        </w:rPr>
        <w:t xml:space="preserve">contexto del cual se dolió </w:t>
      </w:r>
      <w:r w:rsidRPr="00C7081F">
        <w:rPr>
          <w:rFonts w:ascii="Palatino Linotype" w:eastAsia="Palatino Linotype" w:hAnsi="Palatino Linotype" w:cs="Palatino Linotype"/>
          <w:b/>
        </w:rPr>
        <w:t xml:space="preserve">EL RECURRENTE </w:t>
      </w:r>
      <w:r w:rsidRPr="00C7081F">
        <w:rPr>
          <w:rFonts w:ascii="Palatino Linotype" w:eastAsia="Palatino Linotype" w:hAnsi="Palatino Linotype" w:cs="Palatino Linotype"/>
        </w:rPr>
        <w:t>al momento de interponer su inconformidad.</w:t>
      </w:r>
      <w:r w:rsidRPr="00C7081F">
        <w:rPr>
          <w:rFonts w:ascii="Palatino Linotype" w:eastAsia="Palatino Linotype" w:hAnsi="Palatino Linotype" w:cs="Palatino Linotype"/>
          <w:color w:val="000000"/>
        </w:rPr>
        <w:t xml:space="preserve"> </w:t>
      </w:r>
    </w:p>
    <w:p w14:paraId="35BBA260" w14:textId="77777777" w:rsidR="008B41E1" w:rsidRPr="00C7081F" w:rsidRDefault="008B41E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5BBA261"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color w:val="000000"/>
        </w:rPr>
        <w:t xml:space="preserve">De modo tal que el presente recurso de revisión se abocara en determinar si el </w:t>
      </w:r>
      <w:r w:rsidRPr="00C7081F">
        <w:rPr>
          <w:rFonts w:ascii="Palatino Linotype" w:eastAsia="Palatino Linotype" w:hAnsi="Palatino Linotype" w:cs="Palatino Linotype"/>
          <w:b/>
          <w:color w:val="000000"/>
        </w:rPr>
        <w:t>SUJETO</w:t>
      </w:r>
      <w:r w:rsidRPr="00C7081F">
        <w:rPr>
          <w:rFonts w:ascii="Palatino Linotype" w:eastAsia="Palatino Linotype" w:hAnsi="Palatino Linotype" w:cs="Palatino Linotype"/>
          <w:color w:val="000000"/>
        </w:rPr>
        <w:t xml:space="preserve"> </w:t>
      </w:r>
      <w:r w:rsidRPr="00C7081F">
        <w:rPr>
          <w:rFonts w:ascii="Palatino Linotype" w:eastAsia="Palatino Linotype" w:hAnsi="Palatino Linotype" w:cs="Palatino Linotype"/>
          <w:b/>
          <w:color w:val="000000"/>
        </w:rPr>
        <w:t>OBLIGADO</w:t>
      </w:r>
      <w:r w:rsidRPr="00C7081F">
        <w:rPr>
          <w:rFonts w:ascii="Palatino Linotype" w:eastAsia="Palatino Linotype" w:hAnsi="Palatino Linotype" w:cs="Palatino Linotype"/>
          <w:color w:val="000000"/>
        </w:rPr>
        <w:t xml:space="preserve"> con su respuesta ciertamente actualiza la causal de procedencia 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35BBA262" w14:textId="77777777" w:rsidR="008B41E1" w:rsidRPr="00C7081F" w:rsidRDefault="008B41E1">
      <w:pPr>
        <w:spacing w:line="360" w:lineRule="auto"/>
        <w:jc w:val="both"/>
        <w:rPr>
          <w:rFonts w:ascii="Palatino Linotype" w:eastAsia="Palatino Linotype" w:hAnsi="Palatino Linotype" w:cs="Palatino Linotype"/>
        </w:rPr>
      </w:pPr>
    </w:p>
    <w:p w14:paraId="35BBA263" w14:textId="77777777" w:rsidR="008B41E1" w:rsidRPr="00C7081F" w:rsidRDefault="000F4881">
      <w:pPr>
        <w:pStyle w:val="Ttulo2"/>
        <w:spacing w:before="0" w:line="360" w:lineRule="auto"/>
        <w:rPr>
          <w:rFonts w:ascii="Palatino Linotype" w:eastAsia="Palatino Linotype" w:hAnsi="Palatino Linotype" w:cs="Palatino Linotype"/>
          <w:b/>
          <w:color w:val="000000"/>
          <w:sz w:val="24"/>
          <w:szCs w:val="24"/>
        </w:rPr>
      </w:pPr>
      <w:r w:rsidRPr="00C7081F">
        <w:rPr>
          <w:rFonts w:ascii="Palatino Linotype" w:eastAsia="Palatino Linotype" w:hAnsi="Palatino Linotype" w:cs="Palatino Linotype"/>
          <w:b/>
          <w:color w:val="000000"/>
          <w:sz w:val="24"/>
          <w:szCs w:val="24"/>
        </w:rPr>
        <w:t>CUARTO. Del estudio y resolución del estudio.</w:t>
      </w:r>
    </w:p>
    <w:p w14:paraId="35BBA264" w14:textId="77777777" w:rsidR="008B41E1" w:rsidRPr="00C7081F" w:rsidRDefault="000F4881">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7081F">
        <w:rPr>
          <w:rFonts w:ascii="Palatino Linotype" w:eastAsia="Palatino Linotype" w:hAnsi="Palatino Linotype" w:cs="Palatino Linotype"/>
          <w:b/>
          <w:color w:val="000000"/>
        </w:rPr>
        <w:t>Marco normativo aplicable en materia de transparencia y acceso a la información pública.</w:t>
      </w:r>
    </w:p>
    <w:p w14:paraId="35BBA265"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t xml:space="preserve">Acotada la </w:t>
      </w:r>
      <w:r w:rsidRPr="00C7081F">
        <w:rPr>
          <w:rFonts w:ascii="Palatino Linotype" w:eastAsia="Palatino Linotype" w:hAnsi="Palatino Linotype" w:cs="Palatino Linotype"/>
          <w:i/>
        </w:rPr>
        <w:t>Litis</w:t>
      </w:r>
      <w:r w:rsidRPr="00C7081F">
        <w:rPr>
          <w:rFonts w:ascii="Palatino Linotype" w:eastAsia="Palatino Linotype" w:hAnsi="Palatino Linotype" w:cs="Palatino Linotype"/>
        </w:rPr>
        <w:t xml:space="preserve"> del asunto de mérito, es dable puntualizar inicialmente en </w:t>
      </w:r>
      <w:r w:rsidRPr="00C7081F">
        <w:rPr>
          <w:rFonts w:ascii="Palatino Linotype" w:eastAsia="Palatino Linotype" w:hAnsi="Palatino Linotype" w:cs="Palatino Linotype"/>
          <w:color w:val="000000"/>
        </w:rPr>
        <w:t>términos</w:t>
      </w:r>
      <w:r w:rsidRPr="00C7081F">
        <w:rPr>
          <w:rFonts w:ascii="Palatino Linotype" w:eastAsia="Palatino Linotype" w:hAnsi="Palatino Linotype" w:cs="Palatino Linotype"/>
        </w:rPr>
        <w:t xml:space="preserve"> </w:t>
      </w:r>
      <w:r w:rsidRPr="00C7081F">
        <w:rPr>
          <w:rFonts w:ascii="Palatino Linotype" w:eastAsia="Palatino Linotype" w:hAnsi="Palatino Linotype" w:cs="Palatino Linotype"/>
          <w:color w:val="000000"/>
        </w:rPr>
        <w:t>generales</w:t>
      </w:r>
      <w:r w:rsidRPr="00C7081F">
        <w:rPr>
          <w:rFonts w:ascii="Palatino Linotype" w:eastAsia="Palatino Linotype" w:hAnsi="Palatino Linotype" w:cs="Palatino Linotype"/>
        </w:rPr>
        <w:t xml:space="preserve">, que el </w:t>
      </w:r>
      <w:r w:rsidRPr="00C7081F">
        <w:rPr>
          <w:rFonts w:ascii="Palatino Linotype" w:eastAsia="Palatino Linotype" w:hAnsi="Palatino Linotype" w:cs="Palatino Linotype"/>
          <w:color w:val="000000"/>
        </w:rPr>
        <w:t>Derecho</w:t>
      </w:r>
      <w:r w:rsidRPr="00C7081F">
        <w:rPr>
          <w:rFonts w:ascii="Palatino Linotype" w:eastAsia="Palatino Linotype" w:hAnsi="Palatino Linotype" w:cs="Palatino Linotype"/>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14:paraId="35BBA266"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lastRenderedPageBreak/>
        <w:t>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5BBA267" w14:textId="77777777" w:rsidR="008B41E1" w:rsidRPr="00C7081F" w:rsidRDefault="008B41E1">
      <w:pPr>
        <w:spacing w:line="360" w:lineRule="auto"/>
        <w:jc w:val="both"/>
        <w:rPr>
          <w:rFonts w:ascii="Palatino Linotype" w:eastAsia="Palatino Linotype" w:hAnsi="Palatino Linotype" w:cs="Palatino Linotype"/>
        </w:rPr>
      </w:pPr>
    </w:p>
    <w:p w14:paraId="35BBA268"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35BBA269" w14:textId="77777777" w:rsidR="008B41E1" w:rsidRPr="00C7081F" w:rsidRDefault="008B41E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5BBA26A"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5BBA26B" w14:textId="77777777" w:rsidR="008B41E1" w:rsidRPr="00C7081F" w:rsidRDefault="008B41E1">
      <w:pPr>
        <w:spacing w:line="360" w:lineRule="auto"/>
        <w:rPr>
          <w:rFonts w:ascii="Palatino Linotype" w:eastAsia="Palatino Linotype" w:hAnsi="Palatino Linotype" w:cs="Palatino Linotype"/>
        </w:rPr>
      </w:pPr>
    </w:p>
    <w:p w14:paraId="35BBA26C" w14:textId="77777777" w:rsidR="008B41E1" w:rsidRPr="00C7081F" w:rsidRDefault="000F4881">
      <w:pPr>
        <w:numPr>
          <w:ilvl w:val="0"/>
          <w:numId w:val="5"/>
        </w:numPr>
        <w:pBdr>
          <w:top w:val="nil"/>
          <w:left w:val="nil"/>
          <w:bottom w:val="nil"/>
          <w:right w:val="nil"/>
          <w:between w:val="nil"/>
        </w:pBdr>
        <w:spacing w:line="360" w:lineRule="auto"/>
        <w:ind w:right="757"/>
        <w:jc w:val="both"/>
        <w:rPr>
          <w:rFonts w:ascii="Palatino Linotype" w:eastAsia="Palatino Linotype" w:hAnsi="Palatino Linotype" w:cs="Palatino Linotype"/>
          <w:b/>
          <w:color w:val="000000"/>
        </w:rPr>
      </w:pPr>
      <w:r w:rsidRPr="00C7081F">
        <w:rPr>
          <w:rFonts w:ascii="Palatino Linotype" w:eastAsia="Palatino Linotype" w:hAnsi="Palatino Linotype" w:cs="Palatino Linotype"/>
          <w:b/>
          <w:color w:val="000000"/>
        </w:rPr>
        <w:t>Estudio de fondo</w:t>
      </w:r>
    </w:p>
    <w:p w14:paraId="35BBA26D"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rPr>
        <w:lastRenderedPageBreak/>
        <w:t xml:space="preserve">sí entonces, </w:t>
      </w:r>
      <w:r w:rsidRPr="00C7081F">
        <w:rPr>
          <w:rFonts w:ascii="Palatino Linotype" w:eastAsia="Palatino Linotype" w:hAnsi="Palatino Linotype" w:cs="Palatino Linotype"/>
          <w:color w:val="000000"/>
        </w:rPr>
        <w:t xml:space="preserve">se procede al análisis de la información objeto de impugnación y análisis del presente recurso de revisión, es necesario mencionar que el </w:t>
      </w:r>
      <w:r w:rsidRPr="00C7081F">
        <w:rPr>
          <w:rFonts w:ascii="Palatino Linotype" w:eastAsia="Palatino Linotype" w:hAnsi="Palatino Linotype" w:cs="Palatino Linotype"/>
          <w:b/>
          <w:color w:val="000000"/>
        </w:rPr>
        <w:t xml:space="preserve">SUJETO OBLIGADO </w:t>
      </w:r>
      <w:r w:rsidRPr="00C7081F">
        <w:rPr>
          <w:rFonts w:ascii="Palatino Linotype" w:eastAsia="Palatino Linotype" w:hAnsi="Palatino Linotype" w:cs="Palatino Linotype"/>
          <w:color w:val="000000"/>
        </w:rPr>
        <w:t xml:space="preserve">dio contestación al hoy </w:t>
      </w:r>
      <w:r w:rsidRPr="00C7081F">
        <w:rPr>
          <w:rFonts w:ascii="Palatino Linotype" w:eastAsia="Palatino Linotype" w:hAnsi="Palatino Linotype" w:cs="Palatino Linotype"/>
          <w:b/>
          <w:color w:val="000000"/>
        </w:rPr>
        <w:t xml:space="preserve">RECURRENTE </w:t>
      </w:r>
      <w:r w:rsidRPr="00C7081F">
        <w:rPr>
          <w:rFonts w:ascii="Palatino Linotype" w:eastAsia="Palatino Linotype" w:hAnsi="Palatino Linotype" w:cs="Palatino Linotype"/>
          <w:color w:val="000000"/>
        </w:rPr>
        <w:t xml:space="preserve">mediante respuesta en el sistema SAIMEX, mediante la cual la Directora de Administración, manifiesta que la información solicitada si existe por parte de la Subdirección de Recursos Humanos, pero que el entregarla vulneraría la conducción de los expedientes judiciales o procedimientos administrativos seguidos en forma juicio que no han concluido. </w:t>
      </w:r>
    </w:p>
    <w:p w14:paraId="35BBA26E" w14:textId="77777777" w:rsidR="008B41E1" w:rsidRPr="00C7081F" w:rsidRDefault="008B41E1">
      <w:pPr>
        <w:spacing w:line="360" w:lineRule="auto"/>
        <w:jc w:val="both"/>
        <w:rPr>
          <w:rFonts w:ascii="Palatino Linotype" w:eastAsia="Palatino Linotype" w:hAnsi="Palatino Linotype" w:cs="Palatino Linotype"/>
          <w:color w:val="000000"/>
        </w:rPr>
      </w:pPr>
    </w:p>
    <w:p w14:paraId="35BBA26F"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Por otro lado, en la información que se remite se observa que la Comisión de Honor y Justicia y la Secretaría Técnica del Consejo de Seguridad Ciudadana confirman que existe investigación y procedimiento administrativo abierto y vigente en la siguiente ubicación: </w:t>
      </w:r>
    </w:p>
    <w:p w14:paraId="35BBA270" w14:textId="77777777" w:rsidR="008B41E1" w:rsidRPr="00C7081F" w:rsidRDefault="000F4881">
      <w:pPr>
        <w:pBdr>
          <w:top w:val="nil"/>
          <w:left w:val="nil"/>
          <w:bottom w:val="nil"/>
          <w:right w:val="nil"/>
          <w:between w:val="nil"/>
        </w:pBdr>
        <w:spacing w:line="360" w:lineRule="auto"/>
        <w:ind w:left="709" w:right="616"/>
        <w:jc w:val="both"/>
        <w:rPr>
          <w:rFonts w:ascii="Palatino Linotype" w:eastAsia="Palatino Linotype" w:hAnsi="Palatino Linotype" w:cs="Palatino Linotype"/>
          <w:color w:val="000000"/>
          <w:sz w:val="22"/>
        </w:rPr>
      </w:pPr>
      <w:r w:rsidRPr="00C7081F">
        <w:rPr>
          <w:rFonts w:ascii="Palatino Linotype" w:eastAsia="Palatino Linotype" w:hAnsi="Palatino Linotype" w:cs="Palatino Linotype"/>
          <w:color w:val="000000"/>
        </w:rPr>
        <w:t xml:space="preserve">• </w:t>
      </w:r>
      <w:r w:rsidRPr="00C7081F">
        <w:rPr>
          <w:rFonts w:ascii="Palatino Linotype" w:eastAsia="Palatino Linotype" w:hAnsi="Palatino Linotype" w:cs="Palatino Linotype"/>
          <w:color w:val="000000"/>
          <w:sz w:val="22"/>
        </w:rPr>
        <w:t xml:space="preserve">Juicio: S99 2021 en la Sexta Sala Regional </w:t>
      </w:r>
    </w:p>
    <w:p w14:paraId="35BBA271" w14:textId="77777777" w:rsidR="008B41E1" w:rsidRPr="00C7081F" w:rsidRDefault="000F4881">
      <w:pPr>
        <w:pBdr>
          <w:top w:val="nil"/>
          <w:left w:val="nil"/>
          <w:bottom w:val="nil"/>
          <w:right w:val="nil"/>
          <w:between w:val="nil"/>
        </w:pBdr>
        <w:spacing w:line="360" w:lineRule="auto"/>
        <w:ind w:left="709" w:right="616"/>
        <w:jc w:val="both"/>
        <w:rPr>
          <w:rFonts w:ascii="Palatino Linotype" w:eastAsia="Palatino Linotype" w:hAnsi="Palatino Linotype" w:cs="Palatino Linotype"/>
          <w:color w:val="000000"/>
          <w:sz w:val="22"/>
        </w:rPr>
      </w:pPr>
      <w:r w:rsidRPr="00C7081F">
        <w:rPr>
          <w:rFonts w:ascii="Palatino Linotype" w:eastAsia="Palatino Linotype" w:hAnsi="Palatino Linotype" w:cs="Palatino Linotype"/>
          <w:color w:val="000000"/>
          <w:sz w:val="22"/>
        </w:rPr>
        <w:t>• Recurso de Revisión: 11 08/2022 Tercera Sección de la Sala Superior</w:t>
      </w:r>
    </w:p>
    <w:p w14:paraId="35BBA272" w14:textId="77777777" w:rsidR="008B41E1" w:rsidRPr="00C7081F" w:rsidRDefault="008B41E1">
      <w:pPr>
        <w:spacing w:line="360" w:lineRule="auto"/>
        <w:ind w:right="616"/>
        <w:jc w:val="both"/>
        <w:rPr>
          <w:rFonts w:ascii="Palatino Linotype" w:eastAsia="Palatino Linotype" w:hAnsi="Palatino Linotype" w:cs="Palatino Linotype"/>
          <w:color w:val="000000"/>
        </w:rPr>
      </w:pPr>
    </w:p>
    <w:p w14:paraId="35BBA273"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En ese sentido, se observa que mediante el acuerdo CT/SE9/31/10/2022, se declaración la clasificación de la información como reservada, pero únicamente la relativa al servidor público que se señala, no así al rubro restante del cual no se advierte pronunciamiento.</w:t>
      </w:r>
    </w:p>
    <w:p w14:paraId="35BBA274" w14:textId="77777777" w:rsidR="008B41E1" w:rsidRPr="00C7081F" w:rsidRDefault="008B41E1">
      <w:pPr>
        <w:spacing w:line="360" w:lineRule="auto"/>
        <w:rPr>
          <w:rFonts w:ascii="Palatino Linotype" w:eastAsia="Palatino Linotype" w:hAnsi="Palatino Linotype" w:cs="Palatino Linotype"/>
        </w:rPr>
      </w:pPr>
    </w:p>
    <w:p w14:paraId="35BBA275"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color w:val="000000"/>
        </w:rPr>
        <w:t xml:space="preserve">Luego entonces, del rubro restante es decir de los aumentos salariales a policías, es importante traer a contexto el artículo 44 del Bando Municipal del Ayuntamiento de Tultitlan, en su parte donde se establece que la administración pública se auxiliara de las siguientes dependencias. </w:t>
      </w:r>
    </w:p>
    <w:p w14:paraId="35BBA276"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b/>
          <w:i/>
          <w:sz w:val="22"/>
        </w:rPr>
        <w:lastRenderedPageBreak/>
        <w:t>Artículo 44.-</w:t>
      </w:r>
      <w:r w:rsidRPr="00C7081F">
        <w:rPr>
          <w:rFonts w:ascii="Palatino Linotype" w:eastAsia="Palatino Linotype" w:hAnsi="Palatino Linotype" w:cs="Palatino Linotype"/>
          <w:i/>
          <w:sz w:val="22"/>
        </w:rPr>
        <w:t xml:space="preserve"> Para el despacho de los asuntos del Gobierno Municipal, se contará con las siguientes dependencias:</w:t>
      </w:r>
    </w:p>
    <w:p w14:paraId="35BBA277"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 I. Administración centralizada integrada por: </w:t>
      </w:r>
    </w:p>
    <w:p w14:paraId="35BBA278"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1. Oficina de Presidencia; </w:t>
      </w:r>
    </w:p>
    <w:p w14:paraId="35BBA279"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2. Secretaría del Ayuntamiento; </w:t>
      </w:r>
    </w:p>
    <w:p w14:paraId="35BBA27A"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3. Tesorería Municipal; </w:t>
      </w:r>
    </w:p>
    <w:p w14:paraId="35BBA27B"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4. Dirección de Obras Públicas; </w:t>
      </w:r>
    </w:p>
    <w:p w14:paraId="35BBA27C"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5. Dirección de Desarrollo Económico; </w:t>
      </w:r>
    </w:p>
    <w:p w14:paraId="35BBA27D"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6. Contraloría Municipal; </w:t>
      </w:r>
    </w:p>
    <w:p w14:paraId="35BBA27E" w14:textId="77777777" w:rsidR="008B41E1" w:rsidRPr="00C7081F" w:rsidRDefault="000F4881">
      <w:pPr>
        <w:spacing w:line="360" w:lineRule="auto"/>
        <w:ind w:left="1134"/>
        <w:jc w:val="both"/>
        <w:rPr>
          <w:rFonts w:ascii="Palatino Linotype" w:eastAsia="Palatino Linotype" w:hAnsi="Palatino Linotype" w:cs="Palatino Linotype"/>
          <w:b/>
          <w:i/>
          <w:sz w:val="22"/>
        </w:rPr>
      </w:pPr>
      <w:r w:rsidRPr="00C7081F">
        <w:rPr>
          <w:rFonts w:ascii="Palatino Linotype" w:eastAsia="Palatino Linotype" w:hAnsi="Palatino Linotype" w:cs="Palatino Linotype"/>
          <w:b/>
          <w:i/>
          <w:sz w:val="22"/>
        </w:rPr>
        <w:t xml:space="preserve">7. Dirección de Administración; </w:t>
      </w:r>
    </w:p>
    <w:p w14:paraId="35BBA27F"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8. Dirección de Servicios Públicos; </w:t>
      </w:r>
    </w:p>
    <w:p w14:paraId="35BBA280"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9. Dirección de Desarrollo Urbano y Medio Ambiente; </w:t>
      </w:r>
    </w:p>
    <w:p w14:paraId="35BBA281"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10. Dirección de Educación, Cultura y Turismo; </w:t>
      </w:r>
    </w:p>
    <w:p w14:paraId="35BBA282"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11. Dirección de Seguridad Ciudadana, Vialidad y Protección Civil; </w:t>
      </w:r>
    </w:p>
    <w:p w14:paraId="35BBA283"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12. Consejería Jurídica Municipal; y </w:t>
      </w:r>
    </w:p>
    <w:p w14:paraId="35BBA284"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13. Dirección de Información, Planeación, Programación y Evaluación. </w:t>
      </w:r>
    </w:p>
    <w:p w14:paraId="35BBA285"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II. Administración desconcentrada integrada por:</w:t>
      </w:r>
    </w:p>
    <w:p w14:paraId="35BBA286"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 1. Instituto Municipal de la Mujer de Tultitlán y enlace de la AVGM; </w:t>
      </w:r>
    </w:p>
    <w:p w14:paraId="35BBA287"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2. Instituto Tultitlense de la Juventud; y </w:t>
      </w:r>
    </w:p>
    <w:p w14:paraId="35BBA288"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3. Secretaria Técnica del Consejo Municipal de Seguridad Publica. </w:t>
      </w:r>
    </w:p>
    <w:p w14:paraId="35BBA289"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III. Administración descentralizada integrada por: </w:t>
      </w:r>
    </w:p>
    <w:p w14:paraId="35BBA28A"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1. Organismo Público Descentralizado para la Prestación de los Servicios de Agua Potable, Alcantarillado y Saneamiento del Municipio de Tultitlán, México; </w:t>
      </w:r>
    </w:p>
    <w:p w14:paraId="35BBA28B"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2. Organismo Público Descentralizado de Asistencia Social de carácter municipal denominado Sistema Municipal para el Desarrollo Integral de la Familia de Tultitlán; e</w:t>
      </w:r>
    </w:p>
    <w:p w14:paraId="35BBA28C"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3. Instituto Municipal de Cultura Física y Deporte de Tultitlán; </w:t>
      </w:r>
    </w:p>
    <w:p w14:paraId="35BBA28D"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lastRenderedPageBreak/>
        <w:t xml:space="preserve">IV. Órgano con autonomía: </w:t>
      </w:r>
    </w:p>
    <w:p w14:paraId="35BBA28E"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1. Defensoría Municipal de Derechos Humanos de Tultitlán; </w:t>
      </w:r>
    </w:p>
    <w:p w14:paraId="35BBA28F"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V. Órganos auxiliares integrados por: </w:t>
      </w:r>
    </w:p>
    <w:p w14:paraId="35BBA290" w14:textId="77777777" w:rsidR="008B41E1" w:rsidRPr="00C7081F" w:rsidRDefault="000F4881">
      <w:pPr>
        <w:spacing w:line="360" w:lineRule="auto"/>
        <w:ind w:left="1134"/>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1. Comisión de Honor y Justicia de Tultitlan, Estado de México para el periodo 2022-2024; </w:t>
      </w:r>
    </w:p>
    <w:p w14:paraId="35BBA291" w14:textId="77777777" w:rsidR="008B41E1" w:rsidRPr="00C7081F" w:rsidRDefault="008B41E1">
      <w:pPr>
        <w:spacing w:line="360" w:lineRule="auto"/>
        <w:ind w:left="1134"/>
        <w:jc w:val="both"/>
        <w:rPr>
          <w:rFonts w:ascii="Palatino Linotype" w:eastAsia="Palatino Linotype" w:hAnsi="Palatino Linotype" w:cs="Palatino Linotype"/>
          <w:i/>
        </w:rPr>
      </w:pPr>
    </w:p>
    <w:p w14:paraId="35BBA292"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t>De dicho artículo, se observa que dentro de la estructura orgánica municipal del Ayuntamiento, se encuentra la Dirección de Administración,  la cual de acuerdo al artículo 52 del Bando Municipal de Tultitlán, Estado de México, tiene las siguientes funciones.</w:t>
      </w:r>
    </w:p>
    <w:p w14:paraId="35BBA293" w14:textId="77777777" w:rsidR="008B41E1" w:rsidRPr="00C7081F" w:rsidRDefault="000F4881">
      <w:pPr>
        <w:spacing w:line="360" w:lineRule="auto"/>
        <w:ind w:left="567" w:right="616"/>
        <w:jc w:val="both"/>
        <w:rPr>
          <w:rFonts w:ascii="Palatino Linotype" w:eastAsia="Palatino Linotype" w:hAnsi="Palatino Linotype" w:cs="Palatino Linotype"/>
          <w:i/>
          <w:sz w:val="22"/>
        </w:rPr>
      </w:pPr>
      <w:r w:rsidRPr="00C7081F">
        <w:rPr>
          <w:rFonts w:ascii="Palatino Linotype" w:eastAsia="Palatino Linotype" w:hAnsi="Palatino Linotype" w:cs="Palatino Linotype"/>
          <w:b/>
          <w:i/>
          <w:sz w:val="22"/>
        </w:rPr>
        <w:t>Articulo 52.-</w:t>
      </w:r>
      <w:r w:rsidRPr="00C7081F">
        <w:rPr>
          <w:rFonts w:ascii="Palatino Linotype" w:eastAsia="Palatino Linotype" w:hAnsi="Palatino Linotype" w:cs="Palatino Linotype"/>
          <w:i/>
          <w:sz w:val="22"/>
        </w:rPr>
        <w:t xml:space="preserve"> La Dirección de Administración es la unidad administrativa a la que corresponde planear, establecer, ejecutar y difundir entre las dependencias de la Administración Pública Municipal Centralizada, las políticas y procedimientos necesarios para el control eficiente de los recursos humanos, materiales, servicios generales y de tecnologías de la información que se proporcionan a las áreas y unidades administrativas. Para satisfacer las necesidades generales que constituyen el objeto de los servicios y funciones públicas, la Dirección a través de su titular tendrá las siguientes atribuciones:</w:t>
      </w:r>
    </w:p>
    <w:p w14:paraId="35BBA294" w14:textId="77777777" w:rsidR="008B41E1" w:rsidRPr="00C7081F" w:rsidRDefault="000F4881">
      <w:pPr>
        <w:spacing w:line="360" w:lineRule="auto"/>
        <w:ind w:left="567" w:right="616"/>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I. Vigilar el cumplimiento de las disposiciones legales que regulen las relaciones entre la Administración Pública Municipal y sus servidoras públicas y sus servidores públicos; </w:t>
      </w:r>
    </w:p>
    <w:p w14:paraId="35BBA295" w14:textId="77777777" w:rsidR="008B41E1" w:rsidRPr="00C7081F" w:rsidRDefault="000F4881">
      <w:pPr>
        <w:spacing w:line="360" w:lineRule="auto"/>
        <w:ind w:left="567" w:right="616"/>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II. La instauración de un Sistema de Profesionalización de las servidoras públicas y de los servidores  públicos municipales, de acuerdo a la legislación aplicable; </w:t>
      </w:r>
    </w:p>
    <w:p w14:paraId="35BBA296" w14:textId="77777777" w:rsidR="008B41E1" w:rsidRPr="00C7081F" w:rsidRDefault="000F4881">
      <w:pPr>
        <w:spacing w:line="360" w:lineRule="auto"/>
        <w:ind w:left="567" w:right="616"/>
        <w:jc w:val="both"/>
        <w:rPr>
          <w:rFonts w:ascii="Palatino Linotype" w:eastAsia="Palatino Linotype" w:hAnsi="Palatino Linotype" w:cs="Palatino Linotype"/>
          <w:b/>
          <w:i/>
          <w:sz w:val="22"/>
        </w:rPr>
      </w:pPr>
      <w:r w:rsidRPr="00C7081F">
        <w:rPr>
          <w:rFonts w:ascii="Palatino Linotype" w:eastAsia="Palatino Linotype" w:hAnsi="Palatino Linotype" w:cs="Palatino Linotype"/>
          <w:b/>
          <w:i/>
          <w:sz w:val="22"/>
        </w:rPr>
        <w:t xml:space="preserve">III. Someter al Ayuntamiento la autorización del tabulador de sueldos y categorías de las servidoras públicas y de los servidores públicos para ser aprobados por punto de acuerdo cada año; cualquier compensación o gratificación se ajustará a lo que disponen los párrafos cuarto, quinto y sexto del artículo 289 del Código Financiero del Estado de México y Municipios; </w:t>
      </w:r>
    </w:p>
    <w:p w14:paraId="35BBA297" w14:textId="77777777" w:rsidR="008B41E1" w:rsidRPr="00C7081F" w:rsidRDefault="000F4881">
      <w:pPr>
        <w:spacing w:line="360" w:lineRule="auto"/>
        <w:ind w:left="567" w:right="616"/>
        <w:jc w:val="both"/>
        <w:rPr>
          <w:rFonts w:ascii="Palatino Linotype" w:eastAsia="Palatino Linotype" w:hAnsi="Palatino Linotype" w:cs="Palatino Linotype"/>
          <w:b/>
          <w:i/>
          <w:sz w:val="22"/>
        </w:rPr>
      </w:pPr>
      <w:r w:rsidRPr="00C7081F">
        <w:rPr>
          <w:rFonts w:ascii="Palatino Linotype" w:eastAsia="Palatino Linotype" w:hAnsi="Palatino Linotype" w:cs="Palatino Linotype"/>
          <w:b/>
          <w:i/>
          <w:sz w:val="22"/>
        </w:rPr>
        <w:lastRenderedPageBreak/>
        <w:t xml:space="preserve">IV. Poner a consideración de la Presidenta o del Presidente Municipal, los nombramientos, tabulador de sueldos y licencias de las servidoras públicas y de los servidores públicos de la Administración Pública Municipal, atendiendo a la normatividad aplicable; con excepción de aquellas servidoras públicas o de aquellos servidores públicos cuyo nombramiento sea determinado de manera distinta por otras disposiciones jurídicas vigentes; </w:t>
      </w:r>
    </w:p>
    <w:p w14:paraId="35BBA298" w14:textId="77777777" w:rsidR="008B41E1" w:rsidRPr="00C7081F" w:rsidRDefault="000F4881">
      <w:pPr>
        <w:spacing w:line="360" w:lineRule="auto"/>
        <w:ind w:left="567" w:right="616"/>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w:t>
      </w:r>
    </w:p>
    <w:p w14:paraId="35BBA299" w14:textId="77777777" w:rsidR="008B41E1" w:rsidRPr="00C7081F" w:rsidRDefault="000F4881">
      <w:pPr>
        <w:spacing w:line="360" w:lineRule="auto"/>
        <w:ind w:left="567" w:right="616"/>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Para el desarrollo de sus atribuciones, la Dirección de Administración contará con una Directora o un Director, que será responsable de la conducción, supervisión y ejecución de las acciones a que se refiere el artículo que antecede y que para su auxilio tendrá a su cargo las siguientes Unidades Administrativas:</w:t>
      </w:r>
    </w:p>
    <w:p w14:paraId="35BBA29A" w14:textId="77777777" w:rsidR="008B41E1" w:rsidRPr="00C7081F" w:rsidRDefault="000F4881">
      <w:pPr>
        <w:spacing w:line="360" w:lineRule="auto"/>
        <w:ind w:left="567" w:right="616"/>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 I. Enlace Administrativo. </w:t>
      </w:r>
    </w:p>
    <w:p w14:paraId="35BBA29B" w14:textId="77777777" w:rsidR="008B41E1" w:rsidRPr="00C7081F" w:rsidRDefault="000F4881">
      <w:pPr>
        <w:spacing w:line="360" w:lineRule="auto"/>
        <w:ind w:left="567" w:right="616"/>
        <w:jc w:val="both"/>
        <w:rPr>
          <w:rFonts w:ascii="Palatino Linotype" w:eastAsia="Palatino Linotype" w:hAnsi="Palatino Linotype" w:cs="Palatino Linotype"/>
          <w:b/>
          <w:i/>
          <w:sz w:val="22"/>
        </w:rPr>
      </w:pPr>
      <w:r w:rsidRPr="00C7081F">
        <w:rPr>
          <w:rFonts w:ascii="Palatino Linotype" w:eastAsia="Palatino Linotype" w:hAnsi="Palatino Linotype" w:cs="Palatino Linotype"/>
          <w:b/>
          <w:i/>
          <w:sz w:val="22"/>
        </w:rPr>
        <w:t xml:space="preserve">II. Subdirección de Recursos Humanos, </w:t>
      </w:r>
    </w:p>
    <w:p w14:paraId="35BBA29C" w14:textId="77777777" w:rsidR="008B41E1" w:rsidRPr="00C7081F" w:rsidRDefault="000F4881">
      <w:pPr>
        <w:spacing w:line="360" w:lineRule="auto"/>
        <w:ind w:left="567" w:right="616"/>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a) Departamento de Relaciones Laborales, Reclutamiento, Selección y Capacitación. </w:t>
      </w:r>
    </w:p>
    <w:p w14:paraId="35BBA29D" w14:textId="77777777" w:rsidR="008B41E1" w:rsidRPr="00C7081F" w:rsidRDefault="000F4881">
      <w:pPr>
        <w:spacing w:line="360" w:lineRule="auto"/>
        <w:ind w:left="567" w:right="616"/>
        <w:jc w:val="both"/>
        <w:rPr>
          <w:rFonts w:ascii="Palatino Linotype" w:eastAsia="Palatino Linotype" w:hAnsi="Palatino Linotype" w:cs="Palatino Linotype"/>
          <w:b/>
          <w:i/>
          <w:sz w:val="22"/>
        </w:rPr>
      </w:pPr>
      <w:r w:rsidRPr="00C7081F">
        <w:rPr>
          <w:rFonts w:ascii="Palatino Linotype" w:eastAsia="Palatino Linotype" w:hAnsi="Palatino Linotype" w:cs="Palatino Linotype"/>
          <w:b/>
          <w:i/>
          <w:sz w:val="22"/>
        </w:rPr>
        <w:t xml:space="preserve">b) Departamento de Nómina. </w:t>
      </w:r>
    </w:p>
    <w:p w14:paraId="35BBA29E" w14:textId="77777777" w:rsidR="008B41E1" w:rsidRPr="00C7081F" w:rsidRDefault="000F4881">
      <w:pPr>
        <w:spacing w:line="360" w:lineRule="auto"/>
        <w:ind w:left="567" w:right="616"/>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III. Subdirección de Recursos Materiales. </w:t>
      </w:r>
    </w:p>
    <w:p w14:paraId="35BBA29F" w14:textId="77777777" w:rsidR="008B41E1" w:rsidRPr="00C7081F" w:rsidRDefault="000F4881">
      <w:pPr>
        <w:spacing w:line="360" w:lineRule="auto"/>
        <w:ind w:left="567" w:right="616"/>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a) Departamento de Adquisiciones y Contratos. </w:t>
      </w:r>
    </w:p>
    <w:p w14:paraId="35BBA2A0" w14:textId="77777777" w:rsidR="008B41E1" w:rsidRPr="00C7081F" w:rsidRDefault="000F4881">
      <w:pPr>
        <w:spacing w:line="360" w:lineRule="auto"/>
        <w:ind w:left="567" w:right="616"/>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b) Departamento de Almacén. </w:t>
      </w:r>
    </w:p>
    <w:p w14:paraId="35BBA2A1" w14:textId="77777777" w:rsidR="008B41E1" w:rsidRPr="00C7081F" w:rsidRDefault="000F4881">
      <w:pPr>
        <w:spacing w:line="360" w:lineRule="auto"/>
        <w:ind w:left="567" w:right="616"/>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c) Departamento de Control Vehicular y Combustible. </w:t>
      </w:r>
    </w:p>
    <w:p w14:paraId="35BBA2A2" w14:textId="77777777" w:rsidR="008B41E1" w:rsidRPr="00C7081F" w:rsidRDefault="000F4881">
      <w:pPr>
        <w:spacing w:line="360" w:lineRule="auto"/>
        <w:ind w:left="567" w:right="616"/>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d) Departamento de Taller Municipal. </w:t>
      </w:r>
    </w:p>
    <w:p w14:paraId="35BBA2A3" w14:textId="77777777" w:rsidR="008B41E1" w:rsidRPr="00C7081F" w:rsidRDefault="000F4881">
      <w:pPr>
        <w:spacing w:line="360" w:lineRule="auto"/>
        <w:ind w:left="567" w:right="616"/>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IV. Subdirección de Servicios Generales. </w:t>
      </w:r>
    </w:p>
    <w:p w14:paraId="35BBA2A4" w14:textId="77777777" w:rsidR="008B41E1" w:rsidRPr="00C7081F" w:rsidRDefault="000F4881">
      <w:pPr>
        <w:spacing w:line="360" w:lineRule="auto"/>
        <w:ind w:left="567" w:right="616"/>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a) Departamento de Intendencia; </w:t>
      </w:r>
    </w:p>
    <w:p w14:paraId="35BBA2A5" w14:textId="77777777" w:rsidR="008B41E1" w:rsidRPr="00C7081F" w:rsidRDefault="000F4881">
      <w:pPr>
        <w:spacing w:line="360" w:lineRule="auto"/>
        <w:ind w:left="567" w:right="616"/>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 xml:space="preserve">b) Departamento de Logística, Rotulación y Mantenimiento. </w:t>
      </w:r>
    </w:p>
    <w:p w14:paraId="35BBA2A6" w14:textId="77777777" w:rsidR="008B41E1" w:rsidRPr="00C7081F" w:rsidRDefault="000F4881">
      <w:pPr>
        <w:spacing w:line="360" w:lineRule="auto"/>
        <w:ind w:left="567" w:right="616"/>
        <w:jc w:val="both"/>
        <w:rPr>
          <w:rFonts w:ascii="Palatino Linotype" w:eastAsia="Palatino Linotype" w:hAnsi="Palatino Linotype" w:cs="Palatino Linotype"/>
          <w:i/>
          <w:sz w:val="22"/>
        </w:rPr>
      </w:pPr>
      <w:r w:rsidRPr="00C7081F">
        <w:rPr>
          <w:rFonts w:ascii="Palatino Linotype" w:eastAsia="Palatino Linotype" w:hAnsi="Palatino Linotype" w:cs="Palatino Linotype"/>
          <w:i/>
          <w:sz w:val="22"/>
        </w:rPr>
        <w:t>V. Unidad de Tecnologías de la Información y Comunicación.</w:t>
      </w:r>
    </w:p>
    <w:p w14:paraId="35BBA2A7" w14:textId="77777777" w:rsidR="008B41E1" w:rsidRPr="00C7081F" w:rsidRDefault="008B41E1">
      <w:pPr>
        <w:spacing w:line="360" w:lineRule="auto"/>
        <w:jc w:val="both"/>
        <w:rPr>
          <w:rFonts w:ascii="Palatino Linotype" w:eastAsia="Palatino Linotype" w:hAnsi="Palatino Linotype" w:cs="Palatino Linotype"/>
        </w:rPr>
      </w:pPr>
    </w:p>
    <w:p w14:paraId="35BBA2A8"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lastRenderedPageBreak/>
        <w:t>En ese sentido, se observa que la Dirección de Administración, es el área encargada de someter al Ayuntamiento la autorización del</w:t>
      </w:r>
      <w:r w:rsidRPr="00C7081F">
        <w:rPr>
          <w:rFonts w:ascii="Palatino Linotype" w:eastAsia="Palatino Linotype" w:hAnsi="Palatino Linotype" w:cs="Palatino Linotype"/>
          <w:b/>
          <w:color w:val="000000"/>
        </w:rPr>
        <w:t xml:space="preserve"> tabulador de sueldos y categorías de las servidoras públicas y de los servidores públicos para ser aprobados por punto de acuerdo cada año</w:t>
      </w:r>
      <w:r w:rsidRPr="00C7081F">
        <w:rPr>
          <w:rFonts w:ascii="Palatino Linotype" w:eastAsia="Palatino Linotype" w:hAnsi="Palatino Linotype" w:cs="Palatino Linotype"/>
          <w:color w:val="000000"/>
        </w:rPr>
        <w:t xml:space="preserve">; </w:t>
      </w:r>
      <w:r w:rsidRPr="00C7081F">
        <w:rPr>
          <w:rFonts w:ascii="Palatino Linotype" w:eastAsia="Palatino Linotype" w:hAnsi="Palatino Linotype" w:cs="Palatino Linotype"/>
          <w:b/>
          <w:color w:val="000000"/>
        </w:rPr>
        <w:t>cualquier compensación o gratificación</w:t>
      </w:r>
      <w:r w:rsidRPr="00C7081F">
        <w:rPr>
          <w:rFonts w:ascii="Palatino Linotype" w:eastAsia="Palatino Linotype" w:hAnsi="Palatino Linotype" w:cs="Palatino Linotype"/>
          <w:color w:val="000000"/>
        </w:rPr>
        <w:t xml:space="preserve"> se ajustará a lo que disponen los párrafos cuarto, quinto y sexto del artículo 289 del Código Financiero del Estado de México y Municipios.</w:t>
      </w:r>
    </w:p>
    <w:p w14:paraId="35BBA2A9" w14:textId="77777777" w:rsidR="008B41E1" w:rsidRPr="00C7081F" w:rsidRDefault="008B41E1">
      <w:pPr>
        <w:spacing w:line="360" w:lineRule="auto"/>
        <w:jc w:val="both"/>
        <w:rPr>
          <w:rFonts w:ascii="Palatino Linotype" w:eastAsia="Palatino Linotype" w:hAnsi="Palatino Linotype" w:cs="Palatino Linotype"/>
          <w:color w:val="000000"/>
        </w:rPr>
      </w:pPr>
    </w:p>
    <w:p w14:paraId="35BBA2AA"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t xml:space="preserve">Asimismo, se observa que la Subdirección de Recursos Humanos, cuenta con el Departamento de Nomina, mismo que de acuerdo al Reglamento Orgánico de la Administración Pública del Municipio de Tultitlán, en su artículo 42.5 tiene las siguientes facultades y obligaciones. </w:t>
      </w:r>
    </w:p>
    <w:p w14:paraId="35BBA2AB" w14:textId="77777777" w:rsidR="008B41E1" w:rsidRPr="00C7081F" w:rsidRDefault="000F4881">
      <w:pPr>
        <w:spacing w:line="360" w:lineRule="auto"/>
        <w:ind w:left="567" w:right="616"/>
        <w:jc w:val="both"/>
        <w:rPr>
          <w:rFonts w:ascii="Palatino Linotype" w:eastAsia="Palatino Linotype" w:hAnsi="Palatino Linotype" w:cs="Palatino Linotype"/>
          <w:b/>
          <w:i/>
          <w:sz w:val="22"/>
        </w:rPr>
      </w:pPr>
      <w:r w:rsidRPr="00C7081F">
        <w:rPr>
          <w:rFonts w:ascii="Palatino Linotype" w:eastAsia="Palatino Linotype" w:hAnsi="Palatino Linotype" w:cs="Palatino Linotype"/>
          <w:b/>
          <w:i/>
          <w:sz w:val="22"/>
        </w:rPr>
        <w:t xml:space="preserve">DEL DEPARTAMENTO DE NÓMINA ARTÍCULO </w:t>
      </w:r>
    </w:p>
    <w:p w14:paraId="35BBA2AC" w14:textId="77777777" w:rsidR="008B41E1" w:rsidRPr="00C7081F" w:rsidRDefault="000F4881">
      <w:pPr>
        <w:spacing w:line="360" w:lineRule="auto"/>
        <w:ind w:left="567" w:right="616"/>
        <w:jc w:val="both"/>
        <w:rPr>
          <w:rFonts w:ascii="Palatino Linotype" w:eastAsia="Palatino Linotype" w:hAnsi="Palatino Linotype" w:cs="Palatino Linotype"/>
          <w:i/>
          <w:sz w:val="22"/>
        </w:rPr>
      </w:pPr>
      <w:r w:rsidRPr="00C7081F">
        <w:rPr>
          <w:rFonts w:ascii="Palatino Linotype" w:eastAsia="Palatino Linotype" w:hAnsi="Palatino Linotype" w:cs="Palatino Linotype"/>
          <w:b/>
          <w:i/>
          <w:sz w:val="22"/>
        </w:rPr>
        <w:t>42.5.-</w:t>
      </w:r>
      <w:r w:rsidRPr="00C7081F">
        <w:rPr>
          <w:rFonts w:ascii="Palatino Linotype" w:eastAsia="Palatino Linotype" w:hAnsi="Palatino Linotype" w:cs="Palatino Linotype"/>
          <w:i/>
          <w:sz w:val="22"/>
        </w:rPr>
        <w:t xml:space="preserve"> Son facultades y obligaciones de la Jefa o del Jefe del Departamento de Nómina las siguientes: </w:t>
      </w:r>
    </w:p>
    <w:p w14:paraId="35BBA2AD" w14:textId="77777777" w:rsidR="008B41E1" w:rsidRPr="00C7081F" w:rsidRDefault="000F4881">
      <w:pPr>
        <w:numPr>
          <w:ilvl w:val="2"/>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Administrar los recursos materiales, tecnológicos y de capital humano a su cargo; </w:t>
      </w:r>
    </w:p>
    <w:p w14:paraId="35BBA2AE" w14:textId="77777777" w:rsidR="008B41E1" w:rsidRPr="00C7081F" w:rsidRDefault="000F4881">
      <w:pPr>
        <w:numPr>
          <w:ilvl w:val="2"/>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Acordar con la Subdirectora o el Subdirector de Recursos Humanos los asuntos de su competencia que así lo requieran; </w:t>
      </w:r>
    </w:p>
    <w:p w14:paraId="35BBA2AF" w14:textId="77777777" w:rsidR="008B41E1" w:rsidRPr="00C7081F" w:rsidRDefault="000F4881">
      <w:pPr>
        <w:numPr>
          <w:ilvl w:val="2"/>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Aplicar las modificaciones o actualizaciones de la norma en materia fiscal y de seguridad social para el correcto cumplimiento de sus funciones; </w:t>
      </w:r>
    </w:p>
    <w:p w14:paraId="35BBA2B0" w14:textId="77777777" w:rsidR="008B41E1" w:rsidRPr="00C7081F" w:rsidRDefault="000F4881">
      <w:pPr>
        <w:numPr>
          <w:ilvl w:val="2"/>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Elaborar la propuesta del presupuesto anual de egresos correspondiente al Capítulo de Servicios Personales; </w:t>
      </w:r>
    </w:p>
    <w:p w14:paraId="35BBA2B1" w14:textId="77777777" w:rsidR="008B41E1" w:rsidRPr="00C7081F" w:rsidRDefault="000F4881">
      <w:pPr>
        <w:numPr>
          <w:ilvl w:val="2"/>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b/>
          <w:i/>
          <w:color w:val="000000"/>
          <w:sz w:val="22"/>
        </w:rPr>
      </w:pPr>
      <w:r w:rsidRPr="00C7081F">
        <w:rPr>
          <w:rFonts w:ascii="Palatino Linotype" w:eastAsia="Palatino Linotype" w:hAnsi="Palatino Linotype" w:cs="Palatino Linotype"/>
          <w:b/>
          <w:i/>
          <w:color w:val="000000"/>
          <w:sz w:val="22"/>
        </w:rPr>
        <w:t xml:space="preserve">Elaborar las nóminas de pago, atendiendo las disposiciones legales vigentes y aplicables; </w:t>
      </w:r>
    </w:p>
    <w:p w14:paraId="35BBA2B2" w14:textId="77777777" w:rsidR="008B41E1" w:rsidRPr="00C7081F" w:rsidRDefault="000F4881">
      <w:pPr>
        <w:numPr>
          <w:ilvl w:val="2"/>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Aplicar las incidencias (faltas, retardos o incapacidades) de las servidoras públicas y de los servidores públicos en la nómina correspondiente; </w:t>
      </w:r>
    </w:p>
    <w:p w14:paraId="35BBA2B3" w14:textId="77777777" w:rsidR="008B41E1" w:rsidRPr="00C7081F" w:rsidRDefault="000F4881">
      <w:pPr>
        <w:numPr>
          <w:ilvl w:val="2"/>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lastRenderedPageBreak/>
        <w:t xml:space="preserve">Realizar los movimientos de altas, bajas, cambios de adscripción y licencias de las servidoras públicas y de los servidores públicos que integran la Administración Pública Municipal en el sistema de nómina; </w:t>
      </w:r>
    </w:p>
    <w:p w14:paraId="35BBA2B4" w14:textId="77777777" w:rsidR="008B41E1" w:rsidRPr="00C7081F" w:rsidRDefault="000F4881">
      <w:pPr>
        <w:numPr>
          <w:ilvl w:val="2"/>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b/>
          <w:i/>
          <w:color w:val="000000"/>
          <w:sz w:val="22"/>
        </w:rPr>
      </w:pPr>
      <w:r w:rsidRPr="00C7081F">
        <w:rPr>
          <w:rFonts w:ascii="Palatino Linotype" w:eastAsia="Palatino Linotype" w:hAnsi="Palatino Linotype" w:cs="Palatino Linotype"/>
          <w:b/>
          <w:i/>
          <w:color w:val="000000"/>
          <w:sz w:val="22"/>
        </w:rPr>
        <w:t xml:space="preserve">Elaborar la programación para la entrega de la nómina a la Tesorería Municipal; </w:t>
      </w:r>
    </w:p>
    <w:p w14:paraId="35BBA2B5" w14:textId="77777777" w:rsidR="008B41E1" w:rsidRPr="00C7081F" w:rsidRDefault="000F4881">
      <w:pPr>
        <w:numPr>
          <w:ilvl w:val="2"/>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Elaborar las listas del registro de asistencia del personal de la Administración Pública Municipal; </w:t>
      </w:r>
    </w:p>
    <w:p w14:paraId="35BBA2B6" w14:textId="77777777" w:rsidR="008B41E1" w:rsidRPr="00C7081F" w:rsidRDefault="000F4881">
      <w:pPr>
        <w:numPr>
          <w:ilvl w:val="2"/>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b/>
          <w:i/>
          <w:color w:val="000000"/>
          <w:sz w:val="22"/>
        </w:rPr>
      </w:pPr>
      <w:r w:rsidRPr="00C7081F">
        <w:rPr>
          <w:rFonts w:ascii="Palatino Linotype" w:eastAsia="Palatino Linotype" w:hAnsi="Palatino Linotype" w:cs="Palatino Linotype"/>
          <w:b/>
          <w:i/>
          <w:color w:val="000000"/>
          <w:sz w:val="22"/>
        </w:rPr>
        <w:t xml:space="preserve">Elaborar el informe mensual solicitado por el Órgano Superior de Fiscalización del Estado de México, recibos electrónicos XML y CFDI, para su entrega a la Tesorería Municipal; </w:t>
      </w:r>
    </w:p>
    <w:p w14:paraId="35BBA2B7" w14:textId="77777777" w:rsidR="008B41E1" w:rsidRPr="00C7081F" w:rsidRDefault="000F4881">
      <w:pPr>
        <w:numPr>
          <w:ilvl w:val="2"/>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Entregar el reporte de retenciones del Impuesto Sobre la Renta por salarios y el entero del 3% de Impuesto Sobre Erogaciones por Remuneraciones de la Nómina a la Tesorería Municipal; </w:t>
      </w:r>
    </w:p>
    <w:p w14:paraId="35BBA2B8" w14:textId="77777777" w:rsidR="008B41E1" w:rsidRPr="00C7081F" w:rsidRDefault="000F4881">
      <w:pPr>
        <w:numPr>
          <w:ilvl w:val="2"/>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b/>
          <w:i/>
          <w:color w:val="000000"/>
          <w:sz w:val="22"/>
        </w:rPr>
      </w:pPr>
      <w:r w:rsidRPr="00C7081F">
        <w:rPr>
          <w:rFonts w:ascii="Palatino Linotype" w:eastAsia="Palatino Linotype" w:hAnsi="Palatino Linotype" w:cs="Palatino Linotype"/>
          <w:b/>
          <w:i/>
          <w:color w:val="000000"/>
          <w:sz w:val="22"/>
        </w:rPr>
        <w:t xml:space="preserve">Imprimir los comprobantes fiscales digitales por Internet de los recibos de pago de las servidoras públicas y de los servidores públicos, para su entrega a la Tesorería Municipal; </w:t>
      </w:r>
    </w:p>
    <w:p w14:paraId="35BBA2B9" w14:textId="77777777" w:rsidR="008B41E1" w:rsidRPr="00C7081F" w:rsidRDefault="000F4881">
      <w:pPr>
        <w:numPr>
          <w:ilvl w:val="2"/>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Aplicar las altas, bajas y modificaciones de las servidoras públicas y de los servidores públicos ante el Instituto de Seguridad Social del Estado de México y Municipios; </w:t>
      </w:r>
    </w:p>
    <w:p w14:paraId="35BBA2BA" w14:textId="77777777" w:rsidR="008B41E1" w:rsidRPr="00C7081F" w:rsidRDefault="000F4881">
      <w:pPr>
        <w:numPr>
          <w:ilvl w:val="2"/>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Aplicar descuentos tales como préstamos, seguros de vida, etcétera, solicitados por el Instituto de Seguridad Social del Estado de México y Municipios en el sistema de nómina; </w:t>
      </w:r>
    </w:p>
    <w:p w14:paraId="35BBA2BB" w14:textId="77777777" w:rsidR="008B41E1" w:rsidRPr="00C7081F" w:rsidRDefault="000F4881">
      <w:pPr>
        <w:numPr>
          <w:ilvl w:val="2"/>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b/>
          <w:i/>
          <w:color w:val="000000"/>
          <w:sz w:val="22"/>
        </w:rPr>
      </w:pPr>
      <w:r w:rsidRPr="00C7081F">
        <w:rPr>
          <w:rFonts w:ascii="Palatino Linotype" w:eastAsia="Palatino Linotype" w:hAnsi="Palatino Linotype" w:cs="Palatino Linotype"/>
          <w:b/>
          <w:i/>
          <w:color w:val="000000"/>
          <w:sz w:val="22"/>
        </w:rPr>
        <w:t xml:space="preserve">Descargar los comprobantes de pago por medio de la plataforma PRISMA para su entrega a la Tesorería Municipal; y </w:t>
      </w:r>
    </w:p>
    <w:p w14:paraId="35BBA2BC" w14:textId="77777777" w:rsidR="008B41E1" w:rsidRPr="00C7081F" w:rsidRDefault="000F4881">
      <w:pPr>
        <w:numPr>
          <w:ilvl w:val="2"/>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Las demás que ordene la Subdirectora o el Subdirector de Recursos Humanos y los ordenamientos jurídicos aplicables.</w:t>
      </w:r>
    </w:p>
    <w:p w14:paraId="35BBA2BD"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lastRenderedPageBreak/>
        <w:t xml:space="preserve">En ese sentido, de los artículos mencionados, se determina que la Dirección de Administración, es el área competente para generar y administrar la información solicitada por el </w:t>
      </w:r>
      <w:r w:rsidRPr="00C7081F">
        <w:rPr>
          <w:rFonts w:ascii="Palatino Linotype" w:eastAsia="Palatino Linotype" w:hAnsi="Palatino Linotype" w:cs="Palatino Linotype"/>
          <w:b/>
          <w:color w:val="000000"/>
        </w:rPr>
        <w:t xml:space="preserve">RECURRENTE. </w:t>
      </w:r>
    </w:p>
    <w:p w14:paraId="35BBA2BE" w14:textId="77777777" w:rsidR="008B41E1" w:rsidRPr="00C7081F" w:rsidRDefault="008B41E1">
      <w:pPr>
        <w:spacing w:line="360" w:lineRule="auto"/>
        <w:jc w:val="both"/>
        <w:rPr>
          <w:rFonts w:ascii="Palatino Linotype" w:eastAsia="Palatino Linotype" w:hAnsi="Palatino Linotype" w:cs="Palatino Linotype"/>
          <w:color w:val="000000"/>
        </w:rPr>
      </w:pPr>
    </w:p>
    <w:p w14:paraId="35BBA2BF"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Ahora bien, en cuanto a los solicitado por el </w:t>
      </w:r>
      <w:r w:rsidRPr="00C7081F">
        <w:rPr>
          <w:rFonts w:ascii="Palatino Linotype" w:eastAsia="Palatino Linotype" w:hAnsi="Palatino Linotype" w:cs="Palatino Linotype"/>
          <w:b/>
          <w:color w:val="000000"/>
        </w:rPr>
        <w:t xml:space="preserve">RECURRENTE </w:t>
      </w:r>
      <w:r w:rsidRPr="00C7081F">
        <w:rPr>
          <w:rFonts w:ascii="Palatino Linotype" w:eastAsia="Palatino Linotype" w:hAnsi="Palatino Linotype" w:cs="Palatino Linotype"/>
          <w:color w:val="000000"/>
        </w:rPr>
        <w:t xml:space="preserve"> y de la respuesta del </w:t>
      </w:r>
      <w:r w:rsidRPr="00C7081F">
        <w:rPr>
          <w:rFonts w:ascii="Palatino Linotype" w:eastAsia="Palatino Linotype" w:hAnsi="Palatino Linotype" w:cs="Palatino Linotype"/>
          <w:b/>
          <w:color w:val="000000"/>
        </w:rPr>
        <w:t xml:space="preserve">SUJETO OBLIGADO </w:t>
      </w:r>
      <w:r w:rsidRPr="00C7081F">
        <w:rPr>
          <w:rFonts w:ascii="Palatino Linotype" w:eastAsia="Palatino Linotype" w:hAnsi="Palatino Linotype" w:cs="Palatino Linotype"/>
          <w:color w:val="000000"/>
        </w:rPr>
        <w:t xml:space="preserve">se observa que de acuerdo al artículo 92 fracciones VIII y XXV de la Ley de Transparencia y Acceso a la Información Pública del Estado de México y Municipios, se tiene que la información se encuentra dentro lo establecido de las obligaciones de </w:t>
      </w:r>
      <w:r w:rsidRPr="00C7081F">
        <w:rPr>
          <w:rFonts w:ascii="Palatino Linotype" w:eastAsia="Palatino Linotype" w:hAnsi="Palatino Linotype" w:cs="Palatino Linotype"/>
          <w:b/>
          <w:color w:val="000000"/>
        </w:rPr>
        <w:t xml:space="preserve">transparencia común de los SUJETO OBLIGADOS. </w:t>
      </w:r>
    </w:p>
    <w:p w14:paraId="35BBA2C0" w14:textId="77777777" w:rsidR="008B41E1" w:rsidRPr="00C7081F" w:rsidRDefault="000F4881">
      <w:pPr>
        <w:spacing w:line="360" w:lineRule="auto"/>
        <w:ind w:left="426" w:right="474"/>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b/>
          <w:i/>
          <w:color w:val="000000"/>
          <w:sz w:val="22"/>
        </w:rPr>
        <w:t>Artículo 92.</w:t>
      </w:r>
      <w:r w:rsidRPr="00C7081F">
        <w:rPr>
          <w:rFonts w:ascii="Palatino Linotype" w:eastAsia="Palatino Linotype" w:hAnsi="Palatino Linotype" w:cs="Palatino Linotype"/>
          <w:i/>
          <w:color w:val="000000"/>
          <w:sz w:val="22"/>
        </w:rPr>
        <w:t xml:space="preserve"> Los sujetos obligados deberán poner a </w:t>
      </w:r>
      <w:r w:rsidRPr="00C7081F">
        <w:rPr>
          <w:rFonts w:ascii="Palatino Linotype" w:eastAsia="Palatino Linotype" w:hAnsi="Palatino Linotype" w:cs="Palatino Linotype"/>
          <w:b/>
          <w:i/>
          <w:color w:val="000000"/>
          <w:sz w:val="22"/>
        </w:rPr>
        <w:t>disposición del público de manera permanente y actualizada de forma sencilla, precisa y entendible</w:t>
      </w:r>
      <w:r w:rsidRPr="00C7081F">
        <w:rPr>
          <w:rFonts w:ascii="Palatino Linotype" w:eastAsia="Palatino Linotype" w:hAnsi="Palatino Linotype" w:cs="Palatino Linotype"/>
          <w:i/>
          <w:color w:val="000000"/>
          <w:sz w:val="22"/>
        </w:rPr>
        <w:t>, en los respectivos medios electrónicos, de acuerdo con sus facultades, atribuciones, funciones u objeto social, según corresponda, la información, por lo menos, de los temas, documentos y políticas que a continuación se señalan:</w:t>
      </w:r>
    </w:p>
    <w:p w14:paraId="35BBA2C1" w14:textId="77777777" w:rsidR="008B41E1" w:rsidRPr="00C7081F" w:rsidRDefault="000F4881">
      <w:pPr>
        <w:spacing w:line="360" w:lineRule="auto"/>
        <w:ind w:left="426" w:right="474"/>
        <w:jc w:val="both"/>
        <w:rPr>
          <w:rFonts w:ascii="Palatino Linotype" w:eastAsia="Palatino Linotype" w:hAnsi="Palatino Linotype" w:cs="Palatino Linotype"/>
          <w:b/>
          <w:i/>
          <w:color w:val="000000"/>
          <w:sz w:val="22"/>
        </w:rPr>
      </w:pPr>
      <w:r w:rsidRPr="00C7081F">
        <w:rPr>
          <w:rFonts w:ascii="Palatino Linotype" w:eastAsia="Palatino Linotype" w:hAnsi="Palatino Linotype" w:cs="Palatino Linotype"/>
          <w:b/>
          <w:i/>
          <w:color w:val="000000"/>
          <w:sz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35BBA2C2" w14:textId="77777777" w:rsidR="008B41E1" w:rsidRDefault="000F4881">
      <w:pPr>
        <w:spacing w:line="360" w:lineRule="auto"/>
        <w:ind w:left="426" w:right="474"/>
        <w:jc w:val="both"/>
        <w:rPr>
          <w:rFonts w:ascii="Palatino Linotype" w:eastAsia="Palatino Linotype" w:hAnsi="Palatino Linotype" w:cs="Palatino Linotype"/>
          <w:b/>
          <w:i/>
          <w:color w:val="000000"/>
          <w:sz w:val="22"/>
        </w:rPr>
      </w:pPr>
      <w:r w:rsidRPr="00C7081F">
        <w:rPr>
          <w:rFonts w:ascii="Palatino Linotype" w:eastAsia="Palatino Linotype" w:hAnsi="Palatino Linotype" w:cs="Palatino Linotype"/>
          <w:b/>
          <w:i/>
          <w:color w:val="000000"/>
          <w:sz w:val="22"/>
        </w:rPr>
        <w:t>XXV. La información financiera sobre el presupuesto asignado, así como los informes del ejercicio trimestral del gasto, en términos de la Ley General de Contabilidad Gubernamental y demás disposiciones jurídicas aplicables;</w:t>
      </w:r>
    </w:p>
    <w:p w14:paraId="35BBA2C3" w14:textId="77777777" w:rsidR="00C7081F" w:rsidRPr="00C7081F" w:rsidRDefault="00C7081F">
      <w:pPr>
        <w:spacing w:line="360" w:lineRule="auto"/>
        <w:ind w:left="426" w:right="474"/>
        <w:jc w:val="both"/>
        <w:rPr>
          <w:rFonts w:ascii="Palatino Linotype" w:eastAsia="Palatino Linotype" w:hAnsi="Palatino Linotype" w:cs="Palatino Linotype"/>
          <w:b/>
          <w:i/>
          <w:color w:val="000000"/>
          <w:sz w:val="22"/>
        </w:rPr>
      </w:pPr>
    </w:p>
    <w:p w14:paraId="35BBA2C4"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De lo anterior, se determina que la información solicita se encuentra dentro de las obligaciones de transparencia común de las que el </w:t>
      </w:r>
      <w:r w:rsidRPr="00C7081F">
        <w:rPr>
          <w:rFonts w:ascii="Palatino Linotype" w:eastAsia="Palatino Linotype" w:hAnsi="Palatino Linotype" w:cs="Palatino Linotype"/>
          <w:b/>
          <w:color w:val="000000"/>
        </w:rPr>
        <w:t xml:space="preserve">SUJETO OBLIGADO </w:t>
      </w:r>
      <w:r w:rsidRPr="00C7081F">
        <w:rPr>
          <w:rFonts w:ascii="Palatino Linotype" w:eastAsia="Palatino Linotype" w:hAnsi="Palatino Linotype" w:cs="Palatino Linotype"/>
          <w:color w:val="000000"/>
        </w:rPr>
        <w:t xml:space="preserve"> debe de poner pública la información en su página del IPOMEX.</w:t>
      </w:r>
    </w:p>
    <w:p w14:paraId="35BBA2C5"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lastRenderedPageBreak/>
        <w:t>De lo anterior, en cuanto al punto “</w:t>
      </w:r>
      <w:r w:rsidRPr="00C7081F">
        <w:rPr>
          <w:rFonts w:ascii="Palatino Linotype" w:eastAsia="Palatino Linotype" w:hAnsi="Palatino Linotype" w:cs="Palatino Linotype"/>
          <w:b/>
          <w:color w:val="000000"/>
        </w:rPr>
        <w:t xml:space="preserve">último acto de autoridad en el cual se autoriza y se aprueba el aumento salarial a los policías de seguridad publica en específico”, </w:t>
      </w:r>
      <w:r w:rsidRPr="00C7081F">
        <w:rPr>
          <w:rFonts w:ascii="Palatino Linotype" w:eastAsia="Palatino Linotype" w:hAnsi="Palatino Linotype" w:cs="Palatino Linotype"/>
          <w:color w:val="000000"/>
        </w:rPr>
        <w:t xml:space="preserve">el documento que puede constar y satisfacer el derecho de acceso a la información del </w:t>
      </w:r>
      <w:r w:rsidRPr="00C7081F">
        <w:rPr>
          <w:rFonts w:ascii="Palatino Linotype" w:eastAsia="Palatino Linotype" w:hAnsi="Palatino Linotype" w:cs="Palatino Linotype"/>
          <w:b/>
          <w:color w:val="000000"/>
        </w:rPr>
        <w:t>RECURRENTE</w:t>
      </w:r>
      <w:r w:rsidRPr="00C7081F">
        <w:rPr>
          <w:rFonts w:ascii="Palatino Linotype" w:eastAsia="Palatino Linotype" w:hAnsi="Palatino Linotype" w:cs="Palatino Linotype"/>
          <w:color w:val="000000"/>
        </w:rPr>
        <w:t>, es de manera enunciativa mas no limitativa el Tabulador de Sueldos y Salarios.</w:t>
      </w:r>
    </w:p>
    <w:p w14:paraId="35BBA2C6" w14:textId="77777777" w:rsidR="008B41E1" w:rsidRPr="00C7081F" w:rsidRDefault="008B41E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5BBA2C7"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Derivado de lo anterior, es importante traer a contexto el artículo 115 fracción IV, párrafo tercero de la Constitución Política de los Estados Unidos Mexicanos establece que: </w:t>
      </w:r>
    </w:p>
    <w:p w14:paraId="35BBA2C8" w14:textId="77777777" w:rsidR="008B41E1" w:rsidRPr="00C7081F" w:rsidRDefault="000F4881">
      <w:pPr>
        <w:tabs>
          <w:tab w:val="left" w:pos="851"/>
        </w:tabs>
        <w:spacing w:line="360" w:lineRule="auto"/>
        <w:ind w:left="851" w:right="901"/>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w:t>
      </w:r>
      <w:r w:rsidRPr="00C7081F">
        <w:rPr>
          <w:rFonts w:ascii="Palatino Linotype" w:eastAsia="Palatino Linotype" w:hAnsi="Palatino Linotype" w:cs="Palatino Linotype"/>
          <w:b/>
          <w:i/>
          <w:color w:val="000000"/>
          <w:sz w:val="22"/>
        </w:rPr>
        <w:t>Artículo 115.</w:t>
      </w:r>
      <w:r w:rsidRPr="00C7081F">
        <w:rPr>
          <w:rFonts w:ascii="Palatino Linotype" w:eastAsia="Palatino Linotype" w:hAnsi="Palatino Linotype" w:cs="Palatino Linotype"/>
          <w:i/>
          <w:color w:val="000000"/>
          <w:sz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35BBA2C9" w14:textId="77777777" w:rsidR="008B41E1" w:rsidRPr="00C7081F" w:rsidRDefault="000F4881">
      <w:pPr>
        <w:tabs>
          <w:tab w:val="left" w:pos="851"/>
        </w:tabs>
        <w:spacing w:line="360" w:lineRule="auto"/>
        <w:ind w:left="851" w:right="901"/>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w:t>
      </w:r>
    </w:p>
    <w:p w14:paraId="35BBA2CA" w14:textId="77777777" w:rsidR="008B41E1" w:rsidRPr="00C7081F" w:rsidRDefault="000F4881">
      <w:pPr>
        <w:tabs>
          <w:tab w:val="left" w:pos="851"/>
        </w:tabs>
        <w:spacing w:line="360" w:lineRule="auto"/>
        <w:ind w:left="851" w:right="901"/>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IV.</w:t>
      </w:r>
    </w:p>
    <w:p w14:paraId="35BBA2CB" w14:textId="77777777" w:rsidR="008B41E1" w:rsidRPr="00C7081F" w:rsidRDefault="000F4881">
      <w:pPr>
        <w:tabs>
          <w:tab w:val="left" w:pos="851"/>
        </w:tabs>
        <w:spacing w:line="360" w:lineRule="auto"/>
        <w:ind w:left="851" w:right="901"/>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w:t>
      </w:r>
    </w:p>
    <w:p w14:paraId="35BBA2CC" w14:textId="77777777" w:rsidR="008B41E1" w:rsidRPr="00C7081F" w:rsidRDefault="000F4881">
      <w:pPr>
        <w:tabs>
          <w:tab w:val="left" w:pos="851"/>
        </w:tabs>
        <w:spacing w:line="360" w:lineRule="auto"/>
        <w:ind w:left="851" w:right="901"/>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Las legislaturas de los Estados aprobarán las leyes de ingresos de los municipios, revisarán y fiscalizarán sus cuentas públicas. </w:t>
      </w:r>
      <w:r w:rsidRPr="00C7081F">
        <w:rPr>
          <w:rFonts w:ascii="Palatino Linotype" w:eastAsia="Palatino Linotype" w:hAnsi="Palatino Linotype" w:cs="Palatino Linotype"/>
          <w:b/>
          <w:i/>
          <w:color w:val="000000"/>
          <w:sz w:val="22"/>
        </w:rPr>
        <w:t>Los presupuestos de egresos serán aprobados por los ayuntamientos con base en sus ingresos disponibles, y deberán incluir en los mismos, los tabuladores desglosados de las remuneraciones que perciban los servidores públicos municipales</w:t>
      </w:r>
      <w:r w:rsidRPr="00C7081F">
        <w:rPr>
          <w:rFonts w:ascii="Palatino Linotype" w:eastAsia="Palatino Linotype" w:hAnsi="Palatino Linotype" w:cs="Palatino Linotype"/>
          <w:i/>
          <w:color w:val="000000"/>
          <w:sz w:val="22"/>
        </w:rPr>
        <w:t xml:space="preserve">, sujetándose a lo dispuesto en el artículo 127 de esta Constitución” </w:t>
      </w:r>
    </w:p>
    <w:p w14:paraId="35BBA2CD" w14:textId="77777777" w:rsidR="008B41E1" w:rsidRPr="00C7081F" w:rsidRDefault="000F4881">
      <w:pPr>
        <w:tabs>
          <w:tab w:val="left" w:pos="851"/>
        </w:tabs>
        <w:spacing w:line="360" w:lineRule="auto"/>
        <w:ind w:left="851" w:right="901"/>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(Énfasis añadido)</w:t>
      </w:r>
    </w:p>
    <w:p w14:paraId="35BBA2CE" w14:textId="77777777" w:rsidR="008B41E1" w:rsidRPr="00C7081F" w:rsidRDefault="008B41E1">
      <w:pPr>
        <w:spacing w:line="360" w:lineRule="auto"/>
        <w:jc w:val="both"/>
        <w:rPr>
          <w:rFonts w:ascii="Palatino Linotype" w:eastAsia="Palatino Linotype" w:hAnsi="Palatino Linotype" w:cs="Palatino Linotype"/>
          <w:color w:val="000000"/>
        </w:rPr>
      </w:pPr>
    </w:p>
    <w:p w14:paraId="35BBA2CF"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lastRenderedPageBreak/>
        <w:t xml:space="preserve">Asimismo, en el artículo 125 cuarto y quinto párrafos de la Constitución Política del Estado Libre y Soberano de México, dispone: </w:t>
      </w:r>
    </w:p>
    <w:p w14:paraId="35BBA2D0" w14:textId="77777777" w:rsidR="008B41E1" w:rsidRPr="00C7081F" w:rsidRDefault="000F4881">
      <w:pPr>
        <w:tabs>
          <w:tab w:val="left" w:pos="851"/>
        </w:tabs>
        <w:spacing w:line="360" w:lineRule="auto"/>
        <w:ind w:left="851" w:right="901"/>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w:t>
      </w:r>
      <w:r w:rsidRPr="00C7081F">
        <w:rPr>
          <w:rFonts w:ascii="Palatino Linotype" w:eastAsia="Palatino Linotype" w:hAnsi="Palatino Linotype" w:cs="Palatino Linotype"/>
          <w:b/>
          <w:i/>
          <w:color w:val="000000"/>
          <w:sz w:val="22"/>
        </w:rPr>
        <w:t>Artículo 125.-</w:t>
      </w:r>
      <w:r w:rsidRPr="00C7081F">
        <w:rPr>
          <w:rFonts w:ascii="Palatino Linotype" w:eastAsia="Palatino Linotype" w:hAnsi="Palatino Linotype" w:cs="Palatino Linotype"/>
          <w:i/>
          <w:color w:val="000000"/>
          <w:sz w:val="22"/>
        </w:rPr>
        <w:t xml:space="preserve"> Los municipios administrarán libremente su hacienda, la cual se formará de los rendimientos de los bienes que les pertenezcan, así como de las contribuciones y otros ingresos que la ley establezca, y en todo caso:</w:t>
      </w:r>
    </w:p>
    <w:p w14:paraId="35BBA2D1" w14:textId="77777777" w:rsidR="008B41E1" w:rsidRPr="00C7081F" w:rsidRDefault="000F4881">
      <w:pPr>
        <w:tabs>
          <w:tab w:val="left" w:pos="851"/>
        </w:tabs>
        <w:spacing w:line="360" w:lineRule="auto"/>
        <w:ind w:left="851" w:right="901"/>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w:t>
      </w:r>
    </w:p>
    <w:p w14:paraId="35BBA2D2" w14:textId="77777777" w:rsidR="008B41E1" w:rsidRPr="00C7081F" w:rsidRDefault="000F4881">
      <w:pPr>
        <w:tabs>
          <w:tab w:val="left" w:pos="851"/>
        </w:tabs>
        <w:spacing w:line="360" w:lineRule="auto"/>
        <w:ind w:left="851" w:right="901"/>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Los Ayuntamientos podrán celebrar sesiones extraordinarias de cabildo cuando la Ley de ingresos aprobada por la Legislatura, implique adecuaciones a su Presupuesto de Egresos, asi como por la asignación de las participaciones y aportaciones federales y estatales. Estas sesiones tendrán como único objeto concordar con el Presupuesto de Egresos. </w:t>
      </w:r>
      <w:r w:rsidRPr="00C7081F">
        <w:rPr>
          <w:rFonts w:ascii="Palatino Linotype" w:eastAsia="Palatino Linotype" w:hAnsi="Palatino Linotype" w:cs="Palatino Linotype"/>
          <w:b/>
          <w:i/>
          <w:color w:val="000000"/>
          <w:sz w:val="22"/>
        </w:rPr>
        <w:t>La Presidenta o el Presidente Municipal, promulgará y publicará el Presupuesto de Egresos Municipal, a más tardar el día 25 de febrero de cada año debiendo enviarlo al Órgano Superior de Fiscalización en la misma fecha</w:t>
      </w:r>
      <w:r w:rsidRPr="00C7081F">
        <w:rPr>
          <w:rFonts w:ascii="Palatino Linotype" w:eastAsia="Palatino Linotype" w:hAnsi="Palatino Linotype" w:cs="Palatino Linotype"/>
          <w:i/>
          <w:color w:val="000000"/>
          <w:sz w:val="22"/>
        </w:rPr>
        <w:t xml:space="preserve">. </w:t>
      </w:r>
    </w:p>
    <w:p w14:paraId="35BBA2D3" w14:textId="77777777" w:rsidR="008B41E1" w:rsidRPr="00C7081F" w:rsidRDefault="000F4881">
      <w:pPr>
        <w:tabs>
          <w:tab w:val="left" w:pos="851"/>
        </w:tabs>
        <w:spacing w:line="360" w:lineRule="auto"/>
        <w:ind w:left="851" w:right="901"/>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El Presupuesto deberá incluir los tabuladores desglosados de las remuneraciones que perciban las y los servidores públicos municipales, sujetándose a lo dispuesto en el artículo 147 de esta Constitución.” </w:t>
      </w:r>
    </w:p>
    <w:p w14:paraId="35BBA2D4" w14:textId="77777777" w:rsidR="008B41E1" w:rsidRPr="00C7081F" w:rsidRDefault="000F4881">
      <w:pPr>
        <w:tabs>
          <w:tab w:val="left" w:pos="851"/>
        </w:tabs>
        <w:spacing w:line="360" w:lineRule="auto"/>
        <w:ind w:left="851" w:right="901"/>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(Énfasis añadido)</w:t>
      </w:r>
    </w:p>
    <w:p w14:paraId="35BBA2D5" w14:textId="77777777" w:rsidR="008B41E1" w:rsidRPr="00C7081F" w:rsidRDefault="008B41E1">
      <w:pPr>
        <w:spacing w:line="360" w:lineRule="auto"/>
        <w:jc w:val="both"/>
        <w:rPr>
          <w:rFonts w:ascii="Palatino Linotype" w:eastAsia="Palatino Linotype" w:hAnsi="Palatino Linotype" w:cs="Palatino Linotype"/>
          <w:color w:val="000000"/>
        </w:rPr>
      </w:pPr>
    </w:p>
    <w:p w14:paraId="35BBA2D6"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Por su parte, el artículo 47 de la Ley de Fiscalización Superior del Estado de México indica que:</w:t>
      </w:r>
    </w:p>
    <w:p w14:paraId="35BBA2D7" w14:textId="77777777" w:rsidR="008B41E1" w:rsidRPr="00C7081F" w:rsidRDefault="000F4881">
      <w:pPr>
        <w:tabs>
          <w:tab w:val="left" w:pos="851"/>
        </w:tabs>
        <w:spacing w:line="360" w:lineRule="auto"/>
        <w:ind w:left="851" w:right="901"/>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w:t>
      </w:r>
      <w:r w:rsidRPr="00C7081F">
        <w:rPr>
          <w:rFonts w:ascii="Palatino Linotype" w:eastAsia="Palatino Linotype" w:hAnsi="Palatino Linotype" w:cs="Palatino Linotype"/>
          <w:b/>
          <w:i/>
          <w:color w:val="000000"/>
          <w:sz w:val="22"/>
        </w:rPr>
        <w:t>Artículo 47.-</w:t>
      </w:r>
      <w:r w:rsidRPr="00C7081F">
        <w:rPr>
          <w:rFonts w:ascii="Palatino Linotype" w:eastAsia="Palatino Linotype" w:hAnsi="Palatino Linotype" w:cs="Palatino Linotype"/>
          <w:i/>
          <w:color w:val="000000"/>
          <w:sz w:val="22"/>
        </w:rPr>
        <w:t xml:space="preserve"> </w:t>
      </w:r>
      <w:r w:rsidRPr="00C7081F">
        <w:rPr>
          <w:rFonts w:ascii="Palatino Linotype" w:eastAsia="Palatino Linotype" w:hAnsi="Palatino Linotype" w:cs="Palatino Linotype"/>
          <w:b/>
          <w:i/>
          <w:color w:val="000000"/>
          <w:sz w:val="22"/>
        </w:rPr>
        <w:t>Los</w:t>
      </w:r>
      <w:r w:rsidRPr="00C7081F">
        <w:rPr>
          <w:rFonts w:ascii="Palatino Linotype" w:eastAsia="Palatino Linotype" w:hAnsi="Palatino Linotype" w:cs="Palatino Linotype"/>
          <w:i/>
          <w:color w:val="000000"/>
          <w:sz w:val="22"/>
        </w:rPr>
        <w:t xml:space="preserve"> </w:t>
      </w:r>
      <w:r w:rsidRPr="00C7081F">
        <w:rPr>
          <w:rFonts w:ascii="Palatino Linotype" w:eastAsia="Palatino Linotype" w:hAnsi="Palatino Linotype" w:cs="Palatino Linotype"/>
          <w:b/>
          <w:i/>
          <w:color w:val="000000"/>
          <w:sz w:val="22"/>
        </w:rPr>
        <w:t>Presidentes Municipales y los Síndicos estarán obligados a informar al Órgano Superior, a más tardar el 25 de febrero de cada año, el Presupuesto de Egresos Municipal que haya aprobado el Ayuntamiento correspondiente</w:t>
      </w:r>
      <w:r w:rsidRPr="00C7081F">
        <w:rPr>
          <w:rFonts w:ascii="Palatino Linotype" w:eastAsia="Palatino Linotype" w:hAnsi="Palatino Linotype" w:cs="Palatino Linotype"/>
          <w:i/>
          <w:color w:val="000000"/>
          <w:sz w:val="22"/>
        </w:rPr>
        <w:t xml:space="preserve">.” </w:t>
      </w:r>
    </w:p>
    <w:p w14:paraId="35BBA2D8" w14:textId="77777777" w:rsidR="008B41E1" w:rsidRPr="00C7081F" w:rsidRDefault="000F4881">
      <w:pPr>
        <w:tabs>
          <w:tab w:val="left" w:pos="851"/>
        </w:tabs>
        <w:spacing w:line="360" w:lineRule="auto"/>
        <w:ind w:left="851" w:right="901"/>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(Énfasis añadido)</w:t>
      </w:r>
    </w:p>
    <w:p w14:paraId="35BBA2D9"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lastRenderedPageBreak/>
        <w:t>Aunado a lo anterior, el artículo 351 segundo párrafo del Código Financiero del Estado de México y Municipios establece que:</w:t>
      </w:r>
    </w:p>
    <w:p w14:paraId="35BBA2DA" w14:textId="77777777" w:rsidR="008B41E1" w:rsidRPr="00C7081F" w:rsidRDefault="000F4881">
      <w:pPr>
        <w:tabs>
          <w:tab w:val="left" w:pos="851"/>
        </w:tabs>
        <w:spacing w:line="360" w:lineRule="auto"/>
        <w:ind w:left="851" w:right="901"/>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w:t>
      </w:r>
      <w:r w:rsidRPr="00C7081F">
        <w:rPr>
          <w:rFonts w:ascii="Palatino Linotype" w:eastAsia="Palatino Linotype" w:hAnsi="Palatino Linotype" w:cs="Palatino Linotype"/>
          <w:b/>
          <w:i/>
          <w:color w:val="000000"/>
          <w:sz w:val="22"/>
        </w:rPr>
        <w:t>Artículo 351.-</w:t>
      </w:r>
      <w:r w:rsidRPr="00C7081F">
        <w:rPr>
          <w:rFonts w:ascii="Palatino Linotype" w:eastAsia="Palatino Linotype" w:hAnsi="Palatino Linotype" w:cs="Palatino Linotype"/>
          <w:i/>
          <w:color w:val="000000"/>
          <w:sz w:val="22"/>
        </w:rPr>
        <w:t xml:space="preserve"> …</w:t>
      </w:r>
    </w:p>
    <w:p w14:paraId="35BBA2DB" w14:textId="77777777" w:rsidR="008B41E1" w:rsidRPr="00C7081F" w:rsidRDefault="000F4881">
      <w:pPr>
        <w:tabs>
          <w:tab w:val="left" w:pos="851"/>
        </w:tabs>
        <w:spacing w:line="360" w:lineRule="auto"/>
        <w:ind w:left="851" w:right="901"/>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b/>
          <w:i/>
          <w:color w:val="000000"/>
          <w:sz w:val="22"/>
        </w:rPr>
        <w:t xml:space="preserve">Los Ayuntamientos al aprobar en forma definitiva su presupuesto de egresos, deberán publicar en la "Gaceta Municipal" </w:t>
      </w:r>
      <w:r w:rsidRPr="00C7081F">
        <w:rPr>
          <w:rFonts w:ascii="Palatino Linotype" w:eastAsia="Palatino Linotype" w:hAnsi="Palatino Linotype" w:cs="Palatino Linotype"/>
          <w:i/>
          <w:color w:val="000000"/>
          <w:sz w:val="22"/>
        </w:rPr>
        <w:t xml:space="preserve">de manera clara y entendible, todas y cada una de las partidas que lo integran, las remuneraciones de todo tipo aprobadas para los miembros del ayuntamiento y para los servidores públicos en general, incluyendo mandos medios y superiores de la administración municipal, a más tardar </w:t>
      </w:r>
      <w:r w:rsidRPr="00C7081F">
        <w:rPr>
          <w:rFonts w:ascii="Palatino Linotype" w:eastAsia="Palatino Linotype" w:hAnsi="Palatino Linotype" w:cs="Palatino Linotype"/>
          <w:b/>
          <w:i/>
          <w:color w:val="000000"/>
          <w:sz w:val="22"/>
        </w:rPr>
        <w:t>el 25 de febrero del año</w:t>
      </w:r>
      <w:r w:rsidRPr="00C7081F">
        <w:rPr>
          <w:rFonts w:ascii="Palatino Linotype" w:eastAsia="Palatino Linotype" w:hAnsi="Palatino Linotype" w:cs="Palatino Linotype"/>
          <w:i/>
          <w:color w:val="000000"/>
          <w:sz w:val="22"/>
        </w:rPr>
        <w:t xml:space="preserve"> para el cual habrá de aplicar dicho presupuesto.” </w:t>
      </w:r>
    </w:p>
    <w:p w14:paraId="35BBA2DC" w14:textId="77777777" w:rsidR="008B41E1" w:rsidRPr="00C7081F" w:rsidRDefault="000F4881">
      <w:pPr>
        <w:tabs>
          <w:tab w:val="left" w:pos="851"/>
        </w:tabs>
        <w:spacing w:line="360" w:lineRule="auto"/>
        <w:ind w:left="851" w:right="901"/>
        <w:jc w:val="both"/>
        <w:rPr>
          <w:rFonts w:ascii="Palatino Linotype" w:eastAsia="Palatino Linotype" w:hAnsi="Palatino Linotype" w:cs="Palatino Linotype"/>
          <w:color w:val="000000"/>
          <w:sz w:val="22"/>
        </w:rPr>
      </w:pPr>
      <w:r w:rsidRPr="00C7081F">
        <w:rPr>
          <w:rFonts w:ascii="Palatino Linotype" w:eastAsia="Palatino Linotype" w:hAnsi="Palatino Linotype" w:cs="Palatino Linotype"/>
          <w:color w:val="000000"/>
          <w:sz w:val="22"/>
        </w:rPr>
        <w:t>(Énfasis añadido)</w:t>
      </w:r>
    </w:p>
    <w:p w14:paraId="35BBA2DD" w14:textId="77777777" w:rsidR="008B41E1" w:rsidRPr="00C7081F" w:rsidRDefault="008B41E1">
      <w:pPr>
        <w:spacing w:line="360" w:lineRule="auto"/>
        <w:jc w:val="both"/>
        <w:rPr>
          <w:rFonts w:ascii="Palatino Linotype" w:eastAsia="Palatino Linotype" w:hAnsi="Palatino Linotype" w:cs="Palatino Linotype"/>
          <w:color w:val="000000"/>
        </w:rPr>
      </w:pPr>
    </w:p>
    <w:p w14:paraId="35BBA2DE"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De lo anterior, se puede advertir que el presupuesto de egreso municipal será aprobado por los ayuntamientos con base a los ingresos disponibles y corresponde a la Presidenta o Presidente Municipal promulgar y publicar el presupuesto de egresos municipal a más tardar el veinticinco de febrero de cada año debiendo enviar el mismo al Órgano Superior de Fiscalización, el cual debe ser publicado en la Gaceta Municipal. </w:t>
      </w:r>
    </w:p>
    <w:p w14:paraId="35BBA2DF" w14:textId="77777777" w:rsidR="008B41E1" w:rsidRPr="00C7081F" w:rsidRDefault="008B41E1">
      <w:pPr>
        <w:spacing w:line="360" w:lineRule="auto"/>
        <w:jc w:val="both"/>
        <w:rPr>
          <w:rFonts w:ascii="Palatino Linotype" w:eastAsia="Palatino Linotype" w:hAnsi="Palatino Linotype" w:cs="Palatino Linotype"/>
          <w:color w:val="000000"/>
        </w:rPr>
      </w:pPr>
    </w:p>
    <w:p w14:paraId="35BBA2E0"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Por lo que, este ÓRGANO GARANTE demuestra en estudio que el </w:t>
      </w:r>
      <w:r w:rsidRPr="00C7081F">
        <w:rPr>
          <w:rFonts w:ascii="Palatino Linotype" w:eastAsia="Palatino Linotype" w:hAnsi="Palatino Linotype" w:cs="Palatino Linotype"/>
          <w:b/>
          <w:color w:val="000000"/>
        </w:rPr>
        <w:t xml:space="preserve">SUJETO OBLIGADO </w:t>
      </w:r>
      <w:r w:rsidRPr="00C7081F">
        <w:rPr>
          <w:rFonts w:ascii="Palatino Linotype" w:eastAsia="Palatino Linotype" w:hAnsi="Palatino Linotype" w:cs="Palatino Linotype"/>
          <w:color w:val="000000"/>
        </w:rPr>
        <w:t xml:space="preserve">posee y administra en sus archivos la información solicitada respecto del documento donde aprobó el aumento salarial, encontrándose en los tabuladores de sueldos y salarios, siendo una obligación del </w:t>
      </w:r>
      <w:r w:rsidRPr="00C7081F">
        <w:rPr>
          <w:rFonts w:ascii="Palatino Linotype" w:eastAsia="Palatino Linotype" w:hAnsi="Palatino Linotype" w:cs="Palatino Linotype"/>
          <w:b/>
          <w:color w:val="000000"/>
        </w:rPr>
        <w:t xml:space="preserve">SUJETO OBLIGADO </w:t>
      </w:r>
      <w:r w:rsidRPr="00C7081F">
        <w:rPr>
          <w:rFonts w:ascii="Palatino Linotype" w:eastAsia="Palatino Linotype" w:hAnsi="Palatino Linotype" w:cs="Palatino Linotype"/>
          <w:color w:val="000000"/>
        </w:rPr>
        <w:t xml:space="preserve">publicar en gaceta el presupuesto de egresos anual a más tardar </w:t>
      </w:r>
      <w:r w:rsidRPr="00C7081F">
        <w:rPr>
          <w:rFonts w:ascii="Palatino Linotype" w:eastAsia="Palatino Linotype" w:hAnsi="Palatino Linotype" w:cs="Palatino Linotype"/>
          <w:b/>
          <w:color w:val="000000"/>
        </w:rPr>
        <w:t>el 25 de febrero del año.</w:t>
      </w:r>
    </w:p>
    <w:p w14:paraId="35BBA2E1" w14:textId="77777777" w:rsidR="008B41E1" w:rsidRPr="00C7081F" w:rsidRDefault="008B41E1">
      <w:pPr>
        <w:pBdr>
          <w:top w:val="nil"/>
          <w:left w:val="nil"/>
          <w:bottom w:val="nil"/>
          <w:right w:val="nil"/>
          <w:between w:val="nil"/>
        </w:pBdr>
        <w:ind w:left="720"/>
        <w:rPr>
          <w:rFonts w:ascii="Palatino Linotype" w:eastAsia="Palatino Linotype" w:hAnsi="Palatino Linotype" w:cs="Palatino Linotype"/>
          <w:color w:val="000000"/>
        </w:rPr>
      </w:pPr>
    </w:p>
    <w:p w14:paraId="35BBA2E2"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Sin embargo, este Órgano Garante no cuenta con certeza plena de que se hayan materializado aumentos salariales, derivado de que no existe pronunciamiento al </w:t>
      </w:r>
      <w:r w:rsidRPr="00C7081F">
        <w:rPr>
          <w:rFonts w:ascii="Palatino Linotype" w:eastAsia="Palatino Linotype" w:hAnsi="Palatino Linotype" w:cs="Palatino Linotype"/>
          <w:color w:val="000000"/>
        </w:rPr>
        <w:lastRenderedPageBreak/>
        <w:t xml:space="preserve">respecto por parte del </w:t>
      </w:r>
      <w:r w:rsidRPr="00C7081F">
        <w:rPr>
          <w:rFonts w:ascii="Palatino Linotype" w:eastAsia="Palatino Linotype" w:hAnsi="Palatino Linotype" w:cs="Palatino Linotype"/>
          <w:b/>
          <w:color w:val="000000"/>
        </w:rPr>
        <w:t>SUJETO OBLIGADO,</w:t>
      </w:r>
      <w:r w:rsidRPr="00C7081F">
        <w:rPr>
          <w:rFonts w:ascii="Palatino Linotype" w:eastAsia="Palatino Linotype" w:hAnsi="Palatino Linotype" w:cs="Palatino Linotype"/>
          <w:color w:val="000000"/>
        </w:rPr>
        <w:t xml:space="preserve"> por lo que de ser el caso no hayan existido aumentos salariales, a efecto de dar cumplimiento con el presente proveído, bastará con que lo haga del conocimiento del particular al momento de dar respuesta en términos del artículo 19 segundo párrafo </w:t>
      </w:r>
      <w:r w:rsidRPr="00C7081F">
        <w:rPr>
          <w:rFonts w:ascii="Palatino Linotype" w:eastAsia="Palatino Linotype" w:hAnsi="Palatino Linotype" w:cs="Palatino Linotype"/>
        </w:rPr>
        <w:t>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 como se observa:</w:t>
      </w:r>
    </w:p>
    <w:p w14:paraId="35BBA2E3" w14:textId="77777777" w:rsidR="008B41E1" w:rsidRPr="00C7081F" w:rsidRDefault="000F4881">
      <w:pPr>
        <w:pBdr>
          <w:top w:val="nil"/>
          <w:left w:val="nil"/>
          <w:bottom w:val="nil"/>
          <w:right w:val="nil"/>
          <w:between w:val="nil"/>
        </w:pBdr>
        <w:spacing w:line="360" w:lineRule="auto"/>
        <w:ind w:left="360" w:right="900"/>
        <w:jc w:val="both"/>
        <w:rPr>
          <w:rFonts w:ascii="Palatino Linotype" w:eastAsia="Palatino Linotype" w:hAnsi="Palatino Linotype" w:cs="Palatino Linotype"/>
          <w:b/>
          <w:i/>
          <w:color w:val="000000"/>
          <w:sz w:val="22"/>
          <w:u w:val="single"/>
        </w:rPr>
      </w:pPr>
      <w:r w:rsidRPr="00C7081F">
        <w:rPr>
          <w:rFonts w:ascii="Palatino Linotype" w:eastAsia="Palatino Linotype" w:hAnsi="Palatino Linotype" w:cs="Palatino Linotype"/>
          <w:i/>
          <w:color w:val="000000"/>
          <w:sz w:val="22"/>
        </w:rPr>
        <w:t>“</w:t>
      </w:r>
      <w:r w:rsidRPr="00C7081F">
        <w:rPr>
          <w:rFonts w:ascii="Palatino Linotype" w:eastAsia="Palatino Linotype" w:hAnsi="Palatino Linotype" w:cs="Palatino Linotype"/>
          <w:b/>
          <w:i/>
          <w:color w:val="000000"/>
          <w:sz w:val="22"/>
        </w:rPr>
        <w:t>Artículo 19.</w:t>
      </w:r>
      <w:r w:rsidRPr="00C7081F">
        <w:rPr>
          <w:rFonts w:ascii="Palatino Linotype" w:eastAsia="Palatino Linotype" w:hAnsi="Palatino Linotype" w:cs="Palatino Linotype"/>
          <w:i/>
          <w:color w:val="000000"/>
          <w:sz w:val="22"/>
        </w:rPr>
        <w:t xml:space="preserve"> Se presume que la información debe existir si se refiere a las facultades, competencias y funciones que los ordenamientos jurídicos aplicables otorgan a los sujetos obligados.</w:t>
      </w:r>
      <w:r w:rsidRPr="00C7081F">
        <w:rPr>
          <w:rFonts w:ascii="Palatino Linotype" w:eastAsia="Palatino Linotype" w:hAnsi="Palatino Linotype" w:cs="Palatino Linotype"/>
          <w:b/>
          <w:i/>
          <w:color w:val="000000"/>
          <w:sz w:val="22"/>
          <w:u w:val="single"/>
        </w:rPr>
        <w:t xml:space="preserve"> </w:t>
      </w:r>
    </w:p>
    <w:p w14:paraId="35BBA2E4" w14:textId="77777777" w:rsidR="008B41E1" w:rsidRPr="00C7081F" w:rsidRDefault="000F4881">
      <w:pPr>
        <w:pBdr>
          <w:top w:val="nil"/>
          <w:left w:val="nil"/>
          <w:bottom w:val="nil"/>
          <w:right w:val="nil"/>
          <w:between w:val="nil"/>
        </w:pBdr>
        <w:spacing w:line="360" w:lineRule="auto"/>
        <w:ind w:left="360" w:right="900"/>
        <w:jc w:val="both"/>
        <w:rPr>
          <w:rFonts w:ascii="Palatino Linotype" w:eastAsia="Palatino Linotype" w:hAnsi="Palatino Linotype" w:cs="Palatino Linotype"/>
          <w:b/>
          <w:i/>
          <w:color w:val="000000"/>
          <w:sz w:val="22"/>
        </w:rPr>
      </w:pPr>
      <w:r w:rsidRPr="00C7081F">
        <w:rPr>
          <w:rFonts w:ascii="Palatino Linotype" w:eastAsia="Palatino Linotype" w:hAnsi="Palatino Linotype" w:cs="Palatino Linotype"/>
          <w:b/>
          <w:i/>
          <w:color w:val="000000"/>
          <w:sz w:val="22"/>
        </w:rPr>
        <w:t xml:space="preserve">En los casos en que ciertas facultades, competencias o funciones no se hayan ejercido, se debe motivar la respuesta en función de las causas que motiven tal circunstancia. </w:t>
      </w:r>
    </w:p>
    <w:p w14:paraId="35BBA2E5" w14:textId="77777777" w:rsidR="008B41E1" w:rsidRPr="00C7081F" w:rsidRDefault="000F4881">
      <w:pPr>
        <w:pBdr>
          <w:top w:val="nil"/>
          <w:left w:val="nil"/>
          <w:bottom w:val="nil"/>
          <w:right w:val="nil"/>
          <w:between w:val="nil"/>
        </w:pBdr>
        <w:spacing w:line="360" w:lineRule="auto"/>
        <w:ind w:left="360" w:right="900"/>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5BBA2E6" w14:textId="77777777" w:rsidR="008B41E1" w:rsidRPr="00C7081F" w:rsidRDefault="008B41E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BBA2E7" w14:textId="77777777" w:rsidR="008B41E1" w:rsidRPr="00C7081F" w:rsidRDefault="000F4881">
      <w:pPr>
        <w:numPr>
          <w:ilvl w:val="0"/>
          <w:numId w:val="6"/>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bookmarkStart w:id="7" w:name="_heading=h.1t3h5sf" w:colFirst="0" w:colLast="0"/>
      <w:bookmarkEnd w:id="7"/>
      <w:r w:rsidRPr="00C7081F">
        <w:rPr>
          <w:rFonts w:ascii="Palatino Linotype" w:eastAsia="Palatino Linotype" w:hAnsi="Palatino Linotype" w:cs="Palatino Linotype"/>
          <w:color w:val="000000"/>
        </w:rPr>
        <w:t xml:space="preserve">Ahora bien, en cuanto a lo solicitado “de cuanto fue el aumento al salario, si fue universal o hubo excepciones”,  se traduce en el ejercicio de un </w:t>
      </w:r>
      <w:r w:rsidRPr="00C7081F">
        <w:rPr>
          <w:rFonts w:ascii="Palatino Linotype" w:eastAsia="Palatino Linotype" w:hAnsi="Palatino Linotype" w:cs="Palatino Linotype"/>
          <w:b/>
          <w:color w:val="000000"/>
          <w:u w:val="single"/>
        </w:rPr>
        <w:t>derecho de petición</w:t>
      </w:r>
      <w:r w:rsidRPr="00C7081F">
        <w:rPr>
          <w:rFonts w:ascii="Palatino Linotype" w:eastAsia="Palatino Linotype" w:hAnsi="Palatino Linotype" w:cs="Palatino Linotype"/>
          <w:color w:val="000000"/>
        </w:rPr>
        <w:t>, al consistir en manifestaciones subjetivas unilaterales que buscan un pronunciamiento directo y específico por parte de una autoridad.</w:t>
      </w:r>
    </w:p>
    <w:p w14:paraId="35BBA2E8" w14:textId="77777777" w:rsidR="008B41E1" w:rsidRPr="00C7081F" w:rsidRDefault="008B41E1">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35BBA2E9" w14:textId="77777777" w:rsidR="008B41E1" w:rsidRPr="00C7081F" w:rsidRDefault="000F4881">
      <w:pPr>
        <w:numPr>
          <w:ilvl w:val="0"/>
          <w:numId w:val="6"/>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lastRenderedPageBreak/>
        <w:t>Bajo ese contexto, es importante dejar en claro lo que debe entenderse por derecho de petición; al respecto, el Maestro Ignacio Burgoa Orihuela refiere lo define de la siguiente manera:</w:t>
      </w:r>
    </w:p>
    <w:p w14:paraId="35BBA2EA" w14:textId="77777777" w:rsidR="008B41E1" w:rsidRPr="00C7081F" w:rsidRDefault="000F4881">
      <w:pPr>
        <w:spacing w:line="360" w:lineRule="auto"/>
        <w:ind w:left="851" w:right="901"/>
        <w:jc w:val="both"/>
        <w:rPr>
          <w:rFonts w:ascii="Palatino Linotype" w:eastAsia="Palatino Linotype" w:hAnsi="Palatino Linotype" w:cs="Palatino Linotype"/>
          <w:i/>
          <w:sz w:val="22"/>
        </w:rPr>
      </w:pPr>
      <w:r w:rsidRPr="00C7081F">
        <w:rPr>
          <w:rFonts w:ascii="Palatino Linotype" w:eastAsia="Palatino Linotype" w:hAnsi="Palatino Linotype" w:cs="Palatino Linotype"/>
          <w:b/>
          <w:sz w:val="22"/>
        </w:rPr>
        <w:t>“</w:t>
      </w:r>
      <w:r w:rsidRPr="00C7081F">
        <w:rPr>
          <w:rFonts w:ascii="Palatino Linotype" w:eastAsia="Palatino Linotype" w:hAnsi="Palatino Linotype" w:cs="Palatino Linotype"/>
          <w:sz w:val="22"/>
        </w:rPr>
        <w:t>…</w:t>
      </w:r>
      <w:r w:rsidRPr="00C7081F">
        <w:rPr>
          <w:rFonts w:ascii="Palatino Linotype" w:eastAsia="Palatino Linotype" w:hAnsi="Palatino Linotype" w:cs="Palatino Linotype"/>
          <w:i/>
          <w:sz w:val="22"/>
        </w:rPr>
        <w:t xml:space="preserve">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 </w:t>
      </w:r>
      <w:r w:rsidRPr="00C7081F">
        <w:rPr>
          <w:rFonts w:ascii="Palatino Linotype" w:eastAsia="Palatino Linotype" w:hAnsi="Palatino Linotype" w:cs="Palatino Linotype"/>
          <w:sz w:val="22"/>
        </w:rPr>
        <w:t>(Sic)</w:t>
      </w:r>
    </w:p>
    <w:p w14:paraId="35BBA2EB" w14:textId="77777777" w:rsidR="008B41E1" w:rsidRPr="00C7081F" w:rsidRDefault="008B41E1">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35BBA2EC" w14:textId="77777777" w:rsidR="008B41E1" w:rsidRPr="00C7081F" w:rsidRDefault="000F4881">
      <w:pPr>
        <w:numPr>
          <w:ilvl w:val="0"/>
          <w:numId w:val="6"/>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Por su parte, David Cienfuegos Salgado, concibe al derecho de petición como </w:t>
      </w:r>
      <w:r w:rsidRPr="00C7081F">
        <w:rPr>
          <w:rFonts w:ascii="Palatino Linotype" w:eastAsia="Palatino Linotype" w:hAnsi="Palatino Linotype" w:cs="Palatino Linotype"/>
          <w:i/>
          <w:color w:val="000000"/>
        </w:rPr>
        <w:t>“(…) el derecho de toda persona a ser escuchado por quienes ejercen el poder público.”</w:t>
      </w:r>
    </w:p>
    <w:p w14:paraId="35BBA2ED" w14:textId="77777777" w:rsidR="00C7081F" w:rsidRPr="00C7081F" w:rsidRDefault="00C7081F" w:rsidP="00C7081F">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35BBA2EE" w14:textId="77777777" w:rsidR="008B41E1" w:rsidRPr="00C7081F" w:rsidRDefault="000F4881">
      <w:pPr>
        <w:numPr>
          <w:ilvl w:val="0"/>
          <w:numId w:val="6"/>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De lo anterior, se puede concluir que la distinción entre </w:t>
      </w:r>
      <w:r w:rsidRPr="00C7081F">
        <w:rPr>
          <w:rFonts w:ascii="Palatino Linotype" w:eastAsia="Palatino Linotype" w:hAnsi="Palatino Linotype" w:cs="Palatino Linotype"/>
          <w:b/>
          <w:color w:val="000000"/>
        </w:rPr>
        <w:t>el</w:t>
      </w:r>
      <w:r w:rsidRPr="00C7081F">
        <w:rPr>
          <w:rFonts w:ascii="Palatino Linotype" w:eastAsia="Palatino Linotype" w:hAnsi="Palatino Linotype" w:cs="Palatino Linotype"/>
          <w:color w:val="000000"/>
        </w:rPr>
        <w:t xml:space="preserve"> </w:t>
      </w:r>
      <w:r w:rsidRPr="00C7081F">
        <w:rPr>
          <w:rFonts w:ascii="Palatino Linotype" w:eastAsia="Palatino Linotype" w:hAnsi="Palatino Linotype" w:cs="Palatino Linotype"/>
          <w:b/>
          <w:color w:val="000000"/>
        </w:rPr>
        <w:t>derecho de petición</w:t>
      </w:r>
      <w:r w:rsidRPr="00C7081F">
        <w:rPr>
          <w:rFonts w:ascii="Palatino Linotype" w:eastAsia="Palatino Linotype" w:hAnsi="Palatino Linotype" w:cs="Palatino Linotype"/>
          <w:color w:val="000000"/>
        </w:rPr>
        <w:t xml:space="preserve"> y el derecho de acceso a la información </w:t>
      </w:r>
      <w:r w:rsidRPr="00C7081F">
        <w:rPr>
          <w:rFonts w:ascii="Palatino Linotype" w:eastAsia="Palatino Linotype" w:hAnsi="Palatino Linotype" w:cs="Palatino Linotype"/>
          <w:b/>
          <w:color w:val="000000"/>
        </w:rPr>
        <w:t>estriba principalmente en</w:t>
      </w:r>
      <w:r w:rsidRPr="00C7081F">
        <w:rPr>
          <w:rFonts w:ascii="Palatino Linotype" w:eastAsia="Palatino Linotype" w:hAnsi="Palatino Linotype" w:cs="Palatino Linotype"/>
          <w:color w:val="000000"/>
        </w:rPr>
        <w:t xml:space="preserve"> que, en el primero de ellos, </w:t>
      </w:r>
      <w:r w:rsidRPr="00C7081F">
        <w:rPr>
          <w:rFonts w:ascii="Palatino Linotype" w:eastAsia="Palatino Linotype" w:hAnsi="Palatino Linotype" w:cs="Palatino Linotype"/>
          <w:b/>
          <w:color w:val="000000"/>
        </w:rPr>
        <w:t>la pretensión del peticionario consiste generalmente en obligar a la autoridad responsable a que actúe en el sentido de contestar lo solicitado</w:t>
      </w:r>
      <w:r w:rsidRPr="00C7081F">
        <w:rPr>
          <w:rFonts w:ascii="Palatino Linotype" w:eastAsia="Palatino Linotype" w:hAnsi="Palatino Linotype" w:cs="Palatino Linotype"/>
          <w:color w:val="000000"/>
        </w:rPr>
        <w:t>; mientras que en el segundo supuesto, la solicitud de acceso a la información pública, se encamina primordialmente a permitir el acceso a datos, registros y todo tipo de información pública que conste en documentos, sea generada o se encuentre en posesión de la autoridad.</w:t>
      </w:r>
    </w:p>
    <w:p w14:paraId="35BBA2EF" w14:textId="77777777" w:rsidR="008B41E1" w:rsidRPr="00C7081F" w:rsidRDefault="008B41E1">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35BBA2F0" w14:textId="77777777" w:rsidR="008B41E1" w:rsidRPr="00C7081F" w:rsidRDefault="000F4881">
      <w:pPr>
        <w:numPr>
          <w:ilvl w:val="0"/>
          <w:numId w:val="6"/>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Así las cosas, al solicitar el particular que el </w:t>
      </w:r>
      <w:r w:rsidRPr="00C7081F">
        <w:rPr>
          <w:rFonts w:ascii="Palatino Linotype" w:eastAsia="Palatino Linotype" w:hAnsi="Palatino Linotype" w:cs="Palatino Linotype"/>
          <w:b/>
          <w:color w:val="000000"/>
        </w:rPr>
        <w:t>SUJETO OBLIGADO</w:t>
      </w:r>
      <w:r w:rsidRPr="00C7081F">
        <w:rPr>
          <w:rFonts w:ascii="Palatino Linotype" w:eastAsia="Palatino Linotype" w:hAnsi="Palatino Linotype" w:cs="Palatino Linotype"/>
          <w:color w:val="000000"/>
        </w:rPr>
        <w:t xml:space="preserve"> manifieste: “… si el aumento de salario fue universal o hubo excepciones”,  se desprende que no existe una pretensión para obtener un documento específico o que requiera hacer valer su </w:t>
      </w:r>
      <w:r w:rsidRPr="00C7081F">
        <w:rPr>
          <w:rFonts w:ascii="Palatino Linotype" w:eastAsia="Palatino Linotype" w:hAnsi="Palatino Linotype" w:cs="Palatino Linotype"/>
          <w:color w:val="000000"/>
        </w:rPr>
        <w:lastRenderedPageBreak/>
        <w:t xml:space="preserve">derecho de acceso a la información pública, sino que </w:t>
      </w:r>
      <w:r w:rsidRPr="00C7081F">
        <w:rPr>
          <w:rFonts w:ascii="Palatino Linotype" w:eastAsia="Palatino Linotype" w:hAnsi="Palatino Linotype" w:cs="Palatino Linotype"/>
          <w:b/>
          <w:color w:val="000000"/>
        </w:rPr>
        <w:t>el RECURRENTE desea que se le presente una explicación ante el escenario específico</w:t>
      </w:r>
      <w:r w:rsidRPr="00C7081F">
        <w:rPr>
          <w:rFonts w:ascii="Palatino Linotype" w:eastAsia="Palatino Linotype" w:hAnsi="Palatino Linotype" w:cs="Palatino Linotype"/>
          <w:color w:val="000000"/>
        </w:rPr>
        <w:t>. Situación que, se insiste, no puede ser abordada a través del derecho de acceso a la información.</w:t>
      </w:r>
    </w:p>
    <w:p w14:paraId="35BBA2F1" w14:textId="77777777" w:rsidR="008B41E1" w:rsidRPr="00C7081F" w:rsidRDefault="008B41E1">
      <w:pPr>
        <w:spacing w:line="360" w:lineRule="auto"/>
        <w:jc w:val="both"/>
        <w:rPr>
          <w:rFonts w:ascii="Palatino Linotype" w:eastAsia="Palatino Linotype" w:hAnsi="Palatino Linotype" w:cs="Palatino Linotype"/>
          <w:b/>
          <w:color w:val="000000"/>
        </w:rPr>
      </w:pPr>
    </w:p>
    <w:p w14:paraId="35BBA2F2"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Por último, en cuanto al punto </w:t>
      </w:r>
      <w:r w:rsidRPr="00C7081F">
        <w:rPr>
          <w:rFonts w:ascii="Palatino Linotype" w:eastAsia="Palatino Linotype" w:hAnsi="Palatino Linotype" w:cs="Palatino Linotype"/>
          <w:b/>
          <w:color w:val="000000"/>
        </w:rPr>
        <w:t>“de cuanto era el salario del policía (servidor público) referido en la solicitud de información, antes y después del aumento</w:t>
      </w:r>
      <w:r w:rsidRPr="00C7081F">
        <w:rPr>
          <w:rFonts w:ascii="Palatino Linotype" w:eastAsia="Palatino Linotype" w:hAnsi="Palatino Linotype" w:cs="Palatino Linotype"/>
          <w:color w:val="000000"/>
        </w:rPr>
        <w:t>, así como al momento de que el ayuntamiento lo separo del cargo”, se menciona que resulta procedente la clasificación como reservada, por las siguientes consideraciones.</w:t>
      </w:r>
    </w:p>
    <w:p w14:paraId="35BBA2F3" w14:textId="77777777" w:rsidR="008B41E1" w:rsidRPr="00C7081F" w:rsidRDefault="008B41E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5BBA2F4" w14:textId="77777777" w:rsidR="008B41E1" w:rsidRPr="00C7081F" w:rsidRDefault="000F4881">
      <w:pPr>
        <w:numPr>
          <w:ilvl w:val="0"/>
          <w:numId w:val="6"/>
        </w:numPr>
        <w:tabs>
          <w:tab w:val="left" w:pos="284"/>
        </w:tabs>
        <w:spacing w:line="360" w:lineRule="auto"/>
        <w:ind w:left="0" w:right="49" w:firstLine="0"/>
        <w:jc w:val="both"/>
        <w:rPr>
          <w:rFonts w:ascii="Palatino Linotype" w:eastAsia="Palatino Linotype" w:hAnsi="Palatino Linotype" w:cs="Palatino Linotype"/>
        </w:rPr>
      </w:pPr>
      <w:r w:rsidRPr="00C7081F">
        <w:rPr>
          <w:rFonts w:ascii="Palatino Linotype" w:eastAsia="Palatino Linotype" w:hAnsi="Palatino Linotype" w:cs="Palatino Linotype"/>
        </w:rPr>
        <w:t xml:space="preserve">Que el </w:t>
      </w:r>
      <w:r w:rsidRPr="00C7081F">
        <w:rPr>
          <w:rFonts w:ascii="Palatino Linotype" w:eastAsia="Palatino Linotype" w:hAnsi="Palatino Linotype" w:cs="Palatino Linotype"/>
          <w:b/>
        </w:rPr>
        <w:t>SUJETO OBLIGADO,</w:t>
      </w:r>
      <w:r w:rsidRPr="00C7081F">
        <w:rPr>
          <w:rFonts w:ascii="Palatino Linotype" w:eastAsia="Palatino Linotype" w:hAnsi="Palatino Linotype" w:cs="Palatino Linotype"/>
        </w:rPr>
        <w:t xml:space="preserve"> informa que se advirtió que el entregarla vulneraría la conducción de los expedientes judiciales o procedimientos administrativos seguidos en forma juicio que no han concluido. Así mismo, en la información que se remite se observa que la Comisión de Honor y Justicia y la Secretaría Técnica del Consejo de Seguridad Ciudadana confirman que existe investigación y procedimiento administrativo abierto y vigente.</w:t>
      </w:r>
    </w:p>
    <w:p w14:paraId="35BBA2F5" w14:textId="77777777" w:rsidR="008B41E1" w:rsidRPr="00C7081F" w:rsidRDefault="008B41E1">
      <w:pPr>
        <w:tabs>
          <w:tab w:val="left" w:pos="284"/>
        </w:tabs>
        <w:spacing w:line="360" w:lineRule="auto"/>
        <w:ind w:right="49"/>
        <w:jc w:val="both"/>
        <w:rPr>
          <w:rFonts w:ascii="Palatino Linotype" w:eastAsia="Palatino Linotype" w:hAnsi="Palatino Linotype" w:cs="Palatino Linotype"/>
        </w:rPr>
      </w:pPr>
    </w:p>
    <w:p w14:paraId="35BBA2F6" w14:textId="77777777" w:rsidR="008B41E1" w:rsidRPr="00C7081F" w:rsidRDefault="000F4881">
      <w:pPr>
        <w:numPr>
          <w:ilvl w:val="0"/>
          <w:numId w:val="6"/>
        </w:numPr>
        <w:tabs>
          <w:tab w:val="left" w:pos="284"/>
        </w:tabs>
        <w:spacing w:line="360" w:lineRule="auto"/>
        <w:ind w:left="0" w:right="49" w:firstLine="0"/>
        <w:jc w:val="both"/>
        <w:rPr>
          <w:rFonts w:ascii="Palatino Linotype" w:eastAsia="Palatino Linotype" w:hAnsi="Palatino Linotype" w:cs="Palatino Linotype"/>
          <w:b/>
          <w:color w:val="000000"/>
        </w:rPr>
      </w:pPr>
      <w:r w:rsidRPr="00C7081F">
        <w:rPr>
          <w:rFonts w:ascii="Palatino Linotype" w:eastAsia="Palatino Linotype" w:hAnsi="Palatino Linotype" w:cs="Palatino Linotype"/>
        </w:rPr>
        <w:t xml:space="preserve">Al respecto, este Órgano Garante carece de facultades para dudar de la veracidad de la respuesta emitida. 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C7081F">
        <w:rPr>
          <w:rFonts w:ascii="Palatino Linotype" w:eastAsia="Palatino Linotype" w:hAnsi="Palatino Linotype" w:cs="Palatino Linotype"/>
          <w:i/>
          <w:color w:val="000000"/>
        </w:rPr>
        <w:t>máxime</w:t>
      </w:r>
      <w:r w:rsidRPr="00C7081F">
        <w:rPr>
          <w:rFonts w:ascii="Palatino Linotype" w:eastAsia="Palatino Linotype" w:hAnsi="Palatino Linotype" w:cs="Palatino Linotype"/>
          <w:color w:val="000000"/>
        </w:rPr>
        <w:t xml:space="preserve"> que </w:t>
      </w:r>
      <w:r w:rsidRPr="00C7081F">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14:paraId="35BBA2F7" w14:textId="77777777" w:rsidR="008B41E1" w:rsidRPr="00C7081F" w:rsidRDefault="000F4881">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lastRenderedPageBreak/>
        <w:t>Sirviendo de apoyo a lo anterior por analogía, el criterio 31-10 emitido por el ahora Instituto Nacional de Transparencia, Acceso a la Información y Protección de Datos Personales, que a la letra dice:</w:t>
      </w:r>
    </w:p>
    <w:p w14:paraId="35BBA2F8" w14:textId="77777777" w:rsidR="008B41E1" w:rsidRPr="00C7081F" w:rsidRDefault="000F4881">
      <w:pPr>
        <w:pBdr>
          <w:top w:val="nil"/>
          <w:left w:val="nil"/>
          <w:bottom w:val="nil"/>
          <w:right w:val="nil"/>
          <w:between w:val="nil"/>
        </w:pBdr>
        <w:spacing w:line="360" w:lineRule="auto"/>
        <w:ind w:left="851" w:right="850"/>
        <w:jc w:val="both"/>
        <w:rPr>
          <w:rFonts w:ascii="Palatino Linotype" w:eastAsia="Palatino Linotype" w:hAnsi="Palatino Linotype" w:cs="Palatino Linotype"/>
          <w:i/>
          <w:color w:val="000000"/>
          <w:sz w:val="22"/>
        </w:rPr>
      </w:pPr>
      <w:r w:rsidRPr="00C7081F">
        <w:rPr>
          <w:rFonts w:ascii="Palatino Linotype" w:eastAsia="Palatino Linotype" w:hAnsi="Palatino Linotype" w:cs="Palatino Linotype"/>
          <w:i/>
          <w:color w:val="000000"/>
          <w:sz w:val="22"/>
        </w:rPr>
        <w:t xml:space="preserve">El Instituto Federal de Acceso a la Información y Protección de Datos </w:t>
      </w:r>
      <w:r w:rsidRPr="00C7081F">
        <w:rPr>
          <w:rFonts w:ascii="Palatino Linotype" w:eastAsia="Palatino Linotype" w:hAnsi="Palatino Linotype" w:cs="Palatino Linotype"/>
          <w:b/>
          <w:i/>
          <w:color w:val="000000"/>
          <w:sz w:val="22"/>
        </w:rPr>
        <w:t>no cuenta con facultades para pronunciarse respecto de la veracidad de los documentos proporcionados por los sujetos obligados.</w:t>
      </w:r>
      <w:r w:rsidRPr="00C7081F">
        <w:rPr>
          <w:rFonts w:ascii="Palatino Linotype" w:eastAsia="Palatino Linotype" w:hAnsi="Palatino Linotype" w:cs="Palatino Linotype"/>
          <w:i/>
          <w:color w:val="000000"/>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5BBA2F9" w14:textId="77777777" w:rsidR="008B41E1" w:rsidRPr="00C7081F" w:rsidRDefault="008B41E1">
      <w:pPr>
        <w:pBdr>
          <w:top w:val="nil"/>
          <w:left w:val="nil"/>
          <w:bottom w:val="nil"/>
          <w:right w:val="nil"/>
          <w:between w:val="nil"/>
        </w:pBdr>
        <w:spacing w:line="360" w:lineRule="auto"/>
        <w:ind w:left="851" w:right="850"/>
        <w:jc w:val="both"/>
        <w:rPr>
          <w:rFonts w:ascii="Palatino Linotype" w:eastAsia="Palatino Linotype" w:hAnsi="Palatino Linotype" w:cs="Palatino Linotype"/>
          <w:i/>
          <w:color w:val="000000"/>
        </w:rPr>
      </w:pPr>
    </w:p>
    <w:p w14:paraId="35BBA2FA" w14:textId="77777777" w:rsidR="008B41E1" w:rsidRPr="00C7081F" w:rsidRDefault="000F4881">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Así mismo, la </w:t>
      </w:r>
      <w:r w:rsidRPr="00C7081F">
        <w:rPr>
          <w:rFonts w:ascii="Palatino Linotype" w:eastAsia="Palatino Linotype" w:hAnsi="Palatino Linotype" w:cs="Palatino Linotype"/>
          <w:b/>
          <w:color w:val="000000"/>
        </w:rPr>
        <w:t>Ley de Transparencia y Acceso a la Información Pública del Estado de México y Municipios</w:t>
      </w:r>
      <w:r w:rsidRPr="00C7081F">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35BBA2FB" w14:textId="77777777" w:rsidR="008B41E1" w:rsidRPr="00C7081F" w:rsidRDefault="000F4881">
      <w:pPr>
        <w:pBdr>
          <w:top w:val="nil"/>
          <w:left w:val="nil"/>
          <w:bottom w:val="nil"/>
          <w:right w:val="nil"/>
          <w:between w:val="nil"/>
        </w:pBdr>
        <w:spacing w:line="360" w:lineRule="auto"/>
        <w:ind w:left="644" w:right="902"/>
        <w:jc w:val="both"/>
        <w:rPr>
          <w:rFonts w:ascii="Palatino Linotype" w:eastAsia="Palatino Linotype" w:hAnsi="Palatino Linotype" w:cs="Palatino Linotype"/>
          <w:b/>
          <w:i/>
          <w:color w:val="000000"/>
          <w:sz w:val="22"/>
        </w:rPr>
      </w:pPr>
      <w:r w:rsidRPr="00C7081F">
        <w:rPr>
          <w:rFonts w:ascii="Palatino Linotype" w:eastAsia="Palatino Linotype" w:hAnsi="Palatino Linotype" w:cs="Palatino Linotype"/>
          <w:i/>
          <w:color w:val="000000"/>
          <w:sz w:val="22"/>
        </w:rPr>
        <w:lastRenderedPageBreak/>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C7081F">
        <w:rPr>
          <w:rFonts w:ascii="Palatino Linotype" w:eastAsia="Palatino Linotype" w:hAnsi="Palatino Linotype" w:cs="Palatino Linotype"/>
          <w:b/>
          <w:i/>
          <w:color w:val="000000"/>
          <w:sz w:val="22"/>
        </w:rPr>
        <w:t>Los Sujetos Obligados deben poner en práctica, políticas y programas de acceso a la información que se apeguen a criterios de publicidad, veracidad, oportunidad, precisión y suficiencia en beneficio de los solicitantes.</w:t>
      </w:r>
    </w:p>
    <w:p w14:paraId="35BBA2FC" w14:textId="77777777" w:rsidR="008B41E1" w:rsidRPr="00C7081F" w:rsidRDefault="008B41E1">
      <w:pPr>
        <w:spacing w:line="360" w:lineRule="auto"/>
        <w:ind w:right="902"/>
        <w:jc w:val="both"/>
        <w:rPr>
          <w:rFonts w:ascii="Palatino Linotype" w:eastAsia="Palatino Linotype" w:hAnsi="Palatino Linotype" w:cs="Palatino Linotype"/>
          <w:b/>
          <w:i/>
          <w:sz w:val="22"/>
        </w:rPr>
      </w:pPr>
    </w:p>
    <w:p w14:paraId="35BBA2FD" w14:textId="77777777" w:rsidR="008B41E1" w:rsidRPr="00C7081F" w:rsidRDefault="000F4881">
      <w:pPr>
        <w:numPr>
          <w:ilvl w:val="0"/>
          <w:numId w:val="6"/>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Numerales que compelen al </w:t>
      </w:r>
      <w:r w:rsidRPr="00C7081F">
        <w:rPr>
          <w:rFonts w:ascii="Palatino Linotype" w:eastAsia="Palatino Linotype" w:hAnsi="Palatino Linotype" w:cs="Palatino Linotype"/>
          <w:b/>
          <w:color w:val="000000"/>
        </w:rPr>
        <w:t>SUJETO OBLIGADO</w:t>
      </w:r>
      <w:r w:rsidRPr="00C7081F">
        <w:rPr>
          <w:rFonts w:ascii="Palatino Linotype" w:eastAsia="Palatino Linotype" w:hAnsi="Palatino Linotype" w:cs="Palatino Linotype"/>
          <w:color w:val="000000"/>
        </w:rPr>
        <w:t xml:space="preserve"> a apegarse en todo momento a los criterios ya expuestos, </w:t>
      </w:r>
      <w:r w:rsidR="00C7081F" w:rsidRPr="00C7081F">
        <w:rPr>
          <w:rFonts w:ascii="Palatino Linotype" w:eastAsia="Palatino Linotype" w:hAnsi="Palatino Linotype" w:cs="Palatino Linotype"/>
          <w:color w:val="000000"/>
        </w:rPr>
        <w:t>impidiendo</w:t>
      </w:r>
      <w:r w:rsidRPr="00C7081F">
        <w:rPr>
          <w:rFonts w:ascii="Palatino Linotype" w:eastAsia="Palatino Linotype" w:hAnsi="Palatino Linotype" w:cs="Palatino Linotype"/>
          <w:color w:val="000000"/>
        </w:rPr>
        <w:t xml:space="preserve">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p>
    <w:p w14:paraId="35BBA2FE" w14:textId="77777777" w:rsidR="008B41E1" w:rsidRPr="00C7081F" w:rsidRDefault="008B41E1">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35BBA2FF" w14:textId="77777777" w:rsidR="008B41E1" w:rsidRPr="00C7081F" w:rsidRDefault="000F4881">
      <w:pPr>
        <w:numPr>
          <w:ilvl w:val="0"/>
          <w:numId w:val="6"/>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Ahora bien, para sustentar la clasificación de la información esta no se materializa por el simple pronunciamiento, sino que para tal efecto del comité de transparencia de los sujetos obligados deben generar el acta correspondiente que la sustente en </w:t>
      </w:r>
      <w:r w:rsidR="00C7081F" w:rsidRPr="00C7081F">
        <w:rPr>
          <w:rFonts w:ascii="Palatino Linotype" w:eastAsia="Palatino Linotype" w:hAnsi="Palatino Linotype" w:cs="Palatino Linotype"/>
          <w:color w:val="000000"/>
        </w:rPr>
        <w:t>términos</w:t>
      </w:r>
      <w:r w:rsidRPr="00C7081F">
        <w:rPr>
          <w:rFonts w:ascii="Palatino Linotype" w:eastAsia="Palatino Linotype" w:hAnsi="Palatino Linotype" w:cs="Palatino Linotype"/>
          <w:color w:val="000000"/>
        </w:rPr>
        <w:t xml:space="preserve"> de la normatividad aplicable. En el caso concre</w:t>
      </w:r>
      <w:r w:rsidR="00C7081F">
        <w:rPr>
          <w:rFonts w:ascii="Palatino Linotype" w:eastAsia="Palatino Linotype" w:hAnsi="Palatino Linotype" w:cs="Palatino Linotype"/>
          <w:color w:val="000000"/>
        </w:rPr>
        <w:t>to si bien es cierto el Ayuntamiento</w:t>
      </w:r>
      <w:r w:rsidRPr="00C7081F">
        <w:rPr>
          <w:rFonts w:ascii="Palatino Linotype" w:eastAsia="Palatino Linotype" w:hAnsi="Palatino Linotype" w:cs="Palatino Linotype"/>
          <w:color w:val="000000"/>
        </w:rPr>
        <w:t xml:space="preserve"> remitió un acta; </w:t>
      </w:r>
      <w:r w:rsidR="00C7081F" w:rsidRPr="00C7081F">
        <w:rPr>
          <w:rFonts w:ascii="Palatino Linotype" w:eastAsia="Palatino Linotype" w:hAnsi="Palatino Linotype" w:cs="Palatino Linotype"/>
          <w:color w:val="000000"/>
        </w:rPr>
        <w:t>también</w:t>
      </w:r>
      <w:r w:rsidRPr="00C7081F">
        <w:rPr>
          <w:rFonts w:ascii="Palatino Linotype" w:eastAsia="Palatino Linotype" w:hAnsi="Palatino Linotype" w:cs="Palatino Linotype"/>
          <w:color w:val="000000"/>
        </w:rPr>
        <w:t xml:space="preserve"> lo es que se advierte que no </w:t>
      </w:r>
      <w:r w:rsidR="00C7081F" w:rsidRPr="00C7081F">
        <w:rPr>
          <w:rFonts w:ascii="Palatino Linotype" w:eastAsia="Palatino Linotype" w:hAnsi="Palatino Linotype" w:cs="Palatino Linotype"/>
          <w:color w:val="000000"/>
        </w:rPr>
        <w:t>reúne</w:t>
      </w:r>
      <w:r w:rsidRPr="00C7081F">
        <w:rPr>
          <w:rFonts w:ascii="Palatino Linotype" w:eastAsia="Palatino Linotype" w:hAnsi="Palatino Linotype" w:cs="Palatino Linotype"/>
          <w:color w:val="000000"/>
        </w:rPr>
        <w:t xml:space="preserve"> los requisitos legales y formales para poder clasificar la información como reserva por encontrarse en </w:t>
      </w:r>
      <w:r w:rsidR="00C7081F" w:rsidRPr="00C7081F">
        <w:rPr>
          <w:rFonts w:ascii="Palatino Linotype" w:eastAsia="Palatino Linotype" w:hAnsi="Palatino Linotype" w:cs="Palatino Linotype"/>
          <w:color w:val="000000"/>
        </w:rPr>
        <w:t>trámite</w:t>
      </w:r>
      <w:r w:rsidRPr="00C7081F">
        <w:rPr>
          <w:rFonts w:ascii="Palatino Linotype" w:eastAsia="Palatino Linotype" w:hAnsi="Palatino Linotype" w:cs="Palatino Linotype"/>
          <w:color w:val="000000"/>
        </w:rPr>
        <w:t xml:space="preserve"> un procedimiento seguido en forma de juicio.</w:t>
      </w:r>
    </w:p>
    <w:p w14:paraId="35BBA300" w14:textId="77777777" w:rsidR="008B41E1" w:rsidRPr="00C7081F" w:rsidRDefault="008B41E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5BBA301" w14:textId="77777777" w:rsidR="008B41E1" w:rsidRPr="00C7081F" w:rsidRDefault="000F4881">
      <w:pPr>
        <w:numPr>
          <w:ilvl w:val="0"/>
          <w:numId w:val="6"/>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lastRenderedPageBreak/>
        <w:t>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5BBA302" w14:textId="77777777" w:rsidR="008B41E1" w:rsidRPr="00C7081F" w:rsidRDefault="008B41E1">
      <w:pPr>
        <w:pBdr>
          <w:top w:val="nil"/>
          <w:left w:val="nil"/>
          <w:bottom w:val="nil"/>
          <w:right w:val="nil"/>
          <w:between w:val="nil"/>
        </w:pBdr>
        <w:ind w:left="720"/>
        <w:rPr>
          <w:rFonts w:ascii="Palatino Linotype" w:eastAsia="Palatino Linotype" w:hAnsi="Palatino Linotype" w:cs="Palatino Linotype"/>
          <w:color w:val="000000"/>
        </w:rPr>
      </w:pPr>
    </w:p>
    <w:p w14:paraId="35BBA303" w14:textId="77777777" w:rsidR="008B41E1" w:rsidRPr="00C7081F" w:rsidRDefault="000F4881">
      <w:pPr>
        <w:numPr>
          <w:ilvl w:val="0"/>
          <w:numId w:val="6"/>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Los sujetos obligados deberán aplicar, de manera estricta, las excepciones al derecho de acceso a la información y sólo podrán invocarlas cuando acrediten su procedencia.</w:t>
      </w:r>
    </w:p>
    <w:p w14:paraId="35BBA304" w14:textId="77777777" w:rsidR="008B41E1" w:rsidRPr="00C7081F" w:rsidRDefault="000F4881">
      <w:pPr>
        <w:spacing w:line="360" w:lineRule="auto"/>
        <w:ind w:left="426" w:right="333"/>
        <w:jc w:val="both"/>
        <w:rPr>
          <w:rFonts w:ascii="Palatino Linotype" w:eastAsia="Palatino Linotype" w:hAnsi="Palatino Linotype" w:cs="Palatino Linotype"/>
          <w:sz w:val="22"/>
        </w:rPr>
      </w:pPr>
      <w:r w:rsidRPr="00C7081F">
        <w:rPr>
          <w:rFonts w:ascii="Palatino Linotype" w:eastAsia="Palatino Linotype" w:hAnsi="Palatino Linotype" w:cs="Palatino Linotype"/>
          <w:b/>
          <w:sz w:val="22"/>
        </w:rPr>
        <w:t>Séptimo. </w:t>
      </w:r>
      <w:r w:rsidRPr="00C7081F">
        <w:rPr>
          <w:rFonts w:ascii="Palatino Linotype" w:eastAsia="Palatino Linotype" w:hAnsi="Palatino Linotype" w:cs="Palatino Linotype"/>
          <w:sz w:val="22"/>
        </w:rPr>
        <w:t>La clasificación de la información se llevará a cabo en el momento en que:</w:t>
      </w:r>
    </w:p>
    <w:p w14:paraId="35BBA305" w14:textId="77777777" w:rsidR="008B41E1" w:rsidRPr="00C7081F" w:rsidRDefault="000F4881">
      <w:pPr>
        <w:spacing w:line="360" w:lineRule="auto"/>
        <w:ind w:left="426" w:right="333"/>
        <w:jc w:val="both"/>
        <w:rPr>
          <w:rFonts w:ascii="Palatino Linotype" w:eastAsia="Palatino Linotype" w:hAnsi="Palatino Linotype" w:cs="Palatino Linotype"/>
          <w:sz w:val="22"/>
        </w:rPr>
      </w:pPr>
      <w:r w:rsidRPr="00C7081F">
        <w:rPr>
          <w:rFonts w:ascii="Palatino Linotype" w:eastAsia="Palatino Linotype" w:hAnsi="Palatino Linotype" w:cs="Palatino Linotype"/>
          <w:b/>
          <w:sz w:val="22"/>
        </w:rPr>
        <w:t>I.</w:t>
      </w:r>
      <w:r w:rsidRPr="00C7081F">
        <w:rPr>
          <w:rFonts w:ascii="Palatino Linotype" w:eastAsia="Palatino Linotype" w:hAnsi="Palatino Linotype" w:cs="Palatino Linotype"/>
          <w:sz w:val="22"/>
        </w:rPr>
        <w:t>        Se reciba una solicitud de acceso a la información;</w:t>
      </w:r>
    </w:p>
    <w:p w14:paraId="35BBA306" w14:textId="77777777" w:rsidR="008B41E1" w:rsidRPr="00C7081F" w:rsidRDefault="000F4881">
      <w:pPr>
        <w:spacing w:line="360" w:lineRule="auto"/>
        <w:ind w:left="426" w:right="333"/>
        <w:jc w:val="both"/>
        <w:rPr>
          <w:rFonts w:ascii="Palatino Linotype" w:eastAsia="Palatino Linotype" w:hAnsi="Palatino Linotype" w:cs="Palatino Linotype"/>
          <w:sz w:val="22"/>
        </w:rPr>
      </w:pPr>
      <w:r w:rsidRPr="00C7081F">
        <w:rPr>
          <w:rFonts w:ascii="Palatino Linotype" w:eastAsia="Palatino Linotype" w:hAnsi="Palatino Linotype" w:cs="Palatino Linotype"/>
          <w:b/>
          <w:sz w:val="22"/>
        </w:rPr>
        <w:t>II.</w:t>
      </w:r>
      <w:r w:rsidRPr="00C7081F">
        <w:rPr>
          <w:rFonts w:ascii="Palatino Linotype" w:eastAsia="Palatino Linotype" w:hAnsi="Palatino Linotype" w:cs="Palatino Linotype"/>
          <w:sz w:val="22"/>
        </w:rPr>
        <w:t>       Se determine mediante resolución de autoridad competente, o</w:t>
      </w:r>
    </w:p>
    <w:p w14:paraId="35BBA307" w14:textId="77777777" w:rsidR="008B41E1" w:rsidRPr="00C7081F" w:rsidRDefault="000F4881">
      <w:pPr>
        <w:spacing w:line="360" w:lineRule="auto"/>
        <w:ind w:left="426" w:right="333"/>
        <w:jc w:val="both"/>
        <w:rPr>
          <w:rFonts w:ascii="Palatino Linotype" w:eastAsia="Palatino Linotype" w:hAnsi="Palatino Linotype" w:cs="Palatino Linotype"/>
          <w:sz w:val="22"/>
        </w:rPr>
      </w:pPr>
      <w:r w:rsidRPr="00C7081F">
        <w:rPr>
          <w:rFonts w:ascii="Palatino Linotype" w:eastAsia="Palatino Linotype" w:hAnsi="Palatino Linotype" w:cs="Palatino Linotype"/>
          <w:b/>
          <w:sz w:val="22"/>
        </w:rPr>
        <w:t>III.</w:t>
      </w:r>
      <w:r w:rsidRPr="00C7081F">
        <w:rPr>
          <w:rFonts w:ascii="Palatino Linotype" w:eastAsia="Palatino Linotype" w:hAnsi="Palatino Linotype" w:cs="Palatino Linotype"/>
          <w:sz w:val="22"/>
        </w:rPr>
        <w:t>      Se generen versiones públicas para dar cumplimiento a las obligaciones de transparencia previstas en la Ley General, la Ley Federal y las correspondientes de las entidades federativas.</w:t>
      </w:r>
    </w:p>
    <w:p w14:paraId="35BBA308" w14:textId="77777777" w:rsidR="008B41E1" w:rsidRPr="00C7081F" w:rsidRDefault="000F4881">
      <w:pPr>
        <w:spacing w:line="360" w:lineRule="auto"/>
        <w:ind w:left="426" w:right="333"/>
        <w:jc w:val="both"/>
        <w:rPr>
          <w:rFonts w:ascii="Palatino Linotype" w:eastAsia="Palatino Linotype" w:hAnsi="Palatino Linotype" w:cs="Palatino Linotype"/>
          <w:sz w:val="22"/>
        </w:rPr>
      </w:pPr>
      <w:r w:rsidRPr="00C7081F">
        <w:rPr>
          <w:rFonts w:ascii="Palatino Linotype" w:eastAsia="Palatino Linotype" w:hAnsi="Palatino Linotype" w:cs="Palatino Linotype"/>
          <w:sz w:val="22"/>
        </w:rPr>
        <w:t>Los titulares de las áreas deberán revisar la clasificación al momento de la recepción de una solicitud de acceso a la información, para verificar si encuadra en una causal de reserva o de confidencialidad.</w:t>
      </w:r>
    </w:p>
    <w:p w14:paraId="35BBA309" w14:textId="77777777" w:rsidR="008B41E1" w:rsidRPr="00C7081F" w:rsidRDefault="000F4881">
      <w:pPr>
        <w:spacing w:line="360" w:lineRule="auto"/>
        <w:ind w:left="426" w:right="333"/>
        <w:jc w:val="both"/>
        <w:rPr>
          <w:rFonts w:ascii="Palatino Linotype" w:eastAsia="Palatino Linotype" w:hAnsi="Palatino Linotype" w:cs="Palatino Linotype"/>
          <w:sz w:val="22"/>
        </w:rPr>
      </w:pPr>
      <w:r w:rsidRPr="00C7081F">
        <w:rPr>
          <w:rFonts w:ascii="Palatino Linotype" w:eastAsia="Palatino Linotype" w:hAnsi="Palatino Linotype" w:cs="Palatino Linotype"/>
          <w:b/>
          <w:sz w:val="22"/>
        </w:rPr>
        <w:t>Octavo. </w:t>
      </w:r>
      <w:r w:rsidRPr="00C7081F">
        <w:rPr>
          <w:rFonts w:ascii="Palatino Linotype" w:eastAsia="Palatino Linotype" w:hAnsi="Palatino Linotype" w:cs="Palatino Linotype"/>
          <w:sz w:val="22"/>
        </w:rPr>
        <w:t>Para fundar la clasificación de la información se debe señalar el artículo, fracción, inciso, párrafo o numeral de la ley o tratado internacional suscrito por el Estado mexicano que expresamente le otorga el carácter de reservada o confidencial.</w:t>
      </w:r>
    </w:p>
    <w:p w14:paraId="35BBA30A" w14:textId="77777777" w:rsidR="008B41E1" w:rsidRPr="00C7081F" w:rsidRDefault="000F4881">
      <w:pPr>
        <w:spacing w:line="360" w:lineRule="auto"/>
        <w:ind w:left="426" w:right="333"/>
        <w:jc w:val="both"/>
        <w:rPr>
          <w:rFonts w:ascii="Palatino Linotype" w:eastAsia="Palatino Linotype" w:hAnsi="Palatino Linotype" w:cs="Palatino Linotype"/>
        </w:rPr>
      </w:pPr>
      <w:r w:rsidRPr="00C7081F">
        <w:rPr>
          <w:rFonts w:ascii="Palatino Linotype" w:eastAsia="Palatino Linotype" w:hAnsi="Palatino Linotype" w:cs="Palatino Linotype"/>
          <w:sz w:val="22"/>
        </w:rPr>
        <w:t>Para motivar la clasificación se deberán señalar las razones o circunstancias especiales que lo llevaron a concluir que el caso particular se ajusta al supuesto previsto por la norma legal invocada como fundamento</w:t>
      </w:r>
      <w:r w:rsidRPr="00C7081F">
        <w:rPr>
          <w:rFonts w:ascii="Palatino Linotype" w:eastAsia="Palatino Linotype" w:hAnsi="Palatino Linotype" w:cs="Palatino Linotype"/>
        </w:rPr>
        <w:t>.</w:t>
      </w:r>
    </w:p>
    <w:p w14:paraId="35BBA30B" w14:textId="77777777" w:rsidR="008B41E1" w:rsidRPr="00C7081F" w:rsidRDefault="000F4881">
      <w:pPr>
        <w:numPr>
          <w:ilvl w:val="0"/>
          <w:numId w:val="6"/>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lastRenderedPageBreak/>
        <w:t>En caso de referirse a información reservada, la motivación de la clasificación también deberá comprender las circunstancias que justifican el establecimiento de determinado plazo de reserva.</w:t>
      </w:r>
    </w:p>
    <w:p w14:paraId="35BBA30C" w14:textId="77777777" w:rsidR="008B41E1" w:rsidRPr="00C7081F" w:rsidRDefault="008B41E1">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35BBA30D" w14:textId="77777777" w:rsidR="008B41E1" w:rsidRPr="00C7081F" w:rsidRDefault="000F4881">
      <w:pPr>
        <w:numPr>
          <w:ilvl w:val="0"/>
          <w:numId w:val="6"/>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Tratándose de información clasificada como confidencial respecto de la cual se haya determinado su conservación permanente por tener valor histórico, ésta conservará tal carácter de conformidad con la normativa aplicable en materia de archivos. Los documentos contenidos en los archivos históricos y los identificados como históricos confidenciales no serán susceptibles de clasificación como reservados.</w:t>
      </w:r>
    </w:p>
    <w:p w14:paraId="35BBA30E" w14:textId="77777777" w:rsidR="008B41E1" w:rsidRPr="00C7081F" w:rsidRDefault="008B41E1">
      <w:pPr>
        <w:pBdr>
          <w:top w:val="nil"/>
          <w:left w:val="nil"/>
          <w:bottom w:val="nil"/>
          <w:right w:val="nil"/>
          <w:between w:val="nil"/>
        </w:pBdr>
        <w:ind w:left="720"/>
        <w:rPr>
          <w:rFonts w:ascii="Palatino Linotype" w:eastAsia="Palatino Linotype" w:hAnsi="Palatino Linotype" w:cs="Palatino Linotype"/>
          <w:color w:val="000000"/>
        </w:rPr>
      </w:pPr>
    </w:p>
    <w:p w14:paraId="35BBA30F" w14:textId="77777777" w:rsidR="008B41E1" w:rsidRPr="00C7081F" w:rsidRDefault="008B41E1">
      <w:pPr>
        <w:spacing w:line="360" w:lineRule="auto"/>
        <w:ind w:right="49"/>
        <w:jc w:val="both"/>
        <w:rPr>
          <w:rFonts w:ascii="Palatino Linotype" w:eastAsia="Palatino Linotype" w:hAnsi="Palatino Linotype" w:cs="Palatino Linotype"/>
        </w:rPr>
      </w:pPr>
    </w:p>
    <w:p w14:paraId="35BBA310" w14:textId="77777777" w:rsidR="008B41E1" w:rsidRPr="00C7081F" w:rsidRDefault="000F4881">
      <w:pPr>
        <w:numPr>
          <w:ilvl w:val="0"/>
          <w:numId w:val="6"/>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Por otro lado, las mismas disposiciones referidas en el párrafo anterior precisan que, además de señalar las razones, motivos o circunstancias, se deberá aplicar la prueba de daño.  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sino de cada uno de los documentos que lo integran.</w:t>
      </w:r>
    </w:p>
    <w:p w14:paraId="35BBA311" w14:textId="77777777" w:rsidR="008B41E1" w:rsidRPr="00C7081F" w:rsidRDefault="008B41E1">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35BBA312" w14:textId="77777777" w:rsidR="008B41E1" w:rsidRPr="00C7081F" w:rsidRDefault="000F4881">
      <w:pPr>
        <w:numPr>
          <w:ilvl w:val="0"/>
          <w:numId w:val="6"/>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Para aplicar la prueba de daño, se deberán de precisar la razones objetivas por las que la apertura genera una afectación, acreditando que:</w:t>
      </w:r>
    </w:p>
    <w:p w14:paraId="35BBA313" w14:textId="77777777" w:rsidR="008B41E1" w:rsidRPr="00C7081F" w:rsidRDefault="008B41E1">
      <w:pPr>
        <w:pBdr>
          <w:top w:val="nil"/>
          <w:left w:val="nil"/>
          <w:bottom w:val="nil"/>
          <w:right w:val="nil"/>
          <w:between w:val="nil"/>
        </w:pBdr>
        <w:ind w:left="720"/>
        <w:rPr>
          <w:rFonts w:ascii="Palatino Linotype" w:eastAsia="Palatino Linotype" w:hAnsi="Palatino Linotype" w:cs="Palatino Linotype"/>
          <w:color w:val="000000"/>
        </w:rPr>
      </w:pPr>
    </w:p>
    <w:p w14:paraId="35BBA314" w14:textId="77777777" w:rsidR="008B41E1" w:rsidRPr="00C7081F" w:rsidRDefault="000F4881">
      <w:pPr>
        <w:widowControl w:val="0"/>
        <w:spacing w:line="360" w:lineRule="auto"/>
        <w:ind w:left="567" w:right="616"/>
        <w:jc w:val="both"/>
        <w:rPr>
          <w:rFonts w:ascii="Palatino Linotype" w:eastAsia="Palatino Linotype" w:hAnsi="Palatino Linotype" w:cs="Palatino Linotype"/>
          <w:color w:val="000000"/>
          <w:sz w:val="22"/>
        </w:rPr>
      </w:pPr>
      <w:r w:rsidRPr="00C7081F">
        <w:rPr>
          <w:rFonts w:ascii="Palatino Linotype" w:eastAsia="Palatino Linotype" w:hAnsi="Palatino Linotype" w:cs="Palatino Linotype"/>
          <w:color w:val="000000"/>
          <w:sz w:val="22"/>
        </w:rPr>
        <w:t xml:space="preserve">I. La divulgación de la información representa un riesgo real, demostrable e identificable del perjuicio significativo al interés público o a la seguridad pública; </w:t>
      </w:r>
    </w:p>
    <w:p w14:paraId="35BBA315" w14:textId="77777777" w:rsidR="008B41E1" w:rsidRPr="00C7081F" w:rsidRDefault="000F4881">
      <w:pPr>
        <w:widowControl w:val="0"/>
        <w:spacing w:line="360" w:lineRule="auto"/>
        <w:ind w:left="567" w:right="616"/>
        <w:jc w:val="both"/>
        <w:rPr>
          <w:rFonts w:ascii="Palatino Linotype" w:eastAsia="Palatino Linotype" w:hAnsi="Palatino Linotype" w:cs="Palatino Linotype"/>
          <w:color w:val="000000"/>
          <w:sz w:val="22"/>
        </w:rPr>
      </w:pPr>
      <w:r w:rsidRPr="00C7081F">
        <w:rPr>
          <w:rFonts w:ascii="Palatino Linotype" w:eastAsia="Palatino Linotype" w:hAnsi="Palatino Linotype" w:cs="Palatino Linotype"/>
          <w:color w:val="000000"/>
          <w:sz w:val="22"/>
        </w:rPr>
        <w:t xml:space="preserve">II. El riesgo de perjuicio que supondría la divulgación supera el interés público general de que se difunda; y </w:t>
      </w:r>
    </w:p>
    <w:p w14:paraId="35BBA316" w14:textId="77777777" w:rsidR="008B41E1" w:rsidRPr="00C7081F" w:rsidRDefault="000F4881">
      <w:pPr>
        <w:widowControl w:val="0"/>
        <w:spacing w:line="360" w:lineRule="auto"/>
        <w:ind w:left="567" w:right="616"/>
        <w:jc w:val="both"/>
        <w:rPr>
          <w:rFonts w:ascii="Palatino Linotype" w:eastAsia="Palatino Linotype" w:hAnsi="Palatino Linotype" w:cs="Palatino Linotype"/>
          <w:color w:val="000000"/>
          <w:sz w:val="22"/>
        </w:rPr>
      </w:pPr>
      <w:r w:rsidRPr="00C7081F">
        <w:rPr>
          <w:rFonts w:ascii="Palatino Linotype" w:eastAsia="Palatino Linotype" w:hAnsi="Palatino Linotype" w:cs="Palatino Linotype"/>
          <w:color w:val="000000"/>
          <w:sz w:val="22"/>
        </w:rPr>
        <w:t xml:space="preserve">III. La limitación se adecua al principio de proporcionalidad y representa el medio menos restrictivo disponible para evitar el perjuicio. </w:t>
      </w:r>
    </w:p>
    <w:p w14:paraId="35BBA317" w14:textId="77777777" w:rsidR="008B41E1" w:rsidRPr="00C7081F" w:rsidRDefault="008B41E1">
      <w:pPr>
        <w:spacing w:line="360" w:lineRule="auto"/>
        <w:jc w:val="both"/>
        <w:rPr>
          <w:rFonts w:ascii="Palatino Linotype" w:eastAsia="Palatino Linotype" w:hAnsi="Palatino Linotype" w:cs="Palatino Linotype"/>
          <w:color w:val="000000"/>
          <w:sz w:val="22"/>
        </w:rPr>
      </w:pPr>
    </w:p>
    <w:p w14:paraId="35BBA318" w14:textId="77777777" w:rsidR="008B41E1" w:rsidRPr="00C7081F" w:rsidRDefault="000F4881">
      <w:pPr>
        <w:numPr>
          <w:ilvl w:val="0"/>
          <w:numId w:val="6"/>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Sobre el primer supuesto consideremos que, según el diccionario del español jurídico, por riesgo podemos entender “la contingencia o proximidad de un daño”;</w:t>
      </w:r>
      <w:r w:rsidRPr="00C7081F">
        <w:rPr>
          <w:rFonts w:ascii="Palatino Linotype" w:eastAsia="Palatino Linotype" w:hAnsi="Palatino Linotype" w:cs="Palatino Linotype"/>
          <w:color w:val="000000"/>
          <w:vertAlign w:val="superscript"/>
        </w:rPr>
        <w:footnoteReference w:id="1"/>
      </w:r>
      <w:r w:rsidRPr="00C7081F">
        <w:rPr>
          <w:rFonts w:ascii="Palatino Linotype" w:eastAsia="Palatino Linotype" w:hAnsi="Palatino Linotype" w:cs="Palatino Linotype"/>
          <w:color w:val="000000"/>
        </w:rPr>
        <w:t xml:space="preserve"> mientras que el daño es considerado como un “perjuicio o lesión”</w:t>
      </w:r>
      <w:r w:rsidRPr="00C7081F">
        <w:rPr>
          <w:rFonts w:ascii="Palatino Linotype" w:eastAsia="Palatino Linotype" w:hAnsi="Palatino Linotype" w:cs="Palatino Linotype"/>
          <w:color w:val="000000"/>
          <w:vertAlign w:val="superscript"/>
        </w:rPr>
        <w:footnoteReference w:id="2"/>
      </w:r>
      <w:r w:rsidRPr="00C7081F">
        <w:rPr>
          <w:rFonts w:ascii="Palatino Linotype" w:eastAsia="Palatino Linotype" w:hAnsi="Palatino Linotype" w:cs="Palatino Linotype"/>
          <w:color w:val="000000"/>
        </w:rPr>
        <w:t>; en tanto que, según el Diccionario de la Lengua Española, lo real es</w:t>
      </w:r>
      <w:r w:rsidRPr="00C7081F">
        <w:rPr>
          <w:rFonts w:ascii="Palatino Linotype" w:eastAsia="Palatino Linotype" w:hAnsi="Palatino Linotype" w:cs="Palatino Linotype"/>
          <w:color w:val="000000"/>
          <w:highlight w:val="white"/>
        </w:rPr>
        <w:t xml:space="preserve"> lo “</w:t>
      </w:r>
      <w:r w:rsidRPr="00C7081F">
        <w:rPr>
          <w:rFonts w:ascii="Palatino Linotype" w:eastAsia="Palatino Linotype" w:hAnsi="Palatino Linotype" w:cs="Palatino Linotype"/>
          <w:color w:val="000000"/>
        </w:rPr>
        <w:t>(que</w:t>
      </w:r>
      <w:r w:rsidRPr="00C7081F">
        <w:rPr>
          <w:rFonts w:ascii="Palatino Linotype" w:eastAsia="Palatino Linotype" w:hAnsi="Palatino Linotype" w:cs="Palatino Linotype"/>
          <w:color w:val="000000"/>
          <w:highlight w:val="white"/>
        </w:rPr>
        <w:t xml:space="preserve"> </w:t>
      </w:r>
      <w:r w:rsidRPr="00C7081F">
        <w:rPr>
          <w:rFonts w:ascii="Palatino Linotype" w:eastAsia="Palatino Linotype" w:hAnsi="Palatino Linotype" w:cs="Palatino Linotype"/>
          <w:color w:val="000000"/>
        </w:rPr>
        <w:t>tiene</w:t>
      </w:r>
      <w:r w:rsidRPr="00C7081F">
        <w:rPr>
          <w:rFonts w:ascii="Palatino Linotype" w:eastAsia="Palatino Linotype" w:hAnsi="Palatino Linotype" w:cs="Palatino Linotype"/>
          <w:color w:val="000000"/>
          <w:highlight w:val="white"/>
        </w:rPr>
        <w:t xml:space="preserve"> </w:t>
      </w:r>
      <w:r w:rsidRPr="00C7081F">
        <w:rPr>
          <w:rFonts w:ascii="Palatino Linotype" w:eastAsia="Palatino Linotype" w:hAnsi="Palatino Linotype" w:cs="Palatino Linotype"/>
          <w:color w:val="000000"/>
        </w:rPr>
        <w:t>existencia</w:t>
      </w:r>
      <w:r w:rsidRPr="00C7081F">
        <w:rPr>
          <w:rFonts w:ascii="Palatino Linotype" w:eastAsia="Palatino Linotype" w:hAnsi="Palatino Linotype" w:cs="Palatino Linotype"/>
          <w:color w:val="000000"/>
          <w:highlight w:val="white"/>
        </w:rPr>
        <w:t xml:space="preserve"> </w:t>
      </w:r>
      <w:r w:rsidRPr="00C7081F">
        <w:rPr>
          <w:rFonts w:ascii="Palatino Linotype" w:eastAsia="Palatino Linotype" w:hAnsi="Palatino Linotype" w:cs="Palatino Linotype"/>
          <w:color w:val="000000"/>
        </w:rPr>
        <w:t>objetiva”;</w:t>
      </w:r>
      <w:r w:rsidRPr="00C7081F">
        <w:rPr>
          <w:rFonts w:ascii="Palatino Linotype" w:eastAsia="Palatino Linotype" w:hAnsi="Palatino Linotype" w:cs="Palatino Linotype"/>
          <w:color w:val="000000"/>
          <w:vertAlign w:val="superscript"/>
        </w:rPr>
        <w:footnoteReference w:id="3"/>
      </w:r>
      <w:r w:rsidRPr="00C7081F">
        <w:rPr>
          <w:rFonts w:ascii="Palatino Linotype" w:eastAsia="Palatino Linotype" w:hAnsi="Palatino Linotype" w:cs="Palatino Linotype"/>
          <w:color w:val="000000"/>
        </w:rPr>
        <w:t xml:space="preserve"> </w:t>
      </w:r>
      <w:r w:rsidRPr="00C7081F">
        <w:rPr>
          <w:rFonts w:ascii="Palatino Linotype" w:eastAsia="Palatino Linotype" w:hAnsi="Palatino Linotype" w:cs="Palatino Linotype"/>
          <w:color w:val="000000"/>
          <w:highlight w:val="white"/>
        </w:rPr>
        <w:t>mientras que lo demostrables es, según la misma fuente, aquello que se puede demostrar,</w:t>
      </w:r>
      <w:r w:rsidRPr="00C7081F">
        <w:rPr>
          <w:rFonts w:ascii="Palatino Linotype" w:eastAsia="Palatino Linotype" w:hAnsi="Palatino Linotype" w:cs="Palatino Linotype"/>
          <w:color w:val="000000"/>
          <w:highlight w:val="white"/>
          <w:vertAlign w:val="superscript"/>
        </w:rPr>
        <w:footnoteReference w:id="4"/>
      </w:r>
      <w:r w:rsidRPr="00C7081F">
        <w:rPr>
          <w:rFonts w:ascii="Palatino Linotype" w:eastAsia="Palatino Linotype" w:hAnsi="Palatino Linotype" w:cs="Palatino Linotype"/>
          <w:color w:val="000000"/>
          <w:highlight w:val="white"/>
        </w:rPr>
        <w:t xml:space="preserve"> es decir, </w:t>
      </w:r>
      <w:r w:rsidRPr="00C7081F">
        <w:rPr>
          <w:rFonts w:ascii="Palatino Linotype" w:eastAsia="Palatino Linotype" w:hAnsi="Palatino Linotype" w:cs="Palatino Linotype"/>
          <w:color w:val="000000"/>
        </w:rPr>
        <w:t xml:space="preserve">“(manifestar, declarar. Probar, sirviéndose de cualquier género de demostración, </w:t>
      </w:r>
      <w:hyperlink r:id="rId8" w:anchor="6nAyKjE">
        <w:r w:rsidRPr="00C7081F">
          <w:rPr>
            <w:rFonts w:ascii="Palatino Linotype" w:eastAsia="Palatino Linotype" w:hAnsi="Palatino Linotype" w:cs="Palatino Linotype"/>
            <w:color w:val="000000"/>
          </w:rPr>
          <w:t>enseñar</w:t>
        </w:r>
      </w:hyperlink>
      <w:r w:rsidRPr="00C7081F">
        <w:rPr>
          <w:rFonts w:ascii="Palatino Linotype" w:eastAsia="Palatino Linotype" w:hAnsi="Palatino Linotype" w:cs="Palatino Linotype"/>
          <w:color w:val="000000"/>
        </w:rPr>
        <w:t xml:space="preserve"> mostrar o exponer algo)”.</w:t>
      </w:r>
      <w:r w:rsidRPr="00C7081F">
        <w:rPr>
          <w:rFonts w:ascii="Palatino Linotype" w:eastAsia="Palatino Linotype" w:hAnsi="Palatino Linotype" w:cs="Palatino Linotype"/>
          <w:color w:val="000000"/>
          <w:vertAlign w:val="superscript"/>
        </w:rPr>
        <w:footnoteReference w:id="5"/>
      </w:r>
      <w:r w:rsidRPr="00C7081F">
        <w:rPr>
          <w:rFonts w:ascii="Palatino Linotype" w:eastAsia="Palatino Linotype" w:hAnsi="Palatino Linotype" w:cs="Palatino Linotype"/>
          <w:color w:val="000000"/>
        </w:rPr>
        <w:t xml:space="preserve"> Mientras que lo identificable es lo que puede ser identificado,</w:t>
      </w:r>
      <w:r w:rsidRPr="00C7081F">
        <w:rPr>
          <w:rFonts w:ascii="Palatino Linotype" w:eastAsia="Palatino Linotype" w:hAnsi="Palatino Linotype" w:cs="Palatino Linotype"/>
          <w:color w:val="000000"/>
          <w:vertAlign w:val="superscript"/>
        </w:rPr>
        <w:footnoteReference w:id="6"/>
      </w:r>
      <w:r w:rsidRPr="00C7081F">
        <w:rPr>
          <w:rFonts w:ascii="Palatino Linotype" w:eastAsia="Palatino Linotype" w:hAnsi="Palatino Linotype" w:cs="Palatino Linotype"/>
          <w:color w:val="000000"/>
        </w:rPr>
        <w:t xml:space="preserve"> esto es, “(dar los datos necesarios para ser reconocido”.</w:t>
      </w:r>
      <w:r w:rsidRPr="00C7081F">
        <w:rPr>
          <w:rFonts w:ascii="Palatino Linotype" w:eastAsia="Palatino Linotype" w:hAnsi="Palatino Linotype" w:cs="Palatino Linotype"/>
          <w:color w:val="000000"/>
          <w:vertAlign w:val="superscript"/>
        </w:rPr>
        <w:footnoteReference w:id="7"/>
      </w:r>
    </w:p>
    <w:p w14:paraId="35BBA319" w14:textId="77777777" w:rsidR="008B41E1" w:rsidRPr="00C7081F" w:rsidRDefault="008B41E1">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35BBA31A" w14:textId="77777777" w:rsidR="008B41E1" w:rsidRPr="00C7081F" w:rsidRDefault="000F4881">
      <w:pPr>
        <w:numPr>
          <w:ilvl w:val="0"/>
          <w:numId w:val="6"/>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Por lo que entonces, el primer supuesto de la prueba de daño consiste en acreditar que la entrega de la información provoca tres aspectos concurrentes: 1) la </w:t>
      </w:r>
      <w:r w:rsidRPr="00C7081F">
        <w:rPr>
          <w:rFonts w:ascii="Palatino Linotype" w:eastAsia="Palatino Linotype" w:hAnsi="Palatino Linotype" w:cs="Palatino Linotype"/>
          <w:color w:val="000000"/>
        </w:rPr>
        <w:lastRenderedPageBreak/>
        <w:t>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 Identificado ese riesgo, se debe demostrar que el mismo supera el interés público general porque se difunda dicha información.</w:t>
      </w:r>
    </w:p>
    <w:p w14:paraId="35BBA31B" w14:textId="77777777" w:rsidR="008B41E1" w:rsidRPr="00C7081F" w:rsidRDefault="008B41E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BBA31C" w14:textId="77777777" w:rsidR="008B41E1" w:rsidRPr="00C7081F" w:rsidRDefault="000F4881">
      <w:pPr>
        <w:numPr>
          <w:ilvl w:val="0"/>
          <w:numId w:val="6"/>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Y, por último, que la limitación es acorde con el principio de proporcionalidad, para ello, se sugiere emplear los tres juicios propuestos por la Corte Constitucional Colombiana</w:t>
      </w:r>
      <w:r w:rsidRPr="00C7081F">
        <w:rPr>
          <w:rFonts w:ascii="Palatino Linotype" w:eastAsia="Palatino Linotype" w:hAnsi="Palatino Linotype" w:cs="Palatino Linotype"/>
          <w:color w:val="000000"/>
          <w:vertAlign w:val="superscript"/>
        </w:rPr>
        <w:footnoteReference w:id="8"/>
      </w:r>
      <w:r w:rsidRPr="00C7081F">
        <w:rPr>
          <w:rFonts w:ascii="Palatino Linotype" w:eastAsia="Palatino Linotype" w:hAnsi="Palatino Linotype" w:cs="Palatino Linotype"/>
          <w:color w:val="000000"/>
        </w:rPr>
        <w:t>, siguiendo el principio de ponderación propuesto por el Tribunal Constitucional Alemán,</w:t>
      </w:r>
      <w:r w:rsidRPr="00C7081F">
        <w:rPr>
          <w:rFonts w:ascii="Palatino Linotype" w:eastAsia="Palatino Linotype" w:hAnsi="Palatino Linotype" w:cs="Palatino Linotype"/>
          <w:color w:val="000000"/>
          <w:vertAlign w:val="superscript"/>
        </w:rPr>
        <w:footnoteReference w:id="9"/>
      </w:r>
      <w:r w:rsidRPr="00C7081F">
        <w:rPr>
          <w:rFonts w:ascii="Palatino Linotype" w:eastAsia="Palatino Linotype" w:hAnsi="Palatino Linotype" w:cs="Palatino Linotype"/>
          <w:color w:val="000000"/>
        </w:rPr>
        <w:t xml:space="preserve"> el juicio de idoneidad, que la medida adoptada sea la idónea </w:t>
      </w:r>
      <w:r w:rsidRPr="00C7081F">
        <w:rPr>
          <w:rFonts w:ascii="Palatino Linotype" w:eastAsia="Palatino Linotype" w:hAnsi="Palatino Linotype" w:cs="Palatino Linotype"/>
          <w:color w:val="000000"/>
        </w:rPr>
        <w:lastRenderedPageBreak/>
        <w:t>para el ejercicio del derecho; de necesidad, que sea necearía para que el derecho que prevalece se ejerza y el de estricta proporcionalidad esto es, que el derecho que prevalezca sea en la dimensión estrictamente proporcional al derecho que retrocede.</w:t>
      </w:r>
    </w:p>
    <w:p w14:paraId="35BBA31D" w14:textId="77777777" w:rsidR="008B41E1" w:rsidRPr="00C7081F" w:rsidRDefault="008B41E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5BBA31E" w14:textId="77777777" w:rsidR="008B41E1" w:rsidRPr="00C7081F" w:rsidRDefault="000F4881">
      <w:pPr>
        <w:numPr>
          <w:ilvl w:val="0"/>
          <w:numId w:val="6"/>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Ahora bien no basta invocar el artículo 140 de la Ley en materia de transparencia que nos rige, pues para que dicha clasificación resulte procedente no basta con que el supuesto jurídico se encuentre previsto en la normatividad, ni que por el simple hecho de considerarse información en materia de seguridad pública tenga por esa sola característica la categoría de reservada, ya que para ello deberá analizarse el caso concreto que se presente, mediante la aplicación de la prueba de daño para determinar si la difusión puede generar un daño a intereses relevantes y protegidos constitucionalmente.</w:t>
      </w:r>
    </w:p>
    <w:p w14:paraId="35BBA31F" w14:textId="77777777" w:rsidR="008B41E1" w:rsidRPr="00C7081F" w:rsidRDefault="008B41E1">
      <w:pPr>
        <w:pBdr>
          <w:top w:val="nil"/>
          <w:left w:val="nil"/>
          <w:bottom w:val="nil"/>
          <w:right w:val="nil"/>
          <w:between w:val="nil"/>
        </w:pBdr>
        <w:ind w:left="720"/>
        <w:rPr>
          <w:rFonts w:ascii="Palatino Linotype" w:eastAsia="Palatino Linotype" w:hAnsi="Palatino Linotype" w:cs="Palatino Linotype"/>
          <w:color w:val="000000"/>
        </w:rPr>
      </w:pPr>
    </w:p>
    <w:p w14:paraId="35BBA320" w14:textId="77777777" w:rsidR="008B41E1" w:rsidRPr="00C7081F" w:rsidRDefault="000F4881">
      <w:pPr>
        <w:numPr>
          <w:ilvl w:val="0"/>
          <w:numId w:val="6"/>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Finalmente, no pasa desapercibido que el </w:t>
      </w:r>
      <w:r w:rsidRPr="00C7081F">
        <w:rPr>
          <w:rFonts w:ascii="Palatino Linotype" w:eastAsia="Palatino Linotype" w:hAnsi="Palatino Linotype" w:cs="Palatino Linotype"/>
          <w:b/>
          <w:color w:val="000000"/>
        </w:rPr>
        <w:t>SUJETO OBLIGADO confirmó con su respuesta que la persona señalada en la solicitud de información, tenía el cargo de policía</w:t>
      </w:r>
      <w:r w:rsidRPr="00C7081F">
        <w:rPr>
          <w:rFonts w:ascii="Palatino Linotype" w:eastAsia="Palatino Linotype" w:hAnsi="Palatino Linotype" w:cs="Palatino Linotype"/>
          <w:color w:val="000000"/>
        </w:rPr>
        <w:t xml:space="preserve">; es decir que se está aceptando que tenía el </w:t>
      </w:r>
      <w:r w:rsidRPr="00C7081F">
        <w:rPr>
          <w:rFonts w:ascii="Palatino Linotype" w:eastAsia="Palatino Linotype" w:hAnsi="Palatino Linotype" w:cs="Palatino Linotype"/>
          <w:b/>
          <w:color w:val="000000"/>
        </w:rPr>
        <w:t>carácter de operativo</w:t>
      </w:r>
      <w:r w:rsidRPr="00C7081F">
        <w:rPr>
          <w:rFonts w:ascii="Palatino Linotype" w:eastAsia="Palatino Linotype" w:hAnsi="Palatino Linotype" w:cs="Palatino Linotype"/>
          <w:color w:val="000000"/>
        </w:rPr>
        <w:t>.</w:t>
      </w:r>
    </w:p>
    <w:p w14:paraId="35BBA321" w14:textId="77777777" w:rsidR="008B41E1" w:rsidRPr="00C7081F" w:rsidRDefault="008B41E1">
      <w:pPr>
        <w:pBdr>
          <w:top w:val="nil"/>
          <w:left w:val="nil"/>
          <w:bottom w:val="nil"/>
          <w:right w:val="nil"/>
          <w:between w:val="nil"/>
        </w:pBdr>
        <w:ind w:left="720"/>
        <w:rPr>
          <w:rFonts w:ascii="Palatino Linotype" w:eastAsia="Palatino Linotype" w:hAnsi="Palatino Linotype" w:cs="Palatino Linotype"/>
          <w:color w:val="000000"/>
        </w:rPr>
      </w:pPr>
    </w:p>
    <w:p w14:paraId="35BBA322"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bookmarkStart w:id="8" w:name="_heading=h.4d34og8" w:colFirst="0" w:colLast="0"/>
      <w:bookmarkEnd w:id="8"/>
      <w:r w:rsidRPr="00C7081F">
        <w:rPr>
          <w:rFonts w:ascii="Palatino Linotype" w:eastAsia="Palatino Linotype" w:hAnsi="Palatino Linotype" w:cs="Palatino Linotype"/>
          <w:color w:val="000000"/>
        </w:rPr>
        <w:t xml:space="preserve">En ese orden de ideas si bien por regla general los nombres de los trabajadores gubernamentales son información pública de oficio, existe una excepción relativa a </w:t>
      </w:r>
      <w:r w:rsidRPr="00C7081F">
        <w:rPr>
          <w:rFonts w:ascii="Palatino Linotype" w:eastAsia="Palatino Linotype" w:hAnsi="Palatino Linotype" w:cs="Palatino Linotype"/>
          <w:b/>
          <w:color w:val="000000"/>
        </w:rPr>
        <w:t>aquellos que realicen actividades operativas en materia de seguridad,</w:t>
      </w:r>
      <w:r w:rsidRPr="00C7081F">
        <w:rPr>
          <w:rFonts w:ascii="Palatino Linotype" w:eastAsia="Palatino Linotype" w:hAnsi="Palatino Linotype" w:cs="Palatino Linotype"/>
          <w:color w:val="000000"/>
        </w:rPr>
        <w:t xml:space="preserve"> como es el caso de los elementos operativos y la policía municipal.</w:t>
      </w:r>
    </w:p>
    <w:p w14:paraId="35BBA323" w14:textId="77777777" w:rsidR="008B41E1" w:rsidRPr="00C7081F" w:rsidRDefault="008B41E1">
      <w:pPr>
        <w:pBdr>
          <w:top w:val="nil"/>
          <w:left w:val="nil"/>
          <w:bottom w:val="nil"/>
          <w:right w:val="nil"/>
          <w:between w:val="nil"/>
        </w:pBdr>
        <w:ind w:left="720"/>
        <w:rPr>
          <w:rFonts w:ascii="Palatino Linotype" w:eastAsia="Palatino Linotype" w:hAnsi="Palatino Linotype" w:cs="Palatino Linotype"/>
          <w:color w:val="000000"/>
        </w:rPr>
      </w:pPr>
    </w:p>
    <w:p w14:paraId="35BBA324"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Por lo que al </w:t>
      </w:r>
      <w:r w:rsidRPr="00C7081F">
        <w:rPr>
          <w:rFonts w:ascii="Palatino Linotype" w:eastAsia="Palatino Linotype" w:hAnsi="Palatino Linotype" w:cs="Palatino Linotype"/>
          <w:b/>
          <w:color w:val="000000"/>
        </w:rPr>
        <w:t>confirmar la respuesta emitida</w:t>
      </w:r>
      <w:r w:rsidRPr="00C7081F">
        <w:rPr>
          <w:rFonts w:ascii="Palatino Linotype" w:eastAsia="Palatino Linotype" w:hAnsi="Palatino Linotype" w:cs="Palatino Linotype"/>
          <w:color w:val="000000"/>
        </w:rPr>
        <w:t xml:space="preserve"> que el nombre de la persona, que </w:t>
      </w:r>
      <w:r w:rsidRPr="00C7081F">
        <w:rPr>
          <w:rFonts w:ascii="Palatino Linotype" w:eastAsia="Palatino Linotype" w:hAnsi="Palatino Linotype" w:cs="Palatino Linotype"/>
          <w:b/>
          <w:color w:val="000000"/>
        </w:rPr>
        <w:t>corresponde a un elemento operativo de la policía municipal</w:t>
      </w:r>
      <w:r w:rsidRPr="00C7081F">
        <w:rPr>
          <w:rFonts w:ascii="Palatino Linotype" w:eastAsia="Palatino Linotype" w:hAnsi="Palatino Linotype" w:cs="Palatino Linotype"/>
          <w:color w:val="000000"/>
        </w:rPr>
        <w:t xml:space="preserve">, en lugar de </w:t>
      </w:r>
      <w:r w:rsidRPr="00C7081F">
        <w:rPr>
          <w:rFonts w:ascii="Palatino Linotype" w:eastAsia="Palatino Linotype" w:hAnsi="Palatino Linotype" w:cs="Palatino Linotype"/>
          <w:b/>
          <w:color w:val="000000"/>
        </w:rPr>
        <w:t>abstenerse de emitir un pronunciamiento en sentido afirmativo o negativo</w:t>
      </w:r>
      <w:r w:rsidRPr="00C7081F">
        <w:rPr>
          <w:rFonts w:ascii="Palatino Linotype" w:eastAsia="Palatino Linotype" w:hAnsi="Palatino Linotype" w:cs="Palatino Linotype"/>
          <w:color w:val="000000"/>
        </w:rPr>
        <w:t xml:space="preserve">, se vuelve </w:t>
      </w:r>
      <w:r w:rsidRPr="00C7081F">
        <w:rPr>
          <w:rFonts w:ascii="Palatino Linotype" w:eastAsia="Palatino Linotype" w:hAnsi="Palatino Linotype" w:cs="Palatino Linotype"/>
          <w:color w:val="000000"/>
        </w:rPr>
        <w:lastRenderedPageBreak/>
        <w:t>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35BBA325" w14:textId="77777777" w:rsidR="008B41E1" w:rsidRPr="00C7081F" w:rsidRDefault="008B41E1">
      <w:pPr>
        <w:pBdr>
          <w:top w:val="nil"/>
          <w:left w:val="nil"/>
          <w:bottom w:val="nil"/>
          <w:right w:val="nil"/>
          <w:between w:val="nil"/>
        </w:pBdr>
        <w:ind w:left="720"/>
        <w:rPr>
          <w:rFonts w:ascii="Palatino Linotype" w:eastAsia="Palatino Linotype" w:hAnsi="Palatino Linotype" w:cs="Palatino Linotype"/>
          <w:color w:val="000000"/>
        </w:rPr>
      </w:pPr>
    </w:p>
    <w:p w14:paraId="35BBA326" w14:textId="77777777" w:rsidR="008B41E1" w:rsidRPr="00C7081F" w:rsidRDefault="000F4881">
      <w:pPr>
        <w:numPr>
          <w:ilvl w:val="0"/>
          <w:numId w:val="6"/>
        </w:numPr>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De tal situación, se considera que dar a conocer el nombre de los elementos operativos, que incluye a los policías municipales, o como resulta del caso concreto, </w:t>
      </w:r>
      <w:r w:rsidRPr="00C7081F">
        <w:rPr>
          <w:rFonts w:ascii="Palatino Linotype" w:eastAsia="Palatino Linotype" w:hAnsi="Palatino Linotype" w:cs="Palatino Linotype"/>
          <w:b/>
          <w:color w:val="000000"/>
        </w:rPr>
        <w:t>al sentido contrario</w:t>
      </w:r>
      <w:r w:rsidRPr="00C7081F">
        <w:rPr>
          <w:rFonts w:ascii="Palatino Linotype" w:eastAsia="Palatino Linotype" w:hAnsi="Palatino Linotype" w:cs="Palatino Linotype"/>
          <w:color w:val="000000"/>
        </w:rPr>
        <w:t xml:space="preserve"> </w:t>
      </w:r>
      <w:r w:rsidRPr="00C7081F">
        <w:rPr>
          <w:rFonts w:ascii="Palatino Linotype" w:eastAsia="Palatino Linotype" w:hAnsi="Palatino Linotype" w:cs="Palatino Linotype"/>
          <w:b/>
          <w:color w:val="000000"/>
        </w:rPr>
        <w:t>que tiene dicho cargo</w:t>
      </w:r>
      <w:r w:rsidRPr="00C7081F">
        <w:rPr>
          <w:rFonts w:ascii="Palatino Linotype" w:eastAsia="Palatino Linotype" w:hAnsi="Palatino Linotype" w:cs="Palatino Linotype"/>
          <w:color w:val="000000"/>
        </w:rPr>
        <w:t>,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35BBA327" w14:textId="77777777" w:rsidR="008B41E1" w:rsidRPr="00C7081F" w:rsidRDefault="008B41E1">
      <w:pPr>
        <w:spacing w:line="360" w:lineRule="auto"/>
        <w:jc w:val="both"/>
        <w:rPr>
          <w:rFonts w:ascii="Palatino Linotype" w:eastAsia="Palatino Linotype" w:hAnsi="Palatino Linotype" w:cs="Palatino Linotype"/>
          <w:color w:val="000000"/>
        </w:rPr>
      </w:pPr>
    </w:p>
    <w:p w14:paraId="35BBA328" w14:textId="77777777" w:rsidR="008B41E1" w:rsidRPr="00C7081F" w:rsidRDefault="000F4881">
      <w:pPr>
        <w:numPr>
          <w:ilvl w:val="0"/>
          <w:numId w:val="6"/>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En ese sentido, de conformidad con lo previsto en el artículo 222, fracción V, de dicho ordenamiento, son causas de responsabilidad administrativa, entregar información clasificada como confidencial o reservada, por lo que, de conformidad con lo previsto en el artículo 14, fracción XXVI del Reglamento Interior del Instituto de Transparencia, Acceso a la Información Pública y  Protección de Datos Personales del Estado de México y Municipios, procede que el área competente para que haga del </w:t>
      </w:r>
      <w:r w:rsidRPr="00C7081F">
        <w:rPr>
          <w:rFonts w:ascii="Palatino Linotype" w:eastAsia="Palatino Linotype" w:hAnsi="Palatino Linotype" w:cs="Palatino Linotype"/>
          <w:color w:val="000000"/>
        </w:rPr>
        <w:lastRenderedPageBreak/>
        <w:t>conocimiento del órgano de control interno del Ayuntamiento, e investigue la posible comisión incumplimiento a la Ley, toda vez que la Ley de Transparencia y Acceso a la Información Pública del Estado de México y Municipios, prevé que este Instituto deberá dar vista a la Contraloría Interna, con el fin de que determine el grado de responsabilidad de los servidores públicos que incumplan con las obligaciones establecidas en la Ley.</w:t>
      </w:r>
    </w:p>
    <w:p w14:paraId="35BBA329" w14:textId="77777777" w:rsidR="008B41E1" w:rsidRPr="00C7081F" w:rsidRDefault="008B41E1">
      <w:pPr>
        <w:spacing w:line="360" w:lineRule="auto"/>
        <w:ind w:right="49"/>
        <w:jc w:val="both"/>
        <w:rPr>
          <w:rFonts w:ascii="Palatino Linotype" w:eastAsia="Palatino Linotype" w:hAnsi="Palatino Linotype" w:cs="Palatino Linotype"/>
        </w:rPr>
      </w:pPr>
    </w:p>
    <w:p w14:paraId="35BBA32A" w14:textId="77777777" w:rsidR="008B41E1" w:rsidRPr="00C7081F" w:rsidRDefault="000F4881">
      <w:pPr>
        <w:keepNext/>
        <w:keepLines/>
        <w:spacing w:line="360" w:lineRule="auto"/>
        <w:rPr>
          <w:rFonts w:ascii="Palatino Linotype" w:eastAsia="Palatino Linotype" w:hAnsi="Palatino Linotype" w:cs="Palatino Linotype"/>
          <w:b/>
          <w:color w:val="000000"/>
        </w:rPr>
      </w:pPr>
      <w:bookmarkStart w:id="9" w:name="_heading=h.2s8eyo1" w:colFirst="0" w:colLast="0"/>
      <w:bookmarkEnd w:id="9"/>
      <w:r w:rsidRPr="00C7081F">
        <w:rPr>
          <w:rFonts w:ascii="Palatino Linotype" w:eastAsia="Palatino Linotype" w:hAnsi="Palatino Linotype" w:cs="Palatino Linotype"/>
          <w:b/>
          <w:color w:val="000000"/>
        </w:rPr>
        <w:t>QUINTO. De la versión pública.</w:t>
      </w:r>
    </w:p>
    <w:p w14:paraId="35BBA32B" w14:textId="77777777" w:rsidR="008B41E1" w:rsidRPr="00C7081F" w:rsidRDefault="000F4881">
      <w:pPr>
        <w:keepNext/>
        <w:keepLines/>
        <w:numPr>
          <w:ilvl w:val="0"/>
          <w:numId w:val="4"/>
        </w:numPr>
        <w:tabs>
          <w:tab w:val="left" w:pos="284"/>
        </w:tabs>
        <w:spacing w:line="360" w:lineRule="auto"/>
        <w:ind w:left="0" w:firstLine="0"/>
        <w:rPr>
          <w:rFonts w:ascii="Palatino Linotype" w:eastAsia="Palatino Linotype" w:hAnsi="Palatino Linotype" w:cs="Palatino Linotype"/>
          <w:b/>
          <w:color w:val="000000"/>
        </w:rPr>
      </w:pPr>
      <w:bookmarkStart w:id="10" w:name="_heading=h.17dp8vu" w:colFirst="0" w:colLast="0"/>
      <w:bookmarkEnd w:id="10"/>
      <w:r w:rsidRPr="00C7081F">
        <w:rPr>
          <w:rFonts w:ascii="Palatino Linotype" w:eastAsia="Palatino Linotype" w:hAnsi="Palatino Linotype" w:cs="Palatino Linotype"/>
          <w:b/>
          <w:color w:val="000000"/>
        </w:rPr>
        <w:t xml:space="preserve">Nociones generales. </w:t>
      </w:r>
    </w:p>
    <w:p w14:paraId="35BBA32C" w14:textId="77777777" w:rsidR="008B41E1" w:rsidRDefault="000F4881">
      <w:pPr>
        <w:numPr>
          <w:ilvl w:val="0"/>
          <w:numId w:val="6"/>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 xml:space="preserve">Debe destacarse, que debido a la información solicitada por el </w:t>
      </w:r>
      <w:r w:rsidRPr="00C7081F">
        <w:rPr>
          <w:rFonts w:ascii="Palatino Linotype" w:eastAsia="Palatino Linotype" w:hAnsi="Palatino Linotype" w:cs="Palatino Linotype"/>
          <w:b/>
          <w:color w:val="000000"/>
        </w:rPr>
        <w:t xml:space="preserve">RECURRENTE, </w:t>
      </w:r>
      <w:r w:rsidRPr="00C7081F">
        <w:rPr>
          <w:rFonts w:ascii="Palatino Linotype" w:eastAsia="Palatino Linotype" w:hAnsi="Palatino Linotype" w:cs="Palatino Linotype"/>
          <w:color w:val="000000"/>
        </w:rPr>
        <w:t xml:space="preserve">eventualmente pudieran obran datos personales susceptibles de protegerse, así como información susceptible de clasificarse como confidencial,  por lo que, el </w:t>
      </w:r>
      <w:r w:rsidRPr="00C7081F">
        <w:rPr>
          <w:rFonts w:ascii="Palatino Linotype" w:eastAsia="Palatino Linotype" w:hAnsi="Palatino Linotype" w:cs="Palatino Linotype"/>
          <w:b/>
          <w:color w:val="000000"/>
        </w:rPr>
        <w:t xml:space="preserve">SUJETO OBLIGADO </w:t>
      </w:r>
      <w:r w:rsidRPr="00C7081F">
        <w:rPr>
          <w:rFonts w:ascii="Palatino Linotype" w:eastAsia="Palatino Linotype" w:hAnsi="Palatino Linotype" w:cs="Palatino Linotype"/>
          <w:color w:val="000000"/>
        </w:rPr>
        <w:t>deberá de hacer la adecuada versión pública, protegiendo los datos que no son susceptibles de ser proporcionados.</w:t>
      </w:r>
    </w:p>
    <w:p w14:paraId="35BBA32D" w14:textId="77777777" w:rsidR="00C7081F" w:rsidRPr="00C7081F" w:rsidRDefault="00C7081F" w:rsidP="00C7081F">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35BBA32E" w14:textId="77777777" w:rsidR="008B41E1" w:rsidRPr="00C7081F" w:rsidRDefault="000F4881">
      <w:pPr>
        <w:numPr>
          <w:ilvl w:val="0"/>
          <w:numId w:val="6"/>
        </w:numPr>
        <w:tabs>
          <w:tab w:val="left" w:pos="284"/>
        </w:tabs>
        <w:spacing w:line="360" w:lineRule="auto"/>
        <w:ind w:left="0" w:right="49"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color w:val="000000"/>
        </w:rPr>
        <w:t>No pasa desapercibido para este Órgano Garante que los sujetos obligados</w:t>
      </w:r>
      <w:r w:rsidRPr="00C7081F">
        <w:rPr>
          <w:rFonts w:ascii="Palatino Linotype" w:eastAsia="Palatino Linotype" w:hAnsi="Palatino Linotype" w:cs="Palatino Linotype"/>
          <w:b/>
          <w:color w:val="000000"/>
        </w:rPr>
        <w:t xml:space="preserve"> </w:t>
      </w:r>
      <w:r w:rsidRPr="00C7081F">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35BBA32F" w14:textId="77777777" w:rsidR="008B41E1" w:rsidRPr="00C7081F" w:rsidRDefault="008B41E1">
      <w:pPr>
        <w:tabs>
          <w:tab w:val="left" w:pos="284"/>
        </w:tabs>
        <w:spacing w:line="360" w:lineRule="auto"/>
        <w:ind w:right="49"/>
        <w:jc w:val="both"/>
        <w:rPr>
          <w:rFonts w:ascii="Palatino Linotype" w:eastAsia="Palatino Linotype" w:hAnsi="Palatino Linotype" w:cs="Palatino Linotype"/>
          <w:color w:val="000000"/>
        </w:rPr>
      </w:pPr>
    </w:p>
    <w:tbl>
      <w:tblPr>
        <w:tblStyle w:val="a"/>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8B41E1" w:rsidRPr="00C7081F" w14:paraId="35BBA335" w14:textId="77777777" w:rsidTr="008B4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5BBA330" w14:textId="77777777" w:rsidR="008B41E1" w:rsidRPr="00C7081F" w:rsidRDefault="000F4881">
            <w:pPr>
              <w:tabs>
                <w:tab w:val="left" w:pos="284"/>
              </w:tabs>
              <w:spacing w:line="360" w:lineRule="auto"/>
              <w:rPr>
                <w:rFonts w:ascii="Palatino Linotype" w:eastAsia="Palatino Linotype" w:hAnsi="Palatino Linotype" w:cs="Palatino Linotype"/>
                <w:sz w:val="20"/>
              </w:rPr>
            </w:pPr>
            <w:r w:rsidRPr="00C7081F">
              <w:rPr>
                <w:rFonts w:ascii="Palatino Linotype" w:eastAsia="Palatino Linotype" w:hAnsi="Palatino Linotype" w:cs="Palatino Linotype"/>
                <w:sz w:val="20"/>
              </w:rPr>
              <w:t>a) Requisitos previos.</w:t>
            </w:r>
          </w:p>
        </w:tc>
        <w:tc>
          <w:tcPr>
            <w:tcW w:w="6520" w:type="dxa"/>
          </w:tcPr>
          <w:p w14:paraId="35BBA331" w14:textId="77777777" w:rsidR="008B41E1" w:rsidRPr="00C7081F" w:rsidRDefault="000F4881">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C7081F">
              <w:rPr>
                <w:rFonts w:ascii="Palatino Linotype" w:eastAsia="Palatino Linotype" w:hAnsi="Palatino Linotype" w:cs="Palatino Linotype"/>
                <w:color w:val="000000"/>
                <w:sz w:val="20"/>
              </w:rPr>
              <w:t xml:space="preserve">Los artículos 100 y 122 de la Ley Estatal y de la Ley General, respectivamente, señalan que si los Sujetos Obligados determinan </w:t>
            </w:r>
            <w:r w:rsidRPr="00C7081F">
              <w:rPr>
                <w:rFonts w:ascii="Palatino Linotype" w:eastAsia="Palatino Linotype" w:hAnsi="Palatino Linotype" w:cs="Palatino Linotype"/>
                <w:color w:val="000000"/>
                <w:sz w:val="20"/>
              </w:rPr>
              <w:lastRenderedPageBreak/>
              <w:t xml:space="preserve">que la información actualiza alguno de los supuestos de clasificación, es deber de los titulares de las áreas proponer su clasificación y no del Comité de Transparencia. </w:t>
            </w:r>
          </w:p>
          <w:p w14:paraId="35BBA332" w14:textId="77777777" w:rsidR="008B41E1" w:rsidRPr="00C7081F" w:rsidRDefault="000F4881">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C7081F">
              <w:rPr>
                <w:rFonts w:ascii="Palatino Linotype" w:eastAsia="Palatino Linotype" w:hAnsi="Palatino Linotype" w:cs="Palatino Linotype"/>
                <w:color w:val="000000"/>
                <w:sz w:val="20"/>
              </w:rPr>
              <w:t>Al hacerlo tienen que precisar de qué información se trata, señalando el supuesto de clasificación (confidencialidad o reserva).</w:t>
            </w:r>
          </w:p>
          <w:p w14:paraId="35BBA333" w14:textId="77777777" w:rsidR="008B41E1" w:rsidRPr="00C7081F" w:rsidRDefault="000F4881">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C7081F">
              <w:rPr>
                <w:rFonts w:ascii="Palatino Linotype" w:eastAsia="Palatino Linotype" w:hAnsi="Palatino Linotype" w:cs="Palatino Linotype"/>
                <w:color w:val="000000"/>
                <w:sz w:val="20"/>
              </w:rPr>
              <w:t>Además, se debe señalar el procedimiento, de los tres que establecen los artículos 132 y 106 de la Ley Estatal y General, respectivamente.</w:t>
            </w:r>
          </w:p>
          <w:p w14:paraId="35BBA334" w14:textId="77777777" w:rsidR="008B41E1" w:rsidRPr="00C7081F" w:rsidRDefault="000F488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C7081F">
              <w:rPr>
                <w:rFonts w:ascii="Palatino Linotype" w:eastAsia="Palatino Linotype" w:hAnsi="Palatino Linotype" w:cs="Palatino Linotype"/>
                <w:color w:val="000000"/>
                <w:sz w:val="20"/>
              </w:rPr>
              <w:t xml:space="preserve">El último de estos requisitos previos consiste en que no se pueden emitir acuerdos de carácter general ni particular, esto es, </w:t>
            </w:r>
            <w:r w:rsidRPr="00C7081F">
              <w:rPr>
                <w:rFonts w:ascii="Palatino Linotype" w:eastAsia="Palatino Linotype" w:hAnsi="Palatino Linotype" w:cs="Palatino Linotype"/>
                <w:color w:val="000000"/>
                <w:sz w:val="20"/>
                <w:u w:val="single"/>
              </w:rPr>
              <w:t>no se puede hacer un acuerdo para clasificar de manera general todos los documentos de un expediente o área, sin</w:t>
            </w:r>
            <w:r w:rsidRPr="00C7081F">
              <w:rPr>
                <w:rFonts w:ascii="Palatino Linotype" w:eastAsia="Palatino Linotype" w:hAnsi="Palatino Linotype" w:cs="Palatino Linotype"/>
                <w:color w:val="000000"/>
                <w:sz w:val="20"/>
              </w:rPr>
              <w:t xml:space="preserve"> individualizar su análisis y tampoco se puede hacer un acuerdo por cada dato que se vaya a clasificar dentro de un documento con diez datos, por ejemplo, susceptibles de ser clasificados.</w:t>
            </w:r>
          </w:p>
        </w:tc>
      </w:tr>
      <w:tr w:rsidR="008B41E1" w:rsidRPr="00C7081F" w14:paraId="35BBA33A" w14:textId="77777777" w:rsidTr="008B4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5BBA336" w14:textId="77777777" w:rsidR="008B41E1" w:rsidRPr="00C7081F" w:rsidRDefault="000F4881">
            <w:pPr>
              <w:tabs>
                <w:tab w:val="left" w:pos="284"/>
              </w:tabs>
              <w:spacing w:line="360" w:lineRule="auto"/>
              <w:rPr>
                <w:rFonts w:ascii="Palatino Linotype" w:eastAsia="Palatino Linotype" w:hAnsi="Palatino Linotype" w:cs="Palatino Linotype"/>
                <w:sz w:val="20"/>
              </w:rPr>
            </w:pPr>
            <w:r w:rsidRPr="00C7081F">
              <w:rPr>
                <w:rFonts w:ascii="Palatino Linotype" w:eastAsia="Palatino Linotype" w:hAnsi="Palatino Linotype" w:cs="Palatino Linotype"/>
                <w:sz w:val="20"/>
              </w:rPr>
              <w:lastRenderedPageBreak/>
              <w:t>b) Supuestos de clasificación.</w:t>
            </w:r>
          </w:p>
        </w:tc>
        <w:tc>
          <w:tcPr>
            <w:tcW w:w="6520" w:type="dxa"/>
          </w:tcPr>
          <w:p w14:paraId="35BBA337" w14:textId="77777777" w:rsidR="008B41E1" w:rsidRPr="00C7081F" w:rsidRDefault="000F488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C7081F">
              <w:rPr>
                <w:rFonts w:ascii="Palatino Linotype" w:eastAsia="Palatino Linotype" w:hAnsi="Palatino Linotype" w:cs="Palatino Linotype"/>
                <w:color w:val="000000"/>
                <w:sz w:val="20"/>
              </w:rPr>
              <w:t>Las disposiciones constitucionales y legales en la materia establecen los dos supuestos generales para clasificar la información: por reserva y por confidencialidad.</w:t>
            </w:r>
          </w:p>
          <w:p w14:paraId="35BBA338" w14:textId="77777777" w:rsidR="008B41E1" w:rsidRPr="00C7081F" w:rsidRDefault="000F488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C7081F">
              <w:rPr>
                <w:rFonts w:ascii="Palatino Linotype" w:eastAsia="Palatino Linotype" w:hAnsi="Palatino Linotype" w:cs="Palatino Linotype"/>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5BBA339" w14:textId="77777777" w:rsidR="008B41E1" w:rsidRPr="00C7081F" w:rsidRDefault="000F488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C7081F">
              <w:rPr>
                <w:rFonts w:ascii="Palatino Linotype" w:eastAsia="Palatino Linotype" w:hAnsi="Palatino Linotype" w:cs="Palatino Linotype"/>
                <w:color w:val="000000"/>
                <w:sz w:val="20"/>
              </w:rPr>
              <w:t xml:space="preserve">El </w:t>
            </w:r>
            <w:r w:rsidRPr="00C7081F">
              <w:rPr>
                <w:rFonts w:ascii="Palatino Linotype" w:eastAsia="Palatino Linotype" w:hAnsi="Palatino Linotype" w:cs="Palatino Linotype"/>
                <w:b/>
                <w:color w:val="000000"/>
                <w:sz w:val="20"/>
              </w:rPr>
              <w:t>Sujeto Obligado</w:t>
            </w:r>
            <w:r w:rsidRPr="00C7081F">
              <w:rPr>
                <w:rFonts w:ascii="Palatino Linotype" w:eastAsia="Palatino Linotype" w:hAnsi="Palatino Linotype" w:cs="Palatino Linotype"/>
                <w:color w:val="000000"/>
                <w:sz w:val="20"/>
              </w:rPr>
              <w:t xml:space="preserve"> debe identificar claramente el tipo de información y hacer un juicio de subsunción o encaje para acreditar que el supuesto de hecho corresponde estrictamente con la hipótesis jurídica. Esto también </w:t>
            </w:r>
            <w:r w:rsidRPr="00C7081F">
              <w:rPr>
                <w:rFonts w:ascii="Palatino Linotype" w:eastAsia="Palatino Linotype" w:hAnsi="Palatino Linotype" w:cs="Palatino Linotype"/>
                <w:color w:val="000000"/>
                <w:sz w:val="20"/>
              </w:rPr>
              <w:lastRenderedPageBreak/>
              <w:t>lo debe de realizar el servidor público habilitado y el titular del área que administra la información.</w:t>
            </w:r>
          </w:p>
        </w:tc>
      </w:tr>
      <w:tr w:rsidR="008B41E1" w:rsidRPr="00C7081F" w14:paraId="35BBA33F" w14:textId="77777777" w:rsidTr="008B41E1">
        <w:tc>
          <w:tcPr>
            <w:cnfStyle w:val="001000000000" w:firstRow="0" w:lastRow="0" w:firstColumn="1" w:lastColumn="0" w:oddVBand="0" w:evenVBand="0" w:oddHBand="0" w:evenHBand="0" w:firstRowFirstColumn="0" w:firstRowLastColumn="0" w:lastRowFirstColumn="0" w:lastRowLastColumn="0"/>
            <w:tcW w:w="2689" w:type="dxa"/>
          </w:tcPr>
          <w:p w14:paraId="35BBA33B" w14:textId="77777777" w:rsidR="008B41E1" w:rsidRPr="00C7081F" w:rsidRDefault="000F4881">
            <w:pPr>
              <w:tabs>
                <w:tab w:val="left" w:pos="284"/>
              </w:tabs>
              <w:spacing w:line="360" w:lineRule="auto"/>
              <w:rPr>
                <w:rFonts w:ascii="Palatino Linotype" w:eastAsia="Palatino Linotype" w:hAnsi="Palatino Linotype" w:cs="Palatino Linotype"/>
                <w:sz w:val="20"/>
              </w:rPr>
            </w:pPr>
            <w:r w:rsidRPr="00C7081F">
              <w:rPr>
                <w:rFonts w:ascii="Palatino Linotype" w:eastAsia="Palatino Linotype" w:hAnsi="Palatino Linotype" w:cs="Palatino Linotype"/>
                <w:sz w:val="20"/>
              </w:rPr>
              <w:lastRenderedPageBreak/>
              <w:t>c) Formalidades para emitir el acuerdo de clasificación.</w:t>
            </w:r>
          </w:p>
        </w:tc>
        <w:tc>
          <w:tcPr>
            <w:tcW w:w="6520" w:type="dxa"/>
          </w:tcPr>
          <w:p w14:paraId="35BBA33C" w14:textId="77777777" w:rsidR="008B41E1" w:rsidRPr="00C7081F" w:rsidRDefault="000F4881">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C7081F">
              <w:rPr>
                <w:rFonts w:ascii="Palatino Linotype" w:eastAsia="Palatino Linotype" w:hAnsi="Palatino Linotype" w:cs="Palatino Linotype"/>
                <w:color w:val="000000"/>
                <w:sz w:val="20"/>
              </w:rPr>
              <w:t xml:space="preserve">El Comité de Transparencia, según lo dispuesto en los artículos cuenta con las facultades para aprobar, modificar o revocar la clasificación de la información que haya propuesto. </w:t>
            </w:r>
          </w:p>
          <w:p w14:paraId="35BBA33D" w14:textId="77777777" w:rsidR="008B41E1" w:rsidRPr="00C7081F" w:rsidRDefault="000F4881">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C7081F">
              <w:rPr>
                <w:rFonts w:ascii="Palatino Linotype" w:eastAsia="Palatino Linotype" w:hAnsi="Palatino Linotype" w:cs="Palatino Linotype"/>
                <w:color w:val="000000"/>
                <w:sz w:val="20"/>
              </w:rPr>
              <w:t xml:space="preserve">Es necesario que </w:t>
            </w:r>
            <w:r w:rsidRPr="00C7081F">
              <w:rPr>
                <w:rFonts w:ascii="Palatino Linotype" w:eastAsia="Palatino Linotype" w:hAnsi="Palatino Linotype" w:cs="Palatino Linotype"/>
                <w:b/>
                <w:color w:val="000000"/>
                <w:sz w:val="20"/>
                <w:u w:val="single"/>
              </w:rPr>
              <w:t>el acto reúna con los requisitos elementales</w:t>
            </w:r>
            <w:r w:rsidRPr="00C7081F">
              <w:rPr>
                <w:rFonts w:ascii="Palatino Linotype" w:eastAsia="Palatino Linotype" w:hAnsi="Palatino Linotype" w:cs="Palatino Linotype"/>
                <w:color w:val="000000"/>
                <w:sz w:val="20"/>
              </w:rPr>
              <w:t>, entre ellos, que la autoridad que va a emitir el acto de autoridad sea la legalmente facultada para ello.</w:t>
            </w:r>
          </w:p>
          <w:p w14:paraId="35BBA33E" w14:textId="77777777" w:rsidR="008B41E1" w:rsidRPr="00C7081F" w:rsidRDefault="000F488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C7081F">
              <w:rPr>
                <w:rFonts w:ascii="Palatino Linotype" w:eastAsia="Palatino Linotype" w:hAnsi="Palatino Linotype" w:cs="Palatino Linotype"/>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B41E1" w:rsidRPr="00C7081F" w14:paraId="35BBA347" w14:textId="77777777" w:rsidTr="008B4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5BBA340" w14:textId="77777777" w:rsidR="008B41E1" w:rsidRPr="00C7081F" w:rsidRDefault="008B41E1">
            <w:pPr>
              <w:tabs>
                <w:tab w:val="left" w:pos="284"/>
              </w:tabs>
              <w:spacing w:line="360" w:lineRule="auto"/>
              <w:rPr>
                <w:rFonts w:ascii="Palatino Linotype" w:eastAsia="Palatino Linotype" w:hAnsi="Palatino Linotype" w:cs="Palatino Linotype"/>
                <w:sz w:val="20"/>
              </w:rPr>
            </w:pPr>
          </w:p>
          <w:p w14:paraId="35BBA341" w14:textId="77777777" w:rsidR="008B41E1" w:rsidRPr="00C7081F" w:rsidRDefault="000F4881">
            <w:pPr>
              <w:tabs>
                <w:tab w:val="left" w:pos="284"/>
              </w:tabs>
              <w:spacing w:line="360" w:lineRule="auto"/>
              <w:jc w:val="both"/>
              <w:rPr>
                <w:rFonts w:ascii="Palatino Linotype" w:eastAsia="Palatino Linotype" w:hAnsi="Palatino Linotype" w:cs="Palatino Linotype"/>
                <w:sz w:val="20"/>
              </w:rPr>
            </w:pPr>
            <w:r w:rsidRPr="00C7081F">
              <w:rPr>
                <w:rFonts w:ascii="Palatino Linotype" w:eastAsia="Palatino Linotype" w:hAnsi="Palatino Linotype" w:cs="Palatino Linotype"/>
                <w:color w:val="000000"/>
                <w:sz w:val="20"/>
              </w:rPr>
              <w:t xml:space="preserve">d) Requisitos de fondo del acuerdo de clasificación. </w:t>
            </w:r>
          </w:p>
        </w:tc>
        <w:tc>
          <w:tcPr>
            <w:tcW w:w="6520" w:type="dxa"/>
          </w:tcPr>
          <w:p w14:paraId="35BBA342" w14:textId="77777777" w:rsidR="008B41E1" w:rsidRPr="00C7081F" w:rsidRDefault="000F488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C7081F">
              <w:rPr>
                <w:rFonts w:ascii="Palatino Linotype" w:eastAsia="Palatino Linotype" w:hAnsi="Palatino Linotype" w:cs="Palatino Linotype"/>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7081F">
              <w:rPr>
                <w:rFonts w:ascii="Palatino Linotype" w:eastAsia="Palatino Linotype" w:hAnsi="Palatino Linotype" w:cs="Palatino Linotype"/>
                <w:b/>
                <w:color w:val="000000"/>
                <w:sz w:val="20"/>
              </w:rPr>
              <w:t>Sujetos Obligados</w:t>
            </w:r>
            <w:r w:rsidRPr="00C7081F">
              <w:rPr>
                <w:rFonts w:ascii="Palatino Linotype" w:eastAsia="Palatino Linotype" w:hAnsi="Palatino Linotype" w:cs="Palatino Linotype"/>
                <w:color w:val="000000"/>
                <w:sz w:val="20"/>
              </w:rPr>
              <w:t xml:space="preserve">, por lo que deberán fundar y motivar debidamente la clasificación. </w:t>
            </w:r>
          </w:p>
          <w:p w14:paraId="35BBA343" w14:textId="77777777" w:rsidR="008B41E1" w:rsidRPr="00C7081F" w:rsidRDefault="000F488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C7081F">
              <w:rPr>
                <w:rFonts w:ascii="Palatino Linotype" w:eastAsia="Palatino Linotype" w:hAnsi="Palatino Linotype" w:cs="Palatino Linotype"/>
                <w:color w:val="000000"/>
                <w:sz w:val="20"/>
              </w:rPr>
              <w:t xml:space="preserve">De lo anterior, se desprende que para una correcta </w:t>
            </w:r>
            <w:r w:rsidRPr="00C7081F">
              <w:rPr>
                <w:rFonts w:ascii="Palatino Linotype" w:eastAsia="Palatino Linotype" w:hAnsi="Palatino Linotype" w:cs="Palatino Linotype"/>
                <w:b/>
                <w:color w:val="000000"/>
                <w:sz w:val="20"/>
              </w:rPr>
              <w:t>clasificación total o parcial</w:t>
            </w:r>
            <w:r w:rsidRPr="00C7081F">
              <w:rPr>
                <w:rFonts w:ascii="Palatino Linotype" w:eastAsia="Palatino Linotype" w:hAnsi="Palatino Linotype" w:cs="Palatino Linotype"/>
                <w:color w:val="000000"/>
                <w:sz w:val="20"/>
              </w:rPr>
              <w:t xml:space="preserve">, esto es determinar los datos que se suprimen en las versiones públicas, es necesario fundar y motivar, de manera correcta, la clasificación; considerando que todo acto que la autoridad pronuncie en el ejercicio de sus atribuciones, debe expresar los fundamentos </w:t>
            </w:r>
            <w:r w:rsidRPr="00C7081F">
              <w:rPr>
                <w:rFonts w:ascii="Palatino Linotype" w:eastAsia="Palatino Linotype" w:hAnsi="Palatino Linotype" w:cs="Palatino Linotype"/>
                <w:color w:val="000000"/>
                <w:sz w:val="20"/>
              </w:rPr>
              <w:lastRenderedPageBreak/>
              <w:t>legales que le dieron origen y las razones por las que se deben aplicar al caso concreto.</w:t>
            </w:r>
          </w:p>
          <w:p w14:paraId="35BBA344" w14:textId="77777777" w:rsidR="008B41E1" w:rsidRPr="00C7081F" w:rsidRDefault="000F488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C7081F">
              <w:rPr>
                <w:rFonts w:ascii="Palatino Linotype" w:eastAsia="Palatino Linotype" w:hAnsi="Palatino Linotype" w:cs="Palatino Linotype"/>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5BBA345" w14:textId="77777777" w:rsidR="008B41E1" w:rsidRPr="00C7081F" w:rsidRDefault="000F488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C7081F">
              <w:rPr>
                <w:rFonts w:ascii="Palatino Linotype" w:eastAsia="Palatino Linotype" w:hAnsi="Palatino Linotype" w:cs="Palatino Linotype"/>
                <w:color w:val="000000"/>
                <w:sz w:val="20"/>
              </w:rPr>
              <w:t>En ese mismo sentido, el numeral trigésimo tercero fracción V de los Lineamientos Generales, precisa que para motivar la clasificación se deben acreditar las circunstancias de tiempo, modo y lugar.</w:t>
            </w:r>
          </w:p>
          <w:p w14:paraId="35BBA346" w14:textId="77777777" w:rsidR="008B41E1" w:rsidRPr="00C7081F" w:rsidRDefault="000F488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C7081F">
              <w:rPr>
                <w:rFonts w:ascii="Palatino Linotype" w:eastAsia="Palatino Linotype" w:hAnsi="Palatino Linotype" w:cs="Palatino Linotype"/>
                <w:color w:val="000000"/>
                <w:sz w:val="20"/>
              </w:rPr>
              <w:t xml:space="preserve">Ahora bien, </w:t>
            </w:r>
            <w:r w:rsidRPr="00C7081F">
              <w:rPr>
                <w:rFonts w:ascii="Palatino Linotype" w:eastAsia="Palatino Linotype" w:hAnsi="Palatino Linotype" w:cs="Palatino Linotype"/>
                <w:b/>
                <w:color w:val="000000"/>
                <w:sz w:val="20"/>
                <w:u w:val="single"/>
              </w:rPr>
              <w:t>para cada caso además de fundar y motivar</w:t>
            </w:r>
            <w:r w:rsidRPr="00C7081F">
              <w:rPr>
                <w:rFonts w:ascii="Palatino Linotype" w:eastAsia="Palatino Linotype" w:hAnsi="Palatino Linotype" w:cs="Palatino Linotype"/>
                <w:color w:val="000000"/>
                <w:sz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B41E1" w:rsidRPr="00C7081F" w14:paraId="35BBA34C" w14:textId="77777777" w:rsidTr="008B41E1">
        <w:tc>
          <w:tcPr>
            <w:cnfStyle w:val="001000000000" w:firstRow="0" w:lastRow="0" w:firstColumn="1" w:lastColumn="0" w:oddVBand="0" w:evenVBand="0" w:oddHBand="0" w:evenHBand="0" w:firstRowFirstColumn="0" w:firstRowLastColumn="0" w:lastRowFirstColumn="0" w:lastRowLastColumn="0"/>
            <w:tcW w:w="2689" w:type="dxa"/>
          </w:tcPr>
          <w:p w14:paraId="35BBA348" w14:textId="77777777" w:rsidR="008B41E1" w:rsidRPr="00C7081F" w:rsidRDefault="000F4881">
            <w:pPr>
              <w:tabs>
                <w:tab w:val="left" w:pos="284"/>
              </w:tabs>
              <w:spacing w:line="360" w:lineRule="auto"/>
              <w:ind w:right="49"/>
              <w:jc w:val="both"/>
              <w:rPr>
                <w:rFonts w:ascii="Palatino Linotype" w:eastAsia="Palatino Linotype" w:hAnsi="Palatino Linotype" w:cs="Palatino Linotype"/>
                <w:sz w:val="20"/>
              </w:rPr>
            </w:pPr>
            <w:r w:rsidRPr="00C7081F">
              <w:rPr>
                <w:rFonts w:ascii="Palatino Linotype" w:eastAsia="Palatino Linotype" w:hAnsi="Palatino Linotype" w:cs="Palatino Linotype"/>
                <w:sz w:val="20"/>
              </w:rPr>
              <w:lastRenderedPageBreak/>
              <w:t xml:space="preserve">e) Condiciones especiales de la clasificación de la información como confidencial. </w:t>
            </w:r>
          </w:p>
        </w:tc>
        <w:tc>
          <w:tcPr>
            <w:tcW w:w="6520" w:type="dxa"/>
          </w:tcPr>
          <w:p w14:paraId="35BBA349" w14:textId="77777777" w:rsidR="008B41E1" w:rsidRPr="00C7081F" w:rsidRDefault="000F4881">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C7081F">
              <w:rPr>
                <w:rFonts w:ascii="Palatino Linotype" w:eastAsia="Palatino Linotype" w:hAnsi="Palatino Linotype" w:cs="Palatino Linotype"/>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35BBA34A" w14:textId="77777777" w:rsidR="008B41E1" w:rsidRPr="00C7081F" w:rsidRDefault="000F4881">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C7081F">
              <w:rPr>
                <w:rFonts w:ascii="Palatino Linotype" w:eastAsia="Palatino Linotype" w:hAnsi="Palatino Linotype" w:cs="Palatino Linotype"/>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5BBA34B" w14:textId="77777777" w:rsidR="008B41E1" w:rsidRPr="00C7081F" w:rsidRDefault="000F4881">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C7081F">
              <w:rPr>
                <w:rFonts w:ascii="Palatino Linotype" w:eastAsia="Palatino Linotype" w:hAnsi="Palatino Linotype" w:cs="Palatino Linotype"/>
                <w:color w:val="000000"/>
                <w:sz w:val="20"/>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5BBA34D" w14:textId="77777777" w:rsidR="008B41E1" w:rsidRPr="00C7081F" w:rsidRDefault="008B41E1">
      <w:pPr>
        <w:tabs>
          <w:tab w:val="left" w:pos="284"/>
        </w:tabs>
        <w:spacing w:line="360" w:lineRule="auto"/>
        <w:rPr>
          <w:rFonts w:ascii="Palatino Linotype" w:eastAsia="Palatino Linotype" w:hAnsi="Palatino Linotype" w:cs="Palatino Linotype"/>
          <w:color w:val="000000"/>
        </w:rPr>
      </w:pPr>
    </w:p>
    <w:p w14:paraId="35BBA34E" w14:textId="77777777" w:rsidR="008B41E1" w:rsidRPr="00C7081F" w:rsidRDefault="000F4881">
      <w:pPr>
        <w:numPr>
          <w:ilvl w:val="0"/>
          <w:numId w:val="6"/>
        </w:numPr>
        <w:tabs>
          <w:tab w:val="left" w:pos="284"/>
        </w:tabs>
        <w:spacing w:line="360" w:lineRule="auto"/>
        <w:ind w:left="0"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5BBA34F" w14:textId="77777777" w:rsidR="008B41E1" w:rsidRPr="00C7081F" w:rsidRDefault="008B41E1">
      <w:pPr>
        <w:spacing w:line="360" w:lineRule="auto"/>
        <w:ind w:right="34"/>
        <w:jc w:val="both"/>
        <w:rPr>
          <w:rFonts w:ascii="Palatino Linotype" w:eastAsia="Palatino Linotype" w:hAnsi="Palatino Linotype" w:cs="Palatino Linotype"/>
          <w:color w:val="000000"/>
        </w:rPr>
      </w:pPr>
    </w:p>
    <w:p w14:paraId="35BBA350" w14:textId="77777777" w:rsidR="008B41E1" w:rsidRPr="00C7081F" w:rsidRDefault="000F4881">
      <w:pPr>
        <w:numPr>
          <w:ilvl w:val="0"/>
          <w:numId w:val="6"/>
        </w:numPr>
        <w:spacing w:line="360" w:lineRule="auto"/>
        <w:ind w:left="0" w:right="34" w:firstLine="0"/>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rPr>
        <w:t>Por lo anteriormente expuesto, este Órgano Garante considera parcialmente fundadas las razones o motivos de inconformidad que plantea el</w:t>
      </w:r>
      <w:r w:rsidRPr="00C7081F">
        <w:rPr>
          <w:rFonts w:ascii="Palatino Linotype" w:eastAsia="Palatino Linotype" w:hAnsi="Palatino Linotype" w:cs="Palatino Linotype"/>
          <w:b/>
        </w:rPr>
        <w:t xml:space="preserve"> RECURRENTE</w:t>
      </w:r>
      <w:r w:rsidRPr="00C7081F">
        <w:rPr>
          <w:rFonts w:ascii="Palatino Linotype" w:eastAsia="Palatino Linotype" w:hAnsi="Palatino Linotype" w:cs="Palatino Linotype"/>
        </w:rPr>
        <w:t xml:space="preserve">, determinando </w:t>
      </w:r>
      <w:r w:rsidRPr="00C7081F">
        <w:rPr>
          <w:rFonts w:ascii="Palatino Linotype" w:eastAsia="Palatino Linotype" w:hAnsi="Palatino Linotype" w:cs="Palatino Linotype"/>
          <w:b/>
        </w:rPr>
        <w:t>MODIFICAR</w:t>
      </w:r>
      <w:r w:rsidRPr="00C7081F">
        <w:rPr>
          <w:rFonts w:ascii="Palatino Linotype" w:eastAsia="Palatino Linotype" w:hAnsi="Palatino Linotype" w:cs="Palatino Linotype"/>
        </w:rPr>
        <w:t xml:space="preserve"> la respuesta del </w:t>
      </w:r>
      <w:r w:rsidRPr="00C7081F">
        <w:rPr>
          <w:rFonts w:ascii="Palatino Linotype" w:eastAsia="Palatino Linotype" w:hAnsi="Palatino Linotype" w:cs="Palatino Linotype"/>
          <w:b/>
        </w:rPr>
        <w:t>SUJETO OBLIGADO</w:t>
      </w:r>
      <w:r w:rsidRPr="00C7081F">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C7081F">
        <w:rPr>
          <w:rFonts w:ascii="Palatino Linotype" w:eastAsia="Palatino Linotype" w:hAnsi="Palatino Linotype" w:cs="Palatino Linotype"/>
          <w:color w:val="000000"/>
        </w:rPr>
        <w:t xml:space="preserve">este </w:t>
      </w:r>
      <w:r w:rsidRPr="00C7081F">
        <w:rPr>
          <w:rFonts w:ascii="Palatino Linotype" w:eastAsia="Palatino Linotype" w:hAnsi="Palatino Linotype" w:cs="Palatino Linotype"/>
          <w:b/>
          <w:color w:val="000000"/>
        </w:rPr>
        <w:t>ÓRGANO GARANTE</w:t>
      </w:r>
      <w:r w:rsidRPr="00C7081F">
        <w:rPr>
          <w:rFonts w:ascii="Palatino Linotype" w:eastAsia="Palatino Linotype" w:hAnsi="Palatino Linotype" w:cs="Palatino Linotype"/>
          <w:color w:val="000000"/>
        </w:rPr>
        <w:t xml:space="preserve"> emite los siguientes.</w:t>
      </w:r>
    </w:p>
    <w:p w14:paraId="35BBA351" w14:textId="77777777" w:rsidR="008B41E1" w:rsidRPr="00C7081F" w:rsidRDefault="008B41E1">
      <w:pPr>
        <w:pBdr>
          <w:top w:val="nil"/>
          <w:left w:val="nil"/>
          <w:bottom w:val="nil"/>
          <w:right w:val="nil"/>
          <w:between w:val="nil"/>
        </w:pBdr>
        <w:ind w:left="720"/>
        <w:rPr>
          <w:rFonts w:ascii="Palatino Linotype" w:eastAsia="Palatino Linotype" w:hAnsi="Palatino Linotype" w:cs="Palatino Linotype"/>
          <w:color w:val="000000"/>
        </w:rPr>
      </w:pPr>
    </w:p>
    <w:p w14:paraId="35BBA352" w14:textId="77777777" w:rsidR="008B41E1" w:rsidRPr="00C7081F" w:rsidRDefault="000F4881">
      <w:pPr>
        <w:keepNext/>
        <w:keepLines/>
        <w:spacing w:line="360" w:lineRule="auto"/>
        <w:jc w:val="center"/>
        <w:rPr>
          <w:rFonts w:ascii="Palatino Linotype" w:eastAsia="Palatino Linotype" w:hAnsi="Palatino Linotype" w:cs="Palatino Linotype"/>
          <w:b/>
          <w:color w:val="000000"/>
        </w:rPr>
      </w:pPr>
      <w:r w:rsidRPr="00C7081F">
        <w:rPr>
          <w:rFonts w:ascii="Palatino Linotype" w:eastAsia="Palatino Linotype" w:hAnsi="Palatino Linotype" w:cs="Palatino Linotype"/>
          <w:b/>
          <w:color w:val="000000"/>
        </w:rPr>
        <w:t>R E S O L U T I V O S</w:t>
      </w:r>
    </w:p>
    <w:p w14:paraId="35BBA353" w14:textId="77777777" w:rsidR="008B41E1" w:rsidRPr="00C7081F" w:rsidRDefault="008B41E1">
      <w:pPr>
        <w:spacing w:line="360" w:lineRule="auto"/>
        <w:rPr>
          <w:rFonts w:ascii="Palatino Linotype" w:eastAsia="Palatino Linotype" w:hAnsi="Palatino Linotype" w:cs="Palatino Linotype"/>
        </w:rPr>
      </w:pPr>
    </w:p>
    <w:p w14:paraId="35BBA354" w14:textId="77777777" w:rsidR="008B41E1" w:rsidRPr="00C7081F" w:rsidRDefault="000F4881">
      <w:pPr>
        <w:spacing w:line="360" w:lineRule="auto"/>
        <w:jc w:val="both"/>
        <w:rPr>
          <w:rFonts w:ascii="Palatino Linotype" w:eastAsia="Palatino Linotype" w:hAnsi="Palatino Linotype" w:cs="Palatino Linotype"/>
        </w:rPr>
      </w:pPr>
      <w:r w:rsidRPr="00C7081F">
        <w:rPr>
          <w:rFonts w:ascii="Palatino Linotype" w:eastAsia="Palatino Linotype" w:hAnsi="Palatino Linotype" w:cs="Palatino Linotype"/>
          <w:b/>
        </w:rPr>
        <w:t>PRIMERO</w:t>
      </w:r>
      <w:r w:rsidRPr="00C7081F">
        <w:rPr>
          <w:rFonts w:ascii="Palatino Linotype" w:eastAsia="Palatino Linotype" w:hAnsi="Palatino Linotype" w:cs="Palatino Linotype"/>
        </w:rPr>
        <w:t xml:space="preserve">. Resultan parcialmente fundadas las razones o motivos de inconformidad hechos valer en el Recurso de Revisión </w:t>
      </w:r>
      <w:r w:rsidRPr="00C7081F">
        <w:rPr>
          <w:rFonts w:ascii="Palatino Linotype" w:eastAsia="Palatino Linotype" w:hAnsi="Palatino Linotype" w:cs="Palatino Linotype"/>
          <w:b/>
        </w:rPr>
        <w:t>016063/INFOEM/IP/RR/2022</w:t>
      </w:r>
      <w:r w:rsidRPr="00C7081F">
        <w:rPr>
          <w:rFonts w:ascii="Palatino Linotype" w:eastAsia="Palatino Linotype" w:hAnsi="Palatino Linotype" w:cs="Palatino Linotype"/>
        </w:rPr>
        <w:t>,</w:t>
      </w:r>
      <w:r w:rsidRPr="00C7081F">
        <w:rPr>
          <w:rFonts w:ascii="Palatino Linotype" w:eastAsia="Palatino Linotype" w:hAnsi="Palatino Linotype" w:cs="Palatino Linotype"/>
          <w:b/>
        </w:rPr>
        <w:t xml:space="preserve"> </w:t>
      </w:r>
      <w:r w:rsidRPr="00C7081F">
        <w:rPr>
          <w:rFonts w:ascii="Palatino Linotype" w:eastAsia="Palatino Linotype" w:hAnsi="Palatino Linotype" w:cs="Palatino Linotype"/>
        </w:rPr>
        <w:t xml:space="preserve">en términos de los Considerandos </w:t>
      </w:r>
      <w:r w:rsidRPr="00C7081F">
        <w:rPr>
          <w:rFonts w:ascii="Palatino Linotype" w:eastAsia="Palatino Linotype" w:hAnsi="Palatino Linotype" w:cs="Palatino Linotype"/>
          <w:b/>
        </w:rPr>
        <w:t xml:space="preserve">CUARTO y QUINTO </w:t>
      </w:r>
      <w:r w:rsidRPr="00C7081F">
        <w:rPr>
          <w:rFonts w:ascii="Palatino Linotype" w:eastAsia="Palatino Linotype" w:hAnsi="Palatino Linotype" w:cs="Palatino Linotype"/>
        </w:rPr>
        <w:t>de la presente resolución.</w:t>
      </w:r>
    </w:p>
    <w:p w14:paraId="35BBA355" w14:textId="77777777" w:rsidR="008B41E1" w:rsidRPr="00C7081F" w:rsidRDefault="000F4881">
      <w:pPr>
        <w:spacing w:line="360" w:lineRule="auto"/>
        <w:jc w:val="both"/>
        <w:rPr>
          <w:rFonts w:ascii="Palatino Linotype" w:eastAsia="Palatino Linotype" w:hAnsi="Palatino Linotype" w:cs="Palatino Linotype"/>
          <w:b/>
        </w:rPr>
      </w:pPr>
      <w:bookmarkStart w:id="11" w:name="_heading=h.3rdcrjn" w:colFirst="0" w:colLast="0"/>
      <w:bookmarkEnd w:id="11"/>
      <w:r w:rsidRPr="00C7081F">
        <w:rPr>
          <w:rFonts w:ascii="Palatino Linotype" w:eastAsia="Palatino Linotype" w:hAnsi="Palatino Linotype" w:cs="Palatino Linotype"/>
          <w:b/>
        </w:rPr>
        <w:lastRenderedPageBreak/>
        <w:t xml:space="preserve">SEGUNDO. </w:t>
      </w:r>
      <w:r w:rsidRPr="00C7081F">
        <w:rPr>
          <w:rFonts w:ascii="Palatino Linotype" w:eastAsia="Palatino Linotype" w:hAnsi="Palatino Linotype" w:cs="Palatino Linotype"/>
          <w:color w:val="000000"/>
        </w:rPr>
        <w:t xml:space="preserve">Se </w:t>
      </w:r>
      <w:r w:rsidRPr="00C7081F">
        <w:rPr>
          <w:rFonts w:ascii="Palatino Linotype" w:eastAsia="Palatino Linotype" w:hAnsi="Palatino Linotype" w:cs="Palatino Linotype"/>
          <w:b/>
          <w:color w:val="000000"/>
        </w:rPr>
        <w:t xml:space="preserve">MODIFICA </w:t>
      </w:r>
      <w:r w:rsidRPr="00C7081F">
        <w:rPr>
          <w:rFonts w:ascii="Palatino Linotype" w:eastAsia="Palatino Linotype" w:hAnsi="Palatino Linotype" w:cs="Palatino Linotype"/>
          <w:color w:val="000000"/>
        </w:rPr>
        <w:t xml:space="preserve">la respuesta emitida por el </w:t>
      </w:r>
      <w:r w:rsidRPr="00C7081F">
        <w:rPr>
          <w:rFonts w:ascii="Palatino Linotype" w:eastAsia="Palatino Linotype" w:hAnsi="Palatino Linotype" w:cs="Palatino Linotype"/>
          <w:b/>
          <w:color w:val="000000"/>
        </w:rPr>
        <w:t xml:space="preserve">Ayuntamiento de Tultitlán </w:t>
      </w:r>
      <w:r w:rsidRPr="00C7081F">
        <w:rPr>
          <w:rFonts w:ascii="Palatino Linotype" w:eastAsia="Palatino Linotype" w:hAnsi="Palatino Linotype" w:cs="Palatino Linotype"/>
          <w:color w:val="000000"/>
        </w:rPr>
        <w:t xml:space="preserve">y se </w:t>
      </w:r>
      <w:r w:rsidRPr="00C7081F">
        <w:rPr>
          <w:rFonts w:ascii="Palatino Linotype" w:eastAsia="Palatino Linotype" w:hAnsi="Palatino Linotype" w:cs="Palatino Linotype"/>
          <w:b/>
          <w:color w:val="000000"/>
        </w:rPr>
        <w:t>ORDENA</w:t>
      </w:r>
      <w:r w:rsidRPr="00C7081F">
        <w:rPr>
          <w:rFonts w:ascii="Palatino Linotype" w:eastAsia="Palatino Linotype" w:hAnsi="Palatino Linotype" w:cs="Palatino Linotype"/>
          <w:color w:val="000000"/>
        </w:rPr>
        <w:t xml:space="preserve"> entregar vía Sistema de Acceso a la Información Mexiquense </w:t>
      </w:r>
      <w:r w:rsidRPr="00C7081F">
        <w:rPr>
          <w:rFonts w:ascii="Palatino Linotype" w:eastAsia="Palatino Linotype" w:hAnsi="Palatino Linotype" w:cs="Palatino Linotype"/>
          <w:b/>
          <w:color w:val="000000"/>
        </w:rPr>
        <w:t>(SAIMEX)</w:t>
      </w:r>
      <w:r w:rsidRPr="00C7081F">
        <w:rPr>
          <w:rFonts w:ascii="Palatino Linotype" w:eastAsia="Palatino Linotype" w:hAnsi="Palatino Linotype" w:cs="Palatino Linotype"/>
          <w:color w:val="000000"/>
        </w:rPr>
        <w:t>, la siguiente información,</w:t>
      </w:r>
      <w:r w:rsidRPr="00C7081F">
        <w:rPr>
          <w:rFonts w:ascii="Palatino Linotype" w:eastAsia="Palatino Linotype" w:hAnsi="Palatino Linotype" w:cs="Palatino Linotype"/>
          <w:b/>
        </w:rPr>
        <w:t xml:space="preserve"> </w:t>
      </w:r>
      <w:r w:rsidRPr="00C7081F">
        <w:rPr>
          <w:rFonts w:ascii="Palatino Linotype" w:eastAsia="Palatino Linotype" w:hAnsi="Palatino Linotype" w:cs="Palatino Linotype"/>
        </w:rPr>
        <w:t>del ser el caso en versión pública:</w:t>
      </w:r>
    </w:p>
    <w:p w14:paraId="35BBA356" w14:textId="77777777" w:rsidR="008B41E1" w:rsidRPr="00C7081F" w:rsidRDefault="008B41E1">
      <w:pPr>
        <w:spacing w:line="360" w:lineRule="auto"/>
        <w:jc w:val="both"/>
        <w:rPr>
          <w:rFonts w:ascii="Palatino Linotype" w:eastAsia="Palatino Linotype" w:hAnsi="Palatino Linotype" w:cs="Palatino Linotype"/>
          <w:b/>
        </w:rPr>
      </w:pPr>
    </w:p>
    <w:p w14:paraId="35BBA357" w14:textId="77777777" w:rsidR="008B41E1" w:rsidRPr="00C7081F" w:rsidRDefault="000F4881">
      <w:pPr>
        <w:numPr>
          <w:ilvl w:val="0"/>
          <w:numId w:val="1"/>
        </w:numPr>
        <w:pBdr>
          <w:top w:val="nil"/>
          <w:left w:val="nil"/>
          <w:bottom w:val="nil"/>
          <w:right w:val="nil"/>
          <w:between w:val="nil"/>
        </w:pBdr>
        <w:spacing w:line="360" w:lineRule="auto"/>
        <w:ind w:left="993" w:right="333"/>
        <w:jc w:val="both"/>
        <w:rPr>
          <w:rFonts w:ascii="Palatino Linotype" w:eastAsia="Palatino Linotype" w:hAnsi="Palatino Linotype" w:cs="Palatino Linotype"/>
          <w:b/>
          <w:color w:val="000000"/>
        </w:rPr>
      </w:pPr>
      <w:r w:rsidRPr="00C7081F">
        <w:rPr>
          <w:rFonts w:ascii="Palatino Linotype" w:eastAsia="Palatino Linotype" w:hAnsi="Palatino Linotype" w:cs="Palatino Linotype"/>
          <w:b/>
          <w:color w:val="000000"/>
        </w:rPr>
        <w:t>Soporte documental donde conste o se advierta la autorización o aprobación del último aumento salarial a los policías adscritos a la Dirección de Seguridad Pública, al 3 de octubre de 2022; y</w:t>
      </w:r>
    </w:p>
    <w:p w14:paraId="35BBA358" w14:textId="77777777" w:rsidR="008B41E1" w:rsidRPr="00C7081F" w:rsidRDefault="008B41E1">
      <w:pPr>
        <w:pBdr>
          <w:top w:val="nil"/>
          <w:left w:val="nil"/>
          <w:bottom w:val="nil"/>
          <w:right w:val="nil"/>
          <w:between w:val="nil"/>
        </w:pBdr>
        <w:spacing w:line="360" w:lineRule="auto"/>
        <w:ind w:left="993" w:right="333"/>
        <w:jc w:val="both"/>
        <w:rPr>
          <w:rFonts w:ascii="Palatino Linotype" w:eastAsia="Palatino Linotype" w:hAnsi="Palatino Linotype" w:cs="Palatino Linotype"/>
          <w:b/>
          <w:color w:val="000000"/>
        </w:rPr>
      </w:pPr>
    </w:p>
    <w:p w14:paraId="35BBA359" w14:textId="77777777" w:rsidR="008B41E1" w:rsidRPr="00C7081F" w:rsidRDefault="000F4881">
      <w:pPr>
        <w:numPr>
          <w:ilvl w:val="0"/>
          <w:numId w:val="1"/>
        </w:numPr>
        <w:pBdr>
          <w:top w:val="nil"/>
          <w:left w:val="nil"/>
          <w:bottom w:val="nil"/>
          <w:right w:val="nil"/>
          <w:between w:val="nil"/>
        </w:pBdr>
        <w:spacing w:line="360" w:lineRule="auto"/>
        <w:ind w:left="993" w:right="333"/>
        <w:jc w:val="both"/>
        <w:rPr>
          <w:rFonts w:ascii="Palatino Linotype" w:eastAsia="Palatino Linotype" w:hAnsi="Palatino Linotype" w:cs="Palatino Linotype"/>
          <w:b/>
          <w:color w:val="000000"/>
        </w:rPr>
      </w:pPr>
      <w:r w:rsidRPr="00C7081F">
        <w:rPr>
          <w:rFonts w:ascii="Palatino Linotype" w:eastAsia="Palatino Linotype" w:hAnsi="Palatino Linotype" w:cs="Palatino Linotype"/>
          <w:b/>
          <w:color w:val="000000"/>
        </w:rPr>
        <w:t xml:space="preserve">Acuerdo a través del cual se clasifique como reservado los salarios del servidor público referido en la solicitud de información, antes y después del último aumento y a la fecha en que </w:t>
      </w:r>
      <w:r w:rsidRPr="00C7081F">
        <w:rPr>
          <w:rFonts w:ascii="Palatino Linotype" w:eastAsia="Palatino Linotype" w:hAnsi="Palatino Linotype" w:cs="Palatino Linotype"/>
          <w:b/>
        </w:rPr>
        <w:t>causó</w:t>
      </w:r>
      <w:r w:rsidRPr="00C7081F">
        <w:rPr>
          <w:rFonts w:ascii="Palatino Linotype" w:eastAsia="Palatino Linotype" w:hAnsi="Palatino Linotype" w:cs="Palatino Linotype"/>
          <w:b/>
          <w:color w:val="000000"/>
        </w:rPr>
        <w:t xml:space="preserve"> baja del cargo, hasta en tanto quede firme el procedimiento seguido en forma de juicio que sustenta su clasificación.</w:t>
      </w:r>
    </w:p>
    <w:p w14:paraId="35BBA35A" w14:textId="77777777" w:rsidR="008B41E1" w:rsidRPr="00C7081F" w:rsidRDefault="008B41E1">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14:paraId="35BBA35B" w14:textId="77777777" w:rsidR="008B41E1" w:rsidRPr="00C7081F" w:rsidRDefault="000F4881">
      <w:pPr>
        <w:tabs>
          <w:tab w:val="left" w:pos="8080"/>
        </w:tabs>
        <w:spacing w:line="360" w:lineRule="auto"/>
        <w:ind w:right="48"/>
        <w:jc w:val="both"/>
        <w:rPr>
          <w:rFonts w:ascii="Palatino Linotype" w:eastAsia="Palatino Linotype" w:hAnsi="Palatino Linotype" w:cs="Palatino Linotype"/>
          <w:b/>
        </w:rPr>
      </w:pPr>
      <w:r w:rsidRPr="00C7081F">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C7081F">
        <w:rPr>
          <w:rFonts w:ascii="Palatino Linotype" w:eastAsia="Palatino Linotype" w:hAnsi="Palatino Linotype" w:cs="Palatino Linotype"/>
          <w:b/>
        </w:rPr>
        <w:t xml:space="preserve"> RECURRENTE.</w:t>
      </w:r>
    </w:p>
    <w:p w14:paraId="35BBA35C" w14:textId="77777777" w:rsidR="008B41E1" w:rsidRPr="00C7081F" w:rsidRDefault="008B41E1">
      <w:pPr>
        <w:tabs>
          <w:tab w:val="left" w:pos="8080"/>
        </w:tabs>
        <w:spacing w:line="360" w:lineRule="auto"/>
        <w:ind w:right="48"/>
        <w:jc w:val="both"/>
        <w:rPr>
          <w:rFonts w:ascii="Palatino Linotype" w:eastAsia="Palatino Linotype" w:hAnsi="Palatino Linotype" w:cs="Palatino Linotype"/>
          <w:b/>
        </w:rPr>
      </w:pPr>
    </w:p>
    <w:p w14:paraId="35BBA35D" w14:textId="77777777" w:rsidR="008B41E1" w:rsidRPr="00C7081F" w:rsidRDefault="000F4881">
      <w:pPr>
        <w:tabs>
          <w:tab w:val="left" w:pos="8080"/>
        </w:tabs>
        <w:spacing w:line="360" w:lineRule="auto"/>
        <w:ind w:right="49"/>
        <w:jc w:val="both"/>
        <w:rPr>
          <w:rFonts w:ascii="Palatino Linotype" w:eastAsia="Palatino Linotype" w:hAnsi="Palatino Linotype" w:cs="Palatino Linotype"/>
        </w:rPr>
      </w:pPr>
      <w:r w:rsidRPr="00C7081F">
        <w:rPr>
          <w:rFonts w:ascii="Palatino Linotype" w:eastAsia="Palatino Linotype" w:hAnsi="Palatino Linotype" w:cs="Palatino Linotype"/>
        </w:rPr>
        <w:t xml:space="preserve">Para el caso de que la información que se ordena en los </w:t>
      </w:r>
      <w:r w:rsidRPr="00C7081F">
        <w:rPr>
          <w:rFonts w:ascii="Palatino Linotype" w:eastAsia="Palatino Linotype" w:hAnsi="Palatino Linotype" w:cs="Palatino Linotype"/>
          <w:b/>
        </w:rPr>
        <w:t>incisos</w:t>
      </w:r>
      <w:r w:rsidRPr="00C7081F">
        <w:rPr>
          <w:rFonts w:ascii="Palatino Linotype" w:eastAsia="Palatino Linotype" w:hAnsi="Palatino Linotype" w:cs="Palatino Linotype"/>
        </w:rPr>
        <w:t xml:space="preserve"> </w:t>
      </w:r>
      <w:r w:rsidRPr="00C7081F">
        <w:rPr>
          <w:rFonts w:ascii="Palatino Linotype" w:eastAsia="Palatino Linotype" w:hAnsi="Palatino Linotype" w:cs="Palatino Linotype"/>
          <w:b/>
        </w:rPr>
        <w:t>a)</w:t>
      </w:r>
      <w:r w:rsidRPr="00C7081F">
        <w:rPr>
          <w:rFonts w:ascii="Palatino Linotype" w:eastAsia="Palatino Linotype" w:hAnsi="Palatino Linotype" w:cs="Palatino Linotype"/>
        </w:rPr>
        <w:t xml:space="preserve"> no se haya generado, poseído y administrado a la fecha en que se ordena, bastará con que lo haga del conocimiento del </w:t>
      </w:r>
      <w:r w:rsidRPr="00C7081F">
        <w:rPr>
          <w:rFonts w:ascii="Palatino Linotype" w:eastAsia="Palatino Linotype" w:hAnsi="Palatino Linotype" w:cs="Palatino Linotype"/>
          <w:b/>
        </w:rPr>
        <w:t>RECURRENTE</w:t>
      </w:r>
      <w:r w:rsidRPr="00C7081F">
        <w:rPr>
          <w:rFonts w:ascii="Palatino Linotype" w:eastAsia="Palatino Linotype" w:hAnsi="Palatino Linotype" w:cs="Palatino Linotype"/>
        </w:rPr>
        <w:t xml:space="preserve"> al momento de dar cumplimiento a la presente </w:t>
      </w:r>
      <w:r w:rsidRPr="00C7081F">
        <w:rPr>
          <w:rFonts w:ascii="Palatino Linotype" w:eastAsia="Palatino Linotype" w:hAnsi="Palatino Linotype" w:cs="Palatino Linotype"/>
        </w:rPr>
        <w:lastRenderedPageBreak/>
        <w:t>resolución en términos de los dispuesto por el artículo 19 segundo párrafo de la Ley de Transparencia y Acceso a la Información Pública del Estado de México y Municipios.</w:t>
      </w:r>
    </w:p>
    <w:p w14:paraId="35BBA35E" w14:textId="77777777" w:rsidR="008B41E1" w:rsidRPr="00C7081F" w:rsidRDefault="008B41E1">
      <w:pPr>
        <w:spacing w:line="360" w:lineRule="auto"/>
        <w:jc w:val="both"/>
        <w:rPr>
          <w:rFonts w:ascii="Palatino Linotype" w:eastAsia="Palatino Linotype" w:hAnsi="Palatino Linotype" w:cs="Palatino Linotype"/>
          <w:b/>
          <w:color w:val="000000"/>
        </w:rPr>
      </w:pPr>
    </w:p>
    <w:p w14:paraId="35BBA35F" w14:textId="77777777" w:rsidR="008B41E1" w:rsidRPr="00C7081F" w:rsidRDefault="000F4881">
      <w:pPr>
        <w:spacing w:line="360" w:lineRule="auto"/>
        <w:jc w:val="both"/>
        <w:rPr>
          <w:rFonts w:ascii="Palatino Linotype" w:eastAsia="Palatino Linotype" w:hAnsi="Palatino Linotype" w:cs="Palatino Linotype"/>
        </w:rPr>
      </w:pPr>
      <w:r w:rsidRPr="00C7081F">
        <w:rPr>
          <w:rFonts w:ascii="Palatino Linotype" w:eastAsia="Palatino Linotype" w:hAnsi="Palatino Linotype" w:cs="Palatino Linotype"/>
          <w:b/>
        </w:rPr>
        <w:t>TERCERO</w:t>
      </w:r>
      <w:r w:rsidRPr="00C7081F">
        <w:rPr>
          <w:rFonts w:ascii="Palatino Linotype" w:eastAsia="Palatino Linotype" w:hAnsi="Palatino Linotype" w:cs="Palatino Linotype"/>
        </w:rPr>
        <w:t xml:space="preserve">. 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C7081F">
        <w:rPr>
          <w:rFonts w:ascii="Palatino Linotype" w:eastAsia="Palatino Linotype" w:hAnsi="Palatino Linotype" w:cs="Palatino Linotype"/>
          <w:b/>
        </w:rPr>
        <w:t>dé cumplimiento a lo ordenado dentro del plazo de diez días hábiles,</w:t>
      </w:r>
      <w:r w:rsidRPr="00C7081F">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BBA360" w14:textId="77777777" w:rsidR="008B41E1" w:rsidRPr="00C7081F" w:rsidRDefault="008B41E1">
      <w:pPr>
        <w:tabs>
          <w:tab w:val="left" w:pos="8080"/>
        </w:tabs>
        <w:spacing w:line="360" w:lineRule="auto"/>
        <w:ind w:right="49"/>
        <w:jc w:val="both"/>
        <w:rPr>
          <w:rFonts w:ascii="Palatino Linotype" w:eastAsia="Palatino Linotype" w:hAnsi="Palatino Linotype" w:cs="Palatino Linotype"/>
          <w:highlight w:val="white"/>
        </w:rPr>
      </w:pPr>
    </w:p>
    <w:p w14:paraId="35BBA361" w14:textId="77777777" w:rsidR="008B41E1" w:rsidRPr="00C7081F" w:rsidRDefault="000F4881">
      <w:pPr>
        <w:spacing w:line="360" w:lineRule="auto"/>
        <w:jc w:val="both"/>
        <w:rPr>
          <w:rFonts w:ascii="Palatino Linotype" w:eastAsia="Palatino Linotype" w:hAnsi="Palatino Linotype" w:cs="Palatino Linotype"/>
        </w:rPr>
      </w:pPr>
      <w:r w:rsidRPr="00C7081F">
        <w:rPr>
          <w:rFonts w:ascii="Palatino Linotype" w:eastAsia="Palatino Linotype" w:hAnsi="Palatino Linotype" w:cs="Palatino Linotype"/>
          <w:b/>
        </w:rPr>
        <w:t xml:space="preserve">CUARTO. </w:t>
      </w:r>
      <w:r w:rsidRPr="00C7081F">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C7081F">
        <w:rPr>
          <w:rFonts w:ascii="Palatino Linotype" w:eastAsia="Palatino Linotype" w:hAnsi="Palatino Linotype" w:cs="Palatino Linotype"/>
          <w:b/>
        </w:rPr>
        <w:t>SUJETO OBLIGADO</w:t>
      </w:r>
      <w:r w:rsidRPr="00C7081F">
        <w:rPr>
          <w:rFonts w:ascii="Palatino Linotype" w:eastAsia="Palatino Linotype" w:hAnsi="Palatino Linotype" w:cs="Palatino Linotype"/>
        </w:rPr>
        <w:t xml:space="preserve"> de manera fundada y motivada, podrá solicitar una ampliación de plazo para el cumplimiento de la presente resolución.</w:t>
      </w:r>
    </w:p>
    <w:p w14:paraId="35BBA362" w14:textId="77777777" w:rsidR="008B41E1" w:rsidRPr="00C7081F" w:rsidRDefault="008B41E1">
      <w:pPr>
        <w:spacing w:line="360" w:lineRule="auto"/>
        <w:jc w:val="both"/>
        <w:rPr>
          <w:rFonts w:ascii="Palatino Linotype" w:eastAsia="Palatino Linotype" w:hAnsi="Palatino Linotype" w:cs="Palatino Linotype"/>
        </w:rPr>
      </w:pPr>
    </w:p>
    <w:p w14:paraId="35BBA363" w14:textId="77777777" w:rsidR="008B41E1" w:rsidRPr="00C7081F" w:rsidRDefault="000F4881">
      <w:pPr>
        <w:tabs>
          <w:tab w:val="left" w:pos="8080"/>
        </w:tabs>
        <w:spacing w:line="360" w:lineRule="auto"/>
        <w:ind w:right="49"/>
        <w:jc w:val="both"/>
        <w:rPr>
          <w:rFonts w:ascii="Palatino Linotype" w:eastAsia="Palatino Linotype" w:hAnsi="Palatino Linotype" w:cs="Palatino Linotype"/>
        </w:rPr>
      </w:pPr>
      <w:bookmarkStart w:id="12" w:name="_heading=h.26in1rg" w:colFirst="0" w:colLast="0"/>
      <w:bookmarkEnd w:id="12"/>
      <w:r w:rsidRPr="00C7081F">
        <w:rPr>
          <w:rFonts w:ascii="Palatino Linotype" w:eastAsia="Palatino Linotype" w:hAnsi="Palatino Linotype" w:cs="Palatino Linotype"/>
          <w:b/>
        </w:rPr>
        <w:t xml:space="preserve">QUINTO. </w:t>
      </w:r>
      <w:r w:rsidRPr="00C7081F">
        <w:rPr>
          <w:rFonts w:ascii="Palatino Linotype" w:eastAsia="Palatino Linotype" w:hAnsi="Palatino Linotype" w:cs="Palatino Linotype"/>
        </w:rPr>
        <w:t xml:space="preserve">Notifíquese a </w:t>
      </w:r>
      <w:r w:rsidRPr="00C7081F">
        <w:rPr>
          <w:rFonts w:ascii="Palatino Linotype" w:eastAsia="Palatino Linotype" w:hAnsi="Palatino Linotype" w:cs="Palatino Linotype"/>
          <w:b/>
        </w:rPr>
        <w:t>EL RECURRENTE</w:t>
      </w:r>
      <w:r w:rsidRPr="00C7081F">
        <w:rPr>
          <w:rFonts w:ascii="Palatino Linotype" w:eastAsia="Palatino Linotype" w:hAnsi="Palatino Linotype" w:cs="Palatino Linotype"/>
        </w:rPr>
        <w:t xml:space="preserve"> la presente resolución, vía SAIMEX.</w:t>
      </w:r>
    </w:p>
    <w:p w14:paraId="35BBA364" w14:textId="77777777" w:rsidR="008B41E1" w:rsidRPr="00C7081F" w:rsidRDefault="008B41E1">
      <w:pPr>
        <w:tabs>
          <w:tab w:val="left" w:pos="8080"/>
        </w:tabs>
        <w:spacing w:line="360" w:lineRule="auto"/>
        <w:ind w:right="49"/>
        <w:jc w:val="both"/>
        <w:rPr>
          <w:rFonts w:ascii="Palatino Linotype" w:eastAsia="Palatino Linotype" w:hAnsi="Palatino Linotype" w:cs="Palatino Linotype"/>
        </w:rPr>
      </w:pPr>
    </w:p>
    <w:p w14:paraId="35BBA365" w14:textId="77777777" w:rsidR="008B41E1" w:rsidRPr="00C7081F" w:rsidRDefault="000F4881">
      <w:pPr>
        <w:shd w:val="clear" w:color="auto" w:fill="FFFFFF"/>
        <w:spacing w:line="360" w:lineRule="auto"/>
        <w:jc w:val="both"/>
        <w:rPr>
          <w:rFonts w:ascii="Palatino Linotype" w:eastAsia="Palatino Linotype" w:hAnsi="Palatino Linotype" w:cs="Palatino Linotype"/>
          <w:color w:val="000000"/>
        </w:rPr>
      </w:pPr>
      <w:r w:rsidRPr="00C7081F">
        <w:rPr>
          <w:rFonts w:ascii="Palatino Linotype" w:eastAsia="Palatino Linotype" w:hAnsi="Palatino Linotype" w:cs="Palatino Linotype"/>
          <w:b/>
        </w:rPr>
        <w:t>SEXTO.</w:t>
      </w:r>
      <w:r w:rsidRPr="00C7081F">
        <w:rPr>
          <w:rFonts w:ascii="Palatino Linotype" w:eastAsia="Palatino Linotype" w:hAnsi="Palatino Linotype" w:cs="Palatino Linotype"/>
        </w:rPr>
        <w:t xml:space="preserve"> Se hace del conocimiento de </w:t>
      </w:r>
      <w:r w:rsidRPr="00C7081F">
        <w:rPr>
          <w:rFonts w:ascii="Palatino Linotype" w:eastAsia="Palatino Linotype" w:hAnsi="Palatino Linotype" w:cs="Palatino Linotype"/>
          <w:b/>
        </w:rPr>
        <w:t>EL RECURRENTE</w:t>
      </w:r>
      <w:r w:rsidRPr="00C7081F">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w:t>
      </w:r>
      <w:r w:rsidRPr="00C7081F">
        <w:rPr>
          <w:rFonts w:ascii="Palatino Linotype" w:eastAsia="Palatino Linotype" w:hAnsi="Palatino Linotype" w:cs="Palatino Linotype"/>
        </w:rPr>
        <w:lastRenderedPageBreak/>
        <w:t xml:space="preserve">le cause algún perjuicio podrá impugnarla vía juicio de amparo en los términos de las leyes aplicables, o bien, </w:t>
      </w:r>
      <w:r w:rsidRPr="00C7081F">
        <w:rPr>
          <w:rFonts w:ascii="Palatino Linotype" w:eastAsia="Palatino Linotype" w:hAnsi="Palatino Linotype" w:cs="Palatino Linotype"/>
          <w:color w:val="000000"/>
        </w:rPr>
        <w:t>vía recurso de inconformidad ante el Instituto Nacional de Transparencia, Acceso a la Información y Protección de Datos Personales.</w:t>
      </w:r>
    </w:p>
    <w:p w14:paraId="35BBA366" w14:textId="77777777" w:rsidR="008B41E1" w:rsidRPr="00C7081F" w:rsidRDefault="008B41E1">
      <w:pPr>
        <w:shd w:val="clear" w:color="auto" w:fill="FFFFFF"/>
        <w:spacing w:line="360" w:lineRule="auto"/>
        <w:jc w:val="both"/>
        <w:rPr>
          <w:rFonts w:ascii="Palatino Linotype" w:eastAsia="Palatino Linotype" w:hAnsi="Palatino Linotype" w:cs="Palatino Linotype"/>
          <w:color w:val="000000"/>
        </w:rPr>
      </w:pPr>
    </w:p>
    <w:p w14:paraId="35BBA367" w14:textId="77777777" w:rsidR="008B41E1" w:rsidRPr="00C7081F" w:rsidRDefault="000F4881">
      <w:pPr>
        <w:spacing w:line="360" w:lineRule="auto"/>
        <w:jc w:val="both"/>
        <w:rPr>
          <w:rFonts w:ascii="Palatino Linotype" w:eastAsia="Palatino Linotype" w:hAnsi="Palatino Linotype" w:cs="Palatino Linotype"/>
        </w:rPr>
      </w:pPr>
      <w:r w:rsidRPr="00C7081F">
        <w:rPr>
          <w:rFonts w:ascii="Palatino Linotype" w:eastAsia="Palatino Linotype" w:hAnsi="Palatino Linotype" w:cs="Palatino Linotype"/>
          <w:b/>
          <w:color w:val="000000"/>
        </w:rPr>
        <w:t>SÉPTIMO.</w:t>
      </w:r>
      <w:r w:rsidRPr="00C7081F">
        <w:rPr>
          <w:rFonts w:ascii="Palatino Linotype" w:eastAsia="Palatino Linotype" w:hAnsi="Palatino Linotype" w:cs="Palatino Linotype"/>
          <w:color w:val="000000"/>
        </w:rPr>
        <w:t xml:space="preserve"> </w:t>
      </w:r>
      <w:r w:rsidRPr="00C7081F">
        <w:rPr>
          <w:rFonts w:ascii="Palatino Linotype" w:eastAsia="Palatino Linotype" w:hAnsi="Palatino Linotype" w:cs="Palatino Linotype"/>
          <w:b/>
        </w:rPr>
        <w:t xml:space="preserve">Gírese </w:t>
      </w:r>
      <w:r w:rsidRPr="00C7081F">
        <w:rPr>
          <w:rFonts w:ascii="Palatino Linotype" w:eastAsia="Palatino Linotype" w:hAnsi="Palatino Linotype" w:cs="Palatino Linotype"/>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C7081F">
        <w:rPr>
          <w:rFonts w:ascii="Palatino Linotype" w:eastAsia="Palatino Linotype" w:hAnsi="Palatino Linotype" w:cs="Palatino Linotype"/>
          <w:b/>
        </w:rPr>
        <w:t>CUARTO</w:t>
      </w:r>
      <w:r w:rsidRPr="00C7081F">
        <w:rPr>
          <w:rFonts w:ascii="Palatino Linotype" w:eastAsia="Palatino Linotype" w:hAnsi="Palatino Linotype" w:cs="Palatino Linotype"/>
        </w:rPr>
        <w:t xml:space="preserve"> de la presente resolución.</w:t>
      </w:r>
    </w:p>
    <w:p w14:paraId="35BBA368" w14:textId="77777777" w:rsidR="008B41E1" w:rsidRPr="00C7081F" w:rsidRDefault="008B41E1">
      <w:pPr>
        <w:shd w:val="clear" w:color="auto" w:fill="FFFFFF"/>
        <w:spacing w:line="360" w:lineRule="auto"/>
        <w:jc w:val="both"/>
        <w:rPr>
          <w:rFonts w:ascii="Palatino Linotype" w:eastAsia="Palatino Linotype" w:hAnsi="Palatino Linotype" w:cs="Palatino Linotype"/>
        </w:rPr>
      </w:pPr>
    </w:p>
    <w:p w14:paraId="35BBA369" w14:textId="77777777" w:rsidR="00C7081F" w:rsidRPr="00C7081F" w:rsidRDefault="00C7081F" w:rsidP="00C7081F">
      <w:pPr>
        <w:spacing w:before="240" w:after="240" w:line="360" w:lineRule="auto"/>
        <w:ind w:firstLine="1"/>
        <w:jc w:val="both"/>
        <w:rPr>
          <w:rStyle w:val="Referenciasutil"/>
          <w:rFonts w:ascii="Palatino Linotype" w:hAnsi="Palatino Linotype"/>
          <w:color w:val="auto"/>
        </w:rPr>
      </w:pPr>
      <w:bookmarkStart w:id="13" w:name="_Hlk129792997"/>
      <w:r w:rsidRPr="00C7081F">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w:t>
      </w:r>
      <w:r w:rsidR="00C0026F">
        <w:rPr>
          <w:rStyle w:val="Referenciasutil"/>
          <w:rFonts w:ascii="Palatino Linotype" w:hAnsi="Palatino Linotype"/>
          <w:color w:val="auto"/>
        </w:rPr>
        <w:t xml:space="preserve"> EMITIENDO VOTO PARTICULAR</w:t>
      </w:r>
      <w:r w:rsidRPr="00C7081F">
        <w:rPr>
          <w:rStyle w:val="Referenciasutil"/>
          <w:rFonts w:ascii="Palatino Linotype" w:hAnsi="Palatino Linotype"/>
          <w:color w:val="auto"/>
        </w:rPr>
        <w:t>; SHARON CRISTINA MORALES MARTÍNEZ; LUIS GUSTAVO PARRA NORIEGA</w:t>
      </w:r>
      <w:r w:rsidR="00C0026F">
        <w:rPr>
          <w:rStyle w:val="Referenciasutil"/>
          <w:rFonts w:ascii="Palatino Linotype" w:hAnsi="Palatino Linotype"/>
          <w:color w:val="auto"/>
        </w:rPr>
        <w:t xml:space="preserve"> EMITIENDO VOTO PARTICULAR</w:t>
      </w:r>
      <w:r w:rsidRPr="00C7081F">
        <w:rPr>
          <w:rStyle w:val="Referenciasutil"/>
          <w:rFonts w:ascii="Palatino Linotype" w:hAnsi="Palatino Linotype"/>
          <w:color w:val="auto"/>
        </w:rPr>
        <w:t xml:space="preserve"> Y GUADALUPE RAMÍREZ PEÑA; EN LA NOVENA SESIÓN ORDINARIA CELEBRADA EL TRECE (13) DE MARZO DE DOS MIL VEINTICUATRO, ANTE EL SECRETARIO TÉCNICO DEL PLENO ALEXIS TAPIA RAMÍREZ. </w:t>
      </w:r>
      <w:bookmarkEnd w:id="13"/>
    </w:p>
    <w:p w14:paraId="35BBA36A" w14:textId="77777777" w:rsidR="008B41E1" w:rsidRPr="00C7081F" w:rsidRDefault="008B41E1">
      <w:pPr>
        <w:spacing w:line="360" w:lineRule="auto"/>
        <w:jc w:val="both"/>
        <w:rPr>
          <w:rFonts w:ascii="Palatino Linotype" w:eastAsia="Palatino Linotype" w:hAnsi="Palatino Linotype" w:cs="Palatino Linotype"/>
        </w:rPr>
      </w:pPr>
    </w:p>
    <w:p w14:paraId="35BBA36B" w14:textId="77777777" w:rsidR="008B41E1" w:rsidRPr="00C7081F" w:rsidRDefault="008B41E1">
      <w:pPr>
        <w:spacing w:line="360" w:lineRule="auto"/>
        <w:jc w:val="both"/>
        <w:rPr>
          <w:rFonts w:ascii="Palatino Linotype" w:eastAsia="Palatino Linotype" w:hAnsi="Palatino Linotype" w:cs="Palatino Linotype"/>
        </w:rPr>
      </w:pPr>
    </w:p>
    <w:p w14:paraId="35BBA36C" w14:textId="77777777" w:rsidR="008B41E1" w:rsidRPr="00C7081F" w:rsidRDefault="008B41E1">
      <w:pPr>
        <w:spacing w:line="360" w:lineRule="auto"/>
        <w:jc w:val="both"/>
        <w:rPr>
          <w:rFonts w:ascii="Palatino Linotype" w:eastAsia="Palatino Linotype" w:hAnsi="Palatino Linotype" w:cs="Palatino Linotype"/>
        </w:rPr>
      </w:pPr>
    </w:p>
    <w:p w14:paraId="35BBA36D" w14:textId="77777777" w:rsidR="008B41E1" w:rsidRPr="00C7081F" w:rsidRDefault="008B41E1">
      <w:pPr>
        <w:spacing w:line="360" w:lineRule="auto"/>
        <w:jc w:val="both"/>
        <w:rPr>
          <w:rFonts w:ascii="Palatino Linotype" w:eastAsia="Palatino Linotype" w:hAnsi="Palatino Linotype" w:cs="Palatino Linotype"/>
        </w:rPr>
      </w:pPr>
    </w:p>
    <w:p w14:paraId="35BBA36E" w14:textId="77777777" w:rsidR="008B41E1" w:rsidRPr="00C7081F" w:rsidRDefault="008B41E1">
      <w:pPr>
        <w:spacing w:line="360" w:lineRule="auto"/>
        <w:rPr>
          <w:rFonts w:ascii="Palatino Linotype" w:eastAsia="Palatino Linotype" w:hAnsi="Palatino Linotype" w:cs="Palatino Linotype"/>
        </w:rPr>
      </w:pPr>
    </w:p>
    <w:p w14:paraId="35BBA36F" w14:textId="77777777" w:rsidR="008B41E1" w:rsidRPr="00C7081F" w:rsidRDefault="008B41E1">
      <w:pPr>
        <w:spacing w:line="360" w:lineRule="auto"/>
        <w:rPr>
          <w:rFonts w:ascii="Palatino Linotype" w:eastAsia="Palatino Linotype" w:hAnsi="Palatino Linotype" w:cs="Palatino Linotype"/>
        </w:rPr>
      </w:pPr>
    </w:p>
    <w:p w14:paraId="35BBA370" w14:textId="77777777" w:rsidR="008B41E1" w:rsidRPr="00C7081F" w:rsidRDefault="008B41E1">
      <w:pPr>
        <w:spacing w:line="360" w:lineRule="auto"/>
        <w:rPr>
          <w:rFonts w:ascii="Palatino Linotype" w:eastAsia="Palatino Linotype" w:hAnsi="Palatino Linotype" w:cs="Palatino Linotype"/>
        </w:rPr>
      </w:pPr>
    </w:p>
    <w:p w14:paraId="35BBA371" w14:textId="77777777" w:rsidR="008B41E1" w:rsidRPr="00C7081F" w:rsidRDefault="008B41E1">
      <w:pPr>
        <w:spacing w:line="360" w:lineRule="auto"/>
        <w:rPr>
          <w:rFonts w:ascii="Palatino Linotype" w:eastAsia="Palatino Linotype" w:hAnsi="Palatino Linotype" w:cs="Palatino Linotype"/>
        </w:rPr>
      </w:pPr>
    </w:p>
    <w:p w14:paraId="35BBA372" w14:textId="77777777" w:rsidR="008B41E1" w:rsidRPr="00C7081F" w:rsidRDefault="008B41E1">
      <w:pPr>
        <w:spacing w:line="360" w:lineRule="auto"/>
        <w:rPr>
          <w:rFonts w:ascii="Palatino Linotype" w:eastAsia="Palatino Linotype" w:hAnsi="Palatino Linotype" w:cs="Palatino Linotype"/>
        </w:rPr>
      </w:pPr>
    </w:p>
    <w:p w14:paraId="35BBA373" w14:textId="77777777" w:rsidR="008B41E1" w:rsidRPr="00C7081F" w:rsidRDefault="008B41E1">
      <w:pPr>
        <w:spacing w:line="360" w:lineRule="auto"/>
        <w:rPr>
          <w:rFonts w:ascii="Palatino Linotype" w:eastAsia="Palatino Linotype" w:hAnsi="Palatino Linotype" w:cs="Palatino Linotype"/>
        </w:rPr>
      </w:pPr>
    </w:p>
    <w:p w14:paraId="35BBA374" w14:textId="77777777" w:rsidR="008B41E1" w:rsidRPr="00C7081F" w:rsidRDefault="000F4881">
      <w:pPr>
        <w:spacing w:line="360" w:lineRule="auto"/>
        <w:rPr>
          <w:rFonts w:ascii="Palatino Linotype" w:eastAsia="Palatino Linotype" w:hAnsi="Palatino Linotype" w:cs="Palatino Linotype"/>
        </w:rPr>
      </w:pPr>
      <w:r w:rsidRPr="00C7081F">
        <w:rPr>
          <w:rFonts w:ascii="Palatino Linotype" w:eastAsia="Palatino Linotype" w:hAnsi="Palatino Linotype" w:cs="Palatino Linotype"/>
        </w:rPr>
        <w:t xml:space="preserve"> </w:t>
      </w:r>
      <w:r w:rsidRPr="00C7081F">
        <w:rPr>
          <w:rFonts w:ascii="Palatino Linotype" w:eastAsia="Palatino Linotype" w:hAnsi="Palatino Linotype" w:cs="Palatino Linotype"/>
        </w:rPr>
        <w:tab/>
      </w:r>
    </w:p>
    <w:p w14:paraId="35BBA375" w14:textId="77777777" w:rsidR="008B41E1" w:rsidRPr="00C7081F" w:rsidRDefault="008B41E1">
      <w:pPr>
        <w:spacing w:line="360" w:lineRule="auto"/>
        <w:rPr>
          <w:rFonts w:ascii="Palatino Linotype" w:eastAsia="Palatino Linotype" w:hAnsi="Palatino Linotype" w:cs="Palatino Linotype"/>
        </w:rPr>
      </w:pPr>
    </w:p>
    <w:p w14:paraId="35BBA376" w14:textId="77777777" w:rsidR="008B41E1" w:rsidRPr="00C7081F" w:rsidRDefault="008B41E1">
      <w:pPr>
        <w:spacing w:line="360" w:lineRule="auto"/>
        <w:rPr>
          <w:rFonts w:ascii="Palatino Linotype" w:eastAsia="Palatino Linotype" w:hAnsi="Palatino Linotype" w:cs="Palatino Linotype"/>
        </w:rPr>
      </w:pPr>
    </w:p>
    <w:sectPr w:rsidR="008B41E1" w:rsidRPr="00C7081F" w:rsidSect="002C50BE">
      <w:headerReference w:type="even" r:id="rId9"/>
      <w:headerReference w:type="default" r:id="rId10"/>
      <w:footerReference w:type="default" r:id="rId11"/>
      <w:headerReference w:type="first" r:id="rId12"/>
      <w:footerReference w:type="first" r:id="rId13"/>
      <w:pgSz w:w="12240" w:h="15840"/>
      <w:pgMar w:top="2269" w:right="1325" w:bottom="1985"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2BEB" w14:textId="77777777" w:rsidR="002C50BE" w:rsidRDefault="002C50BE">
      <w:r>
        <w:separator/>
      </w:r>
    </w:p>
  </w:endnote>
  <w:endnote w:type="continuationSeparator" w:id="0">
    <w:p w14:paraId="0808E7D5" w14:textId="77777777" w:rsidR="002C50BE" w:rsidRDefault="002C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A387" w14:textId="77777777" w:rsidR="008B41E1" w:rsidRDefault="000F488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8413B">
      <w:rPr>
        <w:rFonts w:ascii="Palatino Linotype" w:eastAsia="Palatino Linotype" w:hAnsi="Palatino Linotype" w:cs="Palatino Linotype"/>
        <w:noProof/>
        <w:color w:val="000000"/>
        <w:sz w:val="20"/>
        <w:szCs w:val="20"/>
      </w:rPr>
      <w:t>43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8413B">
      <w:rPr>
        <w:rFonts w:ascii="Palatino Linotype" w:eastAsia="Palatino Linotype" w:hAnsi="Palatino Linotype" w:cs="Palatino Linotype"/>
        <w:noProof/>
        <w:color w:val="000000"/>
        <w:sz w:val="20"/>
        <w:szCs w:val="20"/>
      </w:rPr>
      <w:t>43</w:t>
    </w:r>
    <w:r>
      <w:rPr>
        <w:rFonts w:ascii="Palatino Linotype" w:eastAsia="Palatino Linotype" w:hAnsi="Palatino Linotype" w:cs="Palatino Linotype"/>
        <w:color w:val="000000"/>
        <w:sz w:val="20"/>
        <w:szCs w:val="20"/>
      </w:rPr>
      <w:fldChar w:fldCharType="end"/>
    </w:r>
  </w:p>
  <w:p w14:paraId="35BBA388" w14:textId="77777777" w:rsidR="008B41E1" w:rsidRDefault="008B41E1">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A397" w14:textId="77777777" w:rsidR="008B41E1" w:rsidRDefault="000F488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8413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8413B">
      <w:rPr>
        <w:rFonts w:ascii="Palatino Linotype" w:eastAsia="Palatino Linotype" w:hAnsi="Palatino Linotype" w:cs="Palatino Linotype"/>
        <w:noProof/>
        <w:color w:val="000000"/>
        <w:sz w:val="20"/>
        <w:szCs w:val="20"/>
      </w:rPr>
      <w:t>43</w:t>
    </w:r>
    <w:r>
      <w:rPr>
        <w:rFonts w:ascii="Palatino Linotype" w:eastAsia="Palatino Linotype" w:hAnsi="Palatino Linotype" w:cs="Palatino Linotype"/>
        <w:color w:val="000000"/>
        <w:sz w:val="20"/>
        <w:szCs w:val="20"/>
      </w:rPr>
      <w:fldChar w:fldCharType="end"/>
    </w:r>
  </w:p>
  <w:p w14:paraId="35BBA398" w14:textId="77777777" w:rsidR="008B41E1" w:rsidRDefault="008B41E1">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2276" w14:textId="77777777" w:rsidR="002C50BE" w:rsidRDefault="002C50BE">
      <w:r>
        <w:separator/>
      </w:r>
    </w:p>
  </w:footnote>
  <w:footnote w:type="continuationSeparator" w:id="0">
    <w:p w14:paraId="5C439023" w14:textId="77777777" w:rsidR="002C50BE" w:rsidRDefault="002C50BE">
      <w:r>
        <w:continuationSeparator/>
      </w:r>
    </w:p>
  </w:footnote>
  <w:footnote w:id="1">
    <w:p w14:paraId="35BBA39C" w14:textId="77777777" w:rsidR="008B41E1" w:rsidRDefault="000F4881">
      <w:pPr>
        <w:pBdr>
          <w:top w:val="nil"/>
          <w:left w:val="nil"/>
          <w:bottom w:val="nil"/>
          <w:right w:val="nil"/>
          <w:between w:val="nil"/>
        </w:pBdr>
        <w:jc w:val="both"/>
        <w:rPr>
          <w:rFonts w:eastAsia="Calibri"/>
          <w:color w:val="000000"/>
          <w:sz w:val="20"/>
          <w:szCs w:val="20"/>
        </w:rPr>
      </w:pPr>
      <w:r>
        <w:rPr>
          <w:vertAlign w:val="superscript"/>
        </w:rPr>
        <w:footnoteRef/>
      </w:r>
      <w:r>
        <w:rPr>
          <w:rFonts w:eastAsia="Calibri"/>
          <w:color w:val="000000"/>
          <w:sz w:val="20"/>
          <w:szCs w:val="20"/>
        </w:rPr>
        <w:t xml:space="preserve"> </w:t>
      </w:r>
      <w:hyperlink r:id="rId1" w:anchor="/entry-id/E216930">
        <w:r>
          <w:rPr>
            <w:rFonts w:eastAsia="Calibri"/>
            <w:color w:val="0000FF"/>
            <w:sz w:val="20"/>
            <w:szCs w:val="20"/>
            <w:u w:val="single"/>
          </w:rPr>
          <w:t>http://dej.rae.es/#/entry-id/E216930</w:t>
        </w:r>
      </w:hyperlink>
      <w:r>
        <w:rPr>
          <w:rFonts w:eastAsia="Calibri"/>
          <w:color w:val="000000"/>
          <w:sz w:val="20"/>
          <w:szCs w:val="20"/>
        </w:rPr>
        <w:t xml:space="preserve"> </w:t>
      </w:r>
    </w:p>
  </w:footnote>
  <w:footnote w:id="2">
    <w:p w14:paraId="35BBA39D" w14:textId="77777777" w:rsidR="008B41E1" w:rsidRDefault="000F4881">
      <w:pPr>
        <w:pBdr>
          <w:top w:val="nil"/>
          <w:left w:val="nil"/>
          <w:bottom w:val="nil"/>
          <w:right w:val="nil"/>
          <w:between w:val="nil"/>
        </w:pBdr>
        <w:jc w:val="both"/>
        <w:rPr>
          <w:rFonts w:eastAsia="Calibri"/>
          <w:color w:val="000000"/>
          <w:sz w:val="20"/>
          <w:szCs w:val="20"/>
        </w:rPr>
      </w:pPr>
      <w:r>
        <w:rPr>
          <w:vertAlign w:val="superscript"/>
        </w:rPr>
        <w:footnoteRef/>
      </w:r>
      <w:r>
        <w:rPr>
          <w:rFonts w:eastAsia="Calibri"/>
          <w:color w:val="000000"/>
          <w:sz w:val="20"/>
          <w:szCs w:val="20"/>
        </w:rPr>
        <w:t xml:space="preserve"> </w:t>
      </w:r>
      <w:hyperlink r:id="rId2" w:anchor="/entry-id/E87450">
        <w:r>
          <w:rPr>
            <w:rFonts w:eastAsia="Calibri"/>
            <w:color w:val="0000FF"/>
            <w:sz w:val="20"/>
            <w:szCs w:val="20"/>
            <w:u w:val="single"/>
          </w:rPr>
          <w:t>http://dej.rae.es/#/entry-id/E87450</w:t>
        </w:r>
      </w:hyperlink>
      <w:r>
        <w:rPr>
          <w:rFonts w:eastAsia="Calibri"/>
          <w:color w:val="000000"/>
          <w:sz w:val="20"/>
          <w:szCs w:val="20"/>
        </w:rPr>
        <w:t xml:space="preserve"> </w:t>
      </w:r>
    </w:p>
  </w:footnote>
  <w:footnote w:id="3">
    <w:p w14:paraId="35BBA39E" w14:textId="77777777" w:rsidR="008B41E1" w:rsidRDefault="000F4881">
      <w:pPr>
        <w:pBdr>
          <w:top w:val="nil"/>
          <w:left w:val="nil"/>
          <w:bottom w:val="nil"/>
          <w:right w:val="nil"/>
          <w:between w:val="nil"/>
        </w:pBdr>
        <w:jc w:val="both"/>
        <w:rPr>
          <w:rFonts w:eastAsia="Calibri"/>
          <w:color w:val="000000"/>
          <w:sz w:val="20"/>
          <w:szCs w:val="20"/>
        </w:rPr>
      </w:pPr>
      <w:r>
        <w:rPr>
          <w:vertAlign w:val="superscript"/>
        </w:rPr>
        <w:footnoteRef/>
      </w:r>
      <w:r>
        <w:rPr>
          <w:rFonts w:eastAsia="Calibri"/>
          <w:color w:val="000000"/>
          <w:sz w:val="20"/>
          <w:szCs w:val="20"/>
        </w:rPr>
        <w:t xml:space="preserve"> </w:t>
      </w:r>
      <w:hyperlink r:id="rId3">
        <w:r>
          <w:rPr>
            <w:rFonts w:eastAsia="Calibri"/>
            <w:color w:val="0000FF"/>
            <w:sz w:val="20"/>
            <w:szCs w:val="20"/>
            <w:u w:val="single"/>
          </w:rPr>
          <w:t>http://dle.rae.es/?id=VGqyuLj|VGtxgAo|VGuc9Wg</w:t>
        </w:r>
      </w:hyperlink>
      <w:r>
        <w:rPr>
          <w:rFonts w:eastAsia="Calibri"/>
          <w:color w:val="000000"/>
          <w:sz w:val="20"/>
          <w:szCs w:val="20"/>
        </w:rPr>
        <w:t xml:space="preserve"> </w:t>
      </w:r>
    </w:p>
  </w:footnote>
  <w:footnote w:id="4">
    <w:p w14:paraId="35BBA39F" w14:textId="77777777" w:rsidR="008B41E1" w:rsidRDefault="000F4881">
      <w:pPr>
        <w:pBdr>
          <w:top w:val="nil"/>
          <w:left w:val="nil"/>
          <w:bottom w:val="nil"/>
          <w:right w:val="nil"/>
          <w:between w:val="nil"/>
        </w:pBdr>
        <w:jc w:val="both"/>
        <w:rPr>
          <w:rFonts w:eastAsia="Calibri"/>
          <w:color w:val="000000"/>
          <w:sz w:val="20"/>
          <w:szCs w:val="20"/>
        </w:rPr>
      </w:pPr>
      <w:r>
        <w:rPr>
          <w:vertAlign w:val="superscript"/>
        </w:rPr>
        <w:footnoteRef/>
      </w:r>
      <w:r>
        <w:rPr>
          <w:rFonts w:eastAsia="Calibri"/>
          <w:color w:val="000000"/>
          <w:sz w:val="20"/>
          <w:szCs w:val="20"/>
        </w:rPr>
        <w:t xml:space="preserve"> </w:t>
      </w:r>
      <w:hyperlink r:id="rId4">
        <w:r>
          <w:rPr>
            <w:rFonts w:eastAsia="Calibri"/>
            <w:color w:val="0000FF"/>
            <w:sz w:val="20"/>
            <w:szCs w:val="20"/>
            <w:u w:val="single"/>
          </w:rPr>
          <w:t>http://dle.rae.es/?id=CAjNzMR</w:t>
        </w:r>
      </w:hyperlink>
      <w:r>
        <w:rPr>
          <w:rFonts w:eastAsia="Calibri"/>
          <w:color w:val="000000"/>
          <w:sz w:val="20"/>
          <w:szCs w:val="20"/>
        </w:rPr>
        <w:t xml:space="preserve"> </w:t>
      </w:r>
    </w:p>
  </w:footnote>
  <w:footnote w:id="5">
    <w:p w14:paraId="35BBA3A0" w14:textId="77777777" w:rsidR="008B41E1" w:rsidRDefault="000F4881">
      <w:pPr>
        <w:pBdr>
          <w:top w:val="nil"/>
          <w:left w:val="nil"/>
          <w:bottom w:val="nil"/>
          <w:right w:val="nil"/>
          <w:between w:val="nil"/>
        </w:pBdr>
        <w:jc w:val="both"/>
        <w:rPr>
          <w:rFonts w:eastAsia="Calibri"/>
          <w:color w:val="000000"/>
          <w:sz w:val="20"/>
          <w:szCs w:val="20"/>
        </w:rPr>
      </w:pPr>
      <w:r>
        <w:rPr>
          <w:vertAlign w:val="superscript"/>
        </w:rPr>
        <w:footnoteRef/>
      </w:r>
      <w:r>
        <w:rPr>
          <w:rFonts w:eastAsia="Calibri"/>
          <w:color w:val="000000"/>
          <w:sz w:val="20"/>
          <w:szCs w:val="20"/>
        </w:rPr>
        <w:t xml:space="preserve"> </w:t>
      </w:r>
      <w:hyperlink r:id="rId5">
        <w:r>
          <w:rPr>
            <w:rFonts w:eastAsia="Calibri"/>
            <w:color w:val="0000FF"/>
            <w:sz w:val="20"/>
            <w:szCs w:val="20"/>
            <w:u w:val="single"/>
          </w:rPr>
          <w:t>http://dle.rae.es/?id=CAqWkEB</w:t>
        </w:r>
      </w:hyperlink>
      <w:r>
        <w:rPr>
          <w:rFonts w:eastAsia="Calibri"/>
          <w:color w:val="000000"/>
          <w:sz w:val="20"/>
          <w:szCs w:val="20"/>
        </w:rPr>
        <w:t xml:space="preserve"> </w:t>
      </w:r>
    </w:p>
  </w:footnote>
  <w:footnote w:id="6">
    <w:p w14:paraId="35BBA3A1" w14:textId="77777777" w:rsidR="008B41E1" w:rsidRDefault="000F4881">
      <w:pPr>
        <w:pBdr>
          <w:top w:val="nil"/>
          <w:left w:val="nil"/>
          <w:bottom w:val="nil"/>
          <w:right w:val="nil"/>
          <w:between w:val="nil"/>
        </w:pBdr>
        <w:jc w:val="both"/>
        <w:rPr>
          <w:rFonts w:eastAsia="Calibri"/>
          <w:color w:val="000000"/>
          <w:sz w:val="20"/>
          <w:szCs w:val="20"/>
        </w:rPr>
      </w:pPr>
      <w:r>
        <w:rPr>
          <w:vertAlign w:val="superscript"/>
        </w:rPr>
        <w:footnoteRef/>
      </w:r>
      <w:r>
        <w:rPr>
          <w:rFonts w:eastAsia="Calibri"/>
          <w:color w:val="000000"/>
          <w:sz w:val="20"/>
          <w:szCs w:val="20"/>
        </w:rPr>
        <w:t xml:space="preserve"> </w:t>
      </w:r>
      <w:hyperlink r:id="rId6">
        <w:r>
          <w:rPr>
            <w:rFonts w:eastAsia="Calibri"/>
            <w:color w:val="0000FF"/>
            <w:sz w:val="20"/>
            <w:szCs w:val="20"/>
            <w:u w:val="single"/>
          </w:rPr>
          <w:t>http://dle.rae.es/?id=KtnHLLd</w:t>
        </w:r>
      </w:hyperlink>
      <w:r>
        <w:rPr>
          <w:rFonts w:eastAsia="Calibri"/>
          <w:color w:val="000000"/>
          <w:sz w:val="20"/>
          <w:szCs w:val="20"/>
        </w:rPr>
        <w:t xml:space="preserve"> </w:t>
      </w:r>
    </w:p>
  </w:footnote>
  <w:footnote w:id="7">
    <w:p w14:paraId="35BBA3A2" w14:textId="77777777" w:rsidR="008B41E1" w:rsidRDefault="000F4881">
      <w:pPr>
        <w:pBdr>
          <w:top w:val="nil"/>
          <w:left w:val="nil"/>
          <w:bottom w:val="nil"/>
          <w:right w:val="nil"/>
          <w:between w:val="nil"/>
        </w:pBdr>
        <w:jc w:val="both"/>
        <w:rPr>
          <w:rFonts w:eastAsia="Calibri"/>
          <w:color w:val="000000"/>
          <w:sz w:val="20"/>
          <w:szCs w:val="20"/>
        </w:rPr>
      </w:pPr>
      <w:r>
        <w:rPr>
          <w:vertAlign w:val="superscript"/>
        </w:rPr>
        <w:footnoteRef/>
      </w:r>
      <w:r>
        <w:rPr>
          <w:rFonts w:eastAsia="Calibri"/>
          <w:color w:val="000000"/>
          <w:sz w:val="20"/>
          <w:szCs w:val="20"/>
        </w:rPr>
        <w:t xml:space="preserve"> </w:t>
      </w:r>
      <w:hyperlink r:id="rId7">
        <w:r>
          <w:rPr>
            <w:rFonts w:eastAsia="Calibri"/>
            <w:color w:val="0000FF"/>
            <w:sz w:val="20"/>
            <w:szCs w:val="20"/>
            <w:u w:val="single"/>
          </w:rPr>
          <w:t>http://dle.rae.es/?id=KtpfgjV</w:t>
        </w:r>
      </w:hyperlink>
      <w:r>
        <w:rPr>
          <w:rFonts w:eastAsia="Calibri"/>
          <w:color w:val="000000"/>
          <w:sz w:val="20"/>
          <w:szCs w:val="20"/>
        </w:rPr>
        <w:t xml:space="preserve"> </w:t>
      </w:r>
    </w:p>
  </w:footnote>
  <w:footnote w:id="8">
    <w:p w14:paraId="35BBA3A3" w14:textId="77777777" w:rsidR="008B41E1" w:rsidRDefault="000F4881">
      <w:pPr>
        <w:jc w:val="both"/>
        <w:rPr>
          <w:rFonts w:eastAsia="Calibri"/>
          <w:color w:val="000000"/>
          <w:sz w:val="20"/>
          <w:szCs w:val="20"/>
        </w:rPr>
      </w:pPr>
      <w:r>
        <w:rPr>
          <w:vertAlign w:val="superscript"/>
        </w:rPr>
        <w:footnoteRef/>
      </w:r>
      <w:r>
        <w:t xml:space="preserve"> “</w:t>
      </w:r>
      <w:r>
        <w:rPr>
          <w:rFonts w:eastAsia="Calibri"/>
          <w:color w:val="000000"/>
          <w:sz w:val="20"/>
          <w:szCs w:val="20"/>
        </w:rPr>
        <w:t xml:space="preserve">En las sentencias C-093 de 2001 y C-671 de 2001, se explicó el alcance de este tipo de escrutinio, denominado test integrado de igualdad: "[a] fin de determinar si el trato discriminatorio vulnera el derecho fundamental a la igualdad, la Corte ha elaborado un modelo de análisis que integra el juicio de proporcionalidad y el test de igualdad. Lo que en este modelo se hace, básicamente, es retomar y armonizar los elementos del test o juicio de proporcionalidad europeo con los aportes de la tendencia estadounidense. Así, se emplean las etapas metodológicas del test europeo, que comprende las siguientes fases de análisis: (i) se examina si la medida es o no adecuada, es decir, si constituye o no un medio idóneo para alcanzar un fin constitucionalmente válido; (ii) se analiza si el trato diferente es o no necesario o indispensable; y (iii) se realiza un análisis de proporcionalidad en estricto sentido, para determinar si el trato desigual no sacrifica valores y principios constitucionales que tengan mayor relevancia que los alcanzados con la medida diferencia. De otra parte, se toman los distintos niveles de intensidad en la aplicación de los escrutinios o tests de igualdad. Dichos niveles pueden variar entre (i) estricto, en el cual el trato diferente debe constituir una medida necesaria para alcanzar un objetivo constitucionalmente imperioso; (ii) intermedio, es aquel en el cual el fin debe ser importante constitucionalmente y el medio debe ser altamente conducente para lograr el fin propuesto; y (iii) flexible o de mera razonabilidad, es decir que es suficiente con que la medida sea potencialmente adecuada para alcanzar un propósito que no esté prohibido por el ordenamiento. Lo anterior debe tener aplicación, según el carácter de la disposición legislativa o la medida administrativa atacada". El test integrado fue aplicado en un caso de discriminación por VIH en la sentencia T-376 de 2013.” Citado en Corte Interamericana de Derechos Humanos. Caso Gonzales Lluy y otros contra Ecuador. Excepciones preliminares, fondo, reparaciones y costas. Sentencia del 01 de septiembre de 2015. Párr. 256. </w:t>
      </w:r>
    </w:p>
  </w:footnote>
  <w:footnote w:id="9">
    <w:p w14:paraId="35BBA3A4" w14:textId="77777777" w:rsidR="008B41E1" w:rsidRDefault="000F4881">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Tribunal Constitucional Alemán. Resolución sobre los soldados son asesinos, de 10 de octubre de 1995 (BVerfGE 93, 266). En ALÁEZ CORRAL, Benito y ÁLVAREZ ÁLVAREZ, Leonardo. Las decisiones básicas del Tribunal Constitucional Federal Alemán en las encrucijadas del cambio de milenio. Ed. Centro de Estudios Políticos y Constitucionales y boletín oficial del Estado, Madrid, 2008. Pp. 1045-1096.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A37B" w14:textId="77777777" w:rsidR="008B41E1" w:rsidRDefault="00000000">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35BBA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A37C" w14:textId="77777777" w:rsidR="008B41E1" w:rsidRDefault="00000000">
    <w:pPr>
      <w:widowControl w:val="0"/>
      <w:pBdr>
        <w:top w:val="nil"/>
        <w:left w:val="nil"/>
        <w:bottom w:val="nil"/>
        <w:right w:val="nil"/>
        <w:between w:val="nil"/>
      </w:pBdr>
      <w:spacing w:line="276" w:lineRule="auto"/>
      <w:rPr>
        <w:rFonts w:eastAsia="Calibri"/>
        <w:color w:val="000000"/>
        <w:sz w:val="20"/>
        <w:szCs w:val="20"/>
      </w:rPr>
    </w:pPr>
    <w:r>
      <w:rPr>
        <w:rFonts w:eastAsia="Calibri"/>
        <w:color w:val="000000"/>
        <w:sz w:val="14"/>
        <w:szCs w:val="14"/>
      </w:rPr>
      <w:pict w14:anchorId="35BBA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82.3pt;margin-top:-111.45pt;width:609.4pt;height:793.75pt;z-index:-251659776;mso-position-horizontal-relative:margin;mso-position-vertical-relative:margin">
          <v:imagedata r:id="rId1" o:title="image1"/>
          <w10:wrap anchorx="margin" anchory="margin"/>
        </v:shape>
      </w:pict>
    </w:r>
  </w:p>
  <w:tbl>
    <w:tblPr>
      <w:tblStyle w:val="a0"/>
      <w:tblW w:w="6519" w:type="dxa"/>
      <w:tblInd w:w="3119" w:type="dxa"/>
      <w:tblLayout w:type="fixed"/>
      <w:tblLook w:val="0400" w:firstRow="0" w:lastRow="0" w:firstColumn="0" w:lastColumn="0" w:noHBand="0" w:noVBand="1"/>
    </w:tblPr>
    <w:tblGrid>
      <w:gridCol w:w="2976"/>
      <w:gridCol w:w="3543"/>
    </w:tblGrid>
    <w:tr w:rsidR="008B41E1" w14:paraId="35BBA37F" w14:textId="77777777" w:rsidTr="00C7081F">
      <w:trPr>
        <w:trHeight w:val="227"/>
      </w:trPr>
      <w:tc>
        <w:tcPr>
          <w:tcW w:w="2976" w:type="dxa"/>
          <w:vAlign w:val="center"/>
        </w:tcPr>
        <w:p w14:paraId="35BBA37D" w14:textId="77777777" w:rsidR="008B41E1" w:rsidRDefault="000F488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35BBA37E" w14:textId="77777777" w:rsidR="008B41E1" w:rsidRPr="00C7081F" w:rsidRDefault="000F488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sidRPr="00C7081F">
            <w:rPr>
              <w:rFonts w:ascii="Palatino Linotype" w:eastAsia="Palatino Linotype" w:hAnsi="Palatino Linotype" w:cs="Palatino Linotype"/>
              <w:color w:val="000000"/>
              <w:sz w:val="22"/>
              <w:szCs w:val="22"/>
            </w:rPr>
            <w:t>016063/INFOEM/IP/RR/2022</w:t>
          </w:r>
        </w:p>
      </w:tc>
    </w:tr>
    <w:tr w:rsidR="008B41E1" w14:paraId="35BBA382" w14:textId="77777777" w:rsidTr="00C7081F">
      <w:trPr>
        <w:trHeight w:val="242"/>
      </w:trPr>
      <w:tc>
        <w:tcPr>
          <w:tcW w:w="2976" w:type="dxa"/>
          <w:vAlign w:val="center"/>
        </w:tcPr>
        <w:p w14:paraId="35BBA380" w14:textId="77777777" w:rsidR="008B41E1" w:rsidRDefault="000F488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35BBA381" w14:textId="77777777" w:rsidR="008B41E1" w:rsidRPr="00C7081F" w:rsidRDefault="000F4881">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rPr>
          </w:pPr>
          <w:r w:rsidRPr="00C7081F">
            <w:rPr>
              <w:rFonts w:ascii="Palatino Linotype" w:eastAsia="Palatino Linotype" w:hAnsi="Palatino Linotype" w:cs="Palatino Linotype"/>
              <w:color w:val="000000"/>
              <w:sz w:val="22"/>
              <w:szCs w:val="22"/>
            </w:rPr>
            <w:t>Ayuntamiento de Tultitlan</w:t>
          </w:r>
        </w:p>
      </w:tc>
    </w:tr>
    <w:tr w:rsidR="008B41E1" w14:paraId="35BBA385" w14:textId="77777777" w:rsidTr="00C7081F">
      <w:trPr>
        <w:trHeight w:val="342"/>
      </w:trPr>
      <w:tc>
        <w:tcPr>
          <w:tcW w:w="2976" w:type="dxa"/>
          <w:shd w:val="clear" w:color="auto" w:fill="auto"/>
          <w:vAlign w:val="center"/>
        </w:tcPr>
        <w:p w14:paraId="35BBA383" w14:textId="77777777" w:rsidR="008B41E1" w:rsidRDefault="000F488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shd w:val="clear" w:color="auto" w:fill="auto"/>
          <w:vAlign w:val="center"/>
        </w:tcPr>
        <w:p w14:paraId="35BBA384" w14:textId="77777777" w:rsidR="008B41E1" w:rsidRPr="00C7081F" w:rsidRDefault="000F488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sidRPr="00C7081F">
            <w:rPr>
              <w:rFonts w:ascii="Palatino Linotype" w:eastAsia="Palatino Linotype" w:hAnsi="Palatino Linotype" w:cs="Palatino Linotype"/>
              <w:color w:val="000000"/>
              <w:sz w:val="22"/>
              <w:szCs w:val="22"/>
            </w:rPr>
            <w:t>María del Rosario Mejía Ayala</w:t>
          </w:r>
        </w:p>
      </w:tc>
    </w:tr>
  </w:tbl>
  <w:p w14:paraId="35BBA386" w14:textId="77777777" w:rsidR="008B41E1" w:rsidRDefault="008B41E1">
    <w:pPr>
      <w:pBdr>
        <w:top w:val="nil"/>
        <w:left w:val="nil"/>
        <w:bottom w:val="nil"/>
        <w:right w:val="nil"/>
        <w:between w:val="nil"/>
      </w:pBdr>
      <w:tabs>
        <w:tab w:val="center" w:pos="4419"/>
        <w:tab w:val="right" w:pos="8838"/>
        <w:tab w:val="left" w:pos="6005"/>
      </w:tabs>
      <w:rPr>
        <w:rFonts w:eastAsia="Calibri"/>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A389" w14:textId="77777777" w:rsidR="008B41E1" w:rsidRDefault="008B41E1">
    <w:pPr>
      <w:widowControl w:val="0"/>
      <w:pBdr>
        <w:top w:val="nil"/>
        <w:left w:val="nil"/>
        <w:bottom w:val="nil"/>
        <w:right w:val="nil"/>
        <w:between w:val="nil"/>
      </w:pBdr>
      <w:spacing w:line="276" w:lineRule="auto"/>
      <w:rPr>
        <w:rFonts w:eastAsia="Calibri"/>
        <w:color w:val="000000"/>
      </w:rPr>
    </w:pPr>
  </w:p>
  <w:tbl>
    <w:tblPr>
      <w:tblStyle w:val="a1"/>
      <w:tblW w:w="6660" w:type="dxa"/>
      <w:tblInd w:w="3489" w:type="dxa"/>
      <w:tblLayout w:type="fixed"/>
      <w:tblLook w:val="0400" w:firstRow="0" w:lastRow="0" w:firstColumn="0" w:lastColumn="0" w:noHBand="0" w:noVBand="1"/>
    </w:tblPr>
    <w:tblGrid>
      <w:gridCol w:w="2977"/>
      <w:gridCol w:w="3683"/>
    </w:tblGrid>
    <w:tr w:rsidR="008B41E1" w14:paraId="35BBA38C" w14:textId="77777777" w:rsidTr="00C7081F">
      <w:trPr>
        <w:trHeight w:val="227"/>
      </w:trPr>
      <w:tc>
        <w:tcPr>
          <w:tcW w:w="2977" w:type="dxa"/>
          <w:vAlign w:val="center"/>
        </w:tcPr>
        <w:p w14:paraId="35BBA38A" w14:textId="77777777" w:rsidR="008B41E1" w:rsidRPr="00C7081F" w:rsidRDefault="000F4881">
          <w:pPr>
            <w:jc w:val="right"/>
            <w:rPr>
              <w:rFonts w:ascii="Palatino Linotype" w:eastAsia="Palatino Linotype" w:hAnsi="Palatino Linotype" w:cs="Palatino Linotype"/>
              <w:b/>
              <w:sz w:val="22"/>
              <w:szCs w:val="22"/>
            </w:rPr>
          </w:pPr>
          <w:r w:rsidRPr="00C7081F">
            <w:rPr>
              <w:rFonts w:ascii="Palatino Linotype" w:eastAsia="Palatino Linotype" w:hAnsi="Palatino Linotype" w:cs="Palatino Linotype"/>
              <w:b/>
              <w:sz w:val="22"/>
              <w:szCs w:val="22"/>
            </w:rPr>
            <w:t>Recurso de Revisión:</w:t>
          </w:r>
        </w:p>
      </w:tc>
      <w:tc>
        <w:tcPr>
          <w:tcW w:w="3683" w:type="dxa"/>
          <w:vAlign w:val="center"/>
        </w:tcPr>
        <w:p w14:paraId="35BBA38B" w14:textId="77777777" w:rsidR="008B41E1" w:rsidRPr="00C7081F" w:rsidRDefault="000F488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sidRPr="00C7081F">
            <w:rPr>
              <w:rFonts w:ascii="Palatino Linotype" w:eastAsia="Palatino Linotype" w:hAnsi="Palatino Linotype" w:cs="Palatino Linotype"/>
              <w:color w:val="000000"/>
              <w:sz w:val="22"/>
              <w:szCs w:val="22"/>
            </w:rPr>
            <w:t>016063/INFOEM/IP/RR/2022</w:t>
          </w:r>
        </w:p>
      </w:tc>
    </w:tr>
    <w:tr w:rsidR="008B41E1" w14:paraId="35BBA38F" w14:textId="77777777" w:rsidTr="00C7081F">
      <w:trPr>
        <w:trHeight w:val="242"/>
      </w:trPr>
      <w:tc>
        <w:tcPr>
          <w:tcW w:w="2977" w:type="dxa"/>
          <w:vAlign w:val="center"/>
        </w:tcPr>
        <w:p w14:paraId="35BBA38D" w14:textId="77777777" w:rsidR="008B41E1" w:rsidRPr="00C7081F" w:rsidRDefault="000F4881">
          <w:pPr>
            <w:jc w:val="right"/>
            <w:rPr>
              <w:rFonts w:ascii="Palatino Linotype" w:eastAsia="Palatino Linotype" w:hAnsi="Palatino Linotype" w:cs="Palatino Linotype"/>
              <w:b/>
              <w:sz w:val="22"/>
              <w:szCs w:val="22"/>
            </w:rPr>
          </w:pPr>
          <w:r w:rsidRPr="00C7081F">
            <w:rPr>
              <w:rFonts w:ascii="Palatino Linotype" w:eastAsia="Palatino Linotype" w:hAnsi="Palatino Linotype" w:cs="Palatino Linotype"/>
              <w:b/>
              <w:sz w:val="22"/>
              <w:szCs w:val="22"/>
            </w:rPr>
            <w:t>Recurrente:</w:t>
          </w:r>
        </w:p>
      </w:tc>
      <w:tc>
        <w:tcPr>
          <w:tcW w:w="3683" w:type="dxa"/>
        </w:tcPr>
        <w:p w14:paraId="35BBA38E" w14:textId="5B6F4612" w:rsidR="008B41E1" w:rsidRPr="00C7081F" w:rsidRDefault="00184236">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XXX XXX</w:t>
          </w:r>
        </w:p>
      </w:tc>
    </w:tr>
    <w:tr w:rsidR="008B41E1" w14:paraId="35BBA392" w14:textId="77777777" w:rsidTr="00C7081F">
      <w:trPr>
        <w:trHeight w:val="342"/>
      </w:trPr>
      <w:tc>
        <w:tcPr>
          <w:tcW w:w="2977" w:type="dxa"/>
          <w:vAlign w:val="center"/>
        </w:tcPr>
        <w:p w14:paraId="35BBA390" w14:textId="77777777" w:rsidR="008B41E1" w:rsidRPr="00C7081F" w:rsidRDefault="000F4881">
          <w:pPr>
            <w:jc w:val="right"/>
            <w:rPr>
              <w:rFonts w:ascii="Palatino Linotype" w:eastAsia="Palatino Linotype" w:hAnsi="Palatino Linotype" w:cs="Palatino Linotype"/>
              <w:b/>
              <w:sz w:val="22"/>
              <w:szCs w:val="22"/>
            </w:rPr>
          </w:pPr>
          <w:r w:rsidRPr="00C7081F">
            <w:rPr>
              <w:rFonts w:ascii="Palatino Linotype" w:eastAsia="Palatino Linotype" w:hAnsi="Palatino Linotype" w:cs="Palatino Linotype"/>
              <w:b/>
              <w:sz w:val="22"/>
              <w:szCs w:val="22"/>
            </w:rPr>
            <w:t>Sujeto Obligado:</w:t>
          </w:r>
        </w:p>
      </w:tc>
      <w:tc>
        <w:tcPr>
          <w:tcW w:w="3683" w:type="dxa"/>
          <w:vAlign w:val="center"/>
        </w:tcPr>
        <w:p w14:paraId="35BBA391" w14:textId="77777777" w:rsidR="008B41E1" w:rsidRPr="00C7081F" w:rsidRDefault="000F4881">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rPr>
          </w:pPr>
          <w:r w:rsidRPr="00C7081F">
            <w:rPr>
              <w:rFonts w:ascii="Palatino Linotype" w:eastAsia="Palatino Linotype" w:hAnsi="Palatino Linotype" w:cs="Palatino Linotype"/>
              <w:color w:val="000000"/>
              <w:sz w:val="22"/>
              <w:szCs w:val="22"/>
            </w:rPr>
            <w:t xml:space="preserve">Ayuntamiento de Tultitlan </w:t>
          </w:r>
        </w:p>
      </w:tc>
    </w:tr>
    <w:tr w:rsidR="008B41E1" w14:paraId="35BBA395" w14:textId="77777777" w:rsidTr="00C7081F">
      <w:trPr>
        <w:trHeight w:val="342"/>
      </w:trPr>
      <w:tc>
        <w:tcPr>
          <w:tcW w:w="2977" w:type="dxa"/>
          <w:vAlign w:val="center"/>
        </w:tcPr>
        <w:p w14:paraId="35BBA393" w14:textId="77777777" w:rsidR="008B41E1" w:rsidRPr="00C7081F" w:rsidRDefault="000F4881">
          <w:pPr>
            <w:jc w:val="right"/>
            <w:rPr>
              <w:rFonts w:ascii="Palatino Linotype" w:eastAsia="Palatino Linotype" w:hAnsi="Palatino Linotype" w:cs="Palatino Linotype"/>
              <w:b/>
              <w:sz w:val="22"/>
              <w:szCs w:val="22"/>
            </w:rPr>
          </w:pPr>
          <w:r w:rsidRPr="00C7081F">
            <w:rPr>
              <w:rFonts w:ascii="Palatino Linotype" w:eastAsia="Palatino Linotype" w:hAnsi="Palatino Linotype" w:cs="Palatino Linotype"/>
              <w:b/>
              <w:sz w:val="22"/>
              <w:szCs w:val="22"/>
            </w:rPr>
            <w:t>Comisionada Ponente:</w:t>
          </w:r>
        </w:p>
      </w:tc>
      <w:tc>
        <w:tcPr>
          <w:tcW w:w="3683" w:type="dxa"/>
          <w:vAlign w:val="center"/>
        </w:tcPr>
        <w:p w14:paraId="35BBA394" w14:textId="77777777" w:rsidR="008B41E1" w:rsidRPr="00C7081F" w:rsidRDefault="000F488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sidRPr="00C7081F">
            <w:rPr>
              <w:rFonts w:ascii="Palatino Linotype" w:eastAsia="Palatino Linotype" w:hAnsi="Palatino Linotype" w:cs="Palatino Linotype"/>
              <w:color w:val="000000"/>
              <w:sz w:val="22"/>
              <w:szCs w:val="22"/>
            </w:rPr>
            <w:t>María del Rosario Mejía Ayala</w:t>
          </w:r>
        </w:p>
      </w:tc>
    </w:tr>
  </w:tbl>
  <w:p w14:paraId="35BBA396" w14:textId="77777777" w:rsidR="008B41E1" w:rsidRDefault="00000000">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35BBA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84.55pt;margin-top:-122.3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0F74"/>
    <w:multiLevelType w:val="multilevel"/>
    <w:tmpl w:val="F79A88DA"/>
    <w:lvl w:ilvl="0">
      <w:start w:val="1"/>
      <w:numFmt w:val="bullet"/>
      <w:lvlText w:val="●"/>
      <w:lvlJc w:val="left"/>
      <w:pPr>
        <w:ind w:left="720" w:hanging="360"/>
      </w:pPr>
      <w:rPr>
        <w:rFonts w:ascii="Noto Sans Symbols" w:eastAsia="Noto Sans Symbols" w:hAnsi="Noto Sans Symbols" w:cs="Noto Sans Symbols"/>
        <w:b/>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1F60BC"/>
    <w:multiLevelType w:val="multilevel"/>
    <w:tmpl w:val="936ADE4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b/>
        <w:i w:val="0"/>
        <w:u w:val="none"/>
      </w:rPr>
    </w:lvl>
    <w:lvl w:ilvl="2">
      <w:start w:val="1"/>
      <w:numFmt w:val="upperRoman"/>
      <w:lvlText w:val="%3."/>
      <w:lvlJc w:val="left"/>
      <w:pPr>
        <w:ind w:left="720" w:hanging="72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6F54C4"/>
    <w:multiLevelType w:val="multilevel"/>
    <w:tmpl w:val="4A2AC5DA"/>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 w15:restartNumberingAfterBreak="0">
    <w:nsid w:val="2C672578"/>
    <w:multiLevelType w:val="multilevel"/>
    <w:tmpl w:val="2A3ED6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3A3FD5"/>
    <w:multiLevelType w:val="multilevel"/>
    <w:tmpl w:val="1D28D854"/>
    <w:lvl w:ilvl="0">
      <w:start w:val="1"/>
      <w:numFmt w:val="decimal"/>
      <w:lvlText w:val="%1."/>
      <w:lvlJc w:val="left"/>
      <w:pPr>
        <w:ind w:left="5464"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8E7BF1"/>
    <w:multiLevelType w:val="multilevel"/>
    <w:tmpl w:val="2A1A6CD4"/>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15:restartNumberingAfterBreak="0">
    <w:nsid w:val="64710FA9"/>
    <w:multiLevelType w:val="multilevel"/>
    <w:tmpl w:val="139A384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673A6D3F"/>
    <w:multiLevelType w:val="multilevel"/>
    <w:tmpl w:val="A55C5CF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16cid:durableId="1719477078">
    <w:abstractNumId w:val="2"/>
  </w:num>
  <w:num w:numId="2" w16cid:durableId="474104099">
    <w:abstractNumId w:val="6"/>
  </w:num>
  <w:num w:numId="3" w16cid:durableId="1273131167">
    <w:abstractNumId w:val="5"/>
  </w:num>
  <w:num w:numId="4" w16cid:durableId="1277636662">
    <w:abstractNumId w:val="3"/>
  </w:num>
  <w:num w:numId="5" w16cid:durableId="1608538162">
    <w:abstractNumId w:val="0"/>
  </w:num>
  <w:num w:numId="6" w16cid:durableId="28573811">
    <w:abstractNumId w:val="4"/>
  </w:num>
  <w:num w:numId="7" w16cid:durableId="1539318660">
    <w:abstractNumId w:val="7"/>
  </w:num>
  <w:num w:numId="8" w16cid:durableId="1226380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1E1"/>
    <w:rsid w:val="000F4881"/>
    <w:rsid w:val="00184236"/>
    <w:rsid w:val="002C50BE"/>
    <w:rsid w:val="00533E52"/>
    <w:rsid w:val="0086377B"/>
    <w:rsid w:val="008B41E1"/>
    <w:rsid w:val="00C0026F"/>
    <w:rsid w:val="00C7081F"/>
    <w:rsid w:val="00D2049A"/>
    <w:rsid w:val="00F841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BA20E"/>
  <w15:docId w15:val="{94EA8899-34F4-495C-9612-86069915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787"/>
    <w:rPr>
      <w:rFonts w:eastAsiaTheme="minorEastAsia"/>
      <w:lang w:eastAsia="es-ES"/>
    </w:rPr>
  </w:style>
  <w:style w:type="paragraph" w:styleId="Ttulo1">
    <w:name w:val="heading 1"/>
    <w:basedOn w:val="Normal"/>
    <w:next w:val="Normal"/>
    <w:link w:val="Ttulo1Car"/>
    <w:uiPriority w:val="9"/>
    <w:qFormat/>
    <w:rsid w:val="00444C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44C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444C1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444C11"/>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444C11"/>
    <w:pPr>
      <w:tabs>
        <w:tab w:val="center" w:pos="4419"/>
        <w:tab w:val="right" w:pos="8838"/>
      </w:tabs>
    </w:pPr>
  </w:style>
  <w:style w:type="character" w:customStyle="1" w:styleId="EncabezadoCar">
    <w:name w:val="Encabezado Car"/>
    <w:basedOn w:val="Fuentedeprrafopredeter"/>
    <w:link w:val="Encabezado"/>
    <w:uiPriority w:val="99"/>
    <w:rsid w:val="00444C11"/>
    <w:rPr>
      <w:rFonts w:eastAsiaTheme="minorEastAsia"/>
      <w:sz w:val="24"/>
      <w:szCs w:val="24"/>
      <w:lang w:val="es-ES_tradnl" w:eastAsia="es-ES"/>
    </w:rPr>
  </w:style>
  <w:style w:type="paragraph" w:styleId="Piedepgina">
    <w:name w:val="footer"/>
    <w:basedOn w:val="Normal"/>
    <w:link w:val="PiedepginaCar"/>
    <w:uiPriority w:val="99"/>
    <w:unhideWhenUsed/>
    <w:rsid w:val="00444C11"/>
    <w:pPr>
      <w:tabs>
        <w:tab w:val="center" w:pos="4419"/>
        <w:tab w:val="right" w:pos="8838"/>
      </w:tabs>
    </w:pPr>
  </w:style>
  <w:style w:type="character" w:customStyle="1" w:styleId="PiedepginaCar">
    <w:name w:val="Pie de página Car"/>
    <w:basedOn w:val="Fuentedeprrafopredeter"/>
    <w:link w:val="Piedepgina"/>
    <w:uiPriority w:val="99"/>
    <w:rsid w:val="00444C11"/>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44C1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44C11"/>
    <w:rPr>
      <w:rFonts w:eastAsiaTheme="minorEastAsia"/>
      <w:sz w:val="24"/>
      <w:szCs w:val="24"/>
      <w:lang w:val="es-ES_tradnl" w:eastAsia="es-ES"/>
    </w:rPr>
  </w:style>
  <w:style w:type="table" w:styleId="Tablanormal1">
    <w:name w:val="Plain Table 1"/>
    <w:basedOn w:val="Tablanormal"/>
    <w:uiPriority w:val="41"/>
    <w:rsid w:val="00444C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974DE7"/>
    <w:rPr>
      <w:color w:val="0000FF"/>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767A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767A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767A1"/>
    <w:rPr>
      <w:rFonts w:eastAsiaTheme="minorHAnsi"/>
      <w:sz w:val="20"/>
      <w:szCs w:val="20"/>
      <w:lang w:val="es-MX" w:eastAsia="en-US"/>
    </w:rPr>
  </w:style>
  <w:style w:type="character" w:customStyle="1" w:styleId="TextonotapieCar1">
    <w:name w:val="Texto nota pie Car1"/>
    <w:basedOn w:val="Fuentedeprrafopredeter"/>
    <w:uiPriority w:val="99"/>
    <w:semiHidden/>
    <w:rsid w:val="00C767A1"/>
    <w:rPr>
      <w:rFonts w:eastAsiaTheme="minorEastAsia"/>
      <w:sz w:val="20"/>
      <w:szCs w:val="20"/>
      <w:lang w:val="es-ES_tradnl" w:eastAsia="es-ES"/>
    </w:rPr>
  </w:style>
  <w:style w:type="paragraph" w:customStyle="1" w:styleId="Default">
    <w:name w:val="Default"/>
    <w:rsid w:val="00312840"/>
    <w:pPr>
      <w:autoSpaceDE w:val="0"/>
      <w:autoSpaceDN w:val="0"/>
      <w:adjustRightInd w:val="0"/>
    </w:pPr>
    <w:rPr>
      <w:rFonts w:ascii="Arial" w:hAnsi="Arial" w:cs="Arial"/>
      <w:color w:val="000000"/>
    </w:rPr>
  </w:style>
  <w:style w:type="paragraph" w:customStyle="1" w:styleId="j">
    <w:name w:val="j"/>
    <w:basedOn w:val="Normal"/>
    <w:rsid w:val="004C7104"/>
    <w:pPr>
      <w:spacing w:before="100" w:beforeAutospacing="1" w:after="100" w:afterAutospacing="1"/>
    </w:pPr>
    <w:rPr>
      <w:rFonts w:ascii="Times New Roman" w:eastAsia="Times New Roman" w:hAnsi="Times New Roman" w:cs="Times New Roman"/>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character" w:styleId="Referenciasutil">
    <w:name w:val="Subtle Reference"/>
    <w:basedOn w:val="Fuentedeprrafopredeter"/>
    <w:uiPriority w:val="31"/>
    <w:qFormat/>
    <w:rsid w:val="00C7081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le.rae.es/?id=FdI00O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le.rae.es/?id=VGqyuLj%7CVGtxgAo%7CVGuc9Wg" TargetMode="External"/><Relationship Id="rId7" Type="http://schemas.openxmlformats.org/officeDocument/2006/relationships/hyperlink" Target="http://dle.rae.es/?id=KtpfgjV" TargetMode="External"/><Relationship Id="rId2" Type="http://schemas.openxmlformats.org/officeDocument/2006/relationships/hyperlink" Target="http://dej.rae.es/" TargetMode="External"/><Relationship Id="rId1" Type="http://schemas.openxmlformats.org/officeDocument/2006/relationships/hyperlink" Target="http://dej.rae.es/" TargetMode="External"/><Relationship Id="rId6" Type="http://schemas.openxmlformats.org/officeDocument/2006/relationships/hyperlink" Target="http://dle.rae.es/?id=KtnHLLd" TargetMode="External"/><Relationship Id="rId5" Type="http://schemas.openxmlformats.org/officeDocument/2006/relationships/hyperlink" Target="http://dle.rae.es/?id=CAqWkEB" TargetMode="External"/><Relationship Id="rId4" Type="http://schemas.openxmlformats.org/officeDocument/2006/relationships/hyperlink" Target="http://dle.rae.es/?id=CAjNzM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lco4hGtfFnNml5moSjZa1nc1yg==">CgMxLjAyCGguZ2pkZ3hzMgloLjMwajB6bGwyCWguMWZvYjl0ZTIJaC4zem55c2g3MgloLjJldDkycDAyCGgudHlqY3d0MgloLjNkeTZ2a20yCWguMXQzaDVzZjIJaC40ZDM0b2c4MgloLjJzOGV5bzEyCWguMTdkcDh2dTIJaC4zcmRjcmpuMgloLjI2aW4xcmc4AHIhMVZ4bEd4ZzdBNmxtWTRibUxUU3hsMGthakhFMkZCQVMw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10144</Words>
  <Characters>55798</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Thaylis Suarez</cp:lastModifiedBy>
  <cp:revision>6</cp:revision>
  <cp:lastPrinted>2024-03-15T01:00:00Z</cp:lastPrinted>
  <dcterms:created xsi:type="dcterms:W3CDTF">2024-03-07T19:06:00Z</dcterms:created>
  <dcterms:modified xsi:type="dcterms:W3CDTF">2024-04-16T05:16:00Z</dcterms:modified>
</cp:coreProperties>
</file>