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E1" w:rsidRDefault="00AF28E1">
      <w:pPr>
        <w:widowControl w:val="0"/>
        <w:pBdr>
          <w:top w:val="nil"/>
          <w:left w:val="nil"/>
          <w:bottom w:val="nil"/>
          <w:right w:val="nil"/>
          <w:between w:val="nil"/>
        </w:pBdr>
        <w:spacing w:after="0" w:line="276" w:lineRule="auto"/>
        <w:jc w:val="left"/>
      </w:pPr>
    </w:p>
    <w:p w:rsidR="00AF28E1" w:rsidRDefault="00AF28E1">
      <w:pPr>
        <w:widowControl w:val="0"/>
        <w:pBdr>
          <w:top w:val="nil"/>
          <w:left w:val="nil"/>
          <w:bottom w:val="nil"/>
          <w:right w:val="nil"/>
          <w:between w:val="nil"/>
        </w:pBdr>
        <w:spacing w:after="0" w:line="276" w:lineRule="auto"/>
        <w:jc w:val="left"/>
      </w:pPr>
    </w:p>
    <w:p w:rsidR="00AF28E1" w:rsidRDefault="00317333">
      <w:pPr>
        <w:keepNext/>
        <w:keepLines/>
        <w:pBdr>
          <w:top w:val="nil"/>
          <w:left w:val="nil"/>
          <w:bottom w:val="nil"/>
          <w:right w:val="nil"/>
          <w:between w:val="nil"/>
        </w:pBdr>
        <w:spacing w:after="0" w:line="360" w:lineRule="auto"/>
        <w:jc w:val="left"/>
        <w:rPr>
          <w:color w:val="2F5496"/>
        </w:rPr>
      </w:pPr>
      <w:r>
        <w:rPr>
          <w:color w:val="2F5496"/>
        </w:rPr>
        <w:t>Contenido</w:t>
      </w:r>
    </w:p>
    <w:sdt>
      <w:sdtPr>
        <w:id w:val="1685626721"/>
        <w:docPartObj>
          <w:docPartGallery w:val="Table of Contents"/>
          <w:docPartUnique/>
        </w:docPartObj>
      </w:sdtPr>
      <w:sdtEndPr/>
      <w:sdtContent>
        <w:p w:rsidR="00AF28E1" w:rsidRDefault="00317333">
          <w:pPr>
            <w:pBdr>
              <w:top w:val="nil"/>
              <w:left w:val="nil"/>
              <w:bottom w:val="nil"/>
              <w:right w:val="nil"/>
              <w:between w:val="nil"/>
            </w:pBdr>
            <w:tabs>
              <w:tab w:val="right" w:pos="9204"/>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2jxsxqh">
            <w:r>
              <w:rPr>
                <w:color w:val="000000"/>
              </w:rPr>
              <w:t>A N T E C E D E N T E S</w:t>
            </w:r>
            <w:r>
              <w:rPr>
                <w:color w:val="000000"/>
              </w:rPr>
              <w:tab/>
              <w:t>2</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z337ya">
            <w:r w:rsidR="00317333">
              <w:rPr>
                <w:color w:val="000000"/>
              </w:rPr>
              <w:t>I. Presentación de la solicitud de información</w:t>
            </w:r>
            <w:r w:rsidR="00317333">
              <w:rPr>
                <w:color w:val="000000"/>
              </w:rPr>
              <w:tab/>
              <w:t>2</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j2qqm3">
            <w:r w:rsidR="00317333">
              <w:rPr>
                <w:color w:val="000000"/>
              </w:rPr>
              <w:t>II. Respuesta del Sujeto Obligado</w:t>
            </w:r>
            <w:r w:rsidR="00317333">
              <w:rPr>
                <w:color w:val="000000"/>
              </w:rPr>
              <w:tab/>
              <w:t>3</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y810tw">
            <w:r w:rsidR="00317333">
              <w:rPr>
                <w:color w:val="000000"/>
              </w:rPr>
              <w:t>III. Interposición del Recurso de Revisión</w:t>
            </w:r>
            <w:r w:rsidR="00317333">
              <w:rPr>
                <w:color w:val="000000"/>
              </w:rPr>
              <w:tab/>
              <w:t>3</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i7ojhp">
            <w:r w:rsidR="00317333">
              <w:rPr>
                <w:color w:val="000000"/>
              </w:rPr>
              <w:t>IV. Trámite del Recurso de Revisión ante este Instituto</w:t>
            </w:r>
            <w:r w:rsidR="00317333">
              <w:rPr>
                <w:color w:val="000000"/>
              </w:rPr>
              <w:tab/>
              <w:t>4</w:t>
            </w:r>
          </w:hyperlink>
        </w:p>
        <w:p w:rsidR="00AF28E1" w:rsidRDefault="00514111">
          <w:pPr>
            <w:pBdr>
              <w:top w:val="nil"/>
              <w:left w:val="nil"/>
              <w:bottom w:val="nil"/>
              <w:right w:val="nil"/>
              <w:between w:val="nil"/>
            </w:pBdr>
            <w:tabs>
              <w:tab w:val="right" w:pos="9204"/>
            </w:tabs>
            <w:spacing w:after="100"/>
            <w:rPr>
              <w:rFonts w:ascii="Calibri" w:eastAsia="Calibri" w:hAnsi="Calibri" w:cs="Calibri"/>
              <w:color w:val="000000"/>
            </w:rPr>
          </w:pPr>
          <w:hyperlink w:anchor="_heading=h.2xcytpi">
            <w:r w:rsidR="00317333">
              <w:rPr>
                <w:color w:val="000000"/>
              </w:rPr>
              <w:t>C O N S I D E R A N D O S</w:t>
            </w:r>
            <w:r w:rsidR="00317333">
              <w:rPr>
                <w:color w:val="000000"/>
              </w:rPr>
              <w:tab/>
              <w:t>5</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ci93xb">
            <w:r w:rsidR="00317333">
              <w:rPr>
                <w:color w:val="000000"/>
              </w:rPr>
              <w:t>PRIMERO. Competencia</w:t>
            </w:r>
            <w:r w:rsidR="00317333">
              <w:rPr>
                <w:color w:val="000000"/>
              </w:rPr>
              <w:tab/>
              <w:t>5</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whwml4">
            <w:r w:rsidR="00317333">
              <w:rPr>
                <w:color w:val="000000"/>
              </w:rPr>
              <w:t>SEGUNDO. Causales de improcedencia y sobreseimiento</w:t>
            </w:r>
            <w:r w:rsidR="00317333">
              <w:rPr>
                <w:color w:val="000000"/>
              </w:rPr>
              <w:tab/>
              <w:t>6</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bn6wsx">
            <w:r w:rsidR="00317333">
              <w:rPr>
                <w:color w:val="000000"/>
              </w:rPr>
              <w:t>TERCERO. Determinación de la Controversia</w:t>
            </w:r>
            <w:r w:rsidR="00317333">
              <w:rPr>
                <w:color w:val="000000"/>
              </w:rPr>
              <w:tab/>
              <w:t>7</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qsh70q">
            <w:r w:rsidR="00317333">
              <w:rPr>
                <w:color w:val="000000"/>
              </w:rPr>
              <w:t>CUARTO. Marco normativo aplicable en materia de transparencia y acceso a la información pública</w:t>
            </w:r>
            <w:r w:rsidR="00317333">
              <w:rPr>
                <w:color w:val="000000"/>
              </w:rPr>
              <w:tab/>
              <w:t>8</w:t>
            </w:r>
          </w:hyperlink>
        </w:p>
        <w:p w:rsidR="00AF28E1" w:rsidRDefault="00514111">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as4poj">
            <w:r w:rsidR="00317333">
              <w:rPr>
                <w:smallCaps/>
                <w:color w:val="000000"/>
              </w:rPr>
              <w:t>QUINTO.</w:t>
            </w:r>
          </w:hyperlink>
          <w:hyperlink w:anchor="_heading=h.3as4poj">
            <w:r w:rsidR="00317333">
              <w:rPr>
                <w:color w:val="000000"/>
              </w:rPr>
              <w:t xml:space="preserve"> Estudio de Fondo</w:t>
            </w:r>
            <w:r w:rsidR="00317333">
              <w:rPr>
                <w:color w:val="000000"/>
              </w:rPr>
              <w:tab/>
              <w:t>9</w:t>
            </w:r>
          </w:hyperlink>
        </w:p>
        <w:p w:rsidR="00AF28E1" w:rsidRDefault="00514111">
          <w:pPr>
            <w:pBdr>
              <w:top w:val="nil"/>
              <w:left w:val="nil"/>
              <w:bottom w:val="nil"/>
              <w:right w:val="nil"/>
              <w:between w:val="nil"/>
            </w:pBdr>
            <w:tabs>
              <w:tab w:val="right" w:pos="9204"/>
            </w:tabs>
            <w:spacing w:after="100"/>
            <w:rPr>
              <w:rFonts w:ascii="Calibri" w:eastAsia="Calibri" w:hAnsi="Calibri" w:cs="Calibri"/>
              <w:color w:val="000000"/>
            </w:rPr>
          </w:pPr>
          <w:hyperlink w:anchor="_heading=h.1pxezwc">
            <w:r w:rsidR="00317333">
              <w:rPr>
                <w:color w:val="000000"/>
              </w:rPr>
              <w:t>R E S U E L V E</w:t>
            </w:r>
            <w:r w:rsidR="00317333">
              <w:rPr>
                <w:color w:val="000000"/>
              </w:rPr>
              <w:tab/>
              <w:t>22</w:t>
            </w:r>
          </w:hyperlink>
        </w:p>
        <w:p w:rsidR="00AF28E1" w:rsidRDefault="00317333">
          <w:pPr>
            <w:spacing w:after="0" w:line="360" w:lineRule="auto"/>
          </w:pPr>
          <w:r>
            <w:fldChar w:fldCharType="end"/>
          </w:r>
        </w:p>
      </w:sdtContent>
    </w:sdt>
    <w:p w:rsidR="00AF28E1" w:rsidRDefault="00AF28E1">
      <w:pPr>
        <w:spacing w:after="0" w:line="360" w:lineRule="auto"/>
      </w:pPr>
    </w:p>
    <w:p w:rsidR="00AF28E1" w:rsidRDefault="00AF28E1">
      <w:pPr>
        <w:spacing w:after="0" w:line="360" w:lineRule="auto"/>
      </w:pPr>
    </w:p>
    <w:p w:rsidR="00AF28E1" w:rsidRDefault="00317333">
      <w:pPr>
        <w:spacing w:after="0" w:line="360" w:lineRule="auto"/>
      </w:pPr>
      <w:r>
        <w:br w:type="page"/>
      </w:r>
    </w:p>
    <w:p w:rsidR="00AF28E1" w:rsidRDefault="00AF28E1">
      <w:pPr>
        <w:widowControl w:val="0"/>
        <w:pBdr>
          <w:top w:val="nil"/>
          <w:left w:val="nil"/>
          <w:bottom w:val="nil"/>
          <w:right w:val="nil"/>
          <w:between w:val="nil"/>
        </w:pBdr>
        <w:spacing w:after="0" w:line="360" w:lineRule="auto"/>
        <w:jc w:val="left"/>
      </w:pPr>
    </w:p>
    <w:p w:rsidR="00AF28E1" w:rsidRDefault="00317333">
      <w:pPr>
        <w:spacing w:after="0" w:line="360" w:lineRule="auto"/>
      </w:pPr>
      <w:r>
        <w:t>Resolución del Pleno del Instituto de Transparencia, Acceso a la Información Pública y Protección de Datos Personales del Estado de México y Municipios, con domicilio en Metepec, Estado de México, de fecha cuatro de diciembre de dos mil veinticuatro.</w:t>
      </w:r>
    </w:p>
    <w:p w:rsidR="00AF28E1" w:rsidRDefault="00AF28E1">
      <w:pPr>
        <w:spacing w:after="0" w:line="360" w:lineRule="auto"/>
        <w:rPr>
          <w:b/>
        </w:rPr>
      </w:pPr>
    </w:p>
    <w:p w:rsidR="00AF28E1" w:rsidRDefault="00317333">
      <w:pPr>
        <w:spacing w:after="0" w:line="360" w:lineRule="auto"/>
      </w:pPr>
      <w:r>
        <w:rPr>
          <w:b/>
        </w:rPr>
        <w:t>VISTO</w:t>
      </w:r>
      <w:r>
        <w:t xml:space="preserve"> el expediente conformado con motivo del Recurso de Revisión </w:t>
      </w:r>
      <w:r>
        <w:rPr>
          <w:b/>
        </w:rPr>
        <w:t>07136/INFOEM/IP/RR/2024</w:t>
      </w:r>
      <w:r>
        <w:t xml:space="preserve">, interpuesto por </w:t>
      </w:r>
      <w:r w:rsidR="007C38F9" w:rsidRPr="00DA7B2E">
        <w:rPr>
          <w:highlight w:val="black"/>
        </w:rPr>
        <w:t>XXXXXXXXXXXXXXXXXXXXX</w:t>
      </w:r>
      <w:r>
        <w:t>, en adelante, la persona Recurrente o Particular, en contra de la respuesta del Sujeto Obligado, Ayuntamiento de Acambay de Ruíz Castañeda, se emite la presente Resolución, con base en los antecedentes y considerandos que se exponen a continuación:</w:t>
      </w:r>
    </w:p>
    <w:p w:rsidR="00AF28E1" w:rsidRDefault="00AF28E1">
      <w:pPr>
        <w:spacing w:after="0" w:line="360" w:lineRule="auto"/>
      </w:pPr>
    </w:p>
    <w:p w:rsidR="00AF28E1" w:rsidRDefault="00317333">
      <w:pPr>
        <w:pStyle w:val="Ttulo1"/>
        <w:spacing w:before="0" w:after="0"/>
        <w:rPr>
          <w:sz w:val="22"/>
          <w:szCs w:val="22"/>
        </w:rPr>
      </w:pPr>
      <w:bookmarkStart w:id="0" w:name="_heading=h.2jxsxqh" w:colFirst="0" w:colLast="0"/>
      <w:bookmarkEnd w:id="0"/>
      <w:r>
        <w:rPr>
          <w:sz w:val="22"/>
          <w:szCs w:val="22"/>
        </w:rPr>
        <w:t>A N T E C E D E N T E S</w:t>
      </w:r>
    </w:p>
    <w:p w:rsidR="00AF28E1" w:rsidRDefault="00AF28E1">
      <w:pPr>
        <w:spacing w:after="0" w:line="360" w:lineRule="auto"/>
      </w:pPr>
    </w:p>
    <w:p w:rsidR="00AF28E1" w:rsidRDefault="00317333">
      <w:pPr>
        <w:pStyle w:val="Ttulo2"/>
        <w:spacing w:before="0" w:after="0"/>
      </w:pPr>
      <w:bookmarkStart w:id="1" w:name="_heading=h.z337ya" w:colFirst="0" w:colLast="0"/>
      <w:bookmarkEnd w:id="1"/>
      <w:r>
        <w:t>I. Presentación de la solicitud de información</w:t>
      </w:r>
    </w:p>
    <w:p w:rsidR="00AF28E1" w:rsidRDefault="00AF28E1">
      <w:pPr>
        <w:tabs>
          <w:tab w:val="left" w:pos="567"/>
        </w:tabs>
        <w:spacing w:after="0" w:line="360" w:lineRule="auto"/>
      </w:pPr>
    </w:p>
    <w:p w:rsidR="00AF28E1" w:rsidRDefault="00317333">
      <w:pPr>
        <w:spacing w:after="0" w:line="360" w:lineRule="auto"/>
        <w:rPr>
          <w:color w:val="000000"/>
        </w:rPr>
      </w:pPr>
      <w:r>
        <w:t xml:space="preserve">Con fecha nueve de octubre de dos mil veinticuatro, </w:t>
      </w:r>
      <w:r>
        <w:rPr>
          <w:color w:val="000000"/>
        </w:rPr>
        <w:t xml:space="preserve">la persona Particular presentó una solicitud de acceso a la información pública, </w:t>
      </w:r>
      <w:r>
        <w:t>a través del</w:t>
      </w:r>
      <w:r>
        <w:rPr>
          <w:color w:val="000000"/>
        </w:rPr>
        <w:t xml:space="preserve"> Sistema de Acceso a la Información Mexiquense, en lo sucesivo el SAIMEX, ante </w:t>
      </w:r>
      <w:r w:rsidR="00077445">
        <w:rPr>
          <w:color w:val="000000"/>
        </w:rPr>
        <w:t>el</w:t>
      </w:r>
      <w:r>
        <w:rPr>
          <w:color w:val="000000"/>
        </w:rPr>
        <w:t xml:space="preserve"> </w:t>
      </w:r>
      <w:r>
        <w:rPr>
          <w:b/>
        </w:rPr>
        <w:t xml:space="preserve">Ayuntamiento de </w:t>
      </w:r>
      <w:proofErr w:type="spellStart"/>
      <w:r>
        <w:rPr>
          <w:b/>
        </w:rPr>
        <w:t>Acambay</w:t>
      </w:r>
      <w:proofErr w:type="spellEnd"/>
      <w:r>
        <w:rPr>
          <w:b/>
        </w:rPr>
        <w:t xml:space="preserve"> de Ruíz Castañeda</w:t>
      </w:r>
      <w:r>
        <w:t xml:space="preserve">, </w:t>
      </w:r>
      <w:r>
        <w:rPr>
          <w:color w:val="000000"/>
        </w:rPr>
        <w:t>en la que requirió lo siguiente:</w:t>
      </w:r>
    </w:p>
    <w:p w:rsidR="00AF28E1" w:rsidRDefault="00AF28E1">
      <w:pPr>
        <w:spacing w:after="0" w:line="360" w:lineRule="auto"/>
        <w:rPr>
          <w:color w:val="000000"/>
        </w:rPr>
      </w:pPr>
    </w:p>
    <w:p w:rsidR="00AF28E1" w:rsidRDefault="00317333">
      <w:pPr>
        <w:tabs>
          <w:tab w:val="left" w:pos="567"/>
        </w:tabs>
        <w:spacing w:after="0" w:line="360" w:lineRule="auto"/>
        <w:ind w:left="567" w:right="709"/>
        <w:rPr>
          <w:b/>
          <w:sz w:val="20"/>
          <w:szCs w:val="20"/>
        </w:rPr>
      </w:pPr>
      <w:r>
        <w:rPr>
          <w:b/>
          <w:sz w:val="20"/>
          <w:szCs w:val="20"/>
        </w:rPr>
        <w:t>Folio de la solicitud: 00173/ACAMBAY/IP/2024</w:t>
      </w:r>
    </w:p>
    <w:p w:rsidR="00AF28E1" w:rsidRDefault="00317333">
      <w:pPr>
        <w:tabs>
          <w:tab w:val="left" w:pos="567"/>
        </w:tabs>
        <w:spacing w:after="0" w:line="360" w:lineRule="auto"/>
        <w:ind w:left="567" w:right="709"/>
        <w:rPr>
          <w:b/>
          <w:sz w:val="20"/>
          <w:szCs w:val="20"/>
        </w:rPr>
      </w:pPr>
      <w:r>
        <w:rPr>
          <w:b/>
          <w:sz w:val="20"/>
          <w:szCs w:val="20"/>
        </w:rPr>
        <w:t>DESCRIPCIÓN CLARA Y PRECISA DE LA INFORMACIÓN SOLICITADA</w:t>
      </w:r>
    </w:p>
    <w:p w:rsidR="00AF28E1" w:rsidRDefault="00317333">
      <w:pPr>
        <w:tabs>
          <w:tab w:val="left" w:pos="4667"/>
        </w:tabs>
        <w:spacing w:after="0" w:line="360" w:lineRule="auto"/>
        <w:ind w:left="567" w:right="709"/>
        <w:rPr>
          <w:i/>
          <w:sz w:val="20"/>
          <w:szCs w:val="20"/>
        </w:rPr>
      </w:pPr>
      <w:r>
        <w:rPr>
          <w:i/>
          <w:sz w:val="20"/>
          <w:szCs w:val="20"/>
        </w:rPr>
        <w:t>“Solicito bitácoras de reparación y mantenimiento a unidades vehiculares y en su caso en comodato, correspondientes al ejercicio fiscal 2024.” (</w:t>
      </w:r>
      <w:r w:rsidR="00077445">
        <w:rPr>
          <w:i/>
          <w:sz w:val="20"/>
          <w:szCs w:val="20"/>
        </w:rPr>
        <w:t>Sic</w:t>
      </w:r>
      <w:r>
        <w:rPr>
          <w:i/>
          <w:sz w:val="20"/>
          <w:szCs w:val="20"/>
        </w:rPr>
        <w:t>.)</w:t>
      </w:r>
    </w:p>
    <w:p w:rsidR="00AF28E1" w:rsidRDefault="00AF28E1">
      <w:pPr>
        <w:tabs>
          <w:tab w:val="left" w:pos="4667"/>
        </w:tabs>
        <w:spacing w:after="0" w:line="360" w:lineRule="auto"/>
        <w:ind w:right="709"/>
        <w:rPr>
          <w:i/>
          <w:sz w:val="20"/>
          <w:szCs w:val="20"/>
        </w:rPr>
      </w:pPr>
    </w:p>
    <w:p w:rsidR="00AF28E1" w:rsidRDefault="00317333">
      <w:pPr>
        <w:pBdr>
          <w:top w:val="nil"/>
          <w:left w:val="nil"/>
          <w:bottom w:val="nil"/>
          <w:right w:val="nil"/>
          <w:between w:val="nil"/>
        </w:pBdr>
        <w:tabs>
          <w:tab w:val="left" w:pos="567"/>
        </w:tabs>
        <w:spacing w:after="0" w:line="360" w:lineRule="auto"/>
        <w:ind w:left="567" w:right="709"/>
        <w:rPr>
          <w:i/>
          <w:color w:val="000000"/>
          <w:sz w:val="20"/>
          <w:szCs w:val="20"/>
        </w:rPr>
      </w:pPr>
      <w:r>
        <w:rPr>
          <w:b/>
          <w:color w:val="000000"/>
          <w:sz w:val="20"/>
          <w:szCs w:val="20"/>
        </w:rPr>
        <w:t xml:space="preserve">MODALIDAD DE ENTREGA </w:t>
      </w:r>
      <w:r>
        <w:rPr>
          <w:i/>
          <w:color w:val="000000"/>
          <w:sz w:val="20"/>
          <w:szCs w:val="20"/>
        </w:rPr>
        <w:t>“A través del SAIMEX”</w:t>
      </w:r>
    </w:p>
    <w:p w:rsidR="00AF28E1" w:rsidRDefault="00AF28E1">
      <w:pPr>
        <w:pStyle w:val="Ttulo2"/>
        <w:spacing w:before="0" w:after="0"/>
      </w:pPr>
    </w:p>
    <w:p w:rsidR="00AF28E1" w:rsidRDefault="00317333">
      <w:pPr>
        <w:pStyle w:val="Ttulo2"/>
        <w:spacing w:before="0" w:after="0"/>
      </w:pPr>
      <w:bookmarkStart w:id="2" w:name="_heading=h.3j2qqm3" w:colFirst="0" w:colLast="0"/>
      <w:bookmarkEnd w:id="2"/>
      <w:r>
        <w:t>II. Respuesta del Sujeto Obligado</w:t>
      </w:r>
    </w:p>
    <w:p w:rsidR="00AF28E1" w:rsidRDefault="00AF28E1">
      <w:pPr>
        <w:spacing w:after="0" w:line="360" w:lineRule="auto"/>
      </w:pPr>
    </w:p>
    <w:p w:rsidR="00AF28E1" w:rsidRDefault="00317333">
      <w:pPr>
        <w:spacing w:after="0" w:line="360" w:lineRule="auto"/>
        <w:rPr>
          <w:color w:val="000000"/>
        </w:rPr>
      </w:pPr>
      <w:r>
        <w:t>El treinta de octubre de dos mil veinticuatro, el Sujeto Obligado otorgó respuesta a través de SAIMEX, mediante dos documentos, de los que se desprende lo siguiente:</w:t>
      </w:r>
    </w:p>
    <w:p w:rsidR="00AF28E1" w:rsidRDefault="00AF28E1">
      <w:pPr>
        <w:spacing w:after="0" w:line="360" w:lineRule="auto"/>
        <w:rPr>
          <w:color w:val="000000"/>
        </w:rPr>
      </w:pPr>
    </w:p>
    <w:p w:rsidR="00AF28E1" w:rsidRDefault="00317333">
      <w:pPr>
        <w:numPr>
          <w:ilvl w:val="0"/>
          <w:numId w:val="1"/>
        </w:numPr>
        <w:pBdr>
          <w:top w:val="nil"/>
          <w:left w:val="nil"/>
          <w:bottom w:val="nil"/>
          <w:right w:val="nil"/>
          <w:between w:val="nil"/>
        </w:pBdr>
        <w:spacing w:after="0" w:line="360" w:lineRule="auto"/>
      </w:pPr>
      <w:r>
        <w:rPr>
          <w:color w:val="000000"/>
        </w:rPr>
        <w:t xml:space="preserve">Oficio suscrito por el Titular de la Unidad de Parque Vehicular en el que informó que proporcionar la información entorpecería el acto de entrega recepción por lo que determinó que debe reservarse conforme a lo dispuesto en el artículo 140 fracción X de la Ley de Transparencia del Estado y que </w:t>
      </w:r>
      <w:r>
        <w:t>permanecerá</w:t>
      </w:r>
      <w:r>
        <w:rPr>
          <w:color w:val="000000"/>
        </w:rPr>
        <w:t xml:space="preserve"> en dicho supuesto hasta el 1° de enero de 2025, cuando el proceso de entrega haya terminado.  </w:t>
      </w:r>
    </w:p>
    <w:p w:rsidR="00AF28E1" w:rsidRDefault="00317333">
      <w:pPr>
        <w:numPr>
          <w:ilvl w:val="0"/>
          <w:numId w:val="1"/>
        </w:numPr>
        <w:pBdr>
          <w:top w:val="nil"/>
          <w:left w:val="nil"/>
          <w:bottom w:val="nil"/>
          <w:right w:val="nil"/>
          <w:between w:val="nil"/>
        </w:pBdr>
        <w:spacing w:after="0" w:line="360" w:lineRule="auto"/>
      </w:pPr>
      <w:r>
        <w:rPr>
          <w:color w:val="000000"/>
        </w:rPr>
        <w:t xml:space="preserve">Acta de la doceava sesión extraordinaria del comité de Transparencia en el que determinó la reserva de la información que atiende a diversas solicitudes, entre ellas, la que nos ocupa. </w:t>
      </w:r>
    </w:p>
    <w:p w:rsidR="00AF28E1" w:rsidRDefault="00AF28E1">
      <w:pPr>
        <w:pBdr>
          <w:top w:val="nil"/>
          <w:left w:val="nil"/>
          <w:bottom w:val="nil"/>
          <w:right w:val="nil"/>
          <w:between w:val="nil"/>
        </w:pBdr>
        <w:spacing w:after="0" w:line="360" w:lineRule="auto"/>
        <w:ind w:left="720" w:right="567"/>
        <w:rPr>
          <w:color w:val="000000"/>
        </w:rPr>
      </w:pPr>
    </w:p>
    <w:p w:rsidR="00AF28E1" w:rsidRDefault="00317333">
      <w:pPr>
        <w:pStyle w:val="Ttulo2"/>
        <w:spacing w:before="0" w:after="0"/>
      </w:pPr>
      <w:bookmarkStart w:id="3" w:name="_heading=h.1y810tw" w:colFirst="0" w:colLast="0"/>
      <w:bookmarkEnd w:id="3"/>
      <w:r>
        <w:t>III. Interposición del Recurso de Revisión</w:t>
      </w:r>
    </w:p>
    <w:p w:rsidR="00AF28E1" w:rsidRDefault="00AF28E1">
      <w:pPr>
        <w:spacing w:after="0" w:line="360" w:lineRule="auto"/>
        <w:rPr>
          <w:b/>
        </w:rPr>
      </w:pPr>
    </w:p>
    <w:p w:rsidR="00AF28E1" w:rsidRDefault="00317333">
      <w:pPr>
        <w:spacing w:after="0" w:line="360" w:lineRule="auto"/>
      </w:pPr>
      <w:bookmarkStart w:id="4" w:name="_heading=h.2et92p0" w:colFirst="0" w:colLast="0"/>
      <w:bookmarkEnd w:id="4"/>
      <w:r>
        <w:t>Con fecha ocho de noviembre de dos mil veinticuatro, se recibió en este Instituto, a través del SAIMEX, el Recurso de Revisión interpuesto por la persona Solicitante, en los siguientes términos:</w:t>
      </w:r>
    </w:p>
    <w:p w:rsidR="00AF28E1" w:rsidRDefault="00AF28E1">
      <w:pPr>
        <w:spacing w:after="0" w:line="360" w:lineRule="auto"/>
      </w:pPr>
    </w:p>
    <w:p w:rsidR="00AF28E1" w:rsidRDefault="00317333">
      <w:pPr>
        <w:spacing w:after="0" w:line="360" w:lineRule="auto"/>
        <w:ind w:left="567" w:right="709"/>
        <w:rPr>
          <w:b/>
          <w:sz w:val="20"/>
          <w:szCs w:val="20"/>
        </w:rPr>
      </w:pPr>
      <w:r>
        <w:rPr>
          <w:b/>
          <w:sz w:val="20"/>
          <w:szCs w:val="20"/>
        </w:rPr>
        <w:t>ACTO IMPUGNADO</w:t>
      </w:r>
      <w:r>
        <w:rPr>
          <w:b/>
          <w:sz w:val="20"/>
          <w:szCs w:val="20"/>
        </w:rPr>
        <w:tab/>
      </w:r>
    </w:p>
    <w:p w:rsidR="00AF28E1" w:rsidRDefault="00317333">
      <w:pPr>
        <w:spacing w:after="0" w:line="360" w:lineRule="auto"/>
        <w:ind w:left="567" w:right="709"/>
        <w:rPr>
          <w:i/>
          <w:sz w:val="20"/>
          <w:szCs w:val="20"/>
        </w:rPr>
      </w:pPr>
      <w:r>
        <w:rPr>
          <w:i/>
          <w:sz w:val="20"/>
          <w:szCs w:val="20"/>
        </w:rPr>
        <w:t xml:space="preserve">“Solicito bitácoras de reparación y mantenimiento a unidades vehiculares y en su caso en comodato, correspondientes al ejercicio fiscal 2024.” </w:t>
      </w:r>
    </w:p>
    <w:p w:rsidR="00AF28E1" w:rsidRDefault="00AF28E1">
      <w:pPr>
        <w:spacing w:after="0" w:line="360" w:lineRule="auto"/>
        <w:ind w:left="567" w:right="709"/>
        <w:rPr>
          <w:sz w:val="20"/>
          <w:szCs w:val="20"/>
        </w:rPr>
      </w:pPr>
    </w:p>
    <w:p w:rsidR="00AF28E1" w:rsidRDefault="00317333">
      <w:pPr>
        <w:spacing w:after="0" w:line="360" w:lineRule="auto"/>
        <w:ind w:left="567" w:right="709"/>
        <w:rPr>
          <w:b/>
          <w:sz w:val="20"/>
          <w:szCs w:val="20"/>
        </w:rPr>
      </w:pPr>
      <w:r>
        <w:rPr>
          <w:b/>
          <w:sz w:val="20"/>
          <w:szCs w:val="20"/>
        </w:rPr>
        <w:t>RAZONES O MOTIVOS DE LA INCONFORMIDAD</w:t>
      </w:r>
      <w:r>
        <w:rPr>
          <w:b/>
          <w:sz w:val="20"/>
          <w:szCs w:val="20"/>
        </w:rPr>
        <w:tab/>
      </w:r>
    </w:p>
    <w:p w:rsidR="00AF28E1" w:rsidRDefault="00317333">
      <w:pPr>
        <w:tabs>
          <w:tab w:val="left" w:pos="4667"/>
        </w:tabs>
        <w:spacing w:after="0" w:line="360" w:lineRule="auto"/>
        <w:ind w:left="567" w:right="709"/>
        <w:rPr>
          <w:i/>
          <w:sz w:val="20"/>
          <w:szCs w:val="20"/>
        </w:rPr>
      </w:pPr>
      <w:r>
        <w:rPr>
          <w:i/>
          <w:sz w:val="20"/>
          <w:szCs w:val="20"/>
        </w:rPr>
        <w:lastRenderedPageBreak/>
        <w:t xml:space="preserve">“No presentan información, toda vez que es </w:t>
      </w:r>
      <w:r w:rsidR="00077445">
        <w:rPr>
          <w:i/>
          <w:sz w:val="20"/>
          <w:szCs w:val="20"/>
        </w:rPr>
        <w:t>considera</w:t>
      </w:r>
      <w:r>
        <w:rPr>
          <w:i/>
          <w:sz w:val="20"/>
          <w:szCs w:val="20"/>
        </w:rPr>
        <w:t xml:space="preserve"> información </w:t>
      </w:r>
      <w:r w:rsidR="00077445">
        <w:rPr>
          <w:i/>
          <w:sz w:val="20"/>
          <w:szCs w:val="20"/>
        </w:rPr>
        <w:t>pública</w:t>
      </w:r>
      <w:r>
        <w:rPr>
          <w:i/>
          <w:sz w:val="20"/>
          <w:szCs w:val="20"/>
        </w:rPr>
        <w:t xml:space="preserve"> de conformidad con el artículo 92 de la Ley de Transparencia y Acceso a la Información Pública del Estado de México y Municipio.”(Sic.)</w:t>
      </w:r>
    </w:p>
    <w:p w:rsidR="00AF28E1" w:rsidRDefault="00AF28E1">
      <w:pPr>
        <w:tabs>
          <w:tab w:val="left" w:pos="4667"/>
        </w:tabs>
        <w:spacing w:after="0" w:line="360" w:lineRule="auto"/>
        <w:ind w:right="537"/>
      </w:pPr>
    </w:p>
    <w:p w:rsidR="00AF28E1" w:rsidRDefault="00317333">
      <w:pPr>
        <w:pStyle w:val="Ttulo2"/>
        <w:spacing w:before="0" w:after="0"/>
      </w:pPr>
      <w:bookmarkStart w:id="5" w:name="_heading=h.4i7ojhp" w:colFirst="0" w:colLast="0"/>
      <w:bookmarkEnd w:id="5"/>
      <w:r>
        <w:t>IV. Trámite del Recurso de Revisión ante este Instituto</w:t>
      </w:r>
    </w:p>
    <w:p w:rsidR="00AF28E1" w:rsidRDefault="00AF28E1">
      <w:pPr>
        <w:spacing w:after="0" w:line="360" w:lineRule="auto"/>
        <w:rPr>
          <w:b/>
        </w:rPr>
      </w:pPr>
    </w:p>
    <w:p w:rsidR="00AF28E1" w:rsidRDefault="00317333">
      <w:pPr>
        <w:spacing w:after="0" w:line="360" w:lineRule="auto"/>
        <w:rPr>
          <w:color w:val="000000"/>
        </w:rPr>
      </w:pPr>
      <w:r>
        <w:rPr>
          <w:b/>
        </w:rPr>
        <w:t>a) Turno del Medio de Impugnación.</w:t>
      </w:r>
      <w:r>
        <w:t xml:space="preserve"> </w:t>
      </w:r>
      <w:r>
        <w:rPr>
          <w:color w:val="000000"/>
        </w:rPr>
        <w:t xml:space="preserve">El ocho de noviembre de dos mil veinticuatro, el SAIMEX, asignó el número de expediente </w:t>
      </w:r>
      <w:r>
        <w:rPr>
          <w:b/>
          <w:color w:val="000000"/>
        </w:rPr>
        <w:t xml:space="preserve">07136/INFOEM/IP/RR/2024,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AF28E1" w:rsidRDefault="00AF28E1">
      <w:pPr>
        <w:spacing w:after="0" w:line="360" w:lineRule="auto"/>
      </w:pPr>
    </w:p>
    <w:p w:rsidR="00AF28E1" w:rsidRDefault="00317333">
      <w:pPr>
        <w:spacing w:after="0" w:line="360" w:lineRule="auto"/>
        <w:rPr>
          <w:color w:val="000000"/>
        </w:rPr>
      </w:pPr>
      <w:bookmarkStart w:id="6" w:name="_heading=h.gjdgxs" w:colFirst="0" w:colLast="0"/>
      <w:bookmarkEnd w:id="6"/>
      <w:r>
        <w:rPr>
          <w:b/>
        </w:rPr>
        <w:t>b) Admisión del Recurso de Revisión.</w:t>
      </w:r>
      <w:r>
        <w:t xml:space="preserve"> </w:t>
      </w:r>
      <w:r>
        <w:rPr>
          <w:color w:val="000000"/>
        </w:rPr>
        <w:t xml:space="preserve">El </w:t>
      </w:r>
      <w:r>
        <w:t>trece de noviembre de dos mil veinticuatro</w:t>
      </w:r>
      <w:r>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AF28E1" w:rsidRDefault="00AF28E1">
      <w:pPr>
        <w:spacing w:after="0" w:line="360" w:lineRule="auto"/>
        <w:rPr>
          <w:color w:val="000000"/>
        </w:rPr>
      </w:pPr>
    </w:p>
    <w:p w:rsidR="00AF28E1" w:rsidRDefault="00317333">
      <w:pPr>
        <w:widowControl w:val="0"/>
        <w:spacing w:after="0" w:line="360" w:lineRule="auto"/>
        <w:rPr>
          <w:b/>
        </w:rPr>
      </w:pPr>
      <w:r>
        <w:rPr>
          <w:b/>
        </w:rPr>
        <w:t xml:space="preserve">c) Informe Justificado y Manifestaciones de la parte Recurrente. </w:t>
      </w:r>
      <w:r>
        <w:t>De las constancias que obran en el SAIMEX, se aprecia que el Sujeto Obligado no rindió informe justificado y la persona Recurrente omitió realizar manifestaciones que a su derecho asistiera.</w:t>
      </w:r>
    </w:p>
    <w:p w:rsidR="00AF28E1" w:rsidRDefault="00AF28E1">
      <w:pPr>
        <w:widowControl w:val="0"/>
        <w:spacing w:after="0" w:line="360" w:lineRule="auto"/>
        <w:rPr>
          <w:b/>
        </w:rPr>
      </w:pPr>
    </w:p>
    <w:p w:rsidR="00AF28E1" w:rsidRDefault="00317333">
      <w:pPr>
        <w:spacing w:after="0" w:line="360" w:lineRule="auto"/>
        <w:rPr>
          <w:b/>
        </w:rPr>
      </w:pPr>
      <w:r>
        <w:rPr>
          <w:b/>
        </w:rPr>
        <w:lastRenderedPageBreak/>
        <w:t>d) Cierre de instrucción.</w:t>
      </w:r>
      <w:r>
        <w:t xml:space="preserve"> El veintiséis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AF28E1" w:rsidRDefault="00AF28E1">
      <w:pPr>
        <w:spacing w:after="0" w:line="360" w:lineRule="auto"/>
      </w:pPr>
    </w:p>
    <w:p w:rsidR="00AF28E1" w:rsidRDefault="00317333">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rsidR="00AF28E1" w:rsidRDefault="00AF28E1">
      <w:pPr>
        <w:spacing w:after="0" w:line="360" w:lineRule="auto"/>
      </w:pPr>
    </w:p>
    <w:p w:rsidR="00AF28E1" w:rsidRDefault="00317333">
      <w:pPr>
        <w:pStyle w:val="Ttulo1"/>
        <w:spacing w:before="0" w:after="0"/>
        <w:rPr>
          <w:sz w:val="22"/>
          <w:szCs w:val="22"/>
        </w:rPr>
      </w:pPr>
      <w:bookmarkStart w:id="7" w:name="_heading=h.2xcytpi" w:colFirst="0" w:colLast="0"/>
      <w:bookmarkEnd w:id="7"/>
      <w:r>
        <w:rPr>
          <w:sz w:val="22"/>
          <w:szCs w:val="22"/>
        </w:rPr>
        <w:t>C O N S I D E R A N D O S</w:t>
      </w:r>
    </w:p>
    <w:p w:rsidR="00AF28E1" w:rsidRDefault="00AF28E1">
      <w:pPr>
        <w:spacing w:after="0" w:line="360" w:lineRule="auto"/>
        <w:rPr>
          <w:b/>
        </w:rPr>
      </w:pPr>
    </w:p>
    <w:p w:rsidR="00AF28E1" w:rsidRDefault="00317333">
      <w:pPr>
        <w:pStyle w:val="Ttulo2"/>
        <w:spacing w:before="0" w:after="0"/>
      </w:pPr>
      <w:bookmarkStart w:id="8" w:name="_heading=h.1ci93xb" w:colFirst="0" w:colLast="0"/>
      <w:bookmarkEnd w:id="8"/>
      <w:r>
        <w:t>PRIMERO. Competencia</w:t>
      </w:r>
    </w:p>
    <w:p w:rsidR="00AF28E1" w:rsidRDefault="00AF28E1">
      <w:pPr>
        <w:spacing w:after="0" w:line="360" w:lineRule="auto"/>
        <w:rPr>
          <w:b/>
        </w:rPr>
      </w:pPr>
    </w:p>
    <w:p w:rsidR="00AF28E1" w:rsidRDefault="00317333">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AF28E1" w:rsidRDefault="00AF28E1">
      <w:pPr>
        <w:spacing w:after="0" w:line="360" w:lineRule="auto"/>
      </w:pPr>
    </w:p>
    <w:p w:rsidR="00AF28E1" w:rsidRDefault="00317333">
      <w:pPr>
        <w:pStyle w:val="Ttulo2"/>
        <w:spacing w:before="0" w:after="0"/>
      </w:pPr>
      <w:bookmarkStart w:id="9" w:name="_heading=h.3whwml4" w:colFirst="0" w:colLast="0"/>
      <w:bookmarkEnd w:id="9"/>
      <w:r>
        <w:t>SEGUNDO. Causales de improcedencia y sobreseimiento</w:t>
      </w:r>
    </w:p>
    <w:p w:rsidR="00AF28E1" w:rsidRDefault="00AF28E1">
      <w:pPr>
        <w:spacing w:after="0" w:line="360" w:lineRule="auto"/>
      </w:pPr>
    </w:p>
    <w:p w:rsidR="00AF28E1" w:rsidRDefault="00317333">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AF28E1" w:rsidRDefault="00AF28E1">
      <w:pPr>
        <w:spacing w:after="0" w:line="360" w:lineRule="auto"/>
      </w:pPr>
    </w:p>
    <w:p w:rsidR="00AF28E1" w:rsidRDefault="00317333">
      <w:pPr>
        <w:spacing w:after="0" w:line="360" w:lineRule="auto"/>
        <w:rPr>
          <w:b/>
        </w:rPr>
      </w:pPr>
      <w:r>
        <w:rPr>
          <w:b/>
        </w:rPr>
        <w:t>Causales de improcedencia</w:t>
      </w:r>
    </w:p>
    <w:p w:rsidR="00AF28E1" w:rsidRDefault="00AF28E1">
      <w:pPr>
        <w:spacing w:after="0" w:line="360" w:lineRule="auto"/>
      </w:pPr>
    </w:p>
    <w:p w:rsidR="00AF28E1" w:rsidRDefault="00317333">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AF28E1" w:rsidRDefault="00AF28E1">
      <w:pPr>
        <w:spacing w:after="0" w:line="360" w:lineRule="auto"/>
      </w:pPr>
    </w:p>
    <w:p w:rsidR="00AF28E1" w:rsidRDefault="00317333">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AF28E1" w:rsidRDefault="00AF28E1">
      <w:pPr>
        <w:spacing w:after="0" w:line="360" w:lineRule="auto"/>
        <w:rPr>
          <w:b/>
        </w:rPr>
      </w:pPr>
    </w:p>
    <w:p w:rsidR="00AF28E1" w:rsidRDefault="00317333">
      <w:pPr>
        <w:spacing w:after="0" w:line="360" w:lineRule="auto"/>
        <w:ind w:right="-28"/>
        <w:rPr>
          <w:b/>
          <w:color w:val="000000"/>
        </w:rPr>
      </w:pPr>
      <w:r>
        <w:rPr>
          <w:b/>
          <w:color w:val="000000"/>
        </w:rPr>
        <w:t>Causales de sobreseimiento</w:t>
      </w:r>
    </w:p>
    <w:p w:rsidR="00AF28E1" w:rsidRDefault="00AF28E1">
      <w:pPr>
        <w:spacing w:after="0" w:line="360" w:lineRule="auto"/>
        <w:ind w:right="-28"/>
        <w:rPr>
          <w:color w:val="000000"/>
        </w:rPr>
      </w:pPr>
    </w:p>
    <w:p w:rsidR="00AF28E1" w:rsidRDefault="00317333">
      <w:pPr>
        <w:spacing w:after="0" w:line="360" w:lineRule="auto"/>
        <w:rPr>
          <w:color w:val="000000"/>
        </w:rPr>
      </w:pPr>
      <w:r>
        <w:rPr>
          <w:color w:val="000000"/>
        </w:rPr>
        <w:t>Por ser de previo y especial pronunciamiento, este Instituto analiza si se actualiza alguna causal de sobreseimiento.</w:t>
      </w:r>
    </w:p>
    <w:p w:rsidR="00AF28E1" w:rsidRDefault="00AF28E1">
      <w:pPr>
        <w:spacing w:after="0" w:line="360" w:lineRule="auto"/>
        <w:rPr>
          <w:color w:val="000000"/>
        </w:rPr>
      </w:pPr>
    </w:p>
    <w:p w:rsidR="00AF28E1" w:rsidRDefault="00317333">
      <w:pPr>
        <w:spacing w:after="0" w:line="360" w:lineRule="auto"/>
        <w:rPr>
          <w:color w:val="0D0D0D"/>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AF28E1" w:rsidRDefault="00AF28E1">
      <w:pPr>
        <w:spacing w:after="0" w:line="360" w:lineRule="auto"/>
        <w:rPr>
          <w:color w:val="000000"/>
        </w:rPr>
      </w:pPr>
    </w:p>
    <w:p w:rsidR="00AF28E1" w:rsidRDefault="00317333">
      <w:pPr>
        <w:pStyle w:val="Ttulo2"/>
        <w:spacing w:before="0" w:after="0"/>
      </w:pPr>
      <w:bookmarkStart w:id="10" w:name="_heading=h.2bn6wsx" w:colFirst="0" w:colLast="0"/>
      <w:bookmarkEnd w:id="10"/>
      <w:r>
        <w:t xml:space="preserve">TERCERO. Determinación de la Controversia </w:t>
      </w:r>
    </w:p>
    <w:p w:rsidR="00AF28E1" w:rsidRDefault="00AF28E1">
      <w:pPr>
        <w:spacing w:after="0" w:line="360" w:lineRule="auto"/>
        <w:rPr>
          <w:b/>
        </w:rPr>
      </w:pPr>
    </w:p>
    <w:p w:rsidR="00AF28E1" w:rsidRDefault="00317333">
      <w:pPr>
        <w:tabs>
          <w:tab w:val="left" w:pos="4962"/>
        </w:tabs>
        <w:spacing w:after="0" w:line="360" w:lineRule="auto"/>
      </w:pPr>
      <w:r>
        <w:t xml:space="preserve">La persona Solicitante requirió las bitácoras de reparación y mantenimiento de las unidades vehiculares del Sujeto Obligado o que tenga en comodato, correspondientes al ejercicio fiscal 2024; en respuesta el </w:t>
      </w:r>
      <w:r>
        <w:rPr>
          <w:color w:val="000000"/>
        </w:rPr>
        <w:t xml:space="preserve">Titular de la Unidad de Parque Vehicular señaló que no era posible entregar la información, bajo el argumento de que puede entorpecer el proceso de entrega recepción y que por tanto actualiza el supuesto previsto en el artículo 140 fracción X de la Ley de la materia y que estaría bajo dicho supuesto hasta el 1° de enero de 2024; derivado de lo anterior, la parte Recurrente se inconformó con la clasificación al considerar que se trata de información pública. Durante la sustanciación del Recurso de Revisión ambas partes fueron omisas en añadir manifestaciones. </w:t>
      </w:r>
    </w:p>
    <w:p w:rsidR="00AF28E1" w:rsidRDefault="00AF28E1">
      <w:pPr>
        <w:tabs>
          <w:tab w:val="left" w:pos="4962"/>
        </w:tabs>
        <w:spacing w:after="0" w:line="360" w:lineRule="auto"/>
      </w:pPr>
    </w:p>
    <w:p w:rsidR="00AF28E1" w:rsidRDefault="00317333">
      <w:pPr>
        <w:tabs>
          <w:tab w:val="left" w:pos="4962"/>
        </w:tabs>
        <w:spacing w:after="0" w:line="360" w:lineRule="auto"/>
      </w:pPr>
      <w:r>
        <w:lastRenderedPageBreak/>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II, de la Ley de la materia; por la clasificación de la información. </w:t>
      </w:r>
    </w:p>
    <w:p w:rsidR="00AF28E1" w:rsidRDefault="00AF28E1">
      <w:pPr>
        <w:tabs>
          <w:tab w:val="left" w:pos="4962"/>
        </w:tabs>
        <w:spacing w:after="0" w:line="360" w:lineRule="auto"/>
        <w:rPr>
          <w:b/>
        </w:rPr>
      </w:pPr>
    </w:p>
    <w:p w:rsidR="00AF28E1" w:rsidRDefault="00317333">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AF28E1" w:rsidRDefault="00AF28E1">
      <w:pPr>
        <w:spacing w:after="0" w:line="360" w:lineRule="auto"/>
      </w:pPr>
    </w:p>
    <w:p w:rsidR="00AF28E1" w:rsidRDefault="00AF28E1">
      <w:pPr>
        <w:tabs>
          <w:tab w:val="left" w:pos="4962"/>
        </w:tabs>
        <w:spacing w:after="0" w:line="360" w:lineRule="auto"/>
      </w:pPr>
    </w:p>
    <w:p w:rsidR="00AF28E1" w:rsidRDefault="00317333">
      <w:pPr>
        <w:pStyle w:val="Ttulo2"/>
        <w:spacing w:before="0" w:after="0"/>
      </w:pPr>
      <w:bookmarkStart w:id="11" w:name="_heading=h.qsh70q" w:colFirst="0" w:colLast="0"/>
      <w:bookmarkEnd w:id="11"/>
      <w:r>
        <w:t>CUARTO. Marco normativo aplicable en materia de transparencia y acceso a la información pública</w:t>
      </w:r>
    </w:p>
    <w:p w:rsidR="00AF28E1" w:rsidRDefault="00AF28E1">
      <w:pPr>
        <w:spacing w:after="0" w:line="360" w:lineRule="auto"/>
        <w:rPr>
          <w:color w:val="000000"/>
        </w:rPr>
      </w:pPr>
    </w:p>
    <w:p w:rsidR="00AF28E1" w:rsidRDefault="00317333">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F28E1" w:rsidRDefault="00AF28E1">
      <w:pPr>
        <w:spacing w:after="0" w:line="360" w:lineRule="auto"/>
        <w:rPr>
          <w:color w:val="000000"/>
        </w:rPr>
      </w:pPr>
    </w:p>
    <w:p w:rsidR="00AF28E1" w:rsidRDefault="00317333">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AF28E1" w:rsidRDefault="00AF28E1">
      <w:pPr>
        <w:spacing w:after="0" w:line="360" w:lineRule="auto"/>
        <w:rPr>
          <w:color w:val="000000"/>
        </w:rPr>
      </w:pPr>
    </w:p>
    <w:p w:rsidR="00AF28E1" w:rsidRDefault="00317333">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F28E1" w:rsidRDefault="00AF28E1">
      <w:pPr>
        <w:spacing w:after="0" w:line="360" w:lineRule="auto"/>
        <w:rPr>
          <w:color w:val="000000"/>
        </w:rPr>
      </w:pPr>
    </w:p>
    <w:p w:rsidR="00AF28E1" w:rsidRDefault="00317333">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AF28E1" w:rsidRDefault="00AF28E1">
      <w:pPr>
        <w:spacing w:after="0" w:line="360" w:lineRule="auto"/>
        <w:rPr>
          <w:color w:val="000000"/>
        </w:rPr>
      </w:pPr>
    </w:p>
    <w:p w:rsidR="00AF28E1" w:rsidRDefault="00317333">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AF28E1" w:rsidRDefault="00AF28E1">
      <w:pPr>
        <w:spacing w:after="0" w:line="360" w:lineRule="auto"/>
        <w:rPr>
          <w:color w:val="000000"/>
        </w:rPr>
      </w:pPr>
    </w:p>
    <w:p w:rsidR="00AF28E1" w:rsidRDefault="00317333">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AF28E1" w:rsidRDefault="00AF28E1">
      <w:pPr>
        <w:spacing w:after="0" w:line="360" w:lineRule="auto"/>
        <w:rPr>
          <w:color w:val="000000"/>
        </w:rPr>
      </w:pPr>
    </w:p>
    <w:p w:rsidR="00AF28E1" w:rsidRDefault="00317333">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F28E1" w:rsidRDefault="00AF28E1">
      <w:pPr>
        <w:spacing w:after="0" w:line="360" w:lineRule="auto"/>
      </w:pPr>
    </w:p>
    <w:p w:rsidR="00AF28E1" w:rsidRDefault="00317333">
      <w:pPr>
        <w:pStyle w:val="Ttulo2"/>
        <w:spacing w:before="0" w:after="0"/>
      </w:pPr>
      <w:bookmarkStart w:id="12" w:name="_heading=h.3as4poj" w:colFirst="0" w:colLast="0"/>
      <w:bookmarkEnd w:id="12"/>
      <w:r>
        <w:rPr>
          <w:smallCaps/>
        </w:rPr>
        <w:t>QUINTO.</w:t>
      </w:r>
      <w:r>
        <w:t xml:space="preserve"> Estudio de Fondo</w:t>
      </w:r>
    </w:p>
    <w:p w:rsidR="00AF28E1" w:rsidRDefault="00AF28E1">
      <w:pPr>
        <w:spacing w:after="0" w:line="360" w:lineRule="auto"/>
        <w:ind w:right="-28"/>
      </w:pPr>
    </w:p>
    <w:p w:rsidR="00AF28E1" w:rsidRDefault="00317333">
      <w:pPr>
        <w:spacing w:after="0" w:line="360" w:lineRule="auto"/>
        <w:ind w:right="-28"/>
        <w:rPr>
          <w:b/>
        </w:rPr>
      </w:pPr>
      <w:r>
        <w:t xml:space="preserve">Una vez expuesto lo anterior y en atención a los artículos 50 y 51 fracción I del Reglamento Interior del Sujeto Obligado establece que la Dirección de Administración es el área encargada de suministrar y controlar los recursos humanos y materiales y que tiene entre sus atribuciones la de dirigir, administrar, dar seguimiento y fortalecer los trabajos correspondientes a diversos departamentos, entre ellos, el de maquinaria y parque vehicular ; en atención a lo anterior, el </w:t>
      </w:r>
      <w:r>
        <w:rPr>
          <w:b/>
        </w:rPr>
        <w:t>Sujeto Obligado es competente para conocer de la información relacionada con los vehículos con los que cuenten, ya sea propios o por comodato.</w:t>
      </w:r>
    </w:p>
    <w:p w:rsidR="00AF28E1" w:rsidRDefault="00AF28E1">
      <w:pPr>
        <w:spacing w:after="0" w:line="360" w:lineRule="auto"/>
        <w:ind w:right="-28"/>
        <w:rPr>
          <w:b/>
        </w:rPr>
      </w:pPr>
    </w:p>
    <w:p w:rsidR="00AF28E1" w:rsidRDefault="00317333">
      <w:pPr>
        <w:spacing w:after="0" w:line="360" w:lineRule="auto"/>
      </w:pPr>
      <w:r>
        <w:lastRenderedPageBreak/>
        <w:t>En este contexto normativo el Sujeto Obligado en respuesta manifestó que la información actualizó un supuesto de reserva de información, al entorpecer el proceso de entrega recepción, por lo que remitió el acuerdo emitido por su Comité de Transparencia, al respecto se debe tener en cuenta que el artículo 6°, Apartado A), fracción I de la Constitución Política de los Estados Unidos Mexicanos, establece que toda la información en posesión de cualquier autoridad, es pública y sólo podrá ser reservada temporalmente por razones de interés público.</w:t>
      </w:r>
    </w:p>
    <w:p w:rsidR="00AF28E1" w:rsidRDefault="00AF28E1">
      <w:pPr>
        <w:spacing w:after="0" w:line="360" w:lineRule="auto"/>
      </w:pPr>
    </w:p>
    <w:p w:rsidR="00AF28E1" w:rsidRDefault="00317333">
      <w:pPr>
        <w:spacing w:after="0" w:line="360" w:lineRule="auto"/>
      </w:pPr>
      <w:r>
        <w:t>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rsidR="00AF28E1" w:rsidRDefault="00AF28E1">
      <w:pPr>
        <w:spacing w:after="0" w:line="360" w:lineRule="auto"/>
      </w:pPr>
    </w:p>
    <w:p w:rsidR="00AF28E1" w:rsidRDefault="00317333">
      <w:pPr>
        <w:numPr>
          <w:ilvl w:val="0"/>
          <w:numId w:val="2"/>
        </w:numPr>
        <w:pBdr>
          <w:top w:val="nil"/>
          <w:left w:val="nil"/>
          <w:bottom w:val="nil"/>
          <w:right w:val="nil"/>
          <w:between w:val="nil"/>
        </w:pBdr>
        <w:spacing w:after="0" w:line="360" w:lineRule="auto"/>
        <w:rPr>
          <w:color w:val="000000"/>
        </w:rPr>
      </w:pPr>
      <w:r>
        <w:rPr>
          <w:b/>
          <w:color w:val="000000"/>
        </w:rPr>
        <w:t>Confidencial</w:t>
      </w:r>
      <w:r>
        <w:rPr>
          <w:color w:val="000000"/>
        </w:rPr>
        <w:t>: Se trata de datos personales o de la vida privada de una persona física o jurídico-colectiva y encuentran su sustento legal en el artículo 143 de la Ley de Transparencia y Acceso a la Información Pública del Estado de México y Municipios</w:t>
      </w:r>
    </w:p>
    <w:p w:rsidR="00AF28E1" w:rsidRDefault="00AF28E1">
      <w:pPr>
        <w:pBdr>
          <w:top w:val="nil"/>
          <w:left w:val="nil"/>
          <w:bottom w:val="nil"/>
          <w:right w:val="nil"/>
          <w:between w:val="nil"/>
        </w:pBdr>
        <w:spacing w:after="0" w:line="360" w:lineRule="auto"/>
        <w:ind w:left="720"/>
        <w:rPr>
          <w:color w:val="000000"/>
        </w:rPr>
      </w:pPr>
    </w:p>
    <w:p w:rsidR="00AF28E1" w:rsidRDefault="00317333">
      <w:pPr>
        <w:numPr>
          <w:ilvl w:val="0"/>
          <w:numId w:val="2"/>
        </w:numPr>
        <w:pBdr>
          <w:top w:val="nil"/>
          <w:left w:val="nil"/>
          <w:bottom w:val="nil"/>
          <w:right w:val="nil"/>
          <w:between w:val="nil"/>
        </w:pBdr>
        <w:spacing w:after="0" w:line="360" w:lineRule="auto"/>
        <w:rPr>
          <w:color w:val="000000"/>
        </w:rPr>
      </w:pPr>
      <w:r>
        <w:rPr>
          <w:b/>
          <w:color w:val="000000"/>
        </w:rPr>
        <w:t>Reservada:</w:t>
      </w:r>
      <w:r>
        <w:rPr>
          <w:color w:val="000000"/>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rsidR="00AF28E1" w:rsidRDefault="00AF28E1">
      <w:pPr>
        <w:spacing w:after="0" w:line="360" w:lineRule="auto"/>
      </w:pPr>
    </w:p>
    <w:p w:rsidR="00AF28E1" w:rsidRDefault="00317333">
      <w:pPr>
        <w:spacing w:after="0" w:line="360" w:lineRule="auto"/>
      </w:pPr>
      <w:r>
        <w:t>Así pues, existen dos supuestos para la restricción del acceso a la información; que implica que la información solicitada se trate de datos personales confidenciales o que se actualice algún supuesto de reserva.</w:t>
      </w:r>
    </w:p>
    <w:p w:rsidR="00AF28E1" w:rsidRDefault="00AF28E1">
      <w:pPr>
        <w:spacing w:after="0" w:line="360" w:lineRule="auto"/>
        <w:ind w:right="-28"/>
      </w:pPr>
    </w:p>
    <w:p w:rsidR="00AF28E1" w:rsidRDefault="00317333">
      <w:pPr>
        <w:spacing w:after="0" w:line="360" w:lineRule="auto"/>
        <w:ind w:right="-28"/>
      </w:pPr>
      <w:r>
        <w:lastRenderedPageBreak/>
        <w:t>En el caso que nos ocupa, el Sujeto Obligado manifestó que se actualizó el supuesto de reserva previsto en el artículo 140 fracción X de la Ley de Transparencia de la materia, al respecto, dicho supuesto prevé lo siguiente:</w:t>
      </w:r>
    </w:p>
    <w:p w:rsidR="00AF28E1" w:rsidRDefault="00AF28E1">
      <w:pPr>
        <w:spacing w:after="0" w:line="360" w:lineRule="auto"/>
        <w:ind w:right="-28"/>
      </w:pPr>
    </w:p>
    <w:p w:rsidR="00AF28E1" w:rsidRDefault="00317333">
      <w:pPr>
        <w:spacing w:after="0" w:line="360" w:lineRule="auto"/>
        <w:ind w:left="709" w:right="537"/>
        <w:rPr>
          <w:i/>
          <w:sz w:val="20"/>
          <w:szCs w:val="20"/>
        </w:rPr>
      </w:pPr>
      <w:r>
        <w:rPr>
          <w:i/>
          <w:sz w:val="20"/>
          <w:szCs w:val="20"/>
        </w:rPr>
        <w:t xml:space="preserve">“Artículo 140. El acceso a la información pública será restringido excepcionalmente, cuando por razones de interés público, ésta sea clasificada como reservada, conforme a los criterios siguientes: </w:t>
      </w:r>
    </w:p>
    <w:p w:rsidR="00AF28E1" w:rsidRDefault="00317333">
      <w:pPr>
        <w:spacing w:after="0" w:line="360" w:lineRule="auto"/>
        <w:ind w:left="709" w:right="537"/>
        <w:rPr>
          <w:i/>
          <w:sz w:val="20"/>
          <w:szCs w:val="20"/>
        </w:rPr>
      </w:pPr>
      <w:r>
        <w:rPr>
          <w:i/>
          <w:sz w:val="20"/>
          <w:szCs w:val="20"/>
        </w:rPr>
        <w:t>I al IX…</w:t>
      </w:r>
    </w:p>
    <w:p w:rsidR="00AF28E1" w:rsidRDefault="00317333">
      <w:pPr>
        <w:spacing w:after="0" w:line="360" w:lineRule="auto"/>
        <w:ind w:left="709" w:right="537"/>
        <w:rPr>
          <w:i/>
          <w:sz w:val="20"/>
          <w:szCs w:val="20"/>
        </w:rPr>
      </w:pPr>
      <w:r>
        <w:rPr>
          <w:i/>
          <w:sz w:val="20"/>
          <w:szCs w:val="20"/>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rsidR="00AF28E1" w:rsidRDefault="00317333">
      <w:pPr>
        <w:spacing w:after="0" w:line="360" w:lineRule="auto"/>
        <w:ind w:left="709" w:right="537"/>
        <w:rPr>
          <w:i/>
          <w:sz w:val="20"/>
          <w:szCs w:val="20"/>
        </w:rPr>
      </w:pPr>
      <w:r>
        <w:rPr>
          <w:i/>
          <w:sz w:val="20"/>
          <w:szCs w:val="20"/>
        </w:rPr>
        <w:t>XI…”</w:t>
      </w:r>
    </w:p>
    <w:p w:rsidR="00AF28E1" w:rsidRDefault="00AF28E1">
      <w:pPr>
        <w:spacing w:after="0" w:line="360" w:lineRule="auto"/>
        <w:ind w:left="709" w:right="537"/>
        <w:rPr>
          <w:i/>
        </w:rPr>
      </w:pPr>
    </w:p>
    <w:p w:rsidR="00AF28E1" w:rsidRDefault="00AF28E1">
      <w:pPr>
        <w:spacing w:after="0" w:line="360" w:lineRule="auto"/>
        <w:ind w:right="-28"/>
      </w:pPr>
    </w:p>
    <w:p w:rsidR="00AF28E1" w:rsidRDefault="00317333">
      <w:pPr>
        <w:spacing w:after="0" w:line="360" w:lineRule="auto"/>
        <w:ind w:right="-28"/>
      </w:pPr>
      <w:r>
        <w:t xml:space="preserve">Al respecto, el acuerdo emitido por el Comité de Transparencia se sustenta bajo la prueba de daño que señala que el proceso de transición requiere trabajo y por tanto la información solicitada puede estorbar entorpecer o perjudicar la preparación del acto de entrega recepción; sin embargo, es preciso analizar que el acuerdo es general, puesto que se reservó información de diversas solicitudes, que tiende a diversos requerimientos de información y que no se establecieron las condiciones específicas a cada caso, al respecto se debe tener en cuenta que de conformidad con lo dispuesto en el artículo 134 de la Ley de Transparencia del Estado, que establece que los Sujetos Obligado no pueden emitir acuerdos de carácter general ni particular que clasifique documentos o información como reservada, puesto que deben estar acorde con la actualización de los supuestos definidos por la Ley, y la clasificación debe realizarse conforme a un análisis de caso por caso, mediante la aplicación de la prueba de daño, por lo que se </w:t>
      </w:r>
      <w:r>
        <w:lastRenderedPageBreak/>
        <w:t xml:space="preserve">advierte, que en el presente asunto, el Sujeto Obligado pretende clasificar la información con un acuerdo que no atiende al caso concreto que nos ocupa, ni expresa las razones </w:t>
      </w:r>
      <w:proofErr w:type="spellStart"/>
      <w:r>
        <w:t>especificas</w:t>
      </w:r>
      <w:proofErr w:type="spellEnd"/>
      <w:r>
        <w:t xml:space="preserve"> para el caso que nos ocupa, ni acredito los elementos necesarios para considerar que la información actualiza algún supuesto de reserva, puesto que la preparación para la entrega recepción no es justificación suficiente para acreditar que la entrega de la información altere el resultado de la misma. </w:t>
      </w:r>
    </w:p>
    <w:p w:rsidR="00AF28E1" w:rsidRDefault="00AF28E1">
      <w:pPr>
        <w:spacing w:after="0" w:line="360" w:lineRule="auto"/>
        <w:ind w:right="-28"/>
      </w:pPr>
    </w:p>
    <w:p w:rsidR="00AF28E1" w:rsidRDefault="00317333">
      <w:pPr>
        <w:spacing w:after="0" w:line="360" w:lineRule="auto"/>
      </w:pPr>
      <w:r>
        <w:t>Al respecto, se debe tener en cuenta que el artículo 132 de la Ley de la materia, y el Séptimo de los Lineamientos Generales en Materia de Clasificación y Desclasificación de la Información, así como para la Elaboración de Versiones Públicas,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rsidR="00AF28E1" w:rsidRDefault="00AF28E1">
      <w:pPr>
        <w:spacing w:after="0" w:line="360" w:lineRule="auto"/>
        <w:rPr>
          <w:b/>
        </w:rPr>
      </w:pPr>
    </w:p>
    <w:p w:rsidR="00AF28E1" w:rsidRDefault="00317333">
      <w:pPr>
        <w:spacing w:after="0" w:line="360" w:lineRule="auto"/>
      </w:pPr>
      <w:r>
        <w:t xml:space="preserve">Aunado a lo anterior, el Sujeto Obligado deberá acreditar la prueba de daño en donde se establezca un plazo de reserva, de conformidad con los artículos 125, 128 y 129 de la Ley de Transparencia y Acceso a la Información Pública del Estado de México y Municipios, situación que se robustece con lo señalado en la Tesis Aislada número I.10o.A.79 A (10a.), (Gaceta del Semanario Judicial de la Federación, Libro 60, Noviembre de 2018, Tomo III, </w:t>
      </w:r>
      <w:proofErr w:type="spellStart"/>
      <w:r>
        <w:t>p</w:t>
      </w:r>
      <w:bookmarkStart w:id="13" w:name="_GoBack"/>
      <w:bookmarkEnd w:id="13"/>
      <w:r>
        <w:t>ag</w:t>
      </w:r>
      <w:proofErr w:type="spellEnd"/>
      <w:r>
        <w:t>. 2318) como se muestra a continuación:</w:t>
      </w:r>
    </w:p>
    <w:p w:rsidR="00AF28E1" w:rsidRDefault="00AF28E1">
      <w:pPr>
        <w:spacing w:after="0" w:line="360" w:lineRule="auto"/>
      </w:pPr>
    </w:p>
    <w:p w:rsidR="00AF28E1" w:rsidRDefault="00317333">
      <w:pPr>
        <w:spacing w:after="0" w:line="360" w:lineRule="auto"/>
        <w:ind w:left="567" w:right="539"/>
        <w:rPr>
          <w:b/>
          <w:i/>
          <w:sz w:val="20"/>
          <w:szCs w:val="20"/>
        </w:rPr>
      </w:pPr>
      <w:r>
        <w:rPr>
          <w:b/>
          <w:i/>
          <w:sz w:val="20"/>
          <w:szCs w:val="20"/>
        </w:rPr>
        <w:t>“PRUEBA DE DAÑO EN LA CLASIFICACIÓN DE LA INFORMACIÓN PÚBLICA. SU VALIDEZ NO DEPENDE DE LOS MEDIOS DE PRUEBA QUE EL SUJETO OBLIGADO APORTE.</w:t>
      </w:r>
    </w:p>
    <w:p w:rsidR="00AF28E1" w:rsidRDefault="00AF28E1">
      <w:pPr>
        <w:spacing w:after="0" w:line="360" w:lineRule="auto"/>
        <w:ind w:left="567" w:right="539"/>
        <w:rPr>
          <w:i/>
          <w:sz w:val="20"/>
          <w:szCs w:val="20"/>
        </w:rPr>
      </w:pPr>
    </w:p>
    <w:p w:rsidR="00AF28E1" w:rsidRDefault="00317333">
      <w:pPr>
        <w:spacing w:after="0" w:line="360" w:lineRule="auto"/>
        <w:ind w:left="567" w:right="539"/>
        <w:rPr>
          <w:b/>
          <w:i/>
          <w:sz w:val="20"/>
          <w:szCs w:val="20"/>
          <w:u w:val="single"/>
        </w:rPr>
      </w:pPr>
      <w:r>
        <w:rPr>
          <w:i/>
          <w:sz w:val="20"/>
          <w:szCs w:val="20"/>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Pr>
          <w:b/>
          <w:i/>
          <w:sz w:val="20"/>
          <w:szCs w:val="20"/>
          <w:u w:val="single"/>
        </w:rPr>
        <w:t>, la validez de la prueba de daño no depende de los medios de prueba que el sujeto obligado aporte, sino de la solidez del juicio de ponderación que se efectúe en los términos señalados.”</w:t>
      </w:r>
    </w:p>
    <w:p w:rsidR="00AF28E1" w:rsidRDefault="00AF28E1">
      <w:pPr>
        <w:spacing w:after="0" w:line="360" w:lineRule="auto"/>
      </w:pPr>
    </w:p>
    <w:p w:rsidR="00AF28E1" w:rsidRDefault="00317333">
      <w:pPr>
        <w:spacing w:after="0" w:line="360" w:lineRule="auto"/>
      </w:pPr>
      <w: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desarrollar la prueba de daño de acuerdo a lo establecido en los Lineamientos Generales en materia de Clasificación y Desclasificación de la Información, así como para Elaboración de Versiones Públicas, misma que será caso por caso, ya que no se podrá clasificar la información únicamente por estar vinculada con los supuestos establecidos en la Ley sino que </w:t>
      </w:r>
      <w:r>
        <w:lastRenderedPageBreak/>
        <w:t>además se demostrara que efectivamente dar a conocer la información que se clasifica podría afectar las funciones y el actuar de los diversos sujetos obligados.</w:t>
      </w:r>
    </w:p>
    <w:p w:rsidR="00AF28E1" w:rsidRDefault="00AF28E1">
      <w:pPr>
        <w:spacing w:after="0" w:line="360" w:lineRule="auto"/>
      </w:pPr>
    </w:p>
    <w:p w:rsidR="00AF28E1" w:rsidRDefault="00317333">
      <w:pPr>
        <w:spacing w:after="0" w:line="360" w:lineRule="auto"/>
        <w:ind w:right="-28"/>
      </w:pPr>
      <w: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rsidR="00AF28E1" w:rsidRDefault="00AF28E1">
      <w:pPr>
        <w:spacing w:after="0" w:line="360" w:lineRule="auto"/>
        <w:ind w:right="-28"/>
      </w:pPr>
    </w:p>
    <w:p w:rsidR="00AF28E1" w:rsidRDefault="00317333">
      <w:pPr>
        <w:spacing w:after="0" w:line="360" w:lineRule="auto"/>
        <w:ind w:right="-28"/>
      </w:pPr>
      <w:r>
        <w:t xml:space="preserve">Así para el caso que nos ocupa, el Sujeto Obligado debió acreditar la prueba de daño a fin de demostrar que la información solicitada se encuentra en el supuesto previsto y desahogar lo previsto en la normatividad aplicable para acreditar la reserva de la información, así pues, el </w:t>
      </w:r>
      <w:r>
        <w:rPr>
          <w:b/>
        </w:rPr>
        <w:t>Sujeto Obligado no acreditó la reserva de la información</w:t>
      </w:r>
      <w:r>
        <w:t>, además de que realizó un acuerdo general, que no atiende la situación concreta y no expreso los razonamientos correspondientes a acreditar cada uno de los elementos dispuestos por el Vigésimo noveno de los Lineamientos Generales en Materia de Clasificación y Desclasificación de la Información, así como para la Elaboración de Versiones Públicas, a saber:</w:t>
      </w:r>
    </w:p>
    <w:p w:rsidR="00AF28E1" w:rsidRDefault="00AF28E1">
      <w:pPr>
        <w:spacing w:after="0" w:line="360" w:lineRule="auto"/>
        <w:ind w:right="-28"/>
      </w:pPr>
    </w:p>
    <w:p w:rsidR="00AF28E1" w:rsidRDefault="00317333">
      <w:pPr>
        <w:spacing w:after="0" w:line="360" w:lineRule="auto"/>
        <w:ind w:left="567" w:right="709"/>
        <w:rPr>
          <w:i/>
          <w:sz w:val="20"/>
          <w:szCs w:val="20"/>
        </w:rPr>
      </w:pPr>
      <w:r>
        <w:rPr>
          <w:i/>
        </w:rPr>
        <w:t>“</w:t>
      </w:r>
      <w:r>
        <w:rPr>
          <w:i/>
          <w:sz w:val="20"/>
          <w:szCs w:val="20"/>
        </w:rPr>
        <w:t xml:space="preserve">Vigésimo noveno. De conformidad con el artículo 113, fracción X de la Ley General, podrá considerarse como información reservada, aquella que de divulgarse afecte el debido proceso al actualizarse los siguientes elementos: </w:t>
      </w:r>
    </w:p>
    <w:p w:rsidR="00AF28E1" w:rsidRDefault="00317333">
      <w:pPr>
        <w:spacing w:after="0" w:line="360" w:lineRule="auto"/>
        <w:ind w:left="567" w:right="709"/>
        <w:rPr>
          <w:i/>
          <w:sz w:val="20"/>
          <w:szCs w:val="20"/>
        </w:rPr>
      </w:pPr>
      <w:r>
        <w:rPr>
          <w:i/>
          <w:sz w:val="20"/>
          <w:szCs w:val="20"/>
        </w:rPr>
        <w:t xml:space="preserve">I. La existencia de un procedimiento judicial, administrativo o arbitral en trámite; </w:t>
      </w:r>
    </w:p>
    <w:p w:rsidR="00AF28E1" w:rsidRDefault="00317333">
      <w:pPr>
        <w:spacing w:after="0" w:line="360" w:lineRule="auto"/>
        <w:ind w:left="567" w:right="709"/>
        <w:rPr>
          <w:i/>
          <w:sz w:val="20"/>
          <w:szCs w:val="20"/>
        </w:rPr>
      </w:pPr>
      <w:r>
        <w:rPr>
          <w:i/>
          <w:sz w:val="20"/>
          <w:szCs w:val="20"/>
        </w:rPr>
        <w:t xml:space="preserve">II. Que el sujeto obligado sea parte en ese procedimiento; </w:t>
      </w:r>
    </w:p>
    <w:p w:rsidR="00AF28E1" w:rsidRDefault="00317333">
      <w:pPr>
        <w:spacing w:after="0" w:line="360" w:lineRule="auto"/>
        <w:ind w:left="567" w:right="709"/>
        <w:rPr>
          <w:i/>
          <w:sz w:val="20"/>
          <w:szCs w:val="20"/>
        </w:rPr>
      </w:pPr>
      <w:r>
        <w:rPr>
          <w:i/>
          <w:sz w:val="20"/>
          <w:szCs w:val="20"/>
        </w:rPr>
        <w:t xml:space="preserve">III. Que la información no sea conocida por la contraparte antes de la presentación de la misma en el proceso, y </w:t>
      </w:r>
    </w:p>
    <w:p w:rsidR="00AF28E1" w:rsidRDefault="00317333">
      <w:pPr>
        <w:spacing w:after="0" w:line="360" w:lineRule="auto"/>
        <w:ind w:left="567" w:right="709"/>
        <w:rPr>
          <w:i/>
          <w:sz w:val="20"/>
          <w:szCs w:val="20"/>
        </w:rPr>
      </w:pPr>
      <w:r>
        <w:rPr>
          <w:i/>
          <w:sz w:val="20"/>
          <w:szCs w:val="20"/>
        </w:rPr>
        <w:lastRenderedPageBreak/>
        <w:t>IV. Que con su divulgación se afecte la oportunidad de llevar a cabo alguna de las garantías del debido proceso.”</w:t>
      </w:r>
    </w:p>
    <w:p w:rsidR="00AF28E1" w:rsidRDefault="00AF28E1">
      <w:pPr>
        <w:tabs>
          <w:tab w:val="left" w:pos="4962"/>
        </w:tabs>
        <w:spacing w:after="0" w:line="360" w:lineRule="auto"/>
      </w:pPr>
    </w:p>
    <w:p w:rsidR="00AF28E1" w:rsidRDefault="00317333">
      <w:pPr>
        <w:tabs>
          <w:tab w:val="left" w:pos="4962"/>
        </w:tabs>
        <w:spacing w:after="0" w:line="360" w:lineRule="auto"/>
      </w:pPr>
      <w:r>
        <w:t xml:space="preserve">Así para el caso que nos ocupa, el Sujeto Obviado no acreditó la existencia de un proceso en trámite, o que el Sujeto Obligado forme parte del mismo, que la información no sea conocida por la contraparte y que la divulgación afecte la oportunidad de llevar a cabo las garantías del debido proceso, por tanto, </w:t>
      </w:r>
      <w:r>
        <w:rPr>
          <w:b/>
        </w:rPr>
        <w:t>la reserva propuesta por el Sujeto Obligado no se encuentra debidamente fundada y motivada y, por tanto, resulta improcedente tener por colmada la solicitud con la respuesta proporcionada.</w:t>
      </w:r>
    </w:p>
    <w:p w:rsidR="00AF28E1" w:rsidRDefault="00AF28E1">
      <w:pPr>
        <w:tabs>
          <w:tab w:val="left" w:pos="4962"/>
        </w:tabs>
        <w:spacing w:after="0" w:line="360" w:lineRule="auto"/>
      </w:pPr>
    </w:p>
    <w:p w:rsidR="00AF28E1" w:rsidRDefault="00317333">
      <w:pPr>
        <w:tabs>
          <w:tab w:val="left" w:pos="4962"/>
        </w:tabs>
        <w:spacing w:after="0" w:line="360" w:lineRule="auto"/>
      </w:pPr>
      <w:r>
        <w:t xml:space="preserve">Ahora bien, cabe señalar que la información relacionada con el mantenimiento de vehículos propiedad del Sujeto Obligado o en su uso, es información que permite transparentar los recursos públicos, por ello, resulta procedente su entrega. Cabe precisar que la persona Solicitante requirió la entrega de la información por todo el ejercicio 2024, sin embargo, la temporalidad de la información ordenada deberá atender del 1° de enero de 2024 a la fecha de la solicitud, es decir al 9 de octubre del mismo año, pues los Sujetos Obligados únicamente se encuentran constreñidos a proporcionar la información que habían generado a la fecha de la solicitud. </w:t>
      </w:r>
    </w:p>
    <w:p w:rsidR="00AF28E1" w:rsidRDefault="00AF28E1">
      <w:pPr>
        <w:tabs>
          <w:tab w:val="left" w:pos="4962"/>
        </w:tabs>
        <w:spacing w:after="0" w:line="360" w:lineRule="auto"/>
      </w:pPr>
    </w:p>
    <w:p w:rsidR="00AF28E1" w:rsidRDefault="00317333">
      <w:pPr>
        <w:spacing w:after="0" w:line="360" w:lineRule="auto"/>
      </w:pPr>
      <w:r>
        <w:t xml:space="preserve">En atención a lo anterior, es procedente </w:t>
      </w:r>
      <w:r>
        <w:rPr>
          <w:b/>
        </w:rPr>
        <w:t>REVOCAR</w:t>
      </w:r>
      <w:r>
        <w:t xml:space="preserve"> la respuesta del Sujeto Obligado, por resultar fundados los motivos de inconformidad y es procedente ordenar la entrega de la información solicitada, 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AF28E1" w:rsidRDefault="00AF28E1">
      <w:pPr>
        <w:tabs>
          <w:tab w:val="left" w:pos="4962"/>
        </w:tabs>
        <w:spacing w:after="0" w:line="360" w:lineRule="auto"/>
      </w:pPr>
    </w:p>
    <w:p w:rsidR="00AF28E1" w:rsidRDefault="00317333">
      <w:pPr>
        <w:spacing w:after="0" w:line="360" w:lineRule="auto"/>
        <w:rPr>
          <w:b/>
        </w:rPr>
      </w:pPr>
      <w:r>
        <w:rPr>
          <w:b/>
        </w:rPr>
        <w:t>Versión Pública</w:t>
      </w:r>
    </w:p>
    <w:p w:rsidR="00AF28E1" w:rsidRDefault="00AF28E1">
      <w:pPr>
        <w:spacing w:after="0" w:line="360" w:lineRule="auto"/>
        <w:rPr>
          <w:b/>
          <w:smallCaps/>
        </w:rPr>
      </w:pPr>
    </w:p>
    <w:p w:rsidR="00AF28E1" w:rsidRDefault="00317333">
      <w:pPr>
        <w:spacing w:after="0" w:line="360" w:lineRule="auto"/>
      </w:pPr>
      <w:r>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AF28E1" w:rsidRDefault="00AF28E1">
      <w:pPr>
        <w:spacing w:after="0" w:line="360" w:lineRule="auto"/>
      </w:pPr>
    </w:p>
    <w:p w:rsidR="00AF28E1" w:rsidRDefault="00317333">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AF28E1" w:rsidRDefault="00AF28E1">
      <w:pPr>
        <w:spacing w:after="0" w:line="360" w:lineRule="auto"/>
      </w:pPr>
    </w:p>
    <w:p w:rsidR="00AF28E1" w:rsidRDefault="00317333">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AF28E1" w:rsidRDefault="00317333">
      <w:pPr>
        <w:spacing w:after="0" w:line="360" w:lineRule="auto"/>
      </w:pPr>
      <w: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AF28E1" w:rsidRDefault="00AF28E1">
      <w:pPr>
        <w:spacing w:after="0" w:line="360" w:lineRule="auto"/>
      </w:pPr>
    </w:p>
    <w:p w:rsidR="00AF28E1" w:rsidRDefault="00317333">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rsidR="00AF28E1" w:rsidRDefault="00AF28E1">
      <w:pPr>
        <w:spacing w:after="0" w:line="360" w:lineRule="auto"/>
      </w:pPr>
    </w:p>
    <w:p w:rsidR="00AF28E1" w:rsidRDefault="00317333">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 entre sujetos obligados en términos de los tratados y los acuerdos interinstitucionales.</w:t>
      </w:r>
    </w:p>
    <w:p w:rsidR="00AF28E1" w:rsidRDefault="00AF28E1">
      <w:pPr>
        <w:spacing w:after="0" w:line="360" w:lineRule="auto"/>
      </w:pPr>
    </w:p>
    <w:p w:rsidR="00AF28E1" w:rsidRDefault="00317333">
      <w:pPr>
        <w:spacing w:after="0" w:line="360" w:lineRule="auto"/>
      </w:pPr>
      <w:r>
        <w:t>En términos de lo expuesto, la documentación y aquellos datos que se consideren confidenciales, serán una limitante del derecho de acceso a la información, siempre y cuando:</w:t>
      </w:r>
    </w:p>
    <w:p w:rsidR="00AF28E1" w:rsidRDefault="00AF28E1">
      <w:pPr>
        <w:spacing w:after="0" w:line="360" w:lineRule="auto"/>
      </w:pPr>
    </w:p>
    <w:p w:rsidR="00AF28E1" w:rsidRDefault="00317333">
      <w:pPr>
        <w:numPr>
          <w:ilvl w:val="0"/>
          <w:numId w:val="3"/>
        </w:numPr>
        <w:spacing w:after="0" w:line="360" w:lineRule="auto"/>
        <w:ind w:left="0" w:firstLine="0"/>
      </w:pPr>
      <w:r>
        <w:t xml:space="preserve">Se trate de datos personales o información privada; esto es, información concerniente a una persona física o jurídico colectiva y que esta sea identificada o identificable. </w:t>
      </w:r>
    </w:p>
    <w:p w:rsidR="00AF28E1" w:rsidRDefault="00AF28E1">
      <w:pPr>
        <w:spacing w:after="0" w:line="360" w:lineRule="auto"/>
      </w:pPr>
    </w:p>
    <w:p w:rsidR="00AF28E1" w:rsidRDefault="00317333">
      <w:pPr>
        <w:numPr>
          <w:ilvl w:val="0"/>
          <w:numId w:val="3"/>
        </w:numPr>
        <w:spacing w:after="0" w:line="360" w:lineRule="auto"/>
        <w:ind w:left="0" w:firstLine="0"/>
      </w:pPr>
      <w:r>
        <w:t xml:space="preserve">Para la difusión de los datos, se requiera el consentimiento del titular. </w:t>
      </w:r>
    </w:p>
    <w:p w:rsidR="00AF28E1" w:rsidRDefault="00AF28E1">
      <w:pPr>
        <w:spacing w:after="0" w:line="360" w:lineRule="auto"/>
      </w:pPr>
    </w:p>
    <w:p w:rsidR="00AF28E1" w:rsidRDefault="00317333">
      <w:pPr>
        <w:spacing w:after="0" w:line="360" w:lineRule="auto"/>
      </w:pPr>
      <w: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AF28E1" w:rsidRDefault="00AF28E1">
      <w:pPr>
        <w:spacing w:after="0" w:line="360" w:lineRule="auto"/>
      </w:pPr>
    </w:p>
    <w:p w:rsidR="00AF28E1" w:rsidRDefault="00317333">
      <w:pPr>
        <w:spacing w:after="0" w:line="360" w:lineRule="auto"/>
      </w:pPr>
      <w:r>
        <w:t xml:space="preserve">Además, en el artículo 5° de dicho ordenamiento jurídico, establece que es la Ley aplicable para todo tratamiento de datos personales. </w:t>
      </w:r>
    </w:p>
    <w:p w:rsidR="00AF28E1" w:rsidRDefault="00AF28E1">
      <w:pPr>
        <w:spacing w:after="0" w:line="360" w:lineRule="auto"/>
      </w:pPr>
    </w:p>
    <w:p w:rsidR="00AF28E1" w:rsidRDefault="00317333">
      <w:pPr>
        <w:spacing w:after="0" w:line="360" w:lineRule="auto"/>
      </w:pPr>
      <w: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AF28E1" w:rsidRDefault="00AF28E1">
      <w:pPr>
        <w:spacing w:after="0" w:line="360" w:lineRule="auto"/>
      </w:pPr>
    </w:p>
    <w:p w:rsidR="00AF28E1" w:rsidRDefault="00317333">
      <w:pPr>
        <w:spacing w:after="0" w:line="360" w:lineRule="auto"/>
      </w:pPr>
      <w: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AF28E1" w:rsidRDefault="00AF28E1">
      <w:pPr>
        <w:spacing w:after="0" w:line="360" w:lineRule="auto"/>
      </w:pPr>
    </w:p>
    <w:p w:rsidR="00AF28E1" w:rsidRDefault="00317333">
      <w:pPr>
        <w:spacing w:after="0" w:line="360" w:lineRule="auto"/>
      </w:pPr>
      <w:r>
        <w:lastRenderedPageBreak/>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AF28E1" w:rsidRDefault="00AF28E1">
      <w:pPr>
        <w:spacing w:after="0" w:line="360" w:lineRule="auto"/>
      </w:pPr>
    </w:p>
    <w:p w:rsidR="00AF28E1" w:rsidRDefault="00317333">
      <w:pPr>
        <w:spacing w:after="0" w:line="360" w:lineRule="auto"/>
      </w:pPr>
      <w:r>
        <w:t>De tal suerte, las instituciones públicas tienen la doble responsabilidad, por un lado, de proteger los datos personales y por otro, darles publicidad cuando la relevancia de esos datos sea de interés público.</w:t>
      </w:r>
    </w:p>
    <w:p w:rsidR="00AF28E1" w:rsidRDefault="00AF28E1">
      <w:pPr>
        <w:spacing w:after="0" w:line="360" w:lineRule="auto"/>
      </w:pPr>
    </w:p>
    <w:p w:rsidR="00AF28E1" w:rsidRDefault="00317333">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AF28E1" w:rsidRDefault="00AF28E1">
      <w:pPr>
        <w:spacing w:after="0" w:line="360" w:lineRule="auto"/>
      </w:pPr>
    </w:p>
    <w:p w:rsidR="00AF28E1" w:rsidRDefault="00317333">
      <w:pPr>
        <w:spacing w:after="0" w:line="360" w:lineRule="auto"/>
      </w:pPr>
      <w: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w:t>
      </w:r>
      <w:r>
        <w:lastRenderedPageBreak/>
        <w:t>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AF28E1" w:rsidRDefault="00AF28E1">
      <w:pPr>
        <w:spacing w:after="0" w:line="360" w:lineRule="auto"/>
      </w:pPr>
    </w:p>
    <w:p w:rsidR="00AF28E1" w:rsidRDefault="00317333">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AF28E1" w:rsidRDefault="00AF28E1">
      <w:pPr>
        <w:spacing w:after="0" w:line="360" w:lineRule="auto"/>
      </w:pPr>
    </w:p>
    <w:p w:rsidR="00AF28E1" w:rsidRDefault="00317333">
      <w:pPr>
        <w:spacing w:after="0" w:line="360" w:lineRule="auto"/>
      </w:pPr>
      <w: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u w:val="single"/>
        </w:rPr>
        <w:t>son números particulares, domicilio o correo electrónico de particulares</w:t>
      </w:r>
      <w:r>
        <w:t>, los cuales  actualizan la causal de clasificación establecida en el artículo 143, fracción I, de la Ley de Transparencia y Acceso a la Información Pública del Estado de México y Municipios.</w:t>
      </w:r>
    </w:p>
    <w:p w:rsidR="00AF28E1" w:rsidRDefault="00AF28E1">
      <w:pPr>
        <w:spacing w:after="0" w:line="360" w:lineRule="auto"/>
      </w:pPr>
    </w:p>
    <w:p w:rsidR="00AF28E1" w:rsidRDefault="00317333">
      <w:pPr>
        <w:spacing w:after="0" w:line="360" w:lineRule="auto"/>
        <w:rPr>
          <w:b/>
        </w:rPr>
      </w:pPr>
      <w: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AF28E1" w:rsidRDefault="00317333">
      <w:pPr>
        <w:spacing w:after="0" w:line="360" w:lineRule="auto"/>
        <w:rPr>
          <w:b/>
        </w:rPr>
      </w:pPr>
      <w:r>
        <w:rPr>
          <w:b/>
        </w:rPr>
        <w:lastRenderedPageBreak/>
        <w:t>SEXTO. Decisión</w:t>
      </w:r>
    </w:p>
    <w:p w:rsidR="00AF28E1" w:rsidRDefault="00AF28E1">
      <w:pPr>
        <w:spacing w:after="0" w:line="360" w:lineRule="auto"/>
        <w:rPr>
          <w:b/>
        </w:rPr>
      </w:pPr>
    </w:p>
    <w:p w:rsidR="00AF28E1" w:rsidRDefault="00317333">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REVOCAR</w:t>
      </w:r>
      <w:r>
        <w:t xml:space="preserve"> la respuesta otorgada por el Sujeto Obligado a la solicitud de información </w:t>
      </w:r>
      <w:r>
        <w:rPr>
          <w:b/>
          <w:color w:val="0D0D0D"/>
        </w:rPr>
        <w:t>00173/ACAMBAY/IP/2024</w:t>
      </w:r>
      <w:r>
        <w:t xml:space="preserve">, por resultar fundadas las razones o motivos de inconformidad hechos valer por el Recurrente, en el Recurso de Revisión </w:t>
      </w:r>
      <w:r>
        <w:rPr>
          <w:b/>
        </w:rPr>
        <w:t>07136/INFOEM/IP/RR/2024</w:t>
      </w:r>
      <w:r>
        <w:t xml:space="preserve">, en consecuencia procede </w:t>
      </w:r>
      <w:r>
        <w:rPr>
          <w:b/>
        </w:rPr>
        <w:t xml:space="preserve">ORDENAR, </w:t>
      </w:r>
      <w:r>
        <w:t xml:space="preserve">la entrega de la información conforme a lo expuesto en el considerando anterior. </w:t>
      </w:r>
    </w:p>
    <w:p w:rsidR="00AF28E1" w:rsidRDefault="00AF28E1">
      <w:pPr>
        <w:tabs>
          <w:tab w:val="left" w:pos="4962"/>
        </w:tabs>
        <w:spacing w:after="0" w:line="360" w:lineRule="auto"/>
        <w:rPr>
          <w:color w:val="000000"/>
        </w:rPr>
      </w:pPr>
    </w:p>
    <w:p w:rsidR="00AF28E1" w:rsidRDefault="00317333">
      <w:pPr>
        <w:spacing w:after="0" w:line="360" w:lineRule="auto"/>
        <w:rPr>
          <w:b/>
          <w:u w:val="single"/>
        </w:rPr>
      </w:pPr>
      <w:r>
        <w:rPr>
          <w:b/>
          <w:u w:val="single"/>
        </w:rPr>
        <w:t>Términos de la Resolución para el Recurrente</w:t>
      </w:r>
    </w:p>
    <w:p w:rsidR="00AF28E1" w:rsidRDefault="00AF28E1">
      <w:pPr>
        <w:spacing w:after="0" w:line="360" w:lineRule="auto"/>
      </w:pPr>
    </w:p>
    <w:p w:rsidR="00AF28E1" w:rsidRDefault="00317333">
      <w:pPr>
        <w:spacing w:after="0" w:line="360" w:lineRule="auto"/>
        <w:rPr>
          <w:u w:val="single"/>
        </w:rPr>
      </w:pPr>
      <w:r>
        <w:rPr>
          <w:u w:val="single"/>
        </w:rPr>
        <w:t xml:space="preserve">Se hace del conocimiento al Particular que este Organismo Garante le otorgó la razón en virtud de que el Sujeto Obligado no entregó la información solicitada y no procede la clasificación propuesta en respuesta, por lo que se ordena la entrega de la información. </w:t>
      </w:r>
    </w:p>
    <w:p w:rsidR="00AF28E1" w:rsidRDefault="00AF28E1">
      <w:pPr>
        <w:spacing w:after="0" w:line="360" w:lineRule="auto"/>
        <w:rPr>
          <w:u w:val="single"/>
        </w:rPr>
      </w:pPr>
    </w:p>
    <w:p w:rsidR="00AF28E1" w:rsidRDefault="00317333">
      <w:pPr>
        <w:spacing w:after="0" w:line="360" w:lineRule="auto"/>
        <w:rPr>
          <w:u w:val="single"/>
        </w:rPr>
      </w:pPr>
      <w:r>
        <w:rPr>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rsidR="00AF28E1" w:rsidRDefault="00AF28E1">
      <w:pPr>
        <w:spacing w:after="0" w:line="360" w:lineRule="auto"/>
        <w:rPr>
          <w:u w:val="single"/>
        </w:rPr>
      </w:pPr>
    </w:p>
    <w:p w:rsidR="00AF28E1" w:rsidRDefault="00317333">
      <w:pPr>
        <w:spacing w:after="0" w:line="360" w:lineRule="auto"/>
        <w:rPr>
          <w:u w:val="single"/>
        </w:rPr>
      </w:pPr>
      <w:r>
        <w:rPr>
          <w:u w:val="single"/>
        </w:rPr>
        <w:t>La labor del INFOEM, es apoyar a la población para acceder a la información pública y garantizar la protección de sus datos personales.</w:t>
      </w:r>
    </w:p>
    <w:p w:rsidR="00AF28E1" w:rsidRDefault="00AF28E1">
      <w:pPr>
        <w:tabs>
          <w:tab w:val="left" w:pos="4962"/>
        </w:tabs>
        <w:spacing w:after="0" w:line="360" w:lineRule="auto"/>
        <w:rPr>
          <w:color w:val="000000"/>
        </w:rPr>
      </w:pPr>
    </w:p>
    <w:p w:rsidR="00AF28E1" w:rsidRDefault="00317333">
      <w:pPr>
        <w:pStyle w:val="Ttulo1"/>
        <w:spacing w:before="0" w:after="0"/>
        <w:rPr>
          <w:b w:val="0"/>
          <w:sz w:val="22"/>
          <w:szCs w:val="22"/>
        </w:rPr>
      </w:pPr>
      <w:bookmarkStart w:id="14" w:name="_heading=h.1pxezwc" w:colFirst="0" w:colLast="0"/>
      <w:bookmarkEnd w:id="14"/>
      <w:r>
        <w:rPr>
          <w:sz w:val="22"/>
          <w:szCs w:val="22"/>
        </w:rPr>
        <w:t>R E S U E L V E</w:t>
      </w:r>
    </w:p>
    <w:p w:rsidR="00AF28E1" w:rsidRDefault="00AF28E1">
      <w:pPr>
        <w:spacing w:after="0" w:line="360" w:lineRule="auto"/>
        <w:rPr>
          <w:b/>
        </w:rPr>
      </w:pPr>
    </w:p>
    <w:p w:rsidR="00AF28E1" w:rsidRDefault="00317333">
      <w:pPr>
        <w:spacing w:after="0" w:line="360" w:lineRule="auto"/>
      </w:pPr>
      <w:r>
        <w:rPr>
          <w:b/>
        </w:rPr>
        <w:lastRenderedPageBreak/>
        <w:t xml:space="preserve">PRIMERO. </w:t>
      </w:r>
      <w:r>
        <w:t xml:space="preserve">Se </w:t>
      </w:r>
      <w:r>
        <w:rPr>
          <w:b/>
        </w:rPr>
        <w:t>REVOCA</w:t>
      </w:r>
      <w:r>
        <w:t xml:space="preserve"> la respuesta entregada por la Ayuntamiento de Acambay de Ruíz Castañeda a la solicitud de información </w:t>
      </w:r>
      <w:r>
        <w:rPr>
          <w:b/>
        </w:rPr>
        <w:t xml:space="preserve">00173/ACAMBAY/IP/2024 </w:t>
      </w:r>
      <w:r>
        <w:t xml:space="preserve">por resultar fundadas las razones o motivos de inconformidad hechos valer por el Recurrente en el Recurso de Revisión </w:t>
      </w:r>
      <w:r>
        <w:rPr>
          <w:b/>
        </w:rPr>
        <w:t>07136/INFOEM/IP/RR/2024</w:t>
      </w:r>
      <w:r>
        <w:t>, en términos de los considerandos QUINTO y SEXTO de la presente Resolución.</w:t>
      </w:r>
    </w:p>
    <w:p w:rsidR="00AF28E1" w:rsidRDefault="00AF28E1">
      <w:pPr>
        <w:spacing w:after="0" w:line="360" w:lineRule="auto"/>
      </w:pPr>
    </w:p>
    <w:p w:rsidR="00AF28E1" w:rsidRDefault="00317333">
      <w:pPr>
        <w:spacing w:after="0" w:line="360" w:lineRule="auto"/>
        <w:rPr>
          <w:b/>
          <w:color w:val="000000"/>
        </w:rPr>
      </w:pPr>
      <w:r>
        <w:rPr>
          <w:b/>
        </w:rPr>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w:t>
      </w:r>
      <w:r>
        <w:rPr>
          <w:b/>
          <w:color w:val="000000"/>
        </w:rPr>
        <w:t xml:space="preserve"> </w:t>
      </w:r>
      <w:r>
        <w:rPr>
          <w:color w:val="000000"/>
        </w:rPr>
        <w:t xml:space="preserve">los documentos que obren en los archivos del Sujeto Obligado </w:t>
      </w:r>
      <w:r>
        <w:rPr>
          <w:b/>
          <w:color w:val="000000"/>
        </w:rPr>
        <w:t>del periodo del 1° de enero al 9 de octubre de 2024</w:t>
      </w:r>
      <w:r>
        <w:rPr>
          <w:color w:val="000000"/>
        </w:rPr>
        <w:t xml:space="preserve"> y en los que conste bitácoras de reparación y mantenimiento a unidades vehiculares y en su caso en comodato.</w:t>
      </w:r>
    </w:p>
    <w:p w:rsidR="00AF28E1" w:rsidRDefault="00AF28E1">
      <w:pPr>
        <w:spacing w:after="0" w:line="360" w:lineRule="auto"/>
        <w:rPr>
          <w:color w:val="000000"/>
        </w:rPr>
      </w:pPr>
    </w:p>
    <w:p w:rsidR="00AF28E1" w:rsidRDefault="00317333">
      <w:pPr>
        <w:spacing w:after="0" w:line="360" w:lineRule="auto"/>
      </w:pPr>
      <w:r>
        <w:rPr>
          <w:color w:val="000000"/>
        </w:rPr>
        <w:t>De ser necesarias las versiones públicas, se deberá proporcionar el Acuerdo de Clasificación donde el Comité de Transparencia, confirme la eliminación de los datos o secciones clasificadas</w:t>
      </w:r>
      <w:r>
        <w:t>, de acuerdo con los artículos 49, fracciones II y VIII, 132, fracción II, 140 y 143, fracción I y 149 de la Ley de Transparencia y Acceso a la Información Pública del Estado de México y Municipios.</w:t>
      </w:r>
    </w:p>
    <w:p w:rsidR="00AF28E1" w:rsidRDefault="00AF28E1">
      <w:pPr>
        <w:spacing w:after="0" w:line="360" w:lineRule="auto"/>
        <w:rPr>
          <w:b/>
        </w:rPr>
      </w:pPr>
    </w:p>
    <w:p w:rsidR="00AF28E1" w:rsidRDefault="00317333">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AF28E1" w:rsidRDefault="00AF28E1">
      <w:pPr>
        <w:spacing w:after="0" w:line="360" w:lineRule="auto"/>
      </w:pPr>
    </w:p>
    <w:p w:rsidR="00AF28E1" w:rsidRDefault="00317333">
      <w:pPr>
        <w:spacing w:after="0" w:line="360" w:lineRule="auto"/>
      </w:pPr>
      <w: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F28E1" w:rsidRDefault="00AF28E1">
      <w:pPr>
        <w:spacing w:after="0" w:line="360" w:lineRule="auto"/>
        <w:rPr>
          <w:color w:val="000000"/>
        </w:rPr>
      </w:pPr>
    </w:p>
    <w:p w:rsidR="00AF28E1" w:rsidRDefault="00317333">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AF28E1" w:rsidRDefault="00AF28E1">
      <w:pPr>
        <w:tabs>
          <w:tab w:val="left" w:pos="4962"/>
        </w:tabs>
        <w:spacing w:after="0" w:line="360" w:lineRule="auto"/>
      </w:pPr>
    </w:p>
    <w:p w:rsidR="00AF28E1" w:rsidRDefault="00317333">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CON VOTO PARTICULAR, EN LA CUADRAGÉSIMA SEGUNDA SESIÓN ORDINARIA, CELEBRADA EL CUATRO DE DICIEMBRE DE DOS MIL VEINTICUATRO, ANTE EL SECRETARIO TÉCNICO DEL PLENO, ALEXIS TAPIA RAMÍREZ.</w:t>
      </w: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p w:rsidR="00AF28E1" w:rsidRDefault="00AF28E1">
      <w:pPr>
        <w:widowControl w:val="0"/>
        <w:spacing w:after="0" w:line="360" w:lineRule="auto"/>
        <w:rPr>
          <w:b/>
        </w:rPr>
      </w:pPr>
    </w:p>
    <w:sectPr w:rsidR="00AF28E1">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111" w:rsidRDefault="00514111">
      <w:pPr>
        <w:spacing w:after="0" w:line="240" w:lineRule="auto"/>
      </w:pPr>
      <w:r>
        <w:separator/>
      </w:r>
    </w:p>
  </w:endnote>
  <w:endnote w:type="continuationSeparator" w:id="0">
    <w:p w:rsidR="00514111" w:rsidRDefault="0051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E1" w:rsidRDefault="003173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2ED1">
      <w:rPr>
        <w:b/>
        <w:noProof/>
        <w:color w:val="000000"/>
        <w:sz w:val="24"/>
        <w:szCs w:val="24"/>
      </w:rPr>
      <w:t>24</w:t>
    </w:r>
    <w:r>
      <w:rPr>
        <w:b/>
        <w:color w:val="000000"/>
        <w:sz w:val="24"/>
        <w:szCs w:val="24"/>
      </w:rPr>
      <w:fldChar w:fldCharType="end"/>
    </w:r>
  </w:p>
  <w:p w:rsidR="00AF28E1" w:rsidRDefault="00AF28E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E1" w:rsidRDefault="003173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77445">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77445">
      <w:rPr>
        <w:b/>
        <w:noProof/>
        <w:color w:val="000000"/>
        <w:sz w:val="24"/>
        <w:szCs w:val="24"/>
      </w:rPr>
      <w:t>24</w:t>
    </w:r>
    <w:r>
      <w:rPr>
        <w:b/>
        <w:color w:val="000000"/>
        <w:sz w:val="24"/>
        <w:szCs w:val="24"/>
      </w:rPr>
      <w:fldChar w:fldCharType="end"/>
    </w:r>
  </w:p>
  <w:p w:rsidR="00AF28E1" w:rsidRDefault="00AF28E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E1" w:rsidRDefault="003173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7744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77445">
      <w:rPr>
        <w:b/>
        <w:noProof/>
        <w:color w:val="000000"/>
        <w:sz w:val="24"/>
        <w:szCs w:val="24"/>
      </w:rPr>
      <w:t>24</w:t>
    </w:r>
    <w:r>
      <w:rPr>
        <w:b/>
        <w:color w:val="000000"/>
        <w:sz w:val="24"/>
        <w:szCs w:val="24"/>
      </w:rPr>
      <w:fldChar w:fldCharType="end"/>
    </w:r>
  </w:p>
  <w:p w:rsidR="00AF28E1" w:rsidRDefault="00AF28E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111" w:rsidRDefault="00514111">
      <w:pPr>
        <w:spacing w:after="0" w:line="240" w:lineRule="auto"/>
      </w:pPr>
      <w:r>
        <w:separator/>
      </w:r>
    </w:p>
  </w:footnote>
  <w:footnote w:type="continuationSeparator" w:id="0">
    <w:p w:rsidR="00514111" w:rsidRDefault="00514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E1" w:rsidRDefault="00AF28E1">
    <w:pPr>
      <w:widowControl w:val="0"/>
      <w:pBdr>
        <w:top w:val="nil"/>
        <w:left w:val="nil"/>
        <w:bottom w:val="nil"/>
        <w:right w:val="nil"/>
        <w:between w:val="nil"/>
      </w:pBdr>
      <w:spacing w:after="0" w:line="276" w:lineRule="auto"/>
      <w:jc w:val="left"/>
      <w:rPr>
        <w:color w:val="000000"/>
      </w:rPr>
    </w:pPr>
  </w:p>
  <w:tbl>
    <w:tblPr>
      <w:tblStyle w:val="a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AF28E1">
      <w:trPr>
        <w:trHeight w:val="141"/>
      </w:trPr>
      <w:tc>
        <w:tcPr>
          <w:tcW w:w="0" w:type="auto"/>
        </w:tcPr>
        <w:p w:rsidR="00AF28E1" w:rsidRDefault="00317333">
          <w:pPr>
            <w:tabs>
              <w:tab w:val="right" w:pos="8838"/>
            </w:tabs>
            <w:ind w:right="-105"/>
            <w:rPr>
              <w:b/>
            </w:rPr>
          </w:pPr>
          <w:r>
            <w:rPr>
              <w:b/>
            </w:rPr>
            <w:t>Recurso de Revisión:</w:t>
          </w:r>
        </w:p>
      </w:tc>
      <w:tc>
        <w:tcPr>
          <w:tcW w:w="0" w:type="auto"/>
        </w:tcPr>
        <w:p w:rsidR="00AF28E1" w:rsidRDefault="00317333">
          <w:pPr>
            <w:tabs>
              <w:tab w:val="right" w:pos="8838"/>
            </w:tabs>
            <w:ind w:left="-28" w:right="683"/>
          </w:pPr>
          <w:r>
            <w:t>04196/INFOEM/IP/RR/2020</w:t>
          </w:r>
        </w:p>
      </w:tc>
    </w:tr>
    <w:tr w:rsidR="00AF28E1">
      <w:trPr>
        <w:trHeight w:val="276"/>
      </w:trPr>
      <w:tc>
        <w:tcPr>
          <w:tcW w:w="0" w:type="auto"/>
        </w:tcPr>
        <w:p w:rsidR="00AF28E1" w:rsidRDefault="00317333">
          <w:pPr>
            <w:tabs>
              <w:tab w:val="right" w:pos="8838"/>
            </w:tabs>
            <w:ind w:right="-105"/>
            <w:rPr>
              <w:b/>
            </w:rPr>
          </w:pPr>
          <w:r>
            <w:rPr>
              <w:b/>
            </w:rPr>
            <w:t>Sujeto Obligado:</w:t>
          </w:r>
        </w:p>
      </w:tc>
      <w:tc>
        <w:tcPr>
          <w:tcW w:w="0" w:type="auto"/>
        </w:tcPr>
        <w:p w:rsidR="00AF28E1" w:rsidRDefault="00317333">
          <w:pPr>
            <w:tabs>
              <w:tab w:val="right" w:pos="8838"/>
            </w:tabs>
            <w:ind w:right="116"/>
          </w:pPr>
          <w:r>
            <w:t>Ayuntamiento de Chapultepec</w:t>
          </w:r>
        </w:p>
      </w:tc>
    </w:tr>
    <w:tr w:rsidR="00AF28E1">
      <w:trPr>
        <w:trHeight w:val="276"/>
      </w:trPr>
      <w:tc>
        <w:tcPr>
          <w:tcW w:w="0" w:type="auto"/>
        </w:tcPr>
        <w:p w:rsidR="00AF28E1" w:rsidRDefault="00317333">
          <w:pPr>
            <w:tabs>
              <w:tab w:val="right" w:pos="8838"/>
            </w:tabs>
            <w:ind w:right="-105"/>
            <w:rPr>
              <w:b/>
            </w:rPr>
          </w:pPr>
          <w:r>
            <w:rPr>
              <w:b/>
            </w:rPr>
            <w:t>Comisionado Ponente:</w:t>
          </w:r>
        </w:p>
      </w:tc>
      <w:tc>
        <w:tcPr>
          <w:tcW w:w="0" w:type="auto"/>
        </w:tcPr>
        <w:p w:rsidR="00AF28E1" w:rsidRDefault="00317333">
          <w:pPr>
            <w:tabs>
              <w:tab w:val="right" w:pos="8838"/>
            </w:tabs>
            <w:ind w:right="-32"/>
          </w:pPr>
          <w:r>
            <w:t>Luis Gustavo Parra Noriega</w:t>
          </w:r>
        </w:p>
      </w:tc>
    </w:tr>
  </w:tbl>
  <w:p w:rsidR="00AF28E1" w:rsidRDefault="0051411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E1" w:rsidRDefault="00AF28E1">
    <w:pPr>
      <w:rPr>
        <w:sz w:val="16"/>
        <w:szCs w:val="16"/>
      </w:rPr>
    </w:pPr>
  </w:p>
  <w:tbl>
    <w:tblPr>
      <w:tblStyle w:val="aff0"/>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AF28E1">
      <w:trPr>
        <w:trHeight w:val="141"/>
      </w:trPr>
      <w:tc>
        <w:tcPr>
          <w:tcW w:w="2404" w:type="dxa"/>
        </w:tcPr>
        <w:p w:rsidR="00AF28E1" w:rsidRDefault="00317333">
          <w:pPr>
            <w:tabs>
              <w:tab w:val="right" w:pos="8838"/>
            </w:tabs>
            <w:ind w:left="-395" w:right="-105" w:firstLine="395"/>
            <w:rPr>
              <w:b/>
            </w:rPr>
          </w:pPr>
          <w:r>
            <w:rPr>
              <w:b/>
            </w:rPr>
            <w:t>Recurso de Revisión:</w:t>
          </w:r>
        </w:p>
      </w:tc>
      <w:tc>
        <w:tcPr>
          <w:tcW w:w="3408" w:type="dxa"/>
        </w:tcPr>
        <w:p w:rsidR="00AF28E1" w:rsidRDefault="00317333">
          <w:pPr>
            <w:tabs>
              <w:tab w:val="right" w:pos="8838"/>
            </w:tabs>
            <w:ind w:left="-28" w:right="454"/>
            <w:rPr>
              <w:b/>
            </w:rPr>
          </w:pPr>
          <w:bookmarkStart w:id="15" w:name="_heading=h.30j0zll" w:colFirst="0" w:colLast="0"/>
          <w:bookmarkEnd w:id="15"/>
          <w:r>
            <w:rPr>
              <w:b/>
            </w:rPr>
            <w:t>07136/INFOEM/IP/RR/2024</w:t>
          </w:r>
        </w:p>
      </w:tc>
    </w:tr>
    <w:tr w:rsidR="00AF28E1">
      <w:trPr>
        <w:trHeight w:val="276"/>
      </w:trPr>
      <w:tc>
        <w:tcPr>
          <w:tcW w:w="2404" w:type="dxa"/>
        </w:tcPr>
        <w:p w:rsidR="00AF28E1" w:rsidRDefault="00317333">
          <w:pPr>
            <w:tabs>
              <w:tab w:val="right" w:pos="8838"/>
            </w:tabs>
            <w:ind w:right="-105"/>
            <w:rPr>
              <w:b/>
            </w:rPr>
          </w:pPr>
          <w:r>
            <w:rPr>
              <w:b/>
            </w:rPr>
            <w:t>Sujeto Obligado:</w:t>
          </w:r>
        </w:p>
      </w:tc>
      <w:tc>
        <w:tcPr>
          <w:tcW w:w="3408" w:type="dxa"/>
        </w:tcPr>
        <w:p w:rsidR="00AF28E1" w:rsidRDefault="00317333">
          <w:pPr>
            <w:tabs>
              <w:tab w:val="left" w:pos="3158"/>
              <w:tab w:val="left" w:pos="4292"/>
              <w:tab w:val="right" w:pos="8838"/>
            </w:tabs>
            <w:ind w:right="601"/>
          </w:pPr>
          <w:r>
            <w:t>Ayuntamiento de Acambay de Ruíz Castañeda</w:t>
          </w:r>
        </w:p>
      </w:tc>
    </w:tr>
    <w:tr w:rsidR="00AF28E1">
      <w:trPr>
        <w:trHeight w:val="276"/>
      </w:trPr>
      <w:tc>
        <w:tcPr>
          <w:tcW w:w="2404" w:type="dxa"/>
        </w:tcPr>
        <w:p w:rsidR="00AF28E1" w:rsidRDefault="00317333">
          <w:pPr>
            <w:tabs>
              <w:tab w:val="right" w:pos="8838"/>
            </w:tabs>
            <w:ind w:right="-105"/>
            <w:rPr>
              <w:b/>
            </w:rPr>
          </w:pPr>
          <w:r>
            <w:rPr>
              <w:b/>
            </w:rPr>
            <w:t>Comisionado Ponente:</w:t>
          </w:r>
        </w:p>
      </w:tc>
      <w:tc>
        <w:tcPr>
          <w:tcW w:w="3408" w:type="dxa"/>
        </w:tcPr>
        <w:p w:rsidR="00AF28E1" w:rsidRDefault="00317333">
          <w:pPr>
            <w:tabs>
              <w:tab w:val="right" w:pos="8838"/>
            </w:tabs>
            <w:ind w:right="454"/>
          </w:pPr>
          <w:r>
            <w:t>Luis Gustavo Parra Noriega</w:t>
          </w:r>
        </w:p>
        <w:p w:rsidR="00AF28E1" w:rsidRDefault="00AF28E1">
          <w:pPr>
            <w:tabs>
              <w:tab w:val="right" w:pos="8838"/>
            </w:tabs>
            <w:ind w:right="454"/>
          </w:pPr>
        </w:p>
      </w:tc>
    </w:tr>
  </w:tbl>
  <w:p w:rsidR="00AF28E1" w:rsidRDefault="0051411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E1" w:rsidRDefault="00514111">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f1"/>
      <w:tblW w:w="9214" w:type="dxa"/>
      <w:tblInd w:w="0" w:type="dxa"/>
      <w:tblLayout w:type="fixed"/>
      <w:tblLook w:val="0400" w:firstRow="0" w:lastRow="0" w:firstColumn="0" w:lastColumn="0" w:noHBand="0" w:noVBand="1"/>
    </w:tblPr>
    <w:tblGrid>
      <w:gridCol w:w="2127"/>
      <w:gridCol w:w="7087"/>
    </w:tblGrid>
    <w:tr w:rsidR="00AF28E1">
      <w:trPr>
        <w:trHeight w:val="1546"/>
      </w:trPr>
      <w:tc>
        <w:tcPr>
          <w:tcW w:w="2127" w:type="dxa"/>
          <w:shd w:val="clear" w:color="auto" w:fill="auto"/>
        </w:tcPr>
        <w:p w:rsidR="00AF28E1" w:rsidRDefault="00AF28E1">
          <w:pPr>
            <w:tabs>
              <w:tab w:val="right" w:pos="4273"/>
            </w:tabs>
            <w:rPr>
              <w:rFonts w:ascii="Garamond" w:eastAsia="Garamond" w:hAnsi="Garamond" w:cs="Garamond"/>
              <w:sz w:val="16"/>
              <w:szCs w:val="16"/>
            </w:rPr>
          </w:pPr>
        </w:p>
      </w:tc>
      <w:tc>
        <w:tcPr>
          <w:tcW w:w="7087" w:type="dxa"/>
          <w:shd w:val="clear" w:color="auto" w:fill="auto"/>
        </w:tcPr>
        <w:p w:rsidR="00AF28E1" w:rsidRDefault="00AF28E1">
          <w:pPr>
            <w:rPr>
              <w:sz w:val="10"/>
              <w:szCs w:val="10"/>
            </w:rPr>
          </w:pPr>
        </w:p>
        <w:tbl>
          <w:tblPr>
            <w:tblStyle w:val="aff2"/>
            <w:tblW w:w="5812" w:type="dxa"/>
            <w:tblInd w:w="1167" w:type="dxa"/>
            <w:tblLayout w:type="fixed"/>
            <w:tblLook w:val="0400" w:firstRow="0" w:lastRow="0" w:firstColumn="0" w:lastColumn="0" w:noHBand="0" w:noVBand="1"/>
          </w:tblPr>
          <w:tblGrid>
            <w:gridCol w:w="2583"/>
            <w:gridCol w:w="3229"/>
          </w:tblGrid>
          <w:tr w:rsidR="00AF28E1">
            <w:trPr>
              <w:trHeight w:val="427"/>
            </w:trPr>
            <w:tc>
              <w:tcPr>
                <w:tcW w:w="2583" w:type="dxa"/>
                <w:vAlign w:val="bottom"/>
              </w:tcPr>
              <w:p w:rsidR="00AF28E1" w:rsidRDefault="00317333">
                <w:pPr>
                  <w:tabs>
                    <w:tab w:val="right" w:pos="8838"/>
                  </w:tabs>
                  <w:ind w:right="-105"/>
                  <w:rPr>
                    <w:b/>
                  </w:rPr>
                </w:pPr>
                <w:r>
                  <w:rPr>
                    <w:b/>
                  </w:rPr>
                  <w:t>Recurso de Revisión:</w:t>
                </w:r>
              </w:p>
            </w:tc>
            <w:tc>
              <w:tcPr>
                <w:tcW w:w="3229" w:type="dxa"/>
              </w:tcPr>
              <w:p w:rsidR="00AF28E1" w:rsidRDefault="00AF28E1">
                <w:pPr>
                  <w:tabs>
                    <w:tab w:val="right" w:pos="8838"/>
                  </w:tabs>
                  <w:ind w:left="-28" w:right="-107"/>
                  <w:rPr>
                    <w:b/>
                  </w:rPr>
                </w:pPr>
              </w:p>
              <w:p w:rsidR="00AF28E1" w:rsidRDefault="00317333">
                <w:pPr>
                  <w:tabs>
                    <w:tab w:val="right" w:pos="8838"/>
                  </w:tabs>
                  <w:ind w:left="-28" w:right="-107"/>
                  <w:rPr>
                    <w:b/>
                  </w:rPr>
                </w:pPr>
                <w:r>
                  <w:rPr>
                    <w:b/>
                  </w:rPr>
                  <w:t>07136/INFOEM/IP/RR/2024</w:t>
                </w:r>
              </w:p>
            </w:tc>
          </w:tr>
          <w:tr w:rsidR="00AF28E1">
            <w:trPr>
              <w:trHeight w:val="141"/>
            </w:trPr>
            <w:tc>
              <w:tcPr>
                <w:tcW w:w="2583" w:type="dxa"/>
              </w:tcPr>
              <w:p w:rsidR="00AF28E1" w:rsidRDefault="00317333">
                <w:pPr>
                  <w:tabs>
                    <w:tab w:val="right" w:pos="8838"/>
                  </w:tabs>
                  <w:ind w:right="-105"/>
                  <w:rPr>
                    <w:b/>
                  </w:rPr>
                </w:pPr>
                <w:r>
                  <w:rPr>
                    <w:b/>
                  </w:rPr>
                  <w:t>Recurrente:</w:t>
                </w:r>
              </w:p>
            </w:tc>
            <w:tc>
              <w:tcPr>
                <w:tcW w:w="3229" w:type="dxa"/>
              </w:tcPr>
              <w:p w:rsidR="00AF28E1" w:rsidRDefault="007C38F9">
                <w:pPr>
                  <w:tabs>
                    <w:tab w:val="right" w:pos="8838"/>
                  </w:tabs>
                  <w:ind w:right="-107"/>
                </w:pPr>
                <w:r w:rsidRPr="00DA7B2E">
                  <w:rPr>
                    <w:highlight w:val="black"/>
                  </w:rPr>
                  <w:t>XXXXXXXXXXXXXXXXXXXXX</w:t>
                </w:r>
              </w:p>
            </w:tc>
          </w:tr>
          <w:tr w:rsidR="00AF28E1">
            <w:trPr>
              <w:trHeight w:val="276"/>
            </w:trPr>
            <w:tc>
              <w:tcPr>
                <w:tcW w:w="2583" w:type="dxa"/>
              </w:tcPr>
              <w:p w:rsidR="00AF28E1" w:rsidRDefault="00317333">
                <w:pPr>
                  <w:tabs>
                    <w:tab w:val="right" w:pos="8838"/>
                  </w:tabs>
                  <w:ind w:right="-105"/>
                  <w:rPr>
                    <w:b/>
                  </w:rPr>
                </w:pPr>
                <w:r>
                  <w:rPr>
                    <w:b/>
                  </w:rPr>
                  <w:t>Sujeto Obligado:</w:t>
                </w:r>
              </w:p>
            </w:tc>
            <w:tc>
              <w:tcPr>
                <w:tcW w:w="3229" w:type="dxa"/>
              </w:tcPr>
              <w:p w:rsidR="00AF28E1" w:rsidRDefault="00317333">
                <w:pPr>
                  <w:tabs>
                    <w:tab w:val="right" w:pos="8838"/>
                  </w:tabs>
                  <w:ind w:right="33"/>
                </w:pPr>
                <w:r>
                  <w:t>Ayuntamiento de Acambay de Ruíz Castañeda</w:t>
                </w:r>
              </w:p>
            </w:tc>
          </w:tr>
          <w:tr w:rsidR="00AF28E1">
            <w:trPr>
              <w:trHeight w:val="276"/>
            </w:trPr>
            <w:tc>
              <w:tcPr>
                <w:tcW w:w="2583" w:type="dxa"/>
              </w:tcPr>
              <w:p w:rsidR="00AF28E1" w:rsidRDefault="00317333">
                <w:pPr>
                  <w:tabs>
                    <w:tab w:val="right" w:pos="8838"/>
                  </w:tabs>
                  <w:ind w:right="-105"/>
                  <w:rPr>
                    <w:b/>
                  </w:rPr>
                </w:pPr>
                <w:r>
                  <w:rPr>
                    <w:b/>
                  </w:rPr>
                  <w:t>Comisionado Ponente:</w:t>
                </w:r>
              </w:p>
            </w:tc>
            <w:tc>
              <w:tcPr>
                <w:tcW w:w="3229" w:type="dxa"/>
              </w:tcPr>
              <w:p w:rsidR="00AF28E1" w:rsidRDefault="00317333">
                <w:pPr>
                  <w:tabs>
                    <w:tab w:val="right" w:pos="8838"/>
                  </w:tabs>
                  <w:ind w:right="-107"/>
                </w:pPr>
                <w:r>
                  <w:t>Luis Gustavo Parra Noriega</w:t>
                </w:r>
              </w:p>
            </w:tc>
          </w:tr>
        </w:tbl>
        <w:p w:rsidR="00AF28E1" w:rsidRDefault="00AF28E1">
          <w:pPr>
            <w:tabs>
              <w:tab w:val="right" w:pos="8838"/>
            </w:tabs>
            <w:ind w:left="-28"/>
            <w:rPr>
              <w:rFonts w:ascii="Arial" w:eastAsia="Arial" w:hAnsi="Arial" w:cs="Arial"/>
              <w:b/>
            </w:rPr>
          </w:pPr>
        </w:p>
      </w:tc>
    </w:tr>
  </w:tbl>
  <w:p w:rsidR="00AF28E1" w:rsidRDefault="00AF28E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06F5"/>
    <w:multiLevelType w:val="multilevel"/>
    <w:tmpl w:val="28627D36"/>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027EA0"/>
    <w:multiLevelType w:val="multilevel"/>
    <w:tmpl w:val="4D703A0C"/>
    <w:lvl w:ilvl="0">
      <w:start w:val="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3B0AFB"/>
    <w:multiLevelType w:val="multilevel"/>
    <w:tmpl w:val="C74E6F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E1"/>
    <w:rsid w:val="000565BA"/>
    <w:rsid w:val="00077445"/>
    <w:rsid w:val="00317333"/>
    <w:rsid w:val="00514111"/>
    <w:rsid w:val="006C53F6"/>
    <w:rsid w:val="007C38F9"/>
    <w:rsid w:val="00AF28E1"/>
    <w:rsid w:val="00C46E31"/>
    <w:rsid w:val="00CF4CE1"/>
    <w:rsid w:val="00E867D9"/>
    <w:rsid w:val="00E96C01"/>
    <w:rsid w:val="00FA2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87B26FC-CFFA-4837-BB59-1D58F011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7"/>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7"/>
    <w:pPr>
      <w:spacing w:after="0" w:line="240" w:lineRule="auto"/>
    </w:pPr>
    <w:tblPr>
      <w:tblStyleRowBandSize w:val="1"/>
      <w:tblStyleColBandSize w:val="1"/>
      <w:tblCellMar>
        <w:left w:w="108" w:type="dxa"/>
        <w:right w:w="108" w:type="dxa"/>
      </w:tblCellMar>
    </w:tblPr>
  </w:style>
  <w:style w:type="table" w:customStyle="1" w:styleId="a6">
    <w:basedOn w:val="TableNormal7"/>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6"/>
    <w:pPr>
      <w:spacing w:after="0" w:line="240" w:lineRule="auto"/>
    </w:pPr>
    <w:tblPr>
      <w:tblStyleRowBandSize w:val="1"/>
      <w:tblStyleColBandSize w:val="1"/>
      <w:tblCellMar>
        <w:left w:w="108" w:type="dxa"/>
        <w:right w:w="108" w:type="dxa"/>
      </w:tblCellMar>
    </w:tblPr>
  </w:style>
  <w:style w:type="table" w:customStyle="1" w:styleId="a9">
    <w:basedOn w:val="TableNormal6"/>
    <w:pPr>
      <w:spacing w:after="0" w:line="240" w:lineRule="auto"/>
    </w:pPr>
    <w:tblPr>
      <w:tblStyleRowBandSize w:val="1"/>
      <w:tblStyleColBandSize w:val="1"/>
      <w:tblCellMar>
        <w:left w:w="108" w:type="dxa"/>
        <w:right w:w="108" w:type="dxa"/>
      </w:tblCellMar>
    </w:tblPr>
  </w:style>
  <w:style w:type="table" w:customStyle="1" w:styleId="aa">
    <w:basedOn w:val="TableNormal6"/>
    <w:pPr>
      <w:spacing w:after="0" w:line="240" w:lineRule="auto"/>
    </w:pPr>
    <w:tblPr>
      <w:tblStyleRowBandSize w:val="1"/>
      <w:tblStyleColBandSize w:val="1"/>
      <w:tblCellMar>
        <w:left w:w="108" w:type="dxa"/>
        <w:right w:w="108" w:type="dxa"/>
      </w:tblCellMar>
    </w:tblPr>
  </w:style>
  <w:style w:type="table" w:customStyle="1" w:styleId="ab">
    <w:basedOn w:val="TableNormal5"/>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 w:type="table" w:customStyle="1" w:styleId="ae">
    <w:basedOn w:val="TableNormal5"/>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SREJDF4JWJfta6gbHkpLH8gcg==">CgMxLjAyCWguMmp4c3hxaDIIaC56MzM3eWEyCWguM2oycXFtMzIJaC4xeTgxMHR3MgloLjJldDkycDAyCWguNGk3b2pocDIIaC5namRneHMyCWguMnhjeXRwaTIJaC4xY2k5M3hiMgloLjN3aHdtbDQyCWguMmJuNndzeDIIaC5xc2g3MHEyCWguM2FzNHBvajIJaC4xcHhlendjMgloLjMwajB6bGw4AHIhMTdVbXVRc2UzbmswQTNKSncyQlJ3bkJPSTJXeEJROE1x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5923</Words>
  <Characters>32579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2024-12-05T17:19:00Z</cp:lastPrinted>
  <dcterms:created xsi:type="dcterms:W3CDTF">2024-12-05T17:19:00Z</dcterms:created>
  <dcterms:modified xsi:type="dcterms:W3CDTF">2025-02-04T21:03:00Z</dcterms:modified>
</cp:coreProperties>
</file>