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1fob9te"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rtl w:val="0"/>
        </w:rPr>
        <w:t xml:space="preserve">diecisiete de enero de dos mil veinticuatro</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07169/INFOEM/IP/RR/2023</w:t>
      </w:r>
      <w:r w:rsidDel="00000000" w:rsidR="00000000" w:rsidRPr="00000000">
        <w:rPr>
          <w:rFonts w:ascii="Palatino Linotype" w:cs="Palatino Linotype" w:eastAsia="Palatino Linotype" w:hAnsi="Palatino Linotype"/>
          <w:rtl w:val="0"/>
        </w:rPr>
        <w:t xml:space="preserve">, por interpuesto por</w:t>
      </w:r>
      <w:r w:rsidDel="00000000" w:rsidR="00000000" w:rsidRPr="00000000">
        <w:rPr>
          <w:rFonts w:ascii="Palatino Linotype" w:cs="Palatino Linotype" w:eastAsia="Palatino Linotype" w:hAnsi="Palatino Linotype"/>
          <w:b w:val="1"/>
          <w:rtl w:val="0"/>
        </w:rPr>
        <w:t xml:space="preserve"> un particular de manera anónima</w:t>
      </w:r>
      <w:r w:rsidDel="00000000" w:rsidR="00000000" w:rsidRPr="00000000">
        <w:rPr>
          <w:rFonts w:ascii="Palatino Linotype" w:cs="Palatino Linotype" w:eastAsia="Palatino Linotype" w:hAnsi="Palatino Linotype"/>
          <w:rtl w:val="0"/>
        </w:rPr>
        <w:t xml:space="preserve">, en lo sucesivo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contra de la respuesta a su solicitud por parte del </w:t>
      </w:r>
      <w:r w:rsidDel="00000000" w:rsidR="00000000" w:rsidRPr="00000000">
        <w:rPr>
          <w:rFonts w:ascii="Palatino Linotype" w:cs="Palatino Linotype" w:eastAsia="Palatino Linotype" w:hAnsi="Palatino Linotype"/>
          <w:b w:val="1"/>
          <w:rtl w:val="0"/>
        </w:rPr>
        <w:t xml:space="preserve">Ayuntamiento de Zinacantepec,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veintiocho de septiembre del dos mil veintitrés,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01959/ZINACANT/IP/2023,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before="240" w:lineRule="auto"/>
        <w:ind w:left="851" w:right="902" w:firstLine="0"/>
        <w:jc w:val="both"/>
        <w:rPr>
          <w:rFonts w:ascii="Palatino Linotype" w:cs="Palatino Linotype" w:eastAsia="Palatino Linotype" w:hAnsi="Palatino Linotype"/>
          <w:i w:val="1"/>
          <w:sz w:val="22"/>
          <w:szCs w:val="22"/>
        </w:rPr>
      </w:pPr>
      <w:bookmarkStart w:colFirst="0" w:colLast="0" w:name="_heading=h.gjdgxs" w:id="1"/>
      <w:bookmarkEnd w:id="1"/>
      <w:r w:rsidDel="00000000" w:rsidR="00000000" w:rsidRPr="00000000">
        <w:rPr>
          <w:rFonts w:ascii="Palatino Linotype" w:cs="Palatino Linotype" w:eastAsia="Palatino Linotype" w:hAnsi="Palatino Linotype"/>
          <w:i w:val="1"/>
          <w:sz w:val="22"/>
          <w:szCs w:val="22"/>
          <w:rtl w:val="0"/>
        </w:rPr>
        <w:t xml:space="preserve">“SOLICITO </w:t>
      </w:r>
      <w:r w:rsidDel="00000000" w:rsidR="00000000" w:rsidRPr="00000000">
        <w:rPr>
          <w:rFonts w:ascii="Palatino Linotype" w:cs="Palatino Linotype" w:eastAsia="Palatino Linotype" w:hAnsi="Palatino Linotype"/>
          <w:b w:val="1"/>
          <w:i w:val="1"/>
          <w:sz w:val="22"/>
          <w:szCs w:val="22"/>
          <w:u w:val="single"/>
          <w:rtl w:val="0"/>
        </w:rPr>
        <w:t xml:space="preserve">EL CONVENIO REALIZADO DEL AYUNTAMIENTO DE ZINACANTEPEC CON EL CLUB DEPORTIVO TOLUCA</w:t>
      </w:r>
      <w:r w:rsidDel="00000000" w:rsidR="00000000" w:rsidRPr="00000000">
        <w:rPr>
          <w:rFonts w:ascii="Palatino Linotype" w:cs="Palatino Linotype" w:eastAsia="Palatino Linotype" w:hAnsi="Palatino Linotype"/>
          <w:i w:val="1"/>
          <w:sz w:val="22"/>
          <w:szCs w:val="22"/>
          <w:rtl w:val="0"/>
        </w:rPr>
        <w:t xml:space="preserve"> EQUIPO DE LA PRIMERA DIVISION DEL LA LIGA DEL FUTBOL MEXICANO, ASI O MAS CLARO???” (Sic) </w:t>
      </w:r>
    </w:p>
    <w:p w:rsidR="00000000" w:rsidDel="00000000" w:rsidP="00000000" w:rsidRDefault="00000000" w:rsidRPr="00000000" w14:paraId="0000000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spacing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diecisiete de octubre de dos mil veintitrés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A">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B">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APRECIABLE XXXXXXXXXXX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01959/ZINACANT/IP/2023, recibida a través del Sistema SAIMEX, en donde se solicita textualmente lo siguiente: “SOLICITO EL CONVENIO REALIZADO DEL AYUNTAMIENTO DE ZINACANTEPEC CON EL CLUB DEPORTIVO TOLUCA EQUIPO DE LA PRIMERA DIVISION DEL LA LIGA DEL FUTBOL MEXICANO, ASI O MAS CLARO???.” (sic). En apego a lo establecido </w:t>
      </w:r>
      <w:r w:rsidDel="00000000" w:rsidR="00000000" w:rsidRPr="00000000">
        <w:rPr>
          <w:rFonts w:ascii="Palatino Linotype" w:cs="Palatino Linotype" w:eastAsia="Palatino Linotype" w:hAnsi="Palatino Linotype"/>
          <w:b w:val="1"/>
          <w:i w:val="1"/>
          <w:sz w:val="22"/>
          <w:szCs w:val="22"/>
          <w:u w:val="single"/>
          <w:rtl w:val="0"/>
        </w:rPr>
        <w:t xml:space="preserve">su solicitud fue analizada y turnada al área poseedora de la información, en este caso a la Dirección de Administración</w:t>
      </w:r>
      <w:r w:rsidDel="00000000" w:rsidR="00000000" w:rsidRPr="00000000">
        <w:rPr>
          <w:rFonts w:ascii="Palatino Linotype" w:cs="Palatino Linotype" w:eastAsia="Palatino Linotype" w:hAnsi="Palatino Linotype"/>
          <w:i w:val="1"/>
          <w:sz w:val="22"/>
          <w:szCs w:val="22"/>
          <w:rtl w:val="0"/>
        </w:rPr>
        <w:t xml:space="preserve">,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rsidR="00000000" w:rsidDel="00000000" w:rsidP="00000000" w:rsidRDefault="00000000" w:rsidRPr="00000000" w14:paraId="0000000C">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D">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BRENDA SELENE HERNANDEZ LOPEZ” </w:t>
      </w:r>
    </w:p>
    <w:p w:rsidR="00000000" w:rsidDel="00000000" w:rsidP="00000000" w:rsidRDefault="00000000" w:rsidRPr="00000000" w14:paraId="0000000E">
      <w:pPr>
        <w:spacing w:after="240" w:before="240" w:lineRule="auto"/>
        <w:ind w:left="567" w:right="902"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Archivos adjuntos: </w:t>
      </w:r>
    </w:p>
    <w:p w:rsidR="00000000" w:rsidDel="00000000" w:rsidP="00000000" w:rsidRDefault="00000000" w:rsidRPr="00000000" w14:paraId="0000000F">
      <w:pPr>
        <w:spacing w:after="240" w:before="240" w:line="360" w:lineRule="auto"/>
        <w:ind w:left="567"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“Oficio de Atención a Solicitud 01959 ZINACANT- 2023.pdf”: </w:t>
      </w:r>
      <w:r w:rsidDel="00000000" w:rsidR="00000000" w:rsidRPr="00000000">
        <w:rPr>
          <w:rFonts w:ascii="Palatino Linotype" w:cs="Palatino Linotype" w:eastAsia="Palatino Linotype" w:hAnsi="Palatino Linotype"/>
          <w:rtl w:val="0"/>
        </w:rPr>
        <w:t xml:space="preserve">Oficio signado por la Directora de Administración, quien refiere adjuntar la versión pública del convenio de colaboración que se celebró entre el Ayuntamiento del Zinacantepec y el Deportivo Toluca, Futbol Club S.A de C.V.</w:t>
      </w:r>
    </w:p>
    <w:p w:rsidR="00000000" w:rsidDel="00000000" w:rsidP="00000000" w:rsidRDefault="00000000" w:rsidRPr="00000000" w14:paraId="00000010">
      <w:pPr>
        <w:spacing w:after="240" w:before="240" w:line="360" w:lineRule="auto"/>
        <w:ind w:left="567"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“Convenio con Club Deportivo Toluca VP - Adquisición de Abonos.pdf”: </w:t>
      </w:r>
      <w:r w:rsidDel="00000000" w:rsidR="00000000" w:rsidRPr="00000000">
        <w:rPr>
          <w:rFonts w:ascii="Palatino Linotype" w:cs="Palatino Linotype" w:eastAsia="Palatino Linotype" w:hAnsi="Palatino Linotype"/>
          <w:rtl w:val="0"/>
        </w:rPr>
        <w:t xml:space="preserve">Convenio de Colaboración que celebran por una parte, el Ayuntamiento de Zinacantepec y el Deportivo Toluca, Futbol Club S.A de C.V., en versión pública, testando datos como titular de cuenta bancaria, institución bancaria, número de cuenta, sucursal y clabe interbancaria.</w:t>
      </w:r>
    </w:p>
    <w:p w:rsidR="00000000" w:rsidDel="00000000" w:rsidP="00000000" w:rsidRDefault="00000000" w:rsidRPr="00000000" w14:paraId="00000011">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dieciocho de octubre de dos mil veintitrés,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r w:rsidDel="00000000" w:rsidR="00000000" w:rsidRPr="00000000">
        <w:rPr>
          <w:rtl w:val="0"/>
        </w:rPr>
      </w:r>
    </w:p>
    <w:p w:rsidR="00000000" w:rsidDel="00000000" w:rsidP="00000000" w:rsidRDefault="00000000" w:rsidRPr="00000000" w14:paraId="00000012">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 </w:t>
        <w:tab/>
      </w:r>
    </w:p>
    <w:p w:rsidR="00000000" w:rsidDel="00000000" w:rsidP="00000000" w:rsidRDefault="00000000" w:rsidRPr="00000000" w14:paraId="00000013">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ENTREGA INFORMACIÓN” (Sic)</w:t>
      </w:r>
    </w:p>
    <w:p w:rsidR="00000000" w:rsidDel="00000000" w:rsidP="00000000" w:rsidRDefault="00000000" w:rsidRPr="00000000" w14:paraId="00000014">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16">
      <w:pPr>
        <w:ind w:left="567" w:right="902" w:firstLine="0"/>
        <w:jc w:val="both"/>
        <w:rPr>
          <w:rFonts w:ascii="Palatino Linotype" w:cs="Palatino Linotype" w:eastAsia="Palatino Linotype" w:hAnsi="Palatino Linotype"/>
          <w:i w:val="1"/>
          <w:sz w:val="22"/>
          <w:szCs w:val="22"/>
        </w:rPr>
      </w:pPr>
      <w:bookmarkStart w:colFirst="0" w:colLast="0" w:name="_heading=h.30j0zll" w:id="2"/>
      <w:bookmarkEnd w:id="2"/>
      <w:r w:rsidDel="00000000" w:rsidR="00000000" w:rsidRPr="00000000">
        <w:rPr>
          <w:rFonts w:ascii="Palatino Linotype" w:cs="Palatino Linotype" w:eastAsia="Palatino Linotype" w:hAnsi="Palatino Linotype"/>
          <w:i w:val="1"/>
          <w:sz w:val="22"/>
          <w:szCs w:val="22"/>
          <w:rtl w:val="0"/>
        </w:rPr>
        <w:t xml:space="preserve"> “NO HAY INFORMACIÓN” (Sic) </w:t>
      </w:r>
    </w:p>
    <w:p w:rsidR="00000000" w:rsidDel="00000000" w:rsidP="00000000" w:rsidRDefault="00000000" w:rsidRPr="00000000" w14:paraId="00000017">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8">
      <w:pPr>
        <w:ind w:right="90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9">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Del="00000000" w:rsidR="00000000" w:rsidRPr="00000000">
        <w:rPr>
          <w:rFonts w:ascii="Palatino Linotype" w:cs="Palatino Linotype" w:eastAsia="Palatino Linotype" w:hAnsi="Palatino Linotype"/>
          <w:b w:val="1"/>
          <w:rtl w:val="0"/>
        </w:rPr>
        <w:t xml:space="preserve">Comisionada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A">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B">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rtl w:val="0"/>
        </w:rPr>
        <w:t xml:space="preserve"> veintitrés de octubre de dos mil veintitrés,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C">
      <w:pPr>
        <w:spacing w:after="240" w:line="360" w:lineRule="auto"/>
        <w:jc w:val="both"/>
        <w:rPr>
          <w:rFonts w:ascii="Palatino Linotype" w:cs="Palatino Linotype" w:eastAsia="Palatino Linotype" w:hAnsi="Palatino Linotype"/>
        </w:rPr>
      </w:pPr>
      <w:bookmarkStart w:colFirst="0" w:colLast="0" w:name="_heading=h.2s8eyo1" w:id="3"/>
      <w:bookmarkEnd w:id="3"/>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las constancias que obran en el expediente electrónico, se advierte que las partes fueron omisas en emitir sus alegatos, informe justificado o cualquier manifestación que a su derecho conviniera, por lo que se tiene por precluido su derecho para tal efecto.</w:t>
      </w:r>
    </w:p>
    <w:p w:rsidR="00000000" w:rsidDel="00000000" w:rsidP="00000000" w:rsidRDefault="00000000" w:rsidRPr="00000000" w14:paraId="0000001D">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765" cy="1497330"/>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612765" cy="149733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widowControl w:val="0"/>
        <w:tabs>
          <w:tab w:val="left" w:leader="none"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del plazo para emitir resolución.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catorce de diciembre de dos mil veintitrés</w:t>
      </w:r>
      <w:r w:rsidDel="00000000" w:rsidR="00000000" w:rsidRPr="00000000">
        <w:rPr>
          <w:rFonts w:ascii="Palatino Linotype" w:cs="Palatino Linotype" w:eastAsia="Palatino Linotype" w:hAnsi="Palatino Linotype"/>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1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7">
      <w:pPr>
        <w:spacing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9">
      <w:pPr>
        <w:numPr>
          <w:ilvl w:val="0"/>
          <w:numId w:val="4"/>
        </w:numPr>
        <w:spacing w:line="360" w:lineRule="auto"/>
        <w:ind w:left="567" w:right="900"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Complejidad del Asunto:</w:t>
      </w:r>
      <w:r w:rsidDel="00000000" w:rsidR="00000000" w:rsidRPr="00000000">
        <w:rPr>
          <w:rFonts w:ascii="Palatino Linotype" w:cs="Palatino Linotype" w:eastAsia="Palatino Linotype" w:hAnsi="Palatino Linotype"/>
          <w:rtl w:val="0"/>
        </w:rPr>
        <w:t xml:space="preserve"> La complejidad de la prueba, la pluralidad de sujetos procesales, el tiempo transcurrido, las características y contexto del recurso. </w:t>
      </w:r>
    </w:p>
    <w:p w:rsidR="00000000" w:rsidDel="00000000" w:rsidP="00000000" w:rsidRDefault="00000000" w:rsidRPr="00000000" w14:paraId="0000002A">
      <w:pPr>
        <w:spacing w:line="360" w:lineRule="auto"/>
        <w:ind w:left="567" w:right="900" w:hanging="28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B">
      <w:pPr>
        <w:numPr>
          <w:ilvl w:val="0"/>
          <w:numId w:val="4"/>
        </w:numPr>
        <w:spacing w:line="360" w:lineRule="auto"/>
        <w:ind w:left="567" w:right="900"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Actividad Procesal del interesado</w:t>
      </w:r>
      <w:r w:rsidDel="00000000" w:rsidR="00000000" w:rsidRPr="00000000">
        <w:rPr>
          <w:rFonts w:ascii="Palatino Linotype" w:cs="Palatino Linotype" w:eastAsia="Palatino Linotype" w:hAnsi="Palatino Linotype"/>
          <w:rtl w:val="0"/>
        </w:rPr>
        <w:t xml:space="preserve">. Acciones u omisiones del interesado.</w:t>
      </w:r>
    </w:p>
    <w:p w:rsidR="00000000" w:rsidDel="00000000" w:rsidP="00000000" w:rsidRDefault="00000000" w:rsidRPr="00000000" w14:paraId="0000002C">
      <w:pPr>
        <w:spacing w:line="360" w:lineRule="auto"/>
        <w:ind w:left="567" w:right="900" w:hanging="283"/>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D">
      <w:pPr>
        <w:numPr>
          <w:ilvl w:val="0"/>
          <w:numId w:val="4"/>
        </w:numPr>
        <w:spacing w:line="360" w:lineRule="auto"/>
        <w:ind w:left="567" w:right="900"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Conducta de la Autoridad:</w:t>
      </w:r>
      <w:r w:rsidDel="00000000" w:rsidR="00000000" w:rsidRPr="00000000">
        <w:rPr>
          <w:rFonts w:ascii="Palatino Linotype" w:cs="Palatino Linotype" w:eastAsia="Palatino Linotype" w:hAnsi="Palatino Linotype"/>
          <w:rtl w:val="0"/>
        </w:rPr>
        <w:t xml:space="preserve"> Las Acciones u omisiones realizadas en el procedimiento. Así como si la autoridad actuó con la debida diligencia.</w:t>
      </w:r>
    </w:p>
    <w:p w:rsidR="00000000" w:rsidDel="00000000" w:rsidP="00000000" w:rsidRDefault="00000000" w:rsidRPr="00000000" w14:paraId="0000002E">
      <w:pPr>
        <w:spacing w:line="360" w:lineRule="auto"/>
        <w:ind w:left="567" w:right="900" w:hanging="283"/>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F">
      <w:pPr>
        <w:spacing w:line="360" w:lineRule="auto"/>
        <w:ind w:left="567" w:right="900"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rtl w:val="0"/>
        </w:rPr>
        <w:t xml:space="preserve"> Violación a sus derechos humanos.</w:t>
      </w:r>
    </w:p>
    <w:p w:rsidR="00000000" w:rsidDel="00000000" w:rsidP="00000000" w:rsidRDefault="00000000" w:rsidRPr="00000000" w14:paraId="0000003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3">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3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3A">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3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 plazo legal para resolver el presente asunto, resulta de carácter excepcional.</w:t>
      </w:r>
    </w:p>
    <w:p w:rsidR="00000000" w:rsidDel="00000000" w:rsidP="00000000" w:rsidRDefault="00000000" w:rsidRPr="00000000" w14:paraId="0000003E">
      <w:pPr>
        <w:widowControl w:val="0"/>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widowControl w:val="0"/>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rtl w:val="0"/>
        </w:rPr>
        <w:t xml:space="preserve">catorce de diciembre de dos mil veintitrés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1">
      <w:pPr>
        <w:widowControl w:val="0"/>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42">
      <w:pPr>
        <w:widowControl w:val="0"/>
        <w:spacing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rPr>
      </w:pPr>
      <w:bookmarkStart w:colFirst="0" w:colLast="0" w:name="_heading=h.tyjcwt" w:id="4"/>
      <w:bookmarkEnd w:id="4"/>
      <w:r w:rsidDel="00000000" w:rsidR="00000000" w:rsidRPr="00000000">
        <w:rPr>
          <w:rFonts w:ascii="Palatino Linotype" w:cs="Palatino Linotype" w:eastAsia="Palatino Linotype" w:hAnsi="Palatino Linotype"/>
          <w:b w:val="1"/>
          <w:rtl w:val="0"/>
        </w:rPr>
        <w:t xml:space="preserve">Segundo. Oportunidad y Procedibilidad del Recurso de Revisión. </w:t>
      </w:r>
      <w:r w:rsidDel="00000000" w:rsidR="00000000" w:rsidRPr="00000000">
        <w:rPr>
          <w:rFonts w:ascii="Palatino Linotype" w:cs="Palatino Linotype" w:eastAsia="Palatino Linotype" w:hAnsi="Palatino Linotype"/>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la Ley de Transparencia y Acceso a la Información Pública del Estado de México y Municipios, establece lo siguiente:</w:t>
      </w:r>
    </w:p>
    <w:p w:rsidR="00000000" w:rsidDel="00000000" w:rsidP="00000000" w:rsidRDefault="00000000" w:rsidRPr="00000000" w14:paraId="00000046">
      <w:pPr>
        <w:ind w:left="851" w:right="900" w:firstLine="0"/>
        <w:jc w:val="both"/>
        <w:rPr>
          <w:rFonts w:ascii="Palatino Linotype" w:cs="Palatino Linotype" w:eastAsia="Palatino Linotype" w:hAnsi="Palatino Linotype"/>
          <w:i w:val="1"/>
          <w:sz w:val="28"/>
          <w:szCs w:val="28"/>
        </w:rPr>
      </w:pPr>
      <w:r w:rsidDel="00000000" w:rsidR="00000000" w:rsidRPr="00000000">
        <w:rPr>
          <w:rFonts w:ascii="Palatino Linotype" w:cs="Palatino Linotype" w:eastAsia="Palatino Linotype" w:hAnsi="Palatino Linotype"/>
          <w:b w:val="1"/>
          <w:i w:val="1"/>
          <w:sz w:val="22"/>
          <w:szCs w:val="22"/>
          <w:rtl w:val="0"/>
        </w:rPr>
        <w:t xml:space="preserve">“Artículo 178. </w:t>
      </w:r>
      <w:r w:rsidDel="00000000" w:rsidR="00000000" w:rsidRPr="00000000">
        <w:rPr>
          <w:rFonts w:ascii="Palatino Linotype" w:cs="Palatino Linotype" w:eastAsia="Palatino Linotype" w:hAnsi="Palatino Linotype"/>
          <w:i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Del="00000000" w:rsidR="00000000" w:rsidRPr="00000000">
        <w:rPr>
          <w:rtl w:val="0"/>
        </w:rPr>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en este sentido se advierte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diecisiete de octubre de dos mil veintitrés, </w:t>
      </w:r>
      <w:r w:rsidDel="00000000" w:rsidR="00000000" w:rsidRPr="00000000">
        <w:rPr>
          <w:rFonts w:ascii="Palatino Linotype" w:cs="Palatino Linotype" w:eastAsia="Palatino Linotype" w:hAnsi="Palatino Linotype"/>
          <w:rtl w:val="0"/>
        </w:rPr>
        <w:t xml:space="preserve">mientras que el recurso de revisión interpuesto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dieciocho de octubre de dos mil veintitrés</w:t>
      </w:r>
      <w:r w:rsidDel="00000000" w:rsidR="00000000" w:rsidRPr="00000000">
        <w:rPr>
          <w:rFonts w:ascii="Palatino Linotype" w:cs="Palatino Linotype" w:eastAsia="Palatino Linotype" w:hAnsi="Palatino Linotype"/>
          <w:rtl w:val="0"/>
        </w:rPr>
        <w:t xml:space="preserve">; esto es, al </w:t>
      </w:r>
      <w:r w:rsidDel="00000000" w:rsidR="00000000" w:rsidRPr="00000000">
        <w:rPr>
          <w:rFonts w:ascii="Palatino Linotype" w:cs="Palatino Linotype" w:eastAsia="Palatino Linotype" w:hAnsi="Palatino Linotype"/>
          <w:b w:val="1"/>
          <w:rtl w:val="0"/>
        </w:rPr>
        <w:t xml:space="preserve">primer día hábil</w:t>
      </w:r>
      <w:r w:rsidDel="00000000" w:rsidR="00000000" w:rsidRPr="00000000">
        <w:rPr>
          <w:rFonts w:ascii="Palatino Linotype" w:cs="Palatino Linotype" w:eastAsia="Palatino Linotype" w:hAnsi="Palatino Linotype"/>
          <w:rtl w:val="0"/>
        </w:rPr>
        <w:t xml:space="preserve"> siguiente de aquel en que tuvo conocimiento de la respuesta impugnada.</w:t>
      </w:r>
      <w:r w:rsidDel="00000000" w:rsidR="00000000" w:rsidRPr="00000000">
        <w:rPr>
          <w:rtl w:val="0"/>
        </w:rPr>
      </w:r>
    </w:p>
    <w:p w:rsidR="00000000" w:rsidDel="00000000" w:rsidP="00000000" w:rsidRDefault="00000000" w:rsidRPr="00000000" w14:paraId="0000004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al considerar la fecha en que se formuló la solicitud y la fecha en que respondió a 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así como la fecha en que se interpuso el recurso de revisión, se concluye que el presente recurso de revisión se encuentra dentro de los márgenes temporales previstos las disposiciones legales referidas.</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por cuanto hace a la procedibilidad del  recurso de revisión, es de suma importancia señalar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omitió señalar nombre,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24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40" w:before="240" w:line="360" w:lineRule="auto"/>
        <w:ind w:right="-14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resulta procedente la interposición del recurso, según lo aducido por la parte recurrente en sus razones o motivos de inconformidad, de acuerdo al artículo 179, fracción I de la Ley de Transparencia y Acceso a la Información Pública del Estado de México y Municipios; que a la letra dice:</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recurso de revisión</w:t>
      </w:r>
      <w:r w:rsidDel="00000000" w:rsidR="00000000" w:rsidRPr="00000000">
        <w:rPr>
          <w:rFonts w:ascii="Palatino Linotype" w:cs="Palatino Linotype" w:eastAsia="Palatino Linotype" w:hAnsi="Palatino Linotype"/>
          <w:i w:val="1"/>
          <w:sz w:val="22"/>
          <w:szCs w:val="22"/>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sz w:val="22"/>
          <w:szCs w:val="22"/>
          <w:rtl w:val="0"/>
        </w:rPr>
        <w:t xml:space="preserve">, y procederá en contra de las siguientes causas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La negativa a la información solicitada;</w:t>
      </w:r>
      <w:r w:rsidDel="00000000" w:rsidR="00000000" w:rsidRPr="00000000">
        <w:rPr>
          <w:rFonts w:ascii="Palatino Linotype" w:cs="Palatino Linotype" w:eastAsia="Palatino Linotype" w:hAnsi="Palatino Linotype"/>
          <w:i w:val="1"/>
          <w:sz w:val="22"/>
          <w:szCs w:val="22"/>
          <w:rtl w:val="0"/>
        </w:rPr>
        <w:t xml:space="preserve">” (Énfasis añadido)</w:t>
      </w:r>
      <w:r w:rsidDel="00000000" w:rsidR="00000000" w:rsidRPr="00000000">
        <w:rPr>
          <w:rtl w:val="0"/>
        </w:rPr>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Antes de entrar al análisis de los pronunciamientos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240" w:before="240" w:lineRule="auto"/>
        <w:ind w:left="851" w:right="850" w:firstLine="0"/>
        <w:jc w:val="both"/>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40" w:before="240" w:lineRule="auto"/>
        <w:ind w:left="851" w:right="850" w:firstLine="0"/>
        <w:jc w:val="both"/>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40" w:before="240" w:lineRule="auto"/>
        <w:ind w:left="851" w:right="850" w:firstLine="0"/>
        <w:jc w:val="both"/>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40" w:before="240" w:lineRule="auto"/>
        <w:ind w:left="851" w:right="850"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240" w:before="240" w:lineRule="auto"/>
        <w:ind w:left="851" w:right="901" w:firstLine="0"/>
        <w:jc w:val="both"/>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240" w:before="240" w:lineRule="auto"/>
        <w:ind w:left="851" w:right="901"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240" w:before="240" w:lineRule="auto"/>
        <w:ind w:left="709" w:right="760"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240" w:before="240" w:lineRule="auto"/>
        <w:ind w:left="709" w:right="760" w:firstLine="0"/>
        <w:jc w:val="both"/>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240" w:before="240" w:lineRule="auto"/>
        <w:ind w:left="709" w:right="760" w:firstLine="0"/>
        <w:jc w:val="both"/>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240" w:before="240" w:lineRule="auto"/>
        <w:ind w:left="567" w:right="758"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240" w:before="240" w:lineRule="auto"/>
        <w:ind w:left="567" w:right="758" w:firstLine="0"/>
        <w:jc w:val="both"/>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rtl w:val="0"/>
        </w:rPr>
        <w:t xml:space="preserve">ad hoc</w:t>
      </w:r>
      <w:r w:rsidDel="00000000" w:rsidR="00000000" w:rsidRPr="00000000">
        <w:rPr>
          <w:rFonts w:ascii="Palatino Linotype" w:cs="Palatino Linotype" w:eastAsia="Palatino Linotype" w:hAnsi="Palatino Linotype"/>
          <w:rtl w:val="0"/>
        </w:rPr>
        <w:t xml:space="preserve">, para satisfacer el derecho de acceso a la información pública, como así lo establece el criterio 03/17 emitido por el Instituto Nacional de Transparencia, Acceso a la Información Pública y Protección de Datos Personales, el cual señala lo siguiente:</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b w:val="1"/>
          <w:i w:val="1"/>
          <w:sz w:val="22"/>
          <w:szCs w:val="22"/>
          <w:rtl w:val="0"/>
        </w:rPr>
        <w:t xml:space="preserve">03/17</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240" w:before="240" w:line="360" w:lineRule="auto"/>
        <w:ind w:right="49"/>
        <w:jc w:val="both"/>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r w:rsidDel="00000000" w:rsidR="00000000" w:rsidRPr="00000000">
        <w:rPr>
          <w:rtl w:val="0"/>
        </w:rPr>
      </w:r>
    </w:p>
    <w:p w:rsidR="00000000" w:rsidDel="00000000" w:rsidP="00000000" w:rsidRDefault="00000000" w:rsidRPr="00000000" w14:paraId="00000074">
      <w:pPr>
        <w:numPr>
          <w:ilvl w:val="0"/>
          <w:numId w:val="3"/>
        </w:numPr>
        <w:pBdr>
          <w:top w:space="0" w:sz="0" w:val="nil"/>
          <w:left w:space="0" w:sz="0" w:val="nil"/>
          <w:bottom w:space="0" w:sz="0" w:val="nil"/>
          <w:right w:space="0" w:sz="0" w:val="nil"/>
          <w:between w:space="0" w:sz="0" w:val="nil"/>
        </w:pBdr>
        <w:spacing w:after="240" w:before="240" w:lineRule="auto"/>
        <w:ind w:left="567" w:right="567"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75">
      <w:pPr>
        <w:numPr>
          <w:ilvl w:val="0"/>
          <w:numId w:val="3"/>
        </w:numPr>
        <w:pBdr>
          <w:top w:space="0" w:sz="0" w:val="nil"/>
          <w:left w:space="0" w:sz="0" w:val="nil"/>
          <w:bottom w:space="0" w:sz="0" w:val="nil"/>
          <w:right w:space="0" w:sz="0" w:val="nil"/>
          <w:between w:space="0" w:sz="0" w:val="nil"/>
        </w:pBdr>
        <w:spacing w:after="240" w:before="240" w:lineRule="auto"/>
        <w:ind w:left="567" w:right="567"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240" w:before="240" w:lineRule="auto"/>
        <w:ind w:left="567" w:right="567" w:hanging="284"/>
        <w:jc w:val="both"/>
        <w:rPr/>
      </w:pPr>
      <w:r w:rsidDel="00000000" w:rsidR="00000000" w:rsidRPr="00000000">
        <w:rPr>
          <w:rFonts w:ascii="Palatino Linotype" w:cs="Palatino Linotype" w:eastAsia="Palatino Linotype" w:hAnsi="Palatino Linotype"/>
          <w:i w:val="1"/>
          <w:sz w:val="22"/>
          <w:szCs w:val="22"/>
          <w:rtl w:val="0"/>
        </w:rPr>
        <w:t xml:space="preserve">3. </w:t>
      </w:r>
      <w:r w:rsidDel="00000000" w:rsidR="00000000" w:rsidRPr="00000000">
        <w:rPr>
          <w:rFonts w:ascii="Palatino Linotype" w:cs="Palatino Linotype" w:eastAsia="Palatino Linotype" w:hAnsi="Palatino Linotype"/>
          <w:b w:val="1"/>
          <w:i w:val="1"/>
          <w:sz w:val="22"/>
          <w:szCs w:val="22"/>
          <w:rtl w:val="0"/>
        </w:rPr>
        <w:t xml:space="preserve">Que se trate de información registrada en cualquier soporte documental, que en ejercicio de las atribuciones conferidas, se encuentre en posesión de los Sujetos Obligados.” </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para profundizar en el estudio del presente asunto, es conveniente recordar que la parte solicitante requirió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le proporcionara lo siguiente:</w:t>
      </w:r>
    </w:p>
    <w:p w:rsidR="00000000" w:rsidDel="00000000" w:rsidP="00000000" w:rsidRDefault="00000000" w:rsidRPr="00000000" w14:paraId="00000079">
      <w:pPr>
        <w:numPr>
          <w:ilvl w:val="0"/>
          <w:numId w:val="1"/>
        </w:numPr>
        <w:pBdr>
          <w:top w:space="0" w:sz="0" w:val="nil"/>
          <w:left w:space="0" w:sz="0" w:val="nil"/>
          <w:bottom w:space="0" w:sz="0" w:val="nil"/>
          <w:right w:space="0" w:sz="0" w:val="nil"/>
          <w:between w:space="0" w:sz="0" w:val="nil"/>
        </w:pBdr>
        <w:spacing w:after="240" w:before="240" w:line="360" w:lineRule="auto"/>
        <w:ind w:left="720" w:right="901"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El convenio realizado por el Ayuntamiento de Zinacantepec con el club deportivo Toluca equipo de la primera división de la liga del fútbol mexicano.</w:t>
      </w:r>
    </w:p>
    <w:p w:rsidR="00000000" w:rsidDel="00000000" w:rsidP="00000000" w:rsidRDefault="00000000" w:rsidRPr="00000000" w14:paraId="0000007A">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vital importancia señalar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su respuesta, se pronunció por conducto de la Dirección de Administración quien adjuntó la versión pública del convenio de colaboración que se celebró entre el Ayuntamiento del Zinacantepec y el Deportivo Toluca, Futbol Club S.A de C.V, testando datos como: titular de cuenta bancaria, institución bancaria, número de cuenta, sucursal y clabe interbancaria.</w:t>
      </w:r>
    </w:p>
    <w:p w:rsidR="00000000" w:rsidDel="00000000" w:rsidP="00000000" w:rsidRDefault="00000000" w:rsidRPr="00000000" w14:paraId="0000007B">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conocida 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al no estar conforme con los términos de la misma, interpuso el recurso de revisión que nos ocupa, donde señaló en sus razones o motivos de inconformidad lo siguiente: </w:t>
      </w:r>
      <w:r w:rsidDel="00000000" w:rsidR="00000000" w:rsidRPr="00000000">
        <w:rPr>
          <w:rFonts w:ascii="Palatino Linotype" w:cs="Palatino Linotype" w:eastAsia="Palatino Linotype" w:hAnsi="Palatino Linotype"/>
          <w:b w:val="1"/>
          <w:i w:val="1"/>
          <w:u w:val="single"/>
          <w:rtl w:val="0"/>
        </w:rPr>
        <w:t xml:space="preserve">“NO HAY INFORMACIÓN”</w:t>
      </w:r>
      <w:r w:rsidDel="00000000" w:rsidR="00000000" w:rsidRPr="00000000">
        <w:rPr>
          <w:rFonts w:ascii="Palatino Linotype" w:cs="Palatino Linotype" w:eastAsia="Palatino Linotype" w:hAnsi="Palatino Linotype"/>
          <w:i w:val="1"/>
          <w:rtl w:val="0"/>
        </w:rPr>
        <w:t xml:space="preserve"> (Sic)</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es decir, su inconformidad medularmente versa sobre la negativa a entregar la información.</w:t>
      </w:r>
    </w:p>
    <w:p w:rsidR="00000000" w:rsidDel="00000000" w:rsidP="00000000" w:rsidRDefault="00000000" w:rsidRPr="00000000" w14:paraId="0000007C">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Una vez admitido el medio de impugnación que nos ocupa, se procedió a conjuntar el expediente electrónico, concediéndole a las partes un plazo de siete días para rendir sus alegatos, por lo que durante la etapa de manifestaciones, las partes fueron omisas en remitir documentación alguna, por lo tanto, se decretó cerrada la instrucción y se procede a emitir la resolución que conforme a derecho corresponda.</w:t>
      </w:r>
      <w:r w:rsidDel="00000000" w:rsidR="00000000" w:rsidRPr="00000000">
        <w:rPr>
          <w:rtl w:val="0"/>
        </w:rPr>
      </w:r>
    </w:p>
    <w:p w:rsidR="00000000" w:rsidDel="00000000" w:rsidP="00000000" w:rsidRDefault="00000000" w:rsidRPr="00000000" w14:paraId="0000007D">
      <w:pPr>
        <w:spacing w:after="240" w:before="240" w:line="360" w:lineRule="auto"/>
        <w:ind w:right="49"/>
        <w:jc w:val="both"/>
        <w:rPr>
          <w:rFonts w:ascii="Palatino Linotype" w:cs="Palatino Linotype" w:eastAsia="Palatino Linotype" w:hAnsi="Palatino Linotype"/>
        </w:rPr>
      </w:pPr>
      <w:bookmarkStart w:colFirst="0" w:colLast="0" w:name="_heading=h.3rdcrjn" w:id="5"/>
      <w:bookmarkEnd w:id="5"/>
      <w:r w:rsidDel="00000000" w:rsidR="00000000" w:rsidRPr="00000000">
        <w:rPr>
          <w:rFonts w:ascii="Palatino Linotype" w:cs="Palatino Linotype" w:eastAsia="Palatino Linotype" w:hAnsi="Palatino Linotype"/>
          <w:rtl w:val="0"/>
        </w:rPr>
        <w:t xml:space="preserve">Expuestas las posturas de las partes, resulta importante iniciar este análisis mencionando que la naturaleza del convenio celebrado entre el Ayuntamiento de Zinacantepec y el Deportivo Toluca, Futbol Club S.A de C.V., consiste en que el club oferta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los derechos de uso de 2 abonos de tribuna diablos, 6 abonos de tribuna general, 4 abonos de palco y 6 abonos VID, durante el torneo regular clausura 2023, celebrado en el interior del estadio Nemesio Diez a los servidores públicos del Ayuntamiento, para ello se les efectuará un descuento vía nómina especificando el número de pagos que hará el trabajador para la liquidación del producto. </w:t>
      </w:r>
    </w:p>
    <w:p w:rsidR="00000000" w:rsidDel="00000000" w:rsidP="00000000" w:rsidRDefault="00000000" w:rsidRPr="00000000" w14:paraId="0000007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tesitura, se tiene que se pronunció  la unidad administrativa competente que es la Dirección de Administración, la cual de conformidad con el Reglamento Interno del Ayuntamiento de Zinacantepec, cuenta con las siguientes atribuciones: </w:t>
      </w:r>
    </w:p>
    <w:p w:rsidR="00000000" w:rsidDel="00000000" w:rsidP="00000000" w:rsidRDefault="00000000" w:rsidRPr="00000000" w14:paraId="0000007F">
      <w:pPr>
        <w:spacing w:after="240" w:before="240" w:line="276" w:lineRule="auto"/>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52. La Dirección de Administración es la Unidad Administrativa encargada de brindar apoyo administrativo, técnico y humano, a los servidores públicos que conforman la Administración Pública Municipal</w:t>
      </w:r>
      <w:r w:rsidDel="00000000" w:rsidR="00000000" w:rsidRPr="00000000">
        <w:rPr>
          <w:rFonts w:ascii="Palatino Linotype" w:cs="Palatino Linotype" w:eastAsia="Palatino Linotype" w:hAnsi="Palatino Linotype"/>
          <w:i w:val="1"/>
          <w:sz w:val="22"/>
          <w:szCs w:val="22"/>
          <w:rtl w:val="0"/>
        </w:rPr>
        <w:t xml:space="preserve">, a fin de proporcionarles un espacio digno de trabajo y optimizar las funciones de cada Unidad Administrativa, en beneficio de la ciudadanía.</w:t>
      </w:r>
    </w:p>
    <w:p w:rsidR="00000000" w:rsidDel="00000000" w:rsidP="00000000" w:rsidRDefault="00000000" w:rsidRPr="00000000" w14:paraId="00000080">
      <w:pPr>
        <w:spacing w:after="240" w:before="240" w:line="276" w:lineRule="auto"/>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53. Además de las previstas en las disposiciones normativas y administrativas en la materia, la Dirección de Administración tiene las siguientes funciones y atribuciones:</w:t>
      </w:r>
    </w:p>
    <w:p w:rsidR="00000000" w:rsidDel="00000000" w:rsidP="00000000" w:rsidRDefault="00000000" w:rsidRPr="00000000" w14:paraId="00000081">
      <w:pPr>
        <w:spacing w:after="240" w:before="240" w:line="276" w:lineRule="auto"/>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2">
      <w:pPr>
        <w:spacing w:after="240" w:before="240" w:line="276" w:lineRule="auto"/>
        <w:ind w:left="567" w:right="901"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IV. Fijar políticas y estrategias para contribuir a conservar y mejorar el ambiente laboral;</w:t>
      </w:r>
    </w:p>
    <w:p w:rsidR="00000000" w:rsidDel="00000000" w:rsidP="00000000" w:rsidRDefault="00000000" w:rsidRPr="00000000" w14:paraId="00000083">
      <w:pPr>
        <w:spacing w:after="240" w:before="240" w:line="276" w:lineRule="auto"/>
        <w:ind w:left="567"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84">
      <w:pPr>
        <w:spacing w:after="240" w:before="240" w:line="276" w:lineRule="auto"/>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IX. Evaluar programas, procesos y procedimientos para la elaboración y pago de nómina;”</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85">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que al advertirse que se pronunció el servidor público habilitado competente, encargado de brindar apoyo administrativo, técnico y humano, a los servidores públicos que conforman la Administración Pública Municipal, a fin de proporcionarles un espacio digno de trabajo y optimizar las funciones de cada Unidad Administrativa, en beneficio de la ciudadanía, se tiene que con esta circunstancia, la respuesta fue proporcionada por la Unidad Administrativa Competente, siguiendo el procedimiento establecido por el artículo 162 de la Ley de Transparencia y Acceso a la Información Pública del Estado de México y Municipios, ya que no turnó la solicitud a las áreas en las que podría obrar la información de conformidad con la fracción XXXIX del artículo tercero de la legislación local vigente en materia de transparencia: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ind w:left="864" w:right="864" w:firstLine="0"/>
        <w:jc w:val="both"/>
        <w:rPr/>
      </w:pPr>
      <w:r w:rsidDel="00000000" w:rsidR="00000000" w:rsidRPr="00000000">
        <w:rPr>
          <w:rFonts w:ascii="Palatino Linotype" w:cs="Palatino Linotype" w:eastAsia="Palatino Linotype" w:hAnsi="Palatino Linotype"/>
          <w:i w:val="1"/>
          <w:sz w:val="22"/>
          <w:szCs w:val="22"/>
          <w:rtl w:val="0"/>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shd w:fill="ffffff" w:val="clear"/>
        <w:spacing w:line="360" w:lineRule="auto"/>
        <w:jc w:val="both"/>
        <w:rPr/>
      </w:pPr>
      <w:r w:rsidDel="00000000" w:rsidR="00000000" w:rsidRPr="00000000">
        <w:rPr>
          <w:rFonts w:ascii="Palatino Linotype" w:cs="Palatino Linotype" w:eastAsia="Palatino Linotype" w:hAnsi="Palatino Linotype"/>
          <w:rtl w:val="0"/>
        </w:rPr>
        <w:t xml:space="preserve">En este orden de ideas, se advierte que efectivamente la Unidad de Transparencia cumplió con lo expresado en el artículo 162 de la Ley de Transparencia y Acceso a la Información Pública del Estado de México y Municipios, el cual menciona lo siguiente:</w:t>
      </w: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ind w:left="864" w:right="864" w:firstLine="0"/>
        <w:jc w:val="both"/>
        <w:rPr/>
      </w:pPr>
      <w:r w:rsidDel="00000000" w:rsidR="00000000" w:rsidRPr="00000000">
        <w:rPr>
          <w:rFonts w:ascii="Palatino Linotype" w:cs="Palatino Linotype" w:eastAsia="Palatino Linotype" w:hAnsi="Palatino Linotype"/>
          <w:i w:val="1"/>
          <w:sz w:val="22"/>
          <w:szCs w:val="22"/>
          <w:rtl w:val="0"/>
        </w:rPr>
        <w:t xml:space="preserve">Artículo 162. Las unidades de transparencia deberán garantizar que las solicitudes </w:t>
      </w:r>
      <w:r w:rsidDel="00000000" w:rsidR="00000000" w:rsidRPr="00000000">
        <w:rPr>
          <w:rFonts w:ascii="Palatino Linotype" w:cs="Palatino Linotype" w:eastAsia="Palatino Linotype" w:hAnsi="Palatino Linotype"/>
          <w:b w:val="1"/>
          <w:i w:val="1"/>
          <w:sz w:val="22"/>
          <w:szCs w:val="22"/>
          <w:rtl w:val="0"/>
        </w:rPr>
        <w:t xml:space="preserve">se turnen a todas las Áreas competentes </w:t>
      </w:r>
      <w:r w:rsidDel="00000000" w:rsidR="00000000" w:rsidRPr="00000000">
        <w:rPr>
          <w:rFonts w:ascii="Palatino Linotype" w:cs="Palatino Linotype" w:eastAsia="Palatino Linotype" w:hAnsi="Palatino Linotype"/>
          <w:i w:val="1"/>
          <w:sz w:val="22"/>
          <w:szCs w:val="22"/>
          <w:rtl w:val="0"/>
        </w:rPr>
        <w:t xml:space="preserve">que cuenten con la información o deban tenerla de acuerdo a sus facultades, competencias y funciones, con el objeto de que realicen una búsqueda exhaustiva y razonable de la información solicitada.</w:t>
      </w:r>
      <w:r w:rsidDel="00000000" w:rsidR="00000000" w:rsidRPr="00000000">
        <w:rPr>
          <w:rtl w:val="0"/>
        </w:rPr>
      </w:r>
    </w:p>
    <w:p w:rsidR="00000000" w:rsidDel="00000000" w:rsidP="00000000" w:rsidRDefault="00000000" w:rsidRPr="00000000" w14:paraId="0000008C">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para iniciar el análisis de la respuesta, debemos recordar que en este acto fue proporcionado el convenio de colaboración que se celebró entre el Ayuntamiento de Zinacantepec y el Deportivo Toluca, Futbol Club S.A de C.V., en una aparente versión pública, esto, testando datos pertenecientes al Deportivo Toluca, Futbol Club S.A de C.V, como titular de cuenta bancaria, institución bancaria, número de cuenta y clabe interbancaria.</w:t>
      </w:r>
    </w:p>
    <w:p w:rsidR="00000000" w:rsidDel="00000000" w:rsidP="00000000" w:rsidRDefault="00000000" w:rsidRPr="00000000" w14:paraId="0000008D">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Atentos a lo anterior, resulta pertinente analizar la procedencia de clasificación de los datos en referencia que se testó dentro de dicho convenio:</w:t>
      </w:r>
    </w:p>
    <w:p w:rsidR="00000000" w:rsidDel="00000000" w:rsidP="00000000" w:rsidRDefault="00000000" w:rsidRPr="00000000" w14:paraId="0000008E">
      <w:pPr>
        <w:numPr>
          <w:ilvl w:val="0"/>
          <w:numId w:val="5"/>
        </w:numPr>
        <w:pBdr>
          <w:top w:space="0" w:sz="0" w:val="nil"/>
          <w:left w:space="0" w:sz="0" w:val="nil"/>
          <w:bottom w:space="0" w:sz="0" w:val="nil"/>
          <w:right w:space="0" w:sz="0" w:val="nil"/>
          <w:between w:space="0" w:sz="0" w:val="nil"/>
        </w:pBdr>
        <w:shd w:fill="ffffff" w:val="clear"/>
        <w:spacing w:after="240" w:before="240" w:line="360" w:lineRule="auto"/>
        <w:ind w:left="567" w:hanging="141"/>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Titular de cuenta bancaria</w:t>
      </w:r>
    </w:p>
    <w:p w:rsidR="00000000" w:rsidDel="00000000" w:rsidP="00000000" w:rsidRDefault="00000000" w:rsidRPr="00000000" w14:paraId="0000008F">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Al respecto, se considera que al tratarse de una persona física, el nombre de la persona titular de la cuenta bancaria,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Del="00000000" w:rsidR="00000000" w:rsidRPr="00000000">
        <w:rPr>
          <w:rFonts w:ascii="Palatino Linotype" w:cs="Palatino Linotype" w:eastAsia="Palatino Linotype" w:hAnsi="Palatino Linotype"/>
          <w:i w:val="1"/>
          <w:rtl w:val="0"/>
        </w:rPr>
        <w:t xml:space="preserve">per se</w:t>
      </w:r>
      <w:r w:rsidDel="00000000" w:rsidR="00000000" w:rsidRPr="00000000">
        <w:rPr>
          <w:rFonts w:ascii="Palatino Linotype" w:cs="Palatino Linotype" w:eastAsia="Palatino Linotype" w:hAnsi="Palatino Linotype"/>
          <w:rtl w:val="0"/>
        </w:rPr>
        <w:t xml:space="preserve"> es un elemento que hace a una persona física identificada o identificable, por lo que, </w:t>
      </w:r>
      <w:r w:rsidDel="00000000" w:rsidR="00000000" w:rsidRPr="00000000">
        <w:rPr>
          <w:rFonts w:ascii="Palatino Linotype" w:cs="Palatino Linotype" w:eastAsia="Palatino Linotype" w:hAnsi="Palatino Linotype"/>
          <w:b w:val="1"/>
          <w:rtl w:val="0"/>
        </w:rPr>
        <w:t xml:space="preserve">se considera un dato personal.</w:t>
      </w:r>
    </w:p>
    <w:p w:rsidR="00000000" w:rsidDel="00000000" w:rsidP="00000000" w:rsidRDefault="00000000" w:rsidRPr="00000000" w14:paraId="00000090">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9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procede su eliminación de las versiones públicas, pues se considera un dato personal en términos del artículo 143, fracción I de la Ley de Transparencia y Acceso a la Información Pública del Estado de México y Municipios.</w:t>
      </w:r>
    </w:p>
    <w:p w:rsidR="00000000" w:rsidDel="00000000" w:rsidP="00000000" w:rsidRDefault="00000000" w:rsidRPr="00000000" w14:paraId="00000092">
      <w:pPr>
        <w:numPr>
          <w:ilvl w:val="0"/>
          <w:numId w:val="5"/>
        </w:numPr>
        <w:pBdr>
          <w:top w:space="0" w:sz="0" w:val="nil"/>
          <w:left w:space="0" w:sz="0" w:val="nil"/>
          <w:bottom w:space="0" w:sz="0" w:val="nil"/>
          <w:right w:space="0" w:sz="0" w:val="nil"/>
          <w:between w:space="0" w:sz="0" w:val="nil"/>
        </w:pBdr>
        <w:shd w:fill="ffffff" w:val="clear"/>
        <w:spacing w:after="240" w:before="24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Número de cuenta,</w:t>
      </w:r>
      <w:r w:rsidDel="00000000" w:rsidR="00000000" w:rsidRPr="00000000">
        <w:rPr>
          <w:rtl w:val="0"/>
        </w:rPr>
        <w:t xml:space="preserve"> </w:t>
      </w:r>
      <w:r w:rsidDel="00000000" w:rsidR="00000000" w:rsidRPr="00000000">
        <w:rPr>
          <w:rFonts w:ascii="Palatino Linotype" w:cs="Palatino Linotype" w:eastAsia="Palatino Linotype" w:hAnsi="Palatino Linotype"/>
          <w:b w:val="1"/>
          <w:rtl w:val="0"/>
        </w:rPr>
        <w:t xml:space="preserve">clabe interbancaria, institución y/o sucursal bancaria </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240" w:before="240" w:line="360" w:lineRule="auto"/>
        <w:ind w:right="50"/>
        <w:jc w:val="both"/>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Resulta importante destacar que el </w:t>
      </w:r>
      <w:r w:rsidDel="00000000" w:rsidR="00000000" w:rsidRPr="00000000">
        <w:rPr>
          <w:rFonts w:ascii="Palatino Linotype" w:cs="Palatino Linotype" w:eastAsia="Palatino Linotype" w:hAnsi="Palatino Linotype"/>
          <w:i w:val="1"/>
          <w:rtl w:val="0"/>
        </w:rPr>
        <w:t xml:space="preserve">número de cuenta bancaria</w:t>
      </w:r>
      <w:r w:rsidDel="00000000" w:rsidR="00000000" w:rsidRPr="00000000">
        <w:rPr>
          <w:rFonts w:ascii="Palatino Linotype" w:cs="Palatino Linotype" w:eastAsia="Palatino Linotype" w:hAnsi="Palatino Linotype"/>
          <w:rtl w:val="0"/>
        </w:rPr>
        <w:t xml:space="preserve"> y claves estandarizadas –interbancarias- (CLABES)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240" w:before="240" w:line="360" w:lineRule="auto"/>
        <w:ind w:right="50"/>
        <w:jc w:val="both"/>
        <w:rPr/>
      </w:pPr>
      <w:r w:rsidDel="00000000" w:rsidR="00000000" w:rsidRPr="00000000">
        <w:rPr>
          <w:rFonts w:ascii="Palatino Linotype" w:cs="Palatino Linotype" w:eastAsia="Palatino Linotype" w:hAnsi="Palatino Linotype"/>
          <w:rtl w:val="0"/>
        </w:rPr>
        <w:t xml:space="preserve">Por lo anterior, el número de cuenta bancaria y de clabe interbancaria deben ser clasificados como confidenciales con fundamento en las fracciones I y II del artículo 143 de la Ley de la Materia de la Entidad; en razón de que, con su difusión se estaría poniendo en riesgo la seguridad de su titular.</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240" w:before="240" w:line="360" w:lineRule="auto"/>
        <w:ind w:right="50"/>
        <w:jc w:val="both"/>
        <w:rPr/>
      </w:pPr>
      <w:r w:rsidDel="00000000" w:rsidR="00000000" w:rsidRPr="00000000">
        <w:rPr>
          <w:rFonts w:ascii="Palatino Linotype" w:cs="Palatino Linotype" w:eastAsia="Palatino Linotype" w:hAnsi="Palatino Linotype"/>
          <w:rtl w:val="0"/>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240" w:before="240" w:line="360" w:lineRule="auto"/>
        <w:ind w:right="50"/>
        <w:jc w:val="both"/>
        <w:rPr/>
      </w:pPr>
      <w:r w:rsidDel="00000000" w:rsidR="00000000" w:rsidRPr="00000000">
        <w:rPr>
          <w:rFonts w:ascii="Palatino Linotype" w:cs="Palatino Linotype" w:eastAsia="Palatino Linotype" w:hAnsi="Palatino Linotype"/>
          <w:rtl w:val="0"/>
        </w:rPr>
        <w:t xml:space="preserve">En esa virtud, este Pleno determina que dicha información no puede ser del dominio público, toda vez que se podría dar un uso inadecuado a la misma o cometer algún ilícito o fraude como ya ha sido expuesto. </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por esta razón que se debe omitir el o los números de cuentas bancarias de particulares en las versiones públicas que de las facturas se hagan, para ser entregadas.</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360" w:lineRule="auto"/>
        <w:jc w:val="both"/>
        <w:rPr/>
      </w:pPr>
      <w:r w:rsidDel="00000000" w:rsidR="00000000" w:rsidRPr="00000000">
        <w:rPr>
          <w:rFonts w:ascii="Palatino Linotype" w:cs="Palatino Linotype" w:eastAsia="Palatino Linotype" w:hAnsi="Palatino Linotype"/>
          <w:rtl w:val="0"/>
        </w:rPr>
        <w:t xml:space="preserve">La clave interbancaria al estar compuesta entre otros datos por la misma cuenta bancaria, es utilizada para realizar transferencias interbancarias, ya sean Transferencias Electrónica de Fondos o transferencias vía SPEI (Sistema de Pagos Electrónicos lnterbancarios), la clabe de 18 dígitos incluye la información del banco y sucursal local o en cualquier lugar de la República, el número de cuenta del destinatario de los fondos (a quien se le abonará el depósito), y el dígito verificador, el cual tiene como objetivo confirmar que los dígitos de banco, sucursal y cuenta son correctos entre sí; por tanto y siguiendo el principio fundamental del derecho que advierte que "lo accesorio sigue la suerte del principal" la clave interbancaria debe ser considera también información reservada en atención al criterio número 10/17 emitido por el Instituto Nacional de Transparencia, que señala:</w:t>
      </w:r>
      <w:r w:rsidDel="00000000" w:rsidR="00000000" w:rsidRPr="00000000">
        <w:rPr>
          <w:rtl w:val="0"/>
        </w:rPr>
      </w:r>
    </w:p>
    <w:p w:rsidR="00000000" w:rsidDel="00000000" w:rsidP="00000000" w:rsidRDefault="00000000" w:rsidRPr="00000000" w14:paraId="00000099">
      <w:pPr>
        <w:shd w:fill="ffffff" w:val="clear"/>
        <w:spacing w:after="240" w:before="240" w:line="276" w:lineRule="auto"/>
        <w:ind w:left="567" w:right="901"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i w:val="1"/>
          <w:sz w:val="22"/>
          <w:szCs w:val="22"/>
          <w:rtl w:val="0"/>
        </w:rPr>
        <w:t xml:space="preserve"> “Cuentas bancarias y/o CLABE interbancaria de personas físicas y morales privadas.</w:t>
      </w:r>
      <w:r w:rsidDel="00000000" w:rsidR="00000000" w:rsidRPr="00000000">
        <w:rPr>
          <w:rFonts w:ascii="Palatino Linotype" w:cs="Palatino Linotype" w:eastAsia="Palatino Linotype" w:hAnsi="Palatino Linotype"/>
          <w:i w:val="1"/>
          <w:sz w:val="22"/>
          <w:szCs w:val="22"/>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Del="00000000" w:rsidR="00000000" w:rsidRPr="00000000">
        <w:rPr>
          <w:rtl w:val="0"/>
        </w:rPr>
      </w:r>
    </w:p>
    <w:p w:rsidR="00000000" w:rsidDel="00000000" w:rsidP="00000000" w:rsidRDefault="00000000" w:rsidRPr="00000000" w14:paraId="0000009A">
      <w:pPr>
        <w:spacing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por cuanto hace a la institución y sucursal bancaria, debe mencionarse que el Instituto Nacional de Transparencia, Acceso a la Información Pública y Protección de Datos Personales, señala en su resolución RDA 5295/14 que respecto a la institución bancaria, es un dato relacionado a la decisión o voluntad de una persona de decidir entre una institución para el resguardo de su capital, por lo tanto, en el caso particular, se tiene que dicho capital no emana de recursos públicos pues como se señaló de manera previa, la naturaleza del convenio es transmitir los derechos de uso de 2 abonos de tribuna diablos, 6 abonos de tribuna general, 4 abonos de palco y 6 abonos VID, durante el torneo regular clausura 2023, celebrado en el interior del estadio Nemesio Diez a los servidores públicos del Ayuntamiento, para ello se les efectuará un descuento vía nómina especificando el número de pagos que hará el trabajador para la liquidación del producto, es decir, provienen de una decisión personal de los trabajadores, por consiguiente, estos datos corren la misma suerte de ser clasificados como confidenciales, al igual que en la clabe y el número de cuenta.</w:t>
      </w:r>
    </w:p>
    <w:p w:rsidR="00000000" w:rsidDel="00000000" w:rsidP="00000000" w:rsidRDefault="00000000" w:rsidRPr="00000000" w14:paraId="0000009B">
      <w:pPr>
        <w:spacing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otro orden de ideas, se tiene que la clasificación de los datos previamente analizados realizada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es correcta, sin embargo, no pasa desapercibido para este Instituto que dicha versión pública no fue acompañada del acuerdo de comité de transparencia en el que se funde y motive el actuar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por lo tanto, es necesario hacer del conocimiento de las partes que para los casos en los que se presenten versiones públicas, estas deberán acompañarse con el acuerdo del Comité de Transparencia en donde se apruebe la versión pública del historial académico alusivo, ya que en caso contrario se considera que es un documento ilegible e incompleto, esto en razón de que los artículos 12</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y 23 fracción, IV</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de la Ley de la Materia, establecen que los Sujetos Obligados tiene la obligación de transparentar y permitir el acceso a toda la información pública que generen, recopilen, administren, manejen, procesen, archiven o conserven; así como proteger los datos personales que obren en su poder.</w:t>
      </w:r>
    </w:p>
    <w:p w:rsidR="00000000" w:rsidDel="00000000" w:rsidP="00000000" w:rsidRDefault="00000000" w:rsidRPr="00000000" w14:paraId="0000009C">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Aunque, existen excepciones al derecho de acceso a la información conforme a lo establecido en los artículos 3, fracciones XX, XXI, XXXIV y XLV, 91, 122, 135, 143, 147, 148 y 149 de la repetitiva Ley de Transparencia, los cuales establecen lo siguiente:</w:t>
      </w:r>
    </w:p>
    <w:p w:rsidR="00000000" w:rsidDel="00000000" w:rsidP="00000000" w:rsidRDefault="00000000" w:rsidRPr="00000000" w14:paraId="0000009D">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E">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9F">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w:t>
      </w:r>
      <w:r w:rsidDel="00000000" w:rsidR="00000000" w:rsidRPr="00000000">
        <w:rPr>
          <w:rFonts w:ascii="Palatino Linotype" w:cs="Palatino Linotype" w:eastAsia="Palatino Linotype" w:hAnsi="Palatino Linotype"/>
          <w:i w:val="1"/>
          <w:sz w:val="22"/>
          <w:szCs w:val="22"/>
          <w:rtl w:val="0"/>
        </w:rPr>
        <w:t xml:space="preserve"> Información clasificada: Aquella considerada por la presente Ley como reservada o confidencial; </w:t>
      </w:r>
    </w:p>
    <w:p w:rsidR="00000000" w:rsidDel="00000000" w:rsidP="00000000" w:rsidRDefault="00000000" w:rsidRPr="00000000" w14:paraId="000000A0">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w:t>
      </w:r>
      <w:r w:rsidDel="00000000" w:rsidR="00000000" w:rsidRPr="00000000">
        <w:rPr>
          <w:rFonts w:ascii="Palatino Linotype" w:cs="Palatino Linotype" w:eastAsia="Palatino Linotype" w:hAnsi="Palatino Linotype"/>
          <w:i w:val="1"/>
          <w:sz w:val="22"/>
          <w:szCs w:val="22"/>
          <w:rtl w:val="0"/>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A1">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2">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XXXIV</w:t>
      </w:r>
      <w:r w:rsidDel="00000000" w:rsidR="00000000" w:rsidRPr="00000000">
        <w:rPr>
          <w:rFonts w:ascii="Palatino Linotype" w:cs="Palatino Linotype" w:eastAsia="Palatino Linotype" w:hAnsi="Palatino Linotype"/>
          <w:i w:val="1"/>
          <w:sz w:val="22"/>
          <w:szCs w:val="22"/>
          <w:rtl w:val="0"/>
        </w:rPr>
        <w:t xml:space="preserve">.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000000" w:rsidDel="00000000" w:rsidP="00000000" w:rsidRDefault="00000000" w:rsidRPr="00000000" w14:paraId="000000A3">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4">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w:t>
      </w:r>
      <w:r w:rsidDel="00000000" w:rsidR="00000000" w:rsidRPr="00000000">
        <w:rPr>
          <w:rFonts w:ascii="Palatino Linotype" w:cs="Palatino Linotype" w:eastAsia="Palatino Linotype" w:hAnsi="Palatino Linotype"/>
          <w:i w:val="1"/>
          <w:sz w:val="22"/>
          <w:szCs w:val="22"/>
          <w:rtl w:val="0"/>
        </w:rPr>
        <w:t xml:space="preserve"> Versión pública: Documento en el que se elimine, suprime o borra la información clasificada como reservada o confidencial para permitir su acceso</w:t>
      </w:r>
    </w:p>
    <w:p w:rsidR="00000000" w:rsidDel="00000000" w:rsidP="00000000" w:rsidRDefault="00000000" w:rsidRPr="00000000" w14:paraId="000000A5">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0A6">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122.</w:t>
      </w:r>
      <w:r w:rsidDel="00000000" w:rsidR="00000000" w:rsidRPr="00000000">
        <w:rPr>
          <w:rFonts w:ascii="Palatino Linotype" w:cs="Palatino Linotype" w:eastAsia="Palatino Linotype" w:hAnsi="Palatino Linotype"/>
          <w:i w:val="1"/>
          <w:sz w:val="22"/>
          <w:szCs w:val="22"/>
          <w:rtl w:val="0"/>
        </w:rPr>
        <w:t xml:space="preserve"> La clasificación es el proceso mediante el cual el sujeto obligado determina que la información en su poder actualiza alguno de los supuestos de reserva o confidencialidad, de conformidad con lo dispuesto en el presente título.</w:t>
      </w:r>
    </w:p>
    <w:p w:rsidR="00000000" w:rsidDel="00000000" w:rsidP="00000000" w:rsidRDefault="00000000" w:rsidRPr="00000000" w14:paraId="000000A7">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supuestos de reserva o confidencialidad previstos en las leyes deberán ser acordes con las bases, principios y disposiciones establecidos en la Ley General y, en ningún caso, podrán contravenirla.</w:t>
      </w:r>
    </w:p>
    <w:p w:rsidR="00000000" w:rsidDel="00000000" w:rsidP="00000000" w:rsidRDefault="00000000" w:rsidRPr="00000000" w14:paraId="000000A8">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serán los responsables de clasificar la información, de conformidad con lo dispuesto en la presente Ley y demás disposiciones jurídicas aplicables</w:t>
      </w:r>
    </w:p>
    <w:p w:rsidR="00000000" w:rsidDel="00000000" w:rsidP="00000000" w:rsidRDefault="00000000" w:rsidRPr="00000000" w14:paraId="000000A9">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135.</w:t>
      </w:r>
      <w:r w:rsidDel="00000000" w:rsidR="00000000" w:rsidRPr="00000000">
        <w:rPr>
          <w:rFonts w:ascii="Palatino Linotype" w:cs="Palatino Linotype" w:eastAsia="Palatino Linotype" w:hAnsi="Palatino Linotype"/>
          <w:i w:val="1"/>
          <w:sz w:val="22"/>
          <w:szCs w:val="22"/>
          <w:rtl w:val="0"/>
        </w:rPr>
        <w:t xml:space="preserve"> Los lineamientos generales que se emitan al respecto en materia de clasificación de la información reservada y confidencial y, para la elaboración de versiones públicas, serán de observancia obligatoria para los sujetos obligados.</w:t>
      </w:r>
    </w:p>
    <w:p w:rsidR="00000000" w:rsidDel="00000000" w:rsidP="00000000" w:rsidRDefault="00000000" w:rsidRPr="00000000" w14:paraId="000000AA">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AB">
      <w:pPr>
        <w:tabs>
          <w:tab w:val="left" w:leader="none" w:pos="709"/>
        </w:tabs>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Se refiera a la información privada y los datos personales concernientes a una persona física o jurídico colectiva identificada o identificable; </w:t>
      </w:r>
    </w:p>
    <w:p w:rsidR="00000000" w:rsidDel="00000000" w:rsidP="00000000" w:rsidRDefault="00000000" w:rsidRPr="00000000" w14:paraId="000000AC">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000000" w:rsidDel="00000000" w:rsidP="00000000" w:rsidRDefault="00000000" w:rsidRPr="00000000" w14:paraId="000000AD">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0AE">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AF">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B0">
      <w:pPr>
        <w:tabs>
          <w:tab w:val="left" w:leader="none" w:pos="709"/>
        </w:tabs>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147. Para que los sujetos obligados puedan permitir el acceso a información confidencial requieren obtener el consentimiento de los particulares titulares de la información.</w:t>
      </w:r>
    </w:p>
    <w:p w:rsidR="00000000" w:rsidDel="00000000" w:rsidP="00000000" w:rsidRDefault="00000000" w:rsidRPr="00000000" w14:paraId="000000B1">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148.</w:t>
      </w:r>
      <w:r w:rsidDel="00000000" w:rsidR="00000000" w:rsidRPr="00000000">
        <w:rPr>
          <w:rFonts w:ascii="Palatino Linotype" w:cs="Palatino Linotype" w:eastAsia="Palatino Linotype" w:hAnsi="Palatino Linotype"/>
          <w:i w:val="1"/>
          <w:sz w:val="22"/>
          <w:szCs w:val="22"/>
          <w:rtl w:val="0"/>
        </w:rPr>
        <w:t xml:space="preserve"> No se requerirá el consentimiento del titular de la información confidencial cuando:</w:t>
      </w:r>
    </w:p>
    <w:p w:rsidR="00000000" w:rsidDel="00000000" w:rsidP="00000000" w:rsidRDefault="00000000" w:rsidRPr="00000000" w14:paraId="000000B2">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información se encuentre en registros públicos o fuentes de acceso público;</w:t>
      </w:r>
    </w:p>
    <w:p w:rsidR="00000000" w:rsidDel="00000000" w:rsidP="00000000" w:rsidRDefault="00000000" w:rsidRPr="00000000" w14:paraId="000000B3">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Por Ley tenga el carácter de pública;</w:t>
      </w:r>
    </w:p>
    <w:p w:rsidR="00000000" w:rsidDel="00000000" w:rsidP="00000000" w:rsidRDefault="00000000" w:rsidRPr="00000000" w14:paraId="000000B4">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Exista una orden judicial;</w:t>
      </w:r>
    </w:p>
    <w:p w:rsidR="00000000" w:rsidDel="00000000" w:rsidP="00000000" w:rsidRDefault="00000000" w:rsidRPr="00000000" w14:paraId="000000B5">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Por razones de seguridad pública, o para proteger los derechos de terceros, se requiera su publicación; o</w:t>
      </w:r>
    </w:p>
    <w:p w:rsidR="00000000" w:rsidDel="00000000" w:rsidP="00000000" w:rsidRDefault="00000000" w:rsidRPr="00000000" w14:paraId="000000B6">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000000" w:rsidDel="00000000" w:rsidP="00000000" w:rsidRDefault="00000000" w:rsidRPr="00000000" w14:paraId="000000B7">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000000" w:rsidDel="00000000" w:rsidP="00000000" w:rsidRDefault="00000000" w:rsidRPr="00000000" w14:paraId="000000B8">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acuerdo que clasifique la información como confidencial deberá contener un razonamiento lógico en el que demuestre que la información se encuentra en alguna o algunas de las hipótesis previstas en la presente Ley.” (Énfasis añadido)</w:t>
      </w:r>
    </w:p>
    <w:p w:rsidR="00000000" w:rsidDel="00000000" w:rsidP="00000000" w:rsidRDefault="00000000" w:rsidRPr="00000000" w14:paraId="000000B9">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rsidR="00000000" w:rsidDel="00000000" w:rsidP="00000000" w:rsidRDefault="00000000" w:rsidRPr="00000000" w14:paraId="000000BB">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Reviste interés para el caso particular, la clasificación de la información como confidencial, la cual se actualizará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000000" w:rsidDel="00000000" w:rsidP="00000000" w:rsidRDefault="00000000" w:rsidRPr="00000000" w14:paraId="000000B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000000" w:rsidDel="00000000" w:rsidP="00000000" w:rsidRDefault="00000000" w:rsidRPr="00000000" w14:paraId="000000B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168</w:t>
      </w:r>
      <w:r w:rsidDel="00000000" w:rsidR="00000000" w:rsidRPr="00000000">
        <w:rPr>
          <w:rFonts w:ascii="Palatino Linotype" w:cs="Palatino Linotype" w:eastAsia="Palatino Linotype" w:hAnsi="Palatino Linotype"/>
          <w:i w:val="1"/>
          <w:sz w:val="22"/>
          <w:szCs w:val="22"/>
          <w:rtl w:val="0"/>
        </w:rPr>
        <w:t xml:space="preserve">. En caso de que los sujetos obligados consideren que los documentos o la información deban ser clasificados, se sujetará a lo siguiente:</w:t>
      </w:r>
    </w:p>
    <w:p w:rsidR="00000000" w:rsidDel="00000000" w:rsidP="00000000" w:rsidRDefault="00000000" w:rsidRPr="00000000" w14:paraId="000000C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Área deberá remitir la solicitud, así como un escrito en el que </w:t>
      </w:r>
      <w:r w:rsidDel="00000000" w:rsidR="00000000" w:rsidRPr="00000000">
        <w:rPr>
          <w:rFonts w:ascii="Palatino Linotype" w:cs="Palatino Linotype" w:eastAsia="Palatino Linotype" w:hAnsi="Palatino Linotype"/>
          <w:b w:val="1"/>
          <w:i w:val="1"/>
          <w:sz w:val="22"/>
          <w:szCs w:val="22"/>
          <w:rtl w:val="0"/>
        </w:rPr>
        <w:t xml:space="preserve">funde y motive la clasificación al Comité de Transparencia</w:t>
      </w:r>
      <w:r w:rsidDel="00000000" w:rsidR="00000000" w:rsidRPr="00000000">
        <w:rPr>
          <w:rFonts w:ascii="Palatino Linotype" w:cs="Palatino Linotype" w:eastAsia="Palatino Linotype" w:hAnsi="Palatino Linotype"/>
          <w:i w:val="1"/>
          <w:sz w:val="22"/>
          <w:szCs w:val="22"/>
          <w:rtl w:val="0"/>
        </w:rPr>
        <w:t xml:space="preserve">, mismo que deberá resolver para:</w:t>
      </w:r>
    </w:p>
    <w:p w:rsidR="00000000" w:rsidDel="00000000" w:rsidP="00000000" w:rsidRDefault="00000000" w:rsidRPr="00000000" w14:paraId="000000C2">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a</w:t>
      </w:r>
      <w:r w:rsidDel="00000000" w:rsidR="00000000" w:rsidRPr="00000000">
        <w:rPr>
          <w:rFonts w:ascii="Palatino Linotype" w:cs="Palatino Linotype" w:eastAsia="Palatino Linotype" w:hAnsi="Palatino Linotype"/>
          <w:b w:val="1"/>
          <w:i w:val="1"/>
          <w:sz w:val="22"/>
          <w:szCs w:val="22"/>
          <w:rtl w:val="0"/>
        </w:rPr>
        <w:t xml:space="preserve">) Confirmar la clasificación;</w:t>
      </w:r>
    </w:p>
    <w:p w:rsidR="00000000" w:rsidDel="00000000" w:rsidP="00000000" w:rsidRDefault="00000000" w:rsidRPr="00000000" w14:paraId="000000C3">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Modificar la clasificación y otorgar total o parcialmente el acceso a la información; y c) Revocar la clasificación y conceder el acceso a la información.</w:t>
      </w:r>
    </w:p>
    <w:p w:rsidR="00000000" w:rsidDel="00000000" w:rsidP="00000000" w:rsidRDefault="00000000" w:rsidRPr="00000000" w14:paraId="000000C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Comité de Transparencia podrá tener acceso a la información que esté en poder del Área correspondiente, de la cual se haya solicitado su clasificación; y</w:t>
      </w:r>
    </w:p>
    <w:p w:rsidR="00000000" w:rsidDel="00000000" w:rsidP="00000000" w:rsidRDefault="00000000" w:rsidRPr="00000000" w14:paraId="000000C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resolución del Comité de Transparencia será notificada al interesado en el plazo de respuesta a la solicitud que establece esta Ley.</w:t>
      </w:r>
    </w:p>
    <w:p w:rsidR="00000000" w:rsidDel="00000000" w:rsidP="00000000" w:rsidRDefault="00000000" w:rsidRPr="00000000" w14:paraId="000000C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Hechas estas precisiones, se advierte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cumplió con lo señalado en lo procedente, al omitir acompañar el acuerdo de su Comité de Transparencia que funde y motive del por qué testó diversa información dentro del convenio, creando con ello una incertidumbre jurídica, por no sustentar la versión pública de los datos señalados, contraviniendo lo establecido por el artículo 9, fracción I</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VI, VIII y 11 párrafo primero</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Fonts w:ascii="Palatino Linotype" w:cs="Palatino Linotype" w:eastAsia="Palatino Linotype" w:hAnsi="Palatino Linotype"/>
          <w:rtl w:val="0"/>
        </w:rPr>
        <w:t xml:space="preserve"> de la ley de la Materia.</w:t>
      </w:r>
    </w:p>
    <w:p w:rsidR="00000000" w:rsidDel="00000000" w:rsidP="00000000" w:rsidRDefault="00000000" w:rsidRPr="00000000" w14:paraId="000000C8">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9">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Adicionalmente, no se advierte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hubiese expresado el artículo, fracción, inciso o subinciso de la legislación aplicable a la materia, que establece de manera expresa la naturaleza jurídica de todos y cada uno de los datos testados en el convenio que entregó en respuesta, lo anterior, con la finalidad de justificar la procedencia de omitirlos o testarlos, en consecuencia, el actuar del Sujeto Obligado carece de fundamentación y motivación, consistentes en la obligación que tiene todo ente público de expresar los preceptos jurídicos aplicables al asunto motivo del acto y las razones o argumentos de su actuar.</w:t>
      </w:r>
    </w:p>
    <w:p w:rsidR="00000000" w:rsidDel="00000000" w:rsidP="00000000" w:rsidRDefault="00000000" w:rsidRPr="00000000" w14:paraId="000000C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máximo tribunal del país ha establecido jurisprudencia respecto a qué debe entenderse por fundamentación y motivación, en los siguientes términos:</w:t>
      </w:r>
    </w:p>
    <w:p w:rsidR="00000000" w:rsidDel="00000000" w:rsidP="00000000" w:rsidRDefault="00000000" w:rsidRPr="00000000" w14:paraId="000000CB">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C">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“FUNDAMENTACION Y MOTIVACION. </w:t>
      </w:r>
      <w:r w:rsidDel="00000000" w:rsidR="00000000" w:rsidRPr="00000000">
        <w:rPr>
          <w:rFonts w:ascii="Palatino Linotype" w:cs="Palatino Linotype" w:eastAsia="Palatino Linotype" w:hAnsi="Palatino Linotype"/>
          <w:i w:val="1"/>
          <w:sz w:val="22"/>
          <w:szCs w:val="22"/>
          <w:rtl w:val="0"/>
        </w:rPr>
        <w:t xml:space="preserve">La </w:t>
      </w:r>
      <w:r w:rsidDel="00000000" w:rsidR="00000000" w:rsidRPr="00000000">
        <w:rPr>
          <w:rFonts w:ascii="Palatino Linotype" w:cs="Palatino Linotype" w:eastAsia="Palatino Linotype" w:hAnsi="Palatino Linotype"/>
          <w:b w:val="1"/>
          <w:i w:val="1"/>
          <w:sz w:val="22"/>
          <w:szCs w:val="22"/>
          <w:u w:val="single"/>
          <w:rtl w:val="0"/>
        </w:rPr>
        <w:t xml:space="preserve">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D">
      <w:pPr>
        <w:ind w:left="851" w:right="85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CE">
      <w:pPr>
        <w:ind w:left="851" w:right="85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000000" w:rsidDel="00000000" w:rsidP="00000000" w:rsidRDefault="00000000" w:rsidRPr="00000000" w14:paraId="000000D0">
      <w:pPr>
        <w:spacing w:line="360" w:lineRule="auto"/>
        <w:ind w:right="-5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Más aún, a través de diversa jurisprudencia dictada por el Poder Judicial de la Federación se sostiene que la finalidad de la fundamentación o motivación es la de explicar, justificar, posibilitar la defensa y comunicar la decisión de la autoridad:</w:t>
      </w:r>
    </w:p>
    <w:p w:rsidR="00000000" w:rsidDel="00000000" w:rsidP="00000000" w:rsidRDefault="00000000" w:rsidRPr="00000000" w14:paraId="000000D2">
      <w:pPr>
        <w:ind w:right="-5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3">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“FUNDAMENTACIÓN Y MOTIVACIÓN. EL ASPECTO FORMAL DE LA GARANTÍA Y SU FINALIDAD SE TRADUCEN EN EXPLICAR, JUSTIFICAR, POSIBILITAR LA DEFENSA Y COMUNICAR LA DECISIÓN</w:t>
      </w:r>
      <w:r w:rsidDel="00000000" w:rsidR="00000000" w:rsidRPr="00000000">
        <w:rPr>
          <w:rFonts w:ascii="Palatino Linotype" w:cs="Palatino Linotype" w:eastAsia="Palatino Linotype" w:hAnsi="Palatino Linotype"/>
          <w:i w:val="1"/>
          <w:sz w:val="22"/>
          <w:szCs w:val="22"/>
          <w:rtl w:val="0"/>
        </w:rPr>
        <w:t xml:space="preserve">. El contenido formal de la garantía de legalidad prevista en el artículo 16 constitucional relativa a la fundamentación</w:t>
      </w:r>
      <w:r w:rsidDel="00000000" w:rsidR="00000000" w:rsidRPr="00000000">
        <w:rPr>
          <w:rFonts w:ascii="Palatino Linotype" w:cs="Palatino Linotype" w:eastAsia="Palatino Linotype" w:hAnsi="Palatino Linotype"/>
          <w:b w:val="1"/>
          <w:i w:val="1"/>
          <w:sz w:val="22"/>
          <w:szCs w:val="22"/>
          <w:rtl w:val="0"/>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Del="00000000" w:rsidR="00000000" w:rsidRPr="00000000">
        <w:rPr>
          <w:rFonts w:ascii="Palatino Linotype" w:cs="Palatino Linotype" w:eastAsia="Palatino Linotype" w:hAnsi="Palatino Linotype"/>
          <w:i w:val="1"/>
          <w:sz w:val="22"/>
          <w:szCs w:val="22"/>
          <w:rtl w:val="0"/>
        </w:rPr>
        <w:t xml:space="preserve">. Por tanto, </w:t>
      </w:r>
      <w:r w:rsidDel="00000000" w:rsidR="00000000" w:rsidRPr="00000000">
        <w:rPr>
          <w:rFonts w:ascii="Palatino Linotype" w:cs="Palatino Linotype" w:eastAsia="Palatino Linotype" w:hAnsi="Palatino Linotype"/>
          <w:b w:val="1"/>
          <w:i w:val="1"/>
          <w:sz w:val="22"/>
          <w:szCs w:val="22"/>
          <w:u w:val="single"/>
          <w:rtl w:val="0"/>
        </w:rPr>
        <w:t xml:space="preserve">no basta que el acto de autoridad apenas observe una motivación pro forma pero de una manera incongruente, insuficiente o imprecisa</w:t>
      </w:r>
      <w:r w:rsidDel="00000000" w:rsidR="00000000" w:rsidRPr="00000000">
        <w:rPr>
          <w:rFonts w:ascii="Palatino Linotype" w:cs="Palatino Linotype" w:eastAsia="Palatino Linotype" w:hAnsi="Palatino Linotype"/>
          <w:i w:val="1"/>
          <w:sz w:val="22"/>
          <w:szCs w:val="22"/>
          <w:rtl w:val="0"/>
        </w:rPr>
        <w:t xml:space="preserve">, que impida la finalidad del conocimiento, comprobación y defensa pertinente</w:t>
      </w:r>
      <w:r w:rsidDel="00000000" w:rsidR="00000000" w:rsidRPr="00000000">
        <w:rPr>
          <w:rFonts w:ascii="Palatino Linotype" w:cs="Palatino Linotype" w:eastAsia="Palatino Linotype" w:hAnsi="Palatino Linotype"/>
          <w:b w:val="1"/>
          <w:i w:val="1"/>
          <w:sz w:val="22"/>
          <w:szCs w:val="22"/>
          <w:u w:val="single"/>
          <w:rtl w:val="0"/>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Del="00000000" w:rsidR="00000000" w:rsidRPr="00000000">
        <w:rPr>
          <w:rFonts w:ascii="Palatino Linotype" w:cs="Palatino Linotype" w:eastAsia="Palatino Linotype" w:hAnsi="Palatino Linotype"/>
          <w:i w:val="1"/>
          <w:sz w:val="22"/>
          <w:szCs w:val="22"/>
          <w:rtl w:val="0"/>
        </w:rPr>
        <w:t xml:space="preserve">.” Énfasis añadido.</w:t>
      </w:r>
    </w:p>
    <w:p w:rsidR="00000000" w:rsidDel="00000000" w:rsidP="00000000" w:rsidRDefault="00000000" w:rsidRPr="00000000" w14:paraId="000000D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la fundamentación y motivación implica que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 circunstancia que en el presente asunto no sucedió.</w:t>
      </w:r>
    </w:p>
    <w:p w:rsidR="00000000" w:rsidDel="00000000" w:rsidP="00000000" w:rsidRDefault="00000000" w:rsidRPr="00000000" w14:paraId="000000D5">
      <w:pPr>
        <w:shd w:fill="ffffff" w:val="clea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ello no se debe perder de vista que la clasificación es el proceso mediante el cual el sujeto obligado determina que la información en su poder actualiza alguno de los supuestos de reserva o confidencialidad, los cuales deberán ser acordes con las bases, principios y disposiciones establecidos en la Ley General de Transparencia, al respecto, conviene referir que la Ley de Transparencia vigente en el Estado de México establece:</w:t>
      </w:r>
    </w:p>
    <w:p w:rsidR="00000000" w:rsidDel="00000000" w:rsidP="00000000" w:rsidRDefault="00000000" w:rsidRPr="00000000" w14:paraId="000000D6">
      <w:pPr>
        <w:shd w:fill="ffffff" w:val="clear"/>
        <w:spacing w:line="360" w:lineRule="auto"/>
        <w:jc w:val="both"/>
        <w:rPr>
          <w:b w:val="1"/>
        </w:rPr>
      </w:pPr>
      <w:r w:rsidDel="00000000" w:rsidR="00000000" w:rsidRPr="00000000">
        <w:rPr>
          <w:rtl w:val="0"/>
        </w:rPr>
      </w:r>
    </w:p>
    <w:p w:rsidR="00000000" w:rsidDel="00000000" w:rsidP="00000000" w:rsidRDefault="00000000" w:rsidRPr="00000000" w14:paraId="000000D7">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131.</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carga de la prueba para justificar toda negativa de acceso a la información, por actualizarse cualquiera de los supuestos de clasificación</w:t>
      </w:r>
      <w:r w:rsidDel="00000000" w:rsidR="00000000" w:rsidRPr="00000000">
        <w:rPr>
          <w:rFonts w:ascii="Palatino Linotype" w:cs="Palatino Linotype" w:eastAsia="Palatino Linotype" w:hAnsi="Palatino Linotype"/>
          <w:i w:val="1"/>
          <w:sz w:val="22"/>
          <w:szCs w:val="22"/>
          <w:rtl w:val="0"/>
        </w:rPr>
        <w:t xml:space="preserve"> previstos en esta Ley </w:t>
      </w:r>
      <w:r w:rsidDel="00000000" w:rsidR="00000000" w:rsidRPr="00000000">
        <w:rPr>
          <w:rFonts w:ascii="Palatino Linotype" w:cs="Palatino Linotype" w:eastAsia="Palatino Linotype" w:hAnsi="Palatino Linotype"/>
          <w:b w:val="1"/>
          <w:i w:val="1"/>
          <w:sz w:val="22"/>
          <w:szCs w:val="22"/>
          <w:u w:val="single"/>
          <w:rtl w:val="0"/>
        </w:rPr>
        <w:t xml:space="preserve">corresponderá a los sujetos obligados; en tal caso deberá fundar y motivar debidamente la clasificación de la información</w:t>
      </w:r>
      <w:r w:rsidDel="00000000" w:rsidR="00000000" w:rsidRPr="00000000">
        <w:rPr>
          <w:rFonts w:ascii="Palatino Linotype" w:cs="Palatino Linotype" w:eastAsia="Palatino Linotype" w:hAnsi="Palatino Linotype"/>
          <w:i w:val="1"/>
          <w:sz w:val="22"/>
          <w:szCs w:val="22"/>
          <w:rtl w:val="0"/>
        </w:rPr>
        <w:t xml:space="preserve">, de conformidad con lo previsto en la presente Ley.</w:t>
      </w:r>
    </w:p>
    <w:p w:rsidR="00000000" w:rsidDel="00000000" w:rsidP="00000000" w:rsidRDefault="00000000" w:rsidRPr="00000000" w14:paraId="000000D8">
      <w:pPr>
        <w:shd w:fill="ffffff" w:val="clea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D9">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clasificación de la información se llevará a cabo</w:t>
      </w:r>
      <w:r w:rsidDel="00000000" w:rsidR="00000000" w:rsidRPr="00000000">
        <w:rPr>
          <w:rFonts w:ascii="Palatino Linotype" w:cs="Palatino Linotype" w:eastAsia="Palatino Linotype" w:hAnsi="Palatino Linotype"/>
          <w:i w:val="1"/>
          <w:sz w:val="22"/>
          <w:szCs w:val="22"/>
          <w:rtl w:val="0"/>
        </w:rPr>
        <w:t xml:space="preserve"> en el momento en que:</w:t>
      </w:r>
    </w:p>
    <w:p w:rsidR="00000000" w:rsidDel="00000000" w:rsidP="00000000" w:rsidRDefault="00000000" w:rsidRPr="00000000" w14:paraId="000000DA">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Se reciba una solicitud de acceso a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B">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0DC">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0DD">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E">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información reservada, los titulares de las áreas deberán revisar la clasificación al momento de la recepción de una solicitud, para verificar si subsisten las causas que le dieron origen.</w:t>
      </w:r>
    </w:p>
    <w:p w:rsidR="00000000" w:rsidDel="00000000" w:rsidP="00000000" w:rsidRDefault="00000000" w:rsidRPr="00000000" w14:paraId="000000DF">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134.</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sujetos obligados no podrán emitir acuerdos de carácter general</w:t>
      </w:r>
      <w:r w:rsidDel="00000000" w:rsidR="00000000" w:rsidRPr="00000000">
        <w:rPr>
          <w:rFonts w:ascii="Palatino Linotype" w:cs="Palatino Linotype" w:eastAsia="Palatino Linotype" w:hAnsi="Palatino Linotype"/>
          <w:i w:val="1"/>
          <w:sz w:val="22"/>
          <w:szCs w:val="22"/>
          <w:rtl w:val="0"/>
        </w:rPr>
        <w:t xml:space="preserve">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rsidR="00000000" w:rsidDel="00000000" w:rsidP="00000000" w:rsidRDefault="00000000" w:rsidRPr="00000000" w14:paraId="000000E1">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En ningún caso se podrán clasificar documentos antes de que se genere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3">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clasificación de información se realizará conforme a un análisis caso por caso, mediante la aplicación de la prueba de daño.</w:t>
      </w:r>
    </w:p>
    <w:p w:rsidR="00000000" w:rsidDel="00000000" w:rsidP="00000000" w:rsidRDefault="00000000" w:rsidRPr="00000000" w14:paraId="000000E5">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E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135.</w:t>
      </w:r>
      <w:r w:rsidDel="00000000" w:rsidR="00000000" w:rsidRPr="00000000">
        <w:rPr>
          <w:rFonts w:ascii="Palatino Linotype" w:cs="Palatino Linotype" w:eastAsia="Palatino Linotype" w:hAnsi="Palatino Linotype"/>
          <w:i w:val="1"/>
          <w:sz w:val="22"/>
          <w:szCs w:val="22"/>
          <w:rtl w:val="0"/>
        </w:rPr>
        <w:t xml:space="preserve"> Los lineamientos generales que se emitan al respecto en materia de clasificación de la información reservada y confidencial y, para la elaboración de versiones públicas, serán de observancia obligatoria para los sujetos obligados.</w:t>
      </w:r>
    </w:p>
    <w:p w:rsidR="00000000" w:rsidDel="00000000" w:rsidP="00000000" w:rsidRDefault="00000000" w:rsidRPr="00000000" w14:paraId="000000E7">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E9">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normatividad se aprecia que l</w:t>
      </w:r>
      <w:r w:rsidDel="00000000" w:rsidR="00000000" w:rsidRPr="00000000">
        <w:rPr>
          <w:rFonts w:ascii="Palatino Linotype" w:cs="Palatino Linotype" w:eastAsia="Palatino Linotype" w:hAnsi="Palatino Linotype"/>
          <w:b w:val="1"/>
          <w:rtl w:val="0"/>
        </w:rPr>
        <w:t xml:space="preserve">a </w:t>
      </w:r>
      <w:r w:rsidDel="00000000" w:rsidR="00000000" w:rsidRPr="00000000">
        <w:rPr>
          <w:rFonts w:ascii="Palatino Linotype" w:cs="Palatino Linotype" w:eastAsia="Palatino Linotype" w:hAnsi="Palatino Linotype"/>
          <w:rtl w:val="0"/>
        </w:rPr>
        <w:t xml:space="preserve">carga de la prueba para justificar toda negativa de acceso a la información, por actualizarse cualquiera de los supuestos de clasificación corresponde a los sujetos obligados; en tal caso deberá fundar y motivar debidamente la clasificación de la información, la cual se llevará a cabo en el momento en que </w:t>
      </w:r>
      <w:r w:rsidDel="00000000" w:rsidR="00000000" w:rsidRPr="00000000">
        <w:rPr>
          <w:rFonts w:ascii="Palatino Linotype" w:cs="Palatino Linotype" w:eastAsia="Palatino Linotype" w:hAnsi="Palatino Linotype"/>
          <w:i w:val="1"/>
          <w:rtl w:val="0"/>
        </w:rPr>
        <w:t xml:space="preserve">se reciba una solicitud de acceso a la información;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determine mediante resolución de autoridad competente; 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generen versiones públicas para dar cumplimiento a las obligaciones de transparencia,</w:t>
      </w:r>
      <w:r w:rsidDel="00000000" w:rsidR="00000000" w:rsidRPr="00000000">
        <w:rPr>
          <w:rFonts w:ascii="Palatino Linotype" w:cs="Palatino Linotype" w:eastAsia="Palatino Linotype" w:hAnsi="Palatino Linotype"/>
          <w:rtl w:val="0"/>
        </w:rPr>
        <w:t xml:space="preserve"> cabe mencionar que los sujetos obligados no podrán emitir acuerdos de carácter general, en donde no se podrán clasificar documentos antes de que se genere la información, es decir, la clasificación de información se realizará conforme a un análisis caso por caso, formalidades que en el presente asunto no fueron observadas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E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si bien es cierto, se testaron los datos necesarios que no abonan a la transparencia, no menos cierto es que dicha versión pública no fue acompañada del acuerdo de comité correspondiente.</w:t>
      </w:r>
    </w:p>
    <w:p w:rsidR="00000000" w:rsidDel="00000000" w:rsidP="00000000" w:rsidRDefault="00000000" w:rsidRPr="00000000" w14:paraId="000000E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por todo lo expuesto que resulta procedente modificar la respuesta en términos de la fracción III del artículo 186 de la Ley de Transparencia y Acceso a la Información Pública del Estado de México y Municipios, a efectos 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entregue el acuerdo de comité de información que sustente la versión pública del convenio remitido en respuesta.</w:t>
      </w:r>
    </w:p>
    <w:p w:rsidR="00000000" w:rsidDel="00000000" w:rsidP="00000000" w:rsidRDefault="00000000" w:rsidRPr="00000000" w14:paraId="000000ED">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de la Ley de Transparencia y Acceso a la Información Pública del Estado de México y Municipios, este Pleno:</w:t>
      </w:r>
    </w:p>
    <w:p w:rsidR="00000000" w:rsidDel="00000000" w:rsidP="00000000" w:rsidRDefault="00000000" w:rsidRPr="00000000" w14:paraId="000000EE">
      <w:pPr>
        <w:numPr>
          <w:ilvl w:val="0"/>
          <w:numId w:val="2"/>
        </w:numPr>
        <w:spacing w:after="240" w:line="360" w:lineRule="auto"/>
        <w:ind w:left="2552" w:hanging="14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 E S U E L V E:</w:t>
      </w:r>
    </w:p>
    <w:p w:rsidR="00000000" w:rsidDel="00000000" w:rsidP="00000000" w:rsidRDefault="00000000" w:rsidRPr="00000000" w14:paraId="000000EF">
      <w:pPr>
        <w:spacing w:after="240" w:before="240" w:line="360" w:lineRule="auto"/>
        <w:jc w:val="both"/>
        <w:rPr>
          <w:rFonts w:ascii="Palatino Linotype" w:cs="Palatino Linotype" w:eastAsia="Palatino Linotype" w:hAnsi="Palatino Linotype"/>
        </w:rPr>
      </w:pPr>
      <w:bookmarkStart w:colFirst="0" w:colLast="0" w:name="_heading=h.2et92p0" w:id="6"/>
      <w:bookmarkEnd w:id="6"/>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fundadas</w:t>
      </w:r>
      <w:r w:rsidDel="00000000" w:rsidR="00000000" w:rsidRPr="00000000">
        <w:rPr>
          <w:rFonts w:ascii="Palatino Linotype" w:cs="Palatino Linotype" w:eastAsia="Palatino Linotype" w:hAnsi="Palatino Linotype"/>
          <w:rtl w:val="0"/>
        </w:rPr>
        <w:t xml:space="preserve"> las razones o motivos de inconformidad hechos valer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07169/INFOEM/IP/RR/2023</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esta resolución,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tl w:val="0"/>
        </w:rPr>
      </w:r>
    </w:p>
    <w:p w:rsidR="00000000" w:rsidDel="00000000" w:rsidP="00000000" w:rsidRDefault="00000000" w:rsidRPr="00000000" w14:paraId="000000F0">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haga entrega a</w:t>
      </w:r>
      <w:r w:rsidDel="00000000" w:rsidR="00000000" w:rsidRPr="00000000">
        <w:rPr>
          <w:rFonts w:ascii="Palatino Linotype" w:cs="Palatino Linotype" w:eastAsia="Palatino Linotype" w:hAnsi="Palatino Linotype"/>
          <w:b w:val="1"/>
          <w:rtl w:val="0"/>
        </w:rPr>
        <w:t xml:space="preserve"> la parte Recurrente,</w:t>
      </w:r>
      <w:r w:rsidDel="00000000" w:rsidR="00000000" w:rsidRPr="00000000">
        <w:rPr>
          <w:rFonts w:ascii="Palatino Linotype" w:cs="Palatino Linotype" w:eastAsia="Palatino Linotype" w:hAnsi="Palatino Linotype"/>
          <w:rtl w:val="0"/>
        </w:rPr>
        <w:t xml:space="preserve"> vía SAIMEX</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términos del </w:t>
      </w:r>
      <w:r w:rsidDel="00000000" w:rsidR="00000000" w:rsidRPr="00000000">
        <w:rPr>
          <w:rFonts w:ascii="Palatino Linotype" w:cs="Palatino Linotype" w:eastAsia="Palatino Linotype" w:hAnsi="Palatino Linotype"/>
          <w:b w:val="1"/>
          <w:rtl w:val="0"/>
        </w:rPr>
        <w:t xml:space="preserve">Considerando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 la presente resolución, lo siguiente: </w:t>
      </w:r>
    </w:p>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left" w:leader="none" w:pos="7655"/>
        </w:tabs>
        <w:spacing w:line="276" w:lineRule="auto"/>
        <w:ind w:left="567" w:right="901" w:firstLine="0"/>
        <w:jc w:val="both"/>
        <w:rPr>
          <w:rFonts w:ascii="Palatino Linotype" w:cs="Palatino Linotype" w:eastAsia="Palatino Linotype" w:hAnsi="Palatino Linotype"/>
          <w:b w:val="1"/>
          <w:i w:val="1"/>
          <w:sz w:val="22"/>
          <w:szCs w:val="22"/>
        </w:rPr>
      </w:pPr>
      <w:bookmarkStart w:colFirst="0" w:colLast="0" w:name="_heading=h.3dy6vkm" w:id="7"/>
      <w:bookmarkEnd w:id="7"/>
      <w:r w:rsidDel="00000000" w:rsidR="00000000" w:rsidRPr="00000000">
        <w:rPr>
          <w:rFonts w:ascii="Palatino Linotype" w:cs="Palatino Linotype" w:eastAsia="Palatino Linotype" w:hAnsi="Palatino Linotype"/>
          <w:b w:val="1"/>
          <w:i w:val="1"/>
          <w:sz w:val="22"/>
          <w:szCs w:val="22"/>
          <w:rtl w:val="0"/>
        </w:rPr>
        <w:t xml:space="preserve">-Acuerdo del Comité de Transparencia en términos de la Ley de Transparencia y Acceso a la Información Pública del Estado de México y Municipios, en el que funde y motive la clasificación de los datos que obran en </w:t>
      </w:r>
      <w:r w:rsidDel="00000000" w:rsidR="00000000" w:rsidRPr="00000000">
        <w:rPr>
          <w:rFonts w:ascii="Palatino Linotype" w:cs="Palatino Linotype" w:eastAsia="Palatino Linotype" w:hAnsi="Palatino Linotype"/>
          <w:b w:val="1"/>
          <w:i w:val="1"/>
          <w:sz w:val="22"/>
          <w:szCs w:val="22"/>
          <w:u w:val="single"/>
          <w:rtl w:val="0"/>
        </w:rPr>
        <w:t xml:space="preserve">el convenio celebrado entre el Ayuntamiento de Zinacantepec y el Deportivo Toluca, Futbol Club S.A de C.V</w:t>
      </w:r>
      <w:r w:rsidDel="00000000" w:rsidR="00000000" w:rsidRPr="00000000">
        <w:rPr>
          <w:rFonts w:ascii="Palatino Linotype" w:cs="Palatino Linotype" w:eastAsia="Palatino Linotype" w:hAnsi="Palatino Linotype"/>
          <w:b w:val="1"/>
          <w:i w:val="1"/>
          <w:sz w:val="22"/>
          <w:szCs w:val="22"/>
          <w:rtl w:val="0"/>
        </w:rPr>
        <w:t xml:space="preserve">, remitido en respuesta.</w:t>
      </w:r>
    </w:p>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left" w:leader="none" w:pos="7655"/>
        </w:tabs>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F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rtl w:val="0"/>
        </w:rPr>
        <w:t xml:space="preserve">Notifíquese vía SAIMEX,</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0F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0F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rtl w:val="0"/>
        </w:rPr>
        <w:t xml:space="preserve">Notifíquese vía SAIMEX, </w:t>
      </w:r>
      <w:r w:rsidDel="00000000" w:rsidR="00000000" w:rsidRPr="00000000">
        <w:rPr>
          <w:rFonts w:ascii="Palatino Linotype" w:cs="Palatino Linotype" w:eastAsia="Palatino Linotype" w:hAnsi="Palatino Linotype"/>
          <w:rtl w:val="0"/>
        </w:rPr>
        <w:t xml:space="preserve">a</w:t>
      </w:r>
      <w:r w:rsidDel="00000000" w:rsidR="00000000" w:rsidRPr="00000000">
        <w:rPr>
          <w:rFonts w:ascii="Palatino Linotype" w:cs="Palatino Linotype" w:eastAsia="Palatino Linotype" w:hAnsi="Palatino Linotype"/>
          <w:b w:val="1"/>
          <w:rtl w:val="0"/>
        </w:rPr>
        <w:t xml:space="preserve"> la parte Recurrente</w:t>
      </w:r>
      <w:r w:rsidDel="00000000" w:rsidR="00000000" w:rsidRPr="00000000">
        <w:rPr>
          <w:rFonts w:ascii="Palatino Linotype" w:cs="Palatino Linotype" w:eastAsia="Palatino Linotype" w:hAnsi="Palatino Linotype"/>
          <w:rtl w:val="0"/>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w:t>
      </w:r>
    </w:p>
    <w:p w:rsidR="00000000" w:rsidDel="00000000" w:rsidP="00000000" w:rsidRDefault="00000000" w:rsidRPr="00000000" w14:paraId="000000F6">
      <w:pPr>
        <w:spacing w:after="240" w:before="240" w:line="360" w:lineRule="auto"/>
        <w:jc w:val="both"/>
        <w:rPr>
          <w:rFonts w:ascii="Palatino Linotype" w:cs="Palatino Linotype" w:eastAsia="Palatino Linotype" w:hAnsi="Palatino Linotype"/>
        </w:rPr>
      </w:pPr>
      <w:bookmarkStart w:colFirst="0" w:colLast="0" w:name="_heading=h.3znysh7" w:id="8"/>
      <w:bookmarkEnd w:id="8"/>
      <w:r w:rsidDel="00000000" w:rsidR="00000000" w:rsidRPr="00000000">
        <w:rPr>
          <w:rFonts w:ascii="Palatino Linotype" w:cs="Palatino Linotype" w:eastAsia="Palatino Linotype" w:hAnsi="Palatino Linotype"/>
          <w:rtl w:val="0"/>
        </w:rPr>
        <w:t xml:space="preserve"> ASÍ LO RESUELVE POR UNANIMIDAD DE VOTOS EL PLENO DEL INSTITUTO DE TRANSPARENCIA, ACCESO A LA INFORMACIÓN PÚBLICA Y PROTECCIÓN DE DATOS PERSONALES DEL ESTADO DE MEXICO Y MUNICIPIOS, CONFORMADO POR LOS COMISIONADOS JOSÉ MARTÍNEZ VILCHIS; MARÍA DEL ROSARIO MEJIA AYALA; SHARON CRISTINA MORALES MARTINEZ; LUIS GUSTAVO PARRA NORIEGA Y GUADALUPE RAMÍREZ PEÑA; EN LA PRIMERA SESIÓN ORDINARIA CELEBRADA EL DIECISIETE DE ENERO DE DOS MIL VEINTICUATRO, ANTE EL SECRETARIO TÉCNICO DEL PLENO ALEXIS TAPIA RAMÍREZ.</w:t>
      </w:r>
    </w:p>
    <w:p w:rsidR="00000000" w:rsidDel="00000000" w:rsidP="00000000" w:rsidRDefault="00000000" w:rsidRPr="00000000" w14:paraId="000000F7">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8">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9">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A">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B">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C">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D">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E">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F">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0">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1">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2">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3">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4">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5">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6">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7">
      <w:pPr>
        <w:spacing w:after="240" w:before="240" w:line="360" w:lineRule="auto"/>
        <w:jc w:val="both"/>
        <w:rPr>
          <w:rFonts w:ascii="Palatino Linotype" w:cs="Palatino Linotype" w:eastAsia="Palatino Linotype" w:hAnsi="Palatino Linotype"/>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701" w:top="1985" w:left="1700"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08">
      <w:pPr>
        <w:tabs>
          <w:tab w:val="left" w:leader="none" w:pos="709"/>
        </w:tabs>
        <w:ind w:right="567"/>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“Artículo 12. Quienes generen, recopilen, administren, manejen, procesen, archiven o conserven información pública serán responsables de la misma en los términos de las disposiciones jurídicas aplicables.</w:t>
      </w:r>
    </w:p>
    <w:p w:rsidR="00000000" w:rsidDel="00000000" w:rsidP="00000000" w:rsidRDefault="00000000" w:rsidRPr="00000000" w14:paraId="00000109">
      <w:pPr>
        <w:tabs>
          <w:tab w:val="left" w:leader="none" w:pos="709"/>
        </w:tabs>
        <w:ind w:right="56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1">
    <w:p w:rsidR="00000000" w:rsidDel="00000000" w:rsidP="00000000" w:rsidRDefault="00000000" w:rsidRPr="00000000" w14:paraId="0000010A">
      <w:pPr>
        <w:tabs>
          <w:tab w:val="left" w:leader="none" w:pos="709"/>
        </w:tabs>
        <w:ind w:right="567"/>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Artículo 23. Son sujetos obligados a transparentar y permitir el acceso a su información y proteger los datos personales que obren en su poder…</w:t>
      </w:r>
    </w:p>
    <w:p w:rsidR="00000000" w:rsidDel="00000000" w:rsidP="00000000" w:rsidRDefault="00000000" w:rsidRPr="00000000" w14:paraId="0000010B">
      <w:pPr>
        <w:tabs>
          <w:tab w:val="left" w:leader="none" w:pos="709"/>
        </w:tabs>
        <w:ind w:right="56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IV. Los ayuntamientos y las dependencias, organismos, órganos y entidades de la administración municipal;…”(Sic)</w:t>
      </w:r>
    </w:p>
  </w:footnote>
  <w:footnote w:id="2">
    <w:p w:rsidR="00000000" w:rsidDel="00000000" w:rsidP="00000000" w:rsidRDefault="00000000" w:rsidRPr="00000000" w14:paraId="0000010C">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 El Instituto deberá regir su funcionamiento de acuerdo a los siguientes principios:</w:t>
      </w:r>
    </w:p>
    <w:p w:rsidR="00000000" w:rsidDel="00000000" w:rsidP="00000000" w:rsidRDefault="00000000" w:rsidRPr="00000000" w14:paraId="0000010D">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 Certeza: Principio que otorga seguridad y certidumbre jurídica a los particulares, en virtud de que permite conocer si las acciones del Instituto son apegadas a derecho y garantiza que los procedimientos sean completamente verificables, fidedignos y confiable…</w:t>
      </w:r>
    </w:p>
    <w:p w:rsidR="00000000" w:rsidDel="00000000" w:rsidP="00000000" w:rsidRDefault="00000000" w:rsidRPr="00000000" w14:paraId="0000010E">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VI. Legalidad: Obligación del Instituto de ajustar su actuación, que funde y motive sus resoluciones y actos en las normas aplicables…</w:t>
      </w:r>
    </w:p>
    <w:p w:rsidR="00000000" w:rsidDel="00000000" w:rsidP="00000000" w:rsidRDefault="00000000" w:rsidRPr="00000000" w14:paraId="0000010F">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VIII. Objetividad: Obligación del Instituto de ajustar su actuación a los presupuestos de ley que deben ser aplicados al analizar el caso en concreto y resolver todos los hechos, prescindiendo de las consideraciones y criterios personales…” (Sic)</w:t>
      </w:r>
    </w:p>
  </w:footnote>
  <w:footnote w:id="3">
    <w:p w:rsidR="00000000" w:rsidDel="00000000" w:rsidP="00000000" w:rsidRDefault="00000000" w:rsidRPr="00000000" w14:paraId="0000011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11. En la generación, publicación y entrega de información se deberá garantizar que ésta sea accesible, actualizada, completa, </w:t>
      </w:r>
      <w:r w:rsidDel="00000000" w:rsidR="00000000" w:rsidRPr="00000000">
        <w:rPr>
          <w:rFonts w:ascii="Palatino Linotype" w:cs="Palatino Linotype" w:eastAsia="Palatino Linotype" w:hAnsi="Palatino Linotype"/>
          <w:b w:val="1"/>
          <w:color w:val="000000"/>
          <w:sz w:val="16"/>
          <w:szCs w:val="16"/>
          <w:rtl w:val="0"/>
        </w:rPr>
        <w:t xml:space="preserve">congruente</w:t>
      </w:r>
      <w:r w:rsidDel="00000000" w:rsidR="00000000" w:rsidRPr="00000000">
        <w:rPr>
          <w:rFonts w:ascii="Palatino Linotype" w:cs="Palatino Linotype" w:eastAsia="Palatino Linotype" w:hAnsi="Palatino Linotype"/>
          <w:color w:val="000000"/>
          <w:sz w:val="16"/>
          <w:szCs w:val="16"/>
          <w:rtl w:val="0"/>
        </w:rPr>
        <w:t xml:space="preserv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persona…”(Sic)</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-955665</wp:posOffset>
          </wp:positionH>
          <wp:positionV relativeFrom="paragraph">
            <wp:posOffset>-288918</wp:posOffset>
          </wp:positionV>
          <wp:extent cx="7809865" cy="10165715"/>
          <wp:effectExtent b="0" l="0" r="0" t="0"/>
          <wp:wrapNone/>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6662.0" w:type="dxa"/>
      <w:jc w:val="left"/>
      <w:tblInd w:w="3261.0" w:type="dxa"/>
      <w:tblLayout w:type="fixed"/>
      <w:tblLook w:val="0400"/>
    </w:tblPr>
    <w:tblGrid>
      <w:gridCol w:w="2551"/>
      <w:gridCol w:w="4111"/>
      <w:tblGridChange w:id="0">
        <w:tblGrid>
          <w:gridCol w:w="2551"/>
          <w:gridCol w:w="4111"/>
        </w:tblGrid>
      </w:tblGridChange>
    </w:tblGrid>
    <w:tr>
      <w:trPr>
        <w:cantSplit w:val="0"/>
        <w:tblHeader w:val="0"/>
      </w:trPr>
      <w:tc>
        <w:tcPr>
          <w:shd w:fill="auto" w:val="clear"/>
          <w:vAlign w:val="center"/>
        </w:tcPr>
        <w:p w:rsidR="00000000" w:rsidDel="00000000" w:rsidP="00000000" w:rsidRDefault="00000000" w:rsidRPr="00000000" w14:paraId="0000011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13">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07169/INFOEM/IP/RR/2023</w:t>
          </w:r>
        </w:p>
      </w:tc>
    </w:tr>
    <w:tr>
      <w:trPr>
        <w:cantSplit w:val="0"/>
        <w:trHeight w:val="130" w:hRule="atLeast"/>
        <w:tblHeader w:val="0"/>
      </w:trPr>
      <w:tc>
        <w:tcPr>
          <w:shd w:fill="auto" w:val="clear"/>
          <w:vAlign w:val="center"/>
        </w:tcPr>
        <w:p w:rsidR="00000000" w:rsidDel="00000000" w:rsidP="00000000" w:rsidRDefault="00000000" w:rsidRPr="00000000" w14:paraId="0000011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15">
          <w:pPr>
            <w:ind w:left="-45" w:right="176"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11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17">
          <w:pPr>
            <w:ind w:left="-45" w:right="-25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Zinacantepec</w:t>
          </w:r>
        </w:p>
      </w:tc>
    </w:tr>
    <w:tr>
      <w:trPr>
        <w:cantSplit w:val="0"/>
        <w:tblHeader w:val="0"/>
      </w:trPr>
      <w:tc>
        <w:tcPr>
          <w:shd w:fill="auto" w:val="clear"/>
          <w:vAlign w:val="center"/>
        </w:tcPr>
        <w:p w:rsidR="00000000" w:rsidDel="00000000" w:rsidP="00000000" w:rsidRDefault="00000000" w:rsidRPr="00000000" w14:paraId="0000011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19">
          <w:pPr>
            <w:ind w:left="-45" w:right="2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1A">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B">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-1031232</wp:posOffset>
          </wp:positionH>
          <wp:positionV relativeFrom="paragraph">
            <wp:posOffset>-429888</wp:posOffset>
          </wp:positionV>
          <wp:extent cx="7809865" cy="10165715"/>
          <wp:effectExtent b="0" l="0" r="0" t="0"/>
          <wp:wrapNone/>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1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1D">
          <w:pPr>
            <w:ind w:left="-53" w:right="17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07169/INFOEM/IP/RR/2023</w:t>
          </w:r>
        </w:p>
      </w:tc>
    </w:tr>
    <w:tr>
      <w:trPr>
        <w:cantSplit w:val="0"/>
        <w:trHeight w:val="228" w:hRule="atLeast"/>
        <w:tblHeader w:val="0"/>
      </w:trPr>
      <w:tc>
        <w:tcPr>
          <w:shd w:fill="auto" w:val="clear"/>
          <w:vAlign w:val="center"/>
        </w:tcPr>
        <w:p w:rsidR="00000000" w:rsidDel="00000000" w:rsidP="00000000" w:rsidRDefault="00000000" w:rsidRPr="00000000" w14:paraId="0000011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1F">
          <w:pPr>
            <w:ind w:left="-45" w:right="-54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Zinacantepec</w:t>
          </w:r>
        </w:p>
      </w:tc>
    </w:tr>
    <w:tr>
      <w:trPr>
        <w:cantSplit w:val="0"/>
        <w:tblHeader w:val="0"/>
      </w:trPr>
      <w:tc>
        <w:tcPr>
          <w:shd w:fill="auto" w:val="clear"/>
          <w:vAlign w:val="center"/>
        </w:tcPr>
        <w:p w:rsidR="00000000" w:rsidDel="00000000" w:rsidP="00000000" w:rsidRDefault="00000000" w:rsidRPr="00000000" w14:paraId="00000120">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21">
          <w:pPr>
            <w:ind w:left="-53" w:right="17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22">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lowerLetter"/>
      <w:lvlText w:val="%1)"/>
      <w:lvlJc w:val="left"/>
      <w:pPr>
        <w:ind w:left="927" w:hanging="360"/>
      </w:pPr>
      <w:rPr>
        <w:b w:val="1"/>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before="240"/>
      <w:outlineLvl w:val="0"/>
    </w:pPr>
    <w:rPr>
      <w:rFonts w:ascii="Calibri" w:cs="Calibri" w:eastAsia="Calibri" w:hAnsi="Calibri"/>
      <w:color w:val="366091"/>
      <w:sz w:val="32"/>
      <w:szCs w:val="32"/>
    </w:rPr>
  </w:style>
  <w:style w:type="paragraph" w:styleId="Ttulo2">
    <w:name w:val="heading 2"/>
    <w:basedOn w:val="Normal"/>
    <w:next w:val="Normal"/>
    <w:uiPriority w:val="9"/>
    <w:semiHidden w:val="1"/>
    <w:unhideWhenUsed w:val="1"/>
    <w:qFormat w:val="1"/>
    <w:pPr>
      <w:keepNext w:val="1"/>
      <w:keepLines w:val="1"/>
      <w:spacing w:before="40"/>
      <w:outlineLvl w:val="1"/>
    </w:pPr>
    <w:rPr>
      <w:rFonts w:ascii="Calibri" w:cs="Calibri" w:eastAsia="Calibri" w:hAnsi="Calibri"/>
      <w:color w:val="366091"/>
      <w:sz w:val="26"/>
      <w:szCs w:val="26"/>
    </w:rPr>
  </w:style>
  <w:style w:type="paragraph" w:styleId="Ttulo3">
    <w:name w:val="heading 3"/>
    <w:basedOn w:val="Normal"/>
    <w:next w:val="Normal"/>
    <w:uiPriority w:val="9"/>
    <w:semiHidden w:val="1"/>
    <w:unhideWhenUsed w:val="1"/>
    <w:qFormat w:val="1"/>
    <w:pPr>
      <w:keepNext w:val="1"/>
      <w:spacing w:after="60" w:before="240"/>
      <w:ind w:left="2160" w:hanging="720"/>
      <w:outlineLvl w:val="2"/>
    </w:pPr>
    <w:rPr>
      <w:rFonts w:ascii="Calibri" w:cs="Calibri" w:eastAsia="Calibri" w:hAnsi="Calibri"/>
      <w:b w:val="1"/>
      <w:sz w:val="26"/>
      <w:szCs w:val="26"/>
    </w:rPr>
  </w:style>
  <w:style w:type="paragraph" w:styleId="Ttulo4">
    <w:name w:val="heading 4"/>
    <w:basedOn w:val="Normal"/>
    <w:next w:val="Normal"/>
    <w:uiPriority w:val="9"/>
    <w:semiHidden w:val="1"/>
    <w:unhideWhenUsed w:val="1"/>
    <w:qFormat w:val="1"/>
    <w:pPr>
      <w:keepNext w:val="1"/>
      <w:spacing w:after="60" w:before="240"/>
      <w:ind w:left="2880" w:hanging="720"/>
      <w:outlineLvl w:val="3"/>
    </w:pPr>
    <w:rPr>
      <w:rFonts w:ascii="Cambria" w:cs="Cambria" w:eastAsia="Cambria" w:hAnsi="Cambria"/>
      <w:b w:val="1"/>
      <w:sz w:val="28"/>
      <w:szCs w:val="28"/>
    </w:rPr>
  </w:style>
  <w:style w:type="paragraph" w:styleId="Ttulo5">
    <w:name w:val="heading 5"/>
    <w:basedOn w:val="Normal"/>
    <w:next w:val="Normal"/>
    <w:uiPriority w:val="9"/>
    <w:semiHidden w:val="1"/>
    <w:unhideWhenUsed w:val="1"/>
    <w:qFormat w:val="1"/>
    <w:pPr>
      <w:spacing w:after="60" w:before="240"/>
      <w:ind w:left="3600" w:hanging="720"/>
      <w:outlineLvl w:val="4"/>
    </w:pPr>
    <w:rPr>
      <w:rFonts w:ascii="Cambria" w:cs="Cambria" w:eastAsia="Cambria" w:hAnsi="Cambria"/>
      <w:b w:val="1"/>
      <w:i w:val="1"/>
      <w:sz w:val="26"/>
      <w:szCs w:val="26"/>
    </w:rPr>
  </w:style>
  <w:style w:type="paragraph" w:styleId="Ttulo6">
    <w:name w:val="heading 6"/>
    <w:basedOn w:val="Normal"/>
    <w:next w:val="Normal"/>
    <w:uiPriority w:val="9"/>
    <w:semiHidden w:val="1"/>
    <w:unhideWhenUsed w:val="1"/>
    <w:qFormat w:val="1"/>
    <w:pPr>
      <w:spacing w:after="60" w:before="240"/>
      <w:ind w:left="4320" w:hanging="720"/>
      <w:outlineLvl w:val="5"/>
    </w:pPr>
    <w:rPr>
      <w:b w:val="1"/>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rPr>
      <w:rFonts w:ascii="Cambria" w:cs="Cambria" w:eastAsia="Cambria" w:hAnsi="Cambria"/>
    </w:rPr>
    <w:tblPr>
      <w:tblStyleRowBandSize w:val="1"/>
      <w:tblStyleColBandSize w:val="1"/>
      <w:tblCellMar>
        <w:left w:w="115.0" w:type="dxa"/>
        <w:right w:w="115.0" w:type="dxa"/>
      </w:tblCellMar>
    </w:tblPr>
  </w:style>
  <w:style w:type="table" w:styleId="a0" w:customStyle="1">
    <w:basedOn w:val="TableNormal"/>
    <w:rPr>
      <w:rFonts w:ascii="Cambria" w:cs="Cambria" w:eastAsia="Cambria" w:hAnsi="Cambria"/>
    </w:rPr>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2">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Fibfhn7ezw0rf0lM+p2ZwrPKbg==">CgMxLjAyCWguMWZvYjl0ZTIIaC5namRneHMyCWguMzBqMHpsbDIJaC4yczhleW8xMghoLnR5amN3dDIJaC4zcmRjcmpuMgloLjJldDkycDAyCWguM2R5NnZrbTIJaC4zem55c2g3OAByITFJUEhKM2lFZ1hrcWJ6UTl0cURMYVl6ZUJQaUQtaVpCVA==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2024-01-25T00:39:00Z</dcterms:created>
  <dc:creator>INFOEM619</dc:creator>
</cp:coreProperties>
</file>