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4504" w14:textId="391088CD" w:rsidR="00860149" w:rsidRPr="00912A8D" w:rsidRDefault="00860149" w:rsidP="00AD78B6">
      <w:pPr>
        <w:shd w:val="clear" w:color="auto" w:fill="FFFFFF"/>
        <w:spacing w:line="360" w:lineRule="auto"/>
        <w:jc w:val="both"/>
        <w:rPr>
          <w:rFonts w:ascii="Palatino Linotype" w:hAnsi="Palatino Linotype" w:cs="Arial"/>
          <w:color w:val="000000"/>
          <w:lang w:val="es-MX" w:eastAsia="es-MX"/>
        </w:rPr>
      </w:pPr>
      <w:r w:rsidRPr="00912A8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22DDA" w:rsidRPr="00912A8D">
        <w:rPr>
          <w:rFonts w:ascii="Palatino Linotype" w:hAnsi="Palatino Linotype" w:cs="Arial"/>
          <w:b/>
          <w:color w:val="000000"/>
          <w:lang w:val="es-MX" w:eastAsia="es-MX"/>
        </w:rPr>
        <w:t>v</w:t>
      </w:r>
      <w:r w:rsidRPr="00912A8D">
        <w:rPr>
          <w:rFonts w:ascii="Palatino Linotype" w:hAnsi="Palatino Linotype" w:cs="Arial"/>
          <w:b/>
          <w:color w:val="000000"/>
          <w:lang w:val="es-MX" w:eastAsia="es-MX"/>
        </w:rPr>
        <w:t>e</w:t>
      </w:r>
      <w:r w:rsidR="00022DDA" w:rsidRPr="00912A8D">
        <w:rPr>
          <w:rFonts w:ascii="Palatino Linotype" w:hAnsi="Palatino Linotype" w:cs="Arial"/>
          <w:b/>
          <w:color w:val="000000"/>
          <w:lang w:val="es-MX" w:eastAsia="es-MX"/>
        </w:rPr>
        <w:t>intiuno</w:t>
      </w:r>
      <w:r w:rsidRPr="00912A8D">
        <w:rPr>
          <w:rFonts w:ascii="Palatino Linotype" w:hAnsi="Palatino Linotype" w:cs="Arial"/>
          <w:b/>
          <w:color w:val="000000"/>
          <w:lang w:val="es-MX" w:eastAsia="es-MX"/>
        </w:rPr>
        <w:t xml:space="preserve"> de febrero</w:t>
      </w:r>
      <w:r w:rsidR="00AD78B6" w:rsidRPr="00912A8D">
        <w:rPr>
          <w:rFonts w:ascii="Palatino Linotype" w:hAnsi="Palatino Linotype" w:cs="Arial"/>
          <w:b/>
          <w:color w:val="000000"/>
          <w:lang w:val="es-MX" w:eastAsia="es-MX"/>
        </w:rPr>
        <w:t xml:space="preserve"> de</w:t>
      </w:r>
      <w:r w:rsidRPr="00912A8D">
        <w:rPr>
          <w:rFonts w:ascii="Palatino Linotype" w:hAnsi="Palatino Linotype" w:cs="Arial"/>
          <w:b/>
          <w:color w:val="000000"/>
          <w:lang w:val="es-MX" w:eastAsia="es-MX"/>
        </w:rPr>
        <w:t xml:space="preserve"> dos mil veinticuatro</w:t>
      </w:r>
      <w:r w:rsidRPr="00912A8D">
        <w:rPr>
          <w:rFonts w:ascii="Palatino Linotype" w:hAnsi="Palatino Linotype" w:cs="Arial"/>
          <w:color w:val="000000"/>
          <w:lang w:val="es-MX" w:eastAsia="es-MX"/>
        </w:rPr>
        <w:t>.</w:t>
      </w:r>
    </w:p>
    <w:p w14:paraId="0BDC6174" w14:textId="77777777" w:rsidR="00860149" w:rsidRPr="00912A8D" w:rsidRDefault="00860149" w:rsidP="00AD78B6">
      <w:pPr>
        <w:tabs>
          <w:tab w:val="left" w:pos="1701"/>
        </w:tabs>
        <w:spacing w:line="360" w:lineRule="auto"/>
        <w:jc w:val="both"/>
        <w:rPr>
          <w:rFonts w:ascii="Palatino Linotype" w:hAnsi="Palatino Linotype" w:cs="Arial"/>
          <w:color w:val="000000"/>
          <w:lang w:val="es-MX" w:eastAsia="es-MX"/>
        </w:rPr>
      </w:pPr>
    </w:p>
    <w:p w14:paraId="20935F0F" w14:textId="746CCDD4" w:rsidR="00860149" w:rsidRPr="00912A8D" w:rsidRDefault="00860149" w:rsidP="00AD78B6">
      <w:pPr>
        <w:tabs>
          <w:tab w:val="left" w:pos="1701"/>
        </w:tabs>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b/>
          <w:lang w:val="es-MX" w:eastAsia="en-US"/>
        </w:rPr>
        <w:t>VISTO</w:t>
      </w:r>
      <w:r w:rsidRPr="00912A8D">
        <w:rPr>
          <w:rFonts w:ascii="Palatino Linotype" w:eastAsiaTheme="minorHAnsi" w:hAnsi="Palatino Linotype" w:cs="Arial"/>
          <w:lang w:val="es-MX" w:eastAsia="en-US"/>
        </w:rPr>
        <w:t xml:space="preserve"> el expediente electrónico formado con motivo del recurso de revisión número </w:t>
      </w:r>
      <w:r w:rsidRPr="00912A8D">
        <w:rPr>
          <w:rFonts w:ascii="Palatino Linotype" w:eastAsiaTheme="minorHAnsi" w:hAnsi="Palatino Linotype" w:cs="Arial"/>
          <w:b/>
          <w:lang w:val="es-MX" w:eastAsia="en-US"/>
        </w:rPr>
        <w:t>0</w:t>
      </w:r>
      <w:r w:rsidR="00022DDA" w:rsidRPr="00912A8D">
        <w:rPr>
          <w:rFonts w:ascii="Palatino Linotype" w:eastAsiaTheme="minorHAnsi" w:hAnsi="Palatino Linotype" w:cs="Arial"/>
          <w:b/>
          <w:lang w:val="es-MX" w:eastAsia="en-US"/>
        </w:rPr>
        <w:t>6670</w:t>
      </w:r>
      <w:r w:rsidRPr="00912A8D">
        <w:rPr>
          <w:rFonts w:ascii="Palatino Linotype" w:eastAsiaTheme="minorHAnsi" w:hAnsi="Palatino Linotype" w:cs="Arial"/>
          <w:b/>
          <w:bCs/>
          <w:lang w:val="es-MX" w:eastAsia="es-MX"/>
        </w:rPr>
        <w:t>/INFOEM/IP/RR/2023</w:t>
      </w:r>
      <w:r w:rsidRPr="00912A8D">
        <w:rPr>
          <w:rFonts w:ascii="Palatino Linotype" w:eastAsiaTheme="minorHAnsi" w:hAnsi="Palatino Linotype" w:cs="Arial"/>
          <w:lang w:val="es-MX" w:eastAsia="en-US"/>
        </w:rPr>
        <w:t xml:space="preserve">, </w:t>
      </w:r>
      <w:r w:rsidRPr="00912A8D">
        <w:rPr>
          <w:rFonts w:ascii="Palatino Linotype" w:hAnsi="Palatino Linotype" w:cs="Arial"/>
        </w:rPr>
        <w:t xml:space="preserve">interpuesto por </w:t>
      </w:r>
      <w:r w:rsidR="00D61021" w:rsidRPr="00912A8D">
        <w:rPr>
          <w:rFonts w:ascii="Palatino Linotype" w:hAnsi="Palatino Linotype" w:cs="Arial"/>
          <w:b/>
        </w:rPr>
        <w:t>XXXXXXXXXXXXX</w:t>
      </w:r>
      <w:r w:rsidRPr="00912A8D">
        <w:rPr>
          <w:rFonts w:ascii="Palatino Linotype" w:hAnsi="Palatino Linotype" w:cs="Arial"/>
        </w:rPr>
        <w:t>,</w:t>
      </w:r>
      <w:r w:rsidRPr="00912A8D">
        <w:rPr>
          <w:rFonts w:ascii="Palatino Linotype" w:hAnsi="Palatino Linotype" w:cs="Arial"/>
          <w:b/>
        </w:rPr>
        <w:t xml:space="preserve"> </w:t>
      </w:r>
      <w:r w:rsidRPr="00912A8D">
        <w:rPr>
          <w:rFonts w:ascii="Palatino Linotype" w:hAnsi="Palatino Linotype" w:cs="Arial"/>
        </w:rPr>
        <w:t xml:space="preserve">en lo sucesivo </w:t>
      </w:r>
      <w:r w:rsidRPr="00912A8D">
        <w:rPr>
          <w:rFonts w:ascii="Palatino Linotype" w:hAnsi="Palatino Linotype" w:cs="Arial"/>
          <w:b/>
        </w:rPr>
        <w:t>l</w:t>
      </w:r>
      <w:r w:rsidR="00022DDA" w:rsidRPr="00912A8D">
        <w:rPr>
          <w:rFonts w:ascii="Palatino Linotype" w:hAnsi="Palatino Linotype" w:cs="Arial"/>
          <w:b/>
        </w:rPr>
        <w:t>a</w:t>
      </w:r>
      <w:r w:rsidRPr="00912A8D">
        <w:rPr>
          <w:rFonts w:ascii="Palatino Linotype" w:hAnsi="Palatino Linotype" w:cs="Arial"/>
          <w:b/>
        </w:rPr>
        <w:t xml:space="preserve"> Recurrente</w:t>
      </w:r>
      <w:r w:rsidRPr="00912A8D">
        <w:rPr>
          <w:rFonts w:ascii="Palatino Linotype" w:eastAsiaTheme="minorHAnsi" w:hAnsi="Palatino Linotype" w:cs="Arial"/>
          <w:lang w:val="es-MX" w:eastAsia="en-US"/>
        </w:rPr>
        <w:t xml:space="preserve">, en contra de la respuesta de la </w:t>
      </w:r>
      <w:r w:rsidRPr="00912A8D">
        <w:rPr>
          <w:rFonts w:ascii="Palatino Linotype" w:eastAsiaTheme="minorHAnsi" w:hAnsi="Palatino Linotype" w:cs="Arial"/>
          <w:b/>
          <w:lang w:val="es-MX" w:eastAsia="en-US"/>
        </w:rPr>
        <w:t xml:space="preserve">Secretaría de </w:t>
      </w:r>
      <w:r w:rsidR="00022DDA" w:rsidRPr="00912A8D">
        <w:rPr>
          <w:rFonts w:ascii="Palatino Linotype" w:eastAsiaTheme="minorHAnsi" w:hAnsi="Palatino Linotype" w:cs="Arial"/>
          <w:b/>
          <w:lang w:val="es-MX" w:eastAsia="en-US"/>
        </w:rPr>
        <w:t>la Contraloría</w:t>
      </w:r>
      <w:r w:rsidRPr="00912A8D">
        <w:rPr>
          <w:rFonts w:ascii="Palatino Linotype" w:eastAsiaTheme="minorHAnsi" w:hAnsi="Palatino Linotype" w:cs="Arial"/>
          <w:lang w:val="es-MX" w:eastAsia="en-US"/>
        </w:rPr>
        <w:t>,</w:t>
      </w:r>
      <w:r w:rsidRPr="00912A8D">
        <w:rPr>
          <w:rFonts w:ascii="Palatino Linotype" w:eastAsiaTheme="minorHAnsi" w:hAnsi="Palatino Linotype" w:cs="Arial"/>
          <w:b/>
          <w:lang w:val="es-MX" w:eastAsia="en-US"/>
        </w:rPr>
        <w:t xml:space="preserve"> </w:t>
      </w:r>
      <w:r w:rsidRPr="00912A8D">
        <w:rPr>
          <w:rFonts w:ascii="Palatino Linotype" w:eastAsiaTheme="minorHAnsi" w:hAnsi="Palatino Linotype" w:cs="Arial"/>
          <w:lang w:val="es-MX" w:eastAsia="en-US"/>
        </w:rPr>
        <w:t>en lo subsecuente</w:t>
      </w:r>
      <w:r w:rsidRPr="00912A8D">
        <w:rPr>
          <w:rFonts w:ascii="Palatino Linotype" w:eastAsiaTheme="minorHAnsi" w:hAnsi="Palatino Linotype" w:cs="Arial"/>
          <w:b/>
          <w:lang w:val="es-MX" w:eastAsia="en-US"/>
        </w:rPr>
        <w:t xml:space="preserve"> El Sujeto Obligado, </w:t>
      </w:r>
      <w:r w:rsidRPr="00912A8D">
        <w:rPr>
          <w:rFonts w:ascii="Palatino Linotype" w:eastAsiaTheme="minorHAnsi" w:hAnsi="Palatino Linotype" w:cs="Arial"/>
          <w:lang w:val="es-MX" w:eastAsia="en-US"/>
        </w:rPr>
        <w:t>se procede a dictar la presente resolución.</w:t>
      </w:r>
    </w:p>
    <w:p w14:paraId="50B2739A" w14:textId="77777777" w:rsidR="00860149" w:rsidRPr="00912A8D" w:rsidRDefault="00860149" w:rsidP="00AD78B6">
      <w:pPr>
        <w:tabs>
          <w:tab w:val="left" w:pos="1701"/>
        </w:tabs>
        <w:spacing w:line="360" w:lineRule="auto"/>
        <w:jc w:val="both"/>
        <w:rPr>
          <w:rFonts w:ascii="Palatino Linotype" w:eastAsiaTheme="minorHAnsi" w:hAnsi="Palatino Linotype" w:cs="Arial"/>
          <w:b/>
          <w:lang w:val="es-MX" w:eastAsia="en-US"/>
        </w:rPr>
      </w:pPr>
    </w:p>
    <w:p w14:paraId="6909BAC7" w14:textId="77777777" w:rsidR="00860149" w:rsidRPr="00912A8D" w:rsidRDefault="00860149" w:rsidP="00AD78B6">
      <w:pPr>
        <w:spacing w:line="360" w:lineRule="auto"/>
        <w:jc w:val="center"/>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A N T E C E D E N T E S</w:t>
      </w:r>
    </w:p>
    <w:p w14:paraId="354F4A59" w14:textId="77777777" w:rsidR="00860149" w:rsidRPr="00912A8D" w:rsidRDefault="00860149" w:rsidP="00AD78B6">
      <w:pPr>
        <w:spacing w:line="360" w:lineRule="auto"/>
        <w:jc w:val="center"/>
        <w:rPr>
          <w:rFonts w:ascii="Palatino Linotype" w:eastAsiaTheme="minorHAnsi" w:hAnsi="Palatino Linotype" w:cs="Arial"/>
          <w:b/>
          <w:lang w:val="es-MX" w:eastAsia="en-US"/>
        </w:rPr>
      </w:pPr>
    </w:p>
    <w:p w14:paraId="3DE3FAF2"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PRIMERO. De la solicitud de información.</w:t>
      </w:r>
    </w:p>
    <w:p w14:paraId="6E1EDBBF" w14:textId="77777777" w:rsidR="00860149" w:rsidRPr="00912A8D" w:rsidRDefault="00860149" w:rsidP="00AD78B6">
      <w:pPr>
        <w:spacing w:line="360" w:lineRule="auto"/>
        <w:jc w:val="both"/>
        <w:rPr>
          <w:rFonts w:ascii="Palatino Linotype" w:eastAsiaTheme="minorHAnsi" w:hAnsi="Palatino Linotype" w:cs="Arial"/>
          <w:szCs w:val="22"/>
          <w:lang w:val="es-MX" w:eastAsia="en-US"/>
        </w:rPr>
      </w:pPr>
      <w:r w:rsidRPr="00912A8D">
        <w:rPr>
          <w:rFonts w:ascii="Palatino Linotype" w:eastAsiaTheme="minorHAnsi" w:hAnsi="Palatino Linotype" w:cs="Arial"/>
          <w:szCs w:val="22"/>
          <w:lang w:val="es-MX" w:eastAsia="en-US"/>
        </w:rPr>
        <w:t xml:space="preserve">En fecha </w:t>
      </w:r>
      <w:r w:rsidR="00022DDA" w:rsidRPr="00912A8D">
        <w:rPr>
          <w:rFonts w:ascii="Palatino Linotype" w:eastAsiaTheme="minorHAnsi" w:hAnsi="Palatino Linotype" w:cs="Arial"/>
          <w:b/>
          <w:szCs w:val="22"/>
          <w:lang w:val="es-MX" w:eastAsia="en-US"/>
        </w:rPr>
        <w:t>veinte</w:t>
      </w:r>
      <w:r w:rsidRPr="00912A8D">
        <w:rPr>
          <w:rFonts w:ascii="Palatino Linotype" w:eastAsiaTheme="minorHAnsi" w:hAnsi="Palatino Linotype" w:cs="Arial"/>
          <w:b/>
          <w:szCs w:val="22"/>
          <w:lang w:val="es-MX" w:eastAsia="en-US"/>
        </w:rPr>
        <w:t xml:space="preserve"> de </w:t>
      </w:r>
      <w:r w:rsidR="00022DDA" w:rsidRPr="00912A8D">
        <w:rPr>
          <w:rFonts w:ascii="Palatino Linotype" w:eastAsiaTheme="minorHAnsi" w:hAnsi="Palatino Linotype" w:cs="Arial"/>
          <w:b/>
          <w:szCs w:val="22"/>
          <w:lang w:val="es-MX" w:eastAsia="en-US"/>
        </w:rPr>
        <w:t>septiembre</w:t>
      </w:r>
      <w:r w:rsidRPr="00912A8D">
        <w:rPr>
          <w:rFonts w:ascii="Palatino Linotype" w:eastAsiaTheme="minorHAnsi" w:hAnsi="Palatino Linotype" w:cs="Arial"/>
          <w:b/>
          <w:szCs w:val="22"/>
          <w:lang w:val="es-MX" w:eastAsia="en-US"/>
        </w:rPr>
        <w:t xml:space="preserve"> de dos mil veintitrés</w:t>
      </w:r>
      <w:r w:rsidRPr="00912A8D">
        <w:rPr>
          <w:rFonts w:ascii="Palatino Linotype" w:eastAsiaTheme="minorHAnsi" w:hAnsi="Palatino Linotype" w:cs="Arial"/>
          <w:szCs w:val="22"/>
          <w:lang w:val="es-MX" w:eastAsia="en-US"/>
        </w:rPr>
        <w:t>, l</w:t>
      </w:r>
      <w:r w:rsidR="00022DDA" w:rsidRPr="00912A8D">
        <w:rPr>
          <w:rFonts w:ascii="Palatino Linotype" w:eastAsiaTheme="minorHAnsi" w:hAnsi="Palatino Linotype" w:cs="Arial"/>
          <w:szCs w:val="22"/>
          <w:lang w:val="es-MX" w:eastAsia="en-US"/>
        </w:rPr>
        <w:t>a</w:t>
      </w:r>
      <w:r w:rsidRPr="00912A8D">
        <w:rPr>
          <w:rFonts w:ascii="Palatino Linotype" w:eastAsiaTheme="minorHAnsi" w:hAnsi="Palatino Linotype" w:cs="Arial"/>
          <w:szCs w:val="22"/>
          <w:lang w:val="es-MX" w:eastAsia="en-US"/>
        </w:rPr>
        <w:t xml:space="preserve"> </w:t>
      </w:r>
      <w:r w:rsidRPr="00912A8D">
        <w:rPr>
          <w:rFonts w:ascii="Palatino Linotype" w:eastAsiaTheme="minorHAnsi" w:hAnsi="Palatino Linotype" w:cs="Arial"/>
          <w:b/>
          <w:szCs w:val="22"/>
          <w:lang w:val="es-MX" w:eastAsia="en-US"/>
        </w:rPr>
        <w:t>Recurrente</w:t>
      </w:r>
      <w:r w:rsidRPr="00912A8D">
        <w:rPr>
          <w:rFonts w:ascii="Palatino Linotype" w:eastAsiaTheme="minorHAnsi" w:hAnsi="Palatino Linotype" w:cs="Arial"/>
          <w:szCs w:val="22"/>
          <w:lang w:val="es-MX" w:eastAsia="en-US"/>
        </w:rPr>
        <w:t xml:space="preserve">, presentó a través del Sistema de Acceso a la Información Mexiquense </w:t>
      </w:r>
      <w:r w:rsidRPr="00912A8D">
        <w:rPr>
          <w:rFonts w:ascii="Palatino Linotype" w:eastAsiaTheme="minorHAnsi" w:hAnsi="Palatino Linotype" w:cs="Arial"/>
          <w:b/>
          <w:szCs w:val="22"/>
          <w:lang w:val="es-MX" w:eastAsia="en-US"/>
        </w:rPr>
        <w:t>(SAIMEX),</w:t>
      </w:r>
      <w:r w:rsidRPr="00912A8D">
        <w:rPr>
          <w:rFonts w:ascii="Palatino Linotype" w:eastAsiaTheme="minorHAnsi" w:hAnsi="Palatino Linotype" w:cs="Arial"/>
          <w:szCs w:val="22"/>
          <w:lang w:val="es-MX" w:eastAsia="en-US"/>
        </w:rPr>
        <w:t xml:space="preserve"> ante el </w:t>
      </w:r>
      <w:r w:rsidRPr="00912A8D">
        <w:rPr>
          <w:rFonts w:ascii="Palatino Linotype" w:eastAsiaTheme="minorHAnsi" w:hAnsi="Palatino Linotype" w:cs="Arial"/>
          <w:b/>
          <w:szCs w:val="22"/>
          <w:lang w:val="es-MX" w:eastAsia="en-US"/>
        </w:rPr>
        <w:t>Sujeto Obligado</w:t>
      </w:r>
      <w:r w:rsidRPr="00912A8D">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912A8D">
        <w:rPr>
          <w:rFonts w:ascii="Palatino Linotype" w:eastAsiaTheme="minorHAnsi" w:hAnsi="Palatino Linotype" w:cs="Arial"/>
          <w:b/>
          <w:szCs w:val="22"/>
          <w:lang w:val="es-MX" w:eastAsia="en-US"/>
        </w:rPr>
        <w:t>00</w:t>
      </w:r>
      <w:r w:rsidR="00022DDA" w:rsidRPr="00912A8D">
        <w:rPr>
          <w:rFonts w:ascii="Palatino Linotype" w:eastAsiaTheme="minorHAnsi" w:hAnsi="Palatino Linotype" w:cs="Arial"/>
          <w:b/>
          <w:szCs w:val="22"/>
          <w:lang w:val="es-MX" w:eastAsia="en-US"/>
        </w:rPr>
        <w:t>31</w:t>
      </w:r>
      <w:r w:rsidRPr="00912A8D">
        <w:rPr>
          <w:rFonts w:ascii="Palatino Linotype" w:eastAsiaTheme="minorHAnsi" w:hAnsi="Palatino Linotype" w:cs="Arial"/>
          <w:b/>
          <w:szCs w:val="22"/>
          <w:lang w:val="es-MX" w:eastAsia="en-US"/>
        </w:rPr>
        <w:t>2/S</w:t>
      </w:r>
      <w:r w:rsidR="00022DDA" w:rsidRPr="00912A8D">
        <w:rPr>
          <w:rFonts w:ascii="Palatino Linotype" w:eastAsiaTheme="minorHAnsi" w:hAnsi="Palatino Linotype" w:cs="Arial"/>
          <w:b/>
          <w:szCs w:val="22"/>
          <w:lang w:val="es-MX" w:eastAsia="en-US"/>
        </w:rPr>
        <w:t>ECOGEM/</w:t>
      </w:r>
      <w:r w:rsidRPr="00912A8D">
        <w:rPr>
          <w:rFonts w:ascii="Palatino Linotype" w:eastAsiaTheme="minorHAnsi" w:hAnsi="Palatino Linotype" w:cs="Arial"/>
          <w:b/>
          <w:szCs w:val="22"/>
          <w:lang w:val="es-MX" w:eastAsia="en-US"/>
        </w:rPr>
        <w:t>IP/2023</w:t>
      </w:r>
      <w:r w:rsidRPr="00912A8D">
        <w:rPr>
          <w:rFonts w:ascii="Palatino Linotype" w:eastAsiaTheme="minorHAnsi" w:hAnsi="Palatino Linotype" w:cs="Arial"/>
          <w:szCs w:val="22"/>
          <w:lang w:val="es-MX" w:eastAsia="en-US"/>
        </w:rPr>
        <w:t>, mediante la cual solicitó lo siguiente:</w:t>
      </w:r>
    </w:p>
    <w:p w14:paraId="30E11351" w14:textId="77777777" w:rsidR="00860149" w:rsidRPr="00912A8D" w:rsidRDefault="00860149" w:rsidP="00AD78B6">
      <w:pPr>
        <w:spacing w:line="360" w:lineRule="auto"/>
        <w:jc w:val="both"/>
        <w:rPr>
          <w:rFonts w:ascii="Palatino Linotype" w:eastAsiaTheme="minorHAnsi" w:hAnsi="Palatino Linotype" w:cs="Arial"/>
          <w:szCs w:val="22"/>
          <w:lang w:val="es-MX" w:eastAsia="en-US"/>
        </w:rPr>
      </w:pPr>
    </w:p>
    <w:p w14:paraId="45AED7AD" w14:textId="77777777" w:rsidR="00860149" w:rsidRPr="00912A8D" w:rsidRDefault="00860149" w:rsidP="00AD78B6">
      <w:pPr>
        <w:spacing w:line="360" w:lineRule="auto"/>
        <w:ind w:left="284" w:right="332"/>
        <w:jc w:val="both"/>
        <w:rPr>
          <w:rFonts w:ascii="Palatino Linotype" w:hAnsi="Palatino Linotype"/>
          <w:i/>
          <w:sz w:val="22"/>
          <w:szCs w:val="22"/>
          <w:lang w:val="es-ES_tradnl"/>
        </w:rPr>
      </w:pPr>
      <w:r w:rsidRPr="00912A8D">
        <w:rPr>
          <w:rFonts w:ascii="Palatino Linotype" w:hAnsi="Palatino Linotype"/>
          <w:i/>
          <w:sz w:val="22"/>
          <w:szCs w:val="22"/>
          <w:lang w:val="es-MX"/>
        </w:rPr>
        <w:t>“</w:t>
      </w:r>
      <w:r w:rsidR="00022DDA" w:rsidRPr="00912A8D">
        <w:rPr>
          <w:rFonts w:ascii="Palatino Linotype" w:hAnsi="Palatino Linotype"/>
          <w:i/>
          <w:sz w:val="22"/>
          <w:szCs w:val="22"/>
          <w:lang w:val="es-MX" w:eastAsia="es-MX"/>
        </w:rPr>
        <w:t>copia del acta de entrega detallada y completa del ex contralor del estado, sanciones económicas impuestas en su gestión, resultados concretos denuncias presentadas ante la FGJ de sus estado o en la FGR, / resultado concreto de todos los asuntos que recibio de la ASF y de la auditoría superior de sus estado, monto de las recuperaciones obtenidas por sus acciones de fiscalización,. copia de todos los Informes enviados de los asuntos relevante al ex gobernador .</w:t>
      </w:r>
      <w:r w:rsidRPr="00912A8D">
        <w:rPr>
          <w:rFonts w:ascii="Palatino Linotype" w:hAnsi="Palatino Linotype"/>
          <w:i/>
          <w:sz w:val="22"/>
          <w:szCs w:val="22"/>
          <w:lang w:val="es-MX"/>
        </w:rPr>
        <w:t>”</w:t>
      </w:r>
      <w:r w:rsidRPr="00912A8D">
        <w:rPr>
          <w:rFonts w:ascii="Palatino Linotype" w:hAnsi="Palatino Linotype"/>
          <w:i/>
          <w:sz w:val="22"/>
          <w:szCs w:val="22"/>
          <w:lang w:val="es-ES_tradnl"/>
        </w:rPr>
        <w:t xml:space="preserve"> (Sic).</w:t>
      </w:r>
    </w:p>
    <w:p w14:paraId="5F94EC1A" w14:textId="77777777" w:rsidR="00860149" w:rsidRPr="00912A8D" w:rsidRDefault="00860149" w:rsidP="00AD78B6">
      <w:pPr>
        <w:pStyle w:val="Sinespaciado"/>
        <w:spacing w:line="360" w:lineRule="auto"/>
      </w:pPr>
    </w:p>
    <w:p w14:paraId="6F327CA1" w14:textId="77777777" w:rsidR="00860149" w:rsidRPr="00912A8D" w:rsidRDefault="00860149" w:rsidP="00AD78B6">
      <w:pPr>
        <w:tabs>
          <w:tab w:val="left" w:pos="5647"/>
        </w:tabs>
        <w:spacing w:line="360" w:lineRule="auto"/>
        <w:ind w:right="850"/>
        <w:jc w:val="both"/>
        <w:rPr>
          <w:rFonts w:ascii="Palatino Linotype" w:eastAsiaTheme="minorHAnsi" w:hAnsi="Palatino Linotype" w:cstheme="minorBidi"/>
          <w:color w:val="000000"/>
          <w:lang w:val="es-MX" w:eastAsia="en-US"/>
        </w:rPr>
      </w:pPr>
      <w:r w:rsidRPr="00912A8D">
        <w:rPr>
          <w:rFonts w:ascii="Palatino Linotype" w:hAnsi="Palatino Linotype"/>
          <w:b/>
          <w:lang w:val="es-ES_tradnl"/>
        </w:rPr>
        <w:t>MODALIDAD DE ENTREGA:</w:t>
      </w:r>
      <w:r w:rsidRPr="00912A8D">
        <w:rPr>
          <w:rFonts w:ascii="Palatino Linotype" w:hAnsi="Palatino Linotype"/>
          <w:lang w:val="es-ES_tradnl"/>
        </w:rPr>
        <w:t xml:space="preserve"> </w:t>
      </w:r>
      <w:r w:rsidRPr="00912A8D">
        <w:rPr>
          <w:rFonts w:ascii="Palatino Linotype" w:eastAsiaTheme="minorHAnsi" w:hAnsi="Palatino Linotype" w:cstheme="minorBidi"/>
          <w:color w:val="000000"/>
          <w:lang w:val="es-MX" w:eastAsia="en-US"/>
        </w:rPr>
        <w:t xml:space="preserve">A través del </w:t>
      </w:r>
      <w:r w:rsidRPr="00912A8D">
        <w:rPr>
          <w:rFonts w:ascii="Palatino Linotype" w:eastAsiaTheme="minorHAnsi" w:hAnsi="Palatino Linotype" w:cstheme="minorBidi"/>
          <w:b/>
          <w:color w:val="000000"/>
          <w:lang w:val="es-MX" w:eastAsia="en-US"/>
        </w:rPr>
        <w:t>SAIMEX</w:t>
      </w:r>
      <w:r w:rsidRPr="00912A8D">
        <w:rPr>
          <w:rFonts w:ascii="Palatino Linotype" w:eastAsiaTheme="minorHAnsi" w:hAnsi="Palatino Linotype" w:cstheme="minorBidi"/>
          <w:color w:val="000000"/>
          <w:lang w:val="es-MX" w:eastAsia="en-US"/>
        </w:rPr>
        <w:t>.</w:t>
      </w:r>
    </w:p>
    <w:p w14:paraId="37034FC0" w14:textId="77777777" w:rsidR="00022DDA" w:rsidRPr="00912A8D" w:rsidRDefault="00022DDA" w:rsidP="00AD78B6">
      <w:pPr>
        <w:spacing w:line="360" w:lineRule="auto"/>
        <w:jc w:val="both"/>
        <w:rPr>
          <w:rFonts w:ascii="Palatino Linotype" w:eastAsiaTheme="minorHAnsi" w:hAnsi="Palatino Linotype" w:cs="Arial"/>
          <w:b/>
          <w:sz w:val="28"/>
          <w:lang w:val="es-MX" w:eastAsia="en-US"/>
        </w:rPr>
      </w:pPr>
    </w:p>
    <w:p w14:paraId="151758D0"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 xml:space="preserve">SEGUNDO. De la respuesta del Sujeto Obligado. </w:t>
      </w:r>
    </w:p>
    <w:p w14:paraId="3BB6D1CB"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De las constancias que obran en el sistema SAIMEX, se advierte que en fecha </w:t>
      </w:r>
      <w:r w:rsidR="004D5D6C" w:rsidRPr="00912A8D">
        <w:rPr>
          <w:rFonts w:ascii="Palatino Linotype" w:eastAsiaTheme="minorHAnsi" w:hAnsi="Palatino Linotype" w:cs="Arial"/>
          <w:b/>
          <w:lang w:val="es-MX" w:eastAsia="en-US"/>
        </w:rPr>
        <w:t>veintinueve</w:t>
      </w:r>
      <w:r w:rsidRPr="00912A8D">
        <w:rPr>
          <w:rFonts w:ascii="Palatino Linotype" w:eastAsiaTheme="minorHAnsi" w:hAnsi="Palatino Linotype" w:cs="Arial"/>
          <w:b/>
          <w:lang w:val="es-MX" w:eastAsia="en-US"/>
        </w:rPr>
        <w:t xml:space="preserve"> de </w:t>
      </w:r>
      <w:r w:rsidR="004D5D6C" w:rsidRPr="00912A8D">
        <w:rPr>
          <w:rFonts w:ascii="Palatino Linotype" w:eastAsiaTheme="minorHAnsi" w:hAnsi="Palatino Linotype" w:cs="Arial"/>
          <w:b/>
          <w:lang w:val="es-MX" w:eastAsia="en-US"/>
        </w:rPr>
        <w:t>septiembre</w:t>
      </w:r>
      <w:r w:rsidRPr="00912A8D">
        <w:rPr>
          <w:rFonts w:ascii="Palatino Linotype" w:eastAsiaTheme="minorHAnsi" w:hAnsi="Palatino Linotype" w:cs="Arial"/>
          <w:b/>
          <w:lang w:val="es-MX" w:eastAsia="en-US"/>
        </w:rPr>
        <w:t xml:space="preserve"> de dos mil veintitrés</w:t>
      </w:r>
      <w:r w:rsidRPr="00912A8D">
        <w:rPr>
          <w:rFonts w:ascii="Palatino Linotype" w:eastAsiaTheme="minorHAnsi" w:hAnsi="Palatino Linotype" w:cs="Arial"/>
          <w:lang w:val="es-MX" w:eastAsia="en-US"/>
        </w:rPr>
        <w:t xml:space="preserve">, </w:t>
      </w:r>
      <w:r w:rsidRPr="00912A8D">
        <w:rPr>
          <w:rFonts w:ascii="Palatino Linotype" w:eastAsiaTheme="minorHAnsi" w:hAnsi="Palatino Linotype" w:cs="Arial"/>
          <w:b/>
          <w:lang w:val="es-MX" w:eastAsia="en-US"/>
        </w:rPr>
        <w:t>El Sujeto Obligado</w:t>
      </w:r>
      <w:r w:rsidRPr="00912A8D">
        <w:rPr>
          <w:rFonts w:ascii="Palatino Linotype" w:eastAsiaTheme="minorHAnsi" w:hAnsi="Palatino Linotype" w:cs="Arial"/>
          <w:lang w:val="es-MX" w:eastAsia="en-US"/>
        </w:rPr>
        <w:t xml:space="preserve"> emitió la respuesta en los siguientes términos:</w:t>
      </w:r>
    </w:p>
    <w:p w14:paraId="6F9B355B" w14:textId="77777777" w:rsidR="00860149" w:rsidRPr="00912A8D" w:rsidRDefault="00860149" w:rsidP="00AD78B6">
      <w:pPr>
        <w:spacing w:line="360" w:lineRule="auto"/>
        <w:rPr>
          <w:lang w:val="es-MX"/>
        </w:rPr>
      </w:pPr>
    </w:p>
    <w:p w14:paraId="305AD161" w14:textId="77777777" w:rsidR="004D5D6C" w:rsidRPr="00912A8D" w:rsidRDefault="00860149" w:rsidP="00AD78B6">
      <w:pPr>
        <w:spacing w:line="360" w:lineRule="auto"/>
        <w:ind w:left="567" w:right="567"/>
        <w:jc w:val="both"/>
        <w:rPr>
          <w:rFonts w:ascii="Palatino Linotype" w:hAnsi="Palatino Linotype"/>
          <w:i/>
          <w:sz w:val="22"/>
          <w:szCs w:val="22"/>
          <w:lang w:val="es-MX" w:eastAsia="es-MX"/>
        </w:rPr>
      </w:pPr>
      <w:r w:rsidRPr="00912A8D">
        <w:rPr>
          <w:rFonts w:ascii="Palatino Linotype" w:hAnsi="Palatino Linotype"/>
          <w:i/>
          <w:sz w:val="22"/>
          <w:szCs w:val="22"/>
          <w:lang w:val="es-MX" w:eastAsia="es-MX"/>
        </w:rPr>
        <w:t>“</w:t>
      </w:r>
      <w:r w:rsidR="004D5D6C" w:rsidRPr="00912A8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1F50AE" w14:textId="77777777" w:rsidR="004D5D6C" w:rsidRPr="00912A8D" w:rsidRDefault="004D5D6C" w:rsidP="00AD78B6">
      <w:pPr>
        <w:spacing w:line="360" w:lineRule="auto"/>
        <w:ind w:left="567" w:right="567"/>
        <w:jc w:val="both"/>
        <w:rPr>
          <w:rFonts w:ascii="Palatino Linotype" w:hAnsi="Palatino Linotype"/>
          <w:i/>
          <w:sz w:val="22"/>
          <w:szCs w:val="22"/>
          <w:lang w:val="es-MX" w:eastAsia="es-MX"/>
        </w:rPr>
      </w:pPr>
      <w:r w:rsidRPr="00912A8D">
        <w:rPr>
          <w:rFonts w:ascii="Palatino Linotype" w:hAnsi="Palatino Linotype"/>
          <w:i/>
          <w:sz w:val="22"/>
          <w:szCs w:val="22"/>
          <w:lang w:val="es-MX" w:eastAsia="es-MX"/>
        </w:rPr>
        <w:t>ESTIMADO SOLICITANTE. EN ATENCIÓN A SU SOLICITUD DE ACCESO A LA INFORMACIÓN CON NÚMERO DE FOLIO 00312/SECOGEM/IP/2023, LE NOTIFICO EL OFICIO DE RESPUESTA SIGNADO POR EL JEFE DE LA UNIDAD DE ÉTICA Y PREVENCIÓN DE LA CORRUPCIÓN Y RESPONSABLE DE LA UNIDAD DE TRANSPARENCIA, ASÍ COMO EL OFICIO SIGNADO POR LA SERVIDORA PÚBLICA HABILITADA QUE ATENDIÓ EL REQUERIMIENTO. ¡QUE TENGA UN MARAVILLOSO DÍA Y UN LINDO FIN DE SEMANA!</w:t>
      </w:r>
    </w:p>
    <w:p w14:paraId="7766DFE6" w14:textId="77777777" w:rsidR="004D5D6C" w:rsidRPr="00912A8D" w:rsidRDefault="004D5D6C" w:rsidP="00AD78B6">
      <w:pPr>
        <w:spacing w:line="360" w:lineRule="auto"/>
        <w:ind w:left="567" w:right="567"/>
        <w:jc w:val="both"/>
        <w:rPr>
          <w:rFonts w:ascii="Palatino Linotype" w:hAnsi="Palatino Linotype"/>
          <w:i/>
          <w:sz w:val="22"/>
          <w:szCs w:val="22"/>
          <w:lang w:val="es-MX" w:eastAsia="es-MX"/>
        </w:rPr>
      </w:pPr>
      <w:r w:rsidRPr="00912A8D">
        <w:rPr>
          <w:rFonts w:ascii="Palatino Linotype" w:hAnsi="Palatino Linotype"/>
          <w:i/>
          <w:sz w:val="22"/>
          <w:szCs w:val="22"/>
          <w:lang w:val="es-MX" w:eastAsia="es-MX"/>
        </w:rPr>
        <w:t>ATENTAMENTE</w:t>
      </w:r>
    </w:p>
    <w:p w14:paraId="40A87FB4" w14:textId="77777777" w:rsidR="00860149" w:rsidRPr="00912A8D" w:rsidRDefault="004D5D6C" w:rsidP="00AD78B6">
      <w:pPr>
        <w:spacing w:line="360" w:lineRule="auto"/>
        <w:ind w:left="567" w:right="567"/>
        <w:jc w:val="both"/>
        <w:rPr>
          <w:rFonts w:ascii="Palatino Linotype" w:hAnsi="Palatino Linotype"/>
          <w:i/>
          <w:sz w:val="22"/>
          <w:szCs w:val="22"/>
          <w:lang w:val="es-MX" w:eastAsia="es-MX"/>
        </w:rPr>
      </w:pPr>
      <w:r w:rsidRPr="00912A8D">
        <w:rPr>
          <w:rFonts w:ascii="Palatino Linotype" w:hAnsi="Palatino Linotype"/>
          <w:i/>
          <w:sz w:val="22"/>
          <w:szCs w:val="22"/>
          <w:lang w:val="es-MX" w:eastAsia="es-MX"/>
        </w:rPr>
        <w:t>MTRO. MARCO ANTONIO BECERRIL GARCÉS</w:t>
      </w:r>
      <w:r w:rsidR="00860149" w:rsidRPr="00912A8D">
        <w:rPr>
          <w:rFonts w:ascii="Palatino Linotype" w:hAnsi="Palatino Linotype"/>
          <w:i/>
          <w:sz w:val="22"/>
          <w:szCs w:val="22"/>
          <w:lang w:val="es-MX" w:eastAsia="es-MX"/>
        </w:rPr>
        <w:t>” (Sic).</w:t>
      </w:r>
    </w:p>
    <w:p w14:paraId="4BA655D9" w14:textId="77777777" w:rsidR="00860149" w:rsidRPr="00912A8D" w:rsidRDefault="00860149" w:rsidP="00AD78B6">
      <w:pPr>
        <w:pStyle w:val="Sinespaciado"/>
        <w:spacing w:line="360" w:lineRule="auto"/>
        <w:rPr>
          <w:lang w:eastAsia="es-MX"/>
        </w:rPr>
      </w:pPr>
    </w:p>
    <w:p w14:paraId="473848AA" w14:textId="77777777" w:rsidR="00860149" w:rsidRPr="00912A8D" w:rsidRDefault="00860149" w:rsidP="00AD78B6">
      <w:pPr>
        <w:spacing w:line="360" w:lineRule="auto"/>
        <w:jc w:val="both"/>
        <w:rPr>
          <w:rFonts w:ascii="Palatino Linotype" w:hAnsi="Palatino Linotype"/>
          <w:i/>
          <w:sz w:val="22"/>
          <w:szCs w:val="22"/>
          <w:lang w:val="es-MX" w:eastAsia="es-MX"/>
        </w:rPr>
      </w:pPr>
      <w:r w:rsidRPr="00912A8D">
        <w:rPr>
          <w:rFonts w:ascii="Palatino Linotype" w:eastAsiaTheme="minorHAnsi" w:hAnsi="Palatino Linotype" w:cs="Arial"/>
          <w:lang w:val="es-MX" w:eastAsia="en-US"/>
        </w:rPr>
        <w:t xml:space="preserve">El </w:t>
      </w:r>
      <w:r w:rsidRPr="00912A8D">
        <w:rPr>
          <w:rFonts w:ascii="Palatino Linotype" w:eastAsiaTheme="minorHAnsi" w:hAnsi="Palatino Linotype" w:cs="Arial"/>
          <w:b/>
          <w:lang w:val="es-MX" w:eastAsia="en-US"/>
        </w:rPr>
        <w:t>Sujeto Obligado</w:t>
      </w:r>
      <w:r w:rsidRPr="00912A8D">
        <w:rPr>
          <w:rFonts w:ascii="Palatino Linotype" w:eastAsiaTheme="minorHAnsi" w:hAnsi="Palatino Linotype" w:cs="Arial"/>
          <w:lang w:val="es-MX" w:eastAsia="en-US"/>
        </w:rPr>
        <w:t xml:space="preserve"> adjuntó a su respuesta, el archivo electrónico denominado </w:t>
      </w:r>
      <w:r w:rsidRPr="00912A8D">
        <w:rPr>
          <w:rFonts w:ascii="Palatino Linotype" w:eastAsiaTheme="minorHAnsi" w:hAnsi="Palatino Linotype" w:cs="Arial"/>
          <w:i/>
          <w:lang w:val="es-MX" w:eastAsia="en-US"/>
        </w:rPr>
        <w:t>“</w:t>
      </w:r>
      <w:r w:rsidR="004D5D6C" w:rsidRPr="00912A8D">
        <w:rPr>
          <w:rFonts w:ascii="Palatino Linotype" w:eastAsiaTheme="minorHAnsi" w:hAnsi="Palatino Linotype" w:cs="Arial"/>
          <w:i/>
          <w:lang w:val="es-MX" w:eastAsia="en-US"/>
        </w:rPr>
        <w:t xml:space="preserve">OFICIO DE RESPUESTA SPH 312.pdf”, “Acta 16a Sesión Extraordinaria C.T. 2023_1.PDF” </w:t>
      </w:r>
      <w:r w:rsidR="004D5D6C" w:rsidRPr="00912A8D">
        <w:rPr>
          <w:rFonts w:ascii="Palatino Linotype" w:eastAsiaTheme="minorHAnsi" w:hAnsi="Palatino Linotype" w:cs="Arial"/>
          <w:lang w:val="es-MX" w:eastAsia="en-US"/>
        </w:rPr>
        <w:t>y “</w:t>
      </w:r>
      <w:r w:rsidR="004D5D6C" w:rsidRPr="00912A8D">
        <w:rPr>
          <w:rFonts w:ascii="Palatino Linotype" w:eastAsiaTheme="minorHAnsi" w:hAnsi="Palatino Linotype" w:cs="Arial"/>
          <w:i/>
          <w:lang w:val="es-MX" w:eastAsia="en-US"/>
        </w:rPr>
        <w:t>OFICIO DE RESPUESTA UT_1.PDF</w:t>
      </w:r>
      <w:r w:rsidRPr="00912A8D">
        <w:rPr>
          <w:rFonts w:ascii="Palatino Linotype" w:eastAsiaTheme="minorHAnsi" w:hAnsi="Palatino Linotype" w:cs="Arial"/>
          <w:i/>
          <w:lang w:val="es-MX" w:eastAsia="en-US"/>
        </w:rPr>
        <w:t>”;</w:t>
      </w:r>
      <w:r w:rsidRPr="00912A8D">
        <w:rPr>
          <w:rFonts w:ascii="Palatino Linotype" w:eastAsiaTheme="minorHAnsi" w:hAnsi="Palatino Linotype" w:cs="Arial"/>
          <w:lang w:val="es-MX" w:eastAsia="en-US"/>
        </w:rPr>
        <w:t xml:space="preserve"> cuyo contenido no se insertan por ser del conocimiento de las partes, sin embargo, será motivo de estudio en el Considerado respectivo. </w:t>
      </w:r>
    </w:p>
    <w:p w14:paraId="55486BA3" w14:textId="77777777" w:rsidR="00860149" w:rsidRPr="00912A8D" w:rsidRDefault="00860149" w:rsidP="00AD78B6">
      <w:pPr>
        <w:spacing w:line="360" w:lineRule="auto"/>
        <w:jc w:val="both"/>
        <w:rPr>
          <w:rFonts w:ascii="Palatino Linotype" w:hAnsi="Palatino Linotype"/>
          <w:i/>
          <w:sz w:val="22"/>
          <w:szCs w:val="22"/>
          <w:lang w:val="es-MX" w:eastAsia="es-MX"/>
        </w:rPr>
      </w:pPr>
    </w:p>
    <w:p w14:paraId="26E02C6C"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0114E8FB"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565629CD"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TECERO. Del recurso de revisión.</w:t>
      </w:r>
    </w:p>
    <w:p w14:paraId="428E724B"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Inconforme con la respuesta por parte del </w:t>
      </w:r>
      <w:r w:rsidRPr="00912A8D">
        <w:rPr>
          <w:rFonts w:ascii="Palatino Linotype" w:eastAsiaTheme="minorHAnsi" w:hAnsi="Palatino Linotype" w:cs="Arial"/>
          <w:b/>
          <w:lang w:val="es-MX" w:eastAsia="en-US"/>
        </w:rPr>
        <w:t>Sujeto Obligado</w:t>
      </w:r>
      <w:r w:rsidRPr="00912A8D">
        <w:rPr>
          <w:rFonts w:ascii="Palatino Linotype" w:eastAsiaTheme="minorHAnsi" w:hAnsi="Palatino Linotype" w:cs="Arial"/>
          <w:lang w:val="es-MX" w:eastAsia="en-US"/>
        </w:rPr>
        <w:t xml:space="preserve">, la </w:t>
      </w:r>
      <w:r w:rsidRPr="00912A8D">
        <w:rPr>
          <w:rFonts w:ascii="Palatino Linotype" w:eastAsiaTheme="minorHAnsi" w:hAnsi="Palatino Linotype" w:cs="Arial"/>
          <w:b/>
          <w:lang w:val="es-MX" w:eastAsia="en-US"/>
        </w:rPr>
        <w:t>Recurrente</w:t>
      </w:r>
      <w:r w:rsidRPr="00912A8D">
        <w:rPr>
          <w:rFonts w:ascii="Palatino Linotype" w:eastAsiaTheme="minorHAnsi" w:hAnsi="Palatino Linotype" w:cs="Arial"/>
          <w:lang w:val="es-MX" w:eastAsia="en-US"/>
        </w:rPr>
        <w:t xml:space="preserve"> interpuso el presente recurso de revisión en fecha </w:t>
      </w:r>
      <w:r w:rsidRPr="00912A8D">
        <w:rPr>
          <w:rFonts w:ascii="Palatino Linotype" w:eastAsiaTheme="minorHAnsi" w:hAnsi="Palatino Linotype" w:cs="Arial"/>
          <w:b/>
          <w:lang w:val="es-MX" w:eastAsia="en-US"/>
        </w:rPr>
        <w:t>tres de o</w:t>
      </w:r>
      <w:r w:rsidR="005E05C5" w:rsidRPr="00912A8D">
        <w:rPr>
          <w:rFonts w:ascii="Palatino Linotype" w:eastAsiaTheme="minorHAnsi" w:hAnsi="Palatino Linotype" w:cs="Arial"/>
          <w:b/>
          <w:lang w:val="es-MX" w:eastAsia="en-US"/>
        </w:rPr>
        <w:t>ctubre</w:t>
      </w:r>
      <w:r w:rsidRPr="00912A8D">
        <w:rPr>
          <w:rFonts w:ascii="Palatino Linotype" w:eastAsiaTheme="minorHAnsi" w:hAnsi="Palatino Linotype" w:cs="Arial"/>
          <w:b/>
          <w:lang w:val="es-MX" w:eastAsia="en-US"/>
        </w:rPr>
        <w:t xml:space="preserve"> de dos mil veintitrés</w:t>
      </w:r>
      <w:r w:rsidRPr="00912A8D">
        <w:rPr>
          <w:rFonts w:ascii="Palatino Linotype" w:eastAsiaTheme="minorHAnsi" w:hAnsi="Palatino Linotype" w:cs="Arial"/>
          <w:lang w:val="es-MX" w:eastAsia="en-US"/>
        </w:rPr>
        <w:t>, el cual fue registrado</w:t>
      </w:r>
      <w:r w:rsidRPr="00912A8D">
        <w:rPr>
          <w:rFonts w:ascii="Palatino Linotype" w:eastAsiaTheme="minorHAnsi" w:hAnsi="Palatino Linotype" w:cs="Arial"/>
          <w:b/>
          <w:lang w:val="es-MX" w:eastAsia="en-US"/>
        </w:rPr>
        <w:t xml:space="preserve"> </w:t>
      </w:r>
      <w:r w:rsidRPr="00912A8D">
        <w:rPr>
          <w:rFonts w:ascii="Palatino Linotype" w:eastAsiaTheme="minorHAnsi" w:hAnsi="Palatino Linotype" w:cs="Arial"/>
          <w:lang w:val="es-MX" w:eastAsia="en-US"/>
        </w:rPr>
        <w:t xml:space="preserve">en el sistema electrónico con el expediente número </w:t>
      </w:r>
      <w:r w:rsidRPr="00912A8D">
        <w:rPr>
          <w:rFonts w:ascii="Palatino Linotype" w:eastAsiaTheme="minorHAnsi" w:hAnsi="Palatino Linotype" w:cs="Arial"/>
          <w:b/>
          <w:bCs/>
          <w:lang w:val="es-MX" w:eastAsia="es-MX"/>
        </w:rPr>
        <w:t>0</w:t>
      </w:r>
      <w:r w:rsidR="005E05C5" w:rsidRPr="00912A8D">
        <w:rPr>
          <w:rFonts w:ascii="Palatino Linotype" w:eastAsiaTheme="minorHAnsi" w:hAnsi="Palatino Linotype" w:cs="Arial"/>
          <w:b/>
          <w:bCs/>
          <w:lang w:val="es-MX" w:eastAsia="es-MX"/>
        </w:rPr>
        <w:t>6670</w:t>
      </w:r>
      <w:r w:rsidRPr="00912A8D">
        <w:rPr>
          <w:rFonts w:ascii="Palatino Linotype" w:eastAsiaTheme="minorHAnsi" w:hAnsi="Palatino Linotype" w:cs="Arial"/>
          <w:b/>
          <w:bCs/>
          <w:lang w:val="es-MX" w:eastAsia="es-MX"/>
        </w:rPr>
        <w:t>/INFOEM/IP/RR/2023</w:t>
      </w:r>
      <w:r w:rsidRPr="00912A8D">
        <w:rPr>
          <w:rFonts w:ascii="Palatino Linotype" w:eastAsiaTheme="minorHAnsi" w:hAnsi="Palatino Linotype" w:cs="Arial"/>
          <w:lang w:val="es-MX" w:eastAsia="en-US"/>
        </w:rPr>
        <w:t>, en el cual aduce, las siguientes manifestaciones:</w:t>
      </w:r>
    </w:p>
    <w:p w14:paraId="6DC37266" w14:textId="77777777" w:rsidR="00860149" w:rsidRPr="00912A8D" w:rsidRDefault="00860149" w:rsidP="00AD78B6">
      <w:pPr>
        <w:spacing w:line="360" w:lineRule="auto"/>
        <w:jc w:val="both"/>
        <w:rPr>
          <w:rFonts w:ascii="Palatino Linotype" w:eastAsiaTheme="minorHAnsi" w:hAnsi="Palatino Linotype" w:cs="Arial"/>
          <w:lang w:val="es-MX" w:eastAsia="en-US"/>
        </w:rPr>
      </w:pPr>
    </w:p>
    <w:p w14:paraId="7E089402" w14:textId="77777777" w:rsidR="00860149" w:rsidRPr="00912A8D" w:rsidRDefault="00860149" w:rsidP="00AD78B6">
      <w:pPr>
        <w:numPr>
          <w:ilvl w:val="0"/>
          <w:numId w:val="1"/>
        </w:numPr>
        <w:spacing w:line="360" w:lineRule="auto"/>
        <w:jc w:val="both"/>
        <w:rPr>
          <w:rFonts w:ascii="Palatino Linotype" w:hAnsi="Palatino Linotype" w:cs="Arial"/>
          <w:b/>
          <w:szCs w:val="26"/>
        </w:rPr>
      </w:pPr>
      <w:r w:rsidRPr="00912A8D">
        <w:rPr>
          <w:rFonts w:ascii="Palatino Linotype" w:hAnsi="Palatino Linotype" w:cs="Arial"/>
          <w:b/>
          <w:szCs w:val="26"/>
        </w:rPr>
        <w:t>Acto Impugnado:</w:t>
      </w:r>
    </w:p>
    <w:p w14:paraId="2A2312BB" w14:textId="77777777" w:rsidR="00860149" w:rsidRPr="00912A8D" w:rsidRDefault="00860149" w:rsidP="00AD78B6">
      <w:pPr>
        <w:spacing w:line="360" w:lineRule="auto"/>
        <w:ind w:left="284"/>
        <w:jc w:val="both"/>
        <w:rPr>
          <w:rFonts w:ascii="Palatino Linotype" w:eastAsiaTheme="minorHAnsi" w:hAnsi="Palatino Linotype" w:cstheme="minorBidi"/>
          <w:i/>
          <w:color w:val="000000"/>
          <w:sz w:val="22"/>
          <w:szCs w:val="22"/>
          <w:lang w:val="es-MX" w:eastAsia="en-US"/>
        </w:rPr>
      </w:pPr>
      <w:r w:rsidRPr="00912A8D">
        <w:rPr>
          <w:rFonts w:ascii="Palatino Linotype" w:eastAsiaTheme="minorHAnsi" w:hAnsi="Palatino Linotype" w:cstheme="minorBidi"/>
          <w:i/>
          <w:color w:val="000000"/>
          <w:sz w:val="22"/>
          <w:szCs w:val="22"/>
          <w:lang w:val="es-MX" w:eastAsia="en-US"/>
        </w:rPr>
        <w:t>“</w:t>
      </w:r>
      <w:r w:rsidR="005E05C5" w:rsidRPr="00912A8D">
        <w:rPr>
          <w:rFonts w:ascii="Palatino Linotype" w:eastAsiaTheme="minorHAnsi" w:hAnsi="Palatino Linotype" w:cstheme="minorBidi"/>
          <w:i/>
          <w:color w:val="000000"/>
          <w:sz w:val="22"/>
          <w:szCs w:val="22"/>
          <w:lang w:val="es-MX" w:eastAsia="en-US"/>
        </w:rPr>
        <w:t>no entrego TODO lo solicitado con máxima publicidad Punto por Punto ; Son asuntos que causaron Estado , no procede testar nada , si presento informes al congreso en sus comparecencias y realmente previnieron la corrupción y la combatieron, que rinda cuentas de todos los miles de asuntos que encubrió , Por lo tanto que acuerde el INFOEM</w:t>
      </w:r>
      <w:r w:rsidRPr="00912A8D">
        <w:rPr>
          <w:rFonts w:ascii="Palatino Linotype" w:eastAsiaTheme="minorHAnsi" w:hAnsi="Palatino Linotype" w:cstheme="minorBidi"/>
          <w:i/>
          <w:color w:val="000000"/>
          <w:sz w:val="22"/>
          <w:szCs w:val="22"/>
          <w:lang w:val="es-MX" w:eastAsia="en-US"/>
        </w:rPr>
        <w:t>” (Sic).</w:t>
      </w:r>
    </w:p>
    <w:p w14:paraId="1E92491B" w14:textId="77777777" w:rsidR="00860149" w:rsidRPr="00912A8D" w:rsidRDefault="00860149" w:rsidP="00AD78B6">
      <w:pPr>
        <w:spacing w:line="360" w:lineRule="auto"/>
        <w:ind w:left="284"/>
        <w:jc w:val="both"/>
        <w:rPr>
          <w:rFonts w:ascii="Palatino Linotype" w:hAnsi="Palatino Linotype"/>
          <w:i/>
          <w:sz w:val="22"/>
          <w:szCs w:val="22"/>
          <w:lang w:val="es-MX" w:eastAsia="es-MX"/>
        </w:rPr>
      </w:pPr>
    </w:p>
    <w:p w14:paraId="6D0B5AFC" w14:textId="77777777" w:rsidR="00860149" w:rsidRPr="00912A8D" w:rsidRDefault="00860149" w:rsidP="00AD78B6">
      <w:pPr>
        <w:pStyle w:val="Prrafodelista"/>
        <w:numPr>
          <w:ilvl w:val="0"/>
          <w:numId w:val="1"/>
        </w:numPr>
        <w:spacing w:line="360" w:lineRule="auto"/>
        <w:jc w:val="both"/>
        <w:rPr>
          <w:rFonts w:ascii="Palatino Linotype" w:hAnsi="Palatino Linotype"/>
          <w:i/>
          <w:szCs w:val="26"/>
          <w:lang w:val="es-MX" w:eastAsia="es-MX"/>
        </w:rPr>
      </w:pPr>
      <w:r w:rsidRPr="00912A8D">
        <w:rPr>
          <w:rFonts w:ascii="Palatino Linotype" w:hAnsi="Palatino Linotype" w:cs="Arial"/>
          <w:b/>
          <w:szCs w:val="26"/>
        </w:rPr>
        <w:t>Razones o Motivos de Inconformidad</w:t>
      </w:r>
      <w:r w:rsidRPr="00912A8D">
        <w:rPr>
          <w:rFonts w:ascii="Palatino Linotype" w:hAnsi="Palatino Linotype" w:cs="Arial"/>
          <w:szCs w:val="26"/>
        </w:rPr>
        <w:t xml:space="preserve">: </w:t>
      </w:r>
    </w:p>
    <w:p w14:paraId="67AE6F01" w14:textId="77777777" w:rsidR="00860149" w:rsidRPr="00912A8D" w:rsidRDefault="00860149" w:rsidP="00AD78B6">
      <w:pPr>
        <w:spacing w:line="360" w:lineRule="auto"/>
        <w:ind w:left="284"/>
        <w:jc w:val="both"/>
        <w:rPr>
          <w:rFonts w:ascii="Palatino Linotype" w:hAnsi="Palatino Linotype"/>
          <w:i/>
          <w:sz w:val="22"/>
          <w:szCs w:val="22"/>
          <w:lang w:val="es-MX" w:eastAsia="es-MX"/>
        </w:rPr>
      </w:pPr>
      <w:r w:rsidRPr="00912A8D">
        <w:rPr>
          <w:rFonts w:ascii="Palatino Linotype" w:eastAsiaTheme="minorHAnsi" w:hAnsi="Palatino Linotype" w:cs="Arial"/>
          <w:i/>
          <w:sz w:val="22"/>
          <w:szCs w:val="22"/>
          <w:lang w:val="es-MX" w:eastAsia="en-US"/>
        </w:rPr>
        <w:t>“</w:t>
      </w:r>
      <w:r w:rsidR="005E05C5" w:rsidRPr="00912A8D">
        <w:rPr>
          <w:rFonts w:ascii="Palatino Linotype" w:eastAsiaTheme="minorHAnsi" w:hAnsi="Palatino Linotype" w:cstheme="minorBidi"/>
          <w:i/>
          <w:color w:val="000000"/>
          <w:sz w:val="22"/>
          <w:szCs w:val="22"/>
          <w:lang w:val="es-MX" w:eastAsia="en-US"/>
        </w:rPr>
        <w:t>opacidad</w:t>
      </w:r>
      <w:r w:rsidRPr="00912A8D">
        <w:rPr>
          <w:rFonts w:ascii="Palatino Linotype" w:eastAsiaTheme="minorHAnsi" w:hAnsi="Palatino Linotype" w:cstheme="minorBidi"/>
          <w:i/>
          <w:color w:val="000000"/>
          <w:sz w:val="22"/>
          <w:szCs w:val="22"/>
          <w:lang w:val="es-MX" w:eastAsia="en-US"/>
        </w:rPr>
        <w:t>” (Sic)</w:t>
      </w:r>
    </w:p>
    <w:p w14:paraId="29E56423" w14:textId="77777777" w:rsidR="00860149" w:rsidRPr="00912A8D" w:rsidRDefault="00860149" w:rsidP="00AD78B6">
      <w:pPr>
        <w:spacing w:line="360" w:lineRule="auto"/>
        <w:jc w:val="both"/>
        <w:rPr>
          <w:rFonts w:ascii="Palatino Linotype" w:eastAsiaTheme="minorHAnsi" w:hAnsi="Palatino Linotype" w:cs="Arial"/>
          <w:b/>
          <w:lang w:val="es-MX" w:eastAsia="en-US"/>
        </w:rPr>
      </w:pPr>
    </w:p>
    <w:p w14:paraId="603F6655"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CUARTO. Del turno del recurso de revisión.</w:t>
      </w:r>
    </w:p>
    <w:p w14:paraId="7B45BFFD"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Medio de impugnación que le fue turnado al Comisionado Presidente </w:t>
      </w:r>
      <w:r w:rsidRPr="00912A8D">
        <w:rPr>
          <w:rFonts w:ascii="Palatino Linotype" w:eastAsiaTheme="minorHAnsi" w:hAnsi="Palatino Linotype" w:cs="Arial"/>
          <w:b/>
          <w:lang w:val="es-MX" w:eastAsia="en-US"/>
        </w:rPr>
        <w:t>José Martínez Vilchis</w:t>
      </w:r>
      <w:r w:rsidRPr="00912A8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E05C5" w:rsidRPr="00912A8D">
        <w:rPr>
          <w:rFonts w:ascii="Palatino Linotype" w:eastAsiaTheme="minorHAnsi" w:hAnsi="Palatino Linotype" w:cs="Arial"/>
          <w:b/>
          <w:lang w:val="es-MX" w:eastAsia="en-US"/>
        </w:rPr>
        <w:t>nueve</w:t>
      </w:r>
      <w:r w:rsidRPr="00912A8D">
        <w:rPr>
          <w:rFonts w:ascii="Palatino Linotype" w:eastAsiaTheme="minorHAnsi" w:hAnsi="Palatino Linotype" w:cs="Arial"/>
          <w:b/>
          <w:lang w:val="es-MX" w:eastAsia="en-US"/>
        </w:rPr>
        <w:t xml:space="preserve"> de o</w:t>
      </w:r>
      <w:r w:rsidR="005E05C5" w:rsidRPr="00912A8D">
        <w:rPr>
          <w:rFonts w:ascii="Palatino Linotype" w:eastAsiaTheme="minorHAnsi" w:hAnsi="Palatino Linotype" w:cs="Arial"/>
          <w:b/>
          <w:lang w:val="es-MX" w:eastAsia="en-US"/>
        </w:rPr>
        <w:t>ctubre</w:t>
      </w:r>
      <w:r w:rsidRPr="00912A8D">
        <w:rPr>
          <w:rFonts w:ascii="Palatino Linotype" w:eastAsiaTheme="minorHAnsi" w:hAnsi="Palatino Linotype" w:cs="Arial"/>
          <w:b/>
          <w:lang w:val="es-MX" w:eastAsia="en-US"/>
        </w:rPr>
        <w:t xml:space="preserve"> de dos mil veintitrés</w:t>
      </w:r>
      <w:r w:rsidRPr="00912A8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DE34971" w14:textId="77777777" w:rsidR="00860149" w:rsidRPr="00912A8D" w:rsidRDefault="00860149" w:rsidP="00AD78B6">
      <w:pPr>
        <w:spacing w:line="360" w:lineRule="auto"/>
        <w:jc w:val="both"/>
        <w:rPr>
          <w:rFonts w:ascii="Palatino Linotype" w:eastAsiaTheme="minorHAnsi" w:hAnsi="Palatino Linotype" w:cs="Arial"/>
          <w:lang w:val="es-MX" w:eastAsia="en-US"/>
        </w:rPr>
      </w:pPr>
    </w:p>
    <w:p w14:paraId="1A3A8C13"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531C72CB"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538549B1"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QUINTO. De la etapa de manifestaciones y/o alegatos.</w:t>
      </w:r>
    </w:p>
    <w:p w14:paraId="3B68FCBE"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Una vez transcurrido el término legal referido se destaca que, </w:t>
      </w:r>
      <w:r w:rsidRPr="00912A8D">
        <w:rPr>
          <w:rFonts w:ascii="Palatino Linotype" w:eastAsiaTheme="minorHAnsi" w:hAnsi="Palatino Linotype" w:cs="Arial"/>
          <w:b/>
          <w:lang w:val="es-MX" w:eastAsia="en-US"/>
        </w:rPr>
        <w:t>El Sujeto Obligado</w:t>
      </w:r>
      <w:r w:rsidRPr="00912A8D">
        <w:rPr>
          <w:rFonts w:ascii="Palatino Linotype" w:eastAsiaTheme="minorHAnsi" w:hAnsi="Palatino Linotype" w:cs="Arial"/>
          <w:lang w:val="es-MX" w:eastAsia="en-US"/>
        </w:rPr>
        <w:t xml:space="preserve"> rindió su forme justificado el día </w:t>
      </w:r>
      <w:r w:rsidR="005E05C5" w:rsidRPr="00912A8D">
        <w:rPr>
          <w:rFonts w:ascii="Palatino Linotype" w:eastAsiaTheme="minorHAnsi" w:hAnsi="Palatino Linotype" w:cs="Arial"/>
          <w:b/>
          <w:lang w:val="es-MX" w:eastAsia="en-US"/>
        </w:rPr>
        <w:t>d</w:t>
      </w:r>
      <w:r w:rsidRPr="00912A8D">
        <w:rPr>
          <w:rFonts w:ascii="Palatino Linotype" w:eastAsiaTheme="minorHAnsi" w:hAnsi="Palatino Linotype" w:cs="Arial"/>
          <w:b/>
          <w:lang w:val="es-MX" w:eastAsia="en-US"/>
        </w:rPr>
        <w:t>ie</w:t>
      </w:r>
      <w:r w:rsidR="005E05C5" w:rsidRPr="00912A8D">
        <w:rPr>
          <w:rFonts w:ascii="Palatino Linotype" w:eastAsiaTheme="minorHAnsi" w:hAnsi="Palatino Linotype" w:cs="Arial"/>
          <w:b/>
          <w:lang w:val="es-MX" w:eastAsia="en-US"/>
        </w:rPr>
        <w:t>ciséis</w:t>
      </w:r>
      <w:r w:rsidRPr="00912A8D">
        <w:rPr>
          <w:rFonts w:ascii="Palatino Linotype" w:eastAsiaTheme="minorHAnsi" w:hAnsi="Palatino Linotype" w:cs="Arial"/>
          <w:b/>
          <w:lang w:val="es-MX" w:eastAsia="en-US"/>
        </w:rPr>
        <w:t xml:space="preserve"> de o</w:t>
      </w:r>
      <w:r w:rsidR="005E05C5" w:rsidRPr="00912A8D">
        <w:rPr>
          <w:rFonts w:ascii="Palatino Linotype" w:eastAsiaTheme="minorHAnsi" w:hAnsi="Palatino Linotype" w:cs="Arial"/>
          <w:b/>
          <w:lang w:val="es-MX" w:eastAsia="en-US"/>
        </w:rPr>
        <w:t>ctubre</w:t>
      </w:r>
      <w:r w:rsidRPr="00912A8D">
        <w:rPr>
          <w:rFonts w:ascii="Palatino Linotype" w:eastAsiaTheme="minorHAnsi" w:hAnsi="Palatino Linotype" w:cs="Arial"/>
          <w:b/>
          <w:lang w:val="es-MX" w:eastAsia="en-US"/>
        </w:rPr>
        <w:t xml:space="preserve"> de dos mil veintitrés</w:t>
      </w:r>
      <w:r w:rsidRPr="00912A8D">
        <w:rPr>
          <w:rFonts w:ascii="Palatino Linotype" w:eastAsiaTheme="minorHAnsi" w:hAnsi="Palatino Linotype" w:cs="Arial"/>
          <w:lang w:val="es-MX" w:eastAsia="en-US"/>
        </w:rPr>
        <w:t xml:space="preserve">, a través de los archivos electrónicos denominados </w:t>
      </w:r>
      <w:r w:rsidR="005E05C5" w:rsidRPr="00912A8D">
        <w:rPr>
          <w:rFonts w:ascii="Palatino Linotype" w:eastAsiaTheme="minorHAnsi" w:hAnsi="Palatino Linotype" w:cs="Arial"/>
          <w:i/>
          <w:lang w:val="es-MX" w:eastAsia="en-US"/>
        </w:rPr>
        <w:t>“INFORME JUSTIFICADO RR 06670-INFOEM-IP-RR-2023_1.PDF</w:t>
      </w:r>
      <w:r w:rsidRPr="00912A8D">
        <w:rPr>
          <w:rFonts w:ascii="Palatino Linotype" w:eastAsiaTheme="minorHAnsi" w:hAnsi="Palatino Linotype" w:cs="Arial"/>
          <w:i/>
          <w:lang w:val="es-MX" w:eastAsia="en-US"/>
        </w:rPr>
        <w:t>”</w:t>
      </w:r>
      <w:r w:rsidRPr="00912A8D">
        <w:rPr>
          <w:rFonts w:ascii="Palatino Linotype" w:eastAsiaTheme="minorHAnsi" w:hAnsi="Palatino Linotype" w:cs="Arial"/>
          <w:lang w:val="es-MX" w:eastAsia="en-US"/>
        </w:rPr>
        <w:t xml:space="preserve">, los cuales fueron puestos a la vista del Recurrente el </w:t>
      </w:r>
      <w:r w:rsidR="005E05C5" w:rsidRPr="00912A8D">
        <w:rPr>
          <w:rFonts w:ascii="Palatino Linotype" w:eastAsiaTheme="minorHAnsi" w:hAnsi="Palatino Linotype" w:cs="Arial"/>
          <w:b/>
          <w:lang w:val="es-MX" w:eastAsia="en-US"/>
        </w:rPr>
        <w:t>diecisiete</w:t>
      </w:r>
      <w:r w:rsidRPr="00912A8D">
        <w:rPr>
          <w:rFonts w:ascii="Palatino Linotype" w:eastAsiaTheme="minorHAnsi" w:hAnsi="Palatino Linotype" w:cs="Arial"/>
          <w:b/>
          <w:lang w:val="es-MX" w:eastAsia="en-US"/>
        </w:rPr>
        <w:t xml:space="preserve"> de o</w:t>
      </w:r>
      <w:r w:rsidR="005E05C5" w:rsidRPr="00912A8D">
        <w:rPr>
          <w:rFonts w:ascii="Palatino Linotype" w:eastAsiaTheme="minorHAnsi" w:hAnsi="Palatino Linotype" w:cs="Arial"/>
          <w:b/>
          <w:lang w:val="es-MX" w:eastAsia="en-US"/>
        </w:rPr>
        <w:t>ctubre</w:t>
      </w:r>
      <w:r w:rsidRPr="00912A8D">
        <w:rPr>
          <w:rFonts w:ascii="Palatino Linotype" w:eastAsiaTheme="minorHAnsi" w:hAnsi="Palatino Linotype" w:cs="Arial"/>
          <w:b/>
          <w:lang w:val="es-MX" w:eastAsia="en-US"/>
        </w:rPr>
        <w:t xml:space="preserve"> de dos mil veintitrés</w:t>
      </w:r>
      <w:r w:rsidRPr="00912A8D">
        <w:rPr>
          <w:rFonts w:ascii="Palatino Linotype" w:eastAsiaTheme="minorHAnsi" w:hAnsi="Palatino Linotype" w:cs="Arial"/>
          <w:lang w:val="es-MX" w:eastAsia="en-US"/>
        </w:rPr>
        <w:t xml:space="preserve">; asimismo, se aprecia que la parte </w:t>
      </w:r>
      <w:r w:rsidRPr="00912A8D">
        <w:rPr>
          <w:rFonts w:ascii="Palatino Linotype" w:eastAsiaTheme="minorHAnsi" w:hAnsi="Palatino Linotype" w:cs="Arial"/>
          <w:b/>
          <w:lang w:val="es-MX" w:eastAsia="en-US"/>
        </w:rPr>
        <w:t>Recurrente</w:t>
      </w:r>
      <w:r w:rsidRPr="00912A8D">
        <w:rPr>
          <w:rFonts w:ascii="Palatino Linotype" w:eastAsiaTheme="minorHAnsi" w:hAnsi="Palatino Linotype" w:cs="Arial"/>
          <w:lang w:val="es-MX" w:eastAsia="en-US"/>
        </w:rPr>
        <w:t xml:space="preserve"> no realizó alegatos, ni ofreció pruebas o manifestaciones.</w:t>
      </w:r>
    </w:p>
    <w:p w14:paraId="46DC55B3" w14:textId="77777777" w:rsidR="00860149" w:rsidRPr="00912A8D" w:rsidRDefault="00860149" w:rsidP="00AD78B6">
      <w:pPr>
        <w:pStyle w:val="Sinespaciado"/>
        <w:spacing w:line="360" w:lineRule="auto"/>
        <w:jc w:val="center"/>
        <w:rPr>
          <w:rFonts w:eastAsiaTheme="minorHAnsi"/>
          <w:noProof/>
          <w:lang w:eastAsia="es-MX"/>
        </w:rPr>
      </w:pPr>
    </w:p>
    <w:p w14:paraId="0DD0852E" w14:textId="77777777" w:rsidR="00860149" w:rsidRPr="00912A8D" w:rsidRDefault="00860149" w:rsidP="00AD78B6">
      <w:pPr>
        <w:tabs>
          <w:tab w:val="left" w:pos="3206"/>
        </w:tabs>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SEXTO. Del cierre de instrucción.</w:t>
      </w:r>
      <w:r w:rsidRPr="00912A8D">
        <w:rPr>
          <w:rFonts w:ascii="Palatino Linotype" w:eastAsiaTheme="minorHAnsi" w:hAnsi="Palatino Linotype" w:cs="Arial"/>
          <w:b/>
          <w:sz w:val="28"/>
          <w:lang w:val="es-MX" w:eastAsia="en-US"/>
        </w:rPr>
        <w:tab/>
      </w:r>
    </w:p>
    <w:p w14:paraId="1391DE53"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Así, una vez transcurrido el término legal, permitió decretarse el cierre de instrucción en fecha </w:t>
      </w:r>
      <w:r w:rsidR="005E05C5" w:rsidRPr="00912A8D">
        <w:rPr>
          <w:rFonts w:ascii="Palatino Linotype" w:eastAsiaTheme="minorHAnsi" w:hAnsi="Palatino Linotype" w:cs="Arial"/>
          <w:b/>
          <w:lang w:val="es-MX" w:eastAsia="en-US"/>
        </w:rPr>
        <w:t>veinticuatro</w:t>
      </w:r>
      <w:r w:rsidRPr="00912A8D">
        <w:rPr>
          <w:rFonts w:ascii="Palatino Linotype" w:eastAsiaTheme="minorHAnsi" w:hAnsi="Palatino Linotype" w:cs="Arial"/>
          <w:b/>
          <w:lang w:val="es-MX" w:eastAsia="en-US"/>
        </w:rPr>
        <w:t xml:space="preserve"> de o</w:t>
      </w:r>
      <w:r w:rsidR="005E05C5" w:rsidRPr="00912A8D">
        <w:rPr>
          <w:rFonts w:ascii="Palatino Linotype" w:eastAsiaTheme="minorHAnsi" w:hAnsi="Palatino Linotype" w:cs="Arial"/>
          <w:b/>
          <w:lang w:val="es-MX" w:eastAsia="en-US"/>
        </w:rPr>
        <w:t>ctubre</w:t>
      </w:r>
      <w:r w:rsidRPr="00912A8D">
        <w:rPr>
          <w:rFonts w:ascii="Palatino Linotype" w:eastAsiaTheme="minorHAnsi" w:hAnsi="Palatino Linotype" w:cs="Arial"/>
          <w:b/>
          <w:lang w:val="es-MX" w:eastAsia="en-US"/>
        </w:rPr>
        <w:t xml:space="preserve"> del dos mil veintitrés</w:t>
      </w:r>
      <w:r w:rsidRPr="00912A8D">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E0ADADC" w14:textId="77777777" w:rsidR="00860149" w:rsidRPr="00912A8D" w:rsidRDefault="00860149" w:rsidP="00AD78B6">
      <w:pPr>
        <w:spacing w:line="360" w:lineRule="auto"/>
        <w:jc w:val="both"/>
        <w:rPr>
          <w:rFonts w:ascii="Palatino Linotype" w:eastAsiaTheme="minorHAnsi" w:hAnsi="Palatino Linotype" w:cs="Arial"/>
          <w:lang w:val="es-MX" w:eastAsia="en-US"/>
        </w:rPr>
      </w:pPr>
    </w:p>
    <w:p w14:paraId="617B196A" w14:textId="77777777" w:rsidR="00860149" w:rsidRPr="00912A8D" w:rsidRDefault="00860149" w:rsidP="00AD78B6">
      <w:pPr>
        <w:spacing w:line="360" w:lineRule="auto"/>
        <w:jc w:val="both"/>
        <w:rPr>
          <w:rFonts w:ascii="Palatino Linotype" w:hAnsi="Palatino Linotype" w:cs="Arial"/>
          <w:b/>
        </w:rPr>
      </w:pPr>
      <w:r w:rsidRPr="00912A8D">
        <w:rPr>
          <w:rFonts w:ascii="Palatino Linotype" w:hAnsi="Palatino Linotype" w:cs="Arial"/>
          <w:b/>
          <w:sz w:val="28"/>
        </w:rPr>
        <w:t>SÉPTIMO</w:t>
      </w:r>
      <w:r w:rsidRPr="00912A8D">
        <w:rPr>
          <w:rFonts w:ascii="Palatino Linotype" w:hAnsi="Palatino Linotype" w:cs="Arial"/>
          <w:b/>
        </w:rPr>
        <w:t xml:space="preserve">. </w:t>
      </w:r>
      <w:r w:rsidRPr="00912A8D">
        <w:rPr>
          <w:rFonts w:ascii="Palatino Linotype" w:hAnsi="Palatino Linotype" w:cs="Arial"/>
          <w:b/>
          <w:sz w:val="28"/>
          <w:szCs w:val="28"/>
        </w:rPr>
        <w:t>De la ampliación de plazo para resolver.</w:t>
      </w:r>
    </w:p>
    <w:p w14:paraId="4A8ADC23"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cs="Arial"/>
          <w:lang w:val="es-MX"/>
        </w:rPr>
        <w:t>E</w:t>
      </w:r>
      <w:r w:rsidRPr="00912A8D">
        <w:rPr>
          <w:rFonts w:ascii="Palatino Linotype" w:hAnsi="Palatino Linotype"/>
          <w:lang w:val="es-MX"/>
        </w:rPr>
        <w:t xml:space="preserve">n fecha </w:t>
      </w:r>
      <w:r w:rsidR="005E05C5" w:rsidRPr="00912A8D">
        <w:rPr>
          <w:rFonts w:ascii="Palatino Linotype" w:hAnsi="Palatino Linotype"/>
          <w:b/>
          <w:lang w:val="es-MX"/>
        </w:rPr>
        <w:t>veintidós</w:t>
      </w:r>
      <w:r w:rsidRPr="00912A8D">
        <w:rPr>
          <w:rFonts w:ascii="Palatino Linotype" w:hAnsi="Palatino Linotype"/>
          <w:b/>
          <w:lang w:val="es-MX"/>
        </w:rPr>
        <w:t xml:space="preserve"> de </w:t>
      </w:r>
      <w:r w:rsidR="005E05C5" w:rsidRPr="00912A8D">
        <w:rPr>
          <w:rFonts w:ascii="Palatino Linotype" w:hAnsi="Palatino Linotype"/>
          <w:b/>
          <w:lang w:val="es-MX"/>
        </w:rPr>
        <w:t>n</w:t>
      </w:r>
      <w:r w:rsidRPr="00912A8D">
        <w:rPr>
          <w:rFonts w:ascii="Palatino Linotype" w:hAnsi="Palatino Linotype"/>
          <w:b/>
          <w:lang w:val="es-MX"/>
        </w:rPr>
        <w:t>o</w:t>
      </w:r>
      <w:r w:rsidR="005E05C5" w:rsidRPr="00912A8D">
        <w:rPr>
          <w:rFonts w:ascii="Palatino Linotype" w:hAnsi="Palatino Linotype"/>
          <w:b/>
          <w:lang w:val="es-MX"/>
        </w:rPr>
        <w:t>viembre</w:t>
      </w:r>
      <w:r w:rsidRPr="00912A8D">
        <w:rPr>
          <w:rFonts w:ascii="Palatino Linotype" w:hAnsi="Palatino Linotype"/>
          <w:lang w:val="es-MX"/>
        </w:rPr>
        <w:t xml:space="preserve"> </w:t>
      </w:r>
      <w:r w:rsidRPr="00912A8D">
        <w:rPr>
          <w:rFonts w:ascii="Palatino Linotype" w:eastAsiaTheme="minorHAnsi" w:hAnsi="Palatino Linotype" w:cs="Arial"/>
          <w:b/>
          <w:lang w:val="es-MX" w:eastAsia="en-US"/>
        </w:rPr>
        <w:t>del dos mil veintitrés</w:t>
      </w:r>
      <w:r w:rsidRPr="00912A8D">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C0261" w14:textId="77777777" w:rsidR="00860149" w:rsidRPr="00912A8D" w:rsidRDefault="00860149" w:rsidP="00AD78B6">
      <w:pPr>
        <w:spacing w:line="360" w:lineRule="auto"/>
        <w:jc w:val="both"/>
        <w:rPr>
          <w:rFonts w:ascii="Palatino Linotype" w:hAnsi="Palatino Linotype"/>
          <w:lang w:val="es-MX"/>
        </w:rPr>
      </w:pPr>
    </w:p>
    <w:p w14:paraId="4F643102"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Este organismo garante no pasa por alto justificar, </w:t>
      </w:r>
      <w:r w:rsidRPr="00912A8D">
        <w:rPr>
          <w:rFonts w:ascii="Palatino Linotype" w:hAnsi="Palatino Linotype"/>
          <w:bCs/>
          <w:lang w:val="es-MX"/>
        </w:rPr>
        <w:t xml:space="preserve">que el plazo para emitir resolución en el presente asunto </w:t>
      </w:r>
      <w:r w:rsidRPr="00912A8D">
        <w:rPr>
          <w:rFonts w:ascii="Palatino Linotype" w:hAnsi="Palatino Linotype"/>
          <w:lang w:val="es-MX"/>
        </w:rPr>
        <w:t xml:space="preserve">encuentra justificación en el alto número de recursos de revisión recibidos dentro del primer semestre del año dos mil veintidós, que, en comparación </w:t>
      </w:r>
      <w:r w:rsidRPr="00912A8D">
        <w:rPr>
          <w:rFonts w:ascii="Palatino Linotype" w:hAnsi="Palatino Linotype"/>
          <w:lang w:val="es-MX"/>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1B8F789" w14:textId="77777777" w:rsidR="00860149" w:rsidRPr="00912A8D" w:rsidRDefault="00860149" w:rsidP="00AD78B6">
      <w:pPr>
        <w:spacing w:line="360" w:lineRule="auto"/>
        <w:jc w:val="both"/>
        <w:rPr>
          <w:rFonts w:ascii="Palatino Linotype" w:hAnsi="Palatino Linotype"/>
          <w:lang w:val="es-MX"/>
        </w:rPr>
      </w:pPr>
    </w:p>
    <w:p w14:paraId="3FFD2C7E"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Por ello, es menester precisar que si bien se ha excedido el plazo para resolver el presente medio de impugnación, de conformidad con la ley de la materia, </w:t>
      </w:r>
      <w:r w:rsidRPr="00912A8D">
        <w:rPr>
          <w:rFonts w:ascii="Palatino Linotype" w:hAnsi="Palatino Linotype"/>
          <w:bCs/>
          <w:lang w:val="es-MX"/>
        </w:rPr>
        <w:t>el plazo para emitir resolución</w:t>
      </w:r>
      <w:r w:rsidRPr="00912A8D">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6EA0C2ED"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2862E02E"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3F15B5"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3330A828"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CAFD37B"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3051046E"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2F23B56C"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lastRenderedPageBreak/>
        <w:t xml:space="preserve"> </w:t>
      </w:r>
    </w:p>
    <w:p w14:paraId="07F3B253"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a)      Complejidad del asunto: La complejidad de la prueba, la pluralidad de sujetos procesales, el tiempo transcurrido, las características y contexto del recurso.</w:t>
      </w:r>
    </w:p>
    <w:p w14:paraId="2B0CD592"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b)     Actividad Procesal del interesado: Acciones u omisiones del interesado.</w:t>
      </w:r>
    </w:p>
    <w:p w14:paraId="266A1D74"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c)  Conducta de la Autoridad: Las Acciones u omisiones realizadas en el procedimiento. Así como si la autoridad actuó con la debida diligencia.</w:t>
      </w:r>
    </w:p>
    <w:p w14:paraId="4FF8B5B2"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d) La afectación generada en la situación jurídica de la persona involucrada en el proceso: Violación a sus derechos humanos.</w:t>
      </w:r>
    </w:p>
    <w:p w14:paraId="47BD2341" w14:textId="77777777" w:rsidR="006F39BB" w:rsidRPr="00912A8D" w:rsidRDefault="006F39BB" w:rsidP="00AD78B6">
      <w:pPr>
        <w:spacing w:line="360" w:lineRule="auto"/>
        <w:jc w:val="both"/>
        <w:rPr>
          <w:rFonts w:ascii="Palatino Linotype" w:hAnsi="Palatino Linotype"/>
          <w:lang w:val="es-MX"/>
        </w:rPr>
      </w:pPr>
    </w:p>
    <w:p w14:paraId="3DFE4323"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627D57"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036F5477"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Argumento que encuentra sustento en la jurisprudencia P./J. 32/92 emitida por el Pleno de la Suprema Corte de Justicia de la Nación de rubro </w:t>
      </w:r>
      <w:r w:rsidRPr="00912A8D">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912A8D">
        <w:rPr>
          <w:rFonts w:ascii="Palatino Linotype" w:hAnsi="Palatino Linotype"/>
          <w:lang w:val="es-MX"/>
        </w:rPr>
        <w:t>, visible en la Gaceta del Seminario Judicial de la Federación con el registro digital 205635.</w:t>
      </w:r>
    </w:p>
    <w:p w14:paraId="6108153F"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0E23FEB0"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912A8D">
        <w:rPr>
          <w:rFonts w:ascii="Palatino Linotype" w:hAnsi="Palatino Linotype"/>
          <w:lang w:val="es-MX"/>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EE4F87" w14:textId="77777777" w:rsidR="00860149" w:rsidRPr="00912A8D" w:rsidRDefault="00860149" w:rsidP="00AD78B6">
      <w:pPr>
        <w:spacing w:line="360" w:lineRule="auto"/>
        <w:jc w:val="both"/>
        <w:rPr>
          <w:rFonts w:ascii="Palatino Linotype" w:hAnsi="Palatino Linotype"/>
          <w:lang w:val="es-MX"/>
        </w:rPr>
      </w:pPr>
    </w:p>
    <w:p w14:paraId="726D9A3F"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71C36988"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70B46FFA"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r w:rsidRPr="00912A8D">
        <w:rPr>
          <w:rFonts w:ascii="Palatino Linotype" w:hAnsi="Palatino Linotype"/>
          <w:b/>
          <w:i/>
          <w:lang w:val="es-MX"/>
        </w:rPr>
        <w:t>“PLAZO RAZONABLE PARA RESOLVER. DIMENSIÓN Y EFECTOS DE ESTE CONCEPTO CUANDO SE ADUCE EXCESIVA CARGA DE TRABAJO.”</w:t>
      </w:r>
      <w:r w:rsidRPr="00912A8D">
        <w:rPr>
          <w:rFonts w:ascii="Palatino Linotype" w:hAnsi="Palatino Linotype"/>
          <w:lang w:val="es-MX"/>
        </w:rPr>
        <w:t xml:space="preserve"> consultable en el Seminario Judicial de la Federación y su gaceta, con el registro digital 2002351.</w:t>
      </w:r>
    </w:p>
    <w:p w14:paraId="5538C779"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lang w:val="es-MX"/>
        </w:rPr>
        <w:t xml:space="preserve"> </w:t>
      </w:r>
    </w:p>
    <w:p w14:paraId="7E495E52"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b/>
          <w:i/>
          <w:lang w:val="es-MX"/>
        </w:rPr>
        <w:t>“PLAZO RAZONABLE PARA RESOLVER. CONCEPTO Y ELEMENTOS QUE LO INTEGRAN A LA LUZ DEL DERECHO INTERNACIONAL DE LOS DERECHOS HUMANOS.”</w:t>
      </w:r>
      <w:r w:rsidRPr="00912A8D">
        <w:rPr>
          <w:rFonts w:ascii="Palatino Linotype" w:hAnsi="Palatino Linotype"/>
          <w:lang w:val="es-MX"/>
        </w:rPr>
        <w:t>, visible en el Seminario Judicial de la Federación y su gaceta, con el registro digital 2002350.</w:t>
      </w:r>
    </w:p>
    <w:p w14:paraId="5FB4692C" w14:textId="77777777" w:rsidR="00860149" w:rsidRPr="00912A8D" w:rsidRDefault="00860149" w:rsidP="00AD78B6">
      <w:pPr>
        <w:spacing w:line="360" w:lineRule="auto"/>
        <w:jc w:val="both"/>
        <w:rPr>
          <w:rFonts w:ascii="Palatino Linotype" w:hAnsi="Palatino Linotype"/>
          <w:bCs/>
          <w:lang w:val="es-MX"/>
        </w:rPr>
      </w:pPr>
    </w:p>
    <w:p w14:paraId="2733A0B7" w14:textId="77777777" w:rsidR="00860149" w:rsidRPr="00912A8D" w:rsidRDefault="00860149" w:rsidP="00AD78B6">
      <w:pPr>
        <w:spacing w:line="360" w:lineRule="auto"/>
        <w:jc w:val="both"/>
        <w:rPr>
          <w:rFonts w:ascii="Palatino Linotype" w:hAnsi="Palatino Linotype"/>
          <w:lang w:val="es-MX"/>
        </w:rPr>
      </w:pPr>
      <w:r w:rsidRPr="00912A8D">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02A95D42" w14:textId="77777777" w:rsidR="00860149" w:rsidRPr="00912A8D" w:rsidRDefault="00860149" w:rsidP="00AD78B6">
      <w:pPr>
        <w:spacing w:line="360" w:lineRule="auto"/>
        <w:jc w:val="both"/>
        <w:rPr>
          <w:rFonts w:ascii="Palatino Linotype" w:hAnsi="Palatino Linotype"/>
          <w:lang w:val="es-MX"/>
        </w:rPr>
      </w:pPr>
    </w:p>
    <w:p w14:paraId="056CBC70" w14:textId="77777777" w:rsidR="00AD78B6" w:rsidRPr="00912A8D" w:rsidRDefault="00AD78B6" w:rsidP="00AD78B6">
      <w:pPr>
        <w:spacing w:line="360" w:lineRule="auto"/>
        <w:jc w:val="center"/>
        <w:rPr>
          <w:rFonts w:ascii="Palatino Linotype" w:eastAsiaTheme="minorHAnsi" w:hAnsi="Palatino Linotype" w:cs="Arial"/>
          <w:b/>
          <w:sz w:val="28"/>
          <w:lang w:val="es-MX" w:eastAsia="en-US"/>
        </w:rPr>
      </w:pPr>
    </w:p>
    <w:p w14:paraId="366B591C" w14:textId="77777777" w:rsidR="00860149" w:rsidRPr="00912A8D" w:rsidRDefault="00860149" w:rsidP="00AD78B6">
      <w:pPr>
        <w:spacing w:line="360" w:lineRule="auto"/>
        <w:jc w:val="center"/>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 xml:space="preserve">C O N S I D E R A N D O </w:t>
      </w:r>
    </w:p>
    <w:p w14:paraId="4F46607D" w14:textId="77777777" w:rsidR="00860149" w:rsidRPr="00912A8D" w:rsidRDefault="00860149" w:rsidP="00AD78B6">
      <w:pPr>
        <w:spacing w:line="360" w:lineRule="auto"/>
        <w:jc w:val="center"/>
        <w:rPr>
          <w:rFonts w:ascii="Palatino Linotype" w:eastAsiaTheme="minorHAnsi" w:hAnsi="Palatino Linotype" w:cs="Arial"/>
          <w:b/>
          <w:lang w:val="es-MX" w:eastAsia="en-US"/>
        </w:rPr>
      </w:pPr>
    </w:p>
    <w:p w14:paraId="59F079AB" w14:textId="77777777" w:rsidR="00860149" w:rsidRPr="00912A8D" w:rsidRDefault="00860149" w:rsidP="00AD78B6">
      <w:pPr>
        <w:spacing w:line="360" w:lineRule="auto"/>
        <w:jc w:val="both"/>
        <w:rPr>
          <w:rFonts w:ascii="Palatino Linotype" w:eastAsiaTheme="minorHAnsi" w:hAnsi="Palatino Linotype" w:cs="Arial"/>
          <w:sz w:val="28"/>
          <w:lang w:val="es-MX" w:eastAsia="en-US"/>
        </w:rPr>
      </w:pPr>
      <w:r w:rsidRPr="00912A8D">
        <w:rPr>
          <w:rFonts w:ascii="Palatino Linotype" w:eastAsiaTheme="minorHAnsi" w:hAnsi="Palatino Linotype" w:cs="Arial"/>
          <w:b/>
          <w:sz w:val="28"/>
          <w:lang w:val="es-MX" w:eastAsia="en-US"/>
        </w:rPr>
        <w:t>PRIMERO. De la competencia</w:t>
      </w:r>
      <w:r w:rsidRPr="00912A8D">
        <w:rPr>
          <w:rFonts w:ascii="Palatino Linotype" w:eastAsiaTheme="minorHAnsi" w:hAnsi="Palatino Linotype" w:cs="Arial"/>
          <w:sz w:val="28"/>
          <w:lang w:val="es-MX" w:eastAsia="en-US"/>
        </w:rPr>
        <w:t>.</w:t>
      </w:r>
    </w:p>
    <w:p w14:paraId="7978824A" w14:textId="77777777"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sidR="00526DF0" w:rsidRPr="00912A8D">
        <w:rPr>
          <w:rFonts w:ascii="Palatino Linotype" w:eastAsiaTheme="minorHAnsi" w:hAnsi="Palatino Linotype" w:cs="Arial"/>
          <w:lang w:val="es-MX" w:eastAsia="en-US"/>
        </w:rPr>
        <w:t xml:space="preserve">segundo </w:t>
      </w:r>
      <w:r w:rsidRPr="00912A8D">
        <w:rPr>
          <w:rFonts w:ascii="Palatino Linotype" w:eastAsiaTheme="minorHAnsi" w:hAnsi="Palatino Linotype" w:cs="Arial"/>
          <w:lang w:val="es-MX" w:eastAsia="en-US"/>
        </w:rPr>
        <w:t>y trigésimo</w:t>
      </w:r>
      <w:r w:rsidR="00526DF0" w:rsidRPr="00912A8D">
        <w:rPr>
          <w:rFonts w:ascii="Palatino Linotype" w:eastAsiaTheme="minorHAnsi" w:hAnsi="Palatino Linotype" w:cs="Arial"/>
          <w:lang w:val="es-MX" w:eastAsia="en-US"/>
        </w:rPr>
        <w:t xml:space="preserve"> tercero</w:t>
      </w:r>
      <w:r w:rsidRPr="00912A8D">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F2B43AD" w14:textId="77777777" w:rsidR="00860149" w:rsidRPr="00912A8D" w:rsidRDefault="00860149" w:rsidP="00AD78B6">
      <w:pPr>
        <w:spacing w:line="360" w:lineRule="auto"/>
        <w:jc w:val="both"/>
        <w:rPr>
          <w:rFonts w:ascii="Palatino Linotype" w:eastAsiaTheme="minorHAnsi" w:hAnsi="Palatino Linotype" w:cs="Arial"/>
          <w:lang w:val="es-MX" w:eastAsia="en-US"/>
        </w:rPr>
      </w:pPr>
    </w:p>
    <w:p w14:paraId="59D001D0"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 xml:space="preserve">SEGUNDO. De los alcances del Recurso de Revisión. </w:t>
      </w:r>
    </w:p>
    <w:p w14:paraId="1BE26AB9"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824ECBC"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p>
    <w:p w14:paraId="3785D906"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24E387D5" w14:textId="77777777" w:rsidR="00AD78B6" w:rsidRPr="00912A8D" w:rsidRDefault="00AD78B6" w:rsidP="00AD78B6">
      <w:pPr>
        <w:spacing w:line="360" w:lineRule="auto"/>
        <w:jc w:val="both"/>
        <w:rPr>
          <w:rFonts w:ascii="Palatino Linotype" w:eastAsiaTheme="minorHAnsi" w:hAnsi="Palatino Linotype" w:cs="Arial"/>
          <w:b/>
          <w:sz w:val="28"/>
          <w:lang w:val="es-MX" w:eastAsia="en-US"/>
        </w:rPr>
      </w:pPr>
    </w:p>
    <w:p w14:paraId="1B9AC49C" w14:textId="77777777" w:rsidR="00860149" w:rsidRPr="00912A8D" w:rsidRDefault="00860149" w:rsidP="00AD78B6">
      <w:pPr>
        <w:spacing w:line="360" w:lineRule="auto"/>
        <w:jc w:val="both"/>
        <w:rPr>
          <w:rFonts w:ascii="Palatino Linotype" w:eastAsiaTheme="minorHAnsi" w:hAnsi="Palatino Linotype" w:cs="Arial"/>
          <w:b/>
          <w:sz w:val="28"/>
          <w:lang w:val="es-MX" w:eastAsia="en-US"/>
        </w:rPr>
      </w:pPr>
      <w:r w:rsidRPr="00912A8D">
        <w:rPr>
          <w:rFonts w:ascii="Palatino Linotype" w:eastAsiaTheme="minorHAnsi" w:hAnsi="Palatino Linotype" w:cs="Arial"/>
          <w:b/>
          <w:sz w:val="28"/>
          <w:lang w:val="es-MX" w:eastAsia="en-US"/>
        </w:rPr>
        <w:t xml:space="preserve">TERCERO. Del estudio de las causas de improcedencia. </w:t>
      </w:r>
    </w:p>
    <w:p w14:paraId="1B75661F"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12A8D">
        <w:rPr>
          <w:rStyle w:val="Refdenotaalpie"/>
          <w:rFonts w:ascii="Palatino Linotype" w:eastAsiaTheme="minorHAnsi" w:hAnsi="Palatino Linotype" w:cs="Arial"/>
          <w:lang w:val="es-MX" w:eastAsia="en-US"/>
        </w:rPr>
        <w:footnoteReference w:id="1"/>
      </w:r>
      <w:r w:rsidRPr="00912A8D">
        <w:rPr>
          <w:rFonts w:ascii="Palatino Linotype" w:eastAsiaTheme="minorHAnsi" w:hAnsi="Palatino Linotype" w:cs="Arial"/>
          <w:lang w:val="es-MX" w:eastAsia="en-US"/>
        </w:rPr>
        <w:t>.</w:t>
      </w:r>
    </w:p>
    <w:p w14:paraId="01DB77C0"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p>
    <w:p w14:paraId="5B8DB4F9"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6664A573" w14:textId="77777777" w:rsidR="00860149" w:rsidRPr="00912A8D" w:rsidRDefault="00860149" w:rsidP="00AD78B6">
      <w:pPr>
        <w:spacing w:line="360" w:lineRule="auto"/>
        <w:rPr>
          <w:lang w:val="es-MX"/>
        </w:rPr>
      </w:pPr>
    </w:p>
    <w:p w14:paraId="3E2C1A53"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lastRenderedPageBreak/>
        <w:t>“</w:t>
      </w:r>
      <w:r w:rsidRPr="00912A8D">
        <w:rPr>
          <w:rFonts w:ascii="Palatino Linotype" w:hAnsi="Palatino Linotype" w:cs="Arial"/>
          <w:b/>
          <w:i/>
          <w:sz w:val="22"/>
          <w:szCs w:val="22"/>
        </w:rPr>
        <w:t>Artículo 191.</w:t>
      </w:r>
      <w:r w:rsidRPr="00912A8D">
        <w:rPr>
          <w:rFonts w:ascii="Palatino Linotype" w:hAnsi="Palatino Linotype" w:cs="Arial"/>
          <w:i/>
          <w:sz w:val="22"/>
          <w:szCs w:val="22"/>
        </w:rPr>
        <w:t xml:space="preserve"> El recurso será desechado por improcedente cuando:  </w:t>
      </w:r>
    </w:p>
    <w:p w14:paraId="3CFAAB0F"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 xml:space="preserve">I. Sea extemporáneo por haber transcurrido el plazo establecido en la presente Ley, a partir de la respuesta;  </w:t>
      </w:r>
    </w:p>
    <w:p w14:paraId="77812E2B"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 xml:space="preserve">II. Se esté tramitando ante el Poder Judicial de la Federación algún recurso o medio de defensa interpuesto por el recurrente;  </w:t>
      </w:r>
    </w:p>
    <w:p w14:paraId="31D53204"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 xml:space="preserve">III. No actualice alguno de los supuestos previstos en la presente Ley;  </w:t>
      </w:r>
    </w:p>
    <w:p w14:paraId="5AEC89CF"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IV. No se haya desahogado la prevención en los términos establecidos en la presente Ley;</w:t>
      </w:r>
    </w:p>
    <w:p w14:paraId="3F6FB98B"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 xml:space="preserve">V. Se impugne la veracidad de la información proporcionada;  </w:t>
      </w:r>
    </w:p>
    <w:p w14:paraId="3C2DE030"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 xml:space="preserve">VI. Se trate de una consulta, o trámite en específico; y  </w:t>
      </w:r>
    </w:p>
    <w:p w14:paraId="46FE7158"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sz w:val="22"/>
          <w:szCs w:val="22"/>
        </w:rPr>
      </w:pPr>
      <w:r w:rsidRPr="00912A8D">
        <w:rPr>
          <w:rFonts w:ascii="Palatino Linotype" w:hAnsi="Palatino Linotype" w:cs="Arial"/>
          <w:i/>
          <w:sz w:val="22"/>
          <w:szCs w:val="22"/>
        </w:rPr>
        <w:t>VII. El recurrente amplíe su solicitud en el recurso de revisión, únicamente respecto de los nuevos contenidos.”</w:t>
      </w:r>
    </w:p>
    <w:p w14:paraId="2A4F29FE" w14:textId="77777777" w:rsidR="00860149" w:rsidRPr="00912A8D" w:rsidRDefault="00860149" w:rsidP="00AD78B6">
      <w:pPr>
        <w:autoSpaceDE w:val="0"/>
        <w:autoSpaceDN w:val="0"/>
        <w:adjustRightInd w:val="0"/>
        <w:spacing w:line="360" w:lineRule="auto"/>
        <w:ind w:left="708" w:right="850"/>
        <w:jc w:val="both"/>
        <w:rPr>
          <w:rFonts w:ascii="Palatino Linotype" w:hAnsi="Palatino Linotype" w:cs="Arial"/>
          <w:i/>
        </w:rPr>
      </w:pPr>
    </w:p>
    <w:p w14:paraId="3A0AB3C4"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79F2C69" w14:textId="77777777" w:rsidR="00860149" w:rsidRPr="00912A8D" w:rsidRDefault="00860149" w:rsidP="00AD78B6">
      <w:pPr>
        <w:autoSpaceDE w:val="0"/>
        <w:autoSpaceDN w:val="0"/>
        <w:adjustRightInd w:val="0"/>
        <w:spacing w:line="360" w:lineRule="auto"/>
        <w:jc w:val="both"/>
        <w:rPr>
          <w:rFonts w:ascii="Palatino Linotype" w:hAnsi="Palatino Linotype" w:cs="Arial"/>
        </w:rPr>
      </w:pPr>
    </w:p>
    <w:p w14:paraId="4077998D" w14:textId="77777777" w:rsidR="00860149" w:rsidRPr="00912A8D" w:rsidRDefault="00860149" w:rsidP="00AD78B6">
      <w:pPr>
        <w:autoSpaceDE w:val="0"/>
        <w:autoSpaceDN w:val="0"/>
        <w:adjustRightInd w:val="0"/>
        <w:spacing w:line="360" w:lineRule="auto"/>
        <w:jc w:val="both"/>
        <w:rPr>
          <w:rFonts w:ascii="Palatino Linotype" w:hAnsi="Palatino Linotype" w:cs="Arial"/>
        </w:rPr>
      </w:pPr>
      <w:r w:rsidRPr="00912A8D">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474A9528" w14:textId="77777777" w:rsidR="00860149" w:rsidRPr="00912A8D" w:rsidRDefault="00860149" w:rsidP="00AD78B6">
      <w:pPr>
        <w:autoSpaceDE w:val="0"/>
        <w:autoSpaceDN w:val="0"/>
        <w:adjustRightInd w:val="0"/>
        <w:spacing w:line="360" w:lineRule="auto"/>
        <w:jc w:val="both"/>
        <w:rPr>
          <w:rFonts w:ascii="Palatino Linotype" w:hAnsi="Palatino Linotype" w:cs="Arial"/>
        </w:rPr>
      </w:pPr>
    </w:p>
    <w:p w14:paraId="1348FEB1" w14:textId="77777777" w:rsidR="00860149" w:rsidRPr="00912A8D" w:rsidRDefault="00860149" w:rsidP="00AD78B6">
      <w:pPr>
        <w:autoSpaceDE w:val="0"/>
        <w:autoSpaceDN w:val="0"/>
        <w:adjustRightInd w:val="0"/>
        <w:spacing w:line="360" w:lineRule="auto"/>
        <w:jc w:val="both"/>
        <w:rPr>
          <w:rFonts w:ascii="Palatino Linotype" w:hAnsi="Palatino Linotype" w:cs="Arial"/>
          <w:sz w:val="28"/>
        </w:rPr>
      </w:pPr>
      <w:r w:rsidRPr="00912A8D">
        <w:rPr>
          <w:rFonts w:ascii="Palatino Linotype" w:hAnsi="Palatino Linotype" w:cs="Arial"/>
          <w:b/>
          <w:sz w:val="28"/>
        </w:rPr>
        <w:t>CUARTO. Del estudio y resolución del asunto.</w:t>
      </w:r>
      <w:r w:rsidRPr="00912A8D">
        <w:rPr>
          <w:rFonts w:ascii="Palatino Linotype" w:hAnsi="Palatino Linotype" w:cs="Arial"/>
          <w:sz w:val="28"/>
        </w:rPr>
        <w:t xml:space="preserve"> </w:t>
      </w:r>
    </w:p>
    <w:p w14:paraId="725F9A00"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w:t>
      </w:r>
      <w:r w:rsidRPr="00912A8D">
        <w:rPr>
          <w:rFonts w:ascii="Palatino Linotype" w:eastAsiaTheme="minorHAnsi" w:hAnsi="Palatino Linotype" w:cs="Arial"/>
          <w:lang w:val="es-MX" w:eastAsia="en-US"/>
        </w:rPr>
        <w:lastRenderedPageBreak/>
        <w:t>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8A3D9B3" w14:textId="77777777" w:rsidR="00860149" w:rsidRPr="00912A8D" w:rsidRDefault="00860149" w:rsidP="00AD78B6">
      <w:pPr>
        <w:autoSpaceDE w:val="0"/>
        <w:autoSpaceDN w:val="0"/>
        <w:adjustRightInd w:val="0"/>
        <w:spacing w:line="360" w:lineRule="auto"/>
        <w:jc w:val="both"/>
        <w:rPr>
          <w:rFonts w:ascii="Palatino Linotype" w:eastAsiaTheme="minorHAnsi" w:hAnsi="Palatino Linotype" w:cs="Arial"/>
          <w:lang w:val="es-MX" w:eastAsia="en-US"/>
        </w:rPr>
      </w:pPr>
    </w:p>
    <w:p w14:paraId="20E390DB" w14:textId="77777777" w:rsidR="00860149" w:rsidRPr="00912A8D" w:rsidRDefault="00860149" w:rsidP="00AD78B6">
      <w:p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12A8D">
        <w:rPr>
          <w:rFonts w:ascii="Palatino Linotype" w:eastAsiaTheme="minorHAnsi" w:hAnsi="Palatino Linotype" w:cstheme="minorBidi"/>
          <w:b/>
          <w:lang w:val="es-MX" w:eastAsia="es-MX"/>
        </w:rPr>
        <w:t xml:space="preserve"> </w:t>
      </w:r>
      <w:r w:rsidRPr="00912A8D">
        <w:rPr>
          <w:rFonts w:ascii="Palatino Linotype" w:eastAsiaTheme="minorHAnsi" w:hAnsi="Palatino Linotype" w:cstheme="minorBidi"/>
          <w:lang w:val="es-MX" w:eastAsia="es-MX"/>
        </w:rPr>
        <w:t>parte</w:t>
      </w:r>
      <w:r w:rsidRPr="00912A8D">
        <w:rPr>
          <w:rFonts w:ascii="Palatino Linotype" w:eastAsiaTheme="minorHAnsi" w:hAnsi="Palatino Linotype" w:cstheme="minorBidi"/>
          <w:b/>
          <w:lang w:val="es-MX" w:eastAsia="es-MX"/>
        </w:rPr>
        <w:t xml:space="preserve"> Recurrente</w:t>
      </w:r>
      <w:r w:rsidRPr="00912A8D">
        <w:rPr>
          <w:rFonts w:ascii="Palatino Linotype" w:eastAsiaTheme="minorHAnsi" w:hAnsi="Palatino Linotype" w:cstheme="minorBidi"/>
          <w:lang w:val="es-MX" w:eastAsia="es-MX"/>
        </w:rPr>
        <w:t>, para ello analizaremos lo solicitado y la información proporcionada.</w:t>
      </w:r>
    </w:p>
    <w:p w14:paraId="2BB9E8BE" w14:textId="77777777" w:rsidR="00E06148" w:rsidRPr="00912A8D" w:rsidRDefault="00E06148" w:rsidP="00AD78B6">
      <w:pPr>
        <w:spacing w:line="360" w:lineRule="auto"/>
        <w:jc w:val="both"/>
        <w:rPr>
          <w:rFonts w:ascii="Palatino Linotype" w:hAnsi="Palatino Linotype"/>
        </w:rPr>
      </w:pPr>
    </w:p>
    <w:p w14:paraId="16228848" w14:textId="77777777" w:rsidR="00860149" w:rsidRPr="00912A8D" w:rsidRDefault="00860149" w:rsidP="00AD78B6">
      <w:pPr>
        <w:spacing w:line="360" w:lineRule="auto"/>
        <w:jc w:val="both"/>
        <w:rPr>
          <w:rFonts w:ascii="Palatino Linotype" w:hAnsi="Palatino Linotype"/>
        </w:rPr>
      </w:pPr>
      <w:r w:rsidRPr="00912A8D">
        <w:rPr>
          <w:rFonts w:ascii="Palatino Linotype" w:hAnsi="Palatino Linotype"/>
        </w:rPr>
        <w:t xml:space="preserve">Con el propósito de resolver el presente medio de impugnación, es </w:t>
      </w:r>
      <w:r w:rsidR="00291E91" w:rsidRPr="00912A8D">
        <w:rPr>
          <w:rFonts w:ascii="Palatino Linotype" w:hAnsi="Palatino Linotype"/>
        </w:rPr>
        <w:t xml:space="preserve">conveniente recordar que </w:t>
      </w:r>
      <w:r w:rsidRPr="00912A8D">
        <w:rPr>
          <w:rFonts w:ascii="Palatino Linotype" w:hAnsi="Palatino Linotype"/>
        </w:rPr>
        <w:t>l</w:t>
      </w:r>
      <w:r w:rsidR="00291E91" w:rsidRPr="00912A8D">
        <w:rPr>
          <w:rFonts w:ascii="Palatino Linotype" w:hAnsi="Palatino Linotype"/>
        </w:rPr>
        <w:t>a</w:t>
      </w:r>
      <w:r w:rsidRPr="00912A8D">
        <w:rPr>
          <w:rFonts w:ascii="Palatino Linotype" w:hAnsi="Palatino Linotype"/>
        </w:rPr>
        <w:t xml:space="preserve"> Recurrente solicitó al Sujeto Obligado lo siguiente:</w:t>
      </w:r>
    </w:p>
    <w:p w14:paraId="45D30208" w14:textId="77777777" w:rsidR="00860149" w:rsidRPr="00912A8D" w:rsidRDefault="00860149" w:rsidP="00AD78B6">
      <w:pPr>
        <w:spacing w:line="360" w:lineRule="auto"/>
        <w:jc w:val="both"/>
        <w:rPr>
          <w:rFonts w:ascii="Palatino Linotype" w:hAnsi="Palatino Linotype"/>
        </w:rPr>
      </w:pPr>
    </w:p>
    <w:p w14:paraId="4B01B882" w14:textId="77777777" w:rsidR="00291E91" w:rsidRPr="00912A8D" w:rsidRDefault="00291E91" w:rsidP="00AD78B6">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Copia del acta de entrega detallada y completa del ex contralor del estado;</w:t>
      </w:r>
    </w:p>
    <w:p w14:paraId="1C1037A2" w14:textId="77777777" w:rsidR="00291E91" w:rsidRPr="00912A8D" w:rsidRDefault="00291E91" w:rsidP="00AD78B6">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Sanciones económicas impuestas en su gestión;</w:t>
      </w:r>
    </w:p>
    <w:p w14:paraId="3533049D" w14:textId="77777777" w:rsidR="00291E91" w:rsidRPr="00912A8D" w:rsidRDefault="00291E91" w:rsidP="00AD78B6">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Resultados concretos denuncias presentadas ante la FGJ de sus estado o en la FGR;</w:t>
      </w:r>
    </w:p>
    <w:p w14:paraId="0144CECF" w14:textId="77777777" w:rsidR="00291E91" w:rsidRPr="00912A8D" w:rsidRDefault="00291E91" w:rsidP="00AD78B6">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Resultado concreto de todos los asuntos que recibidos de la ASF y de la auditoría superior de sus estado, monto de las recuperaciones obtenidas por sus acciones de fiscalización; y</w:t>
      </w:r>
    </w:p>
    <w:p w14:paraId="47BE9186" w14:textId="77777777" w:rsidR="00860149" w:rsidRPr="00912A8D" w:rsidRDefault="00291E91" w:rsidP="00AD78B6">
      <w:pPr>
        <w:pStyle w:val="Prrafodelista"/>
        <w:numPr>
          <w:ilvl w:val="0"/>
          <w:numId w:val="14"/>
        </w:numPr>
        <w:spacing w:line="360" w:lineRule="auto"/>
        <w:ind w:right="141"/>
        <w:jc w:val="both"/>
        <w:rPr>
          <w:rFonts w:ascii="Palatino Linotype" w:eastAsiaTheme="minorHAnsi" w:hAnsi="Palatino Linotype" w:cstheme="minorBidi"/>
          <w:lang w:val="es-MX" w:eastAsia="es-MX"/>
        </w:rPr>
      </w:pPr>
      <w:r w:rsidRPr="00912A8D">
        <w:rPr>
          <w:rFonts w:ascii="Palatino Linotype" w:eastAsiaTheme="minorHAnsi" w:hAnsi="Palatino Linotype" w:cstheme="minorBidi"/>
          <w:lang w:val="es-MX" w:eastAsia="es-MX"/>
        </w:rPr>
        <w:t>Copia de todos los Informes enviados de los asuntos relevantes al ex gobernador.</w:t>
      </w:r>
      <w:r w:rsidR="00860149" w:rsidRPr="00912A8D">
        <w:rPr>
          <w:rFonts w:ascii="Palatino Linotype" w:eastAsiaTheme="minorHAnsi" w:hAnsi="Palatino Linotype" w:cstheme="minorBidi"/>
          <w:lang w:val="es-MX" w:eastAsia="es-MX"/>
        </w:rPr>
        <w:t xml:space="preserve"> </w:t>
      </w:r>
    </w:p>
    <w:p w14:paraId="74E18F9A" w14:textId="77777777" w:rsidR="00E06148" w:rsidRPr="00912A8D" w:rsidRDefault="00E06148" w:rsidP="00AD78B6">
      <w:pPr>
        <w:spacing w:line="360" w:lineRule="auto"/>
        <w:ind w:right="49"/>
        <w:jc w:val="both"/>
        <w:rPr>
          <w:rFonts w:ascii="Palatino Linotype" w:eastAsiaTheme="minorHAnsi" w:hAnsi="Palatino Linotype" w:cstheme="minorBidi"/>
          <w:lang w:val="es-MX" w:eastAsia="es-MX"/>
        </w:rPr>
      </w:pPr>
    </w:p>
    <w:p w14:paraId="0C4F0F05" w14:textId="77777777" w:rsidR="00860149" w:rsidRPr="00912A8D" w:rsidRDefault="00860149" w:rsidP="00AD78B6">
      <w:pPr>
        <w:spacing w:line="360" w:lineRule="auto"/>
        <w:ind w:right="49"/>
        <w:jc w:val="both"/>
        <w:rPr>
          <w:rFonts w:ascii="Palatino Linotype" w:hAnsi="Palatino Linotype" w:cs="Arial"/>
        </w:rPr>
      </w:pPr>
      <w:r w:rsidRPr="00912A8D">
        <w:rPr>
          <w:rFonts w:ascii="Palatino Linotype" w:eastAsiaTheme="minorHAnsi" w:hAnsi="Palatino Linotype" w:cstheme="minorBidi"/>
          <w:lang w:val="es-MX" w:eastAsia="es-MX"/>
        </w:rPr>
        <w:lastRenderedPageBreak/>
        <w:t xml:space="preserve">Atento a la solicitud de información </w:t>
      </w:r>
      <w:r w:rsidRPr="00912A8D">
        <w:rPr>
          <w:rFonts w:ascii="Palatino Linotype" w:eastAsiaTheme="minorHAnsi" w:hAnsi="Palatino Linotype" w:cstheme="minorBidi"/>
          <w:b/>
          <w:lang w:val="es-MX" w:eastAsia="es-MX"/>
        </w:rPr>
        <w:t>El Sujeto Obligado</w:t>
      </w:r>
      <w:r w:rsidRPr="00912A8D">
        <w:rPr>
          <w:rFonts w:ascii="Palatino Linotype" w:eastAsiaTheme="minorHAnsi" w:hAnsi="Palatino Linotype" w:cstheme="minorBidi"/>
          <w:lang w:val="es-MX" w:eastAsia="es-MX"/>
        </w:rPr>
        <w:t xml:space="preserve">, emitió su respuesta en donde </w:t>
      </w:r>
      <w:r w:rsidRPr="00912A8D">
        <w:rPr>
          <w:rFonts w:ascii="Palatino Linotype" w:hAnsi="Palatino Linotype" w:cs="Arial"/>
        </w:rPr>
        <w:t>se advierte lo siguiente:</w:t>
      </w:r>
    </w:p>
    <w:p w14:paraId="700E6D8C" w14:textId="77777777" w:rsidR="0091473A" w:rsidRPr="00912A8D" w:rsidRDefault="0091473A" w:rsidP="00AD78B6">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9"/>
        <w:gridCol w:w="4216"/>
        <w:gridCol w:w="1879"/>
      </w:tblGrid>
      <w:tr w:rsidR="00860149" w:rsidRPr="00912A8D" w14:paraId="78420093" w14:textId="77777777" w:rsidTr="00A86D51">
        <w:tc>
          <w:tcPr>
            <w:tcW w:w="2679" w:type="dxa"/>
            <w:shd w:val="clear" w:color="auto" w:fill="D9D9D9" w:themeFill="background1" w:themeFillShade="D9"/>
            <w:vAlign w:val="center"/>
          </w:tcPr>
          <w:p w14:paraId="748D76C3" w14:textId="77777777" w:rsidR="00860149" w:rsidRPr="00912A8D" w:rsidRDefault="00860149" w:rsidP="00AD78B6">
            <w:pPr>
              <w:spacing w:line="360" w:lineRule="auto"/>
              <w:ind w:right="49"/>
              <w:jc w:val="center"/>
              <w:rPr>
                <w:rFonts w:ascii="Palatino Linotype" w:eastAsiaTheme="minorHAnsi" w:hAnsi="Palatino Linotype" w:cstheme="minorBidi"/>
                <w:b/>
                <w:lang w:val="es-MX" w:eastAsia="es-MX"/>
              </w:rPr>
            </w:pPr>
            <w:r w:rsidRPr="00912A8D">
              <w:rPr>
                <w:rFonts w:ascii="Palatino Linotype" w:eastAsiaTheme="minorHAnsi" w:hAnsi="Palatino Linotype" w:cstheme="minorBidi"/>
                <w:b/>
                <w:lang w:val="es-MX" w:eastAsia="es-MX"/>
              </w:rPr>
              <w:t>Solicitud de Información</w:t>
            </w:r>
          </w:p>
        </w:tc>
        <w:tc>
          <w:tcPr>
            <w:tcW w:w="4216" w:type="dxa"/>
            <w:shd w:val="clear" w:color="auto" w:fill="D9D9D9" w:themeFill="background1" w:themeFillShade="D9"/>
            <w:vAlign w:val="center"/>
          </w:tcPr>
          <w:p w14:paraId="72120E0C" w14:textId="77777777" w:rsidR="00860149" w:rsidRPr="00912A8D" w:rsidRDefault="00860149" w:rsidP="00AD78B6">
            <w:pPr>
              <w:spacing w:line="360" w:lineRule="auto"/>
              <w:ind w:right="49"/>
              <w:jc w:val="center"/>
              <w:rPr>
                <w:rFonts w:ascii="Palatino Linotype" w:eastAsiaTheme="minorHAnsi" w:hAnsi="Palatino Linotype" w:cstheme="minorBidi"/>
                <w:b/>
                <w:lang w:val="es-MX" w:eastAsia="es-MX"/>
              </w:rPr>
            </w:pPr>
            <w:r w:rsidRPr="00912A8D">
              <w:rPr>
                <w:rFonts w:ascii="Palatino Linotype" w:eastAsiaTheme="minorHAnsi" w:hAnsi="Palatino Linotype" w:cstheme="minorBidi"/>
                <w:b/>
                <w:lang w:val="es-MX" w:eastAsia="es-MX"/>
              </w:rPr>
              <w:t>Respuesta</w:t>
            </w:r>
          </w:p>
        </w:tc>
        <w:tc>
          <w:tcPr>
            <w:tcW w:w="1879" w:type="dxa"/>
            <w:shd w:val="clear" w:color="auto" w:fill="D9D9D9" w:themeFill="background1" w:themeFillShade="D9"/>
            <w:vAlign w:val="center"/>
          </w:tcPr>
          <w:p w14:paraId="39B1E243" w14:textId="77777777" w:rsidR="00860149" w:rsidRPr="00912A8D" w:rsidRDefault="00860149" w:rsidP="00AD78B6">
            <w:pPr>
              <w:spacing w:line="360" w:lineRule="auto"/>
              <w:ind w:right="49"/>
              <w:jc w:val="center"/>
              <w:rPr>
                <w:rFonts w:ascii="Palatino Linotype" w:eastAsiaTheme="minorHAnsi" w:hAnsi="Palatino Linotype" w:cstheme="minorBidi"/>
                <w:b/>
                <w:lang w:val="es-MX" w:eastAsia="es-MX"/>
              </w:rPr>
            </w:pPr>
            <w:r w:rsidRPr="00912A8D">
              <w:rPr>
                <w:rFonts w:ascii="Palatino Linotype" w:eastAsiaTheme="minorHAnsi" w:hAnsi="Palatino Linotype" w:cstheme="minorBidi"/>
                <w:b/>
                <w:lang w:val="es-MX" w:eastAsia="es-MX"/>
              </w:rPr>
              <w:t>Cumplimiento</w:t>
            </w:r>
          </w:p>
        </w:tc>
      </w:tr>
      <w:tr w:rsidR="00860149" w:rsidRPr="00912A8D" w14:paraId="7355AA45" w14:textId="77777777" w:rsidTr="00A86D51">
        <w:trPr>
          <w:trHeight w:val="4779"/>
        </w:trPr>
        <w:tc>
          <w:tcPr>
            <w:tcW w:w="2679" w:type="dxa"/>
            <w:vAlign w:val="center"/>
          </w:tcPr>
          <w:p w14:paraId="171CF83F" w14:textId="77777777" w:rsidR="00526DF0" w:rsidRPr="00912A8D" w:rsidRDefault="00526DF0" w:rsidP="00AD78B6">
            <w:pPr>
              <w:spacing w:line="276" w:lineRule="auto"/>
              <w:ind w:right="49"/>
              <w:jc w:val="both"/>
              <w:rPr>
                <w:rFonts w:ascii="Palatino Linotype" w:eastAsiaTheme="minorHAnsi" w:hAnsi="Palatino Linotype" w:cstheme="minorBidi"/>
                <w:sz w:val="20"/>
                <w:szCs w:val="20"/>
                <w:lang w:val="es-MX" w:eastAsia="es-MX"/>
              </w:rPr>
            </w:pPr>
            <w:r w:rsidRPr="00912A8D">
              <w:rPr>
                <w:rFonts w:ascii="Palatino Linotype" w:eastAsiaTheme="minorHAnsi" w:hAnsi="Palatino Linotype" w:cstheme="minorBidi"/>
                <w:sz w:val="20"/>
                <w:szCs w:val="20"/>
                <w:lang w:val="es-MX" w:eastAsia="es-MX"/>
              </w:rPr>
              <w:t xml:space="preserve">1. Copia del acta de entrega detallada y completa del ex </w:t>
            </w:r>
            <w:r w:rsidR="00A86D51" w:rsidRPr="00912A8D">
              <w:rPr>
                <w:rFonts w:ascii="Palatino Linotype" w:eastAsiaTheme="minorHAnsi" w:hAnsi="Palatino Linotype" w:cstheme="minorBidi"/>
                <w:sz w:val="20"/>
                <w:szCs w:val="20"/>
                <w:lang w:val="es-MX" w:eastAsia="es-MX"/>
              </w:rPr>
              <w:t>contralor del estado.</w:t>
            </w:r>
          </w:p>
          <w:p w14:paraId="4D6C51A4" w14:textId="77777777" w:rsidR="00860149" w:rsidRPr="00912A8D" w:rsidRDefault="00860149" w:rsidP="00AD78B6">
            <w:pPr>
              <w:spacing w:line="276" w:lineRule="auto"/>
              <w:ind w:right="49"/>
              <w:jc w:val="both"/>
              <w:rPr>
                <w:rFonts w:ascii="Palatino Linotype" w:eastAsiaTheme="minorHAnsi" w:hAnsi="Palatino Linotype" w:cstheme="minorBidi"/>
                <w:sz w:val="20"/>
                <w:szCs w:val="20"/>
                <w:lang w:val="es-MX" w:eastAsia="es-MX"/>
              </w:rPr>
            </w:pPr>
          </w:p>
        </w:tc>
        <w:tc>
          <w:tcPr>
            <w:tcW w:w="4216" w:type="dxa"/>
            <w:vAlign w:val="center"/>
          </w:tcPr>
          <w:p w14:paraId="4F84E8BA" w14:textId="77777777" w:rsidR="00860149" w:rsidRPr="00912A8D" w:rsidRDefault="00860149"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Mediante archivo electrónico denominado “</w:t>
            </w:r>
            <w:r w:rsidR="00526DF0" w:rsidRPr="00912A8D">
              <w:rPr>
                <w:rFonts w:ascii="Palatino Linotype" w:eastAsiaTheme="minorHAnsi" w:hAnsi="Palatino Linotype" w:cstheme="minorBidi"/>
                <w:b/>
                <w:i/>
                <w:sz w:val="20"/>
                <w:szCs w:val="22"/>
                <w:lang w:val="es-MX" w:eastAsia="es-MX"/>
              </w:rPr>
              <w:t>OFICIO DE RESPUESTA SPH 312.pdf</w:t>
            </w:r>
            <w:r w:rsidRPr="00912A8D">
              <w:rPr>
                <w:rFonts w:ascii="Palatino Linotype" w:eastAsiaTheme="minorHAnsi" w:hAnsi="Palatino Linotype" w:cstheme="minorBidi"/>
                <w:b/>
                <w:i/>
                <w:sz w:val="20"/>
                <w:szCs w:val="22"/>
                <w:lang w:val="es-MX" w:eastAsia="es-MX"/>
              </w:rPr>
              <w:t>”</w:t>
            </w:r>
            <w:r w:rsidRPr="00912A8D">
              <w:rPr>
                <w:rFonts w:ascii="Palatino Linotype" w:eastAsiaTheme="minorHAnsi" w:hAnsi="Palatino Linotype" w:cstheme="minorBidi"/>
                <w:sz w:val="20"/>
                <w:szCs w:val="22"/>
                <w:lang w:val="es-MX" w:eastAsia="es-MX"/>
              </w:rPr>
              <w:t xml:space="preserve"> </w:t>
            </w:r>
            <w:r w:rsidRPr="00912A8D">
              <w:rPr>
                <w:rFonts w:ascii="Palatino Linotype" w:eastAsiaTheme="minorHAnsi" w:hAnsi="Palatino Linotype" w:cstheme="minorBidi"/>
                <w:b/>
                <w:sz w:val="20"/>
                <w:szCs w:val="22"/>
                <w:lang w:val="es-MX" w:eastAsia="es-MX"/>
              </w:rPr>
              <w:t>l</w:t>
            </w:r>
            <w:r w:rsidR="00526DF0" w:rsidRPr="00912A8D">
              <w:rPr>
                <w:rFonts w:ascii="Palatino Linotype" w:eastAsiaTheme="minorHAnsi" w:hAnsi="Palatino Linotype" w:cstheme="minorBidi"/>
                <w:b/>
                <w:sz w:val="20"/>
                <w:szCs w:val="22"/>
                <w:lang w:val="es-MX" w:eastAsia="es-MX"/>
              </w:rPr>
              <w:t>a</w:t>
            </w:r>
            <w:r w:rsidRPr="00912A8D">
              <w:rPr>
                <w:rFonts w:ascii="Palatino Linotype" w:eastAsiaTheme="minorHAnsi" w:hAnsi="Palatino Linotype" w:cstheme="minorBidi"/>
                <w:b/>
                <w:sz w:val="20"/>
                <w:szCs w:val="22"/>
                <w:lang w:val="es-MX" w:eastAsia="es-MX"/>
              </w:rPr>
              <w:t xml:space="preserve"> Titular del </w:t>
            </w:r>
            <w:r w:rsidR="00711D03" w:rsidRPr="00912A8D">
              <w:rPr>
                <w:rFonts w:ascii="Palatino Linotype" w:eastAsiaTheme="minorHAnsi" w:hAnsi="Palatino Linotype" w:cstheme="minorBidi"/>
                <w:b/>
                <w:sz w:val="20"/>
                <w:szCs w:val="22"/>
                <w:lang w:val="es-MX" w:eastAsia="es-MX"/>
              </w:rPr>
              <w:t>Órgano de Control Interno</w:t>
            </w:r>
            <w:r w:rsidRPr="00912A8D">
              <w:rPr>
                <w:rFonts w:ascii="Palatino Linotype" w:eastAsiaTheme="minorHAnsi" w:hAnsi="Palatino Linotype" w:cstheme="minorBidi"/>
                <w:sz w:val="20"/>
                <w:szCs w:val="22"/>
                <w:lang w:val="es-MX" w:eastAsia="es-MX"/>
              </w:rPr>
              <w:t xml:space="preserve">, </w:t>
            </w:r>
            <w:r w:rsidR="00711D03" w:rsidRPr="00912A8D">
              <w:rPr>
                <w:rFonts w:ascii="Palatino Linotype" w:eastAsiaTheme="minorHAnsi" w:hAnsi="Palatino Linotype" w:cstheme="minorBidi"/>
                <w:sz w:val="20"/>
                <w:szCs w:val="22"/>
                <w:lang w:val="es-MX" w:eastAsia="es-MX"/>
              </w:rPr>
              <w:t>remitió copia testada del Acta de Entrega y Recepción del ex Secretario de la Contraloría del Gobierno del Estado de México, la cual contiene 21 apartados, de fecha dieciséis de septiembre de dos mil veintitrés, de los cuales manifestó la Titular del Órgano Interno de Control, no se advierte que alguno de los apartados que integran el Acta referida contenga el tipo de información requerida por el peticionario.</w:t>
            </w:r>
          </w:p>
          <w:p w14:paraId="38E113D8" w14:textId="77777777" w:rsidR="00711D03" w:rsidRPr="00912A8D" w:rsidRDefault="00711D03" w:rsidP="00AD78B6">
            <w:pPr>
              <w:spacing w:line="276" w:lineRule="auto"/>
              <w:jc w:val="both"/>
              <w:rPr>
                <w:rFonts w:ascii="Palatino Linotype" w:eastAsiaTheme="minorHAnsi" w:hAnsi="Palatino Linotype" w:cstheme="minorBidi"/>
                <w:sz w:val="20"/>
                <w:szCs w:val="22"/>
                <w:lang w:val="es-MX" w:eastAsia="es-MX"/>
              </w:rPr>
            </w:pPr>
          </w:p>
          <w:p w14:paraId="2DC30B01" w14:textId="77777777" w:rsidR="00711D03" w:rsidRPr="00912A8D" w:rsidRDefault="00711D03"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Acta Décima Sexta Sesión Extraordinaria del Comité de Transparencia, de fe</w:t>
            </w:r>
            <w:r w:rsidR="0067187B" w:rsidRPr="00912A8D">
              <w:rPr>
                <w:rFonts w:ascii="Palatino Linotype" w:eastAsiaTheme="minorHAnsi" w:hAnsi="Palatino Linotype" w:cstheme="minorBidi"/>
                <w:sz w:val="20"/>
                <w:szCs w:val="22"/>
                <w:lang w:val="es-MX" w:eastAsia="es-MX"/>
              </w:rPr>
              <w:t>c</w:t>
            </w:r>
            <w:r w:rsidRPr="00912A8D">
              <w:rPr>
                <w:rFonts w:ascii="Palatino Linotype" w:eastAsiaTheme="minorHAnsi" w:hAnsi="Palatino Linotype" w:cstheme="minorBidi"/>
                <w:sz w:val="20"/>
                <w:szCs w:val="22"/>
                <w:lang w:val="es-MX" w:eastAsia="es-MX"/>
              </w:rPr>
              <w:t>ha veintinueve de septiembre de dos mil veintitrés, a través del cual se aprobó la clasificación parcial de la información como Confidencial</w:t>
            </w:r>
            <w:r w:rsidR="0067187B" w:rsidRPr="00912A8D">
              <w:rPr>
                <w:rFonts w:ascii="Palatino Linotype" w:eastAsiaTheme="minorHAnsi" w:hAnsi="Palatino Linotype" w:cstheme="minorBidi"/>
                <w:sz w:val="20"/>
                <w:szCs w:val="22"/>
                <w:lang w:val="es-MX" w:eastAsia="es-MX"/>
              </w:rPr>
              <w:t xml:space="preserve"> y la versión pública del Acta de Entrega y Recepción del Ex Secretario de la Contraloría del Gobierno del Estado de México.</w:t>
            </w:r>
          </w:p>
          <w:p w14:paraId="2E89EE6B" w14:textId="77777777" w:rsidR="00680CF4" w:rsidRPr="00912A8D" w:rsidRDefault="00680CF4" w:rsidP="00AD78B6">
            <w:pPr>
              <w:spacing w:line="276" w:lineRule="auto"/>
              <w:jc w:val="both"/>
              <w:rPr>
                <w:rFonts w:ascii="Palatino Linotype" w:eastAsiaTheme="minorHAnsi" w:hAnsi="Palatino Linotype" w:cstheme="minorBidi"/>
                <w:sz w:val="20"/>
                <w:szCs w:val="22"/>
                <w:lang w:val="es-MX" w:eastAsia="es-MX"/>
              </w:rPr>
            </w:pPr>
          </w:p>
          <w:p w14:paraId="7C8C5C87" w14:textId="77777777" w:rsidR="00860149" w:rsidRPr="00912A8D" w:rsidRDefault="00680CF4" w:rsidP="00AD78B6">
            <w:pPr>
              <w:spacing w:line="276" w:lineRule="auto"/>
              <w:jc w:val="both"/>
              <w:rPr>
                <w:rFonts w:ascii="Palatino Linotype" w:eastAsiaTheme="minorHAnsi" w:hAnsi="Palatino Linotype" w:cstheme="minorBidi"/>
                <w:sz w:val="22"/>
                <w:szCs w:val="22"/>
                <w:lang w:val="es-MX" w:eastAsia="es-MX"/>
              </w:rPr>
            </w:pPr>
            <w:r w:rsidRPr="00912A8D">
              <w:rPr>
                <w:rFonts w:ascii="Palatino Linotype" w:eastAsiaTheme="minorHAnsi" w:hAnsi="Palatino Linotype" w:cstheme="minorBidi"/>
                <w:sz w:val="20"/>
                <w:szCs w:val="22"/>
                <w:lang w:val="es-MX" w:eastAsia="es-MX"/>
              </w:rPr>
              <w:t>Oficio de fecha veintinueve de septiembre de dos mil veintitrés, a través del cual el Jefe de la Unidad de Prevención de la Corrupción y Responsable de la Unidad de Transparencia de la Secretaría de Contraloría, remitió al solicitante la información emitida por el servidor público habilitado.</w:t>
            </w:r>
          </w:p>
        </w:tc>
        <w:tc>
          <w:tcPr>
            <w:tcW w:w="1879" w:type="dxa"/>
            <w:vAlign w:val="center"/>
          </w:tcPr>
          <w:p w14:paraId="2FC6A932" w14:textId="77777777" w:rsidR="00860149" w:rsidRPr="00912A8D" w:rsidRDefault="00A86D51" w:rsidP="00AD78B6">
            <w:pPr>
              <w:spacing w:line="360" w:lineRule="auto"/>
              <w:ind w:right="49"/>
              <w:jc w:val="center"/>
              <w:rPr>
                <w:rFonts w:ascii="Palatino Linotype" w:eastAsiaTheme="minorHAnsi" w:hAnsi="Palatino Linotype" w:cstheme="minorBidi"/>
                <w:b/>
                <w:i/>
                <w:lang w:val="es-MX" w:eastAsia="es-MX"/>
              </w:rPr>
            </w:pPr>
            <w:r w:rsidRPr="00912A8D">
              <w:rPr>
                <w:rFonts w:ascii="Palatino Linotype" w:eastAsiaTheme="minorHAnsi" w:hAnsi="Palatino Linotype" w:cstheme="minorBidi"/>
                <w:b/>
                <w:i/>
                <w:lang w:val="es-MX" w:eastAsia="es-MX"/>
              </w:rPr>
              <w:t>Si</w:t>
            </w:r>
          </w:p>
        </w:tc>
      </w:tr>
      <w:tr w:rsidR="00B40913" w:rsidRPr="00912A8D" w14:paraId="58101098" w14:textId="77777777" w:rsidTr="00A86D51">
        <w:trPr>
          <w:trHeight w:val="1387"/>
        </w:trPr>
        <w:tc>
          <w:tcPr>
            <w:tcW w:w="2679" w:type="dxa"/>
            <w:vAlign w:val="center"/>
          </w:tcPr>
          <w:p w14:paraId="3872015E" w14:textId="77777777" w:rsidR="00B40913" w:rsidRPr="00912A8D" w:rsidRDefault="00B40913" w:rsidP="00AD78B6">
            <w:pPr>
              <w:spacing w:line="276" w:lineRule="auto"/>
              <w:ind w:right="49"/>
              <w:jc w:val="both"/>
              <w:rPr>
                <w:rFonts w:ascii="Palatino Linotype" w:eastAsiaTheme="minorHAnsi" w:hAnsi="Palatino Linotype" w:cstheme="minorBidi"/>
                <w:sz w:val="20"/>
                <w:szCs w:val="20"/>
                <w:lang w:val="es-MX" w:eastAsia="es-MX"/>
              </w:rPr>
            </w:pPr>
            <w:r w:rsidRPr="00912A8D">
              <w:rPr>
                <w:rFonts w:ascii="Palatino Linotype" w:eastAsiaTheme="minorHAnsi" w:hAnsi="Palatino Linotype" w:cstheme="minorBidi"/>
                <w:sz w:val="20"/>
                <w:szCs w:val="20"/>
                <w:lang w:val="es-MX" w:eastAsia="es-MX"/>
              </w:rPr>
              <w:lastRenderedPageBreak/>
              <w:t xml:space="preserve"> 2. Sanciones económicas impuestas en su gestión.</w:t>
            </w:r>
          </w:p>
        </w:tc>
        <w:tc>
          <w:tcPr>
            <w:tcW w:w="4216" w:type="dxa"/>
            <w:vAlign w:val="center"/>
          </w:tcPr>
          <w:p w14:paraId="08AB46FF" w14:textId="77777777" w:rsidR="00B40913" w:rsidRPr="00912A8D" w:rsidRDefault="00B40913"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El Sujeto Obligado no se pronunció al respecto.</w:t>
            </w:r>
          </w:p>
        </w:tc>
        <w:tc>
          <w:tcPr>
            <w:tcW w:w="1879" w:type="dxa"/>
            <w:vMerge w:val="restart"/>
            <w:vAlign w:val="center"/>
          </w:tcPr>
          <w:p w14:paraId="2DCF61EE"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p w14:paraId="07ECB145"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p w14:paraId="1E595453"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p w14:paraId="6404A6BA"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r w:rsidRPr="00912A8D">
              <w:rPr>
                <w:rFonts w:ascii="Palatino Linotype" w:eastAsiaTheme="minorHAnsi" w:hAnsi="Palatino Linotype" w:cstheme="minorBidi"/>
                <w:b/>
                <w:i/>
                <w:lang w:val="es-MX" w:eastAsia="es-MX"/>
              </w:rPr>
              <w:t>No</w:t>
            </w:r>
          </w:p>
          <w:p w14:paraId="217D1EB7"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tc>
      </w:tr>
      <w:tr w:rsidR="00B40913" w:rsidRPr="00912A8D" w14:paraId="562914FC" w14:textId="77777777" w:rsidTr="00A86D51">
        <w:trPr>
          <w:trHeight w:val="1387"/>
        </w:trPr>
        <w:tc>
          <w:tcPr>
            <w:tcW w:w="2679" w:type="dxa"/>
            <w:vAlign w:val="center"/>
          </w:tcPr>
          <w:p w14:paraId="7B59874F" w14:textId="77777777" w:rsidR="00B40913" w:rsidRPr="00912A8D" w:rsidRDefault="00B40913" w:rsidP="00AD78B6">
            <w:pPr>
              <w:spacing w:line="276" w:lineRule="auto"/>
              <w:ind w:right="49"/>
              <w:jc w:val="both"/>
              <w:rPr>
                <w:rFonts w:ascii="Palatino Linotype" w:eastAsiaTheme="minorHAnsi" w:hAnsi="Palatino Linotype" w:cstheme="minorBidi"/>
                <w:sz w:val="20"/>
                <w:szCs w:val="20"/>
                <w:lang w:val="es-MX" w:eastAsia="es-MX"/>
              </w:rPr>
            </w:pPr>
            <w:r w:rsidRPr="00912A8D">
              <w:rPr>
                <w:rFonts w:ascii="Palatino Linotype" w:eastAsiaTheme="minorHAnsi" w:hAnsi="Palatino Linotype" w:cstheme="minorBidi"/>
                <w:sz w:val="20"/>
                <w:szCs w:val="20"/>
                <w:lang w:val="es-MX" w:eastAsia="es-MX"/>
              </w:rPr>
              <w:t>3. Resultados concretos denuncias presentadas ante la FGJ de su estado o en la FGR.</w:t>
            </w:r>
          </w:p>
        </w:tc>
        <w:tc>
          <w:tcPr>
            <w:tcW w:w="4216" w:type="dxa"/>
            <w:vAlign w:val="center"/>
          </w:tcPr>
          <w:p w14:paraId="34A8D7B6" w14:textId="77777777" w:rsidR="00B40913" w:rsidRPr="00912A8D" w:rsidRDefault="00B40913"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El Sujeto Obligado no se pronunció al respecto.</w:t>
            </w:r>
          </w:p>
        </w:tc>
        <w:tc>
          <w:tcPr>
            <w:tcW w:w="1879" w:type="dxa"/>
            <w:vMerge/>
            <w:vAlign w:val="center"/>
          </w:tcPr>
          <w:p w14:paraId="4C683E41"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tc>
      </w:tr>
      <w:tr w:rsidR="00B40913" w:rsidRPr="00912A8D" w14:paraId="5E40012B" w14:textId="77777777" w:rsidTr="00A86D51">
        <w:trPr>
          <w:trHeight w:val="1387"/>
        </w:trPr>
        <w:tc>
          <w:tcPr>
            <w:tcW w:w="2679" w:type="dxa"/>
            <w:vAlign w:val="center"/>
          </w:tcPr>
          <w:p w14:paraId="0116EB6E" w14:textId="77777777" w:rsidR="00B40913" w:rsidRPr="00912A8D" w:rsidRDefault="00B40913" w:rsidP="00AD78B6">
            <w:pPr>
              <w:spacing w:line="276" w:lineRule="auto"/>
              <w:ind w:right="49"/>
              <w:jc w:val="both"/>
              <w:rPr>
                <w:rFonts w:ascii="Palatino Linotype" w:eastAsiaTheme="minorHAnsi" w:hAnsi="Palatino Linotype" w:cstheme="minorBidi"/>
                <w:sz w:val="20"/>
                <w:szCs w:val="20"/>
                <w:lang w:val="es-MX" w:eastAsia="es-MX"/>
              </w:rPr>
            </w:pPr>
            <w:r w:rsidRPr="00912A8D">
              <w:rPr>
                <w:rFonts w:ascii="Palatino Linotype" w:eastAsiaTheme="minorHAnsi" w:hAnsi="Palatino Linotype" w:cstheme="minorBidi"/>
                <w:sz w:val="20"/>
                <w:szCs w:val="20"/>
                <w:lang w:val="es-MX" w:eastAsia="es-MX"/>
              </w:rPr>
              <w:t>4.</w:t>
            </w:r>
            <w:r w:rsidRPr="00912A8D">
              <w:rPr>
                <w:rFonts w:ascii="Palatino Linotype" w:eastAsiaTheme="minorHAnsi" w:hAnsi="Palatino Linotype" w:cstheme="minorBidi"/>
                <w:sz w:val="20"/>
                <w:szCs w:val="20"/>
                <w:lang w:val="es-MX" w:eastAsia="es-MX"/>
              </w:rPr>
              <w:tab/>
              <w:t>Resultado concreto de todos los asuntos que recibidos de la ASF y de la auditoría superior de sus estado, monto de las recuperaciones obtenidas por sus acciones de fiscalización;</w:t>
            </w:r>
          </w:p>
        </w:tc>
        <w:tc>
          <w:tcPr>
            <w:tcW w:w="4216" w:type="dxa"/>
            <w:vAlign w:val="center"/>
          </w:tcPr>
          <w:p w14:paraId="6752934E" w14:textId="77777777" w:rsidR="00B40913" w:rsidRPr="00912A8D" w:rsidRDefault="00B40913"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El Sujeto Obligado no se pronunció al respecto.</w:t>
            </w:r>
          </w:p>
        </w:tc>
        <w:tc>
          <w:tcPr>
            <w:tcW w:w="1879" w:type="dxa"/>
            <w:vMerge/>
            <w:vAlign w:val="center"/>
          </w:tcPr>
          <w:p w14:paraId="65EA07F4"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tc>
      </w:tr>
      <w:tr w:rsidR="00B40913" w:rsidRPr="00912A8D" w14:paraId="4D3372AE" w14:textId="77777777" w:rsidTr="00A86D51">
        <w:trPr>
          <w:trHeight w:val="1387"/>
        </w:trPr>
        <w:tc>
          <w:tcPr>
            <w:tcW w:w="2679" w:type="dxa"/>
            <w:vAlign w:val="center"/>
          </w:tcPr>
          <w:p w14:paraId="5879AD2E" w14:textId="77777777" w:rsidR="00B40913" w:rsidRPr="00912A8D" w:rsidRDefault="00B40913" w:rsidP="00AD78B6">
            <w:pPr>
              <w:spacing w:line="276" w:lineRule="auto"/>
              <w:ind w:right="49"/>
              <w:jc w:val="both"/>
              <w:rPr>
                <w:rFonts w:ascii="Palatino Linotype" w:eastAsiaTheme="minorHAnsi" w:hAnsi="Palatino Linotype" w:cstheme="minorBidi"/>
                <w:sz w:val="20"/>
                <w:szCs w:val="20"/>
                <w:lang w:val="es-MX" w:eastAsia="es-MX"/>
              </w:rPr>
            </w:pPr>
            <w:r w:rsidRPr="00912A8D">
              <w:rPr>
                <w:rFonts w:ascii="Palatino Linotype" w:eastAsiaTheme="minorHAnsi" w:hAnsi="Palatino Linotype" w:cstheme="minorBidi"/>
                <w:sz w:val="20"/>
                <w:szCs w:val="20"/>
                <w:lang w:val="es-MX" w:eastAsia="es-MX"/>
              </w:rPr>
              <w:t>5.</w:t>
            </w:r>
            <w:r w:rsidRPr="00912A8D">
              <w:rPr>
                <w:rFonts w:ascii="Palatino Linotype" w:eastAsiaTheme="minorHAnsi" w:hAnsi="Palatino Linotype" w:cstheme="minorBidi"/>
                <w:sz w:val="20"/>
                <w:szCs w:val="20"/>
                <w:lang w:val="es-MX" w:eastAsia="es-MX"/>
              </w:rPr>
              <w:tab/>
              <w:t>Copia de todos los Informes enviados de los asuntos relevantes al ex gobernador.</w:t>
            </w:r>
          </w:p>
        </w:tc>
        <w:tc>
          <w:tcPr>
            <w:tcW w:w="4216" w:type="dxa"/>
            <w:vAlign w:val="center"/>
          </w:tcPr>
          <w:p w14:paraId="4EF5A064" w14:textId="77777777" w:rsidR="00B40913" w:rsidRPr="00912A8D" w:rsidRDefault="00B40913" w:rsidP="00AD78B6">
            <w:pPr>
              <w:spacing w:line="276" w:lineRule="auto"/>
              <w:jc w:val="both"/>
              <w:rPr>
                <w:rFonts w:ascii="Palatino Linotype" w:eastAsiaTheme="minorHAnsi" w:hAnsi="Palatino Linotype" w:cstheme="minorBidi"/>
                <w:sz w:val="20"/>
                <w:szCs w:val="22"/>
                <w:lang w:val="es-MX" w:eastAsia="es-MX"/>
              </w:rPr>
            </w:pPr>
            <w:r w:rsidRPr="00912A8D">
              <w:rPr>
                <w:rFonts w:ascii="Palatino Linotype" w:eastAsiaTheme="minorHAnsi" w:hAnsi="Palatino Linotype" w:cstheme="minorBidi"/>
                <w:sz w:val="20"/>
                <w:szCs w:val="22"/>
                <w:lang w:val="es-MX" w:eastAsia="es-MX"/>
              </w:rPr>
              <w:t>El Sujeto Obligado no se pronunció al respecto.</w:t>
            </w:r>
          </w:p>
        </w:tc>
        <w:tc>
          <w:tcPr>
            <w:tcW w:w="1879" w:type="dxa"/>
            <w:vMerge/>
            <w:vAlign w:val="center"/>
          </w:tcPr>
          <w:p w14:paraId="4016FEA2" w14:textId="77777777" w:rsidR="00B40913" w:rsidRPr="00912A8D" w:rsidRDefault="00B40913" w:rsidP="00AD78B6">
            <w:pPr>
              <w:spacing w:line="360" w:lineRule="auto"/>
              <w:ind w:right="49"/>
              <w:jc w:val="center"/>
              <w:rPr>
                <w:rFonts w:ascii="Palatino Linotype" w:eastAsiaTheme="minorHAnsi" w:hAnsi="Palatino Linotype" w:cstheme="minorBidi"/>
                <w:b/>
                <w:i/>
                <w:lang w:val="es-MX" w:eastAsia="es-MX"/>
              </w:rPr>
            </w:pPr>
          </w:p>
        </w:tc>
      </w:tr>
    </w:tbl>
    <w:p w14:paraId="49C35148" w14:textId="77777777" w:rsidR="00860149" w:rsidRPr="00912A8D" w:rsidRDefault="00860149" w:rsidP="00AD78B6">
      <w:pPr>
        <w:shd w:val="clear" w:color="auto" w:fill="FFFFFF"/>
        <w:spacing w:line="360" w:lineRule="auto"/>
        <w:jc w:val="both"/>
        <w:rPr>
          <w:rFonts w:ascii="Palatino Linotype" w:hAnsi="Palatino Linotype"/>
          <w:color w:val="222222"/>
        </w:rPr>
      </w:pPr>
    </w:p>
    <w:p w14:paraId="6512095A" w14:textId="77777777" w:rsidR="00860149" w:rsidRPr="00912A8D" w:rsidRDefault="00860149" w:rsidP="00AD78B6">
      <w:pPr>
        <w:shd w:val="clear" w:color="auto" w:fill="FFFFFF"/>
        <w:spacing w:line="360" w:lineRule="auto"/>
        <w:jc w:val="both"/>
        <w:rPr>
          <w:rFonts w:ascii="Palatino Linotype" w:hAnsi="Palatino Linotype"/>
          <w:color w:val="222222"/>
        </w:rPr>
      </w:pPr>
      <w:r w:rsidRPr="00912A8D">
        <w:rPr>
          <w:rFonts w:ascii="Palatino Linotype" w:hAnsi="Palatino Linotype"/>
          <w:color w:val="222222"/>
        </w:rPr>
        <w:t>En este sentido, debe dejarse claro que al haber existido un pronunciamiento por parte del </w:t>
      </w:r>
      <w:r w:rsidRPr="00912A8D">
        <w:rPr>
          <w:rFonts w:ascii="Palatino Linotype" w:hAnsi="Palatino Linotype"/>
          <w:b/>
          <w:bCs/>
          <w:color w:val="222222"/>
        </w:rPr>
        <w:t>Sujeto Obligado</w:t>
      </w:r>
      <w:r w:rsidRPr="00912A8D">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7FFDA57F" w14:textId="77777777" w:rsidR="00860149" w:rsidRPr="00912A8D" w:rsidRDefault="00860149" w:rsidP="00AD78B6">
      <w:pPr>
        <w:shd w:val="clear" w:color="auto" w:fill="FFFFFF"/>
        <w:spacing w:line="360" w:lineRule="auto"/>
        <w:jc w:val="both"/>
        <w:rPr>
          <w:rFonts w:ascii="Palatino Linotype" w:hAnsi="Palatino Linotype"/>
          <w:color w:val="222222"/>
        </w:rPr>
      </w:pPr>
    </w:p>
    <w:p w14:paraId="40C2F73E" w14:textId="77777777" w:rsidR="00860149" w:rsidRPr="00912A8D" w:rsidRDefault="00860149" w:rsidP="00AD78B6">
      <w:pPr>
        <w:shd w:val="clear" w:color="auto" w:fill="FFFFFF"/>
        <w:spacing w:line="360" w:lineRule="auto"/>
        <w:ind w:left="567" w:right="567"/>
        <w:jc w:val="both"/>
        <w:rPr>
          <w:color w:val="222222"/>
          <w:sz w:val="22"/>
        </w:rPr>
      </w:pPr>
      <w:r w:rsidRPr="00912A8D">
        <w:rPr>
          <w:rFonts w:ascii="Palatino Linotype" w:hAnsi="Palatino Linotype"/>
          <w:i/>
          <w:iCs/>
          <w:color w:val="222222"/>
          <w:sz w:val="22"/>
        </w:rPr>
        <w:t>“</w:t>
      </w:r>
      <w:r w:rsidRPr="00912A8D">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912A8D">
        <w:rPr>
          <w:rFonts w:ascii="Palatino Linotype" w:hAnsi="Palatino Linotype"/>
          <w:i/>
          <w:iCs/>
          <w:color w:val="222222"/>
          <w:sz w:val="22"/>
        </w:rPr>
        <w:t xml:space="preserve"> El Instituto Federal de Acceso a la Información y Protección de Datos es un órgano de la Administración Pública Federal con </w:t>
      </w:r>
      <w:r w:rsidRPr="00912A8D">
        <w:rPr>
          <w:rFonts w:ascii="Palatino Linotype" w:hAnsi="Palatino Linotype"/>
          <w:i/>
          <w:iCs/>
          <w:color w:val="222222"/>
          <w:sz w:val="22"/>
        </w:rPr>
        <w:lastRenderedPageBreak/>
        <w:t>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293D3FA" w14:textId="77777777" w:rsidR="00860149" w:rsidRPr="00912A8D" w:rsidRDefault="00860149" w:rsidP="00AD78B6">
      <w:pPr>
        <w:spacing w:line="360" w:lineRule="auto"/>
        <w:ind w:right="141"/>
        <w:jc w:val="both"/>
        <w:rPr>
          <w:rFonts w:ascii="Palatino Linotype" w:eastAsiaTheme="minorHAnsi" w:hAnsi="Palatino Linotype" w:cs="Arial"/>
          <w:bCs/>
          <w:lang w:val="es-MX" w:eastAsia="en-US"/>
        </w:rPr>
      </w:pPr>
    </w:p>
    <w:p w14:paraId="4C37D81D" w14:textId="77777777" w:rsidR="00860149" w:rsidRPr="00912A8D" w:rsidRDefault="00860149" w:rsidP="00AD78B6">
      <w:pPr>
        <w:spacing w:line="360" w:lineRule="auto"/>
        <w:ind w:right="141"/>
        <w:jc w:val="both"/>
        <w:rPr>
          <w:rFonts w:ascii="Palatino Linotype" w:eastAsiaTheme="minorHAnsi" w:hAnsi="Palatino Linotype" w:cs="Arial"/>
          <w:bCs/>
          <w:i/>
          <w:u w:val="single"/>
          <w:lang w:val="es-MX" w:eastAsia="en-US"/>
        </w:rPr>
      </w:pPr>
      <w:r w:rsidRPr="00912A8D">
        <w:rPr>
          <w:rFonts w:ascii="Palatino Linotype" w:eastAsiaTheme="minorHAnsi" w:hAnsi="Palatino Linotype" w:cs="Arial"/>
          <w:bCs/>
          <w:lang w:val="es-MX" w:eastAsia="en-US"/>
        </w:rPr>
        <w:t xml:space="preserve">Es así que derivado de la respuesta emitida por </w:t>
      </w:r>
      <w:r w:rsidRPr="00912A8D">
        <w:rPr>
          <w:rFonts w:ascii="Palatino Linotype" w:eastAsiaTheme="minorHAnsi" w:hAnsi="Palatino Linotype" w:cs="Arial"/>
          <w:b/>
          <w:bCs/>
          <w:lang w:val="es-MX" w:eastAsia="en-US"/>
        </w:rPr>
        <w:t>El Sujeto Obligado</w:t>
      </w:r>
      <w:r w:rsidRPr="00912A8D">
        <w:rPr>
          <w:rFonts w:ascii="Palatino Linotype" w:eastAsiaTheme="minorHAnsi" w:hAnsi="Palatino Linotype" w:cs="Arial"/>
          <w:bCs/>
          <w:lang w:val="es-MX" w:eastAsia="en-US"/>
        </w:rPr>
        <w:t xml:space="preserve">, </w:t>
      </w:r>
      <w:r w:rsidRPr="00912A8D">
        <w:rPr>
          <w:rFonts w:ascii="Palatino Linotype" w:eastAsiaTheme="minorHAnsi" w:hAnsi="Palatino Linotype" w:cs="Arial"/>
          <w:b/>
          <w:bCs/>
          <w:lang w:val="es-MX" w:eastAsia="en-US"/>
        </w:rPr>
        <w:t>El Recurrente</w:t>
      </w:r>
      <w:r w:rsidRPr="00912A8D">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12A8D">
        <w:rPr>
          <w:rFonts w:ascii="Palatino Linotype" w:eastAsiaTheme="minorHAnsi" w:hAnsi="Palatino Linotype" w:cs="Arial"/>
          <w:bCs/>
          <w:i/>
          <w:lang w:val="es-MX" w:eastAsia="en-US"/>
        </w:rPr>
        <w:t>“</w:t>
      </w:r>
      <w:r w:rsidR="00A86D51" w:rsidRPr="00912A8D">
        <w:rPr>
          <w:rFonts w:ascii="Palatino Linotype" w:eastAsiaTheme="minorHAnsi" w:hAnsi="Palatino Linotype" w:cs="Arial"/>
          <w:bCs/>
          <w:i/>
          <w:u w:val="single"/>
          <w:lang w:val="es-MX" w:eastAsia="en-US"/>
        </w:rPr>
        <w:t>opacidad</w:t>
      </w:r>
      <w:r w:rsidRPr="00912A8D">
        <w:rPr>
          <w:rFonts w:ascii="Palatino Linotype" w:eastAsiaTheme="minorHAnsi" w:hAnsi="Palatino Linotype" w:cs="Arial"/>
          <w:bCs/>
          <w:i/>
          <w:lang w:val="es-MX" w:eastAsia="en-US"/>
        </w:rPr>
        <w:t>”.</w:t>
      </w:r>
    </w:p>
    <w:p w14:paraId="156AB684" w14:textId="77777777" w:rsidR="00860149" w:rsidRPr="00912A8D" w:rsidRDefault="00860149" w:rsidP="00AD78B6">
      <w:pPr>
        <w:spacing w:line="360" w:lineRule="auto"/>
        <w:ind w:right="141"/>
        <w:jc w:val="both"/>
        <w:rPr>
          <w:rFonts w:ascii="Palatino Linotype" w:eastAsiaTheme="minorHAnsi" w:hAnsi="Palatino Linotype" w:cs="Arial"/>
          <w:bCs/>
          <w:lang w:val="es-MX" w:eastAsia="en-US"/>
        </w:rPr>
      </w:pPr>
    </w:p>
    <w:p w14:paraId="39E8A199" w14:textId="77777777" w:rsidR="00860149" w:rsidRPr="00912A8D" w:rsidRDefault="00860149" w:rsidP="00AD78B6">
      <w:pPr>
        <w:spacing w:line="360" w:lineRule="auto"/>
        <w:jc w:val="both"/>
        <w:rPr>
          <w:rFonts w:ascii="Palatino Linotype" w:hAnsi="Palatino Linotype" w:cs="Arial"/>
        </w:rPr>
      </w:pPr>
      <w:r w:rsidRPr="00912A8D">
        <w:rPr>
          <w:rFonts w:ascii="Palatino Linotype" w:hAnsi="Palatino Linotype" w:cs="Arial"/>
        </w:rPr>
        <w:t xml:space="preserve">Por otro lado, continuando con el análisis de la información, en un acto posterior el  Sujeto Obligado remitió su informe justificado a través de los archivos electrónicos denominados </w:t>
      </w:r>
      <w:r w:rsidRPr="00912A8D">
        <w:rPr>
          <w:rFonts w:ascii="Palatino Linotype" w:hAnsi="Palatino Linotype" w:cs="Arial"/>
          <w:i/>
        </w:rPr>
        <w:t>“</w:t>
      </w:r>
      <w:r w:rsidR="004E31E4" w:rsidRPr="00912A8D">
        <w:rPr>
          <w:rFonts w:ascii="Palatino Linotype" w:hAnsi="Palatino Linotype" w:cs="Arial"/>
          <w:i/>
        </w:rPr>
        <w:t>INFORME JUSTIFICADO RR 06670-INFOEM-IP-RR-2023_1.PDF</w:t>
      </w:r>
      <w:r w:rsidRPr="00912A8D">
        <w:rPr>
          <w:rFonts w:ascii="Palatino Linotype" w:hAnsi="Palatino Linotype" w:cs="Arial"/>
          <w:i/>
        </w:rPr>
        <w:t xml:space="preserve">”, </w:t>
      </w:r>
      <w:r w:rsidR="004E31E4" w:rsidRPr="00912A8D">
        <w:rPr>
          <w:rFonts w:ascii="Palatino Linotype" w:hAnsi="Palatino Linotype" w:cs="Arial"/>
        </w:rPr>
        <w:t>el</w:t>
      </w:r>
      <w:r w:rsidRPr="00912A8D">
        <w:rPr>
          <w:rFonts w:ascii="Palatino Linotype" w:hAnsi="Palatino Linotype" w:cs="Arial"/>
        </w:rPr>
        <w:t xml:space="preserve"> cual advierte lo siguiente:</w:t>
      </w:r>
    </w:p>
    <w:tbl>
      <w:tblPr>
        <w:tblStyle w:val="Tablaconcuadrcula"/>
        <w:tblW w:w="8930" w:type="dxa"/>
        <w:tblInd w:w="137" w:type="dxa"/>
        <w:tblLayout w:type="fixed"/>
        <w:tblLook w:val="04A0" w:firstRow="1" w:lastRow="0" w:firstColumn="1" w:lastColumn="0" w:noHBand="0" w:noVBand="1"/>
      </w:tblPr>
      <w:tblGrid>
        <w:gridCol w:w="3260"/>
        <w:gridCol w:w="5670"/>
      </w:tblGrid>
      <w:tr w:rsidR="00860149" w:rsidRPr="00912A8D" w14:paraId="34BE50DA" w14:textId="77777777" w:rsidTr="00860149">
        <w:trPr>
          <w:trHeight w:val="454"/>
          <w:tblHeader/>
        </w:trPr>
        <w:tc>
          <w:tcPr>
            <w:tcW w:w="3260" w:type="dxa"/>
            <w:shd w:val="clear" w:color="auto" w:fill="D0CECE" w:themeFill="background2" w:themeFillShade="E6"/>
            <w:vAlign w:val="center"/>
          </w:tcPr>
          <w:p w14:paraId="2C8C348A" w14:textId="77777777" w:rsidR="00860149" w:rsidRPr="00912A8D" w:rsidRDefault="00860149" w:rsidP="00AD78B6">
            <w:pPr>
              <w:spacing w:line="360" w:lineRule="auto"/>
              <w:jc w:val="center"/>
              <w:rPr>
                <w:rFonts w:ascii="Palatino Linotype" w:hAnsi="Palatino Linotype" w:cs="Arial"/>
                <w:b/>
                <w:szCs w:val="20"/>
                <w:lang w:val="es-419"/>
              </w:rPr>
            </w:pPr>
          </w:p>
        </w:tc>
        <w:tc>
          <w:tcPr>
            <w:tcW w:w="5670" w:type="dxa"/>
            <w:shd w:val="clear" w:color="auto" w:fill="D0CECE" w:themeFill="background2" w:themeFillShade="E6"/>
            <w:vAlign w:val="center"/>
          </w:tcPr>
          <w:p w14:paraId="19C85053" w14:textId="77777777" w:rsidR="00860149" w:rsidRPr="00912A8D" w:rsidRDefault="00860149" w:rsidP="00AD78B6">
            <w:pPr>
              <w:spacing w:line="360" w:lineRule="auto"/>
              <w:jc w:val="center"/>
              <w:rPr>
                <w:rFonts w:ascii="Palatino Linotype" w:hAnsi="Palatino Linotype" w:cs="Arial"/>
                <w:b/>
                <w:szCs w:val="20"/>
                <w:lang w:val="es-419"/>
              </w:rPr>
            </w:pPr>
            <w:r w:rsidRPr="00912A8D">
              <w:rPr>
                <w:rFonts w:ascii="Palatino Linotype" w:hAnsi="Palatino Linotype" w:cs="Arial"/>
                <w:b/>
                <w:szCs w:val="20"/>
                <w:lang w:val="es-419"/>
              </w:rPr>
              <w:t>INFORME JUSTIFICADO</w:t>
            </w:r>
          </w:p>
        </w:tc>
      </w:tr>
      <w:tr w:rsidR="00860149" w:rsidRPr="00912A8D" w14:paraId="2C0A560D" w14:textId="77777777" w:rsidTr="004E31E4">
        <w:trPr>
          <w:trHeight w:val="1443"/>
        </w:trPr>
        <w:tc>
          <w:tcPr>
            <w:tcW w:w="3260" w:type="dxa"/>
            <w:vAlign w:val="center"/>
          </w:tcPr>
          <w:p w14:paraId="043086BA" w14:textId="77777777" w:rsidR="00860149" w:rsidRPr="00912A8D" w:rsidRDefault="00A86D51" w:rsidP="00AD78B6">
            <w:pPr>
              <w:spacing w:line="360" w:lineRule="auto"/>
              <w:jc w:val="both"/>
              <w:rPr>
                <w:rFonts w:ascii="Palatino Linotype" w:hAnsi="Palatino Linotype" w:cs="Arial"/>
                <w:b/>
                <w:sz w:val="20"/>
                <w:szCs w:val="20"/>
                <w:lang w:val="es-419"/>
              </w:rPr>
            </w:pPr>
            <w:r w:rsidRPr="00912A8D">
              <w:rPr>
                <w:rFonts w:ascii="Palatino Linotype" w:hAnsi="Palatino Linotype" w:cs="Arial"/>
                <w:b/>
                <w:sz w:val="20"/>
                <w:szCs w:val="20"/>
                <w:lang w:val="es-419"/>
              </w:rPr>
              <w:tab/>
              <w:t>INFORME JUSTIFICADO RR 06670-INFOEM-IP-RR-2023_1.PDF</w:t>
            </w:r>
          </w:p>
          <w:p w14:paraId="54AD44A4" w14:textId="77777777" w:rsidR="00860149" w:rsidRPr="00912A8D" w:rsidRDefault="00860149" w:rsidP="00AD78B6">
            <w:pPr>
              <w:spacing w:line="360" w:lineRule="auto"/>
              <w:jc w:val="both"/>
              <w:rPr>
                <w:rFonts w:ascii="Palatino Linotype" w:hAnsi="Palatino Linotype" w:cs="Arial"/>
                <w:b/>
                <w:sz w:val="20"/>
                <w:szCs w:val="20"/>
                <w:lang w:val="es-419"/>
              </w:rPr>
            </w:pPr>
          </w:p>
        </w:tc>
        <w:tc>
          <w:tcPr>
            <w:tcW w:w="5670" w:type="dxa"/>
          </w:tcPr>
          <w:p w14:paraId="162F34D4" w14:textId="77777777" w:rsidR="00860149" w:rsidRPr="00912A8D" w:rsidRDefault="00860149" w:rsidP="00AD78B6">
            <w:pPr>
              <w:spacing w:line="360" w:lineRule="auto"/>
              <w:jc w:val="both"/>
              <w:rPr>
                <w:rFonts w:ascii="Palatino Linotype" w:hAnsi="Palatino Linotype"/>
                <w:iCs/>
                <w:sz w:val="20"/>
                <w:szCs w:val="20"/>
              </w:rPr>
            </w:pPr>
            <w:r w:rsidRPr="00912A8D">
              <w:rPr>
                <w:rFonts w:ascii="Palatino Linotype" w:hAnsi="Palatino Linotype" w:cs="Arial"/>
                <w:sz w:val="20"/>
              </w:rPr>
              <w:t xml:space="preserve">- Oficio de fecha </w:t>
            </w:r>
            <w:r w:rsidR="004E31E4" w:rsidRPr="00912A8D">
              <w:rPr>
                <w:rFonts w:ascii="Palatino Linotype" w:hAnsi="Palatino Linotype" w:cs="Arial"/>
                <w:sz w:val="20"/>
              </w:rPr>
              <w:t>dieciséis</w:t>
            </w:r>
            <w:r w:rsidRPr="00912A8D">
              <w:rPr>
                <w:rFonts w:ascii="Palatino Linotype" w:hAnsi="Palatino Linotype" w:cs="Arial"/>
                <w:sz w:val="20"/>
              </w:rPr>
              <w:t xml:space="preserve"> de o</w:t>
            </w:r>
            <w:r w:rsidR="004E31E4" w:rsidRPr="00912A8D">
              <w:rPr>
                <w:rFonts w:ascii="Palatino Linotype" w:hAnsi="Palatino Linotype" w:cs="Arial"/>
                <w:sz w:val="20"/>
              </w:rPr>
              <w:t>ctubre</w:t>
            </w:r>
            <w:r w:rsidRPr="00912A8D">
              <w:rPr>
                <w:rFonts w:ascii="Palatino Linotype" w:hAnsi="Palatino Linotype" w:cs="Arial"/>
                <w:sz w:val="20"/>
              </w:rPr>
              <w:t xml:space="preserve"> de dos mil veintitrés, a través del cual el </w:t>
            </w:r>
            <w:r w:rsidR="004E31E4" w:rsidRPr="00912A8D">
              <w:rPr>
                <w:rFonts w:ascii="Palatino Linotype" w:hAnsi="Palatino Linotype" w:cs="Arial"/>
                <w:sz w:val="20"/>
              </w:rPr>
              <w:t>Jefe de la Unidad de Ética y Prevención de la Corrupción y Responsable</w:t>
            </w:r>
            <w:r w:rsidRPr="00912A8D">
              <w:rPr>
                <w:rFonts w:ascii="Palatino Linotype" w:hAnsi="Palatino Linotype" w:cs="Arial"/>
                <w:sz w:val="20"/>
              </w:rPr>
              <w:t xml:space="preserve"> de la Unidad de Transparencia, remite su informe justificado de acuerdo a las constancias que integran el expediente electrónico del SAIMEX, </w:t>
            </w:r>
            <w:r w:rsidR="004E31E4" w:rsidRPr="00912A8D">
              <w:rPr>
                <w:rFonts w:ascii="Palatino Linotype" w:hAnsi="Palatino Linotype" w:cs="Arial"/>
                <w:sz w:val="20"/>
              </w:rPr>
              <w:t>asimismo solicita sea confirmada la respuesta entregada, toda vez que fue atendida en tiempo y forma.</w:t>
            </w:r>
          </w:p>
        </w:tc>
      </w:tr>
    </w:tbl>
    <w:p w14:paraId="2393EA92" w14:textId="77777777" w:rsidR="00860149" w:rsidRPr="00912A8D" w:rsidRDefault="00860149" w:rsidP="00AD78B6">
      <w:pPr>
        <w:spacing w:line="360" w:lineRule="auto"/>
        <w:ind w:right="141"/>
        <w:jc w:val="both"/>
        <w:rPr>
          <w:rFonts w:ascii="Palatino Linotype" w:eastAsiaTheme="minorHAnsi" w:hAnsi="Palatino Linotype" w:cs="Arial"/>
          <w:bCs/>
          <w:lang w:val="es-MX" w:eastAsia="en-US"/>
        </w:rPr>
      </w:pPr>
    </w:p>
    <w:p w14:paraId="7C9A9F34" w14:textId="77777777" w:rsidR="00860149" w:rsidRPr="00912A8D" w:rsidRDefault="00860149" w:rsidP="00AD78B6">
      <w:pPr>
        <w:tabs>
          <w:tab w:val="left" w:pos="709"/>
        </w:tabs>
        <w:spacing w:line="360" w:lineRule="auto"/>
        <w:contextualSpacing/>
        <w:jc w:val="both"/>
        <w:rPr>
          <w:rFonts w:ascii="Palatino Linotype" w:hAnsi="Palatino Linotype" w:cs="Arial"/>
        </w:rPr>
      </w:pPr>
      <w:r w:rsidRPr="00912A8D">
        <w:rPr>
          <w:rFonts w:ascii="Palatino Linotype" w:hAnsi="Palatino Linotype" w:cs="Arial"/>
          <w:lang w:val="es-ES_tradnl"/>
        </w:rPr>
        <w:lastRenderedPageBreak/>
        <w:t xml:space="preserve">Ante ello, es de </w:t>
      </w:r>
      <w:r w:rsidRPr="00912A8D">
        <w:rPr>
          <w:rFonts w:ascii="Palatino Linotype" w:hAnsi="Palatino Linotype" w:cs="Arial"/>
        </w:rPr>
        <w:t>señalar que el artículo 4, párrafo segundo de la Ley de Transparencia y Acceso a la Información Pública del Estado de México y Municipios, dispone:</w:t>
      </w:r>
    </w:p>
    <w:p w14:paraId="52DA889F" w14:textId="77777777" w:rsidR="00860149" w:rsidRPr="00912A8D" w:rsidRDefault="00860149" w:rsidP="00AD78B6">
      <w:pPr>
        <w:pStyle w:val="Sinespaciado"/>
        <w:spacing w:line="360" w:lineRule="auto"/>
      </w:pPr>
    </w:p>
    <w:p w14:paraId="24B829FC"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i/>
          <w:sz w:val="22"/>
        </w:rPr>
        <w:t>“</w:t>
      </w:r>
      <w:r w:rsidRPr="00912A8D">
        <w:rPr>
          <w:rFonts w:ascii="Palatino Linotype" w:hAnsi="Palatino Linotype" w:cs="Arial"/>
          <w:b/>
          <w:i/>
          <w:sz w:val="22"/>
        </w:rPr>
        <w:t xml:space="preserve">Artículo 4. </w:t>
      </w:r>
      <w:r w:rsidRPr="00912A8D">
        <w:rPr>
          <w:rFonts w:ascii="Palatino Linotype" w:hAnsi="Palatino Linotype" w:cs="Arial"/>
          <w:i/>
          <w:sz w:val="22"/>
        </w:rPr>
        <w:t xml:space="preserve">… </w:t>
      </w:r>
    </w:p>
    <w:p w14:paraId="482F6371"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D06B70C" w14:textId="77777777" w:rsidR="00860149" w:rsidRPr="00912A8D" w:rsidRDefault="00860149" w:rsidP="00AD78B6">
      <w:pPr>
        <w:tabs>
          <w:tab w:val="left" w:pos="709"/>
        </w:tabs>
        <w:spacing w:line="360" w:lineRule="auto"/>
        <w:contextualSpacing/>
        <w:jc w:val="both"/>
        <w:rPr>
          <w:rFonts w:ascii="Palatino Linotype" w:hAnsi="Palatino Linotype" w:cs="Arial"/>
          <w:lang w:val="es-ES_tradnl"/>
        </w:rPr>
      </w:pPr>
    </w:p>
    <w:p w14:paraId="65A92EC2" w14:textId="77777777" w:rsidR="00860149" w:rsidRPr="00912A8D" w:rsidRDefault="00860149" w:rsidP="00AD78B6">
      <w:pPr>
        <w:tabs>
          <w:tab w:val="left" w:pos="709"/>
        </w:tabs>
        <w:spacing w:line="360" w:lineRule="auto"/>
        <w:contextualSpacing/>
        <w:jc w:val="both"/>
        <w:rPr>
          <w:rFonts w:ascii="Palatino Linotype" w:hAnsi="Palatino Linotype" w:cs="Arial"/>
          <w:lang w:val="es-ES_tradnl"/>
        </w:rPr>
      </w:pPr>
      <w:r w:rsidRPr="00912A8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673BBCB" w14:textId="77777777" w:rsidR="00860149" w:rsidRPr="00912A8D" w:rsidRDefault="00860149" w:rsidP="00AD78B6">
      <w:pPr>
        <w:tabs>
          <w:tab w:val="left" w:pos="709"/>
        </w:tabs>
        <w:spacing w:line="360" w:lineRule="auto"/>
        <w:contextualSpacing/>
        <w:jc w:val="both"/>
        <w:rPr>
          <w:rFonts w:ascii="Palatino Linotype" w:hAnsi="Palatino Linotype" w:cs="Arial"/>
        </w:rPr>
      </w:pPr>
    </w:p>
    <w:p w14:paraId="40F82321" w14:textId="77777777" w:rsidR="00860149" w:rsidRPr="00912A8D" w:rsidRDefault="00860149" w:rsidP="00AD78B6">
      <w:pPr>
        <w:tabs>
          <w:tab w:val="left" w:pos="709"/>
        </w:tabs>
        <w:spacing w:line="360" w:lineRule="auto"/>
        <w:contextualSpacing/>
        <w:jc w:val="both"/>
        <w:rPr>
          <w:rFonts w:ascii="Palatino Linotype" w:hAnsi="Palatino Linotype" w:cs="Arial"/>
        </w:rPr>
      </w:pPr>
      <w:r w:rsidRPr="00912A8D">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A686E4D" w14:textId="77777777" w:rsidR="00860149" w:rsidRPr="00912A8D" w:rsidRDefault="00860149" w:rsidP="00AD78B6">
      <w:pPr>
        <w:pStyle w:val="Sinespaciado"/>
        <w:spacing w:line="360" w:lineRule="auto"/>
        <w:rPr>
          <w:sz w:val="16"/>
          <w:lang w:val="es-ES_tradnl"/>
        </w:rPr>
      </w:pPr>
    </w:p>
    <w:p w14:paraId="635C341F" w14:textId="77777777" w:rsidR="00860149" w:rsidRPr="00912A8D" w:rsidRDefault="00860149" w:rsidP="00AD78B6">
      <w:pPr>
        <w:pStyle w:val="Sinespaciado"/>
        <w:spacing w:line="360" w:lineRule="auto"/>
        <w:rPr>
          <w:sz w:val="16"/>
          <w:lang w:val="es-ES_tradnl"/>
        </w:rPr>
      </w:pPr>
    </w:p>
    <w:p w14:paraId="63487349" w14:textId="77777777" w:rsidR="00860149" w:rsidRPr="00912A8D" w:rsidRDefault="00860149" w:rsidP="00AD78B6">
      <w:pPr>
        <w:pStyle w:val="Sinespaciado"/>
        <w:spacing w:line="360" w:lineRule="auto"/>
        <w:rPr>
          <w:lang w:val="es-ES_tradnl"/>
        </w:rPr>
      </w:pPr>
    </w:p>
    <w:p w14:paraId="6D7B922E" w14:textId="77777777" w:rsidR="00860149" w:rsidRPr="00912A8D" w:rsidRDefault="00860149" w:rsidP="00AD78B6">
      <w:pPr>
        <w:spacing w:line="360" w:lineRule="auto"/>
        <w:ind w:left="567" w:right="616"/>
        <w:jc w:val="both"/>
        <w:rPr>
          <w:rFonts w:ascii="Palatino Linotype" w:hAnsi="Palatino Linotype" w:cs="Arial"/>
          <w:i/>
          <w:sz w:val="22"/>
        </w:rPr>
      </w:pPr>
      <w:r w:rsidRPr="00912A8D">
        <w:rPr>
          <w:rFonts w:ascii="Palatino Linotype" w:hAnsi="Palatino Linotype" w:cs="Arial"/>
          <w:i/>
          <w:sz w:val="22"/>
        </w:rPr>
        <w:lastRenderedPageBreak/>
        <w:t>“</w:t>
      </w:r>
      <w:r w:rsidRPr="00912A8D">
        <w:rPr>
          <w:rFonts w:ascii="Palatino Linotype" w:hAnsi="Palatino Linotype" w:cs="Arial"/>
          <w:b/>
          <w:i/>
          <w:sz w:val="22"/>
        </w:rPr>
        <w:t>Artículo 12.</w:t>
      </w:r>
      <w:r w:rsidRPr="00912A8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8A3E6AC" w14:textId="77777777" w:rsidR="00860149" w:rsidRPr="00912A8D" w:rsidRDefault="00860149" w:rsidP="00AD78B6">
      <w:pPr>
        <w:spacing w:line="360" w:lineRule="auto"/>
        <w:ind w:left="567" w:right="616"/>
        <w:jc w:val="both"/>
        <w:rPr>
          <w:rFonts w:ascii="Palatino Linotype" w:hAnsi="Palatino Linotype" w:cs="Arial"/>
          <w:i/>
          <w:sz w:val="22"/>
        </w:rPr>
      </w:pPr>
    </w:p>
    <w:p w14:paraId="02D526FC" w14:textId="77777777" w:rsidR="00860149" w:rsidRPr="00912A8D" w:rsidRDefault="00860149" w:rsidP="00AD78B6">
      <w:pPr>
        <w:spacing w:line="360" w:lineRule="auto"/>
        <w:ind w:left="567" w:right="616"/>
        <w:jc w:val="both"/>
        <w:rPr>
          <w:rFonts w:ascii="Palatino Linotype" w:hAnsi="Palatino Linotype" w:cs="Arial"/>
          <w:i/>
          <w:sz w:val="22"/>
        </w:rPr>
      </w:pPr>
      <w:r w:rsidRPr="00912A8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6454480" w14:textId="77777777" w:rsidR="00860149" w:rsidRPr="00912A8D" w:rsidRDefault="00860149" w:rsidP="00AD78B6">
      <w:pPr>
        <w:tabs>
          <w:tab w:val="left" w:pos="709"/>
        </w:tabs>
        <w:spacing w:line="360" w:lineRule="auto"/>
        <w:contextualSpacing/>
        <w:jc w:val="both"/>
        <w:rPr>
          <w:rFonts w:ascii="Palatino Linotype" w:hAnsi="Palatino Linotype" w:cs="Arial"/>
        </w:rPr>
      </w:pPr>
    </w:p>
    <w:p w14:paraId="6A61A9C2" w14:textId="77777777" w:rsidR="00860149" w:rsidRPr="00912A8D" w:rsidRDefault="00860149" w:rsidP="00AD78B6">
      <w:pPr>
        <w:tabs>
          <w:tab w:val="left" w:pos="709"/>
        </w:tabs>
        <w:spacing w:line="360" w:lineRule="auto"/>
        <w:contextualSpacing/>
        <w:jc w:val="both"/>
        <w:rPr>
          <w:rFonts w:ascii="Palatino Linotype" w:hAnsi="Palatino Linotype" w:cs="Arial"/>
        </w:rPr>
      </w:pPr>
      <w:r w:rsidRPr="00912A8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C28B98" w14:textId="77777777" w:rsidR="0091473A" w:rsidRPr="00912A8D" w:rsidRDefault="0091473A" w:rsidP="00AD78B6">
      <w:pPr>
        <w:tabs>
          <w:tab w:val="left" w:pos="709"/>
        </w:tabs>
        <w:spacing w:line="360" w:lineRule="auto"/>
        <w:contextualSpacing/>
        <w:jc w:val="both"/>
        <w:rPr>
          <w:rFonts w:ascii="Palatino Linotype" w:hAnsi="Palatino Linotype" w:cs="Arial"/>
        </w:rPr>
      </w:pPr>
    </w:p>
    <w:p w14:paraId="21722B73" w14:textId="77777777" w:rsidR="00860149" w:rsidRPr="00912A8D" w:rsidRDefault="00860149" w:rsidP="00AD78B6">
      <w:pPr>
        <w:tabs>
          <w:tab w:val="left" w:pos="709"/>
        </w:tabs>
        <w:spacing w:line="360" w:lineRule="auto"/>
        <w:contextualSpacing/>
        <w:jc w:val="both"/>
        <w:rPr>
          <w:rFonts w:ascii="Palatino Linotype" w:hAnsi="Palatino Linotype" w:cs="Arial"/>
        </w:rPr>
      </w:pPr>
      <w:r w:rsidRPr="00912A8D">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12A8D">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12A8D">
        <w:rPr>
          <w:rFonts w:ascii="Palatino Linotype" w:hAnsi="Palatino Linotype" w:cs="Arial"/>
        </w:rPr>
        <w:t xml:space="preserve"> de los Sujetos Obligados; los que, podrán estar en cualquier medio, sea escrito, impreso, sonoro, visual, electrónico, informático </w:t>
      </w:r>
      <w:r w:rsidRPr="00912A8D">
        <w:rPr>
          <w:rFonts w:ascii="Palatino Linotype" w:hAnsi="Palatino Linotype" w:cs="Arial"/>
        </w:rPr>
        <w:lastRenderedPageBreak/>
        <w:t xml:space="preserve">u holográfico, de conformidad con el artículo 3, fracción XI, de la Ley de la materia, el cual dispone lo siguiente: </w:t>
      </w:r>
    </w:p>
    <w:p w14:paraId="33F99D8A" w14:textId="77777777" w:rsidR="00860149" w:rsidRPr="00912A8D" w:rsidRDefault="00860149" w:rsidP="00AD78B6">
      <w:pPr>
        <w:pStyle w:val="Sinespaciado"/>
        <w:spacing w:line="360" w:lineRule="auto"/>
      </w:pPr>
    </w:p>
    <w:p w14:paraId="0A1D8AE8"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i/>
          <w:sz w:val="22"/>
        </w:rPr>
        <w:t>“</w:t>
      </w:r>
      <w:r w:rsidRPr="00912A8D">
        <w:rPr>
          <w:rFonts w:ascii="Palatino Linotype" w:hAnsi="Palatino Linotype" w:cs="Arial"/>
          <w:b/>
          <w:i/>
          <w:sz w:val="22"/>
        </w:rPr>
        <w:t xml:space="preserve">Artículo 3. </w:t>
      </w:r>
      <w:r w:rsidRPr="00912A8D">
        <w:rPr>
          <w:rFonts w:ascii="Palatino Linotype" w:hAnsi="Palatino Linotype" w:cs="Arial"/>
          <w:i/>
          <w:sz w:val="22"/>
        </w:rPr>
        <w:t>Para los efectos de la presente Ley se entenderá por:</w:t>
      </w:r>
    </w:p>
    <w:p w14:paraId="2A669C9B"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i/>
          <w:sz w:val="22"/>
        </w:rPr>
        <w:t>(…)</w:t>
      </w:r>
    </w:p>
    <w:p w14:paraId="3D92B43C"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b/>
          <w:i/>
          <w:sz w:val="22"/>
        </w:rPr>
        <w:t>XI. Documento:</w:t>
      </w:r>
      <w:r w:rsidRPr="00912A8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12A8D">
        <w:rPr>
          <w:rFonts w:ascii="Palatino Linotype" w:hAnsi="Palatino Linotype" w:cs="Arial"/>
          <w:b/>
          <w:i/>
          <w:sz w:val="22"/>
          <w:u w:val="single"/>
        </w:rPr>
        <w:t>registro que documente el ejercicio de las facultades, funciones y competencias de los sujetos obligados</w:t>
      </w:r>
      <w:r w:rsidRPr="00912A8D">
        <w:rPr>
          <w:rFonts w:ascii="Palatino Linotype" w:hAnsi="Palatino Linotype" w:cs="Arial"/>
          <w:i/>
          <w:sz w:val="22"/>
          <w:u w:val="single"/>
        </w:rPr>
        <w:t>,</w:t>
      </w:r>
      <w:r w:rsidRPr="00912A8D">
        <w:rPr>
          <w:rFonts w:ascii="Palatino Linotype" w:hAnsi="Palatino Linotype" w:cs="Arial"/>
          <w:i/>
          <w:sz w:val="22"/>
        </w:rPr>
        <w:t xml:space="preserve"> sus servidores públicos e integrantes, </w:t>
      </w:r>
      <w:r w:rsidRPr="00912A8D">
        <w:rPr>
          <w:rFonts w:ascii="Palatino Linotype" w:hAnsi="Palatino Linotype" w:cs="Arial"/>
          <w:b/>
          <w:i/>
          <w:sz w:val="22"/>
          <w:u w:val="single"/>
        </w:rPr>
        <w:t>sin importar su fuente o fecha de elaboración.</w:t>
      </w:r>
      <w:r w:rsidRPr="00912A8D">
        <w:rPr>
          <w:rFonts w:ascii="Palatino Linotype" w:hAnsi="Palatino Linotype" w:cs="Arial"/>
          <w:i/>
          <w:sz w:val="22"/>
        </w:rPr>
        <w:t xml:space="preserve"> Los documentos podrán estar en cualquier medio, sea escrito, impreso, sonoro, visual, electrónico, informático u holográfico;</w:t>
      </w:r>
    </w:p>
    <w:p w14:paraId="4019380A" w14:textId="77777777" w:rsidR="00860149" w:rsidRPr="00912A8D" w:rsidRDefault="00860149" w:rsidP="00AD78B6">
      <w:pPr>
        <w:spacing w:line="360" w:lineRule="auto"/>
        <w:ind w:left="567" w:right="567"/>
        <w:jc w:val="both"/>
        <w:rPr>
          <w:rFonts w:ascii="Palatino Linotype" w:hAnsi="Palatino Linotype" w:cs="Arial"/>
          <w:i/>
          <w:sz w:val="22"/>
        </w:rPr>
      </w:pPr>
      <w:r w:rsidRPr="00912A8D">
        <w:rPr>
          <w:rFonts w:ascii="Palatino Linotype" w:hAnsi="Palatino Linotype" w:cs="Arial"/>
          <w:i/>
          <w:sz w:val="22"/>
        </w:rPr>
        <w:t>(…)”</w:t>
      </w:r>
    </w:p>
    <w:p w14:paraId="2287B419" w14:textId="77777777" w:rsidR="00860149" w:rsidRPr="00912A8D" w:rsidRDefault="00860149" w:rsidP="00AD78B6">
      <w:pPr>
        <w:spacing w:line="360" w:lineRule="auto"/>
      </w:pPr>
    </w:p>
    <w:p w14:paraId="7A4CB40C" w14:textId="77777777" w:rsidR="00860149" w:rsidRPr="00912A8D" w:rsidRDefault="00860149" w:rsidP="00AD78B6">
      <w:pPr>
        <w:spacing w:line="360" w:lineRule="auto"/>
        <w:ind w:right="49"/>
        <w:contextualSpacing/>
        <w:jc w:val="both"/>
        <w:rPr>
          <w:rFonts w:ascii="Palatino Linotype" w:hAnsi="Palatino Linotype" w:cs="Arial"/>
          <w:lang w:eastAsia="es-MX"/>
        </w:rPr>
      </w:pPr>
      <w:r w:rsidRPr="00912A8D">
        <w:rPr>
          <w:rFonts w:ascii="Palatino Linotype" w:hAnsi="Palatino Linotype" w:cs="Arial"/>
        </w:rPr>
        <w:t xml:space="preserve">Además, </w:t>
      </w:r>
      <w:r w:rsidRPr="00912A8D">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4320F" w14:textId="77777777" w:rsidR="00860149" w:rsidRPr="00912A8D" w:rsidRDefault="00860149" w:rsidP="00AD78B6">
      <w:pPr>
        <w:spacing w:line="360" w:lineRule="auto"/>
        <w:ind w:right="49"/>
        <w:contextualSpacing/>
        <w:jc w:val="both"/>
        <w:rPr>
          <w:rFonts w:ascii="Palatino Linotype" w:hAnsi="Palatino Linotype" w:cs="Arial"/>
          <w:lang w:eastAsia="es-MX"/>
        </w:rPr>
      </w:pPr>
    </w:p>
    <w:p w14:paraId="4C31ABCE" w14:textId="77777777" w:rsidR="00AD78B6" w:rsidRPr="00912A8D" w:rsidRDefault="00AD78B6" w:rsidP="00AD78B6">
      <w:pPr>
        <w:spacing w:line="360" w:lineRule="auto"/>
        <w:ind w:right="49"/>
        <w:contextualSpacing/>
        <w:jc w:val="both"/>
        <w:rPr>
          <w:rFonts w:ascii="Palatino Linotype" w:hAnsi="Palatino Linotype" w:cs="Arial"/>
          <w:lang w:eastAsia="es-MX"/>
        </w:rPr>
      </w:pPr>
    </w:p>
    <w:p w14:paraId="2898E337" w14:textId="77777777" w:rsidR="00AD78B6" w:rsidRPr="00912A8D" w:rsidRDefault="00AD78B6" w:rsidP="00AD78B6">
      <w:pPr>
        <w:spacing w:line="360" w:lineRule="auto"/>
        <w:ind w:right="49"/>
        <w:contextualSpacing/>
        <w:jc w:val="both"/>
        <w:rPr>
          <w:rFonts w:ascii="Palatino Linotype" w:hAnsi="Palatino Linotype" w:cs="Arial"/>
          <w:lang w:eastAsia="es-MX"/>
        </w:rPr>
      </w:pPr>
    </w:p>
    <w:p w14:paraId="1521537A" w14:textId="77777777" w:rsidR="00860149" w:rsidRPr="00912A8D" w:rsidRDefault="00860149" w:rsidP="00AD78B6">
      <w:pPr>
        <w:spacing w:line="360" w:lineRule="auto"/>
        <w:ind w:right="49"/>
        <w:contextualSpacing/>
        <w:jc w:val="both"/>
        <w:rPr>
          <w:rFonts w:ascii="Palatino Linotype" w:eastAsia="MS Mincho" w:hAnsi="Palatino Linotype" w:cs="Tahoma"/>
        </w:rPr>
      </w:pPr>
      <w:r w:rsidRPr="00912A8D">
        <w:rPr>
          <w:rFonts w:ascii="Palatino Linotype" w:hAnsi="Palatino Linotype" w:cs="Arial"/>
          <w:lang w:eastAsia="es-MX"/>
        </w:rPr>
        <w:t xml:space="preserve">De la misma forma, </w:t>
      </w:r>
      <w:r w:rsidRPr="00912A8D">
        <w:rPr>
          <w:rFonts w:ascii="Palatino Linotype" w:eastAsia="MS Mincho" w:hAnsi="Palatino Linotype"/>
        </w:rPr>
        <w:t>de acuerdo al contenido del artículo 160,</w:t>
      </w:r>
      <w:r w:rsidRPr="00912A8D">
        <w:rPr>
          <w:rFonts w:ascii="Palatino Linotype" w:hAnsi="Palatino Linotype" w:cs="Arial"/>
        </w:rPr>
        <w:t xml:space="preserve"> de la Ley </w:t>
      </w:r>
      <w:r w:rsidRPr="00912A8D">
        <w:rPr>
          <w:rFonts w:ascii="Palatino Linotype" w:eastAsia="MS Mincho" w:hAnsi="Palatino Linotype" w:cs="Tahoma"/>
        </w:rPr>
        <w:t>General de Transparencia y Acceso a la Información Pública que a la letra dispone:</w:t>
      </w:r>
    </w:p>
    <w:p w14:paraId="3A8C23B2" w14:textId="77777777" w:rsidR="00860149" w:rsidRPr="00912A8D" w:rsidRDefault="00860149" w:rsidP="00AD78B6">
      <w:pPr>
        <w:spacing w:line="360" w:lineRule="auto"/>
      </w:pPr>
    </w:p>
    <w:p w14:paraId="2D423C3B" w14:textId="77777777" w:rsidR="00860149" w:rsidRPr="00912A8D" w:rsidRDefault="00860149" w:rsidP="00AD78B6">
      <w:pPr>
        <w:spacing w:line="360" w:lineRule="auto"/>
        <w:ind w:left="567" w:right="567"/>
        <w:contextualSpacing/>
        <w:jc w:val="both"/>
        <w:rPr>
          <w:rFonts w:ascii="Palatino Linotype" w:hAnsi="Palatino Linotype" w:cs="Arial"/>
          <w:i/>
          <w:sz w:val="22"/>
          <w:lang w:eastAsia="gl-ES"/>
        </w:rPr>
      </w:pPr>
      <w:r w:rsidRPr="00912A8D">
        <w:rPr>
          <w:rFonts w:ascii="Palatino Linotype" w:hAnsi="Palatino Linotype" w:cs="Arial"/>
          <w:b/>
          <w:i/>
          <w:sz w:val="22"/>
          <w:lang w:eastAsia="gl-ES"/>
        </w:rPr>
        <w:t>Artículo 160</w:t>
      </w:r>
      <w:r w:rsidRPr="00912A8D">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10D71BB" w14:textId="77777777" w:rsidR="00860149" w:rsidRPr="00912A8D" w:rsidRDefault="00860149" w:rsidP="00AD78B6">
      <w:pPr>
        <w:spacing w:line="360" w:lineRule="auto"/>
        <w:ind w:left="567" w:right="567"/>
        <w:contextualSpacing/>
        <w:jc w:val="both"/>
        <w:rPr>
          <w:rFonts w:ascii="Palatino Linotype" w:hAnsi="Palatino Linotype" w:cs="Arial"/>
          <w:i/>
          <w:sz w:val="22"/>
          <w:lang w:eastAsia="gl-ES"/>
        </w:rPr>
      </w:pPr>
    </w:p>
    <w:p w14:paraId="5BD10C04" w14:textId="77777777" w:rsidR="00860149" w:rsidRPr="00912A8D" w:rsidRDefault="00860149" w:rsidP="00AD78B6">
      <w:pPr>
        <w:spacing w:line="360" w:lineRule="auto"/>
        <w:jc w:val="both"/>
        <w:rPr>
          <w:rFonts w:ascii="Palatino Linotype" w:hAnsi="Palatino Linotype" w:cs="Arial"/>
          <w:color w:val="222222"/>
          <w:szCs w:val="19"/>
          <w:lang w:eastAsia="es-MX"/>
        </w:rPr>
      </w:pPr>
      <w:r w:rsidRPr="00912A8D">
        <w:rPr>
          <w:rFonts w:ascii="Palatino Linotype" w:hAnsi="Palatino Linotype"/>
          <w:color w:val="000000"/>
        </w:rPr>
        <w:t xml:space="preserve">Sirve como apoyo </w:t>
      </w:r>
      <w:r w:rsidRPr="00912A8D">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DC6E3AB" w14:textId="77777777" w:rsidR="00860149" w:rsidRPr="00912A8D" w:rsidRDefault="00860149" w:rsidP="00AD78B6">
      <w:pPr>
        <w:pStyle w:val="Sinespaciado"/>
        <w:spacing w:line="360" w:lineRule="auto"/>
        <w:rPr>
          <w:lang w:eastAsia="es-MX"/>
        </w:rPr>
      </w:pPr>
    </w:p>
    <w:p w14:paraId="52191EBE" w14:textId="77777777" w:rsidR="00860149" w:rsidRPr="00912A8D" w:rsidRDefault="00860149" w:rsidP="00AD78B6">
      <w:pPr>
        <w:shd w:val="clear" w:color="auto" w:fill="FFFFFF"/>
        <w:tabs>
          <w:tab w:val="left" w:pos="8647"/>
        </w:tabs>
        <w:spacing w:line="360" w:lineRule="auto"/>
        <w:ind w:left="567" w:right="567"/>
        <w:jc w:val="both"/>
        <w:rPr>
          <w:rFonts w:ascii="Palatino Linotype" w:hAnsi="Palatino Linotype" w:cs="Arial"/>
          <w:i/>
          <w:iCs/>
          <w:color w:val="222222"/>
          <w:sz w:val="22"/>
          <w:lang w:eastAsia="es-MX"/>
        </w:rPr>
      </w:pPr>
      <w:r w:rsidRPr="00912A8D">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12A8D">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8BD302C" w14:textId="77777777" w:rsidR="00860149" w:rsidRPr="00912A8D" w:rsidRDefault="00860149" w:rsidP="00AD78B6">
      <w:pPr>
        <w:spacing w:line="360" w:lineRule="auto"/>
        <w:contextualSpacing/>
        <w:jc w:val="both"/>
        <w:rPr>
          <w:rFonts w:ascii="Palatino Linotype" w:hAnsi="Palatino Linotype" w:cs="Arial"/>
          <w:bCs/>
        </w:rPr>
      </w:pPr>
    </w:p>
    <w:p w14:paraId="7CEDD6F5" w14:textId="77777777" w:rsidR="00860149" w:rsidRPr="00912A8D" w:rsidRDefault="00860149" w:rsidP="00AD78B6">
      <w:pPr>
        <w:spacing w:line="360" w:lineRule="auto"/>
        <w:contextualSpacing/>
        <w:jc w:val="both"/>
        <w:rPr>
          <w:rFonts w:ascii="Palatino Linotype" w:hAnsi="Palatino Linotype" w:cs="Arial"/>
        </w:rPr>
      </w:pPr>
      <w:r w:rsidRPr="00912A8D">
        <w:rPr>
          <w:rFonts w:ascii="Palatino Linotype" w:hAnsi="Palatino Linotype" w:cs="Arial"/>
          <w:bCs/>
        </w:rPr>
        <w:t xml:space="preserve">Además, </w:t>
      </w:r>
      <w:r w:rsidRPr="00912A8D">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4B5C6013" w14:textId="77777777" w:rsidR="00860149" w:rsidRPr="00912A8D" w:rsidRDefault="00860149" w:rsidP="00AD78B6">
      <w:pPr>
        <w:pStyle w:val="Sinespaciado"/>
        <w:spacing w:line="360" w:lineRule="auto"/>
      </w:pPr>
    </w:p>
    <w:p w14:paraId="31DEA879" w14:textId="77777777" w:rsidR="00860149" w:rsidRPr="00912A8D" w:rsidRDefault="00860149" w:rsidP="00AD78B6">
      <w:pPr>
        <w:spacing w:line="360" w:lineRule="auto"/>
        <w:ind w:left="426" w:right="616"/>
        <w:contextualSpacing/>
        <w:jc w:val="both"/>
        <w:rPr>
          <w:rFonts w:ascii="Palatino Linotype" w:hAnsi="Palatino Linotype" w:cs="Arial"/>
          <w:i/>
          <w:sz w:val="22"/>
        </w:rPr>
      </w:pPr>
      <w:r w:rsidRPr="00912A8D">
        <w:rPr>
          <w:rFonts w:ascii="Palatino Linotype" w:hAnsi="Palatino Linotype" w:cs="Arial"/>
          <w:b/>
          <w:i/>
          <w:sz w:val="22"/>
        </w:rPr>
        <w:t>Artículo 23.</w:t>
      </w:r>
      <w:r w:rsidRPr="00912A8D">
        <w:rPr>
          <w:rFonts w:ascii="Palatino Linotype" w:hAnsi="Palatino Linotype" w:cs="Arial"/>
          <w:i/>
          <w:sz w:val="22"/>
        </w:rPr>
        <w:t xml:space="preserve"> Son sujetos obligados a transparentar y permitir el acceso a su información y proteger los datos personales que obren en su poder:</w:t>
      </w:r>
    </w:p>
    <w:p w14:paraId="45F1EF31" w14:textId="77777777" w:rsidR="00860149" w:rsidRPr="00912A8D" w:rsidRDefault="00860149" w:rsidP="00AD78B6">
      <w:pPr>
        <w:pStyle w:val="Sinespaciado"/>
        <w:spacing w:line="360" w:lineRule="auto"/>
      </w:pPr>
    </w:p>
    <w:p w14:paraId="6D71FE58" w14:textId="77777777" w:rsidR="00860149" w:rsidRPr="00912A8D" w:rsidRDefault="00860149" w:rsidP="00AD78B6">
      <w:pPr>
        <w:pStyle w:val="Prrafodelista"/>
        <w:spacing w:line="360" w:lineRule="auto"/>
        <w:ind w:left="426" w:right="567"/>
        <w:jc w:val="both"/>
        <w:rPr>
          <w:rFonts w:ascii="Palatino Linotype" w:hAnsi="Palatino Linotype" w:cs="Arial"/>
          <w:i/>
          <w:sz w:val="22"/>
        </w:rPr>
      </w:pPr>
      <w:r w:rsidRPr="00912A8D">
        <w:rPr>
          <w:rFonts w:ascii="Palatino Linotype" w:hAnsi="Palatino Linotype" w:cs="Arial"/>
          <w:b/>
          <w:i/>
          <w:sz w:val="22"/>
        </w:rPr>
        <w:t>I.</w:t>
      </w:r>
      <w:r w:rsidRPr="00912A8D">
        <w:rPr>
          <w:rFonts w:ascii="Palatino Linotype" w:hAnsi="Palatino Linotype" w:cs="Arial"/>
          <w:i/>
          <w:sz w:val="22"/>
        </w:rPr>
        <w:t xml:space="preserve"> El Poder Ejecutivo del Estado de México, las dependencias, organismos auxiliares, órganos, entidades, fideicomisos y fondos públicos, así como la Procuraduría General de Justicia;</w:t>
      </w:r>
    </w:p>
    <w:p w14:paraId="4937641D" w14:textId="77777777" w:rsidR="00E06148" w:rsidRPr="00912A8D" w:rsidRDefault="00E06148" w:rsidP="00AD78B6">
      <w:pPr>
        <w:spacing w:line="360" w:lineRule="auto"/>
        <w:jc w:val="both"/>
        <w:rPr>
          <w:rFonts w:ascii="Palatino Linotype" w:hAnsi="Palatino Linotype" w:cs="Arial"/>
        </w:rPr>
      </w:pPr>
    </w:p>
    <w:p w14:paraId="6D0886F9" w14:textId="77777777" w:rsidR="00860149" w:rsidRPr="00912A8D" w:rsidRDefault="00860149" w:rsidP="00AD78B6">
      <w:pPr>
        <w:spacing w:line="360" w:lineRule="auto"/>
        <w:jc w:val="both"/>
        <w:rPr>
          <w:rFonts w:ascii="Palatino Linotype" w:hAnsi="Palatino Linotype" w:cs="Arial"/>
        </w:rPr>
      </w:pPr>
      <w:r w:rsidRPr="00912A8D">
        <w:rPr>
          <w:rFonts w:ascii="Palatino Linotype" w:hAnsi="Palatino Linotype" w:cs="Arial"/>
        </w:rPr>
        <w:t>Por lo que, de la</w:t>
      </w:r>
      <w:r w:rsidR="00E06148" w:rsidRPr="00912A8D">
        <w:rPr>
          <w:rFonts w:ascii="Palatino Linotype" w:hAnsi="Palatino Linotype" w:cs="Arial"/>
        </w:rPr>
        <w:t xml:space="preserve"> respuesta emitida por parte de</w:t>
      </w:r>
      <w:r w:rsidRPr="00912A8D">
        <w:rPr>
          <w:rFonts w:ascii="Palatino Linotype" w:hAnsi="Palatino Linotype" w:cs="Arial"/>
        </w:rPr>
        <w:t>l</w:t>
      </w:r>
      <w:r w:rsidR="00E06148" w:rsidRPr="00912A8D">
        <w:rPr>
          <w:rFonts w:ascii="Palatino Linotype" w:hAnsi="Palatino Linotype" w:cs="Arial"/>
        </w:rPr>
        <w:t xml:space="preserve"> Titular del Órgano Interno de Control</w:t>
      </w:r>
      <w:r w:rsidRPr="00912A8D">
        <w:rPr>
          <w:rFonts w:ascii="Palatino Linotype" w:hAnsi="Palatino Linotype" w:cs="Arial"/>
        </w:rPr>
        <w:t xml:space="preserve">  del </w:t>
      </w:r>
      <w:r w:rsidRPr="00912A8D">
        <w:rPr>
          <w:rFonts w:ascii="Palatino Linotype" w:hAnsi="Palatino Linotype" w:cs="Arial"/>
          <w:b/>
        </w:rPr>
        <w:t>Sujeto Obligado</w:t>
      </w:r>
      <w:r w:rsidRPr="00912A8D">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7B2EE182" w14:textId="77777777" w:rsidR="00860149" w:rsidRPr="00912A8D" w:rsidRDefault="00860149" w:rsidP="00AD78B6">
      <w:pPr>
        <w:spacing w:line="360" w:lineRule="auto"/>
        <w:jc w:val="both"/>
        <w:rPr>
          <w:rFonts w:ascii="Palatino Linotype" w:hAnsi="Palatino Linotype" w:cs="Arial"/>
        </w:rPr>
      </w:pPr>
    </w:p>
    <w:p w14:paraId="508E3D86" w14:textId="77777777" w:rsidR="00860149" w:rsidRPr="00912A8D" w:rsidRDefault="00860149" w:rsidP="00AD78B6">
      <w:pPr>
        <w:spacing w:line="360" w:lineRule="auto"/>
        <w:jc w:val="both"/>
        <w:rPr>
          <w:rFonts w:ascii="Palatino Linotype" w:hAnsi="Palatino Linotype" w:cs="Arial"/>
        </w:rPr>
      </w:pPr>
      <w:r w:rsidRPr="00912A8D">
        <w:rPr>
          <w:rFonts w:ascii="Palatino Linotype" w:hAnsi="Palatino Linotype" w:cs="Tahoma"/>
          <w:bCs/>
        </w:rPr>
        <w:t xml:space="preserve">Bajo estas líneas argumentativas, al retomar y delimitar los requerimientos del ahora </w:t>
      </w:r>
      <w:r w:rsidRPr="00912A8D">
        <w:rPr>
          <w:rFonts w:ascii="Palatino Linotype" w:hAnsi="Palatino Linotype" w:cs="Tahoma"/>
          <w:b/>
          <w:bCs/>
        </w:rPr>
        <w:t>Recurrente</w:t>
      </w:r>
      <w:r w:rsidRPr="00912A8D">
        <w:rPr>
          <w:rFonts w:ascii="Palatino Linotype" w:hAnsi="Palatino Linotype" w:cs="Tahoma"/>
          <w:bCs/>
        </w:rPr>
        <w:t>, de manera objetiva se precisa que se queja de la siguiente información: “</w:t>
      </w:r>
      <w:r w:rsidR="00E06148" w:rsidRPr="00912A8D">
        <w:rPr>
          <w:rFonts w:ascii="Palatino Linotype" w:hAnsi="Palatino Linotype" w:cs="Tahoma"/>
          <w:bCs/>
          <w:i/>
        </w:rPr>
        <w:t>no entrego TODO lo solicitado con máxima publicidad Punto por Punto ; Son asuntos que causaron Estado , no procede testar nada , si presento informes al congreso en sus comparecencias y realmente previnieron la corrupción y la combatieron, que rinda cuentas de todos los miles de asuntos que encubrió , Por lo tanto que acuerde el INFOEM</w:t>
      </w:r>
      <w:r w:rsidRPr="00912A8D">
        <w:rPr>
          <w:rFonts w:ascii="Palatino Linotype" w:hAnsi="Palatino Linotype" w:cs="Tahoma"/>
          <w:bCs/>
          <w:i/>
        </w:rPr>
        <w:t>” (Sic)</w:t>
      </w:r>
    </w:p>
    <w:p w14:paraId="7BDB1CE9" w14:textId="77777777" w:rsidR="00860149" w:rsidRPr="00912A8D" w:rsidRDefault="00860149" w:rsidP="00AD78B6">
      <w:pPr>
        <w:pStyle w:val="Sinespaciado"/>
        <w:spacing w:line="360" w:lineRule="auto"/>
      </w:pPr>
    </w:p>
    <w:p w14:paraId="1FF111AE" w14:textId="77777777" w:rsidR="00860149" w:rsidRPr="00912A8D" w:rsidRDefault="00860149" w:rsidP="00AD78B6">
      <w:pPr>
        <w:spacing w:line="360" w:lineRule="auto"/>
        <w:jc w:val="both"/>
        <w:rPr>
          <w:rFonts w:ascii="Palatino Linotype" w:hAnsi="Palatino Linotype"/>
          <w:color w:val="000000"/>
          <w:lang w:val="es-MX"/>
        </w:rPr>
      </w:pPr>
      <w:r w:rsidRPr="00912A8D">
        <w:rPr>
          <w:rFonts w:ascii="Palatino Linotype" w:hAnsi="Palatino Linotype"/>
          <w:color w:val="000000"/>
          <w:lang w:val="es-MX"/>
        </w:rPr>
        <w:t xml:space="preserve">Por lo que, mediante </w:t>
      </w:r>
      <w:r w:rsidR="00162003" w:rsidRPr="00912A8D">
        <w:rPr>
          <w:rFonts w:ascii="Palatino Linotype" w:eastAsiaTheme="minorHAnsi" w:hAnsi="Palatino Linotype" w:cstheme="minorBidi"/>
          <w:szCs w:val="22"/>
          <w:lang w:val="es-MX" w:eastAsia="es-MX"/>
        </w:rPr>
        <w:t>archivo electrónico denominado “</w:t>
      </w:r>
      <w:r w:rsidR="00162003" w:rsidRPr="00912A8D">
        <w:rPr>
          <w:rFonts w:ascii="Palatino Linotype" w:eastAsiaTheme="minorHAnsi" w:hAnsi="Palatino Linotype" w:cstheme="minorBidi"/>
          <w:i/>
          <w:szCs w:val="22"/>
          <w:lang w:val="es-MX" w:eastAsia="es-MX"/>
        </w:rPr>
        <w:t>OFICIO DE RESPUESTA SPH 312.pdf”</w:t>
      </w:r>
      <w:r w:rsidRPr="00912A8D">
        <w:rPr>
          <w:rFonts w:ascii="Palatino Linotype" w:hAnsi="Palatino Linotype"/>
          <w:color w:val="000000"/>
          <w:lang w:val="es-MX"/>
        </w:rPr>
        <w:t>, el Servidor Público Habilitado</w:t>
      </w:r>
      <w:r w:rsidR="00162003" w:rsidRPr="00912A8D">
        <w:rPr>
          <w:rFonts w:ascii="Palatino Linotype" w:hAnsi="Palatino Linotype"/>
          <w:color w:val="000000"/>
          <w:lang w:val="es-MX"/>
        </w:rPr>
        <w:t>,</w:t>
      </w:r>
      <w:r w:rsidRPr="00912A8D">
        <w:rPr>
          <w:rFonts w:ascii="Palatino Linotype" w:hAnsi="Palatino Linotype"/>
          <w:color w:val="000000"/>
          <w:lang w:val="es-MX"/>
        </w:rPr>
        <w:t xml:space="preserve"> </w:t>
      </w:r>
      <w:r w:rsidR="00162003" w:rsidRPr="00912A8D">
        <w:rPr>
          <w:rFonts w:ascii="Palatino Linotype" w:eastAsiaTheme="minorHAnsi" w:hAnsi="Palatino Linotype" w:cstheme="minorBidi"/>
          <w:b/>
          <w:szCs w:val="22"/>
          <w:lang w:val="es-MX" w:eastAsia="es-MX"/>
        </w:rPr>
        <w:t>Titular del Órgano de Control Interno</w:t>
      </w:r>
      <w:r w:rsidR="00162003" w:rsidRPr="00912A8D">
        <w:rPr>
          <w:rFonts w:ascii="Palatino Linotype" w:eastAsiaTheme="minorHAnsi" w:hAnsi="Palatino Linotype" w:cstheme="minorBidi"/>
          <w:szCs w:val="22"/>
          <w:lang w:val="es-MX" w:eastAsia="es-MX"/>
        </w:rPr>
        <w:t>, remitió copia testada del Acta de Entrega y Recepción del ex Secretario de la Contraloría del Gobierno del Estado de México</w:t>
      </w:r>
      <w:r w:rsidRPr="00912A8D">
        <w:rPr>
          <w:rFonts w:ascii="Palatino Linotype" w:hAnsi="Palatino Linotype"/>
          <w:color w:val="000000"/>
          <w:lang w:val="es-MX"/>
        </w:rPr>
        <w:t>.</w:t>
      </w:r>
    </w:p>
    <w:p w14:paraId="7E3FFD93" w14:textId="77777777" w:rsidR="00860149" w:rsidRPr="00912A8D" w:rsidRDefault="00860149" w:rsidP="00AD78B6">
      <w:pPr>
        <w:spacing w:line="360" w:lineRule="auto"/>
        <w:jc w:val="both"/>
        <w:rPr>
          <w:rFonts w:ascii="Palatino Linotype" w:hAnsi="Palatino Linotype"/>
          <w:color w:val="000000"/>
          <w:lang w:val="es-MX"/>
        </w:rPr>
      </w:pPr>
    </w:p>
    <w:p w14:paraId="77EFE789" w14:textId="77777777" w:rsidR="00162003" w:rsidRPr="00912A8D" w:rsidRDefault="00860149" w:rsidP="00AD78B6">
      <w:pPr>
        <w:spacing w:line="360" w:lineRule="auto"/>
        <w:jc w:val="both"/>
        <w:rPr>
          <w:rFonts w:ascii="Palatino Linotype" w:eastAsiaTheme="minorHAnsi" w:hAnsi="Palatino Linotype" w:cstheme="minorBidi"/>
          <w:szCs w:val="22"/>
          <w:lang w:val="es-MX" w:eastAsia="es-MX"/>
        </w:rPr>
      </w:pPr>
      <w:r w:rsidRPr="00912A8D">
        <w:rPr>
          <w:rFonts w:ascii="Palatino Linotype" w:hAnsi="Palatino Linotype"/>
          <w:color w:val="000000"/>
          <w:lang w:val="es-MX"/>
        </w:rPr>
        <w:t xml:space="preserve">De lo anterior se advierte que si bien el Sujeto Obligado </w:t>
      </w:r>
      <w:r w:rsidR="00162003" w:rsidRPr="00912A8D">
        <w:rPr>
          <w:rFonts w:ascii="Palatino Linotype" w:hAnsi="Palatino Linotype"/>
          <w:color w:val="000000"/>
          <w:lang w:val="es-MX"/>
        </w:rPr>
        <w:t>remiti</w:t>
      </w:r>
      <w:r w:rsidRPr="00912A8D">
        <w:rPr>
          <w:rFonts w:ascii="Palatino Linotype" w:hAnsi="Palatino Linotype"/>
          <w:color w:val="000000"/>
          <w:lang w:val="es-MX"/>
        </w:rPr>
        <w:t>ó a través de</w:t>
      </w:r>
      <w:r w:rsidR="00162003" w:rsidRPr="00912A8D">
        <w:rPr>
          <w:rFonts w:ascii="Palatino Linotype" w:hAnsi="Palatino Linotype"/>
          <w:color w:val="000000"/>
          <w:lang w:val="es-MX"/>
        </w:rPr>
        <w:t xml:space="preserve"> </w:t>
      </w:r>
      <w:r w:rsidRPr="00912A8D">
        <w:rPr>
          <w:rFonts w:ascii="Palatino Linotype" w:hAnsi="Palatino Linotype"/>
          <w:color w:val="000000"/>
          <w:lang w:val="es-MX"/>
        </w:rPr>
        <w:t>l</w:t>
      </w:r>
      <w:r w:rsidR="00162003" w:rsidRPr="00912A8D">
        <w:rPr>
          <w:rFonts w:ascii="Palatino Linotype" w:hAnsi="Palatino Linotype"/>
          <w:color w:val="000000"/>
          <w:lang w:val="es-MX"/>
        </w:rPr>
        <w:t>a</w:t>
      </w:r>
      <w:r w:rsidRPr="00912A8D">
        <w:rPr>
          <w:rFonts w:ascii="Palatino Linotype" w:hAnsi="Palatino Linotype"/>
          <w:color w:val="000000"/>
          <w:lang w:val="es-MX"/>
        </w:rPr>
        <w:t xml:space="preserve"> Servidor</w:t>
      </w:r>
      <w:r w:rsidR="00162003" w:rsidRPr="00912A8D">
        <w:rPr>
          <w:rFonts w:ascii="Palatino Linotype" w:hAnsi="Palatino Linotype"/>
          <w:color w:val="000000"/>
          <w:lang w:val="es-MX"/>
        </w:rPr>
        <w:t>a</w:t>
      </w:r>
      <w:r w:rsidRPr="00912A8D">
        <w:rPr>
          <w:rFonts w:ascii="Palatino Linotype" w:hAnsi="Palatino Linotype"/>
          <w:color w:val="000000"/>
          <w:lang w:val="es-MX"/>
        </w:rPr>
        <w:t xml:space="preserve"> Públic</w:t>
      </w:r>
      <w:r w:rsidR="00162003" w:rsidRPr="00912A8D">
        <w:rPr>
          <w:rFonts w:ascii="Palatino Linotype" w:hAnsi="Palatino Linotype"/>
          <w:color w:val="000000"/>
          <w:lang w:val="es-MX"/>
        </w:rPr>
        <w:t>a</w:t>
      </w:r>
      <w:r w:rsidRPr="00912A8D">
        <w:rPr>
          <w:rFonts w:ascii="Palatino Linotype" w:hAnsi="Palatino Linotype"/>
          <w:color w:val="000000"/>
          <w:lang w:val="es-MX"/>
        </w:rPr>
        <w:t xml:space="preserve"> Habilitad</w:t>
      </w:r>
      <w:r w:rsidR="00162003" w:rsidRPr="00912A8D">
        <w:rPr>
          <w:rFonts w:ascii="Palatino Linotype" w:hAnsi="Palatino Linotype"/>
          <w:color w:val="000000"/>
          <w:lang w:val="es-MX"/>
        </w:rPr>
        <w:t>a</w:t>
      </w:r>
      <w:r w:rsidRPr="00912A8D">
        <w:rPr>
          <w:rFonts w:ascii="Palatino Linotype" w:hAnsi="Palatino Linotype"/>
          <w:color w:val="000000"/>
          <w:lang w:val="es-MX"/>
        </w:rPr>
        <w:t xml:space="preserve"> referid</w:t>
      </w:r>
      <w:r w:rsidR="00162003" w:rsidRPr="00912A8D">
        <w:rPr>
          <w:rFonts w:ascii="Palatino Linotype" w:hAnsi="Palatino Linotype"/>
          <w:color w:val="000000"/>
          <w:lang w:val="es-MX"/>
        </w:rPr>
        <w:t>a</w:t>
      </w:r>
      <w:r w:rsidRPr="00912A8D">
        <w:rPr>
          <w:rFonts w:ascii="Palatino Linotype" w:hAnsi="Palatino Linotype"/>
          <w:color w:val="000000"/>
          <w:lang w:val="es-MX"/>
        </w:rPr>
        <w:t xml:space="preserve"> </w:t>
      </w:r>
      <w:r w:rsidR="00162003" w:rsidRPr="00912A8D">
        <w:rPr>
          <w:rFonts w:ascii="Palatino Linotype" w:hAnsi="Palatino Linotype"/>
          <w:color w:val="000000"/>
          <w:lang w:val="es-MX"/>
        </w:rPr>
        <w:t xml:space="preserve">el </w:t>
      </w:r>
      <w:r w:rsidR="00162003" w:rsidRPr="00912A8D">
        <w:rPr>
          <w:rFonts w:ascii="Palatino Linotype" w:eastAsiaTheme="minorHAnsi" w:hAnsi="Palatino Linotype" w:cstheme="minorBidi"/>
          <w:szCs w:val="22"/>
          <w:lang w:val="es-MX" w:eastAsia="es-MX"/>
        </w:rPr>
        <w:t xml:space="preserve">Acta de Entrega y Recepción del ex Secretario de la </w:t>
      </w:r>
      <w:r w:rsidR="00162003" w:rsidRPr="00912A8D">
        <w:rPr>
          <w:rFonts w:ascii="Palatino Linotype" w:eastAsiaTheme="minorHAnsi" w:hAnsi="Palatino Linotype" w:cstheme="minorBidi"/>
          <w:szCs w:val="22"/>
          <w:lang w:val="es-MX" w:eastAsia="es-MX"/>
        </w:rPr>
        <w:lastRenderedPageBreak/>
        <w:t>Contraloría del Gobierno del Estado de México</w:t>
      </w:r>
      <w:r w:rsidRPr="00912A8D">
        <w:rPr>
          <w:rFonts w:ascii="Palatino Linotype" w:hAnsi="Palatino Linotype"/>
          <w:color w:val="000000"/>
          <w:lang w:val="es-MX"/>
        </w:rPr>
        <w:t xml:space="preserve">; también lo es que </w:t>
      </w:r>
      <w:r w:rsidR="00162003" w:rsidRPr="00912A8D">
        <w:rPr>
          <w:rFonts w:ascii="Palatino Linotype" w:hAnsi="Palatino Linotype"/>
          <w:color w:val="000000"/>
          <w:lang w:val="es-MX"/>
        </w:rPr>
        <w:t xml:space="preserve">únicamente remitió el acta de entrega y recepción requerida en el </w:t>
      </w:r>
      <w:r w:rsidR="00162003" w:rsidRPr="00912A8D">
        <w:rPr>
          <w:rFonts w:ascii="Palatino Linotype" w:hAnsi="Palatino Linotype"/>
          <w:color w:val="000000"/>
          <w:u w:val="single"/>
          <w:lang w:val="es-MX"/>
        </w:rPr>
        <w:t>punto número uno (1)</w:t>
      </w:r>
      <w:r w:rsidR="00162003" w:rsidRPr="00912A8D">
        <w:rPr>
          <w:rFonts w:ascii="Palatino Linotype" w:hAnsi="Palatino Linotype"/>
          <w:color w:val="000000"/>
          <w:lang w:val="es-MX"/>
        </w:rPr>
        <w:t xml:space="preserve"> de la solicitud de información, asimismo de acuerdo a lo manifestado por la referida servidora pública, en dicha Acta </w:t>
      </w:r>
      <w:r w:rsidR="00162003" w:rsidRPr="00912A8D">
        <w:rPr>
          <w:rFonts w:ascii="Palatino Linotype" w:eastAsiaTheme="minorHAnsi" w:hAnsi="Palatino Linotype" w:cstheme="minorBidi"/>
          <w:szCs w:val="22"/>
          <w:lang w:val="es-MX" w:eastAsia="es-MX"/>
        </w:rPr>
        <w:t>no se advierte que alguno de los apartados que integran contenga el tipo de información requerida por el peticionario.</w:t>
      </w:r>
      <w:r w:rsidR="00A74C82" w:rsidRPr="00912A8D">
        <w:rPr>
          <w:rFonts w:ascii="Palatino Linotype" w:eastAsiaTheme="minorHAnsi" w:hAnsi="Palatino Linotype" w:cstheme="minorBidi"/>
          <w:szCs w:val="22"/>
          <w:lang w:val="es-MX" w:eastAsia="es-MX"/>
        </w:rPr>
        <w:t xml:space="preserve"> Por lo anterior se tendrá por colmado el </w:t>
      </w:r>
      <w:r w:rsidR="00A74C82" w:rsidRPr="00912A8D">
        <w:rPr>
          <w:rFonts w:ascii="Palatino Linotype" w:eastAsiaTheme="minorHAnsi" w:hAnsi="Palatino Linotype" w:cstheme="minorBidi"/>
          <w:szCs w:val="22"/>
          <w:u w:val="single"/>
          <w:lang w:val="es-MX" w:eastAsia="es-MX"/>
        </w:rPr>
        <w:t>punto número uno (1)</w:t>
      </w:r>
      <w:r w:rsidR="00A74C82" w:rsidRPr="00912A8D">
        <w:rPr>
          <w:rFonts w:ascii="Palatino Linotype" w:eastAsiaTheme="minorHAnsi" w:hAnsi="Palatino Linotype" w:cstheme="minorBidi"/>
          <w:szCs w:val="22"/>
          <w:lang w:val="es-MX" w:eastAsia="es-MX"/>
        </w:rPr>
        <w:t xml:space="preserve"> peticionado por el particular, al haberse entregado el Acta requerida. </w:t>
      </w:r>
    </w:p>
    <w:p w14:paraId="49926BC7" w14:textId="77777777" w:rsidR="00D73C7F" w:rsidRPr="00912A8D" w:rsidRDefault="00D73C7F" w:rsidP="00AD78B6">
      <w:pPr>
        <w:spacing w:line="360" w:lineRule="auto"/>
        <w:ind w:firstLine="708"/>
        <w:jc w:val="both"/>
        <w:rPr>
          <w:rFonts w:ascii="Palatino Linotype" w:eastAsia="Palatino Linotype" w:hAnsi="Palatino Linotype" w:cs="Palatino Linotype"/>
        </w:rPr>
      </w:pPr>
    </w:p>
    <w:p w14:paraId="113D989F" w14:textId="77777777" w:rsidR="00860149" w:rsidRPr="00912A8D" w:rsidRDefault="00860149" w:rsidP="00AD78B6">
      <w:pPr>
        <w:spacing w:line="360" w:lineRule="auto"/>
        <w:jc w:val="both"/>
        <w:rPr>
          <w:rFonts w:ascii="Palatino Linotype" w:eastAsia="Palatino Linotype" w:hAnsi="Palatino Linotype" w:cs="Palatino Linotype"/>
        </w:rPr>
      </w:pPr>
      <w:r w:rsidRPr="00912A8D">
        <w:rPr>
          <w:rFonts w:ascii="Palatino Linotype" w:eastAsia="Palatino Linotype" w:hAnsi="Palatino Linotype" w:cs="Palatino Linotype"/>
        </w:rPr>
        <w:t xml:space="preserve">Ahora bien, resulta importante traer a colación el </w:t>
      </w:r>
      <w:r w:rsidR="002F1708" w:rsidRPr="00912A8D">
        <w:rPr>
          <w:rFonts w:ascii="Palatino Linotype" w:eastAsia="Palatino Linotype" w:hAnsi="Palatino Linotype" w:cs="Palatino Linotype"/>
          <w:b/>
        </w:rPr>
        <w:t>Reglamento Interior de la Secretaría de la Contraloría</w:t>
      </w:r>
      <w:r w:rsidRPr="00912A8D">
        <w:rPr>
          <w:rFonts w:ascii="Palatino Linotype" w:eastAsia="Palatino Linotype" w:hAnsi="Palatino Linotype" w:cs="Palatino Linotype"/>
        </w:rPr>
        <w:t xml:space="preserve">, para conocer </w:t>
      </w:r>
      <w:r w:rsidR="002F1708" w:rsidRPr="00912A8D">
        <w:rPr>
          <w:rFonts w:ascii="Palatino Linotype" w:eastAsia="Palatino Linotype" w:hAnsi="Palatino Linotype" w:cs="Palatino Linotype"/>
        </w:rPr>
        <w:t>las áreas</w:t>
      </w:r>
      <w:r w:rsidRPr="00912A8D">
        <w:rPr>
          <w:rFonts w:ascii="Palatino Linotype" w:eastAsia="Palatino Linotype" w:hAnsi="Palatino Linotype" w:cs="Palatino Linotype"/>
        </w:rPr>
        <w:t xml:space="preserve"> en las que puede obrar la información que resulta del interés del particular, </w:t>
      </w:r>
      <w:r w:rsidR="002F1708" w:rsidRPr="00912A8D">
        <w:rPr>
          <w:rFonts w:ascii="Palatino Linotype" w:eastAsia="Palatino Linotype" w:hAnsi="Palatino Linotype" w:cs="Palatino Linotype"/>
        </w:rPr>
        <w:t>el cual establece lo siguiente</w:t>
      </w:r>
      <w:r w:rsidRPr="00912A8D">
        <w:rPr>
          <w:rFonts w:ascii="Palatino Linotype" w:eastAsia="Palatino Linotype" w:hAnsi="Palatino Linotype" w:cs="Palatino Linotype"/>
        </w:rPr>
        <w:t>:</w:t>
      </w:r>
    </w:p>
    <w:p w14:paraId="0314D1C0" w14:textId="77777777" w:rsidR="007E5FA1" w:rsidRPr="00912A8D" w:rsidRDefault="007E5FA1" w:rsidP="00AD78B6">
      <w:pPr>
        <w:tabs>
          <w:tab w:val="left" w:pos="8931"/>
        </w:tabs>
        <w:spacing w:line="360" w:lineRule="auto"/>
        <w:ind w:right="51"/>
        <w:jc w:val="both"/>
        <w:rPr>
          <w:rFonts w:ascii="Palatino Linotype" w:eastAsia="Palatino Linotype" w:hAnsi="Palatino Linotype" w:cs="Palatino Linotype"/>
        </w:rPr>
      </w:pPr>
    </w:p>
    <w:tbl>
      <w:tblPr>
        <w:tblStyle w:val="Tablaconcuadrcula"/>
        <w:tblW w:w="9072" w:type="dxa"/>
        <w:tblInd w:w="-5" w:type="dxa"/>
        <w:tblLayout w:type="fixed"/>
        <w:tblLook w:val="04A0" w:firstRow="1" w:lastRow="0" w:firstColumn="1" w:lastColumn="0" w:noHBand="0" w:noVBand="1"/>
      </w:tblPr>
      <w:tblGrid>
        <w:gridCol w:w="2552"/>
        <w:gridCol w:w="6520"/>
      </w:tblGrid>
      <w:tr w:rsidR="00346DBE" w:rsidRPr="00912A8D" w14:paraId="44E518E1" w14:textId="77777777" w:rsidTr="00346DBE">
        <w:trPr>
          <w:trHeight w:val="454"/>
          <w:tblHeader/>
        </w:trPr>
        <w:tc>
          <w:tcPr>
            <w:tcW w:w="2552" w:type="dxa"/>
            <w:shd w:val="clear" w:color="auto" w:fill="D0CECE" w:themeFill="background2" w:themeFillShade="E6"/>
            <w:vAlign w:val="center"/>
          </w:tcPr>
          <w:p w14:paraId="50BF58E3" w14:textId="77777777" w:rsidR="00346DBE" w:rsidRPr="00912A8D" w:rsidRDefault="00346DBE" w:rsidP="00AD78B6">
            <w:pPr>
              <w:spacing w:line="360" w:lineRule="auto"/>
              <w:jc w:val="center"/>
              <w:rPr>
                <w:rFonts w:ascii="Palatino Linotype" w:hAnsi="Palatino Linotype" w:cs="Arial"/>
                <w:b/>
                <w:sz w:val="22"/>
                <w:szCs w:val="20"/>
                <w:lang w:val="es-419"/>
              </w:rPr>
            </w:pPr>
            <w:r w:rsidRPr="00912A8D">
              <w:rPr>
                <w:rFonts w:ascii="Palatino Linotype" w:hAnsi="Palatino Linotype" w:cs="Arial"/>
                <w:b/>
                <w:sz w:val="22"/>
                <w:szCs w:val="20"/>
                <w:lang w:val="es-419"/>
              </w:rPr>
              <w:t>Solicitud</w:t>
            </w:r>
          </w:p>
        </w:tc>
        <w:tc>
          <w:tcPr>
            <w:tcW w:w="6520" w:type="dxa"/>
            <w:shd w:val="clear" w:color="auto" w:fill="D0CECE" w:themeFill="background2" w:themeFillShade="E6"/>
            <w:vAlign w:val="center"/>
          </w:tcPr>
          <w:p w14:paraId="57C1E7C3" w14:textId="77777777" w:rsidR="00346DBE" w:rsidRPr="00912A8D" w:rsidRDefault="00346DBE" w:rsidP="00AD78B6">
            <w:pPr>
              <w:spacing w:line="360" w:lineRule="auto"/>
              <w:jc w:val="center"/>
              <w:rPr>
                <w:rFonts w:ascii="Palatino Linotype" w:hAnsi="Palatino Linotype" w:cs="Arial"/>
                <w:b/>
                <w:sz w:val="22"/>
                <w:szCs w:val="20"/>
                <w:lang w:val="es-419"/>
              </w:rPr>
            </w:pPr>
            <w:r w:rsidRPr="00912A8D">
              <w:rPr>
                <w:rFonts w:ascii="Palatino Linotype" w:eastAsia="Palatino Linotype" w:hAnsi="Palatino Linotype" w:cs="Palatino Linotype"/>
                <w:b/>
                <w:sz w:val="22"/>
              </w:rPr>
              <w:t>Reglamento Interior de la Secretaría de la Contraloría</w:t>
            </w:r>
          </w:p>
        </w:tc>
      </w:tr>
      <w:tr w:rsidR="00346DBE" w:rsidRPr="00912A8D" w14:paraId="53A48779" w14:textId="77777777" w:rsidTr="00346DBE">
        <w:trPr>
          <w:trHeight w:val="1443"/>
        </w:trPr>
        <w:tc>
          <w:tcPr>
            <w:tcW w:w="2552" w:type="dxa"/>
            <w:vAlign w:val="center"/>
          </w:tcPr>
          <w:p w14:paraId="23F83EF1" w14:textId="77777777" w:rsidR="00346DBE" w:rsidRPr="00912A8D" w:rsidRDefault="00346DBE" w:rsidP="00AD78B6">
            <w:pPr>
              <w:spacing w:line="360" w:lineRule="auto"/>
              <w:jc w:val="both"/>
              <w:rPr>
                <w:rFonts w:ascii="Palatino Linotype" w:hAnsi="Palatino Linotype" w:cs="Arial"/>
                <w:b/>
                <w:sz w:val="20"/>
                <w:szCs w:val="20"/>
                <w:lang w:val="es-419"/>
              </w:rPr>
            </w:pPr>
            <w:r w:rsidRPr="00912A8D">
              <w:rPr>
                <w:rFonts w:ascii="Palatino Linotype" w:hAnsi="Palatino Linotype" w:cs="Arial"/>
                <w:b/>
                <w:sz w:val="20"/>
                <w:szCs w:val="20"/>
                <w:lang w:val="es-419"/>
              </w:rPr>
              <w:t>2. Sanciones económicas impuestas en su gestión.</w:t>
            </w:r>
          </w:p>
          <w:p w14:paraId="059356CE" w14:textId="77777777" w:rsidR="00346DBE" w:rsidRPr="00912A8D" w:rsidRDefault="00346DBE" w:rsidP="00AD78B6">
            <w:pPr>
              <w:spacing w:line="360" w:lineRule="auto"/>
              <w:jc w:val="both"/>
              <w:rPr>
                <w:rFonts w:ascii="Palatino Linotype" w:hAnsi="Palatino Linotype" w:cs="Arial"/>
                <w:b/>
                <w:sz w:val="20"/>
                <w:szCs w:val="20"/>
                <w:lang w:val="es-419"/>
              </w:rPr>
            </w:pPr>
          </w:p>
        </w:tc>
        <w:tc>
          <w:tcPr>
            <w:tcW w:w="6520" w:type="dxa"/>
          </w:tcPr>
          <w:p w14:paraId="0075D99B"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b/>
                <w:i/>
                <w:sz w:val="22"/>
              </w:rPr>
              <w:t>Artículo 23.</w:t>
            </w:r>
            <w:r w:rsidRPr="00912A8D">
              <w:rPr>
                <w:rFonts w:ascii="Palatino Linotype" w:hAnsi="Palatino Linotype"/>
                <w:i/>
                <w:sz w:val="22"/>
              </w:rPr>
              <w:t xml:space="preserve"> Corresponden a la </w:t>
            </w:r>
            <w:r w:rsidRPr="00912A8D">
              <w:rPr>
                <w:rFonts w:ascii="Palatino Linotype" w:hAnsi="Palatino Linotype"/>
                <w:b/>
                <w:i/>
                <w:sz w:val="22"/>
                <w:u w:val="single"/>
              </w:rPr>
              <w:t>Dirección de Registro de Declaraciones y Sanciones</w:t>
            </w:r>
            <w:r w:rsidRPr="00912A8D">
              <w:rPr>
                <w:rFonts w:ascii="Palatino Linotype" w:hAnsi="Palatino Linotype"/>
                <w:i/>
                <w:sz w:val="22"/>
              </w:rPr>
              <w:t xml:space="preserve"> las atribuciones siguientes:</w:t>
            </w:r>
          </w:p>
          <w:p w14:paraId="4429CEB3" w14:textId="77777777" w:rsidR="00346DBE" w:rsidRPr="00912A8D" w:rsidRDefault="00346DBE" w:rsidP="00AD78B6">
            <w:pPr>
              <w:tabs>
                <w:tab w:val="left" w:pos="8931"/>
              </w:tabs>
              <w:spacing w:line="360" w:lineRule="auto"/>
              <w:ind w:left="176" w:right="175"/>
              <w:jc w:val="both"/>
              <w:rPr>
                <w:rFonts w:ascii="Palatino Linotype" w:eastAsia="Palatino Linotype" w:hAnsi="Palatino Linotype" w:cs="Palatino Linotype"/>
                <w:i/>
                <w:sz w:val="22"/>
              </w:rPr>
            </w:pPr>
            <w:r w:rsidRPr="00912A8D">
              <w:rPr>
                <w:rFonts w:ascii="Palatino Linotype" w:eastAsia="Palatino Linotype" w:hAnsi="Palatino Linotype" w:cs="Palatino Linotype"/>
                <w:i/>
                <w:sz w:val="22"/>
              </w:rPr>
              <w:t>(…)</w:t>
            </w:r>
          </w:p>
          <w:p w14:paraId="12EB7622"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i/>
                <w:sz w:val="22"/>
              </w:rPr>
              <w:t xml:space="preserve">XVI. </w:t>
            </w:r>
            <w:r w:rsidRPr="00912A8D">
              <w:rPr>
                <w:rFonts w:ascii="Palatino Linotype" w:hAnsi="Palatino Linotype"/>
                <w:b/>
                <w:i/>
                <w:sz w:val="22"/>
                <w:u w:val="single"/>
              </w:rPr>
              <w:t xml:space="preserve">Administrar el sistema de registro de sanciones del Poder Ejecutivo, de las personas servidoras públicas sancionados y de las abstenciones que hayan realizado las autoridades, </w:t>
            </w:r>
            <w:r w:rsidR="00B40913" w:rsidRPr="00912A8D">
              <w:rPr>
                <w:rFonts w:ascii="Palatino Linotype" w:hAnsi="Palatino Linotype"/>
                <w:i/>
                <w:sz w:val="22"/>
                <w:u w:val="single"/>
              </w:rPr>
              <w:t>E</w:t>
            </w:r>
          </w:p>
          <w:p w14:paraId="6E1FB1C4"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i/>
                <w:sz w:val="22"/>
              </w:rPr>
              <w:t>(…)</w:t>
            </w:r>
          </w:p>
          <w:p w14:paraId="50F3ADFA"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b/>
                <w:i/>
                <w:sz w:val="22"/>
                <w:u w:val="single"/>
              </w:rPr>
              <w:t xml:space="preserve">XXII. </w:t>
            </w:r>
            <w:r w:rsidRPr="00912A8D">
              <w:rPr>
                <w:rFonts w:ascii="Palatino Linotype" w:hAnsi="Palatino Linotype"/>
                <w:i/>
                <w:sz w:val="22"/>
                <w:u w:val="single"/>
              </w:rPr>
              <w:t>Supervisar la integración y actualización en el sistema de registro de sanciones del Poder Ejecutivo</w:t>
            </w:r>
            <w:r w:rsidRPr="00912A8D">
              <w:rPr>
                <w:rFonts w:ascii="Palatino Linotype" w:hAnsi="Palatino Linotype"/>
                <w:b/>
                <w:i/>
                <w:sz w:val="22"/>
                <w:u w:val="single"/>
              </w:rPr>
              <w:t xml:space="preserve">, de las personas servidoras públicas sancionadas </w:t>
            </w:r>
            <w:r w:rsidRPr="00912A8D">
              <w:rPr>
                <w:rFonts w:ascii="Palatino Linotype" w:hAnsi="Palatino Linotype"/>
                <w:i/>
                <w:sz w:val="22"/>
                <w:u w:val="single"/>
              </w:rPr>
              <w:t>y de las abstenciones que hayan realizado las autoridades, así como informar</w:t>
            </w:r>
            <w:r w:rsidRPr="00912A8D">
              <w:rPr>
                <w:rFonts w:ascii="Palatino Linotype" w:hAnsi="Palatino Linotype"/>
                <w:b/>
                <w:i/>
                <w:sz w:val="22"/>
                <w:u w:val="single"/>
              </w:rPr>
              <w:t xml:space="preserve"> los antecedentes de sanciones y de la emisión de la Constancia de No </w:t>
            </w:r>
            <w:r w:rsidRPr="00912A8D">
              <w:rPr>
                <w:rFonts w:ascii="Palatino Linotype" w:hAnsi="Palatino Linotype"/>
                <w:b/>
                <w:i/>
                <w:sz w:val="22"/>
                <w:u w:val="single"/>
              </w:rPr>
              <w:lastRenderedPageBreak/>
              <w:t xml:space="preserve">Inhabilitación, </w:t>
            </w:r>
            <w:r w:rsidRPr="00912A8D">
              <w:rPr>
                <w:rFonts w:ascii="Palatino Linotype" w:hAnsi="Palatino Linotype"/>
                <w:i/>
                <w:sz w:val="22"/>
                <w:u w:val="single"/>
              </w:rPr>
              <w:t>de conformidad con la Ley de Responsabilidades Administrativas, para suministrar la información a la Plataforma Digital Nacional y Estatal del Sistema Nacional, Estatal y Municipal Anticorrupción</w:t>
            </w:r>
            <w:r w:rsidRPr="00912A8D">
              <w:rPr>
                <w:rFonts w:ascii="Palatino Linotype" w:hAnsi="Palatino Linotype"/>
                <w:i/>
                <w:sz w:val="22"/>
              </w:rPr>
              <w:t xml:space="preserve">; </w:t>
            </w:r>
          </w:p>
          <w:p w14:paraId="2F6640BD"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i/>
                <w:sz w:val="22"/>
              </w:rPr>
              <w:t>(…)</w:t>
            </w:r>
          </w:p>
          <w:p w14:paraId="00CE623D"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b/>
                <w:i/>
                <w:sz w:val="22"/>
                <w:u w:val="single"/>
              </w:rPr>
              <w:t>XXVII. Emitir los informes que requieran los Órganos Internos de Control y las instancias competentes, sobre antecedentes de sanción o sanciones administrativas de las personas servidoras públicas</w:t>
            </w:r>
            <w:r w:rsidRPr="00912A8D">
              <w:rPr>
                <w:rFonts w:ascii="Palatino Linotype" w:hAnsi="Palatino Linotype"/>
                <w:i/>
                <w:sz w:val="22"/>
              </w:rPr>
              <w:t>;</w:t>
            </w:r>
          </w:p>
          <w:p w14:paraId="089B6DE5" w14:textId="77777777" w:rsidR="00346DBE" w:rsidRPr="00912A8D" w:rsidRDefault="00346DBE" w:rsidP="00AD78B6">
            <w:pPr>
              <w:tabs>
                <w:tab w:val="left" w:pos="8931"/>
              </w:tabs>
              <w:spacing w:line="360" w:lineRule="auto"/>
              <w:ind w:left="176" w:right="175"/>
              <w:jc w:val="both"/>
              <w:rPr>
                <w:rFonts w:ascii="Palatino Linotype" w:hAnsi="Palatino Linotype"/>
                <w:i/>
                <w:sz w:val="22"/>
              </w:rPr>
            </w:pPr>
            <w:r w:rsidRPr="00912A8D">
              <w:rPr>
                <w:rFonts w:ascii="Palatino Linotype" w:hAnsi="Palatino Linotype"/>
                <w:i/>
                <w:sz w:val="22"/>
                <w:u w:val="single"/>
              </w:rPr>
              <w:t>XXVIII. Revisar y supervisar el cumplimiento de los requerimientos de otras instancias administrativas de la Secretaría, previo acuerdo con la persona titular de la Subsecretaría de Responsabilidades Administrativas</w:t>
            </w:r>
            <w:r w:rsidRPr="00912A8D">
              <w:rPr>
                <w:rFonts w:ascii="Palatino Linotype" w:hAnsi="Palatino Linotype"/>
                <w:i/>
                <w:sz w:val="22"/>
              </w:rPr>
              <w:t xml:space="preserve">; </w:t>
            </w:r>
          </w:p>
          <w:p w14:paraId="4DD3925B" w14:textId="77777777" w:rsidR="00346DBE" w:rsidRPr="00912A8D" w:rsidRDefault="00346DBE" w:rsidP="00AD78B6">
            <w:pPr>
              <w:tabs>
                <w:tab w:val="left" w:pos="8931"/>
              </w:tabs>
              <w:spacing w:line="360" w:lineRule="auto"/>
              <w:ind w:left="176" w:right="175"/>
              <w:jc w:val="both"/>
              <w:rPr>
                <w:rFonts w:ascii="Palatino Linotype" w:hAnsi="Palatino Linotype"/>
                <w:i/>
                <w:sz w:val="22"/>
                <w:u w:val="single"/>
              </w:rPr>
            </w:pPr>
            <w:r w:rsidRPr="00912A8D">
              <w:rPr>
                <w:rFonts w:ascii="Palatino Linotype" w:hAnsi="Palatino Linotype"/>
                <w:i/>
                <w:sz w:val="22"/>
                <w:u w:val="single"/>
              </w:rPr>
              <w:t xml:space="preserve">XXIX. Comunicar a las áreas correspondientes de la Secretaría, el boletín de empresas y/o </w:t>
            </w:r>
            <w:r w:rsidRPr="00912A8D">
              <w:rPr>
                <w:rFonts w:ascii="Palatino Linotype" w:hAnsi="Palatino Linotype"/>
                <w:b/>
                <w:i/>
                <w:sz w:val="22"/>
                <w:u w:val="single"/>
              </w:rPr>
              <w:t>personas físicas objetadas y sancionadas</w:t>
            </w:r>
            <w:r w:rsidRPr="00912A8D">
              <w:rPr>
                <w:rFonts w:ascii="Palatino Linotype" w:hAnsi="Palatino Linotype"/>
                <w:i/>
                <w:sz w:val="22"/>
                <w:u w:val="single"/>
              </w:rPr>
              <w:t>, en los términos del acuerdo respectivo;</w:t>
            </w:r>
          </w:p>
          <w:p w14:paraId="48A279D3" w14:textId="77777777" w:rsidR="00346DBE" w:rsidRPr="00912A8D" w:rsidRDefault="00346DBE" w:rsidP="00AD78B6">
            <w:pPr>
              <w:tabs>
                <w:tab w:val="left" w:pos="8931"/>
              </w:tabs>
              <w:spacing w:line="360" w:lineRule="auto"/>
              <w:ind w:left="176" w:right="175"/>
              <w:jc w:val="both"/>
              <w:rPr>
                <w:rFonts w:ascii="Palatino Linotype" w:eastAsia="Palatino Linotype" w:hAnsi="Palatino Linotype" w:cs="Palatino Linotype"/>
                <w:i/>
                <w:sz w:val="10"/>
              </w:rPr>
            </w:pPr>
            <w:r w:rsidRPr="00912A8D">
              <w:rPr>
                <w:rFonts w:ascii="Palatino Linotype" w:hAnsi="Palatino Linotype"/>
                <w:i/>
                <w:sz w:val="22"/>
              </w:rPr>
              <w:t>(…)</w:t>
            </w:r>
          </w:p>
          <w:p w14:paraId="1C285DD5" w14:textId="77777777" w:rsidR="00346DBE" w:rsidRPr="00912A8D" w:rsidRDefault="00346DBE" w:rsidP="00AD78B6">
            <w:pPr>
              <w:spacing w:line="360" w:lineRule="auto"/>
              <w:jc w:val="both"/>
              <w:rPr>
                <w:rFonts w:ascii="Palatino Linotype" w:hAnsi="Palatino Linotype"/>
                <w:iCs/>
                <w:sz w:val="20"/>
                <w:szCs w:val="20"/>
              </w:rPr>
            </w:pPr>
          </w:p>
        </w:tc>
      </w:tr>
      <w:tr w:rsidR="00346DBE" w:rsidRPr="00912A8D" w14:paraId="714509D1" w14:textId="77777777" w:rsidTr="00346DBE">
        <w:trPr>
          <w:trHeight w:val="1443"/>
        </w:trPr>
        <w:tc>
          <w:tcPr>
            <w:tcW w:w="2552" w:type="dxa"/>
            <w:vAlign w:val="center"/>
          </w:tcPr>
          <w:p w14:paraId="69EE17A7" w14:textId="77777777" w:rsidR="00346DBE" w:rsidRPr="00912A8D" w:rsidRDefault="00346DBE" w:rsidP="00AD78B6">
            <w:pPr>
              <w:spacing w:line="360" w:lineRule="auto"/>
              <w:jc w:val="both"/>
              <w:rPr>
                <w:rFonts w:ascii="Palatino Linotype" w:hAnsi="Palatino Linotype" w:cs="Arial"/>
                <w:b/>
                <w:sz w:val="20"/>
                <w:szCs w:val="20"/>
                <w:lang w:val="es-419"/>
              </w:rPr>
            </w:pPr>
            <w:r w:rsidRPr="00912A8D">
              <w:rPr>
                <w:rFonts w:ascii="Palatino Linotype" w:hAnsi="Palatino Linotype" w:cs="Arial"/>
                <w:b/>
                <w:sz w:val="20"/>
                <w:szCs w:val="20"/>
                <w:lang w:val="es-419"/>
              </w:rPr>
              <w:lastRenderedPageBreak/>
              <w:t xml:space="preserve">3. Resultados concretos denuncias presentadas ante la FGJ de </w:t>
            </w:r>
            <w:r w:rsidR="00B40913" w:rsidRPr="00912A8D">
              <w:rPr>
                <w:rFonts w:ascii="Palatino Linotype" w:hAnsi="Palatino Linotype" w:cs="Arial"/>
                <w:b/>
                <w:sz w:val="20"/>
                <w:szCs w:val="20"/>
                <w:lang w:val="es-419"/>
              </w:rPr>
              <w:t>su estado</w:t>
            </w:r>
            <w:r w:rsidRPr="00912A8D">
              <w:rPr>
                <w:rFonts w:ascii="Palatino Linotype" w:hAnsi="Palatino Linotype" w:cs="Arial"/>
                <w:b/>
                <w:sz w:val="20"/>
                <w:szCs w:val="20"/>
                <w:lang w:val="es-419"/>
              </w:rPr>
              <w:t xml:space="preserve"> o en la FGR.</w:t>
            </w:r>
          </w:p>
        </w:tc>
        <w:tc>
          <w:tcPr>
            <w:tcW w:w="6520" w:type="dxa"/>
          </w:tcPr>
          <w:p w14:paraId="6E0E54AE"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b/>
                <w:i/>
                <w:sz w:val="20"/>
              </w:rPr>
              <w:t>Artículo 7</w:t>
            </w:r>
            <w:r w:rsidRPr="00912A8D">
              <w:rPr>
                <w:rFonts w:ascii="Palatino Linotype" w:eastAsia="Palatino Linotype" w:hAnsi="Palatino Linotype" w:cs="Palatino Linotype"/>
                <w:i/>
                <w:sz w:val="20"/>
              </w:rPr>
              <w:t xml:space="preserve">. Corresponden a la persona </w:t>
            </w:r>
            <w:r w:rsidRPr="00912A8D">
              <w:rPr>
                <w:rFonts w:ascii="Palatino Linotype" w:eastAsia="Palatino Linotype" w:hAnsi="Palatino Linotype" w:cs="Palatino Linotype"/>
                <w:b/>
                <w:i/>
                <w:sz w:val="20"/>
                <w:u w:val="single"/>
              </w:rPr>
              <w:t>titular de la Secretaría las atribuciones</w:t>
            </w:r>
            <w:r w:rsidRPr="00912A8D">
              <w:rPr>
                <w:rFonts w:ascii="Palatino Linotype" w:eastAsia="Palatino Linotype" w:hAnsi="Palatino Linotype" w:cs="Palatino Linotype"/>
                <w:i/>
                <w:sz w:val="20"/>
              </w:rPr>
              <w:t xml:space="preserve"> siguientes:</w:t>
            </w:r>
          </w:p>
          <w:p w14:paraId="36D39072"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u w:val="single"/>
              </w:rPr>
            </w:pPr>
            <w:r w:rsidRPr="00912A8D">
              <w:rPr>
                <w:rFonts w:ascii="Palatino Linotype" w:eastAsia="Palatino Linotype" w:hAnsi="Palatino Linotype" w:cs="Palatino Linotype"/>
                <w:i/>
                <w:sz w:val="20"/>
                <w:u w:val="single"/>
              </w:rPr>
              <w:t xml:space="preserve"> (…)</w:t>
            </w:r>
          </w:p>
          <w:p w14:paraId="6D593B5B" w14:textId="77777777" w:rsidR="00D73C7F" w:rsidRPr="00912A8D" w:rsidRDefault="00D73C7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i/>
                <w:sz w:val="20"/>
                <w:u w:val="single"/>
              </w:rPr>
              <w:t xml:space="preserve">XLV. Supervisar el cumplimiento de las normas internas de la Secretaría y determinar las responsabilidades administrativas de su personal, aplicándoles las correcciones que correspondan, así como </w:t>
            </w:r>
            <w:r w:rsidRPr="00912A8D">
              <w:rPr>
                <w:rFonts w:ascii="Palatino Linotype" w:hAnsi="Palatino Linotype"/>
                <w:b/>
                <w:i/>
                <w:sz w:val="20"/>
                <w:u w:val="single"/>
              </w:rPr>
              <w:t>formular las denuncias</w:t>
            </w:r>
            <w:r w:rsidRPr="00912A8D">
              <w:rPr>
                <w:rFonts w:ascii="Palatino Linotype" w:hAnsi="Palatino Linotype"/>
                <w:i/>
                <w:sz w:val="20"/>
                <w:u w:val="single"/>
              </w:rPr>
              <w:t>,</w:t>
            </w:r>
            <w:r w:rsidRPr="00912A8D">
              <w:rPr>
                <w:rFonts w:ascii="Palatino Linotype" w:hAnsi="Palatino Linotype"/>
                <w:i/>
                <w:sz w:val="20"/>
              </w:rPr>
              <w:t xml:space="preserve"> querellas, acusaciones de naturaleza administrativa o penal </w:t>
            </w:r>
            <w:r w:rsidRPr="00912A8D">
              <w:rPr>
                <w:rFonts w:ascii="Palatino Linotype" w:hAnsi="Palatino Linotype"/>
                <w:b/>
                <w:i/>
                <w:sz w:val="20"/>
                <w:u w:val="single"/>
              </w:rPr>
              <w:t>ante la Fiscalía Especializada</w:t>
            </w:r>
            <w:r w:rsidRPr="00912A8D">
              <w:rPr>
                <w:rFonts w:ascii="Palatino Linotype" w:hAnsi="Palatino Linotype"/>
                <w:i/>
                <w:sz w:val="20"/>
              </w:rPr>
              <w:t xml:space="preserve"> en Combate a la Corrupción u otras autoridades competentes respectivamente;</w:t>
            </w:r>
          </w:p>
          <w:p w14:paraId="1346F903"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18"/>
              </w:rPr>
            </w:pPr>
            <w:r w:rsidRPr="00912A8D">
              <w:rPr>
                <w:rFonts w:ascii="Palatino Linotype" w:hAnsi="Palatino Linotype"/>
                <w:i/>
                <w:sz w:val="20"/>
              </w:rPr>
              <w:lastRenderedPageBreak/>
              <w:t>(…)</w:t>
            </w:r>
          </w:p>
          <w:p w14:paraId="24CBB1BF" w14:textId="77777777" w:rsidR="00346DBE" w:rsidRPr="00912A8D" w:rsidRDefault="00455A3F" w:rsidP="00AD78B6">
            <w:pPr>
              <w:spacing w:line="360" w:lineRule="auto"/>
              <w:jc w:val="both"/>
              <w:rPr>
                <w:rFonts w:ascii="Palatino Linotype" w:hAnsi="Palatino Linotype"/>
                <w:i/>
                <w:sz w:val="20"/>
              </w:rPr>
            </w:pPr>
            <w:r w:rsidRPr="00912A8D">
              <w:rPr>
                <w:rFonts w:ascii="Palatino Linotype" w:hAnsi="Palatino Linotype"/>
                <w:b/>
                <w:i/>
                <w:sz w:val="20"/>
              </w:rPr>
              <w:t>Artículo 21.</w:t>
            </w:r>
            <w:r w:rsidRPr="00912A8D">
              <w:rPr>
                <w:rFonts w:ascii="Palatino Linotype" w:hAnsi="Palatino Linotype"/>
                <w:i/>
                <w:sz w:val="20"/>
              </w:rPr>
              <w:t xml:space="preserve"> Corresponden a la </w:t>
            </w:r>
            <w:r w:rsidRPr="00912A8D">
              <w:rPr>
                <w:rFonts w:ascii="Palatino Linotype" w:hAnsi="Palatino Linotype"/>
                <w:b/>
                <w:i/>
                <w:sz w:val="20"/>
                <w:u w:val="single"/>
              </w:rPr>
              <w:t>Dirección de Investigación</w:t>
            </w:r>
            <w:r w:rsidRPr="00912A8D">
              <w:rPr>
                <w:rFonts w:ascii="Palatino Linotype" w:hAnsi="Palatino Linotype"/>
                <w:i/>
                <w:sz w:val="20"/>
              </w:rPr>
              <w:t xml:space="preserve"> las atribuciones siguientes:</w:t>
            </w:r>
          </w:p>
          <w:p w14:paraId="356EB511" w14:textId="77777777" w:rsidR="00455A3F" w:rsidRPr="00912A8D" w:rsidRDefault="00455A3F" w:rsidP="00AD78B6">
            <w:pPr>
              <w:spacing w:line="360" w:lineRule="auto"/>
              <w:jc w:val="both"/>
              <w:rPr>
                <w:rFonts w:ascii="Palatino Linotype" w:hAnsi="Palatino Linotype"/>
                <w:i/>
                <w:sz w:val="20"/>
              </w:rPr>
            </w:pPr>
            <w:r w:rsidRPr="00912A8D">
              <w:rPr>
                <w:rFonts w:ascii="Palatino Linotype" w:hAnsi="Palatino Linotype"/>
                <w:i/>
                <w:sz w:val="20"/>
              </w:rPr>
              <w:t>(…)</w:t>
            </w:r>
          </w:p>
          <w:p w14:paraId="73252E5B" w14:textId="77777777" w:rsidR="00455A3F" w:rsidRPr="00912A8D" w:rsidRDefault="00455A3F" w:rsidP="00AD78B6">
            <w:pPr>
              <w:spacing w:line="360" w:lineRule="auto"/>
              <w:jc w:val="both"/>
              <w:rPr>
                <w:rFonts w:ascii="Palatino Linotype" w:hAnsi="Palatino Linotype"/>
                <w:i/>
                <w:sz w:val="20"/>
              </w:rPr>
            </w:pPr>
            <w:r w:rsidRPr="00912A8D">
              <w:rPr>
                <w:rFonts w:ascii="Palatino Linotype" w:hAnsi="Palatino Linotype"/>
                <w:i/>
                <w:sz w:val="20"/>
              </w:rPr>
              <w:t>XVII. Proponer y presentar, las denuncias o querellas que procedan por la probable responsabilidad de orden penal que se detecte en la sustanciación del procedimiento de investigación, ante la Fiscalía General de Justicia del Estado de México o en su caso ante el homólogo en el ámbito federal;</w:t>
            </w:r>
          </w:p>
          <w:p w14:paraId="74704973" w14:textId="77777777" w:rsidR="00455A3F" w:rsidRPr="00912A8D" w:rsidRDefault="00455A3F" w:rsidP="00AD78B6">
            <w:pPr>
              <w:spacing w:line="360" w:lineRule="auto"/>
              <w:jc w:val="both"/>
              <w:rPr>
                <w:rFonts w:ascii="Palatino Linotype" w:hAnsi="Palatino Linotype"/>
                <w:i/>
                <w:sz w:val="20"/>
              </w:rPr>
            </w:pPr>
            <w:r w:rsidRPr="00912A8D">
              <w:rPr>
                <w:rFonts w:ascii="Palatino Linotype" w:hAnsi="Palatino Linotype"/>
                <w:i/>
                <w:sz w:val="20"/>
              </w:rPr>
              <w:t>(…)</w:t>
            </w:r>
          </w:p>
          <w:p w14:paraId="12BEAC4D" w14:textId="77777777" w:rsidR="00455A3F" w:rsidRPr="00912A8D" w:rsidRDefault="00455A3F" w:rsidP="00AD78B6">
            <w:pPr>
              <w:spacing w:line="360" w:lineRule="auto"/>
              <w:jc w:val="both"/>
              <w:rPr>
                <w:rFonts w:ascii="Palatino Linotype" w:hAnsi="Palatino Linotype" w:cs="Arial"/>
                <w:i/>
                <w:sz w:val="20"/>
              </w:rPr>
            </w:pPr>
            <w:r w:rsidRPr="00912A8D">
              <w:rPr>
                <w:rFonts w:ascii="Palatino Linotype" w:hAnsi="Palatino Linotype" w:cs="Arial"/>
                <w:b/>
                <w:i/>
                <w:sz w:val="20"/>
              </w:rPr>
              <w:t>Artículo 24.</w:t>
            </w:r>
            <w:r w:rsidRPr="00912A8D">
              <w:rPr>
                <w:rFonts w:ascii="Palatino Linotype" w:hAnsi="Palatino Linotype" w:cs="Arial"/>
                <w:i/>
                <w:sz w:val="20"/>
              </w:rPr>
              <w:t xml:space="preserve"> Corresponden a la </w:t>
            </w:r>
            <w:r w:rsidRPr="00912A8D">
              <w:rPr>
                <w:rFonts w:ascii="Palatino Linotype" w:hAnsi="Palatino Linotype" w:cs="Arial"/>
                <w:b/>
                <w:i/>
                <w:sz w:val="20"/>
                <w:u w:val="single"/>
              </w:rPr>
              <w:t>Dirección de lo Contencioso e Inconformidades</w:t>
            </w:r>
            <w:r w:rsidRPr="00912A8D">
              <w:rPr>
                <w:rFonts w:ascii="Palatino Linotype" w:hAnsi="Palatino Linotype" w:cs="Arial"/>
                <w:i/>
                <w:sz w:val="20"/>
              </w:rPr>
              <w:t xml:space="preserve"> las atribuciones siguientes:</w:t>
            </w:r>
          </w:p>
          <w:p w14:paraId="37E4D2A0"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i/>
                <w:sz w:val="20"/>
              </w:rPr>
              <w:t>(…)</w:t>
            </w:r>
          </w:p>
          <w:p w14:paraId="607116FE"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i/>
                <w:sz w:val="20"/>
                <w:u w:val="single"/>
              </w:rPr>
              <w:t xml:space="preserve">IX. Coordinar las acciones de colaboración </w:t>
            </w:r>
            <w:r w:rsidRPr="00912A8D">
              <w:rPr>
                <w:rFonts w:ascii="Palatino Linotype" w:hAnsi="Palatino Linotype" w:cs="Arial"/>
                <w:b/>
                <w:i/>
                <w:sz w:val="20"/>
                <w:u w:val="single"/>
              </w:rPr>
              <w:t>con la Fiscalía General de Justicia del Estado de México, para que ésta investigue los delitos del orden común</w:t>
            </w:r>
            <w:r w:rsidRPr="00912A8D">
              <w:rPr>
                <w:rFonts w:ascii="Palatino Linotype" w:hAnsi="Palatino Linotype" w:cs="Arial"/>
                <w:i/>
                <w:sz w:val="20"/>
                <w:u w:val="single"/>
              </w:rPr>
              <w:t xml:space="preserve"> que se detecten por la Secretaría, en el ejercicio de sus facultades</w:t>
            </w:r>
            <w:r w:rsidRPr="00912A8D">
              <w:rPr>
                <w:rFonts w:ascii="Palatino Linotype" w:hAnsi="Palatino Linotype" w:cs="Arial"/>
                <w:i/>
                <w:sz w:val="20"/>
              </w:rPr>
              <w:t>;</w:t>
            </w:r>
          </w:p>
          <w:p w14:paraId="6D8C0A6D"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i/>
                <w:sz w:val="20"/>
              </w:rPr>
              <w:t>(…)</w:t>
            </w:r>
          </w:p>
          <w:p w14:paraId="3078F6FA"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b/>
                <w:i/>
                <w:sz w:val="20"/>
              </w:rPr>
              <w:t>Artículo 38.</w:t>
            </w:r>
            <w:r w:rsidRPr="00912A8D">
              <w:rPr>
                <w:rFonts w:ascii="Palatino Linotype" w:hAnsi="Palatino Linotype" w:cs="Arial"/>
                <w:i/>
                <w:sz w:val="20"/>
              </w:rPr>
              <w:t xml:space="preserve"> Corresponden al </w:t>
            </w:r>
            <w:r w:rsidRPr="00912A8D">
              <w:rPr>
                <w:rFonts w:ascii="Palatino Linotype" w:hAnsi="Palatino Linotype" w:cs="Arial"/>
                <w:b/>
                <w:i/>
                <w:sz w:val="20"/>
                <w:u w:val="single"/>
              </w:rPr>
              <w:t>Área de Quejas</w:t>
            </w:r>
            <w:r w:rsidRPr="00912A8D">
              <w:rPr>
                <w:rFonts w:ascii="Palatino Linotype" w:hAnsi="Palatino Linotype" w:cs="Arial"/>
                <w:i/>
                <w:sz w:val="20"/>
              </w:rPr>
              <w:t xml:space="preserve"> las atribuciones siguientes:</w:t>
            </w:r>
          </w:p>
          <w:p w14:paraId="2BA7A692"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i/>
                <w:sz w:val="20"/>
              </w:rPr>
              <w:t>(…)</w:t>
            </w:r>
          </w:p>
          <w:p w14:paraId="59ADE908"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b/>
                <w:i/>
                <w:sz w:val="20"/>
                <w:u w:val="single"/>
              </w:rPr>
              <w:t>XIII. Formular las denuncias correspondientes, ante la Fiscalía General de Justicia del Estado de México o en su caso ante el homólogo en el ámbito federal</w:t>
            </w:r>
            <w:r w:rsidRPr="00912A8D">
              <w:rPr>
                <w:rFonts w:ascii="Palatino Linotype" w:hAnsi="Palatino Linotype" w:cs="Arial"/>
                <w:i/>
                <w:sz w:val="20"/>
              </w:rPr>
              <w:t>; cuando de sus investigaciones advierta la presunta comisión de delitos y coadyuvar en el procedimiento penal respectivo;</w:t>
            </w:r>
          </w:p>
          <w:p w14:paraId="7FD1C85F" w14:textId="77777777" w:rsidR="00376D12" w:rsidRPr="00912A8D" w:rsidRDefault="00376D12" w:rsidP="00AD78B6">
            <w:pPr>
              <w:spacing w:line="360" w:lineRule="auto"/>
              <w:jc w:val="both"/>
              <w:rPr>
                <w:rFonts w:ascii="Palatino Linotype" w:hAnsi="Palatino Linotype" w:cs="Arial"/>
                <w:i/>
                <w:sz w:val="20"/>
              </w:rPr>
            </w:pPr>
            <w:r w:rsidRPr="00912A8D">
              <w:rPr>
                <w:rFonts w:ascii="Palatino Linotype" w:hAnsi="Palatino Linotype" w:cs="Arial"/>
                <w:i/>
                <w:sz w:val="20"/>
              </w:rPr>
              <w:t>(…)</w:t>
            </w:r>
          </w:p>
          <w:p w14:paraId="2E00D701" w14:textId="77777777" w:rsidR="00376D12" w:rsidRPr="00912A8D" w:rsidRDefault="00376D12" w:rsidP="00AD78B6">
            <w:pPr>
              <w:spacing w:line="360" w:lineRule="auto"/>
              <w:jc w:val="both"/>
              <w:rPr>
                <w:rFonts w:ascii="Palatino Linotype" w:hAnsi="Palatino Linotype" w:cs="Arial"/>
                <w:i/>
                <w:sz w:val="20"/>
              </w:rPr>
            </w:pPr>
          </w:p>
        </w:tc>
      </w:tr>
      <w:tr w:rsidR="00346DBE" w:rsidRPr="00912A8D" w14:paraId="0F3D98BF" w14:textId="77777777" w:rsidTr="00346DBE">
        <w:trPr>
          <w:trHeight w:val="1443"/>
        </w:trPr>
        <w:tc>
          <w:tcPr>
            <w:tcW w:w="2552" w:type="dxa"/>
            <w:vAlign w:val="center"/>
          </w:tcPr>
          <w:p w14:paraId="00968992" w14:textId="77777777" w:rsidR="00346DBE" w:rsidRPr="00912A8D" w:rsidRDefault="00D73C7F" w:rsidP="00AD78B6">
            <w:pPr>
              <w:spacing w:line="360" w:lineRule="auto"/>
              <w:jc w:val="both"/>
              <w:rPr>
                <w:rFonts w:ascii="Palatino Linotype" w:hAnsi="Palatino Linotype" w:cs="Arial"/>
                <w:b/>
                <w:sz w:val="20"/>
                <w:szCs w:val="20"/>
                <w:lang w:val="es-419"/>
              </w:rPr>
            </w:pPr>
            <w:r w:rsidRPr="00912A8D">
              <w:rPr>
                <w:rFonts w:ascii="Palatino Linotype" w:hAnsi="Palatino Linotype" w:cs="Arial"/>
                <w:b/>
                <w:sz w:val="20"/>
                <w:szCs w:val="20"/>
                <w:lang w:val="es-419"/>
              </w:rPr>
              <w:lastRenderedPageBreak/>
              <w:t>4.</w:t>
            </w:r>
            <w:r w:rsidRPr="00912A8D">
              <w:rPr>
                <w:rFonts w:ascii="Palatino Linotype" w:hAnsi="Palatino Linotype" w:cs="Arial"/>
                <w:b/>
                <w:sz w:val="20"/>
                <w:szCs w:val="20"/>
                <w:lang w:val="es-419"/>
              </w:rPr>
              <w:tab/>
              <w:t xml:space="preserve">Resultado concreto de todos los asuntos que recibidos de la ASF y de la auditoría superior de sus estado, </w:t>
            </w:r>
            <w:r w:rsidRPr="00912A8D">
              <w:rPr>
                <w:rFonts w:ascii="Palatino Linotype" w:hAnsi="Palatino Linotype" w:cs="Arial"/>
                <w:b/>
                <w:sz w:val="20"/>
                <w:szCs w:val="20"/>
                <w:lang w:val="es-419"/>
              </w:rPr>
              <w:lastRenderedPageBreak/>
              <w:t>monto de las recuperaciones obtenidas por sus acciones de fiscalización; y</w:t>
            </w:r>
          </w:p>
        </w:tc>
        <w:tc>
          <w:tcPr>
            <w:tcW w:w="6520" w:type="dxa"/>
          </w:tcPr>
          <w:p w14:paraId="2A285638" w14:textId="77777777" w:rsidR="00D73C7F" w:rsidRPr="00912A8D" w:rsidRDefault="00D73C7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b/>
                <w:i/>
                <w:sz w:val="20"/>
              </w:rPr>
              <w:lastRenderedPageBreak/>
              <w:t>Artículo 3.</w:t>
            </w:r>
            <w:r w:rsidRPr="00912A8D">
              <w:rPr>
                <w:rFonts w:ascii="Palatino Linotype" w:hAnsi="Palatino Linotype"/>
                <w:i/>
                <w:sz w:val="20"/>
              </w:rPr>
              <w:t xml:space="preserve"> Además de las definiciones establecidas en la Ley de Responsabilidades Administrativas del Estado de México y Municipios y en la Ley del Sistema Anticorrupción del Estado de México y Municipios, para los efectos de este Reglamento se entenderá por: </w:t>
            </w:r>
          </w:p>
          <w:p w14:paraId="68807450" w14:textId="77777777" w:rsidR="00D73C7F" w:rsidRPr="00912A8D" w:rsidRDefault="00D73C7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i/>
                <w:sz w:val="20"/>
              </w:rPr>
              <w:t>(…)</w:t>
            </w:r>
          </w:p>
          <w:p w14:paraId="22FB21D4" w14:textId="77777777" w:rsidR="00337D57" w:rsidRPr="00912A8D" w:rsidRDefault="00337D57"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b/>
                <w:i/>
                <w:sz w:val="20"/>
              </w:rPr>
              <w:lastRenderedPageBreak/>
              <w:t>IX. Instancias Externas de Fiscalización</w:t>
            </w:r>
            <w:r w:rsidRPr="00912A8D">
              <w:rPr>
                <w:rFonts w:ascii="Palatino Linotype" w:hAnsi="Palatino Linotype"/>
                <w:i/>
                <w:sz w:val="20"/>
              </w:rPr>
              <w:t xml:space="preserve">: </w:t>
            </w:r>
            <w:r w:rsidRPr="00912A8D">
              <w:rPr>
                <w:rFonts w:ascii="Palatino Linotype" w:hAnsi="Palatino Linotype"/>
                <w:i/>
                <w:sz w:val="20"/>
                <w:u w:val="single"/>
              </w:rPr>
              <w:t>A la Auditoría Superior de la Federación; Secretaría de la Función Pública; Órgano Superior de Fiscalización del Estado de México</w:t>
            </w:r>
            <w:r w:rsidRPr="00912A8D">
              <w:rPr>
                <w:rFonts w:ascii="Palatino Linotype" w:hAnsi="Palatino Linotype"/>
                <w:i/>
                <w:sz w:val="20"/>
              </w:rPr>
              <w:t>;</w:t>
            </w:r>
          </w:p>
          <w:p w14:paraId="174D8E72" w14:textId="77777777" w:rsidR="00337D57" w:rsidRPr="00912A8D" w:rsidRDefault="00337D57" w:rsidP="00AD78B6">
            <w:pPr>
              <w:tabs>
                <w:tab w:val="left" w:pos="8931"/>
              </w:tabs>
              <w:spacing w:line="360" w:lineRule="auto"/>
              <w:ind w:left="34" w:right="175"/>
              <w:jc w:val="both"/>
              <w:rPr>
                <w:rFonts w:ascii="Palatino Linotype" w:hAnsi="Palatino Linotype"/>
                <w:i/>
                <w:sz w:val="20"/>
              </w:rPr>
            </w:pPr>
          </w:p>
          <w:p w14:paraId="155E6962"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b/>
                <w:i/>
                <w:sz w:val="20"/>
              </w:rPr>
              <w:t>Artículo 13</w:t>
            </w:r>
            <w:r w:rsidRPr="00912A8D">
              <w:rPr>
                <w:rFonts w:ascii="Palatino Linotype" w:hAnsi="Palatino Linotype"/>
                <w:i/>
                <w:sz w:val="20"/>
              </w:rPr>
              <w:t xml:space="preserve">. Corresponden a la </w:t>
            </w:r>
            <w:r w:rsidRPr="00912A8D">
              <w:rPr>
                <w:rFonts w:ascii="Palatino Linotype" w:hAnsi="Palatino Linotype"/>
                <w:b/>
                <w:i/>
                <w:sz w:val="20"/>
                <w:u w:val="single"/>
              </w:rPr>
              <w:t>Subsecretaría de Control y Auditoría</w:t>
            </w:r>
            <w:r w:rsidRPr="00912A8D">
              <w:rPr>
                <w:rFonts w:ascii="Palatino Linotype" w:hAnsi="Palatino Linotype"/>
                <w:i/>
                <w:sz w:val="20"/>
              </w:rPr>
              <w:t xml:space="preserve"> las atribuciones siguientes:</w:t>
            </w:r>
          </w:p>
          <w:p w14:paraId="61FD9065"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i/>
                <w:sz w:val="20"/>
              </w:rPr>
              <w:t xml:space="preserve">(…) </w:t>
            </w:r>
          </w:p>
          <w:p w14:paraId="57994A95" w14:textId="77777777" w:rsidR="0038366F" w:rsidRPr="00912A8D" w:rsidRDefault="0038366F" w:rsidP="00AD78B6">
            <w:pPr>
              <w:tabs>
                <w:tab w:val="left" w:pos="8931"/>
              </w:tabs>
              <w:spacing w:line="360" w:lineRule="auto"/>
              <w:ind w:left="34" w:right="33"/>
              <w:jc w:val="both"/>
              <w:rPr>
                <w:rFonts w:ascii="Palatino Linotype" w:eastAsia="Palatino Linotype" w:hAnsi="Palatino Linotype" w:cs="Palatino Linotype"/>
                <w:i/>
                <w:sz w:val="20"/>
              </w:rPr>
            </w:pPr>
            <w:r w:rsidRPr="00912A8D">
              <w:rPr>
                <w:rFonts w:ascii="Palatino Linotype" w:eastAsia="Palatino Linotype" w:hAnsi="Palatino Linotype" w:cs="Palatino Linotype"/>
                <w:i/>
                <w:sz w:val="20"/>
                <w:u w:val="single"/>
              </w:rPr>
              <w:t xml:space="preserve">XII. Verificar el seguimiento que las unidades administrativas adscritas a la Subsecretaría de Control y Auditoría y los órganos internos de control, </w:t>
            </w:r>
            <w:r w:rsidRPr="00912A8D">
              <w:rPr>
                <w:rFonts w:ascii="Palatino Linotype" w:eastAsia="Palatino Linotype" w:hAnsi="Palatino Linotype" w:cs="Palatino Linotype"/>
                <w:b/>
                <w:i/>
                <w:sz w:val="20"/>
                <w:u w:val="single"/>
              </w:rPr>
              <w:t>realizan a las observaciones determinadas en las auditorías</w:t>
            </w:r>
            <w:r w:rsidRPr="00912A8D">
              <w:rPr>
                <w:rFonts w:ascii="Palatino Linotype" w:eastAsia="Palatino Linotype" w:hAnsi="Palatino Linotype" w:cs="Palatino Linotype"/>
                <w:i/>
                <w:sz w:val="20"/>
                <w:u w:val="single"/>
              </w:rPr>
              <w:t xml:space="preserve"> y acciones de control y evaluación que practiquen a las dependencias y organismos auxiliares; </w:t>
            </w:r>
            <w:r w:rsidRPr="00912A8D">
              <w:rPr>
                <w:rFonts w:ascii="Palatino Linotype" w:eastAsia="Palatino Linotype" w:hAnsi="Palatino Linotype" w:cs="Palatino Linotype"/>
                <w:b/>
                <w:i/>
                <w:sz w:val="20"/>
                <w:u w:val="single"/>
              </w:rPr>
              <w:t>así como de la solventación y cumplimiento de las observaciones o hallazgos formulados por auditores externos y, en su caso, por otras instancias externas de fiscalización</w:t>
            </w:r>
            <w:r w:rsidRPr="00912A8D">
              <w:rPr>
                <w:rFonts w:ascii="Palatino Linotype" w:eastAsia="Palatino Linotype" w:hAnsi="Palatino Linotype" w:cs="Palatino Linotype"/>
                <w:i/>
                <w:sz w:val="20"/>
              </w:rPr>
              <w:t>.</w:t>
            </w:r>
          </w:p>
          <w:p w14:paraId="2ECF1271" w14:textId="77777777" w:rsidR="0038366F" w:rsidRPr="00912A8D" w:rsidRDefault="0038366F" w:rsidP="00AD78B6">
            <w:pPr>
              <w:tabs>
                <w:tab w:val="left" w:pos="8931"/>
              </w:tabs>
              <w:spacing w:line="360" w:lineRule="auto"/>
              <w:ind w:left="34" w:right="33"/>
              <w:jc w:val="both"/>
              <w:rPr>
                <w:rFonts w:ascii="Palatino Linotype" w:eastAsia="Palatino Linotype" w:hAnsi="Palatino Linotype" w:cs="Palatino Linotype"/>
                <w:i/>
                <w:sz w:val="20"/>
              </w:rPr>
            </w:pPr>
            <w:r w:rsidRPr="00912A8D">
              <w:rPr>
                <w:rFonts w:ascii="Palatino Linotype" w:eastAsia="Palatino Linotype" w:hAnsi="Palatino Linotype" w:cs="Palatino Linotype"/>
                <w:i/>
                <w:sz w:val="20"/>
              </w:rPr>
              <w:t>(…)</w:t>
            </w:r>
          </w:p>
          <w:p w14:paraId="59034A7F" w14:textId="77777777" w:rsidR="0038366F" w:rsidRPr="00912A8D" w:rsidRDefault="0038366F" w:rsidP="00AD78B6">
            <w:pPr>
              <w:tabs>
                <w:tab w:val="left" w:pos="8931"/>
              </w:tabs>
              <w:spacing w:line="360" w:lineRule="auto"/>
              <w:ind w:left="34" w:right="33"/>
              <w:jc w:val="both"/>
              <w:rPr>
                <w:rFonts w:ascii="Palatino Linotype" w:eastAsia="Palatino Linotype" w:hAnsi="Palatino Linotype" w:cs="Palatino Linotype"/>
                <w:i/>
                <w:sz w:val="16"/>
              </w:rPr>
            </w:pPr>
          </w:p>
          <w:p w14:paraId="6E4DD4FB"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b/>
                <w:i/>
                <w:sz w:val="20"/>
              </w:rPr>
              <w:t>Artículo 16.</w:t>
            </w:r>
            <w:r w:rsidRPr="00912A8D">
              <w:rPr>
                <w:rFonts w:ascii="Palatino Linotype" w:hAnsi="Palatino Linotype"/>
                <w:i/>
                <w:sz w:val="20"/>
              </w:rPr>
              <w:t xml:space="preserve"> Corresponden a la </w:t>
            </w:r>
            <w:r w:rsidRPr="00912A8D">
              <w:rPr>
                <w:rFonts w:ascii="Palatino Linotype" w:hAnsi="Palatino Linotype"/>
                <w:b/>
                <w:i/>
                <w:sz w:val="20"/>
                <w:u w:val="single"/>
              </w:rPr>
              <w:t>Dirección de Auditorías Especiales y Externas las atribuciones</w:t>
            </w:r>
            <w:r w:rsidRPr="00912A8D">
              <w:rPr>
                <w:rFonts w:ascii="Palatino Linotype" w:hAnsi="Palatino Linotype"/>
                <w:i/>
                <w:sz w:val="20"/>
              </w:rPr>
              <w:t xml:space="preserve"> siguientes:</w:t>
            </w:r>
          </w:p>
          <w:p w14:paraId="3AF0A223"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i/>
                <w:sz w:val="20"/>
              </w:rPr>
              <w:t>(…)</w:t>
            </w:r>
          </w:p>
          <w:p w14:paraId="3C88E36B"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b/>
                <w:i/>
                <w:sz w:val="20"/>
                <w:u w:val="single"/>
              </w:rPr>
              <w:t>V. Dar seguimiento de forma directa o por conducto de los órganos internos de control, a las observaciones derivadas de las auditorías</w:t>
            </w:r>
            <w:r w:rsidRPr="00912A8D">
              <w:rPr>
                <w:rFonts w:ascii="Palatino Linotype" w:hAnsi="Palatino Linotype"/>
                <w:i/>
                <w:sz w:val="20"/>
                <w:u w:val="single"/>
              </w:rPr>
              <w:t xml:space="preserve"> y de las acciones de control y evaluación que practique a las dependencias y organismos auxiliares, así como de la solventación y cumplimiento de las observaciones o hallazgos formulados por auditores externos y, en su caso, por otras instancias externas de fiscalización</w:t>
            </w:r>
            <w:r w:rsidRPr="00912A8D">
              <w:rPr>
                <w:rFonts w:ascii="Palatino Linotype" w:hAnsi="Palatino Linotype"/>
                <w:i/>
                <w:sz w:val="20"/>
              </w:rPr>
              <w:t>;</w:t>
            </w:r>
          </w:p>
          <w:p w14:paraId="6A895D61" w14:textId="77777777" w:rsidR="0038366F" w:rsidRPr="00912A8D" w:rsidRDefault="0038366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i/>
                <w:sz w:val="20"/>
              </w:rPr>
              <w:t>(…)</w:t>
            </w:r>
          </w:p>
          <w:p w14:paraId="32D04674" w14:textId="77777777" w:rsidR="00D73C7F" w:rsidRPr="00912A8D" w:rsidRDefault="00D73C7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b/>
                <w:i/>
                <w:sz w:val="20"/>
                <w:u w:val="single"/>
              </w:rPr>
              <w:t>IX. Instancias Externas de Fiscalización</w:t>
            </w:r>
            <w:r w:rsidRPr="00912A8D">
              <w:rPr>
                <w:rFonts w:ascii="Palatino Linotype" w:hAnsi="Palatino Linotype"/>
                <w:i/>
                <w:sz w:val="20"/>
              </w:rPr>
              <w:t xml:space="preserve">: A la </w:t>
            </w:r>
            <w:r w:rsidRPr="00912A8D">
              <w:rPr>
                <w:rFonts w:ascii="Palatino Linotype" w:hAnsi="Palatino Linotype"/>
                <w:b/>
                <w:i/>
                <w:sz w:val="20"/>
                <w:u w:val="single"/>
              </w:rPr>
              <w:t>Auditoría Superior de la Federación</w:t>
            </w:r>
            <w:r w:rsidRPr="00912A8D">
              <w:rPr>
                <w:rFonts w:ascii="Palatino Linotype" w:hAnsi="Palatino Linotype"/>
                <w:i/>
                <w:sz w:val="20"/>
              </w:rPr>
              <w:t>; Secretaría de la Función Pública; Órgano Superior de Fiscalización del Estado de México;</w:t>
            </w:r>
          </w:p>
          <w:p w14:paraId="7B2B9F69" w14:textId="77777777" w:rsidR="00D73C7F" w:rsidRPr="00912A8D" w:rsidRDefault="00D73C7F" w:rsidP="00AD78B6">
            <w:pPr>
              <w:tabs>
                <w:tab w:val="left" w:pos="8931"/>
              </w:tabs>
              <w:spacing w:line="360" w:lineRule="auto"/>
              <w:ind w:left="34" w:right="33"/>
              <w:jc w:val="both"/>
              <w:rPr>
                <w:rFonts w:ascii="Palatino Linotype" w:hAnsi="Palatino Linotype"/>
                <w:i/>
                <w:sz w:val="20"/>
              </w:rPr>
            </w:pPr>
            <w:r w:rsidRPr="00912A8D">
              <w:rPr>
                <w:rFonts w:ascii="Palatino Linotype" w:hAnsi="Palatino Linotype"/>
                <w:i/>
                <w:sz w:val="20"/>
              </w:rPr>
              <w:lastRenderedPageBreak/>
              <w:t>(…)</w:t>
            </w:r>
          </w:p>
          <w:p w14:paraId="538F8617" w14:textId="77777777" w:rsidR="0038366F" w:rsidRPr="00912A8D" w:rsidRDefault="00273CA9"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b/>
                <w:i/>
                <w:sz w:val="20"/>
              </w:rPr>
              <w:t>Artículo 36.</w:t>
            </w:r>
            <w:r w:rsidRPr="00912A8D">
              <w:rPr>
                <w:rFonts w:ascii="Palatino Linotype" w:hAnsi="Palatino Linotype"/>
                <w:i/>
                <w:sz w:val="20"/>
              </w:rPr>
              <w:t xml:space="preserve"> Corresponden al </w:t>
            </w:r>
            <w:r w:rsidRPr="00912A8D">
              <w:rPr>
                <w:rFonts w:ascii="Palatino Linotype" w:hAnsi="Palatino Linotype"/>
                <w:b/>
                <w:i/>
                <w:sz w:val="20"/>
                <w:u w:val="single"/>
              </w:rPr>
              <w:t>Órgano Interno de Control de la Secretaría</w:t>
            </w:r>
            <w:r w:rsidRPr="00912A8D">
              <w:rPr>
                <w:rFonts w:ascii="Palatino Linotype" w:hAnsi="Palatino Linotype"/>
                <w:i/>
                <w:sz w:val="20"/>
              </w:rPr>
              <w:t>, las atribuciones siguientes:</w:t>
            </w:r>
          </w:p>
          <w:p w14:paraId="4417FF71" w14:textId="77777777" w:rsidR="00346DBE" w:rsidRPr="00912A8D" w:rsidRDefault="00273CA9" w:rsidP="00AD78B6">
            <w:pPr>
              <w:spacing w:line="360" w:lineRule="auto"/>
              <w:jc w:val="both"/>
              <w:rPr>
                <w:rFonts w:ascii="Palatino Linotype" w:hAnsi="Palatino Linotype" w:cs="Arial"/>
                <w:sz w:val="20"/>
              </w:rPr>
            </w:pPr>
            <w:r w:rsidRPr="00912A8D">
              <w:rPr>
                <w:rFonts w:ascii="Palatino Linotype" w:hAnsi="Palatino Linotype" w:cs="Arial"/>
                <w:sz w:val="20"/>
              </w:rPr>
              <w:t>(…)</w:t>
            </w:r>
          </w:p>
          <w:p w14:paraId="67AF58C8" w14:textId="77777777" w:rsidR="00273CA9" w:rsidRPr="00912A8D" w:rsidRDefault="00273CA9" w:rsidP="00AD78B6">
            <w:pPr>
              <w:spacing w:line="360" w:lineRule="auto"/>
              <w:jc w:val="both"/>
              <w:rPr>
                <w:rFonts w:ascii="Palatino Linotype" w:hAnsi="Palatino Linotype" w:cs="Arial"/>
                <w:i/>
                <w:sz w:val="20"/>
              </w:rPr>
            </w:pPr>
            <w:r w:rsidRPr="00912A8D">
              <w:rPr>
                <w:rFonts w:ascii="Palatino Linotype" w:hAnsi="Palatino Linotype" w:cs="Arial"/>
                <w:i/>
                <w:sz w:val="20"/>
              </w:rPr>
              <w:t xml:space="preserve">VIII. Verificar que las unidades administrativas de la Secretaría y de los órganos internos de control realicen el seguimiento a la solventación y cumplimiento de las observaciones o hallazgos formulados por auditores externos y, en su caso, por otras instancias externas de fiscalización; </w:t>
            </w:r>
          </w:p>
          <w:p w14:paraId="4CEDDC7A" w14:textId="77777777" w:rsidR="00273CA9" w:rsidRPr="00912A8D" w:rsidRDefault="00273CA9" w:rsidP="00AD78B6">
            <w:pPr>
              <w:spacing w:line="360" w:lineRule="auto"/>
              <w:jc w:val="both"/>
              <w:rPr>
                <w:rFonts w:ascii="Palatino Linotype" w:hAnsi="Palatino Linotype" w:cs="Arial"/>
                <w:i/>
                <w:sz w:val="20"/>
              </w:rPr>
            </w:pPr>
            <w:r w:rsidRPr="00912A8D">
              <w:rPr>
                <w:rFonts w:ascii="Palatino Linotype" w:hAnsi="Palatino Linotype" w:cs="Arial"/>
                <w:b/>
                <w:i/>
                <w:sz w:val="20"/>
              </w:rPr>
              <w:t>Artículo 37</w:t>
            </w:r>
            <w:r w:rsidRPr="00912A8D">
              <w:rPr>
                <w:rFonts w:ascii="Palatino Linotype" w:hAnsi="Palatino Linotype" w:cs="Arial"/>
                <w:i/>
                <w:sz w:val="20"/>
              </w:rPr>
              <w:t xml:space="preserve">. Corresponden al </w:t>
            </w:r>
            <w:r w:rsidRPr="00912A8D">
              <w:rPr>
                <w:rFonts w:ascii="Palatino Linotype" w:hAnsi="Palatino Linotype" w:cs="Arial"/>
                <w:b/>
                <w:i/>
                <w:sz w:val="20"/>
                <w:u w:val="single"/>
              </w:rPr>
              <w:t>Área de Auditoría</w:t>
            </w:r>
            <w:r w:rsidRPr="00912A8D">
              <w:rPr>
                <w:rFonts w:ascii="Palatino Linotype" w:hAnsi="Palatino Linotype" w:cs="Arial"/>
                <w:i/>
                <w:sz w:val="20"/>
              </w:rPr>
              <w:t xml:space="preserve"> las atribuciones siguientes:</w:t>
            </w:r>
          </w:p>
          <w:p w14:paraId="5C301CC5" w14:textId="77777777" w:rsidR="00273CA9" w:rsidRPr="00912A8D" w:rsidRDefault="00273CA9" w:rsidP="00AD78B6">
            <w:pPr>
              <w:spacing w:line="360" w:lineRule="auto"/>
              <w:jc w:val="both"/>
              <w:rPr>
                <w:rFonts w:ascii="Palatino Linotype" w:hAnsi="Palatino Linotype"/>
                <w:i/>
                <w:sz w:val="22"/>
              </w:rPr>
            </w:pPr>
            <w:r w:rsidRPr="00912A8D">
              <w:rPr>
                <w:rFonts w:ascii="Palatino Linotype" w:hAnsi="Palatino Linotype"/>
                <w:i/>
                <w:sz w:val="22"/>
              </w:rPr>
              <w:t>(…)</w:t>
            </w:r>
          </w:p>
          <w:p w14:paraId="3CCC9359" w14:textId="77777777" w:rsidR="00273CA9" w:rsidRPr="00912A8D" w:rsidRDefault="00273CA9" w:rsidP="00AD78B6">
            <w:pPr>
              <w:spacing w:line="360" w:lineRule="auto"/>
              <w:jc w:val="both"/>
              <w:rPr>
                <w:rFonts w:ascii="Palatino Linotype" w:hAnsi="Palatino Linotype" w:cs="Arial"/>
                <w:i/>
                <w:sz w:val="20"/>
              </w:rPr>
            </w:pPr>
            <w:r w:rsidRPr="00912A8D">
              <w:rPr>
                <w:rFonts w:ascii="Palatino Linotype" w:hAnsi="Palatino Linotype"/>
                <w:i/>
                <w:sz w:val="20"/>
                <w:u w:val="single"/>
              </w:rPr>
              <w:t xml:space="preserve">VI. Verificar que las unidades administrativas de la Secretaría y de los órganos internos de control, atiendan la aplicación oportuna de las medidas correctivas y recomendaciones derivadas de las observaciones o hallazgos, </w:t>
            </w:r>
            <w:r w:rsidRPr="00912A8D">
              <w:rPr>
                <w:rFonts w:ascii="Palatino Linotype" w:hAnsi="Palatino Linotype"/>
                <w:b/>
                <w:i/>
                <w:sz w:val="20"/>
                <w:u w:val="single"/>
              </w:rPr>
              <w:t>que se deriven de las auditorías o acciones de control y evaluación practicadas, por sí o por las diferentes instancias externas de fiscalización</w:t>
            </w:r>
            <w:r w:rsidRPr="00912A8D">
              <w:rPr>
                <w:rFonts w:ascii="Palatino Linotype" w:hAnsi="Palatino Linotype"/>
                <w:i/>
                <w:sz w:val="20"/>
              </w:rPr>
              <w:t>;</w:t>
            </w:r>
          </w:p>
        </w:tc>
      </w:tr>
      <w:tr w:rsidR="00346DBE" w:rsidRPr="00912A8D" w14:paraId="15F543A1" w14:textId="77777777" w:rsidTr="00346DBE">
        <w:trPr>
          <w:trHeight w:val="1443"/>
        </w:trPr>
        <w:tc>
          <w:tcPr>
            <w:tcW w:w="2552" w:type="dxa"/>
            <w:vAlign w:val="center"/>
          </w:tcPr>
          <w:p w14:paraId="4919A1F1" w14:textId="77777777" w:rsidR="00346DBE" w:rsidRPr="00912A8D" w:rsidRDefault="00D73C7F" w:rsidP="00AD78B6">
            <w:pPr>
              <w:spacing w:line="360" w:lineRule="auto"/>
              <w:jc w:val="both"/>
              <w:rPr>
                <w:rFonts w:ascii="Palatino Linotype" w:hAnsi="Palatino Linotype" w:cs="Arial"/>
                <w:b/>
                <w:sz w:val="20"/>
                <w:szCs w:val="20"/>
                <w:lang w:val="es-419"/>
              </w:rPr>
            </w:pPr>
            <w:r w:rsidRPr="00912A8D">
              <w:rPr>
                <w:rFonts w:ascii="Palatino Linotype" w:hAnsi="Palatino Linotype" w:cs="Arial"/>
                <w:b/>
                <w:sz w:val="20"/>
                <w:szCs w:val="20"/>
                <w:lang w:val="es-419"/>
              </w:rPr>
              <w:lastRenderedPageBreak/>
              <w:t>5.</w:t>
            </w:r>
            <w:r w:rsidRPr="00912A8D">
              <w:rPr>
                <w:rFonts w:ascii="Palatino Linotype" w:hAnsi="Palatino Linotype" w:cs="Arial"/>
                <w:b/>
                <w:sz w:val="20"/>
                <w:szCs w:val="20"/>
                <w:lang w:val="es-419"/>
              </w:rPr>
              <w:tab/>
              <w:t>Copia de todos los Informes enviados de los asuntos relevantes al ex gobernador.</w:t>
            </w:r>
          </w:p>
        </w:tc>
        <w:tc>
          <w:tcPr>
            <w:tcW w:w="6520" w:type="dxa"/>
          </w:tcPr>
          <w:p w14:paraId="77666A1F"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b/>
                <w:i/>
                <w:sz w:val="20"/>
              </w:rPr>
              <w:t>Artículo 7</w:t>
            </w:r>
            <w:r w:rsidRPr="00912A8D">
              <w:rPr>
                <w:rFonts w:ascii="Palatino Linotype" w:eastAsia="Palatino Linotype" w:hAnsi="Palatino Linotype" w:cs="Palatino Linotype"/>
                <w:i/>
                <w:sz w:val="20"/>
              </w:rPr>
              <w:t xml:space="preserve">. Corresponden a la persona </w:t>
            </w:r>
            <w:r w:rsidRPr="00912A8D">
              <w:rPr>
                <w:rFonts w:ascii="Palatino Linotype" w:eastAsia="Palatino Linotype" w:hAnsi="Palatino Linotype" w:cs="Palatino Linotype"/>
                <w:b/>
                <w:i/>
                <w:sz w:val="20"/>
                <w:u w:val="single"/>
              </w:rPr>
              <w:t>titular de la Secretaría las atribuciones</w:t>
            </w:r>
            <w:r w:rsidRPr="00912A8D">
              <w:rPr>
                <w:rFonts w:ascii="Palatino Linotype" w:eastAsia="Palatino Linotype" w:hAnsi="Palatino Linotype" w:cs="Palatino Linotype"/>
                <w:i/>
                <w:sz w:val="20"/>
              </w:rPr>
              <w:t xml:space="preserve"> siguientes:</w:t>
            </w:r>
          </w:p>
          <w:p w14:paraId="2F0223B8"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i/>
                <w:sz w:val="20"/>
              </w:rPr>
              <w:t>(..)</w:t>
            </w:r>
          </w:p>
          <w:p w14:paraId="00211873"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i/>
                <w:sz w:val="20"/>
                <w:u w:val="single"/>
              </w:rPr>
              <w:t xml:space="preserve">XI. </w:t>
            </w:r>
            <w:r w:rsidRPr="00912A8D">
              <w:rPr>
                <w:rFonts w:ascii="Palatino Linotype" w:eastAsia="Palatino Linotype" w:hAnsi="Palatino Linotype" w:cs="Palatino Linotype"/>
                <w:b/>
                <w:i/>
                <w:sz w:val="20"/>
                <w:u w:val="single"/>
              </w:rPr>
              <w:t>Rendir los informes del avance</w:t>
            </w:r>
            <w:r w:rsidRPr="00912A8D">
              <w:rPr>
                <w:rFonts w:ascii="Palatino Linotype" w:eastAsia="Palatino Linotype" w:hAnsi="Palatino Linotype" w:cs="Palatino Linotype"/>
                <w:i/>
                <w:sz w:val="20"/>
                <w:u w:val="single"/>
              </w:rPr>
              <w:t xml:space="preserve"> y cumplimiento programático-presupuestal, así como en su oportunidad verificar y evaluar su cumplimiento respecto de los programas de su competencia</w:t>
            </w:r>
            <w:r w:rsidRPr="00912A8D">
              <w:rPr>
                <w:rFonts w:ascii="Palatino Linotype" w:eastAsia="Palatino Linotype" w:hAnsi="Palatino Linotype" w:cs="Palatino Linotype"/>
                <w:i/>
                <w:sz w:val="20"/>
              </w:rPr>
              <w:t>;</w:t>
            </w:r>
          </w:p>
          <w:p w14:paraId="10B395A6"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i/>
                <w:sz w:val="20"/>
              </w:rPr>
              <w:t>(…)</w:t>
            </w:r>
          </w:p>
          <w:p w14:paraId="5480B8AD"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u w:val="single"/>
              </w:rPr>
            </w:pPr>
            <w:r w:rsidRPr="00912A8D">
              <w:rPr>
                <w:rFonts w:ascii="Palatino Linotype" w:eastAsia="Palatino Linotype" w:hAnsi="Palatino Linotype" w:cs="Palatino Linotype"/>
                <w:i/>
                <w:sz w:val="20"/>
                <w:u w:val="single"/>
              </w:rPr>
              <w:t xml:space="preserve">XXVII. </w:t>
            </w:r>
            <w:r w:rsidRPr="00912A8D">
              <w:rPr>
                <w:rFonts w:ascii="Palatino Linotype" w:eastAsia="Palatino Linotype" w:hAnsi="Palatino Linotype" w:cs="Palatino Linotype"/>
                <w:b/>
                <w:i/>
                <w:sz w:val="20"/>
                <w:u w:val="single"/>
              </w:rPr>
              <w:t>Emitir los informes de resultados de las labores desarrolladas por la Secretaría, para su integración en el Informe de Gobierno</w:t>
            </w:r>
            <w:r w:rsidRPr="00912A8D">
              <w:rPr>
                <w:rFonts w:ascii="Palatino Linotype" w:eastAsia="Palatino Linotype" w:hAnsi="Palatino Linotype" w:cs="Palatino Linotype"/>
                <w:i/>
                <w:sz w:val="20"/>
                <w:u w:val="single"/>
              </w:rPr>
              <w:t>;</w:t>
            </w:r>
          </w:p>
          <w:p w14:paraId="6939B5F8" w14:textId="77777777" w:rsidR="00D73C7F" w:rsidRPr="00912A8D" w:rsidRDefault="00D73C7F" w:rsidP="00AD78B6">
            <w:pPr>
              <w:tabs>
                <w:tab w:val="left" w:pos="8931"/>
              </w:tabs>
              <w:spacing w:line="360" w:lineRule="auto"/>
              <w:ind w:left="34" w:right="175"/>
              <w:jc w:val="both"/>
              <w:rPr>
                <w:rFonts w:ascii="Palatino Linotype" w:eastAsia="Palatino Linotype" w:hAnsi="Palatino Linotype" w:cs="Palatino Linotype"/>
                <w:i/>
                <w:sz w:val="20"/>
                <w:u w:val="single"/>
              </w:rPr>
            </w:pPr>
            <w:r w:rsidRPr="00912A8D">
              <w:rPr>
                <w:rFonts w:ascii="Palatino Linotype" w:eastAsia="Palatino Linotype" w:hAnsi="Palatino Linotype" w:cs="Palatino Linotype"/>
                <w:i/>
                <w:sz w:val="20"/>
                <w:u w:val="single"/>
              </w:rPr>
              <w:t>(…)</w:t>
            </w:r>
          </w:p>
          <w:p w14:paraId="6606D770" w14:textId="77777777" w:rsidR="00455A3F" w:rsidRPr="00912A8D" w:rsidRDefault="00455A3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b/>
                <w:i/>
                <w:sz w:val="20"/>
              </w:rPr>
              <w:t>Artículo 9.</w:t>
            </w:r>
            <w:r w:rsidRPr="00912A8D">
              <w:rPr>
                <w:rFonts w:ascii="Palatino Linotype" w:hAnsi="Palatino Linotype"/>
                <w:i/>
                <w:sz w:val="20"/>
              </w:rPr>
              <w:t xml:space="preserve"> Corresponde a las </w:t>
            </w:r>
            <w:r w:rsidRPr="00912A8D">
              <w:rPr>
                <w:rFonts w:ascii="Palatino Linotype" w:hAnsi="Palatino Linotype"/>
                <w:b/>
                <w:i/>
                <w:sz w:val="20"/>
                <w:u w:val="single"/>
              </w:rPr>
              <w:t>personas titulares de las áreas</w:t>
            </w:r>
            <w:r w:rsidRPr="00912A8D">
              <w:rPr>
                <w:rFonts w:ascii="Palatino Linotype" w:hAnsi="Palatino Linotype"/>
                <w:i/>
                <w:sz w:val="20"/>
              </w:rPr>
              <w:t xml:space="preserve"> señaladas en el artículo anterior el ejercicio de las atribuciones siguientes: </w:t>
            </w:r>
          </w:p>
          <w:p w14:paraId="2F83D68E" w14:textId="77777777" w:rsidR="00455A3F" w:rsidRPr="00912A8D" w:rsidRDefault="00455A3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i/>
                <w:sz w:val="20"/>
              </w:rPr>
              <w:t>(…)</w:t>
            </w:r>
          </w:p>
          <w:p w14:paraId="6FCACA84" w14:textId="77777777" w:rsidR="00455A3F" w:rsidRPr="00912A8D" w:rsidRDefault="00455A3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i/>
                <w:sz w:val="20"/>
              </w:rPr>
              <w:lastRenderedPageBreak/>
              <w:t xml:space="preserve">VI. </w:t>
            </w:r>
            <w:r w:rsidRPr="00912A8D">
              <w:rPr>
                <w:rFonts w:ascii="Palatino Linotype" w:hAnsi="Palatino Linotype"/>
                <w:b/>
                <w:i/>
                <w:sz w:val="20"/>
                <w:u w:val="single"/>
              </w:rPr>
              <w:t>Elaborar los</w:t>
            </w:r>
            <w:r w:rsidRPr="00912A8D">
              <w:rPr>
                <w:rFonts w:ascii="Palatino Linotype" w:hAnsi="Palatino Linotype"/>
                <w:i/>
                <w:sz w:val="20"/>
              </w:rPr>
              <w:t xml:space="preserve"> dictámenes, resoluciones, opiniones, estudios, </w:t>
            </w:r>
            <w:r w:rsidRPr="00912A8D">
              <w:rPr>
                <w:rFonts w:ascii="Palatino Linotype" w:hAnsi="Palatino Linotype"/>
                <w:b/>
                <w:i/>
                <w:sz w:val="20"/>
                <w:u w:val="single"/>
              </w:rPr>
              <w:t>informes y demás documentos que les sean solicitados por la persona superior jerárquica inmediata</w:t>
            </w:r>
            <w:r w:rsidRPr="00912A8D">
              <w:rPr>
                <w:rFonts w:ascii="Palatino Linotype" w:hAnsi="Palatino Linotype"/>
                <w:i/>
                <w:sz w:val="20"/>
              </w:rPr>
              <w:t>, o los que les correspondan en razón de sus atribuciones;</w:t>
            </w:r>
          </w:p>
          <w:p w14:paraId="51C82E5A" w14:textId="77777777" w:rsidR="00455A3F" w:rsidRPr="00912A8D" w:rsidRDefault="00455A3F" w:rsidP="00AD78B6">
            <w:pPr>
              <w:tabs>
                <w:tab w:val="left" w:pos="8931"/>
              </w:tabs>
              <w:spacing w:line="360" w:lineRule="auto"/>
              <w:ind w:left="34" w:right="175"/>
              <w:jc w:val="both"/>
              <w:rPr>
                <w:rFonts w:ascii="Palatino Linotype" w:hAnsi="Palatino Linotype"/>
                <w:i/>
                <w:sz w:val="20"/>
              </w:rPr>
            </w:pPr>
            <w:r w:rsidRPr="00912A8D">
              <w:rPr>
                <w:rFonts w:ascii="Palatino Linotype" w:hAnsi="Palatino Linotype"/>
                <w:i/>
                <w:sz w:val="20"/>
              </w:rPr>
              <w:t>(…)</w:t>
            </w:r>
          </w:p>
          <w:p w14:paraId="07A70B0A" w14:textId="77777777" w:rsidR="00455A3F" w:rsidRPr="00912A8D" w:rsidRDefault="00455A3F" w:rsidP="00AD78B6">
            <w:pPr>
              <w:tabs>
                <w:tab w:val="left" w:pos="8931"/>
              </w:tabs>
              <w:spacing w:line="360" w:lineRule="auto"/>
              <w:ind w:left="34" w:right="175"/>
              <w:jc w:val="both"/>
              <w:rPr>
                <w:rFonts w:ascii="Palatino Linotype" w:eastAsia="Palatino Linotype" w:hAnsi="Palatino Linotype" w:cs="Palatino Linotype"/>
                <w:i/>
                <w:sz w:val="20"/>
              </w:rPr>
            </w:pPr>
            <w:r w:rsidRPr="00912A8D">
              <w:rPr>
                <w:rFonts w:ascii="Palatino Linotype" w:eastAsia="Palatino Linotype" w:hAnsi="Palatino Linotype" w:cs="Palatino Linotype"/>
                <w:b/>
                <w:i/>
                <w:sz w:val="20"/>
                <w:u w:val="single"/>
              </w:rPr>
              <w:t>XXX. Integrar la información correspondiente a sus áreas para la construcción de los informes de resultados de las labores desarrolladas por la Secretaría</w:t>
            </w:r>
            <w:r w:rsidRPr="00912A8D">
              <w:rPr>
                <w:rFonts w:ascii="Palatino Linotype" w:eastAsia="Palatino Linotype" w:hAnsi="Palatino Linotype" w:cs="Palatino Linotype"/>
                <w:i/>
                <w:sz w:val="20"/>
              </w:rPr>
              <w:t>;</w:t>
            </w:r>
            <w:r w:rsidRPr="00912A8D">
              <w:rPr>
                <w:rFonts w:ascii="Palatino Linotype" w:eastAsia="Palatino Linotype" w:hAnsi="Palatino Linotype" w:cs="Palatino Linotype"/>
                <w:i/>
                <w:sz w:val="20"/>
              </w:rPr>
              <w:cr/>
            </w:r>
            <w:r w:rsidRPr="00912A8D">
              <w:rPr>
                <w:rFonts w:ascii="Palatino Linotype" w:eastAsia="Palatino Linotype" w:hAnsi="Palatino Linotype" w:cs="Palatino Linotype"/>
                <w:b/>
                <w:i/>
                <w:sz w:val="20"/>
              </w:rPr>
              <w:t>(</w:t>
            </w:r>
            <w:r w:rsidRPr="00912A8D">
              <w:rPr>
                <w:rFonts w:ascii="Palatino Linotype" w:eastAsia="Palatino Linotype" w:hAnsi="Palatino Linotype" w:cs="Palatino Linotype"/>
                <w:i/>
                <w:sz w:val="20"/>
              </w:rPr>
              <w:t>…)</w:t>
            </w:r>
          </w:p>
          <w:p w14:paraId="2E5F3807" w14:textId="77777777" w:rsidR="00346DBE" w:rsidRPr="00912A8D" w:rsidRDefault="00346DBE" w:rsidP="00AD78B6">
            <w:pPr>
              <w:spacing w:line="360" w:lineRule="auto"/>
              <w:jc w:val="both"/>
              <w:rPr>
                <w:rFonts w:ascii="Palatino Linotype" w:hAnsi="Palatino Linotype" w:cs="Arial"/>
                <w:sz w:val="20"/>
              </w:rPr>
            </w:pPr>
          </w:p>
        </w:tc>
      </w:tr>
    </w:tbl>
    <w:p w14:paraId="7D303E38" w14:textId="77777777" w:rsidR="00346DBE" w:rsidRPr="00912A8D" w:rsidRDefault="00346DBE" w:rsidP="00AD78B6">
      <w:pPr>
        <w:tabs>
          <w:tab w:val="left" w:pos="8931"/>
        </w:tabs>
        <w:spacing w:line="360" w:lineRule="auto"/>
        <w:ind w:right="51"/>
        <w:jc w:val="both"/>
        <w:rPr>
          <w:rFonts w:ascii="Palatino Linotype" w:eastAsia="Palatino Linotype" w:hAnsi="Palatino Linotype" w:cs="Palatino Linotype"/>
        </w:rPr>
      </w:pPr>
    </w:p>
    <w:p w14:paraId="3ECFD62A" w14:textId="77777777" w:rsidR="003E2155" w:rsidRPr="00912A8D" w:rsidRDefault="003E2155"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 xml:space="preserve">De la normatividad previamente plasmada y descrita a cada uno de los requerimientos </w:t>
      </w:r>
      <w:r w:rsidR="00D14CB4" w:rsidRPr="00912A8D">
        <w:rPr>
          <w:rFonts w:ascii="Palatino Linotype" w:eastAsia="Palatino Linotype" w:hAnsi="Palatino Linotype" w:cs="Palatino Linotype"/>
        </w:rPr>
        <w:t>peticionados por el particular en su solicitud de información</w:t>
      </w:r>
      <w:r w:rsidR="009B5C3A" w:rsidRPr="00912A8D">
        <w:rPr>
          <w:rFonts w:ascii="Palatino Linotype" w:eastAsia="Palatino Linotype" w:hAnsi="Palatino Linotype" w:cs="Palatino Linotype"/>
        </w:rPr>
        <w:t xml:space="preserve">, los cuales </w:t>
      </w:r>
      <w:r w:rsidRPr="00912A8D">
        <w:rPr>
          <w:rFonts w:ascii="Palatino Linotype" w:eastAsia="Palatino Linotype" w:hAnsi="Palatino Linotype" w:cs="Palatino Linotype"/>
        </w:rPr>
        <w:t>no fueron atendidos por el Sujeto Obligado</w:t>
      </w:r>
      <w:r w:rsidR="00D14CB4" w:rsidRPr="00912A8D">
        <w:rPr>
          <w:rFonts w:ascii="Palatino Linotype" w:eastAsia="Palatino Linotype" w:hAnsi="Palatino Linotype" w:cs="Palatino Linotype"/>
        </w:rPr>
        <w:t>,</w:t>
      </w:r>
      <w:r w:rsidRPr="00912A8D">
        <w:rPr>
          <w:rFonts w:ascii="Palatino Linotype" w:eastAsia="Palatino Linotype" w:hAnsi="Palatino Linotype" w:cs="Palatino Linotype"/>
        </w:rPr>
        <w:t xml:space="preserve"> se advierte que cuenta con áreas en las que puede obrar la información que resulta de interés para el particular ya que de acuerdo a lo solicitado por el particular se desglosa en cada punto el </w:t>
      </w:r>
      <w:r w:rsidR="00D14CB4" w:rsidRPr="00912A8D">
        <w:rPr>
          <w:rFonts w:ascii="Palatino Linotype" w:eastAsia="Palatino Linotype" w:hAnsi="Palatino Linotype" w:cs="Palatino Linotype"/>
        </w:rPr>
        <w:t>preceptos</w:t>
      </w:r>
      <w:r w:rsidRPr="00912A8D">
        <w:rPr>
          <w:rFonts w:ascii="Palatino Linotype" w:eastAsia="Palatino Linotype" w:hAnsi="Palatino Linotype" w:cs="Palatino Linotype"/>
        </w:rPr>
        <w:t xml:space="preserve"> legal</w:t>
      </w:r>
      <w:r w:rsidR="004E690C" w:rsidRPr="00912A8D">
        <w:rPr>
          <w:rFonts w:ascii="Palatino Linotype" w:eastAsia="Palatino Linotype" w:hAnsi="Palatino Linotype" w:cs="Palatino Linotype"/>
        </w:rPr>
        <w:t>es</w:t>
      </w:r>
      <w:r w:rsidRPr="00912A8D">
        <w:rPr>
          <w:rFonts w:ascii="Palatino Linotype" w:eastAsia="Palatino Linotype" w:hAnsi="Palatino Linotype" w:cs="Palatino Linotype"/>
        </w:rPr>
        <w:t xml:space="preserve"> aplicable</w:t>
      </w:r>
      <w:r w:rsidR="004E690C" w:rsidRPr="00912A8D">
        <w:rPr>
          <w:rFonts w:ascii="Palatino Linotype" w:eastAsia="Palatino Linotype" w:hAnsi="Palatino Linotype" w:cs="Palatino Linotype"/>
        </w:rPr>
        <w:t>s,</w:t>
      </w:r>
      <w:r w:rsidRPr="00912A8D">
        <w:rPr>
          <w:rFonts w:ascii="Palatino Linotype" w:eastAsia="Palatino Linotype" w:hAnsi="Palatino Linotype" w:cs="Palatino Linotype"/>
        </w:rPr>
        <w:t xml:space="preserve"> de conformidad con el Reglamento Interno de la Secretaría de Contraloría</w:t>
      </w:r>
      <w:r w:rsidR="00D14CB4" w:rsidRPr="00912A8D">
        <w:rPr>
          <w:rFonts w:ascii="Palatino Linotype" w:eastAsia="Palatino Linotype" w:hAnsi="Palatino Linotype" w:cs="Palatino Linotype"/>
        </w:rPr>
        <w:t>.</w:t>
      </w:r>
    </w:p>
    <w:p w14:paraId="4657F1C8" w14:textId="77777777" w:rsidR="00860149" w:rsidRPr="00912A8D" w:rsidRDefault="00860149" w:rsidP="00AD78B6">
      <w:pPr>
        <w:tabs>
          <w:tab w:val="left" w:pos="8931"/>
        </w:tabs>
        <w:spacing w:line="360" w:lineRule="auto"/>
        <w:ind w:left="567" w:right="567"/>
        <w:jc w:val="both"/>
        <w:rPr>
          <w:rFonts w:ascii="Palatino Linotype" w:eastAsia="Palatino Linotype" w:hAnsi="Palatino Linotype" w:cs="Palatino Linotype"/>
        </w:rPr>
      </w:pPr>
    </w:p>
    <w:p w14:paraId="272A271A" w14:textId="77777777" w:rsidR="009D326C" w:rsidRPr="00912A8D" w:rsidRDefault="00860149"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Por lo anterior, se advierte que la informaci</w:t>
      </w:r>
      <w:r w:rsidR="004E690C" w:rsidRPr="00912A8D">
        <w:rPr>
          <w:rFonts w:ascii="Palatino Linotype" w:eastAsia="Palatino Linotype" w:hAnsi="Palatino Linotype" w:cs="Palatino Linotype"/>
        </w:rPr>
        <w:t xml:space="preserve">ón que resulta de interés para </w:t>
      </w:r>
      <w:r w:rsidRPr="00912A8D">
        <w:rPr>
          <w:rFonts w:ascii="Palatino Linotype" w:eastAsia="Palatino Linotype" w:hAnsi="Palatino Linotype" w:cs="Palatino Linotype"/>
        </w:rPr>
        <w:t>l</w:t>
      </w:r>
      <w:r w:rsidR="004E690C" w:rsidRPr="00912A8D">
        <w:rPr>
          <w:rFonts w:ascii="Palatino Linotype" w:eastAsia="Palatino Linotype" w:hAnsi="Palatino Linotype" w:cs="Palatino Linotype"/>
        </w:rPr>
        <w:t>a</w:t>
      </w:r>
      <w:r w:rsidRPr="00912A8D">
        <w:rPr>
          <w:rFonts w:ascii="Palatino Linotype" w:eastAsia="Palatino Linotype" w:hAnsi="Palatino Linotype" w:cs="Palatino Linotype"/>
        </w:rPr>
        <w:t xml:space="preserve"> particular puede obrar en los archivos de las unidades administrativas: </w:t>
      </w:r>
      <w:r w:rsidR="00337D57" w:rsidRPr="00912A8D">
        <w:rPr>
          <w:rFonts w:ascii="Palatino Linotype" w:eastAsia="Palatino Linotype" w:hAnsi="Palatino Linotype" w:cs="Palatino Linotype"/>
        </w:rPr>
        <w:t>Dirección de Registro de Declaraciones y Sanciones</w:t>
      </w:r>
      <w:r w:rsidRPr="00912A8D">
        <w:rPr>
          <w:rFonts w:ascii="Palatino Linotype" w:eastAsia="Palatino Linotype" w:hAnsi="Palatino Linotype" w:cs="Palatino Linotype"/>
        </w:rPr>
        <w:t xml:space="preserve">, </w:t>
      </w:r>
      <w:r w:rsidR="00337D57" w:rsidRPr="00912A8D">
        <w:rPr>
          <w:rFonts w:ascii="Palatino Linotype" w:eastAsia="Palatino Linotype" w:hAnsi="Palatino Linotype" w:cs="Palatino Linotype"/>
        </w:rPr>
        <w:t>Titular de la Secretaría</w:t>
      </w:r>
      <w:r w:rsidRPr="00912A8D">
        <w:rPr>
          <w:rFonts w:ascii="Palatino Linotype" w:eastAsia="Palatino Linotype" w:hAnsi="Palatino Linotype" w:cs="Palatino Linotype"/>
        </w:rPr>
        <w:t xml:space="preserve">, </w:t>
      </w:r>
      <w:r w:rsidR="00337D57" w:rsidRPr="00912A8D">
        <w:rPr>
          <w:rFonts w:ascii="Palatino Linotype" w:eastAsia="Palatino Linotype" w:hAnsi="Palatino Linotype" w:cs="Palatino Linotype"/>
        </w:rPr>
        <w:t>Dirección de Investigación</w:t>
      </w:r>
      <w:r w:rsidRPr="00912A8D">
        <w:rPr>
          <w:rFonts w:ascii="Palatino Linotype" w:eastAsia="Palatino Linotype" w:hAnsi="Palatino Linotype" w:cs="Palatino Linotype"/>
        </w:rPr>
        <w:t xml:space="preserve">, </w:t>
      </w:r>
      <w:r w:rsidR="00337D57" w:rsidRPr="00912A8D">
        <w:rPr>
          <w:rFonts w:ascii="Palatino Linotype" w:eastAsia="Palatino Linotype" w:hAnsi="Palatino Linotype" w:cs="Palatino Linotype"/>
        </w:rPr>
        <w:t>Dirección de lo Contencioso e Inconformidades</w:t>
      </w:r>
      <w:r w:rsidRPr="00912A8D">
        <w:rPr>
          <w:rFonts w:ascii="Palatino Linotype" w:eastAsia="Palatino Linotype" w:hAnsi="Palatino Linotype" w:cs="Palatino Linotype"/>
        </w:rPr>
        <w:t xml:space="preserve">, </w:t>
      </w:r>
      <w:r w:rsidR="00337D57" w:rsidRPr="00912A8D">
        <w:rPr>
          <w:rFonts w:ascii="Palatino Linotype" w:eastAsia="Palatino Linotype" w:hAnsi="Palatino Linotype" w:cs="Palatino Linotype"/>
        </w:rPr>
        <w:t>Subsecretaría de Control y Auditoría</w:t>
      </w:r>
      <w:r w:rsidRPr="00912A8D">
        <w:rPr>
          <w:rFonts w:ascii="Palatino Linotype" w:eastAsia="Palatino Linotype" w:hAnsi="Palatino Linotype" w:cs="Palatino Linotype"/>
        </w:rPr>
        <w:t xml:space="preserve">, </w:t>
      </w:r>
      <w:r w:rsidR="00337D57" w:rsidRPr="00912A8D">
        <w:rPr>
          <w:rFonts w:ascii="Palatino Linotype" w:eastAsia="Palatino Linotype" w:hAnsi="Palatino Linotype" w:cs="Palatino Linotype"/>
        </w:rPr>
        <w:t xml:space="preserve">Dirección de Auditorías Especiales y Externas las atribuciones, Órgano Interno de Control de la Secretaría, así como los </w:t>
      </w:r>
      <w:r w:rsidR="008D3A38" w:rsidRPr="00912A8D">
        <w:rPr>
          <w:rFonts w:ascii="Palatino Linotype" w:eastAsia="Palatino Linotype" w:hAnsi="Palatino Linotype" w:cs="Palatino Linotype"/>
        </w:rPr>
        <w:t>Titulares de las Á</w:t>
      </w:r>
      <w:r w:rsidR="00337D57" w:rsidRPr="00912A8D">
        <w:rPr>
          <w:rFonts w:ascii="Palatino Linotype" w:eastAsia="Palatino Linotype" w:hAnsi="Palatino Linotype" w:cs="Palatino Linotype"/>
        </w:rPr>
        <w:t>reas,</w:t>
      </w:r>
      <w:r w:rsidRPr="00912A8D">
        <w:rPr>
          <w:rFonts w:ascii="Palatino Linotype" w:eastAsia="Palatino Linotype" w:hAnsi="Palatino Linotype" w:cs="Palatino Linotype"/>
        </w:rPr>
        <w:t xml:space="preserve">  toda vez que de sus </w:t>
      </w:r>
      <w:r w:rsidR="00C54FB2" w:rsidRPr="00912A8D">
        <w:rPr>
          <w:rFonts w:ascii="Palatino Linotype" w:eastAsia="Palatino Linotype" w:hAnsi="Palatino Linotype" w:cs="Palatino Linotype"/>
        </w:rPr>
        <w:t>atribuc</w:t>
      </w:r>
      <w:r w:rsidRPr="00912A8D">
        <w:rPr>
          <w:rFonts w:ascii="Palatino Linotype" w:eastAsia="Palatino Linotype" w:hAnsi="Palatino Linotype" w:cs="Palatino Linotype"/>
        </w:rPr>
        <w:t xml:space="preserve">iones se advierten lo relacionado a </w:t>
      </w:r>
      <w:r w:rsidR="00C54FB2" w:rsidRPr="00912A8D">
        <w:rPr>
          <w:rFonts w:ascii="Palatino Linotype" w:eastAsia="Palatino Linotype" w:hAnsi="Palatino Linotype" w:cs="Palatino Linotype"/>
          <w:u w:val="single"/>
        </w:rPr>
        <w:t>sanciones</w:t>
      </w:r>
      <w:r w:rsidR="00C54FB2" w:rsidRPr="00912A8D">
        <w:rPr>
          <w:rFonts w:ascii="Palatino Linotype" w:eastAsia="Palatino Linotype" w:hAnsi="Palatino Linotype" w:cs="Palatino Linotype"/>
        </w:rPr>
        <w:t xml:space="preserve">, </w:t>
      </w:r>
      <w:r w:rsidR="004E690C" w:rsidRPr="00912A8D">
        <w:rPr>
          <w:rFonts w:ascii="Palatino Linotype" w:eastAsia="Palatino Linotype" w:hAnsi="Palatino Linotype" w:cs="Palatino Linotype"/>
        </w:rPr>
        <w:t>qu</w:t>
      </w:r>
      <w:r w:rsidR="00C54FB2" w:rsidRPr="00912A8D">
        <w:rPr>
          <w:rFonts w:ascii="Palatino Linotype" w:eastAsia="Palatino Linotype" w:hAnsi="Palatino Linotype" w:cs="Palatino Linotype"/>
        </w:rPr>
        <w:t xml:space="preserve">e la </w:t>
      </w:r>
      <w:r w:rsidR="00C54FB2" w:rsidRPr="00912A8D">
        <w:rPr>
          <w:rFonts w:ascii="Palatino Linotype" w:eastAsia="Palatino Linotype" w:hAnsi="Palatino Linotype" w:cs="Palatino Linotype"/>
          <w:b/>
        </w:rPr>
        <w:t>Dirección de Registro de Declaraciones y Sanciones</w:t>
      </w:r>
      <w:r w:rsidR="00C54FB2" w:rsidRPr="00912A8D">
        <w:t xml:space="preserve">, </w:t>
      </w:r>
      <w:r w:rsidR="00C54FB2" w:rsidRPr="00912A8D">
        <w:rPr>
          <w:rFonts w:ascii="Palatino Linotype" w:eastAsia="Palatino Linotype" w:hAnsi="Palatino Linotype" w:cs="Palatino Linotype"/>
        </w:rPr>
        <w:t xml:space="preserve">administra el sistema de registro de sanciones del Poder </w:t>
      </w:r>
      <w:r w:rsidR="00C54FB2" w:rsidRPr="00912A8D">
        <w:rPr>
          <w:rFonts w:ascii="Palatino Linotype" w:eastAsia="Palatino Linotype" w:hAnsi="Palatino Linotype" w:cs="Palatino Linotype"/>
        </w:rPr>
        <w:lastRenderedPageBreak/>
        <w:t xml:space="preserve">Ejecutivo, </w:t>
      </w:r>
      <w:r w:rsidR="00C54FB2" w:rsidRPr="00912A8D">
        <w:rPr>
          <w:rFonts w:ascii="Palatino Linotype" w:eastAsia="Palatino Linotype" w:hAnsi="Palatino Linotype" w:cs="Palatino Linotype"/>
          <w:u w:val="single"/>
        </w:rPr>
        <w:t>de las personas servidoras públicas sancionados</w:t>
      </w:r>
      <w:r w:rsidR="00C54FB2" w:rsidRPr="00912A8D">
        <w:rPr>
          <w:rFonts w:ascii="Palatino Linotype" w:eastAsia="Palatino Linotype" w:hAnsi="Palatino Linotype" w:cs="Palatino Linotype"/>
        </w:rPr>
        <w:t xml:space="preserve"> y de las abstenciones que hayan realizado las autoridades</w:t>
      </w:r>
      <w:r w:rsidR="009D326C" w:rsidRPr="00912A8D">
        <w:rPr>
          <w:rFonts w:ascii="Palatino Linotype" w:eastAsia="Palatino Linotype" w:hAnsi="Palatino Linotype" w:cs="Palatino Linotype"/>
        </w:rPr>
        <w:t>.</w:t>
      </w:r>
    </w:p>
    <w:p w14:paraId="0D3C0E77" w14:textId="77777777" w:rsidR="009D326C" w:rsidRPr="00912A8D" w:rsidRDefault="009D326C" w:rsidP="00AD78B6">
      <w:pPr>
        <w:tabs>
          <w:tab w:val="left" w:pos="8931"/>
        </w:tabs>
        <w:spacing w:line="360" w:lineRule="auto"/>
        <w:ind w:right="51"/>
        <w:jc w:val="both"/>
        <w:rPr>
          <w:rFonts w:ascii="Palatino Linotype" w:eastAsia="Palatino Linotype" w:hAnsi="Palatino Linotype" w:cs="Palatino Linotype"/>
        </w:rPr>
      </w:pPr>
    </w:p>
    <w:p w14:paraId="35C222DE" w14:textId="77777777" w:rsidR="00E92115" w:rsidRPr="00912A8D" w:rsidRDefault="009D326C"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Por cuanto hace a</w:t>
      </w:r>
      <w:r w:rsidR="00C54FB2" w:rsidRPr="00912A8D">
        <w:rPr>
          <w:rFonts w:ascii="Palatino Linotype" w:eastAsia="Palatino Linotype" w:hAnsi="Palatino Linotype" w:cs="Palatino Linotype"/>
        </w:rPr>
        <w:t xml:space="preserve"> los </w:t>
      </w:r>
      <w:r w:rsidR="00C54FB2" w:rsidRPr="00912A8D">
        <w:rPr>
          <w:rFonts w:ascii="Palatino Linotype" w:eastAsia="Palatino Linotype" w:hAnsi="Palatino Linotype" w:cs="Palatino Linotype"/>
          <w:u w:val="single"/>
        </w:rPr>
        <w:t>resultados por denuncias presentadas ante la Fiscalía General de Justicia del Estado de México o en la Fiscalía General de la República</w:t>
      </w:r>
      <w:r w:rsidR="00860149" w:rsidRPr="00912A8D">
        <w:rPr>
          <w:rFonts w:ascii="Palatino Linotype" w:eastAsia="Palatino Linotype" w:hAnsi="Palatino Linotype" w:cs="Palatino Linotype"/>
        </w:rPr>
        <w:t xml:space="preserve">, </w:t>
      </w:r>
      <w:r w:rsidR="00C54FB2" w:rsidRPr="00912A8D">
        <w:rPr>
          <w:rFonts w:ascii="Palatino Linotype" w:eastAsia="Palatino Linotype" w:hAnsi="Palatino Linotype" w:cs="Palatino Linotype"/>
        </w:rPr>
        <w:t xml:space="preserve">el </w:t>
      </w:r>
      <w:r w:rsidR="00C54FB2" w:rsidRPr="00912A8D">
        <w:rPr>
          <w:rFonts w:ascii="Palatino Linotype" w:eastAsia="Palatino Linotype" w:hAnsi="Palatino Linotype" w:cs="Palatino Linotype"/>
          <w:b/>
        </w:rPr>
        <w:t>Titular de la Secretaría</w:t>
      </w:r>
      <w:r w:rsidR="00C54FB2" w:rsidRPr="00912A8D">
        <w:rPr>
          <w:rFonts w:ascii="Palatino Linotype" w:eastAsia="Palatino Linotype" w:hAnsi="Palatino Linotype" w:cs="Palatino Linotype"/>
        </w:rPr>
        <w:t xml:space="preserve"> le compete </w:t>
      </w:r>
      <w:r w:rsidR="00C54FB2" w:rsidRPr="00912A8D">
        <w:rPr>
          <w:rFonts w:ascii="Palatino Linotype" w:eastAsia="Palatino Linotype" w:hAnsi="Palatino Linotype" w:cs="Palatino Linotype"/>
          <w:u w:val="single"/>
        </w:rPr>
        <w:t>formular las denuncias</w:t>
      </w:r>
      <w:r w:rsidR="00C54FB2" w:rsidRPr="00912A8D">
        <w:rPr>
          <w:rFonts w:ascii="Palatino Linotype" w:eastAsia="Palatino Linotype" w:hAnsi="Palatino Linotype" w:cs="Palatino Linotype"/>
        </w:rPr>
        <w:t xml:space="preserve">, querellas, acusaciones </w:t>
      </w:r>
      <w:r w:rsidR="00C54FB2" w:rsidRPr="00912A8D">
        <w:rPr>
          <w:rFonts w:ascii="Palatino Linotype" w:eastAsia="Palatino Linotype" w:hAnsi="Palatino Linotype" w:cs="Palatino Linotype"/>
          <w:u w:val="single"/>
        </w:rPr>
        <w:t>de naturaleza administrativa o penal</w:t>
      </w:r>
      <w:r w:rsidR="00C54FB2" w:rsidRPr="00912A8D">
        <w:rPr>
          <w:rFonts w:ascii="Palatino Linotype" w:eastAsia="Palatino Linotype" w:hAnsi="Palatino Linotype" w:cs="Palatino Linotype"/>
        </w:rPr>
        <w:t xml:space="preserve"> </w:t>
      </w:r>
      <w:r w:rsidR="00C54FB2" w:rsidRPr="00912A8D">
        <w:rPr>
          <w:rFonts w:ascii="Palatino Linotype" w:eastAsia="Palatino Linotype" w:hAnsi="Palatino Linotype" w:cs="Palatino Linotype"/>
          <w:u w:val="single"/>
        </w:rPr>
        <w:t>ante la Fiscalía Especializada en Combate a la Corrupción u otras autoridades competentes respectivamente</w:t>
      </w:r>
      <w:r w:rsidR="00C54FB2" w:rsidRPr="00912A8D">
        <w:rPr>
          <w:rFonts w:ascii="Palatino Linotype" w:eastAsia="Palatino Linotype" w:hAnsi="Palatino Linotype" w:cs="Palatino Linotype"/>
        </w:rPr>
        <w:t>,</w:t>
      </w:r>
      <w:r w:rsidR="00D70729" w:rsidRPr="00912A8D">
        <w:rPr>
          <w:rFonts w:ascii="Palatino Linotype" w:eastAsia="Palatino Linotype" w:hAnsi="Palatino Linotype" w:cs="Palatino Linotype"/>
        </w:rPr>
        <w:t xml:space="preserve"> la</w:t>
      </w:r>
      <w:r w:rsidR="00C54FB2" w:rsidRPr="00912A8D">
        <w:rPr>
          <w:rFonts w:ascii="Palatino Linotype" w:eastAsia="Palatino Linotype" w:hAnsi="Palatino Linotype" w:cs="Palatino Linotype"/>
        </w:rPr>
        <w:t xml:space="preserve"> </w:t>
      </w:r>
      <w:r w:rsidR="00C54FB2" w:rsidRPr="00912A8D">
        <w:rPr>
          <w:rFonts w:ascii="Palatino Linotype" w:eastAsia="Palatino Linotype" w:hAnsi="Palatino Linotype" w:cs="Palatino Linotype"/>
          <w:b/>
        </w:rPr>
        <w:t>Dirección de Investigación, Dirección de lo Contencioso e Inconformidades, Área de Quejas</w:t>
      </w:r>
      <w:r w:rsidR="00C54FB2" w:rsidRPr="00912A8D">
        <w:rPr>
          <w:rFonts w:ascii="Palatino Linotype" w:eastAsia="Palatino Linotype" w:hAnsi="Palatino Linotype" w:cs="Palatino Linotype"/>
        </w:rPr>
        <w:t xml:space="preserve">, tienen la atribución para conocer </w:t>
      </w:r>
      <w:r w:rsidR="00C54FB2" w:rsidRPr="00912A8D">
        <w:rPr>
          <w:rFonts w:ascii="Palatino Linotype" w:eastAsia="Palatino Linotype" w:hAnsi="Palatino Linotype" w:cs="Palatino Linotype"/>
          <w:u w:val="single"/>
        </w:rPr>
        <w:t>sobre las denuncias formuladas ante la Fiscalía General de Justicia del Estado de México o en su caso ante el homólogo en el ámbito federal</w:t>
      </w:r>
      <w:r w:rsidR="00C54FB2" w:rsidRPr="00912A8D">
        <w:rPr>
          <w:rFonts w:ascii="Palatino Linotype" w:eastAsia="Palatino Linotype" w:hAnsi="Palatino Linotype" w:cs="Palatino Linotype"/>
        </w:rPr>
        <w:t xml:space="preserve">; en relación con el </w:t>
      </w:r>
      <w:r w:rsidR="00C54FB2" w:rsidRPr="00912A8D">
        <w:rPr>
          <w:rFonts w:ascii="Palatino Linotype" w:eastAsia="Palatino Linotype" w:hAnsi="Palatino Linotype" w:cs="Palatino Linotype"/>
          <w:u w:val="single"/>
        </w:rPr>
        <w:t>resultado concreto de todos los asuntos que recibidos de la A</w:t>
      </w:r>
      <w:r w:rsidR="00D70729" w:rsidRPr="00912A8D">
        <w:rPr>
          <w:rFonts w:ascii="Palatino Linotype" w:eastAsia="Palatino Linotype" w:hAnsi="Palatino Linotype" w:cs="Palatino Linotype"/>
          <w:u w:val="single"/>
        </w:rPr>
        <w:t>uditori</w:t>
      </w:r>
      <w:r w:rsidR="00C54FB2" w:rsidRPr="00912A8D">
        <w:rPr>
          <w:rFonts w:ascii="Palatino Linotype" w:eastAsia="Palatino Linotype" w:hAnsi="Palatino Linotype" w:cs="Palatino Linotype"/>
          <w:u w:val="single"/>
        </w:rPr>
        <w:t>a Superior de la Federación y de la Auditoría Superior de su Estado</w:t>
      </w:r>
      <w:r w:rsidR="00C54FB2" w:rsidRPr="00912A8D">
        <w:rPr>
          <w:rFonts w:ascii="Palatino Linotype" w:eastAsia="Palatino Linotype" w:hAnsi="Palatino Linotype" w:cs="Palatino Linotype"/>
        </w:rPr>
        <w:t xml:space="preserve">, </w:t>
      </w:r>
      <w:r w:rsidR="00C54FB2" w:rsidRPr="00912A8D">
        <w:rPr>
          <w:rFonts w:ascii="Palatino Linotype" w:eastAsia="Palatino Linotype" w:hAnsi="Palatino Linotype" w:cs="Palatino Linotype"/>
          <w:u w:val="single"/>
        </w:rPr>
        <w:t>monto de las recuperaciones obtenidas por sus acciones de fiscalización</w:t>
      </w:r>
      <w:r w:rsidR="00D70729" w:rsidRPr="00912A8D">
        <w:rPr>
          <w:rFonts w:ascii="Palatino Linotype" w:eastAsia="Palatino Linotype" w:hAnsi="Palatino Linotype" w:cs="Palatino Linotype"/>
        </w:rPr>
        <w:t xml:space="preserve">, la </w:t>
      </w:r>
      <w:r w:rsidR="00D70729" w:rsidRPr="00912A8D">
        <w:rPr>
          <w:rFonts w:ascii="Palatino Linotype" w:eastAsia="Palatino Linotype" w:hAnsi="Palatino Linotype" w:cs="Palatino Linotype"/>
          <w:b/>
        </w:rPr>
        <w:t>Subsecretaría de Control y Auditoría, Dirección de Auditoría y Control de Programas, Dirección de Auditorías Especiales y Externas, Órgano Interno de Control de la Secretaría, Área de Auditoría</w:t>
      </w:r>
      <w:r w:rsidR="00D70729" w:rsidRPr="00912A8D">
        <w:rPr>
          <w:rFonts w:ascii="Palatino Linotype" w:eastAsia="Palatino Linotype" w:hAnsi="Palatino Linotype" w:cs="Palatino Linotype"/>
        </w:rPr>
        <w:t xml:space="preserve"> se encargan de </w:t>
      </w:r>
      <w:r w:rsidR="00D70729" w:rsidRPr="00912A8D">
        <w:rPr>
          <w:rFonts w:ascii="Palatino Linotype" w:eastAsia="Palatino Linotype" w:hAnsi="Palatino Linotype" w:cs="Palatino Linotype"/>
          <w:u w:val="single"/>
        </w:rPr>
        <w:t>dar seguimiento de forma directa o por conducto de los Órganos Internos de Control, a las observaciones derivadas de las auditorías</w:t>
      </w:r>
      <w:r w:rsidR="00D70729" w:rsidRPr="00912A8D">
        <w:rPr>
          <w:rFonts w:ascii="Palatino Linotype" w:eastAsia="Palatino Linotype" w:hAnsi="Palatino Linotype" w:cs="Palatino Linotype"/>
        </w:rPr>
        <w:t xml:space="preserve">; y en cuanto a todos los </w:t>
      </w:r>
      <w:r w:rsidR="00D70729" w:rsidRPr="00912A8D">
        <w:rPr>
          <w:rFonts w:ascii="Palatino Linotype" w:eastAsia="Palatino Linotype" w:hAnsi="Palatino Linotype" w:cs="Palatino Linotype"/>
          <w:u w:val="single"/>
        </w:rPr>
        <w:t>Informes enviados de los asuntos relevantes al ex gobernador</w:t>
      </w:r>
      <w:r w:rsidR="00D70729" w:rsidRPr="00912A8D">
        <w:rPr>
          <w:rFonts w:ascii="Palatino Linotype" w:eastAsia="Palatino Linotype" w:hAnsi="Palatino Linotype" w:cs="Palatino Linotype"/>
        </w:rPr>
        <w:t xml:space="preserve">, las personas </w:t>
      </w:r>
      <w:r w:rsidR="00D70729" w:rsidRPr="00912A8D">
        <w:rPr>
          <w:rFonts w:ascii="Palatino Linotype" w:eastAsia="Palatino Linotype" w:hAnsi="Palatino Linotype" w:cs="Palatino Linotype"/>
          <w:b/>
        </w:rPr>
        <w:t>Titulares de las Áreas</w:t>
      </w:r>
      <w:r w:rsidR="00D70729" w:rsidRPr="00912A8D">
        <w:rPr>
          <w:rFonts w:ascii="Palatino Linotype" w:eastAsia="Palatino Linotype" w:hAnsi="Palatino Linotype" w:cs="Palatino Linotype"/>
          <w:u w:val="single"/>
        </w:rPr>
        <w:t>, elaboran los informes</w:t>
      </w:r>
      <w:r w:rsidR="00D70729" w:rsidRPr="00912A8D">
        <w:rPr>
          <w:rFonts w:ascii="Palatino Linotype" w:eastAsia="Palatino Linotype" w:hAnsi="Palatino Linotype" w:cs="Palatino Linotype"/>
        </w:rPr>
        <w:t xml:space="preserve"> y demás documentos que les sean solicitados por la persona superior jerárquica inmediata, así como la persona </w:t>
      </w:r>
      <w:r w:rsidR="00D70729" w:rsidRPr="00912A8D">
        <w:rPr>
          <w:rFonts w:ascii="Palatino Linotype" w:eastAsia="Palatino Linotype" w:hAnsi="Palatino Linotype" w:cs="Palatino Linotype"/>
          <w:b/>
        </w:rPr>
        <w:t>Titular de la Secretaría</w:t>
      </w:r>
      <w:r w:rsidR="00D70729" w:rsidRPr="00912A8D">
        <w:rPr>
          <w:rFonts w:ascii="Palatino Linotype" w:eastAsia="Palatino Linotype" w:hAnsi="Palatino Linotype" w:cs="Palatino Linotype"/>
        </w:rPr>
        <w:t xml:space="preserve">  </w:t>
      </w:r>
      <w:r w:rsidR="00D70729" w:rsidRPr="00912A8D">
        <w:rPr>
          <w:rFonts w:ascii="Palatino Linotype" w:eastAsia="Palatino Linotype" w:hAnsi="Palatino Linotype" w:cs="Palatino Linotype"/>
          <w:u w:val="single"/>
        </w:rPr>
        <w:t>emite los informes de resultados de las labores desarrolladas por la Secretaría, para su integración en el Informe de Gobierno</w:t>
      </w:r>
      <w:r w:rsidR="00D70729" w:rsidRPr="00912A8D">
        <w:rPr>
          <w:rFonts w:ascii="Palatino Linotype" w:eastAsia="Palatino Linotype" w:hAnsi="Palatino Linotype" w:cs="Palatino Linotype"/>
        </w:rPr>
        <w:t xml:space="preserve">; </w:t>
      </w:r>
      <w:r w:rsidR="00C54FB2" w:rsidRPr="00912A8D">
        <w:rPr>
          <w:rFonts w:ascii="Palatino Linotype" w:eastAsia="Palatino Linotype" w:hAnsi="Palatino Linotype" w:cs="Palatino Linotype"/>
        </w:rPr>
        <w:t xml:space="preserve"> </w:t>
      </w:r>
      <w:r w:rsidRPr="00912A8D">
        <w:rPr>
          <w:rFonts w:ascii="Palatino Linotype" w:eastAsia="Palatino Linotype" w:hAnsi="Palatino Linotype" w:cs="Palatino Linotype"/>
        </w:rPr>
        <w:t>S</w:t>
      </w:r>
      <w:r w:rsidR="00E92115" w:rsidRPr="00912A8D">
        <w:rPr>
          <w:rFonts w:ascii="Palatino Linotype" w:eastAsia="Palatino Linotype" w:hAnsi="Palatino Linotype" w:cs="Palatino Linotype"/>
        </w:rPr>
        <w:t>i bien es cierto, solicitan las denuncias, en las razones o motivos de inconformidad se advierte que solo requiere el acceso a las denuncias concluidas.</w:t>
      </w:r>
    </w:p>
    <w:p w14:paraId="36C78885"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p>
    <w:p w14:paraId="7DC6DBD9"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50ED2019"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p>
    <w:p w14:paraId="33F53A1F" w14:textId="77777777" w:rsidR="00E92115" w:rsidRPr="00912A8D" w:rsidRDefault="00E92115" w:rsidP="00AD78B6">
      <w:pPr>
        <w:tabs>
          <w:tab w:val="left" w:pos="8931"/>
        </w:tabs>
        <w:spacing w:line="360" w:lineRule="auto"/>
        <w:ind w:left="567" w:right="567"/>
        <w:jc w:val="both"/>
        <w:rPr>
          <w:rFonts w:ascii="Palatino Linotype" w:eastAsia="Palatino Linotype" w:hAnsi="Palatino Linotype" w:cs="Palatino Linotype"/>
          <w:b/>
          <w:bCs/>
          <w:i/>
          <w:iCs/>
        </w:rPr>
      </w:pPr>
      <w:r w:rsidRPr="00912A8D">
        <w:rPr>
          <w:rFonts w:ascii="Palatino Linotype" w:eastAsia="Palatino Linotype" w:hAnsi="Palatino Linotype" w:cs="Palatino Linotype"/>
          <w:b/>
          <w:bCs/>
          <w:i/>
          <w:iCs/>
        </w:rPr>
        <w:t>ACTOS CONSENTIDOS. SON LOS QUE NO SE IMPUGNAN MEDIANTE EL RECURSO IDÓNEO.</w:t>
      </w:r>
    </w:p>
    <w:p w14:paraId="61C38556" w14:textId="77777777" w:rsidR="00E92115" w:rsidRPr="00912A8D" w:rsidRDefault="00E92115" w:rsidP="00AD78B6">
      <w:pPr>
        <w:tabs>
          <w:tab w:val="left" w:pos="8931"/>
        </w:tabs>
        <w:spacing w:line="360" w:lineRule="auto"/>
        <w:ind w:left="567" w:right="567"/>
        <w:jc w:val="both"/>
        <w:rPr>
          <w:rFonts w:ascii="Palatino Linotype" w:eastAsia="Palatino Linotype" w:hAnsi="Palatino Linotype" w:cs="Palatino Linotype"/>
          <w:i/>
          <w:iCs/>
        </w:rPr>
      </w:pPr>
      <w:r w:rsidRPr="00912A8D">
        <w:rPr>
          <w:rFonts w:ascii="Palatino Linotype" w:eastAsia="Palatino Linotype" w:hAnsi="Palatino Linotype" w:cs="Palatino Linotype"/>
          <w:i/>
          <w:iC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4DF186C"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p>
    <w:p w14:paraId="1DB8BB75"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52FC3146"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p>
    <w:p w14:paraId="2FFB25FE" w14:textId="77777777" w:rsidR="00E92115" w:rsidRPr="00912A8D" w:rsidRDefault="00E92115" w:rsidP="00AD78B6">
      <w:pPr>
        <w:tabs>
          <w:tab w:val="left" w:pos="8931"/>
        </w:tabs>
        <w:spacing w:line="360" w:lineRule="auto"/>
        <w:ind w:left="567" w:right="567"/>
        <w:jc w:val="both"/>
        <w:rPr>
          <w:rFonts w:ascii="Palatino Linotype" w:eastAsia="Palatino Linotype" w:hAnsi="Palatino Linotype" w:cs="Palatino Linotype"/>
          <w:i/>
          <w:iCs/>
        </w:rPr>
      </w:pPr>
      <w:r w:rsidRPr="00912A8D">
        <w:rPr>
          <w:rFonts w:ascii="Palatino Linotype" w:eastAsia="Palatino Linotype" w:hAnsi="Palatino Linotype" w:cs="Palatino Linotype"/>
          <w:b/>
          <w:bCs/>
          <w:i/>
          <w:iCs/>
        </w:rPr>
        <w:t xml:space="preserve">Actos consentidos tácitamente. Improcedencia de su análisis. </w:t>
      </w:r>
      <w:r w:rsidRPr="00912A8D">
        <w:rPr>
          <w:rFonts w:ascii="Palatino Linotype" w:eastAsia="Palatino Linotype" w:hAnsi="Palatino Linotype" w:cs="Palatino Linotype"/>
          <w:i/>
          <w:iCs/>
        </w:rPr>
        <w:t xml:space="preserve">Si en su recurso de revisión, la persona recurrente no expresó inconformidad alguna con ciertas partes de la respuesta otorgada, se entienden tácitamente consentidas, por </w:t>
      </w:r>
      <w:r w:rsidRPr="00912A8D">
        <w:rPr>
          <w:rFonts w:ascii="Palatino Linotype" w:eastAsia="Palatino Linotype" w:hAnsi="Palatino Linotype" w:cs="Palatino Linotype"/>
          <w:i/>
          <w:iCs/>
        </w:rPr>
        <w:lastRenderedPageBreak/>
        <w:t>ende, no deben formar parte del estudio de fondo de la resolución que emite el Instituto.</w:t>
      </w:r>
    </w:p>
    <w:p w14:paraId="50ED59C3" w14:textId="77777777"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p>
    <w:p w14:paraId="033B7D05" w14:textId="50A18370" w:rsidR="00E92115" w:rsidRPr="00912A8D" w:rsidRDefault="00E92115" w:rsidP="00AD78B6">
      <w:pPr>
        <w:tabs>
          <w:tab w:val="left" w:pos="8931"/>
        </w:tabs>
        <w:spacing w:line="360" w:lineRule="auto"/>
        <w:ind w:right="51"/>
        <w:jc w:val="both"/>
        <w:rPr>
          <w:rFonts w:ascii="Palatino Linotype" w:eastAsia="Palatino Linotype" w:hAnsi="Palatino Linotype" w:cs="Palatino Linotype"/>
        </w:rPr>
      </w:pPr>
      <w:r w:rsidRPr="00912A8D">
        <w:rPr>
          <w:rFonts w:ascii="Palatino Linotype" w:eastAsia="Palatino Linotype" w:hAnsi="Palatino Linotype" w:cs="Palatino Linotype"/>
        </w:rPr>
        <w:t xml:space="preserve">Por lo señalado anteriormente, </w:t>
      </w:r>
      <w:r w:rsidR="001633A9" w:rsidRPr="00912A8D">
        <w:rPr>
          <w:rFonts w:ascii="Palatino Linotype" w:eastAsia="Palatino Linotype" w:hAnsi="Palatino Linotype" w:cs="Palatino Linotype"/>
        </w:rPr>
        <w:t>es de referirse que el Sujeto Obligado únicamente interpone la denuncia y desconoce el estado procesal de la misma, toda vez que esa información sólo le atañe a la fiscalía, por lo tanto no es procedente ordenar las denuncias concluidas puesto que no se encuentran en posesión del Sujeto Obligado</w:t>
      </w:r>
      <w:r w:rsidRPr="00912A8D">
        <w:rPr>
          <w:rFonts w:ascii="Palatino Linotype" w:eastAsia="Palatino Linotype" w:hAnsi="Palatino Linotype" w:cs="Palatino Linotype"/>
        </w:rPr>
        <w:t>.</w:t>
      </w:r>
    </w:p>
    <w:p w14:paraId="4E0F6312" w14:textId="77777777" w:rsidR="00860149" w:rsidRPr="00912A8D" w:rsidRDefault="00860149" w:rsidP="00AD78B6">
      <w:pPr>
        <w:pStyle w:val="Textoindependiente"/>
        <w:spacing w:after="0" w:line="360" w:lineRule="auto"/>
        <w:jc w:val="both"/>
        <w:rPr>
          <w:rFonts w:ascii="Palatino Linotype" w:eastAsiaTheme="minorEastAsia" w:hAnsi="Palatino Linotype"/>
          <w:color w:val="000000" w:themeColor="text1"/>
          <w:sz w:val="24"/>
          <w:szCs w:val="24"/>
          <w:lang w:eastAsia="es-ES"/>
        </w:rPr>
      </w:pPr>
    </w:p>
    <w:p w14:paraId="3F589AD5" w14:textId="77777777" w:rsidR="00860149" w:rsidRPr="00912A8D" w:rsidRDefault="00860149" w:rsidP="00AD78B6">
      <w:pPr>
        <w:spacing w:line="360" w:lineRule="auto"/>
        <w:jc w:val="both"/>
        <w:rPr>
          <w:rFonts w:ascii="Palatino Linotype" w:hAnsi="Palatino Linotype"/>
          <w:lang w:eastAsia="es-MX"/>
        </w:rPr>
      </w:pPr>
      <w:r w:rsidRPr="00912A8D">
        <w:rPr>
          <w:rFonts w:ascii="Palatino Linotype" w:hAnsi="Palatino Linotype" w:cs="Arial"/>
        </w:rPr>
        <w:t xml:space="preserve">Es de precisar que, aunque la solicitud de información y la respuesta estén dirigidas y atendidas por un </w:t>
      </w:r>
      <w:r w:rsidRPr="00912A8D">
        <w:rPr>
          <w:rFonts w:ascii="Palatino Linotype" w:hAnsi="Palatino Linotype" w:cs="Arial"/>
          <w:b/>
        </w:rPr>
        <w:t>Sujeto Obligado</w:t>
      </w:r>
      <w:r w:rsidRPr="00912A8D">
        <w:rPr>
          <w:rFonts w:ascii="Palatino Linotype" w:hAnsi="Palatino Linotype" w:cs="Arial"/>
        </w:rPr>
        <w:t xml:space="preserve">, lo cierto es que también tienen diversas Unidades Administrativas y cada área cuenta con un </w:t>
      </w:r>
      <w:r w:rsidRPr="00912A8D">
        <w:rPr>
          <w:rFonts w:ascii="Palatino Linotype" w:hAnsi="Palatino Linotype" w:cs="Arial"/>
          <w:b/>
        </w:rPr>
        <w:t>Servidor Público Habilitado</w:t>
      </w:r>
      <w:r w:rsidRPr="00912A8D">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538A96E" w14:textId="77777777" w:rsidR="00860149" w:rsidRPr="00912A8D" w:rsidRDefault="00860149" w:rsidP="00AD78B6">
      <w:pPr>
        <w:spacing w:line="360" w:lineRule="auto"/>
        <w:rPr>
          <w:rFonts w:ascii="Palatino Linotype" w:hAnsi="Palatino Linotype"/>
        </w:rPr>
      </w:pPr>
    </w:p>
    <w:p w14:paraId="29C8C8D0"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b/>
          <w:i/>
          <w:sz w:val="22"/>
        </w:rPr>
        <w:t>Artículo 3.</w:t>
      </w:r>
      <w:r w:rsidRPr="00912A8D">
        <w:rPr>
          <w:rFonts w:ascii="Palatino Linotype" w:hAnsi="Palatino Linotype" w:cs="Arial"/>
          <w:i/>
          <w:sz w:val="22"/>
        </w:rPr>
        <w:t xml:space="preserve"> Para los efectos de la presente Ley se entenderá por:</w:t>
      </w:r>
    </w:p>
    <w:p w14:paraId="16CCA3F7"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w:t>
      </w:r>
    </w:p>
    <w:p w14:paraId="43BAEA63"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b/>
          <w:i/>
          <w:sz w:val="22"/>
        </w:rPr>
        <w:t xml:space="preserve">XXXIX. Servidor público habilitado: </w:t>
      </w:r>
      <w:r w:rsidRPr="00912A8D">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4BE9F85"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w:t>
      </w:r>
    </w:p>
    <w:p w14:paraId="4FFA9D10"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b/>
          <w:i/>
          <w:sz w:val="22"/>
        </w:rPr>
      </w:pPr>
    </w:p>
    <w:p w14:paraId="5C685071"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b/>
          <w:i/>
          <w:sz w:val="22"/>
        </w:rPr>
        <w:t>Artículo 58.</w:t>
      </w:r>
      <w:r w:rsidRPr="00912A8D">
        <w:rPr>
          <w:rFonts w:ascii="Palatino Linotype" w:hAnsi="Palatino Linotype" w:cs="Arial"/>
          <w:i/>
          <w:sz w:val="22"/>
        </w:rPr>
        <w:t xml:space="preserve"> Los servidores públicos habilitados serán designados por el titular del sujeto obligado a propuesta del responsable de la Unidad de Transparencia.</w:t>
      </w:r>
    </w:p>
    <w:p w14:paraId="28E2F2E4"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258CE7A0"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b/>
          <w:i/>
          <w:sz w:val="22"/>
        </w:rPr>
        <w:t>Artículo 59.</w:t>
      </w:r>
      <w:r w:rsidRPr="00912A8D">
        <w:rPr>
          <w:rFonts w:ascii="Palatino Linotype" w:hAnsi="Palatino Linotype" w:cs="Arial"/>
          <w:i/>
          <w:sz w:val="22"/>
        </w:rPr>
        <w:t xml:space="preserve"> </w:t>
      </w:r>
      <w:r w:rsidRPr="00912A8D">
        <w:rPr>
          <w:rFonts w:ascii="Palatino Linotype" w:hAnsi="Palatino Linotype" w:cs="Arial"/>
          <w:b/>
          <w:i/>
          <w:sz w:val="22"/>
          <w:u w:val="single"/>
        </w:rPr>
        <w:t>Los servidores públicos habilitados</w:t>
      </w:r>
      <w:r w:rsidRPr="00912A8D">
        <w:rPr>
          <w:rFonts w:ascii="Palatino Linotype" w:hAnsi="Palatino Linotype" w:cs="Arial"/>
          <w:i/>
          <w:sz w:val="22"/>
        </w:rPr>
        <w:t xml:space="preserve"> tendrán las funciones siguientes:</w:t>
      </w:r>
    </w:p>
    <w:p w14:paraId="299EB3F4"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 xml:space="preserve">I. </w:t>
      </w:r>
      <w:r w:rsidRPr="00912A8D">
        <w:rPr>
          <w:rFonts w:ascii="Palatino Linotype" w:hAnsi="Palatino Linotype" w:cs="Arial"/>
          <w:b/>
          <w:i/>
          <w:sz w:val="22"/>
          <w:u w:val="single"/>
        </w:rPr>
        <w:t>Localizar la información que le solicite la Unidad de Transparencia</w:t>
      </w:r>
      <w:r w:rsidRPr="00912A8D">
        <w:rPr>
          <w:rFonts w:ascii="Palatino Linotype" w:hAnsi="Palatino Linotype" w:cs="Arial"/>
          <w:i/>
          <w:sz w:val="22"/>
        </w:rPr>
        <w:t>;</w:t>
      </w:r>
    </w:p>
    <w:p w14:paraId="486A4E6A"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314F09E2"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 xml:space="preserve">II. </w:t>
      </w:r>
      <w:r w:rsidRPr="00912A8D">
        <w:rPr>
          <w:rFonts w:ascii="Palatino Linotype" w:hAnsi="Palatino Linotype" w:cs="Arial"/>
          <w:b/>
          <w:i/>
          <w:sz w:val="22"/>
          <w:u w:val="single"/>
        </w:rPr>
        <w:t>Proporcionar la información que obre en los archivos y que le sea solicitada por la Unidad de Transparencia</w:t>
      </w:r>
      <w:r w:rsidRPr="00912A8D">
        <w:rPr>
          <w:rFonts w:ascii="Palatino Linotype" w:hAnsi="Palatino Linotype" w:cs="Arial"/>
          <w:i/>
          <w:sz w:val="22"/>
        </w:rPr>
        <w:t>;</w:t>
      </w:r>
    </w:p>
    <w:p w14:paraId="403AE09E"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2DC7EC1C"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III. Apoyar a la Unidad de Transparencia en lo que esta le solicite para el cumplimiento de sus funciones;</w:t>
      </w:r>
    </w:p>
    <w:p w14:paraId="69B9B86C"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14E507AA"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IV. Proporcionar a la Unidad de Transparencia, las modificaciones a la información pública de oficio que obre en su poder;</w:t>
      </w:r>
    </w:p>
    <w:p w14:paraId="3163C4F9"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5B88517B"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7AAD166"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0F2FF73F"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VI. Verificar, una vez analizado el contenido de la información, que no se encuentre en los supuestos de información clasificada; y</w:t>
      </w:r>
    </w:p>
    <w:p w14:paraId="3E2CE069"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p>
    <w:p w14:paraId="5AAA02A5" w14:textId="77777777" w:rsidR="00860149" w:rsidRPr="00912A8D" w:rsidRDefault="00860149" w:rsidP="00AD78B6">
      <w:pPr>
        <w:autoSpaceDE w:val="0"/>
        <w:autoSpaceDN w:val="0"/>
        <w:adjustRightInd w:val="0"/>
        <w:spacing w:line="360" w:lineRule="auto"/>
        <w:ind w:left="567" w:right="708"/>
        <w:jc w:val="both"/>
        <w:rPr>
          <w:rFonts w:ascii="Palatino Linotype" w:hAnsi="Palatino Linotype" w:cs="Arial"/>
          <w:i/>
          <w:sz w:val="22"/>
        </w:rPr>
      </w:pPr>
      <w:r w:rsidRPr="00912A8D">
        <w:rPr>
          <w:rFonts w:ascii="Palatino Linotype" w:hAnsi="Palatino Linotype" w:cs="Arial"/>
          <w:i/>
          <w:sz w:val="22"/>
        </w:rPr>
        <w:t>VII. Dar cuenta a la Unidad de Transparencia del vencimiento de los plazos de reserva.</w:t>
      </w:r>
    </w:p>
    <w:p w14:paraId="4734605D" w14:textId="77777777" w:rsidR="00860149" w:rsidRPr="00912A8D" w:rsidRDefault="00860149" w:rsidP="00AD78B6">
      <w:pPr>
        <w:spacing w:line="360" w:lineRule="auto"/>
        <w:jc w:val="both"/>
        <w:rPr>
          <w:rFonts w:ascii="Palatino Linotype" w:hAnsi="Palatino Linotype"/>
          <w:lang w:eastAsia="es-MX"/>
        </w:rPr>
      </w:pPr>
    </w:p>
    <w:p w14:paraId="0C51859B" w14:textId="77777777" w:rsidR="00AD78B6" w:rsidRPr="00912A8D" w:rsidRDefault="00AD78B6" w:rsidP="00AD78B6">
      <w:pPr>
        <w:spacing w:line="360" w:lineRule="auto"/>
        <w:jc w:val="both"/>
        <w:rPr>
          <w:rFonts w:ascii="Palatino Linotype" w:hAnsi="Palatino Linotype"/>
          <w:lang w:eastAsia="es-MX"/>
        </w:rPr>
      </w:pPr>
    </w:p>
    <w:p w14:paraId="2E7F4FDF" w14:textId="77777777" w:rsidR="00AD78B6" w:rsidRPr="00912A8D" w:rsidRDefault="00AD78B6" w:rsidP="00AD78B6">
      <w:pPr>
        <w:spacing w:line="360" w:lineRule="auto"/>
        <w:jc w:val="both"/>
        <w:rPr>
          <w:rFonts w:ascii="Palatino Linotype" w:hAnsi="Palatino Linotype"/>
          <w:lang w:eastAsia="es-MX"/>
        </w:rPr>
      </w:pPr>
    </w:p>
    <w:p w14:paraId="6527D934" w14:textId="77777777" w:rsidR="00AD78B6" w:rsidRPr="00912A8D" w:rsidRDefault="00AD78B6" w:rsidP="00AD78B6">
      <w:pPr>
        <w:spacing w:line="360" w:lineRule="auto"/>
        <w:jc w:val="both"/>
        <w:rPr>
          <w:rFonts w:ascii="Palatino Linotype" w:hAnsi="Palatino Linotype"/>
          <w:lang w:eastAsia="es-MX"/>
        </w:rPr>
      </w:pPr>
    </w:p>
    <w:p w14:paraId="3F61A341" w14:textId="77777777" w:rsidR="00860149" w:rsidRPr="00912A8D" w:rsidRDefault="00860149" w:rsidP="00AD78B6">
      <w:pPr>
        <w:spacing w:line="360" w:lineRule="auto"/>
        <w:jc w:val="both"/>
        <w:rPr>
          <w:rFonts w:ascii="Palatino Linotype" w:hAnsi="Palatino Linotype"/>
          <w:lang w:eastAsia="es-MX"/>
        </w:rPr>
      </w:pPr>
      <w:r w:rsidRPr="00912A8D">
        <w:rPr>
          <w:rFonts w:ascii="Palatino Linotype" w:hAnsi="Palatino Linotype"/>
          <w:lang w:eastAsia="es-MX"/>
        </w:rPr>
        <w:t xml:space="preserve">En otras palabras, </w:t>
      </w:r>
      <w:r w:rsidR="008D3A38" w:rsidRPr="00912A8D">
        <w:rPr>
          <w:rFonts w:ascii="Palatino Linotype" w:hAnsi="Palatino Linotype"/>
          <w:lang w:eastAsia="es-MX"/>
        </w:rPr>
        <w:t xml:space="preserve">no </w:t>
      </w:r>
      <w:r w:rsidRPr="00912A8D">
        <w:rPr>
          <w:rFonts w:ascii="Palatino Linotype" w:hAnsi="Palatino Linotype"/>
          <w:lang w:eastAsia="es-MX"/>
        </w:rPr>
        <w:t>cumplió con lo que para tal efecto dispone el artículo 162, de la Ley de Transparencia y Acceso a la Información Pública del Estado de México y Municipios, que índica:</w:t>
      </w:r>
    </w:p>
    <w:p w14:paraId="1FC0DBCB" w14:textId="77777777" w:rsidR="00860149" w:rsidRPr="00912A8D" w:rsidRDefault="00860149" w:rsidP="00AD78B6">
      <w:pPr>
        <w:spacing w:line="360" w:lineRule="auto"/>
        <w:jc w:val="both"/>
        <w:rPr>
          <w:rFonts w:ascii="Palatino Linotype" w:hAnsi="Palatino Linotype"/>
          <w:sz w:val="10"/>
          <w:lang w:eastAsia="es-MX"/>
        </w:rPr>
      </w:pPr>
    </w:p>
    <w:p w14:paraId="44BCB2CB" w14:textId="77777777" w:rsidR="00860149" w:rsidRPr="00912A8D" w:rsidRDefault="00860149" w:rsidP="00AD78B6">
      <w:pPr>
        <w:spacing w:line="360" w:lineRule="auto"/>
        <w:jc w:val="both"/>
        <w:rPr>
          <w:rFonts w:ascii="Palatino Linotype" w:hAnsi="Palatino Linotype"/>
          <w:sz w:val="10"/>
          <w:lang w:eastAsia="es-MX"/>
        </w:rPr>
      </w:pPr>
    </w:p>
    <w:p w14:paraId="1623EA7E" w14:textId="77777777" w:rsidR="00860149" w:rsidRPr="00912A8D" w:rsidRDefault="00860149" w:rsidP="00AD78B6">
      <w:pPr>
        <w:spacing w:line="360" w:lineRule="auto"/>
        <w:ind w:left="567"/>
        <w:jc w:val="both"/>
        <w:rPr>
          <w:rFonts w:ascii="Palatino Linotype" w:hAnsi="Palatino Linotype"/>
          <w:i/>
          <w:sz w:val="18"/>
          <w:szCs w:val="20"/>
          <w:lang w:eastAsia="es-MX"/>
        </w:rPr>
      </w:pPr>
      <w:r w:rsidRPr="00912A8D">
        <w:rPr>
          <w:rFonts w:ascii="Palatino Linotype" w:hAnsi="Palatino Linotype"/>
          <w:i/>
          <w:sz w:val="22"/>
          <w:szCs w:val="20"/>
          <w:lang w:eastAsia="es-MX"/>
        </w:rPr>
        <w:t>“</w:t>
      </w:r>
      <w:r w:rsidRPr="00912A8D">
        <w:rPr>
          <w:rFonts w:ascii="Palatino Linotype" w:hAnsi="Palatino Linotype"/>
          <w:b/>
          <w:bCs/>
          <w:i/>
          <w:sz w:val="22"/>
          <w:szCs w:val="20"/>
          <w:lang w:eastAsia="es-MX"/>
        </w:rPr>
        <w:t xml:space="preserve">Artículo 162. </w:t>
      </w:r>
      <w:r w:rsidRPr="00912A8D">
        <w:rPr>
          <w:rFonts w:ascii="Palatino Linotype" w:hAnsi="Palatino Linotype"/>
          <w:i/>
          <w:sz w:val="22"/>
          <w:szCs w:val="20"/>
          <w:u w:val="single"/>
          <w:lang w:eastAsia="es-MX"/>
        </w:rPr>
        <w:t xml:space="preserve">Las unidades de transparencia deberán garantizar que las solicitudes se turnen a </w:t>
      </w:r>
      <w:r w:rsidRPr="00912A8D">
        <w:rPr>
          <w:rFonts w:ascii="Palatino Linotype" w:hAnsi="Palatino Linotype"/>
          <w:b/>
          <w:i/>
          <w:sz w:val="22"/>
          <w:szCs w:val="20"/>
          <w:u w:val="single"/>
          <w:lang w:eastAsia="es-MX"/>
        </w:rPr>
        <w:t>todas las Áreas competentes</w:t>
      </w:r>
      <w:r w:rsidRPr="00912A8D">
        <w:rPr>
          <w:rFonts w:ascii="Palatino Linotype" w:hAnsi="Palatino Linotype"/>
          <w:i/>
          <w:sz w:val="22"/>
          <w:szCs w:val="20"/>
          <w:u w:val="single"/>
          <w:lang w:eastAsia="es-MX"/>
        </w:rPr>
        <w:t xml:space="preserve"> que cuenten con la información o deban tenerla de acuerdo a sus facultades, competencias y funciones, con el objeto de que realicen una búsqueda exhaustiva y razonable de la información solicitada.</w:t>
      </w:r>
      <w:r w:rsidRPr="00912A8D">
        <w:rPr>
          <w:rFonts w:ascii="Palatino Linotype" w:hAnsi="Palatino Linotype"/>
          <w:i/>
          <w:sz w:val="22"/>
          <w:szCs w:val="20"/>
          <w:lang w:eastAsia="es-MX"/>
        </w:rPr>
        <w:t>”</w:t>
      </w:r>
    </w:p>
    <w:p w14:paraId="7AE7A7F4" w14:textId="77777777" w:rsidR="00860149" w:rsidRPr="00912A8D" w:rsidRDefault="00860149" w:rsidP="00AD78B6">
      <w:pPr>
        <w:spacing w:line="360" w:lineRule="auto"/>
        <w:jc w:val="both"/>
        <w:rPr>
          <w:rFonts w:ascii="Palatino Linotype" w:hAnsi="Palatino Linotype"/>
          <w:lang w:eastAsia="es-MX"/>
        </w:rPr>
      </w:pPr>
    </w:p>
    <w:p w14:paraId="24234716" w14:textId="77777777" w:rsidR="00860149" w:rsidRPr="00912A8D" w:rsidRDefault="00860149" w:rsidP="00AD78B6">
      <w:pPr>
        <w:spacing w:line="360" w:lineRule="auto"/>
        <w:jc w:val="both"/>
        <w:rPr>
          <w:rFonts w:ascii="Palatino Linotype" w:hAnsi="Palatino Linotype"/>
        </w:rPr>
      </w:pPr>
      <w:r w:rsidRPr="00912A8D">
        <w:rPr>
          <w:rFonts w:ascii="Palatino Linotype" w:hAnsi="Palatino Linotype"/>
          <w:lang w:eastAsia="es-MX"/>
        </w:rPr>
        <w:t xml:space="preserve">Bajo ese contexto, se considera que si bien el Sujeto Obligado realizó un pronunciamiento realizado desde su respuesta primigenia por </w:t>
      </w:r>
      <w:r w:rsidRPr="00912A8D">
        <w:rPr>
          <w:rFonts w:ascii="Palatino Linotype" w:eastAsiaTheme="minorHAnsi" w:hAnsi="Palatino Linotype" w:cstheme="minorBidi"/>
          <w:b/>
          <w:lang w:val="es-MX" w:eastAsia="es-MX"/>
        </w:rPr>
        <w:t>l</w:t>
      </w:r>
      <w:r w:rsidR="008D3A38" w:rsidRPr="00912A8D">
        <w:rPr>
          <w:rFonts w:ascii="Palatino Linotype" w:eastAsiaTheme="minorHAnsi" w:hAnsi="Palatino Linotype" w:cstheme="minorBidi"/>
          <w:b/>
          <w:lang w:val="es-MX" w:eastAsia="es-MX"/>
        </w:rPr>
        <w:t>a</w:t>
      </w:r>
      <w:r w:rsidRPr="00912A8D">
        <w:rPr>
          <w:rFonts w:ascii="Palatino Linotype" w:eastAsiaTheme="minorHAnsi" w:hAnsi="Palatino Linotype" w:cstheme="minorBidi"/>
          <w:b/>
          <w:lang w:val="es-MX" w:eastAsia="es-MX"/>
        </w:rPr>
        <w:t xml:space="preserve"> Servidor</w:t>
      </w:r>
      <w:r w:rsidR="008D3A38" w:rsidRPr="00912A8D">
        <w:rPr>
          <w:rFonts w:ascii="Palatino Linotype" w:eastAsiaTheme="minorHAnsi" w:hAnsi="Palatino Linotype" w:cstheme="minorBidi"/>
          <w:b/>
          <w:lang w:val="es-MX" w:eastAsia="es-MX"/>
        </w:rPr>
        <w:t>a</w:t>
      </w:r>
      <w:r w:rsidRPr="00912A8D">
        <w:rPr>
          <w:rFonts w:ascii="Palatino Linotype" w:eastAsiaTheme="minorHAnsi" w:hAnsi="Palatino Linotype" w:cstheme="minorBidi"/>
          <w:b/>
          <w:lang w:val="es-MX" w:eastAsia="es-MX"/>
        </w:rPr>
        <w:t xml:space="preserve"> Públic</w:t>
      </w:r>
      <w:r w:rsidR="008D3A38" w:rsidRPr="00912A8D">
        <w:rPr>
          <w:rFonts w:ascii="Palatino Linotype" w:eastAsiaTheme="minorHAnsi" w:hAnsi="Palatino Linotype" w:cstheme="minorBidi"/>
          <w:b/>
          <w:lang w:val="es-MX" w:eastAsia="es-MX"/>
        </w:rPr>
        <w:t>a</w:t>
      </w:r>
      <w:r w:rsidRPr="00912A8D">
        <w:rPr>
          <w:rFonts w:ascii="Palatino Linotype" w:eastAsiaTheme="minorHAnsi" w:hAnsi="Palatino Linotype" w:cstheme="minorBidi"/>
          <w:b/>
          <w:lang w:val="es-MX" w:eastAsia="es-MX"/>
        </w:rPr>
        <w:t xml:space="preserve"> Habilitad</w:t>
      </w:r>
      <w:r w:rsidR="008D3A38" w:rsidRPr="00912A8D">
        <w:rPr>
          <w:rFonts w:ascii="Palatino Linotype" w:eastAsiaTheme="minorHAnsi" w:hAnsi="Palatino Linotype" w:cstheme="minorBidi"/>
          <w:b/>
          <w:lang w:val="es-MX" w:eastAsia="es-MX"/>
        </w:rPr>
        <w:t>a,</w:t>
      </w:r>
      <w:r w:rsidRPr="00912A8D">
        <w:rPr>
          <w:rFonts w:ascii="Palatino Linotype" w:eastAsiaTheme="minorHAnsi" w:hAnsi="Palatino Linotype" w:cstheme="minorBidi"/>
          <w:b/>
          <w:lang w:val="es-MX" w:eastAsia="es-MX"/>
        </w:rPr>
        <w:t xml:space="preserve"> </w:t>
      </w:r>
      <w:r w:rsidR="008D3A38" w:rsidRPr="00912A8D">
        <w:rPr>
          <w:rFonts w:ascii="Palatino Linotype" w:eastAsiaTheme="minorHAnsi" w:hAnsi="Palatino Linotype" w:cstheme="minorBidi"/>
          <w:b/>
          <w:lang w:val="es-MX" w:eastAsia="es-MX"/>
        </w:rPr>
        <w:t>Titular del Órgano Interno de Control</w:t>
      </w:r>
      <w:r w:rsidRPr="00912A8D">
        <w:rPr>
          <w:rFonts w:ascii="Palatino Linotype" w:hAnsi="Palatino Linotype"/>
          <w:lang w:eastAsia="es-MX"/>
        </w:rPr>
        <w:t xml:space="preserve">, también lo es que no remitió la información requerida por la particular, por lo que de acuerdo a </w:t>
      </w:r>
      <w:r w:rsidR="008D3A38" w:rsidRPr="00912A8D">
        <w:rPr>
          <w:rFonts w:ascii="Palatino Linotype" w:hAnsi="Palatino Linotype"/>
          <w:lang w:eastAsia="es-MX"/>
        </w:rPr>
        <w:t>sus atribuciones</w:t>
      </w:r>
      <w:r w:rsidRPr="00912A8D">
        <w:rPr>
          <w:rFonts w:ascii="Palatino Linotype" w:hAnsi="Palatino Linotype"/>
          <w:lang w:eastAsia="es-MX"/>
        </w:rPr>
        <w:t xml:space="preserve"> de </w:t>
      </w:r>
      <w:r w:rsidR="008D3A38" w:rsidRPr="00912A8D">
        <w:rPr>
          <w:rFonts w:ascii="Palatino Linotype" w:hAnsi="Palatino Linotype"/>
          <w:lang w:eastAsia="es-MX"/>
        </w:rPr>
        <w:t>Dirección de Registro de Declaraciones y Sanciones, Titular de la Secretaría, Dirección de Investigación, Dirección de lo Contencioso e Inconformidades, Subsecretaría de Control y Auditoría, Dirección de Auditorías Especiales y Externas las atribuciones, Órgano Interno de Control de la Secretaría, así como los Titulares de las Áreas</w:t>
      </w:r>
      <w:r w:rsidRPr="00912A8D">
        <w:rPr>
          <w:rFonts w:ascii="Palatino Linotype" w:hAnsi="Palatino Linotype"/>
          <w:lang w:eastAsia="es-MX"/>
        </w:rPr>
        <w:t xml:space="preserve">, deberá realizar una </w:t>
      </w:r>
      <w:r w:rsidRPr="00912A8D">
        <w:rPr>
          <w:rFonts w:ascii="Palatino Linotype" w:hAnsi="Palatino Linotype"/>
          <w:u w:val="single"/>
          <w:lang w:eastAsia="es-MX"/>
        </w:rPr>
        <w:t>nueva búsqueda</w:t>
      </w:r>
      <w:r w:rsidRPr="00912A8D">
        <w:rPr>
          <w:rFonts w:ascii="Palatino Linotype" w:hAnsi="Palatino Linotype"/>
          <w:lang w:eastAsia="es-MX"/>
        </w:rPr>
        <w:t xml:space="preserve"> con la finalidad de entregar la información que resulta de </w:t>
      </w:r>
      <w:r w:rsidR="008D3A38" w:rsidRPr="00912A8D">
        <w:rPr>
          <w:rFonts w:ascii="Palatino Linotype" w:hAnsi="Palatino Linotype"/>
          <w:lang w:eastAsia="es-MX"/>
        </w:rPr>
        <w:t xml:space="preserve">interés para </w:t>
      </w:r>
      <w:r w:rsidRPr="00912A8D">
        <w:rPr>
          <w:rFonts w:ascii="Palatino Linotype" w:hAnsi="Palatino Linotype"/>
          <w:lang w:eastAsia="es-MX"/>
        </w:rPr>
        <w:t>l</w:t>
      </w:r>
      <w:r w:rsidR="008D3A38" w:rsidRPr="00912A8D">
        <w:rPr>
          <w:rFonts w:ascii="Palatino Linotype" w:hAnsi="Palatino Linotype"/>
          <w:lang w:eastAsia="es-MX"/>
        </w:rPr>
        <w:t>a</w:t>
      </w:r>
      <w:r w:rsidRPr="00912A8D">
        <w:rPr>
          <w:rFonts w:ascii="Palatino Linotype" w:hAnsi="Palatino Linotype"/>
          <w:lang w:eastAsia="es-MX"/>
        </w:rPr>
        <w:t xml:space="preserve"> Recurrente, con la finalidad de dar certeza a la particular de que se realizó una correcta búsqueda de la información requerida</w:t>
      </w:r>
      <w:r w:rsidRPr="00912A8D">
        <w:rPr>
          <w:rFonts w:ascii="Palatino Linotype" w:hAnsi="Palatino Linotype"/>
        </w:rPr>
        <w:t>.</w:t>
      </w:r>
    </w:p>
    <w:p w14:paraId="786ACBD0" w14:textId="77777777" w:rsidR="00526DF0" w:rsidRPr="00912A8D" w:rsidRDefault="00526DF0" w:rsidP="00AD78B6">
      <w:pPr>
        <w:pStyle w:val="Sinespaciado"/>
        <w:spacing w:line="360" w:lineRule="auto"/>
        <w:jc w:val="both"/>
        <w:rPr>
          <w:rFonts w:ascii="Palatino Linotype" w:hAnsi="Palatino Linotype" w:cs="Arial"/>
          <w:lang w:val="es-ES"/>
        </w:rPr>
      </w:pPr>
    </w:p>
    <w:p w14:paraId="3419ECF0" w14:textId="77777777" w:rsidR="00BE585A" w:rsidRPr="00912A8D" w:rsidRDefault="00BE585A" w:rsidP="00AD78B6">
      <w:pPr>
        <w:spacing w:line="360" w:lineRule="auto"/>
        <w:jc w:val="both"/>
        <w:rPr>
          <w:rFonts w:ascii="Palatino Linotype" w:hAnsi="Palatino Linotype" w:cs="Arial"/>
        </w:rPr>
      </w:pPr>
      <w:r w:rsidRPr="00912A8D">
        <w:rPr>
          <w:rFonts w:ascii="Palatino Linotype" w:hAnsi="Palatino Linotype" w:cs="Tahoma"/>
          <w:bCs/>
        </w:rPr>
        <w:t xml:space="preserve">Conforme a lo anterior, se advierte que, si bien el </w:t>
      </w:r>
      <w:r w:rsidRPr="00912A8D">
        <w:rPr>
          <w:rFonts w:ascii="Palatino Linotype" w:hAnsi="Palatino Linotype" w:cs="Tahoma"/>
          <w:b/>
          <w:bCs/>
        </w:rPr>
        <w:t>Sujeto Obligado</w:t>
      </w:r>
      <w:r w:rsidRPr="00912A8D">
        <w:rPr>
          <w:rFonts w:ascii="Palatino Linotype" w:hAnsi="Palatino Linotype" w:cs="Tahoma"/>
          <w:bCs/>
        </w:rPr>
        <w:t xml:space="preserve"> se pronunció respecto de la información relacionada con lo solicitado, lo cierto es que</w:t>
      </w:r>
      <w:r w:rsidRPr="00912A8D">
        <w:rPr>
          <w:rFonts w:ascii="Palatino Linotype" w:hAnsi="Palatino Linotype" w:cs="Tahoma"/>
          <w:b/>
          <w:bCs/>
        </w:rPr>
        <w:t xml:space="preserve"> </w:t>
      </w:r>
      <w:r w:rsidRPr="00912A8D">
        <w:rPr>
          <w:rFonts w:ascii="Palatino Linotype" w:hAnsi="Palatino Linotype" w:cs="Tahoma"/>
          <w:bCs/>
        </w:rPr>
        <w:t xml:space="preserve">no atiende </w:t>
      </w:r>
      <w:r w:rsidR="00AD3B9C" w:rsidRPr="00912A8D">
        <w:rPr>
          <w:rFonts w:ascii="Palatino Linotype" w:hAnsi="Palatino Linotype" w:cs="Tahoma"/>
          <w:bCs/>
        </w:rPr>
        <w:t xml:space="preserve">a cabalidad </w:t>
      </w:r>
      <w:r w:rsidRPr="00912A8D">
        <w:rPr>
          <w:rFonts w:ascii="Palatino Linotype" w:hAnsi="Palatino Linotype" w:cs="Tahoma"/>
          <w:bCs/>
        </w:rPr>
        <w:t>l</w:t>
      </w:r>
      <w:r w:rsidR="00AD3B9C" w:rsidRPr="00912A8D">
        <w:rPr>
          <w:rFonts w:ascii="Palatino Linotype" w:hAnsi="Palatino Linotype" w:cs="Tahoma"/>
          <w:bCs/>
        </w:rPr>
        <w:t>os</w:t>
      </w:r>
      <w:r w:rsidRPr="00912A8D">
        <w:rPr>
          <w:rFonts w:ascii="Palatino Linotype" w:hAnsi="Palatino Linotype" w:cs="Tahoma"/>
          <w:bCs/>
        </w:rPr>
        <w:t xml:space="preserve"> requerimiento</w:t>
      </w:r>
      <w:r w:rsidR="00AD3B9C" w:rsidRPr="00912A8D">
        <w:rPr>
          <w:rFonts w:ascii="Palatino Linotype" w:hAnsi="Palatino Linotype" w:cs="Tahoma"/>
          <w:bCs/>
        </w:rPr>
        <w:t>s</w:t>
      </w:r>
      <w:r w:rsidRPr="00912A8D">
        <w:rPr>
          <w:rFonts w:ascii="Palatino Linotype" w:hAnsi="Palatino Linotype" w:cs="Tahoma"/>
          <w:bCs/>
        </w:rPr>
        <w:t xml:space="preserve">, por lo que, </w:t>
      </w:r>
      <w:r w:rsidRPr="00912A8D">
        <w:rPr>
          <w:rFonts w:ascii="Palatino Linotype" w:hAnsi="Palatino Linotype" w:cs="Arial"/>
        </w:rPr>
        <w:t xml:space="preserve">este Instituto resalta que, por regla general, toda la información generada, obtenida, adquirida, transformada, administrada o en </w:t>
      </w:r>
      <w:r w:rsidRPr="00912A8D">
        <w:rPr>
          <w:rFonts w:ascii="Palatino Linotype" w:hAnsi="Palatino Linotype" w:cs="Arial"/>
        </w:rPr>
        <w:lastRenderedPageBreak/>
        <w:t xml:space="preserve">posesión de los sujetos obligados es pública, debemos considerar que también hay excepciones, es decir, que se trate de información clasificada </w:t>
      </w:r>
      <w:r w:rsidRPr="00912A8D">
        <w:rPr>
          <w:rFonts w:ascii="Palatino Linotype" w:hAnsi="Palatino Linotype" w:cs="Arial"/>
          <w:i/>
        </w:rPr>
        <w:t>(confidencial o reservada)</w:t>
      </w:r>
      <w:r w:rsidRPr="00912A8D">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61A38F1F" w14:textId="77777777" w:rsidR="00AD3B9C" w:rsidRPr="00912A8D" w:rsidRDefault="00AD3B9C" w:rsidP="00AD78B6">
      <w:pPr>
        <w:spacing w:line="360" w:lineRule="auto"/>
        <w:jc w:val="both"/>
        <w:rPr>
          <w:rFonts w:ascii="Palatino Linotype" w:hAnsi="Palatino Linotype" w:cs="Tahoma"/>
          <w:bCs/>
        </w:rPr>
      </w:pPr>
    </w:p>
    <w:p w14:paraId="5AB69398" w14:textId="77777777" w:rsidR="00BE585A" w:rsidRPr="00912A8D" w:rsidRDefault="00BE585A" w:rsidP="00AD78B6">
      <w:pPr>
        <w:numPr>
          <w:ilvl w:val="0"/>
          <w:numId w:val="17"/>
        </w:numPr>
        <w:spacing w:line="360" w:lineRule="auto"/>
        <w:jc w:val="both"/>
        <w:rPr>
          <w:rFonts w:ascii="Palatino Linotype" w:hAnsi="Palatino Linotype" w:cs="Arial"/>
        </w:rPr>
      </w:pPr>
      <w:r w:rsidRPr="00912A8D">
        <w:rPr>
          <w:rFonts w:ascii="Palatino Linotype" w:hAnsi="Palatino Linotype" w:cs="Arial"/>
          <w:b/>
        </w:rPr>
        <w:t>Información confidencial</w:t>
      </w:r>
      <w:r w:rsidRPr="00912A8D">
        <w:rPr>
          <w:rFonts w:ascii="Palatino Linotype" w:hAnsi="Palatino Linotype" w:cs="Arial"/>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949074F" w14:textId="77777777" w:rsidR="00BE585A" w:rsidRPr="00912A8D" w:rsidRDefault="00BE585A" w:rsidP="00AD78B6">
      <w:pPr>
        <w:spacing w:line="360" w:lineRule="auto"/>
        <w:ind w:left="360"/>
        <w:jc w:val="both"/>
        <w:rPr>
          <w:rFonts w:ascii="Palatino Linotype" w:hAnsi="Palatino Linotype" w:cs="Arial"/>
        </w:rPr>
      </w:pPr>
    </w:p>
    <w:p w14:paraId="71AA3A69" w14:textId="77777777" w:rsidR="00BE585A" w:rsidRPr="00912A8D" w:rsidRDefault="00BE585A" w:rsidP="00AD78B6">
      <w:pPr>
        <w:numPr>
          <w:ilvl w:val="0"/>
          <w:numId w:val="17"/>
        </w:numPr>
        <w:spacing w:line="360" w:lineRule="auto"/>
        <w:jc w:val="both"/>
        <w:rPr>
          <w:rFonts w:ascii="Palatino Linotype" w:hAnsi="Palatino Linotype" w:cs="Arial"/>
        </w:rPr>
      </w:pPr>
      <w:r w:rsidRPr="00912A8D">
        <w:rPr>
          <w:rFonts w:ascii="Palatino Linotype" w:hAnsi="Palatino Linotype" w:cs="Arial"/>
          <w:b/>
        </w:rPr>
        <w:t>Información privada:</w:t>
      </w:r>
      <w:r w:rsidRPr="00912A8D">
        <w:rPr>
          <w:rFonts w:ascii="Palatino Linotype" w:hAnsi="Palatino Linotype" w:cs="Arial"/>
        </w:rPr>
        <w:t xml:space="preserve"> La contenida en documentos públicos o privados que refiera a la vida privada y/o los datos personales, que no son de acceso público.</w:t>
      </w:r>
    </w:p>
    <w:p w14:paraId="2A8FD0BF" w14:textId="77777777" w:rsidR="00BE585A" w:rsidRPr="00912A8D" w:rsidRDefault="00BE585A" w:rsidP="00AD78B6">
      <w:pPr>
        <w:spacing w:line="360" w:lineRule="auto"/>
        <w:jc w:val="both"/>
        <w:rPr>
          <w:rFonts w:ascii="Palatino Linotype" w:hAnsi="Palatino Linotype" w:cs="Arial"/>
        </w:rPr>
      </w:pPr>
    </w:p>
    <w:p w14:paraId="6A47F9F0" w14:textId="77777777" w:rsidR="00BE585A" w:rsidRPr="00912A8D" w:rsidRDefault="00BE585A" w:rsidP="00AD78B6">
      <w:pPr>
        <w:numPr>
          <w:ilvl w:val="0"/>
          <w:numId w:val="17"/>
        </w:numPr>
        <w:spacing w:line="360" w:lineRule="auto"/>
        <w:jc w:val="both"/>
        <w:rPr>
          <w:rFonts w:ascii="Palatino Linotype" w:hAnsi="Palatino Linotype" w:cs="Arial"/>
        </w:rPr>
      </w:pPr>
      <w:r w:rsidRPr="00912A8D">
        <w:rPr>
          <w:rFonts w:ascii="Palatino Linotype" w:hAnsi="Palatino Linotype" w:cs="Arial"/>
          <w:b/>
        </w:rPr>
        <w:t>Información reservada:</w:t>
      </w:r>
      <w:r w:rsidRPr="00912A8D">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664C621F" w14:textId="77777777" w:rsidR="00BE585A" w:rsidRPr="00912A8D" w:rsidRDefault="00BE585A" w:rsidP="00AD78B6">
      <w:pPr>
        <w:spacing w:line="360" w:lineRule="auto"/>
        <w:jc w:val="both"/>
        <w:rPr>
          <w:rFonts w:ascii="Palatino Linotype" w:hAnsi="Palatino Linotype" w:cs="Arial"/>
        </w:rPr>
      </w:pPr>
    </w:p>
    <w:p w14:paraId="1B5D3BB8" w14:textId="77777777" w:rsidR="00BE585A" w:rsidRPr="00912A8D" w:rsidRDefault="00BE585A" w:rsidP="00AD78B6">
      <w:pPr>
        <w:spacing w:line="360" w:lineRule="auto"/>
        <w:jc w:val="both"/>
        <w:rPr>
          <w:rFonts w:ascii="Palatino Linotype" w:hAnsi="Palatino Linotype" w:cs="Arial"/>
        </w:rPr>
      </w:pPr>
      <w:r w:rsidRPr="00912A8D">
        <w:rPr>
          <w:rFonts w:ascii="Palatino Linotype" w:hAnsi="Palatino Linotype" w:cs="Arial"/>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62C8D05E" w14:textId="77777777" w:rsidR="00BE585A" w:rsidRPr="00912A8D" w:rsidRDefault="00BE585A" w:rsidP="00AD78B6">
      <w:pPr>
        <w:spacing w:line="360" w:lineRule="auto"/>
        <w:jc w:val="both"/>
        <w:rPr>
          <w:rFonts w:ascii="Palatino Linotype" w:hAnsi="Palatino Linotype" w:cs="Arial"/>
        </w:rPr>
      </w:pPr>
    </w:p>
    <w:p w14:paraId="44C48CC3" w14:textId="77777777" w:rsidR="00AD78B6" w:rsidRPr="00912A8D" w:rsidRDefault="00AD78B6" w:rsidP="00AD78B6">
      <w:pPr>
        <w:spacing w:line="360" w:lineRule="auto"/>
        <w:jc w:val="both"/>
        <w:rPr>
          <w:rFonts w:ascii="Palatino Linotype" w:hAnsi="Palatino Linotype" w:cs="Arial"/>
        </w:rPr>
      </w:pPr>
    </w:p>
    <w:p w14:paraId="4CEE8DC6" w14:textId="77777777" w:rsidR="00BE585A" w:rsidRPr="00912A8D" w:rsidRDefault="00BE585A" w:rsidP="00AD78B6">
      <w:pPr>
        <w:spacing w:line="360" w:lineRule="auto"/>
        <w:jc w:val="both"/>
        <w:rPr>
          <w:rFonts w:ascii="Palatino Linotype" w:hAnsi="Palatino Linotype" w:cs="Arial"/>
        </w:rPr>
      </w:pPr>
      <w:r w:rsidRPr="00912A8D">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76C1C6C8" w14:textId="77777777" w:rsidR="00BE585A" w:rsidRPr="00912A8D" w:rsidRDefault="00BE585A" w:rsidP="00AD78B6">
      <w:pPr>
        <w:spacing w:line="360" w:lineRule="auto"/>
        <w:jc w:val="both"/>
        <w:rPr>
          <w:rFonts w:ascii="Palatino Linotype" w:hAnsi="Palatino Linotype" w:cs="Arial"/>
        </w:rPr>
      </w:pPr>
    </w:p>
    <w:p w14:paraId="02F3EF68"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Sin embargo, en el presente asunto la información requerida corresponde a las estadísticas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sidRPr="00912A8D">
        <w:rPr>
          <w:rFonts w:ascii="Palatino Linotype" w:eastAsiaTheme="minorHAnsi" w:hAnsi="Palatino Linotype" w:cs="Arial"/>
          <w:szCs w:val="22"/>
          <w:lang w:val="es-MX" w:eastAsia="en-US"/>
        </w:rPr>
        <w:t xml:space="preserve">; por lo que no se encontraría en ningún supuesto de </w:t>
      </w:r>
      <w:r w:rsidRPr="00912A8D">
        <w:rPr>
          <w:rFonts w:ascii="Palatino Linotype" w:eastAsiaTheme="minorHAnsi" w:hAnsi="Palatino Linotype" w:cs="Arial"/>
          <w:b/>
          <w:szCs w:val="22"/>
          <w:lang w:val="es-MX" w:eastAsia="en-US"/>
        </w:rPr>
        <w:t>RESERVA</w:t>
      </w:r>
      <w:r w:rsidRPr="00912A8D">
        <w:rPr>
          <w:rFonts w:ascii="Palatino Linotype" w:eastAsiaTheme="minorHAnsi" w:hAnsi="Palatino Linotype" w:cs="Arial"/>
          <w:szCs w:val="22"/>
          <w:lang w:val="es-MX" w:eastAsia="en-US"/>
        </w:rPr>
        <w:t xml:space="preserve">, ya que únicamente se daría a conocer </w:t>
      </w:r>
      <w:r w:rsidR="0091473A" w:rsidRPr="00912A8D">
        <w:rPr>
          <w:rFonts w:ascii="Palatino Linotype" w:eastAsiaTheme="minorHAnsi" w:hAnsi="Palatino Linotype" w:cs="Arial"/>
          <w:b/>
          <w:bCs/>
          <w:szCs w:val="22"/>
          <w:u w:val="single"/>
          <w:lang w:val="es-MX" w:eastAsia="en-US"/>
        </w:rPr>
        <w:t xml:space="preserve">las </w:t>
      </w:r>
      <w:r w:rsidRPr="00912A8D">
        <w:rPr>
          <w:rFonts w:ascii="Palatino Linotype" w:eastAsiaTheme="minorHAnsi" w:hAnsi="Palatino Linotype" w:cs="Arial"/>
          <w:b/>
          <w:bCs/>
          <w:szCs w:val="22"/>
          <w:u w:val="single"/>
          <w:lang w:val="es-MX" w:eastAsia="en-US"/>
        </w:rPr>
        <w:t>quejas</w:t>
      </w:r>
      <w:r w:rsidR="0091473A" w:rsidRPr="00912A8D">
        <w:rPr>
          <w:rFonts w:ascii="Palatino Linotype" w:eastAsiaTheme="minorHAnsi" w:hAnsi="Palatino Linotype" w:cs="Arial"/>
          <w:b/>
          <w:bCs/>
          <w:szCs w:val="22"/>
          <w:u w:val="single"/>
          <w:lang w:val="es-MX" w:eastAsia="en-US"/>
        </w:rPr>
        <w:t xml:space="preserve"> y/o denuncias,</w:t>
      </w:r>
      <w:r w:rsidR="00AD3B9C" w:rsidRPr="00912A8D">
        <w:rPr>
          <w:rFonts w:ascii="Palatino Linotype" w:eastAsiaTheme="minorHAnsi" w:hAnsi="Palatino Linotype" w:cs="Arial"/>
          <w:b/>
          <w:bCs/>
          <w:szCs w:val="22"/>
          <w:u w:val="single"/>
          <w:lang w:val="es-MX" w:eastAsia="en-US"/>
        </w:rPr>
        <w:t xml:space="preserve"> sanciones económicas</w:t>
      </w:r>
      <w:r w:rsidR="0091473A" w:rsidRPr="00912A8D">
        <w:rPr>
          <w:rFonts w:ascii="Palatino Linotype" w:eastAsiaTheme="minorHAnsi" w:hAnsi="Palatino Linotype" w:cs="Arial"/>
          <w:b/>
          <w:bCs/>
          <w:szCs w:val="22"/>
          <w:u w:val="single"/>
          <w:lang w:val="es-MX" w:eastAsia="en-US"/>
        </w:rPr>
        <w:t xml:space="preserve"> impuestas</w:t>
      </w:r>
      <w:r w:rsidR="00AD3B9C" w:rsidRPr="00912A8D">
        <w:rPr>
          <w:rFonts w:ascii="Palatino Linotype" w:eastAsiaTheme="minorHAnsi" w:hAnsi="Palatino Linotype" w:cs="Arial"/>
          <w:b/>
          <w:bCs/>
          <w:szCs w:val="22"/>
          <w:u w:val="single"/>
          <w:lang w:val="es-MX" w:eastAsia="en-US"/>
        </w:rPr>
        <w:t xml:space="preserve">, así como </w:t>
      </w:r>
      <w:r w:rsidR="0091473A" w:rsidRPr="00912A8D">
        <w:rPr>
          <w:rFonts w:ascii="Palatino Linotype" w:eastAsiaTheme="minorHAnsi" w:hAnsi="Palatino Linotype" w:cs="Arial"/>
          <w:b/>
          <w:bCs/>
          <w:szCs w:val="22"/>
          <w:u w:val="single"/>
          <w:lang w:val="es-MX" w:eastAsia="en-US"/>
        </w:rPr>
        <w:t>los</w:t>
      </w:r>
      <w:r w:rsidR="00AE28D2" w:rsidRPr="00912A8D">
        <w:rPr>
          <w:rFonts w:ascii="Palatino Linotype" w:eastAsiaTheme="minorHAnsi" w:hAnsi="Palatino Linotype" w:cs="Arial"/>
          <w:b/>
          <w:bCs/>
          <w:szCs w:val="22"/>
          <w:u w:val="single"/>
          <w:lang w:val="es-MX" w:eastAsia="en-US"/>
        </w:rPr>
        <w:t xml:space="preserve"> asuntos recibidos </w:t>
      </w:r>
      <w:r w:rsidR="0091473A" w:rsidRPr="00912A8D">
        <w:rPr>
          <w:rFonts w:ascii="Palatino Linotype" w:eastAsiaTheme="minorHAnsi" w:hAnsi="Palatino Linotype" w:cs="Arial"/>
          <w:b/>
          <w:bCs/>
          <w:szCs w:val="22"/>
          <w:u w:val="single"/>
          <w:lang w:val="es-MX" w:eastAsia="en-US"/>
        </w:rPr>
        <w:t>por</w:t>
      </w:r>
      <w:r w:rsidR="00AE28D2" w:rsidRPr="00912A8D">
        <w:rPr>
          <w:rFonts w:ascii="Palatino Linotype" w:eastAsiaTheme="minorHAnsi" w:hAnsi="Palatino Linotype" w:cs="Arial"/>
          <w:b/>
          <w:bCs/>
          <w:szCs w:val="22"/>
          <w:u w:val="single"/>
          <w:lang w:val="es-MX" w:eastAsia="en-US"/>
        </w:rPr>
        <w:t xml:space="preserve"> la Auditoría Superior de Fiscalización y de la Auditoría Superior del Estado y </w:t>
      </w:r>
      <w:r w:rsidR="00AD3B9C" w:rsidRPr="00912A8D">
        <w:rPr>
          <w:rFonts w:ascii="Palatino Linotype" w:eastAsiaTheme="minorHAnsi" w:hAnsi="Palatino Linotype" w:cs="Arial"/>
          <w:b/>
          <w:bCs/>
          <w:szCs w:val="22"/>
          <w:u w:val="single"/>
          <w:lang w:val="es-MX" w:eastAsia="en-US"/>
        </w:rPr>
        <w:t>monto de las recuperaciones</w:t>
      </w:r>
      <w:r w:rsidRPr="00912A8D">
        <w:rPr>
          <w:rFonts w:ascii="Palatino Linotype" w:eastAsiaTheme="minorHAnsi" w:hAnsi="Palatino Linotype" w:cs="Arial"/>
          <w:b/>
          <w:bCs/>
          <w:szCs w:val="22"/>
          <w:u w:val="single"/>
          <w:lang w:val="es-MX" w:eastAsia="en-US"/>
        </w:rPr>
        <w:t xml:space="preserve"> </w:t>
      </w:r>
      <w:r w:rsidR="00AD3B9C" w:rsidRPr="00912A8D">
        <w:rPr>
          <w:rFonts w:ascii="Palatino Linotype" w:eastAsiaTheme="minorHAnsi" w:hAnsi="Palatino Linotype" w:cs="Arial"/>
          <w:b/>
          <w:bCs/>
          <w:szCs w:val="22"/>
          <w:u w:val="single"/>
          <w:lang w:val="es-MX" w:eastAsia="en-US"/>
        </w:rPr>
        <w:t xml:space="preserve">obtenidas por acciones de Fiscalización, </w:t>
      </w:r>
      <w:r w:rsidRPr="00912A8D">
        <w:rPr>
          <w:rFonts w:ascii="Palatino Linotype" w:eastAsiaTheme="minorHAnsi" w:hAnsi="Palatino Linotype" w:cs="Arial"/>
          <w:b/>
          <w:bCs/>
          <w:szCs w:val="22"/>
          <w:u w:val="single"/>
          <w:lang w:val="es-MX" w:eastAsia="en-US"/>
        </w:rPr>
        <w:t>de</w:t>
      </w:r>
      <w:r w:rsidR="00AD3B9C" w:rsidRPr="00912A8D">
        <w:rPr>
          <w:rFonts w:ascii="Palatino Linotype" w:eastAsiaTheme="minorHAnsi" w:hAnsi="Palatino Linotype" w:cs="Arial"/>
          <w:b/>
          <w:bCs/>
          <w:szCs w:val="22"/>
          <w:u w:val="single"/>
          <w:lang w:val="es-MX" w:eastAsia="en-US"/>
        </w:rPr>
        <w:t>l</w:t>
      </w:r>
      <w:r w:rsidR="0091473A" w:rsidRPr="00912A8D">
        <w:rPr>
          <w:rFonts w:ascii="Palatino Linotype" w:eastAsiaTheme="minorHAnsi" w:hAnsi="Palatino Linotype" w:cs="Arial"/>
          <w:b/>
          <w:bCs/>
          <w:szCs w:val="22"/>
          <w:u w:val="single"/>
          <w:lang w:val="es-MX" w:eastAsia="en-US"/>
        </w:rPr>
        <w:t xml:space="preserve"> referido</w:t>
      </w:r>
      <w:r w:rsidR="00AD3B9C" w:rsidRPr="00912A8D">
        <w:rPr>
          <w:rFonts w:ascii="Palatino Linotype" w:eastAsiaTheme="minorHAnsi" w:hAnsi="Palatino Linotype" w:cs="Arial"/>
          <w:b/>
          <w:bCs/>
          <w:szCs w:val="22"/>
          <w:u w:val="single"/>
          <w:lang w:val="es-MX" w:eastAsia="en-US"/>
        </w:rPr>
        <w:t xml:space="preserve"> ex </w:t>
      </w:r>
      <w:r w:rsidRPr="00912A8D">
        <w:rPr>
          <w:rFonts w:ascii="Palatino Linotype" w:eastAsiaTheme="minorHAnsi" w:hAnsi="Palatino Linotype" w:cs="Arial"/>
          <w:b/>
          <w:bCs/>
          <w:szCs w:val="22"/>
          <w:u w:val="single"/>
          <w:lang w:val="es-MX" w:eastAsia="en-US"/>
        </w:rPr>
        <w:t>servidor público</w:t>
      </w:r>
      <w:r w:rsidR="00AD3B9C" w:rsidRPr="00912A8D">
        <w:rPr>
          <w:rFonts w:ascii="Palatino Linotype" w:eastAsiaTheme="minorHAnsi" w:hAnsi="Palatino Linotype" w:cs="Arial"/>
          <w:b/>
          <w:bCs/>
          <w:szCs w:val="22"/>
          <w:u w:val="single"/>
          <w:lang w:val="es-MX" w:eastAsia="en-US"/>
        </w:rPr>
        <w:t xml:space="preserve"> </w:t>
      </w:r>
      <w:r w:rsidR="0091473A" w:rsidRPr="00912A8D">
        <w:rPr>
          <w:rFonts w:ascii="Palatino Linotype" w:eastAsiaTheme="minorHAnsi" w:hAnsi="Palatino Linotype" w:cs="Arial"/>
          <w:b/>
          <w:bCs/>
          <w:szCs w:val="22"/>
          <w:u w:val="single"/>
          <w:lang w:val="es-MX" w:eastAsia="en-US"/>
        </w:rPr>
        <w:t>.</w:t>
      </w:r>
      <w:r w:rsidRPr="00912A8D">
        <w:rPr>
          <w:rFonts w:ascii="Palatino Linotype" w:eastAsiaTheme="minorHAnsi" w:hAnsi="Palatino Linotype" w:cs="Arial"/>
          <w:szCs w:val="22"/>
          <w:lang w:val="es-MX" w:eastAsia="en-US"/>
        </w:rPr>
        <w:t xml:space="preserve"> </w:t>
      </w:r>
    </w:p>
    <w:p w14:paraId="5E474304" w14:textId="77777777" w:rsidR="00FE3389" w:rsidRPr="00912A8D" w:rsidRDefault="00FE3389" w:rsidP="00AD78B6">
      <w:pPr>
        <w:tabs>
          <w:tab w:val="left" w:pos="709"/>
        </w:tabs>
        <w:spacing w:line="360" w:lineRule="auto"/>
        <w:jc w:val="both"/>
        <w:rPr>
          <w:rFonts w:ascii="Palatino Linotype" w:eastAsiaTheme="minorHAnsi" w:hAnsi="Palatino Linotype" w:cstheme="minorBidi"/>
          <w:szCs w:val="22"/>
          <w:lang w:val="es-MX" w:eastAsia="en-US"/>
        </w:rPr>
      </w:pPr>
    </w:p>
    <w:p w14:paraId="6EE2D5E7" w14:textId="77777777" w:rsidR="00BE585A" w:rsidRPr="00912A8D" w:rsidRDefault="00BE585A" w:rsidP="00AD78B6">
      <w:pPr>
        <w:tabs>
          <w:tab w:val="left" w:pos="709"/>
        </w:tabs>
        <w:spacing w:line="360" w:lineRule="auto"/>
        <w:jc w:val="both"/>
        <w:rPr>
          <w:rFonts w:ascii="Palatino Linotype" w:eastAsia="Calibri" w:hAnsi="Palatino Linotype" w:cs="Tahoma"/>
          <w:bCs/>
          <w:szCs w:val="22"/>
          <w:lang w:val="es-MX" w:eastAsia="en-US"/>
        </w:rPr>
      </w:pPr>
      <w:r w:rsidRPr="00912A8D">
        <w:rPr>
          <w:rFonts w:ascii="Palatino Linotype" w:eastAsiaTheme="minorHAnsi" w:hAnsi="Palatino Linotype" w:cstheme="minorBidi"/>
          <w:szCs w:val="22"/>
          <w:lang w:val="es-MX" w:eastAsia="en-US"/>
        </w:rPr>
        <w:t xml:space="preserve">En suma a lo anterior, no se omite señalar que, es criterio del Pleno del máximo Tribunal que, </w:t>
      </w:r>
      <w:r w:rsidRPr="00912A8D">
        <w:rPr>
          <w:rFonts w:ascii="Palatino Linotype" w:eastAsia="Calibri" w:hAnsi="Palatino Linotype" w:cs="Tahoma"/>
          <w:bCs/>
          <w:szCs w:val="22"/>
          <w:lang w:val="es-MX" w:eastAsia="en-US"/>
        </w:rPr>
        <w:t xml:space="preserve">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w:t>
      </w:r>
      <w:r w:rsidRPr="00912A8D">
        <w:rPr>
          <w:rFonts w:ascii="Palatino Linotype" w:eastAsia="Calibri" w:hAnsi="Palatino Linotype" w:cs="Tahoma"/>
          <w:bCs/>
          <w:szCs w:val="22"/>
          <w:lang w:val="es-MX" w:eastAsia="en-US"/>
        </w:rPr>
        <w:lastRenderedPageBreak/>
        <w:t>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0F34FCE0" w14:textId="77777777" w:rsidR="00BE585A" w:rsidRPr="00912A8D" w:rsidRDefault="00BE585A" w:rsidP="00AD78B6">
      <w:pPr>
        <w:tabs>
          <w:tab w:val="left" w:pos="709"/>
        </w:tabs>
        <w:spacing w:line="360" w:lineRule="auto"/>
        <w:jc w:val="both"/>
        <w:rPr>
          <w:rFonts w:ascii="Palatino Linotype" w:eastAsia="Calibri" w:hAnsi="Palatino Linotype" w:cs="Tahoma"/>
          <w:bCs/>
          <w:szCs w:val="22"/>
          <w:lang w:val="es-MX" w:eastAsia="en-US"/>
        </w:rPr>
      </w:pPr>
    </w:p>
    <w:p w14:paraId="7ED5DDE2"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
          <w:i/>
          <w:sz w:val="22"/>
          <w:szCs w:val="22"/>
          <w:lang w:val="es-MX" w:eastAsia="en-US"/>
        </w:rPr>
        <w:t xml:space="preserve">PRESUNCIÓN DE INOCENCIA. ESTE PRINCIPIO ES APLICABLE AL PROCEDIMIENTO ADMINISTRATIVO SANCIONADOR, CON MATICES O MODULACIONES. </w:t>
      </w:r>
      <w:r w:rsidRPr="00912A8D">
        <w:rPr>
          <w:rFonts w:ascii="Palatino Linotype" w:eastAsia="Calibri" w:hAnsi="Palatino Linotype" w:cs="Tahoma"/>
          <w:bCs/>
          <w:i/>
          <w:sz w:val="22"/>
          <w:szCs w:val="22"/>
          <w:lang w:val="es-MX" w:eastAsia="en-US"/>
        </w:rPr>
        <w:t xml:space="preserve">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w:t>
      </w:r>
      <w:r w:rsidRPr="00912A8D">
        <w:rPr>
          <w:rFonts w:ascii="Palatino Linotype" w:eastAsia="Calibri" w:hAnsi="Palatino Linotype" w:cs="Tahoma"/>
          <w:bCs/>
          <w:i/>
          <w:sz w:val="22"/>
          <w:szCs w:val="22"/>
          <w:lang w:val="es-MX" w:eastAsia="en-US"/>
        </w:rPr>
        <w:lastRenderedPageBreak/>
        <w:t>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6DAE365D"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4F687303"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Dayán. Ponente: Olga Sánchez Cordero de García Villegas. Secretario: Octavio Joel Flores Díaz.</w:t>
      </w:r>
    </w:p>
    <w:p w14:paraId="75112336"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2D80C8C0"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Tesis y/o criterios contendientes:</w:t>
      </w:r>
    </w:p>
    <w:p w14:paraId="40A24A96"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2D14385B"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7BC2C90E"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 xml:space="preserve">Tesis 1a. XCVII/2013 (10a.), de rubro: "PRESUNCIÓN DE INOCENCIA. EL ARTÍCULO 61 DE LA LEY DE FISCALIZACIÓN SUPERIOR DEL ESTADO DE MORELOS, NO VULNERA ESTE DERECHO EN SUS VERTIENTES DE REGLA DE </w:t>
      </w:r>
      <w:r w:rsidRPr="00912A8D">
        <w:rPr>
          <w:rFonts w:ascii="Palatino Linotype" w:eastAsia="Calibri" w:hAnsi="Palatino Linotype" w:cs="Tahoma"/>
          <w:bCs/>
          <w:i/>
          <w:sz w:val="22"/>
          <w:szCs w:val="22"/>
          <w:lang w:val="es-MX" w:eastAsia="en-US"/>
        </w:rPr>
        <w:lastRenderedPageBreak/>
        <w:t>TRATAMIENTO, REGLA PROBATORIA Y ESTÁNDAR DE PRUEBA.", aprobada por la Primera Sala de la Suprema Corte de Justicia de la Nación, y publicada en el Semanario Judicial de la Federación y su Gaceta, Décima Época, Libro XIX, Tomo 1, abril de 2013, página 967,</w:t>
      </w:r>
    </w:p>
    <w:p w14:paraId="7AA821A8"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1F2028BD"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2FC79422"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168A9C0B"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5E91149B"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7ED06A80"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El Tribunal Pleno, el veintiséis de mayo en curso, aprobó, con el número 43/2014 (10a.), la tesis jurisprudencial que antecede. México, Distrito Federal, a veintiséis de mayo de dos mil catorce.</w:t>
      </w:r>
    </w:p>
    <w:p w14:paraId="1C92BBCB"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443B27FF"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2C7A45E4"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p>
    <w:p w14:paraId="69D81703" w14:textId="77777777" w:rsidR="00BE585A" w:rsidRPr="00912A8D" w:rsidRDefault="00BE585A" w:rsidP="00AD78B6">
      <w:pPr>
        <w:tabs>
          <w:tab w:val="left" w:pos="709"/>
        </w:tabs>
        <w:spacing w:line="360" w:lineRule="auto"/>
        <w:ind w:left="567" w:right="567"/>
        <w:jc w:val="both"/>
        <w:rPr>
          <w:rFonts w:ascii="Palatino Linotype" w:eastAsia="Calibri" w:hAnsi="Palatino Linotype" w:cs="Tahoma"/>
          <w:bCs/>
          <w:i/>
          <w:sz w:val="22"/>
          <w:szCs w:val="22"/>
          <w:lang w:val="es-MX" w:eastAsia="en-US"/>
        </w:rPr>
      </w:pPr>
      <w:r w:rsidRPr="00912A8D">
        <w:rPr>
          <w:rFonts w:ascii="Palatino Linotype" w:eastAsia="Calibri" w:hAnsi="Palatino Linotype" w:cs="Tahoma"/>
          <w:bCs/>
          <w:i/>
          <w:sz w:val="22"/>
          <w:szCs w:val="22"/>
          <w:lang w:val="es-MX" w:eastAsia="en-US"/>
        </w:rPr>
        <w:t xml:space="preserve">Esta tesis se publicó el viernes 06 de junio de 2014 a las 12:30 horas en el Semanario Judicial de la Federación y, por ende, se considera de aplicación obligatoria a partir del lunes 09 de </w:t>
      </w:r>
      <w:r w:rsidRPr="00912A8D">
        <w:rPr>
          <w:rFonts w:ascii="Palatino Linotype" w:eastAsia="Calibri" w:hAnsi="Palatino Linotype" w:cs="Tahoma"/>
          <w:bCs/>
          <w:i/>
          <w:sz w:val="22"/>
          <w:szCs w:val="22"/>
          <w:lang w:val="es-MX" w:eastAsia="en-US"/>
        </w:rPr>
        <w:lastRenderedPageBreak/>
        <w:t>junio de 2014, para los efectos previstos en el punto séptimo del Acuerdo General Plenario 19/2013.</w:t>
      </w:r>
    </w:p>
    <w:p w14:paraId="21F7D078"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3B05412B"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912A8D">
        <w:rPr>
          <w:rFonts w:asciiTheme="minorHAnsi" w:eastAsiaTheme="minorHAnsi" w:hAnsiTheme="minorHAnsi" w:cstheme="minorBidi"/>
          <w:szCs w:val="22"/>
          <w:lang w:val="es-MX" w:eastAsia="en-US"/>
        </w:rPr>
        <w:t xml:space="preserve"> </w:t>
      </w:r>
      <w:r w:rsidRPr="00912A8D">
        <w:rPr>
          <w:rFonts w:ascii="Palatino Linotype" w:eastAsiaTheme="minorHAnsi" w:hAnsi="Palatino Linotype" w:cstheme="minorBidi"/>
          <w:szCs w:val="22"/>
          <w:lang w:val="es-MX" w:eastAsia="en-US"/>
        </w:rPr>
        <w:t>o actos de corrupción, preceptos legales que establecen lo siguiente:</w:t>
      </w:r>
    </w:p>
    <w:p w14:paraId="40D498BA" w14:textId="77777777" w:rsidR="00AD3B9C" w:rsidRPr="00912A8D" w:rsidRDefault="00AD3B9C" w:rsidP="00AD78B6">
      <w:pPr>
        <w:tabs>
          <w:tab w:val="left" w:pos="709"/>
        </w:tabs>
        <w:spacing w:line="360" w:lineRule="auto"/>
        <w:jc w:val="center"/>
        <w:rPr>
          <w:rFonts w:ascii="Palatino Linotype" w:eastAsiaTheme="minorHAnsi" w:hAnsi="Palatino Linotype" w:cstheme="minorBidi"/>
          <w:b/>
          <w:i/>
          <w:sz w:val="22"/>
          <w:szCs w:val="22"/>
          <w:lang w:val="es-MX" w:eastAsia="en-US"/>
        </w:rPr>
      </w:pPr>
    </w:p>
    <w:p w14:paraId="36F3E20D" w14:textId="77777777" w:rsidR="00BE585A" w:rsidRPr="00912A8D" w:rsidRDefault="00BE585A" w:rsidP="00AD78B6">
      <w:pPr>
        <w:tabs>
          <w:tab w:val="left" w:pos="709"/>
        </w:tabs>
        <w:spacing w:line="360" w:lineRule="auto"/>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 Transparencia y Acceso a la Información Pública</w:t>
      </w:r>
    </w:p>
    <w:p w14:paraId="4533D554"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p>
    <w:p w14:paraId="708BD1BA"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Artículo 115.</w:t>
      </w:r>
      <w:r w:rsidRPr="00912A8D">
        <w:rPr>
          <w:rFonts w:ascii="Palatino Linotype" w:eastAsiaTheme="minorHAnsi" w:hAnsi="Palatino Linotype" w:cstheme="minorBidi"/>
          <w:i/>
          <w:sz w:val="22"/>
          <w:szCs w:val="22"/>
          <w:lang w:val="es-MX" w:eastAsia="en-US"/>
        </w:rPr>
        <w:t xml:space="preserve"> No podrá invocarse el carácter de reservado cuando:</w:t>
      </w:r>
    </w:p>
    <w:p w14:paraId="3EF9C116"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I. Se trate de violaciones graves de derechos humanos o delitos de lesa humanidad, o</w:t>
      </w:r>
    </w:p>
    <w:p w14:paraId="0E712DDB"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26F8DB44"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p>
    <w:p w14:paraId="340075BA"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10B138FD"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i/>
          <w:sz w:val="22"/>
          <w:szCs w:val="22"/>
          <w:lang w:val="es-MX" w:eastAsia="en-US"/>
        </w:rPr>
      </w:pPr>
    </w:p>
    <w:p w14:paraId="79E40245"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bCs/>
          <w:i/>
          <w:sz w:val="22"/>
          <w:szCs w:val="22"/>
          <w:lang w:val="es-MX" w:eastAsia="en-US"/>
        </w:rPr>
        <w:t>Artículo 142.</w:t>
      </w:r>
      <w:r w:rsidRPr="00912A8D">
        <w:rPr>
          <w:rFonts w:ascii="Palatino Linotype" w:eastAsiaTheme="minorHAnsi" w:hAnsi="Palatino Linotype" w:cstheme="minorBidi"/>
          <w:i/>
          <w:sz w:val="22"/>
          <w:szCs w:val="22"/>
          <w:lang w:val="es-MX" w:eastAsia="en-US"/>
        </w:rPr>
        <w:t xml:space="preserve"> Bajo ninguna circunstancia podrá invocarse el carácter de reservado cuando:</w:t>
      </w:r>
    </w:p>
    <w:p w14:paraId="3B381265"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bCs/>
          <w:i/>
          <w:sz w:val="22"/>
          <w:szCs w:val="22"/>
          <w:lang w:val="es-MX" w:eastAsia="en-US"/>
        </w:rPr>
        <w:t xml:space="preserve">I. </w:t>
      </w:r>
      <w:r w:rsidRPr="00912A8D">
        <w:rPr>
          <w:rFonts w:ascii="Palatino Linotype" w:eastAsiaTheme="minorHAnsi" w:hAnsi="Palatino Linotype" w:cstheme="minorBidi"/>
          <w:i/>
          <w:sz w:val="22"/>
          <w:szCs w:val="22"/>
          <w:lang w:val="es-MX" w:eastAsia="en-US"/>
        </w:rPr>
        <w:t>Se trate de violaciones graves de derechos humanos, calificada así por autoridad competente;</w:t>
      </w:r>
    </w:p>
    <w:p w14:paraId="712673F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bCs/>
          <w:i/>
          <w:sz w:val="22"/>
          <w:szCs w:val="22"/>
          <w:lang w:val="es-MX" w:eastAsia="en-US"/>
        </w:rPr>
        <w:t>II.</w:t>
      </w:r>
      <w:r w:rsidRPr="00912A8D">
        <w:rPr>
          <w:rFonts w:ascii="Palatino Linotype" w:eastAsiaTheme="minorHAnsi" w:hAnsi="Palatino Linotype" w:cstheme="minorBidi"/>
          <w:i/>
          <w:sz w:val="22"/>
          <w:szCs w:val="22"/>
          <w:lang w:val="es-MX"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6B3B0126"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bCs/>
          <w:i/>
          <w:sz w:val="22"/>
          <w:szCs w:val="22"/>
          <w:lang w:val="es-MX" w:eastAsia="en-US"/>
        </w:rPr>
        <w:lastRenderedPageBreak/>
        <w:t>III.</w:t>
      </w:r>
      <w:r w:rsidRPr="00912A8D">
        <w:rPr>
          <w:rFonts w:ascii="Palatino Linotype" w:eastAsiaTheme="minorHAnsi" w:hAnsi="Palatino Linotype" w:cstheme="minorBidi"/>
          <w:i/>
          <w:sz w:val="22"/>
          <w:szCs w:val="22"/>
          <w:lang w:val="es-MX"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51A800EB"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bCs/>
          <w:i/>
          <w:sz w:val="22"/>
          <w:szCs w:val="22"/>
          <w:lang w:val="es-MX" w:eastAsia="en-US"/>
        </w:rPr>
        <w:t>IV.</w:t>
      </w:r>
      <w:r w:rsidRPr="00912A8D">
        <w:rPr>
          <w:rFonts w:ascii="Palatino Linotype" w:eastAsiaTheme="minorHAnsi" w:hAnsi="Palatino Linotype" w:cstheme="minorBidi"/>
          <w:i/>
          <w:sz w:val="22"/>
          <w:szCs w:val="22"/>
          <w:lang w:val="es-MX" w:eastAsia="en-US"/>
        </w:rPr>
        <w:t xml:space="preserve"> Se trate de información relacionada con actos de corrupción de conformidad con las disposiciones jurídicas aplicables.</w:t>
      </w:r>
    </w:p>
    <w:p w14:paraId="353829CA"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color w:val="2F2F2F"/>
          <w:sz w:val="22"/>
          <w:szCs w:val="22"/>
          <w:shd w:val="clear" w:color="auto" w:fill="FFFFFF"/>
          <w:lang w:val="es-MX" w:eastAsia="en-US"/>
        </w:rPr>
      </w:pPr>
    </w:p>
    <w:p w14:paraId="46A7EBDF"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color w:val="2F2F2F"/>
          <w:sz w:val="22"/>
          <w:szCs w:val="22"/>
          <w:shd w:val="clear" w:color="auto" w:fill="FFFFFF"/>
          <w:lang w:val="es-MX" w:eastAsia="en-US"/>
        </w:rPr>
        <w:t>LINEAMIENTOS GENERALES EN MATERIA DE CLASIFICACIÓN Y DESCLASIFICACIÓN DE LA INFORMACIÓN, ASÍ COMO PARA LA ELABORACIÓN DE VERSIONES PÚBLICAS.</w:t>
      </w:r>
    </w:p>
    <w:p w14:paraId="33109A69"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p>
    <w:p w14:paraId="1F00842A"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Trigésimo séptimo. No podrá invocarse el carácter de reservado de la información cuando:</w:t>
      </w:r>
    </w:p>
    <w:p w14:paraId="71DB06D0"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I.        Se trate de violaciones graves de derechos humanos;</w:t>
      </w:r>
    </w:p>
    <w:p w14:paraId="7AA1454E"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17ECC955"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71F48F6D"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4E2F48B9"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4358EBC2" w14:textId="77777777" w:rsidR="00AD78B6" w:rsidRPr="00912A8D" w:rsidRDefault="00AD78B6" w:rsidP="00AD78B6">
      <w:pPr>
        <w:tabs>
          <w:tab w:val="left" w:pos="709"/>
        </w:tabs>
        <w:spacing w:line="360" w:lineRule="auto"/>
        <w:jc w:val="both"/>
        <w:rPr>
          <w:rFonts w:ascii="Palatino Linotype" w:eastAsiaTheme="minorHAnsi" w:hAnsi="Palatino Linotype" w:cstheme="minorBidi"/>
          <w:szCs w:val="22"/>
          <w:lang w:val="es-MX" w:eastAsia="en-US"/>
        </w:rPr>
      </w:pPr>
    </w:p>
    <w:p w14:paraId="0705D26D"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056664AF"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4431532F"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Asimismo,</w:t>
      </w:r>
      <w:r w:rsidRPr="00912A8D">
        <w:rPr>
          <w:rFonts w:ascii="Palatino Linotype" w:eastAsiaTheme="minorHAnsi" w:hAnsi="Palatino Linotype" w:cstheme="minorBidi"/>
          <w:b/>
          <w:szCs w:val="22"/>
          <w:lang w:val="es-MX" w:eastAsia="en-US"/>
        </w:rPr>
        <w:t xml:space="preserve"> </w:t>
      </w:r>
      <w:r w:rsidRPr="00912A8D">
        <w:rPr>
          <w:rFonts w:ascii="Palatino Linotype" w:eastAsiaTheme="minorHAnsi" w:hAnsi="Palatino Linotype" w:cstheme="minorBidi"/>
          <w:szCs w:val="22"/>
          <w:lang w:val="es-MX" w:eastAsia="en-US"/>
        </w:rPr>
        <w:t>con</w:t>
      </w:r>
      <w:r w:rsidRPr="00912A8D">
        <w:rPr>
          <w:rFonts w:ascii="Palatino Linotype" w:eastAsiaTheme="minorHAnsi" w:hAnsi="Palatino Linotype" w:cstheme="minorBidi"/>
          <w:b/>
          <w:szCs w:val="22"/>
          <w:lang w:val="es-MX" w:eastAsia="en-US"/>
        </w:rPr>
        <w:t xml:space="preserve"> </w:t>
      </w:r>
      <w:r w:rsidRPr="00912A8D">
        <w:rPr>
          <w:rFonts w:ascii="Palatino Linotype" w:eastAsiaTheme="minorHAnsi" w:hAnsi="Palatino Linotype" w:cstheme="minorBidi"/>
          <w:szCs w:val="22"/>
          <w:lang w:val="es-MX" w:eastAsia="en-US"/>
        </w:rPr>
        <w:t xml:space="preserve">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w:t>
      </w:r>
      <w:r w:rsidRPr="00912A8D">
        <w:rPr>
          <w:rFonts w:ascii="Palatino Linotype" w:eastAsiaTheme="minorHAnsi" w:hAnsi="Palatino Linotype" w:cstheme="minorBidi"/>
          <w:szCs w:val="22"/>
          <w:lang w:val="es-MX" w:eastAsia="en-US"/>
        </w:rPr>
        <w:lastRenderedPageBreak/>
        <w:t>aunado a la obligación de publicar el listado de Servidores Públicos con sanciones administrativas definitivas, especificando la causa de sanción, disposiciones legales que son del tenor literal siguiente:</w:t>
      </w:r>
    </w:p>
    <w:p w14:paraId="33510219"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45CA529F"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del Sistema Nacional Anticorrupción.</w:t>
      </w:r>
    </w:p>
    <w:p w14:paraId="41E23C9C"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“Artículo 53.</w:t>
      </w:r>
      <w:r w:rsidRPr="00912A8D">
        <w:rPr>
          <w:rFonts w:ascii="Palatino Linotype" w:eastAsiaTheme="minorHAnsi" w:hAnsi="Palatino Linotype" w:cstheme="minorBidi"/>
          <w:i/>
          <w:sz w:val="22"/>
          <w:szCs w:val="22"/>
          <w:lang w:val="es-MX"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1F3BF97A"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p>
    <w:p w14:paraId="5ADE77C3"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 Responsabilidades Administrativas.</w:t>
      </w:r>
    </w:p>
    <w:p w14:paraId="1B8A30E1"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“Artículo 27…</w:t>
      </w:r>
    </w:p>
    <w:p w14:paraId="1F81F27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573EB68F"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8"/>
          <w:szCs w:val="22"/>
          <w:lang w:val="es-MX" w:eastAsia="en-US"/>
        </w:rPr>
      </w:pPr>
    </w:p>
    <w:p w14:paraId="1BEE802A"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del Sistema Anticorrupción del Estado de México</w:t>
      </w:r>
    </w:p>
    <w:p w14:paraId="49B033FD"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Cs/>
          <w:i/>
          <w:sz w:val="22"/>
          <w:szCs w:val="22"/>
          <w:lang w:val="es-MX" w:eastAsia="en-US"/>
        </w:rPr>
      </w:pPr>
      <w:r w:rsidRPr="00912A8D">
        <w:rPr>
          <w:rFonts w:ascii="Palatino Linotype" w:eastAsiaTheme="minorHAnsi" w:hAnsi="Palatino Linotype" w:cstheme="minorBidi"/>
          <w:bCs/>
          <w:i/>
          <w:sz w:val="22"/>
          <w:szCs w:val="22"/>
          <w:lang w:val="es-MX" w:eastAsia="en-US"/>
        </w:rPr>
        <w:t>“</w:t>
      </w:r>
      <w:r w:rsidRPr="00912A8D">
        <w:rPr>
          <w:rFonts w:ascii="Palatino Linotype" w:eastAsiaTheme="minorHAnsi" w:hAnsi="Palatino Linotype" w:cstheme="minorBidi"/>
          <w:b/>
          <w:i/>
          <w:sz w:val="22"/>
          <w:szCs w:val="22"/>
          <w:lang w:val="es-MX" w:eastAsia="en-US"/>
        </w:rPr>
        <w:t xml:space="preserve">Artículo 53. </w:t>
      </w:r>
      <w:r w:rsidRPr="00912A8D">
        <w:rPr>
          <w:rFonts w:ascii="Palatino Linotype" w:eastAsiaTheme="minorHAnsi" w:hAnsi="Palatino Linotype" w:cstheme="minorBidi"/>
          <w:i/>
          <w:sz w:val="22"/>
          <w:szCs w:val="22"/>
          <w:lang w:val="es-MX"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912A8D">
        <w:rPr>
          <w:rFonts w:ascii="Palatino Linotype" w:eastAsiaTheme="minorHAnsi" w:hAnsi="Palatino Linotype" w:cstheme="minorBidi"/>
          <w:bCs/>
          <w:i/>
          <w:sz w:val="22"/>
          <w:szCs w:val="22"/>
          <w:lang w:val="es-MX" w:eastAsia="en-US"/>
        </w:rPr>
        <w:t>”.</w:t>
      </w:r>
    </w:p>
    <w:p w14:paraId="51B88814"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p>
    <w:p w14:paraId="45593FED" w14:textId="77777777" w:rsidR="00AD78B6" w:rsidRPr="00912A8D" w:rsidRDefault="00AD78B6"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p>
    <w:p w14:paraId="0BF647C2" w14:textId="77777777" w:rsidR="00AD78B6" w:rsidRPr="00912A8D" w:rsidRDefault="00AD78B6"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p>
    <w:p w14:paraId="2F494F58"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 Transparencia y Acceso a la Información Pública.</w:t>
      </w:r>
    </w:p>
    <w:p w14:paraId="7DD1314C"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Artículo 70.</w:t>
      </w:r>
      <w:r w:rsidRPr="00912A8D">
        <w:rPr>
          <w:rFonts w:ascii="Palatino Linotype" w:eastAsiaTheme="minorHAnsi" w:hAnsi="Palatino Linotype" w:cstheme="minorBidi"/>
          <w:i/>
          <w:sz w:val="22"/>
          <w:szCs w:val="22"/>
          <w:lang w:val="es-MX"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D5D1FA7"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w:t>
      </w:r>
    </w:p>
    <w:p w14:paraId="58942B00"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XVII.</w:t>
      </w:r>
      <w:r w:rsidRPr="00912A8D">
        <w:rPr>
          <w:rFonts w:ascii="Palatino Linotype" w:eastAsiaTheme="minorHAnsi" w:hAnsi="Palatino Linotype" w:cstheme="minorBidi"/>
          <w:i/>
          <w:sz w:val="22"/>
          <w:szCs w:val="22"/>
          <w:lang w:val="es-MX" w:eastAsia="en-US"/>
        </w:rPr>
        <w:t xml:space="preserve"> La información curricular, desde el nivel de jefe de departamento o equivalente, hasta el titular del sujeto obligado, así como, en su caso, las sanciones administrativas de que haya sido objeto;</w:t>
      </w:r>
    </w:p>
    <w:p w14:paraId="474276F7"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XVIII.</w:t>
      </w:r>
      <w:r w:rsidRPr="00912A8D">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5BDAC50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p>
    <w:p w14:paraId="72C4D16A"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p>
    <w:p w14:paraId="03A2BABC"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14E26F14"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Artículo 92.</w:t>
      </w:r>
      <w:r w:rsidRPr="00912A8D">
        <w:rPr>
          <w:rFonts w:ascii="Palatino Linotype" w:eastAsiaTheme="minorHAnsi" w:hAnsi="Palatino Linotype" w:cstheme="minorBidi"/>
          <w:i/>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DCC0F4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w:t>
      </w:r>
    </w:p>
    <w:p w14:paraId="28722B46"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b/>
          <w:i/>
          <w:sz w:val="22"/>
          <w:szCs w:val="22"/>
          <w:lang w:val="es-MX" w:eastAsia="en-US"/>
        </w:rPr>
        <w:t>XXII.</w:t>
      </w:r>
      <w:r w:rsidRPr="00912A8D">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3EF2DD2B"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022B9D18" w14:textId="77777777" w:rsidR="00AD78B6" w:rsidRPr="00912A8D" w:rsidRDefault="00AD78B6" w:rsidP="00AD78B6">
      <w:pPr>
        <w:tabs>
          <w:tab w:val="left" w:pos="709"/>
        </w:tabs>
        <w:spacing w:line="360" w:lineRule="auto"/>
        <w:jc w:val="both"/>
        <w:rPr>
          <w:rFonts w:ascii="Palatino Linotype" w:eastAsiaTheme="minorHAnsi" w:hAnsi="Palatino Linotype" w:cstheme="minorBidi"/>
          <w:szCs w:val="22"/>
          <w:lang w:val="es-MX" w:eastAsia="en-US"/>
        </w:rPr>
      </w:pPr>
    </w:p>
    <w:p w14:paraId="5E365D5C" w14:textId="77777777" w:rsidR="00AD78B6" w:rsidRPr="00912A8D" w:rsidRDefault="00AD78B6" w:rsidP="00AD78B6">
      <w:pPr>
        <w:tabs>
          <w:tab w:val="left" w:pos="709"/>
        </w:tabs>
        <w:spacing w:line="360" w:lineRule="auto"/>
        <w:jc w:val="both"/>
        <w:rPr>
          <w:rFonts w:ascii="Palatino Linotype" w:eastAsiaTheme="minorHAnsi" w:hAnsi="Palatino Linotype" w:cstheme="minorBidi"/>
          <w:szCs w:val="22"/>
          <w:lang w:val="es-MX" w:eastAsia="en-US"/>
        </w:rPr>
      </w:pPr>
    </w:p>
    <w:p w14:paraId="061B9211"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En tal sentido, en el supuesto de que los expedientes formados con motivo de procedimientos administrativo</w:t>
      </w:r>
      <w:r w:rsidRPr="00912A8D">
        <w:rPr>
          <w:rFonts w:ascii="Palatino Linotype" w:eastAsiaTheme="minorHAnsi" w:hAnsi="Palatino Linotype" w:cs="Arial"/>
          <w:b/>
          <w:szCs w:val="22"/>
          <w:lang w:val="es-MX" w:eastAsia="en-US"/>
        </w:rPr>
        <w:t>s</w:t>
      </w:r>
      <w:r w:rsidRPr="00912A8D">
        <w:rPr>
          <w:rFonts w:ascii="Palatino Linotype" w:eastAsiaTheme="minorHAnsi" w:hAnsi="Palatino Linotype" w:cstheme="minorBidi"/>
          <w:szCs w:val="22"/>
          <w:lang w:val="es-MX" w:eastAsia="en-US"/>
        </w:rPr>
        <w:t xml:space="preserve"> se ajusten a las hipótesis establecidos en los artículos de referencia, es decir que en los expedientes en referencia </w:t>
      </w:r>
      <w:r w:rsidRPr="00912A8D">
        <w:rPr>
          <w:rFonts w:ascii="Palatino Linotype" w:eastAsiaTheme="minorHAnsi" w:hAnsi="Palatino Linotype" w:cstheme="minorBidi"/>
          <w:b/>
          <w:szCs w:val="22"/>
          <w:lang w:val="es-MX" w:eastAsia="en-US"/>
        </w:rPr>
        <w:t>contengan resolución con sanción  por responsabilidad administrativa por motivo de una faltas administrativas graves, y la misma hayan causado estado,</w:t>
      </w:r>
      <w:r w:rsidRPr="00912A8D">
        <w:rPr>
          <w:rFonts w:ascii="Palatino Linotype" w:eastAsiaTheme="minorHAnsi" w:hAnsi="Palatino Linotype" w:cstheme="minorBidi"/>
          <w:szCs w:val="22"/>
          <w:lang w:val="es-MX" w:eastAsia="en-US"/>
        </w:rPr>
        <w:t xml:space="preserve"> </w:t>
      </w:r>
      <w:r w:rsidRPr="00912A8D">
        <w:rPr>
          <w:rFonts w:ascii="Palatino Linotype" w:eastAsiaTheme="minorHAnsi" w:hAnsi="Palatino Linotype" w:cstheme="minorBidi"/>
          <w:b/>
          <w:szCs w:val="22"/>
          <w:lang w:val="es-MX" w:eastAsia="en-US"/>
        </w:rPr>
        <w:t xml:space="preserve">debe ser considerado como información pública, </w:t>
      </w:r>
      <w:r w:rsidRPr="00912A8D">
        <w:rPr>
          <w:rFonts w:ascii="Palatino Linotype" w:eastAsiaTheme="minorHAnsi" w:hAnsi="Palatino Linotype" w:cstheme="minorBidi"/>
          <w:szCs w:val="22"/>
          <w:lang w:val="es-MX" w:eastAsia="en-US"/>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6ABF48AD" w14:textId="77777777" w:rsidR="00BE585A" w:rsidRPr="00912A8D" w:rsidRDefault="00BE585A" w:rsidP="00AD78B6">
      <w:pPr>
        <w:tabs>
          <w:tab w:val="left" w:pos="709"/>
        </w:tabs>
        <w:spacing w:line="360" w:lineRule="auto"/>
        <w:jc w:val="both"/>
        <w:rPr>
          <w:rFonts w:ascii="Palatino Linotype" w:eastAsiaTheme="minorHAnsi" w:hAnsi="Palatino Linotype" w:cstheme="minorBidi"/>
          <w:b/>
          <w:szCs w:val="22"/>
          <w:lang w:val="es-MX" w:eastAsia="en-US"/>
        </w:rPr>
      </w:pPr>
    </w:p>
    <w:p w14:paraId="4753FF05"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7C6B4B6A"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3B39113A"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del Sistema Nacional Anticorrupción</w:t>
      </w:r>
    </w:p>
    <w:p w14:paraId="1756B15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“53…</w:t>
      </w:r>
    </w:p>
    <w:p w14:paraId="73DD42B2"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i/>
          <w:sz w:val="22"/>
          <w:szCs w:val="22"/>
          <w:lang w:val="es-MX" w:eastAsia="en-US"/>
        </w:rPr>
        <w:t>Los registros de las sanciones relativas a responsabilidades administrativas no graves, quedarán registradas para efectos de eventual reincidencia, pero no serán públicas</w:t>
      </w:r>
      <w:r w:rsidRPr="00912A8D">
        <w:rPr>
          <w:rFonts w:ascii="Palatino Linotype" w:eastAsiaTheme="minorHAnsi" w:hAnsi="Palatino Linotype" w:cstheme="minorBidi"/>
          <w:b/>
          <w:i/>
          <w:sz w:val="22"/>
          <w:szCs w:val="22"/>
          <w:lang w:val="es-MX" w:eastAsia="en-US"/>
        </w:rPr>
        <w:t xml:space="preserve">...” </w:t>
      </w:r>
    </w:p>
    <w:p w14:paraId="66A882BD" w14:textId="77777777" w:rsidR="00AD78B6" w:rsidRPr="00912A8D" w:rsidRDefault="00AD78B6"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p>
    <w:p w14:paraId="0A549171"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p>
    <w:p w14:paraId="695C4961"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del Sistema Anticorrupción del Estado de México</w:t>
      </w:r>
    </w:p>
    <w:p w14:paraId="14780A53"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“53…</w:t>
      </w:r>
    </w:p>
    <w:p w14:paraId="5C30BDD6"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sz w:val="22"/>
          <w:szCs w:val="22"/>
          <w:lang w:val="es-MX" w:eastAsia="en-US"/>
        </w:rPr>
      </w:pPr>
      <w:r w:rsidRPr="00912A8D">
        <w:rPr>
          <w:rFonts w:ascii="Palatino Linotype" w:eastAsiaTheme="minorHAnsi" w:hAnsi="Palatino Linotype" w:cstheme="minorBidi"/>
          <w:sz w:val="22"/>
          <w:szCs w:val="22"/>
          <w:lang w:val="es-MX" w:eastAsia="en-US"/>
        </w:rPr>
        <w:t>Los registros de las sanciones relativas a responsabilidades administrativas no graves, quedarán registradas para efectos de eventual reincidencia, pero no serán públicas…”</w:t>
      </w:r>
    </w:p>
    <w:p w14:paraId="54EF909C"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sz w:val="22"/>
          <w:szCs w:val="22"/>
          <w:lang w:val="es-MX" w:eastAsia="en-US"/>
        </w:rPr>
      </w:pPr>
    </w:p>
    <w:p w14:paraId="058B90A9" w14:textId="77777777" w:rsidR="00BE585A" w:rsidRPr="00912A8D" w:rsidRDefault="00BE585A" w:rsidP="00AD78B6">
      <w:pPr>
        <w:tabs>
          <w:tab w:val="left" w:pos="709"/>
        </w:tabs>
        <w:spacing w:line="360" w:lineRule="auto"/>
        <w:ind w:left="567" w:right="567"/>
        <w:jc w:val="center"/>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Ley General de Responsabilidades Administrativas</w:t>
      </w:r>
    </w:p>
    <w:p w14:paraId="56394AA8"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b/>
          <w:i/>
          <w:sz w:val="22"/>
          <w:szCs w:val="22"/>
          <w:lang w:val="es-MX" w:eastAsia="en-US"/>
        </w:rPr>
      </w:pPr>
      <w:r w:rsidRPr="00912A8D">
        <w:rPr>
          <w:rFonts w:ascii="Palatino Linotype" w:eastAsiaTheme="minorHAnsi" w:hAnsi="Palatino Linotype" w:cstheme="minorBidi"/>
          <w:b/>
          <w:i/>
          <w:sz w:val="22"/>
          <w:szCs w:val="22"/>
          <w:lang w:val="es-MX" w:eastAsia="en-US"/>
        </w:rPr>
        <w:t>“27…</w:t>
      </w:r>
    </w:p>
    <w:p w14:paraId="6EF1EFC3" w14:textId="77777777" w:rsidR="00BE585A" w:rsidRPr="00912A8D" w:rsidRDefault="00BE585A" w:rsidP="00AD78B6">
      <w:pPr>
        <w:tabs>
          <w:tab w:val="left" w:pos="709"/>
        </w:tabs>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así como la anotación de aquellas abstenciones que hayan realizado las autoridades investigadoras o el Tribunal, en términos de los artículos 77 y 80 de esta Ley”.</w:t>
      </w:r>
    </w:p>
    <w:p w14:paraId="5287F8C9" w14:textId="77777777" w:rsidR="00BE585A" w:rsidRPr="00912A8D" w:rsidRDefault="00BE585A" w:rsidP="00AD78B6">
      <w:pPr>
        <w:tabs>
          <w:tab w:val="left" w:pos="709"/>
        </w:tabs>
        <w:spacing w:line="360" w:lineRule="auto"/>
        <w:ind w:right="567"/>
        <w:jc w:val="both"/>
        <w:rPr>
          <w:rFonts w:ascii="Palatino Linotype" w:eastAsiaTheme="minorHAnsi" w:hAnsi="Palatino Linotype" w:cstheme="minorBidi"/>
          <w:szCs w:val="22"/>
          <w:lang w:val="es-MX" w:eastAsia="en-US"/>
        </w:rPr>
      </w:pPr>
    </w:p>
    <w:p w14:paraId="4560150E"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1214925B"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3A3F5F7C"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2C3EFB41"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0739B2FA"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En definitiva, para el caso de los oficios que formen parte de procedimientos de </w:t>
      </w:r>
      <w:r w:rsidRPr="00912A8D">
        <w:rPr>
          <w:rFonts w:ascii="Palatino Linotype" w:eastAsiaTheme="minorHAnsi" w:hAnsi="Palatino Linotype" w:cstheme="minorBidi"/>
          <w:b/>
          <w:szCs w:val="22"/>
          <w:u w:val="single"/>
          <w:lang w:val="es-MX" w:eastAsia="en-US"/>
        </w:rPr>
        <w:t>sanciones graves absolutorias, concluidos</w:t>
      </w:r>
      <w:r w:rsidRPr="00912A8D">
        <w:rPr>
          <w:rFonts w:ascii="Palatino Linotype" w:eastAsiaTheme="minorHAnsi" w:hAnsi="Palatino Linotype" w:cstheme="minorBidi"/>
          <w:szCs w:val="22"/>
          <w:lang w:val="es-MX" w:eastAsia="en-US"/>
        </w:rPr>
        <w:t xml:space="preserve">, se procederá a su acceso en </w:t>
      </w:r>
      <w:r w:rsidRPr="00912A8D">
        <w:rPr>
          <w:rFonts w:ascii="Palatino Linotype" w:eastAsiaTheme="minorHAnsi" w:hAnsi="Palatino Linotype" w:cstheme="minorBidi"/>
          <w:i/>
          <w:szCs w:val="22"/>
          <w:lang w:val="es-MX" w:eastAsia="en-US"/>
        </w:rPr>
        <w:t>versión pública</w:t>
      </w:r>
      <w:r w:rsidRPr="00912A8D">
        <w:rPr>
          <w:rFonts w:ascii="Palatino Linotype" w:eastAsiaTheme="minorHAnsi" w:hAnsi="Palatino Linotype" w:cstheme="minorBidi"/>
          <w:szCs w:val="22"/>
          <w:lang w:val="es-MX" w:eastAsia="en-US"/>
        </w:rPr>
        <w:t xml:space="preserve">, </w:t>
      </w:r>
      <w:r w:rsidRPr="00912A8D">
        <w:rPr>
          <w:rFonts w:ascii="Palatino Linotype" w:eastAsiaTheme="minorHAnsi" w:hAnsi="Palatino Linotype" w:cstheme="minorBidi"/>
          <w:b/>
          <w:szCs w:val="22"/>
          <w:u w:val="single"/>
          <w:lang w:val="es-MX" w:eastAsia="en-US"/>
        </w:rPr>
        <w:t xml:space="preserve">protegiendo el nombre, cargo y área de adscripción del </w:t>
      </w:r>
      <w:r w:rsidR="00AD3B9C" w:rsidRPr="00912A8D">
        <w:rPr>
          <w:rFonts w:ascii="Palatino Linotype" w:eastAsiaTheme="minorHAnsi" w:hAnsi="Palatino Linotype" w:cstheme="minorBidi"/>
          <w:b/>
          <w:szCs w:val="22"/>
          <w:u w:val="single"/>
          <w:lang w:val="es-MX" w:eastAsia="en-US"/>
        </w:rPr>
        <w:t xml:space="preserve">ex </w:t>
      </w:r>
      <w:r w:rsidRPr="00912A8D">
        <w:rPr>
          <w:rFonts w:ascii="Palatino Linotype" w:eastAsiaTheme="minorHAnsi" w:hAnsi="Palatino Linotype" w:cstheme="minorBidi"/>
          <w:b/>
          <w:szCs w:val="22"/>
          <w:u w:val="single"/>
          <w:lang w:val="es-MX" w:eastAsia="en-US"/>
        </w:rPr>
        <w:t>Servidor Público absuelto</w:t>
      </w:r>
      <w:r w:rsidRPr="00912A8D">
        <w:rPr>
          <w:rFonts w:ascii="Palatino Linotype" w:eastAsiaTheme="minorHAnsi" w:hAnsi="Palatino Linotype" w:cstheme="minorBidi"/>
          <w:szCs w:val="22"/>
          <w:lang w:val="es-MX"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4B93C370"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7EBD7660"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Bajo este contexto, se considera que en el supuesto de que la información se encuentre en alguno de los supuestos antes establecidos, el </w:t>
      </w:r>
      <w:r w:rsidRPr="00912A8D">
        <w:rPr>
          <w:rFonts w:ascii="Palatino Linotype" w:eastAsiaTheme="minorHAnsi" w:hAnsi="Palatino Linotype" w:cstheme="minorBidi"/>
          <w:b/>
          <w:szCs w:val="22"/>
          <w:lang w:val="es-MX" w:eastAsia="en-US"/>
        </w:rPr>
        <w:t>Sujeto Obligado</w:t>
      </w:r>
      <w:r w:rsidRPr="00912A8D">
        <w:rPr>
          <w:rFonts w:ascii="Palatino Linotype" w:eastAsiaTheme="minorHAnsi" w:hAnsi="Palatino Linotype" w:cstheme="minorBidi"/>
          <w:szCs w:val="22"/>
          <w:lang w:val="es-MX" w:eastAsia="en-US"/>
        </w:rPr>
        <w:t xml:space="preserve"> deberá clasificar la información, emitiendo en su caso el acuerdo correspondiente</w:t>
      </w:r>
      <w:r w:rsidRPr="00912A8D">
        <w:rPr>
          <w:rFonts w:ascii="Palatino Linotype" w:eastAsiaTheme="minorHAnsi" w:hAnsi="Palatino Linotype" w:cstheme="minorBidi"/>
          <w:b/>
          <w:szCs w:val="22"/>
          <w:lang w:val="es-MX" w:eastAsia="en-US"/>
        </w:rPr>
        <w:t xml:space="preserve">, </w:t>
      </w:r>
      <w:r w:rsidRPr="00912A8D">
        <w:rPr>
          <w:rFonts w:ascii="Palatino Linotype" w:eastAsiaTheme="minorHAnsi" w:hAnsi="Palatino Linotype" w:cstheme="minorBidi"/>
          <w:szCs w:val="22"/>
          <w:lang w:val="es-MX" w:eastAsia="en-US"/>
        </w:rPr>
        <w:t>tomando en consideración que, de proporcionar el nombre de los servidores públicos relacionados al procedimiento de responsabilidades administrativas por faltas no graves, podría afectar su honor, buen nombre y su imagen.</w:t>
      </w:r>
    </w:p>
    <w:p w14:paraId="45734726"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727D4376"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Al respecto, la Suprema Corte de Justicia de la Nación ha reconocido como derechos fundamentales de las personas, el derecho a la intimidad y a la propia imagen, en el siguiente criterio:</w:t>
      </w:r>
    </w:p>
    <w:p w14:paraId="4A91EAB8"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5AE68190" w14:textId="77777777" w:rsidR="00BE585A" w:rsidRPr="00912A8D" w:rsidRDefault="00BE585A" w:rsidP="00AD78B6">
      <w:pPr>
        <w:spacing w:line="360" w:lineRule="auto"/>
        <w:ind w:left="567" w:right="567"/>
        <w:jc w:val="both"/>
        <w:rPr>
          <w:rFonts w:ascii="Palatino Linotype" w:eastAsiaTheme="minorHAnsi" w:hAnsi="Palatino Linotype" w:cstheme="minorBidi"/>
          <w:i/>
          <w:sz w:val="22"/>
          <w:szCs w:val="22"/>
          <w:lang w:val="es-MX" w:eastAsia="en-US"/>
        </w:rPr>
      </w:pPr>
      <w:r w:rsidRPr="00912A8D">
        <w:rPr>
          <w:rFonts w:ascii="Palatino Linotype" w:eastAsiaTheme="minorHAnsi" w:hAnsi="Palatino Linotype" w:cstheme="minorBidi"/>
          <w:i/>
          <w:sz w:val="22"/>
          <w:szCs w:val="22"/>
          <w:lang w:val="es-MX" w:eastAsia="en-US"/>
        </w:rPr>
        <w:t>“</w:t>
      </w:r>
      <w:r w:rsidRPr="00912A8D">
        <w:rPr>
          <w:rFonts w:ascii="Palatino Linotype" w:eastAsiaTheme="minorHAnsi" w:hAnsi="Palatino Linotype" w:cstheme="minorBidi"/>
          <w:b/>
          <w:bCs/>
          <w:i/>
          <w:sz w:val="22"/>
          <w:szCs w:val="22"/>
          <w:lang w:val="es-MX" w:eastAsia="en-US"/>
        </w:rPr>
        <w:t>DERECHOS A LA INTIMIDAD, PROPIA IMAGEN, IDENTIDAD PERSONAL Y SEXUAL. CONSTITUYEN DERECHOS DE DEFENSA Y GARANTÍA ESENCIAL PARA LA CONDICIÓN HUMANA</w:t>
      </w:r>
      <w:r w:rsidRPr="00912A8D">
        <w:rPr>
          <w:rFonts w:ascii="Palatino Linotype" w:eastAsiaTheme="minorHAnsi" w:hAnsi="Palatino Linotype" w:cstheme="minorBidi"/>
          <w:i/>
          <w:sz w:val="22"/>
          <w:szCs w:val="22"/>
          <w:lang w:val="es-MX" w:eastAsia="en-US"/>
        </w:rPr>
        <w:t xml:space="preserve">.  Dentro de los derechos personalísimos se encuentran necesariamente comprendidos el derecho a la intimidad y a la propia imagen, así como a la identidad personal y sexual; entendiéndose por el primero, el derecho del </w:t>
      </w:r>
      <w:r w:rsidRPr="00912A8D">
        <w:rPr>
          <w:rFonts w:ascii="Palatino Linotype" w:eastAsiaTheme="minorHAnsi" w:hAnsi="Palatino Linotype" w:cstheme="minorBidi"/>
          <w:i/>
          <w:sz w:val="22"/>
          <w:szCs w:val="22"/>
          <w:lang w:val="es-MX" w:eastAsia="en-US"/>
        </w:rPr>
        <w:lastRenderedPageBreak/>
        <w:t>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80560A8"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 </w:t>
      </w:r>
    </w:p>
    <w:p w14:paraId="6159E3B9"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En ese sentido, se puede hacer notar el derecho de todo individuo a no ser conocido por otros en ciertos aspectos de su vida y, por ende, el poder de decisión sobre la publicidad o información de datos relativos a su persona (derecho a la intimidad), </w:t>
      </w:r>
      <w:r w:rsidRPr="00912A8D">
        <w:rPr>
          <w:rFonts w:ascii="Palatino Linotype" w:eastAsiaTheme="minorHAnsi" w:hAnsi="Palatino Linotype" w:cstheme="minorBidi"/>
          <w:szCs w:val="22"/>
          <w:lang w:val="es-MX" w:eastAsia="en-US"/>
        </w:rPr>
        <w:lastRenderedPageBreak/>
        <w:t>aunado al derecho a la propia imagen es el derecho de decidir, de forma libre, sobre la manera en que elige mostrarse frente a los demás.</w:t>
      </w:r>
    </w:p>
    <w:p w14:paraId="5082101D"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28B1158F"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 xml:space="preserve">Por lo expuesto, se desprende que dar a conocer el nombre del </w:t>
      </w:r>
      <w:r w:rsidR="00AD3B9C" w:rsidRPr="00912A8D">
        <w:rPr>
          <w:rFonts w:ascii="Palatino Linotype" w:eastAsiaTheme="minorHAnsi" w:hAnsi="Palatino Linotype" w:cstheme="minorBidi"/>
          <w:szCs w:val="22"/>
          <w:lang w:val="es-MX" w:eastAsia="en-US"/>
        </w:rPr>
        <w:t xml:space="preserve">ex </w:t>
      </w:r>
      <w:r w:rsidRPr="00912A8D">
        <w:rPr>
          <w:rFonts w:ascii="Palatino Linotype" w:eastAsiaTheme="minorHAnsi" w:hAnsi="Palatino Linotype" w:cstheme="minorBidi"/>
          <w:szCs w:val="22"/>
          <w:lang w:val="es-MX" w:eastAsia="en-US"/>
        </w:rPr>
        <w:t>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2C94CD71"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p>
    <w:p w14:paraId="639A2E42" w14:textId="77777777" w:rsidR="00AD3B9C" w:rsidRPr="00912A8D" w:rsidRDefault="00AD3B9C" w:rsidP="00AD78B6">
      <w:pPr>
        <w:pStyle w:val="Sinespaciado"/>
        <w:spacing w:line="360" w:lineRule="auto"/>
        <w:jc w:val="both"/>
        <w:rPr>
          <w:rFonts w:ascii="Palatino Linotype" w:hAnsi="Palatino Linotype"/>
        </w:rPr>
      </w:pPr>
      <w:r w:rsidRPr="00912A8D">
        <w:rPr>
          <w:rFonts w:ascii="Palatino Linotype" w:hAnsi="Palatino Linotype" w:cs="Arial"/>
          <w:lang w:eastAsia="es-MX"/>
        </w:rPr>
        <w:t xml:space="preserve">Finalmente, no debe pasar desapercibido que el </w:t>
      </w:r>
      <w:r w:rsidRPr="00912A8D">
        <w:rPr>
          <w:rFonts w:ascii="Palatino Linotype" w:hAnsi="Palatino Linotype" w:cs="Arial"/>
          <w:b/>
          <w:lang w:eastAsia="es-MX"/>
        </w:rPr>
        <w:t>recurrente</w:t>
      </w:r>
      <w:r w:rsidRPr="00912A8D">
        <w:rPr>
          <w:rFonts w:ascii="Palatino Linotype" w:hAnsi="Palatino Linotype" w:cs="Arial"/>
          <w:lang w:eastAsia="es-MX"/>
        </w:rPr>
        <w:t xml:space="preserve"> eligió que la modalidad de entrega de la información a través del SAIMEX, sin embargo dentro del texto de la solicitud, en los puntos uno (1) y cinco (5), precisó </w:t>
      </w:r>
      <w:r w:rsidR="00D40BDC" w:rsidRPr="00912A8D">
        <w:rPr>
          <w:rFonts w:ascii="Palatino Linotype" w:hAnsi="Palatino Linotype" w:cs="Arial"/>
          <w:lang w:eastAsia="es-MX"/>
        </w:rPr>
        <w:t>“</w:t>
      </w:r>
      <w:r w:rsidRPr="00912A8D">
        <w:rPr>
          <w:rFonts w:ascii="Palatino Linotype" w:hAnsi="Palatino Linotype"/>
          <w:b/>
        </w:rPr>
        <w:t>copia</w:t>
      </w:r>
      <w:r w:rsidR="00D40BDC" w:rsidRPr="00912A8D">
        <w:rPr>
          <w:rFonts w:ascii="Palatino Linotype" w:hAnsi="Palatino Linotype"/>
          <w:b/>
        </w:rPr>
        <w:t>”</w:t>
      </w:r>
      <w:r w:rsidRPr="00912A8D">
        <w:rPr>
          <w:rFonts w:ascii="Palatino Linotype" w:hAnsi="Palatino Linotype"/>
        </w:rPr>
        <w:t xml:space="preserve">, por tanto, este Instituto considera que la entrega de la información vía Sistema de Acceso a la Información Mexiquense (SAIMEX) puede homologarse a la modalidad elegida por el </w:t>
      </w:r>
      <w:r w:rsidRPr="00912A8D">
        <w:rPr>
          <w:rFonts w:ascii="Palatino Linotype" w:hAnsi="Palatino Linotype"/>
          <w:b/>
        </w:rPr>
        <w:t>recurrente</w:t>
      </w:r>
      <w:r w:rsidRPr="00912A8D">
        <w:rPr>
          <w:rFonts w:ascii="Palatino Linotype" w:hAnsi="Palatino Linotype"/>
        </w:rPr>
        <w:t>.</w:t>
      </w:r>
    </w:p>
    <w:p w14:paraId="2CED7B63" w14:textId="77777777" w:rsidR="00AD3B9C" w:rsidRPr="00912A8D" w:rsidRDefault="00AD3B9C" w:rsidP="00AD78B6">
      <w:pPr>
        <w:pStyle w:val="Sinespaciado"/>
        <w:spacing w:line="360" w:lineRule="auto"/>
        <w:jc w:val="both"/>
        <w:rPr>
          <w:rFonts w:ascii="Palatino Linotype" w:hAnsi="Palatino Linotype"/>
        </w:rPr>
      </w:pPr>
    </w:p>
    <w:p w14:paraId="2DA33D8A" w14:textId="77777777" w:rsidR="00AD3B9C" w:rsidRPr="00912A8D" w:rsidRDefault="00AD3B9C" w:rsidP="00AD78B6">
      <w:pPr>
        <w:pStyle w:val="Sinespaciado"/>
        <w:spacing w:line="360" w:lineRule="auto"/>
        <w:jc w:val="both"/>
        <w:rPr>
          <w:rFonts w:ascii="Palatino Linotype" w:hAnsi="Palatino Linotype"/>
        </w:rPr>
      </w:pPr>
      <w:r w:rsidRPr="00912A8D">
        <w:rPr>
          <w:rFonts w:ascii="Palatino Linotype" w:hAnsi="Palatino Linotype"/>
        </w:rPr>
        <w:t xml:space="preserve">Toda vez que la impresión del archivo digital que remita en cumplimiento de la resolución comparte la misma naturaleza de una copia simple, adicionalmente, la entrega de información vía SAIMEX otorga el beneficio de disponer inmediata y gratuitamente de la información solicitada; consecuentemente, se determina que en aras de privilegiar el derecho del particular y toda vez que el ejercicio de la acción fue a través del Sistema y preciso en el apartado respectivo la entrega a través del sistema referido, por lo que atendiendo a los principios de máxima publicidad y pro persona, es que se considera viable que la información se entregue a través del SAIMEX. </w:t>
      </w:r>
    </w:p>
    <w:p w14:paraId="6A7C8FED" w14:textId="77777777" w:rsidR="00AD3B9C" w:rsidRPr="00912A8D" w:rsidRDefault="00AD3B9C" w:rsidP="00AD78B6">
      <w:pPr>
        <w:tabs>
          <w:tab w:val="left" w:pos="709"/>
        </w:tabs>
        <w:spacing w:line="360" w:lineRule="auto"/>
        <w:jc w:val="both"/>
        <w:rPr>
          <w:rFonts w:ascii="Palatino Linotype" w:eastAsiaTheme="minorHAnsi" w:hAnsi="Palatino Linotype" w:cstheme="minorBidi"/>
          <w:szCs w:val="22"/>
          <w:lang w:val="es-MX" w:eastAsia="en-US"/>
        </w:rPr>
      </w:pPr>
    </w:p>
    <w:p w14:paraId="69AC8837" w14:textId="77777777" w:rsidR="00AD78B6" w:rsidRPr="00912A8D" w:rsidRDefault="00AD78B6" w:rsidP="00AD78B6">
      <w:pPr>
        <w:tabs>
          <w:tab w:val="left" w:pos="709"/>
        </w:tabs>
        <w:spacing w:line="360" w:lineRule="auto"/>
        <w:jc w:val="both"/>
        <w:rPr>
          <w:rFonts w:ascii="Palatino Linotype" w:eastAsiaTheme="minorHAnsi" w:hAnsi="Palatino Linotype" w:cstheme="minorBidi"/>
          <w:szCs w:val="22"/>
          <w:lang w:val="es-MX" w:eastAsia="en-US"/>
        </w:rPr>
      </w:pPr>
    </w:p>
    <w:p w14:paraId="47AA6B29" w14:textId="77777777" w:rsidR="00BE585A" w:rsidRPr="00912A8D" w:rsidRDefault="00BE585A" w:rsidP="00AD78B6">
      <w:pPr>
        <w:tabs>
          <w:tab w:val="left" w:pos="709"/>
        </w:tabs>
        <w:spacing w:line="360" w:lineRule="auto"/>
        <w:jc w:val="both"/>
        <w:rPr>
          <w:rFonts w:ascii="Palatino Linotype" w:eastAsiaTheme="minorHAnsi" w:hAnsi="Palatino Linotype" w:cstheme="minorBidi"/>
          <w:szCs w:val="22"/>
          <w:lang w:val="es-MX" w:eastAsia="en-US"/>
        </w:rPr>
      </w:pPr>
      <w:r w:rsidRPr="00912A8D">
        <w:rPr>
          <w:rFonts w:ascii="Palatino Linotype" w:eastAsiaTheme="minorHAnsi" w:hAnsi="Palatino Linotype" w:cstheme="minorBidi"/>
          <w:szCs w:val="22"/>
          <w:lang w:val="es-MX" w:eastAsia="en-US"/>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6FDDEB98" w14:textId="77777777" w:rsidR="00BE585A" w:rsidRPr="00912A8D" w:rsidRDefault="00BE585A" w:rsidP="00AD78B6">
      <w:pPr>
        <w:spacing w:line="360" w:lineRule="auto"/>
        <w:jc w:val="both"/>
        <w:rPr>
          <w:rFonts w:ascii="Palatino Linotype" w:eastAsia="MS Mincho" w:hAnsi="Palatino Linotype" w:cs="Arial"/>
          <w:sz w:val="28"/>
          <w:lang w:eastAsia="en-US"/>
        </w:rPr>
      </w:pPr>
    </w:p>
    <w:p w14:paraId="2FA40F0B" w14:textId="77777777" w:rsidR="00BE585A" w:rsidRPr="00912A8D" w:rsidRDefault="00BE585A" w:rsidP="00AD78B6">
      <w:pPr>
        <w:numPr>
          <w:ilvl w:val="0"/>
          <w:numId w:val="18"/>
        </w:numPr>
        <w:spacing w:line="360" w:lineRule="auto"/>
        <w:jc w:val="both"/>
        <w:rPr>
          <w:rFonts w:ascii="Palatino Linotype" w:hAnsi="Palatino Linotype" w:cs="Arial"/>
          <w:b/>
          <w:i/>
          <w:sz w:val="28"/>
        </w:rPr>
      </w:pPr>
      <w:r w:rsidRPr="00912A8D">
        <w:rPr>
          <w:rFonts w:ascii="Palatino Linotype" w:hAnsi="Palatino Linotype" w:cs="Arial"/>
          <w:b/>
          <w:i/>
          <w:sz w:val="28"/>
        </w:rPr>
        <w:t>De la Versión Pública.</w:t>
      </w:r>
    </w:p>
    <w:p w14:paraId="26AF0657" w14:textId="6723AA2C" w:rsidR="00D40BDC"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912A8D">
        <w:rPr>
          <w:rFonts w:ascii="Palatino Linotype" w:eastAsia="MS Mincho" w:hAnsi="Palatino Linotype" w:cs="Arial"/>
          <w:lang w:eastAsia="en-US"/>
        </w:rPr>
        <w:cr/>
      </w:r>
    </w:p>
    <w:p w14:paraId="2392F5F3"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w:t>
      </w:r>
      <w:r w:rsidRPr="00912A8D">
        <w:rPr>
          <w:rFonts w:ascii="Palatino Linotype" w:eastAsia="MS Mincho" w:hAnsi="Palatino Linotype" w:cs="Arial"/>
          <w:lang w:eastAsia="en-US"/>
        </w:rPr>
        <w:lastRenderedPageBreak/>
        <w:t>la primera letra del nombre, posterior la fecha de nacimiento año/mes/día y finalmente la homoclave; la cual para su obtención es necesario acreditar personalidad, fecha de nacimiento entre otros con documentos oficiales.</w:t>
      </w:r>
    </w:p>
    <w:p w14:paraId="57F2238C" w14:textId="77777777" w:rsidR="00BE585A" w:rsidRPr="00912A8D" w:rsidRDefault="00BE585A" w:rsidP="00AD78B6">
      <w:pPr>
        <w:spacing w:line="360" w:lineRule="auto"/>
        <w:jc w:val="both"/>
        <w:rPr>
          <w:rFonts w:ascii="Palatino Linotype" w:eastAsia="MS Mincho" w:hAnsi="Palatino Linotype" w:cs="Arial"/>
          <w:lang w:eastAsia="en-US"/>
        </w:rPr>
      </w:pPr>
    </w:p>
    <w:p w14:paraId="7F4A9B81"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Al respecto, el Instituto Nacional de Transparencia, Acceso a la Información y Protección de Datos Personales (INAI) a través del Criterio 19/17, señala literalmente lo siguiente:</w:t>
      </w:r>
    </w:p>
    <w:p w14:paraId="6C3CA869" w14:textId="77777777" w:rsidR="00BE585A" w:rsidRPr="00912A8D" w:rsidRDefault="00BE585A" w:rsidP="00AD78B6">
      <w:pPr>
        <w:spacing w:line="360" w:lineRule="auto"/>
        <w:jc w:val="both"/>
        <w:rPr>
          <w:rFonts w:ascii="Palatino Linotype" w:eastAsia="MS Mincho" w:hAnsi="Palatino Linotype" w:cs="Arial"/>
          <w:lang w:eastAsia="en-US"/>
        </w:rPr>
      </w:pPr>
    </w:p>
    <w:p w14:paraId="6E15AA6B"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w:t>
      </w:r>
      <w:r w:rsidRPr="00912A8D">
        <w:rPr>
          <w:rFonts w:ascii="Palatino Linotype" w:eastAsia="MS Mincho" w:hAnsi="Palatino Linotype" w:cs="Arial"/>
          <w:b/>
          <w:i/>
          <w:sz w:val="22"/>
          <w:lang w:eastAsia="en-US"/>
        </w:rPr>
        <w:t>Registro Federal de Contribuyentes (RFC) de personas físicas</w:t>
      </w:r>
      <w:r w:rsidRPr="00912A8D">
        <w:rPr>
          <w:rFonts w:ascii="Palatino Linotype" w:eastAsia="MS Mincho" w:hAnsi="Palatino Linotype" w:cs="Arial"/>
          <w:i/>
          <w:sz w:val="22"/>
          <w:lang w:eastAsia="en-US"/>
        </w:rPr>
        <w:t>. El RFC es una clave de carácter fiscal, única e irrepetible, que permite identificar al titular, su edad y fecha de nacimiento, por lo que es un dato personal de carácter confidencial.</w:t>
      </w:r>
    </w:p>
    <w:p w14:paraId="5037C8D3"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p>
    <w:p w14:paraId="07202D88"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Resoluciones:</w:t>
      </w:r>
    </w:p>
    <w:p w14:paraId="787F7CF1"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 RRA 0189/17. Morena. 08 de febrero de 2017. Por unanimidad.</w:t>
      </w:r>
    </w:p>
    <w:p w14:paraId="4DE90EC7"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Comisionado Ponente Joel Salas Suárez.</w:t>
      </w:r>
    </w:p>
    <w:p w14:paraId="00E8D16C"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 RRA 0677/17. Universidad Nacional Autónoma de México. 08 de marzo de</w:t>
      </w:r>
    </w:p>
    <w:p w14:paraId="7EB6C9A3"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2017. Por unanimidad. Comisionado Ponente Rosendoevgueni Monterrey Chepov.</w:t>
      </w:r>
    </w:p>
    <w:p w14:paraId="45627544"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6D398B3D" w14:textId="77777777" w:rsidR="00BE585A" w:rsidRPr="00912A8D" w:rsidRDefault="00BE585A" w:rsidP="00AD78B6">
      <w:pPr>
        <w:spacing w:line="360" w:lineRule="auto"/>
        <w:jc w:val="both"/>
        <w:rPr>
          <w:rFonts w:ascii="Palatino Linotype" w:eastAsia="MS Mincho" w:hAnsi="Palatino Linotype" w:cs="Arial"/>
          <w:lang w:eastAsia="en-US"/>
        </w:rPr>
      </w:pPr>
    </w:p>
    <w:p w14:paraId="539FA5AF"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912A8D">
        <w:rPr>
          <w:rFonts w:ascii="Palatino Linotype" w:eastAsia="MS Mincho" w:hAnsi="Palatino Linotype" w:cs="Arial"/>
          <w:lang w:eastAsia="en-US"/>
        </w:rPr>
        <w:lastRenderedPageBreak/>
        <w:t>Municipios y 4 fracción VII de la Ley de Protección de Datos Personales del Estado de México.</w:t>
      </w:r>
    </w:p>
    <w:p w14:paraId="2EA41499" w14:textId="77777777" w:rsidR="00BE585A" w:rsidRPr="00912A8D" w:rsidRDefault="00BE585A" w:rsidP="00AD78B6">
      <w:pPr>
        <w:spacing w:line="360" w:lineRule="auto"/>
        <w:jc w:val="both"/>
        <w:rPr>
          <w:rFonts w:ascii="Palatino Linotype" w:eastAsia="MS Mincho" w:hAnsi="Palatino Linotype" w:cs="Arial"/>
          <w:lang w:eastAsia="en-US"/>
        </w:rPr>
      </w:pPr>
    </w:p>
    <w:p w14:paraId="67B70C3E"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45D9E7B" w14:textId="77777777" w:rsidR="00BE585A" w:rsidRPr="00912A8D" w:rsidRDefault="00BE585A" w:rsidP="00AD78B6">
      <w:pPr>
        <w:spacing w:line="360" w:lineRule="auto"/>
        <w:jc w:val="both"/>
        <w:rPr>
          <w:rFonts w:ascii="Palatino Linotype" w:eastAsia="MS Mincho" w:hAnsi="Palatino Linotype" w:cs="Arial"/>
          <w:lang w:eastAsia="en-US"/>
        </w:rPr>
      </w:pPr>
    </w:p>
    <w:p w14:paraId="4695CD78"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Lo anterior, tiene sustento en los artículos 86 y 91, de la Ley General de Población, la cual señala lo siguiente:</w:t>
      </w:r>
    </w:p>
    <w:p w14:paraId="7BF846F0" w14:textId="77777777" w:rsidR="00BE585A" w:rsidRPr="00912A8D" w:rsidRDefault="00BE585A" w:rsidP="00AD78B6">
      <w:pPr>
        <w:spacing w:line="360" w:lineRule="auto"/>
        <w:jc w:val="both"/>
        <w:rPr>
          <w:rFonts w:ascii="Palatino Linotype" w:eastAsia="MS Mincho" w:hAnsi="Palatino Linotype" w:cs="Arial"/>
          <w:lang w:eastAsia="en-US"/>
        </w:rPr>
      </w:pPr>
    </w:p>
    <w:p w14:paraId="7EC656ED"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w:t>
      </w:r>
      <w:r w:rsidRPr="00912A8D">
        <w:rPr>
          <w:rFonts w:ascii="Palatino Linotype" w:eastAsia="MS Mincho" w:hAnsi="Palatino Linotype" w:cs="Arial"/>
          <w:b/>
          <w:i/>
          <w:sz w:val="22"/>
          <w:lang w:eastAsia="en-US"/>
        </w:rPr>
        <w:t>Artículo 86.</w:t>
      </w:r>
      <w:r w:rsidRPr="00912A8D">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1A01B81D"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p>
    <w:p w14:paraId="4F00E74F"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b/>
          <w:i/>
          <w:sz w:val="22"/>
          <w:lang w:eastAsia="en-US"/>
        </w:rPr>
        <w:t>Artículo 91.</w:t>
      </w:r>
      <w:r w:rsidRPr="00912A8D">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70B69312" w14:textId="77777777" w:rsidR="00BE585A" w:rsidRPr="00912A8D" w:rsidRDefault="00BE585A" w:rsidP="00AD78B6">
      <w:pPr>
        <w:spacing w:line="360" w:lineRule="auto"/>
        <w:jc w:val="both"/>
        <w:rPr>
          <w:rFonts w:ascii="Palatino Linotype" w:eastAsia="MS Mincho" w:hAnsi="Palatino Linotype" w:cs="Arial"/>
          <w:lang w:eastAsia="en-US"/>
        </w:rPr>
      </w:pPr>
    </w:p>
    <w:p w14:paraId="2734FD6C"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 xml:space="preserve">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w:t>
      </w:r>
      <w:r w:rsidRPr="00912A8D">
        <w:rPr>
          <w:rFonts w:ascii="Palatino Linotype" w:eastAsia="MS Mincho" w:hAnsi="Palatino Linotype" w:cs="Arial"/>
          <w:lang w:eastAsia="en-US"/>
        </w:rPr>
        <w:lastRenderedPageBreak/>
        <w:t>una homoclave o digito verificador, compuesto de dos elementos, con el que se evitan duplicaciones en la Clave, identifican el cambio de siglo y garantizan la correcta integración.</w:t>
      </w:r>
    </w:p>
    <w:p w14:paraId="36EAD0A8" w14:textId="77777777" w:rsidR="00BE585A" w:rsidRPr="00912A8D" w:rsidRDefault="00BE585A" w:rsidP="00AD78B6">
      <w:pPr>
        <w:spacing w:line="360" w:lineRule="auto"/>
        <w:jc w:val="both"/>
        <w:rPr>
          <w:rFonts w:ascii="Palatino Linotype" w:eastAsia="MS Mincho" w:hAnsi="Palatino Linotype" w:cs="Arial"/>
          <w:lang w:eastAsia="en-US"/>
        </w:rPr>
      </w:pPr>
    </w:p>
    <w:p w14:paraId="69538E40"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Al respecto, el INAI a través del Criterio 18/17, señala literalmente lo siguiente:</w:t>
      </w:r>
    </w:p>
    <w:p w14:paraId="4585298E" w14:textId="77777777" w:rsidR="00BE585A" w:rsidRPr="00912A8D" w:rsidRDefault="00BE585A" w:rsidP="00AD78B6">
      <w:pPr>
        <w:spacing w:line="360" w:lineRule="auto"/>
        <w:jc w:val="both"/>
        <w:rPr>
          <w:rFonts w:ascii="Palatino Linotype" w:eastAsia="MS Mincho" w:hAnsi="Palatino Linotype" w:cs="Arial"/>
          <w:lang w:eastAsia="en-US"/>
        </w:rPr>
      </w:pPr>
    </w:p>
    <w:p w14:paraId="2098138A"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w:t>
      </w:r>
      <w:r w:rsidRPr="00912A8D">
        <w:rPr>
          <w:rFonts w:ascii="Palatino Linotype" w:eastAsia="MS Mincho" w:hAnsi="Palatino Linotype" w:cs="Arial"/>
          <w:b/>
          <w:i/>
          <w:sz w:val="22"/>
          <w:lang w:eastAsia="en-US"/>
        </w:rPr>
        <w:t>Clave Única de Registro de Población (CURP).</w:t>
      </w:r>
      <w:r w:rsidRPr="00912A8D">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5325EA4"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p>
    <w:p w14:paraId="78657452"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Resoluciones:</w:t>
      </w:r>
    </w:p>
    <w:p w14:paraId="672C5736"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2"/>
          <w:lang w:eastAsia="en-US"/>
        </w:rPr>
        <w:t xml:space="preserve">• </w:t>
      </w:r>
      <w:r w:rsidRPr="00912A8D">
        <w:rPr>
          <w:rFonts w:ascii="Palatino Linotype" w:eastAsia="MS Mincho" w:hAnsi="Palatino Linotype" w:cs="Arial"/>
          <w:i/>
          <w:sz w:val="20"/>
          <w:lang w:eastAsia="en-US"/>
        </w:rPr>
        <w:t>RRA 3995/16. Secretaría de la Defensa Nacional. 1 de febrero de 2017. Por unanimidad. Comisionado Ponente Rosendoevgueni Monterrey Chepov.</w:t>
      </w:r>
    </w:p>
    <w:p w14:paraId="2B1AA256"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 RRA 0937/17. Senado de la República. 15 de marzo de 2017. Por unanimidad. Comisionada Ponente Ximena Puente de la Mora.</w:t>
      </w:r>
    </w:p>
    <w:p w14:paraId="37D2906A" w14:textId="77777777" w:rsidR="00BE585A" w:rsidRPr="00912A8D" w:rsidRDefault="00BE585A" w:rsidP="00AD78B6">
      <w:pPr>
        <w:spacing w:line="360" w:lineRule="auto"/>
        <w:ind w:left="567" w:right="567"/>
        <w:jc w:val="both"/>
        <w:rPr>
          <w:rFonts w:ascii="Palatino Linotype" w:eastAsia="MS Mincho" w:hAnsi="Palatino Linotype" w:cs="Arial"/>
          <w:i/>
          <w:sz w:val="20"/>
          <w:lang w:eastAsia="en-US"/>
        </w:rPr>
      </w:pPr>
      <w:r w:rsidRPr="00912A8D">
        <w:rPr>
          <w:rFonts w:ascii="Palatino Linotype" w:eastAsia="MS Mincho" w:hAnsi="Palatino Linotype" w:cs="Arial"/>
          <w:i/>
          <w:sz w:val="20"/>
          <w:lang w:eastAsia="en-US"/>
        </w:rPr>
        <w:t>• RRA 0478/17. Secretaría de Relaciones Exteriores. 26 de abril de 2017. Por unanimidad. Comisionada Ponente Areli Cano Guadiana.”</w:t>
      </w:r>
    </w:p>
    <w:p w14:paraId="23FAFDD0" w14:textId="77777777" w:rsidR="00BE585A" w:rsidRPr="00912A8D" w:rsidRDefault="00BE585A" w:rsidP="00AD78B6">
      <w:pPr>
        <w:spacing w:line="360" w:lineRule="auto"/>
        <w:jc w:val="both"/>
        <w:rPr>
          <w:rFonts w:ascii="Palatino Linotype" w:eastAsia="MS Mincho" w:hAnsi="Palatino Linotype" w:cs="Arial"/>
          <w:lang w:eastAsia="en-US"/>
        </w:rPr>
      </w:pPr>
    </w:p>
    <w:p w14:paraId="6EE7DD17"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 xml:space="preserve">De lo anterior, se desprende que la Clave Única de Registro de Población,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w:t>
      </w:r>
      <w:r w:rsidRPr="00912A8D">
        <w:rPr>
          <w:rFonts w:ascii="Palatino Linotype" w:eastAsia="MS Mincho" w:hAnsi="Palatino Linotype" w:cs="Arial"/>
          <w:lang w:eastAsia="en-US"/>
        </w:rPr>
        <w:lastRenderedPageBreak/>
        <w:t>Municipios y 4 fracción VII de la Ley de Protección de Datos Personales del Estado de México.</w:t>
      </w:r>
    </w:p>
    <w:p w14:paraId="0C00DCA6" w14:textId="77777777" w:rsidR="00D40BDC" w:rsidRPr="00912A8D" w:rsidRDefault="00D40BDC" w:rsidP="00AD78B6">
      <w:pPr>
        <w:spacing w:line="360" w:lineRule="auto"/>
        <w:jc w:val="both"/>
        <w:rPr>
          <w:rFonts w:ascii="Palatino Linotype" w:eastAsia="MS Mincho" w:hAnsi="Palatino Linotype" w:cs="Arial"/>
          <w:lang w:eastAsia="en-US"/>
        </w:rPr>
      </w:pPr>
    </w:p>
    <w:p w14:paraId="181D7571"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D2F3F2D" w14:textId="77777777" w:rsidR="00BE585A" w:rsidRPr="00912A8D" w:rsidRDefault="00BE585A" w:rsidP="00AD78B6">
      <w:pPr>
        <w:spacing w:line="360" w:lineRule="auto"/>
        <w:jc w:val="both"/>
        <w:rPr>
          <w:rFonts w:ascii="Palatino Linotype" w:eastAsia="MS Mincho" w:hAnsi="Palatino Linotype" w:cs="Arial"/>
          <w:lang w:eastAsia="en-US"/>
        </w:rPr>
      </w:pPr>
    </w:p>
    <w:p w14:paraId="589773FE"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4549BE86" w14:textId="77777777" w:rsidR="00BE585A" w:rsidRPr="00912A8D" w:rsidRDefault="00BE585A" w:rsidP="00AD78B6">
      <w:pPr>
        <w:spacing w:line="360" w:lineRule="auto"/>
        <w:jc w:val="both"/>
        <w:rPr>
          <w:rFonts w:ascii="Palatino Linotype" w:eastAsia="MS Mincho" w:hAnsi="Palatino Linotype" w:cs="Arial"/>
          <w:lang w:eastAsia="en-US"/>
        </w:rPr>
      </w:pPr>
    </w:p>
    <w:p w14:paraId="391F000F"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b/>
          <w:i/>
          <w:sz w:val="22"/>
          <w:lang w:eastAsia="en-US"/>
        </w:rPr>
        <w:t xml:space="preserve">Artículo 3. </w:t>
      </w:r>
      <w:r w:rsidRPr="00912A8D">
        <w:rPr>
          <w:rFonts w:ascii="Palatino Linotype" w:eastAsia="MS Mincho" w:hAnsi="Palatino Linotype" w:cs="Arial"/>
          <w:i/>
          <w:sz w:val="22"/>
          <w:lang w:eastAsia="en-US"/>
        </w:rPr>
        <w:t>Para los efectos de la presente Ley se entenderá por:</w:t>
      </w:r>
    </w:p>
    <w:p w14:paraId="75521012"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w:t>
      </w:r>
    </w:p>
    <w:p w14:paraId="683F6D76"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6457297F"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lastRenderedPageBreak/>
        <w:t>XX. Información clasificada: Aquella considerada por la presente Ley como reservada o confidencial;</w:t>
      </w:r>
    </w:p>
    <w:p w14:paraId="7EDFE0F9"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C6A99D"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w:t>
      </w:r>
    </w:p>
    <w:p w14:paraId="7965E14B" w14:textId="77777777" w:rsidR="00BE585A" w:rsidRPr="00912A8D" w:rsidRDefault="00BE585A" w:rsidP="00AD78B6">
      <w:pPr>
        <w:spacing w:line="360" w:lineRule="auto"/>
        <w:ind w:left="567" w:right="567"/>
        <w:jc w:val="both"/>
        <w:rPr>
          <w:rFonts w:ascii="Palatino Linotype" w:eastAsia="MS Mincho" w:hAnsi="Palatino Linotype" w:cs="Arial"/>
          <w:i/>
          <w:sz w:val="22"/>
          <w:lang w:eastAsia="en-US"/>
        </w:rPr>
      </w:pPr>
      <w:r w:rsidRPr="00912A8D">
        <w:rPr>
          <w:rFonts w:ascii="Palatino Linotype" w:eastAsia="MS Mincho" w:hAnsi="Palatino Linotype" w:cs="Arial"/>
          <w:i/>
          <w:sz w:val="22"/>
          <w:lang w:eastAsia="en-US"/>
        </w:rPr>
        <w:t>[…]</w:t>
      </w:r>
    </w:p>
    <w:p w14:paraId="548104CA" w14:textId="77777777" w:rsidR="00BE585A" w:rsidRPr="00912A8D" w:rsidRDefault="00BE585A" w:rsidP="00AD78B6">
      <w:pPr>
        <w:spacing w:line="360" w:lineRule="auto"/>
        <w:jc w:val="both"/>
        <w:rPr>
          <w:rFonts w:ascii="Palatino Linotype" w:eastAsia="MS Mincho" w:hAnsi="Palatino Linotype" w:cs="Arial"/>
          <w:lang w:eastAsia="en-US"/>
        </w:rPr>
      </w:pPr>
    </w:p>
    <w:p w14:paraId="74A18DAD" w14:textId="77777777" w:rsidR="00BE585A" w:rsidRPr="00912A8D" w:rsidRDefault="00BE585A" w:rsidP="00AD78B6">
      <w:pPr>
        <w:spacing w:line="360" w:lineRule="auto"/>
        <w:jc w:val="both"/>
        <w:rPr>
          <w:rFonts w:ascii="Palatino Linotype" w:eastAsia="MS Mincho" w:hAnsi="Palatino Linotype" w:cs="Arial"/>
          <w:lang w:eastAsia="en-US"/>
        </w:rPr>
      </w:pPr>
      <w:r w:rsidRPr="00912A8D">
        <w:rPr>
          <w:rFonts w:ascii="Palatino Linotype" w:eastAsia="MS Mincho" w:hAnsi="Palatino Linotype" w:cs="Arial"/>
          <w:lang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4C50CF2" w14:textId="77777777" w:rsidR="00860149" w:rsidRPr="00912A8D" w:rsidRDefault="00860149" w:rsidP="00AD78B6">
      <w:pPr>
        <w:pStyle w:val="Textoindependiente"/>
        <w:spacing w:after="0" w:line="360" w:lineRule="auto"/>
        <w:jc w:val="both"/>
        <w:rPr>
          <w:rFonts w:ascii="Palatino Linotype" w:eastAsiaTheme="minorEastAsia" w:hAnsi="Palatino Linotype"/>
          <w:color w:val="000000" w:themeColor="text1"/>
          <w:sz w:val="24"/>
          <w:szCs w:val="24"/>
          <w:lang w:eastAsia="es-ES"/>
        </w:rPr>
      </w:pPr>
    </w:p>
    <w:p w14:paraId="468E9DB8" w14:textId="77777777" w:rsidR="00860149" w:rsidRPr="00912A8D" w:rsidRDefault="00860149" w:rsidP="00AD78B6">
      <w:pPr>
        <w:spacing w:line="360" w:lineRule="auto"/>
        <w:jc w:val="both"/>
        <w:rPr>
          <w:rFonts w:ascii="Palatino Linotype" w:hAnsi="Palatino Linotype"/>
        </w:rPr>
      </w:pPr>
      <w:r w:rsidRPr="00912A8D">
        <w:rPr>
          <w:rFonts w:ascii="Palatino Linotype" w:hAnsi="Palatino Linotype" w:cs="Arial"/>
          <w:lang w:eastAsia="es-MX"/>
        </w:rPr>
        <w:t>E</w:t>
      </w:r>
      <w:r w:rsidRPr="00912A8D">
        <w:rPr>
          <w:rFonts w:ascii="Palatino Linotype" w:hAnsi="Palatino Linotype"/>
        </w:rPr>
        <w:t xml:space="preserve">n mérito de lo expuesto en líneas anteriores, resultan fundados los motivos de inconformidad vertidos por </w:t>
      </w:r>
      <w:r w:rsidRPr="00912A8D">
        <w:rPr>
          <w:rFonts w:ascii="Palatino Linotype" w:hAnsi="Palatino Linotype"/>
          <w:b/>
        </w:rPr>
        <w:t>el Recurrente</w:t>
      </w:r>
      <w:r w:rsidRPr="00912A8D">
        <w:rPr>
          <w:rFonts w:ascii="Palatino Linotype" w:hAnsi="Palatino Linotype"/>
        </w:rPr>
        <w:t xml:space="preserve">, por ello con fundamento en la </w:t>
      </w:r>
      <w:r w:rsidRPr="00912A8D">
        <w:rPr>
          <w:rFonts w:ascii="Palatino Linotype" w:hAnsi="Palatino Linotype"/>
          <w:i/>
        </w:rPr>
        <w:t>primera hipótesis</w:t>
      </w:r>
      <w:r w:rsidRPr="00912A8D">
        <w:rPr>
          <w:rFonts w:ascii="Palatino Linotype" w:hAnsi="Palatino Linotype"/>
        </w:rPr>
        <w:t xml:space="preserve"> del artículo 186, fracción III, de la Ley de Transparencia y Acceso a la Información Pública del Estado de México y Municipios, se </w:t>
      </w:r>
      <w:r w:rsidRPr="00912A8D">
        <w:rPr>
          <w:rFonts w:ascii="Palatino Linotype" w:hAnsi="Palatino Linotype"/>
          <w:b/>
          <w:bCs/>
        </w:rPr>
        <w:t>MODIF</w:t>
      </w:r>
      <w:r w:rsidRPr="00912A8D">
        <w:rPr>
          <w:rFonts w:ascii="Palatino Linotype" w:hAnsi="Palatino Linotype"/>
          <w:b/>
        </w:rPr>
        <w:t xml:space="preserve">CA </w:t>
      </w:r>
      <w:r w:rsidRPr="00912A8D">
        <w:rPr>
          <w:rFonts w:ascii="Palatino Linotype" w:hAnsi="Palatino Linotype"/>
        </w:rPr>
        <w:t xml:space="preserve">la respuesta a </w:t>
      </w:r>
      <w:r w:rsidRPr="00912A8D">
        <w:rPr>
          <w:rFonts w:ascii="Palatino Linotype" w:hAnsi="Palatino Linotype"/>
        </w:rPr>
        <w:lastRenderedPageBreak/>
        <w:t xml:space="preserve">la solicitud de información </w:t>
      </w:r>
      <w:r w:rsidRPr="00912A8D">
        <w:rPr>
          <w:rFonts w:ascii="Palatino Linotype" w:hAnsi="Palatino Linotype" w:cs="Arial"/>
          <w:b/>
        </w:rPr>
        <w:t>00</w:t>
      </w:r>
      <w:r w:rsidR="00D40BDC" w:rsidRPr="00912A8D">
        <w:rPr>
          <w:rFonts w:ascii="Palatino Linotype" w:hAnsi="Palatino Linotype" w:cs="Arial"/>
          <w:b/>
        </w:rPr>
        <w:t>31</w:t>
      </w:r>
      <w:r w:rsidRPr="00912A8D">
        <w:rPr>
          <w:rFonts w:ascii="Palatino Linotype" w:hAnsi="Palatino Linotype" w:cs="Arial"/>
          <w:b/>
        </w:rPr>
        <w:t>2/S</w:t>
      </w:r>
      <w:r w:rsidR="00D40BDC" w:rsidRPr="00912A8D">
        <w:rPr>
          <w:rFonts w:ascii="Palatino Linotype" w:hAnsi="Palatino Linotype" w:cs="Arial"/>
          <w:b/>
        </w:rPr>
        <w:t>ECOGEM</w:t>
      </w:r>
      <w:r w:rsidRPr="00912A8D">
        <w:rPr>
          <w:rFonts w:ascii="Palatino Linotype" w:hAnsi="Palatino Linotype" w:cs="Arial"/>
          <w:b/>
        </w:rPr>
        <w:t>/IP/2023,</w:t>
      </w:r>
      <w:r w:rsidRPr="00912A8D">
        <w:rPr>
          <w:rFonts w:ascii="Palatino Linotype" w:hAnsi="Palatino Linotype" w:cs="Arial"/>
        </w:rPr>
        <w:t xml:space="preserve"> </w:t>
      </w:r>
      <w:r w:rsidRPr="00912A8D">
        <w:rPr>
          <w:rFonts w:ascii="Palatino Linotype" w:hAnsi="Palatino Linotype"/>
        </w:rPr>
        <w:t>que ha sido materia del presente fallo.</w:t>
      </w:r>
    </w:p>
    <w:p w14:paraId="684574C8" w14:textId="77777777" w:rsidR="00860149" w:rsidRPr="00912A8D" w:rsidRDefault="00860149" w:rsidP="00AD78B6">
      <w:pPr>
        <w:pStyle w:val="Sinespaciado"/>
        <w:spacing w:line="360" w:lineRule="auto"/>
        <w:jc w:val="both"/>
        <w:rPr>
          <w:rFonts w:ascii="Palatino Linotype" w:hAnsi="Palatino Linotype"/>
        </w:rPr>
      </w:pPr>
    </w:p>
    <w:p w14:paraId="4B9E0DCC" w14:textId="77777777" w:rsidR="00860149" w:rsidRPr="00912A8D" w:rsidRDefault="00860149" w:rsidP="00AD78B6">
      <w:pPr>
        <w:pStyle w:val="Sinespaciado"/>
        <w:spacing w:line="360" w:lineRule="auto"/>
        <w:jc w:val="both"/>
        <w:rPr>
          <w:rFonts w:ascii="Palatino Linotype" w:hAnsi="Palatino Linotype"/>
        </w:rPr>
      </w:pPr>
      <w:r w:rsidRPr="00912A8D">
        <w:rPr>
          <w:rFonts w:ascii="Palatino Linotype" w:hAnsi="Palatino Linotype"/>
        </w:rPr>
        <w:t>Por lo antes expuesto y fundado es de resolverse y,</w:t>
      </w:r>
    </w:p>
    <w:p w14:paraId="5938B324" w14:textId="77777777" w:rsidR="00AE28D2" w:rsidRPr="00912A8D" w:rsidRDefault="00AE28D2" w:rsidP="00AD78B6">
      <w:pPr>
        <w:spacing w:line="360" w:lineRule="auto"/>
        <w:jc w:val="center"/>
        <w:rPr>
          <w:rFonts w:ascii="Palatino Linotype" w:hAnsi="Palatino Linotype"/>
          <w:b/>
          <w:sz w:val="28"/>
          <w:lang w:val="pt-BR"/>
        </w:rPr>
      </w:pPr>
    </w:p>
    <w:p w14:paraId="6F3D4923" w14:textId="77777777" w:rsidR="00860149" w:rsidRPr="00912A8D" w:rsidRDefault="00860149" w:rsidP="00AD78B6">
      <w:pPr>
        <w:spacing w:line="360" w:lineRule="auto"/>
        <w:jc w:val="center"/>
        <w:rPr>
          <w:rFonts w:ascii="Palatino Linotype" w:hAnsi="Palatino Linotype"/>
          <w:b/>
          <w:sz w:val="28"/>
          <w:lang w:val="pt-BR"/>
        </w:rPr>
      </w:pPr>
      <w:r w:rsidRPr="00912A8D">
        <w:rPr>
          <w:rFonts w:ascii="Palatino Linotype" w:hAnsi="Palatino Linotype"/>
          <w:b/>
          <w:sz w:val="28"/>
          <w:lang w:val="pt-BR"/>
        </w:rPr>
        <w:t>S E   R E S U E L V E</w:t>
      </w:r>
    </w:p>
    <w:p w14:paraId="1D2BB47C" w14:textId="77777777" w:rsidR="00860149" w:rsidRPr="00912A8D" w:rsidRDefault="00860149" w:rsidP="00AD78B6">
      <w:pPr>
        <w:pStyle w:val="Sinespaciado"/>
        <w:spacing w:line="360" w:lineRule="auto"/>
        <w:jc w:val="both"/>
        <w:rPr>
          <w:rFonts w:ascii="Palatino Linotype" w:hAnsi="Palatino Linotype" w:cs="Arial"/>
          <w:b/>
        </w:rPr>
      </w:pPr>
    </w:p>
    <w:p w14:paraId="30B7BAC3" w14:textId="77777777" w:rsidR="00860149" w:rsidRPr="00912A8D" w:rsidRDefault="00860149" w:rsidP="00AD78B6">
      <w:pPr>
        <w:pStyle w:val="Sinespaciado"/>
        <w:spacing w:line="360" w:lineRule="auto"/>
        <w:jc w:val="both"/>
        <w:rPr>
          <w:rFonts w:ascii="Palatino Linotype" w:hAnsi="Palatino Linotype"/>
          <w:bCs/>
          <w:lang w:eastAsia="es-MX"/>
        </w:rPr>
      </w:pPr>
      <w:r w:rsidRPr="00912A8D">
        <w:rPr>
          <w:rFonts w:ascii="Palatino Linotype" w:hAnsi="Palatino Linotype" w:cs="Arial"/>
          <w:b/>
          <w:sz w:val="28"/>
        </w:rPr>
        <w:t>PRIMERO</w:t>
      </w:r>
      <w:r w:rsidRPr="00912A8D">
        <w:rPr>
          <w:rFonts w:ascii="Palatino Linotype" w:hAnsi="Palatino Linotype" w:cs="Arial"/>
          <w:b/>
        </w:rPr>
        <w:t xml:space="preserve">. Se MODIFICA </w:t>
      </w:r>
      <w:r w:rsidRPr="00912A8D">
        <w:rPr>
          <w:rFonts w:ascii="Palatino Linotype" w:hAnsi="Palatino Linotype" w:cs="Arial"/>
        </w:rPr>
        <w:t>la respuesta entregada por el Sujeto Obligado</w:t>
      </w:r>
      <w:r w:rsidRPr="00912A8D">
        <w:rPr>
          <w:rFonts w:ascii="Palatino Linotype" w:hAnsi="Palatino Linotype" w:cs="Arial"/>
          <w:b/>
        </w:rPr>
        <w:t xml:space="preserve"> </w:t>
      </w:r>
      <w:r w:rsidRPr="00912A8D">
        <w:rPr>
          <w:rFonts w:ascii="Palatino Linotype" w:hAnsi="Palatino Linotype" w:cs="Arial"/>
        </w:rPr>
        <w:t xml:space="preserve">a la solicitud de información </w:t>
      </w:r>
      <w:r w:rsidR="00D40BDC" w:rsidRPr="00912A8D">
        <w:rPr>
          <w:rFonts w:ascii="Palatino Linotype" w:hAnsi="Palatino Linotype" w:cs="Arial"/>
          <w:b/>
        </w:rPr>
        <w:t>00312/SECOGEM/IP/2023</w:t>
      </w:r>
      <w:r w:rsidRPr="00912A8D">
        <w:rPr>
          <w:rFonts w:ascii="Palatino Linotype" w:hAnsi="Palatino Linotype" w:cs="Arial"/>
          <w:b/>
        </w:rPr>
        <w:t xml:space="preserve">, </w:t>
      </w:r>
      <w:r w:rsidRPr="00912A8D">
        <w:rPr>
          <w:rFonts w:ascii="Palatino Linotype" w:hAnsi="Palatino Linotype" w:cs="Arial"/>
        </w:rPr>
        <w:t>por resultar</w:t>
      </w:r>
      <w:r w:rsidRPr="00912A8D">
        <w:rPr>
          <w:rFonts w:ascii="Palatino Linotype" w:hAnsi="Palatino Linotype" w:cs="Arial"/>
          <w:b/>
        </w:rPr>
        <w:t xml:space="preserve"> </w:t>
      </w:r>
      <w:r w:rsidRPr="00912A8D">
        <w:rPr>
          <w:rFonts w:ascii="Palatino Linotype" w:hAnsi="Palatino Linotype"/>
        </w:rPr>
        <w:t xml:space="preserve">fundados los motivos de inconformidad hechos valer por la parte Recurrente, en términos del </w:t>
      </w:r>
      <w:r w:rsidRPr="00912A8D">
        <w:rPr>
          <w:rFonts w:ascii="Palatino Linotype" w:hAnsi="Palatino Linotype"/>
          <w:bCs/>
          <w:lang w:eastAsia="es-MX"/>
        </w:rPr>
        <w:t>Considerando</w:t>
      </w:r>
      <w:r w:rsidRPr="00912A8D">
        <w:rPr>
          <w:rFonts w:ascii="Palatino Linotype" w:hAnsi="Palatino Linotype"/>
          <w:b/>
          <w:bCs/>
          <w:lang w:eastAsia="es-MX"/>
        </w:rPr>
        <w:t xml:space="preserve"> QUINTO</w:t>
      </w:r>
      <w:r w:rsidRPr="00912A8D">
        <w:rPr>
          <w:rFonts w:ascii="Palatino Linotype" w:hAnsi="Palatino Linotype"/>
          <w:bCs/>
          <w:lang w:eastAsia="es-MX"/>
        </w:rPr>
        <w:t xml:space="preserve"> de la presente resolución.</w:t>
      </w:r>
    </w:p>
    <w:p w14:paraId="138489C8" w14:textId="77777777" w:rsidR="00860149" w:rsidRPr="00912A8D" w:rsidRDefault="00860149" w:rsidP="00AD78B6">
      <w:pPr>
        <w:tabs>
          <w:tab w:val="left" w:pos="8647"/>
        </w:tabs>
        <w:spacing w:line="360" w:lineRule="auto"/>
        <w:jc w:val="both"/>
        <w:rPr>
          <w:rFonts w:ascii="Palatino Linotype" w:hAnsi="Palatino Linotype" w:cs="Arial"/>
        </w:rPr>
      </w:pPr>
    </w:p>
    <w:p w14:paraId="5EA6874F" w14:textId="77777777" w:rsidR="00860149" w:rsidRPr="00912A8D" w:rsidRDefault="00860149" w:rsidP="00AD78B6">
      <w:pPr>
        <w:spacing w:line="360" w:lineRule="auto"/>
        <w:jc w:val="both"/>
        <w:rPr>
          <w:rFonts w:ascii="Palatino Linotype" w:hAnsi="Palatino Linotype" w:cs="Arial"/>
        </w:rPr>
      </w:pPr>
      <w:r w:rsidRPr="00912A8D">
        <w:rPr>
          <w:rFonts w:ascii="Palatino Linotype" w:hAnsi="Palatino Linotype"/>
          <w:b/>
          <w:sz w:val="28"/>
        </w:rPr>
        <w:t>SEGUNDO.</w:t>
      </w:r>
      <w:r w:rsidRPr="00912A8D">
        <w:rPr>
          <w:rFonts w:ascii="Palatino Linotype" w:hAnsi="Palatino Linotype" w:cs="Arial"/>
          <w:sz w:val="28"/>
        </w:rPr>
        <w:t xml:space="preserve"> </w:t>
      </w:r>
      <w:r w:rsidRPr="00912A8D">
        <w:rPr>
          <w:rFonts w:ascii="Palatino Linotype" w:hAnsi="Palatino Linotype"/>
          <w:lang w:val="es-ES_tradnl"/>
        </w:rPr>
        <w:t xml:space="preserve">Se </w:t>
      </w:r>
      <w:r w:rsidRPr="00912A8D">
        <w:rPr>
          <w:rFonts w:ascii="Palatino Linotype" w:hAnsi="Palatino Linotype"/>
          <w:b/>
          <w:lang w:val="es-ES_tradnl"/>
        </w:rPr>
        <w:t>ORDENA</w:t>
      </w:r>
      <w:r w:rsidRPr="00912A8D">
        <w:rPr>
          <w:rFonts w:ascii="Palatino Linotype" w:hAnsi="Palatino Linotype"/>
          <w:lang w:val="es-ES_tradnl"/>
        </w:rPr>
        <w:t xml:space="preserve"> al Sujeto Obligado haga entrega a la parte Recurrente a través del </w:t>
      </w:r>
      <w:r w:rsidRPr="00912A8D">
        <w:rPr>
          <w:rFonts w:ascii="Palatino Linotype" w:hAnsi="Palatino Linotype" w:cs="Arial"/>
        </w:rPr>
        <w:t xml:space="preserve">Sistema de Acceso a la Información Mexiquense </w:t>
      </w:r>
      <w:r w:rsidRPr="00912A8D">
        <w:rPr>
          <w:rFonts w:ascii="Palatino Linotype" w:hAnsi="Palatino Linotype" w:cs="Arial"/>
          <w:b/>
        </w:rPr>
        <w:t>(SAIMEX)</w:t>
      </w:r>
      <w:r w:rsidRPr="00912A8D">
        <w:rPr>
          <w:rFonts w:ascii="Palatino Linotype" w:hAnsi="Palatino Linotype" w:cs="Arial"/>
        </w:rPr>
        <w:t xml:space="preserve">, de ser procedente en versión pública, </w:t>
      </w:r>
      <w:r w:rsidRPr="00912A8D">
        <w:rPr>
          <w:rFonts w:ascii="Palatino Linotype" w:hAnsi="Palatino Linotype"/>
        </w:rPr>
        <w:t>donde conste</w:t>
      </w:r>
      <w:r w:rsidRPr="00912A8D">
        <w:rPr>
          <w:rFonts w:ascii="Palatino Linotype" w:hAnsi="Palatino Linotype" w:cs="Arial"/>
        </w:rPr>
        <w:t xml:space="preserve"> lo siguiente:</w:t>
      </w:r>
    </w:p>
    <w:p w14:paraId="5F12BD48" w14:textId="77777777" w:rsidR="00D40BDC" w:rsidRPr="00912A8D" w:rsidRDefault="00D40BDC" w:rsidP="00AD78B6">
      <w:pPr>
        <w:pStyle w:val="Sinespaciado"/>
        <w:spacing w:line="360" w:lineRule="auto"/>
        <w:jc w:val="both"/>
        <w:rPr>
          <w:rFonts w:ascii="Palatino Linotype" w:eastAsiaTheme="minorHAnsi" w:hAnsi="Palatino Linotype" w:cstheme="minorBidi"/>
          <w:lang w:eastAsia="es-MX"/>
        </w:rPr>
      </w:pPr>
    </w:p>
    <w:p w14:paraId="75E105C9" w14:textId="1A0B381E" w:rsidR="00D40BDC" w:rsidRPr="00912A8D" w:rsidRDefault="00F829A7" w:rsidP="00AD78B6">
      <w:pPr>
        <w:pStyle w:val="Prrafodelista"/>
        <w:numPr>
          <w:ilvl w:val="0"/>
          <w:numId w:val="19"/>
        </w:numPr>
        <w:spacing w:line="360" w:lineRule="auto"/>
        <w:ind w:left="714" w:right="142" w:hanging="357"/>
        <w:jc w:val="both"/>
        <w:rPr>
          <w:rFonts w:ascii="Palatino Linotype" w:eastAsiaTheme="minorHAnsi" w:hAnsi="Palatino Linotype"/>
          <w:lang w:eastAsia="es-MX"/>
        </w:rPr>
      </w:pPr>
      <w:r w:rsidRPr="00912A8D">
        <w:rPr>
          <w:rFonts w:ascii="Palatino Linotype" w:eastAsiaTheme="minorHAnsi" w:hAnsi="Palatino Linotype"/>
          <w:lang w:eastAsia="es-MX"/>
        </w:rPr>
        <w:t>Informe</w:t>
      </w:r>
      <w:r w:rsidR="00BB7DC3" w:rsidRPr="00912A8D">
        <w:rPr>
          <w:rFonts w:ascii="Palatino Linotype" w:eastAsiaTheme="minorHAnsi" w:hAnsi="Palatino Linotype"/>
          <w:lang w:eastAsia="es-MX"/>
        </w:rPr>
        <w:t xml:space="preserve"> </w:t>
      </w:r>
      <w:r w:rsidR="00BB7DC3" w:rsidRPr="00912A8D">
        <w:rPr>
          <w:rFonts w:ascii="Palatino Linotype" w:eastAsiaTheme="minorHAnsi" w:hAnsi="Palatino Linotype" w:cstheme="minorBidi"/>
          <w:lang w:val="es-MX" w:eastAsia="es-MX"/>
        </w:rPr>
        <w:t>enviados al ex Gobernador</w:t>
      </w:r>
      <w:r w:rsidR="00AD78B6" w:rsidRPr="00912A8D">
        <w:rPr>
          <w:rFonts w:ascii="Palatino Linotype" w:eastAsiaTheme="minorHAnsi" w:hAnsi="Palatino Linotype" w:cstheme="minorBidi"/>
          <w:lang w:val="es-MX" w:eastAsia="es-MX"/>
        </w:rPr>
        <w:t xml:space="preserve">, </w:t>
      </w:r>
      <w:r w:rsidR="00AD78B6" w:rsidRPr="00912A8D">
        <w:rPr>
          <w:rFonts w:ascii="Palatino Linotype" w:eastAsiaTheme="minorHAnsi" w:hAnsi="Palatino Linotype" w:cstheme="minorBidi"/>
          <w:szCs w:val="22"/>
          <w:lang w:eastAsia="es-MX"/>
        </w:rPr>
        <w:t>del periodo comprendido del uno de enero al veinte de septiembre de dos mil veintitrés.</w:t>
      </w:r>
    </w:p>
    <w:p w14:paraId="54A7E26F" w14:textId="03E1548A" w:rsidR="002C5FBE" w:rsidRPr="00912A8D" w:rsidRDefault="002C5FBE" w:rsidP="00AD78B6">
      <w:pPr>
        <w:pStyle w:val="Prrafodelista"/>
        <w:numPr>
          <w:ilvl w:val="0"/>
          <w:numId w:val="19"/>
        </w:numPr>
        <w:spacing w:line="360" w:lineRule="auto"/>
        <w:ind w:left="714" w:hanging="357"/>
        <w:jc w:val="both"/>
        <w:rPr>
          <w:rFonts w:ascii="Palatino Linotype" w:eastAsiaTheme="minorHAnsi" w:hAnsi="Palatino Linotype" w:cstheme="minorBidi"/>
          <w:szCs w:val="22"/>
          <w:lang w:eastAsia="es-MX"/>
        </w:rPr>
      </w:pPr>
      <w:r w:rsidRPr="00912A8D">
        <w:rPr>
          <w:rFonts w:ascii="Palatino Linotype" w:eastAsiaTheme="minorHAnsi" w:hAnsi="Palatino Linotype" w:cstheme="minorBidi"/>
          <w:szCs w:val="22"/>
          <w:lang w:eastAsia="es-MX"/>
        </w:rPr>
        <w:t>Las sanciones económicas i</w:t>
      </w:r>
      <w:r w:rsidR="000B52D5" w:rsidRPr="00912A8D">
        <w:rPr>
          <w:rFonts w:ascii="Palatino Linotype" w:eastAsiaTheme="minorHAnsi" w:hAnsi="Palatino Linotype" w:cstheme="minorBidi"/>
          <w:szCs w:val="22"/>
          <w:lang w:eastAsia="es-MX"/>
        </w:rPr>
        <w:t>nterpuestas</w:t>
      </w:r>
      <w:r w:rsidRPr="00912A8D">
        <w:rPr>
          <w:rFonts w:ascii="Palatino Linotype" w:eastAsiaTheme="minorHAnsi" w:hAnsi="Palatino Linotype" w:cstheme="minorBidi"/>
          <w:szCs w:val="22"/>
          <w:lang w:eastAsia="es-MX"/>
        </w:rPr>
        <w:t xml:space="preserve"> </w:t>
      </w:r>
      <w:r w:rsidR="00743DF0" w:rsidRPr="00912A8D">
        <w:rPr>
          <w:rFonts w:ascii="Palatino Linotype" w:eastAsiaTheme="minorHAnsi" w:hAnsi="Palatino Linotype" w:cstheme="minorBidi"/>
          <w:szCs w:val="22"/>
          <w:lang w:eastAsia="es-MX"/>
        </w:rPr>
        <w:t>durante la gestión</w:t>
      </w:r>
      <w:r w:rsidRPr="00912A8D">
        <w:rPr>
          <w:rFonts w:ascii="Palatino Linotype" w:eastAsiaTheme="minorHAnsi" w:hAnsi="Palatino Linotype" w:cstheme="minorBidi"/>
          <w:szCs w:val="22"/>
          <w:lang w:eastAsia="es-MX"/>
        </w:rPr>
        <w:t xml:space="preserve"> del ex Servidor Público referido en la solicitud de información con motivo de </w:t>
      </w:r>
      <w:r w:rsidRPr="00912A8D">
        <w:rPr>
          <w:rFonts w:ascii="Palatino Linotype" w:eastAsiaTheme="minorHAnsi" w:hAnsi="Palatino Linotype" w:cstheme="minorBidi"/>
          <w:b/>
          <w:szCs w:val="22"/>
          <w:lang w:eastAsia="es-MX"/>
        </w:rPr>
        <w:t>faltas graves</w:t>
      </w:r>
      <w:r w:rsidR="00AD78B6" w:rsidRPr="00912A8D">
        <w:rPr>
          <w:rFonts w:ascii="Palatino Linotype" w:eastAsiaTheme="minorHAnsi" w:hAnsi="Palatino Linotype" w:cstheme="minorBidi"/>
          <w:szCs w:val="22"/>
          <w:lang w:eastAsia="es-MX"/>
        </w:rPr>
        <w:t>, del 16 de septiembre del 2017</w:t>
      </w:r>
      <w:r w:rsidR="000B52D5" w:rsidRPr="00912A8D">
        <w:rPr>
          <w:rFonts w:ascii="Palatino Linotype" w:eastAsiaTheme="minorHAnsi" w:hAnsi="Palatino Linotype" w:cstheme="minorBidi"/>
          <w:szCs w:val="22"/>
          <w:lang w:eastAsia="es-MX"/>
        </w:rPr>
        <w:t xml:space="preserve"> al 15 de septiembre de 2023.</w:t>
      </w:r>
      <w:r w:rsidRPr="00912A8D">
        <w:rPr>
          <w:rFonts w:ascii="Palatino Linotype" w:eastAsiaTheme="minorHAnsi" w:hAnsi="Palatino Linotype" w:cstheme="minorBidi"/>
          <w:szCs w:val="22"/>
          <w:lang w:eastAsia="es-MX"/>
        </w:rPr>
        <w:t xml:space="preserve">  </w:t>
      </w:r>
    </w:p>
    <w:p w14:paraId="47A6A440" w14:textId="540E0ECB" w:rsidR="00F829A7" w:rsidRPr="00912A8D" w:rsidRDefault="00F829A7" w:rsidP="00AD78B6">
      <w:pPr>
        <w:pStyle w:val="Prrafodelista"/>
        <w:numPr>
          <w:ilvl w:val="0"/>
          <w:numId w:val="19"/>
        </w:numPr>
        <w:spacing w:line="360" w:lineRule="auto"/>
        <w:ind w:right="141"/>
        <w:jc w:val="both"/>
        <w:rPr>
          <w:rFonts w:ascii="Palatino Linotype" w:eastAsiaTheme="minorHAnsi" w:hAnsi="Palatino Linotype"/>
          <w:lang w:eastAsia="es-MX"/>
        </w:rPr>
      </w:pPr>
      <w:r w:rsidRPr="00912A8D">
        <w:rPr>
          <w:rFonts w:ascii="Palatino Linotype" w:eastAsiaTheme="minorHAnsi" w:hAnsi="Palatino Linotype" w:cstheme="minorBidi"/>
          <w:szCs w:val="22"/>
          <w:lang w:eastAsia="es-MX"/>
        </w:rPr>
        <w:t xml:space="preserve">Al mayor grado de desagregación posible, </w:t>
      </w:r>
      <w:r w:rsidR="002C5FBE" w:rsidRPr="00912A8D">
        <w:rPr>
          <w:rFonts w:ascii="Palatino Linotype" w:eastAsiaTheme="minorHAnsi" w:hAnsi="Palatino Linotype" w:cstheme="minorBidi"/>
          <w:szCs w:val="22"/>
          <w:lang w:eastAsia="es-MX"/>
        </w:rPr>
        <w:t>los</w:t>
      </w:r>
      <w:r w:rsidRPr="00912A8D">
        <w:rPr>
          <w:rFonts w:ascii="Palatino Linotype" w:eastAsiaTheme="minorHAnsi" w:hAnsi="Palatino Linotype" w:cstheme="minorBidi"/>
          <w:szCs w:val="22"/>
          <w:lang w:eastAsia="es-MX"/>
        </w:rPr>
        <w:t xml:space="preserve"> asuntos recibidos </w:t>
      </w:r>
      <w:r w:rsidR="002C5FBE" w:rsidRPr="00912A8D">
        <w:rPr>
          <w:rFonts w:ascii="Palatino Linotype" w:eastAsiaTheme="minorHAnsi" w:hAnsi="Palatino Linotype" w:cstheme="minorBidi"/>
          <w:szCs w:val="22"/>
          <w:lang w:eastAsia="es-MX"/>
        </w:rPr>
        <w:t>por</w:t>
      </w:r>
      <w:r w:rsidRPr="00912A8D">
        <w:rPr>
          <w:rFonts w:ascii="Palatino Linotype" w:eastAsiaTheme="minorHAnsi" w:hAnsi="Palatino Linotype" w:cstheme="minorBidi"/>
          <w:szCs w:val="22"/>
          <w:lang w:eastAsia="es-MX"/>
        </w:rPr>
        <w:t xml:space="preserve"> la Auditoría Superior de Fiscalización y de la Auditoría Superior del Estado, así como los montos </w:t>
      </w:r>
      <w:r w:rsidRPr="00912A8D">
        <w:rPr>
          <w:rFonts w:ascii="Palatino Linotype" w:eastAsiaTheme="minorHAnsi" w:hAnsi="Palatino Linotype" w:cstheme="minorBidi"/>
          <w:lang w:val="es-MX" w:eastAsia="es-MX"/>
        </w:rPr>
        <w:t>de las recuperaciones obtenidas por acciones de fiscalización</w:t>
      </w:r>
      <w:r w:rsidR="00AD78B6" w:rsidRPr="00912A8D">
        <w:rPr>
          <w:rFonts w:ascii="Palatino Linotype" w:eastAsiaTheme="minorHAnsi" w:hAnsi="Palatino Linotype" w:cstheme="minorBidi"/>
          <w:lang w:val="es-MX" w:eastAsia="es-MX"/>
        </w:rPr>
        <w:t xml:space="preserve">, </w:t>
      </w:r>
      <w:r w:rsidR="00AD78B6" w:rsidRPr="00912A8D">
        <w:rPr>
          <w:rFonts w:ascii="Palatino Linotype" w:eastAsiaTheme="minorHAnsi" w:hAnsi="Palatino Linotype" w:cstheme="minorBidi"/>
          <w:lang w:val="es-MX" w:eastAsia="es-MX"/>
        </w:rPr>
        <w:lastRenderedPageBreak/>
        <w:t>del periodo comprendido del uno de enero al veinte de septiembre de dos mil veintitrés</w:t>
      </w:r>
      <w:r w:rsidR="00BB7DC3" w:rsidRPr="00912A8D">
        <w:rPr>
          <w:rFonts w:ascii="Palatino Linotype" w:eastAsiaTheme="minorHAnsi" w:hAnsi="Palatino Linotype" w:cstheme="minorBidi"/>
          <w:lang w:val="es-MX" w:eastAsia="es-MX"/>
        </w:rPr>
        <w:t>.</w:t>
      </w:r>
      <w:r w:rsidRPr="00912A8D">
        <w:rPr>
          <w:rFonts w:ascii="Palatino Linotype" w:eastAsiaTheme="minorHAnsi" w:hAnsi="Palatino Linotype" w:cstheme="minorBidi"/>
          <w:szCs w:val="22"/>
          <w:lang w:eastAsia="es-MX"/>
        </w:rPr>
        <w:t xml:space="preserve">  </w:t>
      </w:r>
    </w:p>
    <w:p w14:paraId="3A5A663A" w14:textId="77777777" w:rsidR="00AD78B6" w:rsidRPr="00912A8D" w:rsidRDefault="00AD78B6" w:rsidP="00AD78B6">
      <w:pPr>
        <w:spacing w:line="360" w:lineRule="auto"/>
        <w:ind w:left="709" w:right="332"/>
        <w:jc w:val="both"/>
        <w:rPr>
          <w:rFonts w:ascii="Palatino Linotype" w:hAnsi="Palatino Linotype" w:cs="Arial"/>
          <w:i/>
          <w:sz w:val="22"/>
          <w:szCs w:val="22"/>
        </w:rPr>
      </w:pPr>
    </w:p>
    <w:p w14:paraId="0A67E08B" w14:textId="77777777" w:rsidR="00D40BDC" w:rsidRPr="00912A8D" w:rsidRDefault="00D40BDC" w:rsidP="00AD78B6">
      <w:pPr>
        <w:spacing w:line="276" w:lineRule="auto"/>
        <w:ind w:left="709" w:right="332"/>
        <w:jc w:val="both"/>
        <w:rPr>
          <w:rFonts w:ascii="Palatino Linotype" w:hAnsi="Palatino Linotype" w:cs="Arial"/>
          <w:i/>
          <w:sz w:val="22"/>
          <w:szCs w:val="22"/>
        </w:rPr>
      </w:pPr>
      <w:r w:rsidRPr="00912A8D">
        <w:rPr>
          <w:rFonts w:ascii="Palatino Linotype" w:hAnsi="Palatino Linotype" w:cs="Arial"/>
          <w:i/>
          <w:sz w:val="22"/>
          <w:szCs w:val="22"/>
        </w:rPr>
        <w:t xml:space="preserve">De ser procedente la entrega en versión pública, de la información referida en el </w:t>
      </w:r>
      <w:r w:rsidR="002C5FBE" w:rsidRPr="00912A8D">
        <w:rPr>
          <w:rFonts w:ascii="Palatino Linotype" w:hAnsi="Palatino Linotype" w:cs="Arial"/>
          <w:i/>
          <w:sz w:val="22"/>
          <w:szCs w:val="22"/>
        </w:rPr>
        <w:t xml:space="preserve"> presente </w:t>
      </w:r>
      <w:r w:rsidR="002C5FBE" w:rsidRPr="00912A8D">
        <w:rPr>
          <w:rFonts w:ascii="Palatino Linotype" w:hAnsi="Palatino Linotype" w:cs="Arial"/>
          <w:b/>
          <w:i/>
          <w:sz w:val="22"/>
          <w:szCs w:val="22"/>
        </w:rPr>
        <w:t>Resolutivo</w:t>
      </w:r>
      <w:r w:rsidRPr="00912A8D">
        <w:rPr>
          <w:rFonts w:ascii="Palatino Linotype" w:hAnsi="Palatino Linotype" w:cs="Arial"/>
          <w:i/>
          <w:sz w:val="22"/>
          <w:szCs w:val="22"/>
        </w:rPr>
        <w:t>,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w:t>
      </w:r>
      <w:r w:rsidR="002C5FBE" w:rsidRPr="00912A8D">
        <w:rPr>
          <w:rFonts w:ascii="Palatino Linotype" w:hAnsi="Palatino Linotype" w:cs="Arial"/>
          <w:i/>
          <w:sz w:val="22"/>
          <w:szCs w:val="22"/>
        </w:rPr>
        <w:t xml:space="preserve"> </w:t>
      </w:r>
      <w:r w:rsidRPr="00912A8D">
        <w:rPr>
          <w:rFonts w:ascii="Palatino Linotype" w:hAnsi="Palatino Linotype" w:cs="Arial"/>
          <w:i/>
          <w:sz w:val="22"/>
          <w:szCs w:val="22"/>
        </w:rPr>
        <w:t>l</w:t>
      </w:r>
      <w:r w:rsidR="002C5FBE" w:rsidRPr="00912A8D">
        <w:rPr>
          <w:rFonts w:ascii="Palatino Linotype" w:hAnsi="Palatino Linotype" w:cs="Arial"/>
          <w:i/>
          <w:sz w:val="22"/>
          <w:szCs w:val="22"/>
        </w:rPr>
        <w:t>a</w:t>
      </w:r>
      <w:r w:rsidRPr="00912A8D">
        <w:rPr>
          <w:rFonts w:ascii="Palatino Linotype" w:hAnsi="Palatino Linotype" w:cs="Arial"/>
          <w:i/>
          <w:sz w:val="22"/>
          <w:szCs w:val="22"/>
        </w:rPr>
        <w:t xml:space="preserve"> </w:t>
      </w:r>
      <w:r w:rsidRPr="00912A8D">
        <w:rPr>
          <w:rFonts w:ascii="Palatino Linotype" w:hAnsi="Palatino Linotype" w:cs="Arial"/>
          <w:b/>
          <w:i/>
          <w:sz w:val="22"/>
          <w:szCs w:val="22"/>
        </w:rPr>
        <w:t>Recurrente</w:t>
      </w:r>
      <w:r w:rsidRPr="00912A8D">
        <w:rPr>
          <w:rFonts w:ascii="Palatino Linotype" w:hAnsi="Palatino Linotype" w:cs="Arial"/>
          <w:i/>
          <w:sz w:val="22"/>
          <w:szCs w:val="22"/>
        </w:rPr>
        <w:t>.</w:t>
      </w:r>
    </w:p>
    <w:p w14:paraId="4E1DF65C" w14:textId="77777777" w:rsidR="00241151" w:rsidRPr="00912A8D" w:rsidRDefault="00241151" w:rsidP="00AD78B6">
      <w:pPr>
        <w:spacing w:line="276" w:lineRule="auto"/>
        <w:ind w:left="709" w:right="332"/>
        <w:jc w:val="both"/>
        <w:rPr>
          <w:rFonts w:ascii="Palatino Linotype" w:hAnsi="Palatino Linotype" w:cs="Arial"/>
          <w:i/>
          <w:sz w:val="22"/>
          <w:szCs w:val="22"/>
        </w:rPr>
      </w:pPr>
    </w:p>
    <w:p w14:paraId="6E80F44C" w14:textId="3721DC90" w:rsidR="00241151" w:rsidRPr="00912A8D" w:rsidRDefault="00241151" w:rsidP="00AD78B6">
      <w:pPr>
        <w:spacing w:line="276" w:lineRule="auto"/>
        <w:ind w:left="709" w:right="332"/>
        <w:jc w:val="both"/>
        <w:rPr>
          <w:rFonts w:ascii="Palatino Linotype" w:hAnsi="Palatino Linotype" w:cs="Arial"/>
          <w:i/>
          <w:sz w:val="22"/>
          <w:szCs w:val="22"/>
        </w:rPr>
      </w:pPr>
      <w:r w:rsidRPr="00912A8D">
        <w:rPr>
          <w:rFonts w:ascii="Palatino Linotype" w:hAnsi="Palatino Linotype" w:cs="Arial"/>
          <w:i/>
          <w:sz w:val="22"/>
          <w:szCs w:val="22"/>
        </w:rPr>
        <w:t xml:space="preserve">Para el que en caso de que no se cuente </w:t>
      </w:r>
      <w:r w:rsidR="0091473A" w:rsidRPr="00912A8D">
        <w:rPr>
          <w:rFonts w:ascii="Palatino Linotype" w:hAnsi="Palatino Linotype" w:cs="Arial"/>
          <w:i/>
          <w:sz w:val="22"/>
          <w:szCs w:val="22"/>
        </w:rPr>
        <w:t xml:space="preserve">con la información señalada en </w:t>
      </w:r>
      <w:r w:rsidRPr="00912A8D">
        <w:rPr>
          <w:rFonts w:ascii="Palatino Linotype" w:hAnsi="Palatino Linotype" w:cs="Arial"/>
          <w:i/>
          <w:sz w:val="22"/>
          <w:szCs w:val="22"/>
        </w:rPr>
        <w:t>l</w:t>
      </w:r>
      <w:r w:rsidR="0091473A" w:rsidRPr="00912A8D">
        <w:rPr>
          <w:rFonts w:ascii="Palatino Linotype" w:hAnsi="Palatino Linotype" w:cs="Arial"/>
          <w:i/>
          <w:sz w:val="22"/>
          <w:szCs w:val="22"/>
        </w:rPr>
        <w:t>os</w:t>
      </w:r>
      <w:r w:rsidRPr="00912A8D">
        <w:rPr>
          <w:rFonts w:ascii="Palatino Linotype" w:hAnsi="Palatino Linotype" w:cs="Arial"/>
          <w:i/>
          <w:sz w:val="22"/>
          <w:szCs w:val="22"/>
        </w:rPr>
        <w:t xml:space="preserve"> punto</w:t>
      </w:r>
      <w:r w:rsidR="0091473A" w:rsidRPr="00912A8D">
        <w:rPr>
          <w:rFonts w:ascii="Palatino Linotype" w:hAnsi="Palatino Linotype" w:cs="Arial"/>
          <w:i/>
          <w:sz w:val="22"/>
          <w:szCs w:val="22"/>
        </w:rPr>
        <w:t>s</w:t>
      </w:r>
      <w:r w:rsidRPr="00912A8D">
        <w:rPr>
          <w:rFonts w:ascii="Palatino Linotype" w:hAnsi="Palatino Linotype" w:cs="Arial"/>
          <w:i/>
          <w:sz w:val="22"/>
          <w:szCs w:val="22"/>
        </w:rPr>
        <w:t xml:space="preserve"> </w:t>
      </w:r>
      <w:r w:rsidR="0091473A" w:rsidRPr="00912A8D">
        <w:rPr>
          <w:rFonts w:ascii="Palatino Linotype" w:hAnsi="Palatino Linotype" w:cs="Arial"/>
          <w:b/>
          <w:i/>
          <w:sz w:val="22"/>
          <w:szCs w:val="22"/>
        </w:rPr>
        <w:t xml:space="preserve"> </w:t>
      </w:r>
      <w:r w:rsidR="00337911" w:rsidRPr="00912A8D">
        <w:rPr>
          <w:rFonts w:ascii="Palatino Linotype" w:hAnsi="Palatino Linotype" w:cs="Arial"/>
          <w:b/>
          <w:i/>
          <w:sz w:val="22"/>
          <w:szCs w:val="22"/>
        </w:rPr>
        <w:t>2</w:t>
      </w:r>
      <w:r w:rsidRPr="00912A8D">
        <w:rPr>
          <w:rFonts w:ascii="Palatino Linotype" w:hAnsi="Palatino Linotype" w:cs="Arial"/>
          <w:i/>
          <w:sz w:val="22"/>
          <w:szCs w:val="22"/>
        </w:rPr>
        <w:t>,  se deberá hacer del conocimiento a la parte recurrente de manera motivada, en concordancia con el párrafo segundo artículo 19 de la Ley de Transparencia y Acceso a la Información Pública del Estado de México y Municipios.</w:t>
      </w:r>
    </w:p>
    <w:p w14:paraId="3B5846B4" w14:textId="77777777" w:rsidR="00860149" w:rsidRPr="00912A8D" w:rsidRDefault="00860149" w:rsidP="00AD78B6">
      <w:pPr>
        <w:pStyle w:val="Textoindependiente"/>
        <w:spacing w:after="0" w:line="360" w:lineRule="auto"/>
        <w:jc w:val="both"/>
        <w:rPr>
          <w:rFonts w:ascii="Palatino Linotype" w:hAnsi="Palatino Linotype"/>
          <w:sz w:val="24"/>
          <w:szCs w:val="24"/>
        </w:rPr>
      </w:pPr>
    </w:p>
    <w:p w14:paraId="449D2A74" w14:textId="77777777" w:rsidR="00860149" w:rsidRPr="00912A8D" w:rsidRDefault="00860149" w:rsidP="00AD78B6">
      <w:pPr>
        <w:spacing w:line="360" w:lineRule="auto"/>
        <w:jc w:val="both"/>
        <w:rPr>
          <w:rFonts w:ascii="Palatino Linotype" w:hAnsi="Palatino Linotype" w:cstheme="minorHAnsi"/>
          <w:b/>
        </w:rPr>
      </w:pPr>
      <w:r w:rsidRPr="00912A8D">
        <w:rPr>
          <w:rFonts w:ascii="Palatino Linotype" w:hAnsi="Palatino Linotype" w:cs="Arial"/>
          <w:b/>
          <w:sz w:val="28"/>
          <w:szCs w:val="28"/>
          <w:lang w:val="es-ES_tradnl"/>
        </w:rPr>
        <w:t xml:space="preserve">TERCERO. </w:t>
      </w:r>
      <w:r w:rsidRPr="00912A8D">
        <w:rPr>
          <w:rFonts w:ascii="Palatino Linotype" w:hAnsi="Palatino Linotype" w:cs="Arial"/>
          <w:b/>
          <w:szCs w:val="32"/>
          <w:lang w:val="es-ES_tradnl"/>
        </w:rPr>
        <w:t>NOTIFÍQUESE</w:t>
      </w:r>
      <w:r w:rsidRPr="00912A8D">
        <w:rPr>
          <w:rFonts w:ascii="Palatino Linotype" w:hAnsi="Palatino Linotype" w:cs="Arial"/>
          <w:b/>
          <w:sz w:val="32"/>
          <w:szCs w:val="32"/>
          <w:lang w:val="es-ES_tradnl"/>
        </w:rPr>
        <w:t xml:space="preserve"> </w:t>
      </w:r>
      <w:r w:rsidRPr="00912A8D">
        <w:rPr>
          <w:rFonts w:ascii="Palatino Linotype" w:hAnsi="Palatino Linotype" w:cs="Arial"/>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912A8D">
        <w:rPr>
          <w:rFonts w:ascii="Palatino Linotype" w:hAnsi="Palatino Linotype" w:cstheme="minorHAnsi"/>
        </w:rPr>
        <w:t xml:space="preserve">y, </w:t>
      </w:r>
      <w:r w:rsidRPr="00912A8D">
        <w:rPr>
          <w:rFonts w:ascii="Palatino Linotype" w:hAnsi="Palatino Linotype" w:cstheme="minorHAnsi"/>
          <w:b/>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726D6B" w14:textId="77777777" w:rsidR="00860149" w:rsidRPr="00912A8D" w:rsidRDefault="00860149" w:rsidP="00AD78B6">
      <w:pPr>
        <w:spacing w:line="360" w:lineRule="auto"/>
        <w:jc w:val="both"/>
        <w:rPr>
          <w:rFonts w:ascii="Palatino Linotype" w:hAnsi="Palatino Linotype" w:cs="Arial"/>
          <w:b/>
          <w:bCs/>
          <w:szCs w:val="28"/>
        </w:rPr>
      </w:pPr>
    </w:p>
    <w:p w14:paraId="2CDC9470" w14:textId="77777777" w:rsidR="00860149" w:rsidRPr="00912A8D" w:rsidRDefault="00860149" w:rsidP="00AD78B6">
      <w:pPr>
        <w:spacing w:line="360" w:lineRule="auto"/>
        <w:jc w:val="both"/>
        <w:rPr>
          <w:rFonts w:ascii="Palatino Linotype" w:hAnsi="Palatino Linotype" w:cs="Arial"/>
          <w:bCs/>
          <w:szCs w:val="32"/>
        </w:rPr>
      </w:pPr>
      <w:r w:rsidRPr="00912A8D">
        <w:rPr>
          <w:rFonts w:ascii="Palatino Linotype" w:hAnsi="Palatino Linotype" w:cs="Arial"/>
          <w:b/>
          <w:bCs/>
          <w:sz w:val="28"/>
          <w:szCs w:val="28"/>
        </w:rPr>
        <w:t>CUARTO.</w:t>
      </w:r>
      <w:r w:rsidRPr="00912A8D">
        <w:rPr>
          <w:rFonts w:ascii="Palatino Linotype" w:hAnsi="Palatino Linotype" w:cs="Arial"/>
          <w:bCs/>
          <w:szCs w:val="28"/>
        </w:rPr>
        <w:t xml:space="preserve"> </w:t>
      </w:r>
      <w:r w:rsidRPr="00912A8D">
        <w:rPr>
          <w:rFonts w:ascii="Palatino Linotype" w:hAnsi="Palatino Linotype" w:cs="Arial"/>
          <w:bCs/>
          <w:szCs w:val="32"/>
        </w:rPr>
        <w:t xml:space="preserve">De conformidad con el artículo 198, de la Ley de Transparencia y Acceso a la Información Pública del Estado de México y Municipios, de considerarlo </w:t>
      </w:r>
      <w:r w:rsidRPr="00912A8D">
        <w:rPr>
          <w:rFonts w:ascii="Palatino Linotype" w:hAnsi="Palatino Linotype" w:cs="Arial"/>
          <w:bCs/>
          <w:szCs w:val="32"/>
        </w:rPr>
        <w:lastRenderedPageBreak/>
        <w:t xml:space="preserve">procedente, el </w:t>
      </w:r>
      <w:r w:rsidRPr="00912A8D">
        <w:rPr>
          <w:rFonts w:ascii="Palatino Linotype" w:hAnsi="Palatino Linotype" w:cs="Arial"/>
          <w:b/>
          <w:bCs/>
          <w:szCs w:val="32"/>
        </w:rPr>
        <w:t>Sujeto Obligado</w:t>
      </w:r>
      <w:r w:rsidRPr="00912A8D">
        <w:rPr>
          <w:rFonts w:ascii="Palatino Linotype" w:hAnsi="Palatino Linotype" w:cs="Arial"/>
          <w:bCs/>
          <w:szCs w:val="32"/>
        </w:rPr>
        <w:t xml:space="preserve"> de manera fundada y motivada, podrá solicitar una ampliación de plazo para el cumplimiento de la presente resolución.</w:t>
      </w:r>
    </w:p>
    <w:p w14:paraId="25375C1D" w14:textId="77777777" w:rsidR="00860149" w:rsidRPr="00912A8D" w:rsidRDefault="00860149" w:rsidP="00AD78B6">
      <w:pPr>
        <w:autoSpaceDE w:val="0"/>
        <w:autoSpaceDN w:val="0"/>
        <w:adjustRightInd w:val="0"/>
        <w:spacing w:line="360" w:lineRule="auto"/>
        <w:ind w:right="51"/>
        <w:jc w:val="both"/>
        <w:rPr>
          <w:rFonts w:ascii="Palatino Linotype" w:hAnsi="Palatino Linotype" w:cs="Arial"/>
          <w:b/>
          <w:szCs w:val="28"/>
        </w:rPr>
      </w:pPr>
    </w:p>
    <w:p w14:paraId="57D58CB1" w14:textId="5F715256" w:rsidR="00860149" w:rsidRPr="00912A8D" w:rsidRDefault="00860149" w:rsidP="00AD78B6">
      <w:pPr>
        <w:autoSpaceDE w:val="0"/>
        <w:autoSpaceDN w:val="0"/>
        <w:adjustRightInd w:val="0"/>
        <w:spacing w:line="360" w:lineRule="auto"/>
        <w:ind w:right="51"/>
        <w:jc w:val="both"/>
        <w:rPr>
          <w:rFonts w:ascii="Palatino Linotype" w:hAnsi="Palatino Linotype" w:cs="Arial"/>
        </w:rPr>
      </w:pPr>
      <w:r w:rsidRPr="00912A8D">
        <w:rPr>
          <w:rFonts w:ascii="Palatino Linotype" w:hAnsi="Palatino Linotype" w:cs="Arial"/>
          <w:b/>
          <w:sz w:val="28"/>
          <w:szCs w:val="28"/>
        </w:rPr>
        <w:t>QUINTO.</w:t>
      </w:r>
      <w:r w:rsidRPr="00912A8D">
        <w:rPr>
          <w:rFonts w:ascii="Palatino Linotype" w:hAnsi="Palatino Linotype" w:cs="Arial"/>
          <w:b/>
        </w:rPr>
        <w:t xml:space="preserve"> NOTIFÍQUESE</w:t>
      </w:r>
      <w:r w:rsidRPr="00912A8D">
        <w:rPr>
          <w:rFonts w:ascii="Palatino Linotype" w:hAnsi="Palatino Linotype" w:cs="Arial"/>
        </w:rPr>
        <w:t xml:space="preserve"> a la parte </w:t>
      </w:r>
      <w:r w:rsidRPr="00912A8D">
        <w:rPr>
          <w:rFonts w:ascii="Palatino Linotype" w:hAnsi="Palatino Linotype" w:cs="Arial"/>
          <w:b/>
        </w:rPr>
        <w:t>Recurrente</w:t>
      </w:r>
      <w:r w:rsidRPr="00912A8D">
        <w:rPr>
          <w:rFonts w:ascii="Palatino Linotype" w:hAnsi="Palatino Linotype" w:cs="Arial"/>
        </w:rPr>
        <w:t xml:space="preserve"> la presente resolución a través del Sistema de Acceso a la Información Mexiquense </w:t>
      </w:r>
      <w:r w:rsidRPr="00912A8D">
        <w:rPr>
          <w:rFonts w:ascii="Palatino Linotype" w:hAnsi="Palatino Linotype" w:cs="Arial"/>
          <w:b/>
        </w:rPr>
        <w:t>(SAIMEX),</w:t>
      </w:r>
      <w:r w:rsidRPr="00912A8D">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r w:rsidR="007310D8" w:rsidRPr="00912A8D">
        <w:rPr>
          <w:rFonts w:ascii="Palatino Linotype" w:hAnsi="Palatino Linotype" w:cs="Arial"/>
        </w:rPr>
        <w:t>.</w:t>
      </w:r>
    </w:p>
    <w:p w14:paraId="36833912" w14:textId="77777777" w:rsidR="00860149" w:rsidRPr="00912A8D" w:rsidRDefault="00860149" w:rsidP="00AD78B6">
      <w:pPr>
        <w:spacing w:line="360" w:lineRule="auto"/>
        <w:jc w:val="both"/>
        <w:rPr>
          <w:rFonts w:ascii="Palatino Linotype" w:eastAsiaTheme="minorHAnsi" w:hAnsi="Palatino Linotype" w:cs="Arial"/>
          <w:lang w:val="es-MX" w:eastAsia="en-US"/>
        </w:rPr>
      </w:pPr>
    </w:p>
    <w:p w14:paraId="6331280D" w14:textId="7730D2C8" w:rsidR="00860149" w:rsidRPr="00912A8D" w:rsidRDefault="00860149" w:rsidP="00AD78B6">
      <w:pPr>
        <w:spacing w:line="360" w:lineRule="auto"/>
        <w:jc w:val="both"/>
        <w:rPr>
          <w:rFonts w:ascii="Palatino Linotype" w:eastAsiaTheme="minorHAnsi" w:hAnsi="Palatino Linotype" w:cs="Arial"/>
          <w:lang w:val="es-MX" w:eastAsia="en-US"/>
        </w:rPr>
      </w:pPr>
      <w:r w:rsidRPr="00912A8D">
        <w:rPr>
          <w:rFonts w:ascii="Palatino Linotype" w:eastAsiaTheme="minorHAnsi" w:hAnsi="Palatino Linotype" w:cs="Arial"/>
          <w:lang w:val="es-MX" w:eastAsia="en-US"/>
        </w:rPr>
        <w:t>ASÍ LO RESUELVE, POR UNANIMIDAD DE VOTOS, EL PLENO DEL</w:t>
      </w:r>
      <w:r w:rsidRPr="00912A8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12A8D">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BB7DC3" w:rsidRPr="00912A8D">
        <w:rPr>
          <w:rFonts w:ascii="Palatino Linotype" w:eastAsiaTheme="minorHAnsi" w:hAnsi="Palatino Linotype" w:cs="Arial"/>
          <w:lang w:val="es-MX" w:eastAsia="en-US"/>
        </w:rPr>
        <w:t>SEX</w:t>
      </w:r>
      <w:r w:rsidRPr="00912A8D">
        <w:rPr>
          <w:rFonts w:ascii="Palatino Linotype" w:eastAsiaTheme="minorHAnsi" w:hAnsi="Palatino Linotype" w:cs="Arial"/>
          <w:lang w:val="es-MX" w:eastAsia="en-US"/>
        </w:rPr>
        <w:t xml:space="preserve">TA SESIÓN ORDINARIA CELEBRADA EL </w:t>
      </w:r>
      <w:r w:rsidR="00BB7DC3" w:rsidRPr="00912A8D">
        <w:rPr>
          <w:rFonts w:ascii="Palatino Linotype" w:hAnsi="Palatino Linotype" w:cs="Arial"/>
          <w:color w:val="000000"/>
          <w:lang w:val="es-MX" w:eastAsia="es-MX"/>
        </w:rPr>
        <w:t>VEINTIUNO</w:t>
      </w:r>
      <w:r w:rsidRPr="00912A8D">
        <w:rPr>
          <w:rFonts w:ascii="Palatino Linotype" w:hAnsi="Palatino Linotype" w:cs="Arial"/>
          <w:color w:val="000000"/>
          <w:lang w:val="es-MX" w:eastAsia="es-MX"/>
        </w:rPr>
        <w:t xml:space="preserve"> DE FEBRERO DOS MIL VEINTICUATRO</w:t>
      </w:r>
      <w:r w:rsidRPr="00912A8D">
        <w:rPr>
          <w:rFonts w:ascii="Palatino Linotype" w:eastAsiaTheme="minorHAnsi" w:hAnsi="Palatino Linotype" w:cs="Arial"/>
          <w:lang w:val="es-MX" w:eastAsia="en-US"/>
        </w:rPr>
        <w:t>, ANTE EL SECRETARIO TÉCNICO</w:t>
      </w:r>
      <w:r w:rsidR="009F3F5D" w:rsidRPr="00912A8D">
        <w:rPr>
          <w:rFonts w:ascii="Palatino Linotype" w:eastAsiaTheme="minorHAnsi" w:hAnsi="Palatino Linotype" w:cs="Arial"/>
          <w:lang w:val="es-MX" w:eastAsia="en-US"/>
        </w:rPr>
        <w:t xml:space="preserve"> DEL PLENO</w:t>
      </w:r>
      <w:r w:rsidRPr="00912A8D">
        <w:rPr>
          <w:rFonts w:ascii="Palatino Linotype" w:eastAsiaTheme="minorHAnsi" w:hAnsi="Palatino Linotype" w:cs="Arial"/>
          <w:lang w:val="es-MX" w:eastAsia="en-US"/>
        </w:rPr>
        <w:t>, ALEXIS TAPIA RAMÍREZ.----------------------------------------------------------------------------------------------------------------------</w:t>
      </w:r>
      <w:r w:rsidR="007310D8" w:rsidRPr="00912A8D">
        <w:rPr>
          <w:rFonts w:ascii="Palatino Linotype" w:eastAsiaTheme="minorHAnsi" w:hAnsi="Palatino Linotype" w:cs="Arial"/>
          <w:lang w:val="es-MX" w:eastAsia="en-US"/>
        </w:rPr>
        <w:t xml:space="preserve"> -----------------------------------------------------------------------------------------------------------------------------------------------------------------------------------------------------------------------------------------------------------------------------------------------------------------------------------------------------------------------------------------------------------------------------------------------------------------------------------------------------------------------------------------</w:t>
      </w:r>
      <w:r w:rsidR="009F3F5D" w:rsidRPr="00912A8D">
        <w:rPr>
          <w:rFonts w:ascii="Palatino Linotype" w:eastAsiaTheme="minorHAnsi" w:hAnsi="Palatino Linotype" w:cs="Arial"/>
          <w:lang w:val="es-MX" w:eastAsia="en-US"/>
        </w:rPr>
        <w:t>-----------------------------</w:t>
      </w:r>
      <w:r w:rsidRPr="00912A8D">
        <w:rPr>
          <w:rFonts w:ascii="Palatino Linotype" w:eastAsiaTheme="minorHAnsi" w:hAnsi="Palatino Linotype" w:cs="Arial"/>
          <w:lang w:val="es-MX" w:eastAsia="en-US"/>
        </w:rPr>
        <w:t xml:space="preserve"> </w:t>
      </w:r>
    </w:p>
    <w:p w14:paraId="6FDA639F" w14:textId="1E6A09FC" w:rsidR="00860149" w:rsidRPr="009E5F3F" w:rsidRDefault="00860149" w:rsidP="00AD78B6">
      <w:pPr>
        <w:spacing w:line="360" w:lineRule="auto"/>
        <w:jc w:val="both"/>
        <w:rPr>
          <w:rFonts w:ascii="Palatino Linotype" w:eastAsiaTheme="minorHAnsi" w:hAnsi="Palatino Linotype" w:cs="Arial"/>
          <w:sz w:val="14"/>
          <w:lang w:val="es-MX" w:eastAsia="en-US"/>
        </w:rPr>
      </w:pPr>
      <w:r w:rsidRPr="00912A8D">
        <w:rPr>
          <w:rFonts w:ascii="Palatino Linotype" w:eastAsiaTheme="minorHAnsi" w:hAnsi="Palatino Linotype" w:cs="Arial"/>
          <w:sz w:val="20"/>
          <w:lang w:val="es-MX" w:eastAsia="en-US"/>
        </w:rPr>
        <w:t>JMV/CCR/</w:t>
      </w:r>
      <w:r w:rsidR="007310D8" w:rsidRPr="00912A8D">
        <w:rPr>
          <w:rFonts w:ascii="Palatino Linotype" w:eastAsiaTheme="minorHAnsi" w:hAnsi="Palatino Linotype" w:cs="Arial"/>
          <w:sz w:val="20"/>
          <w:lang w:val="es-MX" w:eastAsia="en-US"/>
        </w:rPr>
        <w:t>BPAC</w:t>
      </w:r>
      <w:bookmarkStart w:id="0" w:name="_GoBack"/>
      <w:bookmarkEnd w:id="0"/>
    </w:p>
    <w:p w14:paraId="282CAFFE" w14:textId="77777777" w:rsidR="00860149" w:rsidRDefault="00860149" w:rsidP="00AD78B6">
      <w:pPr>
        <w:spacing w:line="360" w:lineRule="auto"/>
      </w:pPr>
    </w:p>
    <w:p w14:paraId="55686609" w14:textId="77777777" w:rsidR="00860149" w:rsidRDefault="00860149" w:rsidP="00AD78B6">
      <w:pPr>
        <w:spacing w:line="360" w:lineRule="auto"/>
      </w:pPr>
    </w:p>
    <w:p w14:paraId="211F3B0B" w14:textId="77777777" w:rsidR="00860149" w:rsidRDefault="00860149" w:rsidP="00AD78B6">
      <w:pPr>
        <w:spacing w:line="360" w:lineRule="auto"/>
      </w:pPr>
    </w:p>
    <w:p w14:paraId="4628CB52" w14:textId="77777777" w:rsidR="00860149" w:rsidRDefault="00860149" w:rsidP="00AD78B6">
      <w:pPr>
        <w:spacing w:line="360" w:lineRule="auto"/>
      </w:pPr>
    </w:p>
    <w:p w14:paraId="260CD6B7" w14:textId="77777777" w:rsidR="00860149" w:rsidRDefault="00860149" w:rsidP="00AD78B6">
      <w:pPr>
        <w:spacing w:line="360" w:lineRule="auto"/>
      </w:pPr>
    </w:p>
    <w:p w14:paraId="559600B9" w14:textId="77777777" w:rsidR="00860149" w:rsidRDefault="00860149" w:rsidP="00AD78B6">
      <w:pPr>
        <w:spacing w:line="360" w:lineRule="auto"/>
      </w:pPr>
    </w:p>
    <w:p w14:paraId="76A695AA" w14:textId="77777777" w:rsidR="00860149" w:rsidRDefault="00860149" w:rsidP="00AD78B6">
      <w:pPr>
        <w:spacing w:line="360" w:lineRule="auto"/>
      </w:pPr>
    </w:p>
    <w:p w14:paraId="6FC8A081" w14:textId="77777777" w:rsidR="00860149" w:rsidRDefault="00860149" w:rsidP="00AD78B6">
      <w:pPr>
        <w:spacing w:line="360" w:lineRule="auto"/>
      </w:pPr>
    </w:p>
    <w:p w14:paraId="7EC2578A" w14:textId="77777777" w:rsidR="00860149" w:rsidRDefault="00860149" w:rsidP="00AD78B6">
      <w:pPr>
        <w:spacing w:line="360" w:lineRule="auto"/>
      </w:pPr>
    </w:p>
    <w:p w14:paraId="00A551E2" w14:textId="77777777" w:rsidR="00860149" w:rsidRDefault="00860149" w:rsidP="00AD78B6">
      <w:pPr>
        <w:spacing w:line="360" w:lineRule="auto"/>
      </w:pPr>
    </w:p>
    <w:p w14:paraId="6142EB3E" w14:textId="77777777" w:rsidR="00860149" w:rsidRDefault="00860149" w:rsidP="00AD78B6">
      <w:pPr>
        <w:spacing w:line="360" w:lineRule="auto"/>
      </w:pPr>
    </w:p>
    <w:p w14:paraId="5F47A6CE" w14:textId="77777777" w:rsidR="00860149" w:rsidRDefault="00860149" w:rsidP="00AD78B6">
      <w:pPr>
        <w:spacing w:line="360" w:lineRule="auto"/>
      </w:pPr>
    </w:p>
    <w:p w14:paraId="5AD706C0" w14:textId="77777777" w:rsidR="00860149" w:rsidRDefault="00860149" w:rsidP="00AD78B6">
      <w:pPr>
        <w:spacing w:line="360" w:lineRule="auto"/>
      </w:pPr>
    </w:p>
    <w:p w14:paraId="062ACC65" w14:textId="77777777" w:rsidR="00860149" w:rsidRDefault="00860149" w:rsidP="00AD78B6">
      <w:pPr>
        <w:spacing w:line="360" w:lineRule="auto"/>
      </w:pPr>
    </w:p>
    <w:p w14:paraId="32EFED99" w14:textId="77777777" w:rsidR="00860149" w:rsidRDefault="00860149" w:rsidP="00AD78B6">
      <w:pPr>
        <w:spacing w:line="360" w:lineRule="auto"/>
      </w:pPr>
    </w:p>
    <w:p w14:paraId="397AD52F" w14:textId="77777777" w:rsidR="00860149" w:rsidRDefault="00860149" w:rsidP="00AD78B6">
      <w:pPr>
        <w:spacing w:line="360" w:lineRule="auto"/>
      </w:pPr>
    </w:p>
    <w:p w14:paraId="3851344E" w14:textId="77777777" w:rsidR="00860149" w:rsidRDefault="00860149" w:rsidP="00AD78B6">
      <w:pPr>
        <w:spacing w:line="360" w:lineRule="auto"/>
      </w:pPr>
    </w:p>
    <w:p w14:paraId="1E507213" w14:textId="77777777" w:rsidR="00860149" w:rsidRDefault="00860149" w:rsidP="00AD78B6">
      <w:pPr>
        <w:spacing w:line="360" w:lineRule="auto"/>
      </w:pPr>
    </w:p>
    <w:p w14:paraId="0F34FF4C" w14:textId="77777777" w:rsidR="00860149" w:rsidRDefault="00860149" w:rsidP="00AD78B6">
      <w:pPr>
        <w:spacing w:line="360" w:lineRule="auto"/>
      </w:pPr>
    </w:p>
    <w:p w14:paraId="7F32C984" w14:textId="77777777" w:rsidR="00860149" w:rsidRDefault="00860149" w:rsidP="00AD78B6">
      <w:pPr>
        <w:spacing w:line="360" w:lineRule="auto"/>
      </w:pPr>
    </w:p>
    <w:p w14:paraId="5A69D506" w14:textId="77777777" w:rsidR="00860149" w:rsidRDefault="00860149" w:rsidP="00AD78B6">
      <w:pPr>
        <w:spacing w:line="360" w:lineRule="auto"/>
      </w:pPr>
    </w:p>
    <w:p w14:paraId="291E1BA0" w14:textId="77777777" w:rsidR="00860149" w:rsidRDefault="00860149" w:rsidP="00AD78B6">
      <w:pPr>
        <w:spacing w:line="360" w:lineRule="auto"/>
      </w:pPr>
    </w:p>
    <w:p w14:paraId="031697CE" w14:textId="77777777" w:rsidR="00860149" w:rsidRDefault="00860149" w:rsidP="00AD78B6">
      <w:pPr>
        <w:spacing w:line="360" w:lineRule="auto"/>
      </w:pPr>
    </w:p>
    <w:p w14:paraId="14CA62AD" w14:textId="77777777" w:rsidR="00860149" w:rsidRDefault="00860149" w:rsidP="00AD78B6">
      <w:pPr>
        <w:spacing w:line="360" w:lineRule="auto"/>
      </w:pPr>
    </w:p>
    <w:p w14:paraId="33383A1A" w14:textId="77777777" w:rsidR="00860149" w:rsidRDefault="00860149" w:rsidP="00AD78B6">
      <w:pPr>
        <w:spacing w:line="360" w:lineRule="auto"/>
      </w:pPr>
    </w:p>
    <w:p w14:paraId="0F19CB38" w14:textId="77777777" w:rsidR="00860149" w:rsidRDefault="00860149" w:rsidP="00AD78B6">
      <w:pPr>
        <w:spacing w:line="360" w:lineRule="auto"/>
      </w:pPr>
    </w:p>
    <w:p w14:paraId="6B95D9AA" w14:textId="77777777" w:rsidR="00860149" w:rsidRDefault="00860149" w:rsidP="00AD78B6">
      <w:pPr>
        <w:spacing w:line="360" w:lineRule="auto"/>
      </w:pPr>
    </w:p>
    <w:p w14:paraId="6ECC430B" w14:textId="77777777" w:rsidR="00860149" w:rsidRDefault="00860149" w:rsidP="00AD78B6">
      <w:pPr>
        <w:spacing w:line="360" w:lineRule="auto"/>
      </w:pPr>
    </w:p>
    <w:p w14:paraId="2D34F99A" w14:textId="77777777" w:rsidR="00860149" w:rsidRDefault="00860149" w:rsidP="00AD78B6">
      <w:pPr>
        <w:spacing w:line="360" w:lineRule="auto"/>
      </w:pPr>
    </w:p>
    <w:p w14:paraId="6458657B" w14:textId="77777777" w:rsidR="00860149" w:rsidRDefault="00860149" w:rsidP="00AD78B6">
      <w:pPr>
        <w:spacing w:line="360" w:lineRule="auto"/>
      </w:pPr>
    </w:p>
    <w:p w14:paraId="2E3A0609" w14:textId="77777777" w:rsidR="00860149" w:rsidRDefault="00860149" w:rsidP="00AD78B6">
      <w:pPr>
        <w:spacing w:line="360" w:lineRule="auto"/>
      </w:pPr>
    </w:p>
    <w:sectPr w:rsidR="00860149" w:rsidSect="00860149">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49D88" w14:textId="77777777" w:rsidR="00743DF0" w:rsidRDefault="00743DF0" w:rsidP="00860149">
      <w:r>
        <w:separator/>
      </w:r>
    </w:p>
  </w:endnote>
  <w:endnote w:type="continuationSeparator" w:id="0">
    <w:p w14:paraId="2BD673EB" w14:textId="77777777" w:rsidR="00743DF0" w:rsidRDefault="00743DF0" w:rsidP="0086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20C5" w14:textId="77777777" w:rsidR="00743DF0" w:rsidRPr="000D3AD4" w:rsidRDefault="00743DF0" w:rsidP="00860149">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2A8D">
      <w:rPr>
        <w:rFonts w:ascii="Palatino Linotype" w:hAnsi="Palatino Linotype" w:cs="Arial"/>
        <w:bCs/>
        <w:noProof/>
        <w:sz w:val="20"/>
        <w:szCs w:val="20"/>
      </w:rPr>
      <w:t>54</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2A8D">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6D9F" w14:textId="77777777" w:rsidR="00743DF0" w:rsidRPr="000D3AD4" w:rsidRDefault="00743DF0" w:rsidP="00860149">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2A8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2A8D">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543D" w14:textId="77777777" w:rsidR="00743DF0" w:rsidRDefault="00743DF0" w:rsidP="00860149">
      <w:r>
        <w:separator/>
      </w:r>
    </w:p>
  </w:footnote>
  <w:footnote w:type="continuationSeparator" w:id="0">
    <w:p w14:paraId="6512F626" w14:textId="77777777" w:rsidR="00743DF0" w:rsidRDefault="00743DF0" w:rsidP="00860149">
      <w:r>
        <w:continuationSeparator/>
      </w:r>
    </w:p>
  </w:footnote>
  <w:footnote w:id="1">
    <w:p w14:paraId="527E9C17" w14:textId="77777777" w:rsidR="00743DF0" w:rsidRPr="008A64CB" w:rsidRDefault="00743DF0" w:rsidP="00860149">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5E370F59" w14:textId="77777777" w:rsidR="00743DF0" w:rsidRDefault="00743DF0" w:rsidP="00860149">
      <w:pPr>
        <w:autoSpaceDE w:val="0"/>
        <w:autoSpaceDN w:val="0"/>
        <w:adjustRightInd w:val="0"/>
        <w:ind w:right="49"/>
        <w:jc w:val="both"/>
        <w:rPr>
          <w:rFonts w:ascii="Palatino Linotype" w:hAnsi="Palatino Linotype"/>
          <w:i/>
          <w:sz w:val="18"/>
          <w:szCs w:val="22"/>
        </w:rPr>
      </w:pPr>
    </w:p>
    <w:p w14:paraId="01549FE1" w14:textId="77777777" w:rsidR="00743DF0" w:rsidRPr="008A64CB" w:rsidRDefault="00743DF0" w:rsidP="00860149">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6862659" w14:textId="77777777" w:rsidR="00743DF0" w:rsidRPr="008A64CB" w:rsidRDefault="00743DF0" w:rsidP="00860149">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AACE" w14:textId="77777777" w:rsidR="00743DF0" w:rsidRDefault="00912A8D">
    <w:pPr>
      <w:pStyle w:val="Encabezado"/>
    </w:pPr>
    <w:r>
      <w:rPr>
        <w:noProof/>
        <w:lang w:val="es-MX" w:eastAsia="es-MX"/>
      </w:rPr>
      <w:pict w14:anchorId="4214C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DF0" w:rsidRPr="008F2CCC" w14:paraId="3A5DC1FA" w14:textId="77777777" w:rsidTr="00860149">
      <w:tc>
        <w:tcPr>
          <w:tcW w:w="2551" w:type="dxa"/>
          <w:shd w:val="clear" w:color="auto" w:fill="auto"/>
          <w:vAlign w:val="center"/>
        </w:tcPr>
        <w:p w14:paraId="72BA1390"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78D7F69" w14:textId="77777777" w:rsidR="00743DF0" w:rsidRPr="0029071C" w:rsidRDefault="00743DF0" w:rsidP="00022DD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06670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743DF0" w:rsidRPr="008F2CCC" w14:paraId="060050DC" w14:textId="77777777" w:rsidTr="00860149">
      <w:trPr>
        <w:trHeight w:val="228"/>
      </w:trPr>
      <w:tc>
        <w:tcPr>
          <w:tcW w:w="2551" w:type="dxa"/>
          <w:shd w:val="clear" w:color="auto" w:fill="auto"/>
          <w:vAlign w:val="center"/>
        </w:tcPr>
        <w:p w14:paraId="39E75DB3"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C02799C" w14:textId="77777777" w:rsidR="00743DF0" w:rsidRPr="0029071C" w:rsidRDefault="00743DF0" w:rsidP="00860149">
          <w:pPr>
            <w:spacing w:line="276" w:lineRule="auto"/>
            <w:jc w:val="right"/>
            <w:rPr>
              <w:rFonts w:ascii="Palatino Linotype" w:hAnsi="Palatino Linotype"/>
              <w:sz w:val="22"/>
              <w:szCs w:val="22"/>
            </w:rPr>
          </w:pPr>
          <w:r w:rsidRPr="00C85B63">
            <w:rPr>
              <w:rFonts w:ascii="Palatino Linotype" w:hAnsi="Palatino Linotype"/>
              <w:sz w:val="22"/>
              <w:szCs w:val="22"/>
            </w:rPr>
            <w:t xml:space="preserve">Secretaría de </w:t>
          </w:r>
          <w:r>
            <w:rPr>
              <w:rFonts w:ascii="Palatino Linotype" w:hAnsi="Palatino Linotype"/>
              <w:sz w:val="22"/>
              <w:szCs w:val="22"/>
            </w:rPr>
            <w:t>la Contraloría</w:t>
          </w:r>
        </w:p>
      </w:tc>
    </w:tr>
    <w:tr w:rsidR="00743DF0" w:rsidRPr="008F2CCC" w14:paraId="21ECEB64" w14:textId="77777777" w:rsidTr="00860149">
      <w:tc>
        <w:tcPr>
          <w:tcW w:w="2551" w:type="dxa"/>
          <w:shd w:val="clear" w:color="auto" w:fill="auto"/>
          <w:vAlign w:val="center"/>
        </w:tcPr>
        <w:p w14:paraId="552AACB6"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30A313" w14:textId="77777777" w:rsidR="00743DF0" w:rsidRPr="0029071C" w:rsidRDefault="00743DF0" w:rsidP="00860149">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90F2CDA" w14:textId="77777777" w:rsidR="00743DF0" w:rsidRPr="001779E0" w:rsidRDefault="00912A8D" w:rsidP="00860149">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36E4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94.65pt;margin-top:-127.9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DF0" w:rsidRPr="008F2CCC" w14:paraId="73B8E298" w14:textId="77777777" w:rsidTr="00860149">
      <w:tc>
        <w:tcPr>
          <w:tcW w:w="2551" w:type="dxa"/>
          <w:shd w:val="clear" w:color="auto" w:fill="auto"/>
          <w:vAlign w:val="center"/>
        </w:tcPr>
        <w:p w14:paraId="174B61AA"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1EE72DA" w14:textId="77777777" w:rsidR="00743DF0" w:rsidRPr="0029071C" w:rsidRDefault="00743DF0" w:rsidP="00022DD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06670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743DF0" w:rsidRPr="008F2CCC" w14:paraId="6077ED1D" w14:textId="77777777" w:rsidTr="00860149">
      <w:tc>
        <w:tcPr>
          <w:tcW w:w="2551" w:type="dxa"/>
          <w:shd w:val="clear" w:color="auto" w:fill="auto"/>
          <w:vAlign w:val="center"/>
        </w:tcPr>
        <w:p w14:paraId="16D9D36A"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D903617" w14:textId="5427A421" w:rsidR="00743DF0" w:rsidRPr="006D30E6" w:rsidRDefault="00D61021" w:rsidP="00860149">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743DF0" w:rsidRPr="008F2CCC" w14:paraId="4752167C" w14:textId="77777777" w:rsidTr="00860149">
      <w:trPr>
        <w:trHeight w:val="228"/>
      </w:trPr>
      <w:tc>
        <w:tcPr>
          <w:tcW w:w="2551" w:type="dxa"/>
          <w:shd w:val="clear" w:color="auto" w:fill="auto"/>
          <w:vAlign w:val="center"/>
        </w:tcPr>
        <w:p w14:paraId="73D06CCA"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EA79DF" w14:textId="77777777" w:rsidR="00743DF0" w:rsidRPr="0029071C" w:rsidRDefault="00743DF0" w:rsidP="00022DDA">
          <w:pPr>
            <w:spacing w:line="276" w:lineRule="auto"/>
            <w:jc w:val="right"/>
            <w:rPr>
              <w:rFonts w:ascii="Palatino Linotype" w:hAnsi="Palatino Linotype"/>
              <w:sz w:val="22"/>
              <w:szCs w:val="22"/>
            </w:rPr>
          </w:pPr>
          <w:r w:rsidRPr="00C85B63">
            <w:rPr>
              <w:rFonts w:ascii="Palatino Linotype" w:hAnsi="Palatino Linotype"/>
              <w:sz w:val="22"/>
              <w:szCs w:val="22"/>
            </w:rPr>
            <w:t>Secretaría de</w:t>
          </w:r>
          <w:r>
            <w:rPr>
              <w:rFonts w:ascii="Palatino Linotype" w:hAnsi="Palatino Linotype"/>
              <w:sz w:val="22"/>
              <w:szCs w:val="22"/>
            </w:rPr>
            <w:t xml:space="preserve"> la Contraloría</w:t>
          </w:r>
        </w:p>
      </w:tc>
    </w:tr>
    <w:tr w:rsidR="00743DF0" w:rsidRPr="008F2CCC" w14:paraId="49F4CD27" w14:textId="77777777" w:rsidTr="00860149">
      <w:tc>
        <w:tcPr>
          <w:tcW w:w="2551" w:type="dxa"/>
          <w:shd w:val="clear" w:color="auto" w:fill="auto"/>
          <w:vAlign w:val="center"/>
        </w:tcPr>
        <w:p w14:paraId="33356EE9" w14:textId="77777777" w:rsidR="00743DF0" w:rsidRPr="008F5DAE" w:rsidRDefault="00743DF0" w:rsidP="00860149">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3ECAEA6" w14:textId="77777777" w:rsidR="00743DF0" w:rsidRPr="0029071C" w:rsidRDefault="00743DF0" w:rsidP="00860149">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43DF0" w:rsidRPr="008F2CCC" w14:paraId="49DB85A1" w14:textId="77777777" w:rsidTr="00860149">
      <w:tc>
        <w:tcPr>
          <w:tcW w:w="2551" w:type="dxa"/>
          <w:shd w:val="clear" w:color="auto" w:fill="auto"/>
          <w:vAlign w:val="center"/>
        </w:tcPr>
        <w:p w14:paraId="4F6F2982" w14:textId="77777777" w:rsidR="00743DF0" w:rsidRPr="008F5DAE" w:rsidRDefault="00743DF0" w:rsidP="00860149">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6983FFB" w14:textId="77777777" w:rsidR="00743DF0" w:rsidRPr="00BA27FC" w:rsidRDefault="00743DF0" w:rsidP="00860149">
          <w:pPr>
            <w:spacing w:line="276" w:lineRule="auto"/>
            <w:rPr>
              <w:rFonts w:ascii="Palatino Linotype" w:hAnsi="Palatino Linotype"/>
              <w:sz w:val="14"/>
              <w:szCs w:val="22"/>
              <w:lang w:val="es-ES_tradnl"/>
            </w:rPr>
          </w:pPr>
        </w:p>
      </w:tc>
    </w:tr>
  </w:tbl>
  <w:p w14:paraId="05A25EAA" w14:textId="77777777" w:rsidR="00743DF0" w:rsidRPr="009F1AB6" w:rsidRDefault="00912A8D">
    <w:pPr>
      <w:pStyle w:val="Encabezado"/>
      <w:rPr>
        <w:sz w:val="10"/>
      </w:rPr>
    </w:pPr>
    <w:r>
      <w:rPr>
        <w:noProof/>
        <w:sz w:val="10"/>
        <w:lang w:val="es-MX" w:eastAsia="es-MX"/>
      </w:rPr>
      <w:pict w14:anchorId="294B8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42.8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F534E2"/>
    <w:multiLevelType w:val="hybridMultilevel"/>
    <w:tmpl w:val="B5061C58"/>
    <w:lvl w:ilvl="0" w:tplc="CDEC78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CA56DE1"/>
    <w:multiLevelType w:val="hybridMultilevel"/>
    <w:tmpl w:val="5B38E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9F68AF"/>
    <w:multiLevelType w:val="hybridMultilevel"/>
    <w:tmpl w:val="D388B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48B50CA"/>
    <w:multiLevelType w:val="hybridMultilevel"/>
    <w:tmpl w:val="4FF28232"/>
    <w:lvl w:ilvl="0" w:tplc="67489054">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4F0119"/>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D547A4"/>
    <w:multiLevelType w:val="hybridMultilevel"/>
    <w:tmpl w:val="D388B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783828"/>
    <w:multiLevelType w:val="hybridMultilevel"/>
    <w:tmpl w:val="D0528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7D90E15"/>
    <w:multiLevelType w:val="hybridMultilevel"/>
    <w:tmpl w:val="7BBA2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3"/>
  </w:num>
  <w:num w:numId="4">
    <w:abstractNumId w:val="5"/>
  </w:num>
  <w:num w:numId="5">
    <w:abstractNumId w:val="4"/>
  </w:num>
  <w:num w:numId="6">
    <w:abstractNumId w:val="0"/>
  </w:num>
  <w:num w:numId="7">
    <w:abstractNumId w:val="11"/>
  </w:num>
  <w:num w:numId="8">
    <w:abstractNumId w:val="1"/>
  </w:num>
  <w:num w:numId="9">
    <w:abstractNumId w:val="6"/>
  </w:num>
  <w:num w:numId="10">
    <w:abstractNumId w:val="14"/>
  </w:num>
  <w:num w:numId="11">
    <w:abstractNumId w:val="12"/>
  </w:num>
  <w:num w:numId="12">
    <w:abstractNumId w:val="15"/>
  </w:num>
  <w:num w:numId="13">
    <w:abstractNumId w:val="2"/>
  </w:num>
  <w:num w:numId="14">
    <w:abstractNumId w:val="17"/>
  </w:num>
  <w:num w:numId="15">
    <w:abstractNumId w:val="13"/>
  </w:num>
  <w:num w:numId="16">
    <w:abstractNumId w:val="9"/>
  </w:num>
  <w:num w:numId="17">
    <w:abstractNumId w:val="16"/>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49"/>
    <w:rsid w:val="00022DDA"/>
    <w:rsid w:val="000712B0"/>
    <w:rsid w:val="000B52D5"/>
    <w:rsid w:val="0014617B"/>
    <w:rsid w:val="00162003"/>
    <w:rsid w:val="001633A9"/>
    <w:rsid w:val="00241151"/>
    <w:rsid w:val="002548A3"/>
    <w:rsid w:val="00273CA9"/>
    <w:rsid w:val="00291E91"/>
    <w:rsid w:val="002C5FBE"/>
    <w:rsid w:val="002F1708"/>
    <w:rsid w:val="00337911"/>
    <w:rsid w:val="00337D57"/>
    <w:rsid w:val="00346DBE"/>
    <w:rsid w:val="00376D12"/>
    <w:rsid w:val="0038366F"/>
    <w:rsid w:val="003C13A6"/>
    <w:rsid w:val="003C62A6"/>
    <w:rsid w:val="003E2155"/>
    <w:rsid w:val="00455A3F"/>
    <w:rsid w:val="004563CA"/>
    <w:rsid w:val="004D5D6C"/>
    <w:rsid w:val="004E31E4"/>
    <w:rsid w:val="004E690C"/>
    <w:rsid w:val="00526DF0"/>
    <w:rsid w:val="005E05C5"/>
    <w:rsid w:val="005F5ABC"/>
    <w:rsid w:val="0067187B"/>
    <w:rsid w:val="00680CF4"/>
    <w:rsid w:val="006F39BB"/>
    <w:rsid w:val="00711D03"/>
    <w:rsid w:val="007310D8"/>
    <w:rsid w:val="00743DF0"/>
    <w:rsid w:val="007E5FA1"/>
    <w:rsid w:val="00860149"/>
    <w:rsid w:val="008D3A38"/>
    <w:rsid w:val="00912A8D"/>
    <w:rsid w:val="0091473A"/>
    <w:rsid w:val="00974EF7"/>
    <w:rsid w:val="009B5C3A"/>
    <w:rsid w:val="009D326C"/>
    <w:rsid w:val="009F3F5D"/>
    <w:rsid w:val="00A74C82"/>
    <w:rsid w:val="00A86D51"/>
    <w:rsid w:val="00AD3B9C"/>
    <w:rsid w:val="00AD78B6"/>
    <w:rsid w:val="00AE28D2"/>
    <w:rsid w:val="00B40913"/>
    <w:rsid w:val="00BA7F92"/>
    <w:rsid w:val="00BB7DC3"/>
    <w:rsid w:val="00BE585A"/>
    <w:rsid w:val="00C153A7"/>
    <w:rsid w:val="00C54FB2"/>
    <w:rsid w:val="00D14CB4"/>
    <w:rsid w:val="00D40BDC"/>
    <w:rsid w:val="00D61021"/>
    <w:rsid w:val="00D70729"/>
    <w:rsid w:val="00D73C7F"/>
    <w:rsid w:val="00D76CDB"/>
    <w:rsid w:val="00E06148"/>
    <w:rsid w:val="00E92115"/>
    <w:rsid w:val="00F829A7"/>
    <w:rsid w:val="00F84B9F"/>
    <w:rsid w:val="00FE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87188"/>
  <w15:chartTrackingRefBased/>
  <w15:docId w15:val="{7E181C07-3B57-487F-BF5E-6D6899F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1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601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60149"/>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860149"/>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860149"/>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86014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86014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0149"/>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86014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6014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60149"/>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rsid w:val="00860149"/>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860149"/>
    <w:rPr>
      <w:rFonts w:asciiTheme="majorHAnsi" w:eastAsiaTheme="majorEastAsia" w:hAnsiTheme="majorHAnsi" w:cstheme="majorBidi"/>
      <w:color w:val="1F4D78" w:themeColor="accent1" w:themeShade="7F"/>
      <w:sz w:val="24"/>
      <w:szCs w:val="24"/>
      <w:lang w:val="es-ES" w:eastAsia="es-ES"/>
    </w:rPr>
  </w:style>
  <w:style w:type="paragraph" w:styleId="Encabezado">
    <w:name w:val="header"/>
    <w:basedOn w:val="Normal"/>
    <w:link w:val="EncabezadoCar"/>
    <w:uiPriority w:val="99"/>
    <w:unhideWhenUsed/>
    <w:rsid w:val="0086014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60149"/>
    <w:rPr>
      <w:rFonts w:eastAsiaTheme="minorEastAsia"/>
      <w:sz w:val="24"/>
      <w:szCs w:val="24"/>
      <w:lang w:val="es-ES_tradnl" w:eastAsia="es-ES"/>
    </w:rPr>
  </w:style>
  <w:style w:type="paragraph" w:styleId="Piedepgina">
    <w:name w:val="footer"/>
    <w:basedOn w:val="Normal"/>
    <w:link w:val="PiedepginaCar"/>
    <w:uiPriority w:val="99"/>
    <w:unhideWhenUsed/>
    <w:rsid w:val="0086014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6014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86014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860149"/>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60149"/>
    <w:rPr>
      <w:vertAlign w:val="superscript"/>
    </w:rPr>
  </w:style>
  <w:style w:type="character" w:customStyle="1" w:styleId="apple-converted-space">
    <w:name w:val="apple-converted-space"/>
    <w:basedOn w:val="Fuentedeprrafopredeter"/>
    <w:rsid w:val="00860149"/>
  </w:style>
  <w:style w:type="character" w:styleId="Hipervnculo">
    <w:name w:val="Hyperlink"/>
    <w:aliases w:val="Hipervínculo1,Hipervínculo11,Hipervínculo12,Hipervínculo13,Hipervínculo14,Hipervínculo15"/>
    <w:basedOn w:val="Fuentedeprrafopredeter"/>
    <w:uiPriority w:val="99"/>
    <w:unhideWhenUsed/>
    <w:rsid w:val="00860149"/>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6014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60149"/>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860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86014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60149"/>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860149"/>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8601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860149"/>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860149"/>
    <w:rPr>
      <w:sz w:val="20"/>
      <w:szCs w:val="20"/>
    </w:rPr>
  </w:style>
  <w:style w:type="character" w:customStyle="1" w:styleId="TextonotaalfinalCar">
    <w:name w:val="Texto nota al final Car"/>
    <w:basedOn w:val="Fuentedeprrafopredeter"/>
    <w:link w:val="Textonotaalfinal"/>
    <w:uiPriority w:val="99"/>
    <w:semiHidden/>
    <w:rsid w:val="0086014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860149"/>
    <w:rPr>
      <w:vertAlign w:val="superscript"/>
    </w:rPr>
  </w:style>
  <w:style w:type="paragraph" w:customStyle="1" w:styleId="Default">
    <w:name w:val="Default"/>
    <w:rsid w:val="00860149"/>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860149"/>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860149"/>
  </w:style>
  <w:style w:type="character" w:customStyle="1" w:styleId="il">
    <w:name w:val="il"/>
    <w:basedOn w:val="Fuentedeprrafopredeter"/>
    <w:rsid w:val="00860149"/>
  </w:style>
  <w:style w:type="character" w:styleId="Textoennegrita">
    <w:name w:val="Strong"/>
    <w:uiPriority w:val="22"/>
    <w:qFormat/>
    <w:rsid w:val="00860149"/>
    <w:rPr>
      <w:b/>
      <w:bCs/>
    </w:rPr>
  </w:style>
  <w:style w:type="character" w:customStyle="1" w:styleId="TextodegloboCar">
    <w:name w:val="Texto de globo Car"/>
    <w:basedOn w:val="Fuentedeprrafopredeter"/>
    <w:link w:val="Textodeglobo"/>
    <w:uiPriority w:val="99"/>
    <w:semiHidden/>
    <w:rsid w:val="00860149"/>
    <w:rPr>
      <w:rFonts w:ascii="Tahoma" w:hAnsi="Tahoma" w:cs="Tahoma"/>
      <w:sz w:val="16"/>
      <w:szCs w:val="16"/>
    </w:rPr>
  </w:style>
  <w:style w:type="paragraph" w:styleId="Textodeglobo">
    <w:name w:val="Balloon Text"/>
    <w:basedOn w:val="Normal"/>
    <w:link w:val="TextodegloboCar"/>
    <w:uiPriority w:val="99"/>
    <w:semiHidden/>
    <w:unhideWhenUsed/>
    <w:rsid w:val="00860149"/>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860149"/>
    <w:rPr>
      <w:rFonts w:ascii="Segoe UI" w:eastAsia="Times New Roman" w:hAnsi="Segoe UI" w:cs="Segoe UI"/>
      <w:sz w:val="18"/>
      <w:szCs w:val="18"/>
      <w:lang w:val="es-ES" w:eastAsia="es-ES"/>
    </w:rPr>
  </w:style>
  <w:style w:type="paragraph" w:customStyle="1" w:styleId="n2">
    <w:name w:val="n2"/>
    <w:basedOn w:val="Normal"/>
    <w:rsid w:val="00860149"/>
    <w:pPr>
      <w:spacing w:before="100" w:beforeAutospacing="1" w:after="100" w:afterAutospacing="1"/>
    </w:pPr>
    <w:rPr>
      <w:lang w:val="es-MX" w:eastAsia="es-MX"/>
    </w:rPr>
  </w:style>
  <w:style w:type="character" w:styleId="nfasis">
    <w:name w:val="Emphasis"/>
    <w:basedOn w:val="Fuentedeprrafopredeter"/>
    <w:uiPriority w:val="20"/>
    <w:qFormat/>
    <w:rsid w:val="00860149"/>
    <w:rPr>
      <w:i/>
      <w:iCs/>
    </w:rPr>
  </w:style>
  <w:style w:type="paragraph" w:customStyle="1" w:styleId="j">
    <w:name w:val="j"/>
    <w:basedOn w:val="Normal"/>
    <w:rsid w:val="00860149"/>
    <w:pPr>
      <w:spacing w:before="100" w:beforeAutospacing="1" w:after="100" w:afterAutospacing="1"/>
    </w:pPr>
    <w:rPr>
      <w:lang w:val="es-MX" w:eastAsia="es-MX"/>
    </w:rPr>
  </w:style>
  <w:style w:type="character" w:customStyle="1" w:styleId="nacep">
    <w:name w:val="n_acep"/>
    <w:basedOn w:val="Fuentedeprrafopredeter"/>
    <w:rsid w:val="00860149"/>
  </w:style>
  <w:style w:type="character" w:customStyle="1" w:styleId="notranslate">
    <w:name w:val="notranslate"/>
    <w:basedOn w:val="Fuentedeprrafopredeter"/>
    <w:rsid w:val="00860149"/>
  </w:style>
  <w:style w:type="character" w:customStyle="1" w:styleId="TextocomentarioCar">
    <w:name w:val="Texto comentario Car"/>
    <w:basedOn w:val="Fuentedeprrafopredeter"/>
    <w:link w:val="Textocomentario"/>
    <w:uiPriority w:val="99"/>
    <w:semiHidden/>
    <w:rsid w:val="00860149"/>
    <w:rPr>
      <w:sz w:val="20"/>
      <w:szCs w:val="20"/>
    </w:rPr>
  </w:style>
  <w:style w:type="paragraph" w:styleId="Textocomentario">
    <w:name w:val="annotation text"/>
    <w:basedOn w:val="Normal"/>
    <w:link w:val="TextocomentarioCar"/>
    <w:uiPriority w:val="99"/>
    <w:semiHidden/>
    <w:unhideWhenUsed/>
    <w:rsid w:val="00860149"/>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860149"/>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860149"/>
    <w:rPr>
      <w:b/>
      <w:bCs/>
      <w:sz w:val="20"/>
      <w:szCs w:val="20"/>
    </w:rPr>
  </w:style>
  <w:style w:type="paragraph" w:styleId="Asuntodelcomentario">
    <w:name w:val="annotation subject"/>
    <w:basedOn w:val="Textocomentario"/>
    <w:next w:val="Textocomentario"/>
    <w:link w:val="AsuntodelcomentarioCar"/>
    <w:uiPriority w:val="99"/>
    <w:semiHidden/>
    <w:unhideWhenUsed/>
    <w:rsid w:val="00860149"/>
    <w:rPr>
      <w:b/>
      <w:bCs/>
    </w:rPr>
  </w:style>
  <w:style w:type="character" w:customStyle="1" w:styleId="AsuntodelcomentarioCar1">
    <w:name w:val="Asunto del comentario Car1"/>
    <w:basedOn w:val="TextocomentarioCar1"/>
    <w:uiPriority w:val="99"/>
    <w:semiHidden/>
    <w:rsid w:val="00860149"/>
    <w:rPr>
      <w:rFonts w:ascii="Times New Roman" w:eastAsia="Times New Roman" w:hAnsi="Times New Roman" w:cs="Times New Roman"/>
      <w:b/>
      <w:bCs/>
      <w:sz w:val="20"/>
      <w:szCs w:val="20"/>
      <w:lang w:val="es-ES" w:eastAsia="es-ES"/>
    </w:rPr>
  </w:style>
  <w:style w:type="character" w:customStyle="1" w:styleId="apple-style-span">
    <w:name w:val="apple-style-span"/>
    <w:rsid w:val="00860149"/>
  </w:style>
  <w:style w:type="paragraph" w:customStyle="1" w:styleId="paragraph">
    <w:name w:val="paragraph"/>
    <w:basedOn w:val="Normal"/>
    <w:rsid w:val="00860149"/>
    <w:pPr>
      <w:spacing w:before="100" w:beforeAutospacing="1" w:after="100" w:afterAutospacing="1"/>
    </w:pPr>
    <w:rPr>
      <w:lang w:val="es-MX" w:eastAsia="es-MX"/>
    </w:rPr>
  </w:style>
  <w:style w:type="character" w:customStyle="1" w:styleId="normaltextrun">
    <w:name w:val="normaltextrun"/>
    <w:basedOn w:val="Fuentedeprrafopredeter"/>
    <w:rsid w:val="00860149"/>
  </w:style>
  <w:style w:type="paragraph" w:customStyle="1" w:styleId="Body1">
    <w:name w:val="Body 1"/>
    <w:rsid w:val="00860149"/>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860149"/>
    <w:rPr>
      <w:rFonts w:ascii="Courier New" w:hAnsi="Courier New"/>
      <w:sz w:val="20"/>
      <w:szCs w:val="20"/>
    </w:rPr>
  </w:style>
  <w:style w:type="character" w:customStyle="1" w:styleId="TextosinformatoCar">
    <w:name w:val="Texto sin formato Car"/>
    <w:basedOn w:val="Fuentedeprrafopredeter"/>
    <w:link w:val="Textosinformato"/>
    <w:rsid w:val="00860149"/>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860149"/>
  </w:style>
  <w:style w:type="character" w:customStyle="1" w:styleId="red">
    <w:name w:val="red"/>
    <w:basedOn w:val="Fuentedeprrafopredeter"/>
    <w:rsid w:val="00860149"/>
  </w:style>
  <w:style w:type="paragraph" w:customStyle="1" w:styleId="francesa">
    <w:name w:val="francesa"/>
    <w:basedOn w:val="Normal"/>
    <w:rsid w:val="00860149"/>
    <w:pPr>
      <w:spacing w:before="100" w:beforeAutospacing="1" w:after="100" w:afterAutospacing="1"/>
    </w:pPr>
    <w:rPr>
      <w:lang w:val="es-MX" w:eastAsia="es-MX"/>
    </w:rPr>
  </w:style>
  <w:style w:type="paragraph" w:customStyle="1" w:styleId="Pa0">
    <w:name w:val="Pa0"/>
    <w:basedOn w:val="Default"/>
    <w:next w:val="Default"/>
    <w:uiPriority w:val="99"/>
    <w:rsid w:val="00860149"/>
    <w:pPr>
      <w:spacing w:line="221" w:lineRule="atLeast"/>
    </w:pPr>
    <w:rPr>
      <w:rFonts w:ascii="Arial" w:hAnsi="Arial" w:cs="Arial"/>
      <w:color w:val="auto"/>
    </w:rPr>
  </w:style>
  <w:style w:type="paragraph" w:customStyle="1" w:styleId="j2">
    <w:name w:val="j2"/>
    <w:basedOn w:val="Normal"/>
    <w:rsid w:val="00860149"/>
    <w:pPr>
      <w:spacing w:before="100" w:beforeAutospacing="1" w:after="100" w:afterAutospacing="1"/>
    </w:pPr>
    <w:rPr>
      <w:lang w:val="es-MX" w:eastAsia="es-MX"/>
    </w:rPr>
  </w:style>
  <w:style w:type="paragraph" w:customStyle="1" w:styleId="o">
    <w:name w:val="o"/>
    <w:basedOn w:val="Normal"/>
    <w:rsid w:val="00860149"/>
    <w:pPr>
      <w:spacing w:before="100" w:beforeAutospacing="1" w:after="100" w:afterAutospacing="1"/>
    </w:pPr>
    <w:rPr>
      <w:lang w:val="es-MX" w:eastAsia="es-MX"/>
    </w:rPr>
  </w:style>
  <w:style w:type="character" w:customStyle="1" w:styleId="h">
    <w:name w:val="h"/>
    <w:basedOn w:val="Fuentedeprrafopredeter"/>
    <w:rsid w:val="00860149"/>
  </w:style>
  <w:style w:type="character" w:customStyle="1" w:styleId="i1">
    <w:name w:val="i1"/>
    <w:basedOn w:val="Fuentedeprrafopredeter"/>
    <w:rsid w:val="00860149"/>
  </w:style>
  <w:style w:type="paragraph" w:styleId="Sangradetextonormal">
    <w:name w:val="Body Text Indent"/>
    <w:basedOn w:val="Normal"/>
    <w:link w:val="SangradetextonormalCar"/>
    <w:uiPriority w:val="99"/>
    <w:unhideWhenUsed/>
    <w:rsid w:val="00860149"/>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860149"/>
    <w:rPr>
      <w:rFonts w:ascii="Calibri" w:eastAsia="Calibri" w:hAnsi="Calibri" w:cs="Times New Roman"/>
    </w:rPr>
  </w:style>
  <w:style w:type="character" w:styleId="Hipervnculovisitado">
    <w:name w:val="FollowedHyperlink"/>
    <w:basedOn w:val="Fuentedeprrafopredeter"/>
    <w:uiPriority w:val="99"/>
    <w:semiHidden/>
    <w:unhideWhenUsed/>
    <w:rsid w:val="00860149"/>
    <w:rPr>
      <w:color w:val="954F72" w:themeColor="followedHyperlink"/>
      <w:u w:val="single"/>
    </w:rPr>
  </w:style>
  <w:style w:type="paragraph" w:styleId="Textoindependiente2">
    <w:name w:val="Body Text 2"/>
    <w:basedOn w:val="Normal"/>
    <w:link w:val="Textoindependiente2Car"/>
    <w:uiPriority w:val="99"/>
    <w:unhideWhenUsed/>
    <w:rsid w:val="00860149"/>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86014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60149"/>
    <w:rPr>
      <w:sz w:val="16"/>
      <w:szCs w:val="16"/>
    </w:rPr>
  </w:style>
  <w:style w:type="paragraph" w:customStyle="1" w:styleId="Listavistosa-nfasis11">
    <w:name w:val="Lista vistosa - Énfasis 11"/>
    <w:basedOn w:val="Normal"/>
    <w:link w:val="Listavistosa-nfasis1Car"/>
    <w:uiPriority w:val="34"/>
    <w:qFormat/>
    <w:rsid w:val="00860149"/>
    <w:pPr>
      <w:ind w:left="708"/>
    </w:pPr>
    <w:rPr>
      <w:lang w:val="es-MX"/>
    </w:rPr>
  </w:style>
  <w:style w:type="character" w:customStyle="1" w:styleId="Listavistosa-nfasis1Car">
    <w:name w:val="Lista vistosa - Énfasis 1 Car"/>
    <w:link w:val="Listavistosa-nfasis11"/>
    <w:uiPriority w:val="34"/>
    <w:locked/>
    <w:rsid w:val="00860149"/>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60149"/>
    <w:pPr>
      <w:spacing w:after="101" w:line="216" w:lineRule="exact"/>
      <w:ind w:firstLine="288"/>
      <w:jc w:val="both"/>
    </w:pPr>
    <w:rPr>
      <w:rFonts w:ascii="Arial" w:hAnsi="Arial" w:cs="Arial"/>
      <w:sz w:val="18"/>
      <w:szCs w:val="18"/>
      <w:lang w:val="es-MX"/>
    </w:rPr>
  </w:style>
  <w:style w:type="paragraph" w:customStyle="1" w:styleId="Standard">
    <w:name w:val="Standard"/>
    <w:rsid w:val="00860149"/>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60149"/>
    <w:rPr>
      <w:rFonts w:ascii="Arial" w:hAnsi="Arial" w:cs="Arial" w:hint="default"/>
      <w:b/>
      <w:bCs/>
      <w:sz w:val="18"/>
      <w:szCs w:val="18"/>
    </w:rPr>
  </w:style>
  <w:style w:type="paragraph" w:customStyle="1" w:styleId="Pa2">
    <w:name w:val="Pa2"/>
    <w:basedOn w:val="Normal"/>
    <w:next w:val="Normal"/>
    <w:uiPriority w:val="99"/>
    <w:rsid w:val="00860149"/>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860149"/>
    <w:pPr>
      <w:spacing w:before="100" w:beforeAutospacing="1" w:after="100" w:afterAutospacing="1"/>
    </w:pPr>
    <w:rPr>
      <w:lang w:val="es-MX" w:eastAsia="es-MX"/>
    </w:rPr>
  </w:style>
  <w:style w:type="character" w:customStyle="1" w:styleId="d">
    <w:name w:val="d"/>
    <w:basedOn w:val="Fuentedeprrafopredeter"/>
    <w:rsid w:val="00860149"/>
  </w:style>
  <w:style w:type="character" w:customStyle="1" w:styleId="b">
    <w:name w:val="b"/>
    <w:basedOn w:val="Fuentedeprrafopredeter"/>
    <w:rsid w:val="00860149"/>
  </w:style>
  <w:style w:type="character" w:customStyle="1" w:styleId="k">
    <w:name w:val="k"/>
    <w:basedOn w:val="Fuentedeprrafopredeter"/>
    <w:rsid w:val="00860149"/>
  </w:style>
  <w:style w:type="character" w:styleId="CitaHTML">
    <w:name w:val="HTML Cite"/>
    <w:uiPriority w:val="99"/>
    <w:semiHidden/>
    <w:unhideWhenUsed/>
    <w:rsid w:val="00860149"/>
    <w:rPr>
      <w:i/>
      <w:iCs/>
    </w:rPr>
  </w:style>
  <w:style w:type="paragraph" w:customStyle="1" w:styleId="RSCGnotaalpie">
    <w:name w:val="RSCG nota al pie"/>
    <w:basedOn w:val="Normal"/>
    <w:uiPriority w:val="99"/>
    <w:qFormat/>
    <w:rsid w:val="00860149"/>
    <w:pPr>
      <w:spacing w:after="120"/>
      <w:jc w:val="both"/>
    </w:pPr>
    <w:rPr>
      <w:rFonts w:ascii="Palatino" w:hAnsi="Palatino" w:cstheme="minorBidi"/>
      <w:sz w:val="22"/>
      <w:szCs w:val="22"/>
      <w:lang w:val="es-MX" w:eastAsia="en-US"/>
    </w:rPr>
  </w:style>
  <w:style w:type="character" w:customStyle="1" w:styleId="lbl-encabezado-blanco2">
    <w:name w:val="lbl-encabezado-blanco2"/>
    <w:rsid w:val="00860149"/>
    <w:rPr>
      <w:color w:val="FFFFFF"/>
    </w:rPr>
  </w:style>
  <w:style w:type="character" w:customStyle="1" w:styleId="TextoCar">
    <w:name w:val="Texto Car"/>
    <w:link w:val="Texto"/>
    <w:locked/>
    <w:rsid w:val="00860149"/>
    <w:rPr>
      <w:rFonts w:ascii="Arial" w:eastAsia="Times New Roman" w:hAnsi="Arial" w:cs="Arial"/>
      <w:sz w:val="18"/>
      <w:szCs w:val="18"/>
      <w:lang w:eastAsia="es-ES"/>
    </w:rPr>
  </w:style>
  <w:style w:type="paragraph" w:customStyle="1" w:styleId="ANOTACION">
    <w:name w:val="ANOTACION"/>
    <w:basedOn w:val="Normal"/>
    <w:link w:val="ANOTACIONCar"/>
    <w:rsid w:val="00860149"/>
    <w:pPr>
      <w:spacing w:before="101" w:after="101"/>
      <w:jc w:val="center"/>
    </w:pPr>
    <w:rPr>
      <w:b/>
      <w:sz w:val="18"/>
      <w:szCs w:val="18"/>
      <w:lang w:val="es-MX"/>
    </w:rPr>
  </w:style>
  <w:style w:type="character" w:customStyle="1" w:styleId="ANOTACIONCar">
    <w:name w:val="ANOTACION Car"/>
    <w:link w:val="ANOTACION"/>
    <w:locked/>
    <w:rsid w:val="00860149"/>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860149"/>
    <w:rPr>
      <w:lang w:val="es-MX"/>
    </w:rPr>
  </w:style>
  <w:style w:type="paragraph" w:customStyle="1" w:styleId="ROMANOS">
    <w:name w:val="ROMANOS"/>
    <w:basedOn w:val="Normal"/>
    <w:link w:val="ROMANOSCar"/>
    <w:rsid w:val="0086014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860149"/>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60149"/>
  </w:style>
  <w:style w:type="character" w:customStyle="1" w:styleId="Ninguno">
    <w:name w:val="Ninguno"/>
    <w:rsid w:val="00860149"/>
    <w:rPr>
      <w:lang w:val="es-ES_tradnl"/>
    </w:rPr>
  </w:style>
  <w:style w:type="paragraph" w:customStyle="1" w:styleId="Cuerpo">
    <w:name w:val="Cuerpo"/>
    <w:rsid w:val="00860149"/>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60149"/>
    <w:pPr>
      <w:numPr>
        <w:numId w:val="2"/>
      </w:numPr>
    </w:pPr>
  </w:style>
  <w:style w:type="numbering" w:customStyle="1" w:styleId="Estiloimportado1">
    <w:name w:val="Estilo importado 1"/>
    <w:qFormat/>
    <w:rsid w:val="00860149"/>
    <w:pPr>
      <w:numPr>
        <w:numId w:val="3"/>
      </w:numPr>
    </w:pPr>
  </w:style>
  <w:style w:type="paragraph" w:customStyle="1" w:styleId="INCISO">
    <w:name w:val="INCISO"/>
    <w:basedOn w:val="Normal"/>
    <w:rsid w:val="00860149"/>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860149"/>
    <w:pPr>
      <w:spacing w:before="100" w:beforeAutospacing="1" w:after="100" w:afterAutospacing="1"/>
    </w:pPr>
    <w:rPr>
      <w:lang w:val="es-MX" w:eastAsia="es-MX"/>
    </w:rPr>
  </w:style>
  <w:style w:type="character" w:customStyle="1" w:styleId="user-highlighted-active">
    <w:name w:val="user-highlighted-active"/>
    <w:basedOn w:val="Fuentedeprrafopredeter"/>
    <w:rsid w:val="00860149"/>
  </w:style>
  <w:style w:type="paragraph" w:styleId="Lista">
    <w:name w:val="List"/>
    <w:basedOn w:val="Normal"/>
    <w:uiPriority w:val="99"/>
    <w:unhideWhenUsed/>
    <w:rsid w:val="00860149"/>
    <w:pPr>
      <w:ind w:left="283" w:hanging="283"/>
      <w:contextualSpacing/>
    </w:pPr>
  </w:style>
  <w:style w:type="paragraph" w:styleId="Lista2">
    <w:name w:val="List 2"/>
    <w:basedOn w:val="Normal"/>
    <w:uiPriority w:val="99"/>
    <w:unhideWhenUsed/>
    <w:rsid w:val="00860149"/>
    <w:pPr>
      <w:ind w:left="566" w:hanging="283"/>
      <w:contextualSpacing/>
    </w:pPr>
  </w:style>
  <w:style w:type="paragraph" w:styleId="Lista3">
    <w:name w:val="List 3"/>
    <w:basedOn w:val="Normal"/>
    <w:uiPriority w:val="99"/>
    <w:unhideWhenUsed/>
    <w:rsid w:val="00860149"/>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860149"/>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860149"/>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60149"/>
  </w:style>
  <w:style w:type="character" w:customStyle="1" w:styleId="titulorubrolgt">
    <w:name w:val="titulorubrolgt"/>
    <w:basedOn w:val="Fuentedeprrafopredeter"/>
    <w:rsid w:val="00860149"/>
  </w:style>
  <w:style w:type="paragraph" w:customStyle="1" w:styleId="Text">
    <w:name w:val="Text"/>
    <w:basedOn w:val="Normal"/>
    <w:link w:val="TextChar"/>
    <w:rsid w:val="00860149"/>
    <w:pPr>
      <w:spacing w:after="240"/>
    </w:pPr>
    <w:rPr>
      <w:szCs w:val="20"/>
      <w:lang w:val="en-US" w:eastAsia="en-US"/>
    </w:rPr>
  </w:style>
  <w:style w:type="character" w:customStyle="1" w:styleId="TextChar">
    <w:name w:val="Text Char"/>
    <w:link w:val="Text"/>
    <w:locked/>
    <w:rsid w:val="00860149"/>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60149"/>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860149"/>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860149"/>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6014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860149"/>
    <w:rPr>
      <w:color w:val="605E5C"/>
      <w:shd w:val="clear" w:color="auto" w:fill="E1DFDD"/>
    </w:rPr>
  </w:style>
  <w:style w:type="paragraph" w:customStyle="1" w:styleId="temp">
    <w:name w:val="temp"/>
    <w:basedOn w:val="Normal"/>
    <w:rsid w:val="00860149"/>
    <w:pPr>
      <w:spacing w:before="100" w:beforeAutospacing="1" w:after="100" w:afterAutospacing="1"/>
    </w:pPr>
    <w:rPr>
      <w:lang w:val="es-MX" w:eastAsia="es-MX"/>
    </w:rPr>
  </w:style>
  <w:style w:type="character" w:customStyle="1" w:styleId="bold">
    <w:name w:val="bold"/>
    <w:basedOn w:val="Fuentedeprrafopredeter"/>
    <w:rsid w:val="00860149"/>
  </w:style>
  <w:style w:type="paragraph" w:customStyle="1" w:styleId="ng-star-inserted">
    <w:name w:val="ng-star-inserted"/>
    <w:basedOn w:val="Normal"/>
    <w:rsid w:val="00860149"/>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860149"/>
    <w:rPr>
      <w:color w:val="605E5C"/>
      <w:shd w:val="clear" w:color="auto" w:fill="E1DFDD"/>
    </w:rPr>
  </w:style>
  <w:style w:type="character" w:customStyle="1" w:styleId="Mencinsinresolver3">
    <w:name w:val="Mención sin resolver3"/>
    <w:basedOn w:val="Fuentedeprrafopredeter"/>
    <w:uiPriority w:val="99"/>
    <w:semiHidden/>
    <w:unhideWhenUsed/>
    <w:rsid w:val="00860149"/>
    <w:rPr>
      <w:color w:val="605E5C"/>
      <w:shd w:val="clear" w:color="auto" w:fill="E1DFDD"/>
    </w:rPr>
  </w:style>
  <w:style w:type="paragraph" w:styleId="Saludo">
    <w:name w:val="Salutation"/>
    <w:basedOn w:val="Normal"/>
    <w:next w:val="Normal"/>
    <w:link w:val="SaludoCar"/>
    <w:uiPriority w:val="99"/>
    <w:unhideWhenUsed/>
    <w:rsid w:val="00860149"/>
    <w:rPr>
      <w:lang w:val="es-MX"/>
    </w:rPr>
  </w:style>
  <w:style w:type="character" w:customStyle="1" w:styleId="SaludoCar">
    <w:name w:val="Saludo Car"/>
    <w:basedOn w:val="Fuentedeprrafopredeter"/>
    <w:link w:val="Saludo"/>
    <w:uiPriority w:val="99"/>
    <w:rsid w:val="00860149"/>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60149"/>
  </w:style>
  <w:style w:type="character" w:customStyle="1" w:styleId="Mencinsinresolver4">
    <w:name w:val="Mención sin resolver4"/>
    <w:basedOn w:val="Fuentedeprrafopredeter"/>
    <w:uiPriority w:val="99"/>
    <w:semiHidden/>
    <w:unhideWhenUsed/>
    <w:rsid w:val="00860149"/>
    <w:rPr>
      <w:color w:val="605E5C"/>
      <w:shd w:val="clear" w:color="auto" w:fill="E1DFDD"/>
    </w:rPr>
  </w:style>
  <w:style w:type="paragraph" w:styleId="Revisin">
    <w:name w:val="Revision"/>
    <w:hidden/>
    <w:uiPriority w:val="99"/>
    <w:semiHidden/>
    <w:rsid w:val="00860149"/>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860149"/>
  </w:style>
  <w:style w:type="table" w:customStyle="1" w:styleId="Tablaconcuadrcula3">
    <w:name w:val="Tabla con cuadrícula3"/>
    <w:basedOn w:val="Tablanormal"/>
    <w:next w:val="Tablaconcuadrcula"/>
    <w:uiPriority w:val="59"/>
    <w:qFormat/>
    <w:rsid w:val="0086014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860149"/>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60149"/>
    <w:pPr>
      <w:keepNext/>
      <w:keepLines/>
      <w:spacing w:before="480" w:after="120"/>
    </w:pPr>
    <w:rPr>
      <w:b/>
      <w:sz w:val="72"/>
      <w:szCs w:val="72"/>
      <w:lang w:eastAsia="es-MX"/>
    </w:rPr>
  </w:style>
  <w:style w:type="character" w:customStyle="1" w:styleId="PuestoCar">
    <w:name w:val="Puesto Car"/>
    <w:basedOn w:val="Fuentedeprrafopredeter"/>
    <w:link w:val="Puesto"/>
    <w:rsid w:val="00860149"/>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60149"/>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860149"/>
    <w:rPr>
      <w:rFonts w:ascii="Georgia" w:eastAsia="Georgia" w:hAnsi="Georgia" w:cs="Georgia"/>
      <w:i/>
      <w:color w:val="666666"/>
      <w:sz w:val="48"/>
      <w:szCs w:val="48"/>
      <w:lang w:val="es-ES" w:eastAsia="es-MX"/>
    </w:rPr>
  </w:style>
  <w:style w:type="table" w:customStyle="1" w:styleId="8">
    <w:name w:val="8"/>
    <w:basedOn w:val="TableNormal"/>
    <w:rsid w:val="00860149"/>
    <w:tblPr>
      <w:tblStyleRowBandSize w:val="1"/>
      <w:tblStyleColBandSize w:val="1"/>
      <w:tblCellMar>
        <w:top w:w="0" w:type="dxa"/>
        <w:left w:w="115" w:type="dxa"/>
        <w:bottom w:w="0" w:type="dxa"/>
        <w:right w:w="115" w:type="dxa"/>
      </w:tblCellMar>
    </w:tblPr>
  </w:style>
  <w:style w:type="table" w:customStyle="1" w:styleId="7">
    <w:name w:val="7"/>
    <w:basedOn w:val="TableNormal"/>
    <w:rsid w:val="00860149"/>
    <w:tblPr>
      <w:tblStyleRowBandSize w:val="1"/>
      <w:tblStyleColBandSize w:val="1"/>
      <w:tblCellMar>
        <w:top w:w="0" w:type="dxa"/>
        <w:left w:w="115" w:type="dxa"/>
        <w:bottom w:w="0" w:type="dxa"/>
        <w:right w:w="115" w:type="dxa"/>
      </w:tblCellMar>
    </w:tblPr>
  </w:style>
  <w:style w:type="table" w:customStyle="1" w:styleId="6">
    <w:name w:val="6"/>
    <w:basedOn w:val="TableNormal"/>
    <w:rsid w:val="00860149"/>
    <w:tblPr>
      <w:tblStyleRowBandSize w:val="1"/>
      <w:tblStyleColBandSize w:val="1"/>
      <w:tblCellMar>
        <w:top w:w="0" w:type="dxa"/>
        <w:left w:w="115" w:type="dxa"/>
        <w:bottom w:w="0" w:type="dxa"/>
        <w:right w:w="115" w:type="dxa"/>
      </w:tblCellMar>
    </w:tblPr>
  </w:style>
  <w:style w:type="table" w:customStyle="1" w:styleId="5">
    <w:name w:val="5"/>
    <w:basedOn w:val="TableNormal"/>
    <w:rsid w:val="00860149"/>
    <w:tblPr>
      <w:tblStyleRowBandSize w:val="1"/>
      <w:tblStyleColBandSize w:val="1"/>
      <w:tblCellMar>
        <w:top w:w="0" w:type="dxa"/>
        <w:left w:w="115" w:type="dxa"/>
        <w:bottom w:w="0" w:type="dxa"/>
        <w:right w:w="115" w:type="dxa"/>
      </w:tblCellMar>
    </w:tblPr>
  </w:style>
  <w:style w:type="table" w:customStyle="1" w:styleId="4">
    <w:name w:val="4"/>
    <w:basedOn w:val="TableNormal"/>
    <w:rsid w:val="00860149"/>
    <w:tblPr>
      <w:tblStyleRowBandSize w:val="1"/>
      <w:tblStyleColBandSize w:val="1"/>
      <w:tblCellMar>
        <w:top w:w="0" w:type="dxa"/>
        <w:left w:w="115" w:type="dxa"/>
        <w:bottom w:w="0" w:type="dxa"/>
        <w:right w:w="115" w:type="dxa"/>
      </w:tblCellMar>
    </w:tblPr>
  </w:style>
  <w:style w:type="table" w:customStyle="1" w:styleId="3">
    <w:name w:val="3"/>
    <w:basedOn w:val="TableNormal"/>
    <w:rsid w:val="00860149"/>
    <w:tblPr>
      <w:tblStyleRowBandSize w:val="1"/>
      <w:tblStyleColBandSize w:val="1"/>
      <w:tblCellMar>
        <w:top w:w="0" w:type="dxa"/>
        <w:left w:w="115" w:type="dxa"/>
        <w:bottom w:w="0" w:type="dxa"/>
        <w:right w:w="115" w:type="dxa"/>
      </w:tblCellMar>
    </w:tblPr>
  </w:style>
  <w:style w:type="table" w:customStyle="1" w:styleId="2">
    <w:name w:val="2"/>
    <w:basedOn w:val="TableNormal"/>
    <w:rsid w:val="00860149"/>
    <w:tblPr>
      <w:tblStyleRowBandSize w:val="1"/>
      <w:tblStyleColBandSize w:val="1"/>
      <w:tblCellMar>
        <w:top w:w="0" w:type="dxa"/>
        <w:left w:w="115" w:type="dxa"/>
        <w:bottom w:w="0" w:type="dxa"/>
        <w:right w:w="115" w:type="dxa"/>
      </w:tblCellMar>
    </w:tblPr>
  </w:style>
  <w:style w:type="table" w:customStyle="1" w:styleId="1">
    <w:name w:val="1"/>
    <w:basedOn w:val="TableNormal"/>
    <w:rsid w:val="00860149"/>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860149"/>
    <w:rPr>
      <w:rFonts w:ascii="Times New Roman" w:eastAsia="Times New Roman" w:hAnsi="Times New Roman" w:cs="Times New Roman"/>
      <w:sz w:val="20"/>
      <w:szCs w:val="20"/>
      <w:lang w:eastAsia="es-MX"/>
    </w:rPr>
  </w:style>
  <w:style w:type="character" w:customStyle="1" w:styleId="eop">
    <w:name w:val="eop"/>
    <w:basedOn w:val="Fuentedeprrafopredeter"/>
    <w:rsid w:val="00860149"/>
  </w:style>
  <w:style w:type="character" w:customStyle="1" w:styleId="m2871584667633129156gmail-apple-converted-space">
    <w:name w:val="m_2871584667633129156gmail-apple-converted-space"/>
    <w:basedOn w:val="Fuentedeprrafopredeter"/>
    <w:rsid w:val="00860149"/>
  </w:style>
  <w:style w:type="character" w:customStyle="1" w:styleId="m2871584667633129156gmail-msofootnotereference">
    <w:name w:val="m_2871584667633129156gmail-msofootnotereference"/>
    <w:basedOn w:val="Fuentedeprrafopredeter"/>
    <w:rsid w:val="00860149"/>
  </w:style>
  <w:style w:type="paragraph" w:customStyle="1" w:styleId="m2871584667633129156gmail-msofootnotetext">
    <w:name w:val="m_2871584667633129156gmail-msofootnotetext"/>
    <w:basedOn w:val="Normal"/>
    <w:rsid w:val="00860149"/>
    <w:pPr>
      <w:spacing w:before="100" w:beforeAutospacing="1" w:after="100" w:afterAutospacing="1"/>
    </w:pPr>
    <w:rPr>
      <w:lang w:val="es-MX" w:eastAsia="es-MX"/>
    </w:rPr>
  </w:style>
  <w:style w:type="character" w:customStyle="1" w:styleId="u">
    <w:name w:val="u"/>
    <w:basedOn w:val="Fuentedeprrafopredeter"/>
    <w:rsid w:val="00860149"/>
  </w:style>
  <w:style w:type="paragraph" w:customStyle="1" w:styleId="rtejustify">
    <w:name w:val="rtejustify"/>
    <w:basedOn w:val="Normal"/>
    <w:rsid w:val="00860149"/>
    <w:pPr>
      <w:spacing w:before="100" w:beforeAutospacing="1" w:after="100" w:afterAutospacing="1"/>
    </w:pPr>
    <w:rPr>
      <w:lang w:val="es-MX" w:eastAsia="es-MX"/>
    </w:rPr>
  </w:style>
  <w:style w:type="paragraph" w:customStyle="1" w:styleId="j1">
    <w:name w:val="j1"/>
    <w:basedOn w:val="Normal"/>
    <w:rsid w:val="00860149"/>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860149"/>
  </w:style>
  <w:style w:type="character" w:customStyle="1" w:styleId="m-3579365149168697376gmail-msofootnotereference">
    <w:name w:val="m_-3579365149168697376gmail-msofootnotereference"/>
    <w:basedOn w:val="Fuentedeprrafopredeter"/>
    <w:rsid w:val="00860149"/>
  </w:style>
  <w:style w:type="paragraph" w:customStyle="1" w:styleId="m-3579365149168697376gmail-msofootnotetext">
    <w:name w:val="m_-3579365149168697376gmail-msofootnotetext"/>
    <w:basedOn w:val="Normal"/>
    <w:rsid w:val="00860149"/>
    <w:pPr>
      <w:spacing w:before="100" w:beforeAutospacing="1" w:after="100" w:afterAutospacing="1"/>
    </w:pPr>
    <w:rPr>
      <w:lang w:val="es-MX" w:eastAsia="es-MX"/>
    </w:rPr>
  </w:style>
  <w:style w:type="character" w:customStyle="1" w:styleId="ams">
    <w:name w:val="ams"/>
    <w:basedOn w:val="Fuentedeprrafopredeter"/>
    <w:rsid w:val="00860149"/>
  </w:style>
  <w:style w:type="numbering" w:customStyle="1" w:styleId="Sinlista2">
    <w:name w:val="Sin lista2"/>
    <w:next w:val="Sinlista"/>
    <w:uiPriority w:val="99"/>
    <w:semiHidden/>
    <w:unhideWhenUsed/>
    <w:rsid w:val="00860149"/>
  </w:style>
  <w:style w:type="table" w:customStyle="1" w:styleId="Tablaconcuadrcula4">
    <w:name w:val="Tabla con cuadrícula4"/>
    <w:basedOn w:val="Tablanormal"/>
    <w:next w:val="Tablaconcuadrcula"/>
    <w:uiPriority w:val="59"/>
    <w:qFormat/>
    <w:rsid w:val="0086014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860149"/>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860149"/>
    <w:tblPr>
      <w:tblStyleRowBandSize w:val="1"/>
      <w:tblStyleColBandSize w:val="1"/>
      <w:tblCellMar>
        <w:top w:w="0" w:type="dxa"/>
        <w:left w:w="115" w:type="dxa"/>
        <w:bottom w:w="0" w:type="dxa"/>
        <w:right w:w="115" w:type="dxa"/>
      </w:tblCellMar>
    </w:tblPr>
  </w:style>
  <w:style w:type="table" w:customStyle="1" w:styleId="71">
    <w:name w:val="71"/>
    <w:basedOn w:val="TableNormal"/>
    <w:rsid w:val="00860149"/>
    <w:tblPr>
      <w:tblStyleRowBandSize w:val="1"/>
      <w:tblStyleColBandSize w:val="1"/>
      <w:tblCellMar>
        <w:top w:w="0" w:type="dxa"/>
        <w:left w:w="115" w:type="dxa"/>
        <w:bottom w:w="0" w:type="dxa"/>
        <w:right w:w="115" w:type="dxa"/>
      </w:tblCellMar>
    </w:tblPr>
  </w:style>
  <w:style w:type="table" w:customStyle="1" w:styleId="61">
    <w:name w:val="61"/>
    <w:basedOn w:val="TableNormal"/>
    <w:rsid w:val="00860149"/>
    <w:tblPr>
      <w:tblStyleRowBandSize w:val="1"/>
      <w:tblStyleColBandSize w:val="1"/>
      <w:tblCellMar>
        <w:top w:w="0" w:type="dxa"/>
        <w:left w:w="115" w:type="dxa"/>
        <w:bottom w:w="0" w:type="dxa"/>
        <w:right w:w="115" w:type="dxa"/>
      </w:tblCellMar>
    </w:tblPr>
  </w:style>
  <w:style w:type="table" w:customStyle="1" w:styleId="51">
    <w:name w:val="51"/>
    <w:basedOn w:val="TableNormal"/>
    <w:rsid w:val="00860149"/>
    <w:tblPr>
      <w:tblStyleRowBandSize w:val="1"/>
      <w:tblStyleColBandSize w:val="1"/>
      <w:tblCellMar>
        <w:top w:w="0" w:type="dxa"/>
        <w:left w:w="115" w:type="dxa"/>
        <w:bottom w:w="0" w:type="dxa"/>
        <w:right w:w="115" w:type="dxa"/>
      </w:tblCellMar>
    </w:tblPr>
  </w:style>
  <w:style w:type="table" w:customStyle="1" w:styleId="41">
    <w:name w:val="41"/>
    <w:basedOn w:val="TableNormal"/>
    <w:rsid w:val="00860149"/>
    <w:tblPr>
      <w:tblStyleRowBandSize w:val="1"/>
      <w:tblStyleColBandSize w:val="1"/>
      <w:tblCellMar>
        <w:top w:w="0" w:type="dxa"/>
        <w:left w:w="115" w:type="dxa"/>
        <w:bottom w:w="0" w:type="dxa"/>
        <w:right w:w="115" w:type="dxa"/>
      </w:tblCellMar>
    </w:tblPr>
  </w:style>
  <w:style w:type="table" w:customStyle="1" w:styleId="31">
    <w:name w:val="31"/>
    <w:basedOn w:val="TableNormal"/>
    <w:rsid w:val="00860149"/>
    <w:tblPr>
      <w:tblStyleRowBandSize w:val="1"/>
      <w:tblStyleColBandSize w:val="1"/>
      <w:tblCellMar>
        <w:top w:w="0" w:type="dxa"/>
        <w:left w:w="115" w:type="dxa"/>
        <w:bottom w:w="0" w:type="dxa"/>
        <w:right w:w="115" w:type="dxa"/>
      </w:tblCellMar>
    </w:tblPr>
  </w:style>
  <w:style w:type="table" w:customStyle="1" w:styleId="21">
    <w:name w:val="21"/>
    <w:basedOn w:val="TableNormal"/>
    <w:rsid w:val="00860149"/>
    <w:tblPr>
      <w:tblStyleRowBandSize w:val="1"/>
      <w:tblStyleColBandSize w:val="1"/>
      <w:tblCellMar>
        <w:top w:w="0" w:type="dxa"/>
        <w:left w:w="115" w:type="dxa"/>
        <w:bottom w:w="0" w:type="dxa"/>
        <w:right w:w="115" w:type="dxa"/>
      </w:tblCellMar>
    </w:tblPr>
  </w:style>
  <w:style w:type="table" w:customStyle="1" w:styleId="11">
    <w:name w:val="11"/>
    <w:basedOn w:val="TableNormal"/>
    <w:rsid w:val="00860149"/>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860149"/>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0112">
      <w:bodyDiv w:val="1"/>
      <w:marLeft w:val="0"/>
      <w:marRight w:val="0"/>
      <w:marTop w:val="0"/>
      <w:marBottom w:val="0"/>
      <w:divBdr>
        <w:top w:val="none" w:sz="0" w:space="0" w:color="auto"/>
        <w:left w:val="none" w:sz="0" w:space="0" w:color="auto"/>
        <w:bottom w:val="none" w:sz="0" w:space="0" w:color="auto"/>
        <w:right w:val="none" w:sz="0" w:space="0" w:color="auto"/>
      </w:divBdr>
    </w:div>
    <w:div w:id="412626179">
      <w:bodyDiv w:val="1"/>
      <w:marLeft w:val="0"/>
      <w:marRight w:val="0"/>
      <w:marTop w:val="0"/>
      <w:marBottom w:val="0"/>
      <w:divBdr>
        <w:top w:val="none" w:sz="0" w:space="0" w:color="auto"/>
        <w:left w:val="none" w:sz="0" w:space="0" w:color="auto"/>
        <w:bottom w:val="none" w:sz="0" w:space="0" w:color="auto"/>
        <w:right w:val="none" w:sz="0" w:space="0" w:color="auto"/>
      </w:divBdr>
    </w:div>
    <w:div w:id="18702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55</Pages>
  <Words>13181</Words>
  <Characters>72501</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8</cp:revision>
  <dcterms:created xsi:type="dcterms:W3CDTF">2024-02-20T15:36:00Z</dcterms:created>
  <dcterms:modified xsi:type="dcterms:W3CDTF">2024-04-11T20:30:00Z</dcterms:modified>
</cp:coreProperties>
</file>