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FBB0" w14:textId="77777777" w:rsidR="00DE159D" w:rsidRPr="0024200F" w:rsidRDefault="00DE159D" w:rsidP="00DE159D">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veinticinco de septiembre de dos mil veinticuatro.</w:t>
      </w:r>
    </w:p>
    <w:p w14:paraId="12615C7E" w14:textId="77777777" w:rsidR="00DE159D" w:rsidRPr="0024200F" w:rsidRDefault="00DE159D" w:rsidP="00DE159D">
      <w:pPr>
        <w:spacing w:line="360" w:lineRule="auto"/>
        <w:jc w:val="both"/>
        <w:rPr>
          <w:rFonts w:ascii="Palatino Linotype" w:hAnsi="Palatino Linotype"/>
        </w:rPr>
      </w:pPr>
    </w:p>
    <w:p w14:paraId="3C26012D" w14:textId="77777777" w:rsidR="00DE159D" w:rsidRPr="00BF0355" w:rsidRDefault="00DE159D" w:rsidP="00DE159D">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6E1173">
        <w:rPr>
          <w:rFonts w:ascii="Palatino Linotype" w:hAnsi="Palatino Linotype"/>
          <w:b/>
        </w:rPr>
        <w:t>0</w:t>
      </w:r>
      <w:r>
        <w:rPr>
          <w:rFonts w:ascii="Palatino Linotype" w:hAnsi="Palatino Linotype"/>
          <w:b/>
        </w:rPr>
        <w:t xml:space="preserve">5580/INFOEM/IP/RR/2024, </w:t>
      </w:r>
      <w:r w:rsidRPr="00BF0355">
        <w:rPr>
          <w:rFonts w:ascii="Palatino Linotype" w:eastAsiaTheme="minorHAnsi" w:hAnsi="Palatino Linotype" w:cs="Arial"/>
          <w:lang w:val="es-MX" w:eastAsia="en-US"/>
        </w:rPr>
        <w:t xml:space="preserve">interpuesto por </w:t>
      </w:r>
      <w:r>
        <w:rPr>
          <w:rFonts w:ascii="Palatino Linotype" w:hAnsi="Palatino Linotype"/>
        </w:rPr>
        <w:t>un particular que no proporcionó nombre o seudónimo</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DE159D">
        <w:rPr>
          <w:rFonts w:ascii="Palatino Linotype" w:hAnsi="Palatino Linotype"/>
          <w:b/>
        </w:rPr>
        <w:t>Ayuntamiento de Xalatlaco</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1907E60E" w14:textId="77777777" w:rsidR="00DE159D" w:rsidRPr="002478BC" w:rsidRDefault="00DE159D" w:rsidP="00DE159D">
      <w:pPr>
        <w:spacing w:line="360" w:lineRule="auto"/>
        <w:jc w:val="both"/>
        <w:rPr>
          <w:rFonts w:ascii="Palatino Linotype" w:hAnsi="Palatino Linotype"/>
          <w:b/>
          <w:bCs/>
          <w:spacing w:val="60"/>
          <w:lang w:val="es-ES_tradnl"/>
        </w:rPr>
      </w:pPr>
    </w:p>
    <w:p w14:paraId="5F115E3B" w14:textId="77777777" w:rsidR="00DE159D" w:rsidRPr="0024200F" w:rsidRDefault="00DE159D" w:rsidP="00DE159D">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3858F1A6" w14:textId="77777777" w:rsidR="00DE159D" w:rsidRPr="0024200F" w:rsidRDefault="00DE159D" w:rsidP="00DE159D">
      <w:pPr>
        <w:spacing w:line="360" w:lineRule="auto"/>
        <w:jc w:val="center"/>
        <w:rPr>
          <w:rFonts w:ascii="Palatino Linotype" w:hAnsi="Palatino Linotype"/>
          <w:b/>
          <w:bCs/>
          <w:spacing w:val="60"/>
          <w:lang w:val="es-ES_tradnl"/>
        </w:rPr>
      </w:pPr>
    </w:p>
    <w:p w14:paraId="473B3C94" w14:textId="77777777" w:rsidR="00DE159D" w:rsidRDefault="00DE159D" w:rsidP="00DE159D">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14:paraId="468FDA59" w14:textId="77777777" w:rsidR="00DE159D" w:rsidRPr="0024200F" w:rsidRDefault="00DE159D" w:rsidP="00DE159D">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primero de julio de dos mil veinticuatro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00034/XALATLA/IP/2024, </w:t>
      </w:r>
      <w:r w:rsidRPr="0024200F">
        <w:rPr>
          <w:rFonts w:ascii="Palatino Linotype" w:hAnsi="Palatino Linotype"/>
        </w:rPr>
        <w:t>mediante la cual solicitó, lo siguiente:</w:t>
      </w:r>
    </w:p>
    <w:p w14:paraId="17B86758" w14:textId="77777777" w:rsidR="00DE159D" w:rsidRDefault="00DE159D" w:rsidP="00DE159D">
      <w:pPr>
        <w:spacing w:line="360" w:lineRule="auto"/>
        <w:jc w:val="both"/>
        <w:rPr>
          <w:rFonts w:ascii="Palatino Linotype" w:hAnsi="Palatino Linotype" w:cs="Arial"/>
        </w:rPr>
      </w:pPr>
    </w:p>
    <w:p w14:paraId="18615ABC" w14:textId="77777777" w:rsidR="00DE159D" w:rsidRPr="008B31F6" w:rsidRDefault="00DE159D" w:rsidP="00DE159D">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DE159D">
        <w:rPr>
          <w:rFonts w:ascii="Palatino Linotype" w:hAnsi="Palatino Linotype"/>
          <w:bCs/>
          <w:i/>
          <w:sz w:val="22"/>
        </w:rPr>
        <w:t>tipo de romance entre el presidente y la regidora</w:t>
      </w:r>
      <w:r>
        <w:rPr>
          <w:rFonts w:ascii="Palatino Linotype" w:hAnsi="Palatino Linotype"/>
          <w:bCs/>
          <w:i/>
          <w:sz w:val="22"/>
        </w:rPr>
        <w:t xml:space="preserve">” </w:t>
      </w:r>
      <w:r w:rsidRPr="008B31F6">
        <w:rPr>
          <w:rFonts w:ascii="Palatino Linotype" w:hAnsi="Palatino Linotype"/>
          <w:bCs/>
          <w:i/>
          <w:sz w:val="22"/>
        </w:rPr>
        <w:t>(Sic)</w:t>
      </w:r>
    </w:p>
    <w:p w14:paraId="69E2A7E0" w14:textId="77777777" w:rsidR="00DE159D" w:rsidRPr="00B02F4C" w:rsidRDefault="00DE159D" w:rsidP="00DE159D">
      <w:pPr>
        <w:spacing w:line="360" w:lineRule="auto"/>
        <w:ind w:left="567" w:right="616"/>
        <w:jc w:val="both"/>
        <w:rPr>
          <w:rFonts w:ascii="Palatino Linotype" w:hAnsi="Palatino Linotype"/>
          <w:bCs/>
        </w:rPr>
      </w:pPr>
    </w:p>
    <w:p w14:paraId="374F2474" w14:textId="77777777" w:rsidR="00DE159D" w:rsidRDefault="00DE159D" w:rsidP="00DE159D">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14:paraId="72363514" w14:textId="77777777" w:rsidR="00DE159D" w:rsidRDefault="00DE159D" w:rsidP="00DE159D">
      <w:pPr>
        <w:spacing w:line="360" w:lineRule="auto"/>
        <w:jc w:val="both"/>
        <w:rPr>
          <w:rFonts w:ascii="Palatino Linotype" w:hAnsi="Palatino Linotype"/>
          <w:b/>
          <w:sz w:val="28"/>
          <w:szCs w:val="28"/>
          <w:lang w:val="es-MX"/>
        </w:rPr>
      </w:pPr>
    </w:p>
    <w:p w14:paraId="249F3049" w14:textId="77777777" w:rsidR="00DE159D" w:rsidRPr="002B69BB" w:rsidRDefault="00DE159D" w:rsidP="00DE159D">
      <w:pPr>
        <w:pBdr>
          <w:top w:val="nil"/>
          <w:left w:val="nil"/>
          <w:bottom w:val="nil"/>
          <w:right w:val="nil"/>
          <w:between w:val="nil"/>
        </w:pBdr>
        <w:spacing w:line="360" w:lineRule="auto"/>
        <w:jc w:val="both"/>
        <w:rPr>
          <w:rFonts w:ascii="Palatino Linotype" w:eastAsia="Palatino Linotype" w:hAnsi="Palatino Linotype" w:cs="Palatino Linotype"/>
          <w:color w:val="000000"/>
          <w:sz w:val="28"/>
        </w:rPr>
      </w:pPr>
      <w:r w:rsidRPr="002B69BB">
        <w:rPr>
          <w:rFonts w:ascii="Palatino Linotype" w:eastAsia="Palatino Linotype" w:hAnsi="Palatino Linotype" w:cs="Palatino Linotype"/>
          <w:b/>
          <w:color w:val="000000"/>
          <w:sz w:val="28"/>
        </w:rPr>
        <w:t>SEGUNDO. De la falta de respuesta del Sujeto Obligado.</w:t>
      </w:r>
    </w:p>
    <w:p w14:paraId="0A0C2947" w14:textId="77777777" w:rsidR="00DE159D" w:rsidRDefault="00DE159D" w:rsidP="00DE159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proporcionó respuesta a las solicitudes de información </w:t>
      </w:r>
      <w:r>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0F984A95" w14:textId="77777777" w:rsidR="00DE159D" w:rsidRDefault="00DE159D" w:rsidP="00DE159D">
      <w:pPr>
        <w:spacing w:line="360" w:lineRule="auto"/>
        <w:ind w:right="616"/>
        <w:jc w:val="both"/>
        <w:rPr>
          <w:rFonts w:ascii="Palatino Linotype" w:hAnsi="Palatino Linotype"/>
          <w:bCs/>
        </w:rPr>
      </w:pPr>
    </w:p>
    <w:p w14:paraId="6071FC09" w14:textId="77777777" w:rsidR="00DE159D" w:rsidRDefault="00DE159D" w:rsidP="00DE159D">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14:paraId="0FDED12B" w14:textId="77777777" w:rsidR="00DE159D" w:rsidRDefault="00DE159D" w:rsidP="00DE159D">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Pr>
          <w:rFonts w:ascii="Palatino Linotype" w:hAnsi="Palatino Linotype"/>
        </w:rPr>
        <w:t>diez de septiembre de dos mil veinticuatro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6E1173">
        <w:rPr>
          <w:rFonts w:ascii="Palatino Linotype" w:eastAsia="Arial Unicode MS" w:hAnsi="Palatino Linotype" w:cs="Arial"/>
          <w:b/>
        </w:rPr>
        <w:t>0</w:t>
      </w:r>
      <w:r>
        <w:rPr>
          <w:rFonts w:ascii="Palatino Linotype" w:eastAsia="Arial Unicode MS" w:hAnsi="Palatino Linotype" w:cs="Arial"/>
          <w:b/>
        </w:rPr>
        <w:t>5580/INFOEM/IP/RR/2024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14:paraId="720B27AC" w14:textId="77777777" w:rsidR="00DE159D" w:rsidRDefault="00DE159D" w:rsidP="00DE159D">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14:paraId="30FDF582" w14:textId="77777777" w:rsidR="00DE159D" w:rsidRDefault="00DE159D" w:rsidP="00DE159D">
      <w:pPr>
        <w:pStyle w:val="INFOEM"/>
        <w:spacing w:line="240" w:lineRule="auto"/>
      </w:pPr>
      <w:r>
        <w:t>“</w:t>
      </w:r>
      <w:r w:rsidRPr="00381F2A">
        <w:t>Falta de respuesta</w:t>
      </w:r>
      <w:r>
        <w:t>” (Sic)</w:t>
      </w:r>
    </w:p>
    <w:p w14:paraId="19C0582B" w14:textId="77777777" w:rsidR="00DE159D" w:rsidRPr="00CA3287" w:rsidRDefault="00DE159D" w:rsidP="00DE159D">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14:paraId="0303183B" w14:textId="77777777" w:rsidR="00DE159D" w:rsidRDefault="00DE159D" w:rsidP="00DE159D">
      <w:pPr>
        <w:pStyle w:val="INFOEM"/>
        <w:spacing w:line="240" w:lineRule="auto"/>
        <w:ind w:left="780"/>
      </w:pPr>
      <w:r>
        <w:t>“</w:t>
      </w:r>
      <w:r w:rsidRPr="00381F2A">
        <w:t>Falta de respuesta</w:t>
      </w:r>
      <w:r>
        <w:t>” (Sic)</w:t>
      </w:r>
    </w:p>
    <w:p w14:paraId="28C54229" w14:textId="77777777" w:rsidR="00DE159D" w:rsidRDefault="00DE159D" w:rsidP="00DE159D">
      <w:pPr>
        <w:spacing w:before="240" w:line="360" w:lineRule="auto"/>
        <w:jc w:val="both"/>
        <w:rPr>
          <w:rFonts w:ascii="Palatino Linotype" w:hAnsi="Palatino Linotype" w:cs="Arial"/>
          <w:b/>
          <w:sz w:val="28"/>
          <w:szCs w:val="22"/>
          <w:lang w:val="es-MX"/>
        </w:rPr>
      </w:pPr>
    </w:p>
    <w:p w14:paraId="3287F79D" w14:textId="77777777" w:rsidR="00DE159D" w:rsidRPr="002C3EC8" w:rsidRDefault="00DE159D" w:rsidP="00DE159D">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25330EEA" w14:textId="77777777" w:rsidR="00DE159D" w:rsidRPr="002C3EC8" w:rsidRDefault="00DE159D" w:rsidP="00DE159D">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once de septiembre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32CFE86C" w14:textId="77777777" w:rsidR="00DE159D" w:rsidRDefault="00DE159D" w:rsidP="00DE159D">
      <w:pPr>
        <w:spacing w:line="360" w:lineRule="auto"/>
        <w:ind w:right="49"/>
        <w:jc w:val="both"/>
        <w:rPr>
          <w:rFonts w:ascii="Palatino Linotype" w:hAnsi="Palatino Linotype" w:cs="Arial"/>
          <w:lang w:val="es-ES_tradnl"/>
        </w:rPr>
      </w:pPr>
    </w:p>
    <w:p w14:paraId="6D1440A9" w14:textId="77777777" w:rsidR="00DE159D" w:rsidRPr="002C5D52" w:rsidRDefault="00DE159D" w:rsidP="00DE159D">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3D0193E6" w14:textId="77777777" w:rsidR="00DE159D" w:rsidRDefault="00DE159D" w:rsidP="00DE159D">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0093A5D1" w14:textId="77777777" w:rsidR="00DE159D" w:rsidRPr="00DD2E32" w:rsidRDefault="00DE159D" w:rsidP="00DE159D">
      <w:pPr>
        <w:spacing w:line="360" w:lineRule="auto"/>
        <w:jc w:val="both"/>
        <w:rPr>
          <w:rFonts w:ascii="Palatino Linotype" w:hAnsi="Palatino Linotype" w:cs="Arial"/>
        </w:rPr>
      </w:pPr>
    </w:p>
    <w:p w14:paraId="3B4CEC70" w14:textId="77777777" w:rsidR="00DE159D" w:rsidRDefault="00DE159D" w:rsidP="00DE159D">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14:paraId="1117504B" w14:textId="77777777" w:rsidR="00DE159D" w:rsidRDefault="00DE159D" w:rsidP="00DE159D">
      <w:pPr>
        <w:spacing w:line="360" w:lineRule="auto"/>
        <w:jc w:val="both"/>
        <w:rPr>
          <w:rFonts w:ascii="Palatino Linotype" w:eastAsia="Calibri" w:hAnsi="Palatino Linotype" w:cs="Arial"/>
          <w:b/>
          <w:sz w:val="28"/>
          <w:szCs w:val="28"/>
          <w:lang w:val="es-MX" w:eastAsia="en-US"/>
        </w:rPr>
      </w:pPr>
    </w:p>
    <w:p w14:paraId="467016C0" w14:textId="77777777" w:rsidR="00DE159D" w:rsidRDefault="00DE159D" w:rsidP="00DE159D">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14:paraId="5525A4DB" w14:textId="77777777" w:rsidR="00DE159D" w:rsidRDefault="00DE159D" w:rsidP="00DE159D">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Pr>
          <w:rFonts w:ascii="Palatino Linotype" w:eastAsia="Calibri" w:hAnsi="Palatino Linotype" w:cs="Arial"/>
          <w:b/>
          <w:lang w:val="es-MX" w:eastAsia="en-US"/>
        </w:rPr>
        <w:t>veinticuatro de septiembre de dos mil veinticuatro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20324EFC" w14:textId="77777777" w:rsidR="00DE159D" w:rsidRDefault="00DE159D" w:rsidP="00DE159D">
      <w:pPr>
        <w:spacing w:line="360" w:lineRule="auto"/>
        <w:jc w:val="both"/>
        <w:rPr>
          <w:rFonts w:ascii="Palatino Linotype" w:eastAsia="Calibri" w:hAnsi="Palatino Linotype" w:cs="Arial"/>
          <w:lang w:val="es-MX" w:eastAsia="en-US"/>
        </w:rPr>
      </w:pPr>
    </w:p>
    <w:p w14:paraId="450CE2D4" w14:textId="77777777" w:rsidR="00DE159D" w:rsidRPr="00E3454E" w:rsidRDefault="00DE159D" w:rsidP="00DE159D">
      <w:pPr>
        <w:spacing w:line="360" w:lineRule="auto"/>
        <w:jc w:val="both"/>
        <w:rPr>
          <w:rFonts w:ascii="Palatino Linotype" w:eastAsia="Calibri" w:hAnsi="Palatino Linotype" w:cs="Arial"/>
          <w:lang w:val="es-MX" w:eastAsia="en-US"/>
        </w:rPr>
      </w:pPr>
    </w:p>
    <w:p w14:paraId="1A66AB38" w14:textId="77777777" w:rsidR="00DE159D" w:rsidRPr="0024200F" w:rsidRDefault="00DE159D" w:rsidP="00DE159D">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6FC352C4" w14:textId="77777777" w:rsidR="00DE159D" w:rsidRPr="00825F67" w:rsidRDefault="00DE159D" w:rsidP="00DE159D">
      <w:pPr>
        <w:spacing w:line="360" w:lineRule="auto"/>
        <w:ind w:right="49"/>
        <w:jc w:val="both"/>
        <w:rPr>
          <w:rFonts w:ascii="Palatino Linotype" w:hAnsi="Palatino Linotype"/>
          <w:szCs w:val="28"/>
        </w:rPr>
      </w:pPr>
    </w:p>
    <w:p w14:paraId="334B17B9" w14:textId="77777777" w:rsidR="00DE159D" w:rsidRPr="00FB3150" w:rsidRDefault="00DE159D" w:rsidP="00DE159D">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62D9EB0C" w14:textId="77777777" w:rsidR="00DE159D" w:rsidRPr="007C6AB6" w:rsidRDefault="00DE159D" w:rsidP="00DE159D">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D1B1934" w14:textId="77777777" w:rsidR="00DE159D" w:rsidRPr="002C3EC8" w:rsidRDefault="00DE159D" w:rsidP="00DE159D">
      <w:pPr>
        <w:spacing w:before="240" w:line="360" w:lineRule="auto"/>
        <w:jc w:val="both"/>
        <w:rPr>
          <w:rFonts w:ascii="Palatino Linotype" w:eastAsia="Calibri" w:hAnsi="Palatino Linotype"/>
          <w:b/>
          <w:color w:val="000000" w:themeColor="text1"/>
        </w:rPr>
      </w:pPr>
    </w:p>
    <w:p w14:paraId="73A2C4AB" w14:textId="77777777" w:rsidR="00DE159D" w:rsidRPr="002C3EC8" w:rsidRDefault="00DE159D" w:rsidP="00DE159D">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465FB9B9" w14:textId="77777777" w:rsidR="00DE159D" w:rsidRPr="00207E23" w:rsidRDefault="00DE159D" w:rsidP="00DE159D">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164D3BC" w14:textId="77777777" w:rsidR="00DE159D" w:rsidRPr="00821CCD" w:rsidRDefault="00DE159D" w:rsidP="00DE159D">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741BB1DB" w14:textId="77777777" w:rsidR="00DE159D" w:rsidRPr="00821CCD" w:rsidRDefault="00DE159D" w:rsidP="00DE159D">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6583013D" w14:textId="77777777" w:rsidR="00DE159D" w:rsidRPr="00821CCD" w:rsidRDefault="00DE159D" w:rsidP="00DE159D">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6DD3638A" w14:textId="77777777" w:rsidR="00DE159D" w:rsidRPr="00821CCD" w:rsidRDefault="00DE159D" w:rsidP="00DE159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619E91ED" w14:textId="77777777" w:rsidR="00DE159D" w:rsidRPr="00821CCD" w:rsidRDefault="00DE159D" w:rsidP="00DE159D">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1B512769" w14:textId="77777777" w:rsidR="00DE159D" w:rsidRPr="00821CCD" w:rsidRDefault="00DE159D" w:rsidP="00DE159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1361B9B8" w14:textId="77777777" w:rsidR="00DE159D" w:rsidRPr="00821CCD" w:rsidRDefault="00DE159D" w:rsidP="00DE159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271E81C4" w14:textId="77777777" w:rsidR="00DE159D" w:rsidRPr="00821CCD" w:rsidRDefault="00DE159D" w:rsidP="00DE159D">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5864FF56" w14:textId="77777777" w:rsidR="00DE159D" w:rsidRPr="00821CCD" w:rsidRDefault="00DE159D" w:rsidP="00DE159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35A47CDB" w14:textId="77777777" w:rsidR="00DE159D" w:rsidRPr="00821CCD" w:rsidRDefault="00DE159D" w:rsidP="00DE159D">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0256A5A5" w14:textId="77777777" w:rsidR="00DE159D" w:rsidRPr="00821CCD" w:rsidRDefault="00DE159D" w:rsidP="00DE159D">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511D5460" w14:textId="77777777" w:rsidR="00DE159D" w:rsidRPr="00821CCD" w:rsidRDefault="00DE159D" w:rsidP="00DE159D">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6D3AD1DF" w14:textId="77777777" w:rsidR="00DE159D" w:rsidRPr="00821CCD" w:rsidRDefault="00DE159D" w:rsidP="00DE159D">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0492578B" w14:textId="77777777" w:rsidR="00DE159D" w:rsidRPr="00821CCD" w:rsidRDefault="00DE159D" w:rsidP="00DE159D">
      <w:pPr>
        <w:autoSpaceDE w:val="0"/>
        <w:autoSpaceDN w:val="0"/>
        <w:adjustRightInd w:val="0"/>
        <w:spacing w:before="240" w:line="360" w:lineRule="auto"/>
        <w:jc w:val="both"/>
        <w:rPr>
          <w:rFonts w:ascii="Palatino Linotype" w:hAnsi="Palatino Linotype"/>
        </w:rPr>
      </w:pPr>
    </w:p>
    <w:p w14:paraId="7D3528F6" w14:textId="77777777" w:rsidR="00DE159D" w:rsidRPr="00821CCD" w:rsidRDefault="00DE159D" w:rsidP="00DE159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DE159D" w:rsidRPr="00821CCD" w14:paraId="4A26EEC8" w14:textId="77777777" w:rsidTr="000C785B">
        <w:trPr>
          <w:trHeight w:val="1360"/>
        </w:trPr>
        <w:tc>
          <w:tcPr>
            <w:tcW w:w="7982" w:type="dxa"/>
          </w:tcPr>
          <w:p w14:paraId="7B7171C8" w14:textId="77777777" w:rsidR="00DE159D" w:rsidRPr="00821CCD" w:rsidRDefault="00DE159D" w:rsidP="000C785B">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2A34280" w14:textId="77777777" w:rsidR="00DE159D" w:rsidRPr="00821CCD" w:rsidRDefault="00DE159D" w:rsidP="00DE159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DE159D" w:rsidRPr="00821CCD" w14:paraId="0D6E6AFA" w14:textId="77777777" w:rsidTr="000C785B">
        <w:trPr>
          <w:jc w:val="center"/>
        </w:trPr>
        <w:tc>
          <w:tcPr>
            <w:tcW w:w="8075" w:type="dxa"/>
          </w:tcPr>
          <w:p w14:paraId="5C3B0C27" w14:textId="77777777" w:rsidR="00DE159D" w:rsidRPr="00821CCD" w:rsidRDefault="00DE159D" w:rsidP="000C785B">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604E2455" w14:textId="77777777" w:rsidR="00DE159D" w:rsidRPr="00821CCD" w:rsidRDefault="00DE159D" w:rsidP="000C785B">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0D4CDDC" w14:textId="77777777" w:rsidR="00DE159D" w:rsidRPr="00821CCD" w:rsidRDefault="00DE159D" w:rsidP="000C785B">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6EEA49DC" w14:textId="77777777" w:rsidR="00DE159D" w:rsidRPr="00821CCD" w:rsidRDefault="00DE159D" w:rsidP="000C785B">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Para efectos de lo dispuesto en el presente artículo se observará lo siguiente: A. Para el ejercicio del derecho de acceso a la información, la Federación, los Estados </w:t>
            </w:r>
            <w:r w:rsidRPr="00821CCD">
              <w:rPr>
                <w:rFonts w:ascii="Palatino Linotype" w:hAnsi="Palatino Linotype"/>
                <w:i/>
              </w:rPr>
              <w:lastRenderedPageBreak/>
              <w:t>y el Distrito Federal, en el ámbito de sus respectivas competencias, se regirán por los siguientes principios y bases:</w:t>
            </w:r>
          </w:p>
          <w:p w14:paraId="2D206E11" w14:textId="77777777" w:rsidR="00DE159D" w:rsidRPr="00821CCD" w:rsidRDefault="00DE159D" w:rsidP="000C785B">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502B4071" w14:textId="77777777" w:rsidR="00DE159D" w:rsidRPr="00821CCD" w:rsidRDefault="00DE159D" w:rsidP="000C785B">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265406B8" w14:textId="77777777" w:rsidR="00DE159D" w:rsidRPr="00821CCD" w:rsidRDefault="00DE159D" w:rsidP="000C785B">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00928841" w14:textId="77777777" w:rsidR="00DE159D" w:rsidRPr="00821CCD" w:rsidRDefault="00DE159D" w:rsidP="000C785B">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1081DD10"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610A722C"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68CAF2A3"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4CCB47E8"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w:t>
            </w:r>
          </w:p>
          <w:p w14:paraId="2D927051"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65EB8F84"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8EDAEB8"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715494AB" w14:textId="77777777" w:rsidR="00DE159D" w:rsidRPr="00821CCD" w:rsidRDefault="00DE159D" w:rsidP="000C785B">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54D85D6E" w14:textId="77777777" w:rsidR="00DE159D" w:rsidRPr="00821CCD" w:rsidRDefault="00DE159D" w:rsidP="000C785B">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0B8521CD" w14:textId="77777777" w:rsidR="00DE159D" w:rsidRPr="00821CCD" w:rsidRDefault="00DE159D" w:rsidP="000C785B">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821CCD">
              <w:rPr>
                <w:rFonts w:ascii="Palatino Linotype" w:hAnsi="Palatino Linotype" w:cs="Arial"/>
                <w:i/>
              </w:rPr>
              <w:lastRenderedPageBreak/>
              <w:t>datos personales en posesión de los sujetos obligados en los términos que establezca la ley. (…)”</w:t>
            </w:r>
          </w:p>
        </w:tc>
      </w:tr>
    </w:tbl>
    <w:p w14:paraId="600AA075" w14:textId="77777777" w:rsidR="00DE159D" w:rsidRPr="00821CCD" w:rsidRDefault="00DE159D" w:rsidP="00DE159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12BA85B8" w14:textId="77777777" w:rsidR="00DE159D" w:rsidRPr="00821CCD" w:rsidRDefault="00DE159D" w:rsidP="00DE159D">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18A895D3" w14:textId="77777777" w:rsidR="00DE159D" w:rsidRDefault="00DE159D" w:rsidP="00DE159D">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688790D" w14:textId="77777777" w:rsidR="00DE159D" w:rsidRDefault="00DE159D" w:rsidP="00DE159D">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14:paraId="0C98A072" w14:textId="77777777" w:rsidR="00DE159D" w:rsidRPr="00B21190" w:rsidRDefault="00DE159D" w:rsidP="00DE159D">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64FFC25" w14:textId="77777777" w:rsidR="00DE159D" w:rsidRPr="00B21190" w:rsidRDefault="00DE159D" w:rsidP="00DE159D">
      <w:pPr>
        <w:pStyle w:val="Prrafodelista"/>
        <w:autoSpaceDE w:val="0"/>
        <w:autoSpaceDN w:val="0"/>
        <w:adjustRightInd w:val="0"/>
        <w:spacing w:line="360" w:lineRule="auto"/>
        <w:ind w:left="0"/>
        <w:jc w:val="both"/>
        <w:rPr>
          <w:rFonts w:ascii="Palatino Linotype" w:hAnsi="Palatino Linotype" w:cs="Arial"/>
        </w:rPr>
      </w:pPr>
    </w:p>
    <w:p w14:paraId="55890343" w14:textId="77777777" w:rsidR="00DE159D" w:rsidRDefault="00DE159D" w:rsidP="00DE159D">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lastRenderedPageBreak/>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44F09CB" w14:textId="77777777" w:rsidR="00DE159D" w:rsidRPr="00B21190" w:rsidRDefault="00DE159D" w:rsidP="00DE159D">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14:paraId="67376C2A"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w:t>
      </w:r>
      <w:r w:rsidRPr="00B21190">
        <w:rPr>
          <w:rFonts w:ascii="Palatino Linotype" w:hAnsi="Palatino Linotype" w:cs="Arial"/>
        </w:rPr>
        <w:lastRenderedPageBreak/>
        <w:t>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543D62AB" w14:textId="77777777" w:rsidR="00DE159D" w:rsidRPr="00B21190" w:rsidRDefault="00DE159D" w:rsidP="00DE159D">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51FF2B0A" w14:textId="77777777" w:rsidR="00DE159D" w:rsidRPr="006A6545" w:rsidRDefault="00DE159D" w:rsidP="00DE159D">
      <w:pPr>
        <w:pStyle w:val="Prrafodelista"/>
        <w:autoSpaceDE w:val="0"/>
        <w:autoSpaceDN w:val="0"/>
        <w:adjustRightInd w:val="0"/>
        <w:spacing w:before="240" w:after="160" w:line="360" w:lineRule="auto"/>
        <w:ind w:left="0"/>
        <w:jc w:val="both"/>
        <w:rPr>
          <w:rFonts w:ascii="Palatino Linotype" w:hAnsi="Palatino Linotype" w:cs="Arial"/>
        </w:rPr>
      </w:pPr>
      <w:r w:rsidRPr="00B21190">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522EE35" w14:textId="77777777" w:rsidR="00DE159D" w:rsidRDefault="00DE159D" w:rsidP="00DE159D">
      <w:pPr>
        <w:tabs>
          <w:tab w:val="left" w:pos="709"/>
        </w:tabs>
        <w:spacing w:line="360" w:lineRule="auto"/>
        <w:jc w:val="both"/>
        <w:rPr>
          <w:rFonts w:ascii="Palatino Linotype" w:hAnsi="Palatino Linotype" w:cs="Arial"/>
        </w:rPr>
      </w:pPr>
    </w:p>
    <w:p w14:paraId="68193D58" w14:textId="77777777" w:rsidR="00DE159D" w:rsidRPr="004D52B1" w:rsidRDefault="00DE159D" w:rsidP="00DE159D">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14:paraId="2B534DDC" w14:textId="77777777" w:rsidR="00DE159D" w:rsidRPr="004D52B1" w:rsidRDefault="00DE159D" w:rsidP="00DE159D">
      <w:pPr>
        <w:tabs>
          <w:tab w:val="left" w:pos="709"/>
        </w:tabs>
        <w:spacing w:line="360" w:lineRule="auto"/>
        <w:jc w:val="both"/>
        <w:rPr>
          <w:rFonts w:ascii="Palatino Linotype" w:hAnsi="Palatino Linotype" w:cs="Arial"/>
        </w:rPr>
      </w:pPr>
    </w:p>
    <w:p w14:paraId="35DEB22F" w14:textId="77777777" w:rsidR="00DE159D" w:rsidRDefault="00DE159D" w:rsidP="00DE159D">
      <w:pPr>
        <w:tabs>
          <w:tab w:val="left" w:pos="709"/>
        </w:tabs>
        <w:spacing w:line="360" w:lineRule="auto"/>
        <w:jc w:val="both"/>
        <w:rPr>
          <w:rFonts w:ascii="Palatino Linotype" w:hAnsi="Palatino Linotype" w:cs="Arial"/>
        </w:rPr>
      </w:pPr>
      <w:r w:rsidRPr="004D52B1">
        <w:rPr>
          <w:rFonts w:ascii="Palatino Linotype" w:hAnsi="Palatino Linotype" w:cs="Arial"/>
        </w:rPr>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3B6696EE" w14:textId="77777777" w:rsidR="00DE159D" w:rsidRDefault="00DE159D" w:rsidP="00DE159D">
      <w:pPr>
        <w:tabs>
          <w:tab w:val="left" w:pos="709"/>
        </w:tabs>
        <w:spacing w:line="360" w:lineRule="auto"/>
        <w:jc w:val="both"/>
        <w:rPr>
          <w:rFonts w:ascii="Palatino Linotype" w:hAnsi="Palatino Linotype" w:cs="Arial"/>
        </w:rPr>
      </w:pPr>
    </w:p>
    <w:p w14:paraId="69B90AD7" w14:textId="77777777" w:rsidR="00DE159D" w:rsidRDefault="00DE159D" w:rsidP="00DE159D">
      <w:pPr>
        <w:tabs>
          <w:tab w:val="left" w:pos="709"/>
        </w:tabs>
        <w:spacing w:line="360" w:lineRule="auto"/>
        <w:jc w:val="both"/>
        <w:rPr>
          <w:rFonts w:ascii="Palatino Linotype" w:hAnsi="Palatino Linotype" w:cs="Arial"/>
        </w:rPr>
      </w:pPr>
      <w:r>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14:paraId="7AE1C6E6" w14:textId="77777777" w:rsidR="00DE159D" w:rsidRPr="00F74FB1" w:rsidRDefault="00DE159D" w:rsidP="00DE159D">
      <w:pPr>
        <w:pStyle w:val="Citas"/>
        <w:rPr>
          <w:b/>
          <w:bCs/>
        </w:rPr>
      </w:pPr>
      <w:r>
        <w:rPr>
          <w:b/>
          <w:bCs/>
        </w:rPr>
        <w:t>“</w:t>
      </w:r>
      <w:r w:rsidRPr="00F74FB1">
        <w:rPr>
          <w:b/>
          <w:bCs/>
        </w:rPr>
        <w:t>IMPROCEDENCIA. ESTUDIO PREFERENCIAL DE LAS CAUSALES PREVISTAS EN EL ARTÍCULO 73 DE LA LEY DE AMPARO.</w:t>
      </w:r>
    </w:p>
    <w:p w14:paraId="42985BDE" w14:textId="77777777" w:rsidR="00DE159D" w:rsidRDefault="00DE159D" w:rsidP="00DE159D">
      <w:pPr>
        <w:pStyle w:val="Citas"/>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expresado por el recurrente. Esto es así porque si bien el artículo 73 prevé diversas causas de improcedencia y todas ellas conducen a decretar el sobreseimiento en el </w:t>
      </w:r>
      <w:r>
        <w:lastRenderedPageBreak/>
        <w:t xml:space="preserve">juicio, sin analizar el fondo del asunto, de entre ellas existen algunas cuyo orden de importancia amerita que se estudien de </w:t>
      </w:r>
      <w:r w:rsidRPr="00F74FB1">
        <w:t>forma preferente.</w:t>
      </w:r>
      <w:r>
        <w:t xml:space="preserv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6A09264B" w14:textId="77777777" w:rsidR="00DE159D" w:rsidRDefault="00DE159D" w:rsidP="00DE159D">
      <w:pPr>
        <w:pStyle w:val="Citas"/>
      </w:pPr>
      <w:r>
        <w:t>Amparo en revisión 355/98. Raúl Salinas de Gortari. 1o. de abril de 1998. Cinco votos. Ponente: José de Jesús Gudiño Pelayo. Secretario: Mario Flores García.</w:t>
      </w:r>
    </w:p>
    <w:p w14:paraId="7C0EF27E" w14:textId="77777777" w:rsidR="00DE159D" w:rsidRDefault="00DE159D" w:rsidP="00DE159D">
      <w:pPr>
        <w:pStyle w:val="Citas"/>
      </w:pPr>
      <w:r>
        <w:t>Amparo en revisión 807/98. Byron Jackson Co., S.A. de C.V. 24 de junio de 1998. Cinco votos. Ponente: José de Jesús Gudiño Pelayo. Secretario: Miguel Ángel Ramírez González.</w:t>
      </w:r>
    </w:p>
    <w:p w14:paraId="6479D783" w14:textId="77777777" w:rsidR="00DE159D" w:rsidRDefault="00DE159D" w:rsidP="00DE159D">
      <w:pPr>
        <w:pStyle w:val="Citas"/>
      </w:pPr>
      <w:r w:rsidRPr="00A65594">
        <w:t>A</w:t>
      </w:r>
      <w:r>
        <w:t>mparo en revisión 2257/97. Servicios Hoteleros Presidente San José del Cabo, S.A. de C.V. 4 de noviembre de 1998. Unanimidad de cuatro votos. Ausente: Juan N. Silva Meza. Ponente: Humberto Román Palacios. Secretario: Álvaro Tovilla León.</w:t>
      </w:r>
    </w:p>
    <w:p w14:paraId="314DB3A7" w14:textId="77777777" w:rsidR="00DE159D" w:rsidRDefault="00DE159D" w:rsidP="00DE159D">
      <w:pPr>
        <w:pStyle w:val="Citas"/>
      </w:pPr>
      <w:r>
        <w:t xml:space="preserve">Amparo en revisión 1753/98. Seguros Comercial América, S.A. de C.V. 11 de noviembre de 1998. Unanimidad de cuatro votos. Ausente: José de Jesús Gudiño </w:t>
      </w:r>
      <w:r>
        <w:lastRenderedPageBreak/>
        <w:t>Pelayo. Ponente: José de Jesús Gudiño Pelayo; en su ausencia hizo suyo el asunto el Ministro Juan N. Silva Meza. Secretario: Mario Flores García.</w:t>
      </w:r>
    </w:p>
    <w:p w14:paraId="0CF1D933" w14:textId="77777777" w:rsidR="00DE159D" w:rsidRDefault="00DE159D" w:rsidP="00DE159D">
      <w:pPr>
        <w:pStyle w:val="Citas"/>
      </w:pPr>
      <w:r>
        <w:t>Amparo en revisión 2447/98. José Virgilio Hernández. 18 de noviembre de 1998. Unanimidad de cuatro votos. Ausente: José de Jesús Gudiño Pelayo. Ponente: Humberto Román Palacios. Secretario: Urbano Martínez Hernández.</w:t>
      </w:r>
    </w:p>
    <w:p w14:paraId="3526309A" w14:textId="77777777" w:rsidR="00DE159D" w:rsidRPr="00F74FB1" w:rsidRDefault="00DE159D" w:rsidP="00DE159D">
      <w:pPr>
        <w:pStyle w:val="Citas"/>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14:paraId="15234AD5" w14:textId="77777777" w:rsidR="00DE159D" w:rsidRDefault="00DE159D" w:rsidP="00DE159D">
      <w:pPr>
        <w:tabs>
          <w:tab w:val="left" w:pos="709"/>
        </w:tabs>
        <w:spacing w:line="360" w:lineRule="auto"/>
        <w:jc w:val="both"/>
        <w:rPr>
          <w:rFonts w:ascii="Palatino Linotype" w:hAnsi="Palatino Linotype" w:cs="Arial"/>
        </w:rPr>
      </w:pPr>
    </w:p>
    <w:p w14:paraId="05FA7A6A" w14:textId="77777777" w:rsidR="00DE159D" w:rsidRDefault="00DE159D" w:rsidP="00DE159D">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Pr>
          <w:rFonts w:ascii="Palatino Linotype" w:hAnsi="Palatino Linotype" w:cs="Arial"/>
          <w:b/>
          <w:bCs/>
        </w:rPr>
        <w:t xml:space="preserve">00034/XALATLA/IP/2024, </w:t>
      </w:r>
      <w:r>
        <w:rPr>
          <w:rFonts w:ascii="Palatino Linotype" w:hAnsi="Palatino Linotype" w:cs="Arial"/>
        </w:rPr>
        <w:t xml:space="preserve">que dispone a la literalidad lo siguiente: </w:t>
      </w:r>
    </w:p>
    <w:p w14:paraId="7536EE59" w14:textId="77777777" w:rsidR="00DE159D" w:rsidRDefault="00DE159D" w:rsidP="00DE159D">
      <w:pPr>
        <w:pStyle w:val="Citas"/>
        <w:rPr>
          <w:b/>
          <w:bCs/>
          <w:lang w:val="en-US"/>
        </w:rPr>
      </w:pPr>
      <w:r>
        <w:t>“</w:t>
      </w:r>
      <w:r w:rsidRPr="00DE159D">
        <w:t xml:space="preserve">tipo de romance entre el presidente y la regidora </w:t>
      </w:r>
      <w:r w:rsidRPr="00547C4C">
        <w:rPr>
          <w:lang w:val="en-US"/>
        </w:rPr>
        <w:t>“(</w:t>
      </w:r>
      <w:r w:rsidRPr="00381F2A">
        <w:rPr>
          <w:bCs/>
          <w:lang w:val="en-US"/>
        </w:rPr>
        <w:t>Sic)</w:t>
      </w:r>
    </w:p>
    <w:p w14:paraId="5762D53A" w14:textId="77777777" w:rsidR="00DE159D" w:rsidRDefault="00DE159D" w:rsidP="00DE159D">
      <w:pPr>
        <w:spacing w:before="240" w:line="360" w:lineRule="auto"/>
        <w:jc w:val="both"/>
        <w:rPr>
          <w:rFonts w:ascii="Palatino Linotype" w:eastAsiaTheme="minorHAnsi" w:hAnsi="Palatino Linotype" w:cs="Arial"/>
          <w:b/>
          <w:bCs/>
          <w:i/>
          <w:szCs w:val="22"/>
          <w:lang w:val="en-US" w:eastAsia="en-US"/>
        </w:rPr>
      </w:pPr>
    </w:p>
    <w:p w14:paraId="059AE685" w14:textId="77777777" w:rsidR="00DE159D" w:rsidRDefault="00DE159D" w:rsidP="00DE159D">
      <w:pPr>
        <w:spacing w:before="240" w:line="360" w:lineRule="auto"/>
        <w:jc w:val="both"/>
        <w:rPr>
          <w:rFonts w:ascii="Palatino Linotype" w:hAnsi="Palatino Linotype"/>
        </w:rPr>
      </w:pPr>
      <w:r w:rsidRPr="00060EA5">
        <w:rPr>
          <w:rFonts w:ascii="Palatino Linotype" w:hAnsi="Palatino Linotype"/>
        </w:rPr>
        <w:t>Inconforme con la</w:t>
      </w:r>
      <w:r>
        <w:rPr>
          <w:rFonts w:ascii="Palatino Linotype" w:hAnsi="Palatino Linotype"/>
        </w:rPr>
        <w:t xml:space="preserve"> falta de respuesta del </w:t>
      </w:r>
      <w:r>
        <w:rPr>
          <w:rFonts w:ascii="Palatino Linotype" w:hAnsi="Palatino Linotype"/>
          <w:b/>
          <w:bCs/>
        </w:rPr>
        <w:t xml:space="preserve">Sujeto Obligado, El Recurrente </w:t>
      </w:r>
      <w:r>
        <w:rPr>
          <w:rFonts w:ascii="Palatino Linotype" w:hAnsi="Palatino Linotype"/>
        </w:rPr>
        <w:t>interpuso recurso de revisión señalando como acto impugnado y como razones o motivos de inconformidad:</w:t>
      </w:r>
    </w:p>
    <w:p w14:paraId="228A24A1" w14:textId="77777777" w:rsidR="00DE159D" w:rsidRDefault="00DE159D" w:rsidP="00DE159D">
      <w:pPr>
        <w:spacing w:before="240" w:line="360" w:lineRule="auto"/>
        <w:jc w:val="both"/>
        <w:rPr>
          <w:rFonts w:ascii="Palatino Linotype" w:hAnsi="Palatino Linotype" w:cs="Arial"/>
          <w:b/>
        </w:rPr>
      </w:pPr>
      <w:r>
        <w:rPr>
          <w:rFonts w:ascii="Palatino Linotype" w:hAnsi="Palatino Linotype" w:cs="Arial"/>
          <w:b/>
        </w:rPr>
        <w:t>Acto Impugnado y Razones o Motivos de Inconformidad:</w:t>
      </w:r>
    </w:p>
    <w:p w14:paraId="28AC03B0" w14:textId="77777777" w:rsidR="00DE159D" w:rsidRPr="00F10B2F" w:rsidRDefault="00DE159D" w:rsidP="00DE159D">
      <w:pPr>
        <w:pStyle w:val="Citas"/>
        <w:rPr>
          <w:b/>
          <w:bCs/>
        </w:rPr>
      </w:pPr>
      <w:r w:rsidRPr="0070251A">
        <w:t>“</w:t>
      </w:r>
      <w:r w:rsidRPr="00381F2A">
        <w:t>Falta de respuesta</w:t>
      </w:r>
      <w:r w:rsidRPr="0070251A">
        <w:t>”</w:t>
      </w:r>
      <w:r w:rsidRPr="00F10B2F">
        <w:t xml:space="preserve"> </w:t>
      </w:r>
      <w:r>
        <w:rPr>
          <w:b/>
          <w:bCs/>
        </w:rPr>
        <w:t>(Sic)</w:t>
      </w:r>
    </w:p>
    <w:p w14:paraId="6A16508D" w14:textId="77777777" w:rsidR="00DE159D" w:rsidRDefault="00DE159D" w:rsidP="00DE159D">
      <w:pPr>
        <w:pStyle w:val="Prrafodelista"/>
        <w:spacing w:line="360" w:lineRule="auto"/>
        <w:ind w:left="0"/>
        <w:contextualSpacing/>
        <w:jc w:val="both"/>
        <w:rPr>
          <w:rFonts w:ascii="Palatino Linotype" w:hAnsi="Palatino Linotype"/>
          <w:iCs/>
        </w:rPr>
      </w:pPr>
    </w:p>
    <w:p w14:paraId="751D145A" w14:textId="77777777" w:rsidR="00DE159D" w:rsidRPr="00C94BC0" w:rsidRDefault="00DE159D" w:rsidP="00DE159D">
      <w:pPr>
        <w:spacing w:line="360" w:lineRule="auto"/>
        <w:jc w:val="both"/>
        <w:rPr>
          <w:lang w:val="es-ES_tradnl"/>
        </w:rPr>
      </w:pPr>
      <w:r>
        <w:rPr>
          <w:rFonts w:ascii="Palatino Linotype" w:hAnsi="Palatino Linotype"/>
          <w:iCs/>
        </w:rPr>
        <w:t>Ahora bien</w:t>
      </w:r>
      <w:r w:rsidRPr="00C94BC0">
        <w:rPr>
          <w:rFonts w:ascii="Palatino Linotype" w:hAnsi="Palatino Linotype"/>
          <w:iCs/>
        </w:rPr>
        <w:t xml:space="preserve">, el criterio </w:t>
      </w:r>
      <w:r w:rsidRPr="00C94BC0">
        <w:rPr>
          <w:rFonts w:ascii="Palatino Linotype" w:hAnsi="Palatino Linotype" w:cs="Arial"/>
          <w:color w:val="000000"/>
          <w:lang w:val="es-ES_tradnl"/>
        </w:rPr>
        <w:t xml:space="preserve">03-17, emitido por </w:t>
      </w:r>
      <w:r w:rsidRPr="00C94BC0">
        <w:rPr>
          <w:rFonts w:ascii="Palatino Linotype" w:eastAsia="Arial Unicode MS" w:hAnsi="Palatino Linotype" w:cs="Arial"/>
          <w:color w:val="000000"/>
          <w:lang w:val="es-ES_tradnl"/>
        </w:rPr>
        <w:t>el Instituto Nacional de Transparencia, Acceso a la Información y Protección de Datos Personales cuyo rubro y te</w:t>
      </w:r>
      <w:r>
        <w:rPr>
          <w:rFonts w:ascii="Palatino Linotype" w:eastAsia="Arial Unicode MS" w:hAnsi="Palatino Linotype" w:cs="Arial"/>
          <w:color w:val="000000"/>
          <w:lang w:val="es-ES_tradnl"/>
        </w:rPr>
        <w:t>xto dispone a la literalidad lo</w:t>
      </w:r>
      <w:r w:rsidRPr="00C94BC0">
        <w:rPr>
          <w:rFonts w:ascii="Palatino Linotype" w:eastAsia="Arial Unicode MS" w:hAnsi="Palatino Linotype" w:cs="Arial"/>
          <w:color w:val="000000"/>
          <w:lang w:val="es-ES_tradnl"/>
        </w:rPr>
        <w:t xml:space="preserve"> siguiente: </w:t>
      </w:r>
    </w:p>
    <w:p w14:paraId="77A2A672" w14:textId="77777777" w:rsidR="00DE159D" w:rsidRDefault="00DE159D" w:rsidP="00DE159D">
      <w:pPr>
        <w:pStyle w:val="Citas"/>
        <w:rPr>
          <w:b/>
          <w:spacing w:val="18"/>
        </w:rPr>
      </w:pPr>
      <w:r>
        <w:rPr>
          <w:b/>
        </w:rPr>
        <w:t xml:space="preserve">“NO EXISTE OBLIGACIÓN DE ELABORAR </w:t>
      </w:r>
      <w:r w:rsidRPr="00465B9A">
        <w:rPr>
          <w:b/>
          <w:spacing w:val="-3"/>
        </w:rPr>
        <w:t>D</w:t>
      </w:r>
      <w:r w:rsidRPr="00465B9A">
        <w:rPr>
          <w:b/>
        </w:rPr>
        <w:t>OCUM</w:t>
      </w:r>
      <w:r w:rsidRPr="00465B9A">
        <w:rPr>
          <w:b/>
          <w:spacing w:val="1"/>
        </w:rPr>
        <w:t>E</w:t>
      </w:r>
      <w:r w:rsidRPr="00465B9A">
        <w:rPr>
          <w:b/>
        </w:rPr>
        <w:t>N</w:t>
      </w:r>
      <w:r w:rsidRPr="00465B9A">
        <w:rPr>
          <w:b/>
          <w:spacing w:val="-1"/>
        </w:rPr>
        <w:t>T</w:t>
      </w:r>
      <w:r w:rsidRPr="00465B9A">
        <w:rPr>
          <w:b/>
        </w:rPr>
        <w:t>OS</w:t>
      </w:r>
      <w:r w:rsidRPr="00465B9A">
        <w:rPr>
          <w:b/>
          <w:spacing w:val="14"/>
        </w:rPr>
        <w:t xml:space="preserve"> </w:t>
      </w:r>
      <w:r w:rsidRPr="00465B9A">
        <w:rPr>
          <w:b/>
          <w:spacing w:val="-1"/>
        </w:rPr>
        <w:t xml:space="preserve">AD </w:t>
      </w:r>
      <w:r w:rsidRPr="00465B9A">
        <w:rPr>
          <w:b/>
        </w:rPr>
        <w:t>HOC</w:t>
      </w:r>
      <w:r w:rsidRPr="00465B9A">
        <w:rPr>
          <w:b/>
          <w:spacing w:val="11"/>
        </w:rPr>
        <w:t xml:space="preserve"> </w:t>
      </w:r>
      <w:r w:rsidRPr="00465B9A">
        <w:rPr>
          <w:b/>
        </w:rPr>
        <w:t>PARA</w:t>
      </w:r>
      <w:r w:rsidRPr="00465B9A">
        <w:rPr>
          <w:b/>
          <w:spacing w:val="10"/>
        </w:rPr>
        <w:t xml:space="preserve"> </w:t>
      </w:r>
      <w:r>
        <w:rPr>
          <w:b/>
        </w:rPr>
        <w:t>ATENDER LAS S</w:t>
      </w:r>
      <w:r w:rsidRPr="00465B9A">
        <w:rPr>
          <w:b/>
        </w:rPr>
        <w:t>OL</w:t>
      </w:r>
      <w:r w:rsidRPr="00465B9A">
        <w:rPr>
          <w:b/>
          <w:spacing w:val="-2"/>
        </w:rPr>
        <w:t>I</w:t>
      </w:r>
      <w:r w:rsidRPr="00465B9A">
        <w:rPr>
          <w:b/>
          <w:spacing w:val="1"/>
        </w:rPr>
        <w:t>C</w:t>
      </w:r>
      <w:r w:rsidRPr="00465B9A">
        <w:rPr>
          <w:b/>
        </w:rPr>
        <w:t>ITUD</w:t>
      </w:r>
      <w:r>
        <w:rPr>
          <w:b/>
        </w:rPr>
        <w:t>ES</w:t>
      </w:r>
      <w:r w:rsidRPr="00465B9A">
        <w:rPr>
          <w:b/>
          <w:spacing w:val="10"/>
        </w:rPr>
        <w:t xml:space="preserve"> </w:t>
      </w:r>
      <w:r w:rsidRPr="00465B9A">
        <w:rPr>
          <w:b/>
        </w:rPr>
        <w:t>DE</w:t>
      </w:r>
      <w:r w:rsidRPr="00465B9A">
        <w:rPr>
          <w:b/>
          <w:spacing w:val="9"/>
        </w:rPr>
        <w:t xml:space="preserve"> </w:t>
      </w:r>
      <w:r w:rsidRPr="00465B9A">
        <w:rPr>
          <w:b/>
          <w:spacing w:val="1"/>
        </w:rPr>
        <w:t>AC</w:t>
      </w:r>
      <w:r w:rsidRPr="00465B9A">
        <w:rPr>
          <w:b/>
          <w:spacing w:val="-1"/>
        </w:rPr>
        <w:t>C</w:t>
      </w:r>
      <w:r w:rsidRPr="00465B9A">
        <w:rPr>
          <w:b/>
          <w:spacing w:val="1"/>
        </w:rPr>
        <w:t>ES</w:t>
      </w:r>
      <w:r w:rsidRPr="00465B9A">
        <w:rPr>
          <w:b/>
        </w:rPr>
        <w:t>O</w:t>
      </w:r>
      <w:r w:rsidRPr="00465B9A">
        <w:rPr>
          <w:b/>
          <w:spacing w:val="11"/>
        </w:rPr>
        <w:t xml:space="preserve"> </w:t>
      </w:r>
      <w:r w:rsidRPr="00465B9A">
        <w:rPr>
          <w:b/>
        </w:rPr>
        <w:t>A</w:t>
      </w:r>
      <w:r w:rsidRPr="00465B9A">
        <w:rPr>
          <w:b/>
          <w:spacing w:val="9"/>
        </w:rPr>
        <w:t xml:space="preserve"> </w:t>
      </w:r>
      <w:r w:rsidRPr="00465B9A">
        <w:rPr>
          <w:b/>
        </w:rPr>
        <w:t>LA</w:t>
      </w:r>
      <w:r w:rsidRPr="00465B9A">
        <w:rPr>
          <w:b/>
          <w:spacing w:val="10"/>
        </w:rPr>
        <w:t xml:space="preserve"> </w:t>
      </w:r>
      <w:r w:rsidRPr="00465B9A">
        <w:rPr>
          <w:b/>
        </w:rPr>
        <w:t>INFORMA</w:t>
      </w:r>
      <w:r w:rsidRPr="00465B9A">
        <w:rPr>
          <w:b/>
          <w:spacing w:val="1"/>
        </w:rPr>
        <w:t>C</w:t>
      </w:r>
      <w:r w:rsidRPr="00465B9A">
        <w:rPr>
          <w:b/>
        </w:rPr>
        <w:t>IÓ</w:t>
      </w:r>
      <w:r w:rsidRPr="00465B9A">
        <w:rPr>
          <w:b/>
          <w:spacing w:val="-2"/>
        </w:rPr>
        <w:t>N</w:t>
      </w:r>
      <w:r w:rsidRPr="00465B9A">
        <w:rPr>
          <w:b/>
        </w:rPr>
        <w:t>.</w:t>
      </w:r>
      <w:r w:rsidRPr="00465B9A">
        <w:rPr>
          <w:b/>
          <w:spacing w:val="18"/>
        </w:rPr>
        <w:t xml:space="preserve"> </w:t>
      </w:r>
    </w:p>
    <w:p w14:paraId="35D85708" w14:textId="77777777" w:rsidR="00DE159D" w:rsidRPr="00465B9A" w:rsidRDefault="00DE159D" w:rsidP="00DE159D">
      <w:pPr>
        <w:pStyle w:val="Citas"/>
      </w:pPr>
      <w:r w:rsidRPr="009805D7">
        <w:rPr>
          <w:spacing w:val="18"/>
        </w:rPr>
        <w:t>L</w:t>
      </w:r>
      <w:r>
        <w:rPr>
          <w:spacing w:val="-1"/>
        </w:rPr>
        <w:t xml:space="preserve">os </w:t>
      </w:r>
      <w:r w:rsidRPr="00465B9A">
        <w:rPr>
          <w:spacing w:val="1"/>
        </w:rPr>
        <w:t>a</w:t>
      </w:r>
      <w:r w:rsidRPr="00465B9A">
        <w:t>rt</w:t>
      </w:r>
      <w:r w:rsidRPr="00465B9A">
        <w:rPr>
          <w:spacing w:val="-2"/>
        </w:rPr>
        <w:t>í</w:t>
      </w:r>
      <w:r w:rsidRPr="00465B9A">
        <w:t>c</w:t>
      </w:r>
      <w:r w:rsidRPr="00465B9A">
        <w:rPr>
          <w:spacing w:val="1"/>
        </w:rPr>
        <w:t>u</w:t>
      </w:r>
      <w:r w:rsidRPr="00465B9A">
        <w:t>lo</w:t>
      </w:r>
      <w:r>
        <w:t>s</w:t>
      </w:r>
      <w:r w:rsidRPr="00465B9A">
        <w:rPr>
          <w:spacing w:val="8"/>
        </w:rPr>
        <w:t xml:space="preserve"> </w:t>
      </w:r>
      <w:r>
        <w:rPr>
          <w:spacing w:val="8"/>
        </w:rPr>
        <w:t xml:space="preserve">129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t>General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y </w:t>
      </w:r>
      <w:r>
        <w:rPr>
          <w:spacing w:val="8"/>
        </w:rPr>
        <w:t xml:space="preserve">130, párrafo cuarto,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rsidRPr="00465B9A">
        <w:t>Fe</w:t>
      </w:r>
      <w:r w:rsidRPr="00465B9A">
        <w:rPr>
          <w:spacing w:val="1"/>
        </w:rPr>
        <w:t>de</w:t>
      </w:r>
      <w:r w:rsidRPr="00465B9A">
        <w:t>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w:t>
      </w:r>
      <w:r>
        <w:rPr>
          <w:spacing w:val="-1"/>
        </w:rPr>
        <w:t>señalan</w:t>
      </w:r>
      <w:r w:rsidRPr="00465B9A">
        <w:rPr>
          <w:spacing w:val="1"/>
        </w:rPr>
        <w:t xml:space="preserve"> </w:t>
      </w:r>
      <w:r w:rsidRPr="00465B9A">
        <w:rPr>
          <w:spacing w:val="-1"/>
        </w:rPr>
        <w:t>q</w:t>
      </w:r>
      <w:r w:rsidRPr="00465B9A">
        <w:rPr>
          <w:spacing w:val="1"/>
        </w:rPr>
        <w:t>u</w:t>
      </w:r>
      <w:r w:rsidRPr="00465B9A">
        <w:t>e</w:t>
      </w:r>
      <w:r>
        <w:t xml:space="preserve"> los sujetos obligados</w:t>
      </w:r>
      <w:r w:rsidRPr="00465B9A">
        <w:t xml:space="preserve"> </w:t>
      </w:r>
      <w:r>
        <w:t>deberán otorgar acceso a los d</w:t>
      </w:r>
      <w:r w:rsidRPr="00465B9A">
        <w:t xml:space="preserve">ocumentos que se encuentren en </w:t>
      </w:r>
      <w:r>
        <w:t>sus</w:t>
      </w:r>
      <w:r w:rsidRPr="00465B9A">
        <w:t xml:space="preserve"> archivos</w:t>
      </w:r>
      <w:r>
        <w:t xml:space="preserve"> </w:t>
      </w:r>
      <w:r w:rsidRPr="00465B9A">
        <w:t>o que estén obligados a documentar</w:t>
      </w:r>
      <w:r>
        <w:t>,</w:t>
      </w:r>
      <w:r w:rsidRPr="00465B9A">
        <w:t xml:space="preserve"> de acuerdo con sus facultades, competencias o funciones</w:t>
      </w:r>
      <w:r>
        <w:t>,</w:t>
      </w:r>
      <w:r w:rsidRPr="00465B9A">
        <w:t xml:space="preserve"> conforme a las características físicas de la información o del lugar donde se encuentre</w:t>
      </w:r>
      <w:r>
        <w:t xml:space="preserve">. Por lo anterior, los sujetos obligados </w:t>
      </w:r>
      <w:r w:rsidRPr="007B5B03">
        <w:t xml:space="preserve">deben garantizar el </w:t>
      </w:r>
      <w:r>
        <w:t xml:space="preserve">derecho de </w:t>
      </w:r>
      <w:r w:rsidRPr="007B5B03">
        <w:t>acceso a la información</w:t>
      </w:r>
      <w:r>
        <w:t xml:space="preserve"> del particular, proporcionando la información con la que cuentan en el formato en que la misma obre en sus archivos;</w:t>
      </w:r>
      <w:r w:rsidRPr="00465B9A">
        <w:rPr>
          <w:spacing w:val="-1"/>
        </w:rPr>
        <w:t xml:space="preserve"> </w:t>
      </w:r>
      <w:r>
        <w:rPr>
          <w:spacing w:val="-1"/>
        </w:rPr>
        <w:t>sin necesidad de</w:t>
      </w:r>
      <w:r>
        <w:rPr>
          <w:spacing w:val="1"/>
        </w:rPr>
        <w:t xml:space="preserve"> </w:t>
      </w:r>
      <w:r w:rsidRPr="00465B9A">
        <w:rPr>
          <w:spacing w:val="1"/>
        </w:rPr>
        <w:t>e</w:t>
      </w:r>
      <w:r w:rsidRPr="00465B9A">
        <w:t>la</w:t>
      </w:r>
      <w:r w:rsidRPr="00465B9A">
        <w:rPr>
          <w:spacing w:val="1"/>
        </w:rPr>
        <w:t>bo</w:t>
      </w:r>
      <w:r w:rsidRPr="00465B9A">
        <w:t xml:space="preserve">rar </w:t>
      </w:r>
      <w:r w:rsidRPr="00465B9A">
        <w:rPr>
          <w:spacing w:val="1"/>
        </w:rPr>
        <w:t>do</w:t>
      </w:r>
      <w:r w:rsidRPr="00465B9A">
        <w:rPr>
          <w:spacing w:val="-2"/>
        </w:rPr>
        <w:t>c</w:t>
      </w:r>
      <w:r w:rsidRPr="00465B9A">
        <w:rPr>
          <w:spacing w:val="1"/>
        </w:rPr>
        <w:t>u</w:t>
      </w:r>
      <w:r w:rsidRPr="00465B9A">
        <w:rPr>
          <w:spacing w:val="-1"/>
        </w:rPr>
        <w:t>m</w:t>
      </w:r>
      <w:r w:rsidRPr="00465B9A">
        <w:rPr>
          <w:spacing w:val="1"/>
        </w:rPr>
        <w:t>en</w:t>
      </w:r>
      <w:r w:rsidRPr="00465B9A">
        <w:rPr>
          <w:spacing w:val="-2"/>
        </w:rPr>
        <w:t>t</w:t>
      </w:r>
      <w:r w:rsidRPr="00465B9A">
        <w:rPr>
          <w:spacing w:val="1"/>
        </w:rPr>
        <w:t>o</w:t>
      </w:r>
      <w:r w:rsidRPr="00465B9A">
        <w:t>s</w:t>
      </w:r>
      <w:r w:rsidRPr="00465B9A">
        <w:rPr>
          <w:spacing w:val="3"/>
        </w:rPr>
        <w:t xml:space="preserve"> </w:t>
      </w:r>
      <w:r w:rsidRPr="00465B9A">
        <w:rPr>
          <w:spacing w:val="1"/>
        </w:rPr>
        <w:t>a</w:t>
      </w:r>
      <w:r w:rsidRPr="00465B9A">
        <w:t>d</w:t>
      </w:r>
      <w:r w:rsidRPr="00465B9A">
        <w:rPr>
          <w:spacing w:val="1"/>
        </w:rPr>
        <w:t xml:space="preserve"> ho</w:t>
      </w:r>
      <w:r w:rsidRPr="00465B9A">
        <w:t>c</w:t>
      </w:r>
      <w:r w:rsidRPr="00465B9A">
        <w:rPr>
          <w:spacing w:val="2"/>
        </w:rPr>
        <w:t xml:space="preserve"> </w:t>
      </w:r>
      <w:r w:rsidRPr="00465B9A">
        <w:rPr>
          <w:spacing w:val="1"/>
        </w:rPr>
        <w:t>pa</w:t>
      </w:r>
      <w:r w:rsidRPr="00465B9A">
        <w:t xml:space="preserve">ra </w:t>
      </w:r>
      <w:r w:rsidRPr="00465B9A">
        <w:rPr>
          <w:spacing w:val="1"/>
        </w:rPr>
        <w:t>a</w:t>
      </w:r>
      <w:r w:rsidRPr="00465B9A">
        <w:t>t</w:t>
      </w:r>
      <w:r w:rsidRPr="00465B9A">
        <w:rPr>
          <w:spacing w:val="-1"/>
        </w:rPr>
        <w:t>e</w:t>
      </w:r>
      <w:r w:rsidRPr="00465B9A">
        <w:rPr>
          <w:spacing w:val="1"/>
        </w:rPr>
        <w:t>n</w:t>
      </w:r>
      <w:r w:rsidRPr="00465B9A">
        <w:rPr>
          <w:spacing w:val="-1"/>
        </w:rPr>
        <w:t>d</w:t>
      </w:r>
      <w:r w:rsidRPr="00465B9A">
        <w:rPr>
          <w:spacing w:val="1"/>
        </w:rPr>
        <w:t>e</w:t>
      </w:r>
      <w:r w:rsidRPr="00465B9A">
        <w:t>r</w:t>
      </w:r>
      <w:r w:rsidRPr="00465B9A">
        <w:rPr>
          <w:spacing w:val="2"/>
        </w:rPr>
        <w:t xml:space="preserve"> </w:t>
      </w:r>
      <w:r w:rsidRPr="00465B9A">
        <w:t>l</w:t>
      </w:r>
      <w:r w:rsidRPr="00465B9A">
        <w:rPr>
          <w:spacing w:val="-2"/>
        </w:rPr>
        <w:t>a</w:t>
      </w:r>
      <w:r w:rsidRPr="00465B9A">
        <w:t>s</w:t>
      </w:r>
      <w:r w:rsidRPr="00465B9A">
        <w:rPr>
          <w:spacing w:val="2"/>
        </w:rPr>
        <w:t xml:space="preserve"> </w:t>
      </w:r>
      <w:r w:rsidRPr="00465B9A">
        <w:t>s</w:t>
      </w:r>
      <w:r w:rsidRPr="00465B9A">
        <w:rPr>
          <w:spacing w:val="1"/>
        </w:rPr>
        <w:t>o</w:t>
      </w:r>
      <w:r w:rsidRPr="00465B9A">
        <w:t>l</w:t>
      </w:r>
      <w:r w:rsidRPr="00465B9A">
        <w:rPr>
          <w:spacing w:val="-1"/>
        </w:rPr>
        <w:t>i</w:t>
      </w:r>
      <w:r w:rsidRPr="00465B9A">
        <w:t>cit</w:t>
      </w:r>
      <w:r w:rsidRPr="00465B9A">
        <w:rPr>
          <w:spacing w:val="1"/>
        </w:rPr>
        <w:t>ude</w:t>
      </w:r>
      <w:r w:rsidRPr="00465B9A">
        <w:t>s</w:t>
      </w:r>
      <w:r w:rsidRPr="00465B9A">
        <w:rPr>
          <w:spacing w:val="4"/>
        </w:rPr>
        <w:t xml:space="preserve"> </w:t>
      </w:r>
      <w:r w:rsidRPr="00465B9A">
        <w:rPr>
          <w:spacing w:val="-1"/>
        </w:rPr>
        <w:t>d</w:t>
      </w:r>
      <w:r w:rsidRPr="00465B9A">
        <w:t>e</w:t>
      </w:r>
      <w:r w:rsidRPr="00465B9A">
        <w:rPr>
          <w:spacing w:val="3"/>
        </w:rPr>
        <w:t xml:space="preserve"> </w:t>
      </w:r>
      <w:r w:rsidRPr="00465B9A">
        <w:t>i</w:t>
      </w:r>
      <w:r w:rsidRPr="00465B9A">
        <w:rPr>
          <w:spacing w:val="-2"/>
        </w:rPr>
        <w:t>n</w:t>
      </w:r>
      <w:r w:rsidRPr="00465B9A">
        <w:t>f</w:t>
      </w:r>
      <w:r w:rsidRPr="00465B9A">
        <w:rPr>
          <w:spacing w:val="1"/>
        </w:rPr>
        <w:t>o</w:t>
      </w:r>
      <w:r w:rsidRPr="00465B9A">
        <w:t>r</w:t>
      </w:r>
      <w:r w:rsidRPr="00465B9A">
        <w:rPr>
          <w:spacing w:val="-1"/>
        </w:rPr>
        <w:t>m</w:t>
      </w:r>
      <w:r w:rsidRPr="00465B9A">
        <w:rPr>
          <w:spacing w:val="1"/>
        </w:rPr>
        <w:t>a</w:t>
      </w:r>
      <w:r w:rsidRPr="00465B9A">
        <w:t>ció</w:t>
      </w:r>
      <w:r w:rsidRPr="00465B9A">
        <w:rPr>
          <w:spacing w:val="1"/>
        </w:rPr>
        <w:t>n</w:t>
      </w:r>
      <w:r w:rsidRPr="007B5B03">
        <w:t>.</w:t>
      </w:r>
    </w:p>
    <w:p w14:paraId="478F8BDF" w14:textId="77777777" w:rsidR="00DE159D" w:rsidRDefault="00DE159D" w:rsidP="00DE159D">
      <w:pPr>
        <w:pStyle w:val="Citas"/>
        <w:rPr>
          <w:b/>
        </w:rPr>
      </w:pPr>
      <w:r>
        <w:rPr>
          <w:b/>
        </w:rPr>
        <w:t>Resoluciones</w:t>
      </w:r>
      <w:r w:rsidRPr="00015541">
        <w:rPr>
          <w:b/>
        </w:rPr>
        <w:t>:</w:t>
      </w:r>
    </w:p>
    <w:p w14:paraId="68F5CC2A" w14:textId="77777777" w:rsidR="00DE159D" w:rsidRDefault="00DE159D" w:rsidP="00DE159D">
      <w:pPr>
        <w:pStyle w:val="Citas"/>
      </w:pPr>
      <w:r w:rsidRPr="00015541">
        <w:rPr>
          <w:b/>
        </w:rPr>
        <w:t xml:space="preserve">RRA </w:t>
      </w:r>
      <w:r>
        <w:rPr>
          <w:b/>
        </w:rPr>
        <w:t>0050</w:t>
      </w:r>
      <w:r w:rsidRPr="00015541">
        <w:rPr>
          <w:b/>
        </w:rPr>
        <w:t>/16.</w:t>
      </w:r>
      <w:r w:rsidRPr="00015541">
        <w:t xml:space="preserve"> </w:t>
      </w:r>
      <w:r w:rsidRPr="004D1288">
        <w:t>Instituto Nacional para la Evaluación de la Educación</w:t>
      </w:r>
      <w:r w:rsidRPr="00015541">
        <w:t xml:space="preserve">. </w:t>
      </w:r>
      <w:r>
        <w:t>13 julio d</w:t>
      </w:r>
      <w:r w:rsidRPr="00015541">
        <w:t xml:space="preserve">e 2016. Por unanimidad. </w:t>
      </w:r>
      <w:r>
        <w:t>Comisionado Ponente</w:t>
      </w:r>
      <w:r w:rsidRPr="004D1288">
        <w:t>: Francisco Javier Acuña Llamas</w:t>
      </w:r>
      <w:r w:rsidRPr="00015541">
        <w:t>.</w:t>
      </w:r>
    </w:p>
    <w:p w14:paraId="38A66583" w14:textId="77777777" w:rsidR="00DE159D" w:rsidRPr="008C50C4" w:rsidRDefault="00DE159D" w:rsidP="00DE159D">
      <w:pPr>
        <w:pStyle w:val="Citas"/>
        <w:rPr>
          <w:rFonts w:ascii="Times New Roman" w:hAnsi="Times New Roman" w:cs="Times New Roman"/>
        </w:rPr>
      </w:pPr>
      <w:r w:rsidRPr="008C50C4">
        <w:rPr>
          <w:b/>
        </w:rPr>
        <w:t xml:space="preserve">RRA 0310/16. </w:t>
      </w:r>
      <w:r>
        <w:t>Instituto Nacional de Transparencia, Acceso a la Información y Protección de Datos Personales</w:t>
      </w:r>
      <w:r w:rsidRPr="00015541">
        <w:t xml:space="preserve">. </w:t>
      </w:r>
      <w:r>
        <w:t>10</w:t>
      </w:r>
      <w:r w:rsidRPr="00015541">
        <w:t xml:space="preserve"> de </w:t>
      </w:r>
      <w:r>
        <w:t>agosto</w:t>
      </w:r>
      <w:r w:rsidRPr="00015541">
        <w:t xml:space="preserve"> de 2016. Por unanimidad. Comisionada Ponente. Areli Cano Guadiana.</w:t>
      </w:r>
    </w:p>
    <w:p w14:paraId="62912EE6" w14:textId="77777777" w:rsidR="00DE159D" w:rsidRPr="003A136D" w:rsidRDefault="00DE159D" w:rsidP="00DE159D">
      <w:pPr>
        <w:pStyle w:val="Citas"/>
        <w:rPr>
          <w:b/>
        </w:rPr>
      </w:pPr>
      <w:r w:rsidRPr="008C50C4">
        <w:rPr>
          <w:b/>
        </w:rPr>
        <w:t xml:space="preserve">RRA 1889/16. </w:t>
      </w:r>
      <w:r w:rsidRPr="002A3CCA">
        <w:t>Secretaría de Hacienda y Crédito Público. 05 de octubre de 2016. Por unanimidad. Comisionada Ponente. Ximena Puente de la Mora</w:t>
      </w:r>
      <w:r>
        <w:t xml:space="preserve">” </w:t>
      </w:r>
      <w:r>
        <w:rPr>
          <w:b/>
        </w:rPr>
        <w:t>[Sic]</w:t>
      </w:r>
    </w:p>
    <w:p w14:paraId="76C1255D" w14:textId="77777777" w:rsidR="00DE159D" w:rsidRDefault="00DE159D" w:rsidP="00DE159D">
      <w:pPr>
        <w:autoSpaceDE w:val="0"/>
        <w:autoSpaceDN w:val="0"/>
        <w:adjustRightInd w:val="0"/>
        <w:spacing w:line="360" w:lineRule="auto"/>
        <w:jc w:val="both"/>
        <w:rPr>
          <w:rFonts w:ascii="Palatino Linotype" w:hAnsi="Palatino Linotype"/>
          <w:color w:val="000000"/>
          <w:lang w:val="es-ES_tradnl"/>
        </w:rPr>
      </w:pPr>
    </w:p>
    <w:p w14:paraId="6AC34BA1" w14:textId="77777777" w:rsidR="00DE159D" w:rsidRPr="008F6BAF" w:rsidRDefault="00DE159D" w:rsidP="00DE159D">
      <w:pPr>
        <w:autoSpaceDE w:val="0"/>
        <w:autoSpaceDN w:val="0"/>
        <w:adjustRightInd w:val="0"/>
        <w:spacing w:line="360" w:lineRule="auto"/>
        <w:jc w:val="both"/>
        <w:rPr>
          <w:rFonts w:ascii="Palatino Linotype" w:eastAsia="MS Mincho" w:hAnsi="Palatino Linotype"/>
          <w:b/>
          <w:i/>
          <w:lang w:val="es-ES_tradnl"/>
        </w:rPr>
      </w:pPr>
      <w:r w:rsidRPr="008F6BAF">
        <w:rPr>
          <w:rFonts w:ascii="Palatino Linotype" w:hAnsi="Palatino Linotype"/>
          <w:color w:val="000000"/>
          <w:lang w:val="es-ES_tradnl"/>
        </w:rPr>
        <w:t xml:space="preserve">En las generalizaciones anteriores y con referencia al derecho de petición, el </w:t>
      </w:r>
      <w:r w:rsidRPr="008F6BAF">
        <w:rPr>
          <w:rFonts w:ascii="Palatino Linotype" w:eastAsia="MS Mincho" w:hAnsi="Palatino Linotype"/>
          <w:lang w:val="es-ES_tradnl"/>
        </w:rPr>
        <w:t>Maestro Ignacio Burgoa Orihuela refiere: “…</w:t>
      </w:r>
      <w:r w:rsidRPr="008F6BAF">
        <w:rPr>
          <w:rFonts w:ascii="Palatino Linotype" w:eastAsia="MS Mincho" w:hAnsi="Palatino Linotype"/>
          <w:i/>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8F6BAF">
        <w:rPr>
          <w:rFonts w:ascii="Palatino Linotype" w:eastAsia="MS Mincho" w:hAnsi="Palatino Linotype"/>
          <w:i/>
          <w:vertAlign w:val="superscript"/>
          <w:lang w:val="es-ES_tradnl"/>
        </w:rPr>
        <w:footnoteReference w:id="2"/>
      </w:r>
      <w:r w:rsidRPr="008F6BAF">
        <w:rPr>
          <w:rFonts w:ascii="Palatino Linotype" w:eastAsia="MS Mincho" w:hAnsi="Palatino Linotype"/>
          <w:i/>
          <w:lang w:val="es-ES_tradnl"/>
        </w:rPr>
        <w:t xml:space="preserve">  “</w:t>
      </w:r>
      <w:r w:rsidRPr="008F6BAF">
        <w:rPr>
          <w:rFonts w:ascii="Palatino Linotype" w:eastAsia="MS Mincho" w:hAnsi="Palatino Linotype"/>
          <w:b/>
          <w:i/>
          <w:lang w:val="es-ES_tradnl"/>
        </w:rPr>
        <w:t>[Sic]</w:t>
      </w:r>
    </w:p>
    <w:p w14:paraId="61396097" w14:textId="77777777" w:rsidR="00DE159D" w:rsidRDefault="00DE159D" w:rsidP="00DE159D">
      <w:pPr>
        <w:pStyle w:val="Sinespaciado"/>
        <w:spacing w:line="360" w:lineRule="auto"/>
        <w:jc w:val="both"/>
        <w:rPr>
          <w:rFonts w:ascii="Palatino Linotype" w:hAnsi="Palatino Linotype"/>
          <w:sz w:val="24"/>
          <w:lang w:val="es-ES_tradnl"/>
        </w:rPr>
      </w:pPr>
    </w:p>
    <w:p w14:paraId="713B596B" w14:textId="77777777" w:rsidR="00DE159D" w:rsidRPr="00DF5FBA" w:rsidRDefault="00DE159D" w:rsidP="00DE159D">
      <w:pPr>
        <w:pStyle w:val="Sinespaciado"/>
        <w:spacing w:line="360" w:lineRule="auto"/>
        <w:jc w:val="both"/>
        <w:rPr>
          <w:rFonts w:ascii="Palatino Linotype" w:hAnsi="Palatino Linotype"/>
          <w:b/>
          <w:lang w:val="es-ES_tradnl"/>
        </w:rPr>
      </w:pPr>
      <w:r w:rsidRPr="009F100D">
        <w:rPr>
          <w:rFonts w:ascii="Palatino Linotype" w:hAnsi="Palatino Linotype"/>
          <w:sz w:val="24"/>
          <w:lang w:val="es-ES_tradnl"/>
        </w:rPr>
        <w:t xml:space="preserve">Por su parte, David Cienfuegos Salgado, concibe al derecho de petición como </w:t>
      </w:r>
      <w:r w:rsidRPr="009F100D">
        <w:rPr>
          <w:rFonts w:ascii="Palatino Linotype" w:hAnsi="Palatino Linotype"/>
          <w:i/>
          <w:sz w:val="24"/>
          <w:lang w:val="es-ES_tradnl"/>
        </w:rPr>
        <w:t>“el derecho de toda persona a ser escuchado por quienes ejercen el poder público.</w:t>
      </w:r>
      <w:r w:rsidRPr="009F100D">
        <w:rPr>
          <w:rFonts w:ascii="Palatino Linotype" w:hAnsi="Palatino Linotype"/>
          <w:i/>
          <w:sz w:val="24"/>
          <w:vertAlign w:val="superscript"/>
          <w:lang w:val="es-ES_tradnl"/>
        </w:rPr>
        <w:footnoteReference w:id="3"/>
      </w:r>
      <w:r w:rsidRPr="009F100D">
        <w:rPr>
          <w:rFonts w:ascii="Palatino Linotype" w:hAnsi="Palatino Linotype"/>
          <w:i/>
          <w:sz w:val="24"/>
          <w:lang w:val="es-ES_tradnl"/>
        </w:rPr>
        <w:t xml:space="preserve">” </w:t>
      </w:r>
      <w:r w:rsidRPr="009F100D">
        <w:rPr>
          <w:rFonts w:ascii="Palatino Linotype" w:hAnsi="Palatino Linotype"/>
          <w:b/>
          <w:i/>
          <w:sz w:val="24"/>
          <w:lang w:val="es-ES_tradnl"/>
        </w:rPr>
        <w:t>[Sic]</w:t>
      </w:r>
    </w:p>
    <w:p w14:paraId="0CE2528A" w14:textId="77777777" w:rsidR="00DE159D" w:rsidRDefault="00DE159D" w:rsidP="00DE159D">
      <w:pPr>
        <w:pStyle w:val="Sinespaciado"/>
        <w:spacing w:line="360" w:lineRule="auto"/>
        <w:jc w:val="both"/>
        <w:rPr>
          <w:rFonts w:ascii="Palatino Linotype" w:hAnsi="Palatino Linotype"/>
          <w:lang w:val="es-ES_tradnl"/>
        </w:rPr>
      </w:pPr>
    </w:p>
    <w:p w14:paraId="61852490" w14:textId="77777777" w:rsidR="00DE159D" w:rsidRDefault="00DE159D" w:rsidP="00DE159D">
      <w:pPr>
        <w:pStyle w:val="Sinespaciado"/>
        <w:spacing w:line="360" w:lineRule="auto"/>
        <w:jc w:val="both"/>
        <w:rPr>
          <w:rFonts w:ascii="Palatino Linotype" w:hAnsi="Palatino Linotype"/>
          <w:i/>
          <w:lang w:val="es-ES_tradnl"/>
        </w:rPr>
      </w:pPr>
      <w:r w:rsidRPr="001E0635">
        <w:rPr>
          <w:rFonts w:ascii="Palatino Linotype" w:hAnsi="Palatino Linotype"/>
          <w:sz w:val="24"/>
          <w:lang w:val="es-ES_tradnl"/>
        </w:rPr>
        <w:t xml:space="preserve">A este respecto, y para diferenciar el derecho de petición al derecho de acceso a la información, resulta conducente señalar que José Guadalupe Robles, conceptualiza el derecho a la información como </w:t>
      </w:r>
      <w:r w:rsidRPr="009F100D">
        <w:rPr>
          <w:rFonts w:ascii="Palatino Linotype" w:hAnsi="Palatino Linotype"/>
          <w:i/>
          <w:sz w:val="24"/>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9F100D">
        <w:rPr>
          <w:rFonts w:ascii="Palatino Linotype" w:hAnsi="Palatino Linotype"/>
          <w:i/>
          <w:sz w:val="24"/>
          <w:vertAlign w:val="superscript"/>
          <w:lang w:val="es-ES_tradnl"/>
        </w:rPr>
        <w:footnoteReference w:id="4"/>
      </w:r>
      <w:r w:rsidRPr="009F100D">
        <w:rPr>
          <w:rFonts w:ascii="Palatino Linotype" w:hAnsi="Palatino Linotype"/>
          <w:i/>
          <w:sz w:val="24"/>
          <w:lang w:val="es-ES_tradnl"/>
        </w:rPr>
        <w:t>“</w:t>
      </w:r>
      <w:r w:rsidRPr="009F100D">
        <w:rPr>
          <w:rFonts w:ascii="Palatino Linotype" w:hAnsi="Palatino Linotype"/>
          <w:b/>
          <w:i/>
          <w:sz w:val="24"/>
          <w:lang w:val="es-ES_tradnl"/>
        </w:rPr>
        <w:t>[Sic]</w:t>
      </w:r>
      <w:r w:rsidRPr="009F100D">
        <w:rPr>
          <w:rFonts w:ascii="Palatino Linotype" w:hAnsi="Palatino Linotype"/>
          <w:i/>
          <w:sz w:val="24"/>
          <w:lang w:val="es-ES_tradnl"/>
        </w:rPr>
        <w:t xml:space="preserve"> </w:t>
      </w:r>
    </w:p>
    <w:p w14:paraId="4BD89D80" w14:textId="77777777" w:rsidR="00DE159D" w:rsidRDefault="00DE159D" w:rsidP="00DE159D">
      <w:pPr>
        <w:pStyle w:val="Sinespaciado"/>
        <w:spacing w:line="360" w:lineRule="auto"/>
        <w:jc w:val="both"/>
        <w:rPr>
          <w:rFonts w:ascii="Palatino Linotype" w:hAnsi="Palatino Linotype"/>
          <w:i/>
          <w:lang w:val="es-ES_tradnl"/>
        </w:rPr>
      </w:pPr>
    </w:p>
    <w:p w14:paraId="501F14A3" w14:textId="77777777" w:rsidR="00DE159D" w:rsidRPr="00440D64" w:rsidRDefault="00DE159D" w:rsidP="00DE159D">
      <w:pPr>
        <w:pStyle w:val="Sinespaciado"/>
        <w:spacing w:line="360" w:lineRule="auto"/>
        <w:jc w:val="both"/>
        <w:rPr>
          <w:rFonts w:ascii="Palatino Linotype" w:hAnsi="Palatino Linotype"/>
          <w:i/>
          <w:sz w:val="24"/>
          <w:szCs w:val="24"/>
          <w:lang w:val="es-ES_tradnl"/>
        </w:rPr>
      </w:pPr>
      <w:r w:rsidRPr="001E0635">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w:t>
      </w:r>
      <w:r w:rsidRPr="001E0635">
        <w:rPr>
          <w:rFonts w:ascii="Palatino Linotype" w:hAnsi="Palatino Linotype"/>
          <w:sz w:val="24"/>
          <w:lang w:val="es-ES_tradnl"/>
        </w:rPr>
        <w:lastRenderedPageBreak/>
        <w:t xml:space="preserve">información de Ernesto Villanueva </w:t>
      </w:r>
      <w:proofErr w:type="spellStart"/>
      <w:r w:rsidRPr="001E0635">
        <w:rPr>
          <w:rFonts w:ascii="Palatino Linotype" w:hAnsi="Palatino Linotype"/>
          <w:sz w:val="24"/>
          <w:lang w:val="es-ES_tradnl"/>
        </w:rPr>
        <w:t>Villanueva</w:t>
      </w:r>
      <w:proofErr w:type="spellEnd"/>
      <w:r w:rsidRPr="001E0635">
        <w:rPr>
          <w:rFonts w:ascii="Palatino Linotype" w:hAnsi="Palatino Linotype"/>
          <w:sz w:val="24"/>
          <w:lang w:val="es-ES_tradnl"/>
        </w:rPr>
        <w:t xml:space="preserve"> que dice: </w:t>
      </w:r>
      <w:r w:rsidRPr="00440D64">
        <w:rPr>
          <w:rFonts w:ascii="Palatino Linotype" w:hAnsi="Palatino Linotype"/>
          <w:i/>
          <w:sz w:val="24"/>
          <w:szCs w:val="24"/>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40D64">
        <w:rPr>
          <w:rFonts w:ascii="Palatino Linotype" w:hAnsi="Palatino Linotype"/>
          <w:i/>
          <w:sz w:val="24"/>
          <w:szCs w:val="24"/>
          <w:vertAlign w:val="superscript"/>
          <w:lang w:val="es-ES_tradnl"/>
        </w:rPr>
        <w:footnoteReference w:id="5"/>
      </w:r>
      <w:r w:rsidRPr="00440D64">
        <w:rPr>
          <w:rFonts w:ascii="Palatino Linotype" w:hAnsi="Palatino Linotype"/>
          <w:i/>
          <w:sz w:val="24"/>
          <w:szCs w:val="24"/>
          <w:lang w:val="es-ES_tradnl"/>
        </w:rPr>
        <w:t xml:space="preserve">” </w:t>
      </w:r>
      <w:r w:rsidRPr="00440D64">
        <w:rPr>
          <w:rFonts w:ascii="Palatino Linotype" w:hAnsi="Palatino Linotype"/>
          <w:b/>
          <w:i/>
          <w:sz w:val="24"/>
          <w:szCs w:val="24"/>
          <w:lang w:val="es-ES_tradnl"/>
        </w:rPr>
        <w:t>[Sic]</w:t>
      </w:r>
    </w:p>
    <w:p w14:paraId="53678296" w14:textId="77777777" w:rsidR="00DE159D" w:rsidRPr="00440D64" w:rsidRDefault="00DE159D" w:rsidP="00DE159D">
      <w:pPr>
        <w:autoSpaceDE w:val="0"/>
        <w:autoSpaceDN w:val="0"/>
        <w:adjustRightInd w:val="0"/>
        <w:spacing w:line="360" w:lineRule="auto"/>
        <w:jc w:val="both"/>
        <w:rPr>
          <w:rFonts w:ascii="Palatino Linotype" w:hAnsi="Palatino Linotype" w:cs="Arial"/>
          <w:i/>
          <w:iCs/>
        </w:rPr>
      </w:pPr>
    </w:p>
    <w:p w14:paraId="4509985F" w14:textId="77777777" w:rsidR="00DE159D" w:rsidRPr="00440D64" w:rsidRDefault="00DE159D" w:rsidP="00DE159D">
      <w:pPr>
        <w:pStyle w:val="Sinespaciado"/>
        <w:spacing w:line="360" w:lineRule="auto"/>
        <w:jc w:val="both"/>
        <w:rPr>
          <w:rFonts w:ascii="Palatino Linotype" w:hAnsi="Palatino Linotype" w:cs="Arial"/>
          <w:sz w:val="24"/>
          <w:szCs w:val="24"/>
        </w:rPr>
      </w:pPr>
      <w:r w:rsidRPr="00440D64">
        <w:rPr>
          <w:rFonts w:ascii="Palatino Linotype" w:hAnsi="Palatino Linotype" w:cs="Arial"/>
          <w:sz w:val="24"/>
          <w:szCs w:val="24"/>
        </w:rPr>
        <w:t xml:space="preserve">Ahora bien, para entender los alcances de la información pública se considera importante citar el criterio </w:t>
      </w:r>
      <w:r w:rsidRPr="00440D64">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440D64">
        <w:rPr>
          <w:rFonts w:ascii="Palatino Linotype" w:hAnsi="Palatino Linotype" w:cs="Arial"/>
          <w:sz w:val="24"/>
          <w:szCs w:val="24"/>
        </w:rPr>
        <w:t>cuyo rubro y texto dispone:</w:t>
      </w:r>
    </w:p>
    <w:p w14:paraId="1C275339" w14:textId="77777777" w:rsidR="00DE159D" w:rsidRPr="00200064" w:rsidRDefault="00DE159D" w:rsidP="00DE159D">
      <w:pPr>
        <w:pStyle w:val="Citas"/>
        <w:rPr>
          <w:b/>
          <w:lang w:eastAsia="es-MX"/>
        </w:rPr>
      </w:pPr>
      <w:r>
        <w:rPr>
          <w:b/>
          <w:lang w:eastAsia="es-MX"/>
        </w:rPr>
        <w:t>“</w:t>
      </w:r>
      <w:r w:rsidRPr="00200064">
        <w:rPr>
          <w:b/>
          <w:lang w:eastAsia="es-MX"/>
        </w:rPr>
        <w:t xml:space="preserve">INFORMACIÓN PÚBLICA, CONCEPTO DE, EN MATERIA DE TRANSPARENCIA. INTERPRETACIÓN TEMÁTICA DE LOS ARTÍCULOS 2, FRACCIÓN </w:t>
      </w:r>
      <w:r w:rsidRPr="00200064">
        <w:rPr>
          <w:b/>
          <w:bCs/>
          <w:lang w:eastAsia="es-MX"/>
        </w:rPr>
        <w:t xml:space="preserve">V, XV, Y XVI, </w:t>
      </w:r>
      <w:r w:rsidRPr="00200064">
        <w:rPr>
          <w:b/>
          <w:lang w:eastAsia="es-MX"/>
        </w:rPr>
        <w:t xml:space="preserve">32, 4,11 Y 41. </w:t>
      </w:r>
    </w:p>
    <w:p w14:paraId="2BB07BF6" w14:textId="77777777" w:rsidR="00DE159D" w:rsidRDefault="00DE159D" w:rsidP="00DE159D">
      <w:pPr>
        <w:pStyle w:val="Citas"/>
        <w:rPr>
          <w:lang w:eastAsia="es-MX"/>
        </w:rPr>
      </w:pPr>
      <w:r>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90666F" w14:textId="77777777" w:rsidR="00DE159D" w:rsidRDefault="00DE159D" w:rsidP="00DE159D">
      <w:pPr>
        <w:pStyle w:val="Citas"/>
        <w:rPr>
          <w:lang w:eastAsia="es-MX"/>
        </w:rPr>
      </w:pPr>
      <w:r>
        <w:rPr>
          <w:lang w:eastAsia="es-MX"/>
        </w:rPr>
        <w:t>En consecuencia el acceso a la información se refiere a que se cumplan cualquiera de los siguientes tres supuestos:</w:t>
      </w:r>
    </w:p>
    <w:p w14:paraId="3AB6708A" w14:textId="77777777" w:rsidR="00DE159D" w:rsidRDefault="00DE159D" w:rsidP="00DE159D">
      <w:pPr>
        <w:pStyle w:val="Citas"/>
        <w:rPr>
          <w:lang w:eastAsia="es-MX"/>
        </w:rPr>
      </w:pPr>
      <w:r>
        <w:rPr>
          <w:lang w:eastAsia="es-MX"/>
        </w:rPr>
        <w:lastRenderedPageBreak/>
        <w:t>Que se trate de información registrada en cualquier soporte documental, que en ejercicio de las atribuciones conferidas, sea generada por los Sujetos Obligados;</w:t>
      </w:r>
    </w:p>
    <w:p w14:paraId="04082B2A" w14:textId="77777777" w:rsidR="00DE159D" w:rsidRDefault="00DE159D" w:rsidP="00DE159D">
      <w:pPr>
        <w:pStyle w:val="Citas"/>
        <w:rPr>
          <w:lang w:eastAsia="es-MX"/>
        </w:rPr>
      </w:pPr>
      <w:r>
        <w:rPr>
          <w:lang w:eastAsia="es-MX"/>
        </w:rPr>
        <w:t>Que se trate de información registrada en cualquier soporte documental, que en ejercicio de las atribuciones conferidas, sea administrada por los Sujetos Obligados, y</w:t>
      </w:r>
    </w:p>
    <w:p w14:paraId="486C933E" w14:textId="77777777" w:rsidR="00DE159D" w:rsidRPr="00200064" w:rsidRDefault="00DE159D" w:rsidP="00DE159D">
      <w:pPr>
        <w:pStyle w:val="Citas"/>
        <w:rPr>
          <w:b/>
          <w:lang w:eastAsia="es-MX"/>
        </w:rPr>
      </w:pPr>
      <w:r>
        <w:rPr>
          <w:lang w:eastAsia="es-MX"/>
        </w:rPr>
        <w:t xml:space="preserve">Que se trate de información registrada en cualquier soporte documental, que en ejercicio de las atribuciones conferidas, se encuentre en posesión de los Sujetos Obligados.” </w:t>
      </w:r>
      <w:r>
        <w:rPr>
          <w:b/>
          <w:lang w:eastAsia="es-MX"/>
        </w:rPr>
        <w:t>[Sic]</w:t>
      </w:r>
    </w:p>
    <w:p w14:paraId="08599914" w14:textId="77777777" w:rsidR="00DE159D" w:rsidRDefault="00DE159D" w:rsidP="00DE159D">
      <w:pPr>
        <w:pStyle w:val="Sinespaciado"/>
        <w:spacing w:line="360" w:lineRule="auto"/>
        <w:jc w:val="both"/>
        <w:rPr>
          <w:rFonts w:ascii="Palatino Linotype" w:hAnsi="Palatino Linotype"/>
          <w:lang w:eastAsia="es-MX"/>
        </w:rPr>
      </w:pPr>
    </w:p>
    <w:p w14:paraId="705248CA" w14:textId="77777777" w:rsidR="00DE159D" w:rsidRDefault="00DE159D" w:rsidP="00DE159D">
      <w:pPr>
        <w:pStyle w:val="Sinespaciado"/>
        <w:spacing w:line="360" w:lineRule="auto"/>
        <w:jc w:val="both"/>
        <w:rPr>
          <w:rFonts w:ascii="Palatino Linotype" w:hAnsi="Palatino Linotype"/>
          <w:i/>
          <w:lang w:eastAsia="es-MX"/>
        </w:rPr>
      </w:pPr>
      <w:r w:rsidRPr="001E0635">
        <w:rPr>
          <w:rFonts w:ascii="Palatino Linotype" w:hAnsi="Palatino Linotype"/>
          <w:sz w:val="24"/>
          <w:lang w:eastAsia="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1E0635">
        <w:rPr>
          <w:rFonts w:ascii="Palatino Linotype" w:hAnsi="Palatino Linotype"/>
          <w:sz w:val="24"/>
          <w:lang w:eastAsia="es-MX"/>
        </w:rPr>
        <w:t>Villanueva</w:t>
      </w:r>
      <w:proofErr w:type="spellEnd"/>
      <w:r w:rsidRPr="001E0635">
        <w:rPr>
          <w:rFonts w:ascii="Palatino Linotype" w:hAnsi="Palatino Linotype"/>
          <w:sz w:val="24"/>
          <w:lang w:eastAsia="es-MX"/>
        </w:rPr>
        <w:t xml:space="preserve"> que dice:</w:t>
      </w:r>
      <w:r>
        <w:rPr>
          <w:rFonts w:ascii="Palatino Linotype" w:hAnsi="Palatino Linotype"/>
          <w:lang w:eastAsia="es-MX"/>
        </w:rPr>
        <w:t xml:space="preserve"> </w:t>
      </w:r>
      <w:r w:rsidRPr="001E0635">
        <w:rPr>
          <w:rFonts w:ascii="Palatino Linotype" w:hAnsi="Palatino Linotype"/>
          <w:sz w:val="24"/>
          <w:lang w:eastAsia="es-MX"/>
        </w:rPr>
        <w:t>“</w:t>
      </w:r>
      <w:r w:rsidRPr="001E0635">
        <w:rPr>
          <w:rFonts w:ascii="Palatino Linotype" w:hAnsi="Palatino Linotype"/>
          <w:i/>
          <w:sz w:val="24"/>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1E0635">
        <w:rPr>
          <w:rFonts w:ascii="Palatino Linotype" w:hAnsi="Palatino Linotype"/>
          <w:b/>
          <w:i/>
          <w:sz w:val="24"/>
          <w:lang w:val="es-ES_tradnl"/>
        </w:rPr>
        <w:t>[Sic]</w:t>
      </w:r>
    </w:p>
    <w:p w14:paraId="1FBF53E3" w14:textId="77777777" w:rsidR="00DE159D" w:rsidRDefault="00DE159D" w:rsidP="00DE159D">
      <w:pPr>
        <w:spacing w:line="360" w:lineRule="auto"/>
        <w:jc w:val="both"/>
        <w:rPr>
          <w:rFonts w:ascii="Palatino Linotype" w:hAnsi="Palatino Linotype"/>
        </w:rPr>
      </w:pPr>
    </w:p>
    <w:p w14:paraId="0A01F187" w14:textId="77777777" w:rsidR="00DE159D" w:rsidRDefault="00DE159D" w:rsidP="00DE159D">
      <w:pPr>
        <w:spacing w:line="360" w:lineRule="auto"/>
        <w:jc w:val="both"/>
        <w:rPr>
          <w:rFonts w:ascii="Palatino Linotype" w:hAnsi="Palatino Linotype"/>
        </w:rPr>
      </w:pPr>
      <w:r>
        <w:rPr>
          <w:rFonts w:ascii="Palatino Linotype" w:hAnsi="Palatino Linotype"/>
        </w:rPr>
        <w:t xml:space="preserve">Por lo anterior, al no constituirse dicho cuestionamiento como materia del derecho de acceso a la información, se considera que </w:t>
      </w:r>
      <w:r>
        <w:rPr>
          <w:rFonts w:ascii="Palatino Linotype" w:hAnsi="Palatino Linotype"/>
          <w:b/>
        </w:rPr>
        <w:t>E</w:t>
      </w:r>
      <w:r w:rsidRPr="008356AF">
        <w:rPr>
          <w:rFonts w:ascii="Palatino Linotype" w:hAnsi="Palatino Linotype"/>
          <w:b/>
        </w:rPr>
        <w:t>l Sujeto Obligado</w:t>
      </w:r>
      <w:r>
        <w:rPr>
          <w:rFonts w:ascii="Palatino Linotype" w:hAnsi="Palatino Linotype"/>
        </w:rPr>
        <w:t xml:space="preserve"> no se encuentra constreñido a emitir una respuesta al mismo.</w:t>
      </w:r>
    </w:p>
    <w:p w14:paraId="079B7527" w14:textId="77777777" w:rsidR="00DE159D" w:rsidRDefault="00DE159D" w:rsidP="00DE159D">
      <w:pPr>
        <w:spacing w:line="360" w:lineRule="auto"/>
        <w:jc w:val="both"/>
        <w:rPr>
          <w:rFonts w:ascii="Palatino Linotype" w:hAnsi="Palatino Linotype"/>
        </w:rPr>
      </w:pPr>
    </w:p>
    <w:p w14:paraId="71EA19FA" w14:textId="77777777" w:rsidR="00DE159D" w:rsidRPr="00E5738E" w:rsidRDefault="00DE159D" w:rsidP="00DE159D">
      <w:pPr>
        <w:spacing w:line="360" w:lineRule="auto"/>
        <w:jc w:val="both"/>
        <w:rPr>
          <w:rFonts w:ascii="Palatino Linotype" w:hAnsi="Palatino Linotype" w:cs="Arial"/>
        </w:rPr>
      </w:pPr>
      <w:r>
        <w:rPr>
          <w:rFonts w:ascii="Palatino Linotype" w:hAnsi="Palatino Linotype"/>
        </w:rPr>
        <w:t xml:space="preserve">Una vez precisado lo anterior, </w:t>
      </w:r>
      <w:r w:rsidRPr="00E5738E">
        <w:rPr>
          <w:rFonts w:ascii="Palatino Linotype" w:hAnsi="Palatino Linotype" w:cs="Arial"/>
        </w:rPr>
        <w:t xml:space="preserve">la doctrina del sobreseimiento provoca que un procedimiento se suspenda o se resuelva en definitiva sin que se entre al estudio de los agravios o motivos de inconformidad. Este mismo criterio es compartido por el más </w:t>
      </w:r>
      <w:r w:rsidRPr="00E5738E">
        <w:rPr>
          <w:rFonts w:ascii="Palatino Linotype" w:hAnsi="Palatino Linotype" w:cs="Arial"/>
        </w:rPr>
        <w:lastRenderedPageBreak/>
        <w:t>alto tribunal del país en múltiples jurisprudencias, por lo que a continuación se agrega una de ellas que sirve como orientador en esta resolución:</w:t>
      </w:r>
    </w:p>
    <w:p w14:paraId="3CF39098" w14:textId="77777777" w:rsidR="00DE159D" w:rsidRPr="0004467E" w:rsidRDefault="00DE159D" w:rsidP="00DE159D">
      <w:pPr>
        <w:spacing w:line="360" w:lineRule="auto"/>
        <w:ind w:left="851" w:right="851"/>
        <w:jc w:val="both"/>
        <w:rPr>
          <w:rFonts w:ascii="Palatino Linotype" w:hAnsi="Palatino Linotype" w:cs="Arial"/>
          <w:b/>
          <w:i/>
        </w:rPr>
      </w:pPr>
      <w:r w:rsidRPr="0004467E">
        <w:rPr>
          <w:rFonts w:ascii="Palatino Linotype" w:hAnsi="Palatino Linotype" w:cs="Arial"/>
          <w:b/>
          <w:i/>
        </w:rPr>
        <w:t>“SOBRESEIMIENTO EN EL JUICIO DE AMPARO DIRECTO. IMPIDE EL ESTUDIO DE LAS VIOLACIONES PROCESALES PLANTEADAS EN LOS CONCEPTOS DE VIOLACIÓN.</w:t>
      </w:r>
    </w:p>
    <w:p w14:paraId="66FEEBF6" w14:textId="77777777" w:rsidR="00DE159D" w:rsidRPr="0004467E" w:rsidRDefault="00DE159D" w:rsidP="00DE159D">
      <w:pPr>
        <w:spacing w:line="360" w:lineRule="auto"/>
        <w:ind w:left="851" w:right="851"/>
        <w:jc w:val="both"/>
        <w:rPr>
          <w:rFonts w:ascii="Palatino Linotype" w:hAnsi="Palatino Linotype"/>
          <w:i/>
          <w:color w:val="000000"/>
        </w:rPr>
      </w:pPr>
      <w:r w:rsidRPr="00BE0E81">
        <w:rPr>
          <w:rFonts w:ascii="Palatino Linotype" w:hAnsi="Palatino Linotype" w:cs="Arial"/>
          <w:b/>
          <w:i/>
          <w:u w:val="single"/>
        </w:rPr>
        <w:t>El sobreseimiento</w:t>
      </w:r>
      <w:r w:rsidRPr="0004467E">
        <w:rPr>
          <w:rFonts w:ascii="Palatino Linotype" w:hAnsi="Palatino Linotype" w:cs="Arial"/>
          <w:b/>
          <w:i/>
        </w:rPr>
        <w:t xml:space="preserve"> </w:t>
      </w:r>
      <w:r w:rsidRPr="0004467E">
        <w:rPr>
          <w:rFonts w:ascii="Palatino Linotype" w:hAnsi="Palatino Linotype" w:cs="Arial"/>
          <w:i/>
        </w:rPr>
        <w:t xml:space="preserve">en el juicio de amparo directo </w:t>
      </w:r>
      <w:r w:rsidRPr="00BE0E81">
        <w:rPr>
          <w:rFonts w:ascii="Palatino Linotype" w:hAnsi="Palatino Linotype" w:cs="Arial"/>
          <w:b/>
          <w:i/>
          <w:u w:val="single"/>
        </w:rPr>
        <w:t>provoca la terminación de la controversia planteada</w:t>
      </w:r>
      <w:r w:rsidRPr="0004467E">
        <w:rPr>
          <w:rFonts w:ascii="Palatino Linotype" w:hAnsi="Palatino Linotype" w:cs="Arial"/>
          <w:b/>
          <w:i/>
        </w:rPr>
        <w:t xml:space="preserve"> </w:t>
      </w:r>
      <w:r w:rsidRPr="0004467E">
        <w:rPr>
          <w:rFonts w:ascii="Palatino Linotype" w:hAnsi="Palatino Linotype" w:cs="Arial"/>
          <w:i/>
        </w:rPr>
        <w:t>por el quejoso en la demanda de amparo</w:t>
      </w:r>
      <w:r w:rsidRPr="0004467E">
        <w:rPr>
          <w:rFonts w:ascii="Calibri" w:hAnsi="Calibri"/>
          <w:color w:val="000000"/>
          <w:sz w:val="26"/>
          <w:szCs w:val="26"/>
        </w:rPr>
        <w:t xml:space="preserve"> </w:t>
      </w:r>
      <w:r w:rsidRPr="0004467E">
        <w:rPr>
          <w:rFonts w:ascii="Palatino Linotype" w:hAnsi="Palatino Linotype"/>
          <w:i/>
          <w:color w:val="000000"/>
        </w:rPr>
        <w:t xml:space="preserve">provoca la terminación de la controversia planteada por el quejoso en la demanda de </w:t>
      </w:r>
      <w:r w:rsidRPr="0004467E">
        <w:rPr>
          <w:rFonts w:ascii="Palatino Linotype" w:hAnsi="Palatino Linotype"/>
          <w:b/>
          <w:i/>
          <w:color w:val="000000"/>
        </w:rPr>
        <w:t>amparo</w:t>
      </w:r>
      <w:r w:rsidRPr="0004467E">
        <w:rPr>
          <w:rFonts w:ascii="Palatino Linotype" w:hAnsi="Palatino Linotype"/>
          <w:i/>
          <w:color w:val="000000"/>
        </w:rPr>
        <w:t>, sin hacer un pronunciamiento de fondo sobre la legalidad o ilegalidad de la sentencia reclamada. Por consiguiente, si al sobreseerse en el</w:t>
      </w:r>
      <w:r w:rsidRPr="0004467E">
        <w:rPr>
          <w:rFonts w:ascii="Palatino Linotype" w:hAnsi="Palatino Linotype"/>
          <w:b/>
          <w:i/>
          <w:color w:val="000000"/>
        </w:rPr>
        <w:t xml:space="preserve"> juicio </w:t>
      </w:r>
      <w:r w:rsidRPr="0004467E">
        <w:rPr>
          <w:rFonts w:ascii="Palatino Linotype" w:hAnsi="Palatino Linotype"/>
          <w:i/>
          <w:color w:val="000000"/>
        </w:rPr>
        <w:t xml:space="preserve">de </w:t>
      </w:r>
      <w:r w:rsidRPr="0004467E">
        <w:rPr>
          <w:rFonts w:ascii="Palatino Linotype" w:hAnsi="Palatino Linotype"/>
          <w:b/>
          <w:i/>
          <w:color w:val="000000"/>
        </w:rPr>
        <w:t>amparo</w:t>
      </w:r>
      <w:r w:rsidRPr="0004467E">
        <w:rPr>
          <w:rFonts w:ascii="Palatino Linotype" w:hAnsi="Palatino Linotype"/>
          <w:i/>
          <w:color w:val="000000"/>
        </w:rPr>
        <w:t xml:space="preserve"> no se pueden estudiar los planteamientos que se hacen valer en contra del fallo reclamado, tampoco se deben analizar las</w:t>
      </w:r>
      <w:r w:rsidRPr="0004467E">
        <w:rPr>
          <w:rFonts w:ascii="Palatino Linotype" w:hAnsi="Palatino Linotype"/>
          <w:b/>
          <w:i/>
          <w:color w:val="000000"/>
        </w:rPr>
        <w:t xml:space="preserve"> violaciones procesales</w:t>
      </w:r>
      <w:r w:rsidRPr="0004467E">
        <w:rPr>
          <w:rFonts w:ascii="Palatino Linotype" w:hAnsi="Palatino Linotype"/>
          <w:i/>
          <w:color w:val="000000"/>
        </w:rPr>
        <w:t xml:space="preserve"> propuestas en los </w:t>
      </w:r>
      <w:r w:rsidRPr="0004467E">
        <w:rPr>
          <w:rFonts w:ascii="Palatino Linotype" w:hAnsi="Palatino Linotype"/>
          <w:b/>
          <w:i/>
          <w:color w:val="000000"/>
        </w:rPr>
        <w:t xml:space="preserve">conceptos </w:t>
      </w:r>
      <w:r w:rsidRPr="0004467E">
        <w:rPr>
          <w:rFonts w:ascii="Palatino Linotype" w:hAnsi="Palatino Linotype"/>
          <w:i/>
          <w:color w:val="000000"/>
        </w:rPr>
        <w:t xml:space="preserve">de </w:t>
      </w:r>
      <w:r w:rsidRPr="0004467E">
        <w:rPr>
          <w:rFonts w:ascii="Palatino Linotype" w:hAnsi="Palatino Linotype"/>
          <w:b/>
          <w:i/>
          <w:color w:val="000000"/>
        </w:rPr>
        <w:t>violación</w:t>
      </w:r>
      <w:r w:rsidRPr="0004467E">
        <w:rPr>
          <w:rFonts w:ascii="Palatino Linotype" w:hAnsi="Palatino Linotype"/>
          <w:i/>
          <w:color w:val="000000"/>
        </w:rPr>
        <w:t xml:space="preserve">, dado que, la principal consecuencia del </w:t>
      </w:r>
      <w:r w:rsidRPr="0004467E">
        <w:rPr>
          <w:rFonts w:ascii="Palatino Linotype" w:hAnsi="Palatino Linotype"/>
          <w:b/>
          <w:i/>
          <w:color w:val="000000"/>
        </w:rPr>
        <w:t>sobreseimiento</w:t>
      </w:r>
      <w:r w:rsidRPr="0004467E">
        <w:rPr>
          <w:rFonts w:ascii="Palatino Linotype" w:hAnsi="Palatino Linotype"/>
          <w:i/>
          <w:color w:val="000000"/>
        </w:rPr>
        <w:t xml:space="preserve"> es poner fin al </w:t>
      </w:r>
      <w:r w:rsidRPr="0004467E">
        <w:rPr>
          <w:rFonts w:ascii="Palatino Linotype" w:hAnsi="Palatino Linotype"/>
          <w:b/>
          <w:i/>
          <w:color w:val="000000"/>
        </w:rPr>
        <w:t xml:space="preserve">juicio </w:t>
      </w:r>
      <w:r w:rsidRPr="0004467E">
        <w:rPr>
          <w:rFonts w:ascii="Palatino Linotype" w:hAnsi="Palatino Linotype"/>
          <w:i/>
          <w:color w:val="000000"/>
        </w:rPr>
        <w:t xml:space="preserve">de </w:t>
      </w:r>
      <w:r w:rsidRPr="0004467E">
        <w:rPr>
          <w:rFonts w:ascii="Palatino Linotype" w:hAnsi="Palatino Linotype"/>
          <w:b/>
          <w:i/>
          <w:color w:val="000000"/>
        </w:rPr>
        <w:t xml:space="preserve">amparo </w:t>
      </w:r>
      <w:r w:rsidRPr="0004467E">
        <w:rPr>
          <w:rFonts w:ascii="Palatino Linotype" w:hAnsi="Palatino Linotype"/>
          <w:i/>
          <w:color w:val="000000"/>
        </w:rPr>
        <w:t>sin resolver la controversia en sus méritos.  </w:t>
      </w:r>
    </w:p>
    <w:p w14:paraId="5CAF26EA" w14:textId="77777777" w:rsidR="00DE159D" w:rsidRPr="0004467E" w:rsidRDefault="00DE159D" w:rsidP="00DE159D">
      <w:pPr>
        <w:spacing w:line="360" w:lineRule="auto"/>
        <w:ind w:left="851" w:right="851"/>
        <w:jc w:val="both"/>
        <w:rPr>
          <w:rFonts w:ascii="Palatino Linotype" w:hAnsi="Palatino Linotype" w:cs="Arial"/>
          <w:b/>
          <w:i/>
        </w:rPr>
      </w:pPr>
      <w:r w:rsidRPr="0004467E">
        <w:rPr>
          <w:rFonts w:ascii="Palatino Linotype" w:hAnsi="Palatino Linotype" w:cs="Arial"/>
          <w:b/>
          <w:i/>
        </w:rPr>
        <w:t>SÉPTIMO TRIBUNAL COLEGIADO EN MATERIA CIVIL DEL PRIMER CIRCUITO.</w:t>
      </w:r>
    </w:p>
    <w:p w14:paraId="4674C416" w14:textId="77777777" w:rsidR="00DE159D" w:rsidRPr="0004467E" w:rsidRDefault="00DE159D" w:rsidP="00DE159D">
      <w:pPr>
        <w:spacing w:line="360" w:lineRule="auto"/>
        <w:ind w:left="851" w:right="851"/>
        <w:jc w:val="both"/>
        <w:rPr>
          <w:rFonts w:ascii="Palatino Linotype" w:hAnsi="Palatino Linotype" w:cs="Arial"/>
          <w:i/>
        </w:rPr>
      </w:pPr>
      <w:r w:rsidRPr="0004467E">
        <w:rPr>
          <w:rFonts w:ascii="Palatino Linotype" w:hAnsi="Palatino Linotype" w:cs="Arial"/>
          <w:i/>
        </w:rPr>
        <w:t>Amparo directo 699/2008. Mariana Leticia González Steele. 13 de noviembre de 2008. Unanimidad de votos. Ponente: Sara Judith Montalvo Trejo. Secretario: Arnulfo Mateos García.”</w:t>
      </w:r>
      <w:r w:rsidRPr="0004467E">
        <w:rPr>
          <w:rFonts w:ascii="Palatino Linotype" w:hAnsi="Palatino Linotype"/>
          <w:b/>
          <w:i/>
          <w:lang w:val="es-ES_tradnl"/>
        </w:rPr>
        <w:t xml:space="preserve"> [Sic]</w:t>
      </w:r>
    </w:p>
    <w:p w14:paraId="08935B1C" w14:textId="77777777" w:rsidR="00DE159D" w:rsidRPr="0004467E" w:rsidRDefault="00DE159D" w:rsidP="00DE159D">
      <w:pPr>
        <w:ind w:right="141"/>
        <w:jc w:val="both"/>
        <w:rPr>
          <w:rFonts w:ascii="Palatino Linotype" w:hAnsi="Palatino Linotype" w:cs="Arial"/>
        </w:rPr>
      </w:pPr>
    </w:p>
    <w:p w14:paraId="181AEFDB" w14:textId="77777777" w:rsidR="00DE159D" w:rsidRPr="001F0DB0" w:rsidRDefault="00DE159D" w:rsidP="00DE159D">
      <w:pPr>
        <w:spacing w:line="360" w:lineRule="auto"/>
        <w:jc w:val="both"/>
        <w:rPr>
          <w:rFonts w:ascii="Palatino Linotype" w:hAnsi="Palatino Linotype" w:cs="Arial"/>
        </w:rPr>
      </w:pPr>
      <w:r w:rsidRPr="0004467E">
        <w:rPr>
          <w:rFonts w:ascii="Palatino Linotype" w:hAnsi="Palatino Linotype" w:cs="Arial"/>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04467E">
        <w:rPr>
          <w:rFonts w:ascii="Palatino Linotype" w:hAnsi="Palatino Linotype" w:cs="Arial"/>
          <w:b/>
        </w:rPr>
        <w:t xml:space="preserve">artículo 192 </w:t>
      </w:r>
      <w:r w:rsidRPr="0004467E">
        <w:rPr>
          <w:rFonts w:ascii="Palatino Linotype" w:hAnsi="Palatino Linotype" w:cs="Arial"/>
        </w:rPr>
        <w:t xml:space="preserve">de la </w:t>
      </w:r>
      <w:r w:rsidRPr="0004467E">
        <w:rPr>
          <w:rFonts w:ascii="Palatino Linotype" w:hAnsi="Palatino Linotype" w:cs="Arial"/>
          <w:b/>
        </w:rPr>
        <w:t xml:space="preserve">Ley de Transparencia y Acceso a la Información Pública del Estado de México y </w:t>
      </w:r>
      <w:r w:rsidRPr="0004467E">
        <w:rPr>
          <w:rFonts w:ascii="Palatino Linotype" w:hAnsi="Palatino Linotype" w:cs="Arial"/>
          <w:b/>
        </w:rPr>
        <w:lastRenderedPageBreak/>
        <w:t xml:space="preserve">Municipios, </w:t>
      </w:r>
      <w:r w:rsidRPr="0004467E">
        <w:rPr>
          <w:rFonts w:ascii="Palatino Linotype" w:hAnsi="Palatino Linotype" w:cs="Arial"/>
        </w:rPr>
        <w:t xml:space="preserve">nos encontramos ante un sobreseimiento definitivo toda vez que pone fin </w:t>
      </w:r>
      <w:r w:rsidRPr="001F0DB0">
        <w:rPr>
          <w:rFonts w:ascii="Palatino Linotype" w:hAnsi="Palatino Linotype" w:cs="Arial"/>
        </w:rPr>
        <w:t xml:space="preserve">al procedimiento sin entrar al estudio de fondo del mismo. </w:t>
      </w:r>
    </w:p>
    <w:p w14:paraId="5C705E41" w14:textId="77777777" w:rsidR="00DE159D" w:rsidRDefault="00DE159D" w:rsidP="00DE159D">
      <w:pPr>
        <w:autoSpaceDE w:val="0"/>
        <w:autoSpaceDN w:val="0"/>
        <w:adjustRightInd w:val="0"/>
        <w:spacing w:before="240" w:line="360" w:lineRule="auto"/>
        <w:ind w:right="-18"/>
        <w:jc w:val="both"/>
        <w:rPr>
          <w:rFonts w:ascii="Palatino Linotype" w:hAnsi="Palatino Linotype"/>
          <w:b/>
          <w:bCs/>
          <w:u w:val="single"/>
        </w:rPr>
      </w:pPr>
      <w:r w:rsidRPr="001F0DB0">
        <w:rPr>
          <w:rFonts w:ascii="Palatino Linotype" w:hAnsi="Palatino Linotype"/>
          <w:b/>
          <w:bCs/>
          <w:u w:val="single"/>
        </w:rPr>
        <w:t>Para los efectos de esta resolución, resulta oportuno precisar la improcedencia del recurso por no actualizar alguno de los supuestos previstos en la ley de transparencia</w:t>
      </w:r>
      <w:r>
        <w:rPr>
          <w:rFonts w:ascii="Palatino Linotype" w:hAnsi="Palatino Linotype"/>
          <w:b/>
          <w:bCs/>
          <w:u w:val="single"/>
        </w:rPr>
        <w:t xml:space="preserve"> y por tratarse de una consulta (Artículo 191 fracciones III y VI y 192 fracción IV de la Ley de Transparencia local)</w:t>
      </w:r>
    </w:p>
    <w:p w14:paraId="5DDCB835" w14:textId="77777777" w:rsidR="00DE159D" w:rsidRPr="001F0DB0" w:rsidRDefault="00DE159D" w:rsidP="00DE159D">
      <w:pPr>
        <w:tabs>
          <w:tab w:val="left" w:pos="5415"/>
        </w:tabs>
        <w:spacing w:before="240" w:line="360" w:lineRule="auto"/>
        <w:ind w:right="51"/>
        <w:jc w:val="both"/>
        <w:rPr>
          <w:rFonts w:ascii="Palatino Linotype" w:hAnsi="Palatino Linotype" w:cs="Arial"/>
        </w:rPr>
      </w:pPr>
      <w:r w:rsidRPr="001F0DB0">
        <w:rPr>
          <w:rFonts w:ascii="Palatino Linotype" w:hAnsi="Palatino Linotype" w:cs="Arial"/>
        </w:rPr>
        <w:t xml:space="preserve">Bajo este contexto, cobra particular relevancia la corriente que emana de la Segunda Sala de la Suprema Corte de Justicia de la Nación, a través de la jurisprudencia con número de registro digital </w:t>
      </w:r>
      <w:r w:rsidRPr="001F0DB0">
        <w:rPr>
          <w:rFonts w:ascii="Palatino Linotype" w:hAnsi="Palatino Linotype" w:cs="Arial"/>
          <w:b/>
        </w:rPr>
        <w:t>195744</w:t>
      </w:r>
      <w:r w:rsidRPr="001F0DB0">
        <w:rPr>
          <w:rFonts w:ascii="Palatino Linotype" w:hAnsi="Palatino Linotype" w:cs="Arial"/>
        </w:rPr>
        <w:t xml:space="preserve"> de la Novena Época, visible en el Semanario Judicial de la Federación y su Gaceta, Tomo VIII, de agosto de 1998, tesis 2a/J. 54/98 en materia común, en la que se establece lo siguiente:</w:t>
      </w:r>
    </w:p>
    <w:p w14:paraId="7793A5DD" w14:textId="77777777" w:rsidR="00DE159D" w:rsidRPr="003B439E" w:rsidRDefault="00DE159D" w:rsidP="00DE159D">
      <w:pPr>
        <w:pStyle w:val="Citas"/>
        <w:rPr>
          <w:b/>
          <w:lang w:eastAsia="es-MX"/>
        </w:rPr>
      </w:pPr>
      <w:r w:rsidRPr="001F0DB0">
        <w:rPr>
          <w:b/>
          <w:lang w:eastAsia="es-MX"/>
        </w:rPr>
        <w:t>“SOBRESEIMIENTO. BASTA EL ESTUDIO DE UNA SOLA CAUSAL DE IMPROCEDENCIA.</w:t>
      </w:r>
    </w:p>
    <w:p w14:paraId="764EFC9A" w14:textId="77777777" w:rsidR="00DE159D" w:rsidRPr="003B439E" w:rsidRDefault="00DE159D" w:rsidP="00DE159D">
      <w:pPr>
        <w:pStyle w:val="Citas"/>
        <w:rPr>
          <w:lang w:eastAsia="es-MX"/>
        </w:rPr>
      </w:pPr>
      <w:r w:rsidRPr="003B439E">
        <w:rPr>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14:paraId="4F3DA0BF" w14:textId="77777777" w:rsidR="00DE159D" w:rsidRPr="003B439E" w:rsidRDefault="00DE159D" w:rsidP="00DE159D">
      <w:pPr>
        <w:pStyle w:val="Citas"/>
        <w:rPr>
          <w:lang w:eastAsia="es-MX"/>
        </w:rPr>
      </w:pPr>
      <w:r w:rsidRPr="003B439E">
        <w:rPr>
          <w:lang w:eastAsia="es-MX"/>
        </w:rPr>
        <w:t xml:space="preserve">Amparo en revisión 7488/81. Maximino Juárez Miguel (Poblado de San Francisco </w:t>
      </w:r>
      <w:proofErr w:type="spellStart"/>
      <w:r w:rsidRPr="003B439E">
        <w:rPr>
          <w:lang w:eastAsia="es-MX"/>
        </w:rPr>
        <w:t>Jaltepetongo</w:t>
      </w:r>
      <w:proofErr w:type="spellEnd"/>
      <w:r w:rsidRPr="003B439E">
        <w:rPr>
          <w:lang w:eastAsia="es-MX"/>
        </w:rPr>
        <w:t>, Municipio del mismo nombre, Estado de Oaxaca. Acumulados). 29 de noviembre de 1982. Cinco votos. Ponente: Carlos del Río Rodríguez. Secretario: Wilfrido Castañón León.</w:t>
      </w:r>
    </w:p>
    <w:p w14:paraId="0A4CA285" w14:textId="77777777" w:rsidR="00DE159D" w:rsidRPr="003B439E" w:rsidRDefault="00DE159D" w:rsidP="00DE159D">
      <w:pPr>
        <w:pStyle w:val="Citas"/>
        <w:rPr>
          <w:lang w:eastAsia="es-MX"/>
        </w:rPr>
      </w:pPr>
      <w:r w:rsidRPr="003B439E">
        <w:rPr>
          <w:lang w:eastAsia="es-MX"/>
        </w:rPr>
        <w:lastRenderedPageBreak/>
        <w:t>Amparo en revisión 540/97. Bancomer, S.A., Institución de Banca Múltiple y Grupo Financiero. 30 de enero de 1998. Cinco votos. Ponente: Sergio Salvador Aguirre Anguiano. Secretaria: Alma Delia Aguilar Chávez Nava.</w:t>
      </w:r>
    </w:p>
    <w:p w14:paraId="390387B5" w14:textId="77777777" w:rsidR="00DE159D" w:rsidRPr="003B439E" w:rsidRDefault="00DE159D" w:rsidP="00DE159D">
      <w:pPr>
        <w:pStyle w:val="Citas"/>
      </w:pPr>
      <w:r w:rsidRPr="003B439E">
        <w:rPr>
          <w:lang w:eastAsia="es-MX"/>
        </w:rPr>
        <w:t>Amparo en revisión 3059/97. Francisco Cañedo Zavaleta. 30 de enero de 1998. Cinco votos. Ponente: Sergio Salvador Aguirre Anguiano. Secretaria: Adela Domínguez Salazar.</w:t>
      </w:r>
      <w:r w:rsidRPr="003B439E">
        <w:br/>
        <w:t xml:space="preserve">Amparo en revisión 1634/96. Arturo </w:t>
      </w:r>
      <w:proofErr w:type="spellStart"/>
      <w:r w:rsidRPr="003B439E">
        <w:t>Veana</w:t>
      </w:r>
      <w:proofErr w:type="spellEnd"/>
      <w:r w:rsidRPr="003B439E">
        <w:t xml:space="preserve"> Espinosa. 20 de febrero de 1998. Cinco votos. Ponente: Sergio Salvador Aguirre Anguiano. Secretaria: Adela Domínguez Salazar.</w:t>
      </w:r>
    </w:p>
    <w:p w14:paraId="5779F7DB" w14:textId="77777777" w:rsidR="00DE159D" w:rsidRPr="003B439E" w:rsidRDefault="00DE159D" w:rsidP="00DE159D">
      <w:pPr>
        <w:pStyle w:val="Citas"/>
        <w:rPr>
          <w:lang w:eastAsia="es-MX"/>
        </w:rPr>
      </w:pPr>
      <w:r w:rsidRPr="003B439E">
        <w:rPr>
          <w:lang w:eastAsia="es-MX"/>
        </w:rPr>
        <w:t xml:space="preserve">Amparo en revisión 2204/97. De </w:t>
      </w:r>
      <w:proofErr w:type="spellStart"/>
      <w:r w:rsidRPr="003B439E">
        <w:rPr>
          <w:lang w:eastAsia="es-MX"/>
        </w:rPr>
        <w:t>Raffaelo</w:t>
      </w:r>
      <w:proofErr w:type="spellEnd"/>
      <w:r w:rsidRPr="003B439E">
        <w:rPr>
          <w:lang w:eastAsia="es-MX"/>
        </w:rPr>
        <w:t>, S.A. de C.V. 27 de mayo de 1998. Cinco votos. Ponente: Juan Díaz Romero. Secretario: Aristeo Martínez Cruz.</w:t>
      </w:r>
    </w:p>
    <w:p w14:paraId="7D2662DF" w14:textId="77777777" w:rsidR="00DE159D" w:rsidRDefault="00DE159D" w:rsidP="00DE159D">
      <w:pPr>
        <w:pStyle w:val="Citas"/>
        <w:rPr>
          <w:b/>
          <w:lang w:eastAsia="es-MX"/>
        </w:rPr>
      </w:pPr>
      <w:r w:rsidRPr="003B439E">
        <w:rPr>
          <w:lang w:eastAsia="es-MX"/>
        </w:rPr>
        <w:t>Tesis de jurisprudencia 54/98. Aprobada por la Segunda Sala de este Alto Tribunal, en sesión privada del veintiséis de junio de mil novecientos noventa y ocho.</w:t>
      </w:r>
      <w:r>
        <w:rPr>
          <w:lang w:eastAsia="es-MX"/>
        </w:rPr>
        <w:t xml:space="preserve">” </w:t>
      </w:r>
      <w:r>
        <w:rPr>
          <w:b/>
          <w:lang w:eastAsia="es-MX"/>
        </w:rPr>
        <w:t xml:space="preserve">[Sic] </w:t>
      </w:r>
    </w:p>
    <w:p w14:paraId="44AC0ECE" w14:textId="77777777" w:rsidR="00DE159D" w:rsidRDefault="00DE159D" w:rsidP="00DE159D">
      <w:pPr>
        <w:spacing w:before="240" w:line="360" w:lineRule="auto"/>
        <w:jc w:val="both"/>
        <w:rPr>
          <w:rFonts w:ascii="Palatino Linotype" w:hAnsi="Palatino Linotype"/>
        </w:rPr>
      </w:pPr>
    </w:p>
    <w:p w14:paraId="17C0D02D" w14:textId="77777777" w:rsidR="00DE159D" w:rsidRDefault="00DE159D" w:rsidP="00DE159D">
      <w:pPr>
        <w:spacing w:before="240" w:line="360" w:lineRule="auto"/>
        <w:jc w:val="both"/>
        <w:rPr>
          <w:rFonts w:ascii="Palatino Linotype" w:hAnsi="Palatino Linotype"/>
        </w:rPr>
      </w:pPr>
      <w:r>
        <w:rPr>
          <w:rFonts w:ascii="Palatino Linotype" w:hAnsi="Palatino Linotype"/>
        </w:rPr>
        <w:t xml:space="preserve">Luego entonces debemos destacar que, en la solicitud de información planteada por el particular, se observa en </w:t>
      </w:r>
      <w:r w:rsidRPr="008A7D00">
        <w:rPr>
          <w:rFonts w:ascii="Palatino Linotype" w:hAnsi="Palatino Linotype"/>
          <w:color w:val="000000"/>
        </w:rPr>
        <w:t xml:space="preserve">primer lugar que la información fue formulada a través de planteamientos en donde </w:t>
      </w:r>
      <w:r w:rsidRPr="008A7D00">
        <w:rPr>
          <w:rFonts w:ascii="Palatino Linotype" w:hAnsi="Palatino Linotype" w:cs="Arial"/>
          <w:bCs/>
          <w:iCs/>
          <w:color w:val="222222"/>
        </w:rPr>
        <w:t>no se identifica un documento en específico</w:t>
      </w:r>
      <w:r w:rsidRPr="008A7D00">
        <w:rPr>
          <w:rFonts w:ascii="Palatino Linotype" w:hAnsi="Palatino Linotype"/>
          <w:color w:val="000000"/>
        </w:rPr>
        <w:t xml:space="preserve">, en segundo lugar, se aprecia que en la misma se vierten manifestaciones subjetivas que no pueden ser atendidas mediante el Derecho de Acceso a la Información, </w:t>
      </w:r>
      <w:r w:rsidRPr="008A7D00">
        <w:rPr>
          <w:rFonts w:ascii="Palatino Linotype" w:hAnsi="Palatino Linotype" w:cs="Arial"/>
        </w:rPr>
        <w:t xml:space="preserve">es decir, </w:t>
      </w:r>
      <w:r w:rsidRPr="008A7D00">
        <w:rPr>
          <w:rFonts w:ascii="Palatino Linotype" w:hAnsi="Palatino Linotype"/>
        </w:rPr>
        <w:t xml:space="preserve">no existe materia de derecho de acceso a la información sobre la que el </w:t>
      </w:r>
      <w:r w:rsidRPr="008A7D00">
        <w:rPr>
          <w:rFonts w:ascii="Palatino Linotype" w:hAnsi="Palatino Linotype"/>
          <w:b/>
          <w:bCs/>
        </w:rPr>
        <w:t>Sujeto Obligado</w:t>
      </w:r>
      <w:r w:rsidRPr="008A7D00">
        <w:rPr>
          <w:rFonts w:ascii="Palatino Linotype" w:hAnsi="Palatino Linotype"/>
        </w:rPr>
        <w:t xml:space="preserve"> </w:t>
      </w:r>
      <w:r>
        <w:rPr>
          <w:rFonts w:ascii="Palatino Linotype" w:hAnsi="Palatino Linotype"/>
        </w:rPr>
        <w:t xml:space="preserve">o sujeto obligado diverso </w:t>
      </w:r>
      <w:r w:rsidRPr="008A7D00">
        <w:rPr>
          <w:rFonts w:ascii="Palatino Linotype" w:hAnsi="Palatino Linotype"/>
        </w:rPr>
        <w:t>pueda entregar información alguna</w:t>
      </w:r>
      <w:r>
        <w:rPr>
          <w:rFonts w:ascii="Palatino Linotype" w:hAnsi="Palatino Linotype"/>
        </w:rPr>
        <w:t xml:space="preserve">, ello es así porque </w:t>
      </w:r>
      <w:r>
        <w:rPr>
          <w:rFonts w:ascii="Palatino Linotype" w:hAnsi="Palatino Linotype"/>
          <w:b/>
          <w:bCs/>
        </w:rPr>
        <w:t xml:space="preserve">El Recurrente </w:t>
      </w:r>
      <w:r>
        <w:rPr>
          <w:rFonts w:ascii="Palatino Linotype" w:hAnsi="Palatino Linotype"/>
        </w:rPr>
        <w:t xml:space="preserve">requiere la contestación de un cuestionamiento de manifestaciones subjetivas. </w:t>
      </w:r>
    </w:p>
    <w:p w14:paraId="5AFF11EF" w14:textId="77777777" w:rsidR="00DE159D" w:rsidRDefault="00DE159D" w:rsidP="00DE159D">
      <w:pPr>
        <w:pStyle w:val="Prrafodelista"/>
        <w:autoSpaceDE w:val="0"/>
        <w:autoSpaceDN w:val="0"/>
        <w:adjustRightInd w:val="0"/>
        <w:spacing w:line="360" w:lineRule="auto"/>
        <w:ind w:left="0"/>
        <w:contextualSpacing/>
        <w:jc w:val="both"/>
        <w:rPr>
          <w:rFonts w:ascii="Palatino Linotype" w:hAnsi="Palatino Linotype"/>
        </w:rPr>
      </w:pPr>
    </w:p>
    <w:p w14:paraId="065FD186" w14:textId="77777777" w:rsidR="00DE159D" w:rsidRPr="00B21190" w:rsidRDefault="00DE159D" w:rsidP="00DE159D">
      <w:pPr>
        <w:pStyle w:val="Prrafodelista"/>
        <w:autoSpaceDE w:val="0"/>
        <w:autoSpaceDN w:val="0"/>
        <w:adjustRightInd w:val="0"/>
        <w:spacing w:line="360" w:lineRule="auto"/>
        <w:ind w:left="0"/>
        <w:contextualSpacing/>
        <w:jc w:val="both"/>
        <w:rPr>
          <w:rFonts w:ascii="Palatino Linotype" w:hAnsi="Palatino Linotype" w:cs="Arial"/>
          <w:lang w:val="es-MX"/>
        </w:rPr>
      </w:pPr>
      <w:r w:rsidRPr="00B21190">
        <w:rPr>
          <w:rFonts w:ascii="Palatino Linotype" w:hAnsi="Palatino Linotype"/>
        </w:rPr>
        <w:lastRenderedPageBreak/>
        <w:t xml:space="preserve">Bajo éste tenor cabe aclarar que cuando los planteamientos que formulen los particulares se pueda colmar con la entrega de </w:t>
      </w:r>
      <w:r w:rsidRPr="00B21190">
        <w:rPr>
          <w:rFonts w:ascii="Palatino Linotype" w:hAnsi="Palatino Linotype" w:cs="Arial"/>
        </w:rPr>
        <w:t xml:space="preserve">documentos que los </w:t>
      </w:r>
      <w:r w:rsidRPr="009A4152">
        <w:rPr>
          <w:rFonts w:ascii="Palatino Linotype" w:hAnsi="Palatino Linotype" w:cs="Arial"/>
          <w:b/>
          <w:bCs/>
        </w:rPr>
        <w:t>Sujetos Obligados</w:t>
      </w:r>
      <w:r w:rsidRPr="00B21190">
        <w:rPr>
          <w:rFonts w:ascii="Palatino Linotype" w:hAnsi="Palatino Linotype" w:cs="Arial"/>
        </w:rPr>
        <w:t xml:space="preserve"> generen, posean o administren en ejercicio de sus atribuciones, se está en presencia del derecho fundamental de acceso a la información, previsto en el artículo 6, Apartado </w:t>
      </w:r>
      <w:r w:rsidRPr="00B21190">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24F5B109" w14:textId="77777777" w:rsidR="00DE159D" w:rsidRPr="00B21190" w:rsidRDefault="00DE159D" w:rsidP="00DE159D">
      <w:pPr>
        <w:pStyle w:val="Prrafodelista"/>
        <w:autoSpaceDE w:val="0"/>
        <w:autoSpaceDN w:val="0"/>
        <w:adjustRightInd w:val="0"/>
        <w:spacing w:line="360" w:lineRule="auto"/>
        <w:ind w:left="0"/>
        <w:jc w:val="both"/>
        <w:rPr>
          <w:rFonts w:ascii="Palatino Linotype" w:hAnsi="Palatino Linotype" w:cs="Arial"/>
        </w:rPr>
      </w:pPr>
    </w:p>
    <w:p w14:paraId="00957852" w14:textId="77777777" w:rsidR="00DE159D" w:rsidRPr="00B21190" w:rsidRDefault="00DE159D" w:rsidP="00DE159D">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B21190">
        <w:rPr>
          <w:rFonts w:ascii="Palatino Linotype" w:hAnsi="Palatino Linotype" w:cs="Arial"/>
          <w:color w:val="000000" w:themeColor="text1"/>
        </w:rPr>
        <w:t>Sirve de sustento a lo anterior, el</w:t>
      </w:r>
      <w:r w:rsidRPr="00B21190">
        <w:rPr>
          <w:rStyle w:val="apple-converted-space"/>
          <w:rFonts w:ascii="Palatino Linotype" w:hAnsi="Palatino Linotype" w:cs="Arial"/>
          <w:color w:val="000000" w:themeColor="text1"/>
        </w:rPr>
        <w:t xml:space="preserve"> </w:t>
      </w:r>
      <w:r w:rsidRPr="00B21190">
        <w:rPr>
          <w:rStyle w:val="il"/>
          <w:rFonts w:ascii="Palatino Linotype" w:eastAsiaTheme="majorEastAsia" w:hAnsi="Palatino Linotype" w:cs="Arial"/>
          <w:color w:val="000000" w:themeColor="text1"/>
        </w:rPr>
        <w:t>Criterio</w:t>
      </w:r>
      <w:r w:rsidRPr="00B21190">
        <w:rPr>
          <w:rStyle w:val="apple-converted-space"/>
          <w:rFonts w:ascii="Palatino Linotype" w:hAnsi="Palatino Linotype" w:cs="Arial"/>
          <w:color w:val="000000" w:themeColor="text1"/>
        </w:rPr>
        <w:t xml:space="preserve"> </w:t>
      </w:r>
      <w:r w:rsidRPr="008A7D00">
        <w:rPr>
          <w:rStyle w:val="il"/>
          <w:rFonts w:ascii="Palatino Linotype" w:eastAsiaTheme="majorEastAsia" w:hAnsi="Palatino Linotype" w:cs="Arial"/>
          <w:b/>
          <w:bCs/>
          <w:color w:val="000000" w:themeColor="text1"/>
        </w:rPr>
        <w:t>028</w:t>
      </w:r>
      <w:r w:rsidRPr="008A7D00">
        <w:rPr>
          <w:rFonts w:ascii="Palatino Linotype" w:hAnsi="Palatino Linotype" w:cs="Arial"/>
          <w:b/>
          <w:bCs/>
          <w:color w:val="000000" w:themeColor="text1"/>
        </w:rPr>
        <w:t>-</w:t>
      </w:r>
      <w:r w:rsidRPr="008A7D00">
        <w:rPr>
          <w:rStyle w:val="il"/>
          <w:rFonts w:ascii="Palatino Linotype" w:eastAsiaTheme="majorEastAsia" w:hAnsi="Palatino Linotype" w:cs="Arial"/>
          <w:b/>
          <w:bCs/>
          <w:color w:val="000000" w:themeColor="text1"/>
        </w:rPr>
        <w:t>10</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emitido por el Pleno del entonces llamado</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B21190">
        <w:rPr>
          <w:rStyle w:val="apple-converted-space"/>
          <w:rFonts w:ascii="Palatino Linotype" w:hAnsi="Palatino Linotype" w:cs="Arial"/>
          <w:i/>
          <w:iCs/>
          <w:color w:val="000000" w:themeColor="text1"/>
        </w:rPr>
        <w:t xml:space="preserve"> </w:t>
      </w:r>
      <w:r w:rsidRPr="00B21190">
        <w:rPr>
          <w:rFonts w:ascii="Palatino Linotype" w:hAnsi="Palatino Linotype" w:cs="Arial"/>
          <w:color w:val="000000" w:themeColor="text1"/>
        </w:rPr>
        <w:t xml:space="preserve">aunque el particular lleve a cabo una solicitud de información sin identificar de forma precisa la documentación, </w:t>
      </w:r>
      <w:r>
        <w:rPr>
          <w:rFonts w:ascii="Palatino Linotype" w:hAnsi="Palatino Linotype" w:cs="Arial"/>
          <w:b/>
          <w:color w:val="000000" w:themeColor="text1"/>
        </w:rPr>
        <w:t>e</w:t>
      </w:r>
      <w:r w:rsidRPr="00B21190">
        <w:rPr>
          <w:rFonts w:ascii="Palatino Linotype" w:hAnsi="Palatino Linotype" w:cs="Arial"/>
          <w:b/>
          <w:color w:val="000000" w:themeColor="text1"/>
        </w:rPr>
        <w:t xml:space="preserve">l Sujeto </w:t>
      </w:r>
      <w:r>
        <w:rPr>
          <w:rFonts w:ascii="Palatino Linotype" w:hAnsi="Palatino Linotype" w:cs="Arial"/>
          <w:b/>
          <w:color w:val="000000" w:themeColor="text1"/>
        </w:rPr>
        <w:t>o</w:t>
      </w:r>
      <w:r w:rsidRPr="00B21190">
        <w:rPr>
          <w:rFonts w:ascii="Palatino Linotype" w:hAnsi="Palatino Linotype" w:cs="Arial"/>
          <w:b/>
          <w:color w:val="000000" w:themeColor="text1"/>
        </w:rPr>
        <w:t>bligado</w:t>
      </w:r>
      <w:r w:rsidRPr="00B21190">
        <w:rPr>
          <w:rStyle w:val="apple-converted-space"/>
          <w:rFonts w:ascii="Palatino Linotype" w:hAnsi="Palatino Linotype" w:cs="Arial"/>
          <w:b/>
          <w:color w:val="000000" w:themeColor="text1"/>
        </w:rPr>
        <w:t xml:space="preserve"> </w:t>
      </w:r>
      <w:r w:rsidRPr="00B21190">
        <w:rPr>
          <w:rFonts w:ascii="Palatino Linotype" w:hAnsi="Palatino Linotype" w:cs="Arial"/>
          <w:color w:val="000000" w:themeColor="text1"/>
        </w:rPr>
        <w:t>deberá hacer entrega del mismo al solicitante</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mismo que a continuación se cita:</w:t>
      </w:r>
    </w:p>
    <w:p w14:paraId="0135914C" w14:textId="77777777" w:rsidR="00DE159D" w:rsidRPr="008A7D00" w:rsidRDefault="00DE159D" w:rsidP="00DE159D">
      <w:pPr>
        <w:pStyle w:val="Citas"/>
        <w:rPr>
          <w:rStyle w:val="apple-converted-space"/>
          <w:b/>
          <w:bCs/>
          <w:i w:val="0"/>
          <w:iCs/>
          <w:color w:val="000000" w:themeColor="text1"/>
          <w:lang w:val="es-ES_tradnl"/>
        </w:rPr>
      </w:pPr>
      <w:r w:rsidRPr="008A7D00">
        <w:rPr>
          <w:b/>
          <w:bCs/>
          <w:lang w:val="es-ES_tradnl"/>
        </w:rPr>
        <w:t>“CUANDO EN UNA SOLICITUD DE INFORMACIÓN NO SE IDENTIFIQUE UN DOCUMENTO EN ESPECÍFICO, SI ÉSTA TIENE UNA EXPRESIÓN DOCUMENTAL, EL SUJETO OBLIGADO DEBERÁ ENTREGAR AL PARTICULAR EL DOCUMENTO EN ESPECÍFICO.</w:t>
      </w:r>
      <w:r w:rsidRPr="008A7D00">
        <w:rPr>
          <w:rStyle w:val="apple-converted-space"/>
          <w:b/>
          <w:bCs/>
          <w:i w:val="0"/>
          <w:iCs/>
          <w:color w:val="000000" w:themeColor="text1"/>
          <w:lang w:val="es-ES_tradnl"/>
        </w:rPr>
        <w:t xml:space="preserve"> </w:t>
      </w:r>
    </w:p>
    <w:p w14:paraId="7F13CA3A" w14:textId="77777777" w:rsidR="00DE159D" w:rsidRDefault="00DE159D" w:rsidP="00DE159D">
      <w:pPr>
        <w:pStyle w:val="Citas"/>
        <w:rPr>
          <w:lang w:val="es-ES_tradnl"/>
        </w:rPr>
      </w:pPr>
      <w:r w:rsidRPr="00B21190">
        <w:rPr>
          <w:lang w:val="es-ES_tradnl"/>
        </w:rPr>
        <w:lastRenderedPageBreak/>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3542128F" w14:textId="77777777" w:rsidR="00DE159D" w:rsidRPr="009A4152" w:rsidRDefault="00DE159D" w:rsidP="00DE159D">
      <w:pPr>
        <w:pStyle w:val="Citas"/>
        <w:rPr>
          <w:b/>
          <w:bCs/>
        </w:rPr>
      </w:pPr>
      <w:r w:rsidRPr="009A4152">
        <w:rPr>
          <w:b/>
          <w:bCs/>
        </w:rPr>
        <w:t>Precedentes:</w:t>
      </w:r>
    </w:p>
    <w:p w14:paraId="42CED071" w14:textId="77777777" w:rsidR="00DE159D" w:rsidRPr="001F5B23" w:rsidRDefault="00DE159D" w:rsidP="00DE159D">
      <w:pPr>
        <w:pStyle w:val="Citas"/>
        <w:numPr>
          <w:ilvl w:val="0"/>
          <w:numId w:val="5"/>
        </w:numPr>
      </w:pPr>
      <w:r w:rsidRPr="001F5B23">
        <w:t>Acceso a la información pública. 2790/09. Sesión del 19 de agosto de 2009. Votación por unanimidad. Sin votos disidentes o particulares. Notimex, S.A. de C.V. Comisionado Ponente Juan Pablo Guerrero Amparán.</w:t>
      </w:r>
    </w:p>
    <w:p w14:paraId="131F4663" w14:textId="77777777" w:rsidR="00DE159D" w:rsidRPr="001F5B23" w:rsidRDefault="00DE159D" w:rsidP="00DE159D">
      <w:pPr>
        <w:pStyle w:val="Citas"/>
        <w:numPr>
          <w:ilvl w:val="0"/>
          <w:numId w:val="5"/>
        </w:numPr>
      </w:pPr>
      <w:r w:rsidRPr="001F5B23">
        <w:t>Acceso a la información pública. 2677/09. Sesión del 26 de agosto de 2009. Votación por unanimidad. Sin votos disidentes o particulares. Comisión Federal para la Protección Contra Riesgos Sanitarios. Comisionado Ponente Alonso Gómez-Robledo V.</w:t>
      </w:r>
    </w:p>
    <w:p w14:paraId="31DBF472" w14:textId="77777777" w:rsidR="00DE159D" w:rsidRPr="001F5B23" w:rsidRDefault="00DE159D" w:rsidP="00DE159D">
      <w:pPr>
        <w:pStyle w:val="Citas"/>
        <w:numPr>
          <w:ilvl w:val="0"/>
          <w:numId w:val="5"/>
        </w:numPr>
      </w:pPr>
      <w:r w:rsidRPr="001F5B23">
        <w:t xml:space="preserve">Acceso a la información pública. 4262/09. Sesión del 11 de noviembre de 2009. Votación por unanimidad. Sin votos disidentes o particulares. </w:t>
      </w:r>
      <w:r w:rsidRPr="001F5B23">
        <w:lastRenderedPageBreak/>
        <w:t xml:space="preserve">Secretaría de la Defensa Nacional. Comisionada Ponente Jacqueline </w:t>
      </w:r>
      <w:proofErr w:type="spellStart"/>
      <w:r w:rsidRPr="001F5B23">
        <w:t>Peschard</w:t>
      </w:r>
      <w:proofErr w:type="spellEnd"/>
      <w:r w:rsidRPr="001F5B23">
        <w:t xml:space="preserve"> Mariscal.</w:t>
      </w:r>
    </w:p>
    <w:p w14:paraId="5E3D80E5" w14:textId="77777777" w:rsidR="00DE159D" w:rsidRPr="001F5B23" w:rsidRDefault="00DE159D" w:rsidP="00DE159D">
      <w:pPr>
        <w:pStyle w:val="Citas"/>
        <w:numPr>
          <w:ilvl w:val="0"/>
          <w:numId w:val="5"/>
        </w:numPr>
      </w:pPr>
      <w:r w:rsidRPr="001F5B23">
        <w:t>Acceso a la información pública. 0315/10. Sesión del 07 de abril de 2010. Votación por unanimidad. Sin votos disidentes o particulares. Secretaría de Agricultura, Ganadería, Desarrollo Rural, Pesca y Alimentación. Comisionado Ponente Ángel Trinidad Zaldívar.</w:t>
      </w:r>
    </w:p>
    <w:p w14:paraId="7886B5F8" w14:textId="77777777" w:rsidR="00DE159D" w:rsidRPr="008A7D00" w:rsidRDefault="00DE159D" w:rsidP="00DE159D">
      <w:pPr>
        <w:pStyle w:val="Citas"/>
        <w:numPr>
          <w:ilvl w:val="0"/>
          <w:numId w:val="5"/>
        </w:numPr>
        <w:rPr>
          <w:bCs/>
        </w:rPr>
      </w:pPr>
      <w:r w:rsidRPr="001F5B23">
        <w:t xml:space="preserve">Acceso a la información pública. 2731/10. Sesión del 02 de junio de 2010. Votación por unanimidad. Sin votos disidentes o particulares. Administración Portuaria Integral de Veracruz, S.A. de C.V. Comisionada Ponente Sigrid </w:t>
      </w:r>
      <w:proofErr w:type="spellStart"/>
      <w:r w:rsidRPr="001F5B23">
        <w:t>Arzt</w:t>
      </w:r>
      <w:proofErr w:type="spellEnd"/>
      <w:r>
        <w:t xml:space="preserve"> Colunga” </w:t>
      </w:r>
      <w:r>
        <w:rPr>
          <w:b/>
          <w:bCs/>
        </w:rPr>
        <w:t>(Sic)</w:t>
      </w:r>
    </w:p>
    <w:p w14:paraId="62FFD0B2" w14:textId="77777777" w:rsidR="00DE159D" w:rsidRDefault="00DE159D" w:rsidP="00DE159D">
      <w:pPr>
        <w:autoSpaceDE w:val="0"/>
        <w:autoSpaceDN w:val="0"/>
        <w:adjustRightInd w:val="0"/>
        <w:spacing w:line="360" w:lineRule="auto"/>
        <w:jc w:val="both"/>
        <w:rPr>
          <w:rFonts w:ascii="Palatino Linotype" w:hAnsi="Palatino Linotype" w:cs="Arial"/>
        </w:rPr>
      </w:pPr>
    </w:p>
    <w:p w14:paraId="0AF62232"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1F8A905D" w14:textId="77777777" w:rsidR="00DE159D" w:rsidRPr="00B21190" w:rsidRDefault="00DE159D" w:rsidP="00DE159D">
      <w:pPr>
        <w:autoSpaceDE w:val="0"/>
        <w:autoSpaceDN w:val="0"/>
        <w:adjustRightInd w:val="0"/>
        <w:spacing w:line="360" w:lineRule="auto"/>
        <w:jc w:val="both"/>
        <w:rPr>
          <w:rFonts w:ascii="Palatino Linotype" w:hAnsi="Palatino Linotype" w:cs="Arial"/>
        </w:rPr>
      </w:pPr>
    </w:p>
    <w:p w14:paraId="21D0FC1B"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De lo anterior, este Resolutor en aras de tutelar el derecho de acceso a la información de los particulares, tiene la obligación de apegarse en todo momento a lo que dispone la Ley de Transparencia y Acceso a la Información Pública del Estado de México y </w:t>
      </w:r>
      <w:r w:rsidRPr="00B21190">
        <w:rPr>
          <w:rFonts w:ascii="Palatino Linotype" w:hAnsi="Palatino Linotype" w:cs="Arial"/>
        </w:rPr>
        <w:lastRenderedPageBreak/>
        <w:t xml:space="preserve">Municipios garantizando los principios de imparcialidad y legalidad en el procedimiento de impugnación y resolución del recurso planteado, por lo que bajo tal guisa </w:t>
      </w:r>
      <w:r w:rsidRPr="00B21190">
        <w:rPr>
          <w:rFonts w:ascii="Palatino Linotype" w:hAnsi="Palatino Linotype" w:cs="Arial"/>
          <w:b/>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B21190">
        <w:rPr>
          <w:rFonts w:ascii="Palatino Linotype" w:hAnsi="Palatino Linotype" w:cs="Arial"/>
        </w:rPr>
        <w:t>, resultando inconcuso que su solicitud de información es improcedente porque el requerimiento consiste en un pronunciamiento sobre cuestionamientos derivados de juicios subjetivos por parte de</w:t>
      </w:r>
      <w:r>
        <w:rPr>
          <w:rFonts w:ascii="Palatino Linotype" w:hAnsi="Palatino Linotype" w:cs="Arial"/>
        </w:rPr>
        <w:t>l</w:t>
      </w:r>
      <w:r w:rsidRPr="00B21190">
        <w:rPr>
          <w:rFonts w:ascii="Palatino Linotype" w:hAnsi="Palatino Linotype" w:cs="Arial"/>
        </w:rPr>
        <w:t xml:space="preserve"> </w:t>
      </w:r>
      <w:r w:rsidRPr="00B21190">
        <w:rPr>
          <w:rFonts w:ascii="Palatino Linotype" w:hAnsi="Palatino Linotype" w:cs="Arial"/>
          <w:b/>
        </w:rPr>
        <w:t>Recurrente</w:t>
      </w:r>
      <w:r w:rsidRPr="00B21190">
        <w:rPr>
          <w:rFonts w:ascii="Palatino Linotype" w:hAnsi="Palatino Linotype" w:cs="Arial"/>
        </w:rPr>
        <w:t xml:space="preserve">, sin que se requiriera específicamente un documento al cual deseara acceder que permitiera al </w:t>
      </w:r>
      <w:r w:rsidRPr="00B21190">
        <w:rPr>
          <w:rFonts w:ascii="Palatino Linotype" w:hAnsi="Palatino Linotype" w:cs="Arial"/>
          <w:b/>
        </w:rPr>
        <w:t>Sujeto Obligado</w:t>
      </w:r>
      <w:r w:rsidRPr="00B21190">
        <w:rPr>
          <w:rFonts w:ascii="Palatino Linotype" w:hAnsi="Palatino Linotype" w:cs="Arial"/>
        </w:rPr>
        <w:t xml:space="preserve"> localizarlo y en su caso ponerlo a su disposición.</w:t>
      </w:r>
    </w:p>
    <w:p w14:paraId="696453C0" w14:textId="77777777" w:rsidR="00DE159D" w:rsidRPr="00B21190" w:rsidRDefault="00DE159D" w:rsidP="00DE159D">
      <w:pPr>
        <w:pStyle w:val="Sinespaciado"/>
        <w:rPr>
          <w:lang w:val="es-ES"/>
        </w:rPr>
      </w:pPr>
    </w:p>
    <w:p w14:paraId="48EDD294"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En sustento a lo anterior, cobra aplicación lo establecido por el artículo 6 apartado A fracciones I, II y III de la Constitución Política de los Estados Unidos Mexicanos que a la letra señalan:</w:t>
      </w:r>
    </w:p>
    <w:p w14:paraId="66B44BD5" w14:textId="77777777" w:rsidR="00DE159D" w:rsidRPr="00B21190" w:rsidRDefault="00DE159D" w:rsidP="00DE159D">
      <w:pPr>
        <w:pStyle w:val="Citas"/>
      </w:pPr>
      <w:r w:rsidRPr="00B21190">
        <w:t>“Artículo 6o.</w:t>
      </w:r>
    </w:p>
    <w:p w14:paraId="2DCE22F1" w14:textId="77777777" w:rsidR="00DE159D" w:rsidRPr="00B21190" w:rsidRDefault="00DE159D" w:rsidP="00DE159D">
      <w:pPr>
        <w:pStyle w:val="Citas"/>
      </w:pPr>
      <w:r w:rsidRPr="00B21190">
        <w:t>[...]</w:t>
      </w:r>
    </w:p>
    <w:p w14:paraId="581F34FE" w14:textId="77777777" w:rsidR="00DE159D" w:rsidRPr="00B21190" w:rsidRDefault="00DE159D" w:rsidP="00DE159D">
      <w:pPr>
        <w:pStyle w:val="Citas"/>
        <w:rPr>
          <w:color w:val="000000"/>
        </w:rPr>
      </w:pPr>
      <w:r w:rsidRPr="00B21190">
        <w:rPr>
          <w:bCs/>
          <w:color w:val="000000"/>
          <w:lang w:val="es-ES_tradnl"/>
        </w:rPr>
        <w:t xml:space="preserve">A. </w:t>
      </w:r>
      <w:r w:rsidRPr="00B21190">
        <w:t xml:space="preserve">Para el ejercicio del derecho de acceso a la información, la Federación y </w:t>
      </w:r>
      <w:r w:rsidRPr="00B21190">
        <w:rPr>
          <w:u w:val="single"/>
        </w:rPr>
        <w:t>las entidades federativas</w:t>
      </w:r>
      <w:r w:rsidRPr="00B21190">
        <w:t>, en el ámbito de sus respectivas competencias, se regirán por los siguientes principios y bases:</w:t>
      </w:r>
    </w:p>
    <w:p w14:paraId="4040CC04" w14:textId="77777777" w:rsidR="00DE159D" w:rsidRPr="00B21190" w:rsidRDefault="00DE159D" w:rsidP="00DE159D">
      <w:pPr>
        <w:pStyle w:val="Citas"/>
        <w:rPr>
          <w:rFonts w:cs="Courier New"/>
          <w:color w:val="000000"/>
        </w:rPr>
      </w:pPr>
      <w:r w:rsidRPr="008A7D00">
        <w:rPr>
          <w:b/>
          <w:bCs/>
          <w:color w:val="000000"/>
          <w:u w:val="single"/>
        </w:rPr>
        <w:t> I. Toda la información en posesión de cualquier autoridad, entidad, órgano y organismo de los Poderes Ejecutivo, Legislativo y Judicial, órganos autónomos</w:t>
      </w:r>
      <w:r w:rsidRPr="00B21190">
        <w:rPr>
          <w:color w:val="000000"/>
        </w:rPr>
        <w:t xml:space="preserve">, partidos políticos, fideicomisos y fondos públicos, así como de cualquier persona física, moral o sindicato que reciba y ejerza recursos públicos o realice actos </w:t>
      </w:r>
      <w:r w:rsidRPr="00B21190">
        <w:rPr>
          <w:color w:val="000000"/>
        </w:rPr>
        <w:lastRenderedPageBreak/>
        <w:t>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0DF83D5" w14:textId="77777777" w:rsidR="00DE159D" w:rsidRPr="00B21190" w:rsidRDefault="00DE159D" w:rsidP="00DE159D">
      <w:pPr>
        <w:pStyle w:val="Citas"/>
        <w:rPr>
          <w:color w:val="000000"/>
        </w:rPr>
      </w:pPr>
      <w:r w:rsidRPr="00B21190">
        <w:rPr>
          <w:color w:val="000000"/>
        </w:rPr>
        <w:t> </w:t>
      </w:r>
      <w:r w:rsidRPr="00B21190">
        <w:rPr>
          <w:bCs/>
          <w:color w:val="000000"/>
        </w:rPr>
        <w:t xml:space="preserve">II. </w:t>
      </w:r>
      <w:r w:rsidRPr="00B21190">
        <w:rPr>
          <w:color w:val="000000"/>
        </w:rPr>
        <w:t>La información que se refiere a la vida privada y los datos personales será protegida en los términos y con las excepciones que fijen las leyes.</w:t>
      </w:r>
    </w:p>
    <w:p w14:paraId="69D135B4" w14:textId="77777777" w:rsidR="00DE159D" w:rsidRPr="008A7D00" w:rsidRDefault="00DE159D" w:rsidP="00DE159D">
      <w:pPr>
        <w:pStyle w:val="Citas"/>
        <w:rPr>
          <w:b/>
          <w:bCs/>
          <w:sz w:val="24"/>
          <w:szCs w:val="24"/>
        </w:rPr>
      </w:pPr>
      <w:r w:rsidRPr="008A7D00">
        <w:rPr>
          <w:b/>
          <w:bCs/>
          <w:color w:val="000000"/>
        </w:rPr>
        <w:t xml:space="preserve"> III. </w:t>
      </w:r>
      <w:r w:rsidRPr="008A7D00">
        <w:rPr>
          <w:b/>
          <w:bCs/>
          <w:color w:val="000000"/>
          <w:u w:val="single"/>
        </w:rPr>
        <w:t>Toda persona, sin necesidad de acreditar interés alguno o justificar su utilización, tendrá acceso gratuito a la información pública,</w:t>
      </w:r>
      <w:r w:rsidRPr="008A7D00">
        <w:rPr>
          <w:b/>
          <w:bCs/>
          <w:color w:val="000000"/>
        </w:rPr>
        <w:t xml:space="preserve"> </w:t>
      </w:r>
      <w:r w:rsidRPr="00B21190">
        <w:rPr>
          <w:color w:val="000000"/>
        </w:rPr>
        <w:t xml:space="preserve">a sus datos personales o a la rectificación de éstos.” </w:t>
      </w:r>
      <w:r>
        <w:rPr>
          <w:b/>
          <w:bCs/>
          <w:color w:val="000000"/>
        </w:rPr>
        <w:t>(Sic)</w:t>
      </w:r>
    </w:p>
    <w:p w14:paraId="1A06247E" w14:textId="77777777" w:rsidR="00DE159D" w:rsidRPr="00B21190" w:rsidRDefault="00DE159D" w:rsidP="00DE159D">
      <w:pPr>
        <w:autoSpaceDE w:val="0"/>
        <w:autoSpaceDN w:val="0"/>
        <w:adjustRightInd w:val="0"/>
        <w:spacing w:line="360" w:lineRule="auto"/>
        <w:jc w:val="both"/>
        <w:rPr>
          <w:rFonts w:ascii="Palatino Linotype" w:hAnsi="Palatino Linotype" w:cs="Arial"/>
        </w:rPr>
      </w:pPr>
    </w:p>
    <w:p w14:paraId="78B2B10A" w14:textId="77777777" w:rsidR="00DE159D"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Dispositivo constitucional que regula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7A3EC078" w14:textId="77777777" w:rsidR="00DE159D" w:rsidRPr="00B21190" w:rsidRDefault="00DE159D" w:rsidP="00DE159D">
      <w:pPr>
        <w:pStyle w:val="Sinespaciado"/>
      </w:pPr>
    </w:p>
    <w:p w14:paraId="546AB4E7"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Lo anterior se concatena con lo establecido en los artículos 4 y 12, de la Ley de Transparencia y Acceso a la Información Pública del Estado de México y Municipios, los cuales esgrimen: </w:t>
      </w:r>
    </w:p>
    <w:p w14:paraId="1CAADEC2" w14:textId="77777777" w:rsidR="00DE159D" w:rsidRPr="00B21190" w:rsidRDefault="00DE159D" w:rsidP="00DE159D">
      <w:pPr>
        <w:pStyle w:val="Citas"/>
      </w:pPr>
      <w:r>
        <w:rPr>
          <w:b/>
        </w:rPr>
        <w:t>“</w:t>
      </w:r>
      <w:r w:rsidRPr="00B21190">
        <w:rPr>
          <w:b/>
        </w:rPr>
        <w:t>Artículo 4.</w:t>
      </w:r>
      <w:r w:rsidRPr="00B21190">
        <w:t xml:space="preserve"> El derecho humano de acceso a la información pública es la prerrogativa de las personas para buscar, difundir, investigar, recabar, recibir y solicitar información pública, sin necesidad de acreditar personalidad ni interés jurídico.</w:t>
      </w:r>
    </w:p>
    <w:p w14:paraId="62306DF9" w14:textId="77777777" w:rsidR="00DE159D" w:rsidRPr="00B21190" w:rsidRDefault="00DE159D" w:rsidP="00DE159D">
      <w:pPr>
        <w:pStyle w:val="Citas"/>
      </w:pPr>
      <w:r w:rsidRPr="008A7D00">
        <w:rPr>
          <w:b/>
          <w:bCs/>
          <w:u w:val="single"/>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B21190">
        <w:t xml:space="preserve"> Solo podrá ser clasificada excepcionalmente como reservada temporalmente por razones de interés público, en los términos de las causas legítimas y estrictamente necesarias previstas por esta Ley.</w:t>
      </w:r>
    </w:p>
    <w:p w14:paraId="76F7DDD1" w14:textId="77777777" w:rsidR="00DE159D" w:rsidRPr="00B21190" w:rsidRDefault="00DE159D" w:rsidP="00DE159D">
      <w:pPr>
        <w:pStyle w:val="Citas"/>
      </w:pPr>
      <w:r>
        <w:t>(…)</w:t>
      </w:r>
    </w:p>
    <w:p w14:paraId="1E059E81" w14:textId="77777777" w:rsidR="00DE159D" w:rsidRPr="00B21190" w:rsidRDefault="00DE159D" w:rsidP="00DE159D">
      <w:pPr>
        <w:pStyle w:val="Citas"/>
      </w:pPr>
      <w:r w:rsidRPr="00B21190">
        <w:rPr>
          <w:b/>
        </w:rPr>
        <w:t>Artículo 12.</w:t>
      </w:r>
      <w:r w:rsidRPr="00B21190">
        <w:t xml:space="preserve"> Quienes generen, recopilen, administren, manejen, procesen, archiven o conserven información pública serán responsables de la misma en los términos de las disposiciones jurídicas aplicables.</w:t>
      </w:r>
    </w:p>
    <w:p w14:paraId="589E6CD7" w14:textId="77777777" w:rsidR="00DE159D" w:rsidRPr="008A7D00" w:rsidRDefault="00DE159D" w:rsidP="00DE159D">
      <w:pPr>
        <w:pStyle w:val="Citas"/>
        <w:rPr>
          <w:b/>
          <w:bCs/>
        </w:rPr>
      </w:pPr>
      <w:r w:rsidRPr="008A7D00">
        <w:rPr>
          <w:b/>
          <w:bCs/>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b/>
          <w:bCs/>
          <w:u w:val="single"/>
        </w:rPr>
        <w:t xml:space="preserve">” </w:t>
      </w:r>
      <w:r>
        <w:rPr>
          <w:b/>
          <w:bCs/>
        </w:rPr>
        <w:t>(Sic)</w:t>
      </w:r>
    </w:p>
    <w:p w14:paraId="50C253DD" w14:textId="77777777" w:rsidR="00DE159D" w:rsidRDefault="00DE159D" w:rsidP="00DE159D">
      <w:pPr>
        <w:autoSpaceDE w:val="0"/>
        <w:autoSpaceDN w:val="0"/>
        <w:adjustRightInd w:val="0"/>
        <w:spacing w:line="360" w:lineRule="auto"/>
        <w:jc w:val="both"/>
        <w:rPr>
          <w:rFonts w:ascii="Palatino Linotype" w:hAnsi="Palatino Linotype" w:cs="Arial"/>
        </w:rPr>
      </w:pPr>
    </w:p>
    <w:p w14:paraId="4A18245E" w14:textId="77777777" w:rsidR="00DE159D"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w:t>
      </w:r>
      <w:r>
        <w:rPr>
          <w:rFonts w:ascii="Palatino Linotype" w:hAnsi="Palatino Linotype" w:cs="Arial"/>
        </w:rPr>
        <w:t>s</w:t>
      </w:r>
      <w:r w:rsidRPr="00B21190">
        <w:rPr>
          <w:rFonts w:ascii="Palatino Linotype" w:hAnsi="Palatino Linotype" w:cs="Arial"/>
        </w:rPr>
        <w:t xml:space="preserve"> a sólo proporcionar la información que se les requiera y que obre en sus archivos y en el </w:t>
      </w:r>
      <w:r w:rsidRPr="00B21190">
        <w:rPr>
          <w:rFonts w:ascii="Palatino Linotype" w:hAnsi="Palatino Linotype" w:cs="Arial"/>
        </w:rPr>
        <w:lastRenderedPageBreak/>
        <w:t>estado en que ésta se encuentre, sin que se comprenda el procesamiento de la misma, el presentarla conforme al interés del solicitante, ni generarla, resumirla, efectuar cálculos o practicar investigaciones.</w:t>
      </w:r>
    </w:p>
    <w:p w14:paraId="1B38173F" w14:textId="77777777" w:rsidR="00DE159D" w:rsidRDefault="00DE159D" w:rsidP="00DE159D">
      <w:pPr>
        <w:autoSpaceDE w:val="0"/>
        <w:autoSpaceDN w:val="0"/>
        <w:adjustRightInd w:val="0"/>
        <w:spacing w:line="360" w:lineRule="auto"/>
        <w:jc w:val="both"/>
        <w:rPr>
          <w:rFonts w:ascii="Palatino Linotype" w:hAnsi="Palatino Linotype" w:cs="Arial"/>
        </w:rPr>
      </w:pPr>
    </w:p>
    <w:p w14:paraId="51E09158" w14:textId="77777777" w:rsidR="00DE159D" w:rsidRPr="00B21190" w:rsidRDefault="00DE159D" w:rsidP="00DE159D">
      <w:pPr>
        <w:spacing w:line="360" w:lineRule="auto"/>
        <w:jc w:val="both"/>
        <w:rPr>
          <w:rFonts w:ascii="Palatino Linotype" w:hAnsi="Palatino Linotype" w:cs="Arial"/>
        </w:rPr>
      </w:pPr>
      <w:r w:rsidRPr="00B21190">
        <w:rPr>
          <w:rFonts w:ascii="Palatino Linotype" w:hAnsi="Palatino Linotype" w:cs="Arial"/>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B21190">
        <w:rPr>
          <w:rFonts w:ascii="Palatino Linotype" w:hAnsi="Palatino Linotype" w:cs="Arial"/>
          <w:i/>
        </w:rPr>
        <w:t>a contrario sensu</w:t>
      </w:r>
      <w:r w:rsidRPr="00B21190">
        <w:rPr>
          <w:rFonts w:ascii="Palatino Linotype" w:hAnsi="Palatino Linotype" w:cs="Arial"/>
        </w:rPr>
        <w:t xml:space="preserve"> significa que no se está obligado a proporcionar lo que no obre en sus archivos.</w:t>
      </w:r>
    </w:p>
    <w:p w14:paraId="2F34C56C" w14:textId="77777777" w:rsidR="00DE159D" w:rsidRPr="00B21190" w:rsidRDefault="00DE159D" w:rsidP="00DE159D">
      <w:pPr>
        <w:autoSpaceDE w:val="0"/>
        <w:autoSpaceDN w:val="0"/>
        <w:adjustRightInd w:val="0"/>
        <w:spacing w:line="360" w:lineRule="auto"/>
        <w:jc w:val="both"/>
      </w:pPr>
    </w:p>
    <w:p w14:paraId="16867BA8" w14:textId="77777777" w:rsidR="00DE159D" w:rsidRPr="00BF5AF4" w:rsidRDefault="00DE159D" w:rsidP="00DE159D">
      <w:pPr>
        <w:spacing w:line="360" w:lineRule="auto"/>
        <w:jc w:val="both"/>
        <w:rPr>
          <w:rFonts w:ascii="Palatino Linotype" w:hAnsi="Palatino Linotype"/>
        </w:rPr>
      </w:pPr>
      <w:r w:rsidRPr="00486536">
        <w:rPr>
          <w:rFonts w:ascii="Palatino Linotype" w:hAnsi="Palatino Linotype"/>
        </w:rPr>
        <w:t xml:space="preserve">Por lo anterior, al no constituirse dicho cuestionamiento como materia del derecho de acceso a la información, se considera que </w:t>
      </w:r>
      <w:r>
        <w:rPr>
          <w:rFonts w:ascii="Palatino Linotype" w:hAnsi="Palatino Linotype"/>
          <w:b/>
          <w:bCs/>
        </w:rPr>
        <w:t>E</w:t>
      </w:r>
      <w:r w:rsidRPr="00914CF1">
        <w:rPr>
          <w:rFonts w:ascii="Palatino Linotype" w:hAnsi="Palatino Linotype"/>
          <w:b/>
          <w:bCs/>
        </w:rPr>
        <w:t>l Sujeto Obligado</w:t>
      </w:r>
      <w:r w:rsidRPr="00486536">
        <w:rPr>
          <w:rFonts w:ascii="Palatino Linotype" w:hAnsi="Palatino Linotype"/>
        </w:rPr>
        <w:t xml:space="preserve"> no está constreñido a emitir una respuesta al mismo, por lo que se estima infundado el motivo de inconformidad de</w:t>
      </w:r>
      <w:r>
        <w:rPr>
          <w:rFonts w:ascii="Palatino Linotype" w:hAnsi="Palatino Linotype"/>
        </w:rPr>
        <w:t>l</w:t>
      </w:r>
      <w:r w:rsidRPr="00486536">
        <w:rPr>
          <w:rFonts w:ascii="Palatino Linotype" w:hAnsi="Palatino Linotype"/>
        </w:rPr>
        <w:t xml:space="preserve"> Recurrente.</w:t>
      </w:r>
    </w:p>
    <w:p w14:paraId="40429115"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conclusión, la ley de la materia establece como causas de improcedencia que se trate de una consulta, o tramite en específico, lo que en la especie actualiza la fracción VI, del arábigo 191, de la multicitada </w:t>
      </w:r>
      <w:r>
        <w:rPr>
          <w:rFonts w:ascii="Palatino Linotype" w:hAnsi="Palatino Linotype" w:cs="Arial"/>
        </w:rPr>
        <w:t>ley, que a la letra reza:</w:t>
      </w:r>
    </w:p>
    <w:p w14:paraId="54C49D2E" w14:textId="77777777" w:rsidR="00DE159D" w:rsidRPr="00B21190" w:rsidRDefault="00DE159D" w:rsidP="00DE159D">
      <w:pPr>
        <w:pStyle w:val="Citas"/>
      </w:pPr>
      <w:r w:rsidRPr="00B21190">
        <w:t xml:space="preserve">“Artículo 191. El recurso será desechado por improcedente cuando: </w:t>
      </w:r>
      <w:r>
        <w:tab/>
      </w:r>
    </w:p>
    <w:p w14:paraId="15CEE3A7" w14:textId="77777777" w:rsidR="00DE159D" w:rsidRPr="00B21190" w:rsidRDefault="00DE159D" w:rsidP="00DE159D">
      <w:pPr>
        <w:pStyle w:val="Citas"/>
        <w:numPr>
          <w:ilvl w:val="0"/>
          <w:numId w:val="2"/>
        </w:numPr>
        <w:rPr>
          <w:rFonts w:cs="Times New Roman"/>
          <w:lang w:val="es-ES" w:eastAsia="es-ES"/>
        </w:rPr>
      </w:pPr>
      <w:r w:rsidRPr="00B21190">
        <w:rPr>
          <w:rFonts w:cs="Times New Roman"/>
          <w:lang w:val="es-ES" w:eastAsia="es-ES"/>
        </w:rPr>
        <w:t xml:space="preserve">Sea extemporáneo por haber transcurrido el plazo establecido en la presente Ley, a partir de la respuesta; </w:t>
      </w:r>
    </w:p>
    <w:p w14:paraId="3D002D66" w14:textId="77777777" w:rsidR="00DE159D" w:rsidRPr="00B21190" w:rsidRDefault="00DE159D" w:rsidP="00DE159D">
      <w:pPr>
        <w:pStyle w:val="Citas"/>
        <w:numPr>
          <w:ilvl w:val="0"/>
          <w:numId w:val="2"/>
        </w:numPr>
        <w:rPr>
          <w:lang w:val="es-ES" w:eastAsia="es-ES"/>
        </w:rPr>
      </w:pPr>
      <w:r w:rsidRPr="00B21190">
        <w:rPr>
          <w:rFonts w:cs="Times New Roman"/>
          <w:lang w:val="es-ES" w:eastAsia="es-ES"/>
        </w:rPr>
        <w:t xml:space="preserve">Se esté tramitando ante el Poder Judicial de la Federación algún recurso o medio de defensa interpuesto por el recurrente; </w:t>
      </w:r>
    </w:p>
    <w:p w14:paraId="4ADA7094" w14:textId="77777777" w:rsidR="00DE159D" w:rsidRPr="006479FA" w:rsidRDefault="00DE159D" w:rsidP="00DE159D">
      <w:pPr>
        <w:pStyle w:val="Citas"/>
        <w:numPr>
          <w:ilvl w:val="0"/>
          <w:numId w:val="2"/>
        </w:numPr>
        <w:rPr>
          <w:lang w:val="es-ES" w:eastAsia="es-ES"/>
        </w:rPr>
      </w:pPr>
      <w:r w:rsidRPr="006479FA">
        <w:rPr>
          <w:rFonts w:cs="Times New Roman"/>
          <w:lang w:val="es-ES" w:eastAsia="es-ES"/>
        </w:rPr>
        <w:t xml:space="preserve">No actualice alguno de los supuestos previstos en la presente Ley; </w:t>
      </w:r>
    </w:p>
    <w:p w14:paraId="391DC564" w14:textId="77777777" w:rsidR="00DE159D" w:rsidRPr="00B21190" w:rsidRDefault="00DE159D" w:rsidP="00DE159D">
      <w:pPr>
        <w:pStyle w:val="Citas"/>
        <w:numPr>
          <w:ilvl w:val="0"/>
          <w:numId w:val="2"/>
        </w:numPr>
        <w:rPr>
          <w:lang w:val="es-ES" w:eastAsia="es-ES"/>
        </w:rPr>
      </w:pPr>
      <w:r w:rsidRPr="00B21190">
        <w:rPr>
          <w:rFonts w:cs="Times New Roman"/>
          <w:lang w:val="es-ES" w:eastAsia="es-ES"/>
        </w:rPr>
        <w:lastRenderedPageBreak/>
        <w:t xml:space="preserve">No se haya desahogado la prevención en los términos establecidos en la presente Ley; </w:t>
      </w:r>
    </w:p>
    <w:p w14:paraId="462A6F2F" w14:textId="77777777" w:rsidR="00DE159D" w:rsidRPr="00B21190" w:rsidRDefault="00DE159D" w:rsidP="00DE159D">
      <w:pPr>
        <w:pStyle w:val="Citas"/>
        <w:numPr>
          <w:ilvl w:val="0"/>
          <w:numId w:val="2"/>
        </w:numPr>
        <w:rPr>
          <w:lang w:val="es-ES" w:eastAsia="es-ES"/>
        </w:rPr>
      </w:pPr>
      <w:r w:rsidRPr="00B21190">
        <w:rPr>
          <w:rFonts w:cs="Times New Roman"/>
          <w:lang w:val="es-ES" w:eastAsia="es-ES"/>
        </w:rPr>
        <w:t xml:space="preserve">Se impugne la veracidad de la información proporcionada; </w:t>
      </w:r>
    </w:p>
    <w:p w14:paraId="64F84074" w14:textId="77777777" w:rsidR="00DE159D" w:rsidRPr="00F771AA" w:rsidRDefault="00DE159D" w:rsidP="00DE159D">
      <w:pPr>
        <w:pStyle w:val="Citas"/>
        <w:numPr>
          <w:ilvl w:val="0"/>
          <w:numId w:val="2"/>
        </w:numPr>
        <w:rPr>
          <w:b/>
          <w:bCs/>
          <w:u w:val="single"/>
          <w:lang w:val="es-ES" w:eastAsia="es-ES"/>
        </w:rPr>
      </w:pPr>
      <w:r w:rsidRPr="00F771AA">
        <w:rPr>
          <w:rFonts w:cs="Times New Roman"/>
          <w:b/>
          <w:bCs/>
          <w:u w:val="single"/>
          <w:lang w:val="es-ES" w:eastAsia="es-ES"/>
        </w:rPr>
        <w:t xml:space="preserve">Se trate de una consulta, o trámite en específico; y </w:t>
      </w:r>
    </w:p>
    <w:p w14:paraId="22CD8EF0" w14:textId="77777777" w:rsidR="00DE159D" w:rsidRPr="00B21190" w:rsidRDefault="00DE159D" w:rsidP="00DE159D">
      <w:pPr>
        <w:pStyle w:val="Citas"/>
        <w:numPr>
          <w:ilvl w:val="0"/>
          <w:numId w:val="2"/>
        </w:numPr>
        <w:rPr>
          <w:lang w:val="es-ES" w:eastAsia="es-ES"/>
        </w:rPr>
      </w:pPr>
      <w:r w:rsidRPr="00B21190">
        <w:rPr>
          <w:rFonts w:cs="Times New Roman"/>
          <w:lang w:val="es-ES" w:eastAsia="es-ES"/>
        </w:rPr>
        <w:t>El recurrente amplíe su solicitud en el recurso de revisión, únicamente respecto de los nuevos contenidos.</w:t>
      </w:r>
      <w:r>
        <w:rPr>
          <w:rFonts w:cs="Times New Roman"/>
          <w:lang w:val="es-ES" w:eastAsia="es-ES"/>
        </w:rPr>
        <w:t xml:space="preserve">” </w:t>
      </w:r>
      <w:r>
        <w:rPr>
          <w:rFonts w:cs="Times New Roman"/>
          <w:b/>
          <w:bCs/>
          <w:lang w:val="es-ES" w:eastAsia="es-ES"/>
        </w:rPr>
        <w:t>(Sic)</w:t>
      </w:r>
    </w:p>
    <w:p w14:paraId="42F15D23" w14:textId="77777777" w:rsidR="00DE159D" w:rsidRPr="00B21190" w:rsidRDefault="00DE159D" w:rsidP="00DE159D">
      <w:pPr>
        <w:autoSpaceDE w:val="0"/>
        <w:autoSpaceDN w:val="0"/>
        <w:adjustRightInd w:val="0"/>
        <w:spacing w:line="360" w:lineRule="auto"/>
        <w:jc w:val="both"/>
        <w:rPr>
          <w:rFonts w:ascii="Palatino Linotype" w:hAnsi="Palatino Linotype" w:cs="Arial"/>
        </w:rPr>
      </w:pPr>
    </w:p>
    <w:p w14:paraId="408EDA49"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Artículo que conca</w:t>
      </w:r>
      <w:r>
        <w:rPr>
          <w:rFonts w:ascii="Palatino Linotype" w:hAnsi="Palatino Linotype" w:cs="Arial"/>
        </w:rPr>
        <w:t>tenado con lo establecido en la fracción</w:t>
      </w:r>
      <w:r w:rsidRPr="00B21190">
        <w:rPr>
          <w:rFonts w:ascii="Palatino Linotype" w:hAnsi="Palatino Linotype" w:cs="Arial"/>
        </w:rPr>
        <w:t xml:space="preserve"> IV, del numeral 192, de la Ley de Transparencia vigente en la entidad, que a la letra establece:</w:t>
      </w:r>
    </w:p>
    <w:p w14:paraId="435902CD" w14:textId="77777777" w:rsidR="00DE159D" w:rsidRPr="00B21190" w:rsidRDefault="00DE159D" w:rsidP="00DE159D">
      <w:pPr>
        <w:pStyle w:val="Citas"/>
        <w:rPr>
          <w:lang w:val="es-ES" w:eastAsia="es-ES"/>
        </w:rPr>
      </w:pPr>
      <w:r w:rsidRPr="00B21190">
        <w:rPr>
          <w:lang w:val="es-ES" w:eastAsia="es-ES"/>
        </w:rPr>
        <w:t>“Artículo 192. El recurso será sobreseído, en todo o en parte, cuando una vez admitido, se actualicen alguno de los siguientes supuestos:</w:t>
      </w:r>
    </w:p>
    <w:p w14:paraId="48CD5BF9" w14:textId="77777777" w:rsidR="00DE159D" w:rsidRPr="00B21190" w:rsidRDefault="00DE159D" w:rsidP="00DE159D">
      <w:pPr>
        <w:pStyle w:val="Citas"/>
        <w:numPr>
          <w:ilvl w:val="0"/>
          <w:numId w:val="3"/>
        </w:numPr>
        <w:rPr>
          <w:lang w:val="es-ES" w:eastAsia="es-ES"/>
        </w:rPr>
      </w:pPr>
      <w:r w:rsidRPr="00B21190">
        <w:rPr>
          <w:lang w:val="es-ES" w:eastAsia="es-ES"/>
        </w:rPr>
        <w:t xml:space="preserve">El recurrente se desista expresamente del recurso; </w:t>
      </w:r>
    </w:p>
    <w:p w14:paraId="094E2FB5" w14:textId="77777777" w:rsidR="00DE159D" w:rsidRPr="00B21190" w:rsidRDefault="00DE159D" w:rsidP="00DE159D">
      <w:pPr>
        <w:pStyle w:val="Citas"/>
        <w:numPr>
          <w:ilvl w:val="0"/>
          <w:numId w:val="3"/>
        </w:numPr>
        <w:rPr>
          <w:lang w:val="es-ES" w:eastAsia="es-ES"/>
        </w:rPr>
      </w:pPr>
      <w:r w:rsidRPr="00B21190">
        <w:rPr>
          <w:lang w:val="es-ES" w:eastAsia="es-ES"/>
        </w:rPr>
        <w:t xml:space="preserve">El recurrente fallezca o, tratándose de personas jurídicas colectivas, se disuelva; </w:t>
      </w:r>
    </w:p>
    <w:p w14:paraId="1788FAD6" w14:textId="77777777" w:rsidR="00DE159D" w:rsidRPr="00B21190" w:rsidRDefault="00DE159D" w:rsidP="00DE159D">
      <w:pPr>
        <w:pStyle w:val="Citas"/>
        <w:numPr>
          <w:ilvl w:val="0"/>
          <w:numId w:val="3"/>
        </w:numPr>
        <w:rPr>
          <w:lang w:val="es-ES" w:eastAsia="es-ES"/>
        </w:rPr>
      </w:pPr>
      <w:r w:rsidRPr="00B21190">
        <w:rPr>
          <w:lang w:val="es-ES" w:eastAsia="es-ES"/>
        </w:rPr>
        <w:t xml:space="preserve">El sujeto obligado responsable del acto lo modifique o revoque de tal manera que el recurso de revisión quede sin materia; </w:t>
      </w:r>
    </w:p>
    <w:p w14:paraId="7D0BB38A" w14:textId="77777777" w:rsidR="00DE159D" w:rsidRPr="006E359D" w:rsidRDefault="00DE159D" w:rsidP="00DE159D">
      <w:pPr>
        <w:pStyle w:val="Citas"/>
        <w:numPr>
          <w:ilvl w:val="0"/>
          <w:numId w:val="3"/>
        </w:numPr>
        <w:rPr>
          <w:b/>
          <w:bCs/>
          <w:u w:val="single"/>
          <w:lang w:val="es-ES" w:eastAsia="es-ES"/>
        </w:rPr>
      </w:pPr>
      <w:r w:rsidRPr="006E359D">
        <w:rPr>
          <w:b/>
          <w:bCs/>
          <w:u w:val="single"/>
          <w:lang w:val="es-ES" w:eastAsia="es-ES"/>
        </w:rPr>
        <w:t xml:space="preserve">Admitido el recurso de revisión, aparezca alguna causal de improcedencia en los términos de la presente Ley; y </w:t>
      </w:r>
    </w:p>
    <w:p w14:paraId="44F3A021" w14:textId="77777777" w:rsidR="00DE159D" w:rsidRPr="00B21190" w:rsidRDefault="00DE159D" w:rsidP="00DE159D">
      <w:pPr>
        <w:pStyle w:val="Citas"/>
        <w:numPr>
          <w:ilvl w:val="0"/>
          <w:numId w:val="3"/>
        </w:numPr>
        <w:rPr>
          <w:lang w:val="es-ES" w:eastAsia="es-ES"/>
        </w:rPr>
      </w:pPr>
      <w:r w:rsidRPr="00B21190">
        <w:rPr>
          <w:lang w:val="es-ES" w:eastAsia="es-ES"/>
        </w:rPr>
        <w:t>Cuando por cualquier motivo quede sin materia el recurso.”</w:t>
      </w:r>
      <w:r>
        <w:rPr>
          <w:lang w:val="es-ES" w:eastAsia="es-ES"/>
        </w:rPr>
        <w:t xml:space="preserve"> </w:t>
      </w:r>
      <w:r>
        <w:rPr>
          <w:b/>
          <w:bCs/>
          <w:lang w:val="es-ES" w:eastAsia="es-ES"/>
        </w:rPr>
        <w:t>(Sic)</w:t>
      </w:r>
    </w:p>
    <w:p w14:paraId="5152FA83" w14:textId="77777777" w:rsidR="00DE159D" w:rsidRDefault="00DE159D" w:rsidP="00DE159D">
      <w:pPr>
        <w:autoSpaceDE w:val="0"/>
        <w:autoSpaceDN w:val="0"/>
        <w:adjustRightInd w:val="0"/>
        <w:spacing w:line="360" w:lineRule="auto"/>
        <w:jc w:val="both"/>
        <w:rPr>
          <w:rFonts w:ascii="Palatino Linotype" w:hAnsi="Palatino Linotype" w:cs="Arial"/>
        </w:rPr>
      </w:pPr>
    </w:p>
    <w:p w14:paraId="77615C56" w14:textId="77777777" w:rsidR="00DE159D" w:rsidRPr="00B21190" w:rsidRDefault="00DE159D" w:rsidP="00DE159D">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lastRenderedPageBreak/>
        <w:t>Por lo que hace a los requisitos de procedencia del sobreseimiento en términos del artículo 191, de la ley de transparencia estatal se establece lo siguiente:</w:t>
      </w:r>
    </w:p>
    <w:p w14:paraId="6D204CE5" w14:textId="77777777" w:rsidR="00DE159D" w:rsidRDefault="00DE159D" w:rsidP="00DE159D">
      <w:pPr>
        <w:numPr>
          <w:ilvl w:val="0"/>
          <w:numId w:val="4"/>
        </w:numPr>
        <w:autoSpaceDE w:val="0"/>
        <w:autoSpaceDN w:val="0"/>
        <w:adjustRightInd w:val="0"/>
        <w:spacing w:line="360" w:lineRule="auto"/>
        <w:ind w:left="851" w:right="850" w:firstLine="10"/>
        <w:jc w:val="both"/>
        <w:rPr>
          <w:rFonts w:ascii="Palatino Linotype" w:hAnsi="Palatino Linotype" w:cs="Arial"/>
        </w:rPr>
      </w:pPr>
      <w:r w:rsidRPr="00B21190">
        <w:rPr>
          <w:rFonts w:ascii="Palatino Linotype" w:hAnsi="Palatino Linotype" w:cs="Arial"/>
        </w:rPr>
        <w:t xml:space="preserve">Mediante acuerdo de fecha </w:t>
      </w:r>
      <w:r>
        <w:rPr>
          <w:rFonts w:ascii="Palatino Linotype" w:hAnsi="Palatino Linotype" w:cs="Arial"/>
        </w:rPr>
        <w:t xml:space="preserve">diez de septiembre de dos mil veinticuatro, el Comisionado Presidente José Martínez Vilchis admitió a trámite el recurso de revisión que nos ocupa. </w:t>
      </w:r>
    </w:p>
    <w:p w14:paraId="0B32DE90" w14:textId="77777777" w:rsidR="00DE159D" w:rsidRPr="00B21190" w:rsidRDefault="00DE159D" w:rsidP="00DE159D">
      <w:pPr>
        <w:pStyle w:val="Sinespaciado"/>
        <w:rPr>
          <w:lang w:val="es-ES"/>
        </w:rPr>
      </w:pPr>
    </w:p>
    <w:p w14:paraId="3990E70C" w14:textId="77777777" w:rsidR="00DE159D" w:rsidRPr="00B21190" w:rsidRDefault="00DE159D" w:rsidP="00DE159D">
      <w:pPr>
        <w:numPr>
          <w:ilvl w:val="0"/>
          <w:numId w:val="4"/>
        </w:numPr>
        <w:autoSpaceDE w:val="0"/>
        <w:autoSpaceDN w:val="0"/>
        <w:adjustRightInd w:val="0"/>
        <w:spacing w:line="360" w:lineRule="auto"/>
        <w:ind w:left="851" w:right="850" w:firstLine="10"/>
        <w:jc w:val="both"/>
        <w:rPr>
          <w:rFonts w:ascii="Palatino Linotype" w:hAnsi="Palatino Linotype" w:cs="Arial"/>
        </w:rPr>
      </w:pPr>
      <w:r w:rsidRPr="00B21190">
        <w:rPr>
          <w:rFonts w:ascii="Palatino Linotype" w:hAnsi="Palatino Linotype" w:cs="Arial"/>
        </w:rPr>
        <w:t xml:space="preserve">Lo esgrimido por </w:t>
      </w:r>
      <w:r>
        <w:rPr>
          <w:rFonts w:ascii="Palatino Linotype" w:hAnsi="Palatino Linotype" w:cs="Arial"/>
          <w:b/>
        </w:rPr>
        <w:t>El</w:t>
      </w:r>
      <w:r w:rsidRPr="00B21190">
        <w:rPr>
          <w:rFonts w:ascii="Palatino Linotype" w:hAnsi="Palatino Linotype" w:cs="Arial"/>
          <w:b/>
        </w:rPr>
        <w:t xml:space="preserve"> Recurrente</w:t>
      </w:r>
      <w:r w:rsidRPr="00B21190">
        <w:rPr>
          <w:rFonts w:ascii="Palatino Linotype" w:hAnsi="Palatino Linotype" w:cs="Arial"/>
        </w:rPr>
        <w:t xml:space="preserve"> </w:t>
      </w:r>
      <w:r>
        <w:rPr>
          <w:rFonts w:ascii="Palatino Linotype" w:hAnsi="Palatino Linotype" w:cs="Arial"/>
        </w:rPr>
        <w:t>en su solicitud</w:t>
      </w:r>
      <w:r w:rsidRPr="00B21190">
        <w:rPr>
          <w:rFonts w:ascii="Palatino Linotype" w:hAnsi="Palatino Linotype" w:cs="Arial"/>
        </w:rPr>
        <w:t xml:space="preserve">, se observa </w:t>
      </w:r>
      <w:r>
        <w:rPr>
          <w:rFonts w:ascii="Palatino Linotype" w:hAnsi="Palatino Linotype" w:cs="Arial"/>
        </w:rPr>
        <w:t>no corresponde al Derecho de Acceso a la Información</w:t>
      </w:r>
      <w:r w:rsidRPr="00B21190">
        <w:rPr>
          <w:rFonts w:ascii="Palatino Linotype" w:hAnsi="Palatino Linotype" w:cs="Arial"/>
        </w:rPr>
        <w:t xml:space="preserve">, lo que arguye en que </w:t>
      </w:r>
      <w:r w:rsidRPr="00B21190">
        <w:rPr>
          <w:rFonts w:ascii="Palatino Linotype" w:hAnsi="Palatino Linotype" w:cs="Arial"/>
          <w:b/>
        </w:rPr>
        <w:t xml:space="preserve">El Sujeto Obligado </w:t>
      </w:r>
      <w:r w:rsidRPr="00B21190">
        <w:rPr>
          <w:rFonts w:ascii="Palatino Linotype" w:hAnsi="Palatino Linotype" w:cs="Arial"/>
        </w:rPr>
        <w:t>realice pronunciamientos, lo cual resulta incongruente con lo establecido en el segundo párrafo del artículo 12, de la Ley de Transparencia y Acceso a la Información Pública del Estado de México y Municipios.</w:t>
      </w:r>
    </w:p>
    <w:p w14:paraId="06FC7BB3" w14:textId="77777777" w:rsidR="00DE159D" w:rsidRPr="00B21190" w:rsidRDefault="00DE159D" w:rsidP="00DE159D">
      <w:pPr>
        <w:pStyle w:val="Sinespaciado"/>
        <w:rPr>
          <w:lang w:val="es-ES"/>
        </w:rPr>
      </w:pPr>
    </w:p>
    <w:p w14:paraId="1F222851" w14:textId="77777777" w:rsidR="00DE159D" w:rsidRPr="00E775D6" w:rsidRDefault="00DE159D" w:rsidP="00DE159D">
      <w:pPr>
        <w:numPr>
          <w:ilvl w:val="0"/>
          <w:numId w:val="4"/>
        </w:numPr>
        <w:autoSpaceDE w:val="0"/>
        <w:autoSpaceDN w:val="0"/>
        <w:adjustRightInd w:val="0"/>
        <w:spacing w:line="360" w:lineRule="auto"/>
        <w:ind w:left="851" w:right="850" w:firstLine="10"/>
        <w:jc w:val="both"/>
        <w:rPr>
          <w:rFonts w:ascii="Palatino Linotype" w:hAnsi="Palatino Linotype" w:cs="Arial"/>
        </w:rPr>
      </w:pPr>
      <w:r w:rsidRPr="00E775D6">
        <w:rPr>
          <w:rFonts w:ascii="Palatino Linotype" w:hAnsi="Palatino Linotype" w:cs="Arial"/>
        </w:rPr>
        <w:t xml:space="preserve">El recurso </w:t>
      </w:r>
      <w:r>
        <w:rPr>
          <w:rFonts w:ascii="Palatino Linotype" w:hAnsi="Palatino Linotype" w:cs="Arial"/>
          <w:b/>
          <w:bCs/>
        </w:rPr>
        <w:t>5580/INFOEM/IP/RR/2024</w:t>
      </w:r>
      <w:r w:rsidRPr="00E775D6">
        <w:rPr>
          <w:rFonts w:ascii="Palatino Linotype" w:hAnsi="Palatino Linotype" w:cs="Arial"/>
          <w:bCs/>
        </w:rPr>
        <w:t>,</w:t>
      </w:r>
      <w:r w:rsidRPr="00E775D6">
        <w:rPr>
          <w:rFonts w:ascii="Palatino Linotype" w:hAnsi="Palatino Linotype" w:cs="Arial"/>
        </w:rPr>
        <w:t xml:space="preserve"> </w:t>
      </w:r>
      <w:r w:rsidRPr="00E775D6">
        <w:rPr>
          <w:rFonts w:ascii="Palatino Linotype" w:hAnsi="Palatino Linotype" w:cs="Arial"/>
          <w:lang w:val="es-ES_tradnl"/>
        </w:rPr>
        <w:t>actualiza la causal de improced</w:t>
      </w:r>
      <w:r>
        <w:rPr>
          <w:rFonts w:ascii="Palatino Linotype" w:hAnsi="Palatino Linotype" w:cs="Arial"/>
          <w:lang w:val="es-ES_tradnl"/>
        </w:rPr>
        <w:t>encia contenida en la fracción VI</w:t>
      </w:r>
      <w:r w:rsidRPr="00E775D6">
        <w:rPr>
          <w:rFonts w:ascii="Palatino Linotype" w:hAnsi="Palatino Linotype" w:cs="Arial"/>
          <w:lang w:val="es-ES_tradnl"/>
        </w:rPr>
        <w:t>, del artículo 191</w:t>
      </w:r>
      <w:r w:rsidRPr="00E775D6">
        <w:rPr>
          <w:rFonts w:ascii="Palatino Linotype" w:hAnsi="Palatino Linotype" w:cs="Arial"/>
        </w:rPr>
        <w:t>, de la Ley de la materia vigente en la entidad.</w:t>
      </w:r>
    </w:p>
    <w:p w14:paraId="7C717E4B" w14:textId="77777777" w:rsidR="00DE159D" w:rsidRPr="00B21190" w:rsidRDefault="00DE159D" w:rsidP="00DE159D">
      <w:pPr>
        <w:pStyle w:val="Sinespaciado"/>
      </w:pPr>
    </w:p>
    <w:p w14:paraId="2906FF67" w14:textId="77777777" w:rsidR="00DE159D" w:rsidRDefault="00DE159D" w:rsidP="00DE159D">
      <w:pPr>
        <w:autoSpaceDE w:val="0"/>
        <w:autoSpaceDN w:val="0"/>
        <w:adjustRightInd w:val="0"/>
        <w:spacing w:line="360" w:lineRule="auto"/>
        <w:jc w:val="both"/>
        <w:rPr>
          <w:rFonts w:ascii="Palatino Linotype" w:hAnsi="Palatino Linotype"/>
        </w:rPr>
      </w:pPr>
    </w:p>
    <w:p w14:paraId="0C80EB83" w14:textId="77777777" w:rsidR="00DE159D" w:rsidRPr="00B21190" w:rsidRDefault="00DE159D" w:rsidP="00DE159D">
      <w:pPr>
        <w:autoSpaceDE w:val="0"/>
        <w:autoSpaceDN w:val="0"/>
        <w:adjustRightInd w:val="0"/>
        <w:spacing w:line="360" w:lineRule="auto"/>
        <w:jc w:val="both"/>
        <w:rPr>
          <w:rFonts w:ascii="Palatino Linotype" w:hAnsi="Palatino Linotype"/>
        </w:rPr>
      </w:pPr>
      <w:r w:rsidRPr="00B21190">
        <w:rPr>
          <w:rFonts w:ascii="Palatino Linotype" w:hAnsi="Palatino Linotype"/>
        </w:rPr>
        <w:t xml:space="preserve">Es importante resaltar a manera de analogía que la Suprema Corte de Justicia de la Nación mediante el número 2, de la Serie </w:t>
      </w:r>
      <w:r w:rsidRPr="006E359D">
        <w:rPr>
          <w:rFonts w:ascii="Palatino Linotype" w:hAnsi="Palatino Linotype"/>
          <w:b/>
          <w:bCs/>
          <w:i/>
        </w:rPr>
        <w:t>Estudios Introductorios sobre el Juicio de Amparo</w:t>
      </w:r>
      <w:r w:rsidRPr="00B21190">
        <w:rPr>
          <w:rFonts w:ascii="Palatino Linotype" w:hAnsi="Palatino Linotype"/>
          <w:i/>
        </w:rPr>
        <w:t xml:space="preserve"> </w:t>
      </w:r>
      <w:r w:rsidRPr="00B21190">
        <w:rPr>
          <w:rFonts w:ascii="Palatino Linotype" w:hAnsi="Palatino Linotype"/>
        </w:rPr>
        <w:t xml:space="preserve">relativo a </w:t>
      </w:r>
      <w:r w:rsidRPr="006E359D">
        <w:rPr>
          <w:rFonts w:ascii="Palatino Linotype" w:hAnsi="Palatino Linotype"/>
          <w:b/>
          <w:bCs/>
          <w:i/>
        </w:rPr>
        <w:t>LA IMPROCEDENCIA DE LA ACCIÓN DE AMPARO</w:t>
      </w:r>
      <w:r w:rsidRPr="00B21190">
        <w:rPr>
          <w:rFonts w:ascii="Palatino Linotype" w:hAnsi="Palatino Linotype"/>
          <w:i/>
        </w:rPr>
        <w:t xml:space="preserve"> </w:t>
      </w:r>
      <w:r w:rsidRPr="00B21190">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21190">
        <w:rPr>
          <w:rFonts w:ascii="Palatino Linotype" w:hAnsi="Palatino Linotype"/>
          <w:b/>
          <w:u w:val="single"/>
        </w:rPr>
        <w:t xml:space="preserve">lo que </w:t>
      </w:r>
      <w:r w:rsidRPr="00B21190">
        <w:rPr>
          <w:rFonts w:ascii="Palatino Linotype" w:hAnsi="Palatino Linotype"/>
          <w:b/>
          <w:u w:val="single"/>
        </w:rPr>
        <w:lastRenderedPageBreak/>
        <w:t>generará que la demanda sea desechada; o bien, después de admitida la demanda, lo que tendrá como consecuencia que se sobresea en el juicio.</w:t>
      </w:r>
    </w:p>
    <w:p w14:paraId="48D7B2F1" w14:textId="77777777" w:rsidR="00DE159D" w:rsidRPr="00B21190" w:rsidRDefault="00DE159D" w:rsidP="00DE159D"/>
    <w:p w14:paraId="15F8A3CA" w14:textId="77777777" w:rsidR="00DE159D" w:rsidRPr="00B21190" w:rsidRDefault="00DE159D" w:rsidP="00DE159D">
      <w:pPr>
        <w:pStyle w:val="Prrafodelista"/>
        <w:spacing w:line="360" w:lineRule="auto"/>
        <w:ind w:left="0" w:right="51"/>
        <w:jc w:val="both"/>
        <w:rPr>
          <w:rFonts w:ascii="Palatino Linotype" w:hAnsi="Palatino Linotype" w:cs="Arial"/>
          <w:bCs/>
          <w:lang w:eastAsia="es-MX"/>
        </w:rPr>
      </w:pPr>
      <w:r w:rsidRPr="00B21190">
        <w:rPr>
          <w:rFonts w:ascii="Palatino Linotype" w:hAnsi="Palatino Linotype" w:cs="Arial"/>
        </w:rPr>
        <w:t>En mérito de lo expuesto en líneas anteriores</w:t>
      </w:r>
      <w:r w:rsidRPr="00B21190">
        <w:rPr>
          <w:rFonts w:ascii="Palatino Linotype" w:hAnsi="Palatino Linotype"/>
          <w:noProof/>
          <w:lang w:eastAsia="es-MX"/>
        </w:rPr>
        <w:t xml:space="preserve">, resultan inoperantes los motivos de inconformidad que arguye </w:t>
      </w:r>
      <w:r>
        <w:rPr>
          <w:rFonts w:ascii="Palatino Linotype" w:hAnsi="Palatino Linotype"/>
          <w:b/>
          <w:noProof/>
          <w:lang w:eastAsia="es-MX"/>
        </w:rPr>
        <w:t>El</w:t>
      </w:r>
      <w:r w:rsidRPr="00B21190">
        <w:rPr>
          <w:rFonts w:ascii="Palatino Linotype" w:hAnsi="Palatino Linotype"/>
          <w:b/>
          <w:noProof/>
          <w:lang w:eastAsia="es-MX"/>
        </w:rPr>
        <w:t xml:space="preserve"> Recurrente</w:t>
      </w:r>
      <w:r w:rsidRPr="00B21190">
        <w:rPr>
          <w:rFonts w:ascii="Palatino Linotype" w:hAnsi="Palatino Linotype"/>
          <w:noProof/>
          <w:lang w:eastAsia="es-MX"/>
        </w:rPr>
        <w:t xml:space="preserve"> en su medio de impugnación que fue materia de estudio, </w:t>
      </w:r>
      <w:r w:rsidRPr="00B21190">
        <w:rPr>
          <w:rFonts w:ascii="Palatino Linotype" w:hAnsi="Palatino Linotype" w:cs="Arial"/>
        </w:rPr>
        <w:t xml:space="preserve">por ello con fundamento en el artículo 192, fracción IV, de la Ley de Transparencia y Acceso a la Información Pública del Estado de México y Municipios, se </w:t>
      </w:r>
      <w:r w:rsidRPr="00B21190">
        <w:rPr>
          <w:rFonts w:ascii="Palatino Linotype" w:hAnsi="Palatino Linotype" w:cs="Arial"/>
          <w:b/>
        </w:rPr>
        <w:t>SOBRESEE</w:t>
      </w:r>
      <w:r w:rsidRPr="00B21190">
        <w:rPr>
          <w:rFonts w:ascii="Palatino Linotype" w:hAnsi="Palatino Linotype" w:cs="Arial"/>
        </w:rPr>
        <w:t xml:space="preserve"> el recurso de revisión</w:t>
      </w:r>
      <w:r w:rsidRPr="00FC5A5C">
        <w:t xml:space="preserve"> </w:t>
      </w:r>
      <w:r>
        <w:rPr>
          <w:rFonts w:ascii="Palatino Linotype" w:hAnsi="Palatino Linotype"/>
          <w:b/>
          <w:bCs/>
        </w:rPr>
        <w:t xml:space="preserve">5580/INFOEM/IP/RR/2024 </w:t>
      </w:r>
      <w:r w:rsidRPr="00986A5D">
        <w:rPr>
          <w:rFonts w:ascii="Palatino Linotype" w:eastAsiaTheme="minorEastAsia" w:hAnsi="Palatino Linotype"/>
          <w:b/>
          <w:lang w:val="es-ES_tradnl"/>
        </w:rPr>
        <w:t>por actualizarse la causal de improcedencia, establecid</w:t>
      </w:r>
      <w:r>
        <w:rPr>
          <w:rFonts w:ascii="Palatino Linotype" w:eastAsiaTheme="minorEastAsia" w:hAnsi="Palatino Linotype"/>
          <w:b/>
          <w:lang w:val="es-ES_tradnl"/>
        </w:rPr>
        <w:t xml:space="preserve">a en el artículo 191, fracción </w:t>
      </w:r>
      <w:r w:rsidRPr="00381F2A">
        <w:rPr>
          <w:rFonts w:ascii="Palatino Linotype" w:eastAsiaTheme="minorEastAsia" w:hAnsi="Palatino Linotype"/>
          <w:b/>
          <w:lang w:val="es-ES_tradnl"/>
        </w:rPr>
        <w:t>VI,</w:t>
      </w:r>
      <w:r w:rsidRPr="00986A5D">
        <w:rPr>
          <w:rFonts w:ascii="Palatino Linotype" w:eastAsiaTheme="minorEastAsia" w:hAnsi="Palatino Linotype"/>
          <w:b/>
          <w:lang w:val="es-ES_tradnl"/>
        </w:rPr>
        <w:t xml:space="preserve"> esto es el Recurso se presentó en forma de consulta</w:t>
      </w:r>
      <w:r w:rsidRPr="00B21190">
        <w:rPr>
          <w:rFonts w:ascii="Palatino Linotype" w:eastAsiaTheme="minorEastAsia" w:hAnsi="Palatino Linotype"/>
          <w:lang w:val="es-ES_tradnl"/>
        </w:rPr>
        <w:t>,</w:t>
      </w:r>
      <w:r w:rsidRPr="00B21190">
        <w:rPr>
          <w:rFonts w:ascii="Palatino Linotype" w:eastAsiaTheme="minorEastAsia" w:hAnsi="Palatino Linotype"/>
          <w:b/>
          <w:lang w:val="es-ES_tradnl"/>
        </w:rPr>
        <w:t xml:space="preserve"> </w:t>
      </w:r>
      <w:r w:rsidRPr="00B21190">
        <w:rPr>
          <w:rFonts w:ascii="Palatino Linotype" w:hAnsi="Palatino Linotype" w:cs="Arial"/>
          <w:bCs/>
          <w:lang w:eastAsia="es-MX"/>
        </w:rPr>
        <w:t>que ha sido materia del presente fallo.</w:t>
      </w:r>
    </w:p>
    <w:p w14:paraId="7EB046DC" w14:textId="77777777" w:rsidR="00DE159D" w:rsidRPr="00B21190" w:rsidRDefault="00DE159D" w:rsidP="00DE159D">
      <w:pPr>
        <w:autoSpaceDE w:val="0"/>
        <w:autoSpaceDN w:val="0"/>
        <w:adjustRightInd w:val="0"/>
        <w:spacing w:line="276" w:lineRule="auto"/>
        <w:ind w:right="-234"/>
        <w:jc w:val="both"/>
        <w:rPr>
          <w:rFonts w:ascii="Palatino Linotype" w:hAnsi="Palatino Linotype" w:cs="Arial"/>
          <w:sz w:val="18"/>
        </w:rPr>
      </w:pPr>
    </w:p>
    <w:p w14:paraId="4B9B54E4" w14:textId="77777777" w:rsidR="00DE159D" w:rsidRPr="00B21190" w:rsidRDefault="00DE159D" w:rsidP="00DE159D">
      <w:pPr>
        <w:autoSpaceDE w:val="0"/>
        <w:autoSpaceDN w:val="0"/>
        <w:adjustRightInd w:val="0"/>
        <w:spacing w:line="276" w:lineRule="auto"/>
        <w:ind w:right="-234"/>
        <w:jc w:val="both"/>
        <w:rPr>
          <w:rFonts w:ascii="Palatino Linotype" w:hAnsi="Palatino Linotype" w:cs="Arial"/>
        </w:rPr>
      </w:pPr>
      <w:r w:rsidRPr="00B21190">
        <w:rPr>
          <w:rFonts w:ascii="Palatino Linotype" w:hAnsi="Palatino Linotype" w:cs="Arial"/>
        </w:rPr>
        <w:t>Por lo antes expuesto y fundado es de resolverse y,</w:t>
      </w:r>
    </w:p>
    <w:p w14:paraId="2114891E" w14:textId="77777777" w:rsidR="00DE159D" w:rsidRDefault="00DE159D" w:rsidP="00DE159D">
      <w:pPr>
        <w:pStyle w:val="Citas"/>
        <w:ind w:left="0" w:right="-18"/>
        <w:rPr>
          <w:i w:val="0"/>
          <w:iCs/>
          <w:sz w:val="24"/>
          <w:szCs w:val="24"/>
        </w:rPr>
      </w:pPr>
    </w:p>
    <w:p w14:paraId="2BDD1905" w14:textId="77777777" w:rsidR="00DE159D" w:rsidRPr="00B21190" w:rsidRDefault="00DE159D" w:rsidP="00DE159D">
      <w:pPr>
        <w:spacing w:line="276" w:lineRule="auto"/>
        <w:ind w:right="-234" w:firstLine="567"/>
        <w:jc w:val="center"/>
        <w:rPr>
          <w:rFonts w:ascii="Palatino Linotype" w:hAnsi="Palatino Linotype"/>
          <w:b/>
          <w:sz w:val="28"/>
          <w:lang w:val="pt-BR"/>
        </w:rPr>
      </w:pPr>
      <w:r w:rsidRPr="00B21190">
        <w:rPr>
          <w:rFonts w:ascii="Palatino Linotype" w:hAnsi="Palatino Linotype"/>
          <w:b/>
          <w:sz w:val="28"/>
          <w:lang w:val="pt-BR"/>
        </w:rPr>
        <w:t>SE   R E S U E L V E</w:t>
      </w:r>
    </w:p>
    <w:p w14:paraId="5C15957A" w14:textId="77777777" w:rsidR="00DE159D" w:rsidRPr="00D85087" w:rsidRDefault="00DE159D" w:rsidP="00DE159D">
      <w:pPr>
        <w:spacing w:line="360" w:lineRule="auto"/>
        <w:jc w:val="both"/>
        <w:rPr>
          <w:rFonts w:ascii="Palatino Linotype" w:hAnsi="Palatino Linotype" w:cs="Palatino Linotype"/>
        </w:rPr>
      </w:pPr>
    </w:p>
    <w:p w14:paraId="43146028" w14:textId="77777777" w:rsidR="00DE159D" w:rsidRDefault="00DE159D" w:rsidP="00DE159D">
      <w:pPr>
        <w:spacing w:line="360" w:lineRule="auto"/>
        <w:jc w:val="both"/>
        <w:rPr>
          <w:rFonts w:ascii="Palatino Linotype" w:hAnsi="Palatino Linotype" w:cs="Arial"/>
          <w:lang w:val="es-ES_tradnl"/>
        </w:rPr>
      </w:pPr>
      <w:r w:rsidRPr="00986A5D">
        <w:rPr>
          <w:rFonts w:ascii="Palatino Linotype" w:hAnsi="Palatino Linotype" w:cs="Arial"/>
          <w:b/>
          <w:lang w:val="es-ES_tradnl"/>
        </w:rPr>
        <w:t>PRIMERO.</w:t>
      </w:r>
      <w:r w:rsidRPr="00986A5D">
        <w:rPr>
          <w:rFonts w:ascii="Palatino Linotype" w:hAnsi="Palatino Linotype" w:cs="Arial"/>
          <w:lang w:val="es-ES_tradnl"/>
        </w:rPr>
        <w:t xml:space="preserve"> Se </w:t>
      </w:r>
      <w:r w:rsidRPr="00986A5D">
        <w:rPr>
          <w:rFonts w:ascii="Palatino Linotype" w:hAnsi="Palatino Linotype" w:cs="Arial"/>
          <w:b/>
          <w:lang w:val="es-ES_tradnl"/>
        </w:rPr>
        <w:t xml:space="preserve">SOBRESEE </w:t>
      </w:r>
      <w:r w:rsidRPr="00986A5D">
        <w:rPr>
          <w:rFonts w:ascii="Palatino Linotype" w:hAnsi="Palatino Linotype" w:cs="Arial"/>
          <w:lang w:val="es-ES_tradnl"/>
        </w:rPr>
        <w:t xml:space="preserve">el recurso de revisión número </w:t>
      </w:r>
      <w:r>
        <w:rPr>
          <w:rFonts w:ascii="Palatino Linotype" w:hAnsi="Palatino Linotype" w:cs="Arial"/>
          <w:b/>
          <w:lang w:val="es-ES_tradnl"/>
        </w:rPr>
        <w:t>5580/INFOEM/IP/RR/2024</w:t>
      </w:r>
      <w:r w:rsidRPr="00986A5D">
        <w:rPr>
          <w:rFonts w:ascii="Palatino Linotype" w:hAnsi="Palatino Linotype" w:cs="Arial"/>
          <w:lang w:val="es-ES_tradnl"/>
        </w:rPr>
        <w:t xml:space="preserve">, de conformidad con el artículo 192, fracción IV por actualizarse la causal de improcedencia </w:t>
      </w:r>
      <w:r>
        <w:rPr>
          <w:rFonts w:ascii="Palatino Linotype" w:hAnsi="Palatino Linotype" w:cs="Arial"/>
          <w:lang w:val="es-ES_tradnl"/>
        </w:rPr>
        <w:t>contenida</w:t>
      </w:r>
      <w:r w:rsidRPr="00986A5D">
        <w:rPr>
          <w:rFonts w:ascii="Palatino Linotype" w:hAnsi="Palatino Linotype" w:cs="Arial"/>
          <w:lang w:val="es-ES_tradnl"/>
        </w:rPr>
        <w:t xml:space="preserve"> e</w:t>
      </w:r>
      <w:r>
        <w:rPr>
          <w:rFonts w:ascii="Palatino Linotype" w:hAnsi="Palatino Linotype" w:cs="Arial"/>
          <w:lang w:val="es-ES_tradnl"/>
        </w:rPr>
        <w:t xml:space="preserve">n la fracción </w:t>
      </w:r>
      <w:r w:rsidRPr="00381F2A">
        <w:rPr>
          <w:rFonts w:ascii="Palatino Linotype" w:hAnsi="Palatino Linotype" w:cs="Arial"/>
          <w:lang w:val="es-ES_tradnl"/>
        </w:rPr>
        <w:t>VI,</w:t>
      </w:r>
      <w:r w:rsidRPr="00986A5D">
        <w:rPr>
          <w:rFonts w:ascii="Palatino Linotype" w:hAnsi="Palatino Linotype" w:cs="Arial"/>
          <w:lang w:val="es-ES_tradnl"/>
        </w:rPr>
        <w:t xml:space="preserve"> del artículo 191, </w:t>
      </w:r>
      <w:r>
        <w:rPr>
          <w:rFonts w:ascii="Palatino Linotype" w:hAnsi="Palatino Linotype" w:cs="Arial"/>
          <w:lang w:val="es-ES_tradnl"/>
        </w:rPr>
        <w:t xml:space="preserve">ambos </w:t>
      </w:r>
      <w:r w:rsidRPr="00986A5D">
        <w:rPr>
          <w:rFonts w:ascii="Palatino Linotype" w:hAnsi="Palatino Linotype" w:cs="Arial"/>
          <w:lang w:val="es-ES_tradnl"/>
        </w:rPr>
        <w:t xml:space="preserve">de la Ley de Transparencia </w:t>
      </w:r>
      <w:r w:rsidRPr="00F51FFB">
        <w:rPr>
          <w:rFonts w:ascii="Palatino Linotype" w:hAnsi="Palatino Linotype" w:cs="Arial"/>
          <w:lang w:val="es-ES_tradnl"/>
        </w:rPr>
        <w:t>y Acceso a la Información Pública del Estado de México y Municipios</w:t>
      </w:r>
      <w:r w:rsidRPr="00986A5D">
        <w:rPr>
          <w:rFonts w:ascii="Palatino Linotype" w:hAnsi="Palatino Linotype" w:cs="Arial"/>
          <w:lang w:val="es-ES_tradnl"/>
        </w:rPr>
        <w:t xml:space="preserve">, en términos del Considerando </w:t>
      </w:r>
      <w:r w:rsidRPr="00986A5D">
        <w:rPr>
          <w:rFonts w:ascii="Palatino Linotype" w:hAnsi="Palatino Linotype" w:cs="Arial"/>
          <w:b/>
          <w:lang w:val="es-ES_tradnl"/>
        </w:rPr>
        <w:t>TERCERO</w:t>
      </w:r>
      <w:r w:rsidRPr="00986A5D">
        <w:rPr>
          <w:rFonts w:ascii="Palatino Linotype" w:hAnsi="Palatino Linotype" w:cs="Arial"/>
          <w:lang w:val="es-ES_tradnl"/>
        </w:rPr>
        <w:t xml:space="preserve"> de la presente resolución.</w:t>
      </w:r>
    </w:p>
    <w:p w14:paraId="7FB9BB84" w14:textId="77777777" w:rsidR="00DE159D" w:rsidRPr="00986A5D" w:rsidRDefault="00DE159D" w:rsidP="00DE159D">
      <w:pPr>
        <w:spacing w:line="360" w:lineRule="auto"/>
        <w:jc w:val="both"/>
        <w:rPr>
          <w:rFonts w:ascii="Palatino Linotype" w:hAnsi="Palatino Linotype" w:cs="Arial"/>
          <w:lang w:val="es-ES_tradnl"/>
        </w:rPr>
      </w:pPr>
    </w:p>
    <w:p w14:paraId="135BA0C1" w14:textId="77777777" w:rsidR="00DE159D" w:rsidRDefault="00DE159D" w:rsidP="00DE159D">
      <w:pPr>
        <w:spacing w:line="360" w:lineRule="auto"/>
        <w:jc w:val="both"/>
        <w:rPr>
          <w:rFonts w:ascii="Palatino Linotype" w:hAnsi="Palatino Linotype" w:cs="Palatino Linotype"/>
        </w:rPr>
      </w:pPr>
      <w:r>
        <w:rPr>
          <w:rFonts w:ascii="Palatino Linotype" w:hAnsi="Palatino Linotype" w:cs="Palatino Linotype"/>
          <w:b/>
        </w:rPr>
        <w:t>SEGUNDO.</w:t>
      </w:r>
      <w:r>
        <w:rPr>
          <w:rFonts w:ascii="Palatino Linotype" w:hAnsi="Palatino Linotype" w:cs="Palatino Linotype"/>
        </w:rPr>
        <w:t xml:space="preserve"> </w:t>
      </w:r>
      <w:r>
        <w:rPr>
          <w:rFonts w:ascii="Palatino Linotype" w:hAnsi="Palatino Linotype" w:cs="Palatino Linotype"/>
          <w:b/>
        </w:rPr>
        <w:t>Notifíquese</w:t>
      </w:r>
      <w:r>
        <w:rPr>
          <w:rFonts w:ascii="Palatino Linotype" w:hAnsi="Palatino Linotype" w:cs="Palatino Linotype"/>
        </w:rPr>
        <w:t xml:space="preserve"> la presente resolución al Titular de la Unidad de Transparencia del Sujeto Obligado mediante el Sistema de Acceso a la Información Mexiquense (SAIMEX).</w:t>
      </w:r>
    </w:p>
    <w:p w14:paraId="3D32D1DF" w14:textId="77777777" w:rsidR="00DE159D" w:rsidRDefault="00DE159D" w:rsidP="00DE159D">
      <w:pPr>
        <w:spacing w:line="360" w:lineRule="auto"/>
        <w:jc w:val="both"/>
        <w:rPr>
          <w:rFonts w:ascii="Palatino Linotype" w:hAnsi="Palatino Linotype" w:cs="Palatino Linotype"/>
        </w:rPr>
      </w:pPr>
    </w:p>
    <w:p w14:paraId="61AA35F8" w14:textId="77777777" w:rsidR="00DE159D" w:rsidRPr="006E1173" w:rsidRDefault="00DE159D" w:rsidP="006E1173">
      <w:pPr>
        <w:spacing w:line="360" w:lineRule="auto"/>
        <w:jc w:val="both"/>
        <w:rPr>
          <w:rFonts w:ascii="Palatino Linotype" w:hAnsi="Palatino Linotype" w:cs="Palatino Linotype"/>
        </w:rPr>
      </w:pPr>
      <w:r>
        <w:rPr>
          <w:rFonts w:ascii="Palatino Linotype" w:hAnsi="Palatino Linotype" w:cs="Palatino Linotype"/>
          <w:b/>
        </w:rPr>
        <w:t>TERCERO. Notifíquese</w:t>
      </w:r>
      <w:r>
        <w:rPr>
          <w:rFonts w:ascii="Palatino Linotype" w:hAnsi="Palatino Linotype" w:cs="Palatino Linotype"/>
        </w:rPr>
        <w:t xml:space="preserve"> la presente resolución al Recurrente</w:t>
      </w:r>
      <w:r>
        <w:t xml:space="preserve"> </w:t>
      </w:r>
      <w:r>
        <w:rPr>
          <w:rFonts w:ascii="Palatino Linotype" w:hAnsi="Palatino Linotype" w:cs="Palatino Linotype"/>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59E562C1" w14:textId="77777777" w:rsidR="00DE159D" w:rsidRDefault="00DE159D" w:rsidP="00DE159D">
      <w:pPr>
        <w:autoSpaceDE w:val="0"/>
        <w:autoSpaceDN w:val="0"/>
        <w:adjustRightInd w:val="0"/>
        <w:spacing w:line="360" w:lineRule="auto"/>
        <w:jc w:val="both"/>
        <w:rPr>
          <w:rFonts w:ascii="Palatino Linotype" w:hAnsi="Palatino Linotype" w:cs="Arial"/>
        </w:rPr>
      </w:pPr>
    </w:p>
    <w:p w14:paraId="500A6306" w14:textId="77777777" w:rsidR="00DE159D" w:rsidRPr="007C3942" w:rsidRDefault="00DE159D" w:rsidP="00DE159D">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 xml:space="preserve">Y GUADALUPE RAMÍREZ PEÑA, EN LA TRIGÉSIMA CUARTA </w:t>
      </w:r>
      <w:r w:rsidRPr="007C3942">
        <w:rPr>
          <w:rFonts w:ascii="Palatino Linotype" w:hAnsi="Palatino Linotype" w:cs="Arial"/>
        </w:rPr>
        <w:t>SESIÓN ORDINARIA CELEBRADA</w:t>
      </w:r>
      <w:r>
        <w:rPr>
          <w:rFonts w:ascii="Palatino Linotype" w:hAnsi="Palatino Linotype" w:cs="Arial"/>
        </w:rPr>
        <w:t xml:space="preserve"> EL</w:t>
      </w:r>
      <w:r w:rsidRPr="007C3942">
        <w:rPr>
          <w:rFonts w:ascii="Palatino Linotype" w:hAnsi="Palatino Linotype" w:cs="Arial"/>
        </w:rPr>
        <w:t xml:space="preserve"> </w:t>
      </w:r>
      <w:r>
        <w:rPr>
          <w:rFonts w:ascii="Palatino Linotype" w:hAnsi="Palatino Linotype" w:cs="Arial"/>
        </w:rPr>
        <w:t>VEINTICINCO DE SEPTIEMBRE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 xml:space="preserve">----------------------------------------------------------------------------------------------------------------------------------------------------------------------------------------------------------------- </w:t>
      </w:r>
    </w:p>
    <w:p w14:paraId="3985C003" w14:textId="77777777" w:rsidR="00DE159D" w:rsidRPr="00A151D0" w:rsidRDefault="00DE159D" w:rsidP="00DE159D">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p>
    <w:p w14:paraId="5B23FCF8" w14:textId="77777777" w:rsidR="00DE159D" w:rsidRPr="00E11432" w:rsidRDefault="00DE159D" w:rsidP="00DE159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cs="Arial"/>
          <w:sz w:val="20"/>
        </w:rPr>
        <w:t>JMV/CCR/</w:t>
      </w:r>
      <w:r w:rsidR="00F71B55">
        <w:rPr>
          <w:rFonts w:ascii="Palatino Linotype" w:hAnsi="Palatino Linotype" w:cs="Arial"/>
          <w:sz w:val="20"/>
        </w:rPr>
        <w:t>LMST</w:t>
      </w:r>
    </w:p>
    <w:p w14:paraId="0EAC93AF" w14:textId="77777777" w:rsidR="00DE159D" w:rsidRPr="005323D1" w:rsidRDefault="00DE159D" w:rsidP="00DE159D">
      <w:pPr>
        <w:spacing w:line="360" w:lineRule="auto"/>
        <w:jc w:val="both"/>
        <w:rPr>
          <w:rFonts w:ascii="Palatino Linotype" w:hAnsi="Palatino Linotype" w:cs="Arial"/>
          <w:sz w:val="20"/>
        </w:rPr>
      </w:pPr>
    </w:p>
    <w:p w14:paraId="0DAA4F08" w14:textId="77777777" w:rsidR="00DE159D" w:rsidRDefault="00DE159D" w:rsidP="00DE159D"/>
    <w:p w14:paraId="59A6B10F" w14:textId="77777777" w:rsidR="00DE159D" w:rsidRDefault="00DE159D" w:rsidP="00DE159D"/>
    <w:p w14:paraId="6AE36D67" w14:textId="77777777" w:rsidR="00DE159D" w:rsidRDefault="00DE159D" w:rsidP="00DE159D"/>
    <w:p w14:paraId="31E90A45" w14:textId="77777777" w:rsidR="00DE159D" w:rsidRDefault="00DE159D" w:rsidP="00DE159D"/>
    <w:p w14:paraId="543BCAAA" w14:textId="77777777" w:rsidR="00DE159D" w:rsidRDefault="00DE159D" w:rsidP="00DE159D"/>
    <w:p w14:paraId="14DAAE2F" w14:textId="77777777" w:rsidR="00DE159D" w:rsidRDefault="00DE159D" w:rsidP="00DE159D"/>
    <w:p w14:paraId="2458ED0F" w14:textId="77777777" w:rsidR="00DE159D" w:rsidRDefault="00DE159D" w:rsidP="00DE159D"/>
    <w:p w14:paraId="028B23D5" w14:textId="77777777" w:rsidR="00DE159D" w:rsidRDefault="00DE159D" w:rsidP="00DE159D"/>
    <w:p w14:paraId="2EEA4B84" w14:textId="77777777" w:rsidR="00DE159D" w:rsidRDefault="00DE159D" w:rsidP="00DE159D"/>
    <w:p w14:paraId="6D5FD614" w14:textId="77777777" w:rsidR="00DE159D" w:rsidRDefault="00DE159D" w:rsidP="00DE159D"/>
    <w:p w14:paraId="10A4A6EB" w14:textId="77777777" w:rsidR="00DE159D" w:rsidRDefault="00DE159D" w:rsidP="00DE159D"/>
    <w:p w14:paraId="17A43D58" w14:textId="77777777" w:rsidR="00DE159D" w:rsidRDefault="00DE159D" w:rsidP="00DE159D"/>
    <w:p w14:paraId="12D226BF" w14:textId="77777777" w:rsidR="00DE159D" w:rsidRDefault="00DE159D" w:rsidP="00DE159D"/>
    <w:p w14:paraId="232535B2" w14:textId="77777777" w:rsidR="00DE159D" w:rsidRDefault="00DE159D" w:rsidP="00DE159D"/>
    <w:p w14:paraId="6589AC01" w14:textId="77777777" w:rsidR="00DE159D" w:rsidRDefault="00DE159D" w:rsidP="00DE159D"/>
    <w:p w14:paraId="6D9880FF" w14:textId="77777777" w:rsidR="00DE159D" w:rsidRDefault="00DE159D" w:rsidP="00DE159D"/>
    <w:p w14:paraId="0E99A04A" w14:textId="77777777" w:rsidR="00DE159D" w:rsidRDefault="00DE159D" w:rsidP="00DE159D"/>
    <w:p w14:paraId="36A6EEDB" w14:textId="77777777" w:rsidR="00DE159D" w:rsidRDefault="00DE159D" w:rsidP="00DE159D"/>
    <w:p w14:paraId="3D261556" w14:textId="77777777" w:rsidR="00DE159D" w:rsidRDefault="00DE159D" w:rsidP="00DE159D"/>
    <w:p w14:paraId="790D4C8B" w14:textId="77777777" w:rsidR="00DE159D" w:rsidRDefault="00DE159D" w:rsidP="00DE159D"/>
    <w:p w14:paraId="0E3E7B91" w14:textId="77777777" w:rsidR="00DE159D" w:rsidRDefault="00DE159D" w:rsidP="00DE159D"/>
    <w:p w14:paraId="0E1721F3" w14:textId="77777777" w:rsidR="00DE159D" w:rsidRDefault="00DE159D" w:rsidP="00DE159D"/>
    <w:p w14:paraId="287E2A91" w14:textId="77777777" w:rsidR="00DE159D" w:rsidRDefault="00DE159D" w:rsidP="00DE159D"/>
    <w:p w14:paraId="0B33B480" w14:textId="77777777" w:rsidR="00DE159D" w:rsidRDefault="00DE159D" w:rsidP="00DE159D"/>
    <w:p w14:paraId="59A05256" w14:textId="77777777" w:rsidR="009938E3" w:rsidRDefault="009938E3"/>
    <w:sectPr w:rsidR="009938E3" w:rsidSect="009A63BD">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778E" w14:textId="77777777" w:rsidR="00DE159D" w:rsidRDefault="00DE159D" w:rsidP="00DE159D">
      <w:r>
        <w:separator/>
      </w:r>
    </w:p>
  </w:endnote>
  <w:endnote w:type="continuationSeparator" w:id="0">
    <w:p w14:paraId="6578591A" w14:textId="77777777" w:rsidR="00DE159D" w:rsidRDefault="00DE159D" w:rsidP="00DE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79A7" w14:textId="77777777" w:rsidR="00813AC7" w:rsidRPr="00A2780F" w:rsidRDefault="00DE159D" w:rsidP="009A63B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E1173">
      <w:rPr>
        <w:rFonts w:ascii="Arial" w:hAnsi="Arial" w:cs="Arial"/>
        <w:b/>
        <w:bCs/>
        <w:noProof/>
        <w:sz w:val="20"/>
        <w:szCs w:val="20"/>
      </w:rPr>
      <w:t>32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E1173">
      <w:rPr>
        <w:rFonts w:ascii="Arial" w:hAnsi="Arial" w:cs="Arial"/>
        <w:b/>
        <w:bCs/>
        <w:noProof/>
        <w:sz w:val="20"/>
        <w:szCs w:val="20"/>
      </w:rPr>
      <w:t>33</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CE68" w14:textId="77777777" w:rsidR="00813AC7" w:rsidRPr="00070856" w:rsidRDefault="00DE159D" w:rsidP="009A63B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E1173">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E1173">
      <w:rPr>
        <w:rFonts w:ascii="Arial" w:hAnsi="Arial" w:cs="Arial"/>
        <w:b/>
        <w:bCs/>
        <w:noProof/>
        <w:sz w:val="20"/>
        <w:szCs w:val="20"/>
      </w:rPr>
      <w:t>33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5020" w14:textId="77777777" w:rsidR="00DE159D" w:rsidRDefault="00DE159D" w:rsidP="00DE159D">
      <w:r>
        <w:separator/>
      </w:r>
    </w:p>
  </w:footnote>
  <w:footnote w:type="continuationSeparator" w:id="0">
    <w:p w14:paraId="3A45956D" w14:textId="77777777" w:rsidR="00DE159D" w:rsidRDefault="00DE159D" w:rsidP="00DE159D">
      <w:r>
        <w:continuationSeparator/>
      </w:r>
    </w:p>
  </w:footnote>
  <w:footnote w:id="1">
    <w:p w14:paraId="5C1C8EF7" w14:textId="77777777" w:rsidR="00DE159D" w:rsidRPr="00911081" w:rsidRDefault="00DE159D" w:rsidP="00DE159D">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EA58960" w14:textId="77777777" w:rsidR="00DE159D" w:rsidRDefault="00DE159D" w:rsidP="00DE159D">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F93F414" w14:textId="77777777" w:rsidR="00DE159D" w:rsidRDefault="00DE159D" w:rsidP="00DE159D">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14:paraId="2A0772B1" w14:textId="77777777" w:rsidR="00DE159D" w:rsidRDefault="00DE159D" w:rsidP="00DE159D">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14:paraId="7AC7B874" w14:textId="77777777" w:rsidR="00DE159D" w:rsidRDefault="00DE159D" w:rsidP="00DE159D">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14:paraId="5AFC3745" w14:textId="77777777" w:rsidR="00DE159D" w:rsidRDefault="00DE159D" w:rsidP="00DE159D">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w:t>
      </w:r>
      <w:proofErr w:type="spellStart"/>
      <w:r>
        <w:rPr>
          <w:rFonts w:ascii="Palatino Linotype" w:eastAsia="MS Mincho" w:hAnsi="Palatino Linotype" w:cs="Arial"/>
          <w:sz w:val="16"/>
          <w:szCs w:val="16"/>
          <w:lang w:eastAsia="es-ES"/>
        </w:rPr>
        <w:t>VILLANUEVA</w:t>
      </w:r>
      <w:proofErr w:type="spellEnd"/>
      <w:r>
        <w:rPr>
          <w:rFonts w:ascii="Palatino Linotype" w:eastAsia="MS Mincho" w:hAnsi="Palatino Linotype" w:cs="Arial"/>
          <w:sz w:val="16"/>
          <w:szCs w:val="16"/>
          <w:lang w:eastAsia="es-ES"/>
        </w:rPr>
        <w:t xml:space="preserve">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872" w:type="dxa"/>
      <w:tblInd w:w="1200" w:type="dxa"/>
      <w:tblLayout w:type="fixed"/>
      <w:tblLook w:val="04A0" w:firstRow="1" w:lastRow="0" w:firstColumn="1" w:lastColumn="0" w:noHBand="0" w:noVBand="1"/>
    </w:tblPr>
    <w:tblGrid>
      <w:gridCol w:w="3620"/>
      <w:gridCol w:w="4252"/>
    </w:tblGrid>
    <w:tr w:rsidR="009A63BD" w:rsidRPr="008F2CCC" w14:paraId="7D34706F" w14:textId="77777777" w:rsidTr="009A63BD">
      <w:tc>
        <w:tcPr>
          <w:tcW w:w="3620" w:type="dxa"/>
          <w:shd w:val="clear" w:color="auto" w:fill="auto"/>
        </w:tcPr>
        <w:p w14:paraId="5E74043C" w14:textId="77777777" w:rsidR="00813AC7" w:rsidRPr="007E5FC4" w:rsidRDefault="00DE159D"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3D3536E" w14:textId="77777777" w:rsidR="00813AC7" w:rsidRPr="00664658" w:rsidRDefault="006E1173" w:rsidP="009A63B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E159D">
            <w:rPr>
              <w:rFonts w:ascii="Palatino Linotype" w:hAnsi="Palatino Linotype"/>
              <w:b/>
              <w:sz w:val="22"/>
              <w:szCs w:val="22"/>
              <w:lang w:val="es-ES_tradnl"/>
            </w:rPr>
            <w:t>5580/INFOEM/IP/RR/2024</w:t>
          </w:r>
        </w:p>
      </w:tc>
    </w:tr>
    <w:tr w:rsidR="009A63BD" w:rsidRPr="008F2CCC" w14:paraId="227E0205" w14:textId="77777777" w:rsidTr="009A63BD">
      <w:tc>
        <w:tcPr>
          <w:tcW w:w="3620" w:type="dxa"/>
          <w:shd w:val="clear" w:color="auto" w:fill="auto"/>
        </w:tcPr>
        <w:p w14:paraId="5FCA4B7B" w14:textId="77777777" w:rsidR="00813AC7" w:rsidRPr="007E5FC4" w:rsidRDefault="00DE159D"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EBEA2F2" w14:textId="77777777" w:rsidR="00813AC7" w:rsidRPr="00664658" w:rsidRDefault="00DE159D" w:rsidP="009A63BD">
          <w:pPr>
            <w:spacing w:line="276" w:lineRule="auto"/>
            <w:jc w:val="right"/>
            <w:rPr>
              <w:rFonts w:ascii="Palatino Linotype" w:hAnsi="Palatino Linotype"/>
              <w:b/>
              <w:sz w:val="22"/>
              <w:szCs w:val="22"/>
              <w:lang w:val="es-ES_tradnl"/>
            </w:rPr>
          </w:pPr>
          <w:r w:rsidRPr="00DE159D">
            <w:rPr>
              <w:rFonts w:ascii="Palatino Linotype" w:hAnsi="Palatino Linotype"/>
              <w:b/>
              <w:sz w:val="22"/>
              <w:szCs w:val="22"/>
            </w:rPr>
            <w:t>Ayuntamiento de Xalatlaco</w:t>
          </w:r>
        </w:p>
      </w:tc>
    </w:tr>
    <w:tr w:rsidR="009A63BD" w:rsidRPr="008F2CCC" w14:paraId="701BC625" w14:textId="77777777" w:rsidTr="009A63BD">
      <w:trPr>
        <w:trHeight w:val="228"/>
      </w:trPr>
      <w:tc>
        <w:tcPr>
          <w:tcW w:w="3620" w:type="dxa"/>
          <w:shd w:val="clear" w:color="auto" w:fill="auto"/>
        </w:tcPr>
        <w:p w14:paraId="57204711" w14:textId="77777777" w:rsidR="00813AC7" w:rsidRPr="007E5FC4" w:rsidRDefault="00DE159D"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0C533B6F" w14:textId="77777777" w:rsidR="00813AC7" w:rsidRPr="00664658" w:rsidRDefault="00DE159D" w:rsidP="009A63B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748D7BD0" w14:textId="77777777" w:rsidR="00813AC7" w:rsidRDefault="00813AC7" w:rsidP="009A63BD">
    <w:pPr>
      <w:pStyle w:val="Encabezado"/>
      <w:tabs>
        <w:tab w:val="clear" w:pos="4252"/>
        <w:tab w:val="clear" w:pos="8504"/>
        <w:tab w:val="left" w:pos="2326"/>
      </w:tabs>
      <w:rPr>
        <w:rFonts w:ascii="Palatino Linotype" w:hAnsi="Palatino Linotype"/>
        <w:sz w:val="20"/>
      </w:rPr>
    </w:pPr>
  </w:p>
  <w:p w14:paraId="72D3DCDC" w14:textId="77777777" w:rsidR="00813AC7" w:rsidRPr="001779E0" w:rsidRDefault="00DE159D" w:rsidP="009A63BD">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166E680" wp14:editId="33A57D1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513" w:type="dxa"/>
      <w:tblInd w:w="1635" w:type="dxa"/>
      <w:tblLayout w:type="fixed"/>
      <w:tblLook w:val="04A0" w:firstRow="1" w:lastRow="0" w:firstColumn="1" w:lastColumn="0" w:noHBand="0" w:noVBand="1"/>
    </w:tblPr>
    <w:tblGrid>
      <w:gridCol w:w="2977"/>
      <w:gridCol w:w="4536"/>
    </w:tblGrid>
    <w:tr w:rsidR="009A63BD" w:rsidRPr="008F2CCC" w14:paraId="24D53C49" w14:textId="77777777" w:rsidTr="009A63BD">
      <w:tc>
        <w:tcPr>
          <w:tcW w:w="2977" w:type="dxa"/>
          <w:shd w:val="clear" w:color="auto" w:fill="auto"/>
        </w:tcPr>
        <w:p w14:paraId="61F90D24" w14:textId="77777777" w:rsidR="00813AC7" w:rsidRPr="007E5FC4" w:rsidRDefault="00DE159D"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A79FC6A" w14:textId="77777777" w:rsidR="00813AC7" w:rsidRPr="008F2CCC" w:rsidRDefault="006E1173" w:rsidP="009A63B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E159D">
            <w:rPr>
              <w:rFonts w:ascii="Palatino Linotype" w:hAnsi="Palatino Linotype"/>
              <w:b/>
              <w:sz w:val="22"/>
              <w:szCs w:val="22"/>
              <w:lang w:val="es-ES_tradnl"/>
            </w:rPr>
            <w:t>5580/INFOEM/IP/RR/2024</w:t>
          </w:r>
        </w:p>
      </w:tc>
    </w:tr>
    <w:tr w:rsidR="009A63BD" w:rsidRPr="008F2CCC" w14:paraId="6939BCB1" w14:textId="77777777" w:rsidTr="009A63BD">
      <w:tc>
        <w:tcPr>
          <w:tcW w:w="2977" w:type="dxa"/>
          <w:shd w:val="clear" w:color="auto" w:fill="auto"/>
          <w:vAlign w:val="center"/>
        </w:tcPr>
        <w:p w14:paraId="237684D4" w14:textId="77777777" w:rsidR="00813AC7" w:rsidRPr="007E5FC4" w:rsidRDefault="00DE159D"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4D2775C" w14:textId="25FF0ACF" w:rsidR="00813AC7" w:rsidRPr="008F2CCC" w:rsidRDefault="00813AC7" w:rsidP="009A63BD">
          <w:pPr>
            <w:spacing w:line="360" w:lineRule="auto"/>
            <w:jc w:val="right"/>
            <w:rPr>
              <w:rFonts w:ascii="Palatino Linotype" w:hAnsi="Palatino Linotype"/>
              <w:b/>
              <w:sz w:val="22"/>
              <w:szCs w:val="22"/>
              <w:lang w:val="es-ES_tradnl"/>
            </w:rPr>
          </w:pPr>
          <w:proofErr w:type="spellStart"/>
          <w:r>
            <w:rPr>
              <w:rFonts w:ascii="Palatino Linotype" w:hAnsi="Palatino Linotype"/>
              <w:b/>
              <w:bCs/>
              <w:sz w:val="22"/>
              <w:szCs w:val="22"/>
            </w:rPr>
            <w:t>XXXX</w:t>
          </w:r>
          <w:proofErr w:type="spellEnd"/>
          <w:r w:rsidR="00DE159D">
            <w:rPr>
              <w:rFonts w:ascii="Palatino Linotype" w:hAnsi="Palatino Linotype"/>
              <w:b/>
              <w:bCs/>
              <w:sz w:val="22"/>
              <w:szCs w:val="22"/>
            </w:rPr>
            <w:t xml:space="preserve"> </w:t>
          </w:r>
        </w:p>
      </w:tc>
    </w:tr>
    <w:tr w:rsidR="009A63BD" w:rsidRPr="008F2CCC" w14:paraId="299F9012" w14:textId="77777777" w:rsidTr="009A63BD">
      <w:trPr>
        <w:trHeight w:val="228"/>
      </w:trPr>
      <w:tc>
        <w:tcPr>
          <w:tcW w:w="2977" w:type="dxa"/>
          <w:shd w:val="clear" w:color="auto" w:fill="auto"/>
        </w:tcPr>
        <w:p w14:paraId="6708BBF3" w14:textId="77777777" w:rsidR="00813AC7" w:rsidRPr="007E5FC4" w:rsidRDefault="00DE159D"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551F3776" w14:textId="77777777" w:rsidR="00813AC7" w:rsidRPr="00DC41C8" w:rsidRDefault="00DE159D" w:rsidP="009A63BD">
          <w:pPr>
            <w:spacing w:line="360" w:lineRule="auto"/>
            <w:jc w:val="right"/>
            <w:rPr>
              <w:rFonts w:ascii="Palatino Linotype" w:hAnsi="Palatino Linotype"/>
              <w:b/>
              <w:sz w:val="22"/>
              <w:szCs w:val="22"/>
            </w:rPr>
          </w:pPr>
          <w:r w:rsidRPr="00DE159D">
            <w:rPr>
              <w:rFonts w:ascii="Palatino Linotype" w:hAnsi="Palatino Linotype"/>
              <w:b/>
              <w:sz w:val="22"/>
              <w:szCs w:val="22"/>
            </w:rPr>
            <w:t>Ayuntamiento de Xalatlaco</w:t>
          </w:r>
        </w:p>
      </w:tc>
    </w:tr>
    <w:tr w:rsidR="009A63BD" w:rsidRPr="008F2CCC" w14:paraId="6F8EE797" w14:textId="77777777" w:rsidTr="009A63BD">
      <w:tc>
        <w:tcPr>
          <w:tcW w:w="2977" w:type="dxa"/>
          <w:shd w:val="clear" w:color="auto" w:fill="auto"/>
        </w:tcPr>
        <w:p w14:paraId="6966D316" w14:textId="77777777" w:rsidR="00813AC7" w:rsidRPr="007E5FC4" w:rsidRDefault="00DE159D"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CD6F3" w14:textId="77777777" w:rsidR="00813AC7" w:rsidRPr="008F2CCC" w:rsidRDefault="00DE159D" w:rsidP="009A63B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857785A" w14:textId="77777777" w:rsidR="00813AC7" w:rsidRPr="009F1AB6" w:rsidRDefault="00DE159D">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EBCA4DC" wp14:editId="560D6D07">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2"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4"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887252212">
    <w:abstractNumId w:val="4"/>
  </w:num>
  <w:num w:numId="2" w16cid:durableId="1428190411">
    <w:abstractNumId w:val="2"/>
  </w:num>
  <w:num w:numId="3" w16cid:durableId="1136335252">
    <w:abstractNumId w:val="0"/>
  </w:num>
  <w:num w:numId="4" w16cid:durableId="915435050">
    <w:abstractNumId w:val="1"/>
  </w:num>
  <w:num w:numId="5" w16cid:durableId="79668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9D"/>
    <w:rsid w:val="00241771"/>
    <w:rsid w:val="006E1173"/>
    <w:rsid w:val="00813AC7"/>
    <w:rsid w:val="009938E3"/>
    <w:rsid w:val="00DE159D"/>
    <w:rsid w:val="00F71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1ACA"/>
  <w15:chartTrackingRefBased/>
  <w15:docId w15:val="{FDAE3035-75FD-4060-8FDA-7C66CDA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159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E159D"/>
    <w:rPr>
      <w:rFonts w:eastAsiaTheme="minorEastAsia"/>
      <w:sz w:val="24"/>
      <w:szCs w:val="24"/>
      <w:lang w:val="es-ES_tradnl" w:eastAsia="es-ES"/>
    </w:rPr>
  </w:style>
  <w:style w:type="paragraph" w:styleId="Piedepgina">
    <w:name w:val="footer"/>
    <w:basedOn w:val="Normal"/>
    <w:link w:val="PiedepginaCar"/>
    <w:uiPriority w:val="99"/>
    <w:unhideWhenUsed/>
    <w:rsid w:val="00DE159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E159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E159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E159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E159D"/>
    <w:pPr>
      <w:spacing w:after="0" w:line="240" w:lineRule="auto"/>
    </w:pPr>
  </w:style>
  <w:style w:type="character" w:customStyle="1" w:styleId="SinespaciadoCar">
    <w:name w:val="Sin espaciado Car"/>
    <w:aliases w:val="Francesa Car,INAI Car"/>
    <w:link w:val="Sinespaciado"/>
    <w:uiPriority w:val="1"/>
    <w:locked/>
    <w:rsid w:val="00DE159D"/>
  </w:style>
  <w:style w:type="character" w:styleId="Hipervnculo">
    <w:name w:val="Hyperlink"/>
    <w:aliases w:val="Hipervínculo1,Hipervínculo11,Hipervínculo12,Hipervínculo13,Hipervínculo14,Hipervínculo15"/>
    <w:basedOn w:val="Fuentedeprrafopredeter"/>
    <w:uiPriority w:val="99"/>
    <w:unhideWhenUsed/>
    <w:rsid w:val="00DE159D"/>
    <w:rPr>
      <w:color w:val="0563C1" w:themeColor="hyperlink"/>
      <w:u w:val="single"/>
    </w:rPr>
  </w:style>
  <w:style w:type="paragraph" w:customStyle="1" w:styleId="INFOEM">
    <w:name w:val="INFOEM"/>
    <w:basedOn w:val="Normal"/>
    <w:qFormat/>
    <w:rsid w:val="00DE159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E159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E159D"/>
    <w:rPr>
      <w:vertAlign w:val="superscript"/>
    </w:rPr>
  </w:style>
  <w:style w:type="paragraph" w:customStyle="1" w:styleId="Citas">
    <w:name w:val="Citas"/>
    <w:basedOn w:val="Normal"/>
    <w:qFormat/>
    <w:rsid w:val="00DE159D"/>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DE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DE159D"/>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DE159D"/>
    <w:rPr>
      <w:rFonts w:eastAsia="Times New Roman" w:cs="Times New Roman"/>
      <w:sz w:val="20"/>
      <w:szCs w:val="20"/>
    </w:rPr>
  </w:style>
  <w:style w:type="character" w:customStyle="1" w:styleId="il">
    <w:name w:val="il"/>
    <w:basedOn w:val="Fuentedeprrafopredeter"/>
    <w:rsid w:val="00DE159D"/>
    <w:rPr>
      <w:rFonts w:cs="Times New Roman"/>
    </w:rPr>
  </w:style>
  <w:style w:type="paragraph" w:styleId="Textoindependiente">
    <w:name w:val="Body Text"/>
    <w:basedOn w:val="Normal"/>
    <w:link w:val="TextoindependienteCar"/>
    <w:uiPriority w:val="1"/>
    <w:unhideWhenUsed/>
    <w:qFormat/>
    <w:rsid w:val="00DE159D"/>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DE159D"/>
  </w:style>
  <w:style w:type="table" w:styleId="Tablaconcuadrcula">
    <w:name w:val="Table Grid"/>
    <w:basedOn w:val="Tablanormal"/>
    <w:uiPriority w:val="39"/>
    <w:rsid w:val="00DE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7477</Words>
  <Characters>41129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Arturo Macedo Albarrán</cp:lastModifiedBy>
  <cp:revision>4</cp:revision>
  <dcterms:created xsi:type="dcterms:W3CDTF">2024-09-17T19:31:00Z</dcterms:created>
  <dcterms:modified xsi:type="dcterms:W3CDTF">2024-10-09T16:22:00Z</dcterms:modified>
</cp:coreProperties>
</file>