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E37D" w14:textId="77777777" w:rsidR="00395D53" w:rsidRPr="00E97E7B" w:rsidRDefault="00395D53" w:rsidP="00BE0A81">
      <w:pPr>
        <w:tabs>
          <w:tab w:val="left" w:pos="8931"/>
        </w:tabs>
        <w:spacing w:after="0" w:line="360" w:lineRule="auto"/>
        <w:contextualSpacing/>
        <w:rPr>
          <w:rFonts w:cs="Tahoma"/>
          <w:bCs/>
          <w:color w:val="FF0000"/>
        </w:rPr>
      </w:pPr>
    </w:p>
    <w:p w14:paraId="3530C0FA" w14:textId="4D824F29" w:rsidR="00DB3DC5" w:rsidRPr="00B2384D" w:rsidRDefault="00DB3DC5" w:rsidP="00BE0A81">
      <w:pPr>
        <w:tabs>
          <w:tab w:val="left" w:pos="8931"/>
        </w:tabs>
        <w:spacing w:after="0" w:line="360" w:lineRule="auto"/>
        <w:contextualSpacing/>
        <w:rPr>
          <w:rFonts w:eastAsia="Calibri" w:cs="Tahoma"/>
          <w:color w:val="auto"/>
          <w:lang w:val="es-ES"/>
        </w:rPr>
      </w:pPr>
      <w:r w:rsidRPr="00B2384D">
        <w:rPr>
          <w:rFonts w:cs="Tahoma"/>
          <w:bCs/>
          <w:color w:val="auto"/>
        </w:rPr>
        <w:t xml:space="preserve">Resolución del Pleno del Instituto de Transparencia, Acceso a la Información Pública y Protección de Datos Personales del Estado de México y Municipios, con domicilio en Metepec, </w:t>
      </w:r>
      <w:r w:rsidRPr="00B2384D">
        <w:rPr>
          <w:rFonts w:eastAsia="Calibri" w:cs="Tahoma"/>
          <w:color w:val="auto"/>
          <w:lang w:val="es-ES"/>
        </w:rPr>
        <w:t>Estado de México, de fecha</w:t>
      </w:r>
      <w:r w:rsidR="00B96D3A" w:rsidRPr="00B2384D">
        <w:rPr>
          <w:rFonts w:eastAsia="Calibri" w:cs="Tahoma"/>
          <w:color w:val="auto"/>
          <w:lang w:val="es-ES"/>
        </w:rPr>
        <w:t xml:space="preserve"> </w:t>
      </w:r>
      <w:r w:rsidR="004C4DF6" w:rsidRPr="00B2384D">
        <w:rPr>
          <w:rFonts w:eastAsia="Calibri" w:cs="Tahoma"/>
          <w:color w:val="auto"/>
          <w:lang w:val="es-ES"/>
        </w:rPr>
        <w:t>cuatro de diciembre de dos mil veinticuatro.</w:t>
      </w:r>
    </w:p>
    <w:p w14:paraId="2A681408" w14:textId="77777777" w:rsidR="00DB3DC5" w:rsidRPr="00B2384D" w:rsidRDefault="00DB3DC5" w:rsidP="00BE0A81">
      <w:pPr>
        <w:spacing w:after="0" w:line="360" w:lineRule="auto"/>
        <w:contextualSpacing/>
        <w:rPr>
          <w:rFonts w:eastAsia="Calibri" w:cs="Tahoma"/>
          <w:b/>
          <w:bCs/>
          <w:color w:val="FF0000"/>
          <w:lang w:val="es-ES"/>
        </w:rPr>
      </w:pPr>
    </w:p>
    <w:p w14:paraId="75D54F3E" w14:textId="12FF7070" w:rsidR="00DB3DC5" w:rsidRPr="00B2384D" w:rsidRDefault="00DB3DC5" w:rsidP="00BE0A81">
      <w:pPr>
        <w:spacing w:after="0" w:line="360" w:lineRule="auto"/>
        <w:contextualSpacing/>
        <w:rPr>
          <w:rFonts w:ascii="Verdana" w:hAnsi="Verdana"/>
          <w:b/>
          <w:bCs/>
          <w:color w:val="auto"/>
        </w:rPr>
      </w:pPr>
      <w:r w:rsidRPr="00B2384D">
        <w:rPr>
          <w:rFonts w:eastAsia="Calibri" w:cs="Tahoma"/>
          <w:b/>
          <w:bCs/>
          <w:color w:val="auto"/>
          <w:lang w:val="es-ES"/>
        </w:rPr>
        <w:t xml:space="preserve">VISTO </w:t>
      </w:r>
      <w:r w:rsidRPr="00B2384D">
        <w:rPr>
          <w:rFonts w:eastAsia="Calibri" w:cs="Tahoma"/>
          <w:color w:val="auto"/>
          <w:lang w:val="es-ES"/>
        </w:rPr>
        <w:t>el expediente electrónico conformado con motivo d</w:t>
      </w:r>
      <w:r w:rsidR="00087796" w:rsidRPr="00B2384D">
        <w:rPr>
          <w:rFonts w:eastAsia="Calibri" w:cs="Tahoma"/>
          <w:color w:val="auto"/>
          <w:lang w:val="es-ES"/>
        </w:rPr>
        <w:t>el</w:t>
      </w:r>
      <w:r w:rsidRPr="00B2384D">
        <w:rPr>
          <w:rFonts w:eastAsia="Calibri" w:cs="Tahoma"/>
          <w:color w:val="auto"/>
          <w:lang w:val="es-ES"/>
        </w:rPr>
        <w:t xml:space="preserve"> Recurso de Revisión </w:t>
      </w:r>
      <w:r w:rsidRPr="00116F4F">
        <w:rPr>
          <w:rFonts w:eastAsia="Calibri" w:cs="Tahoma"/>
          <w:b/>
          <w:color w:val="auto"/>
        </w:rPr>
        <w:t>0</w:t>
      </w:r>
      <w:r w:rsidR="004C4DF6" w:rsidRPr="00116F4F">
        <w:rPr>
          <w:rFonts w:eastAsia="Calibri" w:cs="Tahoma"/>
          <w:b/>
          <w:color w:val="auto"/>
        </w:rPr>
        <w:t>7101/INFOEM/IP/RR/2024</w:t>
      </w:r>
      <w:r w:rsidRPr="00B2384D">
        <w:rPr>
          <w:rFonts w:eastAsia="Calibri" w:cs="Tahoma"/>
          <w:color w:val="auto"/>
        </w:rPr>
        <w:t>, interpuesto</w:t>
      </w:r>
      <w:r w:rsidR="000727FB" w:rsidRPr="00B2384D">
        <w:rPr>
          <w:rFonts w:eastAsia="Calibri" w:cs="Tahoma"/>
          <w:color w:val="auto"/>
        </w:rPr>
        <w:t xml:space="preserve"> </w:t>
      </w:r>
      <w:r w:rsidR="0043041C" w:rsidRPr="00B2384D">
        <w:rPr>
          <w:rFonts w:eastAsia="Calibri" w:cs="Tahoma"/>
          <w:color w:val="auto"/>
        </w:rPr>
        <w:t xml:space="preserve">por </w:t>
      </w:r>
      <w:r w:rsidR="0043041C" w:rsidRPr="0043041C">
        <w:rPr>
          <w:rFonts w:eastAsia="Calibri" w:cs="Tahoma"/>
          <w:color w:val="auto"/>
          <w:highlight w:val="black"/>
        </w:rPr>
        <w:t>XXXXXXXXXXXXXX</w:t>
      </w:r>
      <w:r w:rsidR="0043041C" w:rsidRPr="0043041C">
        <w:rPr>
          <w:rFonts w:eastAsia="Calibri" w:cs="Tahoma"/>
          <w:color w:val="auto"/>
        </w:rPr>
        <w:t xml:space="preserve"> </w:t>
      </w:r>
      <w:r w:rsidR="0043041C" w:rsidRPr="00B2384D">
        <w:rPr>
          <w:rFonts w:eastAsia="Calibri" w:cs="Tahoma"/>
          <w:color w:val="auto"/>
        </w:rPr>
        <w:t>en</w:t>
      </w:r>
      <w:r w:rsidR="00755F06" w:rsidRPr="00B2384D">
        <w:rPr>
          <w:rFonts w:eastAsia="Calibri" w:cs="Tahoma"/>
          <w:color w:val="auto"/>
        </w:rPr>
        <w:t xml:space="preserve"> lo sucesivo</w:t>
      </w:r>
      <w:r w:rsidR="00F00759" w:rsidRPr="00B2384D">
        <w:rPr>
          <w:rFonts w:eastAsia="Calibri" w:cs="Tahoma"/>
          <w:color w:val="auto"/>
        </w:rPr>
        <w:t xml:space="preserve"> el </w:t>
      </w:r>
      <w:r w:rsidRPr="00B2384D">
        <w:rPr>
          <w:rFonts w:cs="Tahoma"/>
          <w:color w:val="auto"/>
        </w:rPr>
        <w:t xml:space="preserve">Recurrente o Particular, en contra de la respuesta del Sujeto Obligado, </w:t>
      </w:r>
      <w:r w:rsidR="004C4DF6" w:rsidRPr="00116F4F">
        <w:rPr>
          <w:rFonts w:cs="Tahoma"/>
          <w:b/>
          <w:color w:val="auto"/>
        </w:rPr>
        <w:t>Ayuntamiento de Naucalpan de Juárez</w:t>
      </w:r>
      <w:r w:rsidRPr="00116F4F">
        <w:rPr>
          <w:rFonts w:cs="Tahoma"/>
          <w:b/>
          <w:color w:val="auto"/>
        </w:rPr>
        <w:t>,</w:t>
      </w:r>
      <w:r w:rsidRPr="00B2384D">
        <w:rPr>
          <w:rFonts w:cs="Tahoma"/>
          <w:color w:val="auto"/>
        </w:rPr>
        <w:t xml:space="preserve"> a la solicitud de acceso a la información pública</w:t>
      </w:r>
      <w:r w:rsidRPr="00B2384D">
        <w:rPr>
          <w:rFonts w:ascii="Verdana" w:hAnsi="Verdana"/>
          <w:b/>
          <w:bCs/>
          <w:color w:val="auto"/>
        </w:rPr>
        <w:t xml:space="preserve"> </w:t>
      </w:r>
      <w:r w:rsidR="004C4DF6" w:rsidRPr="00B2384D">
        <w:rPr>
          <w:rFonts w:cs="Tahoma"/>
          <w:color w:val="auto"/>
        </w:rPr>
        <w:t>00713/NAUCALPA/IP/2024</w:t>
      </w:r>
      <w:r w:rsidRPr="00B2384D">
        <w:rPr>
          <w:rFonts w:cs="Arial"/>
          <w:color w:val="auto"/>
        </w:rPr>
        <w:t xml:space="preserve">, </w:t>
      </w:r>
      <w:r w:rsidRPr="00B2384D">
        <w:rPr>
          <w:rFonts w:cs="Tahoma"/>
          <w:color w:val="auto"/>
        </w:rPr>
        <w:t>se emite</w:t>
      </w:r>
      <w:r w:rsidRPr="00B2384D">
        <w:rPr>
          <w:rFonts w:cs="Tahoma"/>
          <w:bCs/>
          <w:color w:val="auto"/>
        </w:rPr>
        <w:t xml:space="preserve"> la presente Resolución, con base en los Antecedentes y Considerandos que se exponen a continuación:</w:t>
      </w:r>
      <w:r w:rsidR="000762E4" w:rsidRPr="00B2384D">
        <w:rPr>
          <w:rFonts w:cs="Tahoma"/>
          <w:bCs/>
          <w:color w:val="auto"/>
        </w:rPr>
        <w:t xml:space="preserve"> </w:t>
      </w:r>
    </w:p>
    <w:p w14:paraId="134E03A6" w14:textId="77777777" w:rsidR="00DB3DC5" w:rsidRPr="00B2384D" w:rsidRDefault="00DB3DC5" w:rsidP="00BE0A81">
      <w:pPr>
        <w:spacing w:after="0" w:line="360" w:lineRule="auto"/>
        <w:contextualSpacing/>
        <w:rPr>
          <w:rFonts w:eastAsia="Calibri" w:cs="Tahoma"/>
          <w:b/>
          <w:bCs/>
          <w:color w:val="FF0000"/>
          <w:lang w:val="es-ES"/>
        </w:rPr>
      </w:pPr>
    </w:p>
    <w:p w14:paraId="32EEB02D" w14:textId="485923A0" w:rsidR="00DB3DC5" w:rsidRPr="00B2384D" w:rsidRDefault="00DB3DC5" w:rsidP="00BE0A81">
      <w:pPr>
        <w:spacing w:after="0" w:line="360" w:lineRule="auto"/>
        <w:contextualSpacing/>
        <w:jc w:val="center"/>
        <w:rPr>
          <w:rFonts w:eastAsia="Calibri" w:cs="Tahoma"/>
          <w:b/>
          <w:bCs/>
          <w:color w:val="auto"/>
          <w:lang w:val="es-ES"/>
        </w:rPr>
      </w:pPr>
      <w:r w:rsidRPr="00B2384D">
        <w:rPr>
          <w:rFonts w:eastAsia="Calibri" w:cs="Tahoma"/>
          <w:b/>
          <w:bCs/>
          <w:color w:val="auto"/>
          <w:lang w:val="es-ES"/>
        </w:rPr>
        <w:t>A N T E C E D E N T E S</w:t>
      </w:r>
    </w:p>
    <w:p w14:paraId="09E98305" w14:textId="77777777" w:rsidR="00DB3DC5" w:rsidRPr="00B2384D" w:rsidRDefault="00DB3DC5" w:rsidP="00BE0A81">
      <w:pPr>
        <w:spacing w:after="0" w:line="360" w:lineRule="auto"/>
        <w:contextualSpacing/>
        <w:jc w:val="center"/>
        <w:rPr>
          <w:rFonts w:eastAsia="Calibri" w:cs="Tahoma"/>
          <w:b/>
          <w:bCs/>
          <w:color w:val="FF0000"/>
          <w:lang w:val="es-ES"/>
        </w:rPr>
      </w:pPr>
    </w:p>
    <w:p w14:paraId="5E541408" w14:textId="07627FFC" w:rsidR="00DB3DC5" w:rsidRPr="00B2384D" w:rsidRDefault="00DB3DC5" w:rsidP="00BE0A81">
      <w:pPr>
        <w:spacing w:after="0" w:line="360" w:lineRule="auto"/>
        <w:contextualSpacing/>
        <w:rPr>
          <w:rFonts w:eastAsia="Calibri" w:cs="Tahoma"/>
          <w:b/>
          <w:bCs/>
          <w:color w:val="auto"/>
          <w:lang w:val="es-ES"/>
        </w:rPr>
      </w:pPr>
      <w:r w:rsidRPr="00B2384D">
        <w:rPr>
          <w:rFonts w:eastAsia="Calibri" w:cs="Tahoma"/>
          <w:b/>
          <w:bCs/>
          <w:color w:val="auto"/>
          <w:lang w:val="es-ES"/>
        </w:rPr>
        <w:t>I. Presentación de la solicitud de información</w:t>
      </w:r>
    </w:p>
    <w:p w14:paraId="5A91601B" w14:textId="77777777" w:rsidR="00DB3DC5" w:rsidRPr="00B2384D" w:rsidRDefault="00DB3DC5" w:rsidP="00BE0A81">
      <w:pPr>
        <w:spacing w:after="0" w:line="360" w:lineRule="auto"/>
        <w:contextualSpacing/>
        <w:rPr>
          <w:rFonts w:eastAsia="Calibri" w:cs="Tahoma"/>
          <w:b/>
          <w:bCs/>
          <w:color w:val="FF0000"/>
          <w:lang w:val="es-ES"/>
        </w:rPr>
      </w:pPr>
    </w:p>
    <w:p w14:paraId="1620C68D" w14:textId="5F0DB18D" w:rsidR="00DB3DC5" w:rsidRPr="00B2384D" w:rsidRDefault="00E7640F" w:rsidP="00BE0A81">
      <w:pPr>
        <w:spacing w:after="0" w:line="360" w:lineRule="auto"/>
        <w:contextualSpacing/>
        <w:rPr>
          <w:rFonts w:eastAsia="Calibri" w:cs="Tahoma"/>
          <w:color w:val="auto"/>
        </w:rPr>
      </w:pPr>
      <w:r w:rsidRPr="00B2384D">
        <w:rPr>
          <w:rFonts w:eastAsia="Calibri" w:cs="Tahoma"/>
          <w:color w:val="auto"/>
          <w:lang w:val="es-ES"/>
        </w:rPr>
        <w:t xml:space="preserve">El </w:t>
      </w:r>
      <w:r w:rsidR="006444F8" w:rsidRPr="00B2384D">
        <w:rPr>
          <w:rFonts w:eastAsia="Calibri" w:cs="Tahoma"/>
          <w:color w:val="auto"/>
          <w:lang w:val="es-ES"/>
        </w:rPr>
        <w:t xml:space="preserve">cuatro de octubre de dos mil veinticuatro, </w:t>
      </w:r>
      <w:r w:rsidR="00DB3DC5" w:rsidRPr="00B2384D">
        <w:rPr>
          <w:rFonts w:eastAsia="Calibri" w:cs="Tahoma"/>
          <w:color w:val="auto"/>
          <w:lang w:val="es-ES"/>
        </w:rPr>
        <w:t xml:space="preserve">el Particular presentó </w:t>
      </w:r>
      <w:r w:rsidR="00087796" w:rsidRPr="00B2384D">
        <w:rPr>
          <w:rFonts w:eastAsia="Calibri" w:cs="Tahoma"/>
          <w:color w:val="auto"/>
          <w:lang w:val="es-ES"/>
        </w:rPr>
        <w:t>una</w:t>
      </w:r>
      <w:r w:rsidR="00DB3DC5" w:rsidRPr="00B2384D">
        <w:rPr>
          <w:rFonts w:eastAsia="Calibri" w:cs="Tahoma"/>
          <w:color w:val="auto"/>
          <w:lang w:val="es-ES"/>
        </w:rPr>
        <w:t xml:space="preserve"> solicitud</w:t>
      </w:r>
      <w:r w:rsidR="00087796" w:rsidRPr="00B2384D">
        <w:rPr>
          <w:rFonts w:eastAsia="Calibri" w:cs="Tahoma"/>
          <w:color w:val="auto"/>
          <w:lang w:val="es-ES"/>
        </w:rPr>
        <w:t xml:space="preserve"> </w:t>
      </w:r>
      <w:r w:rsidR="00DB3DC5" w:rsidRPr="00B2384D">
        <w:rPr>
          <w:rFonts w:eastAsia="Calibri" w:cs="Tahoma"/>
          <w:color w:val="auto"/>
          <w:lang w:val="es-ES"/>
        </w:rPr>
        <w:t xml:space="preserve">de acceso a la información, a través del Sistema de Acceso a la Información Mexiquense (SAIMEX), ante el </w:t>
      </w:r>
      <w:bookmarkStart w:id="0" w:name="_Hlk167964779"/>
      <w:r w:rsidR="00755F06" w:rsidRPr="00B2384D">
        <w:rPr>
          <w:rFonts w:eastAsia="Calibri" w:cs="Tahoma"/>
          <w:color w:val="auto"/>
        </w:rPr>
        <w:t xml:space="preserve">Ayuntamiento de Atizapán de </w:t>
      </w:r>
      <w:r w:rsidR="006444F8" w:rsidRPr="00B2384D">
        <w:rPr>
          <w:rFonts w:eastAsia="Calibri" w:cs="Tahoma"/>
          <w:color w:val="auto"/>
        </w:rPr>
        <w:t>Naucalpan de Juárez</w:t>
      </w:r>
      <w:bookmarkEnd w:id="0"/>
      <w:r w:rsidR="00983629" w:rsidRPr="00B2384D">
        <w:rPr>
          <w:rFonts w:eastAsia="Calibri" w:cs="Times New Roman"/>
          <w:b/>
          <w:bCs/>
          <w:color w:val="auto"/>
        </w:rPr>
        <w:t xml:space="preserve">, </w:t>
      </w:r>
      <w:r w:rsidR="00DB3DC5" w:rsidRPr="00B2384D">
        <w:rPr>
          <w:rFonts w:cs="Tahoma"/>
          <w:color w:val="auto"/>
        </w:rPr>
        <w:t>en los siguientes términos:</w:t>
      </w:r>
    </w:p>
    <w:p w14:paraId="143ECF6C" w14:textId="0F6230CE" w:rsidR="00345BB5" w:rsidRPr="00B2384D" w:rsidRDefault="00345BB5" w:rsidP="00BE0A81">
      <w:pPr>
        <w:tabs>
          <w:tab w:val="left" w:pos="4667"/>
        </w:tabs>
        <w:spacing w:after="0" w:line="360" w:lineRule="auto"/>
        <w:ind w:right="567"/>
        <w:contextualSpacing/>
        <w:rPr>
          <w:rFonts w:cs="Tahoma"/>
          <w:bCs/>
          <w:i/>
          <w:color w:val="auto"/>
        </w:rPr>
      </w:pPr>
    </w:p>
    <w:p w14:paraId="24654BA5" w14:textId="77777777" w:rsidR="00087796" w:rsidRPr="00B2384D" w:rsidRDefault="00087796" w:rsidP="00BE0A81">
      <w:pPr>
        <w:tabs>
          <w:tab w:val="left" w:pos="4667"/>
        </w:tabs>
        <w:spacing w:after="0" w:line="360" w:lineRule="auto"/>
        <w:ind w:left="567" w:right="567"/>
        <w:contextualSpacing/>
        <w:rPr>
          <w:rFonts w:eastAsia="Times New Roman" w:cs="Tahoma"/>
          <w:b/>
          <w:i/>
          <w:iCs/>
          <w:color w:val="auto"/>
          <w:sz w:val="20"/>
          <w:szCs w:val="20"/>
          <w:lang w:eastAsia="es-ES"/>
        </w:rPr>
      </w:pPr>
      <w:r w:rsidRPr="00B2384D">
        <w:rPr>
          <w:rFonts w:eastAsia="Times New Roman" w:cs="Tahoma"/>
          <w:b/>
          <w:i/>
          <w:iCs/>
          <w:color w:val="auto"/>
          <w:sz w:val="20"/>
          <w:szCs w:val="20"/>
          <w:lang w:eastAsia="es-ES"/>
        </w:rPr>
        <w:t>“DESCRIPCIÓN CLARA Y PRECISA DE LA INFORMACIÓN SOLICITADA.</w:t>
      </w:r>
    </w:p>
    <w:p w14:paraId="5D13BEEC" w14:textId="10AFAFFA" w:rsidR="00087796" w:rsidRPr="00B2384D" w:rsidRDefault="006444F8" w:rsidP="00BE0A81">
      <w:pPr>
        <w:spacing w:after="0" w:line="360" w:lineRule="auto"/>
        <w:ind w:left="567" w:right="567"/>
        <w:contextualSpacing/>
        <w:rPr>
          <w:rFonts w:eastAsia="Times New Roman" w:cs="Tahoma"/>
          <w:bCs/>
          <w:i/>
          <w:iCs/>
          <w:color w:val="auto"/>
          <w:sz w:val="20"/>
          <w:szCs w:val="20"/>
          <w:lang w:eastAsia="es-ES"/>
        </w:rPr>
      </w:pPr>
      <w:r w:rsidRPr="00B2384D">
        <w:rPr>
          <w:rFonts w:eastAsia="Times New Roman" w:cs="Tahoma"/>
          <w:bCs/>
          <w:i/>
          <w:iCs/>
          <w:color w:val="auto"/>
          <w:sz w:val="20"/>
          <w:szCs w:val="20"/>
          <w:lang w:eastAsia="es-ES"/>
        </w:rPr>
        <w:t>Requiero la conciliación de nómina y dispersión de nómina de los meses de octubre, noviembre y diciembre del año 2021</w:t>
      </w:r>
      <w:r w:rsidR="00087796" w:rsidRPr="00B2384D">
        <w:rPr>
          <w:rFonts w:eastAsia="Times New Roman" w:cs="Tahoma"/>
          <w:bCs/>
          <w:i/>
          <w:iCs/>
          <w:color w:val="auto"/>
          <w:sz w:val="20"/>
          <w:szCs w:val="20"/>
          <w:lang w:eastAsia="es-ES"/>
        </w:rPr>
        <w:t xml:space="preserve">” (Sic) </w:t>
      </w:r>
    </w:p>
    <w:p w14:paraId="59905699" w14:textId="77777777" w:rsidR="00087796" w:rsidRPr="00B2384D" w:rsidRDefault="00087796" w:rsidP="00BE0A81">
      <w:pPr>
        <w:tabs>
          <w:tab w:val="left" w:pos="4667"/>
        </w:tabs>
        <w:spacing w:after="0" w:line="360" w:lineRule="auto"/>
        <w:ind w:left="567" w:right="567"/>
        <w:contextualSpacing/>
        <w:rPr>
          <w:rFonts w:eastAsia="Times New Roman" w:cs="Tahoma"/>
          <w:b/>
          <w:bCs/>
          <w:i/>
          <w:iCs/>
          <w:color w:val="auto"/>
          <w:sz w:val="20"/>
          <w:szCs w:val="20"/>
          <w:lang w:eastAsia="es-ES"/>
        </w:rPr>
      </w:pPr>
    </w:p>
    <w:p w14:paraId="115716E2" w14:textId="77777777" w:rsidR="00087796" w:rsidRPr="00B2384D" w:rsidRDefault="00087796" w:rsidP="00BE0A81">
      <w:pPr>
        <w:tabs>
          <w:tab w:val="left" w:pos="4667"/>
        </w:tabs>
        <w:spacing w:after="0" w:line="360" w:lineRule="auto"/>
        <w:ind w:left="567" w:right="567"/>
        <w:contextualSpacing/>
        <w:rPr>
          <w:rFonts w:eastAsia="Times New Roman" w:cs="Tahoma"/>
          <w:b/>
          <w:bCs/>
          <w:i/>
          <w:iCs/>
          <w:color w:val="auto"/>
          <w:sz w:val="20"/>
          <w:lang w:eastAsia="es-ES"/>
        </w:rPr>
      </w:pPr>
      <w:r w:rsidRPr="00B2384D">
        <w:rPr>
          <w:rFonts w:eastAsia="Times New Roman" w:cs="Tahoma"/>
          <w:b/>
          <w:bCs/>
          <w:i/>
          <w:iCs/>
          <w:color w:val="auto"/>
          <w:sz w:val="20"/>
          <w:lang w:eastAsia="es-ES"/>
        </w:rPr>
        <w:t>“MODALIDAD DE ENTREGA</w:t>
      </w:r>
    </w:p>
    <w:p w14:paraId="551593C6" w14:textId="77777777" w:rsidR="00087796" w:rsidRPr="00B2384D" w:rsidRDefault="00087796" w:rsidP="00BE0A81">
      <w:pPr>
        <w:spacing w:after="0" w:line="360" w:lineRule="auto"/>
        <w:ind w:left="567" w:right="567"/>
        <w:contextualSpacing/>
        <w:rPr>
          <w:rFonts w:eastAsia="Times New Roman" w:cs="Arial"/>
          <w:bCs/>
          <w:i/>
          <w:iCs/>
          <w:color w:val="auto"/>
          <w:sz w:val="20"/>
          <w:lang w:eastAsia="es-ES"/>
        </w:rPr>
      </w:pPr>
      <w:r w:rsidRPr="00B2384D">
        <w:rPr>
          <w:rFonts w:eastAsia="Times New Roman" w:cs="Arial"/>
          <w:bCs/>
          <w:i/>
          <w:iCs/>
          <w:color w:val="auto"/>
          <w:sz w:val="20"/>
          <w:lang w:eastAsia="es-ES"/>
        </w:rPr>
        <w:t>A través del SAIMEX”</w:t>
      </w:r>
    </w:p>
    <w:p w14:paraId="776FA32A" w14:textId="77777777" w:rsidR="000062D7" w:rsidRPr="00B2384D" w:rsidRDefault="000062D7" w:rsidP="00BE0A81">
      <w:pPr>
        <w:spacing w:after="0" w:line="360" w:lineRule="auto"/>
        <w:contextualSpacing/>
        <w:rPr>
          <w:rFonts w:eastAsia="Calibri" w:cs="Tahoma"/>
          <w:b/>
          <w:bCs/>
          <w:color w:val="FF0000"/>
        </w:rPr>
      </w:pPr>
    </w:p>
    <w:p w14:paraId="4A1BB48E" w14:textId="787C0B7C" w:rsidR="006444F8" w:rsidRPr="00B2384D" w:rsidRDefault="00DB3DC5" w:rsidP="00BE0A81">
      <w:pPr>
        <w:spacing w:after="0" w:line="360" w:lineRule="auto"/>
        <w:contextualSpacing/>
        <w:rPr>
          <w:rFonts w:eastAsia="Calibri" w:cs="Tahoma"/>
          <w:b/>
          <w:bCs/>
          <w:color w:val="auto"/>
        </w:rPr>
      </w:pPr>
      <w:r w:rsidRPr="00B2384D">
        <w:rPr>
          <w:rFonts w:eastAsia="Calibri" w:cs="Tahoma"/>
          <w:b/>
          <w:bCs/>
          <w:color w:val="auto"/>
        </w:rPr>
        <w:t>I</w:t>
      </w:r>
      <w:r w:rsidR="00B96D3A" w:rsidRPr="00B2384D">
        <w:rPr>
          <w:rFonts w:eastAsia="Calibri" w:cs="Tahoma"/>
          <w:b/>
          <w:bCs/>
          <w:color w:val="auto"/>
        </w:rPr>
        <w:t>I</w:t>
      </w:r>
      <w:r w:rsidRPr="00B2384D">
        <w:rPr>
          <w:rFonts w:eastAsia="Calibri" w:cs="Tahoma"/>
          <w:b/>
          <w:bCs/>
          <w:color w:val="auto"/>
        </w:rPr>
        <w:t xml:space="preserve">. </w:t>
      </w:r>
      <w:r w:rsidR="006444F8" w:rsidRPr="00B2384D">
        <w:rPr>
          <w:rFonts w:eastAsia="Calibri" w:cs="Tahoma"/>
          <w:b/>
          <w:bCs/>
          <w:color w:val="auto"/>
        </w:rPr>
        <w:t>Prórroga</w:t>
      </w:r>
      <w:r w:rsidR="009A5A1F" w:rsidRPr="00B2384D">
        <w:t xml:space="preserve"> </w:t>
      </w:r>
      <w:r w:rsidR="009A5A1F" w:rsidRPr="00B2384D">
        <w:rPr>
          <w:rFonts w:eastAsia="Calibri" w:cs="Tahoma"/>
          <w:b/>
          <w:bCs/>
          <w:color w:val="auto"/>
        </w:rPr>
        <w:t>de la solicitud de la información</w:t>
      </w:r>
    </w:p>
    <w:p w14:paraId="1AA1E16A" w14:textId="77777777" w:rsidR="006444F8" w:rsidRPr="00B2384D" w:rsidRDefault="006444F8" w:rsidP="00BE0A81">
      <w:pPr>
        <w:spacing w:after="0" w:line="360" w:lineRule="auto"/>
        <w:contextualSpacing/>
        <w:rPr>
          <w:rFonts w:eastAsia="Calibri" w:cs="Tahoma"/>
          <w:b/>
          <w:bCs/>
          <w:color w:val="auto"/>
        </w:rPr>
      </w:pPr>
    </w:p>
    <w:p w14:paraId="7497F497" w14:textId="4EDBED77" w:rsidR="006444F8" w:rsidRPr="00B2384D" w:rsidRDefault="00486377" w:rsidP="00BE0A81">
      <w:pPr>
        <w:pStyle w:val="Prrafodelista"/>
        <w:tabs>
          <w:tab w:val="left" w:pos="567"/>
        </w:tabs>
        <w:spacing w:after="0" w:line="360" w:lineRule="auto"/>
        <w:ind w:left="0"/>
        <w:rPr>
          <w:rFonts w:cs="Tahoma"/>
          <w:bCs/>
          <w:color w:val="auto"/>
          <w:lang w:val="es-ES_tradnl"/>
        </w:rPr>
      </w:pPr>
      <w:r w:rsidRPr="00B2384D">
        <w:rPr>
          <w:rFonts w:cs="Tahoma"/>
          <w:bCs/>
          <w:color w:val="auto"/>
          <w:lang w:val="es-ES_tradnl"/>
        </w:rPr>
        <w:t xml:space="preserve">Con fecha veintitrés de octubre de dos mil veinticuatro, el Sujeto Obligado, a través del Sistema de Acceso a la Información Mexiquense (SAIMEX) notificó </w:t>
      </w:r>
      <w:r w:rsidR="0060538F" w:rsidRPr="00B2384D">
        <w:rPr>
          <w:rFonts w:cs="Tahoma"/>
          <w:bCs/>
          <w:color w:val="auto"/>
          <w:lang w:val="es-ES_tradnl"/>
        </w:rPr>
        <w:t>la prórroga para atender la solicitud</w:t>
      </w:r>
      <w:r w:rsidRPr="00B2384D">
        <w:rPr>
          <w:rFonts w:cs="Tahoma"/>
          <w:bCs/>
          <w:color w:val="auto"/>
          <w:lang w:val="es-ES_tradnl"/>
        </w:rPr>
        <w:t xml:space="preserve"> de información, en los mismos términos de conformidad con lo siguiente:</w:t>
      </w:r>
    </w:p>
    <w:p w14:paraId="67CE19A8" w14:textId="77777777" w:rsidR="00486377" w:rsidRPr="00B2384D" w:rsidRDefault="00486377" w:rsidP="00BE0A81">
      <w:pPr>
        <w:pStyle w:val="Prrafodelista"/>
        <w:tabs>
          <w:tab w:val="left" w:pos="567"/>
        </w:tabs>
        <w:spacing w:after="0" w:line="360" w:lineRule="auto"/>
        <w:ind w:left="0"/>
        <w:rPr>
          <w:rFonts w:cs="Tahoma"/>
          <w:bCs/>
          <w:color w:val="auto"/>
          <w:lang w:val="es-ES_tradnl"/>
        </w:rPr>
      </w:pPr>
    </w:p>
    <w:p w14:paraId="68BB3724" w14:textId="69B6A44B" w:rsidR="00486377" w:rsidRPr="00B2384D" w:rsidRDefault="00486377" w:rsidP="00BE0A81">
      <w:pPr>
        <w:spacing w:after="0" w:line="360" w:lineRule="auto"/>
        <w:ind w:left="567" w:right="567"/>
        <w:contextualSpacing/>
        <w:rPr>
          <w:rFonts w:eastAsia="Times New Roman" w:cs="Arial"/>
          <w:bCs/>
          <w:i/>
          <w:iCs/>
          <w:color w:val="auto"/>
          <w:sz w:val="20"/>
          <w:lang w:eastAsia="es-ES"/>
        </w:rPr>
      </w:pPr>
      <w:r w:rsidRPr="00B2384D">
        <w:rPr>
          <w:rFonts w:eastAsia="Times New Roman" w:cs="Arial"/>
          <w:bCs/>
          <w:i/>
          <w:iCs/>
          <w:color w:val="auto"/>
          <w:sz w:val="20"/>
          <w:lang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F98529C" w14:textId="77777777" w:rsidR="00486377" w:rsidRPr="00B2384D" w:rsidRDefault="00486377" w:rsidP="00BE0A81">
      <w:pPr>
        <w:spacing w:after="0" w:line="360" w:lineRule="auto"/>
        <w:ind w:left="567" w:right="567"/>
        <w:contextualSpacing/>
        <w:rPr>
          <w:rFonts w:eastAsia="Times New Roman" w:cs="Arial"/>
          <w:bCs/>
          <w:i/>
          <w:iCs/>
          <w:color w:val="auto"/>
          <w:sz w:val="20"/>
          <w:lang w:eastAsia="es-ES"/>
        </w:rPr>
      </w:pPr>
    </w:p>
    <w:p w14:paraId="493F74FC" w14:textId="41C295EB" w:rsidR="00486377" w:rsidRPr="00B2384D" w:rsidRDefault="00486377" w:rsidP="00BE0A81">
      <w:pPr>
        <w:spacing w:after="0" w:line="360" w:lineRule="auto"/>
        <w:ind w:left="567" w:right="567"/>
        <w:contextualSpacing/>
        <w:rPr>
          <w:rFonts w:eastAsia="Times New Roman" w:cs="Arial"/>
          <w:bCs/>
          <w:i/>
          <w:iCs/>
          <w:color w:val="auto"/>
          <w:sz w:val="20"/>
          <w:lang w:eastAsia="es-ES"/>
        </w:rPr>
      </w:pPr>
      <w:r w:rsidRPr="00B2384D">
        <w:rPr>
          <w:rFonts w:eastAsia="Times New Roman" w:cs="Arial"/>
          <w:bCs/>
          <w:i/>
          <w:iCs/>
          <w:color w:val="auto"/>
          <w:sz w:val="20"/>
          <w:lang w:eastAsia="es-ES"/>
        </w:rPr>
        <w:t xml:space="preserve">Derivado de la complejidad que implica la búsqueda de la información, se ha ampliado el plazo de respuesta por 7 días hábiles adicionales…” </w:t>
      </w:r>
    </w:p>
    <w:p w14:paraId="2CE291BE" w14:textId="77777777" w:rsidR="00486377" w:rsidRPr="00B2384D" w:rsidRDefault="00486377" w:rsidP="00BE0A81">
      <w:pPr>
        <w:spacing w:after="0" w:line="360" w:lineRule="auto"/>
        <w:contextualSpacing/>
        <w:rPr>
          <w:rFonts w:eastAsia="Calibri" w:cs="Tahoma"/>
          <w:b/>
          <w:bCs/>
          <w:color w:val="auto"/>
        </w:rPr>
      </w:pPr>
    </w:p>
    <w:p w14:paraId="675E2DC0" w14:textId="1A831FB5" w:rsidR="00DB3DC5" w:rsidRPr="00B2384D" w:rsidRDefault="00B73D3E" w:rsidP="00BE0A81">
      <w:pPr>
        <w:spacing w:after="0" w:line="360" w:lineRule="auto"/>
        <w:contextualSpacing/>
        <w:rPr>
          <w:rFonts w:eastAsia="Calibri" w:cs="Tahoma"/>
          <w:b/>
          <w:bCs/>
          <w:color w:val="auto"/>
        </w:rPr>
      </w:pPr>
      <w:r w:rsidRPr="00B2384D">
        <w:rPr>
          <w:rFonts w:eastAsia="Calibri" w:cs="Tahoma"/>
          <w:b/>
          <w:color w:val="auto"/>
        </w:rPr>
        <w:t xml:space="preserve">III. </w:t>
      </w:r>
      <w:r w:rsidR="00DB3DC5" w:rsidRPr="00B2384D">
        <w:rPr>
          <w:rFonts w:eastAsia="Calibri" w:cs="Tahoma"/>
          <w:b/>
          <w:color w:val="auto"/>
        </w:rPr>
        <w:t>Respuesta</w:t>
      </w:r>
      <w:r w:rsidR="00DB3DC5" w:rsidRPr="00B2384D">
        <w:rPr>
          <w:rFonts w:eastAsia="Calibri" w:cs="Tahoma"/>
          <w:b/>
          <w:bCs/>
          <w:color w:val="auto"/>
        </w:rPr>
        <w:t xml:space="preserve"> del Sujeto Obligado</w:t>
      </w:r>
    </w:p>
    <w:p w14:paraId="6BDD54F7" w14:textId="77777777" w:rsidR="00345BB5" w:rsidRPr="00B2384D" w:rsidRDefault="00345BB5" w:rsidP="00BE0A81">
      <w:pPr>
        <w:spacing w:after="0" w:line="360" w:lineRule="auto"/>
        <w:contextualSpacing/>
        <w:rPr>
          <w:rFonts w:eastAsia="Calibri" w:cs="Tahoma"/>
          <w:b/>
          <w:bCs/>
          <w:color w:val="FF0000"/>
        </w:rPr>
      </w:pPr>
    </w:p>
    <w:p w14:paraId="25523817" w14:textId="3C6960A2" w:rsidR="00B73D3E" w:rsidRPr="00B2384D" w:rsidRDefault="00E7640F" w:rsidP="00BE0A81">
      <w:pPr>
        <w:pStyle w:val="Prrafodelista"/>
        <w:tabs>
          <w:tab w:val="left" w:pos="567"/>
        </w:tabs>
        <w:spacing w:after="0" w:line="360" w:lineRule="auto"/>
        <w:ind w:left="0"/>
        <w:rPr>
          <w:rFonts w:eastAsia="Times New Roman" w:cs="Tahoma"/>
          <w:color w:val="auto"/>
          <w:kern w:val="2"/>
          <w:lang w:eastAsia="es-ES"/>
          <w14:ligatures w14:val="standardContextual"/>
        </w:rPr>
      </w:pPr>
      <w:r w:rsidRPr="00B2384D">
        <w:rPr>
          <w:rFonts w:cs="Tahoma"/>
          <w:bCs/>
          <w:color w:val="auto"/>
          <w:lang w:val="es-ES_tradnl"/>
        </w:rPr>
        <w:t xml:space="preserve">El </w:t>
      </w:r>
      <w:r w:rsidR="00B73D3E" w:rsidRPr="00B2384D">
        <w:rPr>
          <w:rFonts w:cs="Tahoma"/>
          <w:bCs/>
          <w:color w:val="auto"/>
          <w:lang w:val="es-ES_tradnl"/>
        </w:rPr>
        <w:t xml:space="preserve">seis de noviembre de dos mil veinticuatro, </w:t>
      </w:r>
      <w:r w:rsidR="00345BB5" w:rsidRPr="00B2384D">
        <w:rPr>
          <w:rFonts w:cs="Tahoma"/>
          <w:bCs/>
          <w:color w:val="auto"/>
          <w:lang w:val="es-ES_tradnl"/>
        </w:rPr>
        <w:t>el</w:t>
      </w:r>
      <w:r w:rsidR="00345BB5" w:rsidRPr="00B2384D">
        <w:rPr>
          <w:color w:val="auto"/>
          <w:lang w:val="es-ES_tradnl"/>
        </w:rPr>
        <w:t xml:space="preserve"> </w:t>
      </w:r>
      <w:r w:rsidR="00755F06" w:rsidRPr="00B2384D">
        <w:rPr>
          <w:rFonts w:eastAsia="Calibri" w:cs="Tahoma"/>
          <w:color w:val="auto"/>
        </w:rPr>
        <w:t xml:space="preserve">Ayuntamiento de </w:t>
      </w:r>
      <w:r w:rsidR="00B73D3E" w:rsidRPr="00B2384D">
        <w:rPr>
          <w:rFonts w:eastAsia="Calibri" w:cs="Tahoma"/>
          <w:color w:val="auto"/>
        </w:rPr>
        <w:t>Naucalpan de Juárez</w:t>
      </w:r>
      <w:r w:rsidR="00345BB5" w:rsidRPr="00B2384D">
        <w:rPr>
          <w:rFonts w:cs="Tahoma"/>
          <w:bCs/>
          <w:color w:val="auto"/>
          <w:lang w:val="es-ES_tradnl"/>
        </w:rPr>
        <w:t xml:space="preserve">, notificó la respuesta a la solicitud, a través del Sistema de Acceso a la Información Mexiquense (SAIMEX), </w:t>
      </w:r>
      <w:bookmarkStart w:id="1" w:name="_Hlk101903429"/>
      <w:r w:rsidR="00E533C5" w:rsidRPr="00B2384D">
        <w:rPr>
          <w:rFonts w:eastAsia="Times New Roman" w:cs="Tahoma"/>
          <w:color w:val="auto"/>
          <w:kern w:val="2"/>
          <w:lang w:eastAsia="es-ES"/>
          <w14:ligatures w14:val="standardContextual"/>
        </w:rPr>
        <w:t xml:space="preserve">la respuesta a la solicitud de acceso a la información, </w:t>
      </w:r>
      <w:r w:rsidR="00B73D3E" w:rsidRPr="00B2384D">
        <w:rPr>
          <w:rFonts w:eastAsia="Times New Roman" w:cs="Tahoma"/>
          <w:color w:val="auto"/>
          <w:kern w:val="2"/>
          <w:lang w:eastAsia="es-ES"/>
          <w14:ligatures w14:val="standardContextual"/>
        </w:rPr>
        <w:t>a través de la digitalización de los siguientes documentos:</w:t>
      </w:r>
    </w:p>
    <w:p w14:paraId="31ACFAC6" w14:textId="77777777" w:rsidR="00B73D3E" w:rsidRPr="00B2384D" w:rsidRDefault="00B73D3E" w:rsidP="00BE0A81">
      <w:pPr>
        <w:pStyle w:val="Prrafodelista"/>
        <w:tabs>
          <w:tab w:val="left" w:pos="567"/>
        </w:tabs>
        <w:spacing w:after="0" w:line="360" w:lineRule="auto"/>
        <w:ind w:left="0"/>
        <w:rPr>
          <w:rFonts w:eastAsia="Times New Roman" w:cs="Tahoma"/>
          <w:color w:val="auto"/>
          <w:kern w:val="2"/>
          <w:lang w:eastAsia="es-ES"/>
          <w14:ligatures w14:val="standardContextual"/>
        </w:rPr>
      </w:pPr>
    </w:p>
    <w:p w14:paraId="2B3976A0" w14:textId="629CDB39" w:rsidR="00755F06" w:rsidRPr="00B2384D" w:rsidRDefault="00923292" w:rsidP="00BE0A81">
      <w:pPr>
        <w:pStyle w:val="Prrafodelista"/>
        <w:tabs>
          <w:tab w:val="left" w:pos="567"/>
        </w:tabs>
        <w:spacing w:after="0" w:line="360" w:lineRule="auto"/>
        <w:ind w:left="0"/>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i) Oficio TM/CJ/M/2271/2024 de fecha veintidós de octubre de dos mil veinticuatro, suscrito por el Tesorero Municipal, dirigido al Titular de la Unidad de Transparencia y Acceso a la Información Pública, por medio del cual se menciona lo siguiente</w:t>
      </w:r>
      <w:r w:rsidR="009A27B4" w:rsidRPr="00B2384D">
        <w:rPr>
          <w:rFonts w:eastAsia="Times New Roman" w:cs="Tahoma"/>
          <w:color w:val="auto"/>
          <w:kern w:val="2"/>
          <w:lang w:eastAsia="es-ES"/>
          <w14:ligatures w14:val="standardContextual"/>
        </w:rPr>
        <w:t>:</w:t>
      </w:r>
    </w:p>
    <w:p w14:paraId="09638301" w14:textId="4C723FB5" w:rsidR="00D34D1D" w:rsidRPr="00B2384D" w:rsidRDefault="00E533C5" w:rsidP="00BE0A81">
      <w:pPr>
        <w:autoSpaceDE w:val="0"/>
        <w:autoSpaceDN w:val="0"/>
        <w:adjustRightInd w:val="0"/>
        <w:spacing w:after="0" w:line="360" w:lineRule="auto"/>
        <w:ind w:left="567" w:right="567"/>
        <w:rPr>
          <w:rFonts w:cs="Tahoma"/>
          <w:bCs/>
          <w:i/>
          <w:iCs/>
          <w:color w:val="auto"/>
          <w:sz w:val="20"/>
          <w:szCs w:val="20"/>
          <w:lang w:val="es-ES_tradnl"/>
        </w:rPr>
      </w:pPr>
      <w:r w:rsidRPr="00B2384D">
        <w:rPr>
          <w:rFonts w:cs="Tahoma"/>
          <w:bCs/>
          <w:i/>
          <w:iCs/>
          <w:color w:val="auto"/>
          <w:sz w:val="20"/>
          <w:szCs w:val="20"/>
          <w:lang w:val="es-ES_tradnl"/>
        </w:rPr>
        <w:t>“</w:t>
      </w:r>
      <w:r w:rsidR="0008599E" w:rsidRPr="00B2384D">
        <w:rPr>
          <w:rFonts w:cs="Tahoma"/>
          <w:bCs/>
          <w:i/>
          <w:iCs/>
          <w:color w:val="auto"/>
          <w:sz w:val="20"/>
          <w:szCs w:val="20"/>
          <w:lang w:val="es-ES_tradnl"/>
        </w:rPr>
        <w:t xml:space="preserve">…Al respecto, y para los efectos precedentes, con fundamento en lo dispuesto por el artículo 23 fracción IV y demás preceptos relativos, vigentes y aplicables de la Ley de Transparencia y Acceso </w:t>
      </w:r>
      <w:r w:rsidR="0008599E" w:rsidRPr="00B2384D">
        <w:rPr>
          <w:rFonts w:cs="Tahoma"/>
          <w:bCs/>
          <w:i/>
          <w:iCs/>
          <w:color w:val="auto"/>
          <w:sz w:val="20"/>
          <w:szCs w:val="20"/>
          <w:lang w:val="es-ES_tradnl"/>
        </w:rPr>
        <w:lastRenderedPageBreak/>
        <w:t>a la Información Pública del Estado de México y Municipios, se informa que, este dependencia no genera la información solicitada, por lo que se sugiere remitir su solicitud a la Dirección General de Administración esto de conformidad con las atribuciones que le fueron establecidas en el Reglamento Orgánico de la Administración Pública Municipal de Naucalpan de Juárez, México.</w:t>
      </w:r>
    </w:p>
    <w:p w14:paraId="5602DE17" w14:textId="77777777" w:rsidR="0008599E" w:rsidRPr="00B2384D" w:rsidRDefault="0008599E" w:rsidP="00BE0A81">
      <w:pPr>
        <w:autoSpaceDE w:val="0"/>
        <w:autoSpaceDN w:val="0"/>
        <w:adjustRightInd w:val="0"/>
        <w:spacing w:after="0" w:line="360" w:lineRule="auto"/>
        <w:ind w:left="567" w:right="567"/>
        <w:rPr>
          <w:rFonts w:cs="Tahoma"/>
          <w:bCs/>
          <w:i/>
          <w:iCs/>
          <w:color w:val="auto"/>
          <w:sz w:val="20"/>
          <w:szCs w:val="20"/>
          <w:lang w:val="es-ES_tradnl"/>
        </w:rPr>
      </w:pPr>
    </w:p>
    <w:p w14:paraId="470F024E" w14:textId="51587491" w:rsidR="0008599E" w:rsidRPr="00B2384D" w:rsidRDefault="0008599E" w:rsidP="00BE0A81">
      <w:pPr>
        <w:autoSpaceDE w:val="0"/>
        <w:autoSpaceDN w:val="0"/>
        <w:adjustRightInd w:val="0"/>
        <w:spacing w:after="0" w:line="360" w:lineRule="auto"/>
        <w:ind w:left="567" w:right="567"/>
        <w:rPr>
          <w:rFonts w:cs="Tahoma"/>
          <w:bCs/>
          <w:i/>
          <w:iCs/>
          <w:color w:val="auto"/>
          <w:sz w:val="20"/>
          <w:szCs w:val="20"/>
          <w:lang w:val="es-ES_tradnl"/>
        </w:rPr>
      </w:pPr>
      <w:r w:rsidRPr="00B2384D">
        <w:rPr>
          <w:rFonts w:cs="Tahoma"/>
          <w:bCs/>
          <w:i/>
          <w:iCs/>
          <w:color w:val="auto"/>
          <w:sz w:val="20"/>
          <w:szCs w:val="20"/>
          <w:lang w:val="es-ES_tradnl"/>
        </w:rPr>
        <w:t>Lo anterior, con fundamento en el Artículo 12 de la Ley de Transparencia y Acceso a la Información Pública del Estado de México y Municipios, el cual dispone:</w:t>
      </w:r>
    </w:p>
    <w:p w14:paraId="00B82EA4" w14:textId="3FCDCF35" w:rsidR="0008599E" w:rsidRPr="00B2384D" w:rsidRDefault="00DF6528" w:rsidP="00BE0A81">
      <w:pPr>
        <w:autoSpaceDE w:val="0"/>
        <w:autoSpaceDN w:val="0"/>
        <w:adjustRightInd w:val="0"/>
        <w:spacing w:after="0" w:line="360" w:lineRule="auto"/>
        <w:ind w:left="567" w:right="567"/>
        <w:rPr>
          <w:rFonts w:cs="Tahoma"/>
          <w:i/>
          <w:iCs/>
          <w:color w:val="auto"/>
          <w:sz w:val="20"/>
          <w:szCs w:val="20"/>
          <w:u w:val="single"/>
          <w:lang w:val="es-ES_tradnl"/>
        </w:rPr>
      </w:pPr>
      <w:r w:rsidRPr="00B2384D">
        <w:t>…</w:t>
      </w:r>
    </w:p>
    <w:p w14:paraId="72309C84" w14:textId="39A9C2AB" w:rsidR="0064481A" w:rsidRPr="00B2384D" w:rsidRDefault="0064481A" w:rsidP="00BE0A81">
      <w:pPr>
        <w:autoSpaceDE w:val="0"/>
        <w:autoSpaceDN w:val="0"/>
        <w:adjustRightInd w:val="0"/>
        <w:spacing w:after="0" w:line="360" w:lineRule="auto"/>
        <w:ind w:left="567" w:right="567"/>
        <w:rPr>
          <w:rFonts w:cs="Tahoma"/>
          <w:bCs/>
          <w:i/>
          <w:iCs/>
          <w:color w:val="auto"/>
          <w:sz w:val="20"/>
          <w:szCs w:val="20"/>
          <w:lang w:val="es-ES_tradnl"/>
        </w:rPr>
      </w:pPr>
      <w:r w:rsidRPr="00B2384D">
        <w:rPr>
          <w:rFonts w:cs="Tahoma"/>
          <w:bCs/>
          <w:i/>
          <w:iCs/>
          <w:color w:val="auto"/>
          <w:sz w:val="20"/>
          <w:szCs w:val="20"/>
          <w:lang w:val="es-ES_tradnl"/>
        </w:rPr>
        <w:t>Sin otro particular le envío un cordial saludo, quedando a sus órdenes para cualquier duda o aclaración en relación con el contenido del presente…” (Sic)</w:t>
      </w:r>
    </w:p>
    <w:p w14:paraId="438BC960" w14:textId="77777777" w:rsidR="00826165" w:rsidRPr="00B2384D" w:rsidRDefault="00826165"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40413143" w14:textId="184C4311" w:rsidR="009B72F0" w:rsidRPr="00B2384D" w:rsidRDefault="00826165"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i</w:t>
      </w:r>
      <w:r w:rsidR="00B8305A" w:rsidRPr="00B2384D">
        <w:rPr>
          <w:rFonts w:eastAsia="Times New Roman" w:cs="Tahoma"/>
          <w:color w:val="auto"/>
          <w:kern w:val="2"/>
          <w:lang w:eastAsia="es-ES"/>
          <w14:ligatures w14:val="standardContextual"/>
        </w:rPr>
        <w:t>i) Escrito de fecha veinticuatro de octubre de dos mil veinticuatro, suscrito por el Subdirector de Recursos Humanos, por medio del cual se menciona lo siguiente:</w:t>
      </w:r>
    </w:p>
    <w:p w14:paraId="34B6EE0C" w14:textId="77777777" w:rsidR="00B8305A" w:rsidRPr="00B2384D" w:rsidRDefault="00B8305A"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40B5935B" w14:textId="2E4C6DEB" w:rsidR="00B8305A" w:rsidRPr="00B2384D" w:rsidRDefault="00B8305A" w:rsidP="00BE0A81">
      <w:pPr>
        <w:autoSpaceDE w:val="0"/>
        <w:autoSpaceDN w:val="0"/>
        <w:adjustRightInd w:val="0"/>
        <w:spacing w:after="0" w:line="360" w:lineRule="auto"/>
        <w:ind w:left="567" w:right="567"/>
        <w:rPr>
          <w:rFonts w:cs="Tahoma"/>
          <w:bCs/>
          <w:i/>
          <w:iCs/>
          <w:color w:val="auto"/>
          <w:sz w:val="20"/>
          <w:szCs w:val="20"/>
          <w:lang w:val="es-ES_tradnl"/>
        </w:rPr>
      </w:pPr>
      <w:r w:rsidRPr="00B2384D">
        <w:rPr>
          <w:rFonts w:cs="Tahoma"/>
          <w:bCs/>
          <w:i/>
          <w:iCs/>
          <w:color w:val="auto"/>
          <w:sz w:val="20"/>
          <w:szCs w:val="20"/>
          <w:lang w:val="es-ES_tradnl"/>
        </w:rPr>
        <w:t xml:space="preserve">“…Al respecto informamos que, después de llevar a cabo una búsqueda exhaustiva y razonable en los archivos físicos y electrónicos que obran en la Subdirección de Recursos Humanos y con fundamento en el Artículo 12 de la Ley de Transparencia y Acceso a la Información Pública del Estado de México y Municipios. Se adjunta el documento denominado </w:t>
      </w:r>
      <w:r w:rsidRPr="00B2384D">
        <w:rPr>
          <w:rFonts w:cs="Tahoma"/>
          <w:b/>
          <w:bCs/>
          <w:i/>
          <w:iCs/>
          <w:color w:val="auto"/>
          <w:sz w:val="20"/>
          <w:szCs w:val="20"/>
          <w:lang w:val="es-ES_tradnl"/>
        </w:rPr>
        <w:t xml:space="preserve">“Reporte OSFEM, hoja de NÓMINA correspondiente a la 1RA 2DA. QNA. De octubre, noviembre y diciembre de 2021”, </w:t>
      </w:r>
      <w:r w:rsidR="00DA33F4" w:rsidRPr="00B2384D">
        <w:rPr>
          <w:rFonts w:cs="Tahoma"/>
          <w:bCs/>
          <w:i/>
          <w:iCs/>
          <w:color w:val="auto"/>
          <w:sz w:val="20"/>
          <w:szCs w:val="20"/>
          <w:lang w:val="es-ES_tradnl"/>
        </w:rPr>
        <w:t xml:space="preserve">mismo que contiene la información que atiende a la solicitud presentada; en su versión pública, autorizada en la </w:t>
      </w:r>
      <w:r w:rsidR="00DA33F4" w:rsidRPr="00B2384D">
        <w:rPr>
          <w:rFonts w:cs="Tahoma"/>
          <w:b/>
          <w:bCs/>
          <w:i/>
          <w:iCs/>
          <w:color w:val="auto"/>
          <w:sz w:val="20"/>
          <w:szCs w:val="20"/>
          <w:lang w:val="es-ES_tradnl"/>
        </w:rPr>
        <w:t xml:space="preserve">CUADRAGÉSIMA SESIÓN EXTRAORDINARIA, </w:t>
      </w:r>
      <w:r w:rsidR="00DA33F4" w:rsidRPr="00B2384D">
        <w:rPr>
          <w:rFonts w:cs="Tahoma"/>
          <w:bCs/>
          <w:i/>
          <w:iCs/>
          <w:color w:val="auto"/>
          <w:sz w:val="20"/>
          <w:szCs w:val="20"/>
          <w:lang w:val="es-ES_tradnl"/>
        </w:rPr>
        <w:t xml:space="preserve">del Comité de Transparencia, bajo el número de acuerdo </w:t>
      </w:r>
      <w:r w:rsidR="00DA33F4" w:rsidRPr="00B2384D">
        <w:rPr>
          <w:rFonts w:cs="Tahoma"/>
          <w:b/>
          <w:bCs/>
          <w:i/>
          <w:iCs/>
          <w:color w:val="auto"/>
          <w:sz w:val="20"/>
          <w:szCs w:val="20"/>
          <w:lang w:val="es-ES_tradnl"/>
        </w:rPr>
        <w:t>CT/NAU/ACT</w:t>
      </w:r>
      <w:r w:rsidR="00156198" w:rsidRPr="00B2384D">
        <w:rPr>
          <w:rFonts w:cs="Tahoma"/>
          <w:b/>
          <w:bCs/>
          <w:i/>
          <w:iCs/>
          <w:color w:val="auto"/>
          <w:sz w:val="20"/>
          <w:szCs w:val="20"/>
          <w:lang w:val="es-ES_tradnl"/>
        </w:rPr>
        <w:t xml:space="preserve">A-EXT-0040/2024/00254. </w:t>
      </w:r>
      <w:r w:rsidR="00156198" w:rsidRPr="00B2384D">
        <w:rPr>
          <w:rFonts w:cs="Tahoma"/>
          <w:bCs/>
          <w:i/>
          <w:iCs/>
          <w:color w:val="auto"/>
          <w:sz w:val="20"/>
          <w:szCs w:val="20"/>
          <w:lang w:val="es-ES_tradnl"/>
        </w:rPr>
        <w:t>…” (Sic)</w:t>
      </w:r>
    </w:p>
    <w:p w14:paraId="4977E3C2" w14:textId="77777777" w:rsidR="00630C2B" w:rsidRPr="00B2384D" w:rsidRDefault="00630C2B"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0C22399B" w14:textId="4B36696B" w:rsidR="00630C2B" w:rsidRPr="00B2384D" w:rsidRDefault="00630C2B"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 xml:space="preserve">iii) </w:t>
      </w:r>
      <w:r w:rsidR="00F32534" w:rsidRPr="00B2384D">
        <w:rPr>
          <w:rFonts w:eastAsia="Times New Roman" w:cs="Tahoma"/>
          <w:color w:val="auto"/>
          <w:kern w:val="2"/>
          <w:lang w:eastAsia="es-ES"/>
          <w14:ligatures w14:val="standardContextual"/>
        </w:rPr>
        <w:t>Conciliación de Nómina de la primer quincena de octubre de dos mil veintiuno.</w:t>
      </w:r>
    </w:p>
    <w:p w14:paraId="559759E6" w14:textId="77777777" w:rsidR="00A61CF3" w:rsidRPr="00B2384D" w:rsidRDefault="00A61CF3"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2A60A259" w14:textId="6E4E3B5D" w:rsidR="00A61CF3" w:rsidRPr="00B2384D" w:rsidRDefault="00A61CF3"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iv) Conciliación de Nómina de la segunda quincena de octubre de dos mil veintiuno.</w:t>
      </w:r>
    </w:p>
    <w:p w14:paraId="11F4861D" w14:textId="0F4B44B4" w:rsidR="00A61CF3" w:rsidRPr="00B2384D" w:rsidRDefault="00A61CF3"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77201081" w14:textId="66A60B01" w:rsidR="009C780D" w:rsidRPr="00B2384D" w:rsidRDefault="009C780D"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 xml:space="preserve">v) Conciliación de Nómina </w:t>
      </w:r>
      <w:r w:rsidR="00440905" w:rsidRPr="00B2384D">
        <w:rPr>
          <w:rFonts w:eastAsia="Times New Roman" w:cs="Tahoma"/>
          <w:color w:val="auto"/>
          <w:kern w:val="2"/>
          <w:lang w:eastAsia="es-ES"/>
          <w14:ligatures w14:val="standardContextual"/>
        </w:rPr>
        <w:t>de la primer quincena de noviembre</w:t>
      </w:r>
      <w:r w:rsidRPr="00B2384D">
        <w:rPr>
          <w:rFonts w:eastAsia="Times New Roman" w:cs="Tahoma"/>
          <w:color w:val="auto"/>
          <w:kern w:val="2"/>
          <w:lang w:eastAsia="es-ES"/>
          <w14:ligatures w14:val="standardContextual"/>
        </w:rPr>
        <w:t xml:space="preserve"> de dos mil veintiuno.</w:t>
      </w:r>
    </w:p>
    <w:p w14:paraId="01145776" w14:textId="77777777" w:rsidR="0019597A" w:rsidRPr="00B2384D" w:rsidRDefault="0019597A"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3FF0F2FA" w14:textId="6F0E245F" w:rsidR="0019597A" w:rsidRPr="00B2384D" w:rsidRDefault="0019597A"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vi) Conciliación de Nómina de la segunda quincena de noviembre de dos mil veintiuno.</w:t>
      </w:r>
    </w:p>
    <w:p w14:paraId="76E160A1" w14:textId="77777777" w:rsidR="007833B4" w:rsidRPr="00B2384D" w:rsidRDefault="007833B4"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7728E4E0" w14:textId="32A3B163" w:rsidR="007833B4" w:rsidRPr="00B2384D" w:rsidRDefault="001D0897"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v</w:t>
      </w:r>
      <w:r w:rsidR="007833B4" w:rsidRPr="00B2384D">
        <w:rPr>
          <w:rFonts w:eastAsia="Times New Roman" w:cs="Tahoma"/>
          <w:color w:val="auto"/>
          <w:kern w:val="2"/>
          <w:lang w:eastAsia="es-ES"/>
          <w14:ligatures w14:val="standardContextual"/>
        </w:rPr>
        <w:t>ii) Conciliación de Nómina de la primer quincena de diciembre de dos mil veintiuno.</w:t>
      </w:r>
    </w:p>
    <w:p w14:paraId="41D3E8CC" w14:textId="77777777" w:rsidR="001D0897" w:rsidRPr="00B2384D" w:rsidRDefault="001D0897"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p>
    <w:p w14:paraId="39BDCFA6" w14:textId="77ACC20D" w:rsidR="001D0897" w:rsidRPr="00B2384D" w:rsidRDefault="001D0897" w:rsidP="00BE0A81">
      <w:pPr>
        <w:autoSpaceDE w:val="0"/>
        <w:autoSpaceDN w:val="0"/>
        <w:adjustRightInd w:val="0"/>
        <w:spacing w:after="0" w:line="360" w:lineRule="auto"/>
        <w:ind w:right="567"/>
        <w:rPr>
          <w:rFonts w:eastAsia="Times New Roman" w:cs="Tahoma"/>
          <w:color w:val="auto"/>
          <w:kern w:val="2"/>
          <w:lang w:eastAsia="es-ES"/>
          <w14:ligatures w14:val="standardContextual"/>
        </w:rPr>
      </w:pPr>
      <w:r w:rsidRPr="00B2384D">
        <w:rPr>
          <w:rFonts w:eastAsia="Times New Roman" w:cs="Tahoma"/>
          <w:color w:val="auto"/>
          <w:kern w:val="2"/>
          <w:lang w:eastAsia="es-ES"/>
          <w14:ligatures w14:val="standardContextual"/>
        </w:rPr>
        <w:t>viii) Conciliación de Nómina de la segunda quincena de diciembre de dos mil veintiuno.</w:t>
      </w:r>
    </w:p>
    <w:bookmarkEnd w:id="1"/>
    <w:p w14:paraId="05B832BD" w14:textId="77777777" w:rsidR="00755F06" w:rsidRPr="00B2384D" w:rsidRDefault="00755F06" w:rsidP="00BE0A81">
      <w:pPr>
        <w:autoSpaceDE w:val="0"/>
        <w:autoSpaceDN w:val="0"/>
        <w:adjustRightInd w:val="0"/>
        <w:spacing w:after="0" w:line="360" w:lineRule="auto"/>
        <w:contextualSpacing/>
        <w:rPr>
          <w:rFonts w:cs="Tahoma"/>
          <w:color w:val="FF0000"/>
        </w:rPr>
      </w:pPr>
    </w:p>
    <w:p w14:paraId="6867D521" w14:textId="2E251E8C" w:rsidR="00DB3DC5" w:rsidRPr="00B2384D" w:rsidRDefault="00DB3DC5" w:rsidP="00BE0A81">
      <w:pPr>
        <w:autoSpaceDE w:val="0"/>
        <w:autoSpaceDN w:val="0"/>
        <w:adjustRightInd w:val="0"/>
        <w:spacing w:after="0" w:line="360" w:lineRule="auto"/>
        <w:contextualSpacing/>
        <w:rPr>
          <w:rFonts w:eastAsia="Calibri" w:cs="Tahoma"/>
          <w:b/>
          <w:color w:val="auto"/>
        </w:rPr>
      </w:pPr>
      <w:r w:rsidRPr="00B2384D">
        <w:rPr>
          <w:rFonts w:eastAsia="Calibri" w:cs="Tahoma"/>
          <w:b/>
          <w:color w:val="auto"/>
        </w:rPr>
        <w:t>I</w:t>
      </w:r>
      <w:r w:rsidR="003B7C65" w:rsidRPr="00B2384D">
        <w:rPr>
          <w:rFonts w:eastAsia="Calibri" w:cs="Tahoma"/>
          <w:b/>
          <w:color w:val="auto"/>
        </w:rPr>
        <w:t>V</w:t>
      </w:r>
      <w:r w:rsidRPr="00B2384D">
        <w:rPr>
          <w:rFonts w:eastAsia="Calibri" w:cs="Tahoma"/>
          <w:b/>
          <w:color w:val="auto"/>
        </w:rPr>
        <w:t>. Interposición del Recurso de Revisión</w:t>
      </w:r>
    </w:p>
    <w:p w14:paraId="72683D89" w14:textId="77777777" w:rsidR="00DB3DC5" w:rsidRPr="00B2384D" w:rsidRDefault="00DB3DC5" w:rsidP="00BE0A81">
      <w:pPr>
        <w:spacing w:after="0" w:line="360" w:lineRule="auto"/>
        <w:contextualSpacing/>
        <w:rPr>
          <w:rFonts w:eastAsia="Times New Roman" w:cs="Tahoma"/>
          <w:bCs/>
          <w:color w:val="FF0000"/>
          <w:lang w:eastAsia="es-ES"/>
        </w:rPr>
      </w:pPr>
    </w:p>
    <w:p w14:paraId="383A8105" w14:textId="6314569C" w:rsidR="00DB3DC5" w:rsidRPr="00B2384D" w:rsidRDefault="00E7640F" w:rsidP="00BE0A81">
      <w:pPr>
        <w:widowControl w:val="0"/>
        <w:spacing w:after="0" w:line="360" w:lineRule="auto"/>
        <w:contextualSpacing/>
        <w:rPr>
          <w:rFonts w:eastAsia="Calibri" w:cs="Times New Roman"/>
          <w:bCs/>
          <w:color w:val="auto"/>
        </w:rPr>
      </w:pPr>
      <w:r w:rsidRPr="00B2384D">
        <w:rPr>
          <w:rFonts w:eastAsia="Calibri" w:cs="Times New Roman"/>
          <w:bCs/>
          <w:color w:val="auto"/>
        </w:rPr>
        <w:t xml:space="preserve">El </w:t>
      </w:r>
      <w:r w:rsidR="003B7C65" w:rsidRPr="00B2384D">
        <w:rPr>
          <w:rFonts w:eastAsia="Calibri" w:cs="Times New Roman"/>
          <w:bCs/>
          <w:color w:val="auto"/>
        </w:rPr>
        <w:t xml:space="preserve">seis de noviembre de dos mil veinticuatro, </w:t>
      </w:r>
      <w:r w:rsidR="00DB3DC5" w:rsidRPr="00B2384D">
        <w:rPr>
          <w:rFonts w:eastAsia="Calibri" w:cs="Times New Roman"/>
          <w:bCs/>
          <w:color w:val="auto"/>
          <w:lang w:val="es-ES"/>
        </w:rPr>
        <w:t xml:space="preserve">se recibió en este Instituto, a través del Sistema de Acceso a la Información Mexiquense (SAIMEX), </w:t>
      </w:r>
      <w:r w:rsidR="00002991" w:rsidRPr="00B2384D">
        <w:rPr>
          <w:rFonts w:eastAsia="Calibri" w:cs="Times New Roman"/>
          <w:bCs/>
          <w:color w:val="auto"/>
          <w:lang w:val="es-ES"/>
        </w:rPr>
        <w:t>el</w:t>
      </w:r>
      <w:r w:rsidR="006A0867" w:rsidRPr="00B2384D">
        <w:rPr>
          <w:rFonts w:eastAsia="Calibri" w:cs="Times New Roman"/>
          <w:bCs/>
          <w:color w:val="auto"/>
          <w:lang w:val="es-ES"/>
        </w:rPr>
        <w:t xml:space="preserve"> </w:t>
      </w:r>
      <w:r w:rsidR="00DB3DC5" w:rsidRPr="00B2384D">
        <w:rPr>
          <w:rFonts w:eastAsia="Calibri" w:cs="Times New Roman"/>
          <w:bCs/>
          <w:color w:val="auto"/>
          <w:lang w:val="es-ES"/>
        </w:rPr>
        <w:t>Recurso de Revisión interpuesto por la parte Recurrente, en contra de la respuesta del Sujeto Obligado</w:t>
      </w:r>
      <w:r w:rsidR="003B3DC8" w:rsidRPr="00B2384D">
        <w:rPr>
          <w:rFonts w:eastAsia="Calibri" w:cs="Times New Roman"/>
          <w:b/>
          <w:bCs/>
          <w:color w:val="auto"/>
        </w:rPr>
        <w:t>,</w:t>
      </w:r>
      <w:r w:rsidR="00DB3DC5" w:rsidRPr="00B2384D">
        <w:rPr>
          <w:rFonts w:eastAsia="Calibri" w:cs="Times New Roman"/>
          <w:bCs/>
          <w:color w:val="auto"/>
        </w:rPr>
        <w:t xml:space="preserve"> </w:t>
      </w:r>
      <w:r w:rsidR="00DB3DC5" w:rsidRPr="00B2384D">
        <w:rPr>
          <w:rFonts w:eastAsia="Times New Roman" w:cs="Tahoma"/>
          <w:bCs/>
          <w:color w:val="auto"/>
          <w:lang w:val="es-ES" w:eastAsia="es-ES"/>
        </w:rPr>
        <w:t>en los siguientes términos:</w:t>
      </w:r>
    </w:p>
    <w:p w14:paraId="5950CAFC" w14:textId="77777777" w:rsidR="00B678B6" w:rsidRPr="00B2384D" w:rsidRDefault="00B678B6" w:rsidP="00BE0A81">
      <w:pPr>
        <w:tabs>
          <w:tab w:val="left" w:pos="4667"/>
        </w:tabs>
        <w:spacing w:after="0" w:line="360" w:lineRule="auto"/>
        <w:ind w:left="567" w:right="567"/>
        <w:contextualSpacing/>
        <w:rPr>
          <w:rFonts w:cs="Tahoma"/>
          <w:b/>
          <w:bCs/>
          <w:i/>
          <w:color w:val="auto"/>
          <w:sz w:val="20"/>
          <w:szCs w:val="20"/>
        </w:rPr>
      </w:pPr>
    </w:p>
    <w:p w14:paraId="0E422949" w14:textId="77777777" w:rsidR="006A0867" w:rsidRPr="00B2384D" w:rsidRDefault="006A0867" w:rsidP="00BE0A81">
      <w:pPr>
        <w:spacing w:after="0" w:line="360" w:lineRule="auto"/>
        <w:ind w:left="567" w:right="567"/>
        <w:contextualSpacing/>
        <w:rPr>
          <w:rFonts w:cs="Tahoma"/>
          <w:b/>
          <w:bCs/>
          <w:i/>
          <w:color w:val="auto"/>
          <w:sz w:val="20"/>
          <w:szCs w:val="20"/>
        </w:rPr>
      </w:pPr>
      <w:r w:rsidRPr="00B2384D">
        <w:rPr>
          <w:rFonts w:cs="Tahoma"/>
          <w:b/>
          <w:bCs/>
          <w:i/>
          <w:color w:val="auto"/>
          <w:sz w:val="20"/>
          <w:szCs w:val="20"/>
        </w:rPr>
        <w:t>“ACTO IMPUGNADO</w:t>
      </w:r>
    </w:p>
    <w:p w14:paraId="199F28DE" w14:textId="347EAA92" w:rsidR="006A0867" w:rsidRPr="00B2384D" w:rsidRDefault="00D34D1D" w:rsidP="00BE0A81">
      <w:pPr>
        <w:tabs>
          <w:tab w:val="left" w:pos="4667"/>
        </w:tabs>
        <w:spacing w:after="0" w:line="360" w:lineRule="auto"/>
        <w:ind w:left="567" w:right="567"/>
        <w:rPr>
          <w:rFonts w:cs="Tahoma"/>
          <w:bCs/>
          <w:i/>
          <w:color w:val="auto"/>
          <w:sz w:val="20"/>
          <w:szCs w:val="20"/>
        </w:rPr>
      </w:pPr>
      <w:r w:rsidRPr="00B2384D">
        <w:rPr>
          <w:i/>
          <w:iCs/>
          <w:color w:val="auto"/>
          <w:sz w:val="20"/>
          <w:szCs w:val="20"/>
        </w:rPr>
        <w:t xml:space="preserve">Respuesta </w:t>
      </w:r>
      <w:r w:rsidR="003B7C65" w:rsidRPr="00B2384D">
        <w:rPr>
          <w:i/>
          <w:iCs/>
          <w:color w:val="auto"/>
          <w:sz w:val="20"/>
          <w:szCs w:val="20"/>
        </w:rPr>
        <w:t>emitida</w:t>
      </w:r>
      <w:r w:rsidR="00C56B80" w:rsidRPr="00B2384D">
        <w:rPr>
          <w:i/>
          <w:iCs/>
          <w:color w:val="auto"/>
          <w:sz w:val="20"/>
          <w:szCs w:val="20"/>
        </w:rPr>
        <w:t>“</w:t>
      </w:r>
    </w:p>
    <w:p w14:paraId="349885DE" w14:textId="77777777" w:rsidR="006A0867" w:rsidRPr="00B2384D" w:rsidRDefault="006A0867" w:rsidP="00BE0A81">
      <w:pPr>
        <w:tabs>
          <w:tab w:val="left" w:pos="4667"/>
        </w:tabs>
        <w:spacing w:after="0" w:line="360" w:lineRule="auto"/>
        <w:ind w:left="567" w:right="567"/>
        <w:rPr>
          <w:rFonts w:cs="Tahoma"/>
          <w:bCs/>
          <w:i/>
          <w:color w:val="auto"/>
          <w:sz w:val="20"/>
          <w:szCs w:val="20"/>
        </w:rPr>
      </w:pPr>
    </w:p>
    <w:p w14:paraId="09EF88BF" w14:textId="77777777" w:rsidR="006A0867" w:rsidRPr="00B2384D" w:rsidRDefault="006A0867" w:rsidP="00BE0A81">
      <w:pPr>
        <w:tabs>
          <w:tab w:val="left" w:pos="4667"/>
        </w:tabs>
        <w:spacing w:after="0" w:line="360" w:lineRule="auto"/>
        <w:ind w:left="567" w:right="567"/>
        <w:rPr>
          <w:rFonts w:cs="Tahoma"/>
          <w:b/>
          <w:bCs/>
          <w:i/>
          <w:color w:val="auto"/>
          <w:sz w:val="20"/>
          <w:szCs w:val="20"/>
        </w:rPr>
      </w:pPr>
      <w:r w:rsidRPr="00B2384D">
        <w:rPr>
          <w:rFonts w:cs="Tahoma"/>
          <w:b/>
          <w:bCs/>
          <w:i/>
          <w:color w:val="auto"/>
          <w:sz w:val="20"/>
          <w:szCs w:val="20"/>
        </w:rPr>
        <w:t>“RAZONES O MOTIVOS DE LA INCONFORMIDAD</w:t>
      </w:r>
    </w:p>
    <w:p w14:paraId="7A627801" w14:textId="74162522" w:rsidR="003B7C65" w:rsidRPr="00B2384D" w:rsidRDefault="003B7C65" w:rsidP="00BE0A81">
      <w:pPr>
        <w:tabs>
          <w:tab w:val="left" w:pos="4667"/>
        </w:tabs>
        <w:spacing w:after="0" w:line="360" w:lineRule="auto"/>
        <w:ind w:left="567" w:right="567"/>
        <w:rPr>
          <w:i/>
          <w:iCs/>
          <w:color w:val="auto"/>
          <w:sz w:val="20"/>
          <w:szCs w:val="20"/>
        </w:rPr>
      </w:pPr>
      <w:r w:rsidRPr="00B2384D">
        <w:rPr>
          <w:i/>
          <w:iCs/>
          <w:color w:val="auto"/>
          <w:sz w:val="20"/>
          <w:szCs w:val="20"/>
        </w:rPr>
        <w:t xml:space="preserve">Faltan las dispersiones de nómina y el formato de la conciliación de nómina no permite identificar cual es el total de percepciones y los servidores públicos a quien le corresponde dicho concepto. “ </w:t>
      </w:r>
    </w:p>
    <w:p w14:paraId="3D16C2D3" w14:textId="77777777" w:rsidR="00DB3DC5" w:rsidRPr="00B2384D" w:rsidRDefault="00DB3DC5" w:rsidP="00BE0A81">
      <w:pPr>
        <w:spacing w:after="0" w:line="360" w:lineRule="auto"/>
        <w:contextualSpacing/>
        <w:rPr>
          <w:rFonts w:eastAsia="Times New Roman" w:cs="Tahoma"/>
          <w:bCs/>
          <w:color w:val="FF0000"/>
          <w:sz w:val="20"/>
          <w:szCs w:val="20"/>
          <w:lang w:eastAsia="es-ES"/>
        </w:rPr>
      </w:pPr>
    </w:p>
    <w:p w14:paraId="2D3CE335" w14:textId="393E06D1" w:rsidR="00DB3DC5" w:rsidRPr="00B2384D" w:rsidRDefault="000727FB" w:rsidP="00BE0A81">
      <w:pPr>
        <w:spacing w:after="0" w:line="360" w:lineRule="auto"/>
        <w:contextualSpacing/>
        <w:rPr>
          <w:rFonts w:eastAsia="Batang" w:cs="Tahoma"/>
          <w:b/>
          <w:bCs/>
          <w:color w:val="auto"/>
        </w:rPr>
      </w:pPr>
      <w:r w:rsidRPr="00B2384D">
        <w:rPr>
          <w:rFonts w:eastAsia="Calibri" w:cs="Tahoma"/>
          <w:b/>
          <w:color w:val="auto"/>
        </w:rPr>
        <w:t>I</w:t>
      </w:r>
      <w:r w:rsidR="00DB3DC5" w:rsidRPr="00B2384D">
        <w:rPr>
          <w:rFonts w:eastAsia="Calibri" w:cs="Tahoma"/>
          <w:b/>
          <w:color w:val="auto"/>
        </w:rPr>
        <w:t xml:space="preserve">V. </w:t>
      </w:r>
      <w:r w:rsidR="00DB3DC5" w:rsidRPr="00B2384D">
        <w:rPr>
          <w:rFonts w:eastAsia="Batang" w:cs="Tahoma"/>
          <w:b/>
          <w:bCs/>
          <w:color w:val="auto"/>
        </w:rPr>
        <w:t>Trámite del Recurso de Revisión</w:t>
      </w:r>
      <w:r w:rsidR="00DB3DC5" w:rsidRPr="00B2384D">
        <w:rPr>
          <w:rFonts w:eastAsia="Calibri" w:cs="Tahoma"/>
          <w:b/>
          <w:color w:val="auto"/>
        </w:rPr>
        <w:t xml:space="preserve"> </w:t>
      </w:r>
      <w:r w:rsidR="003B7C65" w:rsidRPr="00B2384D">
        <w:rPr>
          <w:rFonts w:eastAsia="Batang" w:cs="Tahoma"/>
          <w:b/>
          <w:bCs/>
          <w:color w:val="auto"/>
        </w:rPr>
        <w:t>ante este Instituto</w:t>
      </w:r>
    </w:p>
    <w:p w14:paraId="13E537D5" w14:textId="77777777" w:rsidR="00DB3DC5" w:rsidRPr="00B2384D" w:rsidRDefault="00DB3DC5" w:rsidP="00BE0A81">
      <w:pPr>
        <w:spacing w:after="0" w:line="360" w:lineRule="auto"/>
        <w:contextualSpacing/>
        <w:rPr>
          <w:rFonts w:eastAsia="Batang" w:cs="Tahoma"/>
          <w:b/>
          <w:bCs/>
          <w:color w:val="auto"/>
        </w:rPr>
      </w:pPr>
    </w:p>
    <w:p w14:paraId="5B9B961B" w14:textId="7006D4AB" w:rsidR="00DB3DC5" w:rsidRPr="00B2384D" w:rsidRDefault="00DB3DC5" w:rsidP="00BE0A81">
      <w:pPr>
        <w:spacing w:after="0" w:line="360" w:lineRule="auto"/>
        <w:contextualSpacing/>
        <w:rPr>
          <w:rFonts w:eastAsia="Batang" w:cs="Tahoma"/>
          <w:bCs/>
          <w:color w:val="auto"/>
        </w:rPr>
      </w:pPr>
      <w:r w:rsidRPr="00B2384D">
        <w:rPr>
          <w:rFonts w:eastAsia="Batang" w:cs="Tahoma"/>
          <w:b/>
          <w:bCs/>
          <w:color w:val="auto"/>
        </w:rPr>
        <w:t xml:space="preserve">a) Turno del Medio de Impugnación. </w:t>
      </w:r>
      <w:r w:rsidRPr="00B2384D">
        <w:rPr>
          <w:rFonts w:eastAsia="Batang" w:cs="Tahoma"/>
          <w:bCs/>
          <w:color w:val="auto"/>
        </w:rPr>
        <w:t xml:space="preserve">El </w:t>
      </w:r>
      <w:r w:rsidR="003B7C65" w:rsidRPr="00B2384D">
        <w:rPr>
          <w:rFonts w:eastAsia="Batang" w:cs="Tahoma"/>
          <w:bCs/>
          <w:color w:val="auto"/>
        </w:rPr>
        <w:t xml:space="preserve">seis de noviembre de dos mil veinticuatro, </w:t>
      </w:r>
      <w:r w:rsidRPr="00B2384D">
        <w:rPr>
          <w:rFonts w:eastAsia="Batang" w:cs="Tahoma"/>
          <w:bCs/>
          <w:color w:val="auto"/>
        </w:rPr>
        <w:t xml:space="preserve">el </w:t>
      </w:r>
      <w:r w:rsidRPr="00B2384D">
        <w:rPr>
          <w:rFonts w:eastAsia="Calibri" w:cs="Tahoma"/>
          <w:color w:val="auto"/>
          <w:lang w:val="es-ES"/>
        </w:rPr>
        <w:t>Sistema de Acceso a la Información Mexiquense (SAIMEX),</w:t>
      </w:r>
      <w:r w:rsidRPr="00B2384D">
        <w:rPr>
          <w:rFonts w:eastAsia="Batang" w:cs="Tahoma"/>
          <w:bCs/>
          <w:color w:val="auto"/>
        </w:rPr>
        <w:t xml:space="preserve"> </w:t>
      </w:r>
      <w:r w:rsidR="0089704B" w:rsidRPr="00B2384D">
        <w:rPr>
          <w:rFonts w:eastAsia="Batang" w:cs="Tahoma"/>
          <w:bCs/>
          <w:color w:val="auto"/>
          <w:lang w:val="es-ES_tradnl"/>
        </w:rPr>
        <w:t xml:space="preserve">asignó </w:t>
      </w:r>
      <w:r w:rsidR="0003316E" w:rsidRPr="00B2384D">
        <w:rPr>
          <w:rFonts w:eastAsia="Batang" w:cs="Tahoma"/>
          <w:bCs/>
          <w:color w:val="auto"/>
          <w:lang w:val="es-ES_tradnl"/>
        </w:rPr>
        <w:t>el</w:t>
      </w:r>
      <w:r w:rsidR="0089704B" w:rsidRPr="00B2384D">
        <w:rPr>
          <w:rFonts w:eastAsia="Batang" w:cs="Tahoma"/>
          <w:bCs/>
          <w:color w:val="auto"/>
          <w:lang w:val="es-ES_tradnl"/>
        </w:rPr>
        <w:t xml:space="preserve"> número de expediente </w:t>
      </w:r>
      <w:bookmarkStart w:id="2" w:name="_Hlk118200734"/>
      <w:r w:rsidR="0089704B" w:rsidRPr="00B2384D">
        <w:rPr>
          <w:rFonts w:eastAsia="Batang" w:cs="Tahoma"/>
          <w:b/>
          <w:color w:val="auto"/>
          <w:lang w:val="es-ES_tradnl"/>
        </w:rPr>
        <w:t>0</w:t>
      </w:r>
      <w:r w:rsidR="003B7C65" w:rsidRPr="00B2384D">
        <w:rPr>
          <w:rFonts w:eastAsia="Batang" w:cs="Tahoma"/>
          <w:b/>
          <w:color w:val="auto"/>
          <w:lang w:val="es-ES_tradnl"/>
        </w:rPr>
        <w:t>7101</w:t>
      </w:r>
      <w:r w:rsidR="0089704B" w:rsidRPr="00B2384D">
        <w:rPr>
          <w:rFonts w:eastAsia="Batang" w:cs="Tahoma"/>
          <w:b/>
          <w:color w:val="auto"/>
          <w:lang w:val="es-ES_tradnl"/>
        </w:rPr>
        <w:t>/INFOEM/IP/RR/202</w:t>
      </w:r>
      <w:bookmarkEnd w:id="2"/>
      <w:r w:rsidR="003B7C65" w:rsidRPr="00B2384D">
        <w:rPr>
          <w:rFonts w:eastAsia="Batang" w:cs="Tahoma"/>
          <w:b/>
          <w:color w:val="auto"/>
          <w:lang w:val="es-ES_tradnl"/>
        </w:rPr>
        <w:t>4</w:t>
      </w:r>
      <w:r w:rsidRPr="00B2384D">
        <w:rPr>
          <w:rFonts w:eastAsia="Batang" w:cs="Tahoma"/>
          <w:bCs/>
          <w:color w:val="auto"/>
        </w:rPr>
        <w:t xml:space="preserve">, al Medio de Impugnación que nos ocupa, con base en el sistema </w:t>
      </w:r>
      <w:r w:rsidRPr="00B2384D">
        <w:rPr>
          <w:rFonts w:eastAsia="Batang" w:cs="Tahoma"/>
          <w:bCs/>
          <w:color w:val="auto"/>
        </w:rPr>
        <w:lastRenderedPageBreak/>
        <w:t xml:space="preserve">aprobado por el Pleno de este Órgano Garante y lo turnó al </w:t>
      </w:r>
      <w:r w:rsidRPr="00B2384D">
        <w:rPr>
          <w:rFonts w:eastAsia="Batang" w:cs="Tahoma"/>
          <w:b/>
          <w:color w:val="auto"/>
        </w:rPr>
        <w:t>Comisionado Ponente Luis Gustavo Parra Noriega</w:t>
      </w:r>
      <w:r w:rsidRPr="00B2384D">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B2384D" w:rsidRDefault="00DB3DC5" w:rsidP="00BE0A81">
      <w:pPr>
        <w:spacing w:after="0" w:line="360" w:lineRule="auto"/>
        <w:contextualSpacing/>
        <w:rPr>
          <w:rFonts w:eastAsia="Batang" w:cs="Tahoma"/>
          <w:bCs/>
          <w:color w:val="FF0000"/>
        </w:rPr>
      </w:pPr>
    </w:p>
    <w:p w14:paraId="2B3B5A4B" w14:textId="13D4868F" w:rsidR="00DB3DC5" w:rsidRPr="00B2384D" w:rsidRDefault="00DB3DC5" w:rsidP="00BE0A81">
      <w:pPr>
        <w:spacing w:after="0" w:line="360" w:lineRule="auto"/>
        <w:contextualSpacing/>
        <w:rPr>
          <w:rFonts w:eastAsia="Times New Roman" w:cs="Tahoma"/>
          <w:bCs/>
          <w:color w:val="auto"/>
          <w:lang w:val="es-ES_tradnl" w:eastAsia="es-ES"/>
        </w:rPr>
      </w:pPr>
      <w:r w:rsidRPr="00B2384D">
        <w:rPr>
          <w:rFonts w:eastAsia="Times New Roman" w:cs="Tahoma"/>
          <w:b/>
          <w:bCs/>
          <w:color w:val="auto"/>
          <w:lang w:eastAsia="es-ES"/>
        </w:rPr>
        <w:t>b) Admisión de</w:t>
      </w:r>
      <w:r w:rsidR="00EA3D68" w:rsidRPr="00B2384D">
        <w:rPr>
          <w:rFonts w:eastAsia="Times New Roman" w:cs="Tahoma"/>
          <w:b/>
          <w:bCs/>
          <w:color w:val="auto"/>
          <w:lang w:eastAsia="es-ES"/>
        </w:rPr>
        <w:t>l</w:t>
      </w:r>
      <w:r w:rsidRPr="00B2384D">
        <w:rPr>
          <w:rFonts w:eastAsia="Times New Roman" w:cs="Tahoma"/>
          <w:b/>
          <w:bCs/>
          <w:color w:val="auto"/>
          <w:lang w:eastAsia="es-ES"/>
        </w:rPr>
        <w:t xml:space="preserve"> Recurso de Revisión</w:t>
      </w:r>
      <w:r w:rsidRPr="00B2384D">
        <w:rPr>
          <w:rFonts w:eastAsia="Times New Roman" w:cs="Tahoma"/>
          <w:b/>
          <w:bCs/>
          <w:color w:val="auto"/>
          <w:lang w:val="es-ES_tradnl" w:eastAsia="es-ES"/>
        </w:rPr>
        <w:t xml:space="preserve">. </w:t>
      </w:r>
      <w:r w:rsidRPr="00B2384D">
        <w:rPr>
          <w:rFonts w:eastAsia="Times New Roman" w:cs="Tahoma"/>
          <w:bCs/>
          <w:color w:val="auto"/>
          <w:lang w:val="es-ES_tradnl" w:eastAsia="es-ES"/>
        </w:rPr>
        <w:t xml:space="preserve">El </w:t>
      </w:r>
      <w:r w:rsidR="00D4098D" w:rsidRPr="00B2384D">
        <w:rPr>
          <w:rFonts w:eastAsia="Times New Roman" w:cs="Tahoma"/>
          <w:bCs/>
          <w:color w:val="auto"/>
          <w:lang w:val="es-ES_tradnl" w:eastAsia="es-ES"/>
        </w:rPr>
        <w:t>once de noviembre de dos mil veinticuatro</w:t>
      </w:r>
      <w:r w:rsidRPr="00B2384D">
        <w:rPr>
          <w:rFonts w:eastAsia="Times New Roman" w:cs="Tahoma"/>
          <w:bCs/>
          <w:color w:val="auto"/>
          <w:lang w:val="es-ES_tradnl" w:eastAsia="es-ES"/>
        </w:rPr>
        <w:t>, se acordó la admisión de</w:t>
      </w:r>
      <w:r w:rsidR="0003316E" w:rsidRPr="00B2384D">
        <w:rPr>
          <w:rFonts w:eastAsia="Times New Roman" w:cs="Tahoma"/>
          <w:bCs/>
          <w:color w:val="auto"/>
          <w:lang w:val="es-ES_tradnl" w:eastAsia="es-ES"/>
        </w:rPr>
        <w:t>l</w:t>
      </w:r>
      <w:r w:rsidRPr="00B2384D">
        <w:rPr>
          <w:rFonts w:eastAsia="Times New Roman" w:cs="Tahoma"/>
          <w:bCs/>
          <w:color w:val="auto"/>
          <w:lang w:val="es-ES_tradnl" w:eastAsia="es-ES"/>
        </w:rPr>
        <w:t xml:space="preserve"> Recurso de Revisión interpuesto por </w:t>
      </w:r>
      <w:r w:rsidR="0003316E" w:rsidRPr="00B2384D">
        <w:rPr>
          <w:rFonts w:eastAsia="Times New Roman" w:cs="Tahoma"/>
          <w:bCs/>
          <w:color w:val="auto"/>
          <w:lang w:val="es-ES_tradnl" w:eastAsia="es-ES"/>
        </w:rPr>
        <w:t>el</w:t>
      </w:r>
      <w:r w:rsidRPr="00B2384D">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B2384D">
        <w:rPr>
          <w:rFonts w:eastAsia="Times New Roman" w:cs="Tahoma"/>
          <w:bCs/>
          <w:color w:val="auto"/>
          <w:lang w:val="es-ES_tradnl" w:eastAsia="es-ES"/>
        </w:rPr>
        <w:t>el</w:t>
      </w:r>
      <w:r w:rsidRPr="00B2384D">
        <w:rPr>
          <w:rFonts w:eastAsia="Times New Roman" w:cs="Tahoma"/>
          <w:bCs/>
          <w:color w:val="auto"/>
          <w:lang w:val="es-ES_tradnl" w:eastAsia="es-ES"/>
        </w:rPr>
        <w:t xml:space="preserve"> cual fue debidamente notificado a las partes el</w:t>
      </w:r>
      <w:r w:rsidR="00153BC9" w:rsidRPr="00B2384D">
        <w:rPr>
          <w:rFonts w:eastAsia="Times New Roman" w:cs="Tahoma"/>
          <w:bCs/>
          <w:color w:val="auto"/>
          <w:lang w:val="es-ES_tradnl" w:eastAsia="es-ES"/>
        </w:rPr>
        <w:t xml:space="preserve"> </w:t>
      </w:r>
      <w:r w:rsidR="00D34D1D" w:rsidRPr="00B2384D">
        <w:rPr>
          <w:rFonts w:eastAsia="Times New Roman" w:cs="Tahoma"/>
          <w:bCs/>
          <w:color w:val="auto"/>
          <w:lang w:val="es-ES_tradnl" w:eastAsia="es-ES"/>
        </w:rPr>
        <w:t>mismo día</w:t>
      </w:r>
      <w:r w:rsidRPr="00B2384D">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B2384D" w:rsidRDefault="00DB3DC5" w:rsidP="00BE0A81">
      <w:pPr>
        <w:spacing w:after="0" w:line="360" w:lineRule="auto"/>
        <w:contextualSpacing/>
        <w:rPr>
          <w:rFonts w:cs="Tahoma"/>
          <w:color w:val="FF0000"/>
        </w:rPr>
      </w:pPr>
    </w:p>
    <w:p w14:paraId="57D6452D" w14:textId="300EA9EA" w:rsidR="005B3A44" w:rsidRPr="00B2384D" w:rsidRDefault="00EA3D68" w:rsidP="00BE0A81">
      <w:pPr>
        <w:spacing w:after="0" w:line="360" w:lineRule="auto"/>
        <w:rPr>
          <w:rFonts w:cs="Tahoma"/>
          <w:bCs/>
          <w:iCs/>
          <w:color w:val="auto"/>
          <w:lang w:val="es-ES"/>
        </w:rPr>
      </w:pPr>
      <w:r w:rsidRPr="00B2384D">
        <w:rPr>
          <w:rFonts w:cs="Tahoma"/>
          <w:b/>
          <w:color w:val="auto"/>
        </w:rPr>
        <w:t xml:space="preserve">c) </w:t>
      </w:r>
      <w:r w:rsidRPr="00B2384D">
        <w:rPr>
          <w:rFonts w:cs="Tahoma"/>
          <w:b/>
          <w:bCs/>
          <w:iCs/>
          <w:color w:val="auto"/>
          <w:lang w:val="es-ES"/>
        </w:rPr>
        <w:t>Informe Justificado</w:t>
      </w:r>
      <w:r w:rsidR="009524E1" w:rsidRPr="00B2384D">
        <w:rPr>
          <w:rFonts w:cs="Tahoma"/>
          <w:b/>
          <w:bCs/>
          <w:iCs/>
          <w:color w:val="auto"/>
          <w:lang w:val="es-ES"/>
        </w:rPr>
        <w:t>.</w:t>
      </w:r>
      <w:r w:rsidR="00FF36C9" w:rsidRPr="00B2384D">
        <w:rPr>
          <w:rFonts w:cs="Tahoma"/>
          <w:b/>
          <w:bCs/>
          <w:iCs/>
          <w:color w:val="auto"/>
          <w:lang w:val="es-ES"/>
        </w:rPr>
        <w:t xml:space="preserve"> </w:t>
      </w:r>
      <w:r w:rsidR="005B3A44" w:rsidRPr="00B2384D">
        <w:rPr>
          <w:rFonts w:cs="Tahoma"/>
          <w:bCs/>
          <w:iCs/>
          <w:color w:val="auto"/>
          <w:lang w:val="es-ES"/>
        </w:rPr>
        <w:t xml:space="preserve">El </w:t>
      </w:r>
      <w:r w:rsidR="004A4B8C" w:rsidRPr="00B2384D">
        <w:rPr>
          <w:rFonts w:cs="Tahoma"/>
          <w:bCs/>
          <w:iCs/>
          <w:color w:val="auto"/>
          <w:lang w:val="es-ES"/>
        </w:rPr>
        <w:t>catorce de noviembre de dos  mil veinticuatro</w:t>
      </w:r>
      <w:r w:rsidR="00FF36C9" w:rsidRPr="00B2384D">
        <w:rPr>
          <w:color w:val="auto"/>
        </w:rPr>
        <w:t xml:space="preserve">, </w:t>
      </w:r>
      <w:r w:rsidR="00E533C5" w:rsidRPr="00B2384D">
        <w:rPr>
          <w:rFonts w:eastAsia="Calibri" w:cs="Tahoma"/>
          <w:bCs/>
          <w:iCs/>
          <w:color w:val="auto"/>
          <w:lang w:val="es-ES"/>
        </w:rPr>
        <w:t>se recibió, a través de Sistema de Acceso a la Información Mexiquense (SAIMEX), el Informe Justificado del Sujeto Obligado</w:t>
      </w:r>
      <w:r w:rsidR="004A4B8C" w:rsidRPr="00B2384D">
        <w:rPr>
          <w:rFonts w:eastAsia="Calibri" w:cs="Tahoma"/>
          <w:bCs/>
          <w:iCs/>
          <w:color w:val="auto"/>
          <w:lang w:val="es-ES"/>
        </w:rPr>
        <w:t>, mediante la digitalización del oficio número DGA/CEJ/7143/2024 de fecha doce de noviembre de dos mil veinticuatro, suscrito por el Director General de Administración, dirigido al Titular de la Unidad de Transparencia y Acceso a la Información Pública, por medio del cual s</w:t>
      </w:r>
      <w:r w:rsidR="00217AD9" w:rsidRPr="00B2384D">
        <w:rPr>
          <w:rFonts w:eastAsia="Calibri" w:cs="Tahoma"/>
          <w:bCs/>
          <w:iCs/>
          <w:color w:val="auto"/>
          <w:lang w:val="es-ES"/>
        </w:rPr>
        <w:t>e ratificó la respuesta primigenia.</w:t>
      </w:r>
    </w:p>
    <w:p w14:paraId="3D995611" w14:textId="77777777" w:rsidR="002F4DB6" w:rsidRPr="00B2384D" w:rsidRDefault="002F4DB6" w:rsidP="00BE0A81">
      <w:pPr>
        <w:spacing w:after="0" w:line="360" w:lineRule="auto"/>
        <w:rPr>
          <w:rFonts w:cs="Tahoma"/>
          <w:bCs/>
          <w:iCs/>
          <w:color w:val="auto"/>
          <w:lang w:val="es-ES"/>
        </w:rPr>
      </w:pPr>
    </w:p>
    <w:p w14:paraId="21F6FFAC" w14:textId="1042F9CE" w:rsidR="001E6DCA" w:rsidRPr="00B2384D" w:rsidRDefault="002F4DB6" w:rsidP="00BE0A81">
      <w:pPr>
        <w:autoSpaceDE w:val="0"/>
        <w:autoSpaceDN w:val="0"/>
        <w:adjustRightInd w:val="0"/>
        <w:spacing w:after="0" w:line="360" w:lineRule="auto"/>
        <w:rPr>
          <w:rFonts w:eastAsia="Times New Roman" w:cs="Tahoma"/>
          <w:color w:val="auto"/>
          <w:lang w:eastAsia="es-ES"/>
        </w:rPr>
      </w:pPr>
      <w:r w:rsidRPr="00B2384D">
        <w:rPr>
          <w:rFonts w:cs="Tahoma"/>
          <w:b/>
          <w:color w:val="auto"/>
        </w:rPr>
        <w:t>d</w:t>
      </w:r>
      <w:r w:rsidR="001E6DCA" w:rsidRPr="00B2384D">
        <w:rPr>
          <w:rFonts w:cs="Tahoma"/>
          <w:b/>
          <w:color w:val="auto"/>
        </w:rPr>
        <w:t xml:space="preserve">) </w:t>
      </w:r>
      <w:r w:rsidR="001E6DCA" w:rsidRPr="00B2384D">
        <w:rPr>
          <w:rFonts w:eastAsia="Times New Roman" w:cs="Tahoma"/>
          <w:b/>
          <w:bCs/>
          <w:color w:val="auto"/>
          <w:lang w:eastAsia="es-ES"/>
        </w:rPr>
        <w:t xml:space="preserve">Vista del informe Justificado. </w:t>
      </w:r>
      <w:r w:rsidR="001E6DCA" w:rsidRPr="00B2384D">
        <w:rPr>
          <w:rFonts w:eastAsia="Times New Roman" w:cs="Tahoma"/>
          <w:color w:val="auto"/>
          <w:lang w:eastAsia="es-ES"/>
        </w:rPr>
        <w:t xml:space="preserve">El </w:t>
      </w:r>
      <w:r w:rsidRPr="00B2384D">
        <w:rPr>
          <w:rFonts w:eastAsia="Times New Roman" w:cs="Tahoma"/>
          <w:color w:val="auto"/>
          <w:lang w:eastAsia="es-ES"/>
        </w:rPr>
        <w:t>veintisiete de noviembre de dos mil veinticuatro</w:t>
      </w:r>
      <w:r w:rsidR="001E6DCA" w:rsidRPr="00B2384D">
        <w:rPr>
          <w:rFonts w:eastAsia="Times New Roman" w:cs="Tahoma"/>
          <w:color w:val="auto"/>
          <w:lang w:eastAsia="es-ES"/>
        </w:rPr>
        <w:t xml:space="preserve">, se dictó acuerdo por medio del cual </w:t>
      </w:r>
      <w:r w:rsidR="001E6DCA" w:rsidRPr="00B2384D">
        <w:rPr>
          <w:rFonts w:eastAsia="Times New Roman" w:cs="Tahoma"/>
          <w:bCs/>
          <w:color w:val="auto"/>
          <w:lang w:eastAsia="es-ES"/>
        </w:rPr>
        <w:t>se puso a la vista del Recurrente el Informe Justificado</w:t>
      </w:r>
      <w:r w:rsidR="001E6DCA" w:rsidRPr="00B2384D">
        <w:rPr>
          <w:rFonts w:eastAsia="Times New Roman" w:cs="Tahoma"/>
          <w:b/>
          <w:bCs/>
          <w:color w:val="auto"/>
          <w:lang w:eastAsia="es-ES"/>
        </w:rPr>
        <w:t xml:space="preserve"> </w:t>
      </w:r>
      <w:r w:rsidR="001E6DCA" w:rsidRPr="00B2384D">
        <w:rPr>
          <w:rFonts w:eastAsia="Times New Roman" w:cs="Tahoma"/>
          <w:color w:val="auto"/>
          <w:lang w:eastAsia="es-ES"/>
        </w:rPr>
        <w:t xml:space="preserve">entregado por el Sujeto Obligado, el cual fue notificado a las partes, a través del Sistema de Acceso a la Información Mexiquense (SAIMEX), el mismo día. </w:t>
      </w:r>
      <w:r w:rsidR="001E6DCA" w:rsidRPr="00B2384D">
        <w:rPr>
          <w:rFonts w:eastAsia="Times New Roman" w:cs="Tahoma"/>
          <w:b/>
          <w:color w:val="auto"/>
          <w:lang w:eastAsia="es-ES"/>
        </w:rPr>
        <w:t>Cabe señalar que el Particular fue omiso en realizar manifestación alguna.</w:t>
      </w:r>
    </w:p>
    <w:p w14:paraId="4F3AE884" w14:textId="77777777" w:rsidR="001E6DCA" w:rsidRPr="00B2384D" w:rsidRDefault="001E6DCA" w:rsidP="00BE0A81">
      <w:pPr>
        <w:spacing w:after="0" w:line="360" w:lineRule="auto"/>
        <w:contextualSpacing/>
        <w:rPr>
          <w:rFonts w:eastAsia="Calibri" w:cs="Tahoma"/>
          <w:bCs/>
          <w:color w:val="FF0000"/>
        </w:rPr>
      </w:pPr>
    </w:p>
    <w:p w14:paraId="403F7296" w14:textId="341F8177" w:rsidR="00DB3DC5" w:rsidRPr="00B2384D" w:rsidRDefault="002F4DB6" w:rsidP="00BE0A81">
      <w:pPr>
        <w:autoSpaceDE w:val="0"/>
        <w:autoSpaceDN w:val="0"/>
        <w:adjustRightInd w:val="0"/>
        <w:spacing w:after="0" w:line="360" w:lineRule="auto"/>
        <w:ind w:right="-28"/>
        <w:contextualSpacing/>
        <w:rPr>
          <w:rFonts w:eastAsia="Times New Roman" w:cs="Tahoma"/>
          <w:color w:val="auto"/>
          <w:szCs w:val="24"/>
          <w:lang w:eastAsia="es-ES"/>
        </w:rPr>
      </w:pPr>
      <w:r w:rsidRPr="00B2384D">
        <w:rPr>
          <w:rFonts w:eastAsia="Times New Roman" w:cs="Tahoma"/>
          <w:b/>
          <w:color w:val="auto"/>
          <w:szCs w:val="24"/>
          <w:lang w:eastAsia="es-ES"/>
        </w:rPr>
        <w:lastRenderedPageBreak/>
        <w:t>e</w:t>
      </w:r>
      <w:r w:rsidR="0014339D" w:rsidRPr="00B2384D">
        <w:rPr>
          <w:rFonts w:eastAsia="Times New Roman" w:cs="Tahoma"/>
          <w:b/>
          <w:color w:val="auto"/>
          <w:szCs w:val="24"/>
          <w:lang w:eastAsia="es-ES"/>
        </w:rPr>
        <w:t xml:space="preserve">) </w:t>
      </w:r>
      <w:r w:rsidR="00DB3DC5" w:rsidRPr="00B2384D">
        <w:rPr>
          <w:rFonts w:eastAsia="Times New Roman" w:cs="Tahoma"/>
          <w:b/>
          <w:color w:val="auto"/>
          <w:szCs w:val="24"/>
          <w:lang w:eastAsia="es-ES"/>
        </w:rPr>
        <w:t>Cierre de instrucción.</w:t>
      </w:r>
      <w:r w:rsidR="00DB3DC5" w:rsidRPr="00B2384D">
        <w:rPr>
          <w:rFonts w:eastAsia="Times New Roman" w:cs="Tahoma"/>
          <w:color w:val="auto"/>
          <w:szCs w:val="24"/>
          <w:lang w:eastAsia="es-ES"/>
        </w:rPr>
        <w:t xml:space="preserve"> El</w:t>
      </w:r>
      <w:r w:rsidRPr="00B2384D">
        <w:rPr>
          <w:rFonts w:eastAsia="Times New Roman" w:cs="Tahoma"/>
          <w:color w:val="auto"/>
          <w:szCs w:val="24"/>
          <w:lang w:eastAsia="es-ES"/>
        </w:rPr>
        <w:t xml:space="preserve"> tres de diciembre de </w:t>
      </w:r>
      <w:r w:rsidR="00C46EBE" w:rsidRPr="00B2384D">
        <w:rPr>
          <w:rFonts w:eastAsia="Times New Roman" w:cs="Tahoma"/>
          <w:color w:val="auto"/>
          <w:szCs w:val="24"/>
          <w:lang w:eastAsia="es-ES"/>
        </w:rPr>
        <w:t>dos mil veinticuatro</w:t>
      </w:r>
      <w:r w:rsidR="00DB3DC5" w:rsidRPr="00B2384D">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B2384D">
        <w:rPr>
          <w:rFonts w:eastAsia="Times New Roman" w:cs="Tahoma"/>
          <w:color w:val="auto"/>
          <w:szCs w:val="20"/>
          <w:lang w:val="es-ES" w:eastAsia="es-ES"/>
        </w:rPr>
        <w:t>Sistema de Acceso a la Información Mexiquense (SAIMEX)</w:t>
      </w:r>
      <w:r w:rsidR="00DB3DC5" w:rsidRPr="00B2384D">
        <w:rPr>
          <w:rFonts w:eastAsia="Times New Roman" w:cs="Tahoma"/>
          <w:color w:val="auto"/>
          <w:szCs w:val="24"/>
          <w:lang w:eastAsia="es-ES"/>
        </w:rPr>
        <w:t xml:space="preserve">. </w:t>
      </w:r>
    </w:p>
    <w:p w14:paraId="44D053F7" w14:textId="77777777" w:rsidR="0014339D" w:rsidRPr="00B2384D" w:rsidRDefault="0014339D" w:rsidP="00BE0A81">
      <w:pPr>
        <w:autoSpaceDE w:val="0"/>
        <w:autoSpaceDN w:val="0"/>
        <w:adjustRightInd w:val="0"/>
        <w:spacing w:after="0" w:line="360" w:lineRule="auto"/>
        <w:ind w:right="-28"/>
        <w:contextualSpacing/>
        <w:rPr>
          <w:rFonts w:eastAsia="Calibri" w:cs="Tahoma"/>
          <w:bCs/>
          <w:color w:val="FF0000"/>
        </w:rPr>
      </w:pPr>
    </w:p>
    <w:p w14:paraId="5D1BB03E" w14:textId="77777777" w:rsidR="00DB3DC5" w:rsidRPr="00B2384D" w:rsidRDefault="00DB3DC5" w:rsidP="00BE0A81">
      <w:pPr>
        <w:spacing w:after="0" w:line="360" w:lineRule="auto"/>
        <w:contextualSpacing/>
        <w:rPr>
          <w:rFonts w:eastAsia="Times New Roman" w:cs="Tahoma"/>
          <w:color w:val="auto"/>
          <w:szCs w:val="24"/>
          <w:lang w:eastAsia="es-ES"/>
        </w:rPr>
      </w:pPr>
      <w:r w:rsidRPr="00B2384D">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B2384D" w:rsidRDefault="00DB3DC5" w:rsidP="00BE0A81">
      <w:pPr>
        <w:spacing w:after="0" w:line="360" w:lineRule="auto"/>
        <w:contextualSpacing/>
        <w:rPr>
          <w:rFonts w:eastAsia="Times New Roman" w:cs="Tahoma"/>
          <w:b/>
          <w:color w:val="auto"/>
          <w:lang w:val="es-ES" w:eastAsia="es-ES"/>
        </w:rPr>
      </w:pPr>
    </w:p>
    <w:p w14:paraId="1AD6FB2C" w14:textId="70D22417" w:rsidR="00DB3DC5" w:rsidRPr="00B2384D" w:rsidRDefault="002F4DB6" w:rsidP="00BE0A81">
      <w:pPr>
        <w:spacing w:after="0" w:line="360" w:lineRule="auto"/>
        <w:contextualSpacing/>
        <w:jc w:val="center"/>
        <w:rPr>
          <w:rFonts w:eastAsia="Times New Roman" w:cs="Tahoma"/>
          <w:b/>
          <w:color w:val="auto"/>
          <w:lang w:val="es-ES" w:eastAsia="es-ES"/>
        </w:rPr>
      </w:pPr>
      <w:r w:rsidRPr="00B2384D">
        <w:rPr>
          <w:rFonts w:eastAsia="Times New Roman" w:cs="Tahoma"/>
          <w:b/>
          <w:color w:val="auto"/>
          <w:lang w:val="es-ES" w:eastAsia="es-ES"/>
        </w:rPr>
        <w:t>C O N S I D E R A N D O S</w:t>
      </w:r>
    </w:p>
    <w:p w14:paraId="446E7524" w14:textId="77777777" w:rsidR="00DB3DC5" w:rsidRPr="00B2384D" w:rsidRDefault="00DB3DC5" w:rsidP="00BE0A81">
      <w:pPr>
        <w:spacing w:after="0" w:line="360" w:lineRule="auto"/>
        <w:contextualSpacing/>
        <w:jc w:val="center"/>
        <w:rPr>
          <w:rFonts w:eastAsia="Times New Roman" w:cs="Tahoma"/>
          <w:b/>
          <w:color w:val="auto"/>
          <w:lang w:val="es-ES" w:eastAsia="es-ES"/>
        </w:rPr>
      </w:pPr>
    </w:p>
    <w:p w14:paraId="5C90BBB8" w14:textId="7210A1F1" w:rsidR="00DB3DC5" w:rsidRPr="00B2384D" w:rsidRDefault="00DB3DC5" w:rsidP="00BE0A81">
      <w:pPr>
        <w:autoSpaceDE w:val="0"/>
        <w:autoSpaceDN w:val="0"/>
        <w:adjustRightInd w:val="0"/>
        <w:spacing w:after="0" w:line="360" w:lineRule="auto"/>
        <w:contextualSpacing/>
        <w:rPr>
          <w:rFonts w:eastAsia="Times New Roman" w:cs="Tahoma"/>
          <w:b/>
          <w:color w:val="auto"/>
          <w:szCs w:val="24"/>
          <w:lang w:val="es-ES" w:eastAsia="es-ES"/>
        </w:rPr>
      </w:pPr>
      <w:r w:rsidRPr="00B2384D">
        <w:rPr>
          <w:rFonts w:eastAsia="Calibri" w:cs="Tahoma"/>
          <w:b/>
          <w:color w:val="auto"/>
          <w:szCs w:val="24"/>
          <w:lang w:val="es-ES" w:eastAsia="es-MX"/>
        </w:rPr>
        <w:t>PRIMERO</w:t>
      </w:r>
      <w:r w:rsidRPr="00B2384D">
        <w:rPr>
          <w:rFonts w:eastAsia="Calibri" w:cs="Tahoma"/>
          <w:color w:val="auto"/>
          <w:szCs w:val="24"/>
          <w:lang w:val="es-ES" w:eastAsia="es-MX"/>
        </w:rPr>
        <w:t xml:space="preserve">. </w:t>
      </w:r>
      <w:r w:rsidR="002F4DB6" w:rsidRPr="00B2384D">
        <w:rPr>
          <w:rFonts w:eastAsia="Times New Roman" w:cs="Tahoma"/>
          <w:b/>
          <w:color w:val="auto"/>
          <w:szCs w:val="24"/>
          <w:lang w:val="es-ES" w:eastAsia="es-ES"/>
        </w:rPr>
        <w:t>Competencia</w:t>
      </w:r>
    </w:p>
    <w:p w14:paraId="377E7349" w14:textId="77777777" w:rsidR="00DB3DC5" w:rsidRPr="00B2384D" w:rsidRDefault="00DB3DC5" w:rsidP="00BE0A81">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B2384D" w:rsidRDefault="00DB3DC5" w:rsidP="00BE0A81">
      <w:pPr>
        <w:spacing w:after="0" w:line="360" w:lineRule="auto"/>
        <w:contextualSpacing/>
        <w:rPr>
          <w:rFonts w:eastAsia="Times New Roman" w:cs="Tahoma"/>
          <w:bCs/>
          <w:color w:val="auto"/>
          <w:lang w:eastAsia="es-ES"/>
        </w:rPr>
      </w:pPr>
      <w:bookmarkStart w:id="3" w:name="_Hlk63334754"/>
      <w:r w:rsidRPr="00B2384D">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B2384D">
        <w:rPr>
          <w:rFonts w:eastAsia="Times New Roman" w:cs="Tahoma"/>
          <w:bCs/>
          <w:color w:val="auto"/>
          <w:lang w:eastAsia="es-ES"/>
        </w:rPr>
        <w:t xml:space="preserve"> segundo</w:t>
      </w:r>
      <w:r w:rsidRPr="00B2384D">
        <w:rPr>
          <w:rFonts w:eastAsia="Times New Roman" w:cs="Tahoma"/>
          <w:bCs/>
          <w:color w:val="auto"/>
          <w:lang w:eastAsia="es-ES"/>
        </w:rPr>
        <w:t xml:space="preserve">, trigésimo </w:t>
      </w:r>
      <w:r w:rsidR="003905B1" w:rsidRPr="00B2384D">
        <w:rPr>
          <w:rFonts w:eastAsia="Times New Roman" w:cs="Tahoma"/>
          <w:bCs/>
          <w:color w:val="auto"/>
          <w:lang w:eastAsia="es-ES"/>
        </w:rPr>
        <w:t>tercero</w:t>
      </w:r>
      <w:r w:rsidRPr="00B2384D">
        <w:rPr>
          <w:rFonts w:eastAsia="Times New Roman" w:cs="Tahoma"/>
          <w:bCs/>
          <w:color w:val="auto"/>
          <w:lang w:eastAsia="es-ES"/>
        </w:rPr>
        <w:t xml:space="preserve"> y trigésimo </w:t>
      </w:r>
      <w:r w:rsidR="003905B1" w:rsidRPr="00B2384D">
        <w:rPr>
          <w:rFonts w:eastAsia="Times New Roman" w:cs="Tahoma"/>
          <w:bCs/>
          <w:color w:val="auto"/>
          <w:lang w:eastAsia="es-ES"/>
        </w:rPr>
        <w:t>cuarto</w:t>
      </w:r>
      <w:r w:rsidRPr="00B2384D">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B2384D">
        <w:rPr>
          <w:rFonts w:eastAsia="Times New Roman" w:cs="Times New Roman"/>
          <w:bCs/>
          <w:color w:val="auto"/>
          <w:lang w:eastAsia="es-ES"/>
        </w:rPr>
        <w:t xml:space="preserve"> 7°, </w:t>
      </w:r>
      <w:r w:rsidRPr="00B2384D">
        <w:rPr>
          <w:rFonts w:eastAsia="Times New Roman" w:cs="Tahoma"/>
          <w:bCs/>
          <w:color w:val="auto"/>
          <w:lang w:eastAsia="es-ES"/>
        </w:rPr>
        <w:t xml:space="preserve">9°, fracciones I y XXIII y 11 del Reglamento Interior del Instituto de </w:t>
      </w:r>
      <w:r w:rsidRPr="00B2384D">
        <w:rPr>
          <w:rFonts w:eastAsia="Times New Roman" w:cs="Tahoma"/>
          <w:bCs/>
          <w:color w:val="auto"/>
          <w:lang w:eastAsia="es-ES"/>
        </w:rPr>
        <w:lastRenderedPageBreak/>
        <w:t>Transparencia, Acceso a la Información Pública y Protección de Datos Personales del Estado de México y Municipios.</w:t>
      </w:r>
      <w:bookmarkEnd w:id="3"/>
    </w:p>
    <w:p w14:paraId="34F007D6" w14:textId="77777777" w:rsidR="00DB3DC5" w:rsidRPr="00B2384D" w:rsidRDefault="00DB3DC5" w:rsidP="00BE0A81">
      <w:pPr>
        <w:autoSpaceDE w:val="0"/>
        <w:autoSpaceDN w:val="0"/>
        <w:adjustRightInd w:val="0"/>
        <w:spacing w:after="0" w:line="360" w:lineRule="auto"/>
        <w:contextualSpacing/>
        <w:rPr>
          <w:rFonts w:eastAsia="Calibri" w:cs="Tahoma"/>
          <w:b/>
          <w:color w:val="FF0000"/>
          <w:szCs w:val="24"/>
          <w:lang w:val="es-ES" w:eastAsia="es-MX"/>
        </w:rPr>
      </w:pPr>
    </w:p>
    <w:p w14:paraId="77696DE3" w14:textId="3E83C705" w:rsidR="00DB3DC5" w:rsidRPr="00B2384D" w:rsidRDefault="00DB3DC5" w:rsidP="00BE0A81">
      <w:pPr>
        <w:autoSpaceDE w:val="0"/>
        <w:autoSpaceDN w:val="0"/>
        <w:adjustRightInd w:val="0"/>
        <w:spacing w:after="0" w:line="360" w:lineRule="auto"/>
        <w:contextualSpacing/>
        <w:rPr>
          <w:rFonts w:eastAsia="Times New Roman" w:cs="Tahoma"/>
          <w:color w:val="auto"/>
          <w:szCs w:val="24"/>
          <w:lang w:val="es-ES" w:eastAsia="es-ES"/>
        </w:rPr>
      </w:pPr>
      <w:r w:rsidRPr="00B2384D">
        <w:rPr>
          <w:rFonts w:eastAsia="Calibri" w:cs="Tahoma"/>
          <w:b/>
          <w:color w:val="auto"/>
          <w:szCs w:val="24"/>
          <w:lang w:val="es-ES" w:eastAsia="es-MX"/>
        </w:rPr>
        <w:t>SEGUNDO</w:t>
      </w:r>
      <w:r w:rsidRPr="00B2384D">
        <w:rPr>
          <w:rFonts w:eastAsia="Calibri" w:cs="Tahoma"/>
          <w:color w:val="auto"/>
          <w:szCs w:val="24"/>
          <w:lang w:val="es-ES" w:eastAsia="es-MX"/>
        </w:rPr>
        <w:t xml:space="preserve">. </w:t>
      </w:r>
      <w:r w:rsidRPr="00B2384D">
        <w:rPr>
          <w:rFonts w:eastAsia="Times New Roman" w:cs="Tahoma"/>
          <w:b/>
          <w:color w:val="auto"/>
          <w:szCs w:val="24"/>
          <w:lang w:val="es-ES" w:eastAsia="es-ES"/>
        </w:rPr>
        <w:t>Causales de</w:t>
      </w:r>
      <w:r w:rsidR="002F4DB6" w:rsidRPr="00B2384D">
        <w:rPr>
          <w:rFonts w:eastAsia="Times New Roman" w:cs="Tahoma"/>
          <w:b/>
          <w:color w:val="auto"/>
          <w:szCs w:val="24"/>
          <w:lang w:val="es-ES" w:eastAsia="es-ES"/>
        </w:rPr>
        <w:t xml:space="preserve"> improcedencia y sobreseimiento</w:t>
      </w:r>
    </w:p>
    <w:p w14:paraId="22A992CE" w14:textId="77777777" w:rsidR="00DB3DC5" w:rsidRPr="00B2384D" w:rsidRDefault="00DB3DC5" w:rsidP="00BE0A81">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B2384D" w:rsidRDefault="00DB3DC5" w:rsidP="00BE0A81">
      <w:pPr>
        <w:autoSpaceDE w:val="0"/>
        <w:autoSpaceDN w:val="0"/>
        <w:adjustRightInd w:val="0"/>
        <w:spacing w:after="0" w:line="360" w:lineRule="auto"/>
        <w:contextualSpacing/>
        <w:rPr>
          <w:rFonts w:eastAsia="Times New Roman" w:cs="Tahoma"/>
          <w:color w:val="auto"/>
          <w:szCs w:val="24"/>
          <w:lang w:val="es-ES" w:eastAsia="es-ES"/>
        </w:rPr>
      </w:pPr>
      <w:r w:rsidRPr="00B2384D">
        <w:rPr>
          <w:rFonts w:eastAsia="Times New Roman" w:cs="Tahoma"/>
          <w:color w:val="auto"/>
          <w:szCs w:val="24"/>
          <w:lang w:val="es-ES" w:eastAsia="es-ES"/>
        </w:rPr>
        <w:t xml:space="preserve">De las constancias que forma parte del Recurso de Revisión que se analiza, se advierte que previo al estudio del fondo de la </w:t>
      </w:r>
      <w:r w:rsidRPr="00B2384D">
        <w:rPr>
          <w:rFonts w:eastAsia="Times New Roman" w:cs="Tahoma"/>
          <w:i/>
          <w:color w:val="auto"/>
          <w:szCs w:val="24"/>
          <w:lang w:val="es-ES" w:eastAsia="es-ES"/>
        </w:rPr>
        <w:t>litis</w:t>
      </w:r>
      <w:r w:rsidRPr="00B2384D">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B2384D" w:rsidRDefault="00DB3DC5" w:rsidP="00BE0A81">
      <w:pPr>
        <w:spacing w:after="0" w:line="360" w:lineRule="auto"/>
        <w:contextualSpacing/>
        <w:rPr>
          <w:b/>
          <w:color w:val="auto"/>
          <w:lang w:val="es-ES"/>
        </w:rPr>
      </w:pPr>
    </w:p>
    <w:p w14:paraId="7CEF4E51" w14:textId="77777777" w:rsidR="00DB3DC5" w:rsidRPr="00B2384D" w:rsidRDefault="00DB3DC5" w:rsidP="00BE0A81">
      <w:pPr>
        <w:spacing w:after="0" w:line="360" w:lineRule="auto"/>
        <w:contextualSpacing/>
        <w:rPr>
          <w:b/>
          <w:color w:val="auto"/>
          <w:lang w:val="es-ES"/>
        </w:rPr>
      </w:pPr>
      <w:r w:rsidRPr="00B2384D">
        <w:rPr>
          <w:b/>
          <w:color w:val="auto"/>
          <w:lang w:val="es-ES"/>
        </w:rPr>
        <w:t>Causales de improcedencia</w:t>
      </w:r>
    </w:p>
    <w:p w14:paraId="039C7835" w14:textId="77777777" w:rsidR="00DB3DC5" w:rsidRPr="00B2384D" w:rsidRDefault="00DB3DC5" w:rsidP="00BE0A81">
      <w:pPr>
        <w:spacing w:after="0" w:line="360" w:lineRule="auto"/>
        <w:contextualSpacing/>
        <w:rPr>
          <w:color w:val="FF0000"/>
        </w:rPr>
      </w:pPr>
    </w:p>
    <w:p w14:paraId="24BC499F" w14:textId="77777777" w:rsidR="00DB3DC5" w:rsidRPr="00B2384D" w:rsidRDefault="00DB3DC5" w:rsidP="00BE0A81">
      <w:pPr>
        <w:spacing w:after="0" w:line="360" w:lineRule="auto"/>
        <w:contextualSpacing/>
        <w:rPr>
          <w:rFonts w:eastAsia="Times New Roman" w:cs="Tahoma"/>
          <w:color w:val="auto"/>
          <w:lang w:eastAsia="es-ES"/>
        </w:rPr>
      </w:pPr>
      <w:r w:rsidRPr="00B2384D">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B2384D" w:rsidRDefault="00DB3DC5" w:rsidP="00BE0A81">
      <w:pPr>
        <w:spacing w:after="0" w:line="360" w:lineRule="auto"/>
        <w:contextualSpacing/>
        <w:rPr>
          <w:rFonts w:eastAsia="Times New Roman" w:cs="Tahoma"/>
          <w:color w:val="auto"/>
          <w:lang w:eastAsia="es-ES"/>
        </w:rPr>
      </w:pPr>
    </w:p>
    <w:p w14:paraId="344A6FE5" w14:textId="77777777" w:rsidR="00DB3DC5" w:rsidRPr="00B2384D" w:rsidRDefault="00DB3DC5" w:rsidP="00BE0A81">
      <w:pPr>
        <w:spacing w:after="0" w:line="360" w:lineRule="auto"/>
        <w:contextualSpacing/>
        <w:rPr>
          <w:rFonts w:eastAsia="Times New Roman" w:cs="Tahoma"/>
          <w:color w:val="auto"/>
          <w:lang w:eastAsia="es-ES"/>
        </w:rPr>
      </w:pPr>
      <w:r w:rsidRPr="00B2384D">
        <w:rPr>
          <w:rFonts w:eastAsia="Times New Roman" w:cs="Tahoma"/>
          <w:color w:val="auto"/>
          <w:lang w:eastAsia="es-ES"/>
        </w:rPr>
        <w:t>En el presente caso, </w:t>
      </w:r>
      <w:r w:rsidRPr="00B2384D">
        <w:rPr>
          <w:rFonts w:eastAsia="Times New Roman" w:cs="Tahoma"/>
          <w:b/>
          <w:bCs/>
          <w:color w:val="auto"/>
          <w:lang w:eastAsia="es-ES"/>
        </w:rPr>
        <w:t>no se actualiza ninguna de las causales de improcedencia</w:t>
      </w:r>
      <w:r w:rsidRPr="00B2384D">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B2384D" w:rsidRDefault="00DB3DC5" w:rsidP="00BE0A81">
      <w:pPr>
        <w:spacing w:after="0" w:line="360" w:lineRule="auto"/>
        <w:contextualSpacing/>
        <w:rPr>
          <w:rFonts w:eastAsia="Times New Roman" w:cs="Tahoma"/>
          <w:color w:val="auto"/>
          <w:lang w:val="es-ES" w:eastAsia="es-ES"/>
        </w:rPr>
      </w:pPr>
    </w:p>
    <w:p w14:paraId="76A50112" w14:textId="39E91C8E" w:rsidR="00DB3DC5" w:rsidRPr="00B2384D" w:rsidRDefault="00DB3DC5" w:rsidP="00BE0A81">
      <w:pPr>
        <w:spacing w:after="0" w:line="360" w:lineRule="auto"/>
        <w:contextualSpacing/>
        <w:rPr>
          <w:rFonts w:eastAsia="Times New Roman" w:cs="Tahoma"/>
          <w:bCs/>
          <w:color w:val="FF0000"/>
          <w:lang w:val="es-ES" w:eastAsia="es-ES"/>
        </w:rPr>
      </w:pPr>
      <w:r w:rsidRPr="00B2384D">
        <w:rPr>
          <w:rFonts w:eastAsia="Times New Roman" w:cs="Tahoma"/>
          <w:color w:val="auto"/>
          <w:lang w:val="es-ES" w:eastAsia="es-ES"/>
        </w:rPr>
        <w:t>Conforme a lo anterior, se actualiza la causal de procedencia señalad</w:t>
      </w:r>
      <w:r w:rsidR="00BB36D2" w:rsidRPr="00B2384D">
        <w:rPr>
          <w:rFonts w:eastAsia="Times New Roman" w:cs="Tahoma"/>
          <w:color w:val="auto"/>
          <w:lang w:val="es-ES" w:eastAsia="es-ES"/>
        </w:rPr>
        <w:t xml:space="preserve">a en el artículo 179, fracción </w:t>
      </w:r>
      <w:r w:rsidR="0015592B" w:rsidRPr="00B2384D">
        <w:rPr>
          <w:rFonts w:eastAsia="Times New Roman" w:cs="Tahoma"/>
          <w:color w:val="auto"/>
          <w:lang w:val="es-ES" w:eastAsia="es-ES"/>
        </w:rPr>
        <w:t>V</w:t>
      </w:r>
      <w:r w:rsidR="00306EEB" w:rsidRPr="00B2384D">
        <w:rPr>
          <w:rFonts w:eastAsia="Times New Roman" w:cs="Tahoma"/>
          <w:color w:val="auto"/>
          <w:lang w:val="es-ES" w:eastAsia="es-ES"/>
        </w:rPr>
        <w:t>I</w:t>
      </w:r>
      <w:r w:rsidRPr="00B2384D">
        <w:rPr>
          <w:rFonts w:eastAsia="Times New Roman" w:cs="Tahoma"/>
          <w:color w:val="auto"/>
          <w:lang w:val="es-ES" w:eastAsia="es-ES"/>
        </w:rPr>
        <w:t>, de la Ley de la materia</w:t>
      </w:r>
      <w:r w:rsidRPr="00B2384D">
        <w:rPr>
          <w:rFonts w:eastAsia="Times New Roman" w:cs="Tahoma"/>
          <w:bCs/>
          <w:color w:val="auto"/>
          <w:lang w:val="es-ES" w:eastAsia="es-ES"/>
        </w:rPr>
        <w:t xml:space="preserve">, toda vez que el Solicitante se inconformó </w:t>
      </w:r>
      <w:r w:rsidR="0015592B" w:rsidRPr="00B2384D">
        <w:rPr>
          <w:rFonts w:eastAsia="Times New Roman" w:cs="Tahoma"/>
          <w:bCs/>
          <w:color w:val="auto"/>
          <w:lang w:val="es-ES" w:eastAsia="es-ES"/>
        </w:rPr>
        <w:t xml:space="preserve">de la </w:t>
      </w:r>
      <w:r w:rsidR="002F4DB6" w:rsidRPr="00B2384D">
        <w:rPr>
          <w:rFonts w:eastAsia="Times New Roman" w:cs="Tahoma"/>
          <w:bCs/>
          <w:color w:val="auto"/>
          <w:lang w:val="es-ES" w:eastAsia="es-ES"/>
        </w:rPr>
        <w:t xml:space="preserve">entrega de información </w:t>
      </w:r>
      <w:r w:rsidR="00306EEB" w:rsidRPr="00B2384D">
        <w:rPr>
          <w:rFonts w:eastAsia="Times New Roman" w:cs="Tahoma"/>
          <w:bCs/>
          <w:color w:val="auto"/>
          <w:lang w:val="es-ES" w:eastAsia="es-ES"/>
        </w:rPr>
        <w:t>que no corresponde con lo solicitado.</w:t>
      </w:r>
    </w:p>
    <w:p w14:paraId="33270C86" w14:textId="77777777" w:rsidR="00DB3DC5" w:rsidRPr="00B2384D" w:rsidRDefault="00DB3DC5" w:rsidP="00BE0A81">
      <w:pPr>
        <w:spacing w:after="0" w:line="360" w:lineRule="auto"/>
        <w:contextualSpacing/>
        <w:rPr>
          <w:rFonts w:cs="Tahoma"/>
          <w:color w:val="FF0000"/>
          <w:lang w:val="es-ES"/>
        </w:rPr>
      </w:pPr>
    </w:p>
    <w:p w14:paraId="7C183A55" w14:textId="4DE0C7C1" w:rsidR="00DB3DC5" w:rsidRPr="00B2384D" w:rsidRDefault="002F4DB6" w:rsidP="00BE0A81">
      <w:pPr>
        <w:spacing w:after="0" w:line="360" w:lineRule="auto"/>
        <w:contextualSpacing/>
        <w:rPr>
          <w:rFonts w:eastAsia="Times New Roman" w:cs="Tahoma"/>
          <w:bCs/>
          <w:color w:val="auto"/>
          <w:lang w:eastAsia="es-ES"/>
        </w:rPr>
      </w:pPr>
      <w:r w:rsidRPr="00B2384D">
        <w:rPr>
          <w:rFonts w:eastAsia="Times New Roman" w:cs="Tahoma"/>
          <w:b/>
          <w:bCs/>
          <w:color w:val="auto"/>
          <w:lang w:eastAsia="es-ES"/>
        </w:rPr>
        <w:t>Causales de sobreseimiento</w:t>
      </w:r>
    </w:p>
    <w:p w14:paraId="4882BDEC" w14:textId="77777777" w:rsidR="00DB3DC5" w:rsidRPr="00B2384D" w:rsidRDefault="00DB3DC5" w:rsidP="00BE0A81">
      <w:pPr>
        <w:spacing w:after="0" w:line="360" w:lineRule="auto"/>
        <w:contextualSpacing/>
        <w:rPr>
          <w:rFonts w:eastAsia="Times New Roman" w:cs="Tahoma"/>
          <w:bCs/>
          <w:color w:val="auto"/>
          <w:lang w:eastAsia="es-ES"/>
        </w:rPr>
      </w:pPr>
    </w:p>
    <w:p w14:paraId="5ABCE811" w14:textId="77777777" w:rsidR="00DB3DC5" w:rsidRPr="00B2384D" w:rsidRDefault="00DB3DC5" w:rsidP="00BE0A81">
      <w:pPr>
        <w:spacing w:after="0" w:line="360" w:lineRule="auto"/>
        <w:contextualSpacing/>
        <w:rPr>
          <w:rFonts w:eastAsia="Times New Roman" w:cs="Tahoma"/>
          <w:bCs/>
          <w:color w:val="auto"/>
          <w:lang w:eastAsia="es-ES"/>
        </w:rPr>
      </w:pPr>
      <w:r w:rsidRPr="00B2384D">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B2384D" w:rsidRDefault="00F063F0" w:rsidP="00BE0A81">
      <w:pPr>
        <w:spacing w:after="0" w:line="360" w:lineRule="auto"/>
        <w:contextualSpacing/>
        <w:rPr>
          <w:rFonts w:eastAsia="Times New Roman" w:cs="Tahoma"/>
          <w:bCs/>
          <w:color w:val="auto"/>
          <w:lang w:eastAsia="es-ES"/>
        </w:rPr>
      </w:pPr>
    </w:p>
    <w:p w14:paraId="061BC45D" w14:textId="77777777" w:rsidR="00DB3DC5" w:rsidRPr="00B2384D" w:rsidRDefault="00DB3DC5" w:rsidP="00BE0A81">
      <w:pPr>
        <w:spacing w:after="0" w:line="360" w:lineRule="auto"/>
        <w:contextualSpacing/>
        <w:rPr>
          <w:rFonts w:eastAsia="Times New Roman" w:cs="Tahoma"/>
          <w:color w:val="auto"/>
          <w:szCs w:val="24"/>
          <w:lang w:eastAsia="es-ES"/>
        </w:rPr>
      </w:pPr>
      <w:r w:rsidRPr="00B2384D">
        <w:rPr>
          <w:rFonts w:eastAsia="Times New Roman" w:cs="Tahoma"/>
          <w:bCs/>
          <w:color w:val="auto"/>
          <w:lang w:eastAsia="es-ES"/>
        </w:rPr>
        <w:t>Sobre el tema, e</w:t>
      </w:r>
      <w:r w:rsidRPr="00B2384D">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B2384D" w:rsidRDefault="00DB3DC5" w:rsidP="00BE0A81">
      <w:pPr>
        <w:spacing w:after="0" w:line="360" w:lineRule="auto"/>
        <w:contextualSpacing/>
        <w:rPr>
          <w:rFonts w:eastAsia="Times New Roman" w:cs="Tahoma"/>
          <w:color w:val="auto"/>
          <w:szCs w:val="24"/>
          <w:lang w:eastAsia="es-ES"/>
        </w:rPr>
      </w:pPr>
    </w:p>
    <w:p w14:paraId="6D96EC9B" w14:textId="77777777" w:rsidR="00DB3DC5" w:rsidRPr="00B2384D" w:rsidRDefault="00DB3DC5" w:rsidP="00BE0A81">
      <w:pPr>
        <w:spacing w:after="0" w:line="360" w:lineRule="auto"/>
        <w:contextualSpacing/>
        <w:rPr>
          <w:rFonts w:eastAsia="Times New Roman" w:cs="Tahoma"/>
          <w:bCs/>
          <w:color w:val="auto"/>
          <w:lang w:eastAsia="es-ES"/>
        </w:rPr>
      </w:pPr>
      <w:r w:rsidRPr="00B2384D">
        <w:rPr>
          <w:rFonts w:eastAsia="Times New Roman" w:cs="Tahoma"/>
          <w:bCs/>
          <w:color w:val="auto"/>
          <w:lang w:eastAsia="es-ES"/>
        </w:rPr>
        <w:t xml:space="preserve">Por tales motivos, se considera procedente entrar al fondo del presente asunto. </w:t>
      </w:r>
    </w:p>
    <w:p w14:paraId="51FFF3D0" w14:textId="77777777" w:rsidR="00DB3DC5" w:rsidRPr="00B2384D" w:rsidRDefault="00DB3DC5" w:rsidP="00BE0A81">
      <w:pPr>
        <w:spacing w:after="0" w:line="360" w:lineRule="auto"/>
        <w:contextualSpacing/>
        <w:rPr>
          <w:rFonts w:eastAsia="Times New Roman" w:cs="Tahoma"/>
          <w:b/>
          <w:bCs/>
          <w:iCs/>
          <w:color w:val="auto"/>
          <w:lang w:val="es-ES" w:eastAsia="es-ES"/>
        </w:rPr>
      </w:pPr>
    </w:p>
    <w:p w14:paraId="633955FE" w14:textId="43623532" w:rsidR="00DB3DC5" w:rsidRPr="00B2384D" w:rsidRDefault="00DB3DC5" w:rsidP="00BE0A81">
      <w:pPr>
        <w:spacing w:after="0" w:line="360" w:lineRule="auto"/>
        <w:contextualSpacing/>
        <w:rPr>
          <w:rFonts w:eastAsia="Times New Roman" w:cs="Tahoma"/>
          <w:b/>
          <w:bCs/>
          <w:iCs/>
          <w:color w:val="auto"/>
          <w:lang w:val="es-ES" w:eastAsia="es-ES"/>
        </w:rPr>
      </w:pPr>
      <w:r w:rsidRPr="00B2384D">
        <w:rPr>
          <w:rFonts w:eastAsia="Times New Roman" w:cs="Tahoma"/>
          <w:b/>
          <w:bCs/>
          <w:iCs/>
          <w:color w:val="auto"/>
          <w:lang w:val="es-ES" w:eastAsia="es-ES"/>
        </w:rPr>
        <w:t>TERCERO. De</w:t>
      </w:r>
      <w:r w:rsidR="002F4DB6" w:rsidRPr="00B2384D">
        <w:rPr>
          <w:rFonts w:eastAsia="Times New Roman" w:cs="Tahoma"/>
          <w:b/>
          <w:bCs/>
          <w:iCs/>
          <w:color w:val="auto"/>
          <w:lang w:val="es-ES" w:eastAsia="es-ES"/>
        </w:rPr>
        <w:t>terminación de la Controversia</w:t>
      </w:r>
    </w:p>
    <w:p w14:paraId="29A4CC8A" w14:textId="77777777" w:rsidR="00DB3DC5" w:rsidRPr="00B2384D" w:rsidRDefault="00DB3DC5" w:rsidP="00BE0A81">
      <w:pPr>
        <w:autoSpaceDE w:val="0"/>
        <w:autoSpaceDN w:val="0"/>
        <w:adjustRightInd w:val="0"/>
        <w:spacing w:after="0" w:line="360" w:lineRule="auto"/>
        <w:contextualSpacing/>
        <w:rPr>
          <w:rFonts w:eastAsia="Calibri" w:cs="Tahoma"/>
          <w:color w:val="auto"/>
          <w:lang w:val="es-ES" w:eastAsia="es-MX"/>
        </w:rPr>
      </w:pPr>
    </w:p>
    <w:p w14:paraId="7C3B9D8C" w14:textId="2F3140E4" w:rsidR="00EE6593" w:rsidRPr="00B2384D" w:rsidRDefault="00D0244F" w:rsidP="00BE0A81">
      <w:pPr>
        <w:spacing w:after="0" w:line="360" w:lineRule="auto"/>
        <w:rPr>
          <w:rFonts w:cs="Tahoma"/>
          <w:color w:val="auto"/>
        </w:rPr>
      </w:pPr>
      <w:r w:rsidRPr="00B2384D">
        <w:rPr>
          <w:rFonts w:eastAsia="Calibri" w:cs="Tahoma"/>
          <w:iCs/>
          <w:color w:val="auto"/>
          <w:lang w:val="es-ES" w:eastAsia="es-ES_tradnl"/>
        </w:rPr>
        <w:t xml:space="preserve">Una vez realizado el estudio de las constancias que integran el expediente en que se actúa, se desprende </w:t>
      </w:r>
      <w:r w:rsidRPr="00B2384D">
        <w:rPr>
          <w:rFonts w:cs="Tahoma"/>
          <w:color w:val="auto"/>
        </w:rPr>
        <w:t xml:space="preserve">que el Recurrente </w:t>
      </w:r>
      <w:r w:rsidR="00B125F9" w:rsidRPr="00B2384D">
        <w:rPr>
          <w:rFonts w:cs="Tahoma"/>
          <w:color w:val="auto"/>
        </w:rPr>
        <w:t>requiri</w:t>
      </w:r>
      <w:r w:rsidR="009A38FD" w:rsidRPr="00B2384D">
        <w:rPr>
          <w:rFonts w:cs="Tahoma"/>
          <w:color w:val="auto"/>
        </w:rPr>
        <w:t>ó</w:t>
      </w:r>
      <w:r w:rsidR="004D10D5" w:rsidRPr="00B2384D">
        <w:rPr>
          <w:rFonts w:cs="Tahoma"/>
          <w:color w:val="auto"/>
        </w:rPr>
        <w:t>, lo siguiente:</w:t>
      </w:r>
    </w:p>
    <w:p w14:paraId="0E343CF9" w14:textId="77777777" w:rsidR="004D10D5" w:rsidRPr="00B2384D" w:rsidRDefault="004D10D5" w:rsidP="00BE0A81">
      <w:pPr>
        <w:spacing w:after="0" w:line="360" w:lineRule="auto"/>
        <w:rPr>
          <w:rFonts w:cs="Tahoma"/>
          <w:color w:val="auto"/>
        </w:rPr>
      </w:pPr>
    </w:p>
    <w:p w14:paraId="1DAA5DB8" w14:textId="7378230A" w:rsidR="004D10D5" w:rsidRPr="00B2384D" w:rsidRDefault="004D10D5" w:rsidP="00BE0A81">
      <w:pPr>
        <w:pStyle w:val="Prrafodelista"/>
        <w:numPr>
          <w:ilvl w:val="0"/>
          <w:numId w:val="20"/>
        </w:numPr>
        <w:spacing w:after="0" w:line="360" w:lineRule="auto"/>
        <w:rPr>
          <w:rFonts w:cs="Tahoma"/>
          <w:color w:val="auto"/>
        </w:rPr>
      </w:pPr>
      <w:r w:rsidRPr="00B2384D">
        <w:rPr>
          <w:rFonts w:cs="Tahoma"/>
          <w:color w:val="auto"/>
        </w:rPr>
        <w:lastRenderedPageBreak/>
        <w:t>La conciliación de nómina de los meses de octubre, noviembre y diciembre de dos mil veintiuno.</w:t>
      </w:r>
    </w:p>
    <w:p w14:paraId="46025290" w14:textId="2A8E80B7" w:rsidR="00094494" w:rsidRPr="00B2384D" w:rsidRDefault="004D10D5" w:rsidP="00BE0A81">
      <w:pPr>
        <w:pStyle w:val="Prrafodelista"/>
        <w:numPr>
          <w:ilvl w:val="0"/>
          <w:numId w:val="20"/>
        </w:numPr>
        <w:spacing w:after="0" w:line="360" w:lineRule="auto"/>
        <w:rPr>
          <w:rFonts w:cs="Tahoma"/>
          <w:color w:val="auto"/>
        </w:rPr>
      </w:pPr>
      <w:r w:rsidRPr="00B2384D">
        <w:rPr>
          <w:rFonts w:cs="Tahoma"/>
          <w:color w:val="auto"/>
        </w:rPr>
        <w:t>La dispersión de nómina de los meses de octubre, noviembre y diciembre de dos mil veintiuno.</w:t>
      </w:r>
    </w:p>
    <w:p w14:paraId="37ECB2D7" w14:textId="77777777" w:rsidR="00A14062" w:rsidRPr="00B2384D" w:rsidRDefault="00A14062" w:rsidP="00BE0A81">
      <w:pPr>
        <w:pStyle w:val="Prrafodelista"/>
        <w:spacing w:after="0" w:line="360" w:lineRule="auto"/>
        <w:rPr>
          <w:rFonts w:cs="Tahoma"/>
          <w:color w:val="auto"/>
        </w:rPr>
      </w:pPr>
    </w:p>
    <w:p w14:paraId="6ECA0850" w14:textId="471FFCBC" w:rsidR="00B34B00" w:rsidRPr="00B2384D" w:rsidRDefault="00D0244F" w:rsidP="00BE0A81">
      <w:pPr>
        <w:spacing w:after="0" w:line="360" w:lineRule="auto"/>
        <w:ind w:right="-28"/>
        <w:rPr>
          <w:rFonts w:cs="Tahoma"/>
          <w:bCs/>
          <w:iCs/>
          <w:color w:val="auto"/>
          <w:lang w:val="es-ES"/>
        </w:rPr>
      </w:pPr>
      <w:r w:rsidRPr="00B2384D">
        <w:rPr>
          <w:rFonts w:cs="Tahoma"/>
          <w:bCs/>
          <w:iCs/>
          <w:color w:val="auto"/>
          <w:lang w:val="es-ES"/>
        </w:rPr>
        <w:t xml:space="preserve">En respuesta, el Sujeto Obligado, </w:t>
      </w:r>
      <w:r w:rsidR="009A38FD" w:rsidRPr="00B2384D">
        <w:rPr>
          <w:rFonts w:cs="Tahoma"/>
          <w:bCs/>
          <w:iCs/>
          <w:color w:val="auto"/>
          <w:lang w:val="es-ES"/>
        </w:rPr>
        <w:t>a través de</w:t>
      </w:r>
      <w:r w:rsidR="0062190B" w:rsidRPr="00B2384D">
        <w:rPr>
          <w:rFonts w:cs="Tahoma"/>
          <w:bCs/>
          <w:iCs/>
          <w:color w:val="auto"/>
          <w:lang w:val="es-ES"/>
        </w:rPr>
        <w:t xml:space="preserve"> la </w:t>
      </w:r>
      <w:r w:rsidR="0062190B" w:rsidRPr="00B2384D">
        <w:rPr>
          <w:rFonts w:cs="Tahoma"/>
          <w:b/>
          <w:bCs/>
          <w:iCs/>
          <w:color w:val="auto"/>
          <w:lang w:val="es-ES"/>
        </w:rPr>
        <w:t xml:space="preserve">Tesorería Municipal, </w:t>
      </w:r>
      <w:r w:rsidR="0062190B" w:rsidRPr="00B2384D">
        <w:rPr>
          <w:rFonts w:cs="Tahoma"/>
          <w:bCs/>
          <w:iCs/>
          <w:color w:val="auto"/>
          <w:lang w:val="es-ES"/>
        </w:rPr>
        <w:t xml:space="preserve">refirió que dicha dependencia no genera la información solicitada, por lo que se sugería remitir la solicitud de información a la Dirección General de Administración, </w:t>
      </w:r>
      <w:r w:rsidR="00D939DD" w:rsidRPr="00B2384D">
        <w:rPr>
          <w:rFonts w:cs="Tahoma"/>
          <w:bCs/>
          <w:iCs/>
          <w:color w:val="auto"/>
          <w:lang w:val="es-ES"/>
        </w:rPr>
        <w:t xml:space="preserve">por su parte la </w:t>
      </w:r>
      <w:r w:rsidR="00D939DD" w:rsidRPr="00B2384D">
        <w:rPr>
          <w:rFonts w:cs="Tahoma"/>
          <w:b/>
          <w:bCs/>
          <w:iCs/>
          <w:color w:val="auto"/>
          <w:lang w:val="es-ES"/>
        </w:rPr>
        <w:t>Subdirección de Recursos Humanos</w:t>
      </w:r>
      <w:r w:rsidR="00D16843" w:rsidRPr="00B2384D">
        <w:rPr>
          <w:rFonts w:cs="Tahoma"/>
          <w:b/>
          <w:bCs/>
          <w:iCs/>
          <w:color w:val="auto"/>
          <w:lang w:val="es-ES"/>
        </w:rPr>
        <w:t xml:space="preserve"> </w:t>
      </w:r>
      <w:r w:rsidR="00D16843" w:rsidRPr="00B2384D">
        <w:rPr>
          <w:rFonts w:cs="Tahoma"/>
          <w:bCs/>
          <w:iCs/>
          <w:color w:val="auto"/>
          <w:lang w:val="es-ES"/>
        </w:rPr>
        <w:t>informó que después de llevar a cabo una búsqueda exhaustiva y razonable en los archivos físicos y electrónicos que obran en la Subdirección</w:t>
      </w:r>
      <w:r w:rsidR="00DF6528" w:rsidRPr="00B2384D">
        <w:rPr>
          <w:rFonts w:cs="Tahoma"/>
          <w:bCs/>
          <w:iCs/>
          <w:color w:val="auto"/>
          <w:lang w:val="es-ES"/>
        </w:rPr>
        <w:t xml:space="preserve"> proporcionó la </w:t>
      </w:r>
      <w:r w:rsidR="00D16843" w:rsidRPr="00B2384D">
        <w:rPr>
          <w:rFonts w:cs="Tahoma"/>
          <w:bCs/>
          <w:iCs/>
          <w:color w:val="auto"/>
          <w:lang w:val="es-ES"/>
        </w:rPr>
        <w:t xml:space="preserve"> mismo que contiene la información que atiende a la solicitud</w:t>
      </w:r>
      <w:r w:rsidR="00F90C6E" w:rsidRPr="00B2384D">
        <w:rPr>
          <w:rFonts w:cs="Tahoma"/>
          <w:bCs/>
          <w:iCs/>
          <w:color w:val="auto"/>
          <w:lang w:val="es-ES"/>
        </w:rPr>
        <w:t>,</w:t>
      </w:r>
      <w:r w:rsidR="00D16843" w:rsidRPr="00B2384D">
        <w:rPr>
          <w:rFonts w:cs="Tahoma"/>
          <w:bCs/>
          <w:iCs/>
          <w:color w:val="auto"/>
          <w:lang w:val="es-ES"/>
        </w:rPr>
        <w:t xml:space="preserve"> en su versión pública, autorizada en la C</w:t>
      </w:r>
      <w:r w:rsidR="00F90C6E" w:rsidRPr="00B2384D">
        <w:rPr>
          <w:rFonts w:cs="Tahoma"/>
          <w:bCs/>
          <w:iCs/>
          <w:color w:val="auto"/>
          <w:lang w:val="es-ES"/>
        </w:rPr>
        <w:t>uadragésima Sesión Extraordinaria</w:t>
      </w:r>
      <w:r w:rsidR="00D16843" w:rsidRPr="00B2384D">
        <w:rPr>
          <w:rFonts w:cs="Tahoma"/>
          <w:bCs/>
          <w:iCs/>
          <w:color w:val="auto"/>
          <w:lang w:val="es-ES"/>
        </w:rPr>
        <w:t>, del Comité de Transparencia, bajo el número de acuerdo CT/NAU/ACTA-EXT-0040/2024/00254</w:t>
      </w:r>
      <w:r w:rsidR="00B34B00" w:rsidRPr="00B2384D">
        <w:rPr>
          <w:rFonts w:cs="Tahoma"/>
          <w:bCs/>
          <w:iCs/>
          <w:color w:val="auto"/>
          <w:lang w:val="es-ES"/>
        </w:rPr>
        <w:t xml:space="preserve">. </w:t>
      </w:r>
      <w:r w:rsidR="00727981" w:rsidRPr="00B2384D">
        <w:rPr>
          <w:rFonts w:cs="Tahoma"/>
          <w:bCs/>
          <w:iCs/>
          <w:color w:val="auto"/>
          <w:lang w:val="es-ES"/>
        </w:rPr>
        <w:t>Así mismo, adjunto la digitalización de las conciliaciones de nómina de la primera y segunda quincena de los meses de octubre, noviembre y diciembre de dos mil veintiuno</w:t>
      </w:r>
      <w:r w:rsidR="000A7AE3" w:rsidRPr="00B2384D">
        <w:rPr>
          <w:rFonts w:cs="Tahoma"/>
          <w:bCs/>
          <w:iCs/>
          <w:color w:val="auto"/>
          <w:lang w:val="es-ES"/>
        </w:rPr>
        <w:t>; ante dicha circunstancia, el Particular se agravió con la entrega de información que no corresponde con lo solicitado, lo cual actualiza la causal de procedencia prevista en las fracción VI, del artículo 179 de la Ley de Transparencia y Acceso a la Información Pública del Estado de México y Municipios.</w:t>
      </w:r>
      <w:r w:rsidR="003474B5" w:rsidRPr="00B2384D">
        <w:rPr>
          <w:rFonts w:cs="Tahoma"/>
          <w:bCs/>
          <w:iCs/>
          <w:color w:val="auto"/>
          <w:lang w:val="es-ES"/>
        </w:rPr>
        <w:t xml:space="preserve"> </w:t>
      </w:r>
      <w:r w:rsidRPr="00B2384D">
        <w:rPr>
          <w:rFonts w:eastAsia="Calibri" w:cs="Tahoma"/>
          <w:color w:val="auto"/>
        </w:rPr>
        <w:t>Así, las cosas, una vez admitido y notificado el Recurso de Revisión</w:t>
      </w:r>
      <w:r w:rsidR="00ED1AA7" w:rsidRPr="00B2384D">
        <w:rPr>
          <w:rFonts w:eastAsia="Calibri" w:cs="Tahoma"/>
          <w:color w:val="auto"/>
        </w:rPr>
        <w:t>, el Sujeto Obligado</w:t>
      </w:r>
      <w:r w:rsidR="00C96BEF" w:rsidRPr="00B2384D">
        <w:rPr>
          <w:rFonts w:eastAsia="Calibri" w:cs="Tahoma"/>
          <w:color w:val="auto"/>
        </w:rPr>
        <w:t xml:space="preserve"> </w:t>
      </w:r>
      <w:r w:rsidR="00B34B00" w:rsidRPr="00B2384D">
        <w:rPr>
          <w:rFonts w:eastAsia="Calibri" w:cs="Tahoma"/>
          <w:color w:val="auto"/>
        </w:rPr>
        <w:t>ratificó su respuesta inicial.</w:t>
      </w:r>
    </w:p>
    <w:p w14:paraId="4DA392EF" w14:textId="77777777" w:rsidR="006B2B10" w:rsidRPr="00B2384D" w:rsidRDefault="006B2B10" w:rsidP="00BE0A81">
      <w:pPr>
        <w:tabs>
          <w:tab w:val="left" w:pos="4962"/>
        </w:tabs>
        <w:spacing w:after="0" w:line="360" w:lineRule="auto"/>
        <w:contextualSpacing/>
        <w:rPr>
          <w:rFonts w:ascii="Verdana" w:hAnsi="Verdana"/>
          <w:color w:val="FF0000"/>
          <w:sz w:val="14"/>
          <w:szCs w:val="14"/>
        </w:rPr>
      </w:pPr>
    </w:p>
    <w:p w14:paraId="3A6521F2" w14:textId="4A26CD6C" w:rsidR="00DB3DC5" w:rsidRPr="00B2384D" w:rsidRDefault="00DB3DC5" w:rsidP="00BE0A81">
      <w:pPr>
        <w:tabs>
          <w:tab w:val="left" w:pos="4962"/>
        </w:tabs>
        <w:spacing w:after="0" w:line="360" w:lineRule="auto"/>
        <w:contextualSpacing/>
        <w:rPr>
          <w:rFonts w:eastAsia="Calibri" w:cs="Tahoma"/>
          <w:bCs/>
          <w:color w:val="auto"/>
          <w:szCs w:val="24"/>
        </w:rPr>
      </w:pPr>
      <w:r w:rsidRPr="00B2384D">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1F3934" w:rsidRPr="00B2384D">
        <w:rPr>
          <w:rFonts w:eastAsia="Calibri" w:cs="Tahoma"/>
          <w:iCs/>
          <w:color w:val="auto"/>
          <w:lang w:val="es-ES" w:eastAsia="es-ES_tradnl"/>
        </w:rPr>
        <w:t>,</w:t>
      </w:r>
      <w:r w:rsidRPr="00B2384D">
        <w:rPr>
          <w:rFonts w:eastAsia="Calibri" w:cs="Tahoma"/>
          <w:iCs/>
          <w:color w:val="auto"/>
          <w:lang w:eastAsia="es-ES_tradnl"/>
        </w:rPr>
        <w:t xml:space="preserve"> el escrito recursal</w:t>
      </w:r>
      <w:r w:rsidR="001F3934" w:rsidRPr="00B2384D">
        <w:rPr>
          <w:rFonts w:eastAsia="Calibri" w:cs="Tahoma"/>
          <w:iCs/>
          <w:color w:val="auto"/>
          <w:lang w:eastAsia="es-ES_tradnl"/>
        </w:rPr>
        <w:t xml:space="preserve"> y</w:t>
      </w:r>
      <w:r w:rsidRPr="00B2384D">
        <w:rPr>
          <w:rFonts w:eastAsia="Calibri" w:cs="Tahoma"/>
          <w:iCs/>
          <w:color w:val="auto"/>
          <w:lang w:eastAsia="es-ES_tradnl"/>
        </w:rPr>
        <w:t xml:space="preserve"> el Informe Justificado; </w:t>
      </w:r>
      <w:r w:rsidRPr="00B2384D">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B2384D" w:rsidRDefault="00DB3DC5" w:rsidP="00BE0A81">
      <w:pPr>
        <w:autoSpaceDE w:val="0"/>
        <w:autoSpaceDN w:val="0"/>
        <w:adjustRightInd w:val="0"/>
        <w:spacing w:after="0" w:line="360" w:lineRule="auto"/>
        <w:contextualSpacing/>
        <w:rPr>
          <w:rFonts w:eastAsia="Times New Roman" w:cs="Tahoma"/>
          <w:b/>
          <w:bCs/>
          <w:iCs/>
          <w:color w:val="auto"/>
          <w:lang w:val="es-ES" w:eastAsia="es-ES"/>
        </w:rPr>
      </w:pPr>
    </w:p>
    <w:p w14:paraId="6818EF86" w14:textId="75E6A3B5" w:rsidR="00DB3DC5" w:rsidRPr="00B2384D" w:rsidRDefault="00DB3DC5" w:rsidP="00BE0A81">
      <w:pPr>
        <w:spacing w:after="0" w:line="360" w:lineRule="auto"/>
        <w:contextualSpacing/>
        <w:rPr>
          <w:rFonts w:eastAsia="Times New Roman" w:cs="Tahoma"/>
          <w:b/>
          <w:bCs/>
          <w:iCs/>
          <w:color w:val="auto"/>
          <w:lang w:eastAsia="es-ES"/>
        </w:rPr>
      </w:pPr>
      <w:r w:rsidRPr="00B2384D">
        <w:rPr>
          <w:rFonts w:eastAsia="Times New Roman" w:cs="Tahoma"/>
          <w:b/>
          <w:bCs/>
          <w:iCs/>
          <w:color w:val="auto"/>
          <w:lang w:val="es-ES" w:eastAsia="es-ES"/>
        </w:rPr>
        <w:t xml:space="preserve">CUARTO. </w:t>
      </w:r>
      <w:r w:rsidRPr="00B2384D">
        <w:rPr>
          <w:rFonts w:eastAsia="Times New Roman" w:cs="Tahoma"/>
          <w:b/>
          <w:bCs/>
          <w:iCs/>
          <w:color w:val="auto"/>
          <w:lang w:eastAsia="es-ES"/>
        </w:rPr>
        <w:t xml:space="preserve">Marco normativo aplicable en materia de transparencia y </w:t>
      </w:r>
      <w:r w:rsidR="00B34B00" w:rsidRPr="00B2384D">
        <w:rPr>
          <w:rFonts w:eastAsia="Times New Roman" w:cs="Tahoma"/>
          <w:b/>
          <w:bCs/>
          <w:iCs/>
          <w:color w:val="auto"/>
          <w:lang w:eastAsia="es-ES"/>
        </w:rPr>
        <w:t>acceso a la información pública</w:t>
      </w:r>
    </w:p>
    <w:p w14:paraId="1FA9DF31" w14:textId="77777777" w:rsidR="00DB3DC5" w:rsidRPr="00B2384D" w:rsidRDefault="00DB3DC5" w:rsidP="00BE0A81">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B2384D" w:rsidRDefault="00DB3DC5" w:rsidP="00BE0A81">
      <w:pPr>
        <w:spacing w:after="0" w:line="360" w:lineRule="auto"/>
        <w:contextualSpacing/>
        <w:rPr>
          <w:rFonts w:eastAsia="Times New Roman" w:cs="Tahoma"/>
          <w:bCs/>
          <w:iCs/>
          <w:color w:val="auto"/>
          <w:lang w:eastAsia="es-ES"/>
        </w:rPr>
      </w:pPr>
    </w:p>
    <w:p w14:paraId="6A58FB7E"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B2384D" w:rsidRDefault="00DB3DC5" w:rsidP="00BE0A81">
      <w:pPr>
        <w:spacing w:after="0" w:line="360" w:lineRule="auto"/>
        <w:contextualSpacing/>
        <w:rPr>
          <w:rFonts w:eastAsia="Times New Roman" w:cs="Tahoma"/>
          <w:bCs/>
          <w:iCs/>
          <w:color w:val="auto"/>
          <w:lang w:eastAsia="es-ES"/>
        </w:rPr>
      </w:pPr>
    </w:p>
    <w:p w14:paraId="23374816"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B2384D" w:rsidRDefault="00DB3DC5" w:rsidP="00BE0A81">
      <w:pPr>
        <w:spacing w:after="0" w:line="360" w:lineRule="auto"/>
        <w:contextualSpacing/>
        <w:rPr>
          <w:rFonts w:eastAsia="Times New Roman" w:cs="Tahoma"/>
          <w:bCs/>
          <w:iCs/>
          <w:color w:val="auto"/>
          <w:lang w:eastAsia="es-ES"/>
        </w:rPr>
      </w:pPr>
    </w:p>
    <w:p w14:paraId="015A559C"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B2384D" w:rsidRDefault="00DB3DC5" w:rsidP="00BE0A81">
      <w:pPr>
        <w:spacing w:after="0" w:line="360" w:lineRule="auto"/>
        <w:contextualSpacing/>
        <w:rPr>
          <w:rFonts w:eastAsia="Times New Roman" w:cs="Tahoma"/>
          <w:bCs/>
          <w:iCs/>
          <w:color w:val="auto"/>
          <w:lang w:eastAsia="es-ES"/>
        </w:rPr>
      </w:pPr>
    </w:p>
    <w:p w14:paraId="7EF8B748"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El artículo 12, que, quienes generen, recopilen, administren, manejen, procesen, archiven o conserven información pública serán responsables de la misma.</w:t>
      </w:r>
    </w:p>
    <w:p w14:paraId="536D2FE5" w14:textId="77777777" w:rsidR="00BB36D2" w:rsidRPr="00B2384D" w:rsidRDefault="00BB36D2" w:rsidP="00BE0A81">
      <w:pPr>
        <w:spacing w:after="0" w:line="360" w:lineRule="auto"/>
        <w:contextualSpacing/>
        <w:rPr>
          <w:rFonts w:eastAsia="Times New Roman" w:cs="Tahoma"/>
          <w:bCs/>
          <w:iCs/>
          <w:color w:val="auto"/>
          <w:lang w:eastAsia="es-ES"/>
        </w:rPr>
      </w:pPr>
    </w:p>
    <w:p w14:paraId="5604CF35" w14:textId="77777777" w:rsidR="00DB3DC5" w:rsidRPr="00B2384D" w:rsidRDefault="00DB3DC5" w:rsidP="00BE0A81">
      <w:pPr>
        <w:widowControl w:val="0"/>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 xml:space="preserve">El artículo 18, que, los Sujetos Obligados deberán documentar todo acto que derive del ejercicio de sus facultades, competencias o funciones, considerando desde su origen la </w:t>
      </w:r>
      <w:r w:rsidRPr="00B2384D">
        <w:rPr>
          <w:rFonts w:eastAsia="Times New Roman" w:cs="Tahoma"/>
          <w:bCs/>
          <w:iCs/>
          <w:color w:val="auto"/>
          <w:lang w:eastAsia="es-ES"/>
        </w:rPr>
        <w:lastRenderedPageBreak/>
        <w:t>eventual publicidad y reutilización de la información que generen.</w:t>
      </w:r>
    </w:p>
    <w:p w14:paraId="118E0238" w14:textId="77777777" w:rsidR="00DB3DC5" w:rsidRPr="00B2384D" w:rsidRDefault="00DB3DC5" w:rsidP="00BE0A81">
      <w:pPr>
        <w:spacing w:after="0" w:line="360" w:lineRule="auto"/>
        <w:contextualSpacing/>
        <w:rPr>
          <w:rFonts w:eastAsia="Times New Roman" w:cs="Tahoma"/>
          <w:bCs/>
          <w:iCs/>
          <w:color w:val="auto"/>
          <w:lang w:eastAsia="es-ES"/>
        </w:rPr>
      </w:pPr>
    </w:p>
    <w:p w14:paraId="0FF7C948" w14:textId="77777777" w:rsidR="00DB3DC5" w:rsidRPr="00B2384D" w:rsidRDefault="00DB3DC5" w:rsidP="00BE0A81">
      <w:pPr>
        <w:spacing w:after="0" w:line="360" w:lineRule="auto"/>
        <w:contextualSpacing/>
        <w:rPr>
          <w:rFonts w:eastAsia="Times New Roman" w:cs="Tahoma"/>
          <w:bCs/>
          <w:iCs/>
          <w:color w:val="auto"/>
          <w:lang w:eastAsia="es-ES"/>
        </w:rPr>
      </w:pPr>
      <w:r w:rsidRPr="00B2384D">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6E37548" w14:textId="77777777" w:rsidR="00142C1D" w:rsidRPr="00B2384D" w:rsidRDefault="00142C1D" w:rsidP="00BE0A81">
      <w:pPr>
        <w:spacing w:after="0" w:line="360" w:lineRule="auto"/>
        <w:contextualSpacing/>
        <w:rPr>
          <w:color w:val="auto"/>
        </w:rPr>
      </w:pPr>
    </w:p>
    <w:p w14:paraId="3EB23114" w14:textId="3893C609" w:rsidR="00DB3DC5" w:rsidRPr="00B2384D" w:rsidRDefault="00D52DE8" w:rsidP="00BE0A81">
      <w:pPr>
        <w:spacing w:after="0" w:line="360" w:lineRule="auto"/>
        <w:contextualSpacing/>
        <w:rPr>
          <w:rFonts w:eastAsia="Times New Roman" w:cs="Tahoma"/>
          <w:b/>
          <w:bCs/>
          <w:iCs/>
          <w:color w:val="auto"/>
          <w:lang w:val="es-ES" w:eastAsia="es-ES"/>
        </w:rPr>
      </w:pPr>
      <w:r w:rsidRPr="00B2384D">
        <w:rPr>
          <w:rFonts w:eastAsia="Times New Roman" w:cs="Tahoma"/>
          <w:b/>
          <w:bCs/>
          <w:iCs/>
          <w:color w:val="auto"/>
          <w:lang w:val="es-ES" w:eastAsia="es-ES"/>
        </w:rPr>
        <w:t>QUINTO. Estudio de Fondo</w:t>
      </w:r>
    </w:p>
    <w:p w14:paraId="5511A115" w14:textId="77777777" w:rsidR="00DB3DC5" w:rsidRPr="00B2384D" w:rsidRDefault="00DB3DC5" w:rsidP="00BE0A81">
      <w:pPr>
        <w:spacing w:after="0" w:line="360" w:lineRule="auto"/>
        <w:contextualSpacing/>
        <w:rPr>
          <w:rFonts w:eastAsia="Times New Roman" w:cs="Tahoma"/>
          <w:b/>
          <w:bCs/>
          <w:iCs/>
          <w:color w:val="FF0000"/>
          <w:lang w:val="es-ES" w:eastAsia="es-ES"/>
        </w:rPr>
      </w:pPr>
    </w:p>
    <w:p w14:paraId="77D4173C" w14:textId="77777777" w:rsidR="009E239D" w:rsidRPr="00B2384D" w:rsidRDefault="009E239D"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Expuestas las posturas de las partes, se procede al análisis del agravio hecho valer por el ahora Recurrente,</w:t>
      </w:r>
      <w:r w:rsidRPr="00B2384D">
        <w:rPr>
          <w:rFonts w:eastAsia="Palatino Linotype" w:cs="Palatino Linotype"/>
          <w:color w:val="FF0000"/>
          <w:lang w:eastAsia="es-MX"/>
        </w:rPr>
        <w:t xml:space="preserve"> </w:t>
      </w:r>
      <w:r w:rsidRPr="00B2384D">
        <w:rPr>
          <w:rFonts w:eastAsia="Palatino Linotype" w:cs="Palatino Linotype"/>
          <w:color w:val="000000"/>
          <w:lang w:eastAsia="es-MX"/>
        </w:rPr>
        <w:t>concerniente a la entrega de información que no corresponde con lo solicitado, por lo que se procede a contextualizar la solicitud de información.</w:t>
      </w:r>
    </w:p>
    <w:p w14:paraId="78A5EA32" w14:textId="77777777" w:rsidR="009E239D" w:rsidRPr="00B2384D" w:rsidRDefault="009E239D" w:rsidP="00BE0A81">
      <w:pPr>
        <w:spacing w:after="0" w:line="360" w:lineRule="auto"/>
        <w:rPr>
          <w:rFonts w:eastAsia="Times New Roman" w:cs="Tahoma"/>
          <w:bCs/>
          <w:iCs/>
          <w:color w:val="FF0000"/>
          <w:lang w:eastAsia="es-ES"/>
        </w:rPr>
      </w:pPr>
    </w:p>
    <w:p w14:paraId="2FC8D736" w14:textId="77777777" w:rsidR="00D5668E" w:rsidRPr="00B2384D" w:rsidRDefault="00D5668E" w:rsidP="00BE0A81">
      <w:pPr>
        <w:spacing w:after="0" w:line="360" w:lineRule="auto"/>
        <w:rPr>
          <w:rFonts w:eastAsia="Palatino Linotype" w:cs="Palatino Linotype"/>
          <w:lang w:eastAsia="es-MX"/>
        </w:rPr>
      </w:pPr>
      <w:r w:rsidRPr="00B2384D">
        <w:rPr>
          <w:rFonts w:eastAsia="Palatino Linotype" w:cs="Palatino Linotype"/>
          <w:lang w:eastAsia="es-MX"/>
        </w:rPr>
        <w:t>Al respecto, es necesario traer a colación 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46F4FB4C" w14:textId="77777777" w:rsidR="00D5668E" w:rsidRPr="00B2384D" w:rsidRDefault="00D5668E" w:rsidP="00BE0A81">
      <w:pPr>
        <w:spacing w:after="0" w:line="360" w:lineRule="auto"/>
        <w:rPr>
          <w:rFonts w:eastAsia="Palatino Linotype" w:cs="Palatino Linotype"/>
          <w:lang w:eastAsia="es-MX"/>
        </w:rPr>
      </w:pPr>
    </w:p>
    <w:p w14:paraId="3F5973CB" w14:textId="77777777" w:rsidR="00D5668E" w:rsidRPr="00B2384D" w:rsidRDefault="00D5668E"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5BBFCC6" w14:textId="77777777" w:rsidR="00D5668E" w:rsidRPr="00B2384D" w:rsidRDefault="00D5668E" w:rsidP="00BE0A81">
      <w:pPr>
        <w:spacing w:after="0" w:line="360" w:lineRule="auto"/>
        <w:rPr>
          <w:rFonts w:eastAsia="Palatino Linotype" w:cs="Palatino Linotype"/>
          <w:color w:val="000000"/>
          <w:lang w:eastAsia="es-MX"/>
        </w:rPr>
      </w:pPr>
    </w:p>
    <w:p w14:paraId="1E8C569B" w14:textId="538D88B2" w:rsidR="009E239D" w:rsidRPr="00B2384D" w:rsidRDefault="00C9677D" w:rsidP="00BE0A81">
      <w:pPr>
        <w:spacing w:after="0" w:line="360" w:lineRule="auto"/>
        <w:rPr>
          <w:rFonts w:eastAsia="Times New Roman" w:cs="Tahoma"/>
          <w:bCs/>
          <w:iCs/>
          <w:color w:val="FF0000"/>
          <w:lang w:eastAsia="es-ES"/>
        </w:rPr>
      </w:pPr>
      <w:r w:rsidRPr="00B2384D">
        <w:t xml:space="preserve">Da la misma manera, el Anexo IV.5 Glosario de Términos, del Manual para la Planeación, Programación y Presupuesto de Egresos Municipal para el ejercicio fiscal dos mil veinte, </w:t>
      </w:r>
      <w:r w:rsidRPr="00B2384D">
        <w:lastRenderedPageBreak/>
        <w:t>establece que la remuneración es la percepción de un trabajador o retribución monetaria que se da en pago por su servicio o actividad desarrollada.</w:t>
      </w:r>
    </w:p>
    <w:p w14:paraId="77C1FBEA" w14:textId="77777777" w:rsidR="00C9677D" w:rsidRPr="00B2384D" w:rsidRDefault="00C9677D" w:rsidP="00BE0A81">
      <w:pPr>
        <w:spacing w:after="0" w:line="360" w:lineRule="auto"/>
        <w:rPr>
          <w:rFonts w:eastAsia="Palatino Linotype" w:cs="Palatino Linotype"/>
          <w:color w:val="000000"/>
          <w:lang w:eastAsia="es-MX"/>
        </w:rPr>
      </w:pPr>
    </w:p>
    <w:p w14:paraId="2441449F" w14:textId="77777777" w:rsidR="00D5668E" w:rsidRPr="00B2384D" w:rsidRDefault="00D5668E"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76F24FD7" w14:textId="77777777" w:rsidR="00D5668E" w:rsidRPr="00B2384D" w:rsidRDefault="00D5668E" w:rsidP="00BE0A81">
      <w:pPr>
        <w:spacing w:after="0" w:line="360" w:lineRule="auto"/>
        <w:rPr>
          <w:rFonts w:eastAsia="Palatino Linotype" w:cs="Palatino Linotype"/>
          <w:color w:val="000000"/>
          <w:lang w:eastAsia="es-MX"/>
        </w:rPr>
      </w:pPr>
    </w:p>
    <w:p w14:paraId="48EDE144" w14:textId="77777777" w:rsidR="00D5668E" w:rsidRPr="00B2384D" w:rsidRDefault="00D5668E" w:rsidP="00BE0A81">
      <w:pPr>
        <w:spacing w:after="0" w:line="360" w:lineRule="auto"/>
        <w:rPr>
          <w:rFonts w:eastAsia="Palatino Linotype" w:cs="Palatino Linotype"/>
          <w:color w:val="000000"/>
          <w:lang w:eastAsia="es-MX"/>
        </w:rPr>
      </w:pPr>
      <w:r w:rsidRPr="00B2384D">
        <w:rPr>
          <w:rFonts w:eastAsia="Palatino Linotype" w:cs="Palatino Linotype"/>
          <w:lang w:eastAsia="es-MX"/>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B2384D">
        <w:rPr>
          <w:rFonts w:eastAsia="Palatino Linotype" w:cs="Palatino Linotype"/>
          <w:b/>
          <w:lang w:eastAsia="es-MX"/>
        </w:rPr>
        <w:t>1000 Servicios Personales</w:t>
      </w:r>
      <w:r w:rsidRPr="00B2384D">
        <w:rPr>
          <w:rFonts w:eastAsia="Palatino Linotype" w:cs="Palatino Linotype"/>
          <w:lang w:eastAsia="es-MX"/>
        </w:rPr>
        <w:t>,</w:t>
      </w:r>
      <w:r w:rsidRPr="00B2384D">
        <w:rPr>
          <w:rFonts w:eastAsia="Palatino Linotype" w:cs="Palatino Linotype"/>
          <w:b/>
          <w:lang w:eastAsia="es-MX"/>
        </w:rPr>
        <w:t xml:space="preserve"> que agrupa las remuneraciones del personal al servicio de los entes públicos, tales como el sueldo, salarios, dietas, honorarios, prestaciones, aguinaldo, obligaciones laborales, entre otras</w:t>
      </w:r>
    </w:p>
    <w:p w14:paraId="68E7D8C6" w14:textId="77777777" w:rsidR="00D5668E" w:rsidRPr="00B2384D" w:rsidRDefault="00D5668E" w:rsidP="00BE0A81">
      <w:pPr>
        <w:spacing w:after="0" w:line="360" w:lineRule="auto"/>
        <w:rPr>
          <w:rFonts w:eastAsia="Palatino Linotype" w:cs="Palatino Linotype"/>
          <w:color w:val="000000"/>
          <w:lang w:eastAsia="es-MX"/>
        </w:rPr>
      </w:pPr>
    </w:p>
    <w:p w14:paraId="6F62DC03" w14:textId="77777777" w:rsidR="00D5668E" w:rsidRPr="00B2384D" w:rsidRDefault="00D5668E" w:rsidP="00BE0A81">
      <w:pPr>
        <w:spacing w:after="0" w:line="360" w:lineRule="auto"/>
        <w:rPr>
          <w:rFonts w:eastAsia="Palatino Linotype" w:cs="Palatino Linotype"/>
          <w:b/>
          <w:color w:val="000000"/>
          <w:lang w:eastAsia="es-MX"/>
        </w:rPr>
      </w:pPr>
      <w:r w:rsidRPr="00B2384D">
        <w:rPr>
          <w:rFonts w:eastAsia="Palatino Linotype" w:cs="Palatino Linotype"/>
          <w:color w:val="000000"/>
          <w:lang w:eastAsia="es-MX"/>
        </w:rPr>
        <w:t>Además, respecto al documento requerido</w:t>
      </w:r>
      <w:r w:rsidRPr="00B2384D">
        <w:rPr>
          <w:rFonts w:eastAsia="Palatino Linotype" w:cs="Palatino Linotype"/>
          <w:b/>
          <w:color w:val="000000"/>
          <w:lang w:eastAsia="es-MX"/>
        </w:rPr>
        <w:t xml:space="preserve">, </w:t>
      </w:r>
      <w:r w:rsidRPr="00B2384D">
        <w:rPr>
          <w:rFonts w:eastAsia="Palatino Linotype" w:cs="Palatino Linotype"/>
          <w:color w:val="000000"/>
          <w:lang w:eastAsia="es-MX"/>
        </w:rPr>
        <w:t>el Glosario localizado en la página de Transparencia Presupuestaria de la Secretaría de Hacienda y Crédito Público (</w:t>
      </w:r>
      <w:hyperlink r:id="rId8">
        <w:r w:rsidRPr="00B2384D">
          <w:rPr>
            <w:rFonts w:eastAsia="Palatino Linotype" w:cs="Palatino Linotype"/>
            <w:color w:val="0563C1"/>
            <w:u w:val="single"/>
            <w:lang w:eastAsia="es-MX"/>
          </w:rPr>
          <w:t>http://www.transparenciapresupuestaria.gob.mx/es/PTP/Glosario</w:t>
        </w:r>
      </w:hyperlink>
      <w:r w:rsidRPr="00B2384D">
        <w:rPr>
          <w:rFonts w:eastAsia="Palatino Linotype" w:cs="Palatino Linotype"/>
          <w:color w:val="000000"/>
          <w:lang w:eastAsia="es-MX"/>
        </w:rPr>
        <w:t xml:space="preserve">), establece que la </w:t>
      </w:r>
      <w:r w:rsidRPr="00B2384D">
        <w:rPr>
          <w:rFonts w:eastAsia="Palatino Linotype" w:cs="Palatino Linotype"/>
          <w:b/>
          <w:color w:val="000000"/>
          <w:lang w:eastAsia="es-MX"/>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3E9F41C5" w14:textId="77777777" w:rsidR="00D5668E" w:rsidRPr="00B2384D" w:rsidRDefault="00D5668E" w:rsidP="00BE0A81">
      <w:pPr>
        <w:spacing w:after="0" w:line="360" w:lineRule="auto"/>
        <w:rPr>
          <w:rFonts w:eastAsia="Palatino Linotype" w:cs="Palatino Linotype"/>
          <w:color w:val="000000"/>
          <w:lang w:eastAsia="es-MX"/>
        </w:rPr>
      </w:pPr>
    </w:p>
    <w:p w14:paraId="7EAB04F2" w14:textId="77777777" w:rsidR="00D5668E" w:rsidRPr="00B2384D" w:rsidRDefault="00D5668E" w:rsidP="00BE0A81">
      <w:pPr>
        <w:spacing w:after="0" w:line="360" w:lineRule="auto"/>
        <w:rPr>
          <w:rFonts w:eastAsia="Palatino Linotype" w:cs="Palatino Linotype"/>
          <w:b/>
          <w:color w:val="000000"/>
          <w:lang w:eastAsia="es-MX"/>
        </w:rPr>
      </w:pPr>
      <w:r w:rsidRPr="00B2384D">
        <w:rPr>
          <w:rFonts w:eastAsia="Palatino Linotype" w:cs="Palatino Linotype"/>
          <w:color w:val="000000"/>
          <w:lang w:eastAsia="es-MX"/>
        </w:rPr>
        <w:t>De la misma manera, el Glosario de términos más usuales en la Administración Pública Federal, emitido por la Secretaría de Hacienda y Crédito Público (</w:t>
      </w:r>
      <w:hyperlink r:id="rId9">
        <w:r w:rsidRPr="00B2384D">
          <w:rPr>
            <w:rFonts w:eastAsia="Palatino Linotype" w:cs="Palatino Linotype"/>
            <w:color w:val="0563C1"/>
            <w:u w:val="single"/>
            <w:lang w:eastAsia="es-MX"/>
          </w:rPr>
          <w:t>http://www.apartados.hacienda.gob.mx/contabilidad/documentos/informe_cuenta/1998/cuenta_publica/Glosario/n.htm</w:t>
        </w:r>
      </w:hyperlink>
      <w:r w:rsidRPr="00B2384D">
        <w:rPr>
          <w:rFonts w:eastAsia="Palatino Linotype" w:cs="Palatino Linotype"/>
          <w:color w:val="000000"/>
          <w:lang w:eastAsia="es-MX"/>
        </w:rPr>
        <w:t xml:space="preserve">), establece que la </w:t>
      </w:r>
      <w:r w:rsidRPr="00B2384D">
        <w:rPr>
          <w:rFonts w:eastAsia="Palatino Linotype" w:cs="Palatino Linotype"/>
          <w:b/>
          <w:color w:val="000000"/>
          <w:u w:val="single"/>
          <w:lang w:eastAsia="es-MX"/>
        </w:rPr>
        <w:t>nómina es un listado general</w:t>
      </w:r>
      <w:r w:rsidRPr="00B2384D">
        <w:rPr>
          <w:rFonts w:eastAsia="Palatino Linotype" w:cs="Palatino Linotype"/>
          <w:b/>
          <w:color w:val="000000"/>
          <w:lang w:eastAsia="es-MX"/>
        </w:rPr>
        <w:t xml:space="preserve"> de los trabajadores de una institución, en el cual se asientan las percepciones brutas, deducciones y alcance neto de las mismas.</w:t>
      </w:r>
    </w:p>
    <w:p w14:paraId="01E9A4B7" w14:textId="77777777" w:rsidR="00D5668E" w:rsidRPr="00B2384D" w:rsidRDefault="00D5668E" w:rsidP="00BE0A81">
      <w:pPr>
        <w:spacing w:after="0" w:line="360" w:lineRule="auto"/>
        <w:rPr>
          <w:rFonts w:eastAsia="Palatino Linotype" w:cs="Palatino Linotype"/>
          <w:color w:val="000000"/>
          <w:lang w:eastAsia="es-MX"/>
        </w:rPr>
      </w:pPr>
    </w:p>
    <w:p w14:paraId="7B60AA10" w14:textId="77777777" w:rsidR="00D5668E" w:rsidRPr="00B2384D" w:rsidRDefault="00D5668E"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Conforme a lo anterior, se puede advertir que la nómina se puede referir a lo siguiente:</w:t>
      </w:r>
    </w:p>
    <w:p w14:paraId="466920C0" w14:textId="77777777" w:rsidR="00D5668E" w:rsidRPr="00B2384D" w:rsidRDefault="00D5668E" w:rsidP="00BE0A81">
      <w:pPr>
        <w:spacing w:after="0" w:line="360" w:lineRule="auto"/>
        <w:rPr>
          <w:rFonts w:eastAsia="Palatino Linotype" w:cs="Palatino Linotype"/>
          <w:color w:val="000000"/>
          <w:lang w:eastAsia="es-MX"/>
        </w:rPr>
      </w:pPr>
    </w:p>
    <w:p w14:paraId="4A1A36BF" w14:textId="77777777" w:rsidR="00D5668E" w:rsidRPr="00B2384D" w:rsidRDefault="00D5668E" w:rsidP="00BE0A81">
      <w:pPr>
        <w:numPr>
          <w:ilvl w:val="0"/>
          <w:numId w:val="7"/>
        </w:numPr>
        <w:spacing w:after="0" w:line="360" w:lineRule="auto"/>
        <w:jc w:val="left"/>
        <w:rPr>
          <w:rFonts w:eastAsia="Palatino Linotype" w:cs="Palatino Linotype"/>
          <w:color w:val="000000"/>
          <w:lang w:eastAsia="es-MX"/>
        </w:rPr>
      </w:pPr>
      <w:r w:rsidRPr="00B2384D">
        <w:rPr>
          <w:rFonts w:eastAsia="Palatino Linotype" w:cs="Palatino Linotype"/>
          <w:color w:val="000000"/>
          <w:lang w:eastAsia="es-MX"/>
        </w:rPr>
        <w:t>Relación de trabajadores con las percepciones monetarias de cada uno.</w:t>
      </w:r>
    </w:p>
    <w:p w14:paraId="75972655" w14:textId="77777777" w:rsidR="00D5668E" w:rsidRPr="00B2384D" w:rsidRDefault="00D5668E" w:rsidP="00BE0A81">
      <w:pPr>
        <w:numPr>
          <w:ilvl w:val="0"/>
          <w:numId w:val="7"/>
        </w:numPr>
        <w:spacing w:after="0" w:line="360" w:lineRule="auto"/>
        <w:jc w:val="left"/>
        <w:rPr>
          <w:rFonts w:eastAsia="Palatino Linotype" w:cs="Palatino Linotype"/>
          <w:color w:val="000000"/>
          <w:lang w:eastAsia="es-MX"/>
        </w:rPr>
      </w:pPr>
      <w:r w:rsidRPr="00B2384D">
        <w:rPr>
          <w:rFonts w:eastAsia="Palatino Linotype" w:cs="Palatino Linotype"/>
          <w:color w:val="000000"/>
          <w:lang w:eastAsia="es-MX"/>
        </w:rPr>
        <w:t>Recibo individual que contiene las prestaciones y deducciones de un trabajador.</w:t>
      </w:r>
    </w:p>
    <w:p w14:paraId="0794B496" w14:textId="77777777" w:rsidR="00D5668E" w:rsidRPr="00B2384D" w:rsidRDefault="00D5668E" w:rsidP="00BE0A81">
      <w:pPr>
        <w:numPr>
          <w:ilvl w:val="0"/>
          <w:numId w:val="7"/>
        </w:numPr>
        <w:spacing w:after="0" w:line="360" w:lineRule="auto"/>
        <w:jc w:val="left"/>
        <w:rPr>
          <w:rFonts w:eastAsia="Palatino Linotype" w:cs="Palatino Linotype"/>
          <w:b/>
          <w:color w:val="000000"/>
          <w:lang w:eastAsia="es-MX"/>
        </w:rPr>
      </w:pPr>
      <w:r w:rsidRPr="00B2384D">
        <w:rPr>
          <w:rFonts w:eastAsia="Palatino Linotype" w:cs="Palatino Linotype"/>
          <w:b/>
          <w:color w:val="000000"/>
          <w:lang w:eastAsia="es-MX"/>
        </w:rPr>
        <w:t>Listado general de los servidores públicos de una institución o dependencia, en el cual se asientan las percepciones brutas, deducciones y alcance neto de las mismas.</w:t>
      </w:r>
    </w:p>
    <w:p w14:paraId="6EE0A094" w14:textId="77777777" w:rsidR="00D5668E" w:rsidRPr="00B2384D" w:rsidRDefault="00D5668E" w:rsidP="00BE0A81">
      <w:pPr>
        <w:spacing w:after="0" w:line="360" w:lineRule="auto"/>
        <w:rPr>
          <w:rFonts w:eastAsia="Palatino Linotype" w:cs="Palatino Linotype"/>
          <w:color w:val="000000"/>
          <w:lang w:eastAsia="es-MX"/>
        </w:rPr>
      </w:pPr>
    </w:p>
    <w:p w14:paraId="67EA2562" w14:textId="52C57E85" w:rsidR="00C9677D" w:rsidRPr="00B2384D" w:rsidRDefault="00C9677D" w:rsidP="00BE0A81">
      <w:pPr>
        <w:spacing w:after="0" w:line="360" w:lineRule="auto"/>
      </w:pPr>
      <w:r w:rsidRPr="00B2384D">
        <w:t xml:space="preserve">En ese orden de ideas, las Políticas para la Integración del Informe Trimestral de los Sujetos de Fiscalización </w:t>
      </w:r>
      <w:r w:rsidR="0052544D" w:rsidRPr="00B2384D">
        <w:t>Municipales</w:t>
      </w:r>
      <w:r w:rsidRPr="00B2384D">
        <w:t xml:space="preserve"> para el </w:t>
      </w:r>
      <w:r w:rsidR="0052544D" w:rsidRPr="00B2384D">
        <w:t>Ejercicio 2021</w:t>
      </w:r>
      <w:r w:rsidRPr="00B2384D">
        <w:t xml:space="preserve">, entre los formatos que maneja en </w:t>
      </w:r>
      <w:r w:rsidRPr="00B2384D">
        <w:rPr>
          <w:b/>
        </w:rPr>
        <w:t>el Módulo 4</w:t>
      </w:r>
      <w:r w:rsidRPr="00B2384D">
        <w:t xml:space="preserve">, se advierte que se encuentra la </w:t>
      </w:r>
      <w:r w:rsidRPr="00B2384D">
        <w:rPr>
          <w:b/>
        </w:rPr>
        <w:t>Conciliación de Nómina Mensual y el Comprobante Dispersión de Nómina</w:t>
      </w:r>
      <w:r w:rsidRPr="00B2384D">
        <w:t>, misma que será entregada al Órgano Superior de Fiscalización del Estado de México, que contiene todas las percepciones y deducciones que recibe cada servidor público</w:t>
      </w:r>
      <w:r w:rsidR="0052544D" w:rsidRPr="00B2384D">
        <w:t>, tal como se muestra a continuación:</w:t>
      </w:r>
    </w:p>
    <w:p w14:paraId="238A4622" w14:textId="77777777" w:rsidR="0052544D" w:rsidRPr="00B2384D" w:rsidRDefault="0052544D" w:rsidP="00BE0A81">
      <w:pPr>
        <w:spacing w:after="0" w:line="360" w:lineRule="auto"/>
      </w:pPr>
    </w:p>
    <w:p w14:paraId="4E09B469" w14:textId="3A3776F3" w:rsidR="0052544D" w:rsidRPr="00B2384D" w:rsidRDefault="0052544D" w:rsidP="00BE0A81">
      <w:pPr>
        <w:spacing w:after="0" w:line="360" w:lineRule="auto"/>
        <w:rPr>
          <w:rFonts w:eastAsia="Palatino Linotype" w:cs="Palatino Linotype"/>
          <w:lang w:eastAsia="es-MX"/>
        </w:rPr>
      </w:pPr>
      <w:r w:rsidRPr="00B2384D">
        <w:rPr>
          <w:rFonts w:eastAsia="Palatino Linotype" w:cs="Palatino Linotype"/>
          <w:noProof/>
          <w:lang w:eastAsia="es-MX"/>
        </w:rPr>
        <w:lastRenderedPageBreak/>
        <w:drawing>
          <wp:inline distT="0" distB="0" distL="0" distR="0" wp14:anchorId="7CDB1AC5" wp14:editId="5325A8F9">
            <wp:extent cx="5671185" cy="1044575"/>
            <wp:effectExtent l="0" t="0" r="5715" b="3175"/>
            <wp:docPr id="482316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16445" name=""/>
                    <pic:cNvPicPr/>
                  </pic:nvPicPr>
                  <pic:blipFill>
                    <a:blip r:embed="rId10"/>
                    <a:stretch>
                      <a:fillRect/>
                    </a:stretch>
                  </pic:blipFill>
                  <pic:spPr>
                    <a:xfrm>
                      <a:off x="0" y="0"/>
                      <a:ext cx="5671185" cy="1044575"/>
                    </a:xfrm>
                    <a:prstGeom prst="rect">
                      <a:avLst/>
                    </a:prstGeom>
                  </pic:spPr>
                </pic:pic>
              </a:graphicData>
            </a:graphic>
          </wp:inline>
        </w:drawing>
      </w:r>
    </w:p>
    <w:p w14:paraId="6F95E958" w14:textId="77777777" w:rsidR="00D5668E" w:rsidRPr="00B2384D" w:rsidRDefault="00D5668E" w:rsidP="00BE0A81">
      <w:pPr>
        <w:spacing w:after="0" w:line="360" w:lineRule="auto"/>
        <w:rPr>
          <w:rFonts w:eastAsia="Palatino Linotype" w:cs="Palatino Linotype"/>
          <w:color w:val="000000"/>
          <w:lang w:eastAsia="es-MX"/>
        </w:rPr>
      </w:pPr>
    </w:p>
    <w:p w14:paraId="3B108011" w14:textId="77777777" w:rsidR="000064DB" w:rsidRPr="00B2384D" w:rsidRDefault="000064DB" w:rsidP="00BE0A81">
      <w:pPr>
        <w:tabs>
          <w:tab w:val="center" w:pos="4522"/>
        </w:tabs>
        <w:spacing w:after="0" w:line="360" w:lineRule="auto"/>
        <w:rPr>
          <w:rFonts w:eastAsia="Palatino Linotype" w:cs="Palatino Linotype"/>
          <w:color w:val="000000"/>
          <w:lang w:eastAsia="es-MX"/>
        </w:rPr>
      </w:pPr>
      <w:r w:rsidRPr="00B2384D">
        <w:rPr>
          <w:rFonts w:eastAsia="Palatino Linotype" w:cs="Palatino Linotype"/>
          <w:color w:val="000000"/>
          <w:lang w:eastAsia="es-MX"/>
        </w:rPr>
        <w:t>Conforme a lo anterior, se logra vislumbrar que la pretensión del ahora recurrente es obtener:</w:t>
      </w:r>
    </w:p>
    <w:p w14:paraId="191A775C" w14:textId="77777777" w:rsidR="009E239D" w:rsidRPr="00B2384D" w:rsidRDefault="009E239D" w:rsidP="00BE0A81">
      <w:pPr>
        <w:spacing w:after="0" w:line="360" w:lineRule="auto"/>
        <w:rPr>
          <w:rFonts w:eastAsia="Times New Roman" w:cs="Tahoma"/>
          <w:bCs/>
          <w:iCs/>
          <w:color w:val="FF0000"/>
          <w:lang w:eastAsia="es-ES"/>
        </w:rPr>
      </w:pPr>
    </w:p>
    <w:p w14:paraId="5F608779" w14:textId="6F4E00B7" w:rsidR="000064DB" w:rsidRPr="00B2384D" w:rsidRDefault="000064DB" w:rsidP="00BE0A81">
      <w:pPr>
        <w:pStyle w:val="Prrafodelista"/>
        <w:numPr>
          <w:ilvl w:val="0"/>
          <w:numId w:val="20"/>
        </w:numPr>
        <w:spacing w:after="0" w:line="360" w:lineRule="auto"/>
        <w:rPr>
          <w:rFonts w:cs="Tahoma"/>
          <w:color w:val="auto"/>
        </w:rPr>
      </w:pPr>
      <w:r w:rsidRPr="00B2384D">
        <w:rPr>
          <w:rFonts w:cs="Tahoma"/>
          <w:color w:val="auto"/>
        </w:rPr>
        <w:t xml:space="preserve">La </w:t>
      </w:r>
      <w:r w:rsidR="0052544D" w:rsidRPr="00B2384D">
        <w:rPr>
          <w:rFonts w:cs="Tahoma"/>
          <w:color w:val="auto"/>
        </w:rPr>
        <w:t>C</w:t>
      </w:r>
      <w:r w:rsidRPr="00B2384D">
        <w:rPr>
          <w:rFonts w:cs="Tahoma"/>
          <w:color w:val="auto"/>
        </w:rPr>
        <w:t xml:space="preserve">onciliación de </w:t>
      </w:r>
      <w:r w:rsidR="0052544D" w:rsidRPr="00B2384D">
        <w:rPr>
          <w:rFonts w:cs="Tahoma"/>
          <w:color w:val="auto"/>
        </w:rPr>
        <w:t>N</w:t>
      </w:r>
      <w:r w:rsidRPr="00B2384D">
        <w:rPr>
          <w:rFonts w:cs="Tahoma"/>
          <w:color w:val="auto"/>
        </w:rPr>
        <w:t>ómina</w:t>
      </w:r>
      <w:r w:rsidR="0052544D" w:rsidRPr="00B2384D">
        <w:rPr>
          <w:rFonts w:cs="Tahoma"/>
          <w:color w:val="auto"/>
        </w:rPr>
        <w:t xml:space="preserve"> Mensual, </w:t>
      </w:r>
      <w:r w:rsidRPr="00B2384D">
        <w:rPr>
          <w:rFonts w:cs="Tahoma"/>
          <w:color w:val="auto"/>
        </w:rPr>
        <w:t>de octubre, noviembre y diciembre de dos mil veintiuno.</w:t>
      </w:r>
    </w:p>
    <w:p w14:paraId="153A12A3" w14:textId="6DA9EF3E" w:rsidR="000064DB" w:rsidRPr="00B2384D" w:rsidRDefault="0052544D" w:rsidP="00BE0A81">
      <w:pPr>
        <w:pStyle w:val="Prrafodelista"/>
        <w:numPr>
          <w:ilvl w:val="0"/>
          <w:numId w:val="20"/>
        </w:numPr>
        <w:spacing w:after="0" w:line="360" w:lineRule="auto"/>
        <w:rPr>
          <w:rFonts w:cs="Tahoma"/>
          <w:color w:val="auto"/>
        </w:rPr>
      </w:pPr>
      <w:r w:rsidRPr="00B2384D">
        <w:rPr>
          <w:rFonts w:cs="Tahoma"/>
          <w:color w:val="auto"/>
        </w:rPr>
        <w:t>El Comprobante Bancario de la Dispersión de la Nómina</w:t>
      </w:r>
      <w:r w:rsidR="000064DB" w:rsidRPr="00B2384D">
        <w:rPr>
          <w:rFonts w:cs="Tahoma"/>
          <w:color w:val="auto"/>
        </w:rPr>
        <w:t xml:space="preserve"> </w:t>
      </w:r>
      <w:r w:rsidRPr="00B2384D">
        <w:rPr>
          <w:rFonts w:cs="Tahoma"/>
          <w:color w:val="auto"/>
        </w:rPr>
        <w:t>de la primera quincena de octubre a la segunda de diciembre de dos mil veintiuno.</w:t>
      </w:r>
    </w:p>
    <w:p w14:paraId="778FF7CA" w14:textId="77777777" w:rsidR="000064DB" w:rsidRPr="00B2384D" w:rsidRDefault="000064DB" w:rsidP="00BE0A81">
      <w:pPr>
        <w:spacing w:after="0" w:line="360" w:lineRule="auto"/>
        <w:rPr>
          <w:rFonts w:eastAsia="Times New Roman" w:cs="Tahoma"/>
          <w:bCs/>
          <w:iCs/>
          <w:color w:val="FF0000"/>
          <w:lang w:eastAsia="es-ES"/>
        </w:rPr>
      </w:pPr>
    </w:p>
    <w:p w14:paraId="320D90B9" w14:textId="7118C034" w:rsidR="000064DB" w:rsidRPr="00B2384D" w:rsidRDefault="000064DB" w:rsidP="00BE0A81">
      <w:pPr>
        <w:spacing w:after="0" w:line="360" w:lineRule="auto"/>
        <w:rPr>
          <w:rFonts w:eastAsia="Times New Roman" w:cs="Tahoma"/>
          <w:bCs/>
          <w:iCs/>
          <w:color w:val="auto"/>
          <w:lang w:eastAsia="es-ES"/>
        </w:rPr>
      </w:pPr>
      <w:r w:rsidRPr="00B2384D">
        <w:rPr>
          <w:rFonts w:eastAsia="Times New Roman" w:cs="Tahoma"/>
          <w:bCs/>
          <w:iCs/>
          <w:color w:val="auto"/>
          <w:lang w:eastAsia="es-ES"/>
        </w:rPr>
        <w:t xml:space="preserve">Ahora bien, se procede analizar la información proporcionada por el Sujeto Obligado, para lo cual, cabe señalar que este, turnó la solicitud de información, a la </w:t>
      </w:r>
      <w:r w:rsidRPr="00B2384D">
        <w:rPr>
          <w:rFonts w:eastAsia="Times New Roman" w:cs="Tahoma"/>
          <w:b/>
          <w:bCs/>
          <w:iCs/>
          <w:color w:val="auto"/>
          <w:lang w:eastAsia="es-ES"/>
        </w:rPr>
        <w:t>Tesorería Municipal y a la Subdirección de Recursos Humanos</w:t>
      </w:r>
      <w:r w:rsidRPr="00B2384D">
        <w:rPr>
          <w:rFonts w:eastAsia="Times New Roman" w:cs="Tahoma"/>
          <w:bCs/>
          <w:iCs/>
          <w:color w:val="auto"/>
          <w:lang w:eastAsia="es-ES"/>
        </w:rPr>
        <w:t xml:space="preserve">; por lo que, resulta necesario hacer referencia al procedimiento de búsqueda que deben de seguir los Sujetos Obligados para localizar la información, el cual se encuentra previsto </w:t>
      </w:r>
      <w:r w:rsidR="0052544D" w:rsidRPr="00B2384D">
        <w:rPr>
          <w:rFonts w:eastAsia="Times New Roman" w:cs="Tahoma"/>
          <w:bCs/>
          <w:iCs/>
          <w:color w:val="auto"/>
          <w:lang w:eastAsia="es-ES"/>
        </w:rPr>
        <w:t>en el artículo</w:t>
      </w:r>
      <w:r w:rsidRPr="00B2384D">
        <w:rPr>
          <w:rFonts w:eastAsia="Times New Roman" w:cs="Tahoma"/>
          <w:bCs/>
          <w:iCs/>
          <w:color w:val="auto"/>
          <w:lang w:eastAsia="es-ES"/>
        </w:rPr>
        <w:t xml:space="preserve"> 162 de la Ley de Transparencia y Acceso a la Información Pública del Estado de México y Municipios, </w:t>
      </w:r>
      <w:r w:rsidR="0052544D" w:rsidRPr="00B2384D">
        <w:rPr>
          <w:rFonts w:eastAsia="Times New Roman" w:cs="Tahoma"/>
          <w:bCs/>
          <w:iCs/>
          <w:color w:val="auto"/>
          <w:lang w:eastAsia="es-ES"/>
        </w:rPr>
        <w:t>el cual establece que las</w:t>
      </w:r>
      <w:r w:rsidRPr="00B2384D">
        <w:rPr>
          <w:rFonts w:eastAsia="Times New Roman" w:cs="Tahoma"/>
          <w:bCs/>
          <w:iCs/>
          <w:color w:val="auto"/>
          <w:lang w:eastAsia="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52544D" w:rsidRPr="00B2384D">
        <w:rPr>
          <w:rFonts w:eastAsia="Times New Roman" w:cs="Tahoma"/>
          <w:bCs/>
          <w:iCs/>
          <w:color w:val="auto"/>
          <w:lang w:eastAsia="es-ES"/>
        </w:rPr>
        <w:t>.</w:t>
      </w:r>
    </w:p>
    <w:p w14:paraId="4D75DBDA" w14:textId="77777777" w:rsidR="000064DB" w:rsidRPr="00B2384D" w:rsidRDefault="000064DB" w:rsidP="00BE0A81">
      <w:pPr>
        <w:spacing w:after="0" w:line="360" w:lineRule="auto"/>
        <w:rPr>
          <w:rFonts w:eastAsia="Times New Roman" w:cs="Tahoma"/>
          <w:bCs/>
          <w:iCs/>
          <w:color w:val="auto"/>
          <w:lang w:eastAsia="es-ES"/>
        </w:rPr>
      </w:pPr>
    </w:p>
    <w:p w14:paraId="2761B474" w14:textId="224CA4B2" w:rsidR="009E239D" w:rsidRPr="00B2384D" w:rsidRDefault="0052544D" w:rsidP="00BE0A81">
      <w:pPr>
        <w:spacing w:after="0" w:line="360" w:lineRule="auto"/>
        <w:rPr>
          <w:rFonts w:eastAsia="Times New Roman" w:cs="Tahoma"/>
          <w:bCs/>
          <w:iCs/>
          <w:color w:val="auto"/>
          <w:lang w:eastAsia="es-ES"/>
        </w:rPr>
      </w:pPr>
      <w:r w:rsidRPr="00B2384D">
        <w:rPr>
          <w:rFonts w:eastAsia="Times New Roman" w:cs="Tahoma"/>
          <w:bCs/>
          <w:iCs/>
          <w:color w:val="auto"/>
          <w:lang w:eastAsia="es-ES"/>
        </w:rPr>
        <w:t>Así</w:t>
      </w:r>
      <w:r w:rsidR="000064DB" w:rsidRPr="00B2384D">
        <w:rPr>
          <w:rFonts w:eastAsia="Times New Roman" w:cs="Tahoma"/>
          <w:bCs/>
          <w:iCs/>
          <w:color w:val="auto"/>
          <w:lang w:eastAsia="es-ES"/>
        </w:rPr>
        <w:t>, a efecto de determinar si el Sujeto Obligado cumplió con el procedimiento de búsqueda, resulta necesario traer a colación</w:t>
      </w:r>
      <w:r w:rsidR="00405661" w:rsidRPr="00B2384D">
        <w:rPr>
          <w:rFonts w:eastAsia="Times New Roman" w:cs="Tahoma"/>
          <w:bCs/>
          <w:iCs/>
          <w:color w:val="auto"/>
          <w:lang w:eastAsia="es-ES"/>
        </w:rPr>
        <w:t xml:space="preserve"> el Bando Municipal de Naucalpan de Juárez de dos mil veinticuatro, el cual en su artículo 69 establece que la Tesorería tendrá a su cargo la </w:t>
      </w:r>
      <w:r w:rsidR="00405661" w:rsidRPr="00B2384D">
        <w:lastRenderedPageBreak/>
        <w:t>recaudación de los ingresos del Municipio, conducir la disciplina presupuestal de la Administración Pública Municipal y coordinar las diferentes fuentes de captación de ingresos, en coordinación con las entidades federales, estatales y municipales, buscando lograr la realización de los objetivos considerados en el Plan de Desarrollo Municipal, a través de una adecuada implementación de los procesos de planeación y presupuestación del gasto público del Municipio, para la correcta administración de la Hacienda Municipal.</w:t>
      </w:r>
    </w:p>
    <w:p w14:paraId="6A548A2C" w14:textId="77777777" w:rsidR="009E239D" w:rsidRPr="00B2384D" w:rsidRDefault="009E239D" w:rsidP="00BE0A81">
      <w:pPr>
        <w:spacing w:after="0" w:line="360" w:lineRule="auto"/>
        <w:rPr>
          <w:rFonts w:eastAsia="Times New Roman" w:cs="Tahoma"/>
          <w:bCs/>
          <w:iCs/>
          <w:color w:val="auto"/>
          <w:lang w:eastAsia="es-ES"/>
        </w:rPr>
      </w:pPr>
    </w:p>
    <w:p w14:paraId="5B6B145F" w14:textId="72A8E6E2" w:rsidR="005778FA" w:rsidRPr="00B2384D" w:rsidRDefault="005778FA" w:rsidP="00BE0A81">
      <w:pPr>
        <w:spacing w:after="0" w:line="360" w:lineRule="auto"/>
        <w:rPr>
          <w:b/>
        </w:rPr>
      </w:pPr>
      <w:r w:rsidRPr="00B2384D">
        <w:rPr>
          <w:rFonts w:eastAsia="Times New Roman" w:cs="Tahoma"/>
          <w:bCs/>
          <w:iCs/>
          <w:color w:val="auto"/>
          <w:lang w:eastAsia="es-ES"/>
        </w:rPr>
        <w:t xml:space="preserve">Así mismo, se encarga de </w:t>
      </w:r>
      <w:r w:rsidRPr="00B2384D">
        <w:t xml:space="preserve"> </w:t>
      </w:r>
      <w:r w:rsidRPr="00B2384D">
        <w:rPr>
          <w:b/>
        </w:rPr>
        <w:t>la elaboración den los informes de la situación financiera del Ayuntamiento que son presentados a la ciudadanía y al Órgano Superior de Fiscalización del Poder Legislativo del Estado</w:t>
      </w:r>
      <w:r w:rsidR="00266431" w:rsidRPr="00B2384D">
        <w:rPr>
          <w:b/>
        </w:rPr>
        <w:t>.</w:t>
      </w:r>
    </w:p>
    <w:p w14:paraId="4AA86035" w14:textId="77777777" w:rsidR="00D40A94" w:rsidRPr="00B2384D" w:rsidRDefault="00D40A94" w:rsidP="00BE0A81">
      <w:pPr>
        <w:spacing w:after="0" w:line="360" w:lineRule="auto"/>
        <w:rPr>
          <w:b/>
        </w:rPr>
      </w:pPr>
    </w:p>
    <w:p w14:paraId="5DF01EA8" w14:textId="60C8F306" w:rsidR="001861F0" w:rsidRPr="00B2384D" w:rsidRDefault="00D40A94" w:rsidP="00BE0A81">
      <w:pPr>
        <w:spacing w:after="0" w:line="360" w:lineRule="auto"/>
      </w:pPr>
      <w:r w:rsidRPr="00B2384D">
        <w:t xml:space="preserve">En ese contexto, el Manual de Organización de la Tesorería Municipal de Naucalpan de Juárez de la Administración Pública dos mil veintidós dos mil veinticuatro, establece que la Tesorería Municipal a través de la </w:t>
      </w:r>
      <w:r w:rsidRPr="00B2384D">
        <w:rPr>
          <w:b/>
        </w:rPr>
        <w:t xml:space="preserve">Caja General, </w:t>
      </w:r>
      <w:r w:rsidRPr="00B2384D">
        <w:t>se encarga de realizar dispersiones de nómina</w:t>
      </w:r>
      <w:r w:rsidR="00684121" w:rsidRPr="00B2384D">
        <w:t>.</w:t>
      </w:r>
    </w:p>
    <w:p w14:paraId="4072959F" w14:textId="77777777" w:rsidR="00266431" w:rsidRPr="00B2384D" w:rsidRDefault="00266431" w:rsidP="00BE0A81">
      <w:pPr>
        <w:spacing w:after="0" w:line="360" w:lineRule="auto"/>
        <w:rPr>
          <w:b/>
        </w:rPr>
      </w:pPr>
    </w:p>
    <w:p w14:paraId="374B28B0" w14:textId="14A2C452" w:rsidR="00C47AF4" w:rsidRPr="00B2384D" w:rsidRDefault="00C47AF4" w:rsidP="00BE0A81">
      <w:pPr>
        <w:spacing w:after="0" w:line="360" w:lineRule="auto"/>
      </w:pPr>
      <w:r w:rsidRPr="00B2384D">
        <w:t>Por su parte el Manual de Organización de la Dirección General de Administración de Naucalpan de Juárez, aplicable, el cual en su artículo 3 establece que dicha Dirección es una Dependencia de la Administración Pública Municipal Centralizada del Municipio, y tendrá a su cargo brindar el soporte material, técnico, humano, administrativo, así como organizacional, que permita a los servidores públicos de la Administración Pública Municipal Centralizada, atender las demandas ciudadanas y cumplir con sus atribuciones, así como para optimizar las funciones de la misma.</w:t>
      </w:r>
    </w:p>
    <w:p w14:paraId="33576B02" w14:textId="77777777" w:rsidR="007A62CC" w:rsidRPr="00B2384D" w:rsidRDefault="007A62CC" w:rsidP="00BE0A81">
      <w:pPr>
        <w:spacing w:after="0" w:line="360" w:lineRule="auto"/>
      </w:pPr>
    </w:p>
    <w:p w14:paraId="25C120E1" w14:textId="61D33F97" w:rsidR="007A62CC" w:rsidRPr="00B2384D" w:rsidRDefault="007A62CC" w:rsidP="00BE0A81">
      <w:pPr>
        <w:spacing w:after="0" w:line="360" w:lineRule="auto"/>
      </w:pPr>
      <w:r w:rsidRPr="00B2384D">
        <w:t xml:space="preserve">En ese contexto el dicho Manual, establece que la Subdirección de Recursos Humanos </w:t>
      </w:r>
      <w:r w:rsidR="0052544D" w:rsidRPr="00B2384D">
        <w:t>encargada,</w:t>
      </w:r>
      <w:r w:rsidR="001861F0" w:rsidRPr="00B2384D">
        <w:t xml:space="preserve"> entre otras cosas de </w:t>
      </w:r>
      <w:r w:rsidR="001861F0" w:rsidRPr="00B2384D">
        <w:rPr>
          <w:b/>
        </w:rPr>
        <w:t xml:space="preserve">supervisar la debida elaboración, dispersión y pago de las </w:t>
      </w:r>
      <w:r w:rsidR="001861F0" w:rsidRPr="00B2384D">
        <w:rPr>
          <w:b/>
        </w:rPr>
        <w:lastRenderedPageBreak/>
        <w:t xml:space="preserve">nóminas, </w:t>
      </w:r>
      <w:r w:rsidR="001861F0" w:rsidRPr="00B2384D">
        <w:t xml:space="preserve">la cual conforme al artículo 16 cuenta con un </w:t>
      </w:r>
      <w:r w:rsidR="001861F0" w:rsidRPr="00B2384D">
        <w:rPr>
          <w:b/>
        </w:rPr>
        <w:t xml:space="preserve">Departamento de Nóminas </w:t>
      </w:r>
      <w:r w:rsidR="001861F0" w:rsidRPr="00B2384D">
        <w:t xml:space="preserve">la cual se encarga de elaborar, calcular y emitir cada una de las nóminas, distribuir las nóminas a cada una de las Dependencias a través de las Coordinaciones Administrativas y </w:t>
      </w:r>
      <w:r w:rsidR="001861F0" w:rsidRPr="00B2384D">
        <w:rPr>
          <w:b/>
        </w:rPr>
        <w:t>confirmar la dispersión de la nómina en caja.</w:t>
      </w:r>
    </w:p>
    <w:p w14:paraId="4845B77D" w14:textId="77777777" w:rsidR="009E239D" w:rsidRPr="00B2384D" w:rsidRDefault="009E239D" w:rsidP="00BE0A81">
      <w:pPr>
        <w:spacing w:after="0" w:line="360" w:lineRule="auto"/>
        <w:rPr>
          <w:rFonts w:eastAsia="Times New Roman" w:cs="Tahoma"/>
          <w:bCs/>
          <w:iCs/>
          <w:color w:val="FF0000"/>
          <w:lang w:eastAsia="es-ES"/>
        </w:rPr>
      </w:pPr>
    </w:p>
    <w:p w14:paraId="4428B51C" w14:textId="68B8D58D" w:rsidR="005C3FCC" w:rsidRPr="00B2384D" w:rsidRDefault="00684121" w:rsidP="00BE0A81">
      <w:pPr>
        <w:spacing w:after="0" w:line="360" w:lineRule="auto"/>
        <w:ind w:right="-93"/>
      </w:pPr>
      <w:r w:rsidRPr="00B2384D">
        <w:rPr>
          <w:rFonts w:eastAsia="Palatino Linotype" w:cs="Palatino Linotype"/>
          <w:color w:val="000000"/>
          <w:lang w:eastAsia="es-MX"/>
        </w:rPr>
        <w:t>Así, se advierte que el Sujeto Obligado cumplió con el procedimiento de búsqueda referido, al turnar la solicitud de información a las áreas competentes para conocer sobre el procesamiento de las nóminas quincenales para efectuar el pago de los servidores públicos y realizar las dispersiones de nómina e informes presentados a</w:t>
      </w:r>
      <w:r w:rsidR="00F6609C" w:rsidRPr="00B2384D">
        <w:rPr>
          <w:rFonts w:eastAsia="Palatino Linotype" w:cs="Palatino Linotype"/>
          <w:color w:val="000000"/>
          <w:lang w:eastAsia="es-MX"/>
        </w:rPr>
        <w:t xml:space="preserve">l </w:t>
      </w:r>
      <w:r w:rsidRPr="00B2384D">
        <w:t>Órgano Superior de Fiscalización del Estado de México.</w:t>
      </w:r>
    </w:p>
    <w:p w14:paraId="359D19C4" w14:textId="77777777" w:rsidR="009E239D" w:rsidRPr="00B2384D" w:rsidRDefault="009E239D" w:rsidP="00BE0A81">
      <w:pPr>
        <w:spacing w:after="0" w:line="360" w:lineRule="auto"/>
        <w:rPr>
          <w:rFonts w:eastAsia="Times New Roman" w:cs="Tahoma"/>
          <w:bCs/>
          <w:iCs/>
          <w:color w:val="FF0000"/>
          <w:lang w:eastAsia="es-ES"/>
        </w:rPr>
      </w:pPr>
    </w:p>
    <w:p w14:paraId="3C8AB1D9" w14:textId="03E78BE0" w:rsidR="00225F5F" w:rsidRPr="00B2384D" w:rsidRDefault="005C3FCC" w:rsidP="00BE0A81">
      <w:pPr>
        <w:spacing w:after="0" w:line="360" w:lineRule="auto"/>
      </w:pPr>
      <w:r w:rsidRPr="00B2384D">
        <w:rPr>
          <w:color w:val="000000"/>
        </w:rPr>
        <w:t>Así, se procede analizar la información entregada por el Sujeto Obligado,</w:t>
      </w:r>
      <w:r w:rsidR="00225F5F" w:rsidRPr="00B2384D">
        <w:rPr>
          <w:color w:val="000000"/>
        </w:rPr>
        <w:t xml:space="preserve"> al respecto</w:t>
      </w:r>
      <w:r w:rsidR="00225F5F" w:rsidRPr="00B2384D">
        <w:rPr>
          <w:rFonts w:cs="Tahoma"/>
          <w:bCs/>
          <w:iCs/>
          <w:color w:val="auto"/>
          <w:lang w:val="es-ES"/>
        </w:rPr>
        <w:t xml:space="preserve"> la </w:t>
      </w:r>
      <w:r w:rsidR="00225F5F" w:rsidRPr="00B2384D">
        <w:rPr>
          <w:rFonts w:cs="Tahoma"/>
          <w:b/>
          <w:bCs/>
          <w:iCs/>
          <w:color w:val="auto"/>
          <w:lang w:val="es-ES"/>
        </w:rPr>
        <w:t xml:space="preserve">Tesorería Municipal, </w:t>
      </w:r>
      <w:r w:rsidR="00225F5F" w:rsidRPr="00B2384D">
        <w:rPr>
          <w:rFonts w:cs="Tahoma"/>
          <w:bCs/>
          <w:iCs/>
          <w:color w:val="auto"/>
          <w:lang w:val="es-ES"/>
        </w:rPr>
        <w:t>refirió que dicha dependencia no genera</w:t>
      </w:r>
      <w:r w:rsidR="0052544D" w:rsidRPr="00B2384D">
        <w:rPr>
          <w:rFonts w:cs="Tahoma"/>
          <w:bCs/>
          <w:iCs/>
          <w:color w:val="auto"/>
          <w:lang w:val="es-ES"/>
        </w:rPr>
        <w:t>ba</w:t>
      </w:r>
      <w:r w:rsidR="00225F5F" w:rsidRPr="00B2384D">
        <w:rPr>
          <w:rFonts w:cs="Tahoma"/>
          <w:bCs/>
          <w:iCs/>
          <w:color w:val="auto"/>
          <w:lang w:val="es-ES"/>
        </w:rPr>
        <w:t xml:space="preserve"> la información solicitada, por lo que se sugería remitir la solicitud de información a la Dirección General de Administración, sin embargo</w:t>
      </w:r>
      <w:r w:rsidR="00530957" w:rsidRPr="00B2384D">
        <w:rPr>
          <w:rFonts w:cs="Tahoma"/>
          <w:bCs/>
          <w:iCs/>
          <w:color w:val="auto"/>
          <w:lang w:val="es-ES"/>
        </w:rPr>
        <w:t>,</w:t>
      </w:r>
      <w:r w:rsidR="00225F5F" w:rsidRPr="00B2384D">
        <w:rPr>
          <w:rFonts w:cs="Tahoma"/>
          <w:bCs/>
          <w:iCs/>
          <w:color w:val="auto"/>
          <w:lang w:val="es-ES"/>
        </w:rPr>
        <w:t xml:space="preserve"> de acuerdo a lo establecido en párrafos anteriores se advierte que la Tesorería Municipal se encarga de realizar las </w:t>
      </w:r>
      <w:r w:rsidR="00225F5F" w:rsidRPr="00B2384D">
        <w:t>dispersiones de nómina y elaborar los informes que son remitidos al  Órgano Superior de Fiscalización del Estado de México, mismos que contienen la información solicitada por el particular</w:t>
      </w:r>
      <w:r w:rsidR="00530957" w:rsidRPr="00B2384D">
        <w:t xml:space="preserve"> y por lo tanto podía atender el Requerimiento formulado por el Particular.</w:t>
      </w:r>
    </w:p>
    <w:p w14:paraId="4AEAFB30" w14:textId="77777777" w:rsidR="00530957" w:rsidRPr="00B2384D" w:rsidRDefault="00530957" w:rsidP="00BE0A81">
      <w:pPr>
        <w:spacing w:after="0" w:line="360" w:lineRule="auto"/>
      </w:pPr>
    </w:p>
    <w:p w14:paraId="64C05033" w14:textId="4E967F2C" w:rsidR="00626EED" w:rsidRPr="00B2384D" w:rsidRDefault="0040737B" w:rsidP="00BE0A81">
      <w:pPr>
        <w:spacing w:after="0" w:line="360" w:lineRule="auto"/>
        <w:rPr>
          <w:rFonts w:eastAsia="Calibri" w:cs="Times New Roman"/>
          <w:color w:val="000000"/>
          <w:lang w:eastAsia="es-MX"/>
        </w:rPr>
      </w:pPr>
      <w:r w:rsidRPr="00B2384D">
        <w:t xml:space="preserve">Ahora bien, </w:t>
      </w:r>
      <w:r w:rsidR="00626EED" w:rsidRPr="00B2384D">
        <w:t xml:space="preserve">tanto en respuesta, como Informe Justificado, </w:t>
      </w:r>
      <w:r w:rsidRPr="00B2384D">
        <w:t xml:space="preserve">la </w:t>
      </w:r>
      <w:r w:rsidRPr="00B2384D">
        <w:rPr>
          <w:rFonts w:cs="Tahoma"/>
          <w:iCs/>
          <w:color w:val="auto"/>
          <w:lang w:val="es-ES"/>
        </w:rPr>
        <w:t xml:space="preserve">Subdirección de Recursos Humanos </w:t>
      </w:r>
      <w:r w:rsidR="00626EED" w:rsidRPr="00B2384D">
        <w:rPr>
          <w:rFonts w:cs="Tahoma"/>
          <w:iCs/>
          <w:color w:val="auto"/>
          <w:lang w:val="es-ES"/>
        </w:rPr>
        <w:t xml:space="preserve">omitió pronunciarse sobre el Comprobante Bancario de Dispersión de Nómina; </w:t>
      </w:r>
      <w:r w:rsidR="00626EED" w:rsidRPr="00B2384D">
        <w:rPr>
          <w:rFonts w:eastAsia="Times New Roman" w:cs="Tahoma"/>
          <w:bCs/>
          <w:color w:val="0D0D0D"/>
          <w:szCs w:val="24"/>
          <w:lang w:val="es-ES" w:eastAsia="es-ES"/>
        </w:rPr>
        <w:t xml:space="preserve"> </w:t>
      </w:r>
      <w:r w:rsidR="00626EED" w:rsidRPr="00B2384D">
        <w:rPr>
          <w:rFonts w:eastAsia="Calibri" w:cs="Tahoma"/>
          <w:bCs/>
          <w:iCs/>
          <w:color w:val="000000"/>
          <w:szCs w:val="24"/>
          <w:lang w:eastAsia="es-MX"/>
        </w:rPr>
        <w:t>sobre el tema</w:t>
      </w:r>
      <w:r w:rsidR="00626EED" w:rsidRPr="00B2384D">
        <w:rPr>
          <w:rFonts w:eastAsia="Calibri" w:cs="Times New Roman"/>
          <w:color w:val="000000"/>
          <w:lang w:eastAsia="es-MX"/>
        </w:rPr>
        <w:t>, el artículo 1.8, fracción XIII, del Código Administrativo del Estado de México, establece que para que tenga validez, todo acto administrativo deberá resolver todos los puntos propuestos por los interesados.</w:t>
      </w:r>
    </w:p>
    <w:p w14:paraId="40D1A79E" w14:textId="77777777" w:rsidR="00626EED" w:rsidRPr="00B2384D" w:rsidRDefault="00626EED" w:rsidP="00BE0A81">
      <w:pPr>
        <w:widowControl w:val="0"/>
        <w:autoSpaceDE w:val="0"/>
        <w:autoSpaceDN w:val="0"/>
        <w:adjustRightInd w:val="0"/>
        <w:spacing w:after="0" w:line="360" w:lineRule="auto"/>
        <w:rPr>
          <w:rFonts w:eastAsia="Calibri" w:cs="Tahoma"/>
          <w:bCs/>
          <w:color w:val="000000"/>
          <w:lang w:eastAsia="es-MX"/>
        </w:rPr>
      </w:pPr>
    </w:p>
    <w:p w14:paraId="4618323D" w14:textId="77777777" w:rsidR="00626EED" w:rsidRPr="00B2384D" w:rsidRDefault="00626EED" w:rsidP="00BE0A81">
      <w:pPr>
        <w:tabs>
          <w:tab w:val="center" w:pos="4522"/>
        </w:tabs>
        <w:spacing w:after="0" w:line="360" w:lineRule="auto"/>
        <w:contextualSpacing/>
        <w:rPr>
          <w:rFonts w:eastAsia="Calibri" w:cs="Times New Roman"/>
          <w:color w:val="000000"/>
          <w:lang w:eastAsia="es-MX"/>
        </w:rPr>
      </w:pPr>
      <w:r w:rsidRPr="00B2384D">
        <w:rPr>
          <w:rFonts w:eastAsia="Calibri" w:cs="Times New Roman"/>
          <w:color w:val="000000"/>
          <w:lang w:eastAsia="es-MX"/>
        </w:rPr>
        <w:lastRenderedPageBreak/>
        <w:t xml:space="preserve">Situación que se robustece, con el </w:t>
      </w:r>
      <w:r w:rsidRPr="00B2384D">
        <w:rPr>
          <w:rFonts w:eastAsia="Calibri" w:cs="Tahoma"/>
          <w:bCs/>
          <w:color w:val="000000"/>
          <w:lang w:val="es-ES" w:eastAsia="es-MX"/>
        </w:rPr>
        <w:t>el Criterio de Interpretación</w:t>
      </w:r>
      <w:r w:rsidRPr="00B2384D">
        <w:rPr>
          <w:rFonts w:eastAsia="Calibri" w:cs="Tahoma"/>
          <w:bCs/>
          <w:color w:val="000000"/>
          <w:lang w:val="x-none" w:eastAsia="es-MX"/>
        </w:rPr>
        <w:t xml:space="preserve">, con clave de control </w:t>
      </w:r>
      <w:r w:rsidRPr="00B2384D">
        <w:rPr>
          <w:rFonts w:eastAsia="Calibri" w:cs="Tahoma"/>
          <w:bCs/>
          <w:color w:val="000000"/>
          <w:lang w:val="es-ES" w:eastAsia="es-MX"/>
        </w:rPr>
        <w:t xml:space="preserve">SO/002/2017, de la Segunda Época, emitido por el Instituto Nacional de Transparencia, Acceso a la Información y Protección de Datos Personales, que </w:t>
      </w:r>
      <w:r w:rsidRPr="00B2384D">
        <w:rPr>
          <w:rFonts w:eastAsia="Calibri" w:cs="Times New Roman"/>
          <w:color w:val="000000"/>
          <w:lang w:eastAsia="es-MX"/>
        </w:rPr>
        <w:t xml:space="preserve">establece que todo acto administrativo debe apegarse al </w:t>
      </w:r>
      <w:r w:rsidRPr="00B2384D">
        <w:rPr>
          <w:rFonts w:eastAsia="Calibri" w:cs="Times New Roman"/>
          <w:b/>
          <w:bCs/>
          <w:color w:val="000000"/>
          <w:lang w:eastAsia="es-MX"/>
        </w:rPr>
        <w:t>principio de exhaustividad</w:t>
      </w:r>
      <w:r w:rsidRPr="00B2384D">
        <w:rPr>
          <w:rFonts w:eastAsia="Calibri" w:cs="Times New Roman"/>
          <w:color w:val="000000"/>
          <w:lang w:eastAsia="es-MX"/>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94C1FD5" w14:textId="77777777" w:rsidR="00626EED" w:rsidRPr="00B2384D" w:rsidRDefault="00626EED" w:rsidP="00BE0A81">
      <w:pPr>
        <w:spacing w:after="0" w:line="360" w:lineRule="auto"/>
        <w:ind w:right="-93"/>
        <w:rPr>
          <w:rFonts w:eastAsia="Palatino Linotype" w:cs="Palatino Linotype"/>
          <w:b/>
          <w:bCs/>
          <w:color w:val="000000"/>
          <w:lang w:eastAsia="es-MX"/>
        </w:rPr>
      </w:pPr>
    </w:p>
    <w:p w14:paraId="129B8CEE" w14:textId="77777777" w:rsidR="003A6183" w:rsidRPr="00B2384D" w:rsidRDefault="00626EED" w:rsidP="00BE0A81">
      <w:pPr>
        <w:spacing w:after="0" w:line="360" w:lineRule="auto"/>
        <w:ind w:right="-93"/>
        <w:rPr>
          <w:rFonts w:eastAsia="Calibri" w:cs="Times New Roman"/>
          <w:color w:val="000000"/>
          <w:lang w:eastAsia="es-MX"/>
        </w:rPr>
      </w:pPr>
      <w:r w:rsidRPr="00B2384D">
        <w:rPr>
          <w:rFonts w:eastAsia="Calibri" w:cs="Times New Roman"/>
          <w:color w:val="000000"/>
          <w:lang w:eastAsia="es-MX"/>
        </w:rPr>
        <w:t>En esa tesitura, se concluye que el Sujeto Obligado no satisfizo el derecho de acceso a la información del Solicitante, pues la Dirección General de Administración omitió pronunciarse sobre dicha documental; además, que la Tesorería Municipal si cuenta con competencia para conocer del mismo, pues este integra los Informes Trimestrales, además, que en el presente caso el documento solicitado corresponde al comprobante emitido por la institución bancaria por la transferencia del pago de las remuneraciones de cada servidor público</w:t>
      </w:r>
      <w:r w:rsidR="003A6183" w:rsidRPr="00B2384D">
        <w:rPr>
          <w:rFonts w:eastAsia="Calibri" w:cs="Times New Roman"/>
          <w:color w:val="000000"/>
          <w:lang w:eastAsia="es-MX"/>
        </w:rPr>
        <w:t>.</w:t>
      </w:r>
    </w:p>
    <w:p w14:paraId="118BCCAA" w14:textId="77777777" w:rsidR="003A6183" w:rsidRPr="00B2384D" w:rsidRDefault="003A6183" w:rsidP="00BE0A81">
      <w:pPr>
        <w:spacing w:after="0" w:line="360" w:lineRule="auto"/>
        <w:ind w:right="-93"/>
        <w:rPr>
          <w:rFonts w:eastAsia="Calibri" w:cs="Times New Roman"/>
          <w:color w:val="000000"/>
          <w:lang w:eastAsia="es-MX"/>
        </w:rPr>
      </w:pPr>
    </w:p>
    <w:p w14:paraId="686E07C4" w14:textId="6CDE8E77" w:rsidR="00626EED" w:rsidRPr="00B2384D" w:rsidRDefault="00626EED" w:rsidP="00BE0A81">
      <w:pPr>
        <w:spacing w:after="0" w:line="360" w:lineRule="auto"/>
        <w:ind w:right="-93"/>
        <w:rPr>
          <w:rFonts w:eastAsia="Times New Roman" w:cs="Tahoma"/>
          <w:color w:val="000000"/>
          <w:lang w:val="es-ES" w:eastAsia="es-MX"/>
        </w:rPr>
      </w:pPr>
      <w:r w:rsidRPr="00B2384D">
        <w:rPr>
          <w:rFonts w:eastAsia="Calibri" w:cs="Times New Roman"/>
          <w:color w:val="000000"/>
          <w:lang w:eastAsia="es-MX"/>
        </w:rPr>
        <w:t xml:space="preserve"> </w:t>
      </w:r>
      <w:r w:rsidR="003A6183" w:rsidRPr="00B2384D">
        <w:rPr>
          <w:rFonts w:eastAsia="Calibri" w:cs="Times New Roman"/>
          <w:color w:val="000000"/>
          <w:lang w:eastAsia="es-MX"/>
        </w:rPr>
        <w:t>Por lo que, en el presente caso</w:t>
      </w:r>
      <w:r w:rsidRPr="00B2384D">
        <w:rPr>
          <w:rFonts w:eastAsia="Calibri" w:cs="Times New Roman"/>
          <w:color w:val="000000"/>
          <w:lang w:eastAsia="es-MX"/>
        </w:rPr>
        <w:t>, al ser un documento bancario</w:t>
      </w:r>
      <w:r w:rsidR="003A6183" w:rsidRPr="00B2384D">
        <w:rPr>
          <w:rFonts w:eastAsia="Calibri" w:cs="Times New Roman"/>
          <w:color w:val="000000"/>
          <w:lang w:eastAsia="es-MX"/>
        </w:rPr>
        <w:t xml:space="preserve"> se considera que la Tesorería cuenta con atribuciones, pues dicha área administra las cuentas bancarias municipales; </w:t>
      </w:r>
      <w:r w:rsidRPr="00B2384D">
        <w:rPr>
          <w:rFonts w:eastAsia="Calibri" w:cs="Times New Roman"/>
          <w:color w:val="000000"/>
          <w:lang w:eastAsia="es-MX"/>
        </w:rPr>
        <w:t xml:space="preserve">por lo que, para dar cumplimiento a los artículos 12, 160 y 162, de la Ley de Transparencia y Acceso a la Información Pública del Estado de México y Municipios, deberá entregar </w:t>
      </w:r>
      <w:r w:rsidR="003A6183" w:rsidRPr="00B2384D">
        <w:rPr>
          <w:rFonts w:eastAsia="Calibri" w:cs="Times New Roman"/>
          <w:color w:val="000000"/>
          <w:lang w:eastAsia="es-MX"/>
        </w:rPr>
        <w:t>los comprobantes bancarios de la dispersión de la nómina, de la primera quincena de octubre a la segunda de diciembre de dos mil veintiuno.</w:t>
      </w:r>
    </w:p>
    <w:p w14:paraId="58072DB1" w14:textId="602CDECA" w:rsidR="00626EED" w:rsidRPr="00B2384D" w:rsidRDefault="00626EED" w:rsidP="00BE0A81">
      <w:pPr>
        <w:spacing w:after="0" w:line="360" w:lineRule="auto"/>
        <w:rPr>
          <w:rFonts w:cs="Tahoma"/>
          <w:iCs/>
          <w:color w:val="auto"/>
          <w:lang w:val="es-ES"/>
        </w:rPr>
      </w:pPr>
    </w:p>
    <w:p w14:paraId="5F05D91B" w14:textId="66B9F96A" w:rsidR="003A6183" w:rsidRPr="00B2384D" w:rsidRDefault="008048A5" w:rsidP="00BE0A81">
      <w:pPr>
        <w:autoSpaceDE w:val="0"/>
        <w:autoSpaceDN w:val="0"/>
        <w:adjustRightInd w:val="0"/>
        <w:spacing w:after="0" w:line="360" w:lineRule="auto"/>
        <w:ind w:right="142"/>
        <w:rPr>
          <w:rFonts w:cs="Tahoma"/>
          <w:b/>
          <w:bCs/>
          <w:color w:val="auto"/>
          <w:sz w:val="20"/>
          <w:szCs w:val="20"/>
          <w:lang w:val="es-ES_tradnl"/>
        </w:rPr>
      </w:pPr>
      <w:r w:rsidRPr="00B2384D">
        <w:rPr>
          <w:rFonts w:cs="Tahoma"/>
          <w:bCs/>
          <w:iCs/>
          <w:color w:val="auto"/>
          <w:lang w:val="es-ES"/>
        </w:rPr>
        <w:t xml:space="preserve">En relación con la conciliación de nómina </w:t>
      </w:r>
      <w:r w:rsidRPr="00B2384D">
        <w:rPr>
          <w:rFonts w:cs="Tahoma"/>
          <w:color w:val="auto"/>
        </w:rPr>
        <w:t>de los meses de octubre, noviembre y diciembre de dos mil veintiuno</w:t>
      </w:r>
      <w:r w:rsidR="00E05E5A" w:rsidRPr="00B2384D">
        <w:rPr>
          <w:rFonts w:cs="Tahoma"/>
          <w:color w:val="auto"/>
        </w:rPr>
        <w:t>,</w:t>
      </w:r>
      <w:r w:rsidR="00E05E5A" w:rsidRPr="00B2384D">
        <w:t xml:space="preserve"> la </w:t>
      </w:r>
      <w:r w:rsidR="00E05E5A" w:rsidRPr="00B2384D">
        <w:rPr>
          <w:rFonts w:cs="Tahoma"/>
          <w:b/>
          <w:bCs/>
          <w:iCs/>
          <w:color w:val="auto"/>
          <w:lang w:val="es-ES"/>
        </w:rPr>
        <w:t>Subdirección de Recursos Humanos</w:t>
      </w:r>
      <w:r w:rsidR="00E05E5A" w:rsidRPr="00B2384D">
        <w:rPr>
          <w:rFonts w:cs="Tahoma"/>
          <w:color w:val="auto"/>
        </w:rPr>
        <w:t>, en respuesta</w:t>
      </w:r>
      <w:r w:rsidR="003A6183" w:rsidRPr="00B2384D">
        <w:rPr>
          <w:rFonts w:cs="Tahoma"/>
          <w:color w:val="auto"/>
        </w:rPr>
        <w:t>,</w:t>
      </w:r>
      <w:r w:rsidR="00E05E5A" w:rsidRPr="00B2384D">
        <w:rPr>
          <w:rFonts w:cs="Tahoma"/>
          <w:color w:val="auto"/>
        </w:rPr>
        <w:t xml:space="preserve"> como en </w:t>
      </w:r>
      <w:r w:rsidR="003A6183" w:rsidRPr="00B2384D">
        <w:rPr>
          <w:rFonts w:cs="Tahoma"/>
          <w:color w:val="auto"/>
        </w:rPr>
        <w:lastRenderedPageBreak/>
        <w:t>I</w:t>
      </w:r>
      <w:r w:rsidR="00E05E5A" w:rsidRPr="00B2384D">
        <w:rPr>
          <w:rFonts w:cs="Tahoma"/>
          <w:color w:val="auto"/>
        </w:rPr>
        <w:t xml:space="preserve">nforme </w:t>
      </w:r>
      <w:r w:rsidR="003A6183" w:rsidRPr="00B2384D">
        <w:rPr>
          <w:rFonts w:cs="Tahoma"/>
          <w:color w:val="auto"/>
        </w:rPr>
        <w:t>J</w:t>
      </w:r>
      <w:r w:rsidR="00E05E5A" w:rsidRPr="00B2384D">
        <w:rPr>
          <w:rFonts w:cs="Tahoma"/>
          <w:color w:val="auto"/>
        </w:rPr>
        <w:t xml:space="preserve">ustificado refirió que remitía </w:t>
      </w:r>
      <w:r w:rsidR="003A6183" w:rsidRPr="00B2384D">
        <w:rPr>
          <w:rFonts w:cs="Tahoma"/>
          <w:bCs/>
          <w:iCs/>
          <w:color w:val="auto"/>
        </w:rPr>
        <w:t>los documentos que daban cuenta de lo peticionado, de cuya revisión se logra vislumbrar que corresponde a la Conciliación de Nómina, al contener los datos establecidos por el Órgano Superior de Fiscalización del Estado de México, de las quincenas solicitadas, esto es de la primera de octubre a la segunda de diciembre de dos mil veintiuno, se muestra un extracto a continuación:</w:t>
      </w:r>
    </w:p>
    <w:p w14:paraId="49C7D94C" w14:textId="77777777" w:rsidR="003A6183" w:rsidRPr="00B2384D" w:rsidRDefault="003A6183" w:rsidP="00BE0A81">
      <w:pPr>
        <w:autoSpaceDE w:val="0"/>
        <w:autoSpaceDN w:val="0"/>
        <w:adjustRightInd w:val="0"/>
        <w:spacing w:after="0" w:line="360" w:lineRule="auto"/>
        <w:ind w:right="142"/>
        <w:rPr>
          <w:rFonts w:cs="Tahoma"/>
          <w:b/>
          <w:bCs/>
          <w:i/>
          <w:iCs/>
          <w:color w:val="auto"/>
          <w:sz w:val="20"/>
          <w:szCs w:val="20"/>
          <w:lang w:val="es-ES_tradnl"/>
        </w:rPr>
      </w:pPr>
    </w:p>
    <w:p w14:paraId="7B85AF83" w14:textId="21253A9B" w:rsidR="0041179F" w:rsidRPr="00B2384D" w:rsidRDefault="00943C3D" w:rsidP="00BE0A81">
      <w:pPr>
        <w:spacing w:after="0" w:line="360" w:lineRule="auto"/>
        <w:rPr>
          <w:rFonts w:cs="Tahoma"/>
          <w:bCs/>
          <w:iCs/>
          <w:color w:val="auto"/>
          <w:lang w:val="es-ES"/>
        </w:rPr>
      </w:pPr>
      <w:r w:rsidRPr="00B2384D">
        <w:rPr>
          <w:rFonts w:cs="Tahoma"/>
          <w:bCs/>
          <w:iCs/>
          <w:noProof/>
          <w:color w:val="auto"/>
          <w:lang w:eastAsia="es-MX"/>
        </w:rPr>
        <w:drawing>
          <wp:inline distT="0" distB="0" distL="0" distR="0" wp14:anchorId="1FF4A814" wp14:editId="77631BAD">
            <wp:extent cx="5600700" cy="18763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9232" cy="1889230"/>
                    </a:xfrm>
                    <a:prstGeom prst="rect">
                      <a:avLst/>
                    </a:prstGeom>
                  </pic:spPr>
                </pic:pic>
              </a:graphicData>
            </a:graphic>
          </wp:inline>
        </w:drawing>
      </w:r>
    </w:p>
    <w:p w14:paraId="3C54A02F" w14:textId="45B5AEBD" w:rsidR="005C3FCC" w:rsidRPr="00B2384D" w:rsidRDefault="005C3FCC" w:rsidP="00BE0A81">
      <w:pPr>
        <w:spacing w:after="0" w:line="360" w:lineRule="auto"/>
        <w:jc w:val="center"/>
        <w:rPr>
          <w:rFonts w:cs="Tahoma"/>
          <w:bCs/>
          <w:iCs/>
          <w:color w:val="auto"/>
          <w:lang w:val="es-ES"/>
        </w:rPr>
      </w:pPr>
    </w:p>
    <w:p w14:paraId="1EBA157F" w14:textId="76C5101C" w:rsidR="0041179F" w:rsidRPr="00B2384D" w:rsidRDefault="003063E1" w:rsidP="00BE0A81">
      <w:pPr>
        <w:spacing w:after="0" w:line="360" w:lineRule="auto"/>
      </w:pPr>
      <w:r w:rsidRPr="00B2384D">
        <w:rPr>
          <w:rFonts w:cs="Tahoma"/>
          <w:bCs/>
          <w:iCs/>
          <w:color w:val="auto"/>
          <w:lang w:val="es-ES"/>
        </w:rPr>
        <w:t xml:space="preserve">Sobre </w:t>
      </w:r>
      <w:r w:rsidR="000912D6" w:rsidRPr="00B2384D">
        <w:rPr>
          <w:rFonts w:cs="Tahoma"/>
          <w:bCs/>
          <w:iCs/>
          <w:color w:val="auto"/>
          <w:lang w:val="es-ES"/>
        </w:rPr>
        <w:t xml:space="preserve">dicha situación, </w:t>
      </w:r>
      <w:r w:rsidR="000912D6" w:rsidRPr="00B2384D">
        <w:t>es necesario señalar que, si bien la información entregada da cuenta de lo solicitado, lo cierto es que no se pueda validar, pues proporcionó las conciliaciones de manera cortada, es decir, de manera incomprensible, al no poder ver los datos de manera correcta y correlacionada, tal como se muestra en los siguientes ejemplos:</w:t>
      </w:r>
    </w:p>
    <w:p w14:paraId="05101E5F" w14:textId="77777777" w:rsidR="000E2C33" w:rsidRPr="00B2384D" w:rsidRDefault="000E2C33" w:rsidP="00BE0A81">
      <w:pPr>
        <w:spacing w:after="0" w:line="360" w:lineRule="auto"/>
        <w:rPr>
          <w:rFonts w:cs="Tahoma"/>
          <w:bCs/>
          <w:iCs/>
          <w:color w:val="auto"/>
          <w:lang w:val="es-ES"/>
        </w:rPr>
      </w:pPr>
    </w:p>
    <w:p w14:paraId="6476C279" w14:textId="72B22970" w:rsidR="000E2C33" w:rsidRPr="00B2384D" w:rsidRDefault="000E2C33" w:rsidP="00BE0A81">
      <w:pPr>
        <w:spacing w:after="0" w:line="360" w:lineRule="auto"/>
        <w:rPr>
          <w:rFonts w:cs="Tahoma"/>
          <w:bCs/>
          <w:iCs/>
          <w:color w:val="auto"/>
          <w:lang w:val="es-ES"/>
        </w:rPr>
      </w:pPr>
      <w:r w:rsidRPr="00B2384D">
        <w:rPr>
          <w:rFonts w:cs="Tahoma"/>
          <w:bCs/>
          <w:iCs/>
          <w:noProof/>
          <w:color w:val="auto"/>
          <w:lang w:eastAsia="es-MX"/>
        </w:rPr>
        <w:drawing>
          <wp:inline distT="0" distB="0" distL="0" distR="0" wp14:anchorId="37EC958A" wp14:editId="24A17B03">
            <wp:extent cx="5657850" cy="142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5437" r="235"/>
                    <a:stretch/>
                  </pic:blipFill>
                  <pic:spPr bwMode="auto">
                    <a:xfrm>
                      <a:off x="0" y="0"/>
                      <a:ext cx="5657850" cy="1428750"/>
                    </a:xfrm>
                    <a:prstGeom prst="rect">
                      <a:avLst/>
                    </a:prstGeom>
                    <a:ln>
                      <a:noFill/>
                    </a:ln>
                    <a:extLst>
                      <a:ext uri="{53640926-AAD7-44D8-BBD7-CCE9431645EC}">
                        <a14:shadowObscured xmlns:a14="http://schemas.microsoft.com/office/drawing/2010/main"/>
                      </a:ext>
                    </a:extLst>
                  </pic:spPr>
                </pic:pic>
              </a:graphicData>
            </a:graphic>
          </wp:inline>
        </w:drawing>
      </w:r>
    </w:p>
    <w:p w14:paraId="63D76634" w14:textId="364F3AFE" w:rsidR="0041179F" w:rsidRPr="00B2384D" w:rsidRDefault="000E2C33" w:rsidP="00BE0A81">
      <w:pPr>
        <w:spacing w:after="0" w:line="360" w:lineRule="auto"/>
      </w:pPr>
      <w:r w:rsidRPr="00B2384D">
        <w:rPr>
          <w:noProof/>
          <w:lang w:eastAsia="es-MX"/>
        </w:rPr>
        <w:lastRenderedPageBreak/>
        <w:drawing>
          <wp:inline distT="0" distB="0" distL="0" distR="0" wp14:anchorId="26AF391A" wp14:editId="2E721749">
            <wp:extent cx="5572760" cy="1781175"/>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427" cy="1804401"/>
                    </a:xfrm>
                    <a:prstGeom prst="rect">
                      <a:avLst/>
                    </a:prstGeom>
                    <a:noFill/>
                  </pic:spPr>
                </pic:pic>
              </a:graphicData>
            </a:graphic>
          </wp:inline>
        </w:drawing>
      </w:r>
    </w:p>
    <w:p w14:paraId="52BB4F13" w14:textId="77777777" w:rsidR="00190646" w:rsidRPr="00B2384D" w:rsidRDefault="00190646" w:rsidP="00BE0A81">
      <w:pPr>
        <w:spacing w:after="0" w:line="360" w:lineRule="auto"/>
      </w:pPr>
    </w:p>
    <w:p w14:paraId="78036A32" w14:textId="01BF4AD6" w:rsidR="003A6183" w:rsidRPr="00B2384D" w:rsidRDefault="003A6183" w:rsidP="00BE0A81">
      <w:pPr>
        <w:spacing w:after="0" w:line="360" w:lineRule="auto"/>
      </w:pPr>
      <w:r w:rsidRPr="00B2384D">
        <w:t xml:space="preserve">En otras palabras, si bien el Sujeto Obligado proporcionó los documentos que daban cuenta de lo peticionado, lo cierto es que </w:t>
      </w:r>
      <w:r w:rsidR="00E06035" w:rsidRPr="00B2384D">
        <w:t>no fueron entregados en el formato originalmente generado, lo cual impide la correlación de datos; dicha situación toma relevancia pues conforme a las Políticas para la Integración del Informe Trimestral de los Sujetos de Fiscalización Municipales para el Ejercicio 2021, el formato fuente es “XLS”, tal como se muestra a continuación:</w:t>
      </w:r>
    </w:p>
    <w:p w14:paraId="6FB47225" w14:textId="77777777" w:rsidR="00E06035" w:rsidRPr="00B2384D" w:rsidRDefault="00E06035" w:rsidP="00BE0A81">
      <w:pPr>
        <w:spacing w:after="0" w:line="360" w:lineRule="auto"/>
      </w:pPr>
    </w:p>
    <w:p w14:paraId="27F4BF63" w14:textId="5B1E100E" w:rsidR="00E06035" w:rsidRPr="00B2384D" w:rsidRDefault="00E06035" w:rsidP="00BE0A81">
      <w:pPr>
        <w:spacing w:after="0" w:line="360" w:lineRule="auto"/>
        <w:jc w:val="center"/>
      </w:pPr>
      <w:r w:rsidRPr="00B2384D">
        <w:rPr>
          <w:noProof/>
          <w:lang w:eastAsia="es-MX"/>
        </w:rPr>
        <w:drawing>
          <wp:inline distT="0" distB="0" distL="0" distR="0" wp14:anchorId="2B5AC89F" wp14:editId="54CF45F1">
            <wp:extent cx="3200847" cy="933580"/>
            <wp:effectExtent l="0" t="0" r="0" b="0"/>
            <wp:docPr id="1515546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46148" name=""/>
                    <pic:cNvPicPr/>
                  </pic:nvPicPr>
                  <pic:blipFill>
                    <a:blip r:embed="rId14"/>
                    <a:stretch>
                      <a:fillRect/>
                    </a:stretch>
                  </pic:blipFill>
                  <pic:spPr>
                    <a:xfrm>
                      <a:off x="0" y="0"/>
                      <a:ext cx="3200847" cy="933580"/>
                    </a:xfrm>
                    <a:prstGeom prst="rect">
                      <a:avLst/>
                    </a:prstGeom>
                  </pic:spPr>
                </pic:pic>
              </a:graphicData>
            </a:graphic>
          </wp:inline>
        </w:drawing>
      </w:r>
    </w:p>
    <w:p w14:paraId="4EEC6D74" w14:textId="77777777" w:rsidR="003A6183" w:rsidRPr="00B2384D" w:rsidRDefault="003A6183" w:rsidP="00BE0A81">
      <w:pPr>
        <w:spacing w:after="0" w:line="360" w:lineRule="auto"/>
      </w:pPr>
    </w:p>
    <w:p w14:paraId="4A77826E" w14:textId="7100E13E" w:rsidR="003A6183" w:rsidRPr="00B2384D" w:rsidRDefault="00E06035" w:rsidP="00BE0A81">
      <w:pPr>
        <w:spacing w:after="0" w:line="360" w:lineRule="auto"/>
      </w:pPr>
      <w:r w:rsidRPr="00B2384D">
        <w:t>Por tales circunstancias, el Sujeto Obligado para atender el requerimiento de información, deberá proporcionar las Conciliaciones de Nómina entregadas en respuesta, en el formato fuente, es decir, en el que originalmente se crearon los archivos, con el fin de dar cumplimiento a los artículos 12 y 160 de la Ley de Transparencia y Acceso a la Información Pública del Estado de México y Municipios; lo anterior, para que la persona Recurrente puede verificar, analizar y correlacionar de manera correcta los datos localizados en el documento.</w:t>
      </w:r>
    </w:p>
    <w:p w14:paraId="3BEF68CB" w14:textId="7B80AAEE" w:rsidR="00C152A0" w:rsidRPr="00B2384D" w:rsidRDefault="00E06035" w:rsidP="00BE0A81">
      <w:pPr>
        <w:spacing w:after="0" w:line="360" w:lineRule="auto"/>
      </w:pPr>
      <w:r w:rsidRPr="00B2384D">
        <w:lastRenderedPageBreak/>
        <w:t xml:space="preserve">Conforme a lo anterior, toda vez que el Sujeto Obligado no entregó la Conciliación de Nómina, en un formato correcto, ni se pronunció del Comprobante Bancario de la Dispersión de Nómina, se considera que el agravio es </w:t>
      </w:r>
      <w:r w:rsidRPr="00B2384D">
        <w:rPr>
          <w:b/>
          <w:bCs/>
        </w:rPr>
        <w:t>FUNDADO</w:t>
      </w:r>
      <w:r w:rsidR="00631CF5" w:rsidRPr="00B2384D">
        <w:t>; por lo que, para atender la solicitud deberá entregar de manera correcta o en un formato que permita la lectura correcta de la información</w:t>
      </w:r>
      <w:r w:rsidRPr="00B2384D">
        <w:t>.</w:t>
      </w:r>
    </w:p>
    <w:p w14:paraId="4D5928F8" w14:textId="77777777" w:rsidR="00C152A0" w:rsidRPr="00B2384D" w:rsidRDefault="00C152A0" w:rsidP="00BE0A81">
      <w:pPr>
        <w:widowControl w:val="0"/>
        <w:spacing w:after="0" w:line="360" w:lineRule="auto"/>
        <w:rPr>
          <w:rFonts w:eastAsia="Palatino Linotype" w:cs="Palatino Linotype"/>
          <w:color w:val="000000"/>
          <w:lang w:eastAsia="es-MX"/>
        </w:rPr>
      </w:pPr>
    </w:p>
    <w:p w14:paraId="70858928" w14:textId="77777777" w:rsidR="00C152A0" w:rsidRPr="00B2384D" w:rsidRDefault="00C152A0" w:rsidP="00BE0A81">
      <w:pPr>
        <w:spacing w:after="0" w:line="360" w:lineRule="auto"/>
        <w:ind w:right="-28"/>
        <w:rPr>
          <w:rFonts w:eastAsia="Palatino Linotype" w:cs="Palatino Linotype"/>
          <w:color w:val="000000"/>
          <w:lang w:eastAsia="es-MX"/>
        </w:rPr>
      </w:pPr>
      <w:r w:rsidRPr="00B2384D">
        <w:rPr>
          <w:rFonts w:eastAsia="Palatino Linotype" w:cs="Palatino Linotype"/>
          <w:color w:val="000000"/>
          <w:lang w:eastAsia="es-MX"/>
        </w:rPr>
        <w:t>Ahora bien, del análisis del documento entregado en respuesta, se logra vislumbrar que el Sujeto Obligado clasificó los siguientes datos:</w:t>
      </w:r>
    </w:p>
    <w:p w14:paraId="6E747E61" w14:textId="77777777" w:rsidR="00C152A0" w:rsidRPr="00B2384D" w:rsidRDefault="00C152A0" w:rsidP="00BE0A81">
      <w:pPr>
        <w:spacing w:after="0" w:line="360" w:lineRule="auto"/>
        <w:ind w:right="-28"/>
        <w:rPr>
          <w:rFonts w:eastAsia="Palatino Linotype" w:cs="Palatino Linotype"/>
          <w:color w:val="000000"/>
          <w:lang w:eastAsia="es-MX"/>
        </w:rPr>
      </w:pPr>
    </w:p>
    <w:p w14:paraId="0212F670" w14:textId="1DF309CC" w:rsidR="00E06035" w:rsidRPr="00B2384D" w:rsidRDefault="00E06035" w:rsidP="00BE0A81">
      <w:pPr>
        <w:numPr>
          <w:ilvl w:val="0"/>
          <w:numId w:val="24"/>
        </w:numPr>
        <w:pBdr>
          <w:top w:val="nil"/>
          <w:left w:val="nil"/>
          <w:bottom w:val="nil"/>
          <w:right w:val="nil"/>
          <w:between w:val="nil"/>
        </w:pBdr>
        <w:spacing w:after="0" w:line="360" w:lineRule="auto"/>
        <w:rPr>
          <w:rFonts w:eastAsia="Palatino Linotype" w:cs="Palatino Linotype"/>
          <w:color w:val="000000"/>
          <w:lang w:eastAsia="es-MX"/>
        </w:rPr>
      </w:pPr>
      <w:r w:rsidRPr="00B2384D">
        <w:rPr>
          <w:rFonts w:eastAsia="Palatino Linotype" w:cs="Palatino Linotype"/>
          <w:color w:val="000000"/>
          <w:lang w:eastAsia="es-MX"/>
        </w:rPr>
        <w:t>Número de empleado;</w:t>
      </w:r>
    </w:p>
    <w:p w14:paraId="0A74BFBE" w14:textId="122A768F" w:rsidR="00C152A0" w:rsidRPr="00B2384D" w:rsidRDefault="00C152A0" w:rsidP="00BE0A81">
      <w:pPr>
        <w:numPr>
          <w:ilvl w:val="0"/>
          <w:numId w:val="24"/>
        </w:numPr>
        <w:pBdr>
          <w:top w:val="nil"/>
          <w:left w:val="nil"/>
          <w:bottom w:val="nil"/>
          <w:right w:val="nil"/>
          <w:between w:val="nil"/>
        </w:pBdr>
        <w:spacing w:after="0" w:line="360" w:lineRule="auto"/>
        <w:rPr>
          <w:rFonts w:eastAsia="Palatino Linotype" w:cs="Palatino Linotype"/>
          <w:color w:val="000000"/>
          <w:lang w:eastAsia="es-MX"/>
        </w:rPr>
      </w:pPr>
      <w:r w:rsidRPr="00B2384D">
        <w:rPr>
          <w:rFonts w:eastAsia="Palatino Linotype" w:cs="Palatino Linotype"/>
          <w:color w:val="000000"/>
          <w:lang w:eastAsia="es-MX"/>
        </w:rPr>
        <w:t>Registro Federal de Contribuyentes del servidor público (RFC);</w:t>
      </w:r>
    </w:p>
    <w:p w14:paraId="7C91FB72" w14:textId="77777777" w:rsidR="00C152A0" w:rsidRPr="00B2384D" w:rsidRDefault="00C152A0" w:rsidP="00BE0A81">
      <w:pPr>
        <w:numPr>
          <w:ilvl w:val="0"/>
          <w:numId w:val="24"/>
        </w:numPr>
        <w:pBdr>
          <w:top w:val="nil"/>
          <w:left w:val="nil"/>
          <w:bottom w:val="nil"/>
          <w:right w:val="nil"/>
          <w:between w:val="nil"/>
        </w:pBdr>
        <w:spacing w:after="0" w:line="360" w:lineRule="auto"/>
        <w:rPr>
          <w:rFonts w:eastAsia="Palatino Linotype" w:cs="Palatino Linotype"/>
          <w:color w:val="000000"/>
          <w:lang w:eastAsia="es-MX"/>
        </w:rPr>
      </w:pPr>
      <w:r w:rsidRPr="00B2384D">
        <w:rPr>
          <w:rFonts w:eastAsia="Palatino Linotype" w:cs="Palatino Linotype"/>
          <w:color w:val="000000"/>
          <w:lang w:eastAsia="es-MX"/>
        </w:rPr>
        <w:t>Deducciones personales;</w:t>
      </w:r>
    </w:p>
    <w:p w14:paraId="549CCDA2" w14:textId="7690DAFF" w:rsidR="00C152A0" w:rsidRPr="00B2384D" w:rsidRDefault="00C152A0" w:rsidP="00BE0A81">
      <w:pPr>
        <w:numPr>
          <w:ilvl w:val="0"/>
          <w:numId w:val="24"/>
        </w:numPr>
        <w:pBdr>
          <w:top w:val="nil"/>
          <w:left w:val="nil"/>
          <w:bottom w:val="nil"/>
          <w:right w:val="nil"/>
          <w:between w:val="nil"/>
        </w:pBdr>
        <w:spacing w:after="0" w:line="360" w:lineRule="auto"/>
        <w:rPr>
          <w:rFonts w:eastAsia="Palatino Linotype" w:cs="Palatino Linotype"/>
          <w:color w:val="000000"/>
          <w:lang w:eastAsia="es-MX"/>
        </w:rPr>
      </w:pPr>
      <w:r w:rsidRPr="00B2384D">
        <w:rPr>
          <w:rFonts w:eastAsia="Palatino Linotype" w:cs="Palatino Linotype"/>
          <w:color w:val="000000"/>
          <w:lang w:eastAsia="es-MX"/>
        </w:rPr>
        <w:t>Número de cuenta bancaria</w:t>
      </w:r>
      <w:r w:rsidR="00E06035" w:rsidRPr="00B2384D">
        <w:rPr>
          <w:rFonts w:eastAsia="Palatino Linotype" w:cs="Palatino Linotype"/>
          <w:color w:val="000000"/>
          <w:lang w:eastAsia="es-MX"/>
        </w:rPr>
        <w:t xml:space="preserve"> y numero de referencia de la transferencia, y</w:t>
      </w:r>
    </w:p>
    <w:p w14:paraId="4553FC33" w14:textId="22F14BBB" w:rsidR="00C152A0" w:rsidRPr="00B2384D" w:rsidRDefault="00C152A0" w:rsidP="00BE0A81">
      <w:pPr>
        <w:numPr>
          <w:ilvl w:val="0"/>
          <w:numId w:val="24"/>
        </w:numPr>
        <w:pBdr>
          <w:top w:val="nil"/>
          <w:left w:val="nil"/>
          <w:bottom w:val="nil"/>
          <w:right w:val="nil"/>
          <w:between w:val="nil"/>
        </w:pBdr>
        <w:spacing w:after="0" w:line="360" w:lineRule="auto"/>
        <w:rPr>
          <w:rFonts w:eastAsia="Palatino Linotype" w:cs="Palatino Linotype"/>
          <w:color w:val="000000"/>
          <w:lang w:eastAsia="es-MX"/>
        </w:rPr>
      </w:pPr>
      <w:r w:rsidRPr="00B2384D">
        <w:rPr>
          <w:rFonts w:eastAsia="Palatino Linotype" w:cs="Palatino Linotype"/>
          <w:color w:val="000000"/>
          <w:lang w:eastAsia="es-MX"/>
        </w:rPr>
        <w:t>Nombre del personal operativo en materia de seguridad pública.</w:t>
      </w:r>
    </w:p>
    <w:p w14:paraId="41FEFE74" w14:textId="77777777" w:rsidR="00C152A0" w:rsidRPr="00B2384D" w:rsidRDefault="00C152A0" w:rsidP="00BE0A81">
      <w:pPr>
        <w:spacing w:after="0" w:line="360" w:lineRule="auto"/>
        <w:ind w:right="-28"/>
        <w:rPr>
          <w:rFonts w:eastAsia="Palatino Linotype" w:cs="Palatino Linotype"/>
          <w:color w:val="000000"/>
          <w:lang w:eastAsia="es-MX"/>
        </w:rPr>
      </w:pPr>
    </w:p>
    <w:p w14:paraId="590CEC8C" w14:textId="4B0D7F8A" w:rsidR="001F40FC" w:rsidRPr="00B2384D" w:rsidRDefault="001F40FC" w:rsidP="00BE0A81">
      <w:pPr>
        <w:spacing w:after="0" w:line="360" w:lineRule="auto"/>
        <w:ind w:right="-28"/>
        <w:rPr>
          <w:rFonts w:eastAsia="Palatino Linotype" w:cs="Palatino Linotype"/>
          <w:color w:val="000000"/>
          <w:lang w:eastAsia="es-MX"/>
        </w:rPr>
      </w:pPr>
      <w:r w:rsidRPr="00B2384D">
        <w:rPr>
          <w:rFonts w:eastAsia="Palatino Linotype" w:cs="Palatino Linotype"/>
          <w:color w:val="000000"/>
          <w:lang w:eastAsia="es-MX"/>
        </w:rPr>
        <w:t>Además, de la revisión de</w:t>
      </w:r>
      <w:r w:rsidR="00867D58" w:rsidRPr="00B2384D">
        <w:rPr>
          <w:rFonts w:eastAsia="Palatino Linotype" w:cs="Palatino Linotype"/>
          <w:color w:val="000000"/>
          <w:lang w:eastAsia="es-MX"/>
        </w:rPr>
        <w:t xml:space="preserve"> </w:t>
      </w:r>
      <w:r w:rsidRPr="00B2384D">
        <w:rPr>
          <w:rFonts w:eastAsia="Palatino Linotype" w:cs="Palatino Linotype"/>
          <w:color w:val="000000"/>
          <w:lang w:eastAsia="es-MX"/>
        </w:rPr>
        <w:t>l</w:t>
      </w:r>
      <w:r w:rsidR="00867D58" w:rsidRPr="00B2384D">
        <w:rPr>
          <w:rFonts w:eastAsia="Palatino Linotype" w:cs="Palatino Linotype"/>
          <w:color w:val="000000"/>
          <w:lang w:eastAsia="es-MX"/>
        </w:rPr>
        <w:t>os</w:t>
      </w:r>
      <w:r w:rsidRPr="00B2384D">
        <w:rPr>
          <w:rFonts w:eastAsia="Palatino Linotype" w:cs="Palatino Linotype"/>
          <w:color w:val="000000"/>
          <w:lang w:eastAsia="es-MX"/>
        </w:rPr>
        <w:t xml:space="preserve"> formato</w:t>
      </w:r>
      <w:r w:rsidR="00867D58" w:rsidRPr="00B2384D">
        <w:rPr>
          <w:rFonts w:eastAsia="Palatino Linotype" w:cs="Palatino Linotype"/>
          <w:color w:val="000000"/>
          <w:lang w:eastAsia="es-MX"/>
        </w:rPr>
        <w:t>s</w:t>
      </w:r>
      <w:r w:rsidRPr="00B2384D">
        <w:rPr>
          <w:rFonts w:eastAsia="Palatino Linotype" w:cs="Palatino Linotype"/>
          <w:color w:val="000000"/>
          <w:lang w:eastAsia="es-MX"/>
        </w:rPr>
        <w:t xml:space="preserve"> de la Conciliación de Nómina, se logra vislumbrar </w:t>
      </w:r>
      <w:r w:rsidRPr="00B2384D">
        <w:rPr>
          <w:rFonts w:eastAsia="Palatino Linotype" w:cs="Palatino Linotype"/>
          <w:b/>
          <w:color w:val="000000"/>
          <w:lang w:eastAsia="es-MX"/>
        </w:rPr>
        <w:t xml:space="preserve">que </w:t>
      </w:r>
      <w:r w:rsidR="00E06035" w:rsidRPr="00B2384D">
        <w:rPr>
          <w:rFonts w:eastAsia="Palatino Linotype" w:cs="Palatino Linotype"/>
          <w:b/>
          <w:color w:val="000000"/>
          <w:lang w:eastAsia="es-MX"/>
        </w:rPr>
        <w:t>se dejaron visibles</w:t>
      </w:r>
      <w:r w:rsidR="00867D58" w:rsidRPr="00B2384D">
        <w:rPr>
          <w:rFonts w:eastAsia="Palatino Linotype" w:cs="Palatino Linotype"/>
          <w:b/>
          <w:color w:val="000000"/>
          <w:lang w:eastAsia="es-MX"/>
        </w:rPr>
        <w:t xml:space="preserve"> la </w:t>
      </w:r>
      <w:r w:rsidRPr="00B2384D">
        <w:rPr>
          <w:rFonts w:eastAsia="Palatino Linotype" w:cs="Palatino Linotype"/>
          <w:b/>
          <w:color w:val="000000"/>
          <w:lang w:eastAsia="es-MX"/>
        </w:rPr>
        <w:t>institución bancaria utilizada por el servidor público,</w:t>
      </w:r>
      <w:r w:rsidRPr="00B2384D">
        <w:rPr>
          <w:rFonts w:eastAsia="Palatino Linotype" w:cs="Palatino Linotype"/>
          <w:color w:val="000000"/>
          <w:lang w:eastAsia="es-MX"/>
        </w:rPr>
        <w:t xml:space="preserve"> por lo que,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w:t>
      </w:r>
      <w:r w:rsidRPr="00B2384D">
        <w:rPr>
          <w:rFonts w:eastAsia="Palatino Linotype" w:cs="Palatino Linotype"/>
          <w:color w:val="000000"/>
          <w:lang w:eastAsia="es-MX"/>
        </w:rPr>
        <w:lastRenderedPageBreak/>
        <w:t xml:space="preserve">datos, por razones de seguridad nacional, disposiciones de orden público, seguridad y salud públicas o para proteger los derechos de terceros. </w:t>
      </w:r>
    </w:p>
    <w:p w14:paraId="5FDB8C6D" w14:textId="77777777" w:rsidR="001F40FC" w:rsidRPr="00B2384D" w:rsidRDefault="001F40FC" w:rsidP="00BE0A81">
      <w:pPr>
        <w:spacing w:after="0" w:line="360" w:lineRule="auto"/>
        <w:ind w:right="-28"/>
        <w:rPr>
          <w:rFonts w:eastAsia="Palatino Linotype" w:cs="Palatino Linotype"/>
          <w:color w:val="000000"/>
          <w:lang w:eastAsia="es-MX"/>
        </w:rPr>
      </w:pPr>
    </w:p>
    <w:p w14:paraId="04A71C13"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9ECBCA7" w14:textId="77777777" w:rsidR="001F40FC" w:rsidRPr="00B2384D" w:rsidRDefault="001F40FC" w:rsidP="00BE0A81">
      <w:pPr>
        <w:spacing w:after="0" w:line="360" w:lineRule="auto"/>
        <w:rPr>
          <w:rFonts w:eastAsia="Palatino Linotype" w:cs="Palatino Linotype"/>
          <w:color w:val="000000"/>
          <w:lang w:eastAsia="es-MX"/>
        </w:rPr>
      </w:pPr>
    </w:p>
    <w:p w14:paraId="2A0E0B8A"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7DD81CC" w14:textId="77777777" w:rsidR="001F40FC" w:rsidRPr="00B2384D" w:rsidRDefault="001F40FC" w:rsidP="00BE0A81">
      <w:pPr>
        <w:spacing w:after="0" w:line="360" w:lineRule="auto"/>
        <w:rPr>
          <w:rFonts w:eastAsia="Palatino Linotype" w:cs="Palatino Linotype"/>
          <w:color w:val="000000"/>
          <w:lang w:eastAsia="es-MX"/>
        </w:rPr>
      </w:pPr>
    </w:p>
    <w:p w14:paraId="07C9790E"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735D0FF" w14:textId="77777777" w:rsidR="001F40FC" w:rsidRPr="00B2384D" w:rsidRDefault="001F40FC" w:rsidP="00BE0A81">
      <w:pPr>
        <w:spacing w:after="0" w:line="360" w:lineRule="auto"/>
        <w:rPr>
          <w:rFonts w:eastAsia="Palatino Linotype" w:cs="Palatino Linotype"/>
          <w:color w:val="000000"/>
          <w:lang w:eastAsia="es-MX"/>
        </w:rPr>
      </w:pPr>
    </w:p>
    <w:p w14:paraId="469FA858"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w:t>
      </w:r>
      <w:r w:rsidRPr="00B2384D">
        <w:rPr>
          <w:rFonts w:eastAsia="Palatino Linotype" w:cs="Palatino Linotype"/>
          <w:color w:val="000000"/>
          <w:lang w:eastAsia="es-MX"/>
        </w:rPr>
        <w:lastRenderedPageBreak/>
        <w:t>exista una orden judicial, iv) por razones de seguridad nacional y salubridad general o v) para proteger los derechos de terceros o cuando se transmita entre sujetos obligados en términos de los tratados y los acuerdos interinstitucionales.</w:t>
      </w:r>
    </w:p>
    <w:p w14:paraId="760A0C69" w14:textId="77777777" w:rsidR="001F40FC" w:rsidRPr="00B2384D" w:rsidRDefault="001F40FC" w:rsidP="00BE0A81">
      <w:pPr>
        <w:spacing w:after="0" w:line="360" w:lineRule="auto"/>
        <w:rPr>
          <w:rFonts w:eastAsia="Palatino Linotype" w:cs="Palatino Linotype"/>
          <w:color w:val="000000"/>
          <w:lang w:eastAsia="es-MX"/>
        </w:rPr>
      </w:pPr>
    </w:p>
    <w:p w14:paraId="7A8B0D2E"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En términos de lo expuesto, la documentación y aquellos datos que se consideren confidenciales, serán una limitante del derecho de acceso a la información, siempre y cuando:</w:t>
      </w:r>
    </w:p>
    <w:p w14:paraId="4385936C" w14:textId="77777777" w:rsidR="001F40FC" w:rsidRPr="00B2384D" w:rsidRDefault="001F40FC" w:rsidP="00BE0A81">
      <w:pPr>
        <w:spacing w:after="0" w:line="360" w:lineRule="auto"/>
        <w:rPr>
          <w:rFonts w:eastAsia="Palatino Linotype" w:cs="Palatino Linotype"/>
          <w:color w:val="000000"/>
          <w:lang w:eastAsia="es-MX"/>
        </w:rPr>
      </w:pPr>
    </w:p>
    <w:p w14:paraId="76757DDB" w14:textId="77777777" w:rsidR="001F40FC" w:rsidRPr="00B2384D" w:rsidRDefault="001F40FC" w:rsidP="00BE0A81">
      <w:pPr>
        <w:numPr>
          <w:ilvl w:val="0"/>
          <w:numId w:val="25"/>
        </w:num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Se trate de datos personales o información privada; esto es, información concerniente a una persona física o jurídico colectiva y que esta sea identificada o identificable. </w:t>
      </w:r>
    </w:p>
    <w:p w14:paraId="146A42C8" w14:textId="77777777" w:rsidR="001F40FC" w:rsidRPr="00B2384D" w:rsidRDefault="001F40FC" w:rsidP="00BE0A81">
      <w:pPr>
        <w:spacing w:after="0" w:line="360" w:lineRule="auto"/>
        <w:rPr>
          <w:rFonts w:eastAsia="Palatino Linotype" w:cs="Palatino Linotype"/>
          <w:color w:val="000000"/>
          <w:lang w:eastAsia="es-MX"/>
        </w:rPr>
      </w:pPr>
    </w:p>
    <w:p w14:paraId="4B90AED3" w14:textId="77777777" w:rsidR="001F40FC" w:rsidRPr="00B2384D" w:rsidRDefault="001F40FC" w:rsidP="00BE0A81">
      <w:pPr>
        <w:numPr>
          <w:ilvl w:val="0"/>
          <w:numId w:val="25"/>
        </w:num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Para la difusión de los datos, se requiera el consentimiento del titular. </w:t>
      </w:r>
    </w:p>
    <w:p w14:paraId="088FA906" w14:textId="77777777" w:rsidR="001F40FC" w:rsidRPr="00B2384D" w:rsidRDefault="001F40FC" w:rsidP="00BE0A81">
      <w:pPr>
        <w:spacing w:after="0" w:line="360" w:lineRule="auto"/>
        <w:rPr>
          <w:rFonts w:eastAsia="Palatino Linotype" w:cs="Palatino Linotype"/>
          <w:color w:val="000000"/>
          <w:lang w:eastAsia="es-MX"/>
        </w:rPr>
      </w:pPr>
    </w:p>
    <w:p w14:paraId="0A5412E4"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66561C9" w14:textId="77777777" w:rsidR="001F40FC" w:rsidRPr="00B2384D" w:rsidRDefault="001F40FC" w:rsidP="00BE0A81">
      <w:pPr>
        <w:spacing w:after="0" w:line="360" w:lineRule="auto"/>
        <w:rPr>
          <w:rFonts w:eastAsia="Palatino Linotype" w:cs="Palatino Linotype"/>
          <w:color w:val="000000"/>
          <w:lang w:eastAsia="es-MX"/>
        </w:rPr>
      </w:pPr>
    </w:p>
    <w:p w14:paraId="0A653543"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Además, en el artículo 5° de dicho ordenamiento jurídico, establece que es la Ley aplicable para todo tratamiento de datos personales.</w:t>
      </w:r>
    </w:p>
    <w:p w14:paraId="67B90BA0" w14:textId="77777777" w:rsidR="001F40FC" w:rsidRPr="00B2384D" w:rsidRDefault="001F40FC" w:rsidP="00BE0A81">
      <w:pPr>
        <w:spacing w:after="0" w:line="360" w:lineRule="auto"/>
        <w:rPr>
          <w:rFonts w:eastAsia="Palatino Linotype" w:cs="Palatino Linotype"/>
          <w:color w:val="000000"/>
          <w:lang w:eastAsia="es-MX"/>
        </w:rPr>
      </w:pPr>
    </w:p>
    <w:p w14:paraId="40FFF37C"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En ese orden de ideas, los artículos 6°, 7°, 8° y 14 de la Ley de Protección de Datos Personales en Posesión de Sujetos Obligados del Estado de México y Municipios disponen que los </w:t>
      </w:r>
      <w:r w:rsidRPr="00B2384D">
        <w:rPr>
          <w:rFonts w:eastAsia="Palatino Linotype" w:cs="Palatino Linotype"/>
          <w:color w:val="000000"/>
          <w:lang w:eastAsia="es-MX"/>
        </w:rPr>
        <w:lastRenderedPageBreak/>
        <w:t>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62CA747" w14:textId="77777777" w:rsidR="001F40FC" w:rsidRPr="00B2384D" w:rsidRDefault="001F40FC" w:rsidP="00BE0A81">
      <w:pPr>
        <w:spacing w:after="0" w:line="360" w:lineRule="auto"/>
        <w:rPr>
          <w:rFonts w:eastAsia="Palatino Linotype" w:cs="Palatino Linotype"/>
          <w:color w:val="000000"/>
          <w:lang w:eastAsia="es-MX"/>
        </w:rPr>
      </w:pPr>
    </w:p>
    <w:p w14:paraId="6A1A105A"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4F24A6E" w14:textId="77777777" w:rsidR="001F40FC" w:rsidRPr="00B2384D" w:rsidRDefault="001F40FC" w:rsidP="00BE0A81">
      <w:pPr>
        <w:spacing w:after="0" w:line="360" w:lineRule="auto"/>
        <w:rPr>
          <w:rFonts w:eastAsia="Palatino Linotype" w:cs="Palatino Linotype"/>
          <w:color w:val="000000"/>
          <w:lang w:eastAsia="es-MX"/>
        </w:rPr>
      </w:pPr>
    </w:p>
    <w:p w14:paraId="5E1E097E"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15F1511" w14:textId="77777777" w:rsidR="001F40FC" w:rsidRPr="00B2384D" w:rsidRDefault="001F40FC" w:rsidP="00BE0A81">
      <w:pPr>
        <w:spacing w:after="0" w:line="360" w:lineRule="auto"/>
        <w:rPr>
          <w:rFonts w:eastAsia="Palatino Linotype" w:cs="Palatino Linotype"/>
          <w:color w:val="000000"/>
          <w:lang w:eastAsia="es-MX"/>
        </w:rPr>
      </w:pPr>
    </w:p>
    <w:p w14:paraId="77B81566"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De tal suerte, las instituciones públicas tienen la doble responsabilidad, por un lado, de proteger los datos personales y por otro, darles publicidad cuando la relevancia de esos datos sea de interés público.</w:t>
      </w:r>
    </w:p>
    <w:p w14:paraId="6C19DD4B" w14:textId="77777777" w:rsidR="001F40FC" w:rsidRPr="00B2384D" w:rsidRDefault="001F40FC" w:rsidP="00BE0A81">
      <w:pPr>
        <w:spacing w:after="0" w:line="360" w:lineRule="auto"/>
        <w:rPr>
          <w:rFonts w:eastAsia="Palatino Linotype" w:cs="Palatino Linotype"/>
          <w:color w:val="000000"/>
          <w:lang w:eastAsia="es-MX"/>
        </w:rPr>
      </w:pPr>
    </w:p>
    <w:p w14:paraId="374B6E2C"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3CE656D" w14:textId="77777777" w:rsidR="001F40FC" w:rsidRPr="00B2384D" w:rsidRDefault="001F40FC" w:rsidP="00BE0A81">
      <w:pPr>
        <w:spacing w:after="0" w:line="360" w:lineRule="auto"/>
        <w:rPr>
          <w:rFonts w:eastAsia="Palatino Linotype" w:cs="Palatino Linotype"/>
          <w:color w:val="000000"/>
          <w:lang w:eastAsia="es-MX"/>
        </w:rPr>
      </w:pPr>
    </w:p>
    <w:p w14:paraId="0015DF78"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22A9C0A" w14:textId="77777777" w:rsidR="001F40FC" w:rsidRPr="00B2384D" w:rsidRDefault="001F40FC" w:rsidP="00BE0A81">
      <w:pPr>
        <w:spacing w:after="0" w:line="360" w:lineRule="auto"/>
        <w:rPr>
          <w:rFonts w:eastAsia="Palatino Linotype" w:cs="Palatino Linotype"/>
          <w:color w:val="000000"/>
          <w:lang w:eastAsia="es-MX"/>
        </w:rPr>
      </w:pPr>
    </w:p>
    <w:p w14:paraId="17B1143D"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w:t>
      </w:r>
      <w:r w:rsidRPr="00B2384D">
        <w:rPr>
          <w:rFonts w:eastAsia="Palatino Linotype" w:cs="Palatino Linotype"/>
          <w:color w:val="000000"/>
          <w:lang w:eastAsia="es-MX"/>
        </w:rPr>
        <w:lastRenderedPageBreak/>
        <w:t>los datos esenciales para la transparencia y rendición de cuentas, sin afectar la vida privada de las personas.</w:t>
      </w:r>
    </w:p>
    <w:p w14:paraId="7F6218C9" w14:textId="77777777" w:rsidR="001F40FC" w:rsidRPr="00B2384D" w:rsidRDefault="001F40FC" w:rsidP="00BE0A81">
      <w:pPr>
        <w:spacing w:after="0" w:line="360" w:lineRule="auto"/>
        <w:rPr>
          <w:rFonts w:eastAsia="Palatino Linotype" w:cs="Palatino Linotype"/>
          <w:color w:val="000000"/>
          <w:lang w:eastAsia="es-MX"/>
        </w:rPr>
      </w:pPr>
    </w:p>
    <w:p w14:paraId="715DD2CC" w14:textId="77777777" w:rsidR="001F40FC" w:rsidRPr="00B2384D" w:rsidRDefault="001F40FC"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Bajo ese contexto, se analizarán si los datos mencionados, deben ser considerados confidenciales, en términos del artículo 143, fracción I, de la Ley de Transparencia y Acceso a la Información Pública del Estado de México y Municipios, o públicos.</w:t>
      </w:r>
    </w:p>
    <w:p w14:paraId="66FC17CD" w14:textId="77777777" w:rsidR="00C152A0" w:rsidRPr="00B2384D" w:rsidRDefault="00C152A0" w:rsidP="00BE0A81">
      <w:pPr>
        <w:spacing w:after="0" w:line="360" w:lineRule="auto"/>
        <w:ind w:right="-28"/>
        <w:rPr>
          <w:rFonts w:eastAsia="Palatino Linotype" w:cs="Palatino Linotype"/>
          <w:color w:val="000000"/>
          <w:lang w:eastAsia="es-MX"/>
        </w:rPr>
      </w:pPr>
    </w:p>
    <w:p w14:paraId="4FDA28FF" w14:textId="77777777" w:rsidR="00867D58" w:rsidRPr="00B2384D" w:rsidRDefault="00867D58" w:rsidP="00BE0A81">
      <w:pPr>
        <w:numPr>
          <w:ilvl w:val="0"/>
          <w:numId w:val="26"/>
        </w:numPr>
        <w:spacing w:after="0" w:line="360" w:lineRule="auto"/>
        <w:rPr>
          <w:rFonts w:eastAsia="Palatino Linotype" w:cs="Palatino Linotype"/>
          <w:b/>
          <w:color w:val="000000"/>
          <w:lang w:eastAsia="es-MX"/>
        </w:rPr>
      </w:pPr>
      <w:r w:rsidRPr="00B2384D">
        <w:rPr>
          <w:rFonts w:eastAsia="Palatino Linotype" w:cs="Palatino Linotype"/>
          <w:b/>
          <w:color w:val="000000"/>
          <w:lang w:eastAsia="es-MX"/>
        </w:rPr>
        <w:t>Registro Federal de Contribuyentes (RFC)</w:t>
      </w:r>
    </w:p>
    <w:p w14:paraId="7F639447" w14:textId="77777777" w:rsidR="00867D58" w:rsidRPr="00B2384D" w:rsidRDefault="00867D58" w:rsidP="00BE0A81">
      <w:pPr>
        <w:spacing w:after="0" w:line="360" w:lineRule="auto"/>
        <w:rPr>
          <w:rFonts w:eastAsia="Palatino Linotype" w:cs="Palatino Linotype"/>
          <w:color w:val="000000"/>
          <w:lang w:eastAsia="es-MX"/>
        </w:rPr>
      </w:pPr>
    </w:p>
    <w:p w14:paraId="2A3C593C" w14:textId="77777777" w:rsidR="00867D58" w:rsidRPr="00B2384D" w:rsidRDefault="00867D5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8382CEF" w14:textId="77777777" w:rsidR="00867D58" w:rsidRPr="00B2384D" w:rsidRDefault="00867D58" w:rsidP="00BE0A81">
      <w:pPr>
        <w:spacing w:after="0" w:line="360" w:lineRule="auto"/>
        <w:rPr>
          <w:rFonts w:eastAsia="Palatino Linotype" w:cs="Palatino Linotype"/>
          <w:color w:val="000000"/>
          <w:lang w:eastAsia="es-MX"/>
        </w:rPr>
      </w:pPr>
    </w:p>
    <w:p w14:paraId="4E20BA5E" w14:textId="77777777" w:rsidR="00867D58" w:rsidRPr="00B2384D" w:rsidRDefault="00867D5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89A976A" w14:textId="77777777" w:rsidR="00867D58" w:rsidRPr="00B2384D" w:rsidRDefault="00867D58" w:rsidP="00BE0A81">
      <w:pPr>
        <w:spacing w:after="0" w:line="360" w:lineRule="auto"/>
        <w:rPr>
          <w:rFonts w:eastAsia="Palatino Linotype" w:cs="Palatino Linotype"/>
          <w:color w:val="000000"/>
          <w:lang w:eastAsia="es-MX"/>
        </w:rPr>
      </w:pPr>
    </w:p>
    <w:p w14:paraId="3DAFB398" w14:textId="77777777" w:rsidR="00867D58" w:rsidRPr="00B2384D" w:rsidRDefault="00867D5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889B240" w14:textId="77777777" w:rsidR="00867D58" w:rsidRPr="00B2384D" w:rsidRDefault="00867D58" w:rsidP="00BE0A81">
      <w:pPr>
        <w:spacing w:after="0" w:line="360" w:lineRule="auto"/>
        <w:rPr>
          <w:rFonts w:eastAsia="Palatino Linotype" w:cs="Palatino Linotype"/>
          <w:color w:val="000000"/>
          <w:lang w:eastAsia="es-MX"/>
        </w:rPr>
      </w:pPr>
    </w:p>
    <w:p w14:paraId="75880788" w14:textId="77777777" w:rsidR="00867D58" w:rsidRPr="00B2384D" w:rsidRDefault="00867D5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7E95D4C7" w14:textId="77777777" w:rsidR="00867D58" w:rsidRPr="00B2384D" w:rsidRDefault="00867D58" w:rsidP="00BE0A81">
      <w:pPr>
        <w:spacing w:after="0" w:line="360" w:lineRule="auto"/>
        <w:rPr>
          <w:rFonts w:eastAsia="Palatino Linotype" w:cs="Palatino Linotype"/>
          <w:color w:val="000000"/>
          <w:lang w:eastAsia="es-MX"/>
        </w:rPr>
      </w:pPr>
    </w:p>
    <w:p w14:paraId="5510D78B" w14:textId="77777777" w:rsidR="00867D58" w:rsidRPr="00B2384D" w:rsidRDefault="00867D5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229D614" w14:textId="77777777" w:rsidR="00867D58" w:rsidRPr="00B2384D" w:rsidRDefault="00867D58" w:rsidP="00BE0A81">
      <w:pPr>
        <w:spacing w:after="0" w:line="360" w:lineRule="auto"/>
        <w:rPr>
          <w:rFonts w:eastAsia="Palatino Linotype" w:cs="Palatino Linotype"/>
          <w:color w:val="000000"/>
          <w:lang w:eastAsia="es-MX"/>
        </w:rPr>
      </w:pPr>
    </w:p>
    <w:p w14:paraId="1A0663EE" w14:textId="77777777" w:rsidR="00867D58" w:rsidRPr="00B2384D" w:rsidRDefault="00867D58" w:rsidP="00BE0A81">
      <w:pPr>
        <w:spacing w:after="0" w:line="360" w:lineRule="auto"/>
        <w:ind w:left="567" w:right="567"/>
        <w:rPr>
          <w:rFonts w:eastAsia="Palatino Linotype" w:cs="Palatino Linotype"/>
          <w:i/>
          <w:color w:val="000000"/>
          <w:sz w:val="20"/>
          <w:szCs w:val="20"/>
          <w:lang w:eastAsia="es-MX"/>
        </w:rPr>
      </w:pPr>
      <w:r w:rsidRPr="00B2384D">
        <w:rPr>
          <w:rFonts w:eastAsia="Palatino Linotype" w:cs="Palatino Linotype"/>
          <w:b/>
          <w:i/>
          <w:color w:val="000000"/>
          <w:sz w:val="20"/>
          <w:szCs w:val="20"/>
          <w:lang w:eastAsia="es-MX"/>
        </w:rPr>
        <w:t>“Registro Federal de Contribuyentes (RFC) de personas físicas.</w:t>
      </w:r>
      <w:r w:rsidRPr="00B2384D">
        <w:rPr>
          <w:rFonts w:eastAsia="Palatino Linotype" w:cs="Palatino Linotype"/>
          <w:i/>
          <w:color w:val="000000"/>
          <w:sz w:val="20"/>
          <w:szCs w:val="20"/>
          <w:lang w:eastAsia="es-MX"/>
        </w:rPr>
        <w:t xml:space="preserve"> El RFC es una clave de carácter fiscal, única e irrepetible, que permite identificar al titular, su edad y fecha de nacimiento, por lo que es un dato personal de carácter confidencial.”</w:t>
      </w:r>
    </w:p>
    <w:p w14:paraId="023470D1" w14:textId="77777777" w:rsidR="00867D58" w:rsidRPr="00B2384D" w:rsidRDefault="00867D58" w:rsidP="00BE0A81">
      <w:pPr>
        <w:spacing w:after="0" w:line="360" w:lineRule="auto"/>
        <w:rPr>
          <w:rFonts w:eastAsia="Palatino Linotype" w:cs="Palatino Linotype"/>
          <w:color w:val="000000"/>
          <w:lang w:eastAsia="es-MX"/>
        </w:rPr>
      </w:pPr>
    </w:p>
    <w:p w14:paraId="6A940D35" w14:textId="5258D734" w:rsidR="00C152A0" w:rsidRPr="00B2384D" w:rsidRDefault="00867D58" w:rsidP="00BE0A81">
      <w:pPr>
        <w:spacing w:after="0" w:line="360" w:lineRule="auto"/>
        <w:rPr>
          <w:rFonts w:eastAsia="Palatino Linotype" w:cs="Palatino Linotype"/>
          <w:b/>
          <w:bCs/>
          <w:color w:val="000000"/>
          <w:lang w:eastAsia="es-MX"/>
        </w:rPr>
      </w:pPr>
      <w:r w:rsidRPr="00B2384D">
        <w:rPr>
          <w:rFonts w:eastAsia="Palatino Linotype" w:cs="Palatino Linotype"/>
          <w:color w:val="000000"/>
          <w:lang w:eastAsia="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00E06035" w:rsidRPr="00B2384D">
        <w:rPr>
          <w:rFonts w:eastAsia="Palatino Linotype" w:cs="Palatino Linotype"/>
          <w:color w:val="000000"/>
          <w:lang w:eastAsia="es-MX"/>
        </w:rPr>
        <w:t xml:space="preserve"> </w:t>
      </w:r>
      <w:r w:rsidR="00E06035" w:rsidRPr="00B2384D">
        <w:rPr>
          <w:rFonts w:eastAsia="Palatino Linotype" w:cs="Palatino Linotype"/>
          <w:b/>
          <w:bCs/>
          <w:color w:val="000000"/>
          <w:lang w:eastAsia="es-MX"/>
        </w:rPr>
        <w:t>Cabe precisar que dicho dato es accesible en la versión pública.</w:t>
      </w:r>
    </w:p>
    <w:p w14:paraId="5643BF3B" w14:textId="77777777" w:rsidR="00826AB0" w:rsidRPr="00B2384D" w:rsidRDefault="00826AB0" w:rsidP="00BE0A81">
      <w:pPr>
        <w:spacing w:after="0" w:line="360" w:lineRule="auto"/>
        <w:rPr>
          <w:rFonts w:eastAsia="Palatino Linotype" w:cs="Palatino Linotype"/>
          <w:color w:val="000000"/>
          <w:lang w:eastAsia="es-MX"/>
        </w:rPr>
      </w:pPr>
    </w:p>
    <w:p w14:paraId="0F1BBCCA" w14:textId="77777777" w:rsidR="00D9090B" w:rsidRPr="00B2384D" w:rsidRDefault="00D9090B" w:rsidP="00BE0A81">
      <w:pPr>
        <w:numPr>
          <w:ilvl w:val="0"/>
          <w:numId w:val="32"/>
        </w:numPr>
        <w:spacing w:after="0" w:line="360" w:lineRule="auto"/>
        <w:contextualSpacing/>
        <w:jc w:val="left"/>
        <w:rPr>
          <w:rFonts w:eastAsia="Times New Roman" w:cs="Tahoma"/>
          <w:b/>
          <w:color w:val="auto"/>
          <w:kern w:val="2"/>
          <w:lang w:eastAsia="es-ES"/>
          <w14:ligatures w14:val="standardContextual"/>
        </w:rPr>
      </w:pPr>
      <w:r w:rsidRPr="00B2384D">
        <w:rPr>
          <w:rFonts w:eastAsia="Times New Roman" w:cs="Tahoma"/>
          <w:b/>
          <w:color w:val="auto"/>
          <w:kern w:val="2"/>
          <w:lang w:eastAsia="es-ES"/>
          <w14:ligatures w14:val="standardContextual"/>
        </w:rPr>
        <w:t>Número de empleado</w:t>
      </w:r>
    </w:p>
    <w:p w14:paraId="36264C0E" w14:textId="77777777" w:rsidR="00D9090B" w:rsidRPr="00B2384D" w:rsidRDefault="00D9090B" w:rsidP="00BE0A81">
      <w:pPr>
        <w:spacing w:after="0" w:line="360" w:lineRule="auto"/>
        <w:rPr>
          <w:rFonts w:eastAsia="Times New Roman" w:cs="Tahoma"/>
          <w:b/>
          <w:color w:val="auto"/>
          <w:lang w:eastAsia="es-ES"/>
        </w:rPr>
      </w:pPr>
    </w:p>
    <w:p w14:paraId="76407CAD" w14:textId="77777777" w:rsidR="00D9090B" w:rsidRPr="00B2384D" w:rsidRDefault="00D9090B" w:rsidP="00BE0A81">
      <w:pPr>
        <w:spacing w:after="0" w:line="360" w:lineRule="auto"/>
        <w:rPr>
          <w:rFonts w:eastAsia="Calibri" w:cs="Tahoma"/>
          <w:bCs/>
          <w:iCs/>
          <w:color w:val="auto"/>
          <w:lang w:eastAsia="es-ES"/>
        </w:rPr>
      </w:pPr>
      <w:r w:rsidRPr="00B2384D">
        <w:rPr>
          <w:rFonts w:eastAsia="Calibri" w:cs="Tahoma"/>
          <w:bCs/>
          <w:iCs/>
          <w:color w:val="auto"/>
          <w:lang w:eastAsia="es-ES"/>
        </w:rPr>
        <w:t xml:space="preserve">En relación con el número de empleado de servidores públicos o su equivalente, con independencia del nombre que reciba, constituye un instrumento de control interno que </w:t>
      </w:r>
      <w:r w:rsidRPr="00B2384D">
        <w:rPr>
          <w:rFonts w:eastAsia="Calibri" w:cs="Tahoma"/>
          <w:bCs/>
          <w:iCs/>
          <w:color w:val="auto"/>
          <w:lang w:eastAsia="es-ES"/>
        </w:rPr>
        <w:lastRenderedPageBreak/>
        <w:t>permite a las dependencias y entidades identificar a sus trabajadores y a estos les facilita la realización de gestiones en su carácter de empleado.</w:t>
      </w:r>
    </w:p>
    <w:p w14:paraId="22FBFB3A" w14:textId="77777777" w:rsidR="00D9090B" w:rsidRPr="00B2384D" w:rsidRDefault="00D9090B" w:rsidP="00BE0A81">
      <w:pPr>
        <w:spacing w:after="0" w:line="360" w:lineRule="auto"/>
        <w:rPr>
          <w:rFonts w:eastAsia="Calibri" w:cs="Tahoma"/>
          <w:bCs/>
          <w:iCs/>
          <w:color w:val="auto"/>
          <w:lang w:eastAsia="es-ES"/>
        </w:rPr>
      </w:pPr>
    </w:p>
    <w:p w14:paraId="37E195A5" w14:textId="77777777" w:rsidR="00D9090B" w:rsidRPr="00B2384D" w:rsidRDefault="00D9090B" w:rsidP="00BE0A81">
      <w:pPr>
        <w:spacing w:after="0" w:line="360" w:lineRule="auto"/>
        <w:rPr>
          <w:rFonts w:eastAsia="Calibri" w:cs="Tahoma"/>
          <w:bCs/>
          <w:iCs/>
          <w:color w:val="auto"/>
          <w:lang w:eastAsia="es-ES"/>
        </w:rPr>
      </w:pPr>
      <w:r w:rsidRPr="00B2384D">
        <w:rPr>
          <w:rFonts w:eastAsia="Calibri" w:cs="Tahoma"/>
          <w:bCs/>
          <w:iCs/>
          <w:color w:val="auto"/>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436AFE9" w14:textId="77777777" w:rsidR="00D9090B" w:rsidRPr="00B2384D" w:rsidRDefault="00D9090B" w:rsidP="00BE0A81">
      <w:pPr>
        <w:spacing w:after="0" w:line="360" w:lineRule="auto"/>
        <w:rPr>
          <w:rFonts w:eastAsia="Calibri" w:cs="Tahoma"/>
          <w:bCs/>
          <w:iCs/>
          <w:color w:val="auto"/>
          <w:lang w:eastAsia="es-ES"/>
        </w:rPr>
      </w:pPr>
    </w:p>
    <w:p w14:paraId="210756BD" w14:textId="77777777" w:rsidR="00D9090B" w:rsidRPr="00B2384D" w:rsidRDefault="00D9090B" w:rsidP="00BE0A81">
      <w:pPr>
        <w:spacing w:after="0" w:line="360" w:lineRule="auto"/>
        <w:contextualSpacing/>
        <w:rPr>
          <w:rFonts w:eastAsia="Calibri" w:cs="Tahoma"/>
          <w:bCs/>
          <w:iCs/>
          <w:color w:val="auto"/>
          <w:lang w:eastAsia="es-MX"/>
        </w:rPr>
      </w:pPr>
      <w:r w:rsidRPr="00B2384D">
        <w:rPr>
          <w:rFonts w:eastAsia="Calibri" w:cs="Tahoma"/>
          <w:bCs/>
          <w:iCs/>
          <w:color w:val="auto"/>
          <w:lang w:eastAsia="es-MX"/>
        </w:rPr>
        <w:t xml:space="preserve">Lo anterior, toma sustento en el </w:t>
      </w:r>
      <w:r w:rsidRPr="00B2384D">
        <w:rPr>
          <w:rFonts w:eastAsia="Calibri" w:cs="Tahoma"/>
          <w:bCs/>
          <w:color w:val="auto"/>
          <w:lang w:val="es-ES" w:eastAsia="es-MX"/>
        </w:rPr>
        <w:t xml:space="preserve">Criterio de Interpretación, de la Segunda Época, con número de registro </w:t>
      </w:r>
      <w:r w:rsidRPr="00B2384D">
        <w:rPr>
          <w:rFonts w:eastAsia="Calibri" w:cs="Tahoma"/>
          <w:bCs/>
          <w:color w:val="auto"/>
          <w:lang w:eastAsia="es-MX"/>
        </w:rPr>
        <w:t>SO/006/2019</w:t>
      </w:r>
      <w:r w:rsidRPr="00B2384D">
        <w:rPr>
          <w:rFonts w:eastAsia="Calibri" w:cs="Tahoma"/>
          <w:bCs/>
          <w:iCs/>
          <w:color w:val="auto"/>
          <w:lang w:eastAsia="es-MX"/>
        </w:rPr>
        <w:t>, emitido por el Instituto Nacional de Transparencia, Acceso a la Información y Protección de Datos Personales, que solamente procederá la clasificación del número de empleado, cuando se integre con datos personales de los servidores públicos o funcione como clave de acceso que no requiera una contraseña para ingresar a sistemas o bases de datos.</w:t>
      </w:r>
    </w:p>
    <w:p w14:paraId="6160F802" w14:textId="18644FA1" w:rsidR="00D9090B" w:rsidRPr="00B2384D" w:rsidRDefault="00D9090B" w:rsidP="00BE0A81">
      <w:pPr>
        <w:spacing w:after="0" w:line="360" w:lineRule="auto"/>
        <w:contextualSpacing/>
        <w:rPr>
          <w:rFonts w:eastAsia="Calibri" w:cs="Tahoma"/>
          <w:b/>
          <w:bCs/>
          <w:iCs/>
          <w:color w:val="auto"/>
          <w:lang w:eastAsia="es-MX"/>
        </w:rPr>
      </w:pPr>
    </w:p>
    <w:p w14:paraId="27200F4E" w14:textId="27A573E0" w:rsidR="00D9090B" w:rsidRPr="00B2384D" w:rsidRDefault="00D9090B" w:rsidP="00BE0A81">
      <w:pPr>
        <w:spacing w:after="0" w:line="360" w:lineRule="auto"/>
        <w:ind w:right="-93"/>
        <w:rPr>
          <w:rFonts w:eastAsia="Times New Roman" w:cs="Tahoma"/>
          <w:color w:val="auto"/>
          <w:lang w:val="es-ES" w:eastAsia="es-ES"/>
        </w:rPr>
      </w:pPr>
      <w:r w:rsidRPr="00B2384D">
        <w:rPr>
          <w:rFonts w:eastAsia="Calibri" w:cs="Tahoma"/>
          <w:iCs/>
          <w:color w:val="auto"/>
          <w:lang w:eastAsia="es-MX"/>
        </w:rPr>
        <w:t xml:space="preserve">En ese contexto, es de señalar que el Sujeto Obligad dejó accesible dicho dato, mismo que se conforma de una serie de números que de ninguna forma contiene datos personales, pues no se relacionan con fechas de nacimiento, ni con la Clave Única de Registro de Población o el Registro Federal de Contribuyentes; por lo que, en el presente caso, se considera que no actualiza la causal de clasificación </w:t>
      </w:r>
      <w:r w:rsidRPr="00B2384D">
        <w:rPr>
          <w:rFonts w:eastAsia="Times New Roman" w:cs="Tahoma"/>
          <w:color w:val="auto"/>
          <w:lang w:val="es-ES" w:eastAsia="es-ES"/>
        </w:rPr>
        <w:t>artículo 143, fracción I de la Ley de la materia y por lo tanto, deberá proporcionarlo sin testar.</w:t>
      </w:r>
    </w:p>
    <w:p w14:paraId="14CB8579" w14:textId="13F7ED12" w:rsidR="00D9090B" w:rsidRPr="00B2384D" w:rsidRDefault="00D9090B" w:rsidP="00BE0A81">
      <w:pPr>
        <w:spacing w:after="0" w:line="360" w:lineRule="auto"/>
        <w:contextualSpacing/>
        <w:rPr>
          <w:rFonts w:eastAsia="Calibri" w:cs="Tahoma"/>
          <w:iCs/>
          <w:color w:val="auto"/>
          <w:lang w:val="es-ES" w:eastAsia="es-MX"/>
        </w:rPr>
      </w:pPr>
    </w:p>
    <w:p w14:paraId="10697035" w14:textId="77777777" w:rsidR="00826AB0" w:rsidRPr="00B2384D" w:rsidRDefault="00826AB0" w:rsidP="00BE0A81">
      <w:pPr>
        <w:numPr>
          <w:ilvl w:val="0"/>
          <w:numId w:val="27"/>
        </w:numPr>
        <w:spacing w:after="0" w:line="360" w:lineRule="auto"/>
        <w:jc w:val="left"/>
        <w:rPr>
          <w:rFonts w:eastAsia="Palatino Linotype" w:cs="Palatino Linotype"/>
          <w:b/>
          <w:color w:val="000000"/>
          <w:lang w:eastAsia="es-MX"/>
        </w:rPr>
      </w:pPr>
      <w:r w:rsidRPr="00B2384D">
        <w:rPr>
          <w:rFonts w:eastAsia="Palatino Linotype" w:cs="Palatino Linotype"/>
          <w:b/>
          <w:color w:val="000000"/>
          <w:lang w:eastAsia="es-MX"/>
        </w:rPr>
        <w:t>Descuentos personales</w:t>
      </w:r>
    </w:p>
    <w:p w14:paraId="380253FB" w14:textId="77777777" w:rsidR="00826AB0" w:rsidRPr="00B2384D" w:rsidRDefault="00826AB0" w:rsidP="00BE0A81">
      <w:pPr>
        <w:spacing w:after="0" w:line="360" w:lineRule="auto"/>
        <w:ind w:left="720"/>
        <w:rPr>
          <w:rFonts w:eastAsia="Palatino Linotype" w:cs="Palatino Linotype"/>
          <w:b/>
          <w:color w:val="000000"/>
          <w:lang w:eastAsia="es-MX"/>
        </w:rPr>
      </w:pPr>
    </w:p>
    <w:p w14:paraId="4C5C9CE6" w14:textId="77777777" w:rsidR="00826AB0" w:rsidRPr="00B2384D" w:rsidRDefault="00826AB0"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lastRenderedPageBreak/>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17FBFFCB" w14:textId="77777777" w:rsidR="00826AB0" w:rsidRPr="00B2384D" w:rsidRDefault="00826AB0" w:rsidP="00BE0A81">
      <w:pPr>
        <w:spacing w:after="0" w:line="360" w:lineRule="auto"/>
        <w:rPr>
          <w:rFonts w:eastAsia="Palatino Linotype" w:cs="Palatino Linotype"/>
          <w:color w:val="000000"/>
          <w:lang w:eastAsia="es-MX"/>
        </w:rPr>
      </w:pPr>
    </w:p>
    <w:p w14:paraId="3990D93A" w14:textId="77777777" w:rsidR="00826AB0" w:rsidRPr="00B2384D" w:rsidRDefault="00826AB0"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Asimismo, hay otras que se generan con motivo de una sentencia judicial, como es la pensión alimenticia que periódicamente se retira de la cuenta de un empleado, a efecto de que sea entregado a un tercero.  </w:t>
      </w:r>
    </w:p>
    <w:p w14:paraId="04EA4EAE" w14:textId="77777777" w:rsidR="00826AB0" w:rsidRPr="00B2384D" w:rsidRDefault="00826AB0" w:rsidP="00BE0A81">
      <w:pPr>
        <w:spacing w:after="0" w:line="360" w:lineRule="auto"/>
        <w:rPr>
          <w:rFonts w:eastAsia="Palatino Linotype" w:cs="Palatino Linotype"/>
          <w:color w:val="000000"/>
          <w:lang w:eastAsia="es-MX"/>
        </w:rPr>
      </w:pPr>
    </w:p>
    <w:p w14:paraId="2BD91D10" w14:textId="77777777" w:rsidR="00826AB0" w:rsidRPr="00B2384D" w:rsidRDefault="00826AB0"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33CBCF6" w14:textId="77777777" w:rsidR="00826AB0" w:rsidRPr="00B2384D" w:rsidRDefault="00826AB0" w:rsidP="00BE0A81">
      <w:pPr>
        <w:spacing w:after="0" w:line="360" w:lineRule="auto"/>
        <w:rPr>
          <w:rFonts w:eastAsia="Palatino Linotype" w:cs="Palatino Linotype"/>
          <w:color w:val="000000"/>
          <w:lang w:eastAsia="es-MX"/>
        </w:rPr>
      </w:pPr>
    </w:p>
    <w:p w14:paraId="0C2A1485" w14:textId="41F495DA" w:rsidR="00826AB0" w:rsidRPr="00B2384D" w:rsidRDefault="00826AB0"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r w:rsidR="00B65995" w:rsidRPr="00B2384D">
        <w:rPr>
          <w:rFonts w:eastAsia="Palatino Linotype" w:cs="Palatino Linotype"/>
          <w:b/>
          <w:bCs/>
          <w:lang w:eastAsia="es-MX"/>
        </w:rPr>
        <w:t>Cabe señalar que dichos datos se dejaron accesibles.</w:t>
      </w:r>
    </w:p>
    <w:p w14:paraId="4561DC0D" w14:textId="77777777" w:rsidR="00826AB0" w:rsidRPr="00B2384D" w:rsidRDefault="00826AB0" w:rsidP="00BE0A81">
      <w:pPr>
        <w:spacing w:after="0" w:line="360" w:lineRule="auto"/>
        <w:rPr>
          <w:rFonts w:eastAsia="Palatino Linotype" w:cs="Palatino Linotype"/>
          <w:color w:val="000000"/>
          <w:lang w:eastAsia="es-MX"/>
        </w:rPr>
      </w:pPr>
    </w:p>
    <w:p w14:paraId="21B24C65" w14:textId="3FFD0030" w:rsidR="00826AB0" w:rsidRPr="00B2384D" w:rsidRDefault="00826AB0" w:rsidP="00BE0A81">
      <w:pPr>
        <w:numPr>
          <w:ilvl w:val="0"/>
          <w:numId w:val="28"/>
        </w:numPr>
        <w:spacing w:after="0" w:line="360" w:lineRule="auto"/>
        <w:rPr>
          <w:rFonts w:eastAsia="Palatino Linotype" w:cs="Palatino Linotype"/>
          <w:b/>
          <w:lang w:eastAsia="es-MX"/>
        </w:rPr>
      </w:pPr>
      <w:r w:rsidRPr="00B2384D">
        <w:rPr>
          <w:rFonts w:eastAsia="Palatino Linotype" w:cs="Palatino Linotype"/>
          <w:b/>
          <w:lang w:eastAsia="es-MX"/>
        </w:rPr>
        <w:t>Cuenta bancaria de servidores públicos</w:t>
      </w:r>
      <w:r w:rsidR="00D9090B" w:rsidRPr="00B2384D">
        <w:rPr>
          <w:rFonts w:eastAsia="Palatino Linotype" w:cs="Palatino Linotype"/>
          <w:b/>
          <w:lang w:eastAsia="es-MX"/>
        </w:rPr>
        <w:t xml:space="preserve"> y números de transferencia</w:t>
      </w:r>
      <w:r w:rsidRPr="00B2384D">
        <w:rPr>
          <w:rFonts w:eastAsia="Palatino Linotype" w:cs="Palatino Linotype"/>
          <w:b/>
          <w:lang w:eastAsia="es-MX"/>
        </w:rPr>
        <w:t xml:space="preserve">. </w:t>
      </w:r>
    </w:p>
    <w:p w14:paraId="50297311" w14:textId="77777777" w:rsidR="00826AB0" w:rsidRPr="00B2384D" w:rsidRDefault="00826AB0" w:rsidP="00BE0A81">
      <w:pPr>
        <w:spacing w:after="0" w:line="360" w:lineRule="auto"/>
        <w:rPr>
          <w:rFonts w:eastAsia="Palatino Linotype" w:cs="Palatino Linotype"/>
          <w:lang w:eastAsia="es-MX"/>
        </w:rPr>
      </w:pPr>
    </w:p>
    <w:p w14:paraId="61302BBD"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lastRenderedPageBreak/>
        <w:t>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100AE654"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 </w:t>
      </w:r>
    </w:p>
    <w:p w14:paraId="0D32D0E0"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 xml:space="preserve">A mayor abundamiento, resulta necesario traer a colación el Criterio </w:t>
      </w:r>
      <w:r w:rsidRPr="00B2384D">
        <w:rPr>
          <w:rFonts w:eastAsia="Palatino Linotype" w:cs="Palatino Linotype"/>
          <w:color w:val="000000"/>
          <w:lang w:eastAsia="es-MX"/>
        </w:rPr>
        <w:t xml:space="preserve">SO/010/2017, </w:t>
      </w:r>
      <w:r w:rsidRPr="00B2384D">
        <w:rPr>
          <w:rFonts w:eastAsia="Palatino Linotype" w:cs="Palatino Linotype"/>
          <w:lang w:eastAsia="es-MX"/>
        </w:rPr>
        <w:t>emitido por el Instituto Nacional de Transparencia, Acceso a la Información y Protección de Datos Personales, mismo que establece lo siguiente:</w:t>
      </w:r>
    </w:p>
    <w:p w14:paraId="7183E93B" w14:textId="77777777" w:rsidR="00826AB0" w:rsidRPr="00B2384D" w:rsidRDefault="00826AB0" w:rsidP="00BE0A81">
      <w:pPr>
        <w:spacing w:after="0" w:line="360" w:lineRule="auto"/>
        <w:rPr>
          <w:rFonts w:eastAsia="Palatino Linotype" w:cs="Palatino Linotype"/>
          <w:lang w:eastAsia="es-MX"/>
        </w:rPr>
      </w:pPr>
    </w:p>
    <w:p w14:paraId="6C975DB0" w14:textId="77777777" w:rsidR="00826AB0" w:rsidRPr="00B2384D" w:rsidRDefault="00826AB0" w:rsidP="00BE0A81">
      <w:pPr>
        <w:spacing w:after="0" w:line="360" w:lineRule="auto"/>
        <w:ind w:left="567" w:right="567"/>
        <w:rPr>
          <w:rFonts w:eastAsia="Palatino Linotype" w:cs="Palatino Linotype"/>
          <w:i/>
          <w:sz w:val="20"/>
          <w:szCs w:val="20"/>
          <w:lang w:eastAsia="es-MX"/>
        </w:rPr>
      </w:pPr>
      <w:r w:rsidRPr="00B2384D">
        <w:rPr>
          <w:rFonts w:eastAsia="Palatino Linotype" w:cs="Palatino Linotype"/>
          <w:i/>
          <w:sz w:val="20"/>
          <w:szCs w:val="20"/>
          <w:lang w:eastAsia="es-MX"/>
        </w:rPr>
        <w:t>“</w:t>
      </w:r>
      <w:r w:rsidRPr="00B2384D">
        <w:rPr>
          <w:rFonts w:eastAsia="Palatino Linotype" w:cs="Palatino Linotype"/>
          <w:b/>
          <w:i/>
          <w:sz w:val="20"/>
          <w:szCs w:val="20"/>
          <w:lang w:eastAsia="es-MX"/>
        </w:rPr>
        <w:t>Cuentas bancarias y/o CLABE interbancaria de personas físicas y morales privadas.</w:t>
      </w:r>
      <w:r w:rsidRPr="00B2384D">
        <w:rPr>
          <w:rFonts w:eastAsia="Palatino Linotype" w:cs="Palatino Linotype"/>
          <w:i/>
          <w:sz w:val="20"/>
          <w:szCs w:val="20"/>
          <w:lang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5F22074" w14:textId="77777777" w:rsidR="00826AB0" w:rsidRPr="00B2384D" w:rsidRDefault="00826AB0" w:rsidP="00BE0A81">
      <w:pPr>
        <w:spacing w:after="0" w:line="360" w:lineRule="auto"/>
        <w:rPr>
          <w:rFonts w:eastAsia="Palatino Linotype" w:cs="Palatino Linotype"/>
          <w:lang w:eastAsia="es-MX"/>
        </w:rPr>
      </w:pPr>
    </w:p>
    <w:p w14:paraId="34D3AAD4" w14:textId="01408052" w:rsidR="00826AB0" w:rsidRPr="00B2384D" w:rsidRDefault="00826AB0" w:rsidP="00BE0A81">
      <w:pPr>
        <w:spacing w:after="0" w:line="360" w:lineRule="auto"/>
        <w:rPr>
          <w:rFonts w:eastAsia="Palatino Linotype" w:cs="Palatino Linotype"/>
          <w:b/>
          <w:bCs/>
          <w:lang w:eastAsia="es-MX"/>
        </w:rPr>
      </w:pPr>
      <w:r w:rsidRPr="00B2384D">
        <w:rPr>
          <w:rFonts w:eastAsia="Palatino Linotype" w:cs="Palatino Linotype"/>
          <w:lang w:eastAsia="es-MX"/>
        </w:rPr>
        <w:t>Por lo cual, se puede colegir que dichos datos no guardan relación con el servicio público ni con los recursos públicos, pues solo corresponde a información, que le atañe a la institución financiera y al cliente; por lo que este número</w:t>
      </w:r>
      <w:r w:rsidR="00D9090B" w:rsidRPr="00B2384D">
        <w:rPr>
          <w:rFonts w:eastAsia="Palatino Linotype" w:cs="Palatino Linotype"/>
          <w:lang w:eastAsia="es-MX"/>
        </w:rPr>
        <w:t xml:space="preserve"> de cuenta y de transferencia</w:t>
      </w:r>
      <w:r w:rsidRPr="00B2384D">
        <w:rPr>
          <w:rFonts w:eastAsia="Palatino Linotype" w:cs="Palatino Linotype"/>
          <w:lang w:eastAsia="es-MX"/>
        </w:rPr>
        <w:t xml:space="preserve"> constituye información confidencial al pertenecer exclusivamente al ámbito de la vida privada del trabajador y procede su eliminación de conformidad con el artículo 143, fracción I, de la Ley </w:t>
      </w:r>
      <w:r w:rsidRPr="00B2384D">
        <w:rPr>
          <w:rFonts w:eastAsia="Palatino Linotype" w:cs="Palatino Linotype"/>
          <w:lang w:eastAsia="es-MX"/>
        </w:rPr>
        <w:lastRenderedPageBreak/>
        <w:t>de Transparencia y Acceso a la Información Pública del Estado de México y Municipios.</w:t>
      </w:r>
      <w:r w:rsidR="00B65995" w:rsidRPr="00B2384D">
        <w:rPr>
          <w:rFonts w:eastAsia="Palatino Linotype" w:cs="Palatino Linotype"/>
          <w:lang w:eastAsia="es-MX"/>
        </w:rPr>
        <w:t xml:space="preserve"> </w:t>
      </w:r>
      <w:r w:rsidR="00B65995" w:rsidRPr="00B2384D">
        <w:rPr>
          <w:rFonts w:eastAsia="Palatino Linotype" w:cs="Palatino Linotype"/>
          <w:b/>
          <w:bCs/>
          <w:lang w:eastAsia="es-MX"/>
        </w:rPr>
        <w:t>Cabe señalar que dichos datos se dejaron accesibles.</w:t>
      </w:r>
    </w:p>
    <w:p w14:paraId="0474C4F1" w14:textId="77777777" w:rsidR="00867D58" w:rsidRPr="00B2384D" w:rsidRDefault="00867D58" w:rsidP="00BE0A81">
      <w:pPr>
        <w:spacing w:after="0" w:line="360" w:lineRule="auto"/>
      </w:pPr>
    </w:p>
    <w:p w14:paraId="3DCD13EB" w14:textId="77777777" w:rsidR="00826AB0" w:rsidRPr="00B2384D" w:rsidRDefault="00826AB0" w:rsidP="00BE0A81">
      <w:pPr>
        <w:numPr>
          <w:ilvl w:val="0"/>
          <w:numId w:val="29"/>
        </w:numPr>
        <w:spacing w:after="0" w:line="360" w:lineRule="auto"/>
        <w:jc w:val="left"/>
        <w:rPr>
          <w:rFonts w:eastAsia="Palatino Linotype" w:cs="Palatino Linotype"/>
          <w:b/>
          <w:lang w:eastAsia="es-MX"/>
        </w:rPr>
      </w:pPr>
      <w:r w:rsidRPr="00B2384D">
        <w:rPr>
          <w:rFonts w:eastAsia="Palatino Linotype" w:cs="Palatino Linotype"/>
          <w:b/>
          <w:lang w:eastAsia="es-MX"/>
        </w:rPr>
        <w:t>Nombre de institución bancaria utilizada por el servidor público</w:t>
      </w:r>
    </w:p>
    <w:p w14:paraId="7F81F19D" w14:textId="77777777" w:rsidR="00826AB0" w:rsidRPr="00B2384D" w:rsidRDefault="00826AB0" w:rsidP="00BE0A81">
      <w:pPr>
        <w:spacing w:after="0" w:line="360" w:lineRule="auto"/>
        <w:rPr>
          <w:rFonts w:eastAsia="Palatino Linotype" w:cs="Palatino Linotype"/>
          <w:b/>
          <w:lang w:eastAsia="es-MX"/>
        </w:rPr>
      </w:pPr>
    </w:p>
    <w:p w14:paraId="371F0CAC"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3D35E70B" w14:textId="77777777" w:rsidR="00826AB0" w:rsidRPr="00B2384D" w:rsidRDefault="00826AB0" w:rsidP="00BE0A81">
      <w:pPr>
        <w:spacing w:after="0" w:line="360" w:lineRule="auto"/>
        <w:rPr>
          <w:rFonts w:eastAsia="Palatino Linotype" w:cs="Palatino Linotype"/>
          <w:lang w:eastAsia="es-MX"/>
        </w:rPr>
      </w:pPr>
    </w:p>
    <w:p w14:paraId="57ED728D" w14:textId="149552BE"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En ese orden de ideas, en el portal de la Comisión Nacional para la Protección y Defensa de los Usuarios de Servicios Financieros (consultado el veintisiete de noviembre de dos mil veinticuatro</w:t>
      </w:r>
      <w:r w:rsidR="00963C99" w:rsidRPr="00B2384D">
        <w:rPr>
          <w:rFonts w:eastAsia="Palatino Linotype" w:cs="Palatino Linotype"/>
          <w:lang w:eastAsia="es-MX"/>
        </w:rPr>
        <w:t xml:space="preserve"> </w:t>
      </w:r>
      <w:r w:rsidRPr="00B2384D">
        <w:rPr>
          <w:rFonts w:eastAsia="Palatino Linotype" w:cs="Palatino Linotype"/>
          <w:lang w:eastAsia="es-MX"/>
        </w:rPr>
        <w:t xml:space="preserve">en </w:t>
      </w:r>
      <w:hyperlink r:id="rId15">
        <w:r w:rsidRPr="00B2384D">
          <w:rPr>
            <w:rFonts w:eastAsia="Palatino Linotype" w:cs="Palatino Linotype"/>
            <w:color w:val="0000FF"/>
            <w:u w:val="single"/>
            <w:lang w:eastAsia="es-MX"/>
          </w:rPr>
          <w:t>https://www.condusef.gob.mx/Revista/index.php/usuario-inteligente/condusef-responde/777-la-condusef-te-puede-ayudar</w:t>
        </w:r>
      </w:hyperlink>
      <w:r w:rsidRPr="00B2384D">
        <w:rPr>
          <w:rFonts w:eastAsia="Palatino Linotype" w:cs="Palatino Linotype"/>
          <w:lang w:eastAsia="es-MX"/>
        </w:rPr>
        <w:t>), se establece que los bancos son instituciones financieras; conforme a lo anterior, se puede advertir que las instituciones bancarias, son personas morales.</w:t>
      </w:r>
    </w:p>
    <w:p w14:paraId="4B507818" w14:textId="77777777" w:rsidR="00826AB0" w:rsidRPr="00B2384D" w:rsidRDefault="00826AB0" w:rsidP="00BE0A81">
      <w:pPr>
        <w:spacing w:after="0" w:line="360" w:lineRule="auto"/>
        <w:rPr>
          <w:rFonts w:eastAsia="Palatino Linotype" w:cs="Palatino Linotype"/>
          <w:lang w:eastAsia="es-MX"/>
        </w:rPr>
      </w:pPr>
    </w:p>
    <w:p w14:paraId="691C07A2" w14:textId="67CEDD24"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lastRenderedPageBreak/>
        <w:t>En ese orden de ideas,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w:t>
      </w:r>
      <w:r w:rsidR="00963C99" w:rsidRPr="00B2384D">
        <w:rPr>
          <w:rFonts w:eastAsia="Palatino Linotype" w:cs="Palatino Linotype"/>
          <w:lang w:eastAsia="es-MX"/>
        </w:rPr>
        <w:t xml:space="preserve"> veintisiete de noviembre de dos mil veinticuatro</w:t>
      </w:r>
      <w:r w:rsidRPr="00B2384D">
        <w:rPr>
          <w:rFonts w:eastAsia="Palatino Linotype" w:cs="Palatino Linotype"/>
          <w:lang w:eastAsia="es-MX"/>
        </w:rPr>
        <w:t xml:space="preserve">, a las trece horas, en la liga https://webapps.condusef.gob.mx/SIPRES/jsp/pub/index.jsp), que es un registro de </w:t>
      </w:r>
      <w:r w:rsidRPr="00B2384D">
        <w:rPr>
          <w:rFonts w:eastAsia="Palatino Linotype" w:cs="Palatino Linotype"/>
          <w:b/>
          <w:lang w:eastAsia="es-MX"/>
        </w:rPr>
        <w:t xml:space="preserve">carácter público, </w:t>
      </w:r>
      <w:r w:rsidRPr="00B2384D">
        <w:rPr>
          <w:rFonts w:eastAsia="Palatino Linotype" w:cs="Palatino Linotype"/>
          <w:lang w:eastAsia="es-MX"/>
        </w:rPr>
        <w:t>cuyo objetivo principal, consiste en proporcionar información corporativa y general de las instituciones financieras</w:t>
      </w:r>
      <w:r w:rsidRPr="00B2384D">
        <w:rPr>
          <w:rFonts w:eastAsia="Palatino Linotype" w:cs="Palatino Linotype"/>
          <w:b/>
          <w:lang w:eastAsia="es-MX"/>
        </w:rPr>
        <w:t xml:space="preserve">; además, que permite conocer al público general, información de dichos entes, </w:t>
      </w:r>
      <w:r w:rsidRPr="00B2384D">
        <w:rPr>
          <w:rFonts w:eastAsia="Palatino Linotype" w:cs="Palatino Linotype"/>
          <w:lang w:eastAsia="es-MX"/>
        </w:rPr>
        <w:t xml:space="preserve">se muestra un ejemplo a continuación: </w:t>
      </w:r>
    </w:p>
    <w:p w14:paraId="735DC6A9" w14:textId="77777777" w:rsidR="00826AB0" w:rsidRPr="00B2384D" w:rsidRDefault="00826AB0" w:rsidP="00BE0A81">
      <w:pPr>
        <w:spacing w:after="0" w:line="360" w:lineRule="auto"/>
        <w:rPr>
          <w:rFonts w:eastAsia="Palatino Linotype" w:cs="Palatino Linotype"/>
          <w:lang w:eastAsia="es-MX"/>
        </w:rPr>
      </w:pPr>
    </w:p>
    <w:p w14:paraId="6F9B486A" w14:textId="77777777" w:rsidR="00826AB0" w:rsidRPr="00B2384D" w:rsidRDefault="00826AB0" w:rsidP="00BE0A81">
      <w:pPr>
        <w:spacing w:after="0" w:line="360" w:lineRule="auto"/>
        <w:jc w:val="center"/>
        <w:rPr>
          <w:rFonts w:eastAsia="Palatino Linotype" w:cs="Palatino Linotype"/>
          <w:lang w:eastAsia="es-MX"/>
        </w:rPr>
      </w:pPr>
      <w:r w:rsidRPr="00B2384D">
        <w:rPr>
          <w:rFonts w:eastAsia="Palatino Linotype" w:cs="Palatino Linotype"/>
          <w:noProof/>
          <w:lang w:eastAsia="es-MX"/>
        </w:rPr>
        <w:drawing>
          <wp:inline distT="0" distB="0" distL="0" distR="0" wp14:anchorId="7029D313" wp14:editId="0F936B6D">
            <wp:extent cx="5295900" cy="1295400"/>
            <wp:effectExtent l="0" t="0" r="0" b="0"/>
            <wp:docPr id="3" name="image2.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preferRelativeResize="0"/>
                  </pic:nvPicPr>
                  <pic:blipFill>
                    <a:blip r:embed="rId16"/>
                    <a:srcRect t="2" b="52956"/>
                    <a:stretch>
                      <a:fillRect/>
                    </a:stretch>
                  </pic:blipFill>
                  <pic:spPr>
                    <a:xfrm>
                      <a:off x="0" y="0"/>
                      <a:ext cx="5295900" cy="1295400"/>
                    </a:xfrm>
                    <a:prstGeom prst="rect">
                      <a:avLst/>
                    </a:prstGeom>
                    <a:ln/>
                  </pic:spPr>
                </pic:pic>
              </a:graphicData>
            </a:graphic>
          </wp:inline>
        </w:drawing>
      </w:r>
    </w:p>
    <w:p w14:paraId="3335F0A3" w14:textId="77777777" w:rsidR="00826AB0" w:rsidRPr="00B2384D" w:rsidRDefault="00826AB0" w:rsidP="00BE0A81">
      <w:pPr>
        <w:spacing w:after="0" w:line="360" w:lineRule="auto"/>
        <w:rPr>
          <w:rFonts w:eastAsia="Palatino Linotype" w:cs="Palatino Linotype"/>
          <w:lang w:eastAsia="es-MX"/>
        </w:rPr>
      </w:pPr>
    </w:p>
    <w:p w14:paraId="375D66DF"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Conforme a lo anterior, se logra vislumbrar que el nombre de las instituciones bancarias es de naturaleza pública; sin embargo, en el presente caso, se relacionada con el hecho de que corresponde al banco en el cual el servidor público decidió recibir el pago de remuneraciones; es decir, daría cuenta de la decisión voluntaria del servidor público de recibir el pago de sus servicios en una determinada institución.</w:t>
      </w:r>
    </w:p>
    <w:p w14:paraId="154041B2" w14:textId="77777777" w:rsidR="00826AB0" w:rsidRPr="00B2384D" w:rsidRDefault="00826AB0" w:rsidP="00BE0A81">
      <w:pPr>
        <w:spacing w:after="0" w:line="360" w:lineRule="auto"/>
        <w:rPr>
          <w:rFonts w:eastAsia="Palatino Linotype" w:cs="Palatino Linotype"/>
          <w:lang w:eastAsia="es-MX"/>
        </w:rPr>
      </w:pPr>
    </w:p>
    <w:p w14:paraId="5D25047B" w14:textId="77777777" w:rsidR="00826AB0" w:rsidRPr="00B2384D" w:rsidRDefault="00826AB0" w:rsidP="00BE0A81">
      <w:pPr>
        <w:spacing w:after="0" w:line="360" w:lineRule="auto"/>
        <w:rPr>
          <w:rFonts w:eastAsia="Palatino Linotype" w:cs="Palatino Linotype"/>
          <w:lang w:eastAsia="es-MX"/>
        </w:rPr>
      </w:pPr>
      <w:r w:rsidRPr="00B2384D">
        <w:rPr>
          <w:rFonts w:eastAsia="Palatino Linotype" w:cs="Palatino Linotype"/>
          <w:lang w:eastAsia="es-MX"/>
        </w:rPr>
        <w:t xml:space="preserve">Además, revelaría el lugar en donde el trabajador es cliente para ocupar los servicios del banco, lo cual únicamente está relacionado a su vida íntima o privada; por lo que, este Instituto considera que el nombre de la institución bancaria, actualiza la causal de </w:t>
      </w:r>
      <w:r w:rsidRPr="00B2384D">
        <w:rPr>
          <w:rFonts w:eastAsia="Palatino Linotype" w:cs="Palatino Linotype"/>
          <w:lang w:eastAsia="es-MX"/>
        </w:rPr>
        <w:lastRenderedPageBreak/>
        <w:t>clasificación prevista en el artículo 143, fracción I, de la Ley de Transparencia y Acceso a la Información Pública del Estado de México y Municipios.</w:t>
      </w:r>
    </w:p>
    <w:p w14:paraId="4D404A46" w14:textId="77777777" w:rsidR="001A789F" w:rsidRPr="00B2384D" w:rsidRDefault="001A789F" w:rsidP="00BE0A81">
      <w:pPr>
        <w:spacing w:after="0" w:line="360" w:lineRule="auto"/>
        <w:rPr>
          <w:rFonts w:eastAsia="Palatino Linotype" w:cs="Palatino Linotype"/>
          <w:lang w:eastAsia="es-MX"/>
        </w:rPr>
      </w:pPr>
    </w:p>
    <w:p w14:paraId="4E082D40" w14:textId="53CC80B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color w:val="000000"/>
          <w:lang w:eastAsia="es-MX"/>
        </w:rPr>
        <w:t>Ahora bien, se procede analizar si procede la clasificación del nombre de los elementos operativos en materia de seguridad pública;</w:t>
      </w:r>
      <w:r w:rsidR="00B65995" w:rsidRPr="00B2384D">
        <w:rPr>
          <w:rFonts w:eastAsia="Palatino Linotype" w:cs="Palatino Linotype"/>
          <w:color w:val="000000"/>
          <w:lang w:eastAsia="es-MX"/>
        </w:rPr>
        <w:t xml:space="preserve"> para lo cual, el</w:t>
      </w:r>
      <w:r w:rsidRPr="00B2384D">
        <w:rPr>
          <w:rFonts w:eastAsia="Palatino Linotype" w:cs="Palatino Linotype"/>
          <w:color w:val="000000"/>
          <w:lang w:eastAsia="es-MX"/>
        </w:rPr>
        <w:t xml:space="preserve"> </w:t>
      </w:r>
      <w:r w:rsidRPr="00B2384D">
        <w:rPr>
          <w:rFonts w:eastAsia="Palatino Linotype" w:cs="Palatino Linotype"/>
          <w:lang w:eastAsia="es-MX"/>
        </w:rPr>
        <w:t>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2ABCD0C2" w14:textId="77777777" w:rsidR="00B63B37" w:rsidRPr="00B2384D" w:rsidRDefault="00B63B37" w:rsidP="00BE0A81">
      <w:pPr>
        <w:spacing w:after="0" w:line="360" w:lineRule="auto"/>
        <w:rPr>
          <w:rFonts w:eastAsia="Palatino Linotype" w:cs="Palatino Linotype"/>
          <w:lang w:eastAsia="es-MX"/>
        </w:rPr>
      </w:pPr>
    </w:p>
    <w:p w14:paraId="28A17A85" w14:textId="77777777" w:rsidR="00B63B37" w:rsidRPr="00B2384D" w:rsidRDefault="00B63B37" w:rsidP="00BE0A81">
      <w:pPr>
        <w:tabs>
          <w:tab w:val="left" w:pos="4962"/>
        </w:tabs>
        <w:spacing w:after="0" w:line="360" w:lineRule="auto"/>
        <w:ind w:left="567" w:right="567"/>
        <w:rPr>
          <w:rFonts w:eastAsia="Palatino Linotype" w:cs="Palatino Linotype"/>
          <w:i/>
          <w:sz w:val="20"/>
          <w:szCs w:val="20"/>
          <w:lang w:eastAsia="es-MX"/>
        </w:rPr>
      </w:pPr>
      <w:r w:rsidRPr="00B2384D">
        <w:rPr>
          <w:rFonts w:eastAsia="Palatino Linotype" w:cs="Palatino Linotype"/>
          <w:i/>
          <w:sz w:val="20"/>
          <w:szCs w:val="20"/>
          <w:lang w:eastAsia="es-MX"/>
        </w:rPr>
        <w:t>“</w:t>
      </w:r>
      <w:r w:rsidRPr="00B2384D">
        <w:rPr>
          <w:rFonts w:eastAsia="Palatino Linotype" w:cs="Palatino Linotype"/>
          <w:b/>
          <w:i/>
          <w:sz w:val="20"/>
          <w:szCs w:val="20"/>
          <w:lang w:eastAsia="es-MX"/>
        </w:rPr>
        <w:t>Artículo 140.</w:t>
      </w:r>
      <w:r w:rsidRPr="00B2384D">
        <w:rPr>
          <w:rFonts w:eastAsia="Palatino Linotype" w:cs="Palatino Linotype"/>
          <w:i/>
          <w:sz w:val="20"/>
          <w:szCs w:val="20"/>
          <w:lang w:eastAsia="es-MX"/>
        </w:rPr>
        <w:t xml:space="preserve"> El acceso a la información pública será restringido excepcionalmente, cuando por razones de interés público, ésta sea clasificada como reservada, conforme a los criterios siguientes: </w:t>
      </w:r>
    </w:p>
    <w:p w14:paraId="55E60433" w14:textId="77777777" w:rsidR="00B63B37" w:rsidRPr="00B2384D" w:rsidRDefault="00B63B37" w:rsidP="00BE0A81">
      <w:pPr>
        <w:tabs>
          <w:tab w:val="left" w:pos="4962"/>
        </w:tabs>
        <w:spacing w:after="0" w:line="360" w:lineRule="auto"/>
        <w:ind w:left="567" w:right="567"/>
        <w:rPr>
          <w:rFonts w:eastAsia="Palatino Linotype" w:cs="Palatino Linotype"/>
          <w:i/>
          <w:sz w:val="20"/>
          <w:szCs w:val="20"/>
          <w:lang w:eastAsia="es-MX"/>
        </w:rPr>
      </w:pPr>
      <w:r w:rsidRPr="00B2384D">
        <w:rPr>
          <w:rFonts w:eastAsia="Palatino Linotype" w:cs="Palatino Linotype"/>
          <w:i/>
          <w:sz w:val="20"/>
          <w:szCs w:val="20"/>
          <w:lang w:eastAsia="es-MX"/>
        </w:rPr>
        <w:t>…</w:t>
      </w:r>
    </w:p>
    <w:p w14:paraId="743C0818" w14:textId="77777777" w:rsidR="00B63B37" w:rsidRPr="00B2384D" w:rsidRDefault="00B63B37" w:rsidP="00BE0A81">
      <w:pPr>
        <w:tabs>
          <w:tab w:val="left" w:pos="4962"/>
        </w:tabs>
        <w:spacing w:after="0" w:line="360" w:lineRule="auto"/>
        <w:ind w:left="567" w:right="567"/>
        <w:rPr>
          <w:rFonts w:eastAsia="Palatino Linotype" w:cs="Palatino Linotype"/>
          <w:i/>
          <w:sz w:val="20"/>
          <w:szCs w:val="20"/>
          <w:lang w:eastAsia="es-MX"/>
        </w:rPr>
      </w:pPr>
      <w:r w:rsidRPr="00B2384D">
        <w:rPr>
          <w:rFonts w:eastAsia="Palatino Linotype" w:cs="Palatino Linotype"/>
          <w:i/>
          <w:sz w:val="20"/>
          <w:szCs w:val="20"/>
          <w:lang w:eastAsia="es-MX"/>
        </w:rPr>
        <w:t>IV. Ponga en riesgo la vida, la seguridad o la salud de una persona física;</w:t>
      </w:r>
    </w:p>
    <w:p w14:paraId="3E0F6C51" w14:textId="77777777" w:rsidR="00B63B37" w:rsidRPr="00B2384D" w:rsidRDefault="00B63B37" w:rsidP="00BE0A81">
      <w:pPr>
        <w:tabs>
          <w:tab w:val="left" w:pos="4962"/>
        </w:tabs>
        <w:spacing w:after="0" w:line="360" w:lineRule="auto"/>
        <w:ind w:left="567" w:right="567"/>
        <w:rPr>
          <w:rFonts w:eastAsia="Palatino Linotype" w:cs="Palatino Linotype"/>
          <w:i/>
          <w:sz w:val="20"/>
          <w:szCs w:val="20"/>
          <w:lang w:eastAsia="es-MX"/>
        </w:rPr>
      </w:pPr>
      <w:r w:rsidRPr="00B2384D">
        <w:rPr>
          <w:rFonts w:eastAsia="Palatino Linotype" w:cs="Palatino Linotype"/>
          <w:i/>
          <w:sz w:val="20"/>
          <w:szCs w:val="20"/>
          <w:lang w:eastAsia="es-MX"/>
        </w:rPr>
        <w:t xml:space="preserve">…” </w:t>
      </w:r>
    </w:p>
    <w:p w14:paraId="70BB32F8" w14:textId="77777777" w:rsidR="00B63B37" w:rsidRPr="00B2384D" w:rsidRDefault="00B63B37" w:rsidP="00BE0A81">
      <w:pPr>
        <w:spacing w:after="0" w:line="360" w:lineRule="auto"/>
        <w:rPr>
          <w:rFonts w:eastAsia="Palatino Linotype" w:cs="Palatino Linotype"/>
          <w:lang w:eastAsia="es-MX"/>
        </w:rPr>
      </w:pPr>
    </w:p>
    <w:p w14:paraId="589F423D" w14:textId="7777777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lang w:eastAsia="es-MX"/>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70BCF899" w14:textId="77777777" w:rsidR="00B63B37" w:rsidRPr="00B2384D" w:rsidRDefault="00B63B37" w:rsidP="00BE0A81">
      <w:pPr>
        <w:spacing w:after="0" w:line="360" w:lineRule="auto"/>
        <w:rPr>
          <w:rFonts w:eastAsia="Palatino Linotype" w:cs="Palatino Linotype"/>
          <w:lang w:eastAsia="es-MX"/>
        </w:rPr>
      </w:pPr>
    </w:p>
    <w:p w14:paraId="1C99E8A4" w14:textId="77777777" w:rsidR="00B63B37" w:rsidRPr="00B2384D" w:rsidRDefault="00B63B37" w:rsidP="00BE0A81">
      <w:pPr>
        <w:spacing w:after="0" w:line="360" w:lineRule="auto"/>
        <w:ind w:left="567" w:right="567"/>
        <w:rPr>
          <w:rFonts w:eastAsia="Palatino Linotype" w:cs="Palatino Linotype"/>
          <w:i/>
          <w:sz w:val="20"/>
          <w:szCs w:val="20"/>
          <w:lang w:eastAsia="es-MX"/>
        </w:rPr>
      </w:pPr>
      <w:r w:rsidRPr="00B2384D">
        <w:rPr>
          <w:rFonts w:eastAsia="Palatino Linotype" w:cs="Palatino Linotype"/>
          <w:b/>
          <w:i/>
          <w:sz w:val="20"/>
          <w:szCs w:val="20"/>
          <w:lang w:eastAsia="es-MX"/>
        </w:rPr>
        <w:t xml:space="preserve">“Vigésimo tercero. </w:t>
      </w:r>
      <w:r w:rsidRPr="00B2384D">
        <w:rPr>
          <w:rFonts w:eastAsia="Palatino Linotype" w:cs="Palatino Linotype"/>
          <w:i/>
          <w:sz w:val="20"/>
          <w:szCs w:val="20"/>
          <w:lang w:eastAsia="es-MX"/>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77E9426" w14:textId="77777777" w:rsidR="00B63B37" w:rsidRPr="00B2384D" w:rsidRDefault="00B63B37" w:rsidP="00BE0A81">
      <w:pPr>
        <w:spacing w:after="0" w:line="360" w:lineRule="auto"/>
        <w:ind w:left="567" w:right="567"/>
        <w:rPr>
          <w:rFonts w:eastAsia="Palatino Linotype" w:cs="Palatino Linotype"/>
          <w:i/>
          <w:lang w:eastAsia="es-MX"/>
        </w:rPr>
      </w:pPr>
    </w:p>
    <w:p w14:paraId="2E0654F7" w14:textId="7777777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lang w:eastAsia="es-MX"/>
        </w:rPr>
        <w:t xml:space="preserve">Del Lineamiento referido, se desprende que para clasificar la información como reservada, será necesario acreditar un vínculo, entre la persona física y la información que pueda poner en riesgo su vida, seguridad o salud, es decir, se deben señalar el bien jurídico específico </w:t>
      </w:r>
      <w:r w:rsidRPr="00B2384D">
        <w:rPr>
          <w:rFonts w:eastAsia="Palatino Linotype" w:cs="Palatino Linotype"/>
          <w:lang w:eastAsia="es-MX"/>
        </w:rPr>
        <w:lastRenderedPageBreak/>
        <w:t>afectado y el potencial de daño o riesgo que causaría su difusión. 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424FA99E" w14:textId="77777777" w:rsidR="00B65995" w:rsidRPr="00B2384D" w:rsidRDefault="00B65995" w:rsidP="00BE0A81">
      <w:pPr>
        <w:spacing w:after="0" w:line="360" w:lineRule="auto"/>
        <w:rPr>
          <w:rFonts w:eastAsia="Palatino Linotype" w:cs="Palatino Linotype"/>
          <w:lang w:eastAsia="es-MX"/>
        </w:rPr>
      </w:pPr>
    </w:p>
    <w:p w14:paraId="43F6556E" w14:textId="7777777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lang w:eastAsia="es-MX"/>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C3844A9" w14:textId="77777777" w:rsidR="00B63B37" w:rsidRPr="00B2384D" w:rsidRDefault="00B63B37" w:rsidP="00BE0A81">
      <w:pPr>
        <w:spacing w:after="0" w:line="360" w:lineRule="auto"/>
        <w:rPr>
          <w:rFonts w:eastAsia="Palatino Linotype" w:cs="Palatino Linotype"/>
          <w:lang w:eastAsia="es-MX"/>
        </w:rPr>
      </w:pPr>
    </w:p>
    <w:p w14:paraId="75AEF037" w14:textId="7777777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lang w:eastAsia="es-MX"/>
        </w:rPr>
        <w:t>También, resulta necesario traer a colación por analogía, el Criterio de interpretación, con número de registro SO/006/2009, de la Segunda Época, emitido por el entonces Instituto Federal de Acceso a la Información y Protección de Datos ahora Instituto Nacional de Transparencia, Acceso a la Información y Protección de Datos Personales, que establece lo siguiente:</w:t>
      </w:r>
    </w:p>
    <w:p w14:paraId="5342729A" w14:textId="77777777" w:rsidR="00B63B37" w:rsidRPr="00B2384D" w:rsidRDefault="00B63B37" w:rsidP="00BE0A81">
      <w:pPr>
        <w:spacing w:after="0" w:line="360" w:lineRule="auto"/>
        <w:rPr>
          <w:rFonts w:eastAsia="Palatino Linotype" w:cs="Palatino Linotype"/>
          <w:i/>
          <w:lang w:eastAsia="es-MX"/>
        </w:rPr>
      </w:pPr>
    </w:p>
    <w:p w14:paraId="37336B44" w14:textId="77777777" w:rsidR="00B63B37" w:rsidRPr="00B2384D" w:rsidRDefault="00B63B37" w:rsidP="00BE0A81">
      <w:pPr>
        <w:tabs>
          <w:tab w:val="left" w:pos="4962"/>
        </w:tabs>
        <w:spacing w:after="0" w:line="360" w:lineRule="auto"/>
        <w:ind w:left="567" w:right="567"/>
        <w:rPr>
          <w:rFonts w:eastAsia="Palatino Linotype" w:cs="Palatino Linotype"/>
          <w:i/>
          <w:sz w:val="20"/>
          <w:szCs w:val="20"/>
          <w:lang w:eastAsia="es-MX"/>
        </w:rPr>
      </w:pPr>
      <w:r w:rsidRPr="00B2384D">
        <w:rPr>
          <w:rFonts w:eastAsia="Palatino Linotype" w:cs="Palatino Linotype"/>
          <w:b/>
          <w:i/>
          <w:sz w:val="20"/>
          <w:szCs w:val="20"/>
          <w:lang w:eastAsia="es-MX"/>
        </w:rPr>
        <w:t>“Nombres de servidores públicos dedicados a actividades en materia de seguridad, por excepción pueden considerarse información reservada.</w:t>
      </w:r>
      <w:r w:rsidRPr="00B2384D">
        <w:rPr>
          <w:rFonts w:eastAsia="Palatino Linotype" w:cs="Palatino Linotype"/>
          <w:i/>
          <w:sz w:val="20"/>
          <w:szCs w:val="20"/>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w:t>
      </w:r>
      <w:r w:rsidRPr="00B2384D">
        <w:rPr>
          <w:rFonts w:eastAsia="Palatino Linotype" w:cs="Palatino Linotype"/>
          <w:i/>
          <w:sz w:val="20"/>
          <w:szCs w:val="20"/>
          <w:lang w:eastAsia="es-MX"/>
        </w:rPr>
        <w:lastRenderedPageBreak/>
        <w:t>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AA6EA11" w14:textId="77777777" w:rsidR="00B63B37" w:rsidRPr="00B2384D" w:rsidRDefault="00B63B37" w:rsidP="00BE0A81">
      <w:pPr>
        <w:spacing w:after="0" w:line="360" w:lineRule="auto"/>
        <w:rPr>
          <w:rFonts w:eastAsia="Palatino Linotype" w:cs="Palatino Linotype"/>
          <w:lang w:eastAsia="es-MX"/>
        </w:rPr>
      </w:pPr>
    </w:p>
    <w:p w14:paraId="006E6A44" w14:textId="77777777" w:rsidR="00B63B37" w:rsidRPr="00B2384D" w:rsidRDefault="00B63B37" w:rsidP="00BE0A81">
      <w:pPr>
        <w:spacing w:after="0" w:line="360" w:lineRule="auto"/>
        <w:rPr>
          <w:rFonts w:eastAsia="Palatino Linotype" w:cs="Palatino Linotype"/>
          <w:lang w:eastAsia="es-MX"/>
        </w:rPr>
      </w:pPr>
      <w:r w:rsidRPr="00B2384D">
        <w:rPr>
          <w:rFonts w:eastAsia="Palatino Linotype" w:cs="Palatino Linotype"/>
          <w:lang w:eastAsia="es-MX"/>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6EF6F3F" w14:textId="77777777" w:rsidR="00B63B37" w:rsidRPr="00B2384D" w:rsidRDefault="00B63B37" w:rsidP="00BE0A81">
      <w:pPr>
        <w:spacing w:after="0" w:line="360" w:lineRule="auto"/>
        <w:rPr>
          <w:rFonts w:eastAsia="Palatino Linotype" w:cs="Palatino Linotype"/>
          <w:lang w:eastAsia="es-MX"/>
        </w:rPr>
      </w:pPr>
    </w:p>
    <w:p w14:paraId="78901ED6" w14:textId="77777777" w:rsidR="00B65995" w:rsidRPr="00B2384D" w:rsidRDefault="00B65995"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4BFBFA7E" w14:textId="77777777" w:rsidR="00B65995" w:rsidRPr="00B2384D" w:rsidRDefault="00B65995" w:rsidP="00BE0A81">
      <w:pPr>
        <w:spacing w:after="0" w:line="360" w:lineRule="auto"/>
        <w:rPr>
          <w:rFonts w:eastAsia="Calibri" w:cs="Tahoma"/>
          <w:bCs/>
          <w:color w:val="auto"/>
          <w:lang w:eastAsia="es-MX"/>
        </w:rPr>
      </w:pPr>
    </w:p>
    <w:p w14:paraId="1CC58C44" w14:textId="77777777" w:rsidR="00B65995" w:rsidRPr="00B2384D" w:rsidRDefault="00B65995" w:rsidP="00BE0A81">
      <w:pPr>
        <w:spacing w:after="0" w:line="360" w:lineRule="auto"/>
        <w:rPr>
          <w:rFonts w:eastAsia="Calibri" w:cs="Tahoma"/>
          <w:bCs/>
          <w:color w:val="auto"/>
          <w:lang w:eastAsia="es-MX"/>
        </w:rPr>
      </w:pPr>
      <w:r w:rsidRPr="00B2384D">
        <w:rPr>
          <w:rFonts w:eastAsia="Calibri" w:cs="Tahoma"/>
          <w:bCs/>
          <w:color w:val="auto"/>
          <w:lang w:eastAsia="es-MX"/>
        </w:rPr>
        <w:t xml:space="preserve">En ese orden de ideas, si bien por regla general los nombres de los trabajadores gubernamentales son información pública de oficio, existe una excepción relativa a </w:t>
      </w:r>
      <w:r w:rsidRPr="00B2384D">
        <w:rPr>
          <w:rFonts w:eastAsia="Calibri" w:cs="Tahoma"/>
          <w:b/>
          <w:bCs/>
          <w:color w:val="auto"/>
          <w:lang w:eastAsia="es-MX"/>
        </w:rPr>
        <w:t>aquellos que realicen actividades operativas en materia de seguridad,</w:t>
      </w:r>
      <w:r w:rsidRPr="00B2384D">
        <w:rPr>
          <w:rFonts w:eastAsia="Calibri" w:cs="Tahoma"/>
          <w:bCs/>
          <w:color w:val="auto"/>
          <w:lang w:eastAsia="es-MX"/>
        </w:rPr>
        <w:t xml:space="preserve"> como es el caso de los elementos operativos y la policía municipal.</w:t>
      </w:r>
    </w:p>
    <w:p w14:paraId="3EAD341D" w14:textId="77777777" w:rsidR="00B65995" w:rsidRPr="00B2384D" w:rsidRDefault="00B65995" w:rsidP="00BE0A81">
      <w:pPr>
        <w:spacing w:after="0" w:line="360" w:lineRule="auto"/>
        <w:rPr>
          <w:rFonts w:eastAsia="Calibri" w:cs="Tahoma"/>
          <w:bCs/>
          <w:color w:val="auto"/>
          <w:lang w:eastAsia="es-MX"/>
        </w:rPr>
      </w:pPr>
      <w:r w:rsidRPr="00B2384D">
        <w:rPr>
          <w:rFonts w:eastAsia="Calibri" w:cs="Tahoma"/>
          <w:bCs/>
          <w:color w:val="auto"/>
          <w:lang w:eastAsia="es-MX"/>
        </w:rPr>
        <w:lastRenderedPageBreak/>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5B50405" w14:textId="77777777" w:rsidR="00B65995" w:rsidRPr="00B2384D" w:rsidRDefault="00B65995" w:rsidP="00BE0A81">
      <w:pPr>
        <w:spacing w:after="0" w:line="360" w:lineRule="auto"/>
        <w:rPr>
          <w:rFonts w:eastAsia="Calibri" w:cs="Tahoma"/>
          <w:bCs/>
          <w:color w:val="auto"/>
          <w:lang w:eastAsia="es-MX"/>
        </w:rPr>
      </w:pPr>
    </w:p>
    <w:p w14:paraId="5C67F23B" w14:textId="77777777" w:rsidR="00B65995" w:rsidRPr="00B2384D" w:rsidRDefault="00B65995" w:rsidP="00BE0A81">
      <w:pPr>
        <w:spacing w:after="0" w:line="360" w:lineRule="auto"/>
        <w:rPr>
          <w:rFonts w:eastAsia="Calibri" w:cs="Tahoma"/>
          <w:bCs/>
          <w:color w:val="auto"/>
          <w:lang w:eastAsia="es-MX"/>
        </w:rPr>
      </w:pPr>
      <w:r w:rsidRPr="00B2384D">
        <w:rPr>
          <w:rFonts w:eastAsia="Calibri" w:cs="Tahoma"/>
          <w:bCs/>
          <w:color w:val="auto"/>
          <w:lang w:eastAsia="es-MX"/>
        </w:rPr>
        <w:t>En ese contexto, el artículo 6°, fracciones XI y XII de dicho ordenamiento jurídico, establece los siguientes conceptos:</w:t>
      </w:r>
    </w:p>
    <w:p w14:paraId="1AC4A70A" w14:textId="77777777" w:rsidR="00B65995" w:rsidRPr="00B2384D" w:rsidRDefault="00B65995" w:rsidP="00BE0A81">
      <w:pPr>
        <w:spacing w:after="0" w:line="360" w:lineRule="auto"/>
        <w:rPr>
          <w:rFonts w:eastAsia="Calibri" w:cs="Tahoma"/>
          <w:bCs/>
          <w:color w:val="auto"/>
          <w:lang w:eastAsia="es-MX"/>
        </w:rPr>
      </w:pPr>
    </w:p>
    <w:p w14:paraId="0548E9CD" w14:textId="77777777" w:rsidR="00B65995" w:rsidRPr="00B2384D" w:rsidRDefault="00B65995" w:rsidP="00BE0A81">
      <w:pPr>
        <w:numPr>
          <w:ilvl w:val="0"/>
          <w:numId w:val="33"/>
        </w:numPr>
        <w:spacing w:after="0" w:line="360" w:lineRule="auto"/>
        <w:rPr>
          <w:rFonts w:eastAsia="Calibri" w:cs="Tahoma"/>
          <w:b/>
          <w:bCs/>
          <w:color w:val="auto"/>
          <w:lang w:eastAsia="es-MX"/>
        </w:rPr>
      </w:pPr>
      <w:r w:rsidRPr="00B2384D">
        <w:rPr>
          <w:rFonts w:eastAsia="Calibri" w:cs="Tahoma"/>
          <w:b/>
          <w:bCs/>
          <w:color w:val="auto"/>
          <w:lang w:eastAsia="es-MX"/>
        </w:rPr>
        <w:t xml:space="preserve">Instituciones Policiales: </w:t>
      </w:r>
      <w:r w:rsidRPr="00B2384D">
        <w:rPr>
          <w:rFonts w:eastAsia="Calibri" w:cs="Tahoma"/>
          <w:bCs/>
          <w:color w:val="auto"/>
          <w:lang w:eastAsia="es-MX"/>
        </w:rPr>
        <w:t xml:space="preserve">Son los cuerpos de policía, de vigilancia y custodia de los establecimientos penitenciarios, detención preventiva, centros de arraigo y en general, </w:t>
      </w:r>
      <w:r w:rsidRPr="00B2384D">
        <w:rPr>
          <w:rFonts w:eastAsia="Calibri" w:cs="Tahoma"/>
          <w:b/>
          <w:bCs/>
          <w:color w:val="auto"/>
          <w:lang w:eastAsia="es-MX"/>
        </w:rPr>
        <w:t>todas las dependencias encargadas de la seguridad pública a nivel</w:t>
      </w:r>
      <w:r w:rsidRPr="00B2384D">
        <w:rPr>
          <w:rFonts w:eastAsia="Calibri" w:cs="Tahoma"/>
          <w:bCs/>
          <w:color w:val="auto"/>
          <w:lang w:eastAsia="es-MX"/>
        </w:rPr>
        <w:t xml:space="preserve"> estatal y </w:t>
      </w:r>
      <w:r w:rsidRPr="00B2384D">
        <w:rPr>
          <w:rFonts w:eastAsia="Calibri" w:cs="Tahoma"/>
          <w:b/>
          <w:bCs/>
          <w:color w:val="auto"/>
          <w:lang w:eastAsia="es-MX"/>
        </w:rPr>
        <w:t>municipal.</w:t>
      </w:r>
    </w:p>
    <w:p w14:paraId="593E15AB" w14:textId="77777777" w:rsidR="00B65995" w:rsidRPr="00B2384D" w:rsidRDefault="00B65995" w:rsidP="00BE0A81">
      <w:pPr>
        <w:spacing w:after="0" w:line="360" w:lineRule="auto"/>
        <w:ind w:left="720"/>
        <w:contextualSpacing/>
        <w:rPr>
          <w:rFonts w:eastAsia="Calibri" w:cs="Tahoma"/>
          <w:bCs/>
          <w:color w:val="auto"/>
          <w:lang w:eastAsia="es-MX"/>
        </w:rPr>
      </w:pPr>
    </w:p>
    <w:p w14:paraId="3DD223CD" w14:textId="77777777" w:rsidR="00B65995" w:rsidRPr="00B2384D" w:rsidRDefault="00B65995" w:rsidP="00BE0A81">
      <w:pPr>
        <w:numPr>
          <w:ilvl w:val="0"/>
          <w:numId w:val="33"/>
        </w:numPr>
        <w:spacing w:after="0" w:line="360" w:lineRule="auto"/>
        <w:rPr>
          <w:rFonts w:eastAsia="Calibri" w:cs="Tahoma"/>
          <w:b/>
          <w:bCs/>
          <w:color w:val="auto"/>
          <w:lang w:eastAsia="es-MX"/>
        </w:rPr>
      </w:pPr>
      <w:r w:rsidRPr="00B2384D">
        <w:rPr>
          <w:rFonts w:eastAsia="Calibri" w:cs="Tahoma"/>
          <w:b/>
          <w:bCs/>
          <w:color w:val="auto"/>
          <w:lang w:eastAsia="es-MX"/>
        </w:rPr>
        <w:t xml:space="preserve">Instituciones de Seguridad Pública: </w:t>
      </w:r>
      <w:r w:rsidRPr="00B2384D">
        <w:rPr>
          <w:rFonts w:eastAsia="Calibri" w:cs="Tahoma"/>
          <w:bCs/>
          <w:color w:val="auto"/>
          <w:lang w:eastAsia="es-MX"/>
        </w:rPr>
        <w:t xml:space="preserve">Instituciones Policiales, Procuración de Justicia, Sistema Penitenciario y </w:t>
      </w:r>
      <w:r w:rsidRPr="00B2384D">
        <w:rPr>
          <w:rFonts w:eastAsia="Calibri" w:cs="Tahoma"/>
          <w:b/>
          <w:bCs/>
          <w:color w:val="auto"/>
          <w:lang w:eastAsia="es-MX"/>
        </w:rPr>
        <w:t xml:space="preserve">dependencias encargadas de la seguridad pública a nivel </w:t>
      </w:r>
      <w:r w:rsidRPr="00B2384D">
        <w:rPr>
          <w:rFonts w:eastAsia="Calibri" w:cs="Tahoma"/>
          <w:bCs/>
          <w:color w:val="auto"/>
          <w:lang w:eastAsia="es-MX"/>
        </w:rPr>
        <w:t xml:space="preserve">estatal y </w:t>
      </w:r>
      <w:r w:rsidRPr="00B2384D">
        <w:rPr>
          <w:rFonts w:eastAsia="Calibri" w:cs="Tahoma"/>
          <w:b/>
          <w:bCs/>
          <w:color w:val="auto"/>
          <w:lang w:eastAsia="es-MX"/>
        </w:rPr>
        <w:t>municipal.</w:t>
      </w:r>
    </w:p>
    <w:p w14:paraId="41B451C7" w14:textId="77777777" w:rsidR="00B65995" w:rsidRPr="00B2384D" w:rsidRDefault="00B65995" w:rsidP="00BE0A81">
      <w:pPr>
        <w:spacing w:after="0" w:line="360" w:lineRule="auto"/>
        <w:rPr>
          <w:rFonts w:eastAsia="Calibri" w:cs="Tahoma"/>
          <w:b/>
          <w:bCs/>
          <w:color w:val="auto"/>
          <w:lang w:eastAsia="es-MX"/>
        </w:rPr>
      </w:pPr>
    </w:p>
    <w:p w14:paraId="3DB2251F" w14:textId="0DF50D4E" w:rsidR="00B65995" w:rsidRPr="00B2384D" w:rsidRDefault="00B65995" w:rsidP="00BE0A81">
      <w:pPr>
        <w:spacing w:after="0" w:line="360" w:lineRule="auto"/>
        <w:rPr>
          <w:rFonts w:eastAsia="Calibri" w:cs="Times New Roman"/>
          <w:color w:val="auto"/>
          <w:szCs w:val="20"/>
          <w:lang w:eastAsia="es-ES"/>
        </w:rPr>
      </w:pPr>
      <w:r w:rsidRPr="00B2384D">
        <w:rPr>
          <w:rFonts w:eastAsia="Calibri" w:cs="Tahoma"/>
          <w:iCs/>
          <w:color w:val="auto"/>
          <w:szCs w:val="20"/>
          <w:lang w:val="es-ES" w:eastAsia="es-ES_tradnl"/>
        </w:rPr>
        <w:t>Conforme a lo anterior</w:t>
      </w:r>
      <w:r w:rsidRPr="00B2384D">
        <w:rPr>
          <w:rFonts w:eastAsia="Calibri" w:cs="Tahoma"/>
          <w:bCs/>
          <w:color w:val="auto"/>
          <w:lang w:eastAsia="es-MX"/>
        </w:rPr>
        <w:t>, se puede deducir que la</w:t>
      </w:r>
      <w:r w:rsidRPr="00B2384D">
        <w:rPr>
          <w:rFonts w:eastAsia="Calibri" w:cs="Tahoma"/>
          <w:bCs/>
          <w:color w:val="000000"/>
          <w:lang w:val="es-ES_tradnl" w:eastAsia="es-MX"/>
        </w:rPr>
        <w:t xml:space="preserve"> </w:t>
      </w:r>
      <w:r w:rsidRPr="00B2384D">
        <w:rPr>
          <w:rFonts w:eastAsia="Calibri" w:cs="Tahoma"/>
          <w:bCs/>
          <w:color w:val="000000"/>
          <w:lang w:eastAsia="es-MX"/>
        </w:rPr>
        <w:t>Dirección General de Seguridad Ciudadana y Movilidad Segura</w:t>
      </w:r>
      <w:r w:rsidRPr="00B2384D">
        <w:rPr>
          <w:rFonts w:eastAsia="Calibri" w:cs="Tahoma"/>
          <w:bCs/>
          <w:color w:val="auto"/>
          <w:lang w:eastAsia="es-MX"/>
        </w:rPr>
        <w:t xml:space="preserve">, es una institución de seguridad pública, pues tiene como atribución principal, la prevención de delitos </w:t>
      </w:r>
      <w:r w:rsidRPr="00B2384D">
        <w:rPr>
          <w:rFonts w:eastAsia="Calibri" w:cs="Times New Roman"/>
          <w:color w:val="auto"/>
          <w:szCs w:val="20"/>
          <w:lang w:eastAsia="es-ES"/>
        </w:rPr>
        <w:t>y proteger a las personas, sus propiedades, posesiones y derechos.</w:t>
      </w:r>
    </w:p>
    <w:p w14:paraId="7646EA54" w14:textId="77777777" w:rsidR="00B65995" w:rsidRPr="00B2384D" w:rsidRDefault="00B65995" w:rsidP="00BE0A81">
      <w:pPr>
        <w:spacing w:after="0" w:line="360" w:lineRule="auto"/>
        <w:rPr>
          <w:rFonts w:eastAsia="Calibri" w:cs="Times New Roman"/>
          <w:color w:val="auto"/>
          <w:szCs w:val="20"/>
          <w:lang w:eastAsia="es-ES"/>
        </w:rPr>
      </w:pPr>
    </w:p>
    <w:p w14:paraId="19989114" w14:textId="77777777" w:rsidR="00B65995" w:rsidRPr="00B2384D" w:rsidRDefault="00B65995" w:rsidP="00BE0A81">
      <w:pPr>
        <w:tabs>
          <w:tab w:val="left" w:pos="4962"/>
        </w:tabs>
        <w:spacing w:after="0" w:line="360" w:lineRule="auto"/>
        <w:ind w:right="-28"/>
        <w:contextualSpacing/>
        <w:rPr>
          <w:rFonts w:eastAsia="Calibri" w:cs="Tahoma"/>
          <w:bCs/>
          <w:color w:val="auto"/>
          <w:lang w:eastAsia="es-MX"/>
        </w:rPr>
      </w:pPr>
      <w:r w:rsidRPr="00B2384D">
        <w:rPr>
          <w:rFonts w:eastAsia="Calibri" w:cs="Tahoma"/>
          <w:bCs/>
          <w:color w:val="auto"/>
          <w:lang w:val="es-ES" w:eastAsia="es-MX"/>
        </w:rPr>
        <w:lastRenderedPageBreak/>
        <w:t xml:space="preserve">Además, </w:t>
      </w:r>
      <w:r w:rsidRPr="00B2384D">
        <w:rPr>
          <w:rFonts w:eastAsia="Calibri" w:cs="Tahoma"/>
          <w:bCs/>
          <w:color w:val="auto"/>
          <w:lang w:eastAsia="es-MX"/>
        </w:rPr>
        <w:t xml:space="preserve">el Instructivo de llenado del Formato “Personal de Seguridad Pública”, del Secretariado Ejecutivo del Sistema Nacional de Seguridad Pública (consultado el quince de junio de dos mil veintitrés, en la liga electrónica </w:t>
      </w:r>
      <w:hyperlink r:id="rId17" w:history="1">
        <w:r w:rsidRPr="00B2384D">
          <w:rPr>
            <w:rFonts w:eastAsia="Calibri" w:cs="Tahoma"/>
            <w:bCs/>
            <w:color w:val="0563C1"/>
            <w:u w:val="single"/>
            <w:lang w:eastAsia="es-MX"/>
          </w:rPr>
          <w:t>http://secretariadoejecutivo.gob.mx/work/models/SecretariadoEjecutivo/Resource/328/1/images/instructivo_final_edo_fuerza(1).pdf</w:t>
        </w:r>
      </w:hyperlink>
      <w:r w:rsidRPr="00B2384D">
        <w:rPr>
          <w:rFonts w:eastAsia="Calibri" w:cs="Tahoma"/>
          <w:bCs/>
          <w:color w:val="auto"/>
          <w:lang w:eastAsia="es-MX"/>
        </w:rPr>
        <w:t xml:space="preserve">), establece que los elementos operativos de seguridad pública, son aquellos que desempeñan funciones de campo (policiacas, especializadas o equivalentes y que no </w:t>
      </w:r>
      <w:r w:rsidRPr="00B2384D">
        <w:rPr>
          <w:rFonts w:eastAsia="Calibri" w:cs="Tahoma"/>
          <w:b/>
          <w:bCs/>
          <w:color w:val="auto"/>
          <w:lang w:eastAsia="es-MX"/>
        </w:rPr>
        <w:t>desempeña funciones de mando</w:t>
      </w:r>
      <w:r w:rsidRPr="00B2384D">
        <w:rPr>
          <w:rFonts w:eastAsia="Calibri" w:cs="Tahoma"/>
          <w:bCs/>
          <w:color w:val="auto"/>
          <w:lang w:eastAsia="es-MX"/>
        </w:rPr>
        <w:t xml:space="preserve">), entre los cuales, se encuentra </w:t>
      </w:r>
      <w:r w:rsidRPr="00B2384D">
        <w:rPr>
          <w:rFonts w:eastAsia="Calibri" w:cs="Tahoma"/>
          <w:b/>
          <w:bCs/>
          <w:color w:val="auto"/>
          <w:lang w:eastAsia="es-MX"/>
        </w:rPr>
        <w:t>la Policía Municipal</w:t>
      </w:r>
      <w:r w:rsidRPr="00B2384D">
        <w:rPr>
          <w:rFonts w:eastAsia="Calibri" w:cs="Tahoma"/>
          <w:bCs/>
          <w:color w:val="auto"/>
          <w:lang w:eastAsia="es-MX"/>
        </w:rPr>
        <w:t>.</w:t>
      </w:r>
    </w:p>
    <w:p w14:paraId="0D0269C9" w14:textId="77777777" w:rsidR="00B65995" w:rsidRPr="00B2384D" w:rsidRDefault="00B65995" w:rsidP="00BE0A81">
      <w:pPr>
        <w:tabs>
          <w:tab w:val="left" w:pos="4962"/>
        </w:tabs>
        <w:spacing w:after="0" w:line="360" w:lineRule="auto"/>
        <w:ind w:right="-28"/>
        <w:contextualSpacing/>
        <w:rPr>
          <w:rFonts w:eastAsia="Calibri" w:cs="Tahoma"/>
          <w:bCs/>
          <w:color w:val="auto"/>
          <w:lang w:eastAsia="es-MX"/>
        </w:rPr>
      </w:pPr>
    </w:p>
    <w:p w14:paraId="30A0FC5E" w14:textId="77777777" w:rsidR="00B65995" w:rsidRPr="00B2384D" w:rsidRDefault="00B65995" w:rsidP="00BE0A81">
      <w:pPr>
        <w:tabs>
          <w:tab w:val="left" w:pos="4962"/>
        </w:tabs>
        <w:spacing w:after="0" w:line="360" w:lineRule="auto"/>
        <w:ind w:right="-28"/>
        <w:contextualSpacing/>
        <w:rPr>
          <w:rFonts w:eastAsia="Calibri" w:cs="Tahoma"/>
          <w:bCs/>
          <w:color w:val="auto"/>
          <w:lang w:eastAsia="es-MX"/>
        </w:rPr>
      </w:pPr>
      <w:r w:rsidRPr="00B2384D">
        <w:rPr>
          <w:rFonts w:eastAsia="Calibri" w:cs="Tahoma"/>
          <w:bCs/>
          <w:color w:val="auto"/>
          <w:lang w:eastAsia="es-MX"/>
        </w:rPr>
        <w:t xml:space="preserve">Asimismo, se advierte que las Instituciones Policiales, se conforman del personal </w:t>
      </w:r>
      <w:r w:rsidRPr="00B2384D">
        <w:rPr>
          <w:rFonts w:eastAsia="Calibri" w:cs="Tahoma"/>
          <w:b/>
          <w:color w:val="auto"/>
          <w:lang w:eastAsia="es-MX"/>
        </w:rPr>
        <w:t>administrativo,</w:t>
      </w:r>
      <w:r w:rsidRPr="00B2384D">
        <w:rPr>
          <w:rFonts w:eastAsia="Calibri" w:cs="Tahoma"/>
          <w:bCs/>
          <w:color w:val="auto"/>
          <w:lang w:eastAsia="es-MX"/>
        </w:rPr>
        <w:t xml:space="preserve"> que son los trabajadores de apoyo (chofer, personal de mantenimiento, servicios generales y área secretaria); </w:t>
      </w:r>
      <w:r w:rsidRPr="00B2384D">
        <w:rPr>
          <w:rFonts w:eastAsia="Calibri" w:cs="Tahoma"/>
          <w:b/>
          <w:color w:val="auto"/>
          <w:lang w:eastAsia="es-MX"/>
        </w:rPr>
        <w:t>así como, el personal de mando</w:t>
      </w:r>
      <w:r w:rsidRPr="00B2384D">
        <w:rPr>
          <w:rFonts w:eastAsia="Calibri" w:cs="Tahoma"/>
          <w:bCs/>
          <w:color w:val="auto"/>
          <w:lang w:eastAsia="es-MX"/>
        </w:rPr>
        <w:t xml:space="preserve"> (alto, medio y superior), que es aquel que realiza funciones de dirección, coordinación y supervisión, por lo cual, corresponde a aquel que tenga trabajadores a su cargo.</w:t>
      </w:r>
    </w:p>
    <w:p w14:paraId="2AFE6C67" w14:textId="77777777" w:rsidR="00B65995" w:rsidRPr="00B2384D" w:rsidRDefault="00B65995" w:rsidP="00BE0A81">
      <w:pPr>
        <w:spacing w:after="0" w:line="360" w:lineRule="auto"/>
        <w:contextualSpacing/>
        <w:rPr>
          <w:rFonts w:eastAsia="Times New Roman" w:cs="Tahoma"/>
          <w:color w:val="auto"/>
          <w:szCs w:val="24"/>
          <w:lang w:val="es-ES" w:eastAsia="es-ES"/>
        </w:rPr>
      </w:pPr>
    </w:p>
    <w:p w14:paraId="7D91857A" w14:textId="77777777" w:rsidR="00B65995" w:rsidRPr="00B2384D" w:rsidRDefault="00B65995" w:rsidP="00BE0A81">
      <w:pPr>
        <w:spacing w:after="0" w:line="360" w:lineRule="auto"/>
        <w:contextualSpacing/>
        <w:rPr>
          <w:rFonts w:eastAsia="Calibri" w:cs="Tahoma"/>
          <w:bCs/>
          <w:color w:val="auto"/>
          <w:lang w:eastAsia="es-MX"/>
        </w:rPr>
      </w:pPr>
      <w:r w:rsidRPr="00B2384D">
        <w:rPr>
          <w:rFonts w:eastAsia="Calibri" w:cs="Tahoma"/>
          <w:bCs/>
          <w:color w:val="auto"/>
          <w:lang w:eastAsia="es-MX"/>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2BAA642" w14:textId="77777777" w:rsidR="00B65995" w:rsidRPr="00B2384D" w:rsidRDefault="00B65995" w:rsidP="00BE0A81">
      <w:pPr>
        <w:spacing w:after="0" w:line="360" w:lineRule="auto"/>
        <w:contextualSpacing/>
        <w:rPr>
          <w:rFonts w:eastAsia="Calibri" w:cs="Tahoma"/>
          <w:bCs/>
          <w:color w:val="auto"/>
          <w:lang w:eastAsia="es-MX"/>
        </w:rPr>
      </w:pPr>
    </w:p>
    <w:p w14:paraId="5D892571" w14:textId="77777777" w:rsidR="00B65995" w:rsidRPr="00B2384D" w:rsidRDefault="00B65995" w:rsidP="00BE0A81">
      <w:pPr>
        <w:spacing w:after="0" w:line="360" w:lineRule="auto"/>
        <w:contextualSpacing/>
        <w:rPr>
          <w:rFonts w:eastAsia="Calibri" w:cs="Tahoma"/>
          <w:bCs/>
          <w:color w:val="auto"/>
          <w:lang w:eastAsia="es-MX"/>
        </w:rPr>
      </w:pPr>
      <w:r w:rsidRPr="00B2384D">
        <w:rPr>
          <w:rFonts w:eastAsia="Calibri" w:cs="Tahoma"/>
          <w:bCs/>
          <w:color w:val="auto"/>
          <w:lang w:eastAsia="es-MX"/>
        </w:rPr>
        <w:lastRenderedPageBreak/>
        <w:t xml:space="preserve">Sin embargo, por lo que hace al </w:t>
      </w:r>
      <w:r w:rsidRPr="00B2384D">
        <w:rPr>
          <w:rFonts w:eastAsia="Calibri" w:cs="Tahoma"/>
          <w:b/>
          <w:color w:val="auto"/>
          <w:lang w:eastAsia="es-MX"/>
        </w:rPr>
        <w:t>personal administrativo y los mandos medios y superiores</w:t>
      </w:r>
      <w:r w:rsidRPr="00B2384D">
        <w:rPr>
          <w:rFonts w:eastAsia="Calibri" w:cs="Tahoma"/>
          <w:bCs/>
          <w:color w:val="auto"/>
          <w:lang w:eastAsia="es-MX"/>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716E365E" w14:textId="77777777" w:rsidR="00B65995" w:rsidRPr="00B2384D" w:rsidRDefault="00B65995" w:rsidP="00BE0A81">
      <w:pPr>
        <w:spacing w:after="0" w:line="360" w:lineRule="auto"/>
        <w:contextualSpacing/>
        <w:rPr>
          <w:rFonts w:eastAsia="Calibri" w:cs="Tahoma"/>
          <w:bCs/>
          <w:color w:val="auto"/>
          <w:lang w:eastAsia="es-MX"/>
        </w:rPr>
      </w:pPr>
    </w:p>
    <w:p w14:paraId="2C289794" w14:textId="77777777" w:rsidR="00B65995" w:rsidRPr="00B2384D" w:rsidRDefault="00B65995" w:rsidP="00BE0A81">
      <w:pPr>
        <w:spacing w:after="0" w:line="360" w:lineRule="auto"/>
        <w:rPr>
          <w:rFonts w:eastAsia="Calibri" w:cs="Tahoma"/>
          <w:bCs/>
          <w:color w:val="auto"/>
          <w:lang w:eastAsia="es-MX"/>
        </w:rPr>
      </w:pPr>
      <w:r w:rsidRPr="00B2384D">
        <w:rPr>
          <w:rFonts w:eastAsia="Calibri" w:cs="Tahoma"/>
          <w:bCs/>
          <w:color w:val="auto"/>
          <w:lang w:eastAsia="es-MX"/>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2C4BE41B" w14:textId="77777777" w:rsidR="00B65995" w:rsidRPr="00B2384D" w:rsidRDefault="00B65995" w:rsidP="00BE0A81">
      <w:pPr>
        <w:spacing w:after="0" w:line="360" w:lineRule="auto"/>
        <w:contextualSpacing/>
        <w:rPr>
          <w:rFonts w:eastAsia="Calibri" w:cs="Tahoma"/>
          <w:bCs/>
          <w:color w:val="auto"/>
          <w:lang w:eastAsia="es-MX"/>
        </w:rPr>
      </w:pPr>
    </w:p>
    <w:p w14:paraId="767AA364" w14:textId="77777777" w:rsidR="00B65995" w:rsidRPr="00B2384D" w:rsidRDefault="00B65995" w:rsidP="00BE0A81">
      <w:pPr>
        <w:spacing w:after="0" w:line="360" w:lineRule="auto"/>
        <w:rPr>
          <w:rFonts w:eastAsia="Calibri" w:cs="Tahoma"/>
          <w:bCs/>
          <w:color w:val="auto"/>
          <w:lang w:eastAsia="es-MX"/>
        </w:rPr>
      </w:pPr>
      <w:r w:rsidRPr="00B2384D">
        <w:rPr>
          <w:rFonts w:eastAsia="Calibri" w:cs="Tahoma"/>
          <w:bCs/>
          <w:color w:val="auto"/>
          <w:lang w:eastAsia="es-MX"/>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59DB2D63" w14:textId="77777777" w:rsidR="00B65995" w:rsidRPr="00B2384D" w:rsidRDefault="00B65995" w:rsidP="00BE0A81">
      <w:pPr>
        <w:spacing w:after="0" w:line="360" w:lineRule="auto"/>
        <w:rPr>
          <w:rFonts w:eastAsia="Calibri" w:cs="Tahoma"/>
          <w:bCs/>
          <w:color w:val="auto"/>
          <w:lang w:eastAsia="es-MX"/>
        </w:rPr>
      </w:pPr>
    </w:p>
    <w:p w14:paraId="486904C2" w14:textId="07185309" w:rsidR="00B65995" w:rsidRPr="00B2384D" w:rsidRDefault="00B65995" w:rsidP="00BE0A81">
      <w:pPr>
        <w:spacing w:after="0" w:line="360" w:lineRule="auto"/>
        <w:rPr>
          <w:rFonts w:eastAsia="Calibri" w:cs="Tahoma"/>
          <w:b/>
          <w:iCs/>
          <w:color w:val="auto"/>
          <w:lang w:val="es-ES" w:eastAsia="es-ES_tradnl"/>
        </w:rPr>
      </w:pPr>
      <w:r w:rsidRPr="00B2384D">
        <w:rPr>
          <w:rFonts w:eastAsia="Calibri" w:cs="Tahoma"/>
          <w:bCs/>
          <w:color w:val="auto"/>
          <w:lang w:eastAsia="es-MX"/>
        </w:rPr>
        <w:t xml:space="preserve">Por tales consideraciones, </w:t>
      </w:r>
      <w:r w:rsidRPr="00B2384D">
        <w:rPr>
          <w:rFonts w:eastAsia="Calibri" w:cs="Tahoma"/>
          <w:b/>
          <w:bCs/>
          <w:color w:val="auto"/>
          <w:lang w:eastAsia="es-MX"/>
        </w:rPr>
        <w:t>resulta procedente la reserva del nombre de los elementos operativos adscritos a la</w:t>
      </w:r>
      <w:r w:rsidRPr="00B2384D">
        <w:rPr>
          <w:rFonts w:eastAsia="Calibri" w:cs="Tahoma"/>
          <w:b/>
          <w:color w:val="000000"/>
          <w:lang w:eastAsia="es-MX"/>
        </w:rPr>
        <w:t xml:space="preserve"> Dirección General de Seguridad Ciudadana y Movilidad Segura</w:t>
      </w:r>
      <w:r w:rsidRPr="00B2384D">
        <w:rPr>
          <w:rFonts w:eastAsia="Calibri" w:cs="Tahoma"/>
          <w:b/>
          <w:bCs/>
          <w:color w:val="auto"/>
          <w:lang w:eastAsia="es-MX"/>
        </w:rPr>
        <w:t xml:space="preserve">, en términos del artículo 140, fracción IV, de </w:t>
      </w:r>
      <w:r w:rsidRPr="00B2384D">
        <w:rPr>
          <w:rFonts w:eastAsia="Calibri" w:cs="Tahoma"/>
          <w:b/>
          <w:iCs/>
          <w:color w:val="auto"/>
          <w:lang w:val="es-ES" w:eastAsia="es-ES_tradnl"/>
        </w:rPr>
        <w:t>de la Ley de Transparencia y Acceso a la Información Pública del Estado de México y Municipios; cabe precisar que dicho dato es accesible.</w:t>
      </w:r>
    </w:p>
    <w:p w14:paraId="555F8CAB" w14:textId="77777777" w:rsidR="00B63B37" w:rsidRPr="00B2384D" w:rsidRDefault="00B63B37" w:rsidP="00BE0A81">
      <w:pPr>
        <w:spacing w:after="0" w:line="360" w:lineRule="auto"/>
        <w:rPr>
          <w:rFonts w:eastAsia="Palatino Linotype" w:cs="Palatino Linotype"/>
          <w:lang w:val="es-ES" w:eastAsia="es-MX"/>
        </w:rPr>
      </w:pPr>
    </w:p>
    <w:p w14:paraId="4DA46060" w14:textId="77777777" w:rsidR="00B63B37" w:rsidRPr="00B2384D" w:rsidRDefault="00B63B37" w:rsidP="00BE0A81">
      <w:pPr>
        <w:tabs>
          <w:tab w:val="left" w:pos="4962"/>
        </w:tabs>
        <w:spacing w:after="0" w:line="360" w:lineRule="auto"/>
        <w:rPr>
          <w:rFonts w:eastAsia="Palatino Linotype" w:cs="Palatino Linotype"/>
          <w:color w:val="000000"/>
          <w:lang w:eastAsia="es-MX"/>
        </w:rPr>
      </w:pPr>
      <w:r w:rsidRPr="00B2384D">
        <w:rPr>
          <w:rFonts w:eastAsia="Palatino Linotype" w:cs="Palatino Linotype"/>
          <w:color w:val="000000"/>
          <w:lang w:eastAsia="es-MX"/>
        </w:rPr>
        <w:lastRenderedPageBreak/>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7B51C233" w14:textId="77777777" w:rsidR="00B65995" w:rsidRPr="00B2384D" w:rsidRDefault="00B65995" w:rsidP="00BE0A81">
      <w:pPr>
        <w:tabs>
          <w:tab w:val="left" w:pos="4962"/>
        </w:tabs>
        <w:spacing w:after="0" w:line="360" w:lineRule="auto"/>
        <w:rPr>
          <w:rFonts w:eastAsia="Palatino Linotype" w:cs="Palatino Linotype"/>
          <w:color w:val="000000"/>
          <w:lang w:eastAsia="es-MX"/>
        </w:rPr>
      </w:pPr>
    </w:p>
    <w:p w14:paraId="36121E10" w14:textId="77777777" w:rsidR="00B63B37" w:rsidRPr="00B2384D" w:rsidRDefault="00B63B37" w:rsidP="00BE0A81">
      <w:pPr>
        <w:numPr>
          <w:ilvl w:val="0"/>
          <w:numId w:val="13"/>
        </w:numPr>
        <w:tabs>
          <w:tab w:val="left" w:pos="4962"/>
        </w:tabs>
        <w:spacing w:after="0" w:line="360" w:lineRule="auto"/>
        <w:ind w:left="709" w:hanging="436"/>
        <w:rPr>
          <w:rFonts w:eastAsia="Palatino Linotype" w:cs="Palatino Linotype"/>
          <w:color w:val="000000"/>
          <w:lang w:eastAsia="es-MX"/>
        </w:rPr>
      </w:pPr>
      <w:r w:rsidRPr="00B2384D">
        <w:rPr>
          <w:rFonts w:eastAsia="Palatino Linotype" w:cs="Palatino Linotype"/>
          <w:color w:val="000000"/>
          <w:lang w:eastAsia="es-MX"/>
        </w:rPr>
        <w:t>La divulgación de la información representa un riesgo real, demostrable e identificable de perjuicio significativo al interés público o a la seguridad nacional.</w:t>
      </w:r>
    </w:p>
    <w:p w14:paraId="701827D2" w14:textId="77777777" w:rsidR="00B63B37" w:rsidRPr="00B2384D" w:rsidRDefault="00B63B37" w:rsidP="00BE0A81">
      <w:pPr>
        <w:tabs>
          <w:tab w:val="left" w:pos="4962"/>
        </w:tabs>
        <w:spacing w:after="0" w:line="360" w:lineRule="auto"/>
        <w:ind w:left="709" w:hanging="436"/>
        <w:rPr>
          <w:rFonts w:eastAsia="Palatino Linotype" w:cs="Palatino Linotype"/>
          <w:color w:val="000000"/>
          <w:lang w:eastAsia="es-MX"/>
        </w:rPr>
      </w:pPr>
    </w:p>
    <w:p w14:paraId="69BCA596" w14:textId="77777777" w:rsidR="00B63B37" w:rsidRPr="00B2384D" w:rsidRDefault="00B63B37" w:rsidP="00BE0A81">
      <w:pPr>
        <w:numPr>
          <w:ilvl w:val="0"/>
          <w:numId w:val="13"/>
        </w:numPr>
        <w:tabs>
          <w:tab w:val="left" w:pos="4962"/>
        </w:tabs>
        <w:spacing w:after="0" w:line="360" w:lineRule="auto"/>
        <w:ind w:left="709" w:hanging="436"/>
        <w:jc w:val="left"/>
        <w:rPr>
          <w:rFonts w:eastAsia="Palatino Linotype" w:cs="Palatino Linotype"/>
          <w:color w:val="000000"/>
          <w:lang w:eastAsia="es-MX"/>
        </w:rPr>
      </w:pPr>
      <w:r w:rsidRPr="00B2384D">
        <w:rPr>
          <w:rFonts w:eastAsia="Palatino Linotype" w:cs="Palatino Linotype"/>
          <w:color w:val="000000"/>
          <w:lang w:eastAsia="es-MX"/>
        </w:rPr>
        <w:t>El riesgo de perjuicio supera el interés público general de que se difunda.</w:t>
      </w:r>
    </w:p>
    <w:p w14:paraId="052966E7" w14:textId="77777777" w:rsidR="00B63B37" w:rsidRPr="00B2384D" w:rsidRDefault="00B63B37" w:rsidP="00BE0A81">
      <w:pPr>
        <w:tabs>
          <w:tab w:val="left" w:pos="4962"/>
        </w:tabs>
        <w:spacing w:after="0" w:line="360" w:lineRule="auto"/>
        <w:ind w:left="709" w:hanging="436"/>
        <w:rPr>
          <w:rFonts w:eastAsia="Palatino Linotype" w:cs="Palatino Linotype"/>
          <w:color w:val="000000"/>
          <w:lang w:eastAsia="es-MX"/>
        </w:rPr>
      </w:pPr>
    </w:p>
    <w:p w14:paraId="205D659D" w14:textId="77777777" w:rsidR="00B63B37" w:rsidRPr="00B2384D" w:rsidRDefault="00B63B37" w:rsidP="00BE0A81">
      <w:pPr>
        <w:numPr>
          <w:ilvl w:val="0"/>
          <w:numId w:val="13"/>
        </w:numPr>
        <w:tabs>
          <w:tab w:val="left" w:pos="4962"/>
        </w:tabs>
        <w:spacing w:after="0" w:line="360" w:lineRule="auto"/>
        <w:ind w:left="709" w:hanging="436"/>
        <w:rPr>
          <w:rFonts w:eastAsia="Palatino Linotype" w:cs="Palatino Linotype"/>
          <w:color w:val="000000"/>
          <w:lang w:eastAsia="es-MX"/>
        </w:rPr>
      </w:pPr>
      <w:r w:rsidRPr="00B2384D">
        <w:rPr>
          <w:rFonts w:eastAsia="Palatino Linotype" w:cs="Palatino Linotype"/>
          <w:color w:val="000000"/>
          <w:lang w:eastAsia="es-MX"/>
        </w:rPr>
        <w:t>Que la limitación se adecua al principio de proporcionalidad y representa el medio menos restrictivo disponible para evitar el perjuicio.</w:t>
      </w:r>
    </w:p>
    <w:p w14:paraId="3A100CA1" w14:textId="77777777" w:rsidR="00B63B37" w:rsidRPr="00B2384D" w:rsidRDefault="00B63B37" w:rsidP="00BE0A81">
      <w:pPr>
        <w:spacing w:after="0" w:line="360" w:lineRule="auto"/>
        <w:jc w:val="left"/>
        <w:rPr>
          <w:rFonts w:eastAsia="Palatino Linotype" w:cs="Palatino Linotype"/>
          <w:color w:val="000000"/>
          <w:lang w:eastAsia="es-MX"/>
        </w:rPr>
      </w:pPr>
    </w:p>
    <w:p w14:paraId="14C1591A" w14:textId="75FA53BB" w:rsidR="00B63B37" w:rsidRPr="00B2384D" w:rsidRDefault="00B63B37"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 xml:space="preserve">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de la </w:t>
      </w:r>
      <w:r w:rsidR="00B65995" w:rsidRPr="00B2384D">
        <w:rPr>
          <w:rFonts w:eastAsia="Calibri" w:cs="Tahoma"/>
          <w:bCs/>
          <w:color w:val="000000"/>
          <w:lang w:eastAsia="es-MX"/>
        </w:rPr>
        <w:t>Dirección General de Seguridad Ciudadana y Movilidad Segura</w:t>
      </w:r>
      <w:r w:rsidRPr="00B2384D">
        <w:rPr>
          <w:rFonts w:eastAsia="Palatino Linotype" w:cs="Palatino Linotype"/>
          <w:color w:val="000000"/>
          <w:lang w:eastAsia="es-MX"/>
        </w:rPr>
        <w:t>, de manera fundada y motivada, mediante la respectiva prueba de daño.</w:t>
      </w:r>
    </w:p>
    <w:p w14:paraId="58840167" w14:textId="77777777" w:rsidR="00B63B37" w:rsidRPr="00B2384D" w:rsidRDefault="00B63B37" w:rsidP="00BE0A81">
      <w:pPr>
        <w:tabs>
          <w:tab w:val="center" w:pos="4522"/>
        </w:tabs>
        <w:spacing w:after="0" w:line="360" w:lineRule="auto"/>
        <w:rPr>
          <w:rFonts w:eastAsia="Palatino Linotype" w:cs="Palatino Linotype"/>
          <w:color w:val="000000"/>
          <w:lang w:eastAsia="es-MX"/>
        </w:rPr>
      </w:pPr>
    </w:p>
    <w:p w14:paraId="3AD4EA4D" w14:textId="146E08B5" w:rsidR="00663D05" w:rsidRPr="00B2384D" w:rsidRDefault="00B63B37" w:rsidP="00BE0A81">
      <w:pPr>
        <w:spacing w:after="0" w:line="360" w:lineRule="auto"/>
        <w:ind w:right="-28"/>
        <w:rPr>
          <w:rFonts w:eastAsia="Palatino Linotype" w:cs="Palatino Linotype"/>
          <w:color w:val="000000"/>
          <w:lang w:eastAsia="es-MX"/>
        </w:rPr>
      </w:pPr>
      <w:r w:rsidRPr="00B2384D">
        <w:rPr>
          <w:rFonts w:eastAsia="Palatino Linotype" w:cs="Palatino Linotype"/>
          <w:lang w:eastAsia="es-MX"/>
        </w:rPr>
        <w:t>Por lo que, para atender el requerimiento deberá proporcionar los documentos solicitados en versión pública; p</w:t>
      </w:r>
      <w:r w:rsidRPr="00B2384D">
        <w:rPr>
          <w:rFonts w:eastAsia="Palatino Linotype" w:cs="Palatino Linotype"/>
          <w:color w:val="000000"/>
          <w:lang w:eastAsia="es-MX"/>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1F3A22F9" w14:textId="77777777" w:rsidR="00B65995" w:rsidRPr="00B2384D" w:rsidRDefault="00B65995" w:rsidP="00BE0A81">
      <w:pPr>
        <w:spacing w:after="0" w:line="360" w:lineRule="auto"/>
        <w:ind w:right="-28"/>
        <w:rPr>
          <w:rFonts w:eastAsia="Palatino Linotype" w:cs="Palatino Linotype"/>
          <w:color w:val="000000"/>
          <w:lang w:eastAsia="es-MX"/>
        </w:rPr>
      </w:pPr>
    </w:p>
    <w:p w14:paraId="134A3D42" w14:textId="238E582F" w:rsidR="00F95937" w:rsidRPr="00B2384D" w:rsidRDefault="00B65995" w:rsidP="00BE0A81">
      <w:pPr>
        <w:spacing w:after="0" w:line="360" w:lineRule="auto"/>
        <w:ind w:right="-28"/>
        <w:rPr>
          <w:rFonts w:eastAsia="Times New Roman" w:cs="Tahoma"/>
          <w:bCs/>
          <w:color w:val="auto"/>
          <w:lang w:val="es-ES" w:eastAsia="es-ES"/>
        </w:rPr>
      </w:pPr>
      <w:r w:rsidRPr="00B2384D">
        <w:rPr>
          <w:rFonts w:eastAsia="Palatino Linotype" w:cs="Palatino Linotype"/>
          <w:color w:val="000000"/>
          <w:lang w:eastAsia="es-MX"/>
        </w:rPr>
        <w:t>Así, el Sujeto Obligado deberá proporcionar los documentos solicitados, en versión pública; p</w:t>
      </w:r>
      <w:r w:rsidR="00713479" w:rsidRPr="00B2384D">
        <w:rPr>
          <w:rFonts w:eastAsia="Times New Roman" w:cs="Tahoma"/>
          <w:bCs/>
          <w:color w:val="auto"/>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0B0929E" w14:textId="77777777" w:rsidR="00AD5C19" w:rsidRPr="00B2384D" w:rsidRDefault="00AD5C19" w:rsidP="00BE0A81">
      <w:pPr>
        <w:spacing w:after="0" w:line="360" w:lineRule="auto"/>
        <w:rPr>
          <w:rFonts w:eastAsia="Times New Roman" w:cs="Tahoma"/>
          <w:bCs/>
          <w:color w:val="auto"/>
          <w:lang w:eastAsia="es-ES"/>
        </w:rPr>
      </w:pPr>
    </w:p>
    <w:p w14:paraId="3E317189" w14:textId="2DDD4A62" w:rsidR="00B83462" w:rsidRPr="00B2384D" w:rsidRDefault="00A825A6" w:rsidP="00BE0A81">
      <w:pPr>
        <w:spacing w:after="0" w:line="360" w:lineRule="auto"/>
        <w:contextualSpacing/>
        <w:rPr>
          <w:rFonts w:eastAsia="Calibri" w:cs="Tahoma"/>
          <w:b/>
          <w:color w:val="auto"/>
        </w:rPr>
      </w:pPr>
      <w:r w:rsidRPr="00B2384D">
        <w:rPr>
          <w:rFonts w:eastAsia="Calibri" w:cs="Tahoma"/>
          <w:b/>
          <w:color w:val="auto"/>
        </w:rPr>
        <w:t>SEXTO. Decisión</w:t>
      </w:r>
    </w:p>
    <w:p w14:paraId="3E26CAD2" w14:textId="13EE2BBC" w:rsidR="003905B1" w:rsidRPr="00B2384D" w:rsidRDefault="003905B1" w:rsidP="00BE0A81">
      <w:pPr>
        <w:spacing w:after="0" w:line="360" w:lineRule="auto"/>
        <w:contextualSpacing/>
        <w:rPr>
          <w:rFonts w:eastAsia="Calibri" w:cs="Tahoma"/>
          <w:b/>
          <w:color w:val="auto"/>
        </w:rPr>
      </w:pPr>
    </w:p>
    <w:p w14:paraId="3144C741" w14:textId="58FDC0C6" w:rsidR="00A825A6" w:rsidRPr="00B2384D" w:rsidRDefault="00B26046" w:rsidP="00BE0A81">
      <w:pPr>
        <w:spacing w:after="0" w:line="360" w:lineRule="auto"/>
        <w:contextualSpacing/>
        <w:rPr>
          <w:color w:val="000000"/>
        </w:rPr>
      </w:pPr>
      <w:r w:rsidRPr="00B2384D">
        <w:rPr>
          <w:rFonts w:eastAsia="Times New Roman" w:cs="Arial"/>
          <w:color w:val="auto"/>
          <w:lang w:eastAsia="es-ES"/>
        </w:rPr>
        <w:t xml:space="preserve">Con </w:t>
      </w:r>
      <w:r w:rsidRPr="00B2384D">
        <w:rPr>
          <w:rFonts w:eastAsia="Times New Roman" w:cs="Tahoma"/>
          <w:color w:val="auto"/>
          <w:lang w:eastAsia="es-ES"/>
        </w:rPr>
        <w:t xml:space="preserve">fundamento en el artículo 186, fracción III, de la Ley de Transparencia y Acceso a la Información Pública del Estado de México y Municipios, este Instituto considera procedente </w:t>
      </w:r>
      <w:r w:rsidR="0083710C" w:rsidRPr="00B2384D">
        <w:rPr>
          <w:rFonts w:eastAsia="Times New Roman" w:cs="Tahoma"/>
          <w:b/>
          <w:color w:val="auto"/>
          <w:lang w:eastAsia="es-ES"/>
        </w:rPr>
        <w:t>MODIFI</w:t>
      </w:r>
      <w:r w:rsidRPr="00B2384D">
        <w:rPr>
          <w:rFonts w:eastAsia="Times New Roman" w:cs="Tahoma"/>
          <w:b/>
          <w:color w:val="auto"/>
          <w:lang w:eastAsia="es-ES"/>
        </w:rPr>
        <w:t>CAR</w:t>
      </w:r>
      <w:r w:rsidRPr="00B2384D">
        <w:rPr>
          <w:rFonts w:eastAsia="Times New Roman" w:cs="Tahoma"/>
          <w:color w:val="auto"/>
          <w:lang w:eastAsia="es-ES"/>
        </w:rPr>
        <w:t xml:space="preserve"> la respuesta </w:t>
      </w:r>
      <w:r w:rsidR="00CF3946" w:rsidRPr="00B2384D">
        <w:rPr>
          <w:rFonts w:eastAsia="Times New Roman" w:cs="Tahoma"/>
          <w:color w:val="auto"/>
          <w:lang w:eastAsia="es-ES"/>
        </w:rPr>
        <w:t xml:space="preserve">del </w:t>
      </w:r>
      <w:r w:rsidR="0083710C" w:rsidRPr="00B2384D">
        <w:rPr>
          <w:rFonts w:eastAsia="Times New Roman" w:cs="Tahoma"/>
          <w:color w:val="auto"/>
          <w:lang w:eastAsia="es-ES"/>
        </w:rPr>
        <w:t xml:space="preserve">Ayuntamiento de </w:t>
      </w:r>
      <w:r w:rsidR="00A825A6" w:rsidRPr="00B2384D">
        <w:rPr>
          <w:rFonts w:eastAsia="Times New Roman" w:cs="Tahoma"/>
          <w:color w:val="auto"/>
          <w:lang w:eastAsia="es-ES"/>
        </w:rPr>
        <w:t xml:space="preserve">Naucalpan de Juárez </w:t>
      </w:r>
      <w:r w:rsidRPr="00B2384D">
        <w:rPr>
          <w:rFonts w:eastAsia="Times New Roman" w:cs="Tahoma"/>
          <w:color w:val="auto"/>
          <w:lang w:eastAsia="es-ES"/>
        </w:rPr>
        <w:t>otorgada a la solicitud de información</w:t>
      </w:r>
      <w:r w:rsidRPr="00B2384D">
        <w:rPr>
          <w:rFonts w:eastAsia="Times New Roman" w:cs="Tahoma"/>
          <w:bCs/>
          <w:color w:val="auto"/>
          <w:lang w:eastAsia="es-ES"/>
        </w:rPr>
        <w:t>, a efecto de que</w:t>
      </w:r>
      <w:r w:rsidR="00B65995" w:rsidRPr="00B2384D">
        <w:rPr>
          <w:rFonts w:eastAsia="Times New Roman" w:cs="Tahoma"/>
          <w:bCs/>
          <w:color w:val="auto"/>
          <w:lang w:eastAsia="es-ES"/>
        </w:rPr>
        <w:t xml:space="preserve"> proporcione la información faltante y la entrega en respuesta de forma correcta.</w:t>
      </w:r>
    </w:p>
    <w:p w14:paraId="5CAF51C7" w14:textId="77777777" w:rsidR="0023757D" w:rsidRPr="00B2384D" w:rsidRDefault="0023757D" w:rsidP="00BE0A81">
      <w:pPr>
        <w:spacing w:after="0" w:line="360" w:lineRule="auto"/>
        <w:rPr>
          <w:rFonts w:eastAsia="Palatino Linotype" w:cs="Palatino Linotype"/>
          <w:color w:val="000000"/>
          <w:lang w:eastAsia="es-MX"/>
        </w:rPr>
      </w:pPr>
    </w:p>
    <w:p w14:paraId="4CE12ABD" w14:textId="25B0EDE1" w:rsidR="0023757D" w:rsidRPr="00B2384D" w:rsidRDefault="0023757D" w:rsidP="00BE0A81">
      <w:pPr>
        <w:spacing w:after="0" w:line="360" w:lineRule="auto"/>
        <w:rPr>
          <w:b/>
        </w:rPr>
      </w:pPr>
      <w:r w:rsidRPr="00B2384D">
        <w:rPr>
          <w:b/>
        </w:rPr>
        <w:t>SÉPTIMO. Vista la Dirección General de Protección de Datos Personales</w:t>
      </w:r>
    </w:p>
    <w:p w14:paraId="3BB91D1A" w14:textId="77777777" w:rsidR="0023757D" w:rsidRPr="00B2384D" w:rsidRDefault="0023757D" w:rsidP="00BE0A81">
      <w:pPr>
        <w:spacing w:after="0" w:line="360" w:lineRule="auto"/>
        <w:rPr>
          <w:rFonts w:eastAsia="Palatino Linotype" w:cs="Palatino Linotype"/>
          <w:b/>
          <w:color w:val="000000"/>
          <w:lang w:eastAsia="es-MX"/>
        </w:rPr>
      </w:pPr>
    </w:p>
    <w:p w14:paraId="078DAD3F" w14:textId="14068C57" w:rsidR="00A679EC" w:rsidRPr="00B2384D" w:rsidRDefault="0023757D" w:rsidP="00BE0A81">
      <w:pPr>
        <w:spacing w:after="0" w:line="360" w:lineRule="auto"/>
        <w:contextualSpacing/>
      </w:pPr>
      <w:r w:rsidRPr="00B2384D">
        <w:lastRenderedPageBreak/>
        <w:t xml:space="preserve">Ahora bien, toda vez que el Sujeto Obligado proporcionó los formatos de conciliación de nómina en donde </w:t>
      </w:r>
      <w:r w:rsidR="00BE0A81" w:rsidRPr="00B2384D">
        <w:t xml:space="preserve">dejó visible el nombre de la institución bancaria y dejó accesible el Registro Federal de Contribuyentes, el número de cuenta bancaria, entre otros; </w:t>
      </w:r>
      <w:r w:rsidRPr="00B2384D">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3C5CE6B1" w14:textId="77777777" w:rsidR="0023757D" w:rsidRPr="00B2384D" w:rsidRDefault="0023757D" w:rsidP="00BE0A81">
      <w:pPr>
        <w:spacing w:after="0" w:line="360" w:lineRule="auto"/>
        <w:contextualSpacing/>
      </w:pPr>
    </w:p>
    <w:p w14:paraId="530AFB54" w14:textId="36158D0C" w:rsidR="0023757D" w:rsidRPr="00B2384D" w:rsidRDefault="0023757D" w:rsidP="00BE0A81">
      <w:pPr>
        <w:spacing w:after="0" w:line="360" w:lineRule="auto"/>
        <w:contextualSpacing/>
      </w:pPr>
      <w:r w:rsidRPr="00B2384D">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C7EE7E5" w14:textId="77777777" w:rsidR="0023757D" w:rsidRPr="00B2384D" w:rsidRDefault="0023757D" w:rsidP="00BE0A81">
      <w:pPr>
        <w:spacing w:after="0" w:line="360" w:lineRule="auto"/>
        <w:contextualSpacing/>
        <w:rPr>
          <w:color w:val="auto"/>
        </w:rPr>
      </w:pPr>
    </w:p>
    <w:p w14:paraId="2E00AE80" w14:textId="77777777" w:rsidR="00BE0A81" w:rsidRPr="00B2384D" w:rsidRDefault="00BE0A81" w:rsidP="00BE0A81">
      <w:pPr>
        <w:spacing w:after="0" w:line="360" w:lineRule="auto"/>
        <w:rPr>
          <w:rFonts w:cs="Arial"/>
          <w:b/>
          <w:color w:val="auto"/>
          <w:lang w:val="es-ES"/>
        </w:rPr>
      </w:pPr>
      <w:r w:rsidRPr="00B2384D">
        <w:rPr>
          <w:b/>
          <w:bCs/>
          <w:color w:val="auto"/>
        </w:rPr>
        <w:t xml:space="preserve">OCTAVO. </w:t>
      </w:r>
      <w:r w:rsidRPr="00B2384D">
        <w:rPr>
          <w:rFonts w:cs="Arial"/>
          <w:b/>
          <w:color w:val="auto"/>
          <w:lang w:val="es-ES"/>
        </w:rPr>
        <w:t>Vista a la Secretaría Técnica del Pleno</w:t>
      </w:r>
    </w:p>
    <w:p w14:paraId="6B33362B" w14:textId="77777777" w:rsidR="00BE0A81" w:rsidRPr="00B2384D" w:rsidRDefault="00BE0A81" w:rsidP="00BE0A81">
      <w:pPr>
        <w:spacing w:after="0" w:line="360" w:lineRule="auto"/>
        <w:rPr>
          <w:rFonts w:cs="Arial"/>
          <w:b/>
          <w:color w:val="auto"/>
          <w:lang w:val="es-ES"/>
        </w:rPr>
      </w:pPr>
    </w:p>
    <w:p w14:paraId="26B20F60" w14:textId="1E493D49" w:rsidR="00BE0A81" w:rsidRPr="00B2384D" w:rsidRDefault="00BE0A81" w:rsidP="00BE0A81">
      <w:pPr>
        <w:spacing w:after="0" w:line="360" w:lineRule="auto"/>
        <w:rPr>
          <w:rFonts w:cs="Arial"/>
          <w:color w:val="auto"/>
          <w:lang w:val="es-ES"/>
        </w:rPr>
      </w:pPr>
      <w:r w:rsidRPr="00B2384D">
        <w:rPr>
          <w:rFonts w:cs="Arial"/>
          <w:color w:val="auto"/>
          <w:lang w:val="es-ES"/>
        </w:rPr>
        <w:t xml:space="preserve">En el caso en estudio, ha quedado acreditado que el Ayuntamiento de Naucalpan de Juárez dejó accesible información clasificada como reservada, a saber, el nombre de </w:t>
      </w:r>
      <w:proofErr w:type="spellStart"/>
      <w:r w:rsidRPr="00B2384D">
        <w:rPr>
          <w:rFonts w:cs="Arial"/>
          <w:color w:val="auto"/>
          <w:lang w:val="es-ES"/>
        </w:rPr>
        <w:t>policias</w:t>
      </w:r>
      <w:proofErr w:type="spellEnd"/>
      <w:r w:rsidRPr="00B2384D">
        <w:rPr>
          <w:rFonts w:cs="Arial"/>
          <w:color w:val="auto"/>
          <w:lang w:val="es-ES"/>
        </w:rPr>
        <w:t>; al respecto, el artículo 36, fracción X, del ordenamiento jurídico en cita, establece que es atribución de este Instituto hacer del conocimiento del Órgano Interno de Control o equivalente de cada Sujeto Obligado las infracciones a esta Ley.</w:t>
      </w:r>
    </w:p>
    <w:p w14:paraId="1804A42E" w14:textId="77777777" w:rsidR="00BE0A81" w:rsidRPr="00B2384D" w:rsidRDefault="00BE0A81" w:rsidP="00BE0A81">
      <w:pPr>
        <w:spacing w:after="0" w:line="360" w:lineRule="auto"/>
        <w:rPr>
          <w:rFonts w:cs="Arial"/>
          <w:color w:val="auto"/>
          <w:lang w:val="es-ES"/>
        </w:rPr>
      </w:pPr>
    </w:p>
    <w:p w14:paraId="051B2513" w14:textId="77777777" w:rsidR="00BE0A81" w:rsidRPr="00B2384D" w:rsidRDefault="00BE0A81" w:rsidP="00BE0A81">
      <w:pPr>
        <w:spacing w:after="0" w:line="360" w:lineRule="auto"/>
        <w:rPr>
          <w:rFonts w:cs="Arial"/>
          <w:color w:val="auto"/>
          <w:lang w:val="es-ES"/>
        </w:rPr>
      </w:pPr>
      <w:r w:rsidRPr="00B2384D">
        <w:rPr>
          <w:rFonts w:cs="Arial"/>
          <w:color w:val="auto"/>
          <w:lang w:val="es-ES"/>
        </w:rPr>
        <w:lastRenderedPageBreak/>
        <w:t>En ese sentido, de conformidad con lo previsto en el artículo 222, fracción IV, de dicho ordenamiento, son causas de responsabilidad administrativa los incumplimientos de las obligaciones establecida en la Ley de la materia, entre otras conductas, entregar información clasificada como reservada.</w:t>
      </w:r>
    </w:p>
    <w:p w14:paraId="7D69EB64" w14:textId="77777777" w:rsidR="00BE0A81" w:rsidRPr="00B2384D" w:rsidRDefault="00BE0A81" w:rsidP="00BE0A81">
      <w:pPr>
        <w:spacing w:after="0" w:line="360" w:lineRule="auto"/>
        <w:rPr>
          <w:rFonts w:cs="Arial"/>
          <w:color w:val="auto"/>
          <w:lang w:val="es-ES"/>
        </w:rPr>
      </w:pPr>
    </w:p>
    <w:p w14:paraId="637862F2" w14:textId="77777777" w:rsidR="00BE0A81" w:rsidRPr="00B2384D" w:rsidRDefault="00BE0A81" w:rsidP="00BE0A81">
      <w:pPr>
        <w:spacing w:after="0" w:line="360" w:lineRule="auto"/>
        <w:rPr>
          <w:rFonts w:cs="Arial"/>
          <w:color w:val="auto"/>
          <w:lang w:val="es-ES"/>
        </w:rPr>
      </w:pPr>
      <w:r w:rsidRPr="00B2384D">
        <w:rPr>
          <w:rFonts w:cs="Arial"/>
          <w:color w:val="auto"/>
          <w:lang w:val="es-ES"/>
        </w:rPr>
        <w:t>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w:t>
      </w:r>
    </w:p>
    <w:p w14:paraId="1C78D56D" w14:textId="77777777" w:rsidR="00BE0A81" w:rsidRPr="00B2384D" w:rsidRDefault="00BE0A81" w:rsidP="00BE0A81">
      <w:pPr>
        <w:spacing w:after="0" w:line="360" w:lineRule="auto"/>
        <w:rPr>
          <w:rFonts w:cs="Arial"/>
          <w:color w:val="auto"/>
          <w:lang w:val="es-ES"/>
        </w:rPr>
      </w:pPr>
    </w:p>
    <w:p w14:paraId="62A08592" w14:textId="77777777" w:rsidR="00BE0A81" w:rsidRPr="00B2384D" w:rsidRDefault="00BE0A81" w:rsidP="00BE0A81">
      <w:pPr>
        <w:spacing w:after="0" w:line="360" w:lineRule="auto"/>
        <w:rPr>
          <w:rFonts w:cs="Arial"/>
          <w:color w:val="auto"/>
          <w:lang w:val="es-ES"/>
        </w:rPr>
      </w:pPr>
      <w:r w:rsidRPr="00B2384D">
        <w:rPr>
          <w:rFonts w:cs="Arial"/>
          <w:color w:val="auto"/>
          <w:lang w:val="es-ES"/>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43311D1D" w14:textId="77777777" w:rsidR="00BE0A81" w:rsidRPr="00B2384D" w:rsidRDefault="00BE0A81" w:rsidP="00BE0A81">
      <w:pPr>
        <w:spacing w:after="0" w:line="360" w:lineRule="auto"/>
        <w:rPr>
          <w:rFonts w:cs="Arial"/>
          <w:color w:val="auto"/>
          <w:lang w:val="es-ES"/>
        </w:rPr>
      </w:pPr>
    </w:p>
    <w:p w14:paraId="4E36AAAA" w14:textId="77777777" w:rsidR="00BE0A81" w:rsidRPr="00B2384D" w:rsidRDefault="00BE0A81" w:rsidP="00BE0A81">
      <w:pPr>
        <w:spacing w:after="0" w:line="360" w:lineRule="auto"/>
        <w:rPr>
          <w:rFonts w:cs="Arial"/>
          <w:color w:val="auto"/>
          <w:lang w:val="es-ES"/>
        </w:rPr>
      </w:pPr>
      <w:r w:rsidRPr="00B2384D">
        <w:rPr>
          <w:rFonts w:cs="Arial"/>
          <w:color w:val="auto"/>
          <w:lang w:val="es-ES"/>
        </w:rPr>
        <w:t>Sobre el particular, si bien, la presente resolución no tiene por objetivo investigar y determinar posibles violaciones al derecho de acceso a la información, toda vez que este Organismo Autónomo, advirtió que el Sujeto Obligado entrego información clasificada como reservada, por lo que se considera procedente dar vista a la Secretaría Técnica de este Instituto, para que realice lo conducente.</w:t>
      </w:r>
    </w:p>
    <w:p w14:paraId="4E8E98F0" w14:textId="77777777" w:rsidR="00BE0A81" w:rsidRPr="00B2384D" w:rsidRDefault="00BE0A81" w:rsidP="00BE0A81">
      <w:pPr>
        <w:spacing w:after="0" w:line="360" w:lineRule="auto"/>
        <w:contextualSpacing/>
        <w:rPr>
          <w:color w:val="auto"/>
        </w:rPr>
      </w:pPr>
    </w:p>
    <w:p w14:paraId="4717A1A4" w14:textId="1CE13A7E" w:rsidR="00B83462" w:rsidRPr="00B2384D" w:rsidRDefault="00B83462" w:rsidP="00BE0A81">
      <w:pPr>
        <w:spacing w:after="0" w:line="360" w:lineRule="auto"/>
        <w:contextualSpacing/>
        <w:rPr>
          <w:rFonts w:eastAsia="Calibri" w:cs="Tahoma"/>
          <w:b/>
          <w:bCs/>
          <w:color w:val="auto"/>
        </w:rPr>
      </w:pPr>
      <w:r w:rsidRPr="00B2384D">
        <w:rPr>
          <w:rFonts w:eastAsia="Calibri" w:cs="Tahoma"/>
          <w:b/>
          <w:bCs/>
          <w:color w:val="auto"/>
        </w:rPr>
        <w:t>Términos de la Resolución para conocimiento del Particular.</w:t>
      </w:r>
    </w:p>
    <w:p w14:paraId="70A0EB8A" w14:textId="77777777" w:rsidR="00B83462" w:rsidRPr="00B2384D" w:rsidRDefault="00B83462" w:rsidP="00BE0A81">
      <w:pPr>
        <w:spacing w:after="0" w:line="360" w:lineRule="auto"/>
        <w:contextualSpacing/>
        <w:rPr>
          <w:rFonts w:eastAsia="Calibri" w:cs="Tahoma"/>
          <w:b/>
          <w:bCs/>
          <w:color w:val="FF0000"/>
        </w:rPr>
      </w:pPr>
    </w:p>
    <w:p w14:paraId="0887D5BD" w14:textId="4505FE17" w:rsidR="004C555D" w:rsidRPr="00B2384D" w:rsidRDefault="00B26046" w:rsidP="00BE0A81">
      <w:pPr>
        <w:spacing w:after="0" w:line="360" w:lineRule="auto"/>
        <w:contextualSpacing/>
        <w:rPr>
          <w:color w:val="auto"/>
        </w:rPr>
      </w:pPr>
      <w:r w:rsidRPr="00B2384D">
        <w:rPr>
          <w:rFonts w:eastAsia="Calibri" w:cs="Tahoma"/>
          <w:bCs/>
          <w:iCs/>
          <w:color w:val="auto"/>
        </w:rPr>
        <w:t xml:space="preserve">Se le hace del conocimiento a la Particular, que, en el presente caso, se le concede </w:t>
      </w:r>
      <w:r w:rsidR="00344366" w:rsidRPr="00B2384D">
        <w:rPr>
          <w:rFonts w:eastAsia="Calibri" w:cs="Tahoma"/>
          <w:bCs/>
          <w:iCs/>
          <w:color w:val="auto"/>
        </w:rPr>
        <w:t xml:space="preserve">parcialmente </w:t>
      </w:r>
      <w:r w:rsidRPr="00B2384D">
        <w:rPr>
          <w:rFonts w:eastAsia="Calibri" w:cs="Tahoma"/>
          <w:bCs/>
          <w:iCs/>
          <w:color w:val="auto"/>
        </w:rPr>
        <w:t xml:space="preserve">la razón, </w:t>
      </w:r>
      <w:r w:rsidR="004C555D" w:rsidRPr="00B2384D">
        <w:rPr>
          <w:color w:val="auto"/>
        </w:rPr>
        <w:t xml:space="preserve">pues si bien </w:t>
      </w:r>
      <w:r w:rsidR="00344366" w:rsidRPr="00B2384D">
        <w:rPr>
          <w:color w:val="auto"/>
        </w:rPr>
        <w:t xml:space="preserve">el Sujeto Obligado </w:t>
      </w:r>
      <w:r w:rsidR="00EF4713" w:rsidRPr="00B2384D">
        <w:rPr>
          <w:color w:val="auto"/>
        </w:rPr>
        <w:t xml:space="preserve">proporciono las conciliaciones de </w:t>
      </w:r>
      <w:r w:rsidR="00EF4713" w:rsidRPr="00B2384D">
        <w:rPr>
          <w:color w:val="auto"/>
        </w:rPr>
        <w:lastRenderedPageBreak/>
        <w:t xml:space="preserve">nómina de la temporalidad solicitada, las entrego en un formato incomprensible y en versión pública incorrecta, además </w:t>
      </w:r>
      <w:r w:rsidR="00344366" w:rsidRPr="00B2384D">
        <w:rPr>
          <w:color w:val="auto"/>
        </w:rPr>
        <w:t>omitió proporcionar la información solicitada correspondientes a la dispersión de nómina de su interés, al no realizar una búsqueda exhaustiva y razonable de lo peticionado, por lo que, deberá entregarle la información faltante.</w:t>
      </w:r>
    </w:p>
    <w:p w14:paraId="086D1EF4" w14:textId="77777777" w:rsidR="004C555D" w:rsidRPr="00B2384D" w:rsidRDefault="004C555D" w:rsidP="00BE0A81">
      <w:pPr>
        <w:spacing w:after="0" w:line="360" w:lineRule="auto"/>
        <w:contextualSpacing/>
        <w:rPr>
          <w:color w:val="auto"/>
        </w:rPr>
      </w:pPr>
    </w:p>
    <w:p w14:paraId="37AA73B2" w14:textId="77777777" w:rsidR="003905B1" w:rsidRPr="00B2384D" w:rsidRDefault="003905B1" w:rsidP="00BE0A81">
      <w:pPr>
        <w:spacing w:after="0" w:line="360" w:lineRule="auto"/>
        <w:rPr>
          <w:rFonts w:eastAsia="Calibri" w:cs="Tahoma"/>
          <w:bCs/>
          <w:iCs/>
          <w:color w:val="auto"/>
        </w:rPr>
      </w:pPr>
      <w:r w:rsidRPr="00B2384D">
        <w:rPr>
          <w:rFonts w:eastAsia="Calibri" w:cs="Tahoma"/>
          <w:bCs/>
          <w:iCs/>
          <w:color w:val="auto"/>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0432CE53" w14:textId="77777777" w:rsidR="00B83462" w:rsidRPr="00B2384D" w:rsidRDefault="00B83462" w:rsidP="00BE0A81">
      <w:pPr>
        <w:spacing w:after="0" w:line="360" w:lineRule="auto"/>
        <w:contextualSpacing/>
        <w:rPr>
          <w:rFonts w:eastAsia="Calibri"/>
          <w:color w:val="auto"/>
        </w:rPr>
      </w:pPr>
    </w:p>
    <w:p w14:paraId="2C21FA9B" w14:textId="77777777" w:rsidR="00B83462" w:rsidRPr="00B2384D" w:rsidRDefault="00B83462" w:rsidP="00BE0A81">
      <w:pPr>
        <w:spacing w:after="0" w:line="360" w:lineRule="auto"/>
        <w:contextualSpacing/>
        <w:rPr>
          <w:rFonts w:eastAsia="Calibri"/>
          <w:color w:val="auto"/>
        </w:rPr>
      </w:pPr>
      <w:r w:rsidRPr="00B2384D">
        <w:rPr>
          <w:rFonts w:eastAsia="Calibri"/>
          <w:color w:val="auto"/>
        </w:rPr>
        <w:t>Por lo expuesto y fundado, este Pleno:</w:t>
      </w:r>
    </w:p>
    <w:p w14:paraId="233FDE46" w14:textId="77777777" w:rsidR="00B26046" w:rsidRPr="00B2384D" w:rsidRDefault="00B26046" w:rsidP="00BE0A81">
      <w:pPr>
        <w:spacing w:after="0" w:line="360" w:lineRule="auto"/>
        <w:contextualSpacing/>
        <w:rPr>
          <w:rFonts w:eastAsia="Calibri"/>
          <w:b/>
          <w:bCs/>
          <w:color w:val="FF0000"/>
        </w:rPr>
      </w:pPr>
    </w:p>
    <w:p w14:paraId="0F7FC9DE" w14:textId="77777777" w:rsidR="00B83462" w:rsidRPr="00B2384D" w:rsidRDefault="00B83462" w:rsidP="00BE0A81">
      <w:pPr>
        <w:spacing w:after="0" w:line="360" w:lineRule="auto"/>
        <w:contextualSpacing/>
        <w:jc w:val="center"/>
        <w:rPr>
          <w:rFonts w:eastAsia="Calibri"/>
          <w:b/>
          <w:bCs/>
          <w:color w:val="auto"/>
        </w:rPr>
      </w:pPr>
      <w:r w:rsidRPr="00B2384D">
        <w:rPr>
          <w:rFonts w:eastAsia="Calibri"/>
          <w:b/>
          <w:bCs/>
          <w:color w:val="auto"/>
        </w:rPr>
        <w:t>R E S U E L V E</w:t>
      </w:r>
    </w:p>
    <w:p w14:paraId="346FF662" w14:textId="77777777" w:rsidR="00B83462" w:rsidRPr="00B2384D" w:rsidRDefault="00B83462" w:rsidP="00BE0A81">
      <w:pPr>
        <w:spacing w:after="0" w:line="360" w:lineRule="auto"/>
        <w:contextualSpacing/>
        <w:rPr>
          <w:rFonts w:eastAsia="Calibri"/>
          <w:color w:val="auto"/>
        </w:rPr>
      </w:pPr>
    </w:p>
    <w:p w14:paraId="571339C3" w14:textId="059022EB" w:rsidR="00B26046" w:rsidRPr="00B2384D" w:rsidRDefault="00B26046" w:rsidP="00BE0A81">
      <w:pPr>
        <w:spacing w:after="0" w:line="360" w:lineRule="auto"/>
        <w:rPr>
          <w:rFonts w:eastAsia="Calibri" w:cs="Times New Roman"/>
          <w:b/>
          <w:bCs/>
          <w:color w:val="FF0000"/>
          <w:lang w:eastAsia="es-ES"/>
        </w:rPr>
      </w:pPr>
      <w:r w:rsidRPr="00B2384D">
        <w:rPr>
          <w:rFonts w:eastAsia="Calibri" w:cs="Times New Roman"/>
          <w:b/>
          <w:bCs/>
          <w:color w:val="auto"/>
          <w:lang w:eastAsia="es-ES"/>
        </w:rPr>
        <w:t xml:space="preserve">PRIMERO. </w:t>
      </w:r>
      <w:r w:rsidRPr="00B2384D">
        <w:rPr>
          <w:rFonts w:eastAsia="Calibri" w:cs="Times New Roman"/>
          <w:color w:val="auto"/>
          <w:lang w:eastAsia="es-ES"/>
        </w:rPr>
        <w:t xml:space="preserve">Se </w:t>
      </w:r>
      <w:r w:rsidR="00344366" w:rsidRPr="00B2384D">
        <w:rPr>
          <w:rFonts w:eastAsia="Calibri" w:cs="Times New Roman"/>
          <w:b/>
          <w:bCs/>
          <w:color w:val="auto"/>
          <w:lang w:eastAsia="es-ES"/>
        </w:rPr>
        <w:t>MODIFI</w:t>
      </w:r>
      <w:r w:rsidRPr="00B2384D">
        <w:rPr>
          <w:rFonts w:eastAsia="Calibri" w:cs="Times New Roman"/>
          <w:b/>
          <w:bCs/>
          <w:color w:val="auto"/>
          <w:lang w:eastAsia="es-ES"/>
        </w:rPr>
        <w:t xml:space="preserve">CA </w:t>
      </w:r>
      <w:r w:rsidRPr="00B2384D">
        <w:rPr>
          <w:rFonts w:eastAsia="Calibri" w:cs="Times New Roman"/>
          <w:bCs/>
          <w:color w:val="auto"/>
          <w:lang w:eastAsia="es-ES"/>
        </w:rPr>
        <w:t>la</w:t>
      </w:r>
      <w:r w:rsidRPr="00B2384D">
        <w:rPr>
          <w:rFonts w:eastAsia="Calibri" w:cs="Times New Roman"/>
          <w:b/>
          <w:bCs/>
          <w:color w:val="auto"/>
          <w:lang w:eastAsia="es-ES"/>
        </w:rPr>
        <w:t xml:space="preserve"> </w:t>
      </w:r>
      <w:r w:rsidRPr="00B2384D">
        <w:rPr>
          <w:rFonts w:eastAsia="Calibri" w:cs="Times New Roman"/>
          <w:color w:val="auto"/>
          <w:lang w:eastAsia="es-ES"/>
        </w:rPr>
        <w:t>respuesta entregada por</w:t>
      </w:r>
      <w:r w:rsidR="00FA1A48" w:rsidRPr="00B2384D">
        <w:rPr>
          <w:rFonts w:eastAsia="Calibri" w:cs="Times New Roman"/>
          <w:color w:val="auto"/>
          <w:lang w:eastAsia="es-ES"/>
        </w:rPr>
        <w:t xml:space="preserve"> el Ayuntamiento de </w:t>
      </w:r>
      <w:r w:rsidR="00994DC8" w:rsidRPr="00B2384D">
        <w:rPr>
          <w:rFonts w:eastAsia="Calibri" w:cs="Times New Roman"/>
          <w:color w:val="auto"/>
          <w:lang w:eastAsia="es-ES"/>
        </w:rPr>
        <w:t>Naucalpan de Juárez</w:t>
      </w:r>
      <w:r w:rsidRPr="00B2384D">
        <w:rPr>
          <w:rFonts w:eastAsia="Calibri" w:cs="Tahoma"/>
          <w:color w:val="auto"/>
        </w:rPr>
        <w:t>,</w:t>
      </w:r>
      <w:r w:rsidRPr="00B2384D">
        <w:rPr>
          <w:rFonts w:eastAsia="Calibri" w:cs="Times New Roman"/>
          <w:color w:val="auto"/>
          <w:lang w:eastAsia="es-ES"/>
        </w:rPr>
        <w:t xml:space="preserve"> a la solicitud de información</w:t>
      </w:r>
      <w:r w:rsidRPr="00B2384D">
        <w:rPr>
          <w:rFonts w:eastAsia="Calibri" w:cs="Times New Roman"/>
          <w:b/>
          <w:bCs/>
          <w:color w:val="auto"/>
          <w:lang w:eastAsia="es-ES"/>
        </w:rPr>
        <w:t xml:space="preserve"> </w:t>
      </w:r>
      <w:r w:rsidR="00994DC8" w:rsidRPr="00B2384D">
        <w:rPr>
          <w:color w:val="auto"/>
        </w:rPr>
        <w:t>00713/NAUCALPA/IP/2024</w:t>
      </w:r>
      <w:r w:rsidRPr="00B2384D">
        <w:rPr>
          <w:color w:val="auto"/>
        </w:rPr>
        <w:t>,</w:t>
      </w:r>
      <w:r w:rsidRPr="00B2384D">
        <w:rPr>
          <w:rFonts w:eastAsia="Calibri" w:cs="Times New Roman"/>
          <w:color w:val="auto"/>
          <w:lang w:eastAsia="es-ES"/>
        </w:rPr>
        <w:t xml:space="preserve"> por resultar </w:t>
      </w:r>
      <w:r w:rsidRPr="00B2384D">
        <w:rPr>
          <w:rFonts w:eastAsia="Calibri" w:cs="Times New Roman"/>
          <w:b/>
          <w:bCs/>
          <w:color w:val="auto"/>
          <w:lang w:eastAsia="es-ES"/>
        </w:rPr>
        <w:t>FUNDADAS</w:t>
      </w:r>
      <w:r w:rsidRPr="00B2384D">
        <w:rPr>
          <w:rFonts w:eastAsia="Calibri" w:cs="Times New Roman"/>
          <w:color w:val="auto"/>
          <w:lang w:eastAsia="es-ES"/>
        </w:rPr>
        <w:t xml:space="preserve"> las razones o motivos de inconformidad hechos valer por el Recurrente, en términos de los considerandos QUINTO y SEXTO de la presente Resolución.</w:t>
      </w:r>
    </w:p>
    <w:p w14:paraId="179BD013" w14:textId="77777777" w:rsidR="00B26046" w:rsidRPr="00B2384D" w:rsidRDefault="00B26046" w:rsidP="00BE0A81">
      <w:pPr>
        <w:spacing w:after="0" w:line="360" w:lineRule="auto"/>
        <w:contextualSpacing/>
        <w:rPr>
          <w:rFonts w:eastAsia="Calibri"/>
          <w:color w:val="FF0000"/>
        </w:rPr>
      </w:pPr>
    </w:p>
    <w:p w14:paraId="0D1E42DC" w14:textId="77777777" w:rsidR="00FF60E3" w:rsidRPr="00B2384D" w:rsidRDefault="00B26046" w:rsidP="00BE0A81">
      <w:pPr>
        <w:spacing w:after="0" w:line="360" w:lineRule="auto"/>
        <w:contextualSpacing/>
        <w:rPr>
          <w:rFonts w:eastAsia="Times New Roman" w:cs="Tahoma"/>
          <w:bCs/>
          <w:iCs/>
          <w:color w:val="auto"/>
          <w:lang w:eastAsia="es-ES"/>
        </w:rPr>
      </w:pPr>
      <w:r w:rsidRPr="00B2384D">
        <w:rPr>
          <w:rFonts w:eastAsia="Times New Roman" w:cs="Tahoma"/>
          <w:b/>
          <w:bCs/>
          <w:color w:val="auto"/>
          <w:lang w:eastAsia="es-ES"/>
        </w:rPr>
        <w:t xml:space="preserve">SEGUNDO. </w:t>
      </w:r>
      <w:r w:rsidRPr="00B2384D">
        <w:rPr>
          <w:rFonts w:eastAsia="Times New Roman" w:cs="Tahoma"/>
          <w:color w:val="auto"/>
          <w:lang w:eastAsia="es-ES"/>
        </w:rPr>
        <w:t xml:space="preserve">Se </w:t>
      </w:r>
      <w:r w:rsidRPr="00B2384D">
        <w:rPr>
          <w:rFonts w:eastAsia="Times New Roman" w:cs="Tahoma"/>
          <w:b/>
          <w:color w:val="auto"/>
          <w:lang w:eastAsia="es-ES"/>
        </w:rPr>
        <w:t xml:space="preserve">ORDENA </w:t>
      </w:r>
      <w:r w:rsidRPr="00B2384D">
        <w:rPr>
          <w:rFonts w:eastAsia="Times New Roman" w:cs="Tahoma"/>
          <w:color w:val="auto"/>
          <w:lang w:eastAsia="es-ES"/>
        </w:rPr>
        <w:t xml:space="preserve">al Sujeto Obligado, a efecto de que previa búsqueda exhaustiva y razonable, en los archivos de las unidades administrativas competentes, entregue </w:t>
      </w:r>
      <w:r w:rsidRPr="00B2384D">
        <w:rPr>
          <w:rFonts w:eastAsia="Times New Roman" w:cs="Tahoma"/>
          <w:bCs/>
          <w:iCs/>
          <w:color w:val="auto"/>
          <w:lang w:eastAsia="es-ES"/>
        </w:rPr>
        <w:t xml:space="preserve">a través del Sistema de Acceso a la Información Mexiquense (SAIMEX), </w:t>
      </w:r>
      <w:r w:rsidR="00FF60E3" w:rsidRPr="00B2384D">
        <w:rPr>
          <w:rFonts w:eastAsia="Times New Roman" w:cs="Tahoma"/>
          <w:bCs/>
          <w:iCs/>
          <w:color w:val="auto"/>
          <w:lang w:eastAsia="es-ES"/>
        </w:rPr>
        <w:t>en versión pública, lo siguiente:</w:t>
      </w:r>
    </w:p>
    <w:p w14:paraId="65B83D29" w14:textId="77777777" w:rsidR="00994DC8" w:rsidRPr="00B2384D" w:rsidRDefault="00994DC8" w:rsidP="00BE0A81">
      <w:pPr>
        <w:spacing w:after="0" w:line="360" w:lineRule="auto"/>
        <w:contextualSpacing/>
        <w:rPr>
          <w:rFonts w:eastAsia="Times New Roman" w:cs="Tahoma"/>
          <w:bCs/>
          <w:iCs/>
          <w:color w:val="auto"/>
          <w:lang w:eastAsia="es-ES"/>
        </w:rPr>
      </w:pPr>
    </w:p>
    <w:p w14:paraId="1D06CC92" w14:textId="36CB6606" w:rsidR="00994DC8" w:rsidRPr="00B2384D" w:rsidRDefault="00994DC8" w:rsidP="00BE0A81">
      <w:pPr>
        <w:pStyle w:val="Prrafodelista"/>
        <w:numPr>
          <w:ilvl w:val="0"/>
          <w:numId w:val="31"/>
        </w:numPr>
        <w:spacing w:after="0" w:line="360" w:lineRule="auto"/>
        <w:rPr>
          <w:rFonts w:cs="Tahoma"/>
          <w:color w:val="auto"/>
        </w:rPr>
      </w:pPr>
      <w:r w:rsidRPr="00B2384D">
        <w:rPr>
          <w:rFonts w:cs="Tahoma"/>
          <w:color w:val="auto"/>
        </w:rPr>
        <w:t xml:space="preserve">Las </w:t>
      </w:r>
      <w:r w:rsidR="00BE0A81" w:rsidRPr="00B2384D">
        <w:rPr>
          <w:rFonts w:cs="Tahoma"/>
          <w:color w:val="auto"/>
        </w:rPr>
        <w:t>C</w:t>
      </w:r>
      <w:r w:rsidRPr="00B2384D">
        <w:rPr>
          <w:rFonts w:cs="Tahoma"/>
          <w:color w:val="auto"/>
        </w:rPr>
        <w:t xml:space="preserve">onciliaciones de </w:t>
      </w:r>
      <w:r w:rsidR="00BE0A81" w:rsidRPr="00B2384D">
        <w:rPr>
          <w:rFonts w:cs="Tahoma"/>
          <w:color w:val="auto"/>
        </w:rPr>
        <w:t>N</w:t>
      </w:r>
      <w:r w:rsidRPr="00B2384D">
        <w:rPr>
          <w:rFonts w:cs="Tahoma"/>
          <w:color w:val="auto"/>
        </w:rPr>
        <w:t>ómina remitidas en respuesta, en formato correcto</w:t>
      </w:r>
      <w:r w:rsidR="00BE0A81" w:rsidRPr="00B2384D">
        <w:rPr>
          <w:rFonts w:cs="Tahoma"/>
          <w:color w:val="auto"/>
        </w:rPr>
        <w:t>, y</w:t>
      </w:r>
    </w:p>
    <w:p w14:paraId="1C84E756" w14:textId="77777777" w:rsidR="00BE0A81" w:rsidRPr="00B2384D" w:rsidRDefault="00BE0A81" w:rsidP="00BE0A81">
      <w:pPr>
        <w:pStyle w:val="Prrafodelista"/>
        <w:spacing w:after="0" w:line="360" w:lineRule="auto"/>
        <w:ind w:left="786"/>
        <w:rPr>
          <w:rFonts w:cs="Tahoma"/>
          <w:color w:val="auto"/>
        </w:rPr>
      </w:pPr>
    </w:p>
    <w:p w14:paraId="28E2BFA7" w14:textId="0397E6EE" w:rsidR="00994DC8" w:rsidRPr="00B2384D" w:rsidRDefault="00994DC8" w:rsidP="00BE0A81">
      <w:pPr>
        <w:numPr>
          <w:ilvl w:val="0"/>
          <w:numId w:val="31"/>
        </w:numPr>
        <w:pBdr>
          <w:top w:val="nil"/>
          <w:left w:val="nil"/>
          <w:bottom w:val="nil"/>
          <w:right w:val="nil"/>
          <w:between w:val="nil"/>
        </w:pBdr>
        <w:tabs>
          <w:tab w:val="center" w:pos="4522"/>
        </w:tabs>
        <w:spacing w:after="0" w:line="360" w:lineRule="auto"/>
        <w:rPr>
          <w:color w:val="000000"/>
        </w:rPr>
      </w:pPr>
      <w:r w:rsidRPr="00B2384D">
        <w:rPr>
          <w:color w:val="000000"/>
        </w:rPr>
        <w:lastRenderedPageBreak/>
        <w:t xml:space="preserve">Los Comprobantes Bancarios de la Dispersión de </w:t>
      </w:r>
      <w:r w:rsidR="00BE0A81" w:rsidRPr="00B2384D">
        <w:rPr>
          <w:color w:val="000000"/>
        </w:rPr>
        <w:t>Nómina</w:t>
      </w:r>
      <w:r w:rsidRPr="00B2384D">
        <w:rPr>
          <w:color w:val="000000"/>
        </w:rPr>
        <w:t>, de la primera quincena de octubre</w:t>
      </w:r>
      <w:r w:rsidR="00BE0A81" w:rsidRPr="00B2384D">
        <w:rPr>
          <w:color w:val="000000"/>
        </w:rPr>
        <w:t xml:space="preserve"> a la segunda de </w:t>
      </w:r>
      <w:r w:rsidRPr="00B2384D">
        <w:rPr>
          <w:color w:val="000000"/>
        </w:rPr>
        <w:t>diciembre de dos mil veintiuno.</w:t>
      </w:r>
    </w:p>
    <w:p w14:paraId="558D15E1" w14:textId="77777777" w:rsidR="00BE0A81" w:rsidRPr="00B2384D" w:rsidRDefault="00BE0A81" w:rsidP="00BE0A81">
      <w:pPr>
        <w:spacing w:after="0" w:line="360" w:lineRule="auto"/>
        <w:rPr>
          <w:rFonts w:eastAsia="Palatino Linotype" w:cs="Palatino Linotype"/>
          <w:color w:val="000000"/>
          <w:lang w:eastAsia="es-MX"/>
        </w:rPr>
      </w:pPr>
    </w:p>
    <w:p w14:paraId="23D57701" w14:textId="7AC0E7E4" w:rsidR="00994DC8" w:rsidRPr="00B2384D" w:rsidRDefault="00994DC8" w:rsidP="00BE0A81">
      <w:pPr>
        <w:spacing w:after="0" w:line="360" w:lineRule="auto"/>
        <w:rPr>
          <w:rFonts w:eastAsia="Palatino Linotype" w:cs="Palatino Linotype"/>
          <w:color w:val="000000"/>
          <w:lang w:eastAsia="es-MX"/>
        </w:rPr>
      </w:pPr>
      <w:r w:rsidRPr="00B2384D">
        <w:rPr>
          <w:rFonts w:eastAsia="Palatino Linotype" w:cs="Palatino Linotype"/>
          <w:color w:val="000000"/>
          <w:lang w:eastAsia="es-MX"/>
        </w:rPr>
        <w:t>Además, deberá proporcionar el Acuerdo de Clasificación donde el Comité de Transparencia, confirme la eliminación de los datos o información clasificada, en la versión pública, en términos del Considerando QUINTO, de conformidad con los artículos 49, fracciones II y VIII, y 132, fracción II, de la Ley de Transparencia y Acceso a la Información Pública del Estado de México y Municipios.</w:t>
      </w:r>
    </w:p>
    <w:p w14:paraId="17E2C94D" w14:textId="77777777" w:rsidR="00B26046" w:rsidRPr="00B2384D" w:rsidRDefault="00B26046" w:rsidP="00BE0A81">
      <w:pPr>
        <w:tabs>
          <w:tab w:val="left" w:pos="4962"/>
        </w:tabs>
        <w:spacing w:after="0" w:line="360" w:lineRule="auto"/>
        <w:contextualSpacing/>
        <w:rPr>
          <w:rFonts w:eastAsia="Times New Roman" w:cs="Tahoma"/>
          <w:bCs/>
          <w:color w:val="FF0000"/>
          <w:lang w:eastAsia="es-ES"/>
        </w:rPr>
      </w:pPr>
    </w:p>
    <w:p w14:paraId="138C5CA5" w14:textId="3D2F19A0" w:rsidR="00B26046" w:rsidRPr="00B2384D" w:rsidRDefault="00B26046" w:rsidP="00BE0A81">
      <w:pPr>
        <w:spacing w:after="0" w:line="360" w:lineRule="auto"/>
        <w:contextualSpacing/>
        <w:rPr>
          <w:rFonts w:eastAsia="Calibri" w:cs="Tahoma"/>
          <w:bCs/>
          <w:iCs/>
          <w:color w:val="auto"/>
        </w:rPr>
      </w:pPr>
      <w:r w:rsidRPr="00B2384D">
        <w:rPr>
          <w:rFonts w:eastAsia="Calibri" w:cs="Tahoma"/>
          <w:b/>
          <w:bCs/>
          <w:iCs/>
          <w:color w:val="auto"/>
          <w:lang w:val="es-ES"/>
        </w:rPr>
        <w:t>TERCERO</w:t>
      </w:r>
      <w:r w:rsidRPr="00B2384D">
        <w:rPr>
          <w:rFonts w:eastAsia="Calibri" w:cs="Tahoma"/>
          <w:b/>
          <w:bCs/>
          <w:color w:val="auto"/>
        </w:rPr>
        <w:t xml:space="preserve">. </w:t>
      </w:r>
      <w:r w:rsidRPr="00B2384D">
        <w:rPr>
          <w:rFonts w:cs="Tahoma"/>
          <w:b/>
          <w:color w:val="auto"/>
        </w:rPr>
        <w:t>NOTIFÍQUESE</w:t>
      </w:r>
      <w:r w:rsidR="00994DC8" w:rsidRPr="00B2384D">
        <w:rPr>
          <w:rFonts w:cs="Tahoma"/>
          <w:b/>
          <w:color w:val="auto"/>
        </w:rPr>
        <w:t xml:space="preserve"> POR SAIMEX</w:t>
      </w:r>
      <w:r w:rsidRPr="00B2384D">
        <w:rPr>
          <w:rFonts w:cs="Tahoma"/>
          <w:b/>
          <w:color w:val="auto"/>
        </w:rPr>
        <w:t xml:space="preserve"> </w:t>
      </w:r>
      <w:r w:rsidRPr="00B2384D">
        <w:rPr>
          <w:rFonts w:cs="Tahoma"/>
          <w:bCs/>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ACADCA5" w14:textId="77777777" w:rsidR="00B26046" w:rsidRPr="00B2384D" w:rsidRDefault="00B26046" w:rsidP="00BE0A81">
      <w:pPr>
        <w:spacing w:after="0" w:line="360" w:lineRule="auto"/>
        <w:contextualSpacing/>
        <w:rPr>
          <w:rFonts w:eastAsia="Calibri" w:cs="Tahoma"/>
          <w:iCs/>
          <w:color w:val="auto"/>
        </w:rPr>
      </w:pPr>
    </w:p>
    <w:p w14:paraId="237F49FC" w14:textId="77777777" w:rsidR="00B26046" w:rsidRPr="00B2384D" w:rsidRDefault="00B26046" w:rsidP="00BE0A81">
      <w:pPr>
        <w:spacing w:after="0" w:line="360" w:lineRule="auto"/>
        <w:contextualSpacing/>
        <w:rPr>
          <w:rFonts w:eastAsia="Calibri" w:cs="Tahoma"/>
          <w:iCs/>
          <w:color w:val="auto"/>
        </w:rPr>
      </w:pPr>
      <w:r w:rsidRPr="00B2384D">
        <w:rPr>
          <w:rFonts w:eastAsia="Calibri" w:cs="Tahoma"/>
          <w:iCs/>
          <w:color w:val="auto"/>
        </w:rPr>
        <w:t>De conformidad con el artículo 198 de la de la materia, de considerarlo procedente, el Sujeto Obligado de manera fundada y motivada, podrá solicitar una ampliación de plazo para el cumplimiento de la presente Resolución.</w:t>
      </w:r>
    </w:p>
    <w:p w14:paraId="65460A2F" w14:textId="77777777" w:rsidR="00B26046" w:rsidRPr="00B2384D" w:rsidRDefault="00B26046" w:rsidP="00BE0A81">
      <w:pPr>
        <w:spacing w:after="0" w:line="360" w:lineRule="auto"/>
        <w:contextualSpacing/>
        <w:rPr>
          <w:rFonts w:eastAsia="Calibri" w:cs="Tahoma"/>
          <w:color w:val="auto"/>
          <w:lang w:eastAsia="es-MX"/>
        </w:rPr>
      </w:pPr>
    </w:p>
    <w:p w14:paraId="4B018B69" w14:textId="7ED757CD" w:rsidR="00B26046" w:rsidRPr="00B2384D" w:rsidRDefault="00B26046" w:rsidP="00BE0A81">
      <w:pPr>
        <w:spacing w:after="0" w:line="360" w:lineRule="auto"/>
        <w:contextualSpacing/>
        <w:rPr>
          <w:rFonts w:cs="Tahoma"/>
          <w:color w:val="auto"/>
        </w:rPr>
      </w:pPr>
      <w:r w:rsidRPr="00B2384D">
        <w:rPr>
          <w:rFonts w:eastAsia="Calibri" w:cs="Tahoma"/>
          <w:b/>
          <w:color w:val="auto"/>
          <w:lang w:eastAsia="es-MX"/>
        </w:rPr>
        <w:t>CUARTO</w:t>
      </w:r>
      <w:r w:rsidRPr="00B2384D">
        <w:rPr>
          <w:rFonts w:eastAsia="Calibri" w:cs="Tahoma"/>
          <w:b/>
          <w:bCs/>
          <w:color w:val="auto"/>
        </w:rPr>
        <w:t>.</w:t>
      </w:r>
      <w:r w:rsidRPr="00B2384D">
        <w:rPr>
          <w:rFonts w:eastAsia="Calibri" w:cs="Tahoma"/>
          <w:color w:val="auto"/>
          <w:lang w:eastAsia="es-MX"/>
        </w:rPr>
        <w:t xml:space="preserve"> </w:t>
      </w:r>
      <w:r w:rsidRPr="00B2384D">
        <w:rPr>
          <w:rFonts w:cs="Tahoma"/>
          <w:b/>
          <w:color w:val="auto"/>
        </w:rPr>
        <w:t>NOTIFÍQUESE</w:t>
      </w:r>
      <w:r w:rsidR="00994DC8" w:rsidRPr="00B2384D">
        <w:rPr>
          <w:rFonts w:cs="Tahoma"/>
          <w:b/>
          <w:color w:val="auto"/>
        </w:rPr>
        <w:t xml:space="preserve"> POR SAIMEX</w:t>
      </w:r>
      <w:r w:rsidRPr="00B2384D">
        <w:rPr>
          <w:rFonts w:cs="Tahoma"/>
          <w:color w:val="auto"/>
        </w:rPr>
        <w:t xml:space="preserve"> al Recurrente la presente Resolución, asimismo, se hace de su conocimiento que de conformidad con lo establecido en el artículo 196 de la </w:t>
      </w:r>
      <w:r w:rsidRPr="00B2384D">
        <w:rPr>
          <w:rFonts w:cs="Tahoma"/>
          <w:color w:val="auto"/>
        </w:rPr>
        <w:lastRenderedPageBreak/>
        <w:t>Ley de Transparencia y Acceso a la Información Pública del Estado de México y Municipios podrá promover el Juicio de Amparo en los términos de las leyes aplicables.</w:t>
      </w:r>
    </w:p>
    <w:p w14:paraId="726CEBED" w14:textId="77777777" w:rsidR="00164FFD" w:rsidRPr="00B2384D" w:rsidRDefault="00164FFD" w:rsidP="00BE0A81">
      <w:pPr>
        <w:spacing w:after="0" w:line="360" w:lineRule="auto"/>
        <w:contextualSpacing/>
        <w:rPr>
          <w:rFonts w:cs="Tahoma"/>
          <w:color w:val="auto"/>
        </w:rPr>
      </w:pPr>
    </w:p>
    <w:p w14:paraId="57A3DC55" w14:textId="30C68237" w:rsidR="00164FFD" w:rsidRPr="00B2384D" w:rsidRDefault="00164FFD" w:rsidP="00BE0A81">
      <w:pPr>
        <w:spacing w:after="0" w:line="360" w:lineRule="auto"/>
        <w:contextualSpacing/>
      </w:pPr>
      <w:r w:rsidRPr="00B2384D">
        <w:rPr>
          <w:b/>
        </w:rPr>
        <w:t>QUINTO.</w:t>
      </w:r>
      <w:r w:rsidRPr="00B2384D">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 de la presente Resolución.</w:t>
      </w:r>
    </w:p>
    <w:p w14:paraId="3AF2A43D" w14:textId="77777777" w:rsidR="00BE0A81" w:rsidRPr="00B2384D" w:rsidRDefault="00BE0A81" w:rsidP="00BE0A81">
      <w:pPr>
        <w:spacing w:after="0" w:line="360" w:lineRule="auto"/>
        <w:contextualSpacing/>
      </w:pPr>
    </w:p>
    <w:p w14:paraId="05A13CB2" w14:textId="349AD378" w:rsidR="00BE0A81" w:rsidRPr="00B2384D" w:rsidRDefault="00BE0A81" w:rsidP="00BE0A81">
      <w:pPr>
        <w:spacing w:after="0" w:line="360" w:lineRule="auto"/>
        <w:rPr>
          <w:rFonts w:eastAsia="Calibri" w:cs="Tahoma"/>
          <w:bCs/>
        </w:rPr>
      </w:pPr>
      <w:r w:rsidRPr="00B2384D">
        <w:rPr>
          <w:rFonts w:cs="Tahoma"/>
          <w:b/>
          <w:bCs/>
          <w:color w:val="auto"/>
        </w:rPr>
        <w:t xml:space="preserve">SEXTO. </w:t>
      </w:r>
      <w:r w:rsidRPr="00B2384D">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OCTAVO de la presente Resolución.</w:t>
      </w:r>
    </w:p>
    <w:p w14:paraId="2089872B" w14:textId="77777777" w:rsidR="00B26046" w:rsidRPr="00B2384D" w:rsidRDefault="00B26046" w:rsidP="00BE0A81">
      <w:pPr>
        <w:spacing w:after="0" w:line="360" w:lineRule="auto"/>
        <w:contextualSpacing/>
        <w:rPr>
          <w:rFonts w:eastAsia="Calibri" w:cs="Tahoma"/>
          <w:bCs/>
          <w:iCs/>
          <w:color w:val="FF0000"/>
        </w:rPr>
      </w:pPr>
    </w:p>
    <w:p w14:paraId="02BA05F5" w14:textId="0575601E" w:rsidR="00B83462" w:rsidRPr="00164FFD" w:rsidRDefault="00B83462" w:rsidP="00BE0A81">
      <w:pPr>
        <w:spacing w:after="0" w:line="360" w:lineRule="auto"/>
        <w:contextualSpacing/>
        <w:rPr>
          <w:rFonts w:eastAsia="Calibri"/>
          <w:color w:val="auto"/>
        </w:rPr>
      </w:pPr>
      <w:r w:rsidRPr="00B2384D">
        <w:rPr>
          <w:rFonts w:eastAsia="Calibri"/>
          <w:color w:val="auto"/>
        </w:rPr>
        <w:t xml:space="preserve">ASÍ LO RESUELVE, POR </w:t>
      </w:r>
      <w:r w:rsidRPr="00116F4F">
        <w:rPr>
          <w:rFonts w:eastAsia="Calibri"/>
          <w:b/>
          <w:color w:val="auto"/>
        </w:rPr>
        <w:t>UNANIMIDAD</w:t>
      </w:r>
      <w:r w:rsidRPr="00B2384D">
        <w:rPr>
          <w:rFonts w:eastAsia="Calibri"/>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64FFD" w:rsidRPr="00B2384D">
        <w:rPr>
          <w:rFonts w:eastAsia="Calibri"/>
          <w:color w:val="auto"/>
        </w:rPr>
        <w:t xml:space="preserve">CUADRAGÉSIMA SEGUNDA </w:t>
      </w:r>
      <w:r w:rsidRPr="00B2384D">
        <w:rPr>
          <w:rFonts w:eastAsia="Calibri"/>
          <w:color w:val="auto"/>
        </w:rPr>
        <w:t xml:space="preserve">SESIÓN ORDINARIA, CELEBRADA EL </w:t>
      </w:r>
      <w:r w:rsidR="00164FFD" w:rsidRPr="00B2384D">
        <w:rPr>
          <w:rFonts w:eastAsia="Calibri"/>
          <w:color w:val="auto"/>
        </w:rPr>
        <w:t>CUATRO DE DICIEMBRE</w:t>
      </w:r>
      <w:r w:rsidRPr="00B2384D">
        <w:rPr>
          <w:rFonts w:eastAsia="Calibri"/>
          <w:color w:val="auto"/>
        </w:rPr>
        <w:t xml:space="preserve"> DE DOS MIL VEINTI</w:t>
      </w:r>
      <w:r w:rsidR="00C73FBD" w:rsidRPr="00B2384D">
        <w:rPr>
          <w:rFonts w:eastAsia="Calibri"/>
          <w:color w:val="auto"/>
        </w:rPr>
        <w:t>CUATRO</w:t>
      </w:r>
      <w:r w:rsidRPr="00B2384D">
        <w:rPr>
          <w:rFonts w:eastAsia="Calibri"/>
          <w:color w:val="auto"/>
        </w:rPr>
        <w:t>, ANTE EL SECRETARIO TÉCNICO DEL PLENO, ALEXIS TAPIA RAMÍREZ.</w:t>
      </w:r>
    </w:p>
    <w:p w14:paraId="58A9197D" w14:textId="77777777" w:rsidR="00C73FBD" w:rsidRPr="00164FFD" w:rsidRDefault="00C73FBD" w:rsidP="00BE0A81">
      <w:pPr>
        <w:spacing w:after="0" w:line="360" w:lineRule="auto"/>
        <w:contextualSpacing/>
        <w:rPr>
          <w:rFonts w:eastAsia="Calibri"/>
          <w:color w:val="auto"/>
        </w:rPr>
      </w:pPr>
    </w:p>
    <w:p w14:paraId="4109A95F" w14:textId="77777777" w:rsidR="00C73FBD" w:rsidRPr="00E97E7B" w:rsidRDefault="00C73FBD" w:rsidP="00BE0A81">
      <w:pPr>
        <w:spacing w:after="0" w:line="360" w:lineRule="auto"/>
        <w:contextualSpacing/>
        <w:rPr>
          <w:rFonts w:eastAsia="Calibri"/>
          <w:color w:val="FF0000"/>
        </w:rPr>
      </w:pPr>
    </w:p>
    <w:p w14:paraId="40D55149" w14:textId="77777777" w:rsidR="00C73FBD" w:rsidRPr="00E97E7B" w:rsidRDefault="00C73FBD" w:rsidP="00BE0A81">
      <w:pPr>
        <w:spacing w:after="0" w:line="360" w:lineRule="auto"/>
        <w:contextualSpacing/>
        <w:rPr>
          <w:rFonts w:eastAsia="Calibri"/>
          <w:color w:val="FF0000"/>
        </w:rPr>
      </w:pPr>
    </w:p>
    <w:p w14:paraId="4B52B522" w14:textId="77777777" w:rsidR="00C73FBD" w:rsidRPr="00E97E7B" w:rsidRDefault="00C73FBD" w:rsidP="00BE0A81">
      <w:pPr>
        <w:spacing w:after="0" w:line="360" w:lineRule="auto"/>
        <w:contextualSpacing/>
        <w:rPr>
          <w:rFonts w:eastAsia="Calibri"/>
          <w:color w:val="FF0000"/>
        </w:rPr>
      </w:pPr>
    </w:p>
    <w:p w14:paraId="57C2FFBB" w14:textId="77777777" w:rsidR="00C73FBD" w:rsidRPr="00E97E7B" w:rsidRDefault="00C73FBD" w:rsidP="00BE0A81">
      <w:pPr>
        <w:spacing w:after="0" w:line="360" w:lineRule="auto"/>
        <w:contextualSpacing/>
        <w:rPr>
          <w:rFonts w:eastAsia="Calibri"/>
          <w:color w:val="FF0000"/>
        </w:rPr>
      </w:pPr>
    </w:p>
    <w:p w14:paraId="3F3BA6AE" w14:textId="77777777" w:rsidR="00F8068D" w:rsidRPr="00E97E7B" w:rsidRDefault="00F8068D" w:rsidP="00BE0A81">
      <w:pPr>
        <w:spacing w:after="0" w:line="360" w:lineRule="auto"/>
        <w:contextualSpacing/>
        <w:rPr>
          <w:rFonts w:eastAsia="Calibri"/>
          <w:color w:val="FF0000"/>
        </w:rPr>
      </w:pPr>
    </w:p>
    <w:p w14:paraId="47BBBF4B" w14:textId="77777777" w:rsidR="00F8068D" w:rsidRPr="00E97E7B" w:rsidRDefault="00F8068D" w:rsidP="00BE0A81">
      <w:pPr>
        <w:spacing w:after="0" w:line="360" w:lineRule="auto"/>
        <w:contextualSpacing/>
        <w:rPr>
          <w:rFonts w:eastAsia="Calibri"/>
          <w:color w:val="FF0000"/>
        </w:rPr>
      </w:pPr>
    </w:p>
    <w:sectPr w:rsidR="00F8068D" w:rsidRPr="00E97E7B" w:rsidSect="00A94D01">
      <w:headerReference w:type="even" r:id="rId18"/>
      <w:headerReference w:type="default" r:id="rId19"/>
      <w:footerReference w:type="even" r:id="rId20"/>
      <w:footerReference w:type="default" r:id="rId21"/>
      <w:headerReference w:type="first" r:id="rId22"/>
      <w:footerReference w:type="first" r:id="rId23"/>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3DB1" w14:textId="77777777" w:rsidR="006F34BB" w:rsidRDefault="006F34BB" w:rsidP="00DB3DC5">
      <w:pPr>
        <w:spacing w:after="0" w:line="240" w:lineRule="auto"/>
      </w:pPr>
      <w:r>
        <w:separator/>
      </w:r>
    </w:p>
  </w:endnote>
  <w:endnote w:type="continuationSeparator" w:id="0">
    <w:p w14:paraId="51E1A7C7" w14:textId="77777777" w:rsidR="006F34BB" w:rsidRDefault="006F34BB"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B63B37" w:rsidRDefault="00B63B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2AEB">
              <w:rPr>
                <w:b/>
                <w:bCs/>
                <w:noProof/>
              </w:rPr>
              <w:t>45</w:t>
            </w:r>
            <w:r>
              <w:rPr>
                <w:b/>
                <w:bCs/>
                <w:sz w:val="24"/>
                <w:szCs w:val="24"/>
              </w:rPr>
              <w:fldChar w:fldCharType="end"/>
            </w:r>
          </w:p>
        </w:sdtContent>
      </w:sdt>
    </w:sdtContent>
  </w:sdt>
  <w:p w14:paraId="68EED6E3" w14:textId="77777777" w:rsidR="00B63B37" w:rsidRDefault="00B63B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B63B37" w:rsidRDefault="00B63B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2AEB">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2AEB">
              <w:rPr>
                <w:b/>
                <w:bCs/>
                <w:noProof/>
              </w:rPr>
              <w:t>45</w:t>
            </w:r>
            <w:r>
              <w:rPr>
                <w:b/>
                <w:bCs/>
                <w:sz w:val="24"/>
                <w:szCs w:val="24"/>
              </w:rPr>
              <w:fldChar w:fldCharType="end"/>
            </w:r>
          </w:p>
        </w:sdtContent>
      </w:sdt>
    </w:sdtContent>
  </w:sdt>
  <w:p w14:paraId="5C9540ED" w14:textId="77777777" w:rsidR="00B63B37" w:rsidRDefault="00B63B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B63B37" w:rsidRDefault="00B63B3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2AE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2AEB">
              <w:rPr>
                <w:b/>
                <w:bCs/>
                <w:noProof/>
              </w:rPr>
              <w:t>45</w:t>
            </w:r>
            <w:r>
              <w:rPr>
                <w:b/>
                <w:bCs/>
                <w:sz w:val="24"/>
                <w:szCs w:val="24"/>
              </w:rPr>
              <w:fldChar w:fldCharType="end"/>
            </w:r>
          </w:p>
        </w:sdtContent>
      </w:sdt>
    </w:sdtContent>
  </w:sdt>
  <w:p w14:paraId="601C40B8" w14:textId="77777777" w:rsidR="00B63B37" w:rsidRDefault="00B63B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9453" w14:textId="77777777" w:rsidR="006F34BB" w:rsidRDefault="006F34BB" w:rsidP="00DB3DC5">
      <w:pPr>
        <w:spacing w:after="0" w:line="240" w:lineRule="auto"/>
      </w:pPr>
      <w:r>
        <w:separator/>
      </w:r>
    </w:p>
  </w:footnote>
  <w:footnote w:type="continuationSeparator" w:id="0">
    <w:p w14:paraId="70A7907C" w14:textId="77777777" w:rsidR="006F34BB" w:rsidRDefault="006F34BB"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63B37" w:rsidRPr="00E152D8" w14:paraId="04B090CA" w14:textId="77777777" w:rsidTr="00347876">
      <w:trPr>
        <w:trHeight w:val="132"/>
      </w:trPr>
      <w:tc>
        <w:tcPr>
          <w:tcW w:w="2691" w:type="dxa"/>
        </w:tcPr>
        <w:p w14:paraId="476D4D83" w14:textId="77777777" w:rsidR="00B63B37" w:rsidRPr="00E152D8" w:rsidRDefault="00B63B37"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B63B37" w:rsidRPr="00EE1572" w:rsidRDefault="00B63B37" w:rsidP="00347876">
          <w:pPr>
            <w:tabs>
              <w:tab w:val="right" w:pos="8838"/>
            </w:tabs>
            <w:ind w:left="-28" w:right="-32"/>
            <w:rPr>
              <w:rFonts w:eastAsia="Calibri" w:cs="Tahoma"/>
            </w:rPr>
          </w:pPr>
          <w:r w:rsidRPr="00EE1572">
            <w:rPr>
              <w:rFonts w:eastAsia="Calibri" w:cs="Tahoma"/>
            </w:rPr>
            <w:t>03846/INFOEM/IP/RR/2020</w:t>
          </w:r>
        </w:p>
      </w:tc>
    </w:tr>
    <w:tr w:rsidR="00B63B37" w:rsidRPr="00E152D8" w14:paraId="1A944E3B" w14:textId="77777777" w:rsidTr="00347876">
      <w:trPr>
        <w:trHeight w:val="261"/>
      </w:trPr>
      <w:tc>
        <w:tcPr>
          <w:tcW w:w="2691" w:type="dxa"/>
        </w:tcPr>
        <w:p w14:paraId="04AF3D79" w14:textId="77777777" w:rsidR="00B63B37" w:rsidRPr="00E152D8" w:rsidRDefault="00B63B3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B63B37" w:rsidRPr="00EE1572" w:rsidRDefault="00B63B37" w:rsidP="00347876">
          <w:pPr>
            <w:tabs>
              <w:tab w:val="right" w:pos="8838"/>
            </w:tabs>
            <w:ind w:right="-32"/>
            <w:rPr>
              <w:rFonts w:eastAsia="Calibri" w:cs="Tahoma"/>
              <w:lang w:val="es-MX"/>
            </w:rPr>
          </w:pPr>
          <w:r w:rsidRPr="00EE1572">
            <w:rPr>
              <w:rFonts w:eastAsia="Calibri" w:cs="Tahoma"/>
              <w:lang w:val="es-MX"/>
            </w:rPr>
            <w:t>Ayuntamiento de Temascalcingo</w:t>
          </w:r>
        </w:p>
      </w:tc>
    </w:tr>
    <w:tr w:rsidR="00B63B37" w:rsidRPr="00E152D8" w14:paraId="51F43EE6" w14:textId="77777777" w:rsidTr="00347876">
      <w:trPr>
        <w:trHeight w:val="261"/>
      </w:trPr>
      <w:tc>
        <w:tcPr>
          <w:tcW w:w="2691" w:type="dxa"/>
        </w:tcPr>
        <w:p w14:paraId="4689E914" w14:textId="77777777" w:rsidR="00B63B37" w:rsidRPr="00E152D8" w:rsidRDefault="00B63B37"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B63B37" w:rsidRPr="00E152D8" w:rsidRDefault="00B63B37"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B63B37" w:rsidRDefault="0000000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953"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402"/>
    </w:tblGrid>
    <w:tr w:rsidR="00B63B37" w:rsidRPr="00E152D8" w14:paraId="6AD70801" w14:textId="77777777" w:rsidTr="00E533C5">
      <w:trPr>
        <w:trHeight w:val="138"/>
      </w:trPr>
      <w:tc>
        <w:tcPr>
          <w:tcW w:w="2551" w:type="dxa"/>
          <w:vAlign w:val="center"/>
        </w:tcPr>
        <w:p w14:paraId="4714C583" w14:textId="77777777" w:rsidR="00B63B37" w:rsidRPr="00E152D8" w:rsidRDefault="00B63B37"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3402" w:type="dxa"/>
        </w:tcPr>
        <w:p w14:paraId="02EA1FEA" w14:textId="1EFE3E67" w:rsidR="00B63B37" w:rsidRPr="00051642" w:rsidRDefault="00B63B37" w:rsidP="006444F8">
          <w:pPr>
            <w:tabs>
              <w:tab w:val="right" w:pos="8838"/>
            </w:tabs>
            <w:ind w:left="-113" w:right="172"/>
            <w:rPr>
              <w:rFonts w:eastAsia="Calibri" w:cs="Tahoma"/>
            </w:rPr>
          </w:pPr>
          <w:r w:rsidRPr="006444F8">
            <w:rPr>
              <w:rFonts w:eastAsia="Calibri" w:cs="Tahoma"/>
              <w:lang w:val="es-MX"/>
            </w:rPr>
            <w:t>07101/INFOEM/IP/RR/2024</w:t>
          </w:r>
        </w:p>
      </w:tc>
    </w:tr>
    <w:tr w:rsidR="00B63B37" w:rsidRPr="00E152D8" w14:paraId="7FF5EABC" w14:textId="77777777" w:rsidTr="00E533C5">
      <w:trPr>
        <w:trHeight w:val="273"/>
      </w:trPr>
      <w:tc>
        <w:tcPr>
          <w:tcW w:w="2551" w:type="dxa"/>
        </w:tcPr>
        <w:p w14:paraId="565B10D1" w14:textId="77777777" w:rsidR="00B63B37" w:rsidRPr="00E152D8" w:rsidRDefault="00B63B3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2" w:type="dxa"/>
        </w:tcPr>
        <w:p w14:paraId="7EA0F578" w14:textId="289BC5A3" w:rsidR="00B63B37" w:rsidRPr="00051642" w:rsidRDefault="00B63B37" w:rsidP="006444F8">
          <w:pPr>
            <w:tabs>
              <w:tab w:val="right" w:pos="8838"/>
            </w:tabs>
            <w:ind w:left="-113" w:right="172"/>
            <w:rPr>
              <w:rFonts w:eastAsia="Calibri" w:cs="Tahoma"/>
              <w:lang w:val="es-MX"/>
            </w:rPr>
          </w:pPr>
          <w:r w:rsidRPr="00755F06">
            <w:rPr>
              <w:rFonts w:eastAsia="Calibri" w:cs="Tahoma"/>
              <w:lang w:val="es-MX"/>
            </w:rPr>
            <w:t xml:space="preserve">Ayuntamiento de </w:t>
          </w:r>
          <w:r>
            <w:rPr>
              <w:rFonts w:eastAsia="Calibri" w:cs="Tahoma"/>
              <w:lang w:val="es-MX"/>
            </w:rPr>
            <w:t>Naucalpan de Juárez</w:t>
          </w:r>
        </w:p>
      </w:tc>
    </w:tr>
    <w:tr w:rsidR="00B63B37" w:rsidRPr="00E152D8" w14:paraId="3156BE5F" w14:textId="77777777" w:rsidTr="00E533C5">
      <w:trPr>
        <w:trHeight w:val="273"/>
      </w:trPr>
      <w:tc>
        <w:tcPr>
          <w:tcW w:w="2551" w:type="dxa"/>
        </w:tcPr>
        <w:p w14:paraId="183B2F1A" w14:textId="77777777" w:rsidR="00B63B37" w:rsidRPr="00E152D8" w:rsidRDefault="00B63B37" w:rsidP="00347876">
          <w:pPr>
            <w:tabs>
              <w:tab w:val="right" w:pos="8838"/>
            </w:tabs>
            <w:ind w:right="-105"/>
            <w:rPr>
              <w:rFonts w:eastAsia="Calibri" w:cs="Tahoma"/>
              <w:b/>
              <w:lang w:val="es-MX"/>
            </w:rPr>
          </w:pPr>
          <w:r w:rsidRPr="00E152D8">
            <w:rPr>
              <w:rFonts w:eastAsia="Calibri" w:cs="Tahoma"/>
              <w:b/>
              <w:lang w:val="es-MX"/>
            </w:rPr>
            <w:t>Comisionado Ponente:</w:t>
          </w:r>
        </w:p>
      </w:tc>
      <w:tc>
        <w:tcPr>
          <w:tcW w:w="3402" w:type="dxa"/>
        </w:tcPr>
        <w:p w14:paraId="318AB537" w14:textId="77777777" w:rsidR="00B63B37" w:rsidRPr="00E152D8" w:rsidRDefault="00B63B37"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B63B37" w:rsidRDefault="0000000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67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119"/>
    </w:tblGrid>
    <w:tr w:rsidR="00B63B37" w:rsidRPr="00E152D8" w14:paraId="773597DE" w14:textId="77777777" w:rsidTr="000727FB">
      <w:trPr>
        <w:trHeight w:val="132"/>
      </w:trPr>
      <w:tc>
        <w:tcPr>
          <w:tcW w:w="2551" w:type="dxa"/>
        </w:tcPr>
        <w:p w14:paraId="4FCB3AA3" w14:textId="77777777" w:rsidR="00B63B37" w:rsidRPr="00E152D8" w:rsidRDefault="00B63B37" w:rsidP="00347876">
          <w:pPr>
            <w:tabs>
              <w:tab w:val="right" w:pos="8838"/>
            </w:tabs>
            <w:ind w:right="-105"/>
            <w:rPr>
              <w:rFonts w:eastAsia="Calibri" w:cs="Tahoma"/>
              <w:b/>
              <w:lang w:val="es-MX"/>
            </w:rPr>
          </w:pPr>
          <w:r w:rsidRPr="00E152D8">
            <w:rPr>
              <w:rFonts w:eastAsia="Calibri" w:cs="Tahoma"/>
              <w:b/>
              <w:lang w:val="es-MX"/>
            </w:rPr>
            <w:t>Recurso de Revisión:</w:t>
          </w:r>
        </w:p>
      </w:tc>
      <w:tc>
        <w:tcPr>
          <w:tcW w:w="3119" w:type="dxa"/>
        </w:tcPr>
        <w:p w14:paraId="42955DA0" w14:textId="14D73815" w:rsidR="00B63B37" w:rsidRPr="00051642" w:rsidRDefault="00B63B37" w:rsidP="00DF6528">
          <w:pPr>
            <w:tabs>
              <w:tab w:val="right" w:pos="8838"/>
            </w:tabs>
            <w:ind w:left="-113"/>
            <w:rPr>
              <w:rFonts w:eastAsia="Calibri" w:cs="Tahoma"/>
            </w:rPr>
          </w:pPr>
          <w:r w:rsidRPr="006444F8">
            <w:rPr>
              <w:rFonts w:eastAsia="Calibri" w:cs="Tahoma"/>
              <w:lang w:val="es-MX"/>
            </w:rPr>
            <w:t>07101/INFOEM/IP/RR/2024</w:t>
          </w:r>
        </w:p>
      </w:tc>
    </w:tr>
    <w:tr w:rsidR="00B63B37" w:rsidRPr="00E152D8" w14:paraId="202FB661" w14:textId="77777777" w:rsidTr="000727FB">
      <w:trPr>
        <w:trHeight w:val="132"/>
      </w:trPr>
      <w:tc>
        <w:tcPr>
          <w:tcW w:w="2551" w:type="dxa"/>
          <w:shd w:val="clear" w:color="auto" w:fill="auto"/>
        </w:tcPr>
        <w:p w14:paraId="5E100A32" w14:textId="22CECDDE" w:rsidR="00B63B37" w:rsidRPr="00E152D8" w:rsidRDefault="00B63B37" w:rsidP="00755F06">
          <w:pPr>
            <w:tabs>
              <w:tab w:val="left" w:pos="1875"/>
            </w:tabs>
            <w:ind w:right="-105"/>
            <w:rPr>
              <w:rFonts w:eastAsia="Calibri" w:cs="Tahoma"/>
              <w:b/>
              <w:lang w:val="es-MX"/>
            </w:rPr>
          </w:pPr>
          <w:r>
            <w:rPr>
              <w:rFonts w:eastAsia="Calibri" w:cs="Tahoma"/>
              <w:b/>
              <w:lang w:val="es-MX"/>
            </w:rPr>
            <w:t xml:space="preserve">Recurrente: </w:t>
          </w:r>
        </w:p>
      </w:tc>
      <w:tc>
        <w:tcPr>
          <w:tcW w:w="3119" w:type="dxa"/>
          <w:shd w:val="clear" w:color="auto" w:fill="auto"/>
        </w:tcPr>
        <w:p w14:paraId="28640565" w14:textId="16C2E03A" w:rsidR="00B63B37" w:rsidRPr="00E21446" w:rsidRDefault="00B63B37" w:rsidP="00DF6528">
          <w:pPr>
            <w:tabs>
              <w:tab w:val="right" w:pos="8838"/>
            </w:tabs>
            <w:ind w:left="-113" w:right="-32"/>
            <w:rPr>
              <w:rFonts w:eastAsia="Calibri" w:cs="Tahoma"/>
              <w:lang w:val="es-MX"/>
            </w:rPr>
          </w:pPr>
          <w:r>
            <w:rPr>
              <w:rFonts w:ascii="Arial" w:hAnsi="Arial" w:cs="Arial"/>
              <w:b/>
              <w:bCs/>
              <w:color w:val="333333"/>
              <w:sz w:val="15"/>
              <w:szCs w:val="15"/>
              <w:shd w:val="clear" w:color="auto" w:fill="F7F7F8"/>
            </w:rPr>
            <w:t> </w:t>
          </w:r>
          <w:r w:rsidR="0043041C" w:rsidRPr="0043041C">
            <w:rPr>
              <w:rFonts w:eastAsia="Calibri" w:cs="Tahoma"/>
              <w:highlight w:val="black"/>
              <w:lang w:val="es-MX"/>
            </w:rPr>
            <w:t>XXXXXXXXXXXXXX</w:t>
          </w:r>
          <w:r>
            <w:rPr>
              <w:rFonts w:ascii="Arial" w:hAnsi="Arial" w:cs="Arial"/>
              <w:b/>
              <w:bCs/>
              <w:color w:val="FF0000"/>
              <w:sz w:val="15"/>
              <w:szCs w:val="15"/>
              <w:shd w:val="clear" w:color="auto" w:fill="F7F7F8"/>
            </w:rPr>
            <w:t> </w:t>
          </w:r>
        </w:p>
      </w:tc>
    </w:tr>
    <w:tr w:rsidR="00B63B37" w:rsidRPr="00E152D8" w14:paraId="1BA9B09B" w14:textId="77777777" w:rsidTr="000727FB">
      <w:trPr>
        <w:trHeight w:val="261"/>
      </w:trPr>
      <w:tc>
        <w:tcPr>
          <w:tcW w:w="2551" w:type="dxa"/>
        </w:tcPr>
        <w:p w14:paraId="6174740A" w14:textId="77777777" w:rsidR="00B63B37" w:rsidRPr="00E152D8" w:rsidRDefault="00B63B37"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119" w:type="dxa"/>
        </w:tcPr>
        <w:p w14:paraId="4B948471" w14:textId="1CDD5295" w:rsidR="00B63B37" w:rsidRPr="00051642" w:rsidRDefault="00B63B37" w:rsidP="00DF6528">
          <w:pPr>
            <w:tabs>
              <w:tab w:val="right" w:pos="8838"/>
            </w:tabs>
            <w:ind w:left="-113" w:right="-32"/>
            <w:rPr>
              <w:rFonts w:eastAsia="Calibri" w:cs="Tahoma"/>
              <w:lang w:val="es-MX"/>
            </w:rPr>
          </w:pPr>
          <w:r w:rsidRPr="00755F06">
            <w:rPr>
              <w:rFonts w:eastAsia="Calibri" w:cs="Tahoma"/>
              <w:lang w:val="es-MX"/>
            </w:rPr>
            <w:t xml:space="preserve">Ayuntamiento de </w:t>
          </w:r>
          <w:r>
            <w:rPr>
              <w:rFonts w:eastAsia="Calibri" w:cs="Tahoma"/>
              <w:lang w:val="es-MX"/>
            </w:rPr>
            <w:t>Naucalpan de Juárez</w:t>
          </w:r>
        </w:p>
      </w:tc>
    </w:tr>
    <w:tr w:rsidR="00B63B37" w:rsidRPr="00E152D8" w14:paraId="3F18AACD" w14:textId="77777777" w:rsidTr="000727FB">
      <w:trPr>
        <w:trHeight w:val="261"/>
      </w:trPr>
      <w:tc>
        <w:tcPr>
          <w:tcW w:w="2551" w:type="dxa"/>
        </w:tcPr>
        <w:p w14:paraId="57E8DDB5" w14:textId="77777777" w:rsidR="00B63B37" w:rsidRPr="00E152D8" w:rsidRDefault="00B63B37" w:rsidP="00347876">
          <w:pPr>
            <w:tabs>
              <w:tab w:val="right" w:pos="8838"/>
            </w:tabs>
            <w:ind w:right="-105"/>
            <w:rPr>
              <w:rFonts w:eastAsia="Calibri" w:cs="Tahoma"/>
              <w:b/>
              <w:lang w:val="es-MX"/>
            </w:rPr>
          </w:pPr>
          <w:r w:rsidRPr="00E152D8">
            <w:rPr>
              <w:rFonts w:eastAsia="Calibri" w:cs="Tahoma"/>
              <w:b/>
              <w:lang w:val="es-MX"/>
            </w:rPr>
            <w:t>Comisionado Ponente:</w:t>
          </w:r>
        </w:p>
      </w:tc>
      <w:tc>
        <w:tcPr>
          <w:tcW w:w="3119" w:type="dxa"/>
        </w:tcPr>
        <w:p w14:paraId="1B8E59D3" w14:textId="77777777" w:rsidR="00B63B37" w:rsidRPr="00E152D8" w:rsidRDefault="00B63B37" w:rsidP="00DF6528">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B63B37" w:rsidRDefault="0000000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435476"/>
    <w:multiLevelType w:val="hybridMultilevel"/>
    <w:tmpl w:val="92BEF976"/>
    <w:lvl w:ilvl="0" w:tplc="080A000F">
      <w:start w:val="1"/>
      <w:numFmt w:val="decimal"/>
      <w:lvlText w:val="%1."/>
      <w:lvlJc w:val="left"/>
      <w:pPr>
        <w:ind w:left="786"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E66A68"/>
    <w:multiLevelType w:val="hybridMultilevel"/>
    <w:tmpl w:val="AB289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B366C"/>
    <w:multiLevelType w:val="hybridMultilevel"/>
    <w:tmpl w:val="2160BC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38330E2"/>
    <w:multiLevelType w:val="multilevel"/>
    <w:tmpl w:val="29203FC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55045E1"/>
    <w:multiLevelType w:val="multilevel"/>
    <w:tmpl w:val="0DFE2D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D643AA"/>
    <w:multiLevelType w:val="hybridMultilevel"/>
    <w:tmpl w:val="322AD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5F7733"/>
    <w:multiLevelType w:val="hybridMultilevel"/>
    <w:tmpl w:val="9918B4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8C014A"/>
    <w:multiLevelType w:val="hybridMultilevel"/>
    <w:tmpl w:val="9918B4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D7909"/>
    <w:multiLevelType w:val="multilevel"/>
    <w:tmpl w:val="52D4FB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8E0124"/>
    <w:multiLevelType w:val="hybridMultilevel"/>
    <w:tmpl w:val="92BEF976"/>
    <w:lvl w:ilvl="0" w:tplc="080A000F">
      <w:start w:val="1"/>
      <w:numFmt w:val="decimal"/>
      <w:lvlText w:val="%1."/>
      <w:lvlJc w:val="left"/>
      <w:pPr>
        <w:ind w:left="786"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F00932"/>
    <w:multiLevelType w:val="multilevel"/>
    <w:tmpl w:val="E9642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D51750"/>
    <w:multiLevelType w:val="multilevel"/>
    <w:tmpl w:val="405685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9E17E9E"/>
    <w:multiLevelType w:val="hybridMultilevel"/>
    <w:tmpl w:val="DAA6B61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7E0BDB"/>
    <w:multiLevelType w:val="multilevel"/>
    <w:tmpl w:val="20B65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425C54"/>
    <w:multiLevelType w:val="hybridMultilevel"/>
    <w:tmpl w:val="DAA6B61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2A26EA"/>
    <w:multiLevelType w:val="hybridMultilevel"/>
    <w:tmpl w:val="57C464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B1C1E"/>
    <w:multiLevelType w:val="multilevel"/>
    <w:tmpl w:val="D6C28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361FF2"/>
    <w:multiLevelType w:val="multilevel"/>
    <w:tmpl w:val="7BF8492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6E3190D"/>
    <w:multiLevelType w:val="hybridMultilevel"/>
    <w:tmpl w:val="77CA2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677A0848"/>
    <w:multiLevelType w:val="multilevel"/>
    <w:tmpl w:val="C744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00310E"/>
    <w:multiLevelType w:val="multilevel"/>
    <w:tmpl w:val="41082B8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8361068"/>
    <w:multiLevelType w:val="multilevel"/>
    <w:tmpl w:val="3E8E37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C505DB5"/>
    <w:multiLevelType w:val="multilevel"/>
    <w:tmpl w:val="86722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172E8E"/>
    <w:multiLevelType w:val="multilevel"/>
    <w:tmpl w:val="951835B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07067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485086">
    <w:abstractNumId w:val="4"/>
  </w:num>
  <w:num w:numId="3" w16cid:durableId="1570581007">
    <w:abstractNumId w:val="9"/>
  </w:num>
  <w:num w:numId="4" w16cid:durableId="542864458">
    <w:abstractNumId w:val="5"/>
  </w:num>
  <w:num w:numId="5" w16cid:durableId="1780904789">
    <w:abstractNumId w:val="14"/>
  </w:num>
  <w:num w:numId="6" w16cid:durableId="298876551">
    <w:abstractNumId w:val="17"/>
  </w:num>
  <w:num w:numId="7" w16cid:durableId="472910283">
    <w:abstractNumId w:val="0"/>
  </w:num>
  <w:num w:numId="8" w16cid:durableId="831990223">
    <w:abstractNumId w:val="3"/>
  </w:num>
  <w:num w:numId="9" w16cid:durableId="1779520275">
    <w:abstractNumId w:val="11"/>
  </w:num>
  <w:num w:numId="10" w16cid:durableId="1905410800">
    <w:abstractNumId w:val="20"/>
  </w:num>
  <w:num w:numId="11" w16cid:durableId="1089157774">
    <w:abstractNumId w:val="29"/>
  </w:num>
  <w:num w:numId="12" w16cid:durableId="1926524186">
    <w:abstractNumId w:val="21"/>
  </w:num>
  <w:num w:numId="13" w16cid:durableId="2079747445">
    <w:abstractNumId w:val="6"/>
  </w:num>
  <w:num w:numId="14" w16cid:durableId="1794858525">
    <w:abstractNumId w:val="15"/>
  </w:num>
  <w:num w:numId="15" w16cid:durableId="2105152171">
    <w:abstractNumId w:val="26"/>
  </w:num>
  <w:num w:numId="16" w16cid:durableId="293559580">
    <w:abstractNumId w:val="12"/>
  </w:num>
  <w:num w:numId="17" w16cid:durableId="1981155090">
    <w:abstractNumId w:val="31"/>
  </w:num>
  <w:num w:numId="18" w16cid:durableId="799805737">
    <w:abstractNumId w:val="13"/>
  </w:num>
  <w:num w:numId="19" w16cid:durableId="1318653110">
    <w:abstractNumId w:val="16"/>
  </w:num>
  <w:num w:numId="20" w16cid:durableId="1213417713">
    <w:abstractNumId w:val="22"/>
  </w:num>
  <w:num w:numId="21" w16cid:durableId="1457984984">
    <w:abstractNumId w:val="19"/>
  </w:num>
  <w:num w:numId="22" w16cid:durableId="970868098">
    <w:abstractNumId w:val="7"/>
  </w:num>
  <w:num w:numId="23" w16cid:durableId="881671535">
    <w:abstractNumId w:val="27"/>
  </w:num>
  <w:num w:numId="24" w16cid:durableId="1896969166">
    <w:abstractNumId w:val="24"/>
  </w:num>
  <w:num w:numId="25" w16cid:durableId="610480074">
    <w:abstractNumId w:val="10"/>
  </w:num>
  <w:num w:numId="26" w16cid:durableId="1629317685">
    <w:abstractNumId w:val="1"/>
  </w:num>
  <w:num w:numId="27" w16cid:durableId="1693335373">
    <w:abstractNumId w:val="23"/>
  </w:num>
  <w:num w:numId="28" w16cid:durableId="581721353">
    <w:abstractNumId w:val="25"/>
  </w:num>
  <w:num w:numId="29" w16cid:durableId="742144230">
    <w:abstractNumId w:val="32"/>
  </w:num>
  <w:num w:numId="30" w16cid:durableId="48002061">
    <w:abstractNumId w:val="18"/>
  </w:num>
  <w:num w:numId="31" w16cid:durableId="709183830">
    <w:abstractNumId w:val="2"/>
  </w:num>
  <w:num w:numId="32" w16cid:durableId="860555614">
    <w:abstractNumId w:val="8"/>
  </w:num>
  <w:num w:numId="33" w16cid:durableId="39193229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2991"/>
    <w:rsid w:val="000045A6"/>
    <w:rsid w:val="00005F6D"/>
    <w:rsid w:val="000062D7"/>
    <w:rsid w:val="000064DB"/>
    <w:rsid w:val="000075C9"/>
    <w:rsid w:val="000113DB"/>
    <w:rsid w:val="0002606A"/>
    <w:rsid w:val="00026C9E"/>
    <w:rsid w:val="0003030F"/>
    <w:rsid w:val="0003316E"/>
    <w:rsid w:val="000535FC"/>
    <w:rsid w:val="00053BC6"/>
    <w:rsid w:val="0006352F"/>
    <w:rsid w:val="000636D8"/>
    <w:rsid w:val="000727FB"/>
    <w:rsid w:val="000762E4"/>
    <w:rsid w:val="00082CBB"/>
    <w:rsid w:val="0008599E"/>
    <w:rsid w:val="00087796"/>
    <w:rsid w:val="000912D6"/>
    <w:rsid w:val="00094494"/>
    <w:rsid w:val="00094584"/>
    <w:rsid w:val="00096E8E"/>
    <w:rsid w:val="00097646"/>
    <w:rsid w:val="000A0A70"/>
    <w:rsid w:val="000A2D13"/>
    <w:rsid w:val="000A7AE3"/>
    <w:rsid w:val="000B2239"/>
    <w:rsid w:val="000B434B"/>
    <w:rsid w:val="000C4CBC"/>
    <w:rsid w:val="000C68C3"/>
    <w:rsid w:val="000D054A"/>
    <w:rsid w:val="000D34A4"/>
    <w:rsid w:val="000E2C33"/>
    <w:rsid w:val="000E2EBE"/>
    <w:rsid w:val="000F2302"/>
    <w:rsid w:val="000F383F"/>
    <w:rsid w:val="000F49DD"/>
    <w:rsid w:val="000F5268"/>
    <w:rsid w:val="000F6673"/>
    <w:rsid w:val="000F6B63"/>
    <w:rsid w:val="000F74C0"/>
    <w:rsid w:val="00110D4D"/>
    <w:rsid w:val="00116F4F"/>
    <w:rsid w:val="00126108"/>
    <w:rsid w:val="001334D1"/>
    <w:rsid w:val="001375E3"/>
    <w:rsid w:val="00142C1D"/>
    <w:rsid w:val="0014339D"/>
    <w:rsid w:val="00143F46"/>
    <w:rsid w:val="001533AC"/>
    <w:rsid w:val="00153BC9"/>
    <w:rsid w:val="0015592B"/>
    <w:rsid w:val="00155A01"/>
    <w:rsid w:val="00156198"/>
    <w:rsid w:val="0016227C"/>
    <w:rsid w:val="00164F74"/>
    <w:rsid w:val="00164FFD"/>
    <w:rsid w:val="00175535"/>
    <w:rsid w:val="00180D7E"/>
    <w:rsid w:val="00184E86"/>
    <w:rsid w:val="00184EE7"/>
    <w:rsid w:val="001861F0"/>
    <w:rsid w:val="00190646"/>
    <w:rsid w:val="0019597A"/>
    <w:rsid w:val="001A2B03"/>
    <w:rsid w:val="001A789F"/>
    <w:rsid w:val="001C7AC2"/>
    <w:rsid w:val="001D0897"/>
    <w:rsid w:val="001D29FA"/>
    <w:rsid w:val="001D4306"/>
    <w:rsid w:val="001E3198"/>
    <w:rsid w:val="001E6DCA"/>
    <w:rsid w:val="001F3934"/>
    <w:rsid w:val="001F40FC"/>
    <w:rsid w:val="00201FE2"/>
    <w:rsid w:val="00204E01"/>
    <w:rsid w:val="002060BE"/>
    <w:rsid w:val="00210A3E"/>
    <w:rsid w:val="00217AD9"/>
    <w:rsid w:val="00220DF1"/>
    <w:rsid w:val="00225F5F"/>
    <w:rsid w:val="00230B6A"/>
    <w:rsid w:val="00230BC7"/>
    <w:rsid w:val="00230FC9"/>
    <w:rsid w:val="0023614C"/>
    <w:rsid w:val="0023757D"/>
    <w:rsid w:val="00245243"/>
    <w:rsid w:val="00246A82"/>
    <w:rsid w:val="00250655"/>
    <w:rsid w:val="00254457"/>
    <w:rsid w:val="002546C7"/>
    <w:rsid w:val="00254F36"/>
    <w:rsid w:val="00264675"/>
    <w:rsid w:val="00266431"/>
    <w:rsid w:val="002705C2"/>
    <w:rsid w:val="00275938"/>
    <w:rsid w:val="00296990"/>
    <w:rsid w:val="00296F30"/>
    <w:rsid w:val="00297795"/>
    <w:rsid w:val="00297A5A"/>
    <w:rsid w:val="002C19D9"/>
    <w:rsid w:val="002C3204"/>
    <w:rsid w:val="002D4A48"/>
    <w:rsid w:val="002D7A86"/>
    <w:rsid w:val="002E5C71"/>
    <w:rsid w:val="002F4DB6"/>
    <w:rsid w:val="00301D6E"/>
    <w:rsid w:val="003033E4"/>
    <w:rsid w:val="00304FFA"/>
    <w:rsid w:val="003063E1"/>
    <w:rsid w:val="00306825"/>
    <w:rsid w:val="00306EEB"/>
    <w:rsid w:val="00306FB6"/>
    <w:rsid w:val="00313596"/>
    <w:rsid w:val="003151E0"/>
    <w:rsid w:val="0031783A"/>
    <w:rsid w:val="003230D5"/>
    <w:rsid w:val="00327EE7"/>
    <w:rsid w:val="0033782D"/>
    <w:rsid w:val="00344366"/>
    <w:rsid w:val="00344A5C"/>
    <w:rsid w:val="00345BB5"/>
    <w:rsid w:val="003474B5"/>
    <w:rsid w:val="00347876"/>
    <w:rsid w:val="00350033"/>
    <w:rsid w:val="003551BF"/>
    <w:rsid w:val="00355EA5"/>
    <w:rsid w:val="003618C4"/>
    <w:rsid w:val="00363DED"/>
    <w:rsid w:val="00365137"/>
    <w:rsid w:val="00367017"/>
    <w:rsid w:val="0037444B"/>
    <w:rsid w:val="00383E1E"/>
    <w:rsid w:val="00387E7C"/>
    <w:rsid w:val="003905B1"/>
    <w:rsid w:val="00390BA0"/>
    <w:rsid w:val="0039359D"/>
    <w:rsid w:val="00395D53"/>
    <w:rsid w:val="003A123A"/>
    <w:rsid w:val="003A1565"/>
    <w:rsid w:val="003A1D21"/>
    <w:rsid w:val="003A6183"/>
    <w:rsid w:val="003B04E1"/>
    <w:rsid w:val="003B0523"/>
    <w:rsid w:val="003B3DC8"/>
    <w:rsid w:val="003B44AD"/>
    <w:rsid w:val="003B50C6"/>
    <w:rsid w:val="003B594A"/>
    <w:rsid w:val="003B7C65"/>
    <w:rsid w:val="003C09DC"/>
    <w:rsid w:val="003C6559"/>
    <w:rsid w:val="003D434E"/>
    <w:rsid w:val="003E083F"/>
    <w:rsid w:val="003F5EB5"/>
    <w:rsid w:val="003F63DA"/>
    <w:rsid w:val="00405661"/>
    <w:rsid w:val="00405F8B"/>
    <w:rsid w:val="0040737B"/>
    <w:rsid w:val="0041179F"/>
    <w:rsid w:val="00420FFA"/>
    <w:rsid w:val="00425911"/>
    <w:rsid w:val="0042774A"/>
    <w:rsid w:val="0043041C"/>
    <w:rsid w:val="004323FF"/>
    <w:rsid w:val="00440905"/>
    <w:rsid w:val="00444157"/>
    <w:rsid w:val="004500E2"/>
    <w:rsid w:val="00453224"/>
    <w:rsid w:val="00455382"/>
    <w:rsid w:val="00456B51"/>
    <w:rsid w:val="00460FFC"/>
    <w:rsid w:val="004610AE"/>
    <w:rsid w:val="00464197"/>
    <w:rsid w:val="004724CB"/>
    <w:rsid w:val="004776AB"/>
    <w:rsid w:val="0048246E"/>
    <w:rsid w:val="00482A6C"/>
    <w:rsid w:val="00486377"/>
    <w:rsid w:val="00487008"/>
    <w:rsid w:val="004908D0"/>
    <w:rsid w:val="0049737D"/>
    <w:rsid w:val="004A0134"/>
    <w:rsid w:val="004A4B8C"/>
    <w:rsid w:val="004A56A3"/>
    <w:rsid w:val="004A5AD5"/>
    <w:rsid w:val="004A6602"/>
    <w:rsid w:val="004B4B36"/>
    <w:rsid w:val="004C2349"/>
    <w:rsid w:val="004C3998"/>
    <w:rsid w:val="004C4DF6"/>
    <w:rsid w:val="004C555D"/>
    <w:rsid w:val="004D10D5"/>
    <w:rsid w:val="004D122A"/>
    <w:rsid w:val="004E5AB1"/>
    <w:rsid w:val="004F4499"/>
    <w:rsid w:val="0052544D"/>
    <w:rsid w:val="00527FFD"/>
    <w:rsid w:val="00530957"/>
    <w:rsid w:val="005329A0"/>
    <w:rsid w:val="00533D58"/>
    <w:rsid w:val="00536468"/>
    <w:rsid w:val="00536AB1"/>
    <w:rsid w:val="00546CA4"/>
    <w:rsid w:val="00571408"/>
    <w:rsid w:val="00571D06"/>
    <w:rsid w:val="005778FA"/>
    <w:rsid w:val="00587799"/>
    <w:rsid w:val="005A0FDE"/>
    <w:rsid w:val="005A1B93"/>
    <w:rsid w:val="005A6BEC"/>
    <w:rsid w:val="005A7DC1"/>
    <w:rsid w:val="005B3A44"/>
    <w:rsid w:val="005C2558"/>
    <w:rsid w:val="005C3FCC"/>
    <w:rsid w:val="005C6124"/>
    <w:rsid w:val="005D04FC"/>
    <w:rsid w:val="005D3045"/>
    <w:rsid w:val="005D5D95"/>
    <w:rsid w:val="005E1496"/>
    <w:rsid w:val="005E1955"/>
    <w:rsid w:val="0060538F"/>
    <w:rsid w:val="00606D94"/>
    <w:rsid w:val="00614E9A"/>
    <w:rsid w:val="006200AA"/>
    <w:rsid w:val="006204EC"/>
    <w:rsid w:val="00620D58"/>
    <w:rsid w:val="0062190B"/>
    <w:rsid w:val="0062331D"/>
    <w:rsid w:val="00626EED"/>
    <w:rsid w:val="00630C2B"/>
    <w:rsid w:val="00631440"/>
    <w:rsid w:val="00631CF5"/>
    <w:rsid w:val="00635123"/>
    <w:rsid w:val="006444F8"/>
    <w:rsid w:val="0064481A"/>
    <w:rsid w:val="00653139"/>
    <w:rsid w:val="0066170C"/>
    <w:rsid w:val="00663D05"/>
    <w:rsid w:val="00664565"/>
    <w:rsid w:val="006651F1"/>
    <w:rsid w:val="00673579"/>
    <w:rsid w:val="006760A0"/>
    <w:rsid w:val="006778B9"/>
    <w:rsid w:val="00680804"/>
    <w:rsid w:val="00683A64"/>
    <w:rsid w:val="00684121"/>
    <w:rsid w:val="006A0867"/>
    <w:rsid w:val="006A2044"/>
    <w:rsid w:val="006B2B10"/>
    <w:rsid w:val="006C3872"/>
    <w:rsid w:val="006E273F"/>
    <w:rsid w:val="006E6293"/>
    <w:rsid w:val="006E6AE7"/>
    <w:rsid w:val="006F34BB"/>
    <w:rsid w:val="006F474D"/>
    <w:rsid w:val="006F59C5"/>
    <w:rsid w:val="00713479"/>
    <w:rsid w:val="00713D41"/>
    <w:rsid w:val="007146FE"/>
    <w:rsid w:val="00716B83"/>
    <w:rsid w:val="0072312E"/>
    <w:rsid w:val="00727981"/>
    <w:rsid w:val="007309C0"/>
    <w:rsid w:val="007345FB"/>
    <w:rsid w:val="00735352"/>
    <w:rsid w:val="0073758B"/>
    <w:rsid w:val="007521D1"/>
    <w:rsid w:val="00755002"/>
    <w:rsid w:val="00755F06"/>
    <w:rsid w:val="00763706"/>
    <w:rsid w:val="007656E0"/>
    <w:rsid w:val="007714ED"/>
    <w:rsid w:val="00771B61"/>
    <w:rsid w:val="007833B4"/>
    <w:rsid w:val="00784C5C"/>
    <w:rsid w:val="00787967"/>
    <w:rsid w:val="0079326E"/>
    <w:rsid w:val="007960F0"/>
    <w:rsid w:val="007A3F49"/>
    <w:rsid w:val="007A62CC"/>
    <w:rsid w:val="007B701B"/>
    <w:rsid w:val="007C4338"/>
    <w:rsid w:val="007C698A"/>
    <w:rsid w:val="007D02BF"/>
    <w:rsid w:val="007D1412"/>
    <w:rsid w:val="007E0EC3"/>
    <w:rsid w:val="007E5CE5"/>
    <w:rsid w:val="007F0738"/>
    <w:rsid w:val="007F08B3"/>
    <w:rsid w:val="007F271C"/>
    <w:rsid w:val="008048A5"/>
    <w:rsid w:val="00812FC7"/>
    <w:rsid w:val="00814335"/>
    <w:rsid w:val="008163EC"/>
    <w:rsid w:val="00824AA5"/>
    <w:rsid w:val="00826165"/>
    <w:rsid w:val="00826AB0"/>
    <w:rsid w:val="00826E2F"/>
    <w:rsid w:val="0083710C"/>
    <w:rsid w:val="00846202"/>
    <w:rsid w:val="00853D6A"/>
    <w:rsid w:val="008633A2"/>
    <w:rsid w:val="00867D58"/>
    <w:rsid w:val="00876B0D"/>
    <w:rsid w:val="0088326C"/>
    <w:rsid w:val="0089704B"/>
    <w:rsid w:val="008A0ADA"/>
    <w:rsid w:val="008A1B2E"/>
    <w:rsid w:val="008A6648"/>
    <w:rsid w:val="008B00D6"/>
    <w:rsid w:val="008D5D57"/>
    <w:rsid w:val="008E777D"/>
    <w:rsid w:val="008F42E3"/>
    <w:rsid w:val="008F454C"/>
    <w:rsid w:val="008F7371"/>
    <w:rsid w:val="00901236"/>
    <w:rsid w:val="0090575C"/>
    <w:rsid w:val="00910E48"/>
    <w:rsid w:val="009132C7"/>
    <w:rsid w:val="00920C0F"/>
    <w:rsid w:val="00923292"/>
    <w:rsid w:val="009236DA"/>
    <w:rsid w:val="00930CD5"/>
    <w:rsid w:val="00937303"/>
    <w:rsid w:val="00941F81"/>
    <w:rsid w:val="00943C3D"/>
    <w:rsid w:val="009450E6"/>
    <w:rsid w:val="009524E1"/>
    <w:rsid w:val="00963C99"/>
    <w:rsid w:val="00963FF5"/>
    <w:rsid w:val="00975C68"/>
    <w:rsid w:val="00983629"/>
    <w:rsid w:val="00986D27"/>
    <w:rsid w:val="00993137"/>
    <w:rsid w:val="00994DC8"/>
    <w:rsid w:val="009A27B4"/>
    <w:rsid w:val="009A3161"/>
    <w:rsid w:val="009A38FD"/>
    <w:rsid w:val="009A396B"/>
    <w:rsid w:val="009A5A1F"/>
    <w:rsid w:val="009A7EBE"/>
    <w:rsid w:val="009B365B"/>
    <w:rsid w:val="009B67BD"/>
    <w:rsid w:val="009B72F0"/>
    <w:rsid w:val="009B7AA9"/>
    <w:rsid w:val="009C46A2"/>
    <w:rsid w:val="009C780D"/>
    <w:rsid w:val="009D2DDB"/>
    <w:rsid w:val="009E239D"/>
    <w:rsid w:val="009E32FC"/>
    <w:rsid w:val="009F13CF"/>
    <w:rsid w:val="00A14062"/>
    <w:rsid w:val="00A14D84"/>
    <w:rsid w:val="00A156D1"/>
    <w:rsid w:val="00A234A1"/>
    <w:rsid w:val="00A305C7"/>
    <w:rsid w:val="00A31BAD"/>
    <w:rsid w:val="00A35657"/>
    <w:rsid w:val="00A4013F"/>
    <w:rsid w:val="00A5086A"/>
    <w:rsid w:val="00A555FF"/>
    <w:rsid w:val="00A57F8A"/>
    <w:rsid w:val="00A61CF3"/>
    <w:rsid w:val="00A679EC"/>
    <w:rsid w:val="00A76765"/>
    <w:rsid w:val="00A76C56"/>
    <w:rsid w:val="00A825A6"/>
    <w:rsid w:val="00A82998"/>
    <w:rsid w:val="00A85565"/>
    <w:rsid w:val="00A87329"/>
    <w:rsid w:val="00A87DB7"/>
    <w:rsid w:val="00A92C2C"/>
    <w:rsid w:val="00A94D01"/>
    <w:rsid w:val="00AA76FB"/>
    <w:rsid w:val="00AB7C69"/>
    <w:rsid w:val="00AC1565"/>
    <w:rsid w:val="00AD5C19"/>
    <w:rsid w:val="00AE1F48"/>
    <w:rsid w:val="00B000C5"/>
    <w:rsid w:val="00B06616"/>
    <w:rsid w:val="00B12570"/>
    <w:rsid w:val="00B125F9"/>
    <w:rsid w:val="00B21167"/>
    <w:rsid w:val="00B2384D"/>
    <w:rsid w:val="00B26046"/>
    <w:rsid w:val="00B26215"/>
    <w:rsid w:val="00B34B00"/>
    <w:rsid w:val="00B414BC"/>
    <w:rsid w:val="00B46D2B"/>
    <w:rsid w:val="00B557DF"/>
    <w:rsid w:val="00B60D25"/>
    <w:rsid w:val="00B63B37"/>
    <w:rsid w:val="00B653EA"/>
    <w:rsid w:val="00B65995"/>
    <w:rsid w:val="00B678B6"/>
    <w:rsid w:val="00B73D3E"/>
    <w:rsid w:val="00B81AFA"/>
    <w:rsid w:val="00B8305A"/>
    <w:rsid w:val="00B83462"/>
    <w:rsid w:val="00B840A4"/>
    <w:rsid w:val="00B841F8"/>
    <w:rsid w:val="00B96D3A"/>
    <w:rsid w:val="00BA605B"/>
    <w:rsid w:val="00BB1EB1"/>
    <w:rsid w:val="00BB2EA6"/>
    <w:rsid w:val="00BB36D2"/>
    <w:rsid w:val="00BC5D43"/>
    <w:rsid w:val="00BD21DA"/>
    <w:rsid w:val="00BD340A"/>
    <w:rsid w:val="00BE0A81"/>
    <w:rsid w:val="00BF382A"/>
    <w:rsid w:val="00C06799"/>
    <w:rsid w:val="00C06948"/>
    <w:rsid w:val="00C14171"/>
    <w:rsid w:val="00C14C5B"/>
    <w:rsid w:val="00C1507E"/>
    <w:rsid w:val="00C152A0"/>
    <w:rsid w:val="00C17EBF"/>
    <w:rsid w:val="00C2308D"/>
    <w:rsid w:val="00C337E5"/>
    <w:rsid w:val="00C46EBE"/>
    <w:rsid w:val="00C47AF4"/>
    <w:rsid w:val="00C53C62"/>
    <w:rsid w:val="00C54015"/>
    <w:rsid w:val="00C56B80"/>
    <w:rsid w:val="00C576BD"/>
    <w:rsid w:val="00C64F0A"/>
    <w:rsid w:val="00C66273"/>
    <w:rsid w:val="00C72E64"/>
    <w:rsid w:val="00C73FA2"/>
    <w:rsid w:val="00C73FBD"/>
    <w:rsid w:val="00C84D08"/>
    <w:rsid w:val="00C8608C"/>
    <w:rsid w:val="00C90626"/>
    <w:rsid w:val="00C9677D"/>
    <w:rsid w:val="00C96BEF"/>
    <w:rsid w:val="00CA58B5"/>
    <w:rsid w:val="00CB2FA4"/>
    <w:rsid w:val="00CB38FF"/>
    <w:rsid w:val="00CD36DC"/>
    <w:rsid w:val="00CE0E35"/>
    <w:rsid w:val="00CE7148"/>
    <w:rsid w:val="00CE7297"/>
    <w:rsid w:val="00CF3946"/>
    <w:rsid w:val="00D0244F"/>
    <w:rsid w:val="00D07290"/>
    <w:rsid w:val="00D16843"/>
    <w:rsid w:val="00D20586"/>
    <w:rsid w:val="00D2099B"/>
    <w:rsid w:val="00D20CBA"/>
    <w:rsid w:val="00D34D1D"/>
    <w:rsid w:val="00D4098D"/>
    <w:rsid w:val="00D40A94"/>
    <w:rsid w:val="00D52A94"/>
    <w:rsid w:val="00D52DE8"/>
    <w:rsid w:val="00D5668E"/>
    <w:rsid w:val="00D6745C"/>
    <w:rsid w:val="00D74C1C"/>
    <w:rsid w:val="00D77576"/>
    <w:rsid w:val="00D85A1A"/>
    <w:rsid w:val="00D9090B"/>
    <w:rsid w:val="00D939DD"/>
    <w:rsid w:val="00D95C1D"/>
    <w:rsid w:val="00DA33F4"/>
    <w:rsid w:val="00DA4160"/>
    <w:rsid w:val="00DA4F49"/>
    <w:rsid w:val="00DB3DC5"/>
    <w:rsid w:val="00DC3EDC"/>
    <w:rsid w:val="00DC42DF"/>
    <w:rsid w:val="00DD3429"/>
    <w:rsid w:val="00DD6EB5"/>
    <w:rsid w:val="00DD73E7"/>
    <w:rsid w:val="00DE0C65"/>
    <w:rsid w:val="00DF1B85"/>
    <w:rsid w:val="00DF4490"/>
    <w:rsid w:val="00DF6528"/>
    <w:rsid w:val="00E05E5A"/>
    <w:rsid w:val="00E06035"/>
    <w:rsid w:val="00E063FC"/>
    <w:rsid w:val="00E20623"/>
    <w:rsid w:val="00E323EC"/>
    <w:rsid w:val="00E42230"/>
    <w:rsid w:val="00E4792C"/>
    <w:rsid w:val="00E533C5"/>
    <w:rsid w:val="00E62E4E"/>
    <w:rsid w:val="00E70867"/>
    <w:rsid w:val="00E7640F"/>
    <w:rsid w:val="00E85ED8"/>
    <w:rsid w:val="00E90FA5"/>
    <w:rsid w:val="00E91037"/>
    <w:rsid w:val="00E97E7B"/>
    <w:rsid w:val="00EA3D68"/>
    <w:rsid w:val="00EB5363"/>
    <w:rsid w:val="00EC2B54"/>
    <w:rsid w:val="00EC3182"/>
    <w:rsid w:val="00EC3334"/>
    <w:rsid w:val="00ED1AA7"/>
    <w:rsid w:val="00ED56C9"/>
    <w:rsid w:val="00EE0920"/>
    <w:rsid w:val="00EE6593"/>
    <w:rsid w:val="00EE7A2E"/>
    <w:rsid w:val="00EF06B1"/>
    <w:rsid w:val="00EF404F"/>
    <w:rsid w:val="00EF4713"/>
    <w:rsid w:val="00F00759"/>
    <w:rsid w:val="00F03257"/>
    <w:rsid w:val="00F063F0"/>
    <w:rsid w:val="00F11FC0"/>
    <w:rsid w:val="00F2050D"/>
    <w:rsid w:val="00F233A4"/>
    <w:rsid w:val="00F26F2D"/>
    <w:rsid w:val="00F27C86"/>
    <w:rsid w:val="00F3234B"/>
    <w:rsid w:val="00F32534"/>
    <w:rsid w:val="00F41AB1"/>
    <w:rsid w:val="00F42FCD"/>
    <w:rsid w:val="00F605A1"/>
    <w:rsid w:val="00F6609C"/>
    <w:rsid w:val="00F75544"/>
    <w:rsid w:val="00F7744C"/>
    <w:rsid w:val="00F8068D"/>
    <w:rsid w:val="00F84B87"/>
    <w:rsid w:val="00F87E5A"/>
    <w:rsid w:val="00F90C6E"/>
    <w:rsid w:val="00F92554"/>
    <w:rsid w:val="00F938F7"/>
    <w:rsid w:val="00F95937"/>
    <w:rsid w:val="00FA1A48"/>
    <w:rsid w:val="00FB27A0"/>
    <w:rsid w:val="00FB6AB3"/>
    <w:rsid w:val="00FB727E"/>
    <w:rsid w:val="00FC0743"/>
    <w:rsid w:val="00FC3D54"/>
    <w:rsid w:val="00FD02B8"/>
    <w:rsid w:val="00FE2A49"/>
    <w:rsid w:val="00FF2AEB"/>
    <w:rsid w:val="00FF3653"/>
    <w:rsid w:val="00FF36C9"/>
    <w:rsid w:val="00FF6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C8"/>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character" w:customStyle="1" w:styleId="normaltextrun">
    <w:name w:val="normaltextrun"/>
    <w:basedOn w:val="Fuentedeprrafopredeter"/>
    <w:rsid w:val="00B26215"/>
  </w:style>
  <w:style w:type="paragraph" w:customStyle="1" w:styleId="paragraph">
    <w:name w:val="paragraph"/>
    <w:basedOn w:val="Normal"/>
    <w:rsid w:val="00B2621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Mencinsinresolver2">
    <w:name w:val="Mención sin resolver2"/>
    <w:basedOn w:val="Fuentedeprrafopredeter"/>
    <w:uiPriority w:val="99"/>
    <w:semiHidden/>
    <w:unhideWhenUsed/>
    <w:rsid w:val="00846202"/>
    <w:rPr>
      <w:color w:val="605E5C"/>
      <w:shd w:val="clear" w:color="auto" w:fill="E1DFDD"/>
    </w:rPr>
  </w:style>
  <w:style w:type="character" w:customStyle="1" w:styleId="Mencinsinresolver3">
    <w:name w:val="Mención sin resolver3"/>
    <w:basedOn w:val="Fuentedeprrafopredeter"/>
    <w:uiPriority w:val="99"/>
    <w:semiHidden/>
    <w:unhideWhenUsed/>
    <w:rsid w:val="0094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574">
      <w:bodyDiv w:val="1"/>
      <w:marLeft w:val="0"/>
      <w:marRight w:val="0"/>
      <w:marTop w:val="0"/>
      <w:marBottom w:val="0"/>
      <w:divBdr>
        <w:top w:val="none" w:sz="0" w:space="0" w:color="auto"/>
        <w:left w:val="none" w:sz="0" w:space="0" w:color="auto"/>
        <w:bottom w:val="none" w:sz="0" w:space="0" w:color="auto"/>
        <w:right w:val="none" w:sz="0" w:space="0" w:color="auto"/>
      </w:divBdr>
    </w:div>
    <w:div w:id="50428766">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70605962">
      <w:bodyDiv w:val="1"/>
      <w:marLeft w:val="0"/>
      <w:marRight w:val="0"/>
      <w:marTop w:val="0"/>
      <w:marBottom w:val="0"/>
      <w:divBdr>
        <w:top w:val="none" w:sz="0" w:space="0" w:color="auto"/>
        <w:left w:val="none" w:sz="0" w:space="0" w:color="auto"/>
        <w:bottom w:val="none" w:sz="0" w:space="0" w:color="auto"/>
        <w:right w:val="none" w:sz="0" w:space="0" w:color="auto"/>
      </w:divBdr>
    </w:div>
    <w:div w:id="180825313">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81036664">
      <w:bodyDiv w:val="1"/>
      <w:marLeft w:val="0"/>
      <w:marRight w:val="0"/>
      <w:marTop w:val="0"/>
      <w:marBottom w:val="0"/>
      <w:divBdr>
        <w:top w:val="none" w:sz="0" w:space="0" w:color="auto"/>
        <w:left w:val="none" w:sz="0" w:space="0" w:color="auto"/>
        <w:bottom w:val="none" w:sz="0" w:space="0" w:color="auto"/>
        <w:right w:val="none" w:sz="0" w:space="0" w:color="auto"/>
      </w:divBdr>
    </w:div>
    <w:div w:id="282008320">
      <w:bodyDiv w:val="1"/>
      <w:marLeft w:val="0"/>
      <w:marRight w:val="0"/>
      <w:marTop w:val="0"/>
      <w:marBottom w:val="0"/>
      <w:divBdr>
        <w:top w:val="none" w:sz="0" w:space="0" w:color="auto"/>
        <w:left w:val="none" w:sz="0" w:space="0" w:color="auto"/>
        <w:bottom w:val="none" w:sz="0" w:space="0" w:color="auto"/>
        <w:right w:val="none" w:sz="0" w:space="0" w:color="auto"/>
      </w:divBdr>
    </w:div>
    <w:div w:id="384719214">
      <w:bodyDiv w:val="1"/>
      <w:marLeft w:val="0"/>
      <w:marRight w:val="0"/>
      <w:marTop w:val="0"/>
      <w:marBottom w:val="0"/>
      <w:divBdr>
        <w:top w:val="none" w:sz="0" w:space="0" w:color="auto"/>
        <w:left w:val="none" w:sz="0" w:space="0" w:color="auto"/>
        <w:bottom w:val="none" w:sz="0" w:space="0" w:color="auto"/>
        <w:right w:val="none" w:sz="0" w:space="0" w:color="auto"/>
      </w:divBdr>
    </w:div>
    <w:div w:id="392507263">
      <w:bodyDiv w:val="1"/>
      <w:marLeft w:val="0"/>
      <w:marRight w:val="0"/>
      <w:marTop w:val="0"/>
      <w:marBottom w:val="0"/>
      <w:divBdr>
        <w:top w:val="none" w:sz="0" w:space="0" w:color="auto"/>
        <w:left w:val="none" w:sz="0" w:space="0" w:color="auto"/>
        <w:bottom w:val="none" w:sz="0" w:space="0" w:color="auto"/>
        <w:right w:val="none" w:sz="0" w:space="0" w:color="auto"/>
      </w:divBdr>
    </w:div>
    <w:div w:id="400758234">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72262125">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89119121">
      <w:bodyDiv w:val="1"/>
      <w:marLeft w:val="0"/>
      <w:marRight w:val="0"/>
      <w:marTop w:val="0"/>
      <w:marBottom w:val="0"/>
      <w:divBdr>
        <w:top w:val="none" w:sz="0" w:space="0" w:color="auto"/>
        <w:left w:val="none" w:sz="0" w:space="0" w:color="auto"/>
        <w:bottom w:val="none" w:sz="0" w:space="0" w:color="auto"/>
        <w:right w:val="none" w:sz="0" w:space="0" w:color="auto"/>
      </w:divBdr>
    </w:div>
    <w:div w:id="622422411">
      <w:bodyDiv w:val="1"/>
      <w:marLeft w:val="0"/>
      <w:marRight w:val="0"/>
      <w:marTop w:val="0"/>
      <w:marBottom w:val="0"/>
      <w:divBdr>
        <w:top w:val="none" w:sz="0" w:space="0" w:color="auto"/>
        <w:left w:val="none" w:sz="0" w:space="0" w:color="auto"/>
        <w:bottom w:val="none" w:sz="0" w:space="0" w:color="auto"/>
        <w:right w:val="none" w:sz="0" w:space="0" w:color="auto"/>
      </w:divBdr>
    </w:div>
    <w:div w:id="626468108">
      <w:bodyDiv w:val="1"/>
      <w:marLeft w:val="0"/>
      <w:marRight w:val="0"/>
      <w:marTop w:val="0"/>
      <w:marBottom w:val="0"/>
      <w:divBdr>
        <w:top w:val="none" w:sz="0" w:space="0" w:color="auto"/>
        <w:left w:val="none" w:sz="0" w:space="0" w:color="auto"/>
        <w:bottom w:val="none" w:sz="0" w:space="0" w:color="auto"/>
        <w:right w:val="none" w:sz="0" w:space="0" w:color="auto"/>
      </w:divBdr>
    </w:div>
    <w:div w:id="655306470">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66771781">
      <w:bodyDiv w:val="1"/>
      <w:marLeft w:val="0"/>
      <w:marRight w:val="0"/>
      <w:marTop w:val="0"/>
      <w:marBottom w:val="0"/>
      <w:divBdr>
        <w:top w:val="none" w:sz="0" w:space="0" w:color="auto"/>
        <w:left w:val="none" w:sz="0" w:space="0" w:color="auto"/>
        <w:bottom w:val="none" w:sz="0" w:space="0" w:color="auto"/>
        <w:right w:val="none" w:sz="0" w:space="0" w:color="auto"/>
      </w:divBdr>
    </w:div>
    <w:div w:id="776175457">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20002509">
      <w:bodyDiv w:val="1"/>
      <w:marLeft w:val="0"/>
      <w:marRight w:val="0"/>
      <w:marTop w:val="0"/>
      <w:marBottom w:val="0"/>
      <w:divBdr>
        <w:top w:val="none" w:sz="0" w:space="0" w:color="auto"/>
        <w:left w:val="none" w:sz="0" w:space="0" w:color="auto"/>
        <w:bottom w:val="none" w:sz="0" w:space="0" w:color="auto"/>
        <w:right w:val="none" w:sz="0" w:space="0" w:color="auto"/>
      </w:divBdr>
    </w:div>
    <w:div w:id="909539382">
      <w:bodyDiv w:val="1"/>
      <w:marLeft w:val="0"/>
      <w:marRight w:val="0"/>
      <w:marTop w:val="0"/>
      <w:marBottom w:val="0"/>
      <w:divBdr>
        <w:top w:val="none" w:sz="0" w:space="0" w:color="auto"/>
        <w:left w:val="none" w:sz="0" w:space="0" w:color="auto"/>
        <w:bottom w:val="none" w:sz="0" w:space="0" w:color="auto"/>
        <w:right w:val="none" w:sz="0" w:space="0" w:color="auto"/>
      </w:divBdr>
    </w:div>
    <w:div w:id="913860447">
      <w:bodyDiv w:val="1"/>
      <w:marLeft w:val="0"/>
      <w:marRight w:val="0"/>
      <w:marTop w:val="0"/>
      <w:marBottom w:val="0"/>
      <w:divBdr>
        <w:top w:val="none" w:sz="0" w:space="0" w:color="auto"/>
        <w:left w:val="none" w:sz="0" w:space="0" w:color="auto"/>
        <w:bottom w:val="none" w:sz="0" w:space="0" w:color="auto"/>
        <w:right w:val="none" w:sz="0" w:space="0" w:color="auto"/>
      </w:divBdr>
    </w:div>
    <w:div w:id="946237040">
      <w:bodyDiv w:val="1"/>
      <w:marLeft w:val="0"/>
      <w:marRight w:val="0"/>
      <w:marTop w:val="0"/>
      <w:marBottom w:val="0"/>
      <w:divBdr>
        <w:top w:val="none" w:sz="0" w:space="0" w:color="auto"/>
        <w:left w:val="none" w:sz="0" w:space="0" w:color="auto"/>
        <w:bottom w:val="none" w:sz="0" w:space="0" w:color="auto"/>
        <w:right w:val="none" w:sz="0" w:space="0" w:color="auto"/>
      </w:divBdr>
    </w:div>
    <w:div w:id="977763860">
      <w:bodyDiv w:val="1"/>
      <w:marLeft w:val="0"/>
      <w:marRight w:val="0"/>
      <w:marTop w:val="0"/>
      <w:marBottom w:val="0"/>
      <w:divBdr>
        <w:top w:val="none" w:sz="0" w:space="0" w:color="auto"/>
        <w:left w:val="none" w:sz="0" w:space="0" w:color="auto"/>
        <w:bottom w:val="none" w:sz="0" w:space="0" w:color="auto"/>
        <w:right w:val="none" w:sz="0" w:space="0" w:color="auto"/>
      </w:divBdr>
    </w:div>
    <w:div w:id="1067341971">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173910294">
      <w:bodyDiv w:val="1"/>
      <w:marLeft w:val="0"/>
      <w:marRight w:val="0"/>
      <w:marTop w:val="0"/>
      <w:marBottom w:val="0"/>
      <w:divBdr>
        <w:top w:val="none" w:sz="0" w:space="0" w:color="auto"/>
        <w:left w:val="none" w:sz="0" w:space="0" w:color="auto"/>
        <w:bottom w:val="none" w:sz="0" w:space="0" w:color="auto"/>
        <w:right w:val="none" w:sz="0" w:space="0" w:color="auto"/>
      </w:divBdr>
    </w:div>
    <w:div w:id="117461422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261521702">
      <w:bodyDiv w:val="1"/>
      <w:marLeft w:val="0"/>
      <w:marRight w:val="0"/>
      <w:marTop w:val="0"/>
      <w:marBottom w:val="0"/>
      <w:divBdr>
        <w:top w:val="none" w:sz="0" w:space="0" w:color="auto"/>
        <w:left w:val="none" w:sz="0" w:space="0" w:color="auto"/>
        <w:bottom w:val="none" w:sz="0" w:space="0" w:color="auto"/>
        <w:right w:val="none" w:sz="0" w:space="0" w:color="auto"/>
      </w:divBdr>
    </w:div>
    <w:div w:id="1326782604">
      <w:bodyDiv w:val="1"/>
      <w:marLeft w:val="0"/>
      <w:marRight w:val="0"/>
      <w:marTop w:val="0"/>
      <w:marBottom w:val="0"/>
      <w:divBdr>
        <w:top w:val="none" w:sz="0" w:space="0" w:color="auto"/>
        <w:left w:val="none" w:sz="0" w:space="0" w:color="auto"/>
        <w:bottom w:val="none" w:sz="0" w:space="0" w:color="auto"/>
        <w:right w:val="none" w:sz="0" w:space="0" w:color="auto"/>
      </w:divBdr>
    </w:div>
    <w:div w:id="13645998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493521132">
      <w:bodyDiv w:val="1"/>
      <w:marLeft w:val="0"/>
      <w:marRight w:val="0"/>
      <w:marTop w:val="0"/>
      <w:marBottom w:val="0"/>
      <w:divBdr>
        <w:top w:val="none" w:sz="0" w:space="0" w:color="auto"/>
        <w:left w:val="none" w:sz="0" w:space="0" w:color="auto"/>
        <w:bottom w:val="none" w:sz="0" w:space="0" w:color="auto"/>
        <w:right w:val="none" w:sz="0" w:space="0" w:color="auto"/>
      </w:divBdr>
    </w:div>
    <w:div w:id="1612592963">
      <w:bodyDiv w:val="1"/>
      <w:marLeft w:val="0"/>
      <w:marRight w:val="0"/>
      <w:marTop w:val="0"/>
      <w:marBottom w:val="0"/>
      <w:divBdr>
        <w:top w:val="none" w:sz="0" w:space="0" w:color="auto"/>
        <w:left w:val="none" w:sz="0" w:space="0" w:color="auto"/>
        <w:bottom w:val="none" w:sz="0" w:space="0" w:color="auto"/>
        <w:right w:val="none" w:sz="0" w:space="0" w:color="auto"/>
      </w:divBdr>
    </w:div>
    <w:div w:id="1674259464">
      <w:bodyDiv w:val="1"/>
      <w:marLeft w:val="0"/>
      <w:marRight w:val="0"/>
      <w:marTop w:val="0"/>
      <w:marBottom w:val="0"/>
      <w:divBdr>
        <w:top w:val="none" w:sz="0" w:space="0" w:color="auto"/>
        <w:left w:val="none" w:sz="0" w:space="0" w:color="auto"/>
        <w:bottom w:val="none" w:sz="0" w:space="0" w:color="auto"/>
        <w:right w:val="none" w:sz="0" w:space="0" w:color="auto"/>
      </w:divBdr>
    </w:div>
    <w:div w:id="1676761752">
      <w:bodyDiv w:val="1"/>
      <w:marLeft w:val="0"/>
      <w:marRight w:val="0"/>
      <w:marTop w:val="0"/>
      <w:marBottom w:val="0"/>
      <w:divBdr>
        <w:top w:val="none" w:sz="0" w:space="0" w:color="auto"/>
        <w:left w:val="none" w:sz="0" w:space="0" w:color="auto"/>
        <w:bottom w:val="none" w:sz="0" w:space="0" w:color="auto"/>
        <w:right w:val="none" w:sz="0" w:space="0" w:color="auto"/>
      </w:divBdr>
    </w:div>
    <w:div w:id="1686438550">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60180243">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cretariadoejecutivo.gob.mx/work/models/SecretariadoEjecutivo/Resource/328/1/images/instructivo_final_edo_fuerza(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dusef.gob.mx/Revista/index.php/usuario-inteligente/condusef-responde/777-la-condusef-te-puede-ayudar"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partados.hacienda.gob.mx/contabilidad/documentos/informe_cuenta/1998/cuenta_publica/Glosario/n.htm" TargetMode="External"/><Relationship Id="rId14" Type="http://schemas.openxmlformats.org/officeDocument/2006/relationships/image" Target="media/image5.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0466E-6345-4A63-AF79-71F64DF3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11170</Words>
  <Characters>61436</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cp:lastPrinted>2024-12-05T20:46:00Z</cp:lastPrinted>
  <dcterms:created xsi:type="dcterms:W3CDTF">2024-12-11T02:00:00Z</dcterms:created>
  <dcterms:modified xsi:type="dcterms:W3CDTF">2024-12-11T02:00:00Z</dcterms:modified>
</cp:coreProperties>
</file>