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23831" w14:textId="3F5DEA4B" w:rsidR="00CB7846" w:rsidRPr="00B276C6" w:rsidRDefault="007C4530">
      <w:pPr>
        <w:spacing w:line="360" w:lineRule="auto"/>
        <w:jc w:val="both"/>
        <w:rPr>
          <w:rFonts w:ascii="Palatino Linotype" w:eastAsia="Palatino Linotype" w:hAnsi="Palatino Linotype" w:cs="Palatino Linotype"/>
          <w:color w:val="000000" w:themeColor="text1"/>
        </w:rPr>
      </w:pPr>
      <w:r w:rsidRPr="00B276C6">
        <w:rPr>
          <w:rFonts w:ascii="Palatino Linotype" w:eastAsia="Palatino Linotype" w:hAnsi="Palatino Linotype" w:cs="Palatino Linotype"/>
          <w:color w:val="000000" w:themeColor="text1"/>
        </w:rPr>
        <w:t xml:space="preserve">Resolución del Pleno del Instituto de Transparencia, Acceso a la Información Pública y Protección de Datos Personales del Estado de México y Municipios, con domicilio en Metepec, Estado de México; de fecha </w:t>
      </w:r>
      <w:r w:rsidR="005A7570">
        <w:rPr>
          <w:rFonts w:ascii="Palatino Linotype" w:eastAsia="Palatino Linotype" w:hAnsi="Palatino Linotype" w:cs="Palatino Linotype"/>
          <w:color w:val="000000" w:themeColor="text1"/>
        </w:rPr>
        <w:t xml:space="preserve">veintiuno (21) </w:t>
      </w:r>
      <w:r w:rsidR="00A260E8" w:rsidRPr="00B276C6">
        <w:rPr>
          <w:rFonts w:ascii="Palatino Linotype" w:eastAsia="Palatino Linotype" w:hAnsi="Palatino Linotype" w:cs="Palatino Linotype"/>
          <w:color w:val="000000" w:themeColor="text1"/>
        </w:rPr>
        <w:t xml:space="preserve">de noviembre </w:t>
      </w:r>
      <w:r w:rsidRPr="00B276C6">
        <w:rPr>
          <w:rFonts w:ascii="Palatino Linotype" w:eastAsia="Palatino Linotype" w:hAnsi="Palatino Linotype" w:cs="Palatino Linotype"/>
          <w:color w:val="000000" w:themeColor="text1"/>
        </w:rPr>
        <w:t>de dos mil veinticuatro.</w:t>
      </w:r>
    </w:p>
    <w:p w14:paraId="6FB2605A" w14:textId="77777777" w:rsidR="00CB7846" w:rsidRPr="00B276C6" w:rsidRDefault="00CB7846">
      <w:pPr>
        <w:spacing w:line="360" w:lineRule="auto"/>
        <w:jc w:val="both"/>
        <w:rPr>
          <w:rFonts w:ascii="Palatino Linotype" w:eastAsia="Palatino Linotype" w:hAnsi="Palatino Linotype" w:cs="Palatino Linotype"/>
          <w:color w:val="000000" w:themeColor="text1"/>
        </w:rPr>
      </w:pPr>
    </w:p>
    <w:p w14:paraId="29275183" w14:textId="2B65F4F7" w:rsidR="00CB7846" w:rsidRPr="00B276C6" w:rsidRDefault="007C4530">
      <w:pPr>
        <w:spacing w:line="360" w:lineRule="auto"/>
        <w:jc w:val="both"/>
        <w:rPr>
          <w:rFonts w:ascii="Palatino Linotype" w:eastAsia="Palatino Linotype" w:hAnsi="Palatino Linotype" w:cs="Palatino Linotype"/>
          <w:color w:val="000000" w:themeColor="text1"/>
        </w:rPr>
      </w:pPr>
      <w:r w:rsidRPr="00B276C6">
        <w:rPr>
          <w:rFonts w:ascii="Palatino Linotype" w:eastAsia="Palatino Linotype" w:hAnsi="Palatino Linotype" w:cs="Palatino Linotype"/>
          <w:b/>
          <w:color w:val="000000" w:themeColor="text1"/>
        </w:rPr>
        <w:t>VISTOS</w:t>
      </w:r>
      <w:r w:rsidRPr="00B276C6">
        <w:rPr>
          <w:rFonts w:ascii="Palatino Linotype" w:eastAsia="Palatino Linotype" w:hAnsi="Palatino Linotype" w:cs="Palatino Linotype"/>
          <w:color w:val="000000" w:themeColor="text1"/>
        </w:rPr>
        <w:t xml:space="preserve"> los expedientes electrónicos formados con motivo de los recursos de revisión </w:t>
      </w:r>
      <w:r w:rsidRPr="00B276C6">
        <w:rPr>
          <w:rFonts w:ascii="Palatino Linotype" w:eastAsia="Palatino Linotype" w:hAnsi="Palatino Linotype" w:cs="Palatino Linotype"/>
          <w:b/>
          <w:color w:val="000000" w:themeColor="text1"/>
        </w:rPr>
        <w:t>0</w:t>
      </w:r>
      <w:r w:rsidR="004128C1">
        <w:rPr>
          <w:rFonts w:ascii="Palatino Linotype" w:eastAsia="Palatino Linotype" w:hAnsi="Palatino Linotype" w:cs="Palatino Linotype"/>
          <w:b/>
          <w:color w:val="000000" w:themeColor="text1"/>
        </w:rPr>
        <w:t>4678</w:t>
      </w:r>
      <w:r w:rsidRPr="00B276C6">
        <w:rPr>
          <w:rFonts w:ascii="Palatino Linotype" w:eastAsia="Palatino Linotype" w:hAnsi="Palatino Linotype" w:cs="Palatino Linotype"/>
          <w:b/>
          <w:color w:val="000000" w:themeColor="text1"/>
        </w:rPr>
        <w:t>/INFOEM/IP/RR/2024</w:t>
      </w:r>
      <w:r w:rsidR="004128C1">
        <w:rPr>
          <w:rFonts w:ascii="Palatino Linotype" w:eastAsia="Palatino Linotype" w:hAnsi="Palatino Linotype" w:cs="Palatino Linotype"/>
          <w:b/>
          <w:color w:val="000000" w:themeColor="text1"/>
        </w:rPr>
        <w:t xml:space="preserve"> y </w:t>
      </w:r>
      <w:r w:rsidRPr="00B276C6">
        <w:rPr>
          <w:rFonts w:ascii="Palatino Linotype" w:eastAsia="Palatino Linotype" w:hAnsi="Palatino Linotype" w:cs="Palatino Linotype"/>
          <w:b/>
          <w:color w:val="000000" w:themeColor="text1"/>
        </w:rPr>
        <w:t>0</w:t>
      </w:r>
      <w:r w:rsidR="00A260E8" w:rsidRPr="00B276C6">
        <w:rPr>
          <w:rFonts w:ascii="Palatino Linotype" w:eastAsia="Palatino Linotype" w:hAnsi="Palatino Linotype" w:cs="Palatino Linotype"/>
          <w:b/>
          <w:color w:val="000000" w:themeColor="text1"/>
        </w:rPr>
        <w:t>4</w:t>
      </w:r>
      <w:r w:rsidR="004128C1">
        <w:rPr>
          <w:rFonts w:ascii="Palatino Linotype" w:eastAsia="Palatino Linotype" w:hAnsi="Palatino Linotype" w:cs="Palatino Linotype"/>
          <w:b/>
          <w:color w:val="000000" w:themeColor="text1"/>
        </w:rPr>
        <w:t>680</w:t>
      </w:r>
      <w:r w:rsidRPr="00B276C6">
        <w:rPr>
          <w:rFonts w:ascii="Palatino Linotype" w:eastAsia="Palatino Linotype" w:hAnsi="Palatino Linotype" w:cs="Palatino Linotype"/>
          <w:b/>
          <w:color w:val="000000" w:themeColor="text1"/>
        </w:rPr>
        <w:t xml:space="preserve">/INFOEM/IP/RR/2024, </w:t>
      </w:r>
      <w:r w:rsidRPr="00B276C6">
        <w:rPr>
          <w:rFonts w:ascii="Palatino Linotype" w:eastAsia="Palatino Linotype" w:hAnsi="Palatino Linotype" w:cs="Palatino Linotype"/>
          <w:color w:val="000000" w:themeColor="text1"/>
        </w:rPr>
        <w:t xml:space="preserve">promovidos por </w:t>
      </w:r>
      <w:r w:rsidR="00030DF8">
        <w:rPr>
          <w:rFonts w:ascii="Palatino Linotype" w:eastAsia="Palatino Linotype" w:hAnsi="Palatino Linotype" w:cs="Palatino Linotype"/>
          <w:color w:val="000000" w:themeColor="text1"/>
        </w:rPr>
        <w:t xml:space="preserve">XXX </w:t>
      </w:r>
      <w:proofErr w:type="spellStart"/>
      <w:proofErr w:type="gramStart"/>
      <w:r w:rsidR="00030DF8">
        <w:rPr>
          <w:rFonts w:ascii="Palatino Linotype" w:eastAsia="Palatino Linotype" w:hAnsi="Palatino Linotype" w:cs="Palatino Linotype"/>
          <w:color w:val="000000" w:themeColor="text1"/>
        </w:rPr>
        <w:t>XXX</w:t>
      </w:r>
      <w:proofErr w:type="spellEnd"/>
      <w:r w:rsidR="00030DF8">
        <w:rPr>
          <w:rFonts w:ascii="Palatino Linotype" w:eastAsia="Palatino Linotype" w:hAnsi="Palatino Linotype" w:cs="Palatino Linotype"/>
          <w:color w:val="000000" w:themeColor="text1"/>
        </w:rPr>
        <w:t xml:space="preserve">  BV</w:t>
      </w:r>
      <w:proofErr w:type="gramEnd"/>
      <w:r w:rsidR="00030DF8">
        <w:rPr>
          <w:rFonts w:ascii="Palatino Linotype" w:eastAsia="Palatino Linotype" w:hAnsi="Palatino Linotype" w:cs="Palatino Linotype"/>
          <w:color w:val="000000" w:themeColor="text1"/>
        </w:rPr>
        <w:t xml:space="preserve">       </w:t>
      </w:r>
      <w:r w:rsidR="004128C1">
        <w:rPr>
          <w:rFonts w:ascii="Palatino Linotype" w:eastAsia="Palatino Linotype" w:hAnsi="Palatino Linotype" w:cs="Palatino Linotype"/>
          <w:color w:val="000000" w:themeColor="text1"/>
        </w:rPr>
        <w:t xml:space="preserve">, </w:t>
      </w:r>
      <w:r w:rsidRPr="00B276C6">
        <w:rPr>
          <w:rFonts w:ascii="Palatino Linotype" w:eastAsia="Palatino Linotype" w:hAnsi="Palatino Linotype" w:cs="Palatino Linotype"/>
          <w:color w:val="000000" w:themeColor="text1"/>
        </w:rPr>
        <w:t>a través del</w:t>
      </w:r>
      <w:r w:rsidRPr="00B276C6">
        <w:rPr>
          <w:rFonts w:ascii="Palatino Linotype" w:eastAsia="Palatino Linotype" w:hAnsi="Palatino Linotype" w:cs="Palatino Linotype"/>
          <w:b/>
          <w:color w:val="000000" w:themeColor="text1"/>
        </w:rPr>
        <w:t xml:space="preserve"> Sistema de Acceso a la Información Mexiquense (SAIMEX),</w:t>
      </w:r>
      <w:r w:rsidRPr="00B276C6">
        <w:rPr>
          <w:rFonts w:ascii="Palatino Linotype" w:eastAsia="Palatino Linotype" w:hAnsi="Palatino Linotype" w:cs="Palatino Linotype"/>
          <w:color w:val="000000" w:themeColor="text1"/>
        </w:rPr>
        <w:t xml:space="preserve"> a quien en lo sucesivo se identificará como </w:t>
      </w:r>
      <w:r w:rsidRPr="00B276C6">
        <w:rPr>
          <w:rFonts w:ascii="Palatino Linotype" w:eastAsia="Palatino Linotype" w:hAnsi="Palatino Linotype" w:cs="Palatino Linotype"/>
          <w:b/>
          <w:color w:val="000000" w:themeColor="text1"/>
        </w:rPr>
        <w:t>EL RECURRENTE</w:t>
      </w:r>
      <w:r w:rsidRPr="00B276C6">
        <w:rPr>
          <w:rFonts w:ascii="Palatino Linotype" w:eastAsia="Palatino Linotype" w:hAnsi="Palatino Linotype" w:cs="Palatino Linotype"/>
          <w:color w:val="000000" w:themeColor="text1"/>
        </w:rPr>
        <w:t>, en contra de la respuesta de</w:t>
      </w:r>
      <w:r w:rsidR="005A7570">
        <w:rPr>
          <w:rFonts w:ascii="Palatino Linotype" w:eastAsia="Palatino Linotype" w:hAnsi="Palatino Linotype" w:cs="Palatino Linotype"/>
          <w:color w:val="000000" w:themeColor="text1"/>
        </w:rPr>
        <w:t xml:space="preserve"> la</w:t>
      </w:r>
      <w:r w:rsidRPr="00B276C6">
        <w:rPr>
          <w:rFonts w:ascii="Palatino Linotype" w:eastAsia="Palatino Linotype" w:hAnsi="Palatino Linotype" w:cs="Palatino Linotype"/>
          <w:color w:val="000000" w:themeColor="text1"/>
        </w:rPr>
        <w:t xml:space="preserve"> </w:t>
      </w:r>
      <w:r w:rsidR="007361D2">
        <w:rPr>
          <w:rFonts w:ascii="Palatino Linotype" w:eastAsia="Palatino Linotype" w:hAnsi="Palatino Linotype" w:cs="Palatino Linotype"/>
          <w:b/>
          <w:color w:val="000000" w:themeColor="text1"/>
        </w:rPr>
        <w:t>Secretaría de Seguridad</w:t>
      </w:r>
      <w:r w:rsidRPr="00B276C6">
        <w:rPr>
          <w:rFonts w:ascii="Palatino Linotype" w:eastAsia="Palatino Linotype" w:hAnsi="Palatino Linotype" w:cs="Palatino Linotype"/>
          <w:b/>
          <w:color w:val="000000" w:themeColor="text1"/>
        </w:rPr>
        <w:t xml:space="preserve">, </w:t>
      </w:r>
      <w:r w:rsidRPr="00B276C6">
        <w:rPr>
          <w:rFonts w:ascii="Palatino Linotype" w:eastAsia="Palatino Linotype" w:hAnsi="Palatino Linotype" w:cs="Palatino Linotype"/>
          <w:color w:val="000000" w:themeColor="text1"/>
        </w:rPr>
        <w:t>en adelante el</w:t>
      </w:r>
      <w:r w:rsidRPr="00B276C6">
        <w:rPr>
          <w:rFonts w:ascii="Palatino Linotype" w:eastAsia="Palatino Linotype" w:hAnsi="Palatino Linotype" w:cs="Palatino Linotype"/>
          <w:b/>
          <w:color w:val="000000" w:themeColor="text1"/>
        </w:rPr>
        <w:t xml:space="preserve"> SUJETO OBLIGADO</w:t>
      </w:r>
      <w:r w:rsidRPr="00B276C6">
        <w:rPr>
          <w:rFonts w:ascii="Palatino Linotype" w:eastAsia="Palatino Linotype" w:hAnsi="Palatino Linotype" w:cs="Palatino Linotype"/>
          <w:color w:val="000000" w:themeColor="text1"/>
        </w:rPr>
        <w:t>, por lo que se procede a dictar la presente resolución, con base en los siguientes:</w:t>
      </w:r>
    </w:p>
    <w:p w14:paraId="646EC8F5" w14:textId="77777777" w:rsidR="00A66124" w:rsidRPr="00B276C6" w:rsidRDefault="00A66124">
      <w:pPr>
        <w:spacing w:line="360" w:lineRule="auto"/>
        <w:jc w:val="both"/>
        <w:rPr>
          <w:rFonts w:ascii="Palatino Linotype" w:eastAsia="Palatino Linotype" w:hAnsi="Palatino Linotype" w:cs="Palatino Linotype"/>
          <w:color w:val="000000" w:themeColor="text1"/>
        </w:rPr>
      </w:pPr>
    </w:p>
    <w:p w14:paraId="09204BF4" w14:textId="77777777" w:rsidR="00CB7846" w:rsidRPr="00B276C6" w:rsidRDefault="007C4530">
      <w:pPr>
        <w:keepNext/>
        <w:keepLines/>
        <w:spacing w:line="360" w:lineRule="auto"/>
        <w:jc w:val="center"/>
        <w:rPr>
          <w:rFonts w:ascii="Palatino Linotype" w:eastAsia="Palatino Linotype" w:hAnsi="Palatino Linotype" w:cs="Palatino Linotype"/>
          <w:b/>
          <w:color w:val="000000" w:themeColor="text1"/>
        </w:rPr>
      </w:pPr>
      <w:bookmarkStart w:id="0" w:name="_heading=h.gjdgxs" w:colFirst="0" w:colLast="0"/>
      <w:bookmarkEnd w:id="0"/>
      <w:r w:rsidRPr="00B276C6">
        <w:rPr>
          <w:rFonts w:ascii="Palatino Linotype" w:eastAsia="Palatino Linotype" w:hAnsi="Palatino Linotype" w:cs="Palatino Linotype"/>
          <w:b/>
          <w:color w:val="000000" w:themeColor="text1"/>
        </w:rPr>
        <w:t>A N T E C E D E N T E S</w:t>
      </w:r>
    </w:p>
    <w:p w14:paraId="370E872A" w14:textId="77777777" w:rsidR="00CB7846" w:rsidRPr="00B276C6" w:rsidRDefault="00CB7846">
      <w:pPr>
        <w:spacing w:line="360" w:lineRule="auto"/>
        <w:rPr>
          <w:rFonts w:ascii="Palatino Linotype" w:eastAsia="Palatino Linotype" w:hAnsi="Palatino Linotype" w:cs="Palatino Linotype"/>
          <w:color w:val="000000" w:themeColor="text1"/>
        </w:rPr>
      </w:pPr>
    </w:p>
    <w:p w14:paraId="43642096" w14:textId="7BBAB7A2" w:rsidR="00CB7846" w:rsidRPr="00B276C6" w:rsidRDefault="007C4530" w:rsidP="00374B2B">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B276C6">
        <w:rPr>
          <w:rFonts w:ascii="Palatino Linotype" w:eastAsia="Palatino Linotype" w:hAnsi="Palatino Linotype" w:cs="Palatino Linotype"/>
          <w:color w:val="000000" w:themeColor="text1"/>
        </w:rPr>
        <w:t xml:space="preserve">El </w:t>
      </w:r>
      <w:r w:rsidR="00A66124" w:rsidRPr="00B276C6">
        <w:rPr>
          <w:rFonts w:ascii="Palatino Linotype" w:eastAsia="Palatino Linotype" w:hAnsi="Palatino Linotype" w:cs="Palatino Linotype"/>
          <w:b/>
          <w:color w:val="000000" w:themeColor="text1"/>
        </w:rPr>
        <w:t>dieci</w:t>
      </w:r>
      <w:r w:rsidR="00DD2315">
        <w:rPr>
          <w:rFonts w:ascii="Palatino Linotype" w:eastAsia="Palatino Linotype" w:hAnsi="Palatino Linotype" w:cs="Palatino Linotype"/>
          <w:b/>
          <w:color w:val="000000" w:themeColor="text1"/>
        </w:rPr>
        <w:t xml:space="preserve">siete de junio </w:t>
      </w:r>
      <w:r w:rsidR="00A66124" w:rsidRPr="00B276C6">
        <w:rPr>
          <w:rFonts w:ascii="Palatino Linotype" w:eastAsia="Palatino Linotype" w:hAnsi="Palatino Linotype" w:cs="Palatino Linotype"/>
          <w:b/>
          <w:color w:val="000000" w:themeColor="text1"/>
        </w:rPr>
        <w:t>de dos mil veinticuatro</w:t>
      </w:r>
      <w:r w:rsidRPr="00B276C6">
        <w:rPr>
          <w:rFonts w:ascii="Palatino Linotype" w:eastAsia="Palatino Linotype" w:hAnsi="Palatino Linotype" w:cs="Palatino Linotype"/>
          <w:color w:val="000000" w:themeColor="text1"/>
        </w:rPr>
        <w:t xml:space="preserve">, </w:t>
      </w:r>
      <w:r w:rsidRPr="00B276C6">
        <w:rPr>
          <w:rFonts w:ascii="Palatino Linotype" w:eastAsia="Palatino Linotype" w:hAnsi="Palatino Linotype" w:cs="Palatino Linotype"/>
          <w:b/>
          <w:color w:val="000000" w:themeColor="text1"/>
        </w:rPr>
        <w:t>EL RECURRENTE,</w:t>
      </w:r>
      <w:r w:rsidRPr="00B276C6">
        <w:rPr>
          <w:rFonts w:ascii="Palatino Linotype" w:eastAsia="Palatino Linotype" w:hAnsi="Palatino Linotype" w:cs="Palatino Linotype"/>
          <w:color w:val="000000" w:themeColor="text1"/>
        </w:rPr>
        <w:t xml:space="preserve"> ante el </w:t>
      </w:r>
      <w:r w:rsidRPr="00B276C6">
        <w:rPr>
          <w:rFonts w:ascii="Palatino Linotype" w:eastAsia="Palatino Linotype" w:hAnsi="Palatino Linotype" w:cs="Palatino Linotype"/>
          <w:b/>
          <w:color w:val="000000" w:themeColor="text1"/>
        </w:rPr>
        <w:t>SUJETO OBLIGADO</w:t>
      </w:r>
      <w:r w:rsidRPr="00B276C6">
        <w:rPr>
          <w:rFonts w:ascii="Palatino Linotype" w:eastAsia="Palatino Linotype" w:hAnsi="Palatino Linotype" w:cs="Palatino Linotype"/>
          <w:color w:val="000000" w:themeColor="text1"/>
        </w:rPr>
        <w:t xml:space="preserve"> vía Sistema de Acceso a la Información Mexiquense (</w:t>
      </w:r>
      <w:r w:rsidRPr="00B276C6">
        <w:rPr>
          <w:rFonts w:ascii="Palatino Linotype" w:eastAsia="Palatino Linotype" w:hAnsi="Palatino Linotype" w:cs="Palatino Linotype"/>
          <w:b/>
          <w:color w:val="000000" w:themeColor="text1"/>
        </w:rPr>
        <w:t>SAIMEX)</w:t>
      </w:r>
      <w:r w:rsidRPr="00B276C6">
        <w:rPr>
          <w:rFonts w:ascii="Palatino Linotype" w:eastAsia="Palatino Linotype" w:hAnsi="Palatino Linotype" w:cs="Palatino Linotype"/>
          <w:color w:val="000000" w:themeColor="text1"/>
        </w:rPr>
        <w:t xml:space="preserve">, presentó las solicitudes de información registradas con los números </w:t>
      </w:r>
      <w:r w:rsidRPr="00B276C6">
        <w:rPr>
          <w:rFonts w:ascii="Palatino Linotype" w:eastAsia="Palatino Linotype" w:hAnsi="Palatino Linotype" w:cs="Palatino Linotype"/>
          <w:b/>
          <w:color w:val="000000" w:themeColor="text1"/>
        </w:rPr>
        <w:t>0</w:t>
      </w:r>
      <w:r w:rsidR="008C6C67" w:rsidRPr="00B276C6">
        <w:rPr>
          <w:rFonts w:ascii="Palatino Linotype" w:eastAsia="Palatino Linotype" w:hAnsi="Palatino Linotype" w:cs="Palatino Linotype"/>
          <w:b/>
          <w:color w:val="000000" w:themeColor="text1"/>
        </w:rPr>
        <w:t>0</w:t>
      </w:r>
      <w:r w:rsidR="00714CF4">
        <w:rPr>
          <w:rFonts w:ascii="Palatino Linotype" w:eastAsia="Palatino Linotype" w:hAnsi="Palatino Linotype" w:cs="Palatino Linotype"/>
          <w:b/>
          <w:color w:val="000000" w:themeColor="text1"/>
        </w:rPr>
        <w:t>325</w:t>
      </w:r>
      <w:r w:rsidRPr="00B276C6">
        <w:rPr>
          <w:rFonts w:ascii="Palatino Linotype" w:eastAsia="Palatino Linotype" w:hAnsi="Palatino Linotype" w:cs="Palatino Linotype"/>
          <w:b/>
          <w:color w:val="000000" w:themeColor="text1"/>
        </w:rPr>
        <w:t>/</w:t>
      </w:r>
      <w:r w:rsidR="00714CF4">
        <w:rPr>
          <w:rFonts w:ascii="Palatino Linotype" w:eastAsia="Palatino Linotype" w:hAnsi="Palatino Linotype" w:cs="Palatino Linotype"/>
          <w:b/>
          <w:color w:val="000000" w:themeColor="text1"/>
        </w:rPr>
        <w:t>SSEM</w:t>
      </w:r>
      <w:r w:rsidRPr="00B276C6">
        <w:rPr>
          <w:rFonts w:ascii="Palatino Linotype" w:eastAsia="Palatino Linotype" w:hAnsi="Palatino Linotype" w:cs="Palatino Linotype"/>
          <w:b/>
          <w:color w:val="000000" w:themeColor="text1"/>
        </w:rPr>
        <w:t>/IP/2024</w:t>
      </w:r>
      <w:r w:rsidR="00714CF4">
        <w:rPr>
          <w:rFonts w:ascii="Palatino Linotype" w:eastAsia="Palatino Linotype" w:hAnsi="Palatino Linotype" w:cs="Palatino Linotype"/>
          <w:b/>
          <w:color w:val="000000" w:themeColor="text1"/>
        </w:rPr>
        <w:t xml:space="preserve"> </w:t>
      </w:r>
      <w:r w:rsidRPr="00B276C6">
        <w:rPr>
          <w:rFonts w:ascii="Palatino Linotype" w:eastAsia="Palatino Linotype" w:hAnsi="Palatino Linotype" w:cs="Palatino Linotype"/>
          <w:b/>
          <w:color w:val="000000" w:themeColor="text1"/>
        </w:rPr>
        <w:t xml:space="preserve">y </w:t>
      </w:r>
      <w:r w:rsidR="008C6C67" w:rsidRPr="00B276C6">
        <w:rPr>
          <w:rFonts w:ascii="Palatino Linotype" w:eastAsia="Palatino Linotype" w:hAnsi="Palatino Linotype" w:cs="Palatino Linotype"/>
          <w:b/>
          <w:color w:val="000000" w:themeColor="text1"/>
        </w:rPr>
        <w:t>00</w:t>
      </w:r>
      <w:r w:rsidR="00714CF4">
        <w:rPr>
          <w:rFonts w:ascii="Palatino Linotype" w:eastAsia="Palatino Linotype" w:hAnsi="Palatino Linotype" w:cs="Palatino Linotype"/>
          <w:b/>
          <w:color w:val="000000" w:themeColor="text1"/>
        </w:rPr>
        <w:t>324</w:t>
      </w:r>
      <w:r w:rsidRPr="00B276C6">
        <w:rPr>
          <w:rFonts w:ascii="Palatino Linotype" w:eastAsia="Palatino Linotype" w:hAnsi="Palatino Linotype" w:cs="Palatino Linotype"/>
          <w:b/>
          <w:color w:val="000000" w:themeColor="text1"/>
        </w:rPr>
        <w:t>/</w:t>
      </w:r>
      <w:r w:rsidR="00714CF4">
        <w:rPr>
          <w:rFonts w:ascii="Palatino Linotype" w:eastAsia="Palatino Linotype" w:hAnsi="Palatino Linotype" w:cs="Palatino Linotype"/>
          <w:b/>
          <w:color w:val="000000" w:themeColor="text1"/>
        </w:rPr>
        <w:t>SSEM</w:t>
      </w:r>
      <w:r w:rsidRPr="00B276C6">
        <w:rPr>
          <w:rFonts w:ascii="Palatino Linotype" w:eastAsia="Palatino Linotype" w:hAnsi="Palatino Linotype" w:cs="Palatino Linotype"/>
          <w:b/>
          <w:color w:val="000000" w:themeColor="text1"/>
        </w:rPr>
        <w:t>/IP/2024</w:t>
      </w:r>
      <w:r w:rsidRPr="00B276C6">
        <w:rPr>
          <w:rFonts w:ascii="Palatino Linotype" w:eastAsia="Palatino Linotype" w:hAnsi="Palatino Linotype" w:cs="Palatino Linotype"/>
          <w:color w:val="000000" w:themeColor="text1"/>
        </w:rPr>
        <w:t>,</w:t>
      </w:r>
      <w:r w:rsidRPr="00B276C6">
        <w:rPr>
          <w:rFonts w:ascii="Palatino Linotype" w:eastAsia="Palatino Linotype" w:hAnsi="Palatino Linotype" w:cs="Palatino Linotype"/>
          <w:b/>
          <w:color w:val="000000" w:themeColor="text1"/>
        </w:rPr>
        <w:t xml:space="preserve"> </w:t>
      </w:r>
      <w:r w:rsidRPr="00B276C6">
        <w:rPr>
          <w:rFonts w:ascii="Palatino Linotype" w:eastAsia="Palatino Linotype" w:hAnsi="Palatino Linotype" w:cs="Palatino Linotype"/>
          <w:color w:val="000000" w:themeColor="text1"/>
        </w:rPr>
        <w:t>en las que se solicitó lo siguiente:</w:t>
      </w:r>
    </w:p>
    <w:p w14:paraId="7342FB86" w14:textId="77777777" w:rsidR="00CB7846" w:rsidRPr="00B276C6" w:rsidRDefault="00CB7846">
      <w:pPr>
        <w:spacing w:line="360" w:lineRule="auto"/>
        <w:jc w:val="both"/>
        <w:rPr>
          <w:rFonts w:ascii="Palatino Linotype" w:eastAsia="Palatino Linotype" w:hAnsi="Palatino Linotype" w:cs="Palatino Linotype"/>
          <w:color w:val="000000" w:themeColor="text1"/>
        </w:rPr>
      </w:pPr>
    </w:p>
    <w:p w14:paraId="6BB82622" w14:textId="4DA7BDA4" w:rsidR="00CB7846" w:rsidRPr="00030DF8" w:rsidRDefault="007C4530">
      <w:pPr>
        <w:spacing w:line="360" w:lineRule="auto"/>
        <w:jc w:val="both"/>
        <w:rPr>
          <w:rFonts w:ascii="Palatino Linotype" w:eastAsia="Palatino Linotype" w:hAnsi="Palatino Linotype" w:cs="Palatino Linotype"/>
          <w:b/>
          <w:color w:val="000000" w:themeColor="text1"/>
          <w:lang w:val="en-US"/>
        </w:rPr>
      </w:pPr>
      <w:r w:rsidRPr="00030DF8">
        <w:rPr>
          <w:rFonts w:ascii="Palatino Linotype" w:eastAsia="Palatino Linotype" w:hAnsi="Palatino Linotype" w:cs="Palatino Linotype"/>
          <w:b/>
          <w:color w:val="000000" w:themeColor="text1"/>
          <w:lang w:val="en-US"/>
        </w:rPr>
        <w:t>0</w:t>
      </w:r>
      <w:r w:rsidR="00BF02E2" w:rsidRPr="00030DF8">
        <w:rPr>
          <w:rFonts w:ascii="Palatino Linotype" w:eastAsia="Palatino Linotype" w:hAnsi="Palatino Linotype" w:cs="Palatino Linotype"/>
          <w:b/>
          <w:color w:val="000000" w:themeColor="text1"/>
          <w:lang w:val="en-US"/>
        </w:rPr>
        <w:t>0</w:t>
      </w:r>
      <w:r w:rsidR="00F21EDC" w:rsidRPr="00030DF8">
        <w:rPr>
          <w:rFonts w:ascii="Palatino Linotype" w:eastAsia="Palatino Linotype" w:hAnsi="Palatino Linotype" w:cs="Palatino Linotype"/>
          <w:b/>
          <w:color w:val="000000" w:themeColor="text1"/>
          <w:lang w:val="en-US"/>
        </w:rPr>
        <w:t>325</w:t>
      </w:r>
      <w:r w:rsidRPr="00030DF8">
        <w:rPr>
          <w:rFonts w:ascii="Palatino Linotype" w:eastAsia="Palatino Linotype" w:hAnsi="Palatino Linotype" w:cs="Palatino Linotype"/>
          <w:b/>
          <w:color w:val="000000" w:themeColor="text1"/>
          <w:lang w:val="en-US"/>
        </w:rPr>
        <w:t>/</w:t>
      </w:r>
      <w:r w:rsidR="00F21EDC" w:rsidRPr="00030DF8">
        <w:rPr>
          <w:rFonts w:ascii="Palatino Linotype" w:eastAsia="Palatino Linotype" w:hAnsi="Palatino Linotype" w:cs="Palatino Linotype"/>
          <w:b/>
          <w:color w:val="000000" w:themeColor="text1"/>
          <w:lang w:val="en-US"/>
        </w:rPr>
        <w:t>SSEM</w:t>
      </w:r>
      <w:r w:rsidRPr="00030DF8">
        <w:rPr>
          <w:rFonts w:ascii="Palatino Linotype" w:eastAsia="Palatino Linotype" w:hAnsi="Palatino Linotype" w:cs="Palatino Linotype"/>
          <w:b/>
          <w:color w:val="000000" w:themeColor="text1"/>
          <w:lang w:val="en-US"/>
        </w:rPr>
        <w:t>/IP/2024</w:t>
      </w:r>
      <w:r w:rsidR="007A26B1" w:rsidRPr="00030DF8">
        <w:rPr>
          <w:rFonts w:ascii="Palatino Linotype" w:eastAsia="Palatino Linotype" w:hAnsi="Palatino Linotype" w:cs="Palatino Linotype"/>
          <w:b/>
          <w:color w:val="000000" w:themeColor="text1"/>
          <w:lang w:val="en-US"/>
        </w:rPr>
        <w:t xml:space="preserve"> - 0</w:t>
      </w:r>
      <w:r w:rsidR="00F21EDC" w:rsidRPr="00030DF8">
        <w:rPr>
          <w:rFonts w:ascii="Palatino Linotype" w:eastAsia="Palatino Linotype" w:hAnsi="Palatino Linotype" w:cs="Palatino Linotype"/>
          <w:b/>
          <w:color w:val="000000" w:themeColor="text1"/>
          <w:lang w:val="en-US"/>
        </w:rPr>
        <w:t>4678</w:t>
      </w:r>
      <w:r w:rsidR="007A26B1" w:rsidRPr="00030DF8">
        <w:rPr>
          <w:rFonts w:ascii="Palatino Linotype" w:eastAsia="Palatino Linotype" w:hAnsi="Palatino Linotype" w:cs="Palatino Linotype"/>
          <w:b/>
          <w:color w:val="000000" w:themeColor="text1"/>
          <w:lang w:val="en-US"/>
        </w:rPr>
        <w:t>/INFOEM/IP/RR/2024</w:t>
      </w:r>
      <w:r w:rsidRPr="00030DF8">
        <w:rPr>
          <w:rFonts w:ascii="Palatino Linotype" w:eastAsia="Palatino Linotype" w:hAnsi="Palatino Linotype" w:cs="Palatino Linotype"/>
          <w:b/>
          <w:color w:val="000000" w:themeColor="text1"/>
          <w:lang w:val="en-US"/>
        </w:rPr>
        <w:t>:</w:t>
      </w:r>
    </w:p>
    <w:p w14:paraId="129BDA45" w14:textId="7426FBA7" w:rsidR="00BF02E2" w:rsidRPr="00B276C6" w:rsidRDefault="00BF02E2" w:rsidP="007801AE">
      <w:pPr>
        <w:spacing w:line="276" w:lineRule="auto"/>
        <w:ind w:left="709" w:right="255"/>
        <w:jc w:val="both"/>
        <w:rPr>
          <w:rFonts w:ascii="Palatino Linotype" w:hAnsi="Palatino Linotype"/>
        </w:rPr>
      </w:pPr>
      <w:r w:rsidRPr="00F21EDC">
        <w:rPr>
          <w:rFonts w:ascii="Palatino Linotype" w:hAnsi="Palatino Linotype"/>
          <w:i/>
          <w:color w:val="000000" w:themeColor="text1"/>
        </w:rPr>
        <w:t>“</w:t>
      </w:r>
      <w:r w:rsidR="00F21EDC" w:rsidRPr="00F21EDC">
        <w:rPr>
          <w:rFonts w:ascii="Palatino Linotype" w:hAnsi="Palatino Linotype"/>
          <w:i/>
          <w:color w:val="000000"/>
        </w:rPr>
        <w:t xml:space="preserve">¡CUANTOS ELEMENTOS DE LA SECRETARIA DE SEGURIDAD PIERDEN VIGENCIA EN EL PRESENTE AÑO PARA LA LICENCIA DE PORTACIÓN DE ARMA Y CUANTOS PIERDEN VIGENCIA EN EL CERTIFICADO UNICO </w:t>
      </w:r>
      <w:proofErr w:type="gramStart"/>
      <w:r w:rsidR="00F21EDC" w:rsidRPr="00F21EDC">
        <w:rPr>
          <w:rFonts w:ascii="Palatino Linotype" w:hAnsi="Palatino Linotype"/>
          <w:i/>
          <w:color w:val="000000"/>
        </w:rPr>
        <w:lastRenderedPageBreak/>
        <w:t>POLICIAL AL MISMO TIEMPO CUANTOS ESTAN CONSIDERADOS EN AMBOS RUBROS, ASI MISMO CUANTAS EVALUACIONES DE CONTROL DE CONFIANZA POR PERMANENCIA SE ENCUENTRAN CONSIDERADAS PARA ESTE AÑO?</w:t>
      </w:r>
      <w:proofErr w:type="gramEnd"/>
      <w:r w:rsidR="00F21EDC" w:rsidRPr="00F21EDC">
        <w:rPr>
          <w:rFonts w:ascii="Palatino Linotype" w:hAnsi="Palatino Linotype"/>
          <w:i/>
          <w:color w:val="000000"/>
        </w:rPr>
        <w:t xml:space="preserve"> ¿CUANTOS ELEMENTOS EN EL EJERCICIO 2022 FUERON APROBADOS CON RESTRICCIONES Y QUE PORCENTAJE YA CUMPLIO CON LA SOLVENTACIÓN? </w:t>
      </w:r>
      <w:proofErr w:type="gramStart"/>
      <w:r w:rsidR="00F21EDC" w:rsidRPr="00F21EDC">
        <w:rPr>
          <w:rFonts w:ascii="Palatino Linotype" w:hAnsi="Palatino Linotype"/>
          <w:i/>
          <w:color w:val="000000"/>
        </w:rPr>
        <w:t>¿ POR</w:t>
      </w:r>
      <w:proofErr w:type="gramEnd"/>
      <w:r w:rsidR="00F21EDC" w:rsidRPr="00F21EDC">
        <w:rPr>
          <w:rFonts w:ascii="Palatino Linotype" w:hAnsi="Palatino Linotype"/>
          <w:i/>
          <w:color w:val="000000"/>
        </w:rPr>
        <w:t xml:space="preserve"> QUE NO HAY AVANCE Y SEGUIMIENTO AL PORCENTAJE PUBLICADO EN EL CENTRO NACIONAL DE CERTIFICACIÓN Y ACREDITACIÓN DE ELEMENTOS NO APROBADOS EN CONTROL DE CONFIAZA ? QUE SEGUIMIENTO DA AL TEMA Y BAJO QUE INDICES Y PROGRAMAS DE TRABAJO LA UNIDAD DE ESTUDIOS Y PROYECTOS ESPECIALES DE LA SECRETARIA DE SEGURIDAD AL FORMAR PARTE SU TITULAR DE LA COMISION DE HONOR Y JUSTICIA ADEMAS DE SER LA UNIDAD ENCARGADA DE NOTIFICAR A LA UNIDAD DE ASUNTOS INTERNOS Y DIRECCIÓN GENERAL DE ASUNTOS JURIDICOS, PARA MITIGAR EL RIESGO</w:t>
      </w:r>
      <w:r w:rsidR="00F21EDC">
        <w:rPr>
          <w:rFonts w:ascii="Verdana" w:hAnsi="Verdana"/>
          <w:color w:val="000000"/>
          <w:sz w:val="14"/>
          <w:szCs w:val="14"/>
        </w:rPr>
        <w:t>.</w:t>
      </w:r>
      <w:r w:rsidRPr="00B276C6">
        <w:rPr>
          <w:rFonts w:ascii="Palatino Linotype" w:hAnsi="Palatino Linotype"/>
          <w:i/>
        </w:rPr>
        <w:t xml:space="preserve">” </w:t>
      </w:r>
      <w:r w:rsidRPr="00B276C6">
        <w:rPr>
          <w:rFonts w:ascii="Palatino Linotype" w:hAnsi="Palatino Linotype"/>
        </w:rPr>
        <w:t>(Sic)</w:t>
      </w:r>
    </w:p>
    <w:p w14:paraId="16913B45" w14:textId="022442A9" w:rsidR="00F21EDC" w:rsidRDefault="003B0559" w:rsidP="007801AE">
      <w:pPr>
        <w:tabs>
          <w:tab w:val="left" w:pos="7162"/>
        </w:tabs>
        <w:spacing w:line="276" w:lineRule="auto"/>
        <w:ind w:left="709" w:right="255"/>
        <w:jc w:val="both"/>
        <w:rPr>
          <w:rFonts w:ascii="Palatino Linotype" w:eastAsia="Palatino Linotype" w:hAnsi="Palatino Linotype" w:cs="Palatino Linotype"/>
          <w:i/>
        </w:rPr>
      </w:pPr>
      <w:r>
        <w:rPr>
          <w:rFonts w:ascii="Palatino Linotype" w:eastAsia="Palatino Linotype" w:hAnsi="Palatino Linotype" w:cs="Palatino Linotype"/>
          <w:i/>
        </w:rPr>
        <w:tab/>
      </w:r>
    </w:p>
    <w:p w14:paraId="00113C8C" w14:textId="72DEFB9E" w:rsidR="00A26A16" w:rsidRPr="00B276C6" w:rsidRDefault="007C4530" w:rsidP="00A26A16">
      <w:pPr>
        <w:spacing w:line="360" w:lineRule="auto"/>
        <w:jc w:val="both"/>
        <w:rPr>
          <w:rFonts w:ascii="Palatino Linotype" w:eastAsia="Palatino Linotype" w:hAnsi="Palatino Linotype" w:cs="Palatino Linotype"/>
          <w:b/>
        </w:rPr>
      </w:pPr>
      <w:r w:rsidRPr="00B276C6">
        <w:rPr>
          <w:rFonts w:ascii="Palatino Linotype" w:eastAsia="Palatino Linotype" w:hAnsi="Palatino Linotype" w:cs="Palatino Linotype"/>
          <w:i/>
        </w:rPr>
        <w:t xml:space="preserve"> </w:t>
      </w:r>
      <w:r w:rsidR="00A26A16" w:rsidRPr="00B276C6">
        <w:rPr>
          <w:rFonts w:ascii="Palatino Linotype" w:eastAsia="Palatino Linotype" w:hAnsi="Palatino Linotype" w:cs="Palatino Linotype"/>
          <w:b/>
        </w:rPr>
        <w:t>00</w:t>
      </w:r>
      <w:r w:rsidR="00F21EDC">
        <w:rPr>
          <w:rFonts w:ascii="Palatino Linotype" w:eastAsia="Palatino Linotype" w:hAnsi="Palatino Linotype" w:cs="Palatino Linotype"/>
          <w:b/>
        </w:rPr>
        <w:t>324</w:t>
      </w:r>
      <w:r w:rsidR="007A26B1" w:rsidRPr="00B276C6">
        <w:rPr>
          <w:rFonts w:ascii="Palatino Linotype" w:eastAsia="Palatino Linotype" w:hAnsi="Palatino Linotype" w:cs="Palatino Linotype"/>
          <w:b/>
        </w:rPr>
        <w:t>/</w:t>
      </w:r>
      <w:r w:rsidR="00F21EDC">
        <w:rPr>
          <w:rFonts w:ascii="Palatino Linotype" w:eastAsia="Palatino Linotype" w:hAnsi="Palatino Linotype" w:cs="Palatino Linotype"/>
          <w:b/>
        </w:rPr>
        <w:t>SSEM</w:t>
      </w:r>
      <w:r w:rsidR="007A26B1" w:rsidRPr="00B276C6">
        <w:rPr>
          <w:rFonts w:ascii="Palatino Linotype" w:eastAsia="Palatino Linotype" w:hAnsi="Palatino Linotype" w:cs="Palatino Linotype"/>
          <w:b/>
        </w:rPr>
        <w:t xml:space="preserve">/IP/2024 - </w:t>
      </w:r>
      <w:r w:rsidR="007A26B1" w:rsidRPr="00B276C6">
        <w:rPr>
          <w:rFonts w:ascii="Palatino Linotype" w:eastAsia="Palatino Linotype" w:hAnsi="Palatino Linotype" w:cs="Palatino Linotype"/>
          <w:b/>
          <w:color w:val="000000" w:themeColor="text1"/>
        </w:rPr>
        <w:t>04</w:t>
      </w:r>
      <w:r w:rsidR="00F21EDC">
        <w:rPr>
          <w:rFonts w:ascii="Palatino Linotype" w:eastAsia="Palatino Linotype" w:hAnsi="Palatino Linotype" w:cs="Palatino Linotype"/>
          <w:b/>
          <w:color w:val="000000" w:themeColor="text1"/>
        </w:rPr>
        <w:t>680</w:t>
      </w:r>
      <w:r w:rsidR="007A26B1" w:rsidRPr="00B276C6">
        <w:rPr>
          <w:rFonts w:ascii="Palatino Linotype" w:eastAsia="Palatino Linotype" w:hAnsi="Palatino Linotype" w:cs="Palatino Linotype"/>
          <w:b/>
          <w:color w:val="000000" w:themeColor="text1"/>
        </w:rPr>
        <w:t>/INFOEM/IP/RR/2024:</w:t>
      </w:r>
    </w:p>
    <w:p w14:paraId="3E9B4599" w14:textId="77777777" w:rsidR="00446E3D" w:rsidRDefault="00DB14C9" w:rsidP="007801AE">
      <w:pPr>
        <w:spacing w:line="276" w:lineRule="auto"/>
        <w:ind w:left="851" w:right="255"/>
        <w:jc w:val="both"/>
        <w:rPr>
          <w:rFonts w:ascii="Palatino Linotype" w:hAnsi="Palatino Linotype"/>
          <w:i/>
          <w:color w:val="000000"/>
        </w:rPr>
      </w:pPr>
      <w:r w:rsidRPr="00B276C6">
        <w:rPr>
          <w:rFonts w:ascii="Palatino Linotype" w:hAnsi="Palatino Linotype"/>
          <w:i/>
        </w:rPr>
        <w:t>“</w:t>
      </w:r>
      <w:r w:rsidR="007024D4" w:rsidRPr="007024D4">
        <w:rPr>
          <w:rFonts w:ascii="Palatino Linotype" w:hAnsi="Palatino Linotype"/>
          <w:i/>
          <w:color w:val="000000"/>
        </w:rPr>
        <w:t xml:space="preserve">De acuerdo a las últimas cifras publicadas en el Centro Nacional de Certificación y Acreditación, en el Informe De La Evaluación De Control De Confianza, en las cifras correspondientes a la Entidad, se observa en el rubro de Seguridad Pública Estatal un universo evaluable de 17,548 y una plantilla activa de 17,316, dando una diferencia de 232 elementos, de esta diferencia cual es motivo por el cual no se evalúan y que bajo que argumentos jurídicos justifica su portación de arma y su permanencia dentro de la institución. y que controles administrativos llevan en la Unidad de </w:t>
      </w:r>
      <w:proofErr w:type="spellStart"/>
      <w:r w:rsidR="007024D4" w:rsidRPr="007024D4">
        <w:rPr>
          <w:rFonts w:ascii="Palatino Linotype" w:hAnsi="Palatino Linotype"/>
          <w:i/>
          <w:color w:val="000000"/>
        </w:rPr>
        <w:t>Estudiso</w:t>
      </w:r>
      <w:proofErr w:type="spellEnd"/>
      <w:r w:rsidR="007024D4" w:rsidRPr="007024D4">
        <w:rPr>
          <w:rFonts w:ascii="Palatino Linotype" w:hAnsi="Palatino Linotype"/>
          <w:i/>
          <w:color w:val="000000"/>
        </w:rPr>
        <w:t xml:space="preserve"> y Proyectos para identificar con nombre y apellido estos elementos faltantes. De igual forma que estrategia de programación y plan de trabajo cuenta la Unidad de Estudios y Proyectos Especiales para determinar el número de elementos </w:t>
      </w:r>
    </w:p>
    <w:p w14:paraId="304C722B" w14:textId="334D7C03" w:rsidR="00DB14C9" w:rsidRPr="00B276C6" w:rsidRDefault="007024D4" w:rsidP="007801AE">
      <w:pPr>
        <w:spacing w:line="276" w:lineRule="auto"/>
        <w:ind w:left="851" w:right="255"/>
        <w:jc w:val="both"/>
        <w:rPr>
          <w:rFonts w:ascii="Palatino Linotype" w:eastAsia="Palatino Linotype" w:hAnsi="Palatino Linotype" w:cs="Palatino Linotype"/>
          <w:b/>
        </w:rPr>
      </w:pPr>
      <w:r w:rsidRPr="007024D4">
        <w:rPr>
          <w:rFonts w:ascii="Palatino Linotype" w:hAnsi="Palatino Linotype"/>
          <w:i/>
          <w:color w:val="000000"/>
        </w:rPr>
        <w:lastRenderedPageBreak/>
        <w:t xml:space="preserve">que cada año programa ya que de acuerdo a cifras oficiales llevan desde 2018 a la fecha, tiempo en el que </w:t>
      </w:r>
      <w:proofErr w:type="spellStart"/>
      <w:r w:rsidRPr="007024D4">
        <w:rPr>
          <w:rFonts w:ascii="Palatino Linotype" w:hAnsi="Palatino Linotype"/>
          <w:i/>
          <w:color w:val="000000"/>
        </w:rPr>
        <w:t>esta</w:t>
      </w:r>
      <w:proofErr w:type="spellEnd"/>
      <w:r w:rsidRPr="007024D4">
        <w:rPr>
          <w:rFonts w:ascii="Palatino Linotype" w:hAnsi="Palatino Linotype"/>
          <w:i/>
          <w:color w:val="000000"/>
        </w:rPr>
        <w:t xml:space="preserve"> al frente de dicha Unidad Gabriela Peláez Acero, programando a 5,000 elementos de manera uniforme y constante, cuando no es posible que cada año pierdan vigencia el mismo número de elementos al menos que el estado de fuerza no tenga incrementos y movimientos ? y la justificación que expone ante el Secretariado Estatal para mitigar el riesgo de que elementos sin evaluaciones de control de confianza sean los encargados de la seguridad de los mexiquenses</w:t>
      </w:r>
      <w:r w:rsidR="00DB14C9" w:rsidRPr="00B276C6">
        <w:rPr>
          <w:rFonts w:ascii="Palatino Linotype" w:hAnsi="Palatino Linotype"/>
          <w:i/>
        </w:rPr>
        <w:t>”</w:t>
      </w:r>
      <w:r w:rsidR="00DB14C9" w:rsidRPr="00B276C6">
        <w:rPr>
          <w:rFonts w:ascii="Palatino Linotype" w:hAnsi="Palatino Linotype"/>
        </w:rPr>
        <w:t xml:space="preserve"> (Sic)</w:t>
      </w:r>
    </w:p>
    <w:p w14:paraId="6D561D87" w14:textId="77777777" w:rsidR="0083411B" w:rsidRPr="00B276C6" w:rsidRDefault="0083411B">
      <w:pPr>
        <w:spacing w:line="360" w:lineRule="auto"/>
        <w:jc w:val="both"/>
        <w:rPr>
          <w:rFonts w:ascii="Palatino Linotype" w:eastAsia="Palatino Linotype" w:hAnsi="Palatino Linotype" w:cs="Palatino Linotype"/>
          <w:i/>
        </w:rPr>
      </w:pPr>
    </w:p>
    <w:p w14:paraId="1BB7BAA8" w14:textId="77777777" w:rsidR="00CB7846" w:rsidRDefault="007C4530" w:rsidP="00374B2B">
      <w:pPr>
        <w:pStyle w:val="Prrafodelista"/>
        <w:numPr>
          <w:ilvl w:val="0"/>
          <w:numId w:val="3"/>
        </w:numPr>
        <w:spacing w:line="360" w:lineRule="auto"/>
        <w:ind w:left="0" w:firstLine="0"/>
        <w:jc w:val="both"/>
        <w:rPr>
          <w:rFonts w:ascii="Palatino Linotype" w:eastAsia="Palatino Linotype" w:hAnsi="Palatino Linotype" w:cs="Palatino Linotype"/>
          <w:color w:val="000000" w:themeColor="text1"/>
        </w:rPr>
      </w:pPr>
      <w:r w:rsidRPr="00B276C6">
        <w:rPr>
          <w:rFonts w:ascii="Palatino Linotype" w:eastAsia="Palatino Linotype" w:hAnsi="Palatino Linotype" w:cs="Palatino Linotype"/>
          <w:color w:val="000000" w:themeColor="text1"/>
        </w:rPr>
        <w:t>Se eligió como modalidad de entrega a través de la plataforma digital Sistema de Acceso a la Información Mexiquense (SAIMEX).</w:t>
      </w:r>
    </w:p>
    <w:p w14:paraId="1521FAF8" w14:textId="77777777" w:rsidR="006064DB" w:rsidRDefault="006064DB" w:rsidP="006064DB">
      <w:pPr>
        <w:spacing w:line="360" w:lineRule="auto"/>
        <w:jc w:val="both"/>
        <w:rPr>
          <w:rFonts w:ascii="Palatino Linotype" w:eastAsia="Palatino Linotype" w:hAnsi="Palatino Linotype" w:cs="Palatino Linotype"/>
          <w:b/>
          <w:color w:val="000000" w:themeColor="text1"/>
        </w:rPr>
      </w:pPr>
    </w:p>
    <w:p w14:paraId="2CE69E54" w14:textId="77777777" w:rsidR="006064DB" w:rsidRPr="00030DF8" w:rsidRDefault="006064DB" w:rsidP="006064DB">
      <w:pPr>
        <w:spacing w:line="360" w:lineRule="auto"/>
        <w:jc w:val="both"/>
        <w:rPr>
          <w:rFonts w:ascii="Palatino Linotype" w:eastAsia="Palatino Linotype" w:hAnsi="Palatino Linotype" w:cs="Palatino Linotype"/>
          <w:b/>
          <w:color w:val="000000" w:themeColor="text1"/>
          <w:lang w:val="en-US"/>
        </w:rPr>
      </w:pPr>
      <w:r w:rsidRPr="00030DF8">
        <w:rPr>
          <w:rFonts w:ascii="Palatino Linotype" w:eastAsia="Palatino Linotype" w:hAnsi="Palatino Linotype" w:cs="Palatino Linotype"/>
          <w:b/>
          <w:color w:val="000000" w:themeColor="text1"/>
          <w:lang w:val="en-US"/>
        </w:rPr>
        <w:t>00325/SSEM/IP/2024 - 04678/INFOEM/IP/RR/2024:</w:t>
      </w:r>
    </w:p>
    <w:p w14:paraId="32B4197A" w14:textId="37AAD0DB" w:rsidR="001705A9" w:rsidRDefault="007C4530" w:rsidP="00374B2B">
      <w:pPr>
        <w:numPr>
          <w:ilvl w:val="0"/>
          <w:numId w:val="2"/>
        </w:numPr>
        <w:spacing w:line="360" w:lineRule="auto"/>
        <w:ind w:left="0" w:firstLine="0"/>
        <w:jc w:val="both"/>
        <w:rPr>
          <w:rFonts w:ascii="Palatino Linotype" w:eastAsia="Palatino Linotype" w:hAnsi="Palatino Linotype" w:cs="Palatino Linotype"/>
        </w:rPr>
      </w:pPr>
      <w:r w:rsidRPr="006B20CF">
        <w:rPr>
          <w:rFonts w:ascii="Palatino Linotype" w:eastAsia="Palatino Linotype" w:hAnsi="Palatino Linotype" w:cs="Palatino Linotype"/>
        </w:rPr>
        <w:t xml:space="preserve">En </w:t>
      </w:r>
      <w:r w:rsidR="006B20CF" w:rsidRPr="006B20CF">
        <w:rPr>
          <w:rFonts w:ascii="Palatino Linotype" w:eastAsia="Palatino Linotype" w:hAnsi="Palatino Linotype" w:cs="Palatino Linotype"/>
        </w:rPr>
        <w:t xml:space="preserve">fecha </w:t>
      </w:r>
      <w:r w:rsidR="006B20CF">
        <w:rPr>
          <w:rFonts w:ascii="Palatino Linotype" w:eastAsia="Palatino Linotype" w:hAnsi="Palatino Linotype" w:cs="Palatino Linotype"/>
          <w:b/>
        </w:rPr>
        <w:t>ocho de julio de dos mil veinticuatro</w:t>
      </w:r>
      <w:r w:rsidRPr="006B20CF">
        <w:rPr>
          <w:rFonts w:ascii="Palatino Linotype" w:eastAsia="Palatino Linotype" w:hAnsi="Palatino Linotype" w:cs="Palatino Linotype"/>
        </w:rPr>
        <w:t xml:space="preserve">, </w:t>
      </w:r>
      <w:r w:rsidR="007A26B1" w:rsidRPr="006B20CF">
        <w:rPr>
          <w:rFonts w:ascii="Palatino Linotype" w:eastAsia="Palatino Linotype" w:hAnsi="Palatino Linotype" w:cs="Palatino Linotype"/>
        </w:rPr>
        <w:t>respectivamente</w:t>
      </w:r>
      <w:r w:rsidR="006D2ED6" w:rsidRPr="006B20CF">
        <w:rPr>
          <w:rFonts w:ascii="Palatino Linotype" w:eastAsia="Palatino Linotype" w:hAnsi="Palatino Linotype" w:cs="Palatino Linotype"/>
        </w:rPr>
        <w:t>,</w:t>
      </w:r>
      <w:r w:rsidR="007A26B1" w:rsidRPr="006B20CF">
        <w:rPr>
          <w:rFonts w:ascii="Palatino Linotype" w:eastAsia="Palatino Linotype" w:hAnsi="Palatino Linotype" w:cs="Palatino Linotype"/>
        </w:rPr>
        <w:t xml:space="preserve"> </w:t>
      </w:r>
      <w:r w:rsidRPr="006B20CF">
        <w:rPr>
          <w:rFonts w:ascii="Palatino Linotype" w:eastAsia="Palatino Linotype" w:hAnsi="Palatino Linotype" w:cs="Palatino Linotype"/>
        </w:rPr>
        <w:t xml:space="preserve">el </w:t>
      </w:r>
      <w:r w:rsidRPr="006B20CF">
        <w:rPr>
          <w:rFonts w:ascii="Palatino Linotype" w:eastAsia="Palatino Linotype" w:hAnsi="Palatino Linotype" w:cs="Palatino Linotype"/>
          <w:b/>
        </w:rPr>
        <w:t>SUJETO OBLIGADO</w:t>
      </w:r>
      <w:r w:rsidRPr="006B20CF">
        <w:rPr>
          <w:rFonts w:ascii="Palatino Linotype" w:eastAsia="Palatino Linotype" w:hAnsi="Palatino Linotype" w:cs="Palatino Linotype"/>
          <w:b/>
          <w:i/>
        </w:rPr>
        <w:t xml:space="preserve"> </w:t>
      </w:r>
      <w:r w:rsidRPr="006B20CF">
        <w:rPr>
          <w:rFonts w:ascii="Palatino Linotype" w:eastAsia="Palatino Linotype" w:hAnsi="Palatino Linotype" w:cs="Palatino Linotype"/>
        </w:rPr>
        <w:t xml:space="preserve">dio </w:t>
      </w:r>
      <w:r w:rsidRPr="00FB093D">
        <w:rPr>
          <w:rFonts w:ascii="Palatino Linotype" w:eastAsia="Palatino Linotype" w:hAnsi="Palatino Linotype" w:cs="Palatino Linotype"/>
          <w:b/>
        </w:rPr>
        <w:t>respuesta</w:t>
      </w:r>
      <w:r w:rsidRPr="006B20CF">
        <w:rPr>
          <w:rFonts w:ascii="Palatino Linotype" w:eastAsia="Palatino Linotype" w:hAnsi="Palatino Linotype" w:cs="Palatino Linotype"/>
        </w:rPr>
        <w:t xml:space="preserve"> a la solicitud de información</w:t>
      </w:r>
      <w:r w:rsidR="001705A9">
        <w:rPr>
          <w:rFonts w:ascii="Palatino Linotype" w:eastAsia="Palatino Linotype" w:hAnsi="Palatino Linotype" w:cs="Palatino Linotype"/>
        </w:rPr>
        <w:t xml:space="preserve"> adjuntando un archivo electrónico </w:t>
      </w:r>
      <w:r w:rsidR="001705A9">
        <w:rPr>
          <w:rFonts w:ascii="Palatino Linotype" w:eastAsia="Palatino Linotype" w:hAnsi="Palatino Linotype" w:cs="Palatino Linotype"/>
          <w:b/>
        </w:rPr>
        <w:t xml:space="preserve">Respuesta 325.pdf, </w:t>
      </w:r>
      <w:r w:rsidRPr="006B20CF">
        <w:rPr>
          <w:rFonts w:ascii="Palatino Linotype" w:eastAsia="Palatino Linotype" w:hAnsi="Palatino Linotype" w:cs="Palatino Linotype"/>
        </w:rPr>
        <w:t>e</w:t>
      </w:r>
      <w:r w:rsidR="001705A9">
        <w:rPr>
          <w:rFonts w:ascii="Palatino Linotype" w:eastAsia="Palatino Linotype" w:hAnsi="Palatino Linotype" w:cs="Palatino Linotype"/>
        </w:rPr>
        <w:t xml:space="preserve">l cual contiene un oficio de fecha cinco de julio de dos mil veinticuatro, suscrito por la </w:t>
      </w:r>
      <w:proofErr w:type="gramStart"/>
      <w:r w:rsidR="001705A9">
        <w:rPr>
          <w:rFonts w:ascii="Palatino Linotype" w:eastAsia="Palatino Linotype" w:hAnsi="Palatino Linotype" w:cs="Palatino Linotype"/>
        </w:rPr>
        <w:t>Jefa</w:t>
      </w:r>
      <w:proofErr w:type="gramEnd"/>
      <w:r w:rsidR="001705A9">
        <w:rPr>
          <w:rFonts w:ascii="Palatino Linotype" w:eastAsia="Palatino Linotype" w:hAnsi="Palatino Linotype" w:cs="Palatino Linotype"/>
        </w:rPr>
        <w:t xml:space="preserve"> de la Unidad de Información, Planeación, Programación y Evaluación y Titular de la Unidad de Transparencia, del cual entre otras cosas contiene:</w:t>
      </w:r>
    </w:p>
    <w:p w14:paraId="5A27F302" w14:textId="77777777" w:rsidR="000718EF" w:rsidRDefault="001705A9" w:rsidP="000718EF">
      <w:pPr>
        <w:pBdr>
          <w:top w:val="nil"/>
          <w:left w:val="nil"/>
          <w:bottom w:val="nil"/>
          <w:right w:val="nil"/>
          <w:between w:val="nil"/>
        </w:pBdr>
        <w:spacing w:line="360" w:lineRule="auto"/>
        <w:ind w:left="720"/>
        <w:jc w:val="both"/>
        <w:rPr>
          <w:rFonts w:ascii="Palatino Linotype" w:eastAsia="Palatino Linotype" w:hAnsi="Palatino Linotype" w:cs="Palatino Linotype"/>
          <w:i/>
        </w:rPr>
      </w:pPr>
      <w:r w:rsidRPr="00B80F41">
        <w:rPr>
          <w:rFonts w:ascii="Palatino Linotype" w:eastAsia="Palatino Linotype" w:hAnsi="Palatino Linotype" w:cs="Palatino Linotype"/>
          <w:i/>
        </w:rPr>
        <w:t xml:space="preserve"> “…</w:t>
      </w:r>
      <w:r w:rsidR="00B80F41" w:rsidRPr="00B80F41">
        <w:rPr>
          <w:rFonts w:ascii="Palatino Linotype" w:eastAsia="Palatino Linotype" w:hAnsi="Palatino Linotype" w:cs="Palatino Linotype"/>
          <w:i/>
        </w:rPr>
        <w:t>Mediant</w:t>
      </w:r>
      <w:r w:rsidR="00B80F41">
        <w:rPr>
          <w:rFonts w:ascii="Palatino Linotype" w:eastAsia="Palatino Linotype" w:hAnsi="Palatino Linotype" w:cs="Palatino Linotype"/>
          <w:i/>
        </w:rPr>
        <w:t>e oficio número 20600007000000S/UIPPE/0974/2024 se requirió la información al Servidor Público Habilitado</w:t>
      </w:r>
      <w:r w:rsidR="00285877">
        <w:rPr>
          <w:rFonts w:ascii="Palatino Linotype" w:eastAsia="Palatino Linotype" w:hAnsi="Palatino Linotype" w:cs="Palatino Linotype"/>
          <w:i/>
        </w:rPr>
        <w:t xml:space="preserve"> de la Dirección del Sistema de Desarrollo</w:t>
      </w:r>
      <w:r w:rsidR="000718EF">
        <w:rPr>
          <w:rFonts w:ascii="Palatino Linotype" w:eastAsia="Palatino Linotype" w:hAnsi="Palatino Linotype" w:cs="Palatino Linotype"/>
          <w:i/>
        </w:rPr>
        <w:t xml:space="preserve"> Policial de este Sujeto Obligado, quien a su vez mediante similar número 20600300000000L/DGSDP/2494/2024, informó:</w:t>
      </w:r>
    </w:p>
    <w:p w14:paraId="6C72E0A3" w14:textId="77777777" w:rsidR="00695EA0" w:rsidRDefault="00695EA0" w:rsidP="000718EF">
      <w:pPr>
        <w:pBdr>
          <w:top w:val="nil"/>
          <w:left w:val="nil"/>
          <w:bottom w:val="nil"/>
          <w:right w:val="nil"/>
          <w:between w:val="nil"/>
        </w:pBdr>
        <w:spacing w:line="360" w:lineRule="auto"/>
        <w:ind w:left="72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5BBDE7C5" w14:textId="77777777" w:rsidR="00487857" w:rsidRDefault="00695EA0" w:rsidP="000718EF">
      <w:pPr>
        <w:pBdr>
          <w:top w:val="nil"/>
          <w:left w:val="nil"/>
          <w:bottom w:val="nil"/>
          <w:right w:val="nil"/>
          <w:between w:val="nil"/>
        </w:pBdr>
        <w:spacing w:line="360" w:lineRule="auto"/>
        <w:ind w:left="720"/>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Hecha la precisión anterior, se hace de su conocimiento</w:t>
      </w:r>
      <w:r w:rsidR="00C636EB">
        <w:rPr>
          <w:rFonts w:ascii="Palatino Linotype" w:eastAsia="Palatino Linotype" w:hAnsi="Palatino Linotype" w:cs="Palatino Linotype"/>
          <w:i/>
        </w:rPr>
        <w:t xml:space="preserve"> que el Certificado único Policial es el documento que acredita a los policías y oficiales de guardia y custodia del sistema penitenciario aptos para ingresar o permanecer</w:t>
      </w:r>
      <w:r w:rsidR="00487857">
        <w:rPr>
          <w:rFonts w:ascii="Palatino Linotype" w:eastAsia="Palatino Linotype" w:hAnsi="Palatino Linotype" w:cs="Palatino Linotype"/>
          <w:i/>
        </w:rPr>
        <w:t xml:space="preserve"> en las Instituciones de Seguridad Pública y que cuentan con los conocimientos, el perfil, las habilidades y las aptitudes necesarias para el desempeño de su cargo.</w:t>
      </w:r>
    </w:p>
    <w:p w14:paraId="78DA6680" w14:textId="0F874C52" w:rsidR="00E66F15" w:rsidRDefault="00E66F15" w:rsidP="000718EF">
      <w:pPr>
        <w:pBdr>
          <w:top w:val="nil"/>
          <w:left w:val="nil"/>
          <w:bottom w:val="nil"/>
          <w:right w:val="nil"/>
          <w:between w:val="nil"/>
        </w:pBdr>
        <w:spacing w:line="360" w:lineRule="auto"/>
        <w:ind w:left="72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37339A0E" w14:textId="77777777" w:rsidR="00E66F15" w:rsidRDefault="00E66F15" w:rsidP="000718EF">
      <w:pPr>
        <w:pBdr>
          <w:top w:val="nil"/>
          <w:left w:val="nil"/>
          <w:bottom w:val="nil"/>
          <w:right w:val="nil"/>
          <w:between w:val="nil"/>
        </w:pBdr>
        <w:spacing w:line="360" w:lineRule="auto"/>
        <w:ind w:left="720"/>
        <w:jc w:val="both"/>
        <w:rPr>
          <w:rFonts w:ascii="Palatino Linotype" w:eastAsia="Palatino Linotype" w:hAnsi="Palatino Linotype" w:cs="Palatino Linotype"/>
          <w:b/>
          <w:i/>
        </w:rPr>
      </w:pPr>
      <w:r>
        <w:rPr>
          <w:rFonts w:ascii="Palatino Linotype" w:eastAsia="Palatino Linotype" w:hAnsi="Palatino Linotype" w:cs="Palatino Linotype"/>
          <w:i/>
        </w:rPr>
        <w:t xml:space="preserve">Ahora bien, de conformidad con lo establecido en el artículo 25 fracción I de la Ley Federal de Armas de Fuego y Explosivos, </w:t>
      </w:r>
      <w:r>
        <w:rPr>
          <w:rFonts w:ascii="Palatino Linotype" w:eastAsia="Palatino Linotype" w:hAnsi="Palatino Linotype" w:cs="Palatino Linotype"/>
          <w:b/>
          <w:i/>
        </w:rPr>
        <w:t>las licencias para la portación de armas</w:t>
      </w:r>
      <w:r>
        <w:rPr>
          <w:rFonts w:ascii="Palatino Linotype" w:eastAsia="Palatino Linotype" w:hAnsi="Palatino Linotype" w:cs="Palatino Linotype"/>
          <w:i/>
        </w:rPr>
        <w:t xml:space="preserve"> serán de dos clases: Particulares; que deberán </w:t>
      </w:r>
      <w:r>
        <w:rPr>
          <w:rFonts w:ascii="Palatino Linotype" w:eastAsia="Palatino Linotype" w:hAnsi="Palatino Linotype" w:cs="Palatino Linotype"/>
          <w:b/>
          <w:i/>
        </w:rPr>
        <w:t>revalidarse cada dos años,</w:t>
      </w:r>
      <w:r>
        <w:rPr>
          <w:rFonts w:ascii="Palatino Linotype" w:eastAsia="Palatino Linotype" w:hAnsi="Palatino Linotype" w:cs="Palatino Linotype"/>
          <w:i/>
        </w:rPr>
        <w:t xml:space="preserve"> por lo que, para el personal operativo de la Secretaría de Seguridad del Estado de México, cuenta con una vigencia de dos años de manera particular para el caso que nos ocupa del </w:t>
      </w:r>
      <w:r>
        <w:rPr>
          <w:rFonts w:ascii="Palatino Linotype" w:eastAsia="Palatino Linotype" w:hAnsi="Palatino Linotype" w:cs="Palatino Linotype"/>
          <w:b/>
          <w:i/>
        </w:rPr>
        <w:t>15 de septiembre de 2023 al 14 de septiembre de 2025.</w:t>
      </w:r>
    </w:p>
    <w:p w14:paraId="18C117AF" w14:textId="77777777" w:rsidR="00B57A32" w:rsidRDefault="00E66F15" w:rsidP="000718EF">
      <w:pPr>
        <w:pBdr>
          <w:top w:val="nil"/>
          <w:left w:val="nil"/>
          <w:bottom w:val="nil"/>
          <w:right w:val="nil"/>
          <w:between w:val="nil"/>
        </w:pBdr>
        <w:spacing w:line="360" w:lineRule="auto"/>
        <w:ind w:left="720"/>
        <w:jc w:val="both"/>
        <w:rPr>
          <w:rFonts w:ascii="Palatino Linotype" w:eastAsia="Palatino Linotype" w:hAnsi="Palatino Linotype" w:cs="Palatino Linotype"/>
          <w:i/>
        </w:rPr>
      </w:pPr>
      <w:r w:rsidRPr="00E66F15">
        <w:rPr>
          <w:rFonts w:ascii="Palatino Linotype" w:eastAsia="Palatino Linotype" w:hAnsi="Palatino Linotype" w:cs="Palatino Linotype"/>
          <w:i/>
        </w:rPr>
        <w:t>Bajo ese contexto,  y toda ve</w:t>
      </w:r>
      <w:r>
        <w:rPr>
          <w:rFonts w:ascii="Palatino Linotype" w:eastAsia="Palatino Linotype" w:hAnsi="Palatino Linotype" w:cs="Palatino Linotype"/>
          <w:i/>
        </w:rPr>
        <w:t>z</w:t>
      </w:r>
      <w:r w:rsidRPr="00E66F15">
        <w:rPr>
          <w:rFonts w:ascii="Palatino Linotype" w:eastAsia="Palatino Linotype" w:hAnsi="Palatino Linotype" w:cs="Palatino Linotype"/>
          <w:i/>
        </w:rPr>
        <w:t xml:space="preserve"> que ambos documento</w:t>
      </w:r>
      <w:r>
        <w:rPr>
          <w:rFonts w:ascii="Palatino Linotype" w:eastAsia="Palatino Linotype" w:hAnsi="Palatino Linotype" w:cs="Palatino Linotype"/>
          <w:i/>
        </w:rPr>
        <w:t>s</w:t>
      </w:r>
      <w:r w:rsidR="00B57A32">
        <w:rPr>
          <w:rFonts w:ascii="Palatino Linotype" w:eastAsia="Palatino Linotype" w:hAnsi="Palatino Linotype" w:cs="Palatino Linotype"/>
          <w:i/>
        </w:rPr>
        <w:t xml:space="preserve"> NO cuentan con el mismo periodo de vigencia, informo el número de elementos que pierden vigencia en cada uno de los rubros:</w:t>
      </w:r>
    </w:p>
    <w:p w14:paraId="0B0F21DD" w14:textId="77777777" w:rsidR="003E6F58" w:rsidRPr="003E6F58" w:rsidRDefault="00B57A32" w:rsidP="00374B2B">
      <w:pPr>
        <w:pStyle w:val="Prrafodelista"/>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i/>
        </w:rPr>
      </w:pPr>
      <w:r w:rsidRPr="00B57A32">
        <w:rPr>
          <w:rFonts w:ascii="Palatino Linotype" w:eastAsia="Palatino Linotype" w:hAnsi="Palatino Linotype" w:cs="Palatino Linotype"/>
          <w:b/>
          <w:i/>
        </w:rPr>
        <w:t>Licenci</w:t>
      </w:r>
      <w:r>
        <w:rPr>
          <w:rFonts w:ascii="Palatino Linotype" w:eastAsia="Palatino Linotype" w:hAnsi="Palatino Linotype" w:cs="Palatino Linotype"/>
          <w:b/>
          <w:i/>
        </w:rPr>
        <w:t xml:space="preserve">a Oficial Colectiva N° 139: </w:t>
      </w:r>
      <w:r w:rsidR="0097147D">
        <w:rPr>
          <w:rFonts w:ascii="Palatino Linotype" w:eastAsia="Palatino Linotype" w:hAnsi="Palatino Linotype" w:cs="Palatino Linotype"/>
          <w:i/>
        </w:rPr>
        <w:t>12,656 elementos de la Secretaría de Seguridad del Estado de México</w:t>
      </w:r>
      <w:r w:rsidR="003E6F58">
        <w:rPr>
          <w:rFonts w:ascii="Palatino Linotype" w:eastAsia="Palatino Linotype" w:hAnsi="Palatino Linotype" w:cs="Palatino Linotype"/>
          <w:i/>
        </w:rPr>
        <w:t>.</w:t>
      </w:r>
    </w:p>
    <w:p w14:paraId="58808167" w14:textId="77777777" w:rsidR="00776A7C" w:rsidRPr="00776A7C" w:rsidRDefault="003E6F58" w:rsidP="00374B2B">
      <w:pPr>
        <w:pStyle w:val="Prrafodelista"/>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Certificado único Policial: </w:t>
      </w:r>
      <w:r>
        <w:rPr>
          <w:rFonts w:ascii="Palatino Linotype" w:eastAsia="Palatino Linotype" w:hAnsi="Palatino Linotype" w:cs="Palatino Linotype"/>
          <w:i/>
        </w:rPr>
        <w:t>6,278 elementos por competencias básicas o profesionales, 4,038 por evaluación del desempeño y 1,234 por evaluación de Control de Confianza</w:t>
      </w:r>
      <w:r w:rsidR="00776A7C">
        <w:rPr>
          <w:rFonts w:ascii="Palatino Linotype" w:eastAsia="Palatino Linotype" w:hAnsi="Palatino Linotype" w:cs="Palatino Linotype"/>
          <w:i/>
        </w:rPr>
        <w:t>, es importante mencionar que un elemento puede tener una o varias evaluaciones vencidas.</w:t>
      </w:r>
    </w:p>
    <w:p w14:paraId="5487A9C0" w14:textId="2B39C06A" w:rsidR="00E66F15" w:rsidRDefault="00776A7C" w:rsidP="00776A7C">
      <w:pPr>
        <w:pStyle w:val="Prrafodelista"/>
        <w:pBdr>
          <w:top w:val="nil"/>
          <w:left w:val="nil"/>
          <w:bottom w:val="nil"/>
          <w:right w:val="nil"/>
          <w:between w:val="nil"/>
        </w:pBdr>
        <w:spacing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Por cuanto hace a la Comisión de Honor y Justicia de la Secretaría de Seguridad, la Ley de Seguridad del Estado de México, publicada en el Periódico Oficial “Gaceta de Gobierno” el día 11 de octubre de 2011, establece:</w:t>
      </w:r>
    </w:p>
    <w:p w14:paraId="6197718E" w14:textId="59E3CCDF" w:rsidR="00776A7C" w:rsidRDefault="00776A7C" w:rsidP="00776A7C">
      <w:pPr>
        <w:pStyle w:val="Prrafodelista"/>
        <w:pBdr>
          <w:top w:val="nil"/>
          <w:left w:val="nil"/>
          <w:bottom w:val="nil"/>
          <w:right w:val="nil"/>
          <w:between w:val="nil"/>
        </w:pBdr>
        <w:spacing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w:t>
      </w:r>
    </w:p>
    <w:p w14:paraId="133766B3" w14:textId="3CCDF99F" w:rsidR="00776A7C" w:rsidRDefault="005125BC" w:rsidP="00776A7C">
      <w:pPr>
        <w:pStyle w:val="Prrafodelista"/>
        <w:pBdr>
          <w:top w:val="nil"/>
          <w:left w:val="nil"/>
          <w:bottom w:val="nil"/>
          <w:right w:val="nil"/>
          <w:between w:val="nil"/>
        </w:pBdr>
        <w:spacing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Aunado a lo anterior, se hace de su conocimiento</w:t>
      </w:r>
      <w:r w:rsidR="008D6CAC">
        <w:rPr>
          <w:rFonts w:ascii="Palatino Linotype" w:eastAsia="Palatino Linotype" w:hAnsi="Palatino Linotype" w:cs="Palatino Linotype"/>
          <w:i/>
        </w:rPr>
        <w:t xml:space="preserve"> que el Centro de Control de Confianza es un organismo público descentralizado, con personalidad jurídica y patrimonio propios, que tiene la facultad de realizar las evaluaciones de control de confianza, y está bajo la normatividad</w:t>
      </w:r>
      <w:r w:rsidR="00A6732A">
        <w:rPr>
          <w:rFonts w:ascii="Palatino Linotype" w:eastAsia="Palatino Linotype" w:hAnsi="Palatino Linotype" w:cs="Palatino Linotype"/>
          <w:i/>
        </w:rPr>
        <w:t xml:space="preserve"> del Centro Nacional de Certificación y Acreditación (CNCA), aplicables a las y a los integrantes y/o a los y las aspirantes de las instituciones de seguridad pública y privada, tanto a nivel estatal como municipal; las cuales pueden ser para permanencia, nuevo ingreso, promoción, cambio de funciones; a fin de emitir, en su caso, la certificación correspondiente y es que pudieran tener mayor información al respecto</w:t>
      </w:r>
      <w:r w:rsidR="002709B3">
        <w:rPr>
          <w:rFonts w:ascii="Palatino Linotype" w:eastAsia="Palatino Linotype" w:hAnsi="Palatino Linotype" w:cs="Palatino Linotype"/>
          <w:i/>
        </w:rPr>
        <w:t>.</w:t>
      </w:r>
    </w:p>
    <w:p w14:paraId="44EE0D79" w14:textId="1D2115F0" w:rsidR="002709B3" w:rsidRDefault="002709B3" w:rsidP="00776A7C">
      <w:pPr>
        <w:pStyle w:val="Prrafodelista"/>
        <w:pBdr>
          <w:top w:val="nil"/>
          <w:left w:val="nil"/>
          <w:bottom w:val="nil"/>
          <w:right w:val="nil"/>
          <w:between w:val="nil"/>
        </w:pBdr>
        <w:spacing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 xml:space="preserve">En razón de lo </w:t>
      </w:r>
      <w:r w:rsidR="00380122">
        <w:rPr>
          <w:rFonts w:ascii="Palatino Linotype" w:eastAsia="Palatino Linotype" w:hAnsi="Palatino Linotype" w:cs="Palatino Linotype"/>
          <w:i/>
        </w:rPr>
        <w:t>anterior, se le sugiere respetuosamente dirigir su solicitud al Módulo de Acceso a la Información del Secretario Ejecutivo del Sistema Nacional de Seguridad Pública, a través del Centro Nacional de Certificación y Acreditación, con domicilio en Avenida Mariano Escobedo, número 456, colonia Anzures, C.P. 11590, Ciudad de México, ya que podría tener datos que le sean de utilidad o bien a través de la PNT.</w:t>
      </w:r>
    </w:p>
    <w:p w14:paraId="2D5CD912" w14:textId="77777777" w:rsidR="00B45142" w:rsidRDefault="007475C5" w:rsidP="00776A7C">
      <w:pPr>
        <w:pStyle w:val="Prrafodelista"/>
        <w:pBdr>
          <w:top w:val="nil"/>
          <w:left w:val="nil"/>
          <w:bottom w:val="nil"/>
          <w:right w:val="nil"/>
          <w:between w:val="nil"/>
        </w:pBdr>
        <w:spacing w:line="360" w:lineRule="auto"/>
        <w:jc w:val="both"/>
        <w:rPr>
          <w:rFonts w:ascii="Palatino Linotype" w:eastAsia="Palatino Linotype" w:hAnsi="Palatino Linotype" w:cs="Palatino Linotype"/>
          <w:b/>
          <w:i/>
        </w:rPr>
      </w:pPr>
      <w:r>
        <w:rPr>
          <w:rFonts w:ascii="Palatino Linotype" w:eastAsia="Palatino Linotype" w:hAnsi="Palatino Linotype" w:cs="Palatino Linotype"/>
          <w:i/>
        </w:rPr>
        <w:t xml:space="preserve">Ahora bien, por cuanto hace al avance y seguimiento al porcentaje publicado en el centro nacional de certificación y acreditación de elementos no aprobados en control de confianza, </w:t>
      </w:r>
      <w:r>
        <w:rPr>
          <w:rFonts w:ascii="Palatino Linotype" w:eastAsia="Palatino Linotype" w:hAnsi="Palatino Linotype" w:cs="Palatino Linotype"/>
          <w:b/>
          <w:i/>
        </w:rPr>
        <w:t>se hizo llegar a Usted en tiempo y forma la Incompetencia Parcial</w:t>
      </w:r>
      <w:r w:rsidR="00B45142">
        <w:rPr>
          <w:rFonts w:ascii="Palatino Linotype" w:eastAsia="Palatino Linotype" w:hAnsi="Palatino Linotype" w:cs="Palatino Linotype"/>
          <w:b/>
          <w:i/>
        </w:rPr>
        <w:t xml:space="preserve"> correspondiente.</w:t>
      </w:r>
    </w:p>
    <w:p w14:paraId="19534FA3" w14:textId="087B812C" w:rsidR="00380122" w:rsidRPr="00030DF8" w:rsidRDefault="00B45142" w:rsidP="00776A7C">
      <w:pPr>
        <w:pStyle w:val="Prrafodelista"/>
        <w:pBdr>
          <w:top w:val="nil"/>
          <w:left w:val="nil"/>
          <w:bottom w:val="nil"/>
          <w:right w:val="nil"/>
          <w:between w:val="nil"/>
        </w:pBdr>
        <w:spacing w:line="360" w:lineRule="auto"/>
        <w:jc w:val="both"/>
        <w:rPr>
          <w:rFonts w:ascii="Palatino Linotype" w:eastAsia="Palatino Linotype" w:hAnsi="Palatino Linotype" w:cs="Palatino Linotype"/>
          <w:i/>
          <w:lang w:val="en-US"/>
        </w:rPr>
      </w:pPr>
      <w:r w:rsidRPr="00030DF8">
        <w:rPr>
          <w:rFonts w:ascii="Palatino Linotype" w:eastAsia="Palatino Linotype" w:hAnsi="Palatino Linotype" w:cs="Palatino Linotype"/>
          <w:i/>
          <w:lang w:val="en-US"/>
        </w:rPr>
        <w:lastRenderedPageBreak/>
        <w:t>…” (Sic)</w:t>
      </w:r>
      <w:r w:rsidR="007475C5" w:rsidRPr="00030DF8">
        <w:rPr>
          <w:rFonts w:ascii="Palatino Linotype" w:eastAsia="Palatino Linotype" w:hAnsi="Palatino Linotype" w:cs="Palatino Linotype"/>
          <w:i/>
          <w:lang w:val="en-US"/>
        </w:rPr>
        <w:t xml:space="preserve"> </w:t>
      </w:r>
    </w:p>
    <w:p w14:paraId="1AC64E03" w14:textId="77777777" w:rsidR="00FB093D" w:rsidRPr="00030DF8" w:rsidRDefault="00FB093D" w:rsidP="00776A7C">
      <w:pPr>
        <w:pStyle w:val="Prrafodelista"/>
        <w:pBdr>
          <w:top w:val="nil"/>
          <w:left w:val="nil"/>
          <w:bottom w:val="nil"/>
          <w:right w:val="nil"/>
          <w:between w:val="nil"/>
        </w:pBdr>
        <w:spacing w:line="360" w:lineRule="auto"/>
        <w:jc w:val="both"/>
        <w:rPr>
          <w:rFonts w:ascii="Palatino Linotype" w:eastAsia="Palatino Linotype" w:hAnsi="Palatino Linotype" w:cs="Palatino Linotype"/>
          <w:i/>
          <w:lang w:val="en-US"/>
        </w:rPr>
      </w:pPr>
    </w:p>
    <w:p w14:paraId="53A5BF4E" w14:textId="5811FEE6" w:rsidR="006064DB" w:rsidRPr="00030DF8" w:rsidRDefault="00E66F15" w:rsidP="006064DB">
      <w:pPr>
        <w:spacing w:line="360" w:lineRule="auto"/>
        <w:jc w:val="both"/>
        <w:rPr>
          <w:rFonts w:ascii="Palatino Linotype" w:eastAsia="Palatino Linotype" w:hAnsi="Palatino Linotype" w:cs="Palatino Linotype"/>
          <w:b/>
          <w:color w:val="000000" w:themeColor="text1"/>
          <w:lang w:val="en-US"/>
        </w:rPr>
      </w:pPr>
      <w:r w:rsidRPr="00030DF8">
        <w:rPr>
          <w:rFonts w:ascii="Palatino Linotype" w:eastAsia="Palatino Linotype" w:hAnsi="Palatino Linotype" w:cs="Palatino Linotype"/>
          <w:i/>
          <w:lang w:val="en-US"/>
        </w:rPr>
        <w:t xml:space="preserve"> </w:t>
      </w:r>
      <w:r w:rsidR="00487857" w:rsidRPr="00030DF8">
        <w:rPr>
          <w:rFonts w:ascii="Palatino Linotype" w:eastAsia="Palatino Linotype" w:hAnsi="Palatino Linotype" w:cs="Palatino Linotype"/>
          <w:i/>
          <w:lang w:val="en-US"/>
        </w:rPr>
        <w:t xml:space="preserve"> </w:t>
      </w:r>
      <w:r w:rsidR="00C636EB" w:rsidRPr="00030DF8">
        <w:rPr>
          <w:rFonts w:ascii="Palatino Linotype" w:eastAsia="Palatino Linotype" w:hAnsi="Palatino Linotype" w:cs="Palatino Linotype"/>
          <w:i/>
          <w:lang w:val="en-US"/>
        </w:rPr>
        <w:t xml:space="preserve"> </w:t>
      </w:r>
      <w:r w:rsidR="00695EA0" w:rsidRPr="00030DF8">
        <w:rPr>
          <w:rFonts w:ascii="Palatino Linotype" w:eastAsia="Palatino Linotype" w:hAnsi="Palatino Linotype" w:cs="Palatino Linotype"/>
          <w:i/>
          <w:lang w:val="en-US"/>
        </w:rPr>
        <w:t xml:space="preserve">  </w:t>
      </w:r>
      <w:r w:rsidR="00B80F41" w:rsidRPr="00030DF8">
        <w:rPr>
          <w:rFonts w:ascii="Palatino Linotype" w:eastAsia="Palatino Linotype" w:hAnsi="Palatino Linotype" w:cs="Palatino Linotype"/>
          <w:i/>
          <w:lang w:val="en-US"/>
        </w:rPr>
        <w:t xml:space="preserve"> </w:t>
      </w:r>
      <w:r w:rsidR="006064DB" w:rsidRPr="00030DF8">
        <w:rPr>
          <w:rFonts w:ascii="Palatino Linotype" w:eastAsia="Palatino Linotype" w:hAnsi="Palatino Linotype" w:cs="Palatino Linotype"/>
          <w:b/>
          <w:color w:val="000000" w:themeColor="text1"/>
          <w:lang w:val="en-US"/>
        </w:rPr>
        <w:t>0032</w:t>
      </w:r>
      <w:r w:rsidR="00E14E94" w:rsidRPr="00030DF8">
        <w:rPr>
          <w:rFonts w:ascii="Palatino Linotype" w:eastAsia="Palatino Linotype" w:hAnsi="Palatino Linotype" w:cs="Palatino Linotype"/>
          <w:b/>
          <w:color w:val="000000" w:themeColor="text1"/>
          <w:lang w:val="en-US"/>
        </w:rPr>
        <w:t>4</w:t>
      </w:r>
      <w:r w:rsidR="006064DB" w:rsidRPr="00030DF8">
        <w:rPr>
          <w:rFonts w:ascii="Palatino Linotype" w:eastAsia="Palatino Linotype" w:hAnsi="Palatino Linotype" w:cs="Palatino Linotype"/>
          <w:b/>
          <w:color w:val="000000" w:themeColor="text1"/>
          <w:lang w:val="en-US"/>
        </w:rPr>
        <w:t>/SSEM/IP/2024 - 0468</w:t>
      </w:r>
      <w:r w:rsidR="00E14E94" w:rsidRPr="00030DF8">
        <w:rPr>
          <w:rFonts w:ascii="Palatino Linotype" w:eastAsia="Palatino Linotype" w:hAnsi="Palatino Linotype" w:cs="Palatino Linotype"/>
          <w:b/>
          <w:color w:val="000000" w:themeColor="text1"/>
          <w:lang w:val="en-US"/>
        </w:rPr>
        <w:t>0</w:t>
      </w:r>
      <w:r w:rsidR="006064DB" w:rsidRPr="00030DF8">
        <w:rPr>
          <w:rFonts w:ascii="Palatino Linotype" w:eastAsia="Palatino Linotype" w:hAnsi="Palatino Linotype" w:cs="Palatino Linotype"/>
          <w:b/>
          <w:color w:val="000000" w:themeColor="text1"/>
          <w:lang w:val="en-US"/>
        </w:rPr>
        <w:t>/INFOEM/IP/RR/2024</w:t>
      </w:r>
    </w:p>
    <w:p w14:paraId="0C791E9C" w14:textId="47FF792D" w:rsidR="00CB7846" w:rsidRPr="00B276C6" w:rsidRDefault="007D6FFC">
      <w:pPr>
        <w:spacing w:line="360" w:lineRule="auto"/>
        <w:jc w:val="both"/>
        <w:rPr>
          <w:rFonts w:ascii="Palatino Linotype" w:eastAsia="Palatino Linotype" w:hAnsi="Palatino Linotype" w:cs="Palatino Linotype"/>
          <w:color w:val="000000" w:themeColor="text1"/>
        </w:rPr>
      </w:pPr>
      <w:r w:rsidRPr="00B276C6">
        <w:rPr>
          <w:rFonts w:ascii="Palatino Linotype" w:eastAsia="Palatino Linotype" w:hAnsi="Palatino Linotype" w:cs="Palatino Linotype"/>
          <w:color w:val="000000" w:themeColor="text1"/>
        </w:rPr>
        <w:t>El</w:t>
      </w:r>
      <w:r w:rsidR="006D2ED6" w:rsidRPr="00B276C6">
        <w:rPr>
          <w:rFonts w:ascii="Palatino Linotype" w:eastAsia="Palatino Linotype" w:hAnsi="Palatino Linotype" w:cs="Palatino Linotype"/>
          <w:color w:val="000000" w:themeColor="text1"/>
        </w:rPr>
        <w:t xml:space="preserve"> Sujeto Obligado otorgó </w:t>
      </w:r>
      <w:r w:rsidR="006D2ED6" w:rsidRPr="00FB093D">
        <w:rPr>
          <w:rFonts w:ascii="Palatino Linotype" w:eastAsia="Palatino Linotype" w:hAnsi="Palatino Linotype" w:cs="Palatino Linotype"/>
          <w:b/>
          <w:color w:val="000000" w:themeColor="text1"/>
        </w:rPr>
        <w:t>la respuesta</w:t>
      </w:r>
      <w:r w:rsidR="006D2ED6" w:rsidRPr="00B276C6">
        <w:rPr>
          <w:rFonts w:ascii="Palatino Linotype" w:eastAsia="Palatino Linotype" w:hAnsi="Palatino Linotype" w:cs="Palatino Linotype"/>
          <w:color w:val="000000" w:themeColor="text1"/>
        </w:rPr>
        <w:t xml:space="preserve">, adjuntado un archivo digital: </w:t>
      </w:r>
      <w:r w:rsidR="00E14E94">
        <w:rPr>
          <w:rFonts w:ascii="Palatino Linotype" w:eastAsia="Palatino Linotype" w:hAnsi="Palatino Linotype" w:cs="Palatino Linotype"/>
          <w:b/>
          <w:color w:val="000000" w:themeColor="text1"/>
        </w:rPr>
        <w:t>Respuesta 324</w:t>
      </w:r>
      <w:r w:rsidR="006D2ED6" w:rsidRPr="00B276C6">
        <w:rPr>
          <w:rFonts w:ascii="Palatino Linotype" w:eastAsia="Palatino Linotype" w:hAnsi="Palatino Linotype" w:cs="Palatino Linotype"/>
          <w:b/>
          <w:color w:val="000000" w:themeColor="text1"/>
        </w:rPr>
        <w:t>.pdf:</w:t>
      </w:r>
      <w:r w:rsidR="006D2ED6" w:rsidRPr="00B276C6">
        <w:rPr>
          <w:rFonts w:ascii="Palatino Linotype" w:eastAsia="Palatino Linotype" w:hAnsi="Palatino Linotype" w:cs="Palatino Linotype"/>
          <w:color w:val="000000" w:themeColor="text1"/>
        </w:rPr>
        <w:t xml:space="preserve"> </w:t>
      </w:r>
      <w:r w:rsidR="007C4530" w:rsidRPr="00B276C6">
        <w:rPr>
          <w:rFonts w:ascii="Palatino Linotype" w:eastAsia="Palatino Linotype" w:hAnsi="Palatino Linotype" w:cs="Palatino Linotype"/>
          <w:color w:val="000000" w:themeColor="text1"/>
        </w:rPr>
        <w:t xml:space="preserve">Oficio de fecha </w:t>
      </w:r>
      <w:r w:rsidR="00E14E94">
        <w:rPr>
          <w:rFonts w:ascii="Palatino Linotype" w:eastAsia="Palatino Linotype" w:hAnsi="Palatino Linotype" w:cs="Palatino Linotype"/>
          <w:color w:val="000000" w:themeColor="text1"/>
        </w:rPr>
        <w:t xml:space="preserve">cinco de julio de dos mil veinticuatro, firmado por la </w:t>
      </w:r>
      <w:proofErr w:type="gramStart"/>
      <w:r w:rsidR="00E14E94">
        <w:rPr>
          <w:rFonts w:ascii="Palatino Linotype" w:eastAsia="Palatino Linotype" w:hAnsi="Palatino Linotype" w:cs="Palatino Linotype"/>
          <w:color w:val="000000" w:themeColor="text1"/>
        </w:rPr>
        <w:t>Jefa</w:t>
      </w:r>
      <w:proofErr w:type="gramEnd"/>
      <w:r w:rsidR="00E14E94">
        <w:rPr>
          <w:rFonts w:ascii="Palatino Linotype" w:eastAsia="Palatino Linotype" w:hAnsi="Palatino Linotype" w:cs="Palatino Linotype"/>
          <w:color w:val="000000" w:themeColor="text1"/>
        </w:rPr>
        <w:t xml:space="preserve"> de la Unidad de Información, Planeación, Programación y Evaluación y Titular de la Unidad de </w:t>
      </w:r>
      <w:r w:rsidR="00FB093D">
        <w:rPr>
          <w:rFonts w:ascii="Palatino Linotype" w:eastAsia="Palatino Linotype" w:hAnsi="Palatino Linotype" w:cs="Palatino Linotype"/>
          <w:color w:val="000000" w:themeColor="text1"/>
        </w:rPr>
        <w:t>Transparencia</w:t>
      </w:r>
      <w:r w:rsidR="002C3F56" w:rsidRPr="00B276C6">
        <w:rPr>
          <w:rFonts w:ascii="Palatino Linotype" w:eastAsia="Palatino Linotype" w:hAnsi="Palatino Linotype" w:cs="Palatino Linotype"/>
          <w:color w:val="000000" w:themeColor="text1"/>
        </w:rPr>
        <w:t xml:space="preserve">, </w:t>
      </w:r>
      <w:r w:rsidR="007C4530" w:rsidRPr="00B276C6">
        <w:rPr>
          <w:rFonts w:ascii="Palatino Linotype" w:eastAsia="Palatino Linotype" w:hAnsi="Palatino Linotype" w:cs="Palatino Linotype"/>
          <w:color w:val="000000" w:themeColor="text1"/>
        </w:rPr>
        <w:t>en el cual entre otras cosas plasmo:</w:t>
      </w:r>
    </w:p>
    <w:p w14:paraId="1D97F1C2" w14:textId="77777777" w:rsidR="0079548F" w:rsidRPr="00B276C6" w:rsidRDefault="0079548F">
      <w:pPr>
        <w:spacing w:line="360" w:lineRule="auto"/>
        <w:jc w:val="both"/>
        <w:rPr>
          <w:rFonts w:ascii="Palatino Linotype" w:eastAsia="Palatino Linotype" w:hAnsi="Palatino Linotype" w:cs="Palatino Linotype"/>
          <w:color w:val="000000" w:themeColor="text1"/>
        </w:rPr>
      </w:pPr>
      <w:bookmarkStart w:id="1" w:name="_Hlk182335591"/>
    </w:p>
    <w:p w14:paraId="3B5B9C34" w14:textId="7453C292" w:rsidR="00E14E94" w:rsidRDefault="00E14E94" w:rsidP="00E14E94">
      <w:pPr>
        <w:pBdr>
          <w:top w:val="nil"/>
          <w:left w:val="nil"/>
          <w:bottom w:val="nil"/>
          <w:right w:val="nil"/>
          <w:between w:val="nil"/>
        </w:pBdr>
        <w:spacing w:line="360" w:lineRule="auto"/>
        <w:ind w:left="720"/>
        <w:jc w:val="both"/>
        <w:rPr>
          <w:rFonts w:ascii="Palatino Linotype" w:eastAsia="Palatino Linotype" w:hAnsi="Palatino Linotype" w:cs="Palatino Linotype"/>
          <w:i/>
        </w:rPr>
      </w:pPr>
      <w:r w:rsidRPr="00B80F41">
        <w:rPr>
          <w:rFonts w:ascii="Palatino Linotype" w:eastAsia="Palatino Linotype" w:hAnsi="Palatino Linotype" w:cs="Palatino Linotype"/>
          <w:i/>
        </w:rPr>
        <w:t>“…Mediant</w:t>
      </w:r>
      <w:r>
        <w:rPr>
          <w:rFonts w:ascii="Palatino Linotype" w:eastAsia="Palatino Linotype" w:hAnsi="Palatino Linotype" w:cs="Palatino Linotype"/>
          <w:i/>
        </w:rPr>
        <w:t>e oficio número 20600007000000S/UIPPE/097</w:t>
      </w:r>
      <w:r w:rsidR="000851AF">
        <w:rPr>
          <w:rFonts w:ascii="Palatino Linotype" w:eastAsia="Palatino Linotype" w:hAnsi="Palatino Linotype" w:cs="Palatino Linotype"/>
          <w:i/>
        </w:rPr>
        <w:t>3</w:t>
      </w:r>
      <w:r>
        <w:rPr>
          <w:rFonts w:ascii="Palatino Linotype" w:eastAsia="Palatino Linotype" w:hAnsi="Palatino Linotype" w:cs="Palatino Linotype"/>
          <w:i/>
        </w:rPr>
        <w:t>/2024 se requirió la información al Servidor Público Habilitado de la Dirección del Sistema de Desarrollo Policial de este Sujeto Obligado, quien a su vez mediante similar número 2060030</w:t>
      </w:r>
      <w:r w:rsidR="008C7F0B">
        <w:rPr>
          <w:rFonts w:ascii="Palatino Linotype" w:eastAsia="Palatino Linotype" w:hAnsi="Palatino Linotype" w:cs="Palatino Linotype"/>
          <w:i/>
        </w:rPr>
        <w:t>1</w:t>
      </w:r>
      <w:r>
        <w:rPr>
          <w:rFonts w:ascii="Palatino Linotype" w:eastAsia="Palatino Linotype" w:hAnsi="Palatino Linotype" w:cs="Palatino Linotype"/>
          <w:i/>
        </w:rPr>
        <w:t>000000L/</w:t>
      </w:r>
      <w:r w:rsidR="008C7F0B">
        <w:rPr>
          <w:rFonts w:ascii="Palatino Linotype" w:eastAsia="Palatino Linotype" w:hAnsi="Palatino Linotype" w:cs="Palatino Linotype"/>
          <w:i/>
        </w:rPr>
        <w:t>UEPE</w:t>
      </w:r>
      <w:r>
        <w:rPr>
          <w:rFonts w:ascii="Palatino Linotype" w:eastAsia="Palatino Linotype" w:hAnsi="Palatino Linotype" w:cs="Palatino Linotype"/>
          <w:i/>
        </w:rPr>
        <w:t>/</w:t>
      </w:r>
      <w:r w:rsidR="00CB041C">
        <w:rPr>
          <w:rFonts w:ascii="Palatino Linotype" w:eastAsia="Palatino Linotype" w:hAnsi="Palatino Linotype" w:cs="Palatino Linotype"/>
          <w:i/>
        </w:rPr>
        <w:t>1126</w:t>
      </w:r>
      <w:r>
        <w:rPr>
          <w:rFonts w:ascii="Palatino Linotype" w:eastAsia="Palatino Linotype" w:hAnsi="Palatino Linotype" w:cs="Palatino Linotype"/>
          <w:i/>
        </w:rPr>
        <w:t>/2024, informó:</w:t>
      </w:r>
    </w:p>
    <w:p w14:paraId="44843A53" w14:textId="77777777" w:rsidR="00E14E94" w:rsidRDefault="00E14E94" w:rsidP="00E14E94">
      <w:pPr>
        <w:pBdr>
          <w:top w:val="nil"/>
          <w:left w:val="nil"/>
          <w:bottom w:val="nil"/>
          <w:right w:val="nil"/>
          <w:between w:val="nil"/>
        </w:pBdr>
        <w:spacing w:line="360" w:lineRule="auto"/>
        <w:ind w:left="72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6B182B70" w14:textId="5A02E4B4" w:rsidR="000F4476" w:rsidRDefault="00E14E94" w:rsidP="00E14E94">
      <w:pPr>
        <w:pBdr>
          <w:top w:val="nil"/>
          <w:left w:val="nil"/>
          <w:bottom w:val="nil"/>
          <w:right w:val="nil"/>
          <w:between w:val="nil"/>
        </w:pBdr>
        <w:spacing w:line="360" w:lineRule="auto"/>
        <w:ind w:left="720"/>
        <w:jc w:val="both"/>
        <w:rPr>
          <w:rFonts w:ascii="Palatino Linotype" w:eastAsia="Palatino Linotype" w:hAnsi="Palatino Linotype" w:cs="Palatino Linotype"/>
          <w:i/>
        </w:rPr>
      </w:pPr>
      <w:r>
        <w:rPr>
          <w:rFonts w:ascii="Palatino Linotype" w:eastAsia="Palatino Linotype" w:hAnsi="Palatino Linotype" w:cs="Palatino Linotype"/>
          <w:i/>
        </w:rPr>
        <w:t xml:space="preserve">Hecha la precisión anterior, se hace de su conocimiento que </w:t>
      </w:r>
      <w:r w:rsidR="008C7F0B">
        <w:rPr>
          <w:rFonts w:ascii="Palatino Linotype" w:eastAsia="Palatino Linotype" w:hAnsi="Palatino Linotype" w:cs="Palatino Linotype"/>
          <w:i/>
        </w:rPr>
        <w:t xml:space="preserve">por cuanto hace a este Sujeto Obligado, de acuerdo con lo establecido en el Reglamento Interior de la Secretaría de Seguridad del Estado de México, publicado en el Periódico Oficial “Gaceta del Gobierno” el 20 de diciembre de 2023 y que puede consultar a través de la liga: </w:t>
      </w:r>
      <w:hyperlink r:id="rId9" w:history="1">
        <w:r w:rsidR="00C7198E" w:rsidRPr="003D4A9C">
          <w:rPr>
            <w:rStyle w:val="Hipervnculo"/>
            <w:rFonts w:ascii="Palatino Linotype" w:eastAsia="Palatino Linotype" w:hAnsi="Palatino Linotype" w:cs="Palatino Linotype"/>
            <w:i/>
          </w:rPr>
          <w:t>https://legislacion.edomex.gob.mx/sites/legislacion.edomex.gob.mx/files/files/pdf/rgl/vig/rglvig714.pdf</w:t>
        </w:r>
      </w:hyperlink>
      <w:r w:rsidR="00C7198E">
        <w:rPr>
          <w:rFonts w:ascii="Palatino Linotype" w:eastAsia="Palatino Linotype" w:hAnsi="Palatino Linotype" w:cs="Palatino Linotype"/>
          <w:i/>
        </w:rPr>
        <w:t>, así como el Manual de Procedimientos de Asignación de Evaluaciones de Control de Confianza de la Unidad de Proyectos Especiales, publicado en el Periódico Oficial “Gaceta del Gobierno”</w:t>
      </w:r>
      <w:r w:rsidR="00B257F7">
        <w:rPr>
          <w:rFonts w:ascii="Palatino Linotype" w:eastAsia="Palatino Linotype" w:hAnsi="Palatino Linotype" w:cs="Palatino Linotype"/>
          <w:i/>
        </w:rPr>
        <w:t xml:space="preserve"> el 11 de octubre de 2021 dentro del </w:t>
      </w:r>
      <w:r w:rsidR="00B257F7">
        <w:rPr>
          <w:rFonts w:ascii="Palatino Linotype" w:eastAsia="Palatino Linotype" w:hAnsi="Palatino Linotype" w:cs="Palatino Linotype"/>
          <w:i/>
        </w:rPr>
        <w:lastRenderedPageBreak/>
        <w:t xml:space="preserve">procedimiento: Verificación de la Información de Nómina, laboral y Adscripción Física del Personal Considerado para Evaluación Periódica, disponible para su consulta a través de la siguiente dirección electrónica: </w:t>
      </w:r>
      <w:hyperlink r:id="rId10" w:history="1">
        <w:r w:rsidR="00B257F7" w:rsidRPr="003D4A9C">
          <w:rPr>
            <w:rStyle w:val="Hipervnculo"/>
            <w:rFonts w:ascii="Palatino Linotype" w:eastAsia="Palatino Linotype" w:hAnsi="Palatino Linotype" w:cs="Palatino Linotype"/>
            <w:i/>
          </w:rPr>
          <w:t>https://legislacion.edomex.gob.mx/sites/legislacion.edomex.gob.mx/files/files/dpf/gct/2021/octubre/oct111/oct111b.pdf</w:t>
        </w:r>
      </w:hyperlink>
      <w:r w:rsidR="00B257F7">
        <w:rPr>
          <w:rFonts w:ascii="Palatino Linotype" w:eastAsia="Palatino Linotype" w:hAnsi="Palatino Linotype" w:cs="Palatino Linotype"/>
          <w:i/>
        </w:rPr>
        <w:t xml:space="preserve">, se señala el procedimientos de validación del listado del personal que se somete a la evaluación, que a la letra refieren lo </w:t>
      </w:r>
      <w:r w:rsidR="000F4476">
        <w:rPr>
          <w:rFonts w:ascii="Palatino Linotype" w:eastAsia="Palatino Linotype" w:hAnsi="Palatino Linotype" w:cs="Palatino Linotype"/>
          <w:i/>
        </w:rPr>
        <w:t>siguiente:</w:t>
      </w:r>
    </w:p>
    <w:p w14:paraId="67995163" w14:textId="77777777" w:rsidR="00E14E94" w:rsidRDefault="00E14E94" w:rsidP="00E14E94">
      <w:pPr>
        <w:pBdr>
          <w:top w:val="nil"/>
          <w:left w:val="nil"/>
          <w:bottom w:val="nil"/>
          <w:right w:val="nil"/>
          <w:between w:val="nil"/>
        </w:pBdr>
        <w:spacing w:line="360" w:lineRule="auto"/>
        <w:ind w:left="72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4143744A" w14:textId="77777777" w:rsidR="00BC2DEE" w:rsidRDefault="00A37854" w:rsidP="00E14E94">
      <w:pPr>
        <w:pBdr>
          <w:top w:val="nil"/>
          <w:left w:val="nil"/>
          <w:bottom w:val="nil"/>
          <w:right w:val="nil"/>
          <w:between w:val="nil"/>
        </w:pBdr>
        <w:spacing w:line="360" w:lineRule="auto"/>
        <w:ind w:left="720"/>
        <w:jc w:val="both"/>
        <w:rPr>
          <w:rFonts w:ascii="Palatino Linotype" w:eastAsia="Palatino Linotype" w:hAnsi="Palatino Linotype" w:cs="Palatino Linotype"/>
          <w:i/>
        </w:rPr>
      </w:pPr>
      <w:r>
        <w:rPr>
          <w:rFonts w:ascii="Palatino Linotype" w:eastAsia="Palatino Linotype" w:hAnsi="Palatino Linotype" w:cs="Palatino Linotype"/>
          <w:i/>
        </w:rPr>
        <w:t>Con base en la normatividad antes expuesta, el Centro de Control de Confianza del Estado, es el responsable de emitir el listado del personal adscrito a la Secretaría de Seguridad considerado para la evaluación de control de confianza, siendo la Unidad de Estudios y Proyectos Especiales la responsable de verificar la información laboral, de nómina y adscripción física de cada una de las personas servidoras públicas considerandos en dicha evaluación</w:t>
      </w:r>
      <w:r w:rsidR="00A249BD">
        <w:rPr>
          <w:rFonts w:ascii="Palatino Linotype" w:eastAsia="Palatino Linotype" w:hAnsi="Palatino Linotype" w:cs="Palatino Linotype"/>
          <w:i/>
        </w:rPr>
        <w:t>, por lo que esta Secretaría de Seguridad no determina el universo a evaluar anualmente.</w:t>
      </w:r>
    </w:p>
    <w:p w14:paraId="174B44C5" w14:textId="77777777" w:rsidR="00D77C15" w:rsidRDefault="00BC2DEE" w:rsidP="00E14E94">
      <w:pPr>
        <w:pBdr>
          <w:top w:val="nil"/>
          <w:left w:val="nil"/>
          <w:bottom w:val="nil"/>
          <w:right w:val="nil"/>
          <w:between w:val="nil"/>
        </w:pBdr>
        <w:spacing w:line="360" w:lineRule="auto"/>
        <w:ind w:left="720"/>
        <w:jc w:val="both"/>
        <w:rPr>
          <w:rFonts w:ascii="Palatino Linotype" w:eastAsia="Palatino Linotype" w:hAnsi="Palatino Linotype" w:cs="Palatino Linotype"/>
          <w:i/>
        </w:rPr>
      </w:pPr>
      <w:r>
        <w:rPr>
          <w:rFonts w:ascii="Palatino Linotype" w:eastAsia="Palatino Linotype" w:hAnsi="Palatino Linotype" w:cs="Palatino Linotype"/>
          <w:i/>
        </w:rPr>
        <w:t>Cabe mencionar que la cantidad de elementos que se evalúan anualmente, se determina con base en la asignación del recurso para evaluaciones de control de confianza, a través del Fondo de Aportaciones para la Seguridad Pública (FASP) o del Fondo</w:t>
      </w:r>
      <w:r w:rsidR="00D77C15">
        <w:rPr>
          <w:rFonts w:ascii="Palatino Linotype" w:eastAsia="Palatino Linotype" w:hAnsi="Palatino Linotype" w:cs="Palatino Linotype"/>
          <w:i/>
        </w:rPr>
        <w:t xml:space="preserve"> para el Fortalecimiento de las Instituciones de Seguridad Pública (FOFISP) y su programación se hace en función del listado remitido anualmente por el Centro de Control de Confianza del Estado de México con los elementos considerados para evaluación.</w:t>
      </w:r>
    </w:p>
    <w:p w14:paraId="6212F377" w14:textId="3C6740A5" w:rsidR="00A37854" w:rsidRDefault="00D77C15" w:rsidP="00E14E94">
      <w:pPr>
        <w:pBdr>
          <w:top w:val="nil"/>
          <w:left w:val="nil"/>
          <w:bottom w:val="nil"/>
          <w:right w:val="nil"/>
          <w:between w:val="nil"/>
        </w:pBdr>
        <w:spacing w:line="360" w:lineRule="auto"/>
        <w:ind w:left="720"/>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As</w:t>
      </w:r>
      <w:r w:rsidR="00B44F8A">
        <w:rPr>
          <w:rFonts w:ascii="Palatino Linotype" w:eastAsia="Palatino Linotype" w:hAnsi="Palatino Linotype" w:cs="Palatino Linotype"/>
          <w:i/>
        </w:rPr>
        <w:t>í</w:t>
      </w:r>
      <w:r>
        <w:rPr>
          <w:rFonts w:ascii="Palatino Linotype" w:eastAsia="Palatino Linotype" w:hAnsi="Palatino Linotype" w:cs="Palatino Linotype"/>
          <w:i/>
        </w:rPr>
        <w:t xml:space="preserve"> mismo,</w:t>
      </w:r>
      <w:r w:rsidR="00B44F8A">
        <w:rPr>
          <w:rFonts w:ascii="Palatino Linotype" w:eastAsia="Palatino Linotype" w:hAnsi="Palatino Linotype" w:cs="Palatino Linotype"/>
          <w:i/>
        </w:rPr>
        <w:t xml:space="preserve"> es importante señalar</w:t>
      </w:r>
      <w:r w:rsidR="006D7EE1">
        <w:rPr>
          <w:rFonts w:ascii="Palatino Linotype" w:eastAsia="Palatino Linotype" w:hAnsi="Palatino Linotype" w:cs="Palatino Linotype"/>
          <w:i/>
        </w:rPr>
        <w:t xml:space="preserve"> que dicha evaluación contribuye a verificar que el personal activo actúe dentro del marco de conducta que dicta la normatividad institucional, así como que el personal de nuevo ingreso se apegue a los principios </w:t>
      </w:r>
      <w:r w:rsidR="00262D99">
        <w:rPr>
          <w:rFonts w:ascii="Palatino Linotype" w:eastAsia="Palatino Linotype" w:hAnsi="Palatino Linotype" w:cs="Palatino Linotype"/>
          <w:i/>
        </w:rPr>
        <w:t>institucionales de acuerdo al perfil de puesto; derivado de ello en su caso se emite la certificación correspondiente</w:t>
      </w:r>
      <w:r w:rsidR="009F1E07">
        <w:rPr>
          <w:rFonts w:ascii="Palatino Linotype" w:eastAsia="Palatino Linotype" w:hAnsi="Palatino Linotype" w:cs="Palatino Linotype"/>
          <w:i/>
        </w:rPr>
        <w:t>.</w:t>
      </w:r>
    </w:p>
    <w:p w14:paraId="7456250E" w14:textId="77777777" w:rsidR="00E27B3F" w:rsidRDefault="009F1E07" w:rsidP="00E27B3F">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themeColor="text1"/>
          <w:sz w:val="22"/>
          <w:szCs w:val="22"/>
        </w:rPr>
      </w:pPr>
      <w:r>
        <w:rPr>
          <w:rFonts w:ascii="Palatino Linotype" w:eastAsia="Palatino Linotype" w:hAnsi="Palatino Linotype" w:cs="Palatino Linotype"/>
          <w:i/>
        </w:rPr>
        <w:t>Ahora bien, respecto de los argumentos jurídicos que justifican la aportación de arma y la permanencia dentro de la Institución, con fundamento en lo establecido en el artículo 69 y 152 de la Ley de Seguridad del Estado de México, publicada en el Periódico Oficial “Gaceta del Gobierno”</w:t>
      </w:r>
      <w:r w:rsidR="00E27B3F">
        <w:rPr>
          <w:rFonts w:ascii="Palatino Linotype" w:eastAsia="Palatino Linotype" w:hAnsi="Palatino Linotype" w:cs="Palatino Linotype"/>
          <w:i/>
        </w:rPr>
        <w:t xml:space="preserve"> el día 19 de octubre de 2011, señala lo correspondiente a la portación de armas, así como a la permanencia de los servidores públicos de las Instituciones de Seguridad Pública</w:t>
      </w:r>
      <w:r w:rsidR="00EA2F27" w:rsidRPr="00B276C6">
        <w:rPr>
          <w:rFonts w:ascii="Palatino Linotype" w:eastAsia="Palatino Linotype" w:hAnsi="Palatino Linotype" w:cs="Palatino Linotype"/>
          <w:i/>
          <w:color w:val="000000" w:themeColor="text1"/>
          <w:sz w:val="22"/>
          <w:szCs w:val="22"/>
        </w:rPr>
        <w:t>…</w:t>
      </w:r>
    </w:p>
    <w:p w14:paraId="513E762D" w14:textId="77777777" w:rsidR="00CD4C8E" w:rsidRPr="00284B24" w:rsidRDefault="00CD4C8E" w:rsidP="00E27B3F">
      <w:pPr>
        <w:pBdr>
          <w:top w:val="nil"/>
          <w:left w:val="nil"/>
          <w:bottom w:val="nil"/>
          <w:right w:val="nil"/>
          <w:between w:val="nil"/>
        </w:pBdr>
        <w:spacing w:line="360" w:lineRule="auto"/>
        <w:ind w:left="720"/>
        <w:jc w:val="both"/>
        <w:rPr>
          <w:rFonts w:ascii="Palatino Linotype" w:eastAsia="Palatino Linotype" w:hAnsi="Palatino Linotype" w:cs="Palatino Linotype"/>
          <w:i/>
        </w:rPr>
      </w:pPr>
      <w:r>
        <w:rPr>
          <w:rFonts w:ascii="Palatino Linotype" w:eastAsia="Palatino Linotype" w:hAnsi="Palatino Linotype" w:cs="Palatino Linotype"/>
          <w:i/>
        </w:rPr>
        <w:t xml:space="preserve">No </w:t>
      </w:r>
      <w:r w:rsidRPr="00284B24">
        <w:rPr>
          <w:rFonts w:ascii="Palatino Linotype" w:eastAsia="Palatino Linotype" w:hAnsi="Palatino Linotype" w:cs="Palatino Linotype"/>
          <w:i/>
        </w:rPr>
        <w:t>obstante lo anterior, se sugiere respetuosamente dirigir su solicitud al Módulo de Información Pública siguiente, ya que pudiera tener mayor información al respecto:</w:t>
      </w:r>
    </w:p>
    <w:p w14:paraId="0AD431A9" w14:textId="77777777" w:rsidR="00C66F83" w:rsidRDefault="00CD4C8E" w:rsidP="00374B2B">
      <w:pPr>
        <w:pStyle w:val="Prrafodelista"/>
        <w:numPr>
          <w:ilvl w:val="0"/>
          <w:numId w:val="4"/>
        </w:numPr>
        <w:pBdr>
          <w:top w:val="nil"/>
          <w:left w:val="nil"/>
          <w:bottom w:val="nil"/>
          <w:right w:val="nil"/>
          <w:between w:val="nil"/>
        </w:pBdr>
        <w:tabs>
          <w:tab w:val="left" w:pos="1134"/>
        </w:tabs>
        <w:spacing w:line="360" w:lineRule="auto"/>
        <w:ind w:left="709" w:firstLine="0"/>
        <w:jc w:val="both"/>
        <w:rPr>
          <w:rFonts w:ascii="Palatino Linotype" w:eastAsia="Palatino Linotype" w:hAnsi="Palatino Linotype" w:cs="Palatino Linotype"/>
          <w:i/>
          <w:color w:val="000000" w:themeColor="text1"/>
        </w:rPr>
      </w:pPr>
      <w:r w:rsidRPr="00284B24">
        <w:rPr>
          <w:rFonts w:ascii="Palatino Linotype" w:eastAsia="Palatino Linotype" w:hAnsi="Palatino Linotype" w:cs="Palatino Linotype"/>
          <w:i/>
          <w:color w:val="000000" w:themeColor="text1"/>
        </w:rPr>
        <w:t>Secretariado Ejecutivo del Sistema Nacional</w:t>
      </w:r>
      <w:r w:rsidR="00C66F83">
        <w:rPr>
          <w:rFonts w:ascii="Palatino Linotype" w:eastAsia="Palatino Linotype" w:hAnsi="Palatino Linotype" w:cs="Palatino Linotype"/>
          <w:i/>
          <w:color w:val="000000" w:themeColor="text1"/>
        </w:rPr>
        <w:t xml:space="preserve"> de Seguridad Pública, a través del Centro Nacional de Certificación y Acreditación, con domicilio en Avenida Mariano Escobedo, número 456, colonia Anzures, C.P. 11590, Ciudad de México.</w:t>
      </w:r>
    </w:p>
    <w:p w14:paraId="692263F5" w14:textId="6779AC6D" w:rsidR="005D19D8" w:rsidRPr="00C66F83" w:rsidRDefault="00C66F83" w:rsidP="00C66F83">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themeColor="text1"/>
        </w:rPr>
      </w:pPr>
      <w:r>
        <w:rPr>
          <w:rFonts w:ascii="Palatino Linotype" w:eastAsia="Palatino Linotype" w:hAnsi="Palatino Linotype" w:cs="Palatino Linotype"/>
          <w:i/>
          <w:color w:val="000000" w:themeColor="text1"/>
        </w:rPr>
        <w:t>O bie</w:t>
      </w:r>
      <w:r w:rsidR="00E778EE">
        <w:rPr>
          <w:rFonts w:ascii="Palatino Linotype" w:eastAsia="Palatino Linotype" w:hAnsi="Palatino Linotype" w:cs="Palatino Linotype"/>
          <w:i/>
          <w:color w:val="000000" w:themeColor="text1"/>
        </w:rPr>
        <w:t>n, a través de la Plataforma Nacional de Transparencia</w:t>
      </w:r>
      <w:r w:rsidR="005A3FD2">
        <w:rPr>
          <w:rFonts w:ascii="Palatino Linotype" w:eastAsia="Palatino Linotype" w:hAnsi="Palatino Linotype" w:cs="Palatino Linotype"/>
          <w:i/>
          <w:color w:val="000000" w:themeColor="text1"/>
        </w:rPr>
        <w:t xml:space="preserve"> (PNT)</w:t>
      </w:r>
      <w:r w:rsidR="00CB24BA">
        <w:rPr>
          <w:rFonts w:ascii="Palatino Linotype" w:eastAsia="Palatino Linotype" w:hAnsi="Palatino Linotype" w:cs="Palatino Linotype"/>
          <w:i/>
          <w:color w:val="000000" w:themeColor="text1"/>
        </w:rPr>
        <w:t>…”</w:t>
      </w:r>
      <w:r w:rsidR="00EA2F27" w:rsidRPr="00C66F83">
        <w:rPr>
          <w:rFonts w:ascii="Palatino Linotype" w:eastAsia="Palatino Linotype" w:hAnsi="Palatino Linotype" w:cs="Palatino Linotype"/>
          <w:color w:val="000000" w:themeColor="text1"/>
        </w:rPr>
        <w:t xml:space="preserve"> (Sic)</w:t>
      </w:r>
      <w:r w:rsidR="0053030D" w:rsidRPr="00C66F83">
        <w:rPr>
          <w:rFonts w:ascii="Palatino Linotype" w:eastAsia="Palatino Linotype" w:hAnsi="Palatino Linotype" w:cs="Palatino Linotype"/>
          <w:i/>
          <w:color w:val="000000" w:themeColor="text1"/>
        </w:rPr>
        <w:t xml:space="preserve"> </w:t>
      </w:r>
    </w:p>
    <w:p w14:paraId="6761AEF4" w14:textId="77777777" w:rsidR="00CB7846" w:rsidRPr="00B276C6" w:rsidRDefault="00CB7846">
      <w:pPr>
        <w:spacing w:line="360" w:lineRule="auto"/>
        <w:jc w:val="both"/>
        <w:rPr>
          <w:rFonts w:ascii="Palatino Linotype" w:eastAsia="Palatino Linotype" w:hAnsi="Palatino Linotype" w:cs="Palatino Linotype"/>
          <w:i/>
          <w:color w:val="7030A0"/>
        </w:rPr>
      </w:pPr>
    </w:p>
    <w:bookmarkEnd w:id="1"/>
    <w:p w14:paraId="35331FED" w14:textId="7EAF16FB" w:rsidR="00CB7846" w:rsidRPr="00B276C6" w:rsidRDefault="007C4530" w:rsidP="00374B2B">
      <w:pPr>
        <w:numPr>
          <w:ilvl w:val="0"/>
          <w:numId w:val="2"/>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i/>
          <w:color w:val="7030A0"/>
        </w:rPr>
      </w:pPr>
      <w:r w:rsidRPr="00B276C6">
        <w:rPr>
          <w:rFonts w:ascii="Palatino Linotype" w:eastAsia="Palatino Linotype" w:hAnsi="Palatino Linotype" w:cs="Palatino Linotype"/>
          <w:color w:val="000000" w:themeColor="text1"/>
        </w:rPr>
        <w:t xml:space="preserve">En fecha </w:t>
      </w:r>
      <w:r w:rsidR="00DD47FB" w:rsidRPr="00B276C6">
        <w:rPr>
          <w:rFonts w:ascii="Palatino Linotype" w:eastAsia="Palatino Linotype" w:hAnsi="Palatino Linotype" w:cs="Palatino Linotype"/>
          <w:b/>
          <w:color w:val="000000" w:themeColor="text1"/>
        </w:rPr>
        <w:t xml:space="preserve">cinco de </w:t>
      </w:r>
      <w:r w:rsidR="00A95D2B">
        <w:rPr>
          <w:rFonts w:ascii="Palatino Linotype" w:eastAsia="Palatino Linotype" w:hAnsi="Palatino Linotype" w:cs="Palatino Linotype"/>
          <w:b/>
          <w:color w:val="000000" w:themeColor="text1"/>
        </w:rPr>
        <w:t>agosto</w:t>
      </w:r>
      <w:r w:rsidR="00BE0FCB" w:rsidRPr="00B276C6">
        <w:rPr>
          <w:rFonts w:ascii="Palatino Linotype" w:eastAsia="Palatino Linotype" w:hAnsi="Palatino Linotype" w:cs="Palatino Linotype"/>
          <w:b/>
          <w:color w:val="000000" w:themeColor="text1"/>
        </w:rPr>
        <w:t xml:space="preserve"> de dos mil veinticuatro</w:t>
      </w:r>
      <w:r w:rsidRPr="00B276C6">
        <w:rPr>
          <w:rFonts w:ascii="Palatino Linotype" w:eastAsia="Palatino Linotype" w:hAnsi="Palatino Linotype" w:cs="Palatino Linotype"/>
          <w:b/>
          <w:color w:val="7030A0"/>
        </w:rPr>
        <w:t>,</w:t>
      </w:r>
      <w:r w:rsidRPr="00B276C6">
        <w:rPr>
          <w:rFonts w:ascii="Palatino Linotype" w:eastAsia="Palatino Linotype" w:hAnsi="Palatino Linotype" w:cs="Palatino Linotype"/>
          <w:color w:val="7030A0"/>
        </w:rPr>
        <w:t xml:space="preserve"> </w:t>
      </w:r>
      <w:r w:rsidRPr="00B276C6">
        <w:rPr>
          <w:rFonts w:ascii="Palatino Linotype" w:eastAsia="Palatino Linotype" w:hAnsi="Palatino Linotype" w:cs="Palatino Linotype"/>
        </w:rPr>
        <w:t>el particular interpuso el recurso de revisión en contra de la respuesta, manifestando las siguientes razones o motivos de inconformidad:</w:t>
      </w:r>
    </w:p>
    <w:p w14:paraId="055C933B" w14:textId="77777777" w:rsidR="00CB7846" w:rsidRPr="00B276C6" w:rsidRDefault="00CB7846">
      <w:pPr>
        <w:pBdr>
          <w:top w:val="nil"/>
          <w:left w:val="nil"/>
          <w:bottom w:val="nil"/>
          <w:right w:val="nil"/>
          <w:between w:val="nil"/>
        </w:pBdr>
        <w:spacing w:line="360" w:lineRule="auto"/>
        <w:ind w:right="49"/>
        <w:jc w:val="both"/>
        <w:rPr>
          <w:rFonts w:ascii="Palatino Linotype" w:eastAsia="Palatino Linotype" w:hAnsi="Palatino Linotype" w:cs="Palatino Linotype"/>
          <w:i/>
          <w:color w:val="7030A0"/>
        </w:rPr>
      </w:pPr>
    </w:p>
    <w:p w14:paraId="4B88E087" w14:textId="17F90EB1" w:rsidR="00CB7846" w:rsidRPr="00B276C6" w:rsidRDefault="007C4530">
      <w:p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themeColor="text1"/>
        </w:rPr>
      </w:pPr>
      <w:r w:rsidRPr="00B276C6">
        <w:rPr>
          <w:rFonts w:ascii="Palatino Linotype" w:eastAsia="Palatino Linotype" w:hAnsi="Palatino Linotype" w:cs="Palatino Linotype"/>
          <w:b/>
          <w:color w:val="000000" w:themeColor="text1"/>
        </w:rPr>
        <w:t>0</w:t>
      </w:r>
      <w:r w:rsidR="00A95D2B">
        <w:rPr>
          <w:rFonts w:ascii="Palatino Linotype" w:eastAsia="Palatino Linotype" w:hAnsi="Palatino Linotype" w:cs="Palatino Linotype"/>
          <w:b/>
          <w:color w:val="000000" w:themeColor="text1"/>
        </w:rPr>
        <w:t>4678</w:t>
      </w:r>
      <w:r w:rsidRPr="00B276C6">
        <w:rPr>
          <w:rFonts w:ascii="Palatino Linotype" w:eastAsia="Palatino Linotype" w:hAnsi="Palatino Linotype" w:cs="Palatino Linotype"/>
          <w:b/>
          <w:color w:val="000000" w:themeColor="text1"/>
        </w:rPr>
        <w:t>/INFOEM/IP/RR/2024</w:t>
      </w:r>
    </w:p>
    <w:p w14:paraId="5D1A6752" w14:textId="2B3175E9" w:rsidR="00CB7846" w:rsidRPr="007D17DE" w:rsidRDefault="007C4530" w:rsidP="00DD356C">
      <w:pPr>
        <w:spacing w:line="360" w:lineRule="auto"/>
        <w:ind w:firstLine="709"/>
        <w:jc w:val="both"/>
        <w:rPr>
          <w:rFonts w:ascii="Palatino Linotype" w:eastAsia="Palatino Linotype" w:hAnsi="Palatino Linotype" w:cs="Palatino Linotype"/>
          <w:i/>
          <w:color w:val="000000" w:themeColor="text1"/>
        </w:rPr>
      </w:pPr>
      <w:bookmarkStart w:id="2" w:name="_heading=h.tyjcwt" w:colFirst="0" w:colLast="0"/>
      <w:bookmarkEnd w:id="2"/>
      <w:r w:rsidRPr="007D17DE">
        <w:rPr>
          <w:rFonts w:ascii="Palatino Linotype" w:eastAsia="Palatino Linotype" w:hAnsi="Palatino Linotype" w:cs="Palatino Linotype"/>
          <w:b/>
          <w:color w:val="000000" w:themeColor="text1"/>
        </w:rPr>
        <w:t xml:space="preserve">Acto impugnado: </w:t>
      </w:r>
      <w:r w:rsidRPr="007D17DE">
        <w:rPr>
          <w:rFonts w:ascii="Palatino Linotype" w:eastAsia="Palatino Linotype" w:hAnsi="Palatino Linotype" w:cs="Palatino Linotype"/>
          <w:i/>
          <w:color w:val="000000" w:themeColor="text1"/>
        </w:rPr>
        <w:t>“</w:t>
      </w:r>
      <w:r w:rsidR="00A95D2B" w:rsidRPr="007D17DE">
        <w:rPr>
          <w:rFonts w:ascii="Palatino Linotype" w:hAnsi="Palatino Linotype"/>
          <w:i/>
          <w:color w:val="000000"/>
        </w:rPr>
        <w:t>Falta de información y precisión en la misma</w:t>
      </w:r>
      <w:r w:rsidRPr="007D17DE">
        <w:rPr>
          <w:rFonts w:ascii="Palatino Linotype" w:eastAsia="Palatino Linotype" w:hAnsi="Palatino Linotype" w:cs="Palatino Linotype"/>
          <w:i/>
          <w:color w:val="000000" w:themeColor="text1"/>
        </w:rPr>
        <w:t xml:space="preserve">” </w:t>
      </w:r>
      <w:r w:rsidRPr="007D17DE">
        <w:rPr>
          <w:rFonts w:ascii="Palatino Linotype" w:eastAsia="Palatino Linotype" w:hAnsi="Palatino Linotype" w:cs="Palatino Linotype"/>
          <w:color w:val="000000" w:themeColor="text1"/>
        </w:rPr>
        <w:t>(Sic)</w:t>
      </w:r>
    </w:p>
    <w:p w14:paraId="58FA8B2E" w14:textId="6E6AF8EA" w:rsidR="00CB7846" w:rsidRPr="007D17DE" w:rsidRDefault="007C4530">
      <w:pPr>
        <w:pBdr>
          <w:top w:val="nil"/>
          <w:left w:val="nil"/>
          <w:bottom w:val="nil"/>
          <w:right w:val="nil"/>
          <w:between w:val="nil"/>
        </w:pBdr>
        <w:spacing w:line="360" w:lineRule="auto"/>
        <w:ind w:left="709"/>
        <w:jc w:val="both"/>
        <w:rPr>
          <w:rFonts w:ascii="Palatino Linotype" w:eastAsia="Palatino Linotype" w:hAnsi="Palatino Linotype" w:cs="Palatino Linotype"/>
          <w:color w:val="000000" w:themeColor="text1"/>
        </w:rPr>
      </w:pPr>
      <w:bookmarkStart w:id="3" w:name="_heading=h.1t3h5sf" w:colFirst="0" w:colLast="0"/>
      <w:bookmarkEnd w:id="3"/>
      <w:r w:rsidRPr="007D17DE">
        <w:rPr>
          <w:rFonts w:ascii="Palatino Linotype" w:eastAsia="Palatino Linotype" w:hAnsi="Palatino Linotype" w:cs="Palatino Linotype"/>
          <w:b/>
          <w:color w:val="000000" w:themeColor="text1"/>
        </w:rPr>
        <w:t xml:space="preserve">Razones o Motivos de inconformidad: </w:t>
      </w:r>
      <w:r w:rsidRPr="007D17DE">
        <w:rPr>
          <w:rFonts w:ascii="Palatino Linotype" w:eastAsia="Palatino Linotype" w:hAnsi="Palatino Linotype" w:cs="Palatino Linotype"/>
          <w:i/>
          <w:color w:val="7030A0"/>
        </w:rPr>
        <w:t>“</w:t>
      </w:r>
      <w:r w:rsidR="00E76051" w:rsidRPr="007D17DE">
        <w:rPr>
          <w:rFonts w:ascii="Palatino Linotype" w:hAnsi="Palatino Linotype"/>
          <w:i/>
          <w:color w:val="000000"/>
        </w:rPr>
        <w:t xml:space="preserve">Dentro de la solicitud de información se cuestiona el número de elementos aprobados con restricciones durante el ejercicio 2022 y 2023 y que avance de </w:t>
      </w:r>
      <w:proofErr w:type="spellStart"/>
      <w:r w:rsidR="00E76051" w:rsidRPr="007D17DE">
        <w:rPr>
          <w:rFonts w:ascii="Palatino Linotype" w:hAnsi="Palatino Linotype"/>
          <w:i/>
          <w:color w:val="000000"/>
        </w:rPr>
        <w:t>solventación</w:t>
      </w:r>
      <w:proofErr w:type="spellEnd"/>
      <w:r w:rsidR="00E76051" w:rsidRPr="007D17DE">
        <w:rPr>
          <w:rFonts w:ascii="Palatino Linotype" w:hAnsi="Palatino Linotype"/>
          <w:i/>
          <w:color w:val="000000"/>
        </w:rPr>
        <w:t xml:space="preserve"> se tiene</w:t>
      </w:r>
      <w:r w:rsidRPr="007D17DE">
        <w:rPr>
          <w:rFonts w:ascii="Palatino Linotype" w:eastAsia="Palatino Linotype" w:hAnsi="Palatino Linotype" w:cs="Palatino Linotype"/>
          <w:i/>
          <w:color w:val="000000" w:themeColor="text1"/>
        </w:rPr>
        <w:t>”</w:t>
      </w:r>
      <w:r w:rsidR="00117156" w:rsidRPr="007D17DE">
        <w:rPr>
          <w:rFonts w:ascii="Palatino Linotype" w:eastAsia="Palatino Linotype" w:hAnsi="Palatino Linotype" w:cs="Palatino Linotype"/>
          <w:color w:val="000000" w:themeColor="text1"/>
        </w:rPr>
        <w:t xml:space="preserve"> (Sic)</w:t>
      </w:r>
    </w:p>
    <w:p w14:paraId="1EBA4E1D" w14:textId="77777777" w:rsidR="006579CE" w:rsidRPr="007D17DE" w:rsidRDefault="006579CE">
      <w:pPr>
        <w:pBdr>
          <w:top w:val="nil"/>
          <w:left w:val="nil"/>
          <w:bottom w:val="nil"/>
          <w:right w:val="nil"/>
          <w:between w:val="nil"/>
        </w:pBdr>
        <w:spacing w:line="360" w:lineRule="auto"/>
        <w:ind w:left="709"/>
        <w:jc w:val="both"/>
        <w:rPr>
          <w:rFonts w:ascii="Palatino Linotype" w:eastAsia="Palatino Linotype" w:hAnsi="Palatino Linotype" w:cs="Palatino Linotype"/>
        </w:rPr>
      </w:pPr>
    </w:p>
    <w:p w14:paraId="6C535F50" w14:textId="57B5D7D4" w:rsidR="006579CE" w:rsidRPr="007D17DE" w:rsidRDefault="00680DD4" w:rsidP="007A41DE">
      <w:pPr>
        <w:spacing w:line="360" w:lineRule="auto"/>
        <w:ind w:left="720" w:hanging="720"/>
        <w:jc w:val="both"/>
        <w:rPr>
          <w:rFonts w:ascii="Palatino Linotype" w:eastAsia="Palatino Linotype" w:hAnsi="Palatino Linotype" w:cs="Palatino Linotype"/>
          <w:b/>
        </w:rPr>
      </w:pPr>
      <w:r w:rsidRPr="007D17DE">
        <w:rPr>
          <w:rFonts w:ascii="Palatino Linotype" w:eastAsia="Palatino Linotype" w:hAnsi="Palatino Linotype" w:cs="Palatino Linotype"/>
          <w:b/>
        </w:rPr>
        <w:t>0</w:t>
      </w:r>
      <w:r w:rsidR="006579CE" w:rsidRPr="007D17DE">
        <w:rPr>
          <w:rFonts w:ascii="Palatino Linotype" w:eastAsia="Palatino Linotype" w:hAnsi="Palatino Linotype" w:cs="Palatino Linotype"/>
          <w:b/>
        </w:rPr>
        <w:t>4</w:t>
      </w:r>
      <w:r w:rsidRPr="007D17DE">
        <w:rPr>
          <w:rFonts w:ascii="Palatino Linotype" w:eastAsia="Palatino Linotype" w:hAnsi="Palatino Linotype" w:cs="Palatino Linotype"/>
          <w:b/>
        </w:rPr>
        <w:t>680</w:t>
      </w:r>
      <w:r w:rsidR="006579CE" w:rsidRPr="007D17DE">
        <w:rPr>
          <w:rFonts w:ascii="Palatino Linotype" w:eastAsia="Palatino Linotype" w:hAnsi="Palatino Linotype" w:cs="Palatino Linotype"/>
          <w:b/>
        </w:rPr>
        <w:t>/INFOEM/IP/RR/2024</w:t>
      </w:r>
    </w:p>
    <w:p w14:paraId="557C636B" w14:textId="3DE97FAD" w:rsidR="006579CE" w:rsidRPr="007D17DE" w:rsidRDefault="006579CE" w:rsidP="006579CE">
      <w:pPr>
        <w:spacing w:line="360" w:lineRule="auto"/>
        <w:ind w:left="284"/>
        <w:jc w:val="both"/>
        <w:rPr>
          <w:rFonts w:ascii="Palatino Linotype" w:eastAsia="Palatino Linotype" w:hAnsi="Palatino Linotype" w:cs="Palatino Linotype"/>
          <w:i/>
        </w:rPr>
      </w:pPr>
      <w:r w:rsidRPr="007D17DE">
        <w:rPr>
          <w:rFonts w:ascii="Palatino Linotype" w:eastAsia="Palatino Linotype" w:hAnsi="Palatino Linotype" w:cs="Palatino Linotype"/>
          <w:b/>
        </w:rPr>
        <w:t xml:space="preserve">Acto impugnado: </w:t>
      </w:r>
      <w:r w:rsidRPr="007D17DE">
        <w:rPr>
          <w:rFonts w:ascii="Palatino Linotype" w:eastAsia="Palatino Linotype" w:hAnsi="Palatino Linotype" w:cs="Palatino Linotype"/>
          <w:i/>
        </w:rPr>
        <w:t>“</w:t>
      </w:r>
      <w:r w:rsidR="00EA03D5" w:rsidRPr="007D17DE">
        <w:rPr>
          <w:rFonts w:ascii="Palatino Linotype" w:hAnsi="Palatino Linotype"/>
          <w:i/>
          <w:color w:val="000000"/>
        </w:rPr>
        <w:t>La información otorgada no corresponde a lo solicitado</w:t>
      </w:r>
      <w:r w:rsidRPr="007D17DE">
        <w:rPr>
          <w:rFonts w:ascii="Palatino Linotype" w:eastAsia="Palatino Linotype" w:hAnsi="Palatino Linotype" w:cs="Palatino Linotype"/>
          <w:i/>
        </w:rPr>
        <w:t xml:space="preserve">” </w:t>
      </w:r>
      <w:r w:rsidRPr="007D17DE">
        <w:rPr>
          <w:rFonts w:ascii="Palatino Linotype" w:eastAsia="Palatino Linotype" w:hAnsi="Palatino Linotype" w:cs="Palatino Linotype"/>
        </w:rPr>
        <w:t>(Sic)</w:t>
      </w:r>
    </w:p>
    <w:p w14:paraId="1FFED451" w14:textId="01CD6604" w:rsidR="006579CE" w:rsidRPr="007D17DE" w:rsidRDefault="006579CE" w:rsidP="006579CE">
      <w:pPr>
        <w:pBdr>
          <w:top w:val="nil"/>
          <w:left w:val="nil"/>
          <w:bottom w:val="nil"/>
          <w:right w:val="nil"/>
          <w:between w:val="nil"/>
        </w:pBdr>
        <w:spacing w:line="360" w:lineRule="auto"/>
        <w:ind w:left="284"/>
        <w:jc w:val="both"/>
        <w:rPr>
          <w:rFonts w:ascii="Palatino Linotype" w:eastAsia="Palatino Linotype" w:hAnsi="Palatino Linotype" w:cs="Palatino Linotype"/>
        </w:rPr>
      </w:pPr>
      <w:r w:rsidRPr="007D17DE">
        <w:rPr>
          <w:rFonts w:ascii="Palatino Linotype" w:eastAsia="Palatino Linotype" w:hAnsi="Palatino Linotype" w:cs="Palatino Linotype"/>
          <w:b/>
        </w:rPr>
        <w:t xml:space="preserve">Razones o Motivos de inconformidad: </w:t>
      </w:r>
      <w:r w:rsidRPr="007D17DE">
        <w:rPr>
          <w:rFonts w:ascii="Palatino Linotype" w:eastAsia="Palatino Linotype" w:hAnsi="Palatino Linotype" w:cs="Palatino Linotype"/>
          <w:i/>
        </w:rPr>
        <w:t>“</w:t>
      </w:r>
      <w:r w:rsidR="00EA03D5" w:rsidRPr="007D17DE">
        <w:rPr>
          <w:rFonts w:ascii="Palatino Linotype" w:hAnsi="Palatino Linotype"/>
          <w:i/>
          <w:color w:val="000000"/>
        </w:rPr>
        <w:t>Un manual de procedimientos interno de la Unidad de Estudios y Proyectos Especiales no es una normatividad legal y de carácter general y no aplica para el Centro de Control de Confianza, así mismo el Centro de Control de Confianza por la naturaleza de sus funciones no tiene acceso a las altas nominales y el solo determina el personal a evaluar de acuerdo a los antecedentes de procesos anteriores. Por esta razón la respuesta otorgada no corresponde a lo solicitado.</w:t>
      </w:r>
      <w:r w:rsidRPr="007D17DE">
        <w:rPr>
          <w:rFonts w:ascii="Palatino Linotype" w:eastAsia="Palatino Linotype" w:hAnsi="Palatino Linotype" w:cs="Palatino Linotype"/>
          <w:i/>
        </w:rPr>
        <w:t>”</w:t>
      </w:r>
      <w:r w:rsidRPr="007D17DE">
        <w:rPr>
          <w:rFonts w:ascii="Palatino Linotype" w:eastAsia="Palatino Linotype" w:hAnsi="Palatino Linotype" w:cs="Palatino Linotype"/>
        </w:rPr>
        <w:t xml:space="preserve"> (Sic)</w:t>
      </w:r>
    </w:p>
    <w:p w14:paraId="771E593B" w14:textId="77777777" w:rsidR="00CB7846" w:rsidRPr="00B276C6" w:rsidRDefault="00CB7846">
      <w:pPr>
        <w:pBdr>
          <w:top w:val="nil"/>
          <w:left w:val="nil"/>
          <w:bottom w:val="nil"/>
          <w:right w:val="nil"/>
          <w:between w:val="nil"/>
        </w:pBdr>
        <w:spacing w:line="360" w:lineRule="auto"/>
        <w:jc w:val="both"/>
        <w:rPr>
          <w:rFonts w:ascii="Palatino Linotype" w:eastAsia="Palatino Linotype" w:hAnsi="Palatino Linotype" w:cs="Palatino Linotype"/>
          <w:b/>
          <w:i/>
          <w:color w:val="7030A0"/>
          <w:sz w:val="26"/>
          <w:szCs w:val="26"/>
        </w:rPr>
      </w:pPr>
    </w:p>
    <w:p w14:paraId="62521FE5" w14:textId="77777777" w:rsidR="00CB7846" w:rsidRPr="00B276C6" w:rsidRDefault="007C4530" w:rsidP="00374B2B">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B276C6">
        <w:rPr>
          <w:rFonts w:ascii="Palatino Linotype" w:eastAsia="Palatino Linotype" w:hAnsi="Palatino Linotype" w:cs="Palatino Linotype"/>
          <w:color w:val="000000" w:themeColor="text1"/>
        </w:rPr>
        <w:t xml:space="preserve">Se registraron los recursos de revisión bajo los números de expediente al rubro indicado, asimismo con fundamento en lo dispuesto por el artículo 185 fracción I de la </w:t>
      </w:r>
      <w:r w:rsidRPr="00B276C6">
        <w:rPr>
          <w:rFonts w:ascii="Palatino Linotype" w:eastAsia="Palatino Linotype" w:hAnsi="Palatino Linotype" w:cs="Palatino Linotype"/>
          <w:b/>
          <w:color w:val="000000" w:themeColor="text1"/>
        </w:rPr>
        <w:t xml:space="preserve">Ley de Transparencia y Acceso a la Información Pública del Estado de México y Municipios </w:t>
      </w:r>
      <w:r w:rsidRPr="00B276C6">
        <w:rPr>
          <w:rFonts w:ascii="Palatino Linotype" w:eastAsia="Palatino Linotype" w:hAnsi="Palatino Linotype" w:cs="Palatino Linotype"/>
          <w:color w:val="000000" w:themeColor="text1"/>
        </w:rPr>
        <w:t xml:space="preserve">se turnó a la </w:t>
      </w:r>
      <w:r w:rsidRPr="00B276C6">
        <w:rPr>
          <w:rFonts w:ascii="Palatino Linotype" w:eastAsia="Palatino Linotype" w:hAnsi="Palatino Linotype" w:cs="Palatino Linotype"/>
          <w:b/>
          <w:color w:val="000000" w:themeColor="text1"/>
        </w:rPr>
        <w:t xml:space="preserve">Comisionada María del Rosario Mejía Ayala, </w:t>
      </w:r>
      <w:r w:rsidRPr="00B276C6">
        <w:rPr>
          <w:rFonts w:ascii="Palatino Linotype" w:eastAsia="Palatino Linotype" w:hAnsi="Palatino Linotype" w:cs="Palatino Linotype"/>
          <w:color w:val="000000" w:themeColor="text1"/>
        </w:rPr>
        <w:t xml:space="preserve">para su análisis. </w:t>
      </w:r>
    </w:p>
    <w:p w14:paraId="039E90F3" w14:textId="77777777" w:rsidR="00CB7846" w:rsidRPr="00B276C6" w:rsidRDefault="00CB7846">
      <w:pPr>
        <w:spacing w:line="360" w:lineRule="auto"/>
        <w:jc w:val="both"/>
        <w:rPr>
          <w:rFonts w:ascii="Palatino Linotype" w:eastAsia="Palatino Linotype" w:hAnsi="Palatino Linotype" w:cs="Palatino Linotype"/>
          <w:color w:val="7030A0"/>
        </w:rPr>
      </w:pPr>
    </w:p>
    <w:p w14:paraId="752B7E4F" w14:textId="2B83C2D1" w:rsidR="00CB7846" w:rsidRPr="00B276C6" w:rsidRDefault="007C4530" w:rsidP="00374B2B">
      <w:pPr>
        <w:numPr>
          <w:ilvl w:val="0"/>
          <w:numId w:val="2"/>
        </w:numPr>
        <w:spacing w:line="360" w:lineRule="auto"/>
        <w:ind w:left="0" w:hanging="76"/>
        <w:jc w:val="both"/>
        <w:rPr>
          <w:rFonts w:ascii="Palatino Linotype" w:eastAsia="Palatino Linotype" w:hAnsi="Palatino Linotype" w:cs="Palatino Linotype"/>
        </w:rPr>
      </w:pPr>
      <w:r w:rsidRPr="00B276C6">
        <w:rPr>
          <w:rFonts w:ascii="Palatino Linotype" w:eastAsia="Palatino Linotype" w:hAnsi="Palatino Linotype" w:cs="Palatino Linotype"/>
          <w:color w:val="000000" w:themeColor="text1"/>
        </w:rPr>
        <w:lastRenderedPageBreak/>
        <w:t>La Comisionada Ponente con fundamento en lo dispuesto por el artículo 185 fracción II de la ley de la materia, a través de</w:t>
      </w:r>
      <w:r w:rsidR="00F40A49">
        <w:rPr>
          <w:rFonts w:ascii="Palatino Linotype" w:eastAsia="Palatino Linotype" w:hAnsi="Palatino Linotype" w:cs="Palatino Linotype"/>
          <w:color w:val="000000" w:themeColor="text1"/>
        </w:rPr>
        <w:t xml:space="preserve"> </w:t>
      </w:r>
      <w:r w:rsidRPr="00B276C6">
        <w:rPr>
          <w:rFonts w:ascii="Palatino Linotype" w:eastAsia="Palatino Linotype" w:hAnsi="Palatino Linotype" w:cs="Palatino Linotype"/>
          <w:color w:val="000000" w:themeColor="text1"/>
        </w:rPr>
        <w:t>l</w:t>
      </w:r>
      <w:r w:rsidR="00F40A49">
        <w:rPr>
          <w:rFonts w:ascii="Palatino Linotype" w:eastAsia="Palatino Linotype" w:hAnsi="Palatino Linotype" w:cs="Palatino Linotype"/>
          <w:color w:val="000000" w:themeColor="text1"/>
        </w:rPr>
        <w:t xml:space="preserve">os </w:t>
      </w:r>
      <w:r w:rsidRPr="00B276C6">
        <w:rPr>
          <w:rFonts w:ascii="Palatino Linotype" w:eastAsia="Palatino Linotype" w:hAnsi="Palatino Linotype" w:cs="Palatino Linotype"/>
        </w:rPr>
        <w:t>acuerdo</w:t>
      </w:r>
      <w:r w:rsidR="00F40A49">
        <w:rPr>
          <w:rFonts w:ascii="Palatino Linotype" w:eastAsia="Palatino Linotype" w:hAnsi="Palatino Linotype" w:cs="Palatino Linotype"/>
        </w:rPr>
        <w:t>s</w:t>
      </w:r>
      <w:r w:rsidRPr="00B276C6">
        <w:rPr>
          <w:rFonts w:ascii="Palatino Linotype" w:eastAsia="Palatino Linotype" w:hAnsi="Palatino Linotype" w:cs="Palatino Linotype"/>
        </w:rPr>
        <w:t xml:space="preserve"> de admisión de</w:t>
      </w:r>
      <w:r w:rsidR="00F40A49">
        <w:rPr>
          <w:rFonts w:ascii="Palatino Linotype" w:eastAsia="Palatino Linotype" w:hAnsi="Palatino Linotype" w:cs="Palatino Linotype"/>
        </w:rPr>
        <w:t xml:space="preserve"> fechas </w:t>
      </w:r>
      <w:r w:rsidR="00F40A49" w:rsidRPr="00F40A49">
        <w:rPr>
          <w:rFonts w:ascii="Palatino Linotype" w:eastAsia="Palatino Linotype" w:hAnsi="Palatino Linotype" w:cs="Palatino Linotype"/>
          <w:b/>
        </w:rPr>
        <w:t>siete y</w:t>
      </w:r>
      <w:r w:rsidRPr="00B276C6">
        <w:rPr>
          <w:rFonts w:ascii="Palatino Linotype" w:eastAsia="Palatino Linotype" w:hAnsi="Palatino Linotype" w:cs="Palatino Linotype"/>
        </w:rPr>
        <w:t xml:space="preserve"> </w:t>
      </w:r>
      <w:r w:rsidR="00F40A49">
        <w:rPr>
          <w:rFonts w:ascii="Palatino Linotype" w:eastAsia="Palatino Linotype" w:hAnsi="Palatino Linotype" w:cs="Palatino Linotype"/>
          <w:b/>
        </w:rPr>
        <w:t>ocho de agosto</w:t>
      </w:r>
      <w:r w:rsidR="002F0D71" w:rsidRPr="00B276C6">
        <w:rPr>
          <w:rFonts w:ascii="Palatino Linotype" w:eastAsia="Palatino Linotype" w:hAnsi="Palatino Linotype" w:cs="Palatino Linotype"/>
          <w:b/>
        </w:rPr>
        <w:t xml:space="preserve"> d</w:t>
      </w:r>
      <w:r w:rsidRPr="00B276C6">
        <w:rPr>
          <w:rFonts w:ascii="Palatino Linotype" w:eastAsia="Palatino Linotype" w:hAnsi="Palatino Linotype" w:cs="Palatino Linotype"/>
          <w:b/>
        </w:rPr>
        <w:t>e dos mil veinticuatro</w:t>
      </w:r>
      <w:r w:rsidR="00865615" w:rsidRPr="00B276C6">
        <w:rPr>
          <w:rFonts w:ascii="Palatino Linotype" w:eastAsia="Palatino Linotype" w:hAnsi="Palatino Linotype" w:cs="Palatino Linotype"/>
          <w:b/>
        </w:rPr>
        <w:t xml:space="preserve">, </w:t>
      </w:r>
      <w:r w:rsidR="00865615" w:rsidRPr="00B276C6">
        <w:rPr>
          <w:rFonts w:ascii="Palatino Linotype" w:eastAsia="Palatino Linotype" w:hAnsi="Palatino Linotype" w:cs="Palatino Linotype"/>
        </w:rPr>
        <w:t>p</w:t>
      </w:r>
      <w:r w:rsidRPr="00B276C6">
        <w:rPr>
          <w:rFonts w:ascii="Palatino Linotype" w:eastAsia="Palatino Linotype" w:hAnsi="Palatino Linotype" w:cs="Palatino Linotype"/>
        </w:rPr>
        <w:t>uso a disposición de las partes l</w:t>
      </w:r>
      <w:r w:rsidR="00227EBB">
        <w:rPr>
          <w:rFonts w:ascii="Palatino Linotype" w:eastAsia="Palatino Linotype" w:hAnsi="Palatino Linotype" w:cs="Palatino Linotype"/>
        </w:rPr>
        <w:t>os</w:t>
      </w:r>
      <w:r w:rsidRPr="00B276C6">
        <w:rPr>
          <w:rFonts w:ascii="Palatino Linotype" w:eastAsia="Palatino Linotype" w:hAnsi="Palatino Linotype" w:cs="Palatino Linotype"/>
        </w:rPr>
        <w:t xml:space="preserve"> expediente</w:t>
      </w:r>
      <w:r w:rsidR="00227EBB">
        <w:rPr>
          <w:rFonts w:ascii="Palatino Linotype" w:eastAsia="Palatino Linotype" w:hAnsi="Palatino Linotype" w:cs="Palatino Linotype"/>
        </w:rPr>
        <w:t>s</w:t>
      </w:r>
      <w:r w:rsidRPr="00B276C6">
        <w:rPr>
          <w:rFonts w:ascii="Palatino Linotype" w:eastAsia="Palatino Linotype" w:hAnsi="Palatino Linotype" w:cs="Palatino Linotype"/>
        </w:rPr>
        <w:t xml:space="preserve"> electrónico</w:t>
      </w:r>
      <w:r w:rsidR="00227EBB">
        <w:rPr>
          <w:rFonts w:ascii="Palatino Linotype" w:eastAsia="Palatino Linotype" w:hAnsi="Palatino Linotype" w:cs="Palatino Linotype"/>
        </w:rPr>
        <w:t>s</w:t>
      </w:r>
      <w:r w:rsidRPr="00B276C6">
        <w:rPr>
          <w:rFonts w:ascii="Palatino Linotype" w:eastAsia="Palatino Linotype" w:hAnsi="Palatino Linotype" w:cs="Palatino Linotype"/>
        </w:rPr>
        <w:t xml:space="preserve"> vía </w:t>
      </w:r>
      <w:r w:rsidRPr="00B276C6">
        <w:rPr>
          <w:rFonts w:ascii="Palatino Linotype" w:eastAsia="Palatino Linotype" w:hAnsi="Palatino Linotype" w:cs="Palatino Linotype"/>
          <w:b/>
        </w:rPr>
        <w:t xml:space="preserve">SAIMEX </w:t>
      </w:r>
      <w:r w:rsidRPr="00B276C6">
        <w:rPr>
          <w:rFonts w:ascii="Palatino Linotype" w:eastAsia="Palatino Linotype" w:hAnsi="Palatino Linotype" w:cs="Palatino Linotype"/>
        </w:rPr>
        <w:t xml:space="preserve">a efecto de que en un plazo máximo de siete días manifestaran lo que a derecho conviniera, ofreciera pruebas y alegatos según corresponda al caso concreto, de esta forma para que el </w:t>
      </w:r>
      <w:r w:rsidRPr="00B276C6">
        <w:rPr>
          <w:rFonts w:ascii="Palatino Linotype" w:eastAsia="Palatino Linotype" w:hAnsi="Palatino Linotype" w:cs="Palatino Linotype"/>
          <w:b/>
        </w:rPr>
        <w:t>SUJETO OBLIGADO</w:t>
      </w:r>
      <w:r w:rsidRPr="00B276C6">
        <w:rPr>
          <w:rFonts w:ascii="Palatino Linotype" w:eastAsia="Palatino Linotype" w:hAnsi="Palatino Linotype" w:cs="Palatino Linotype"/>
        </w:rPr>
        <w:t xml:space="preserve"> presentará el informe justificado procedente. </w:t>
      </w:r>
    </w:p>
    <w:p w14:paraId="5564D26A" w14:textId="77777777" w:rsidR="004F4043" w:rsidRPr="00B276C6" w:rsidRDefault="004F4043" w:rsidP="004F4043">
      <w:pPr>
        <w:pStyle w:val="Prrafodelista"/>
        <w:rPr>
          <w:rFonts w:ascii="Palatino Linotype" w:eastAsia="Palatino Linotype" w:hAnsi="Palatino Linotype" w:cs="Palatino Linotype"/>
        </w:rPr>
      </w:pPr>
    </w:p>
    <w:p w14:paraId="20999A35" w14:textId="6358B985" w:rsidR="00CB7846" w:rsidRDefault="007C4530" w:rsidP="00374B2B">
      <w:pPr>
        <w:numPr>
          <w:ilvl w:val="0"/>
          <w:numId w:val="2"/>
        </w:numPr>
        <w:spacing w:line="360" w:lineRule="auto"/>
        <w:ind w:left="0" w:firstLine="0"/>
        <w:jc w:val="both"/>
        <w:rPr>
          <w:rFonts w:ascii="Palatino Linotype" w:eastAsia="Palatino Linotype" w:hAnsi="Palatino Linotype" w:cs="Palatino Linotype"/>
        </w:rPr>
      </w:pPr>
      <w:r w:rsidRPr="00B276C6">
        <w:rPr>
          <w:rFonts w:ascii="Palatino Linotype" w:eastAsia="Palatino Linotype" w:hAnsi="Palatino Linotype" w:cs="Palatino Linotype"/>
        </w:rPr>
        <w:t>De las constancias en l</w:t>
      </w:r>
      <w:r w:rsidR="001348A6">
        <w:rPr>
          <w:rFonts w:ascii="Palatino Linotype" w:eastAsia="Palatino Linotype" w:hAnsi="Palatino Linotype" w:cs="Palatino Linotype"/>
        </w:rPr>
        <w:t>os</w:t>
      </w:r>
      <w:r w:rsidRPr="00B276C6">
        <w:rPr>
          <w:rFonts w:ascii="Palatino Linotype" w:eastAsia="Palatino Linotype" w:hAnsi="Palatino Linotype" w:cs="Palatino Linotype"/>
        </w:rPr>
        <w:t xml:space="preserve"> expediente</w:t>
      </w:r>
      <w:r w:rsidR="001348A6">
        <w:rPr>
          <w:rFonts w:ascii="Palatino Linotype" w:eastAsia="Palatino Linotype" w:hAnsi="Palatino Linotype" w:cs="Palatino Linotype"/>
        </w:rPr>
        <w:t>s</w:t>
      </w:r>
      <w:r w:rsidRPr="00B276C6">
        <w:rPr>
          <w:rFonts w:ascii="Palatino Linotype" w:eastAsia="Palatino Linotype" w:hAnsi="Palatino Linotype" w:cs="Palatino Linotype"/>
        </w:rPr>
        <w:t xml:space="preserve"> electrónico</w:t>
      </w:r>
      <w:r w:rsidR="001348A6">
        <w:rPr>
          <w:rFonts w:ascii="Palatino Linotype" w:eastAsia="Palatino Linotype" w:hAnsi="Palatino Linotype" w:cs="Palatino Linotype"/>
        </w:rPr>
        <w:t>s</w:t>
      </w:r>
      <w:r w:rsidRPr="00B276C6">
        <w:rPr>
          <w:rFonts w:ascii="Palatino Linotype" w:eastAsia="Palatino Linotype" w:hAnsi="Palatino Linotype" w:cs="Palatino Linotype"/>
        </w:rPr>
        <w:t xml:space="preserve"> SAIMEX, se advierte que el particular no realizó manifestaciones; por su parte, el Sujeto Obligado en fecha</w:t>
      </w:r>
      <w:r w:rsidR="00E465F6" w:rsidRPr="00B276C6">
        <w:rPr>
          <w:rFonts w:ascii="Palatino Linotype" w:eastAsia="Palatino Linotype" w:hAnsi="Palatino Linotype" w:cs="Palatino Linotype"/>
        </w:rPr>
        <w:t>s</w:t>
      </w:r>
      <w:r w:rsidRPr="00B276C6">
        <w:rPr>
          <w:rFonts w:ascii="Palatino Linotype" w:eastAsia="Palatino Linotype" w:hAnsi="Palatino Linotype" w:cs="Palatino Linotype"/>
        </w:rPr>
        <w:t xml:space="preserve"> </w:t>
      </w:r>
      <w:r w:rsidR="006876E8" w:rsidRPr="00B276C6">
        <w:rPr>
          <w:rFonts w:ascii="Palatino Linotype" w:eastAsia="Palatino Linotype" w:hAnsi="Palatino Linotype" w:cs="Palatino Linotype"/>
          <w:b/>
        </w:rPr>
        <w:t xml:space="preserve">dieciséis de </w:t>
      </w:r>
      <w:r w:rsidR="007A41DE">
        <w:rPr>
          <w:rFonts w:ascii="Palatino Linotype" w:eastAsia="Palatino Linotype" w:hAnsi="Palatino Linotype" w:cs="Palatino Linotype"/>
          <w:b/>
        </w:rPr>
        <w:t xml:space="preserve">agosto y </w:t>
      </w:r>
      <w:r w:rsidR="006876E8" w:rsidRPr="00B276C6">
        <w:rPr>
          <w:rFonts w:ascii="Palatino Linotype" w:eastAsia="Palatino Linotype" w:hAnsi="Palatino Linotype" w:cs="Palatino Linotype"/>
          <w:b/>
        </w:rPr>
        <w:t xml:space="preserve">octubre de </w:t>
      </w:r>
      <w:r w:rsidRPr="00B276C6">
        <w:rPr>
          <w:rFonts w:ascii="Palatino Linotype" w:eastAsia="Palatino Linotype" w:hAnsi="Palatino Linotype" w:cs="Palatino Linotype"/>
          <w:b/>
        </w:rPr>
        <w:t xml:space="preserve">dos mil veinticuatro </w:t>
      </w:r>
      <w:r w:rsidRPr="00B276C6">
        <w:rPr>
          <w:rFonts w:ascii="Palatino Linotype" w:eastAsia="Palatino Linotype" w:hAnsi="Palatino Linotype" w:cs="Palatino Linotype"/>
        </w:rPr>
        <w:t>realizó manifestaciones mediante archivo</w:t>
      </w:r>
      <w:r w:rsidR="002955EF" w:rsidRPr="00B276C6">
        <w:rPr>
          <w:rFonts w:ascii="Palatino Linotype" w:eastAsia="Palatino Linotype" w:hAnsi="Palatino Linotype" w:cs="Palatino Linotype"/>
        </w:rPr>
        <w:t>s</w:t>
      </w:r>
      <w:r w:rsidRPr="00B276C6">
        <w:rPr>
          <w:rFonts w:ascii="Palatino Linotype" w:eastAsia="Palatino Linotype" w:hAnsi="Palatino Linotype" w:cs="Palatino Linotype"/>
        </w:rPr>
        <w:t xml:space="preserve"> adjunto</w:t>
      </w:r>
      <w:r w:rsidR="002955EF" w:rsidRPr="00B276C6">
        <w:rPr>
          <w:rFonts w:ascii="Palatino Linotype" w:eastAsia="Palatino Linotype" w:hAnsi="Palatino Linotype" w:cs="Palatino Linotype"/>
        </w:rPr>
        <w:t>s</w:t>
      </w:r>
      <w:r w:rsidRPr="00B276C6">
        <w:rPr>
          <w:rFonts w:ascii="Palatino Linotype" w:eastAsia="Palatino Linotype" w:hAnsi="Palatino Linotype" w:cs="Palatino Linotype"/>
        </w:rPr>
        <w:t xml:space="preserve"> en formato PDF, los cuales fueron puestos a la vista del particular, </w:t>
      </w:r>
      <w:r w:rsidR="002955EF" w:rsidRPr="00B276C6">
        <w:rPr>
          <w:rFonts w:ascii="Palatino Linotype" w:eastAsia="Palatino Linotype" w:hAnsi="Palatino Linotype" w:cs="Palatino Linotype"/>
        </w:rPr>
        <w:t>archivos cuyo contenido es el mismo, de lo que interesa se advierte</w:t>
      </w:r>
      <w:r w:rsidRPr="00B276C6">
        <w:rPr>
          <w:rFonts w:ascii="Palatino Linotype" w:eastAsia="Palatino Linotype" w:hAnsi="Palatino Linotype" w:cs="Palatino Linotype"/>
        </w:rPr>
        <w:t>:</w:t>
      </w:r>
    </w:p>
    <w:p w14:paraId="6810287E" w14:textId="77777777" w:rsidR="007A41DE" w:rsidRDefault="007A41DE" w:rsidP="007A41DE">
      <w:pPr>
        <w:spacing w:line="360" w:lineRule="auto"/>
        <w:jc w:val="both"/>
        <w:rPr>
          <w:rFonts w:ascii="Palatino Linotype" w:eastAsia="Palatino Linotype" w:hAnsi="Palatino Linotype" w:cs="Palatino Linotype"/>
        </w:rPr>
      </w:pPr>
    </w:p>
    <w:p w14:paraId="5DE68EBD" w14:textId="77777777" w:rsidR="007A41DE" w:rsidRPr="007A41DE" w:rsidRDefault="007A41DE" w:rsidP="007A41DE">
      <w:p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themeColor="text1"/>
        </w:rPr>
      </w:pPr>
      <w:r w:rsidRPr="007A41DE">
        <w:rPr>
          <w:rFonts w:ascii="Palatino Linotype" w:eastAsia="Palatino Linotype" w:hAnsi="Palatino Linotype" w:cs="Palatino Linotype"/>
          <w:b/>
          <w:color w:val="000000" w:themeColor="text1"/>
        </w:rPr>
        <w:t>04678/INFOEM/IP/RR/2024</w:t>
      </w:r>
    </w:p>
    <w:p w14:paraId="56C345E3" w14:textId="5BA225E1" w:rsidR="007A41DE" w:rsidRDefault="0076029F" w:rsidP="00577704">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themeColor="text1"/>
        </w:rPr>
      </w:pPr>
      <w:r w:rsidRPr="00577704">
        <w:rPr>
          <w:rFonts w:ascii="Palatino Linotype" w:eastAsia="Palatino Linotype" w:hAnsi="Palatino Linotype" w:cs="Palatino Linotype"/>
          <w:b/>
          <w:color w:val="000000" w:themeColor="text1"/>
        </w:rPr>
        <w:t xml:space="preserve">Informe Justificado RR04678.pdf: </w:t>
      </w:r>
      <w:r w:rsidRPr="00577704">
        <w:rPr>
          <w:rFonts w:ascii="Palatino Linotype" w:eastAsia="Palatino Linotype" w:hAnsi="Palatino Linotype" w:cs="Palatino Linotype"/>
          <w:color w:val="000000" w:themeColor="text1"/>
        </w:rPr>
        <w:t xml:space="preserve">Oficio </w:t>
      </w:r>
      <w:r w:rsidR="00577704" w:rsidRPr="00577704">
        <w:rPr>
          <w:rFonts w:ascii="Palatino Linotype" w:eastAsia="Palatino Linotype" w:hAnsi="Palatino Linotype" w:cs="Palatino Linotype"/>
          <w:color w:val="000000" w:themeColor="text1"/>
        </w:rPr>
        <w:t>número 20600007000000S/UIPPE/1272/2024</w:t>
      </w:r>
      <w:r w:rsidR="00577704">
        <w:rPr>
          <w:rFonts w:ascii="Palatino Linotype" w:eastAsia="Palatino Linotype" w:hAnsi="Palatino Linotype" w:cs="Palatino Linotype"/>
          <w:color w:val="000000" w:themeColor="text1"/>
        </w:rPr>
        <w:t xml:space="preserve">, de fecha quince de agosto de dos mil veinticuatro, firmado por el Encargado de la Unidad de Información, Planeación, Programación y Evaluación y de la Unidad de Transparencia, </w:t>
      </w:r>
      <w:r w:rsidR="006E17BE">
        <w:rPr>
          <w:rFonts w:ascii="Palatino Linotype" w:eastAsia="Palatino Linotype" w:hAnsi="Palatino Linotype" w:cs="Palatino Linotype"/>
          <w:color w:val="000000" w:themeColor="text1"/>
        </w:rPr>
        <w:t xml:space="preserve">del cual </w:t>
      </w:r>
      <w:r w:rsidR="00324237">
        <w:rPr>
          <w:rFonts w:ascii="Palatino Linotype" w:eastAsia="Palatino Linotype" w:hAnsi="Palatino Linotype" w:cs="Palatino Linotype"/>
          <w:color w:val="000000" w:themeColor="text1"/>
        </w:rPr>
        <w:t xml:space="preserve">entre otras cosas </w:t>
      </w:r>
      <w:r w:rsidR="006E17BE">
        <w:rPr>
          <w:rFonts w:ascii="Palatino Linotype" w:eastAsia="Palatino Linotype" w:hAnsi="Palatino Linotype" w:cs="Palatino Linotype"/>
          <w:color w:val="000000" w:themeColor="text1"/>
        </w:rPr>
        <w:t>se observa:</w:t>
      </w:r>
    </w:p>
    <w:p w14:paraId="76940CB1" w14:textId="45BE5523" w:rsidR="00324237" w:rsidRDefault="00324237" w:rsidP="002F4E85">
      <w:pPr>
        <w:pBdr>
          <w:top w:val="nil"/>
          <w:left w:val="nil"/>
          <w:bottom w:val="nil"/>
          <w:right w:val="nil"/>
          <w:between w:val="nil"/>
        </w:pBdr>
        <w:spacing w:line="360" w:lineRule="auto"/>
        <w:ind w:left="851" w:right="255" w:hanging="851"/>
        <w:jc w:val="both"/>
        <w:rPr>
          <w:rFonts w:ascii="Palatino Linotype" w:eastAsia="Palatino Linotype" w:hAnsi="Palatino Linotype" w:cs="Palatino Linotype"/>
          <w:b/>
          <w:i/>
          <w:color w:val="000000" w:themeColor="text1"/>
        </w:rPr>
      </w:pPr>
      <w:r>
        <w:rPr>
          <w:rFonts w:ascii="Palatino Linotype" w:eastAsia="Palatino Linotype" w:hAnsi="Palatino Linotype" w:cs="Palatino Linotype"/>
          <w:i/>
          <w:color w:val="000000" w:themeColor="text1"/>
        </w:rPr>
        <w:t xml:space="preserve">“… </w:t>
      </w:r>
      <w:r>
        <w:rPr>
          <w:rFonts w:ascii="Palatino Linotype" w:eastAsia="Palatino Linotype" w:hAnsi="Palatino Linotype" w:cs="Palatino Linotype"/>
          <w:b/>
          <w:i/>
          <w:color w:val="000000" w:themeColor="text1"/>
        </w:rPr>
        <w:t>III. OBJECIÓN DEL ACTO IMPGNADO Y RAZONES O MOTIVOS DE LA INCONFORMIDAD</w:t>
      </w:r>
    </w:p>
    <w:p w14:paraId="31D4F5A9" w14:textId="39CBE48F" w:rsidR="00324237" w:rsidRDefault="00324237" w:rsidP="006D7A89">
      <w:pPr>
        <w:pBdr>
          <w:top w:val="nil"/>
          <w:left w:val="nil"/>
          <w:bottom w:val="nil"/>
          <w:right w:val="nil"/>
          <w:between w:val="nil"/>
        </w:pBdr>
        <w:spacing w:line="360" w:lineRule="auto"/>
        <w:ind w:left="851" w:right="255" w:hanging="131"/>
        <w:jc w:val="both"/>
        <w:rPr>
          <w:rFonts w:ascii="Palatino Linotype" w:eastAsia="Palatino Linotype" w:hAnsi="Palatino Linotype" w:cs="Palatino Linotype"/>
          <w:i/>
          <w:color w:val="000000" w:themeColor="text1"/>
        </w:rPr>
      </w:pPr>
      <w:r>
        <w:rPr>
          <w:rFonts w:ascii="Palatino Linotype" w:eastAsia="Palatino Linotype" w:hAnsi="Palatino Linotype" w:cs="Palatino Linotype"/>
          <w:i/>
          <w:color w:val="000000" w:themeColor="text1"/>
        </w:rPr>
        <w:lastRenderedPageBreak/>
        <w:t>PRIMERO. Este Sujeto Obligado AMPLÍA Y FORTALECE la respuesta otorgada en los siguientes términos:</w:t>
      </w:r>
    </w:p>
    <w:p w14:paraId="5E0C0BE7" w14:textId="41E6FD82" w:rsidR="00324237" w:rsidRPr="00324237" w:rsidRDefault="00324237" w:rsidP="002F4E85">
      <w:pPr>
        <w:pStyle w:val="Prrafodelista"/>
        <w:numPr>
          <w:ilvl w:val="0"/>
          <w:numId w:val="5"/>
        </w:numPr>
        <w:pBdr>
          <w:top w:val="nil"/>
          <w:left w:val="nil"/>
          <w:bottom w:val="nil"/>
          <w:right w:val="nil"/>
          <w:between w:val="nil"/>
        </w:pBdr>
        <w:spacing w:line="360" w:lineRule="auto"/>
        <w:ind w:left="851" w:right="255" w:hanging="851"/>
        <w:jc w:val="both"/>
        <w:rPr>
          <w:rFonts w:ascii="Palatino Linotype" w:eastAsia="Palatino Linotype" w:hAnsi="Palatino Linotype" w:cs="Palatino Linotype"/>
          <w:i/>
          <w:color w:val="000000" w:themeColor="text1"/>
        </w:rPr>
      </w:pPr>
      <w:r w:rsidRPr="00324237">
        <w:rPr>
          <w:rFonts w:ascii="Palatino Linotype" w:eastAsia="Palatino Linotype" w:hAnsi="Palatino Linotype" w:cs="Palatino Linotype"/>
          <w:i/>
          <w:color w:val="000000" w:themeColor="text1"/>
        </w:rPr>
        <w:t>De inicio y derivado del análisis de la solicitud, en fecha 20 de junio del presente año, se notificó a través del SAIMEX la incompetencia parcial sobre el siguiente extracto de la solicitud de información, a saber:</w:t>
      </w:r>
    </w:p>
    <w:p w14:paraId="54E074A0" w14:textId="70BC5225" w:rsidR="00324237" w:rsidRDefault="00324237" w:rsidP="006D7A89">
      <w:pPr>
        <w:pStyle w:val="Prrafodelista"/>
        <w:pBdr>
          <w:top w:val="nil"/>
          <w:left w:val="nil"/>
          <w:bottom w:val="nil"/>
          <w:right w:val="nil"/>
          <w:between w:val="nil"/>
        </w:pBdr>
        <w:spacing w:line="360" w:lineRule="auto"/>
        <w:ind w:left="851" w:right="255" w:hanging="131"/>
        <w:jc w:val="both"/>
        <w:rPr>
          <w:rFonts w:ascii="Palatino Linotype" w:eastAsia="Palatino Linotype" w:hAnsi="Palatino Linotype" w:cs="Palatino Linotype"/>
          <w:i/>
          <w:color w:val="000000" w:themeColor="text1"/>
        </w:rPr>
      </w:pPr>
      <w:r>
        <w:rPr>
          <w:rFonts w:ascii="Palatino Linotype" w:eastAsia="Palatino Linotype" w:hAnsi="Palatino Linotype" w:cs="Palatino Linotype"/>
          <w:i/>
          <w:color w:val="000000" w:themeColor="text1"/>
        </w:rPr>
        <w:t>“…¿Por qué NO HAY AVANCE Y SEGUIMIENTO AL PORCENTAJE PUBLICADO EN EL CENTRO NACIONAL DE CERTIFICACIÓN Y ACREDITACIÓN DE ELEMENTOS NO APROBADOS EN CONTROL DE CONFIANZA?...”</w:t>
      </w:r>
    </w:p>
    <w:p w14:paraId="03A85858" w14:textId="3B8000B7" w:rsidR="00324237" w:rsidRDefault="00324237" w:rsidP="006D7A89">
      <w:pPr>
        <w:pStyle w:val="Prrafodelista"/>
        <w:pBdr>
          <w:top w:val="nil"/>
          <w:left w:val="nil"/>
          <w:bottom w:val="nil"/>
          <w:right w:val="nil"/>
          <w:between w:val="nil"/>
        </w:pBdr>
        <w:spacing w:line="360" w:lineRule="auto"/>
        <w:ind w:left="851" w:right="255" w:hanging="131"/>
        <w:jc w:val="both"/>
        <w:rPr>
          <w:rFonts w:ascii="Palatino Linotype" w:eastAsia="Palatino Linotype" w:hAnsi="Palatino Linotype" w:cs="Palatino Linotype"/>
          <w:i/>
          <w:color w:val="000000" w:themeColor="text1"/>
        </w:rPr>
      </w:pPr>
      <w:r>
        <w:rPr>
          <w:rFonts w:ascii="Palatino Linotype" w:eastAsia="Palatino Linotype" w:hAnsi="Palatino Linotype" w:cs="Palatino Linotype"/>
          <w:i/>
          <w:color w:val="000000" w:themeColor="text1"/>
        </w:rPr>
        <w:t>Mediante dicha incompetencia se hizo de conocimiento al ahora recurrente que atendiendo el contenido del artículo 26 de la Ley Orgánica de la Administración Pública del Estado de México</w:t>
      </w:r>
      <w:r w:rsidR="00B11AC0">
        <w:rPr>
          <w:rFonts w:ascii="Palatino Linotype" w:eastAsia="Palatino Linotype" w:hAnsi="Palatino Linotype" w:cs="Palatino Linotype"/>
          <w:i/>
          <w:color w:val="000000" w:themeColor="text1"/>
        </w:rPr>
        <w:t>, la Secretaría de Seguridad</w:t>
      </w:r>
      <w:r w:rsidR="00E82EB0">
        <w:rPr>
          <w:rFonts w:ascii="Palatino Linotype" w:eastAsia="Palatino Linotype" w:hAnsi="Palatino Linotype" w:cs="Palatino Linotype"/>
          <w:i/>
          <w:color w:val="000000" w:themeColor="text1"/>
        </w:rPr>
        <w:t xml:space="preserve"> del Estado de México es la dependencia encargada de planear, formular, coincidir, coordinar, ejecutar, supervisar y evaluar las políticas, programas y acciones en materia de seguridad pública que competen al Gobierno del Estado de México, motivo por el cual carece de competencia para dar respuesta a la solicitud por corresponder al Secretariado Ejecutivo del Sistema Nacional de Seguridad Pública, a través del Centro Nacional de Certificación Acreditación, la atención de su requerimiento</w:t>
      </w:r>
      <w:r w:rsidR="002A3952">
        <w:rPr>
          <w:rFonts w:ascii="Palatino Linotype" w:eastAsia="Palatino Linotype" w:hAnsi="Palatino Linotype" w:cs="Palatino Linotype"/>
          <w:i/>
          <w:color w:val="000000" w:themeColor="text1"/>
        </w:rPr>
        <w:t>.</w:t>
      </w:r>
    </w:p>
    <w:p w14:paraId="38A834DD" w14:textId="1D7261B8" w:rsidR="002A3952" w:rsidRDefault="002A3952" w:rsidP="006D7A89">
      <w:pPr>
        <w:pStyle w:val="Prrafodelista"/>
        <w:pBdr>
          <w:top w:val="nil"/>
          <w:left w:val="nil"/>
          <w:bottom w:val="nil"/>
          <w:right w:val="nil"/>
          <w:between w:val="nil"/>
        </w:pBdr>
        <w:spacing w:line="360" w:lineRule="auto"/>
        <w:ind w:left="851" w:right="255" w:hanging="131"/>
        <w:jc w:val="both"/>
        <w:rPr>
          <w:rFonts w:ascii="Palatino Linotype" w:eastAsia="Palatino Linotype" w:hAnsi="Palatino Linotype" w:cs="Palatino Linotype"/>
          <w:i/>
          <w:color w:val="000000" w:themeColor="text1"/>
        </w:rPr>
      </w:pPr>
      <w:r>
        <w:rPr>
          <w:rFonts w:ascii="Palatino Linotype" w:eastAsia="Palatino Linotype" w:hAnsi="Palatino Linotype" w:cs="Palatino Linotype"/>
          <w:i/>
          <w:color w:val="000000" w:themeColor="text1"/>
        </w:rPr>
        <w:t>…</w:t>
      </w:r>
    </w:p>
    <w:p w14:paraId="2E30963A" w14:textId="4D512D28" w:rsidR="00FB7466" w:rsidRDefault="00FB7466" w:rsidP="006D7A89">
      <w:pPr>
        <w:pStyle w:val="Prrafodelista"/>
        <w:pBdr>
          <w:top w:val="nil"/>
          <w:left w:val="nil"/>
          <w:bottom w:val="nil"/>
          <w:right w:val="nil"/>
          <w:between w:val="nil"/>
        </w:pBdr>
        <w:spacing w:line="360" w:lineRule="auto"/>
        <w:ind w:left="851" w:right="255" w:hanging="131"/>
        <w:jc w:val="both"/>
        <w:rPr>
          <w:rFonts w:ascii="Palatino Linotype" w:eastAsia="Palatino Linotype" w:hAnsi="Palatino Linotype" w:cs="Palatino Linotype"/>
          <w:i/>
          <w:color w:val="000000" w:themeColor="text1"/>
        </w:rPr>
      </w:pPr>
      <w:r>
        <w:rPr>
          <w:rFonts w:ascii="Palatino Linotype" w:eastAsia="Palatino Linotype" w:hAnsi="Palatino Linotype" w:cs="Palatino Linotype"/>
          <w:i/>
          <w:color w:val="000000" w:themeColor="text1"/>
        </w:rPr>
        <w:t xml:space="preserve">En este sentido, en cumplimiento a lo establecido por el artículo 167 de la Ley de Transparencia y Acceso a la Información Pública </w:t>
      </w:r>
      <w:r w:rsidR="0098054A">
        <w:rPr>
          <w:rFonts w:ascii="Palatino Linotype" w:eastAsia="Palatino Linotype" w:hAnsi="Palatino Linotype" w:cs="Palatino Linotype"/>
          <w:i/>
          <w:color w:val="000000" w:themeColor="text1"/>
        </w:rPr>
        <w:t xml:space="preserve">del Estado de México y Municipios, </w:t>
      </w:r>
      <w:r w:rsidR="0098054A">
        <w:rPr>
          <w:rFonts w:ascii="Palatino Linotype" w:eastAsia="Palatino Linotype" w:hAnsi="Palatino Linotype" w:cs="Palatino Linotype"/>
          <w:i/>
          <w:color w:val="000000" w:themeColor="text1"/>
        </w:rPr>
        <w:lastRenderedPageBreak/>
        <w:t xml:space="preserve">esta unidad de Transparencia determinó la notoria </w:t>
      </w:r>
      <w:r w:rsidR="0098054A">
        <w:rPr>
          <w:rFonts w:ascii="Palatino Linotype" w:eastAsia="Palatino Linotype" w:hAnsi="Palatino Linotype" w:cs="Palatino Linotype"/>
          <w:b/>
          <w:i/>
          <w:color w:val="000000" w:themeColor="text1"/>
        </w:rPr>
        <w:t>incompetencia parcial, para esta parte del requerimiento</w:t>
      </w:r>
      <w:r w:rsidR="0098054A">
        <w:rPr>
          <w:rFonts w:ascii="Palatino Linotype" w:eastAsia="Palatino Linotype" w:hAnsi="Palatino Linotype" w:cs="Palatino Linotype"/>
          <w:i/>
          <w:color w:val="000000" w:themeColor="text1"/>
        </w:rPr>
        <w:t>, en virtud de que no se encuentra dentro del ámbito normativo de aplicación para entenderlo.</w:t>
      </w:r>
    </w:p>
    <w:p w14:paraId="69DED9CE" w14:textId="77777777" w:rsidR="009B421A" w:rsidRDefault="0098054A" w:rsidP="006D7A89">
      <w:pPr>
        <w:pStyle w:val="Prrafodelista"/>
        <w:pBdr>
          <w:top w:val="nil"/>
          <w:left w:val="nil"/>
          <w:bottom w:val="nil"/>
          <w:right w:val="nil"/>
          <w:between w:val="nil"/>
        </w:pBdr>
        <w:spacing w:line="360" w:lineRule="auto"/>
        <w:ind w:left="851" w:right="255" w:hanging="131"/>
        <w:jc w:val="both"/>
        <w:rPr>
          <w:rFonts w:ascii="Palatino Linotype" w:eastAsia="Palatino Linotype" w:hAnsi="Palatino Linotype" w:cs="Palatino Linotype"/>
          <w:i/>
          <w:color w:val="000000" w:themeColor="text1"/>
        </w:rPr>
      </w:pPr>
      <w:r>
        <w:rPr>
          <w:rFonts w:ascii="Palatino Linotype" w:eastAsia="Palatino Linotype" w:hAnsi="Palatino Linotype" w:cs="Palatino Linotype"/>
          <w:i/>
          <w:color w:val="000000" w:themeColor="text1"/>
        </w:rPr>
        <w:t>Por lo antes expuesto,… se le sugirió respetuosamente dirigir sus cuestionamientos al Módulo de Acceso a la Información Pública del Secretariado Ejecutivo del Sistema Nacional de Seguridad Pública, con domicilio en Avenida Mariano Escobedo, número 456, colonia Anzures</w:t>
      </w:r>
      <w:r w:rsidR="009B421A">
        <w:rPr>
          <w:rFonts w:ascii="Palatino Linotype" w:eastAsia="Palatino Linotype" w:hAnsi="Palatino Linotype" w:cs="Palatino Linotype"/>
          <w:i/>
          <w:color w:val="000000" w:themeColor="text1"/>
        </w:rPr>
        <w:t>, C.P. 11590, Ciudad de México, o bien a través de la PNT.</w:t>
      </w:r>
    </w:p>
    <w:p w14:paraId="319F1A0F" w14:textId="77777777" w:rsidR="006D4DFA" w:rsidRDefault="009B421A" w:rsidP="002F4E85">
      <w:pPr>
        <w:pStyle w:val="Prrafodelista"/>
        <w:numPr>
          <w:ilvl w:val="0"/>
          <w:numId w:val="5"/>
        </w:numPr>
        <w:pBdr>
          <w:top w:val="nil"/>
          <w:left w:val="nil"/>
          <w:bottom w:val="nil"/>
          <w:right w:val="nil"/>
          <w:between w:val="nil"/>
        </w:pBdr>
        <w:spacing w:line="360" w:lineRule="auto"/>
        <w:ind w:left="851" w:right="255" w:hanging="851"/>
        <w:jc w:val="both"/>
        <w:rPr>
          <w:rFonts w:ascii="Palatino Linotype" w:eastAsia="Palatino Linotype" w:hAnsi="Palatino Linotype" w:cs="Palatino Linotype"/>
          <w:i/>
          <w:color w:val="000000" w:themeColor="text1"/>
        </w:rPr>
      </w:pPr>
      <w:r>
        <w:rPr>
          <w:rFonts w:ascii="Palatino Linotype" w:eastAsia="Palatino Linotype" w:hAnsi="Palatino Linotype" w:cs="Palatino Linotype"/>
          <w:i/>
          <w:color w:val="000000" w:themeColor="text1"/>
        </w:rPr>
        <w:t>Ahora bien</w:t>
      </w:r>
      <w:r w:rsidR="006D4DFA">
        <w:rPr>
          <w:rFonts w:ascii="Palatino Linotype" w:eastAsia="Palatino Linotype" w:hAnsi="Palatino Linotype" w:cs="Palatino Linotype"/>
          <w:i/>
          <w:color w:val="000000" w:themeColor="text1"/>
        </w:rPr>
        <w:t>, por cuanto hace a los siguientes cuestionamientos:</w:t>
      </w:r>
    </w:p>
    <w:p w14:paraId="00956A96" w14:textId="77777777" w:rsidR="00715833" w:rsidRDefault="006D4DFA" w:rsidP="006D7A89">
      <w:pPr>
        <w:pStyle w:val="Prrafodelista"/>
        <w:pBdr>
          <w:top w:val="nil"/>
          <w:left w:val="nil"/>
          <w:bottom w:val="nil"/>
          <w:right w:val="nil"/>
          <w:between w:val="nil"/>
        </w:pBdr>
        <w:spacing w:line="276" w:lineRule="auto"/>
        <w:ind w:left="851" w:right="255" w:hanging="131"/>
        <w:jc w:val="both"/>
        <w:rPr>
          <w:rFonts w:ascii="Palatino Linotype" w:hAnsi="Palatino Linotype"/>
          <w:i/>
        </w:rPr>
      </w:pPr>
      <w:proofErr w:type="gramStart"/>
      <w:r>
        <w:rPr>
          <w:rFonts w:ascii="Palatino Linotype" w:eastAsia="Palatino Linotype" w:hAnsi="Palatino Linotype" w:cs="Palatino Linotype"/>
          <w:i/>
          <w:color w:val="000000" w:themeColor="text1"/>
        </w:rPr>
        <w:t>…</w:t>
      </w:r>
      <w:r w:rsidR="008D01D3" w:rsidRPr="00F21EDC">
        <w:rPr>
          <w:rFonts w:ascii="Palatino Linotype" w:hAnsi="Palatino Linotype"/>
          <w:i/>
          <w:color w:val="000000" w:themeColor="text1"/>
        </w:rPr>
        <w:t>“</w:t>
      </w:r>
      <w:proofErr w:type="gramEnd"/>
      <w:r w:rsidR="008D01D3" w:rsidRPr="00F21EDC">
        <w:rPr>
          <w:rFonts w:ascii="Palatino Linotype" w:hAnsi="Palatino Linotype"/>
          <w:i/>
          <w:color w:val="000000"/>
        </w:rPr>
        <w:t xml:space="preserve">¡CUANTOS ELEMENTOS DE LA SECRETARIA DE SEGURIDAD PIERDEN VIGENCIA EN EL PRESENTE AÑO PARA LA LICENCIA DE PORTACIÓN DE ARMA Y CUANTOS PIERDEN VIGENCIA EN EL CERTIFICADO UNICO POLICIAL AL MISMO TIEMPO CUANTOS ESTAN CONSIDERADOS EN AMBOS RUBROS, ASI MISMO CUANTAS EVALUACIONES DE CONTROL DE CONFIANZA POR PERMANENCIA SE ENCUENTRAN CONSIDERADAS PARA ESTE AÑO? ¿CUANTOS ELEMENTOS EN EL EJERCICIO 2022 FUERON APROBADOS CON RESTRICCIONES Y QUE PORCENTAJE YA CUMPLIO CON LA SOLVENTACIÓN? </w:t>
      </w:r>
      <w:proofErr w:type="gramStart"/>
      <w:r w:rsidR="008D01D3" w:rsidRPr="00F21EDC">
        <w:rPr>
          <w:rFonts w:ascii="Palatino Linotype" w:hAnsi="Palatino Linotype"/>
          <w:i/>
          <w:color w:val="000000"/>
        </w:rPr>
        <w:t>¿ POR</w:t>
      </w:r>
      <w:proofErr w:type="gramEnd"/>
      <w:r w:rsidR="008D01D3" w:rsidRPr="00F21EDC">
        <w:rPr>
          <w:rFonts w:ascii="Palatino Linotype" w:hAnsi="Palatino Linotype"/>
          <w:i/>
          <w:color w:val="000000"/>
        </w:rPr>
        <w:t xml:space="preserve"> QUE NO HAY AVANCE Y SEGUIMIENTO AL PORCENTAJE PUBLICADO EN EL CENTRO NACIONAL DE CERTIFICACIÓN Y ACREDITACIÓN DE ELEMENTOS NO APROBADOS EN CONTROL DE CONFIAZA ? QUE SEGUIMIENTO DA AL TEMA Y BAJO QUE INDICES Y PROGRAMAS DE TRABAJO LA UNIDAD DE ESTUDIOS Y PROYECTOS ESPECIALES DE LA SECRETARIA DE SEGURIDAD AL FORMAR PARTE SU TITULAR DE LA COMISION DE HONOR Y JUSTICIA </w:t>
      </w:r>
      <w:r w:rsidR="008D01D3" w:rsidRPr="00F21EDC">
        <w:rPr>
          <w:rFonts w:ascii="Palatino Linotype" w:hAnsi="Palatino Linotype"/>
          <w:i/>
          <w:color w:val="000000"/>
        </w:rPr>
        <w:lastRenderedPageBreak/>
        <w:t>ADEMAS DE SER LA UNIDAD ENCARGADA DE NOTIFICAR A LA UNIDAD DE ASUNTOS INTERNOS Y DIRECCIÓN GENERAL DE ASUNTOS JURIDICOS, PARA MITIGAR EL RIESGO</w:t>
      </w:r>
      <w:r w:rsidR="00B8662B">
        <w:rPr>
          <w:rFonts w:ascii="Palatino Linotype" w:hAnsi="Palatino Linotype"/>
          <w:i/>
          <w:color w:val="000000"/>
        </w:rPr>
        <w:t>…</w:t>
      </w:r>
      <w:r w:rsidR="008D01D3" w:rsidRPr="00B276C6">
        <w:rPr>
          <w:rFonts w:ascii="Palatino Linotype" w:hAnsi="Palatino Linotype"/>
          <w:i/>
        </w:rPr>
        <w:t>”</w:t>
      </w:r>
    </w:p>
    <w:p w14:paraId="05C56C45" w14:textId="77777777" w:rsidR="00BF1E38" w:rsidRDefault="00715833" w:rsidP="006D7A89">
      <w:pPr>
        <w:pStyle w:val="Prrafodelista"/>
        <w:pBdr>
          <w:top w:val="nil"/>
          <w:left w:val="nil"/>
          <w:bottom w:val="nil"/>
          <w:right w:val="nil"/>
          <w:between w:val="nil"/>
        </w:pBdr>
        <w:spacing w:line="276" w:lineRule="auto"/>
        <w:ind w:left="851" w:right="255" w:hanging="131"/>
        <w:jc w:val="both"/>
        <w:rPr>
          <w:rFonts w:ascii="Palatino Linotype" w:eastAsia="Palatino Linotype" w:hAnsi="Palatino Linotype" w:cs="Palatino Linotype"/>
          <w:i/>
          <w:color w:val="000000" w:themeColor="text1"/>
        </w:rPr>
      </w:pPr>
      <w:r>
        <w:rPr>
          <w:rFonts w:ascii="Palatino Linotype" w:eastAsia="Palatino Linotype" w:hAnsi="Palatino Linotype" w:cs="Palatino Linotype"/>
          <w:i/>
          <w:color w:val="000000" w:themeColor="text1"/>
        </w:rPr>
        <w:t xml:space="preserve">En fecha 8 de julio de 2024, se informó al ahora recurrente que mediante oficio número 20600007000000S/UIPPE/0974/2024 se requirió información al Servidor Público Habilitado de la Dirección General del Sistema de Desarrollo Policial de este Sujeto Obligado, quien mediante diverso 20600300000000L/DGSDP/2494/2024 informó lo conducente, dicha información se proporcionó de la siguiente </w:t>
      </w:r>
      <w:r w:rsidR="00BF1E38">
        <w:rPr>
          <w:rFonts w:ascii="Palatino Linotype" w:eastAsia="Palatino Linotype" w:hAnsi="Palatino Linotype" w:cs="Palatino Linotype"/>
          <w:i/>
          <w:color w:val="000000" w:themeColor="text1"/>
        </w:rPr>
        <w:t>forma:</w:t>
      </w:r>
    </w:p>
    <w:p w14:paraId="769F715A" w14:textId="77777777" w:rsidR="0011140A" w:rsidRDefault="0011140A" w:rsidP="006D7A89">
      <w:pPr>
        <w:pStyle w:val="Prrafodelista"/>
        <w:pBdr>
          <w:top w:val="nil"/>
          <w:left w:val="nil"/>
          <w:bottom w:val="nil"/>
          <w:right w:val="nil"/>
          <w:between w:val="nil"/>
        </w:pBdr>
        <w:spacing w:line="276" w:lineRule="auto"/>
        <w:ind w:left="851" w:right="255" w:hanging="131"/>
        <w:jc w:val="both"/>
        <w:rPr>
          <w:rFonts w:ascii="Palatino Linotype" w:eastAsia="Palatino Linotype" w:hAnsi="Palatino Linotype" w:cs="Palatino Linotype"/>
          <w:i/>
          <w:color w:val="000000" w:themeColor="text1"/>
        </w:rPr>
      </w:pPr>
      <w:r>
        <w:rPr>
          <w:rFonts w:ascii="Palatino Linotype" w:eastAsia="Palatino Linotype" w:hAnsi="Palatino Linotype" w:cs="Palatino Linotype"/>
          <w:i/>
          <w:color w:val="000000" w:themeColor="text1"/>
        </w:rPr>
        <w:t>Se hizo de conocimiento que el Certificado Único Policial es el documento que acredita a los policías y oficiales de la guardia y custodia del sistema penitenciario aptos para ingresar o permanecer en las Instituciones de Seguridad Pública y que cuentan con los conocimientos, el perfil, las habilidades y aptitudes necesarias para el desempeño de su cargo.</w:t>
      </w:r>
    </w:p>
    <w:p w14:paraId="1791D3FB" w14:textId="77777777" w:rsidR="0011140A" w:rsidRDefault="0011140A" w:rsidP="006D7A89">
      <w:pPr>
        <w:pStyle w:val="Prrafodelista"/>
        <w:pBdr>
          <w:top w:val="nil"/>
          <w:left w:val="nil"/>
          <w:bottom w:val="nil"/>
          <w:right w:val="nil"/>
          <w:between w:val="nil"/>
        </w:pBdr>
        <w:spacing w:line="276" w:lineRule="auto"/>
        <w:ind w:left="851" w:right="255" w:hanging="131"/>
        <w:jc w:val="both"/>
        <w:rPr>
          <w:rFonts w:ascii="Palatino Linotype" w:eastAsia="Palatino Linotype" w:hAnsi="Palatino Linotype" w:cs="Palatino Linotype"/>
          <w:i/>
          <w:color w:val="000000" w:themeColor="text1"/>
        </w:rPr>
      </w:pPr>
      <w:r>
        <w:rPr>
          <w:rFonts w:ascii="Palatino Linotype" w:eastAsia="Palatino Linotype" w:hAnsi="Palatino Linotype" w:cs="Palatino Linotype"/>
          <w:i/>
          <w:color w:val="000000" w:themeColor="text1"/>
        </w:rPr>
        <w:t>…</w:t>
      </w:r>
    </w:p>
    <w:p w14:paraId="3837A00D" w14:textId="77777777" w:rsidR="009B64CA" w:rsidRDefault="0095648E" w:rsidP="006D7A89">
      <w:pPr>
        <w:pStyle w:val="Prrafodelista"/>
        <w:pBdr>
          <w:top w:val="nil"/>
          <w:left w:val="nil"/>
          <w:bottom w:val="nil"/>
          <w:right w:val="nil"/>
          <w:between w:val="nil"/>
        </w:pBdr>
        <w:spacing w:line="276" w:lineRule="auto"/>
        <w:ind w:left="851" w:right="255" w:hanging="131"/>
        <w:jc w:val="both"/>
        <w:rPr>
          <w:rFonts w:ascii="Palatino Linotype" w:eastAsia="Palatino Linotype" w:hAnsi="Palatino Linotype" w:cs="Palatino Linotype"/>
          <w:i/>
          <w:color w:val="000000" w:themeColor="text1"/>
        </w:rPr>
      </w:pPr>
      <w:r>
        <w:rPr>
          <w:rFonts w:ascii="Palatino Linotype" w:eastAsia="Palatino Linotype" w:hAnsi="Palatino Linotype" w:cs="Palatino Linotype"/>
          <w:i/>
          <w:color w:val="000000" w:themeColor="text1"/>
        </w:rPr>
        <w:t>Aunado a lo anterior, se hizo de conocimiento que el Centro de Control de Confianza</w:t>
      </w:r>
      <w:r w:rsidR="004A2010">
        <w:rPr>
          <w:rFonts w:ascii="Palatino Linotype" w:eastAsia="Palatino Linotype" w:hAnsi="Palatino Linotype" w:cs="Palatino Linotype"/>
          <w:i/>
          <w:color w:val="000000" w:themeColor="text1"/>
        </w:rPr>
        <w:t xml:space="preserve"> es un organismo público descentralizado,</w:t>
      </w:r>
      <w:r w:rsidR="002366E6">
        <w:rPr>
          <w:rFonts w:ascii="Palatino Linotype" w:eastAsia="Palatino Linotype" w:hAnsi="Palatino Linotype" w:cs="Palatino Linotype"/>
          <w:i/>
          <w:color w:val="000000" w:themeColor="text1"/>
        </w:rPr>
        <w:t xml:space="preserve"> con personalidad jurídica y patrimonio propios, que tiene la facultad de realizar las evaluaciones de control de confianza y está bajo la normatividad del Centro Nacional de Certificación y Acreditación (CNCA), aplicables a las y los integrantes y/o a los y las aspirantes de las instituciones de seguridad pública y privada, tanto a nivel estatal como municipal; las cuales pueden ser para permanencia, nuevo ingreso, promoción, cambio de funciones; a fin de emitir, en su caso, la certificación </w:t>
      </w:r>
      <w:r w:rsidR="002366E6" w:rsidRPr="007B0380">
        <w:rPr>
          <w:rFonts w:ascii="Palatino Linotype" w:eastAsia="Palatino Linotype" w:hAnsi="Palatino Linotype" w:cs="Palatino Linotype"/>
          <w:i/>
          <w:color w:val="000000" w:themeColor="text1"/>
        </w:rPr>
        <w:t>correspondie</w:t>
      </w:r>
      <w:r w:rsidR="002366E6">
        <w:rPr>
          <w:rFonts w:ascii="Palatino Linotype" w:eastAsia="Palatino Linotype" w:hAnsi="Palatino Linotype" w:cs="Palatino Linotype"/>
          <w:i/>
          <w:color w:val="000000" w:themeColor="text1"/>
        </w:rPr>
        <w:t>nte y es quien pudiera tener mayor información al respecto</w:t>
      </w:r>
      <w:r w:rsidR="009B64CA">
        <w:rPr>
          <w:rFonts w:ascii="Palatino Linotype" w:eastAsia="Palatino Linotype" w:hAnsi="Palatino Linotype" w:cs="Palatino Linotype"/>
          <w:i/>
          <w:color w:val="000000" w:themeColor="text1"/>
        </w:rPr>
        <w:t>.</w:t>
      </w:r>
    </w:p>
    <w:p w14:paraId="123057C3" w14:textId="77777777" w:rsidR="009B64CA" w:rsidRDefault="009B64CA" w:rsidP="006D7A89">
      <w:pPr>
        <w:pStyle w:val="Prrafodelista"/>
        <w:pBdr>
          <w:top w:val="nil"/>
          <w:left w:val="nil"/>
          <w:bottom w:val="nil"/>
          <w:right w:val="nil"/>
          <w:between w:val="nil"/>
        </w:pBdr>
        <w:spacing w:line="276" w:lineRule="auto"/>
        <w:ind w:left="851" w:right="255" w:hanging="131"/>
        <w:jc w:val="both"/>
        <w:rPr>
          <w:rFonts w:ascii="Palatino Linotype" w:eastAsia="Palatino Linotype" w:hAnsi="Palatino Linotype" w:cs="Palatino Linotype"/>
          <w:i/>
          <w:color w:val="000000" w:themeColor="text1"/>
        </w:rPr>
      </w:pPr>
      <w:r>
        <w:rPr>
          <w:rFonts w:ascii="Palatino Linotype" w:eastAsia="Palatino Linotype" w:hAnsi="Palatino Linotype" w:cs="Palatino Linotype"/>
          <w:i/>
          <w:color w:val="000000" w:themeColor="text1"/>
        </w:rPr>
        <w:t>En razón de lo anterior, se le sugirió enviar su solicitud al Módulo de Acceso a la Información del Secretariado Ejecutivo del Sistema Nacional de Seguridad Pública, a través del Centro Nacional de Certificación y Acreditación, ,,,</w:t>
      </w:r>
    </w:p>
    <w:p w14:paraId="6FA19E59" w14:textId="77777777" w:rsidR="00834EF0" w:rsidRPr="00834EF0" w:rsidRDefault="009B64CA" w:rsidP="002F4E85">
      <w:pPr>
        <w:pStyle w:val="Prrafodelista"/>
        <w:numPr>
          <w:ilvl w:val="0"/>
          <w:numId w:val="5"/>
        </w:numPr>
        <w:pBdr>
          <w:top w:val="nil"/>
          <w:left w:val="nil"/>
          <w:bottom w:val="nil"/>
          <w:right w:val="nil"/>
          <w:between w:val="nil"/>
        </w:pBdr>
        <w:spacing w:line="276" w:lineRule="auto"/>
        <w:ind w:left="851" w:right="255" w:hanging="851"/>
        <w:jc w:val="both"/>
        <w:rPr>
          <w:rFonts w:ascii="Palatino Linotype" w:hAnsi="Palatino Linotype"/>
        </w:rPr>
      </w:pPr>
      <w:r>
        <w:rPr>
          <w:rFonts w:ascii="Palatino Linotype" w:eastAsia="Palatino Linotype" w:hAnsi="Palatino Linotype" w:cs="Palatino Linotype"/>
          <w:i/>
          <w:color w:val="000000" w:themeColor="text1"/>
        </w:rPr>
        <w:t xml:space="preserve">En este orden de ideas y con el objetivo ampliar la información proporcionada, respecto de la interrogante: “…ASÍ MISMO CUANTAS EVALUACIONES DE </w:t>
      </w:r>
      <w:r>
        <w:rPr>
          <w:rFonts w:ascii="Palatino Linotype" w:eastAsia="Palatino Linotype" w:hAnsi="Palatino Linotype" w:cs="Palatino Linotype"/>
          <w:i/>
          <w:color w:val="000000" w:themeColor="text1"/>
        </w:rPr>
        <w:lastRenderedPageBreak/>
        <w:t>CONTROL DE CONFIANZA POR PERMANENCIA SE ENCUENTRAN CONSIDERADAS PARA ESTE AÑO?..., se sugiere</w:t>
      </w:r>
      <w:r w:rsidR="00834EF0">
        <w:rPr>
          <w:rFonts w:ascii="Palatino Linotype" w:eastAsia="Palatino Linotype" w:hAnsi="Palatino Linotype" w:cs="Palatino Linotype"/>
          <w:i/>
          <w:color w:val="000000" w:themeColor="text1"/>
        </w:rPr>
        <w:t xml:space="preserve"> al ahora recurrente dirigir su solicitud al Centro de Control y Confianza del Estado de México, en razón de que dicho organismo público descentralizado funge como Sujeto Obligado en materia de transparencia…</w:t>
      </w:r>
    </w:p>
    <w:p w14:paraId="676E3522" w14:textId="77777777" w:rsidR="00D76C02" w:rsidRDefault="0059418F" w:rsidP="006D7A89">
      <w:pPr>
        <w:pStyle w:val="Prrafodelista"/>
        <w:pBdr>
          <w:top w:val="nil"/>
          <w:left w:val="nil"/>
          <w:bottom w:val="nil"/>
          <w:right w:val="nil"/>
          <w:between w:val="nil"/>
        </w:pBdr>
        <w:spacing w:line="276" w:lineRule="auto"/>
        <w:ind w:left="851" w:right="255" w:hanging="131"/>
        <w:jc w:val="both"/>
        <w:rPr>
          <w:rFonts w:ascii="Palatino Linotype" w:eastAsia="Palatino Linotype" w:hAnsi="Palatino Linotype" w:cs="Palatino Linotype"/>
          <w:i/>
          <w:color w:val="000000" w:themeColor="text1"/>
        </w:rPr>
      </w:pPr>
      <w:r>
        <w:rPr>
          <w:rFonts w:ascii="Palatino Linotype" w:eastAsia="Palatino Linotype" w:hAnsi="Palatino Linotype" w:cs="Palatino Linotype"/>
          <w:i/>
          <w:color w:val="000000" w:themeColor="text1"/>
        </w:rPr>
        <w:t>SEGUNDO: Respecto de su Acto Impugnado consistente en</w:t>
      </w:r>
      <w:r w:rsidR="00C63C28">
        <w:rPr>
          <w:rFonts w:ascii="Palatino Linotype" w:eastAsia="Palatino Linotype" w:hAnsi="Palatino Linotype" w:cs="Palatino Linotype"/>
          <w:i/>
          <w:color w:val="000000" w:themeColor="text1"/>
        </w:rPr>
        <w:t xml:space="preserve"> “…Falta de información y precisión en la misma…” y De las Razones o Motivos de Inconformidad relativas a “…Dentro de la solicitud de información se cuestiona el número de elementos aprobados con restricciones durante el ejercicio 2022 y 2023 y que avance de </w:t>
      </w:r>
      <w:proofErr w:type="spellStart"/>
      <w:r w:rsidR="00C63C28">
        <w:rPr>
          <w:rFonts w:ascii="Palatino Linotype" w:eastAsia="Palatino Linotype" w:hAnsi="Palatino Linotype" w:cs="Palatino Linotype"/>
          <w:i/>
          <w:color w:val="000000" w:themeColor="text1"/>
        </w:rPr>
        <w:t>solventación</w:t>
      </w:r>
      <w:proofErr w:type="spellEnd"/>
      <w:r w:rsidR="00C63C28">
        <w:rPr>
          <w:rFonts w:ascii="Palatino Linotype" w:eastAsia="Palatino Linotype" w:hAnsi="Palatino Linotype" w:cs="Palatino Linotype"/>
          <w:i/>
          <w:color w:val="000000" w:themeColor="text1"/>
        </w:rPr>
        <w:t xml:space="preserve"> se tiene…” esta Unidad de Transparencia</w:t>
      </w:r>
      <w:r w:rsidR="00C57E81">
        <w:rPr>
          <w:rFonts w:ascii="Palatino Linotype" w:eastAsia="Palatino Linotype" w:hAnsi="Palatino Linotype" w:cs="Palatino Linotype"/>
          <w:i/>
          <w:color w:val="000000" w:themeColor="text1"/>
        </w:rPr>
        <w:t xml:space="preserve"> requirió de nueva cuenta información al Servidor Público Habilitado de la Dirección General del Sistema de Desarrollo Policial</w:t>
      </w:r>
      <w:r w:rsidR="00D76C02">
        <w:rPr>
          <w:rFonts w:ascii="Palatino Linotype" w:eastAsia="Palatino Linotype" w:hAnsi="Palatino Linotype" w:cs="Palatino Linotype"/>
          <w:i/>
          <w:color w:val="000000" w:themeColor="text1"/>
        </w:rPr>
        <w:t xml:space="preserve"> mediante oficio… a fin de facilitar mayores datos que permitieran dar atención al presente medio de impugnación, quien a su vez mediante diverso … remitió la información correspondiente, a saber:</w:t>
      </w:r>
    </w:p>
    <w:p w14:paraId="70D254C8" w14:textId="77777777" w:rsidR="00A95CCC" w:rsidRDefault="00A95CCC" w:rsidP="002F4E85">
      <w:pPr>
        <w:pStyle w:val="Prrafodelista"/>
        <w:pBdr>
          <w:top w:val="nil"/>
          <w:left w:val="nil"/>
          <w:bottom w:val="nil"/>
          <w:right w:val="nil"/>
          <w:between w:val="nil"/>
        </w:pBdr>
        <w:spacing w:line="276" w:lineRule="auto"/>
        <w:ind w:left="851" w:right="255" w:hanging="851"/>
        <w:jc w:val="both"/>
        <w:rPr>
          <w:rFonts w:ascii="Palatino Linotype" w:eastAsia="Palatino Linotype" w:hAnsi="Palatino Linotype" w:cs="Palatino Linotype"/>
          <w:i/>
          <w:color w:val="000000" w:themeColor="text1"/>
        </w:rPr>
      </w:pPr>
    </w:p>
    <w:tbl>
      <w:tblPr>
        <w:tblStyle w:val="Tablaconcuadrcula"/>
        <w:tblW w:w="6539" w:type="dxa"/>
        <w:tblInd w:w="1253" w:type="dxa"/>
        <w:tblLook w:val="04A0" w:firstRow="1" w:lastRow="0" w:firstColumn="1" w:lastColumn="0" w:noHBand="0" w:noVBand="1"/>
      </w:tblPr>
      <w:tblGrid>
        <w:gridCol w:w="731"/>
        <w:gridCol w:w="1162"/>
        <w:gridCol w:w="2708"/>
        <w:gridCol w:w="1938"/>
      </w:tblGrid>
      <w:tr w:rsidR="00D14303" w:rsidRPr="00C861A6" w14:paraId="1AF11337" w14:textId="77777777" w:rsidTr="00A95CCC">
        <w:tc>
          <w:tcPr>
            <w:tcW w:w="526" w:type="dxa"/>
            <w:shd w:val="pct12" w:color="auto" w:fill="auto"/>
          </w:tcPr>
          <w:p w14:paraId="6E3CC29E" w14:textId="6BD3630F" w:rsidR="00D14303" w:rsidRPr="00C861A6" w:rsidRDefault="00D14303" w:rsidP="002F4E85">
            <w:pPr>
              <w:pStyle w:val="Prrafodelista"/>
              <w:spacing w:line="276" w:lineRule="auto"/>
              <w:ind w:left="851" w:right="255" w:hanging="851"/>
              <w:jc w:val="both"/>
              <w:rPr>
                <w:rFonts w:ascii="Palatino Linotype" w:eastAsia="Palatino Linotype" w:hAnsi="Palatino Linotype" w:cs="Palatino Linotype"/>
                <w:i/>
                <w:color w:val="000000" w:themeColor="text1"/>
                <w:sz w:val="22"/>
                <w:szCs w:val="22"/>
              </w:rPr>
            </w:pPr>
            <w:r w:rsidRPr="00C861A6">
              <w:rPr>
                <w:rFonts w:ascii="Palatino Linotype" w:eastAsia="Palatino Linotype" w:hAnsi="Palatino Linotype" w:cs="Palatino Linotype"/>
                <w:i/>
                <w:color w:val="000000" w:themeColor="text1"/>
                <w:sz w:val="22"/>
                <w:szCs w:val="22"/>
              </w:rPr>
              <w:t>N°</w:t>
            </w:r>
          </w:p>
        </w:tc>
        <w:tc>
          <w:tcPr>
            <w:tcW w:w="1237" w:type="dxa"/>
            <w:shd w:val="pct12" w:color="auto" w:fill="auto"/>
          </w:tcPr>
          <w:p w14:paraId="2C032248" w14:textId="64FAD40E" w:rsidR="00D14303" w:rsidRPr="00C861A6" w:rsidRDefault="00D14303" w:rsidP="002F4E85">
            <w:pPr>
              <w:pStyle w:val="Prrafodelista"/>
              <w:spacing w:line="276" w:lineRule="auto"/>
              <w:ind w:left="851" w:right="255" w:hanging="851"/>
              <w:jc w:val="both"/>
              <w:rPr>
                <w:rFonts w:ascii="Palatino Linotype" w:eastAsia="Palatino Linotype" w:hAnsi="Palatino Linotype" w:cs="Palatino Linotype"/>
                <w:i/>
                <w:color w:val="000000" w:themeColor="text1"/>
                <w:sz w:val="22"/>
                <w:szCs w:val="22"/>
              </w:rPr>
            </w:pPr>
            <w:r w:rsidRPr="00C861A6">
              <w:rPr>
                <w:rFonts w:ascii="Palatino Linotype" w:eastAsia="Palatino Linotype" w:hAnsi="Palatino Linotype" w:cs="Palatino Linotype"/>
                <w:i/>
                <w:color w:val="000000" w:themeColor="text1"/>
                <w:sz w:val="22"/>
                <w:szCs w:val="22"/>
              </w:rPr>
              <w:t>Año</w:t>
            </w:r>
          </w:p>
        </w:tc>
        <w:tc>
          <w:tcPr>
            <w:tcW w:w="2791" w:type="dxa"/>
            <w:shd w:val="pct12" w:color="auto" w:fill="auto"/>
          </w:tcPr>
          <w:p w14:paraId="377E0BF1" w14:textId="6FF5EED7" w:rsidR="00D14303" w:rsidRPr="00C861A6" w:rsidRDefault="00D14303" w:rsidP="002F4E85">
            <w:pPr>
              <w:pStyle w:val="Prrafodelista"/>
              <w:spacing w:line="276" w:lineRule="auto"/>
              <w:ind w:left="851" w:right="255" w:hanging="851"/>
              <w:jc w:val="center"/>
              <w:rPr>
                <w:rFonts w:ascii="Palatino Linotype" w:eastAsia="Palatino Linotype" w:hAnsi="Palatino Linotype" w:cs="Palatino Linotype"/>
                <w:i/>
                <w:color w:val="000000" w:themeColor="text1"/>
                <w:sz w:val="22"/>
                <w:szCs w:val="22"/>
              </w:rPr>
            </w:pPr>
            <w:r w:rsidRPr="00C861A6">
              <w:rPr>
                <w:rFonts w:ascii="Palatino Linotype" w:eastAsia="Palatino Linotype" w:hAnsi="Palatino Linotype" w:cs="Palatino Linotype"/>
                <w:i/>
                <w:color w:val="000000" w:themeColor="text1"/>
                <w:sz w:val="22"/>
                <w:szCs w:val="22"/>
              </w:rPr>
              <w:t>N</w:t>
            </w:r>
            <w:r w:rsidR="00411073">
              <w:rPr>
                <w:rFonts w:ascii="Palatino Linotype" w:eastAsia="Palatino Linotype" w:hAnsi="Palatino Linotype" w:cs="Palatino Linotype"/>
                <w:i/>
                <w:color w:val="000000" w:themeColor="text1"/>
                <w:sz w:val="22"/>
                <w:szCs w:val="22"/>
              </w:rPr>
              <w:t>ú</w:t>
            </w:r>
            <w:r w:rsidRPr="00C861A6">
              <w:rPr>
                <w:rFonts w:ascii="Palatino Linotype" w:eastAsia="Palatino Linotype" w:hAnsi="Palatino Linotype" w:cs="Palatino Linotype"/>
                <w:i/>
                <w:color w:val="000000" w:themeColor="text1"/>
                <w:sz w:val="22"/>
                <w:szCs w:val="22"/>
              </w:rPr>
              <w:t>mero de elementos</w:t>
            </w:r>
          </w:p>
          <w:p w14:paraId="0F46F9CD" w14:textId="71E16015" w:rsidR="00D14303" w:rsidRPr="00C861A6" w:rsidRDefault="00A95CCC" w:rsidP="002F4E85">
            <w:pPr>
              <w:pStyle w:val="Prrafodelista"/>
              <w:spacing w:line="276" w:lineRule="auto"/>
              <w:ind w:left="851" w:right="255" w:hanging="851"/>
              <w:jc w:val="center"/>
              <w:rPr>
                <w:rFonts w:ascii="Palatino Linotype" w:eastAsia="Palatino Linotype" w:hAnsi="Palatino Linotype" w:cs="Palatino Linotype"/>
                <w:i/>
                <w:color w:val="000000" w:themeColor="text1"/>
                <w:sz w:val="22"/>
                <w:szCs w:val="22"/>
              </w:rPr>
            </w:pPr>
            <w:r>
              <w:rPr>
                <w:rFonts w:ascii="Palatino Linotype" w:eastAsia="Palatino Linotype" w:hAnsi="Palatino Linotype" w:cs="Palatino Linotype"/>
                <w:i/>
                <w:color w:val="000000" w:themeColor="text1"/>
                <w:sz w:val="22"/>
                <w:szCs w:val="22"/>
              </w:rPr>
              <w:t>ap</w:t>
            </w:r>
            <w:r w:rsidR="00D14303" w:rsidRPr="00C861A6">
              <w:rPr>
                <w:rFonts w:ascii="Palatino Linotype" w:eastAsia="Palatino Linotype" w:hAnsi="Palatino Linotype" w:cs="Palatino Linotype"/>
                <w:i/>
                <w:color w:val="000000" w:themeColor="text1"/>
                <w:sz w:val="22"/>
                <w:szCs w:val="22"/>
              </w:rPr>
              <w:t>robados con restricciones</w:t>
            </w:r>
          </w:p>
        </w:tc>
        <w:tc>
          <w:tcPr>
            <w:tcW w:w="1985" w:type="dxa"/>
            <w:shd w:val="pct12" w:color="auto" w:fill="auto"/>
          </w:tcPr>
          <w:p w14:paraId="165A53EC" w14:textId="3773CED3" w:rsidR="00D14303" w:rsidRPr="00C861A6" w:rsidRDefault="00D14303" w:rsidP="002F4E85">
            <w:pPr>
              <w:pStyle w:val="Prrafodelista"/>
              <w:spacing w:line="276" w:lineRule="auto"/>
              <w:ind w:left="851" w:right="255" w:hanging="851"/>
              <w:jc w:val="center"/>
              <w:rPr>
                <w:rFonts w:ascii="Palatino Linotype" w:eastAsia="Palatino Linotype" w:hAnsi="Palatino Linotype" w:cs="Palatino Linotype"/>
                <w:i/>
                <w:color w:val="000000" w:themeColor="text1"/>
                <w:sz w:val="22"/>
                <w:szCs w:val="22"/>
              </w:rPr>
            </w:pPr>
            <w:r w:rsidRPr="00C861A6">
              <w:rPr>
                <w:rFonts w:ascii="Palatino Linotype" w:eastAsia="Palatino Linotype" w:hAnsi="Palatino Linotype" w:cs="Palatino Linotype"/>
                <w:i/>
                <w:color w:val="000000" w:themeColor="text1"/>
                <w:sz w:val="22"/>
                <w:szCs w:val="22"/>
              </w:rPr>
              <w:t>Avance de</w:t>
            </w:r>
          </w:p>
          <w:p w14:paraId="30E9F88D" w14:textId="2252421A" w:rsidR="00D14303" w:rsidRPr="00C861A6" w:rsidRDefault="00D14303" w:rsidP="002F4E85">
            <w:pPr>
              <w:pStyle w:val="Prrafodelista"/>
              <w:spacing w:line="276" w:lineRule="auto"/>
              <w:ind w:left="851" w:right="255" w:hanging="851"/>
              <w:jc w:val="center"/>
              <w:rPr>
                <w:rFonts w:ascii="Palatino Linotype" w:eastAsia="Palatino Linotype" w:hAnsi="Palatino Linotype" w:cs="Palatino Linotype"/>
                <w:i/>
                <w:color w:val="000000" w:themeColor="text1"/>
                <w:sz w:val="22"/>
                <w:szCs w:val="22"/>
              </w:rPr>
            </w:pPr>
            <w:proofErr w:type="spellStart"/>
            <w:r w:rsidRPr="00C861A6">
              <w:rPr>
                <w:rFonts w:ascii="Palatino Linotype" w:eastAsia="Palatino Linotype" w:hAnsi="Palatino Linotype" w:cs="Palatino Linotype"/>
                <w:i/>
                <w:color w:val="000000" w:themeColor="text1"/>
                <w:sz w:val="22"/>
                <w:szCs w:val="22"/>
              </w:rPr>
              <w:t>Solventaciones</w:t>
            </w:r>
            <w:proofErr w:type="spellEnd"/>
          </w:p>
        </w:tc>
      </w:tr>
      <w:tr w:rsidR="00D14303" w:rsidRPr="00C861A6" w14:paraId="6E36E0A1" w14:textId="77777777" w:rsidTr="00A95CCC">
        <w:tc>
          <w:tcPr>
            <w:tcW w:w="526" w:type="dxa"/>
          </w:tcPr>
          <w:p w14:paraId="2D7ADE3A" w14:textId="55CD5266" w:rsidR="00D14303" w:rsidRPr="00C861A6" w:rsidRDefault="00D14303" w:rsidP="002F4E85">
            <w:pPr>
              <w:pStyle w:val="Prrafodelista"/>
              <w:spacing w:line="276" w:lineRule="auto"/>
              <w:ind w:left="851" w:right="255" w:hanging="851"/>
              <w:jc w:val="both"/>
              <w:rPr>
                <w:rFonts w:ascii="Palatino Linotype" w:eastAsia="Palatino Linotype" w:hAnsi="Palatino Linotype" w:cs="Palatino Linotype"/>
                <w:i/>
                <w:color w:val="000000" w:themeColor="text1"/>
                <w:sz w:val="22"/>
                <w:szCs w:val="22"/>
              </w:rPr>
            </w:pPr>
            <w:r w:rsidRPr="00C861A6">
              <w:rPr>
                <w:rFonts w:ascii="Palatino Linotype" w:eastAsia="Palatino Linotype" w:hAnsi="Palatino Linotype" w:cs="Palatino Linotype"/>
                <w:i/>
                <w:color w:val="000000" w:themeColor="text1"/>
                <w:sz w:val="22"/>
                <w:szCs w:val="22"/>
              </w:rPr>
              <w:t>1</w:t>
            </w:r>
          </w:p>
        </w:tc>
        <w:tc>
          <w:tcPr>
            <w:tcW w:w="1237" w:type="dxa"/>
          </w:tcPr>
          <w:p w14:paraId="5DAC2837" w14:textId="3F375103" w:rsidR="00D14303" w:rsidRPr="00C861A6" w:rsidRDefault="00D14303" w:rsidP="002F4E85">
            <w:pPr>
              <w:pStyle w:val="Prrafodelista"/>
              <w:spacing w:line="276" w:lineRule="auto"/>
              <w:ind w:left="851" w:right="255" w:hanging="851"/>
              <w:jc w:val="both"/>
              <w:rPr>
                <w:rFonts w:ascii="Palatino Linotype" w:eastAsia="Palatino Linotype" w:hAnsi="Palatino Linotype" w:cs="Palatino Linotype"/>
                <w:i/>
                <w:color w:val="000000" w:themeColor="text1"/>
                <w:sz w:val="22"/>
                <w:szCs w:val="22"/>
              </w:rPr>
            </w:pPr>
            <w:r w:rsidRPr="00C861A6">
              <w:rPr>
                <w:rFonts w:ascii="Palatino Linotype" w:eastAsia="Palatino Linotype" w:hAnsi="Palatino Linotype" w:cs="Palatino Linotype"/>
                <w:i/>
                <w:color w:val="000000" w:themeColor="text1"/>
                <w:sz w:val="22"/>
                <w:szCs w:val="22"/>
              </w:rPr>
              <w:t>2022</w:t>
            </w:r>
          </w:p>
        </w:tc>
        <w:tc>
          <w:tcPr>
            <w:tcW w:w="2791" w:type="dxa"/>
          </w:tcPr>
          <w:p w14:paraId="308FBB52" w14:textId="443026A6" w:rsidR="00D14303" w:rsidRPr="00C861A6" w:rsidRDefault="00D14303" w:rsidP="002F4E85">
            <w:pPr>
              <w:pStyle w:val="Prrafodelista"/>
              <w:spacing w:line="276" w:lineRule="auto"/>
              <w:ind w:left="851" w:right="255" w:hanging="851"/>
              <w:jc w:val="center"/>
              <w:rPr>
                <w:rFonts w:ascii="Palatino Linotype" w:eastAsia="Palatino Linotype" w:hAnsi="Palatino Linotype" w:cs="Palatino Linotype"/>
                <w:i/>
                <w:color w:val="000000" w:themeColor="text1"/>
                <w:sz w:val="22"/>
                <w:szCs w:val="22"/>
              </w:rPr>
            </w:pPr>
            <w:r w:rsidRPr="00C861A6">
              <w:rPr>
                <w:rFonts w:ascii="Palatino Linotype" w:eastAsia="Palatino Linotype" w:hAnsi="Palatino Linotype" w:cs="Palatino Linotype"/>
                <w:i/>
                <w:color w:val="000000" w:themeColor="text1"/>
                <w:sz w:val="22"/>
                <w:szCs w:val="22"/>
              </w:rPr>
              <w:t>4,826</w:t>
            </w:r>
          </w:p>
        </w:tc>
        <w:tc>
          <w:tcPr>
            <w:tcW w:w="1985" w:type="dxa"/>
          </w:tcPr>
          <w:p w14:paraId="1511FD80" w14:textId="09869A3A" w:rsidR="00D14303" w:rsidRPr="00C861A6" w:rsidRDefault="00D14303" w:rsidP="002F4E85">
            <w:pPr>
              <w:pStyle w:val="Prrafodelista"/>
              <w:spacing w:line="276" w:lineRule="auto"/>
              <w:ind w:left="851" w:right="255" w:hanging="851"/>
              <w:jc w:val="center"/>
              <w:rPr>
                <w:rFonts w:ascii="Palatino Linotype" w:eastAsia="Palatino Linotype" w:hAnsi="Palatino Linotype" w:cs="Palatino Linotype"/>
                <w:i/>
                <w:color w:val="000000" w:themeColor="text1"/>
                <w:sz w:val="22"/>
                <w:szCs w:val="22"/>
              </w:rPr>
            </w:pPr>
            <w:r w:rsidRPr="00C861A6">
              <w:rPr>
                <w:rFonts w:ascii="Palatino Linotype" w:eastAsia="Palatino Linotype" w:hAnsi="Palatino Linotype" w:cs="Palatino Linotype"/>
                <w:i/>
                <w:color w:val="000000" w:themeColor="text1"/>
                <w:sz w:val="22"/>
                <w:szCs w:val="22"/>
              </w:rPr>
              <w:t>100%</w:t>
            </w:r>
          </w:p>
        </w:tc>
      </w:tr>
      <w:tr w:rsidR="00D14303" w:rsidRPr="00C861A6" w14:paraId="51CF4E9D" w14:textId="77777777" w:rsidTr="00A95CCC">
        <w:trPr>
          <w:trHeight w:val="60"/>
        </w:trPr>
        <w:tc>
          <w:tcPr>
            <w:tcW w:w="526" w:type="dxa"/>
          </w:tcPr>
          <w:p w14:paraId="4A54651E" w14:textId="40DEFB0E" w:rsidR="00D14303" w:rsidRPr="00C861A6" w:rsidRDefault="00D14303" w:rsidP="002F4E85">
            <w:pPr>
              <w:pStyle w:val="Prrafodelista"/>
              <w:spacing w:line="276" w:lineRule="auto"/>
              <w:ind w:left="851" w:right="255" w:hanging="851"/>
              <w:jc w:val="both"/>
              <w:rPr>
                <w:rFonts w:ascii="Palatino Linotype" w:eastAsia="Palatino Linotype" w:hAnsi="Palatino Linotype" w:cs="Palatino Linotype"/>
                <w:i/>
                <w:color w:val="000000" w:themeColor="text1"/>
                <w:sz w:val="22"/>
                <w:szCs w:val="22"/>
              </w:rPr>
            </w:pPr>
            <w:r w:rsidRPr="00C861A6">
              <w:rPr>
                <w:rFonts w:ascii="Palatino Linotype" w:eastAsia="Palatino Linotype" w:hAnsi="Palatino Linotype" w:cs="Palatino Linotype"/>
                <w:i/>
                <w:color w:val="000000" w:themeColor="text1"/>
                <w:sz w:val="22"/>
                <w:szCs w:val="22"/>
              </w:rPr>
              <w:t>2</w:t>
            </w:r>
          </w:p>
        </w:tc>
        <w:tc>
          <w:tcPr>
            <w:tcW w:w="1237" w:type="dxa"/>
          </w:tcPr>
          <w:p w14:paraId="22B807A4" w14:textId="23C84A0B" w:rsidR="00D14303" w:rsidRPr="00C861A6" w:rsidRDefault="00D14303" w:rsidP="002F4E85">
            <w:pPr>
              <w:pStyle w:val="Prrafodelista"/>
              <w:spacing w:line="276" w:lineRule="auto"/>
              <w:ind w:left="851" w:right="255" w:hanging="851"/>
              <w:jc w:val="both"/>
              <w:rPr>
                <w:rFonts w:ascii="Palatino Linotype" w:eastAsia="Palatino Linotype" w:hAnsi="Palatino Linotype" w:cs="Palatino Linotype"/>
                <w:i/>
                <w:color w:val="000000" w:themeColor="text1"/>
                <w:sz w:val="22"/>
                <w:szCs w:val="22"/>
              </w:rPr>
            </w:pPr>
            <w:r w:rsidRPr="00C861A6">
              <w:rPr>
                <w:rFonts w:ascii="Palatino Linotype" w:eastAsia="Palatino Linotype" w:hAnsi="Palatino Linotype" w:cs="Palatino Linotype"/>
                <w:i/>
                <w:color w:val="000000" w:themeColor="text1"/>
                <w:sz w:val="22"/>
                <w:szCs w:val="22"/>
              </w:rPr>
              <w:t>2023</w:t>
            </w:r>
          </w:p>
        </w:tc>
        <w:tc>
          <w:tcPr>
            <w:tcW w:w="2791" w:type="dxa"/>
          </w:tcPr>
          <w:p w14:paraId="0909ECF5" w14:textId="2C445FAB" w:rsidR="00D14303" w:rsidRPr="00C861A6" w:rsidRDefault="00D14303" w:rsidP="002F4E85">
            <w:pPr>
              <w:pStyle w:val="Prrafodelista"/>
              <w:spacing w:line="276" w:lineRule="auto"/>
              <w:ind w:left="851" w:right="255" w:hanging="851"/>
              <w:jc w:val="center"/>
              <w:rPr>
                <w:rFonts w:ascii="Palatino Linotype" w:eastAsia="Palatino Linotype" w:hAnsi="Palatino Linotype" w:cs="Palatino Linotype"/>
                <w:i/>
                <w:color w:val="000000" w:themeColor="text1"/>
                <w:sz w:val="22"/>
                <w:szCs w:val="22"/>
              </w:rPr>
            </w:pPr>
            <w:r w:rsidRPr="00C861A6">
              <w:rPr>
                <w:rFonts w:ascii="Palatino Linotype" w:eastAsia="Palatino Linotype" w:hAnsi="Palatino Linotype" w:cs="Palatino Linotype"/>
                <w:i/>
                <w:color w:val="000000" w:themeColor="text1"/>
                <w:sz w:val="22"/>
                <w:szCs w:val="22"/>
              </w:rPr>
              <w:t>6,760</w:t>
            </w:r>
          </w:p>
        </w:tc>
        <w:tc>
          <w:tcPr>
            <w:tcW w:w="1985" w:type="dxa"/>
          </w:tcPr>
          <w:p w14:paraId="5CD42654" w14:textId="27A889AA" w:rsidR="00D14303" w:rsidRPr="00C861A6" w:rsidRDefault="00D14303" w:rsidP="002F4E85">
            <w:pPr>
              <w:pStyle w:val="Prrafodelista"/>
              <w:spacing w:line="276" w:lineRule="auto"/>
              <w:ind w:left="851" w:right="255" w:hanging="851"/>
              <w:jc w:val="center"/>
              <w:rPr>
                <w:rFonts w:ascii="Palatino Linotype" w:eastAsia="Palatino Linotype" w:hAnsi="Palatino Linotype" w:cs="Palatino Linotype"/>
                <w:i/>
                <w:color w:val="000000" w:themeColor="text1"/>
                <w:sz w:val="22"/>
                <w:szCs w:val="22"/>
              </w:rPr>
            </w:pPr>
            <w:r w:rsidRPr="00C861A6">
              <w:rPr>
                <w:rFonts w:ascii="Palatino Linotype" w:eastAsia="Palatino Linotype" w:hAnsi="Palatino Linotype" w:cs="Palatino Linotype"/>
                <w:i/>
                <w:color w:val="000000" w:themeColor="text1"/>
                <w:sz w:val="22"/>
                <w:szCs w:val="22"/>
              </w:rPr>
              <w:t>100%</w:t>
            </w:r>
          </w:p>
        </w:tc>
      </w:tr>
    </w:tbl>
    <w:p w14:paraId="3B134F1B" w14:textId="77777777" w:rsidR="00D76C02" w:rsidRPr="00C861A6" w:rsidRDefault="00D76C02" w:rsidP="002F4E85">
      <w:pPr>
        <w:pStyle w:val="Prrafodelista"/>
        <w:pBdr>
          <w:top w:val="nil"/>
          <w:left w:val="nil"/>
          <w:bottom w:val="nil"/>
          <w:right w:val="nil"/>
          <w:between w:val="nil"/>
        </w:pBdr>
        <w:spacing w:line="276" w:lineRule="auto"/>
        <w:ind w:left="851" w:right="255" w:hanging="851"/>
        <w:jc w:val="both"/>
        <w:rPr>
          <w:rFonts w:ascii="Palatino Linotype" w:eastAsia="Palatino Linotype" w:hAnsi="Palatino Linotype" w:cs="Palatino Linotype"/>
          <w:i/>
          <w:color w:val="000000" w:themeColor="text1"/>
          <w:sz w:val="22"/>
          <w:szCs w:val="22"/>
        </w:rPr>
      </w:pPr>
    </w:p>
    <w:p w14:paraId="5CE7AA42" w14:textId="7065F530" w:rsidR="008D01D3" w:rsidRPr="009B64CA" w:rsidRDefault="00D76C02" w:rsidP="006D7A89">
      <w:pPr>
        <w:pStyle w:val="Prrafodelista"/>
        <w:pBdr>
          <w:top w:val="nil"/>
          <w:left w:val="nil"/>
          <w:bottom w:val="nil"/>
          <w:right w:val="nil"/>
          <w:between w:val="nil"/>
        </w:pBdr>
        <w:spacing w:line="276" w:lineRule="auto"/>
        <w:ind w:left="851" w:right="255" w:hanging="131"/>
        <w:jc w:val="both"/>
        <w:rPr>
          <w:rFonts w:ascii="Palatino Linotype" w:hAnsi="Palatino Linotype"/>
        </w:rPr>
      </w:pPr>
      <w:r>
        <w:rPr>
          <w:rFonts w:ascii="Palatino Linotype" w:eastAsia="Palatino Linotype" w:hAnsi="Palatino Linotype" w:cs="Palatino Linotype"/>
          <w:i/>
          <w:color w:val="000000" w:themeColor="text1"/>
        </w:rPr>
        <w:t>Con lo anterior, se da por colmado lo relativo a las razones o motivos de inconformidad del hoy recurrente, lo que actualiza la causal de sobreseimiento del presente recurso de revisión,…”</w:t>
      </w:r>
      <w:r w:rsidR="002D66C9">
        <w:rPr>
          <w:rFonts w:ascii="Palatino Linotype" w:eastAsia="Palatino Linotype" w:hAnsi="Palatino Linotype" w:cs="Palatino Linotype"/>
          <w:i/>
          <w:color w:val="000000" w:themeColor="text1"/>
        </w:rPr>
        <w:t xml:space="preserve"> </w:t>
      </w:r>
      <w:r w:rsidR="008D01D3" w:rsidRPr="009B64CA">
        <w:rPr>
          <w:rFonts w:ascii="Palatino Linotype" w:hAnsi="Palatino Linotype"/>
        </w:rPr>
        <w:t>(Sic)</w:t>
      </w:r>
    </w:p>
    <w:p w14:paraId="481BA244" w14:textId="77777777" w:rsidR="002A3952" w:rsidRPr="00324237" w:rsidRDefault="002A3952" w:rsidP="007B0380">
      <w:pPr>
        <w:pStyle w:val="Prrafodelista"/>
        <w:pBdr>
          <w:top w:val="nil"/>
          <w:left w:val="nil"/>
          <w:bottom w:val="nil"/>
          <w:right w:val="nil"/>
          <w:between w:val="nil"/>
        </w:pBdr>
        <w:spacing w:line="360" w:lineRule="auto"/>
        <w:ind w:right="49"/>
        <w:jc w:val="both"/>
        <w:rPr>
          <w:rFonts w:ascii="Palatino Linotype" w:eastAsia="Palatino Linotype" w:hAnsi="Palatino Linotype" w:cs="Palatino Linotype"/>
          <w:i/>
          <w:color w:val="000000" w:themeColor="text1"/>
        </w:rPr>
      </w:pPr>
    </w:p>
    <w:p w14:paraId="751343F7" w14:textId="7EB1FDF8" w:rsidR="007B0380" w:rsidRPr="007A41DE" w:rsidRDefault="007B0380" w:rsidP="007B0380">
      <w:p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themeColor="text1"/>
        </w:rPr>
      </w:pPr>
      <w:r>
        <w:rPr>
          <w:rFonts w:ascii="Palatino Linotype" w:eastAsia="Palatino Linotype" w:hAnsi="Palatino Linotype" w:cs="Palatino Linotype"/>
          <w:b/>
          <w:color w:val="000000" w:themeColor="text1"/>
        </w:rPr>
        <w:t>046</w:t>
      </w:r>
      <w:r w:rsidRPr="007A41DE">
        <w:rPr>
          <w:rFonts w:ascii="Palatino Linotype" w:eastAsia="Palatino Linotype" w:hAnsi="Palatino Linotype" w:cs="Palatino Linotype"/>
          <w:b/>
          <w:color w:val="000000" w:themeColor="text1"/>
        </w:rPr>
        <w:t>8</w:t>
      </w:r>
      <w:r>
        <w:rPr>
          <w:rFonts w:ascii="Palatino Linotype" w:eastAsia="Palatino Linotype" w:hAnsi="Palatino Linotype" w:cs="Palatino Linotype"/>
          <w:b/>
          <w:color w:val="000000" w:themeColor="text1"/>
        </w:rPr>
        <w:t>0</w:t>
      </w:r>
      <w:r w:rsidRPr="007A41DE">
        <w:rPr>
          <w:rFonts w:ascii="Palatino Linotype" w:eastAsia="Palatino Linotype" w:hAnsi="Palatino Linotype" w:cs="Palatino Linotype"/>
          <w:b/>
          <w:color w:val="000000" w:themeColor="text1"/>
        </w:rPr>
        <w:t>/INFOEM/IP/RR/2024</w:t>
      </w:r>
    </w:p>
    <w:p w14:paraId="7F235695" w14:textId="28ED2A34" w:rsidR="007B0380" w:rsidRDefault="007B0380" w:rsidP="007B0380">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themeColor="text1"/>
        </w:rPr>
      </w:pPr>
      <w:r>
        <w:rPr>
          <w:rFonts w:ascii="Palatino Linotype" w:eastAsia="Palatino Linotype" w:hAnsi="Palatino Linotype" w:cs="Palatino Linotype"/>
          <w:b/>
          <w:color w:val="000000" w:themeColor="text1"/>
        </w:rPr>
        <w:lastRenderedPageBreak/>
        <w:t>Informe 46</w:t>
      </w:r>
      <w:r w:rsidRPr="00577704">
        <w:rPr>
          <w:rFonts w:ascii="Palatino Linotype" w:eastAsia="Palatino Linotype" w:hAnsi="Palatino Linotype" w:cs="Palatino Linotype"/>
          <w:b/>
          <w:color w:val="000000" w:themeColor="text1"/>
        </w:rPr>
        <w:t>8</w:t>
      </w:r>
      <w:r>
        <w:rPr>
          <w:rFonts w:ascii="Palatino Linotype" w:eastAsia="Palatino Linotype" w:hAnsi="Palatino Linotype" w:cs="Palatino Linotype"/>
          <w:b/>
          <w:color w:val="000000" w:themeColor="text1"/>
        </w:rPr>
        <w:t>0</w:t>
      </w:r>
      <w:r w:rsidRPr="00577704">
        <w:rPr>
          <w:rFonts w:ascii="Palatino Linotype" w:eastAsia="Palatino Linotype" w:hAnsi="Palatino Linotype" w:cs="Palatino Linotype"/>
          <w:b/>
          <w:color w:val="000000" w:themeColor="text1"/>
        </w:rPr>
        <w:t xml:space="preserve">.pdf: </w:t>
      </w:r>
      <w:r w:rsidRPr="00577704">
        <w:rPr>
          <w:rFonts w:ascii="Palatino Linotype" w:eastAsia="Palatino Linotype" w:hAnsi="Palatino Linotype" w:cs="Palatino Linotype"/>
          <w:color w:val="000000" w:themeColor="text1"/>
        </w:rPr>
        <w:t>Oficio número 20600007000000S/UIPPE/1</w:t>
      </w:r>
      <w:r>
        <w:rPr>
          <w:rFonts w:ascii="Palatino Linotype" w:eastAsia="Palatino Linotype" w:hAnsi="Palatino Linotype" w:cs="Palatino Linotype"/>
          <w:color w:val="000000" w:themeColor="text1"/>
        </w:rPr>
        <w:t>308</w:t>
      </w:r>
      <w:r w:rsidRPr="00577704">
        <w:rPr>
          <w:rFonts w:ascii="Palatino Linotype" w:eastAsia="Palatino Linotype" w:hAnsi="Palatino Linotype" w:cs="Palatino Linotype"/>
          <w:color w:val="000000" w:themeColor="text1"/>
        </w:rPr>
        <w:t>/2024</w:t>
      </w:r>
      <w:r>
        <w:rPr>
          <w:rFonts w:ascii="Palatino Linotype" w:eastAsia="Palatino Linotype" w:hAnsi="Palatino Linotype" w:cs="Palatino Linotype"/>
          <w:color w:val="000000" w:themeColor="text1"/>
        </w:rPr>
        <w:t>, de fecha diecinueve de agosto de dos mil veinticuatro, firmado por el Encargado de</w:t>
      </w:r>
      <w:r w:rsidR="00B428AF">
        <w:rPr>
          <w:rFonts w:ascii="Palatino Linotype" w:eastAsia="Palatino Linotype" w:hAnsi="Palatino Linotype" w:cs="Palatino Linotype"/>
          <w:color w:val="000000" w:themeColor="text1"/>
        </w:rPr>
        <w:t xml:space="preserve">l Despacho de la </w:t>
      </w:r>
      <w:r>
        <w:rPr>
          <w:rFonts w:ascii="Palatino Linotype" w:eastAsia="Palatino Linotype" w:hAnsi="Palatino Linotype" w:cs="Palatino Linotype"/>
          <w:color w:val="000000" w:themeColor="text1"/>
        </w:rPr>
        <w:t>Unidad de Información, Planeación, Programación y Evaluación y de la Unidad de Transparencia, del cual entre otras cosas se observa:</w:t>
      </w:r>
    </w:p>
    <w:p w14:paraId="09BD9C13" w14:textId="3F3AC4C6" w:rsidR="007B0380" w:rsidRDefault="007B0380" w:rsidP="002F4E85">
      <w:pPr>
        <w:pBdr>
          <w:top w:val="nil"/>
          <w:left w:val="nil"/>
          <w:bottom w:val="nil"/>
          <w:right w:val="nil"/>
          <w:between w:val="nil"/>
        </w:pBdr>
        <w:spacing w:line="360" w:lineRule="auto"/>
        <w:ind w:left="851" w:right="49"/>
        <w:jc w:val="both"/>
        <w:rPr>
          <w:rFonts w:ascii="Palatino Linotype" w:eastAsia="Palatino Linotype" w:hAnsi="Palatino Linotype" w:cs="Palatino Linotype"/>
          <w:b/>
          <w:i/>
          <w:color w:val="000000" w:themeColor="text1"/>
        </w:rPr>
      </w:pPr>
      <w:r>
        <w:rPr>
          <w:rFonts w:ascii="Palatino Linotype" w:eastAsia="Palatino Linotype" w:hAnsi="Palatino Linotype" w:cs="Palatino Linotype"/>
          <w:i/>
          <w:color w:val="000000" w:themeColor="text1"/>
        </w:rPr>
        <w:t xml:space="preserve">“… </w:t>
      </w:r>
      <w:r>
        <w:rPr>
          <w:rFonts w:ascii="Palatino Linotype" w:eastAsia="Palatino Linotype" w:hAnsi="Palatino Linotype" w:cs="Palatino Linotype"/>
          <w:b/>
          <w:i/>
          <w:color w:val="000000" w:themeColor="text1"/>
        </w:rPr>
        <w:t>III. OBJECIÓN DEL ACTO IMP</w:t>
      </w:r>
      <w:r w:rsidR="005F4EAA">
        <w:rPr>
          <w:rFonts w:ascii="Palatino Linotype" w:eastAsia="Palatino Linotype" w:hAnsi="Palatino Linotype" w:cs="Palatino Linotype"/>
          <w:b/>
          <w:i/>
          <w:color w:val="000000" w:themeColor="text1"/>
        </w:rPr>
        <w:t>U</w:t>
      </w:r>
      <w:r>
        <w:rPr>
          <w:rFonts w:ascii="Palatino Linotype" w:eastAsia="Palatino Linotype" w:hAnsi="Palatino Linotype" w:cs="Palatino Linotype"/>
          <w:b/>
          <w:i/>
          <w:color w:val="000000" w:themeColor="text1"/>
        </w:rPr>
        <w:t>GNADO Y RAZONES O MOTIVOS DE LA INCONFORMIDAD</w:t>
      </w:r>
    </w:p>
    <w:p w14:paraId="4A1947D0" w14:textId="08E4B43C" w:rsidR="007B0380" w:rsidRDefault="007B0380" w:rsidP="002F4E85">
      <w:pPr>
        <w:pBdr>
          <w:top w:val="nil"/>
          <w:left w:val="nil"/>
          <w:bottom w:val="nil"/>
          <w:right w:val="nil"/>
          <w:between w:val="nil"/>
        </w:pBdr>
        <w:spacing w:line="360" w:lineRule="auto"/>
        <w:ind w:left="851" w:right="49"/>
        <w:jc w:val="both"/>
        <w:rPr>
          <w:rFonts w:ascii="Palatino Linotype" w:eastAsia="Palatino Linotype" w:hAnsi="Palatino Linotype" w:cs="Palatino Linotype"/>
          <w:i/>
          <w:color w:val="000000" w:themeColor="text1"/>
        </w:rPr>
      </w:pPr>
      <w:r>
        <w:rPr>
          <w:rFonts w:ascii="Palatino Linotype" w:eastAsia="Palatino Linotype" w:hAnsi="Palatino Linotype" w:cs="Palatino Linotype"/>
          <w:i/>
          <w:color w:val="000000" w:themeColor="text1"/>
        </w:rPr>
        <w:t xml:space="preserve">PRIMERO. Este Sujeto Obligado </w:t>
      </w:r>
      <w:r w:rsidR="003315A8">
        <w:rPr>
          <w:rFonts w:ascii="Palatino Linotype" w:eastAsia="Palatino Linotype" w:hAnsi="Palatino Linotype" w:cs="Palatino Linotype"/>
          <w:i/>
          <w:color w:val="000000" w:themeColor="text1"/>
        </w:rPr>
        <w:t>CONFIRMA</w:t>
      </w:r>
      <w:r>
        <w:rPr>
          <w:rFonts w:ascii="Palatino Linotype" w:eastAsia="Palatino Linotype" w:hAnsi="Palatino Linotype" w:cs="Palatino Linotype"/>
          <w:i/>
          <w:color w:val="000000" w:themeColor="text1"/>
        </w:rPr>
        <w:t xml:space="preserve"> la respuesta </w:t>
      </w:r>
      <w:r w:rsidR="003315A8">
        <w:rPr>
          <w:rFonts w:ascii="Palatino Linotype" w:eastAsia="Palatino Linotype" w:hAnsi="Palatino Linotype" w:cs="Palatino Linotype"/>
          <w:i/>
          <w:color w:val="000000" w:themeColor="text1"/>
        </w:rPr>
        <w:t xml:space="preserve">otorgada por este Sujeto Obligado </w:t>
      </w:r>
      <w:r>
        <w:rPr>
          <w:rFonts w:ascii="Palatino Linotype" w:eastAsia="Palatino Linotype" w:hAnsi="Palatino Linotype" w:cs="Palatino Linotype"/>
          <w:i/>
          <w:color w:val="000000" w:themeColor="text1"/>
        </w:rPr>
        <w:t>en los términos</w:t>
      </w:r>
      <w:r w:rsidR="003315A8">
        <w:rPr>
          <w:rFonts w:ascii="Palatino Linotype" w:eastAsia="Palatino Linotype" w:hAnsi="Palatino Linotype" w:cs="Palatino Linotype"/>
          <w:i/>
          <w:color w:val="000000" w:themeColor="text1"/>
        </w:rPr>
        <w:t xml:space="preserve"> siguientes</w:t>
      </w:r>
      <w:r>
        <w:rPr>
          <w:rFonts w:ascii="Palatino Linotype" w:eastAsia="Palatino Linotype" w:hAnsi="Palatino Linotype" w:cs="Palatino Linotype"/>
          <w:i/>
          <w:color w:val="000000" w:themeColor="text1"/>
        </w:rPr>
        <w:t>:</w:t>
      </w:r>
    </w:p>
    <w:p w14:paraId="68BC450D" w14:textId="29D99D99" w:rsidR="00B94B77" w:rsidRDefault="00E53E05" w:rsidP="002F4E85">
      <w:pPr>
        <w:spacing w:line="360" w:lineRule="auto"/>
        <w:ind w:left="851"/>
        <w:jc w:val="both"/>
        <w:rPr>
          <w:rFonts w:ascii="Palatino Linotype" w:eastAsia="Palatino Linotype" w:hAnsi="Palatino Linotype" w:cs="Palatino Linotype"/>
          <w:i/>
          <w:color w:val="000000" w:themeColor="text1"/>
        </w:rPr>
      </w:pPr>
      <w:r>
        <w:rPr>
          <w:rFonts w:ascii="Palatino Linotype" w:eastAsia="Palatino Linotype" w:hAnsi="Palatino Linotype" w:cs="Palatino Linotype"/>
          <w:i/>
          <w:color w:val="000000" w:themeColor="text1"/>
        </w:rPr>
        <w:t>…</w:t>
      </w:r>
    </w:p>
    <w:p w14:paraId="46F86E3E" w14:textId="77777777" w:rsidR="009726BC" w:rsidRDefault="00311222" w:rsidP="002F4E85">
      <w:pPr>
        <w:spacing w:line="360" w:lineRule="auto"/>
        <w:ind w:left="851"/>
        <w:jc w:val="both"/>
        <w:rPr>
          <w:rFonts w:ascii="Palatino Linotype" w:eastAsia="Palatino Linotype" w:hAnsi="Palatino Linotype" w:cs="Palatino Linotype"/>
          <w:i/>
          <w:color w:val="000000" w:themeColor="text1"/>
        </w:rPr>
      </w:pPr>
      <w:r>
        <w:rPr>
          <w:rFonts w:ascii="Palatino Linotype" w:eastAsia="Palatino Linotype" w:hAnsi="Palatino Linotype" w:cs="Palatino Linotype"/>
          <w:i/>
          <w:color w:val="000000" w:themeColor="text1"/>
        </w:rPr>
        <w:t xml:space="preserve">Por lo que se hizo de conocimiento que por cuanto hace a este Sujeto Obligado, de acuerdo con lo establecido en el Reglamento Interior de la Secretaría de Seguridad del Estado de México, publicado en el Periódico Oficial “Gaceta de Gobierno” el 20 de diciembre de 2023, disponible en: </w:t>
      </w:r>
      <w:hyperlink r:id="rId11" w:history="1">
        <w:r w:rsidRPr="007962CB">
          <w:rPr>
            <w:rStyle w:val="Hipervnculo"/>
            <w:rFonts w:ascii="Palatino Linotype" w:eastAsia="Palatino Linotype" w:hAnsi="Palatino Linotype" w:cs="Palatino Linotype"/>
            <w:i/>
          </w:rPr>
          <w:t>https://legislacion.edomex.gob.mx/sites/legislacion.edomex.gob.mx/files/files/pdf/rgl/vig/rglvig714.pdf</w:t>
        </w:r>
      </w:hyperlink>
      <w:r>
        <w:rPr>
          <w:rFonts w:ascii="Palatino Linotype" w:eastAsia="Palatino Linotype" w:hAnsi="Palatino Linotype" w:cs="Palatino Linotype"/>
          <w:i/>
          <w:color w:val="000000" w:themeColor="text1"/>
        </w:rPr>
        <w:t xml:space="preserve"> </w:t>
      </w:r>
      <w:r w:rsidR="00AF07AB">
        <w:rPr>
          <w:rFonts w:ascii="Palatino Linotype" w:eastAsia="Palatino Linotype" w:hAnsi="Palatino Linotype" w:cs="Palatino Linotype"/>
          <w:i/>
          <w:color w:val="000000" w:themeColor="text1"/>
        </w:rPr>
        <w:t>así como el Manual de Procedimientos de Asignación de Evaluaciones de Control de Confianza de la Unidad de Estudios y Proyectos Especiales, publicado en el Periódico Oficial “Gaceta de Gobierno”</w:t>
      </w:r>
      <w:r>
        <w:rPr>
          <w:rFonts w:ascii="Palatino Linotype" w:eastAsia="Palatino Linotype" w:hAnsi="Palatino Linotype" w:cs="Palatino Linotype"/>
          <w:i/>
          <w:color w:val="000000" w:themeColor="text1"/>
        </w:rPr>
        <w:t xml:space="preserve"> </w:t>
      </w:r>
      <w:r w:rsidR="00AF07AB">
        <w:rPr>
          <w:rFonts w:ascii="Palatino Linotype" w:eastAsia="Palatino Linotype" w:hAnsi="Palatino Linotype" w:cs="Palatino Linotype"/>
          <w:i/>
          <w:color w:val="000000" w:themeColor="text1"/>
        </w:rPr>
        <w:t xml:space="preserve">el 11 de octubre de 2021 dentro del procedimiento: Verificación de la Información de Nómina, </w:t>
      </w:r>
      <w:r w:rsidR="009726BC">
        <w:rPr>
          <w:rFonts w:ascii="Palatino Linotype" w:eastAsia="Palatino Linotype" w:hAnsi="Palatino Linotype" w:cs="Palatino Linotype"/>
          <w:i/>
          <w:color w:val="000000" w:themeColor="text1"/>
        </w:rPr>
        <w:t xml:space="preserve">laboral y Adscripción Física del Personal Considerado para Evaluación Periódica, disponible para su consulta a través de la dirección electrónica: </w:t>
      </w:r>
      <w:hyperlink r:id="rId12" w:history="1">
        <w:r w:rsidR="009726BC" w:rsidRPr="007962CB">
          <w:rPr>
            <w:rStyle w:val="Hipervnculo"/>
            <w:rFonts w:ascii="Palatino Linotype" w:eastAsia="Palatino Linotype" w:hAnsi="Palatino Linotype" w:cs="Palatino Linotype"/>
            <w:i/>
          </w:rPr>
          <w:t>https://legislacion.edomex.gob.mx/sites/legislacion.edomex.gob.mx/files/files/pdf/gct/2021/octubre/oct111/oct111b.pdf</w:t>
        </w:r>
      </w:hyperlink>
      <w:r w:rsidR="009726BC">
        <w:rPr>
          <w:rFonts w:ascii="Palatino Linotype" w:eastAsia="Palatino Linotype" w:hAnsi="Palatino Linotype" w:cs="Palatino Linotype"/>
          <w:i/>
          <w:color w:val="000000" w:themeColor="text1"/>
        </w:rPr>
        <w:t xml:space="preserve"> se señala el procedimiento de validación del listado del personal que se somete a la evaluación,…</w:t>
      </w:r>
    </w:p>
    <w:p w14:paraId="1C7FCEED" w14:textId="72B4A200" w:rsidR="00E53E05" w:rsidRDefault="009726BC" w:rsidP="002F4E85">
      <w:pPr>
        <w:spacing w:line="360" w:lineRule="auto"/>
        <w:ind w:left="851"/>
        <w:jc w:val="both"/>
        <w:rPr>
          <w:rFonts w:ascii="Palatino Linotype" w:eastAsia="Palatino Linotype" w:hAnsi="Palatino Linotype" w:cs="Palatino Linotype"/>
          <w:i/>
          <w:color w:val="000000" w:themeColor="text1"/>
        </w:rPr>
      </w:pPr>
      <w:r>
        <w:rPr>
          <w:rFonts w:ascii="Palatino Linotype" w:eastAsia="Palatino Linotype" w:hAnsi="Palatino Linotype" w:cs="Palatino Linotype"/>
          <w:i/>
          <w:color w:val="000000" w:themeColor="text1"/>
        </w:rPr>
        <w:t>En este sentido, con base en la normatividad antes expuesta, el Centro de Control de Confianza del Estado de México, es el responsable de emitir el listado del personal adscrito a la Secretaría de Seguridad considerado para la evaluación de control de confianza, siendo la Unidad de Estudios y Proyectos Especiales la responsable de verificar la información laboral, de nómina y adscripción física de cada una de las personas servidoras públicas y servidores públicos considerados en dicha evaluación, por lo que esta Secretaría de Seguridad no determina el universo a evaluar anualmente.</w:t>
      </w:r>
    </w:p>
    <w:p w14:paraId="16B7C4ED" w14:textId="58D00AD4" w:rsidR="009726BC" w:rsidRDefault="00AF0790" w:rsidP="002F4E85">
      <w:pPr>
        <w:spacing w:line="360" w:lineRule="auto"/>
        <w:ind w:left="851"/>
        <w:jc w:val="both"/>
        <w:rPr>
          <w:rFonts w:ascii="Palatino Linotype" w:eastAsia="Palatino Linotype" w:hAnsi="Palatino Linotype" w:cs="Palatino Linotype"/>
          <w:i/>
          <w:color w:val="000000" w:themeColor="text1"/>
        </w:rPr>
      </w:pPr>
      <w:r>
        <w:rPr>
          <w:rFonts w:ascii="Palatino Linotype" w:eastAsia="Palatino Linotype" w:hAnsi="Palatino Linotype" w:cs="Palatino Linotype"/>
          <w:i/>
          <w:color w:val="000000" w:themeColor="text1"/>
        </w:rPr>
        <w:t xml:space="preserve">Cabe mencionar que la cantidad de elementos que se evalúan anualmente se determina con base a la asignación del recurso para evaluaciones de control de confianza, </w:t>
      </w:r>
      <w:r w:rsidR="001603EC">
        <w:rPr>
          <w:rFonts w:ascii="Palatino Linotype" w:eastAsia="Palatino Linotype" w:hAnsi="Palatino Linotype" w:cs="Palatino Linotype"/>
          <w:i/>
          <w:color w:val="000000" w:themeColor="text1"/>
        </w:rPr>
        <w:t>a través del Fondo de Aportaciones para la Seguridad Pública (FASP) o del Fondo para el Fortalecimiento de las Instituciones de Seguridad Pública (FOFISP) y su programación se hace en función del listado remitido anualmente por el Centro de Control de Confianza del Estado de México con los elementos considerados para evaluación.</w:t>
      </w:r>
    </w:p>
    <w:p w14:paraId="403C3C6F" w14:textId="468475CF" w:rsidR="001603EC" w:rsidRDefault="001603EC" w:rsidP="002F4E85">
      <w:pPr>
        <w:spacing w:line="360" w:lineRule="auto"/>
        <w:ind w:left="851"/>
        <w:jc w:val="both"/>
        <w:rPr>
          <w:rFonts w:ascii="Palatino Linotype" w:eastAsia="Palatino Linotype" w:hAnsi="Palatino Linotype" w:cs="Palatino Linotype"/>
          <w:i/>
          <w:color w:val="000000" w:themeColor="text1"/>
        </w:rPr>
      </w:pPr>
      <w:r>
        <w:rPr>
          <w:rFonts w:ascii="Palatino Linotype" w:eastAsia="Palatino Linotype" w:hAnsi="Palatino Linotype" w:cs="Palatino Linotype"/>
          <w:i/>
          <w:color w:val="000000" w:themeColor="text1"/>
        </w:rPr>
        <w:t>Ahora bien, respecto de los argumentos jurídicos que justifican la aportación de arma y permanencia dentro de la institución, con fundamento en lo establecido en el artículo 69 y 152 de la Ley de Seguridad del Estado de México, publicada en el Periódico Oficial “Gaceta del Gobierno” el día 19 de octubre de 2011, señala lo correspondiente a la portación de armas, así como a la permanencia de los servidores públicos de las Instituciones de Seguridad Pública…</w:t>
      </w:r>
    </w:p>
    <w:p w14:paraId="62A870D2" w14:textId="72540B10" w:rsidR="001603EC" w:rsidRDefault="001603EC" w:rsidP="002F4E85">
      <w:pPr>
        <w:spacing w:line="360" w:lineRule="auto"/>
        <w:ind w:left="851"/>
        <w:jc w:val="both"/>
        <w:rPr>
          <w:rFonts w:ascii="Palatino Linotype" w:eastAsia="Palatino Linotype" w:hAnsi="Palatino Linotype" w:cs="Palatino Linotype"/>
          <w:i/>
          <w:color w:val="000000" w:themeColor="text1"/>
        </w:rPr>
      </w:pPr>
      <w:r>
        <w:rPr>
          <w:rFonts w:ascii="Palatino Linotype" w:eastAsia="Palatino Linotype" w:hAnsi="Palatino Linotype" w:cs="Palatino Linotype"/>
          <w:i/>
          <w:color w:val="000000" w:themeColor="text1"/>
        </w:rPr>
        <w:lastRenderedPageBreak/>
        <w:t>…</w:t>
      </w:r>
    </w:p>
    <w:p w14:paraId="1D3965EB" w14:textId="7750140B" w:rsidR="001603EC" w:rsidRDefault="001603EC" w:rsidP="002F4E85">
      <w:pPr>
        <w:spacing w:line="360" w:lineRule="auto"/>
        <w:ind w:left="851"/>
        <w:jc w:val="both"/>
        <w:rPr>
          <w:rFonts w:ascii="Palatino Linotype" w:eastAsia="Palatino Linotype" w:hAnsi="Palatino Linotype" w:cs="Palatino Linotype"/>
          <w:i/>
          <w:color w:val="000000" w:themeColor="text1"/>
        </w:rPr>
      </w:pPr>
      <w:r>
        <w:rPr>
          <w:rFonts w:ascii="Palatino Linotype" w:eastAsia="Palatino Linotype" w:hAnsi="Palatino Linotype" w:cs="Palatino Linotype"/>
          <w:i/>
          <w:color w:val="000000" w:themeColor="text1"/>
        </w:rPr>
        <w:t>No obstante lo anterior, se sugirió respetuosamente dirigir su solicitud al Módulo de Información Pública del Secretariado Ejecuti</w:t>
      </w:r>
      <w:r w:rsidR="00FD0D7B">
        <w:rPr>
          <w:rFonts w:ascii="Palatino Linotype" w:eastAsia="Palatino Linotype" w:hAnsi="Palatino Linotype" w:cs="Palatino Linotype"/>
          <w:i/>
          <w:color w:val="000000" w:themeColor="text1"/>
        </w:rPr>
        <w:t>vo del Sistema Nacional de Seguridad Pública, a través del Centro Nacional de Certificación y Acreditación, con domicilio en Avenida Mariano Escobedo, número 456, colonia Anzures, C.P. 11590, Ciudad de México ya que pudiera tener más información al respecto.</w:t>
      </w:r>
    </w:p>
    <w:p w14:paraId="09172C28" w14:textId="77777777" w:rsidR="000658F6" w:rsidRDefault="00857E3F" w:rsidP="002F4E85">
      <w:pPr>
        <w:spacing w:line="360" w:lineRule="auto"/>
        <w:ind w:left="851"/>
        <w:jc w:val="both"/>
        <w:rPr>
          <w:rFonts w:ascii="Palatino Linotype" w:eastAsia="Palatino Linotype" w:hAnsi="Palatino Linotype" w:cs="Palatino Linotype"/>
          <w:i/>
          <w:color w:val="000000" w:themeColor="text1"/>
        </w:rPr>
      </w:pPr>
      <w:r>
        <w:rPr>
          <w:rFonts w:ascii="Palatino Linotype" w:eastAsia="Palatino Linotype" w:hAnsi="Palatino Linotype" w:cs="Palatino Linotype"/>
          <w:i/>
          <w:color w:val="000000" w:themeColor="text1"/>
        </w:rPr>
        <w:t>SEGUNDO: Es menester informar que privilegiando el Principio de Máxima Publicidad y con el objetivo de solventar el presente medio de oposición, de nueva cuenta se requirió mediante oficio 20600007000000S/UIPPE/1250/2024 información a la Unidad de Estudios de Proyectos, quien mediante similar… ratificó la respuesta emitida inicialmente</w:t>
      </w:r>
      <w:r w:rsidR="000658F6">
        <w:rPr>
          <w:rFonts w:ascii="Palatino Linotype" w:eastAsia="Palatino Linotype" w:hAnsi="Palatino Linotype" w:cs="Palatino Linotype"/>
          <w:i/>
          <w:color w:val="000000" w:themeColor="text1"/>
        </w:rPr>
        <w:t>.</w:t>
      </w:r>
    </w:p>
    <w:p w14:paraId="151DCEF1" w14:textId="77777777" w:rsidR="003769AA" w:rsidRDefault="000658F6" w:rsidP="002F4E85">
      <w:pPr>
        <w:spacing w:line="360" w:lineRule="auto"/>
        <w:ind w:left="851"/>
        <w:jc w:val="both"/>
        <w:rPr>
          <w:rFonts w:ascii="Palatino Linotype" w:eastAsia="Palatino Linotype" w:hAnsi="Palatino Linotype" w:cs="Palatino Linotype"/>
          <w:i/>
          <w:color w:val="000000" w:themeColor="text1"/>
        </w:rPr>
      </w:pPr>
      <w:r>
        <w:rPr>
          <w:rFonts w:ascii="Palatino Linotype" w:eastAsia="Palatino Linotype" w:hAnsi="Palatino Linotype" w:cs="Palatino Linotype"/>
          <w:i/>
          <w:color w:val="000000" w:themeColor="text1"/>
        </w:rPr>
        <w:t xml:space="preserve">Ahora bien, respecto de su Acto Impugnado consistente en “…La </w:t>
      </w:r>
      <w:r w:rsidR="003769AA">
        <w:rPr>
          <w:rFonts w:ascii="Palatino Linotype" w:eastAsia="Palatino Linotype" w:hAnsi="Palatino Linotype" w:cs="Palatino Linotype"/>
          <w:i/>
          <w:color w:val="000000" w:themeColor="text1"/>
        </w:rPr>
        <w:t>respuesta no se apega al marco jurídico…” (Sic) este Sujeto Obligado adiciona fundamento legal alusivo al tema, además del proporcionado en la respuesta a la solicitud de información de mérito, tal y como se cita a continuación:</w:t>
      </w:r>
    </w:p>
    <w:p w14:paraId="60BDA7F3" w14:textId="77777777" w:rsidR="003769AA" w:rsidRDefault="003769AA" w:rsidP="002F4E85">
      <w:pPr>
        <w:spacing w:line="360" w:lineRule="auto"/>
        <w:ind w:left="851"/>
        <w:jc w:val="both"/>
        <w:rPr>
          <w:rFonts w:ascii="Palatino Linotype" w:eastAsia="Palatino Linotype" w:hAnsi="Palatino Linotype" w:cs="Palatino Linotype"/>
          <w:i/>
          <w:color w:val="000000" w:themeColor="text1"/>
        </w:rPr>
      </w:pPr>
      <w:r>
        <w:rPr>
          <w:rFonts w:ascii="Palatino Linotype" w:eastAsia="Palatino Linotype" w:hAnsi="Palatino Linotype" w:cs="Palatino Linotype"/>
          <w:i/>
          <w:color w:val="000000" w:themeColor="text1"/>
        </w:rPr>
        <w:t>…</w:t>
      </w:r>
    </w:p>
    <w:p w14:paraId="5E2A9521" w14:textId="77777777" w:rsidR="00EC7839" w:rsidRDefault="00EC7839" w:rsidP="002F4E85">
      <w:pPr>
        <w:spacing w:line="360" w:lineRule="auto"/>
        <w:ind w:left="851"/>
        <w:jc w:val="both"/>
        <w:rPr>
          <w:rFonts w:ascii="Palatino Linotype" w:eastAsia="Palatino Linotype" w:hAnsi="Palatino Linotype" w:cs="Palatino Linotype"/>
          <w:i/>
          <w:color w:val="000000" w:themeColor="text1"/>
        </w:rPr>
      </w:pPr>
      <w:r>
        <w:rPr>
          <w:rFonts w:ascii="Palatino Linotype" w:eastAsia="Palatino Linotype" w:hAnsi="Palatino Linotype" w:cs="Palatino Linotype"/>
          <w:i/>
          <w:color w:val="000000" w:themeColor="text1"/>
        </w:rPr>
        <w:t xml:space="preserve">Por cuanto hace a las razones o motivos de la inconformidad alusivas a “…Un manual de procedimientos interno de la Unidad de Estudios y Proyectos Especiales no es una normatividad legal y de carácter general y no aplica para el Centro de Control de Confianza, así mismo el Centro de Control de Confianza por la naturaleza de sus funciones no tiene acceso a las altas nominales y el solo determina el personal a evaluar </w:t>
      </w:r>
      <w:r>
        <w:rPr>
          <w:rFonts w:ascii="Palatino Linotype" w:eastAsia="Palatino Linotype" w:hAnsi="Palatino Linotype" w:cs="Palatino Linotype"/>
          <w:i/>
          <w:color w:val="000000" w:themeColor="text1"/>
        </w:rPr>
        <w:lastRenderedPageBreak/>
        <w:t>de acuerdo a los antecedentes de proceso anteriores. Por esta razón la respuesta otorgada no corresponde a lo solicitado…” (Sic)</w:t>
      </w:r>
    </w:p>
    <w:p w14:paraId="1DB19CFC" w14:textId="3211923F" w:rsidR="00695006" w:rsidRPr="00BD4194" w:rsidRDefault="00EC7839" w:rsidP="002F4E85">
      <w:pPr>
        <w:spacing w:line="360" w:lineRule="auto"/>
        <w:ind w:left="851"/>
        <w:jc w:val="both"/>
        <w:rPr>
          <w:rFonts w:ascii="Palatino Linotype" w:eastAsia="Palatino Linotype" w:hAnsi="Palatino Linotype" w:cs="Palatino Linotype"/>
          <w:color w:val="000000" w:themeColor="text1"/>
        </w:rPr>
      </w:pPr>
      <w:r>
        <w:rPr>
          <w:rFonts w:ascii="Palatino Linotype" w:eastAsia="Palatino Linotype" w:hAnsi="Palatino Linotype" w:cs="Palatino Linotype"/>
          <w:i/>
          <w:color w:val="000000" w:themeColor="text1"/>
        </w:rPr>
        <w:t>Se hace de su conocimiento que con la normatividad previamente señalada se considera que un manual de organización son normas internas sustantivas que contienen la descripción</w:t>
      </w:r>
      <w:r w:rsidR="00B87BF8">
        <w:rPr>
          <w:rFonts w:ascii="Palatino Linotype" w:eastAsia="Palatino Linotype" w:hAnsi="Palatino Linotype" w:cs="Palatino Linotype"/>
          <w:i/>
          <w:color w:val="000000" w:themeColor="text1"/>
        </w:rPr>
        <w:t xml:space="preserve"> sistemática y ordenada de las actividades que realizan las unidades administrativas para el ejercicio de las atribuciones que tienen encomendadas, toda vez que derivan de leyes superiores que le otorgan el alcance y atribuciones de cumplimiento. Por lo tanto, bajo ese contexto dicha normatividad</w:t>
      </w:r>
      <w:r w:rsidR="00695006">
        <w:rPr>
          <w:rFonts w:ascii="Palatino Linotype" w:eastAsia="Palatino Linotype" w:hAnsi="Palatino Linotype" w:cs="Palatino Linotype"/>
          <w:i/>
          <w:color w:val="000000" w:themeColor="text1"/>
        </w:rPr>
        <w:t xml:space="preserve"> es aplicable al Centro de Control de Confianza del Estado de México, tal y como se aprecia en el contenido del numeral asegundo de este Informe</w:t>
      </w:r>
      <w:r w:rsidR="00BD4194">
        <w:rPr>
          <w:rFonts w:ascii="Palatino Linotype" w:eastAsia="Palatino Linotype" w:hAnsi="Palatino Linotype" w:cs="Palatino Linotype"/>
          <w:i/>
          <w:color w:val="000000" w:themeColor="text1"/>
        </w:rPr>
        <w:t>…”</w:t>
      </w:r>
      <w:r w:rsidR="00BD4194">
        <w:rPr>
          <w:rFonts w:ascii="Palatino Linotype" w:eastAsia="Palatino Linotype" w:hAnsi="Palatino Linotype" w:cs="Palatino Linotype"/>
          <w:color w:val="000000" w:themeColor="text1"/>
        </w:rPr>
        <w:t xml:space="preserve"> (Sic)</w:t>
      </w:r>
    </w:p>
    <w:p w14:paraId="1C571833" w14:textId="41E028A4" w:rsidR="00857E3F" w:rsidRPr="003315A8" w:rsidRDefault="00B87BF8">
      <w:pPr>
        <w:spacing w:line="360" w:lineRule="auto"/>
        <w:jc w:val="both"/>
        <w:rPr>
          <w:rFonts w:ascii="Palatino Linotype" w:eastAsia="Palatino Linotype" w:hAnsi="Palatino Linotype" w:cs="Palatino Linotype"/>
          <w:i/>
          <w:color w:val="000000" w:themeColor="text1"/>
        </w:rPr>
      </w:pPr>
      <w:r>
        <w:rPr>
          <w:rFonts w:ascii="Palatino Linotype" w:eastAsia="Palatino Linotype" w:hAnsi="Palatino Linotype" w:cs="Palatino Linotype"/>
          <w:i/>
          <w:color w:val="000000" w:themeColor="text1"/>
        </w:rPr>
        <w:t xml:space="preserve"> </w:t>
      </w:r>
      <w:r w:rsidR="00EC7839">
        <w:rPr>
          <w:rFonts w:ascii="Palatino Linotype" w:eastAsia="Palatino Linotype" w:hAnsi="Palatino Linotype" w:cs="Palatino Linotype"/>
          <w:i/>
          <w:color w:val="000000" w:themeColor="text1"/>
        </w:rPr>
        <w:t xml:space="preserve">    </w:t>
      </w:r>
      <w:r w:rsidR="000658F6">
        <w:rPr>
          <w:rFonts w:ascii="Palatino Linotype" w:eastAsia="Palatino Linotype" w:hAnsi="Palatino Linotype" w:cs="Palatino Linotype"/>
          <w:i/>
          <w:color w:val="000000" w:themeColor="text1"/>
        </w:rPr>
        <w:t xml:space="preserve"> </w:t>
      </w:r>
    </w:p>
    <w:p w14:paraId="3075EE1B" w14:textId="2319F1AD" w:rsidR="004F4043" w:rsidRPr="006E6D0A" w:rsidRDefault="004F4043" w:rsidP="00374B2B">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B276C6">
        <w:rPr>
          <w:rFonts w:ascii="Palatino Linotype" w:eastAsia="Palatino Linotype" w:hAnsi="Palatino Linotype" w:cs="Palatino Linotype"/>
          <w:color w:val="000000" w:themeColor="text1"/>
        </w:rPr>
        <w:t xml:space="preserve">Asimismo, con fundamento en lo dispuesto por el artículo 185 fracción I de la </w:t>
      </w:r>
      <w:r w:rsidRPr="00B276C6">
        <w:rPr>
          <w:rFonts w:ascii="Palatino Linotype" w:eastAsia="Palatino Linotype" w:hAnsi="Palatino Linotype" w:cs="Palatino Linotype"/>
          <w:b/>
          <w:color w:val="000000" w:themeColor="text1"/>
        </w:rPr>
        <w:t>Ley de Transparencia y Acceso a la Información Pública del Estado de México y Municipios,</w:t>
      </w:r>
      <w:r w:rsidRPr="00B276C6">
        <w:rPr>
          <w:rFonts w:ascii="Palatino Linotype" w:eastAsia="Palatino Linotype" w:hAnsi="Palatino Linotype" w:cs="Palatino Linotype"/>
          <w:color w:val="000000" w:themeColor="text1"/>
        </w:rPr>
        <w:t xml:space="preserve"> el recurso de revisión con número </w:t>
      </w:r>
      <w:r w:rsidRPr="00B276C6">
        <w:rPr>
          <w:rFonts w:ascii="Palatino Linotype" w:eastAsia="Palatino Linotype" w:hAnsi="Palatino Linotype" w:cs="Palatino Linotype"/>
          <w:b/>
          <w:color w:val="000000" w:themeColor="text1"/>
        </w:rPr>
        <w:t>0</w:t>
      </w:r>
      <w:r w:rsidR="00E31D98">
        <w:rPr>
          <w:rFonts w:ascii="Palatino Linotype" w:eastAsia="Palatino Linotype" w:hAnsi="Palatino Linotype" w:cs="Palatino Linotype"/>
          <w:b/>
          <w:color w:val="000000" w:themeColor="text1"/>
        </w:rPr>
        <w:t>4678</w:t>
      </w:r>
      <w:r w:rsidRPr="00B276C6">
        <w:rPr>
          <w:rFonts w:ascii="Palatino Linotype" w:eastAsia="Palatino Linotype" w:hAnsi="Palatino Linotype" w:cs="Palatino Linotype"/>
          <w:b/>
          <w:color w:val="000000" w:themeColor="text1"/>
        </w:rPr>
        <w:t xml:space="preserve">/INFOEM/IP/RR/2024, </w:t>
      </w:r>
      <w:r w:rsidRPr="00B276C6">
        <w:rPr>
          <w:rFonts w:ascii="Palatino Linotype" w:eastAsia="Palatino Linotype" w:hAnsi="Palatino Linotype" w:cs="Palatino Linotype"/>
          <w:color w:val="000000" w:themeColor="text1"/>
        </w:rPr>
        <w:t>fue turnado</w:t>
      </w:r>
      <w:r w:rsidRPr="00B276C6">
        <w:rPr>
          <w:rFonts w:ascii="Palatino Linotype" w:eastAsia="Palatino Linotype" w:hAnsi="Palatino Linotype" w:cs="Palatino Linotype"/>
          <w:b/>
          <w:color w:val="000000" w:themeColor="text1"/>
        </w:rPr>
        <w:t xml:space="preserve"> </w:t>
      </w:r>
      <w:r w:rsidRPr="00B276C6">
        <w:rPr>
          <w:rFonts w:ascii="Palatino Linotype" w:eastAsia="Palatino Linotype" w:hAnsi="Palatino Linotype" w:cs="Palatino Linotype"/>
          <w:color w:val="000000" w:themeColor="text1"/>
        </w:rPr>
        <w:t xml:space="preserve">a la </w:t>
      </w:r>
      <w:r w:rsidRPr="00B276C6">
        <w:rPr>
          <w:rFonts w:ascii="Palatino Linotype" w:eastAsia="Palatino Linotype" w:hAnsi="Palatino Linotype" w:cs="Palatino Linotype"/>
          <w:b/>
          <w:color w:val="000000" w:themeColor="text1"/>
        </w:rPr>
        <w:t>Comisionada</w:t>
      </w:r>
      <w:r w:rsidRPr="00B276C6">
        <w:rPr>
          <w:rFonts w:ascii="Palatino Linotype" w:eastAsia="Palatino Linotype" w:hAnsi="Palatino Linotype" w:cs="Palatino Linotype"/>
          <w:color w:val="000000" w:themeColor="text1"/>
        </w:rPr>
        <w:t xml:space="preserve"> </w:t>
      </w:r>
      <w:r w:rsidRPr="00B276C6">
        <w:rPr>
          <w:rFonts w:ascii="Palatino Linotype" w:eastAsia="Palatino Linotype" w:hAnsi="Palatino Linotype" w:cs="Palatino Linotype"/>
          <w:b/>
          <w:color w:val="000000" w:themeColor="text1"/>
        </w:rPr>
        <w:t xml:space="preserve">María del Rosario Mejía Ayala </w:t>
      </w:r>
      <w:r w:rsidRPr="00B276C6">
        <w:rPr>
          <w:rFonts w:ascii="Palatino Linotype" w:eastAsia="Palatino Linotype" w:hAnsi="Palatino Linotype" w:cs="Palatino Linotype"/>
          <w:color w:val="000000" w:themeColor="text1"/>
        </w:rPr>
        <w:t>con el objeto de su análisis, posteriormente el Pleno de este Órgano Autónomo, en la</w:t>
      </w:r>
      <w:r w:rsidRPr="00B276C6">
        <w:rPr>
          <w:rFonts w:ascii="Palatino Linotype" w:eastAsia="Palatino Linotype" w:hAnsi="Palatino Linotype" w:cs="Palatino Linotype"/>
          <w:b/>
          <w:color w:val="000000" w:themeColor="text1"/>
        </w:rPr>
        <w:t xml:space="preserve"> </w:t>
      </w:r>
      <w:r w:rsidR="00E31D98">
        <w:rPr>
          <w:rFonts w:ascii="Palatino Linotype" w:eastAsia="Palatino Linotype" w:hAnsi="Palatino Linotype" w:cs="Palatino Linotype"/>
          <w:b/>
          <w:color w:val="000000" w:themeColor="text1"/>
        </w:rPr>
        <w:t>Vigésima</w:t>
      </w:r>
      <w:r w:rsidRPr="00B276C6">
        <w:rPr>
          <w:rFonts w:ascii="Palatino Linotype" w:eastAsia="Palatino Linotype" w:hAnsi="Palatino Linotype" w:cs="Palatino Linotype"/>
          <w:b/>
          <w:color w:val="000000" w:themeColor="text1"/>
        </w:rPr>
        <w:t xml:space="preserve"> </w:t>
      </w:r>
      <w:r w:rsidR="00E31D98">
        <w:rPr>
          <w:rFonts w:ascii="Palatino Linotype" w:eastAsia="Palatino Linotype" w:hAnsi="Palatino Linotype" w:cs="Palatino Linotype"/>
          <w:b/>
          <w:color w:val="000000" w:themeColor="text1"/>
        </w:rPr>
        <w:t>Octava</w:t>
      </w:r>
      <w:r w:rsidRPr="00B276C6">
        <w:rPr>
          <w:rFonts w:ascii="Palatino Linotype" w:eastAsia="Palatino Linotype" w:hAnsi="Palatino Linotype" w:cs="Palatino Linotype"/>
          <w:b/>
          <w:color w:val="000000" w:themeColor="text1"/>
        </w:rPr>
        <w:t xml:space="preserve"> Sesión Ordinaria</w:t>
      </w:r>
      <w:r w:rsidRPr="00B276C6">
        <w:rPr>
          <w:rFonts w:ascii="Palatino Linotype" w:eastAsia="Palatino Linotype" w:hAnsi="Palatino Linotype" w:cs="Palatino Linotype"/>
          <w:color w:val="000000" w:themeColor="text1"/>
        </w:rPr>
        <w:t xml:space="preserve"> del </w:t>
      </w:r>
      <w:r w:rsidR="00E31D98">
        <w:rPr>
          <w:rFonts w:ascii="Palatino Linotype" w:eastAsia="Palatino Linotype" w:hAnsi="Palatino Linotype" w:cs="Palatino Linotype"/>
          <w:b/>
          <w:color w:val="000000" w:themeColor="text1"/>
        </w:rPr>
        <w:t>catorce de agosto</w:t>
      </w:r>
      <w:r w:rsidRPr="00B276C6">
        <w:rPr>
          <w:rFonts w:ascii="Palatino Linotype" w:eastAsia="Palatino Linotype" w:hAnsi="Palatino Linotype" w:cs="Palatino Linotype"/>
          <w:b/>
          <w:color w:val="000000" w:themeColor="text1"/>
        </w:rPr>
        <w:t xml:space="preserve"> de dos mil veinticuatro</w:t>
      </w:r>
      <w:r w:rsidRPr="00B276C6">
        <w:rPr>
          <w:rFonts w:ascii="Palatino Linotype" w:eastAsia="Palatino Linotype" w:hAnsi="Palatino Linotype" w:cs="Palatino Linotype"/>
          <w:color w:val="000000" w:themeColor="text1"/>
        </w:rPr>
        <w:t>, ordenó la acumulación del recurso de revisión</w:t>
      </w:r>
      <w:r w:rsidRPr="00B276C6">
        <w:rPr>
          <w:rFonts w:ascii="Palatino Linotype" w:eastAsia="Palatino Linotype" w:hAnsi="Palatino Linotype" w:cs="Palatino Linotype"/>
          <w:b/>
          <w:color w:val="000000" w:themeColor="text1"/>
        </w:rPr>
        <w:t xml:space="preserve"> 0</w:t>
      </w:r>
      <w:r w:rsidR="006E6D0A">
        <w:rPr>
          <w:rFonts w:ascii="Palatino Linotype" w:eastAsia="Palatino Linotype" w:hAnsi="Palatino Linotype" w:cs="Palatino Linotype"/>
          <w:b/>
          <w:color w:val="000000" w:themeColor="text1"/>
        </w:rPr>
        <w:t>4680</w:t>
      </w:r>
      <w:r w:rsidRPr="00B276C6">
        <w:rPr>
          <w:rFonts w:ascii="Palatino Linotype" w:eastAsia="Palatino Linotype" w:hAnsi="Palatino Linotype" w:cs="Palatino Linotype"/>
          <w:b/>
          <w:color w:val="000000" w:themeColor="text1"/>
        </w:rPr>
        <w:t>/INFOEM/IP/RR/2024.</w:t>
      </w:r>
    </w:p>
    <w:p w14:paraId="5AF9007B" w14:textId="77777777" w:rsidR="006E6D0A" w:rsidRPr="00B276C6" w:rsidRDefault="006E6D0A" w:rsidP="006E6D0A">
      <w:pPr>
        <w:spacing w:line="360" w:lineRule="auto"/>
        <w:jc w:val="both"/>
        <w:rPr>
          <w:rFonts w:ascii="Palatino Linotype" w:eastAsia="Palatino Linotype" w:hAnsi="Palatino Linotype" w:cs="Palatino Linotype"/>
          <w:color w:val="000000" w:themeColor="text1"/>
        </w:rPr>
      </w:pPr>
    </w:p>
    <w:p w14:paraId="58EC5F35" w14:textId="5A2D7A1F" w:rsidR="00CB7846" w:rsidRPr="00B276C6" w:rsidRDefault="007C4530" w:rsidP="00374B2B">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B276C6">
        <w:rPr>
          <w:rFonts w:ascii="Palatino Linotype" w:eastAsia="Palatino Linotype" w:hAnsi="Palatino Linotype" w:cs="Palatino Linotype"/>
          <w:color w:val="000000" w:themeColor="text1"/>
        </w:rPr>
        <w:t xml:space="preserve">Así el </w:t>
      </w:r>
      <w:r w:rsidR="00DA45CB" w:rsidRPr="00B276C6">
        <w:rPr>
          <w:rFonts w:ascii="Palatino Linotype" w:eastAsia="Palatino Linotype" w:hAnsi="Palatino Linotype" w:cs="Palatino Linotype"/>
          <w:b/>
          <w:color w:val="000000" w:themeColor="text1"/>
        </w:rPr>
        <w:t>treinta</w:t>
      </w:r>
      <w:r w:rsidR="00137DF8">
        <w:rPr>
          <w:rFonts w:ascii="Palatino Linotype" w:eastAsia="Palatino Linotype" w:hAnsi="Palatino Linotype" w:cs="Palatino Linotype"/>
          <w:b/>
          <w:color w:val="000000" w:themeColor="text1"/>
        </w:rPr>
        <w:t xml:space="preserve"> y uno</w:t>
      </w:r>
      <w:r w:rsidR="00DA45CB" w:rsidRPr="00B276C6">
        <w:rPr>
          <w:rFonts w:ascii="Palatino Linotype" w:eastAsia="Palatino Linotype" w:hAnsi="Palatino Linotype" w:cs="Palatino Linotype"/>
          <w:b/>
          <w:color w:val="000000" w:themeColor="text1"/>
        </w:rPr>
        <w:t xml:space="preserve"> de octubre</w:t>
      </w:r>
      <w:r w:rsidRPr="00B276C6">
        <w:rPr>
          <w:rFonts w:ascii="Palatino Linotype" w:eastAsia="Palatino Linotype" w:hAnsi="Palatino Linotype" w:cs="Palatino Linotype"/>
          <w:b/>
          <w:color w:val="000000" w:themeColor="text1"/>
        </w:rPr>
        <w:t xml:space="preserve"> de dos mil veinticuatro</w:t>
      </w:r>
      <w:r w:rsidRPr="00B276C6">
        <w:rPr>
          <w:rFonts w:ascii="Palatino Linotype" w:eastAsia="Palatino Linotype" w:hAnsi="Palatino Linotype" w:cs="Palatino Linotype"/>
          <w:color w:val="000000" w:themeColor="text1"/>
        </w:rPr>
        <w:t>, se notificó el acuerdo mediante el cual se decretó la acumulación de los recursos de revisión.</w:t>
      </w:r>
    </w:p>
    <w:p w14:paraId="3BCD4827" w14:textId="77777777" w:rsidR="00CB7846" w:rsidRPr="00B276C6" w:rsidRDefault="007C4530" w:rsidP="00374B2B">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B276C6">
        <w:rPr>
          <w:rFonts w:ascii="Palatino Linotype" w:eastAsia="Palatino Linotype" w:hAnsi="Palatino Linotype" w:cs="Palatino Linotype"/>
          <w:color w:val="000000" w:themeColor="text1"/>
        </w:rPr>
        <w:lastRenderedPageBreak/>
        <w:t>En ese tenor resulta conveniente su trámite de forma unificada para mejor resolver y evitar la emisión de resoluciones contradictorias, fue procedente que este Órgano Garante realizará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4D55C46D" w14:textId="77777777" w:rsidR="00CB7846" w:rsidRPr="00B276C6" w:rsidRDefault="00CB7846">
      <w:pPr>
        <w:spacing w:line="360" w:lineRule="auto"/>
        <w:ind w:left="709"/>
        <w:jc w:val="center"/>
        <w:rPr>
          <w:rFonts w:ascii="Palatino Linotype" w:eastAsia="Palatino Linotype" w:hAnsi="Palatino Linotype" w:cs="Palatino Linotype"/>
          <w:b/>
          <w:i/>
          <w:color w:val="000000" w:themeColor="text1"/>
        </w:rPr>
      </w:pPr>
    </w:p>
    <w:p w14:paraId="6E5D75A4" w14:textId="77777777" w:rsidR="00CB7846" w:rsidRPr="00B276C6" w:rsidRDefault="007C4530">
      <w:pPr>
        <w:spacing w:line="360" w:lineRule="auto"/>
        <w:ind w:left="709"/>
        <w:jc w:val="center"/>
        <w:rPr>
          <w:rFonts w:ascii="Palatino Linotype" w:eastAsia="Palatino Linotype" w:hAnsi="Palatino Linotype" w:cs="Palatino Linotype"/>
          <w:b/>
          <w:i/>
          <w:color w:val="000000" w:themeColor="text1"/>
          <w:sz w:val="22"/>
          <w:szCs w:val="22"/>
        </w:rPr>
      </w:pPr>
      <w:r w:rsidRPr="00B276C6">
        <w:rPr>
          <w:rFonts w:ascii="Palatino Linotype" w:eastAsia="Palatino Linotype" w:hAnsi="Palatino Linotype" w:cs="Palatino Linotype"/>
          <w:b/>
          <w:i/>
          <w:color w:val="000000" w:themeColor="text1"/>
          <w:sz w:val="22"/>
          <w:szCs w:val="22"/>
        </w:rPr>
        <w:t>Código de Procedimientos Administrativos del Estado de México.</w:t>
      </w:r>
    </w:p>
    <w:p w14:paraId="127711F0" w14:textId="77777777" w:rsidR="00CB7846" w:rsidRPr="00B276C6" w:rsidRDefault="007C4530" w:rsidP="00CF5C54">
      <w:pPr>
        <w:spacing w:line="360" w:lineRule="auto"/>
        <w:ind w:left="709" w:right="538"/>
        <w:jc w:val="both"/>
        <w:rPr>
          <w:rFonts w:ascii="Palatino Linotype" w:eastAsia="Palatino Linotype" w:hAnsi="Palatino Linotype" w:cs="Palatino Linotype"/>
          <w:i/>
          <w:color w:val="000000" w:themeColor="text1"/>
          <w:sz w:val="22"/>
          <w:szCs w:val="22"/>
        </w:rPr>
      </w:pPr>
      <w:r w:rsidRPr="00B276C6">
        <w:rPr>
          <w:rFonts w:ascii="Palatino Linotype" w:eastAsia="Palatino Linotype" w:hAnsi="Palatino Linotype" w:cs="Palatino Linotype"/>
          <w:b/>
          <w:i/>
          <w:color w:val="000000" w:themeColor="text1"/>
          <w:sz w:val="22"/>
          <w:szCs w:val="22"/>
        </w:rPr>
        <w:t>“Artículo 18.-</w:t>
      </w:r>
      <w:r w:rsidRPr="00B276C6">
        <w:rPr>
          <w:rFonts w:ascii="Palatino Linotype" w:eastAsia="Palatino Linotype" w:hAnsi="Palatino Linotype" w:cs="Palatino Linotype"/>
          <w:i/>
          <w:color w:val="000000" w:themeColor="text1"/>
          <w:sz w:val="22"/>
          <w:szCs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7CF7D350" w14:textId="77777777" w:rsidR="00CB7846" w:rsidRPr="00B276C6" w:rsidRDefault="00CB7846">
      <w:pPr>
        <w:spacing w:line="360" w:lineRule="auto"/>
        <w:jc w:val="both"/>
        <w:rPr>
          <w:rFonts w:ascii="Palatino Linotype" w:eastAsia="Palatino Linotype" w:hAnsi="Palatino Linotype" w:cs="Palatino Linotype"/>
          <w:i/>
          <w:color w:val="000000" w:themeColor="text1"/>
          <w:sz w:val="22"/>
          <w:szCs w:val="22"/>
        </w:rPr>
      </w:pPr>
    </w:p>
    <w:p w14:paraId="4A72ADEE" w14:textId="77777777" w:rsidR="00CB7846" w:rsidRPr="00B276C6" w:rsidRDefault="007C4530" w:rsidP="00CF5C54">
      <w:pPr>
        <w:spacing w:line="360" w:lineRule="auto"/>
        <w:ind w:left="709" w:right="538"/>
        <w:jc w:val="both"/>
        <w:rPr>
          <w:rFonts w:ascii="Palatino Linotype" w:eastAsia="Palatino Linotype" w:hAnsi="Palatino Linotype" w:cs="Palatino Linotype"/>
          <w:b/>
          <w:i/>
          <w:color w:val="000000" w:themeColor="text1"/>
          <w:sz w:val="22"/>
          <w:szCs w:val="22"/>
        </w:rPr>
      </w:pPr>
      <w:r w:rsidRPr="00B276C6">
        <w:rPr>
          <w:rFonts w:ascii="Palatino Linotype" w:eastAsia="Palatino Linotype" w:hAnsi="Palatino Linotype" w:cs="Palatino Linotype"/>
          <w:b/>
          <w:i/>
          <w:color w:val="000000" w:themeColor="text1"/>
          <w:sz w:val="22"/>
          <w:szCs w:val="22"/>
        </w:rPr>
        <w:t>Ley de Transparencia y Acceso a la Información Pública del Estado de México y Municipios</w:t>
      </w:r>
    </w:p>
    <w:p w14:paraId="2C8765B2" w14:textId="77777777" w:rsidR="00CB7846" w:rsidRPr="00B276C6" w:rsidRDefault="007C4530" w:rsidP="00CF5C54">
      <w:pPr>
        <w:spacing w:line="360" w:lineRule="auto"/>
        <w:ind w:left="709" w:right="538"/>
        <w:jc w:val="both"/>
        <w:rPr>
          <w:rFonts w:ascii="Palatino Linotype" w:eastAsia="Palatino Linotype" w:hAnsi="Palatino Linotype" w:cs="Palatino Linotype"/>
          <w:i/>
          <w:color w:val="000000" w:themeColor="text1"/>
          <w:sz w:val="22"/>
          <w:szCs w:val="22"/>
        </w:rPr>
      </w:pPr>
      <w:r w:rsidRPr="00B276C6">
        <w:rPr>
          <w:rFonts w:ascii="Palatino Linotype" w:eastAsia="Palatino Linotype" w:hAnsi="Palatino Linotype" w:cs="Palatino Linotype"/>
          <w:b/>
          <w:i/>
          <w:color w:val="000000" w:themeColor="text1"/>
          <w:sz w:val="22"/>
          <w:szCs w:val="22"/>
        </w:rPr>
        <w:t>“Artículo 195.</w:t>
      </w:r>
      <w:r w:rsidRPr="00B276C6">
        <w:rPr>
          <w:rFonts w:ascii="Palatino Linotype" w:eastAsia="Palatino Linotype" w:hAnsi="Palatino Linotype" w:cs="Palatino Linotype"/>
          <w:i/>
          <w:color w:val="000000" w:themeColor="text1"/>
          <w:sz w:val="22"/>
          <w:szCs w:val="22"/>
        </w:rPr>
        <w:t xml:space="preserve"> En la tramitación del recurso de revisión se aplicarán supletoriamente las disposiciones contenidas en el Código de Procedimientos Administrativos del Estado de México.”</w:t>
      </w:r>
    </w:p>
    <w:p w14:paraId="61551629" w14:textId="77777777" w:rsidR="00CB7846" w:rsidRPr="00B276C6" w:rsidRDefault="00CB7846">
      <w:pPr>
        <w:spacing w:line="360" w:lineRule="auto"/>
        <w:jc w:val="both"/>
        <w:rPr>
          <w:rFonts w:ascii="Palatino Linotype" w:eastAsia="Palatino Linotype" w:hAnsi="Palatino Linotype" w:cs="Palatino Linotype"/>
          <w:color w:val="7030A0"/>
          <w:sz w:val="22"/>
          <w:szCs w:val="22"/>
        </w:rPr>
      </w:pPr>
    </w:p>
    <w:p w14:paraId="183FFB16" w14:textId="77777777" w:rsidR="00CB7846" w:rsidRPr="00B276C6" w:rsidRDefault="007C4530" w:rsidP="00374B2B">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B276C6">
        <w:rPr>
          <w:rFonts w:ascii="Palatino Linotype" w:eastAsia="Palatino Linotype" w:hAnsi="Palatino Linotype" w:cs="Palatino Linotype"/>
          <w:color w:val="000000" w:themeColor="text1"/>
        </w:rPr>
        <w:lastRenderedPageBreak/>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69904CD0" w14:textId="77777777" w:rsidR="00CB7846" w:rsidRPr="00B276C6" w:rsidRDefault="00CB7846">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5FDFAEE3" w14:textId="77777777" w:rsidR="00CB7846" w:rsidRPr="00B276C6" w:rsidRDefault="007C4530" w:rsidP="00374B2B">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B276C6">
        <w:rPr>
          <w:rFonts w:ascii="Palatino Linotype" w:eastAsia="Palatino Linotype" w:hAnsi="Palatino Linotype" w:cs="Palatino Linotype"/>
          <w:color w:val="000000" w:themeColor="text1"/>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234526D0" w14:textId="77777777" w:rsidR="00CB7846" w:rsidRPr="00B276C6" w:rsidRDefault="00CB7846">
      <w:pPr>
        <w:pBdr>
          <w:top w:val="nil"/>
          <w:left w:val="nil"/>
          <w:bottom w:val="nil"/>
          <w:right w:val="nil"/>
          <w:between w:val="nil"/>
        </w:pBdr>
        <w:ind w:left="720"/>
        <w:rPr>
          <w:rFonts w:ascii="Palatino Linotype" w:eastAsia="Palatino Linotype" w:hAnsi="Palatino Linotype" w:cs="Palatino Linotype"/>
          <w:b/>
          <w:color w:val="000000" w:themeColor="text1"/>
        </w:rPr>
      </w:pPr>
    </w:p>
    <w:p w14:paraId="2EEEC611" w14:textId="77777777" w:rsidR="00CB7846" w:rsidRPr="00B276C6" w:rsidRDefault="007C4530" w:rsidP="00374B2B">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B276C6">
        <w:rPr>
          <w:rFonts w:ascii="Palatino Linotype" w:eastAsia="Palatino Linotype" w:hAnsi="Palatino Linotype" w:cs="Palatino Linotype"/>
          <w:color w:val="000000" w:themeColor="text1"/>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9313F1D" w14:textId="77777777" w:rsidR="00CB7846" w:rsidRPr="00B276C6" w:rsidRDefault="00CB7846">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114EF336" w14:textId="77777777" w:rsidR="00CB7846" w:rsidRPr="00B276C6" w:rsidRDefault="007C4530" w:rsidP="00374B2B">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B276C6">
        <w:rPr>
          <w:rFonts w:ascii="Palatino Linotype" w:eastAsia="Palatino Linotype" w:hAnsi="Palatino Linotype" w:cs="Palatino Linotype"/>
          <w:color w:val="000000" w:themeColor="text1"/>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4E7971C" w14:textId="77777777" w:rsidR="00CB7846" w:rsidRPr="00B276C6" w:rsidRDefault="007C4530" w:rsidP="00374B2B">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B276C6">
        <w:rPr>
          <w:rFonts w:ascii="Palatino Linotype" w:eastAsia="Palatino Linotype" w:hAnsi="Palatino Linotype" w:cs="Palatino Linotype"/>
          <w:color w:val="000000" w:themeColor="text1"/>
        </w:rPr>
        <w:lastRenderedPageBreak/>
        <w:t xml:space="preserve">Por ello, excepcionalmente, si un asunto es resuelto con posterioridad a los plazos señalados por la norma debe analizarse la razonabilidad de dicha dilación atendiendo a los siguientes criterios:   </w:t>
      </w:r>
    </w:p>
    <w:p w14:paraId="339CCA04" w14:textId="77777777" w:rsidR="00CB7846" w:rsidRPr="00B276C6" w:rsidRDefault="00CB7846">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14:paraId="20FEC1D0" w14:textId="77777777" w:rsidR="00CB7846" w:rsidRPr="00B276C6" w:rsidRDefault="007C4530" w:rsidP="00374B2B">
      <w:pPr>
        <w:numPr>
          <w:ilvl w:val="0"/>
          <w:numId w:val="1"/>
        </w:numPr>
        <w:pBdr>
          <w:top w:val="nil"/>
          <w:left w:val="nil"/>
          <w:bottom w:val="nil"/>
          <w:right w:val="nil"/>
          <w:between w:val="nil"/>
        </w:pBdr>
        <w:spacing w:line="360" w:lineRule="auto"/>
        <w:ind w:left="992"/>
        <w:jc w:val="both"/>
        <w:rPr>
          <w:rFonts w:ascii="Palatino Linotype" w:eastAsia="Palatino Linotype" w:hAnsi="Palatino Linotype" w:cs="Palatino Linotype"/>
          <w:color w:val="000000" w:themeColor="text1"/>
        </w:rPr>
      </w:pPr>
      <w:r w:rsidRPr="00B276C6">
        <w:rPr>
          <w:rFonts w:ascii="Palatino Linotype" w:eastAsia="Palatino Linotype" w:hAnsi="Palatino Linotype" w:cs="Palatino Linotype"/>
          <w:color w:val="000000" w:themeColor="text1"/>
        </w:rPr>
        <w:t xml:space="preserve">Complejidad del asunto: La complejidad de la prueba, la pluralidad de sujetos procesales, el tiempo transcurrido, las características y contexto del recurso. </w:t>
      </w:r>
    </w:p>
    <w:p w14:paraId="685E118A" w14:textId="77777777" w:rsidR="00CB7846" w:rsidRPr="00B276C6" w:rsidRDefault="007C4530" w:rsidP="00374B2B">
      <w:pPr>
        <w:numPr>
          <w:ilvl w:val="0"/>
          <w:numId w:val="1"/>
        </w:numPr>
        <w:pBdr>
          <w:top w:val="nil"/>
          <w:left w:val="nil"/>
          <w:bottom w:val="nil"/>
          <w:right w:val="nil"/>
          <w:between w:val="nil"/>
        </w:pBdr>
        <w:spacing w:line="360" w:lineRule="auto"/>
        <w:ind w:left="992"/>
        <w:jc w:val="both"/>
        <w:rPr>
          <w:rFonts w:ascii="Palatino Linotype" w:eastAsia="Palatino Linotype" w:hAnsi="Palatino Linotype" w:cs="Palatino Linotype"/>
          <w:color w:val="000000" w:themeColor="text1"/>
        </w:rPr>
      </w:pPr>
      <w:r w:rsidRPr="00B276C6">
        <w:rPr>
          <w:rFonts w:ascii="Palatino Linotype" w:eastAsia="Palatino Linotype" w:hAnsi="Palatino Linotype" w:cs="Palatino Linotype"/>
          <w:color w:val="000000" w:themeColor="text1"/>
        </w:rPr>
        <w:t>Actividad Procesal del interesado. Acciones u omisiones del interesado.</w:t>
      </w:r>
    </w:p>
    <w:p w14:paraId="7BD3D82F" w14:textId="77777777" w:rsidR="00CB7846" w:rsidRPr="00B276C6" w:rsidRDefault="007C4530" w:rsidP="00374B2B">
      <w:pPr>
        <w:numPr>
          <w:ilvl w:val="0"/>
          <w:numId w:val="1"/>
        </w:numPr>
        <w:pBdr>
          <w:top w:val="nil"/>
          <w:left w:val="nil"/>
          <w:bottom w:val="nil"/>
          <w:right w:val="nil"/>
          <w:between w:val="nil"/>
        </w:pBdr>
        <w:spacing w:line="360" w:lineRule="auto"/>
        <w:ind w:left="992"/>
        <w:jc w:val="both"/>
        <w:rPr>
          <w:rFonts w:ascii="Palatino Linotype" w:eastAsia="Palatino Linotype" w:hAnsi="Palatino Linotype" w:cs="Palatino Linotype"/>
          <w:color w:val="000000" w:themeColor="text1"/>
        </w:rPr>
      </w:pPr>
      <w:r w:rsidRPr="00B276C6">
        <w:rPr>
          <w:rFonts w:ascii="Palatino Linotype" w:eastAsia="Palatino Linotype" w:hAnsi="Palatino Linotype" w:cs="Palatino Linotype"/>
          <w:color w:val="000000" w:themeColor="text1"/>
        </w:rPr>
        <w:t>Conducta de la Autoridad: Las Acciones u omisiones realizadas en el procedimiento. Así como si la autoridad actuó con la debida diligencia.</w:t>
      </w:r>
    </w:p>
    <w:p w14:paraId="09198959" w14:textId="77777777" w:rsidR="00CB7846" w:rsidRPr="00B276C6" w:rsidRDefault="007C4530" w:rsidP="00374B2B">
      <w:pPr>
        <w:numPr>
          <w:ilvl w:val="0"/>
          <w:numId w:val="1"/>
        </w:numPr>
        <w:pBdr>
          <w:top w:val="nil"/>
          <w:left w:val="nil"/>
          <w:bottom w:val="nil"/>
          <w:right w:val="nil"/>
          <w:between w:val="nil"/>
        </w:pBdr>
        <w:spacing w:line="360" w:lineRule="auto"/>
        <w:ind w:left="992"/>
        <w:jc w:val="both"/>
        <w:rPr>
          <w:rFonts w:ascii="Palatino Linotype" w:eastAsia="Palatino Linotype" w:hAnsi="Palatino Linotype" w:cs="Palatino Linotype"/>
          <w:color w:val="000000" w:themeColor="text1"/>
        </w:rPr>
      </w:pPr>
      <w:r w:rsidRPr="00B276C6">
        <w:rPr>
          <w:rFonts w:ascii="Palatino Linotype" w:eastAsia="Palatino Linotype" w:hAnsi="Palatino Linotype" w:cs="Palatino Linotype"/>
          <w:color w:val="000000" w:themeColor="text1"/>
        </w:rPr>
        <w:t>La afectación generada en la situación jurídica de la persona involucrada en el proceso: Violación a sus derechos humanos.</w:t>
      </w:r>
    </w:p>
    <w:p w14:paraId="33B6E1FE" w14:textId="77777777" w:rsidR="00CB7846" w:rsidRPr="00B276C6" w:rsidRDefault="00CB7846">
      <w:pPr>
        <w:pBdr>
          <w:top w:val="nil"/>
          <w:left w:val="nil"/>
          <w:bottom w:val="nil"/>
          <w:right w:val="nil"/>
          <w:between w:val="nil"/>
        </w:pBdr>
        <w:spacing w:line="360" w:lineRule="auto"/>
        <w:ind w:left="992"/>
        <w:jc w:val="both"/>
        <w:rPr>
          <w:rFonts w:ascii="Palatino Linotype" w:eastAsia="Palatino Linotype" w:hAnsi="Palatino Linotype" w:cs="Palatino Linotype"/>
          <w:color w:val="000000" w:themeColor="text1"/>
        </w:rPr>
      </w:pPr>
    </w:p>
    <w:p w14:paraId="0A088BC4" w14:textId="77777777" w:rsidR="00CB7846" w:rsidRPr="00B276C6" w:rsidRDefault="007C4530" w:rsidP="00374B2B">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B276C6">
        <w:rPr>
          <w:rFonts w:ascii="Palatino Linotype" w:eastAsia="Palatino Linotype" w:hAnsi="Palatino Linotype" w:cs="Palatino Linotype"/>
          <w:color w:val="000000" w:themeColor="text1"/>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4E6A46A" w14:textId="77777777" w:rsidR="00CB7846" w:rsidRPr="00B276C6" w:rsidRDefault="00CB7846">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14:paraId="1F3E318E" w14:textId="77777777" w:rsidR="00CB7846" w:rsidRPr="00B276C6" w:rsidRDefault="007C4530" w:rsidP="00374B2B">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B276C6">
        <w:rPr>
          <w:rFonts w:ascii="Palatino Linotype" w:eastAsia="Palatino Linotype" w:hAnsi="Palatino Linotype" w:cs="Palatino Linotype"/>
          <w:color w:val="000000" w:themeColor="text1"/>
        </w:rPr>
        <w:t xml:space="preserve">Argumento que encuentra sustento en la jurisprudencia P./J. 32/92 emitida por el Pleno de la Suprema Corte de Justicia de la Nación del rubro </w:t>
      </w:r>
      <w:r w:rsidRPr="00B276C6">
        <w:rPr>
          <w:rFonts w:ascii="Palatino Linotype" w:eastAsia="Palatino Linotype" w:hAnsi="Palatino Linotype" w:cs="Palatino Linotype"/>
          <w:i/>
          <w:color w:val="000000" w:themeColor="text1"/>
        </w:rPr>
        <w:t xml:space="preserve">“TÉRMINOS PROCESALES. PARA DETERMINAR SI UN FUNCIONARIO JUDICIAL ACTUÓ </w:t>
      </w:r>
      <w:r w:rsidRPr="00B276C6">
        <w:rPr>
          <w:rFonts w:ascii="Palatino Linotype" w:eastAsia="Palatino Linotype" w:hAnsi="Palatino Linotype" w:cs="Palatino Linotype"/>
          <w:i/>
          <w:color w:val="000000" w:themeColor="text1"/>
        </w:rPr>
        <w:lastRenderedPageBreak/>
        <w:t>INDEBIDAMENTE POR NO RESPETARLOS SE DEBE ATENDER AL PRESUPUESTO QUE CONSIDERÓ EL LEGISLADOR AL FIJARLOS Y LAS CARACTERÍSTICAS DEL CASO.”</w:t>
      </w:r>
      <w:r w:rsidRPr="00B276C6">
        <w:rPr>
          <w:rFonts w:ascii="Palatino Linotype" w:eastAsia="Palatino Linotype" w:hAnsi="Palatino Linotype" w:cs="Palatino Linotype"/>
          <w:color w:val="000000" w:themeColor="text1"/>
        </w:rPr>
        <w:t>, visible en la Gaceta del Semanario Judicial de la Federación con el registro digital 205635.</w:t>
      </w:r>
    </w:p>
    <w:p w14:paraId="2FFFCD28" w14:textId="77777777" w:rsidR="00CB7846" w:rsidRPr="00B276C6" w:rsidRDefault="00CB7846">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036E56B2" w14:textId="77777777" w:rsidR="00CB7846" w:rsidRPr="00B276C6" w:rsidRDefault="007C4530" w:rsidP="00374B2B">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B276C6">
        <w:rPr>
          <w:rFonts w:ascii="Palatino Linotype" w:eastAsia="Palatino Linotype" w:hAnsi="Palatino Linotype" w:cs="Palatino Linotype"/>
          <w:color w:val="000000" w:themeColor="text1"/>
        </w:rPr>
        <w:t>Razones por las cuales cabe concluir que, la resolución a los recursos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B009201" w14:textId="77777777" w:rsidR="00CB7846" w:rsidRPr="00B276C6" w:rsidRDefault="00CB7846">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1FEDF1B4" w14:textId="77777777" w:rsidR="00CB7846" w:rsidRPr="00B276C6" w:rsidRDefault="007C4530" w:rsidP="00374B2B">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B276C6">
        <w:rPr>
          <w:rFonts w:ascii="Palatino Linotype" w:eastAsia="Palatino Linotype" w:hAnsi="Palatino Linotype" w:cs="Palatino Linotype"/>
          <w:color w:val="000000" w:themeColor="text1"/>
        </w:rPr>
        <w:t>Por ello, este organismo garante comprometido con la tutela de los derechos humanos confiados, señala que este exceso del plazo legal para resolver el presente asunto, resulta de carácter excepcional.</w:t>
      </w:r>
    </w:p>
    <w:p w14:paraId="065E48DB" w14:textId="77777777" w:rsidR="00CB7846" w:rsidRPr="00B276C6" w:rsidRDefault="00CB7846">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14:paraId="6A1DB174" w14:textId="77777777" w:rsidR="00CB7846" w:rsidRPr="00B276C6" w:rsidRDefault="007C4530" w:rsidP="00374B2B">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B276C6">
        <w:rPr>
          <w:rFonts w:ascii="Palatino Linotype" w:eastAsia="Palatino Linotype" w:hAnsi="Palatino Linotype" w:cs="Palatino Linotype"/>
          <w:color w:val="000000" w:themeColor="text1"/>
        </w:rPr>
        <w:lastRenderedPageBreak/>
        <w:t>Al respecto, también son de considerar los criterios sostenidos por el Cuarto Tribunal Colegiado en Materia Administrativa del Primer Circuito, cuyos rubros y datos de identificación son los siguientes:</w:t>
      </w:r>
    </w:p>
    <w:p w14:paraId="102D9C50" w14:textId="77777777" w:rsidR="00CB7846" w:rsidRPr="00B276C6" w:rsidRDefault="00CB7846">
      <w:pPr>
        <w:pBdr>
          <w:top w:val="nil"/>
          <w:left w:val="nil"/>
          <w:bottom w:val="nil"/>
          <w:right w:val="nil"/>
          <w:between w:val="nil"/>
        </w:pBdr>
        <w:ind w:left="720"/>
        <w:rPr>
          <w:rFonts w:ascii="Palatino Linotype" w:eastAsia="Palatino Linotype" w:hAnsi="Palatino Linotype" w:cs="Palatino Linotype"/>
          <w:b/>
          <w:color w:val="000000" w:themeColor="text1"/>
        </w:rPr>
      </w:pPr>
    </w:p>
    <w:p w14:paraId="40D2757D" w14:textId="77777777" w:rsidR="00CB7846" w:rsidRPr="00B276C6" w:rsidRDefault="007C4530" w:rsidP="002A2F31">
      <w:pPr>
        <w:pBdr>
          <w:top w:val="nil"/>
          <w:left w:val="nil"/>
          <w:bottom w:val="nil"/>
          <w:right w:val="nil"/>
          <w:between w:val="nil"/>
        </w:pBdr>
        <w:spacing w:line="360" w:lineRule="auto"/>
        <w:ind w:left="851" w:right="538"/>
        <w:jc w:val="both"/>
        <w:rPr>
          <w:rFonts w:ascii="Palatino Linotype" w:eastAsia="Palatino Linotype" w:hAnsi="Palatino Linotype" w:cs="Palatino Linotype"/>
          <w:color w:val="000000" w:themeColor="text1"/>
          <w:sz w:val="22"/>
          <w:szCs w:val="22"/>
        </w:rPr>
      </w:pPr>
      <w:r w:rsidRPr="00B276C6">
        <w:rPr>
          <w:rFonts w:ascii="Palatino Linotype" w:eastAsia="Palatino Linotype" w:hAnsi="Palatino Linotype" w:cs="Palatino Linotype"/>
          <w:i/>
          <w:color w:val="000000" w:themeColor="text1"/>
          <w:sz w:val="22"/>
          <w:szCs w:val="22"/>
        </w:rPr>
        <w:t>“PLAZO RAZONABLE PARA RESOLVER. DIMENSIÓN Y EFECTOS DE ESTE CONCEPTO CUANDO SE ADUCE EXCESIVA CARGA DE TRABAJO.”</w:t>
      </w:r>
      <w:r w:rsidRPr="00B276C6">
        <w:rPr>
          <w:rFonts w:ascii="Palatino Linotype" w:eastAsia="Palatino Linotype" w:hAnsi="Palatino Linotype" w:cs="Palatino Linotype"/>
          <w:color w:val="000000" w:themeColor="text1"/>
          <w:sz w:val="22"/>
          <w:szCs w:val="22"/>
        </w:rPr>
        <w:t xml:space="preserve"> consultable en el Semanario Judicial de la Federación y su gaceta, con el registro digital 2002351.</w:t>
      </w:r>
    </w:p>
    <w:p w14:paraId="64F220BD" w14:textId="77777777" w:rsidR="00CB7846" w:rsidRPr="00B276C6" w:rsidRDefault="00CB7846" w:rsidP="002A2F31">
      <w:pPr>
        <w:pBdr>
          <w:top w:val="nil"/>
          <w:left w:val="nil"/>
          <w:bottom w:val="nil"/>
          <w:right w:val="nil"/>
          <w:between w:val="nil"/>
        </w:pBdr>
        <w:spacing w:line="360" w:lineRule="auto"/>
        <w:ind w:left="851" w:right="538"/>
        <w:jc w:val="both"/>
        <w:rPr>
          <w:rFonts w:ascii="Palatino Linotype" w:eastAsia="Palatino Linotype" w:hAnsi="Palatino Linotype" w:cs="Palatino Linotype"/>
          <w:b/>
          <w:color w:val="000000" w:themeColor="text1"/>
          <w:sz w:val="22"/>
          <w:szCs w:val="22"/>
        </w:rPr>
      </w:pPr>
    </w:p>
    <w:p w14:paraId="37DED4D1" w14:textId="77777777" w:rsidR="00CB7846" w:rsidRPr="00B276C6" w:rsidRDefault="007C4530" w:rsidP="002A2F31">
      <w:pPr>
        <w:pBdr>
          <w:top w:val="nil"/>
          <w:left w:val="nil"/>
          <w:bottom w:val="nil"/>
          <w:right w:val="nil"/>
          <w:between w:val="nil"/>
        </w:pBdr>
        <w:spacing w:line="360" w:lineRule="auto"/>
        <w:ind w:left="851" w:right="538"/>
        <w:jc w:val="both"/>
        <w:rPr>
          <w:rFonts w:ascii="Palatino Linotype" w:eastAsia="Palatino Linotype" w:hAnsi="Palatino Linotype" w:cs="Palatino Linotype"/>
          <w:color w:val="000000" w:themeColor="text1"/>
          <w:sz w:val="22"/>
          <w:szCs w:val="22"/>
        </w:rPr>
      </w:pPr>
      <w:r w:rsidRPr="00B276C6">
        <w:rPr>
          <w:rFonts w:ascii="Palatino Linotype" w:eastAsia="Palatino Linotype" w:hAnsi="Palatino Linotype" w:cs="Palatino Linotype"/>
          <w:i/>
          <w:color w:val="000000" w:themeColor="text1"/>
          <w:sz w:val="22"/>
          <w:szCs w:val="22"/>
        </w:rPr>
        <w:t>“PLAZO RAZONABLE PARA RESOLVER. CONCEPTO Y ELEMENTOS QUE LO INTEGRAN A LA LUZ DEL DERECHO INTERNACIONAL DE LOS DERECHOS HUMANOS.”</w:t>
      </w:r>
      <w:r w:rsidRPr="00B276C6">
        <w:rPr>
          <w:rFonts w:ascii="Palatino Linotype" w:eastAsia="Palatino Linotype" w:hAnsi="Palatino Linotype" w:cs="Palatino Linotype"/>
          <w:color w:val="000000" w:themeColor="text1"/>
          <w:sz w:val="22"/>
          <w:szCs w:val="22"/>
        </w:rPr>
        <w:t>, visible en el Semanario Judicial de la Federación y su gaceta, con el registro digital 2002350.</w:t>
      </w:r>
    </w:p>
    <w:p w14:paraId="7A972DD0" w14:textId="77777777" w:rsidR="00CB7846" w:rsidRPr="00B276C6" w:rsidRDefault="00CB7846">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p w14:paraId="14C5873E" w14:textId="77777777" w:rsidR="00CB7846" w:rsidRPr="00B276C6" w:rsidRDefault="007C4530" w:rsidP="00374B2B">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B276C6">
        <w:rPr>
          <w:rFonts w:ascii="Palatino Linotype" w:eastAsia="Palatino Linotype" w:hAnsi="Palatino Linotype" w:cs="Palatino Linotype"/>
          <w:color w:val="000000" w:themeColor="text1"/>
        </w:rPr>
        <w:t>Por ello, este Organismo Garante comprometido con la tutela de los derechos humanos confiados, señala que este exceso de plazo legal para resolver el presente asunto, resulta de carácter excepcional.</w:t>
      </w:r>
    </w:p>
    <w:p w14:paraId="78E2009B" w14:textId="77777777" w:rsidR="00CB7846" w:rsidRPr="00B276C6" w:rsidRDefault="00CB7846">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113E2529" w14:textId="7BB42956" w:rsidR="00CB7846" w:rsidRPr="00B276C6" w:rsidRDefault="007C4530" w:rsidP="00374B2B">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B276C6">
        <w:rPr>
          <w:rFonts w:ascii="Palatino Linotype" w:eastAsia="Palatino Linotype" w:hAnsi="Palatino Linotype" w:cs="Palatino Linotype"/>
          <w:color w:val="000000" w:themeColor="text1"/>
        </w:rPr>
        <w:t xml:space="preserve">El </w:t>
      </w:r>
      <w:r w:rsidR="002A6A44">
        <w:rPr>
          <w:rFonts w:ascii="Palatino Linotype" w:eastAsia="Palatino Linotype" w:hAnsi="Palatino Linotype" w:cs="Palatino Linotype"/>
          <w:b/>
          <w:color w:val="000000" w:themeColor="text1"/>
        </w:rPr>
        <w:t>ocho</w:t>
      </w:r>
      <w:r w:rsidR="001623F6" w:rsidRPr="00B276C6">
        <w:rPr>
          <w:rFonts w:ascii="Palatino Linotype" w:eastAsia="Palatino Linotype" w:hAnsi="Palatino Linotype" w:cs="Palatino Linotype"/>
          <w:b/>
          <w:color w:val="000000" w:themeColor="text1"/>
        </w:rPr>
        <w:t xml:space="preserve"> de noviembre</w:t>
      </w:r>
      <w:r w:rsidRPr="00B276C6">
        <w:rPr>
          <w:rFonts w:ascii="Palatino Linotype" w:eastAsia="Palatino Linotype" w:hAnsi="Palatino Linotype" w:cs="Palatino Linotype"/>
          <w:b/>
          <w:color w:val="000000" w:themeColor="text1"/>
        </w:rPr>
        <w:t xml:space="preserve"> de dos mil veinticuatro</w:t>
      </w:r>
      <w:r w:rsidRPr="00B276C6">
        <w:rPr>
          <w:rFonts w:ascii="Palatino Linotype" w:eastAsia="Palatino Linotype" w:hAnsi="Palatino Linotype" w:cs="Palatino Linotype"/>
          <w:color w:val="000000" w:themeColor="text1"/>
        </w:rPr>
        <w:t xml:space="preserve">, se notificaron los acuerdos a través de los cuales se decretó el cierre de instrucción. </w:t>
      </w:r>
    </w:p>
    <w:p w14:paraId="18244A46" w14:textId="77777777" w:rsidR="00CB7846" w:rsidRPr="00B276C6" w:rsidRDefault="00CB7846">
      <w:pPr>
        <w:spacing w:line="360" w:lineRule="auto"/>
        <w:jc w:val="both"/>
        <w:rPr>
          <w:rFonts w:ascii="Palatino Linotype" w:eastAsia="Palatino Linotype" w:hAnsi="Palatino Linotype" w:cs="Palatino Linotype"/>
          <w:color w:val="000000" w:themeColor="text1"/>
        </w:rPr>
      </w:pPr>
    </w:p>
    <w:p w14:paraId="434211A2" w14:textId="77777777" w:rsidR="00CB7846" w:rsidRPr="00B276C6" w:rsidRDefault="007C4530">
      <w:pPr>
        <w:keepNext/>
        <w:keepLines/>
        <w:spacing w:line="360" w:lineRule="auto"/>
        <w:jc w:val="center"/>
        <w:rPr>
          <w:rFonts w:ascii="Palatino Linotype" w:eastAsia="Palatino Linotype" w:hAnsi="Palatino Linotype" w:cs="Palatino Linotype"/>
          <w:color w:val="000000" w:themeColor="text1"/>
        </w:rPr>
      </w:pPr>
      <w:bookmarkStart w:id="4" w:name="_heading=h.1fob9te" w:colFirst="0" w:colLast="0"/>
      <w:bookmarkEnd w:id="4"/>
      <w:r w:rsidRPr="00B276C6">
        <w:rPr>
          <w:rFonts w:ascii="Palatino Linotype" w:eastAsia="Palatino Linotype" w:hAnsi="Palatino Linotype" w:cs="Palatino Linotype"/>
          <w:b/>
          <w:color w:val="000000" w:themeColor="text1"/>
        </w:rPr>
        <w:lastRenderedPageBreak/>
        <w:t xml:space="preserve">C O N S I D E R A N D O </w:t>
      </w:r>
    </w:p>
    <w:p w14:paraId="58AB4227" w14:textId="77777777" w:rsidR="00CB7846" w:rsidRPr="00B276C6" w:rsidRDefault="00CB7846">
      <w:pPr>
        <w:spacing w:line="360" w:lineRule="auto"/>
        <w:rPr>
          <w:rFonts w:ascii="Palatino Linotype" w:eastAsia="Palatino Linotype" w:hAnsi="Palatino Linotype" w:cs="Palatino Linotype"/>
          <w:color w:val="000000" w:themeColor="text1"/>
        </w:rPr>
      </w:pPr>
    </w:p>
    <w:p w14:paraId="3D15A4E4" w14:textId="77777777" w:rsidR="00CB7846" w:rsidRPr="00B276C6" w:rsidRDefault="007C4530">
      <w:pPr>
        <w:keepNext/>
        <w:keepLines/>
        <w:spacing w:line="360" w:lineRule="auto"/>
        <w:rPr>
          <w:rFonts w:ascii="Palatino Linotype" w:eastAsia="Palatino Linotype" w:hAnsi="Palatino Linotype" w:cs="Palatino Linotype"/>
          <w:b/>
          <w:color w:val="000000" w:themeColor="text1"/>
        </w:rPr>
      </w:pPr>
      <w:bookmarkStart w:id="5" w:name="_heading=h.3znysh7" w:colFirst="0" w:colLast="0"/>
      <w:bookmarkEnd w:id="5"/>
      <w:r w:rsidRPr="00B276C6">
        <w:rPr>
          <w:rFonts w:ascii="Palatino Linotype" w:eastAsia="Palatino Linotype" w:hAnsi="Palatino Linotype" w:cs="Palatino Linotype"/>
          <w:b/>
          <w:color w:val="000000" w:themeColor="text1"/>
        </w:rPr>
        <w:t>PRIMERO. De la competencia</w:t>
      </w:r>
    </w:p>
    <w:p w14:paraId="026386B0" w14:textId="77777777" w:rsidR="00CB7846" w:rsidRPr="00B276C6" w:rsidRDefault="007C4530" w:rsidP="00374B2B">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B276C6">
        <w:rPr>
          <w:rFonts w:ascii="Palatino Linotype" w:eastAsia="Palatino Linotype" w:hAnsi="Palatino Linotype" w:cs="Palatino Linotype"/>
          <w:color w:val="000000" w:themeColor="text1"/>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3F32C8D5" w14:textId="77777777" w:rsidR="00CB7846" w:rsidRPr="00B276C6" w:rsidRDefault="00CB7846">
      <w:pPr>
        <w:spacing w:line="360" w:lineRule="auto"/>
        <w:jc w:val="both"/>
        <w:rPr>
          <w:rFonts w:ascii="Palatino Linotype" w:eastAsia="Palatino Linotype" w:hAnsi="Palatino Linotype" w:cs="Palatino Linotype"/>
          <w:color w:val="000000" w:themeColor="text1"/>
        </w:rPr>
      </w:pPr>
    </w:p>
    <w:p w14:paraId="1A4F6462" w14:textId="77777777" w:rsidR="009D0B04" w:rsidRPr="00B276C6" w:rsidRDefault="009D0B04" w:rsidP="009D0B04">
      <w:pPr>
        <w:keepNext/>
        <w:keepLines/>
        <w:spacing w:line="360" w:lineRule="auto"/>
        <w:rPr>
          <w:rFonts w:ascii="Palatino Linotype" w:eastAsia="Palatino Linotype" w:hAnsi="Palatino Linotype" w:cs="Palatino Linotype"/>
          <w:b/>
        </w:rPr>
      </w:pPr>
      <w:bookmarkStart w:id="6" w:name="_heading=h.2et92p0" w:colFirst="0" w:colLast="0"/>
      <w:bookmarkEnd w:id="6"/>
      <w:r w:rsidRPr="00B276C6">
        <w:rPr>
          <w:rFonts w:ascii="Palatino Linotype" w:eastAsia="Palatino Linotype" w:hAnsi="Palatino Linotype" w:cs="Palatino Linotype"/>
          <w:b/>
        </w:rPr>
        <w:t>SEGUNDO. Procedencia.</w:t>
      </w:r>
    </w:p>
    <w:p w14:paraId="72CAB547" w14:textId="77777777" w:rsidR="009D0B04" w:rsidRPr="00B276C6" w:rsidRDefault="009D0B04" w:rsidP="00374B2B">
      <w:pPr>
        <w:pStyle w:val="Prrafodelista"/>
        <w:numPr>
          <w:ilvl w:val="0"/>
          <w:numId w:val="2"/>
        </w:numPr>
        <w:spacing w:line="360" w:lineRule="auto"/>
        <w:ind w:left="0" w:firstLine="0"/>
        <w:jc w:val="both"/>
        <w:rPr>
          <w:rFonts w:ascii="Palatino Linotype" w:hAnsi="Palatino Linotype"/>
        </w:rPr>
      </w:pPr>
      <w:r w:rsidRPr="00B276C6">
        <w:rPr>
          <w:rFonts w:ascii="Palatino Linotype" w:eastAsia="Palatino Linotype" w:hAnsi="Palatino Linotype" w:cs="Palatino Linotype"/>
        </w:rPr>
        <w:t>Este Órgano Garante considera que el medio de impugnación reúne los requisitos de procedencia toda vez que; el recurso fue presentado dentro del plazo establecido en el artículo 178 de la Ley de Transparencia y Acceso a la Información Pública del Estado de México y Municipios; asimismo no se tiene conocimiento que se encuentre en trámite algún medio de defensa presentado por el Recurrente ante otra instancia.</w:t>
      </w:r>
    </w:p>
    <w:p w14:paraId="457A225A" w14:textId="462B8975" w:rsidR="009D0B04" w:rsidRPr="00B276C6" w:rsidRDefault="009D0B04" w:rsidP="00374B2B">
      <w:pPr>
        <w:pStyle w:val="Prrafodelista"/>
        <w:numPr>
          <w:ilvl w:val="0"/>
          <w:numId w:val="2"/>
        </w:numPr>
        <w:spacing w:line="360" w:lineRule="auto"/>
        <w:ind w:left="0" w:firstLine="0"/>
        <w:jc w:val="both"/>
        <w:rPr>
          <w:rFonts w:ascii="Palatino Linotype" w:eastAsia="Palatino Linotype" w:hAnsi="Palatino Linotype" w:cs="Palatino Linotype"/>
        </w:rPr>
      </w:pPr>
      <w:r w:rsidRPr="00B276C6">
        <w:rPr>
          <w:rFonts w:ascii="Palatino Linotype" w:eastAsia="Palatino Linotype" w:hAnsi="Palatino Linotype" w:cs="Palatino Linotype"/>
        </w:rPr>
        <w:lastRenderedPageBreak/>
        <w:t xml:space="preserve">Por otro </w:t>
      </w:r>
      <w:r w:rsidR="006D7A89" w:rsidRPr="00B276C6">
        <w:rPr>
          <w:rFonts w:ascii="Palatino Linotype" w:eastAsia="Palatino Linotype" w:hAnsi="Palatino Linotype" w:cs="Palatino Linotype"/>
        </w:rPr>
        <w:t>lado,</w:t>
      </w:r>
      <w:r w:rsidRPr="00B276C6">
        <w:rPr>
          <w:rFonts w:ascii="Palatino Linotype" w:eastAsia="Palatino Linotype" w:hAnsi="Palatino Linotype" w:cs="Palatino Linotype"/>
        </w:rPr>
        <w:t xml:space="preserve"> el escrito contiene las formalidades previstas en el artículo 180 último párrafo de la citada Ley de la materia, por lo que es procedente que este Instituto conozca y resuelva el presente recurso.</w:t>
      </w:r>
    </w:p>
    <w:p w14:paraId="7984A9DD" w14:textId="77777777" w:rsidR="004F22D2" w:rsidRPr="00B276C6" w:rsidRDefault="004F22D2" w:rsidP="004F22D2">
      <w:pPr>
        <w:pStyle w:val="Prrafodelista"/>
        <w:rPr>
          <w:rFonts w:ascii="Palatino Linotype" w:eastAsia="Palatino Linotype" w:hAnsi="Palatino Linotype" w:cs="Palatino Linotype"/>
        </w:rPr>
      </w:pPr>
    </w:p>
    <w:p w14:paraId="717574F3" w14:textId="77777777" w:rsidR="009D0B04" w:rsidRPr="00B276C6" w:rsidRDefault="009D0B04" w:rsidP="009D0B04">
      <w:pPr>
        <w:pStyle w:val="Prrafodelista"/>
        <w:rPr>
          <w:rFonts w:ascii="Palatino Linotype" w:eastAsia="Palatino Linotype" w:hAnsi="Palatino Linotype" w:cs="Palatino Linotype"/>
        </w:rPr>
      </w:pPr>
    </w:p>
    <w:p w14:paraId="42147D3F" w14:textId="77777777" w:rsidR="009D0B04" w:rsidRPr="00B276C6" w:rsidRDefault="009D0B04" w:rsidP="009D0B04">
      <w:pPr>
        <w:pStyle w:val="Ttulo2"/>
        <w:tabs>
          <w:tab w:val="left" w:pos="0"/>
        </w:tabs>
        <w:spacing w:before="0" w:line="360" w:lineRule="auto"/>
        <w:rPr>
          <w:rFonts w:ascii="Palatino Linotype" w:eastAsia="Palatino Linotype" w:hAnsi="Palatino Linotype" w:cs="Palatino Linotype"/>
          <w:b/>
          <w:color w:val="000000"/>
          <w:sz w:val="24"/>
          <w:szCs w:val="24"/>
        </w:rPr>
      </w:pPr>
      <w:r w:rsidRPr="00B276C6">
        <w:rPr>
          <w:rFonts w:ascii="Palatino Linotype" w:eastAsia="Palatino Linotype" w:hAnsi="Palatino Linotype" w:cs="Palatino Linotype"/>
          <w:b/>
          <w:color w:val="000000"/>
          <w:sz w:val="24"/>
          <w:szCs w:val="24"/>
        </w:rPr>
        <w:t>TERCERA. Descripción de hechos y planteamiento de la controversia.</w:t>
      </w:r>
    </w:p>
    <w:p w14:paraId="77A238B1" w14:textId="7EE4A072" w:rsidR="00EA10EE" w:rsidRPr="006D7A89" w:rsidRDefault="009D0B04" w:rsidP="006D7A89">
      <w:pPr>
        <w:pStyle w:val="Prrafodelista"/>
        <w:numPr>
          <w:ilvl w:val="0"/>
          <w:numId w:val="2"/>
        </w:numPr>
        <w:spacing w:line="360" w:lineRule="auto"/>
        <w:ind w:left="0" w:right="-29" w:firstLine="0"/>
        <w:jc w:val="both"/>
        <w:rPr>
          <w:rFonts w:ascii="Palatino Linotype" w:hAnsi="Palatino Linotype"/>
        </w:rPr>
      </w:pPr>
      <w:r w:rsidRPr="006D7A89">
        <w:rPr>
          <w:rFonts w:ascii="Palatino Linotype" w:eastAsia="Palatino Linotype" w:hAnsi="Palatino Linotype" w:cs="Palatino Linotype"/>
          <w:lang w:val="es-ES"/>
        </w:rPr>
        <w:t>Se solicitó</w:t>
      </w:r>
      <w:r w:rsidR="00806BE6" w:rsidRPr="006D7A89">
        <w:rPr>
          <w:rFonts w:ascii="Palatino Linotype" w:eastAsia="Palatino Linotype" w:hAnsi="Palatino Linotype" w:cs="Palatino Linotype"/>
          <w:lang w:val="es-ES"/>
        </w:rPr>
        <w:t xml:space="preserve"> saber cuántos elementos de la Secretaría de Seguridad pierden vigencia </w:t>
      </w:r>
      <w:r w:rsidRPr="006D7A89">
        <w:rPr>
          <w:rFonts w:ascii="Palatino Linotype" w:eastAsia="Palatino Linotype" w:hAnsi="Palatino Linotype" w:cs="Palatino Linotype"/>
          <w:lang w:val="es-ES"/>
        </w:rPr>
        <w:t xml:space="preserve"> </w:t>
      </w:r>
      <w:r w:rsidR="00806BE6" w:rsidRPr="006D7A89">
        <w:rPr>
          <w:rFonts w:ascii="Palatino Linotype" w:eastAsia="Palatino Linotype" w:hAnsi="Palatino Linotype" w:cs="Palatino Linotype"/>
          <w:lang w:val="es-ES"/>
        </w:rPr>
        <w:t xml:space="preserve">en el presente año para licencia de portación de arma y cuántos pierden vigencia en el certificado único policial, cuántos están considerados en ambos rubros?, ¿cuántas evaluaciones de control de confianza por permanencia se encuentran consideradas para este año?, ¿cuántos elementos en el ejercicio 2022 fueron aprobados con restricciones y qué porcentaje ya cumplió con la </w:t>
      </w:r>
      <w:proofErr w:type="spellStart"/>
      <w:r w:rsidR="00806BE6" w:rsidRPr="006D7A89">
        <w:rPr>
          <w:rFonts w:ascii="Palatino Linotype" w:eastAsia="Palatino Linotype" w:hAnsi="Palatino Linotype" w:cs="Palatino Linotype"/>
          <w:lang w:val="es-ES"/>
        </w:rPr>
        <w:t>solventación</w:t>
      </w:r>
      <w:proofErr w:type="spellEnd"/>
      <w:r w:rsidR="00806BE6" w:rsidRPr="006D7A89">
        <w:rPr>
          <w:rFonts w:ascii="Palatino Linotype" w:eastAsia="Palatino Linotype" w:hAnsi="Palatino Linotype" w:cs="Palatino Linotype"/>
          <w:lang w:val="es-ES"/>
        </w:rPr>
        <w:t>?; ¿por qué no hay avance y seguimiento al porcentaje publicado en el Centro Nacional de Certificación y Acreditación de elementos no aprobados en control de confianza?</w:t>
      </w:r>
      <w:r w:rsidR="00EA10EE" w:rsidRPr="006D7A89">
        <w:rPr>
          <w:rFonts w:ascii="Palatino Linotype" w:eastAsia="Palatino Linotype" w:hAnsi="Palatino Linotype" w:cs="Palatino Linotype"/>
          <w:lang w:val="es-ES"/>
        </w:rPr>
        <w:t xml:space="preserve"> ¿Qué seguimiento da al tema y bajo qué índices </w:t>
      </w:r>
      <w:r w:rsidR="00EA10EE" w:rsidRPr="006D7A89">
        <w:rPr>
          <w:rFonts w:ascii="Palatino Linotype" w:hAnsi="Palatino Linotype"/>
          <w:color w:val="000000"/>
        </w:rPr>
        <w:t xml:space="preserve">y programas de trabajo la </w:t>
      </w:r>
      <w:r w:rsidR="007F1E60" w:rsidRPr="006D7A89">
        <w:rPr>
          <w:rFonts w:ascii="Palatino Linotype" w:hAnsi="Palatino Linotype"/>
          <w:color w:val="000000"/>
        </w:rPr>
        <w:t xml:space="preserve">Unidad </w:t>
      </w:r>
      <w:r w:rsidR="00EA10EE" w:rsidRPr="006D7A89">
        <w:rPr>
          <w:rFonts w:ascii="Palatino Linotype" w:hAnsi="Palatino Linotype"/>
          <w:color w:val="000000"/>
        </w:rPr>
        <w:t xml:space="preserve">de </w:t>
      </w:r>
      <w:r w:rsidR="007F1E60" w:rsidRPr="006D7A89">
        <w:rPr>
          <w:rFonts w:ascii="Palatino Linotype" w:hAnsi="Palatino Linotype"/>
          <w:color w:val="000000"/>
        </w:rPr>
        <w:t xml:space="preserve">Estudios </w:t>
      </w:r>
      <w:r w:rsidR="00EA10EE" w:rsidRPr="006D7A89">
        <w:rPr>
          <w:rFonts w:ascii="Palatino Linotype" w:hAnsi="Palatino Linotype"/>
          <w:color w:val="000000"/>
        </w:rPr>
        <w:t xml:space="preserve">y </w:t>
      </w:r>
      <w:r w:rsidR="007F1E60" w:rsidRPr="006D7A89">
        <w:rPr>
          <w:rFonts w:ascii="Palatino Linotype" w:hAnsi="Palatino Linotype"/>
          <w:color w:val="000000"/>
        </w:rPr>
        <w:t xml:space="preserve">Proyectos Especiales </w:t>
      </w:r>
      <w:r w:rsidR="00EA10EE" w:rsidRPr="006D7A89">
        <w:rPr>
          <w:rFonts w:ascii="Palatino Linotype" w:hAnsi="Palatino Linotype"/>
          <w:color w:val="000000"/>
        </w:rPr>
        <w:t xml:space="preserve">de la </w:t>
      </w:r>
      <w:r w:rsidR="007F1E60" w:rsidRPr="006D7A89">
        <w:rPr>
          <w:rFonts w:ascii="Palatino Linotype" w:hAnsi="Palatino Linotype"/>
          <w:color w:val="000000"/>
        </w:rPr>
        <w:t xml:space="preserve">Secretaria </w:t>
      </w:r>
      <w:r w:rsidR="00EA10EE" w:rsidRPr="006D7A89">
        <w:rPr>
          <w:rFonts w:ascii="Palatino Linotype" w:hAnsi="Palatino Linotype"/>
          <w:color w:val="000000"/>
        </w:rPr>
        <w:t xml:space="preserve">de </w:t>
      </w:r>
      <w:r w:rsidR="007F1E60" w:rsidRPr="006D7A89">
        <w:rPr>
          <w:rFonts w:ascii="Palatino Linotype" w:hAnsi="Palatino Linotype"/>
          <w:color w:val="000000"/>
        </w:rPr>
        <w:t xml:space="preserve">Seguridad </w:t>
      </w:r>
      <w:r w:rsidR="00EA10EE" w:rsidRPr="006D7A89">
        <w:rPr>
          <w:rFonts w:ascii="Palatino Linotype" w:hAnsi="Palatino Linotype"/>
          <w:color w:val="000000"/>
        </w:rPr>
        <w:t xml:space="preserve">al formar parte su titular de la </w:t>
      </w:r>
      <w:r w:rsidR="007F1E60" w:rsidRPr="006D7A89">
        <w:rPr>
          <w:rFonts w:ascii="Palatino Linotype" w:hAnsi="Palatino Linotype"/>
          <w:color w:val="000000"/>
        </w:rPr>
        <w:t xml:space="preserve">Comisión </w:t>
      </w:r>
      <w:r w:rsidR="00EA10EE" w:rsidRPr="006D7A89">
        <w:rPr>
          <w:rFonts w:ascii="Palatino Linotype" w:hAnsi="Palatino Linotype"/>
          <w:color w:val="000000"/>
        </w:rPr>
        <w:t xml:space="preserve">de </w:t>
      </w:r>
      <w:r w:rsidR="007F1E60" w:rsidRPr="006D7A89">
        <w:rPr>
          <w:rFonts w:ascii="Palatino Linotype" w:hAnsi="Palatino Linotype"/>
          <w:color w:val="000000"/>
        </w:rPr>
        <w:t xml:space="preserve">Honor </w:t>
      </w:r>
      <w:r w:rsidR="00EA10EE" w:rsidRPr="006D7A89">
        <w:rPr>
          <w:rFonts w:ascii="Palatino Linotype" w:hAnsi="Palatino Linotype"/>
          <w:color w:val="000000"/>
        </w:rPr>
        <w:t xml:space="preserve">y </w:t>
      </w:r>
      <w:r w:rsidR="007F1E60" w:rsidRPr="006D7A89">
        <w:rPr>
          <w:rFonts w:ascii="Palatino Linotype" w:hAnsi="Palatino Linotype"/>
          <w:color w:val="000000"/>
        </w:rPr>
        <w:t xml:space="preserve">Justicia </w:t>
      </w:r>
      <w:r w:rsidR="00E7038D" w:rsidRPr="006D7A89">
        <w:rPr>
          <w:rFonts w:ascii="Palatino Linotype" w:hAnsi="Palatino Linotype"/>
          <w:color w:val="000000"/>
        </w:rPr>
        <w:t>ademá</w:t>
      </w:r>
      <w:r w:rsidR="00EA10EE" w:rsidRPr="006D7A89">
        <w:rPr>
          <w:rFonts w:ascii="Palatino Linotype" w:hAnsi="Palatino Linotype"/>
          <w:color w:val="000000"/>
        </w:rPr>
        <w:t xml:space="preserve">s de ser la </w:t>
      </w:r>
      <w:r w:rsidR="00E7038D" w:rsidRPr="006D7A89">
        <w:rPr>
          <w:rFonts w:ascii="Palatino Linotype" w:hAnsi="Palatino Linotype"/>
          <w:color w:val="000000"/>
        </w:rPr>
        <w:t xml:space="preserve">Unidad </w:t>
      </w:r>
      <w:r w:rsidR="00EA10EE" w:rsidRPr="006D7A89">
        <w:rPr>
          <w:rFonts w:ascii="Palatino Linotype" w:hAnsi="Palatino Linotype"/>
          <w:color w:val="000000"/>
        </w:rPr>
        <w:t xml:space="preserve">encargada de notificar a la </w:t>
      </w:r>
      <w:r w:rsidR="008D1960" w:rsidRPr="006D7A89">
        <w:rPr>
          <w:rFonts w:ascii="Palatino Linotype" w:hAnsi="Palatino Linotype"/>
          <w:color w:val="000000"/>
        </w:rPr>
        <w:t xml:space="preserve">Unidad </w:t>
      </w:r>
      <w:r w:rsidR="00EA10EE" w:rsidRPr="006D7A89">
        <w:rPr>
          <w:rFonts w:ascii="Palatino Linotype" w:hAnsi="Palatino Linotype"/>
          <w:color w:val="000000"/>
        </w:rPr>
        <w:t xml:space="preserve">de </w:t>
      </w:r>
      <w:r w:rsidR="008D1960" w:rsidRPr="006D7A89">
        <w:rPr>
          <w:rFonts w:ascii="Palatino Linotype" w:hAnsi="Palatino Linotype"/>
          <w:color w:val="000000"/>
        </w:rPr>
        <w:t xml:space="preserve">Asuntos Internos </w:t>
      </w:r>
      <w:r w:rsidR="00EA10EE" w:rsidRPr="006D7A89">
        <w:rPr>
          <w:rFonts w:ascii="Palatino Linotype" w:hAnsi="Palatino Linotype"/>
          <w:color w:val="000000"/>
        </w:rPr>
        <w:t xml:space="preserve">y </w:t>
      </w:r>
      <w:r w:rsidR="008D1960" w:rsidRPr="006D7A89">
        <w:rPr>
          <w:rFonts w:ascii="Palatino Linotype" w:hAnsi="Palatino Linotype"/>
          <w:color w:val="000000"/>
        </w:rPr>
        <w:t xml:space="preserve">Dirección General </w:t>
      </w:r>
      <w:r w:rsidR="00EA10EE" w:rsidRPr="006D7A89">
        <w:rPr>
          <w:rFonts w:ascii="Palatino Linotype" w:hAnsi="Palatino Linotype"/>
          <w:color w:val="000000"/>
        </w:rPr>
        <w:t xml:space="preserve">de </w:t>
      </w:r>
      <w:r w:rsidR="008D1960" w:rsidRPr="006D7A89">
        <w:rPr>
          <w:rFonts w:ascii="Palatino Linotype" w:hAnsi="Palatino Linotype"/>
          <w:color w:val="000000"/>
        </w:rPr>
        <w:t>Asuntos Jurídicos</w:t>
      </w:r>
      <w:r w:rsidR="00EA10EE" w:rsidRPr="006D7A89">
        <w:rPr>
          <w:rFonts w:ascii="Palatino Linotype" w:hAnsi="Palatino Linotype"/>
          <w:color w:val="000000"/>
        </w:rPr>
        <w:t>, para mitigar el riesgo</w:t>
      </w:r>
      <w:r w:rsidR="008D1960" w:rsidRPr="006D7A89">
        <w:rPr>
          <w:rFonts w:ascii="Palatino Linotype" w:hAnsi="Palatino Linotype"/>
          <w:color w:val="000000"/>
        </w:rPr>
        <w:t xml:space="preserve">?; De acuerdo a las últimas cifras publicadas en el Centro Nacional de Certificación y Acreditación, en el Informe De La Evaluación De Control De Confianza, en las cifras correspondientes a la Entidad, se observa en el rubro de Seguridad Pública Estatal un universo evaluable de 17,548 y una plantilla activa de 17,316, dando una diferencia de 232 elementos, de </w:t>
      </w:r>
      <w:r w:rsidR="008D1960" w:rsidRPr="006D7A89">
        <w:rPr>
          <w:rFonts w:ascii="Palatino Linotype" w:hAnsi="Palatino Linotype"/>
          <w:color w:val="000000"/>
        </w:rPr>
        <w:lastRenderedPageBreak/>
        <w:t>esta diferencia cuál es motivo por el cuál</w:t>
      </w:r>
      <w:r w:rsidR="0054652D" w:rsidRPr="006D7A89">
        <w:rPr>
          <w:rFonts w:ascii="Palatino Linotype" w:hAnsi="Palatino Linotype"/>
          <w:color w:val="000000"/>
        </w:rPr>
        <w:t xml:space="preserve"> no se evalúan y que bajo </w:t>
      </w:r>
      <w:r w:rsidR="00807F40" w:rsidRPr="006D7A89">
        <w:rPr>
          <w:rFonts w:ascii="Palatino Linotype" w:hAnsi="Palatino Linotype"/>
          <w:color w:val="000000"/>
        </w:rPr>
        <w:t>qué</w:t>
      </w:r>
      <w:r w:rsidR="008D1960" w:rsidRPr="006D7A89">
        <w:rPr>
          <w:rFonts w:ascii="Palatino Linotype" w:hAnsi="Palatino Linotype"/>
          <w:color w:val="000000"/>
        </w:rPr>
        <w:t xml:space="preserve"> argumentos jurídicos justifica su portación de arma y su perma</w:t>
      </w:r>
      <w:r w:rsidR="00807F40" w:rsidRPr="006D7A89">
        <w:rPr>
          <w:rFonts w:ascii="Palatino Linotype" w:hAnsi="Palatino Linotype"/>
          <w:color w:val="000000"/>
        </w:rPr>
        <w:t>nencia dentro de la institución; ¿Qué</w:t>
      </w:r>
      <w:r w:rsidR="008D1960" w:rsidRPr="006D7A89">
        <w:rPr>
          <w:rFonts w:ascii="Palatino Linotype" w:hAnsi="Palatino Linotype"/>
          <w:color w:val="000000"/>
        </w:rPr>
        <w:t xml:space="preserve"> controles administrativos llevan en la Unidad de Estudio</w:t>
      </w:r>
      <w:r w:rsidR="00807F40" w:rsidRPr="006D7A89">
        <w:rPr>
          <w:rFonts w:ascii="Palatino Linotype" w:hAnsi="Palatino Linotype"/>
          <w:color w:val="000000"/>
        </w:rPr>
        <w:t>s</w:t>
      </w:r>
      <w:r w:rsidR="008D1960" w:rsidRPr="006D7A89">
        <w:rPr>
          <w:rFonts w:ascii="Palatino Linotype" w:hAnsi="Palatino Linotype"/>
          <w:color w:val="000000"/>
        </w:rPr>
        <w:t xml:space="preserve"> y Proyectos para identificar con nombre y apellido estos elementos faltantes</w:t>
      </w:r>
      <w:r w:rsidR="00807F40" w:rsidRPr="006D7A89">
        <w:rPr>
          <w:rFonts w:ascii="Palatino Linotype" w:hAnsi="Palatino Linotype"/>
          <w:color w:val="000000"/>
        </w:rPr>
        <w:t xml:space="preserve">?; </w:t>
      </w:r>
      <w:r w:rsidR="008D1960" w:rsidRPr="006D7A89">
        <w:rPr>
          <w:rFonts w:ascii="Palatino Linotype" w:hAnsi="Palatino Linotype"/>
          <w:color w:val="000000"/>
        </w:rPr>
        <w:t xml:space="preserve">De igual forma </w:t>
      </w:r>
      <w:r w:rsidR="00807F40" w:rsidRPr="006D7A89">
        <w:rPr>
          <w:rFonts w:ascii="Palatino Linotype" w:hAnsi="Palatino Linotype"/>
          <w:color w:val="000000"/>
        </w:rPr>
        <w:t>¿</w:t>
      </w:r>
      <w:r w:rsidR="008D1960" w:rsidRPr="006D7A89">
        <w:rPr>
          <w:rFonts w:ascii="Palatino Linotype" w:hAnsi="Palatino Linotype"/>
          <w:color w:val="000000"/>
        </w:rPr>
        <w:t>qu</w:t>
      </w:r>
      <w:r w:rsidR="00807F40" w:rsidRPr="006D7A89">
        <w:rPr>
          <w:rFonts w:ascii="Palatino Linotype" w:hAnsi="Palatino Linotype"/>
          <w:color w:val="000000"/>
        </w:rPr>
        <w:t>é</w:t>
      </w:r>
      <w:r w:rsidR="008D1960" w:rsidRPr="006D7A89">
        <w:rPr>
          <w:rFonts w:ascii="Palatino Linotype" w:hAnsi="Palatino Linotype"/>
          <w:color w:val="000000"/>
        </w:rPr>
        <w:t xml:space="preserve"> estrategia de programación y plan de trabajo cuenta la Unidad de Estudios y Proyectos Especiales para determinar el número de elementos que cada año programa ya que de acuerdo a cifras oficiales llevan desde 2018 a la fecha, tiempo en el que </w:t>
      </w:r>
      <w:r w:rsidR="00930164" w:rsidRPr="006D7A89">
        <w:rPr>
          <w:rFonts w:ascii="Palatino Linotype" w:hAnsi="Palatino Linotype"/>
          <w:color w:val="000000"/>
        </w:rPr>
        <w:t>está</w:t>
      </w:r>
      <w:r w:rsidR="008D1960" w:rsidRPr="006D7A89">
        <w:rPr>
          <w:rFonts w:ascii="Palatino Linotype" w:hAnsi="Palatino Linotype"/>
          <w:color w:val="000000"/>
        </w:rPr>
        <w:t xml:space="preserve"> al frente de dicha Unidad Gabriela Peláez Acero, programando a 5,000 elementos de manera uniforme y constante, cuando no es posible que cada año pierdan vigencia el mismo número de elementos al menos que el estado de fuerza no tenga incrementos y movimientos ? y la justificación que expone ante el Secretariado Estatal para mitigar el riesgo de que elementos sin evaluaciones de control de confianza sean los encargados de la seguridad de los mexiquenses</w:t>
      </w:r>
      <w:r w:rsidR="00BD529D" w:rsidRPr="006D7A89">
        <w:rPr>
          <w:rFonts w:ascii="Palatino Linotype" w:hAnsi="Palatino Linotype"/>
        </w:rPr>
        <w:t xml:space="preserve">” </w:t>
      </w:r>
    </w:p>
    <w:p w14:paraId="2565CAF3" w14:textId="77777777" w:rsidR="00EA10EE" w:rsidRPr="008D1960" w:rsidRDefault="00EA10EE" w:rsidP="00EA10EE">
      <w:pPr>
        <w:spacing w:line="360" w:lineRule="auto"/>
        <w:jc w:val="both"/>
        <w:rPr>
          <w:rFonts w:ascii="Palatino Linotype" w:eastAsia="Palatino Linotype" w:hAnsi="Palatino Linotype" w:cs="Palatino Linotype"/>
        </w:rPr>
      </w:pPr>
    </w:p>
    <w:p w14:paraId="5AFB7741" w14:textId="2EF39442" w:rsidR="009D0B04" w:rsidRPr="00B276C6" w:rsidRDefault="009D0B04" w:rsidP="00374B2B">
      <w:pPr>
        <w:numPr>
          <w:ilvl w:val="0"/>
          <w:numId w:val="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r w:rsidRPr="00B276C6">
        <w:rPr>
          <w:rFonts w:ascii="Palatino Linotype" w:eastAsia="Palatino Linotype" w:hAnsi="Palatino Linotype" w:cs="Palatino Linotype"/>
          <w:color w:val="000000"/>
        </w:rPr>
        <w:t>En respuest</w:t>
      </w:r>
      <w:r w:rsidR="00F55B5B" w:rsidRPr="00B276C6">
        <w:rPr>
          <w:rFonts w:ascii="Palatino Linotype" w:eastAsia="Palatino Linotype" w:hAnsi="Palatino Linotype" w:cs="Palatino Linotype"/>
          <w:color w:val="000000"/>
        </w:rPr>
        <w:t xml:space="preserve">a el Sujeto Obligado, remitió </w:t>
      </w:r>
      <w:r w:rsidRPr="00B276C6">
        <w:rPr>
          <w:rFonts w:ascii="Palatino Linotype" w:eastAsia="Palatino Linotype" w:hAnsi="Palatino Linotype" w:cs="Palatino Linotype"/>
          <w:color w:val="000000"/>
        </w:rPr>
        <w:t>l</w:t>
      </w:r>
      <w:r w:rsidR="00F55B5B" w:rsidRPr="00B276C6">
        <w:rPr>
          <w:rFonts w:ascii="Palatino Linotype" w:eastAsia="Palatino Linotype" w:hAnsi="Palatino Linotype" w:cs="Palatino Linotype"/>
          <w:color w:val="000000"/>
        </w:rPr>
        <w:t>os</w:t>
      </w:r>
      <w:r w:rsidRPr="00B276C6">
        <w:rPr>
          <w:rFonts w:ascii="Palatino Linotype" w:eastAsia="Palatino Linotype" w:hAnsi="Palatino Linotype" w:cs="Palatino Linotype"/>
          <w:color w:val="000000"/>
        </w:rPr>
        <w:t xml:space="preserve"> archivo</w:t>
      </w:r>
      <w:r w:rsidR="00F55B5B" w:rsidRPr="00B276C6">
        <w:rPr>
          <w:rFonts w:ascii="Palatino Linotype" w:eastAsia="Palatino Linotype" w:hAnsi="Palatino Linotype" w:cs="Palatino Linotype"/>
          <w:color w:val="000000"/>
        </w:rPr>
        <w:t>s</w:t>
      </w:r>
      <w:r w:rsidRPr="00B276C6">
        <w:rPr>
          <w:rFonts w:ascii="Palatino Linotype" w:eastAsia="Palatino Linotype" w:hAnsi="Palatino Linotype" w:cs="Palatino Linotype"/>
          <w:color w:val="000000"/>
        </w:rPr>
        <w:t xml:space="preserve"> ya descrito</w:t>
      </w:r>
      <w:r w:rsidR="00F55B5B" w:rsidRPr="00B276C6">
        <w:rPr>
          <w:rFonts w:ascii="Palatino Linotype" w:eastAsia="Palatino Linotype" w:hAnsi="Palatino Linotype" w:cs="Palatino Linotype"/>
          <w:color w:val="000000"/>
        </w:rPr>
        <w:t>s</w:t>
      </w:r>
      <w:r w:rsidRPr="00B276C6">
        <w:rPr>
          <w:rFonts w:ascii="Palatino Linotype" w:eastAsia="Palatino Linotype" w:hAnsi="Palatino Linotype" w:cs="Palatino Linotype"/>
          <w:color w:val="000000"/>
        </w:rPr>
        <w:t xml:space="preserve"> en el numeral 2. Inconforme con la</w:t>
      </w:r>
      <w:r w:rsidR="00846DB5">
        <w:rPr>
          <w:rFonts w:ascii="Palatino Linotype" w:eastAsia="Palatino Linotype" w:hAnsi="Palatino Linotype" w:cs="Palatino Linotype"/>
          <w:color w:val="000000"/>
        </w:rPr>
        <w:t>s</w:t>
      </w:r>
      <w:r w:rsidRPr="00B276C6">
        <w:rPr>
          <w:rFonts w:ascii="Palatino Linotype" w:eastAsia="Palatino Linotype" w:hAnsi="Palatino Linotype" w:cs="Palatino Linotype"/>
          <w:color w:val="000000"/>
        </w:rPr>
        <w:t xml:space="preserve"> respuesta</w:t>
      </w:r>
      <w:r w:rsidR="00846DB5">
        <w:rPr>
          <w:rFonts w:ascii="Palatino Linotype" w:eastAsia="Palatino Linotype" w:hAnsi="Palatino Linotype" w:cs="Palatino Linotype"/>
          <w:color w:val="000000"/>
        </w:rPr>
        <w:t>s</w:t>
      </w:r>
      <w:r w:rsidRPr="00B276C6">
        <w:rPr>
          <w:rFonts w:ascii="Palatino Linotype" w:eastAsia="Palatino Linotype" w:hAnsi="Palatino Linotype" w:cs="Palatino Linotype"/>
          <w:color w:val="000000"/>
        </w:rPr>
        <w:t>, se interpus</w:t>
      </w:r>
      <w:r w:rsidR="00846DB5">
        <w:rPr>
          <w:rFonts w:ascii="Palatino Linotype" w:eastAsia="Palatino Linotype" w:hAnsi="Palatino Linotype" w:cs="Palatino Linotype"/>
          <w:color w:val="000000"/>
        </w:rPr>
        <w:t>ieron los</w:t>
      </w:r>
      <w:r w:rsidRPr="00B276C6">
        <w:rPr>
          <w:rFonts w:ascii="Palatino Linotype" w:eastAsia="Palatino Linotype" w:hAnsi="Palatino Linotype" w:cs="Palatino Linotype"/>
          <w:color w:val="000000"/>
        </w:rPr>
        <w:t xml:space="preserve"> recurso</w:t>
      </w:r>
      <w:r w:rsidR="00846DB5">
        <w:rPr>
          <w:rFonts w:ascii="Palatino Linotype" w:eastAsia="Palatino Linotype" w:hAnsi="Palatino Linotype" w:cs="Palatino Linotype"/>
          <w:color w:val="000000"/>
        </w:rPr>
        <w:t>s</w:t>
      </w:r>
      <w:r w:rsidRPr="00B276C6">
        <w:rPr>
          <w:rFonts w:ascii="Palatino Linotype" w:eastAsia="Palatino Linotype" w:hAnsi="Palatino Linotype" w:cs="Palatino Linotype"/>
          <w:color w:val="000000"/>
        </w:rPr>
        <w:t xml:space="preserve"> de revisión argumentando sustancialmente </w:t>
      </w:r>
      <w:r w:rsidR="00684FC8" w:rsidRPr="00B276C6">
        <w:rPr>
          <w:rFonts w:ascii="Palatino Linotype" w:eastAsia="Palatino Linotype" w:hAnsi="Palatino Linotype" w:cs="Palatino Linotype"/>
          <w:color w:val="000000"/>
        </w:rPr>
        <w:t>la respuesta otorgada, refiriendo que</w:t>
      </w:r>
      <w:r w:rsidR="00846DB5">
        <w:rPr>
          <w:rFonts w:ascii="Palatino Linotype" w:eastAsia="Palatino Linotype" w:hAnsi="Palatino Linotype" w:cs="Palatino Linotype"/>
          <w:color w:val="000000"/>
        </w:rPr>
        <w:t>:</w:t>
      </w:r>
      <w:r w:rsidR="00684FC8" w:rsidRPr="00B276C6">
        <w:rPr>
          <w:rFonts w:ascii="Palatino Linotype" w:eastAsia="Palatino Linotype" w:hAnsi="Palatino Linotype" w:cs="Palatino Linotype"/>
          <w:color w:val="000000"/>
        </w:rPr>
        <w:t xml:space="preserve"> </w:t>
      </w:r>
      <w:r w:rsidR="00846DB5">
        <w:rPr>
          <w:rFonts w:ascii="Palatino Linotype" w:eastAsia="Palatino Linotype" w:hAnsi="Palatino Linotype" w:cs="Palatino Linotype"/>
          <w:color w:val="000000"/>
        </w:rPr>
        <w:t>falta información y precisión en la misma; que la información otorgada no corresponde a lo solicitado</w:t>
      </w:r>
      <w:r w:rsidRPr="00B276C6">
        <w:rPr>
          <w:rFonts w:ascii="Palatino Linotype" w:eastAsia="Palatino Linotype" w:hAnsi="Palatino Linotype" w:cs="Palatino Linotype"/>
        </w:rPr>
        <w:t>.</w:t>
      </w:r>
    </w:p>
    <w:p w14:paraId="7C1AEF72" w14:textId="77777777" w:rsidR="00DF36D9" w:rsidRPr="00B276C6" w:rsidRDefault="00DF36D9" w:rsidP="00DF36D9">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14:paraId="3060EBC4" w14:textId="50F35C87" w:rsidR="009D0B04" w:rsidRPr="00B276C6" w:rsidRDefault="009D0B04" w:rsidP="00374B2B">
      <w:pPr>
        <w:numPr>
          <w:ilvl w:val="0"/>
          <w:numId w:val="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r w:rsidRPr="00B276C6">
        <w:rPr>
          <w:rFonts w:ascii="Palatino Linotype" w:eastAsia="Palatino Linotype" w:hAnsi="Palatino Linotype" w:cs="Palatino Linotype"/>
        </w:rPr>
        <w:t xml:space="preserve">En dichas condiciones, la controversia a resolver en el presente proveído, corresponde a determinar si se actualiza la causal de procedencia prevista en el artículo </w:t>
      </w:r>
      <w:r w:rsidRPr="00B276C6">
        <w:rPr>
          <w:rFonts w:ascii="Palatino Linotype" w:eastAsia="Palatino Linotype" w:hAnsi="Palatino Linotype" w:cs="Palatino Linotype"/>
        </w:rPr>
        <w:lastRenderedPageBreak/>
        <w:t xml:space="preserve">179, fracción </w:t>
      </w:r>
      <w:r w:rsidR="00E34E68" w:rsidRPr="00B276C6">
        <w:rPr>
          <w:rFonts w:ascii="Palatino Linotype" w:eastAsia="Palatino Linotype" w:hAnsi="Palatino Linotype" w:cs="Palatino Linotype"/>
        </w:rPr>
        <w:t>V</w:t>
      </w:r>
      <w:r w:rsidR="008000DA">
        <w:rPr>
          <w:rFonts w:ascii="Palatino Linotype" w:eastAsia="Palatino Linotype" w:hAnsi="Palatino Linotype" w:cs="Palatino Linotype"/>
        </w:rPr>
        <w:t xml:space="preserve"> y </w:t>
      </w:r>
      <w:r w:rsidR="00E34E68" w:rsidRPr="00B276C6">
        <w:rPr>
          <w:rFonts w:ascii="Palatino Linotype" w:eastAsia="Palatino Linotype" w:hAnsi="Palatino Linotype" w:cs="Palatino Linotype"/>
        </w:rPr>
        <w:t xml:space="preserve">VI </w:t>
      </w:r>
      <w:r w:rsidRPr="00B276C6">
        <w:rPr>
          <w:rFonts w:ascii="Palatino Linotype" w:eastAsia="Palatino Linotype" w:hAnsi="Palatino Linotype" w:cs="Palatino Linotype"/>
        </w:rPr>
        <w:t>de la Ley de Transparencia y Acceso a la Información Pública del Estado de México y Municipios; fracci</w:t>
      </w:r>
      <w:r w:rsidR="00E34E68" w:rsidRPr="00B276C6">
        <w:rPr>
          <w:rFonts w:ascii="Palatino Linotype" w:eastAsia="Palatino Linotype" w:hAnsi="Palatino Linotype" w:cs="Palatino Linotype"/>
        </w:rPr>
        <w:t>o</w:t>
      </w:r>
      <w:r w:rsidRPr="00B276C6">
        <w:rPr>
          <w:rFonts w:ascii="Palatino Linotype" w:eastAsia="Palatino Linotype" w:hAnsi="Palatino Linotype" w:cs="Palatino Linotype"/>
        </w:rPr>
        <w:t>n</w:t>
      </w:r>
      <w:r w:rsidR="00E34E68" w:rsidRPr="00B276C6">
        <w:rPr>
          <w:rFonts w:ascii="Palatino Linotype" w:eastAsia="Palatino Linotype" w:hAnsi="Palatino Linotype" w:cs="Palatino Linotype"/>
        </w:rPr>
        <w:t>es</w:t>
      </w:r>
      <w:r w:rsidRPr="00B276C6">
        <w:rPr>
          <w:rFonts w:ascii="Palatino Linotype" w:eastAsia="Palatino Linotype" w:hAnsi="Palatino Linotype" w:cs="Palatino Linotype"/>
        </w:rPr>
        <w:t xml:space="preserve"> que determina</w:t>
      </w:r>
      <w:r w:rsidR="00E34E68" w:rsidRPr="00B276C6">
        <w:rPr>
          <w:rFonts w:ascii="Palatino Linotype" w:eastAsia="Palatino Linotype" w:hAnsi="Palatino Linotype" w:cs="Palatino Linotype"/>
        </w:rPr>
        <w:t>n</w:t>
      </w:r>
      <w:r w:rsidRPr="00B276C6">
        <w:rPr>
          <w:rFonts w:ascii="Palatino Linotype" w:eastAsia="Palatino Linotype" w:hAnsi="Palatino Linotype" w:cs="Palatino Linotype"/>
        </w:rPr>
        <w:t xml:space="preserve"> la </w:t>
      </w:r>
      <w:r w:rsidR="00E34E68" w:rsidRPr="00B276C6">
        <w:rPr>
          <w:rFonts w:ascii="Palatino Linotype" w:eastAsia="Palatino Linotype" w:hAnsi="Palatino Linotype" w:cs="Palatino Linotype"/>
        </w:rPr>
        <w:t>entrega de la información incompleta, la entrega de información que no corresponda a lo solicitado</w:t>
      </w:r>
      <w:r w:rsidR="0014512B">
        <w:rPr>
          <w:rFonts w:ascii="Palatino Linotype" w:eastAsia="Palatino Linotype" w:hAnsi="Palatino Linotype" w:cs="Palatino Linotype"/>
        </w:rPr>
        <w:t>.</w:t>
      </w:r>
      <w:r w:rsidRPr="00B276C6">
        <w:rPr>
          <w:rFonts w:ascii="Palatino Linotype" w:eastAsia="Palatino Linotype" w:hAnsi="Palatino Linotype" w:cs="Palatino Linotype"/>
        </w:rPr>
        <w:t xml:space="preserve"> De modo tal que el presente recurso de revisión se abocara a determinar si el Sujeto Obligado con su respuesta ciertamente actualiza la</w:t>
      </w:r>
      <w:r w:rsidR="000A5685">
        <w:rPr>
          <w:rFonts w:ascii="Palatino Linotype" w:eastAsia="Palatino Linotype" w:hAnsi="Palatino Linotype" w:cs="Palatino Linotype"/>
        </w:rPr>
        <w:t>s</w:t>
      </w:r>
      <w:r w:rsidRPr="00B276C6">
        <w:rPr>
          <w:rFonts w:ascii="Palatino Linotype" w:eastAsia="Palatino Linotype" w:hAnsi="Palatino Linotype" w:cs="Palatino Linotype"/>
        </w:rPr>
        <w:t xml:space="preserve"> causal</w:t>
      </w:r>
      <w:r w:rsidR="000A5685">
        <w:rPr>
          <w:rFonts w:ascii="Palatino Linotype" w:eastAsia="Palatino Linotype" w:hAnsi="Palatino Linotype" w:cs="Palatino Linotype"/>
        </w:rPr>
        <w:t>es</w:t>
      </w:r>
      <w:r w:rsidRPr="00B276C6">
        <w:rPr>
          <w:rFonts w:ascii="Palatino Linotype" w:eastAsia="Palatino Linotype" w:hAnsi="Palatino Linotype" w:cs="Palatino Linotype"/>
        </w:rPr>
        <w:t xml:space="preserve"> de procedencia señalada</w:t>
      </w:r>
      <w:r w:rsidR="000A5685">
        <w:rPr>
          <w:rFonts w:ascii="Palatino Linotype" w:eastAsia="Palatino Linotype" w:hAnsi="Palatino Linotype" w:cs="Palatino Linotype"/>
        </w:rPr>
        <w:t>s</w:t>
      </w:r>
      <w:r w:rsidRPr="00B276C6">
        <w:rPr>
          <w:rFonts w:ascii="Palatino Linotype" w:eastAsia="Palatino Linotype" w:hAnsi="Palatino Linotype" w:cs="Palatino Linotype"/>
        </w:rPr>
        <w:t>.</w:t>
      </w:r>
    </w:p>
    <w:p w14:paraId="114181B7" w14:textId="77777777" w:rsidR="009D0B04" w:rsidRPr="00B276C6" w:rsidRDefault="009D0B04" w:rsidP="009D0B04">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2"/>
          <w:szCs w:val="22"/>
        </w:rPr>
      </w:pPr>
    </w:p>
    <w:p w14:paraId="191A1636" w14:textId="77777777" w:rsidR="009D0B04" w:rsidRPr="00B276C6" w:rsidRDefault="009D0B04" w:rsidP="009D0B04">
      <w:pPr>
        <w:pStyle w:val="Ttulo1"/>
        <w:spacing w:before="0" w:after="0" w:line="360" w:lineRule="auto"/>
        <w:ind w:right="1"/>
        <w:rPr>
          <w:rFonts w:ascii="Palatino Linotype" w:eastAsia="Palatino Linotype" w:hAnsi="Palatino Linotype" w:cs="Palatino Linotype"/>
          <w:color w:val="000000"/>
          <w:sz w:val="24"/>
          <w:szCs w:val="24"/>
        </w:rPr>
      </w:pPr>
      <w:r w:rsidRPr="00B276C6">
        <w:rPr>
          <w:rFonts w:ascii="Palatino Linotype" w:eastAsia="Palatino Linotype" w:hAnsi="Palatino Linotype" w:cs="Palatino Linotype"/>
          <w:color w:val="000000"/>
          <w:sz w:val="24"/>
          <w:szCs w:val="24"/>
        </w:rPr>
        <w:t>CUARTA. Estudio de la controversia.</w:t>
      </w:r>
    </w:p>
    <w:p w14:paraId="1C8990C8" w14:textId="4D28220A" w:rsidR="00920440" w:rsidRPr="003A0B87" w:rsidRDefault="00B75DA0" w:rsidP="00374B2B">
      <w:pPr>
        <w:pStyle w:val="Prrafodelista"/>
        <w:numPr>
          <w:ilvl w:val="0"/>
          <w:numId w:val="2"/>
        </w:numPr>
        <w:pBdr>
          <w:top w:val="nil"/>
          <w:left w:val="nil"/>
          <w:bottom w:val="nil"/>
          <w:right w:val="nil"/>
          <w:between w:val="nil"/>
        </w:pBdr>
        <w:spacing w:before="240" w:after="240" w:line="360" w:lineRule="auto"/>
        <w:ind w:left="0" w:firstLine="0"/>
        <w:jc w:val="both"/>
      </w:pPr>
      <w:r w:rsidRPr="00B75DA0">
        <w:rPr>
          <w:rFonts w:ascii="Palatino Linotype" w:eastAsia="Palatino Linotype" w:hAnsi="Palatino Linotype" w:cs="Palatino Linotype"/>
        </w:rPr>
        <w:t xml:space="preserve">Antes de entrar al análisis de los pronunciamientos del </w:t>
      </w:r>
      <w:r w:rsidRPr="00B75DA0">
        <w:rPr>
          <w:rFonts w:ascii="Palatino Linotype" w:eastAsia="Palatino Linotype" w:hAnsi="Palatino Linotype" w:cs="Palatino Linotype"/>
          <w:b/>
        </w:rPr>
        <w:t>Sujeto Obligado</w:t>
      </w:r>
      <w:r w:rsidRPr="00B75DA0">
        <w:rPr>
          <w:rFonts w:ascii="Palatino Linotype" w:eastAsia="Palatino Linotype" w:hAnsi="Palatino Linotype" w:cs="Palatino Linotype"/>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w:t>
      </w:r>
      <w:r w:rsidR="00920440">
        <w:rPr>
          <w:rFonts w:ascii="Palatino Linotype" w:eastAsia="Palatino Linotype" w:hAnsi="Palatino Linotype" w:cs="Palatino Linotype"/>
        </w:rPr>
        <w:t xml:space="preserve">. </w:t>
      </w:r>
    </w:p>
    <w:p w14:paraId="6CBA5ED4" w14:textId="77777777" w:rsidR="003A0B87" w:rsidRPr="00845D9F" w:rsidRDefault="003A0B87" w:rsidP="003A0B87">
      <w:pPr>
        <w:pStyle w:val="Prrafodelista"/>
        <w:pBdr>
          <w:top w:val="nil"/>
          <w:left w:val="nil"/>
          <w:bottom w:val="nil"/>
          <w:right w:val="nil"/>
          <w:between w:val="nil"/>
        </w:pBdr>
        <w:spacing w:before="240" w:after="240" w:line="360" w:lineRule="auto"/>
        <w:ind w:left="0"/>
        <w:jc w:val="both"/>
      </w:pPr>
    </w:p>
    <w:p w14:paraId="0047E22F" w14:textId="76C13A71" w:rsidR="00B75DA0" w:rsidRPr="00BA0E73" w:rsidRDefault="00B75DA0" w:rsidP="00374B2B">
      <w:pPr>
        <w:pStyle w:val="Prrafodelista"/>
        <w:numPr>
          <w:ilvl w:val="0"/>
          <w:numId w:val="2"/>
        </w:numPr>
        <w:pBdr>
          <w:top w:val="nil"/>
          <w:left w:val="nil"/>
          <w:bottom w:val="nil"/>
          <w:right w:val="nil"/>
          <w:between w:val="nil"/>
        </w:pBdr>
        <w:spacing w:line="360" w:lineRule="auto"/>
        <w:ind w:left="0" w:firstLine="0"/>
        <w:jc w:val="both"/>
      </w:pPr>
      <w:r w:rsidRPr="00920440">
        <w:rPr>
          <w:rFonts w:ascii="Palatino Linotype" w:eastAsia="Palatino Linotype" w:hAnsi="Palatino Linotype" w:cs="Palatino Linotype"/>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w:t>
      </w:r>
      <w:r w:rsidRPr="00920440">
        <w:rPr>
          <w:rFonts w:ascii="Palatino Linotype" w:eastAsia="Palatino Linotype" w:hAnsi="Palatino Linotype" w:cs="Palatino Linotype"/>
        </w:rPr>
        <w:lastRenderedPageBreak/>
        <w:t>pública y accesible, de manera permanente a cualquier persona, privilegiando el principio de máxima publicidad, como así lo establece dicha determinación</w:t>
      </w:r>
      <w:r w:rsidR="00F65621" w:rsidRPr="00920440">
        <w:rPr>
          <w:rFonts w:ascii="Palatino Linotype" w:eastAsia="Palatino Linotype" w:hAnsi="Palatino Linotype" w:cs="Palatino Linotype"/>
        </w:rPr>
        <w:t>.</w:t>
      </w:r>
    </w:p>
    <w:p w14:paraId="00D6CDFB" w14:textId="77777777" w:rsidR="00BA0E73" w:rsidRDefault="00BA0E73" w:rsidP="00BA0E73">
      <w:pPr>
        <w:pStyle w:val="Prrafodelista"/>
      </w:pPr>
    </w:p>
    <w:p w14:paraId="570CFAFB" w14:textId="172635E9" w:rsidR="00B75DA0" w:rsidRPr="002A4061" w:rsidRDefault="00B75DA0" w:rsidP="00374B2B">
      <w:pPr>
        <w:pStyle w:val="Prrafodelista"/>
        <w:numPr>
          <w:ilvl w:val="0"/>
          <w:numId w:val="2"/>
        </w:numPr>
        <w:pBdr>
          <w:top w:val="nil"/>
          <w:left w:val="nil"/>
          <w:bottom w:val="nil"/>
          <w:right w:val="nil"/>
          <w:between w:val="nil"/>
        </w:pBdr>
        <w:spacing w:line="360" w:lineRule="auto"/>
        <w:ind w:left="0" w:firstLine="0"/>
        <w:jc w:val="both"/>
      </w:pPr>
      <w:r w:rsidRPr="00BA0E73">
        <w:rPr>
          <w:rFonts w:ascii="Palatino Linotype" w:eastAsia="Palatino Linotype" w:hAnsi="Palatino Linotype" w:cs="Palatino Linotype"/>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w:t>
      </w:r>
      <w:r w:rsidR="00F65621" w:rsidRPr="00BA0E73">
        <w:rPr>
          <w:rFonts w:ascii="Palatino Linotype" w:eastAsia="Palatino Linotype" w:hAnsi="Palatino Linotype" w:cs="Palatino Linotype"/>
        </w:rPr>
        <w:t>.</w:t>
      </w:r>
      <w:r w:rsidRPr="00BA0E73">
        <w:rPr>
          <w:rFonts w:ascii="Palatino Linotype" w:eastAsia="Palatino Linotype" w:hAnsi="Palatino Linotype" w:cs="Palatino Linotype"/>
          <w:i/>
          <w:sz w:val="22"/>
          <w:szCs w:val="22"/>
        </w:rPr>
        <w:t xml:space="preserve"> </w:t>
      </w:r>
    </w:p>
    <w:p w14:paraId="4754E8DE" w14:textId="77777777" w:rsidR="002A4061" w:rsidRDefault="002A4061" w:rsidP="002A4061">
      <w:pPr>
        <w:pStyle w:val="Prrafodelista"/>
      </w:pPr>
    </w:p>
    <w:p w14:paraId="72A3FC70" w14:textId="2AB50437" w:rsidR="00B75DA0" w:rsidRPr="004B3277" w:rsidRDefault="00B75DA0" w:rsidP="00374B2B">
      <w:pPr>
        <w:pStyle w:val="Prrafodelista"/>
        <w:numPr>
          <w:ilvl w:val="0"/>
          <w:numId w:val="2"/>
        </w:numPr>
        <w:pBdr>
          <w:top w:val="nil"/>
          <w:left w:val="nil"/>
          <w:bottom w:val="nil"/>
          <w:right w:val="nil"/>
          <w:between w:val="nil"/>
        </w:pBdr>
        <w:spacing w:line="360" w:lineRule="auto"/>
        <w:ind w:left="0" w:firstLine="0"/>
        <w:jc w:val="both"/>
      </w:pPr>
      <w:r w:rsidRPr="002A4061">
        <w:rPr>
          <w:rFonts w:ascii="Palatino Linotype" w:eastAsia="Palatino Linotype" w:hAnsi="Palatino Linotype" w:cs="Palatino Linotype"/>
        </w:rPr>
        <w:t>Es decir, que el derecho de acceso a la información pública se satisface en aquellos casos en que se entregue documento en que conste la información requerida, toda vez que, los Sujetos Obligados</w:t>
      </w:r>
      <w:r w:rsidRPr="002A4061">
        <w:rPr>
          <w:rFonts w:ascii="Palatino Linotype" w:eastAsia="Palatino Linotype" w:hAnsi="Palatino Linotype" w:cs="Palatino Linotype"/>
          <w:b/>
        </w:rPr>
        <w:t xml:space="preserve"> </w:t>
      </w:r>
      <w:r w:rsidRPr="002A4061">
        <w:rPr>
          <w:rFonts w:ascii="Palatino Linotype" w:eastAsia="Palatino Linotype" w:hAnsi="Palatino Linotype" w:cs="Palatino Linotype"/>
        </w:rPr>
        <w:t xml:space="preserve">no tienen el deber de generar, poseer o administrar la información pública con el grado de detalle solicitado; esto es, que no tienen el deber de generar un documento </w:t>
      </w:r>
      <w:r w:rsidRPr="002A4061">
        <w:rPr>
          <w:rFonts w:ascii="Palatino Linotype" w:eastAsia="Palatino Linotype" w:hAnsi="Palatino Linotype" w:cs="Palatino Linotype"/>
          <w:i/>
        </w:rPr>
        <w:t>ad hoc</w:t>
      </w:r>
      <w:r w:rsidRPr="002A4061">
        <w:rPr>
          <w:rFonts w:ascii="Palatino Linotype" w:eastAsia="Palatino Linotype" w:hAnsi="Palatino Linotype" w:cs="Palatino Linotype"/>
        </w:rPr>
        <w:t>, para satisfacer el derecho de acceso a la información pública, como así</w:t>
      </w:r>
      <w:r w:rsidR="002A4061" w:rsidRPr="002A4061">
        <w:rPr>
          <w:rFonts w:ascii="Palatino Linotype" w:eastAsia="Palatino Linotype" w:hAnsi="Palatino Linotype" w:cs="Palatino Linotype"/>
        </w:rPr>
        <w:t xml:space="preserve"> </w:t>
      </w:r>
      <w:r w:rsidRPr="002A4061">
        <w:rPr>
          <w:rFonts w:ascii="Palatino Linotype" w:eastAsia="Palatino Linotype" w:hAnsi="Palatino Linotype" w:cs="Palatino Linotype"/>
        </w:rPr>
        <w:t>lo establece el criterio 03/17 emitido por el Instituto Nacional de Transparencia, Acceso a la Información Pública y Protección de Datos Personales</w:t>
      </w:r>
      <w:r w:rsidR="00834F72" w:rsidRPr="002A4061">
        <w:rPr>
          <w:rFonts w:ascii="Palatino Linotype" w:eastAsia="Palatino Linotype" w:hAnsi="Palatino Linotype" w:cs="Palatino Linotype"/>
        </w:rPr>
        <w:t xml:space="preserve">. </w:t>
      </w:r>
    </w:p>
    <w:p w14:paraId="72E1715F" w14:textId="77777777" w:rsidR="004B3277" w:rsidRDefault="004B3277" w:rsidP="004B3277">
      <w:pPr>
        <w:pStyle w:val="Prrafodelista"/>
      </w:pPr>
    </w:p>
    <w:p w14:paraId="18185B1D" w14:textId="13DD9D49" w:rsidR="00B75DA0" w:rsidRPr="00821824" w:rsidRDefault="00B75DA0" w:rsidP="00374B2B">
      <w:pPr>
        <w:pStyle w:val="Prrafodelista"/>
        <w:numPr>
          <w:ilvl w:val="0"/>
          <w:numId w:val="2"/>
        </w:numPr>
        <w:pBdr>
          <w:top w:val="nil"/>
          <w:left w:val="nil"/>
          <w:bottom w:val="nil"/>
          <w:right w:val="nil"/>
          <w:between w:val="nil"/>
        </w:pBdr>
        <w:spacing w:line="360" w:lineRule="auto"/>
        <w:ind w:left="0" w:firstLine="0"/>
        <w:jc w:val="both"/>
      </w:pPr>
      <w:r w:rsidRPr="004B3277">
        <w:rPr>
          <w:rFonts w:ascii="Palatino Linotype" w:eastAsia="Palatino Linotype" w:hAnsi="Palatino Linotype" w:cs="Palatino Linotype"/>
        </w:rPr>
        <w:t xml:space="preserve">Por otra parte, y aunado a lo antepuesto, el último la materia, dispone que los Sujetos Obligados sólo proporcionarán la información pública que generen, administren o posean en el ejercicio de sus atribuciones; por consiguiente, la información pública se encuentra a disposición de cualquier persona, lo que implica </w:t>
      </w:r>
      <w:r w:rsidRPr="004B3277">
        <w:rPr>
          <w:rFonts w:ascii="Palatino Linotype" w:eastAsia="Palatino Linotype" w:hAnsi="Palatino Linotype" w:cs="Palatino Linotype"/>
        </w:rPr>
        <w:lastRenderedPageBreak/>
        <w:t>que es deber de los Sujetos Obligados, garantizar el Derecho de Acceso a la Información Pública.</w:t>
      </w:r>
    </w:p>
    <w:p w14:paraId="40E94039" w14:textId="77777777" w:rsidR="00821824" w:rsidRDefault="00821824" w:rsidP="00821824">
      <w:pPr>
        <w:pStyle w:val="Prrafodelista"/>
      </w:pPr>
    </w:p>
    <w:p w14:paraId="796C2CD7" w14:textId="7BDA4EF3" w:rsidR="00B75DA0" w:rsidRPr="00C03D32" w:rsidRDefault="00B75DA0" w:rsidP="00374B2B">
      <w:pPr>
        <w:pStyle w:val="Prrafodelista"/>
        <w:numPr>
          <w:ilvl w:val="0"/>
          <w:numId w:val="2"/>
        </w:numPr>
        <w:pBdr>
          <w:top w:val="nil"/>
          <w:left w:val="nil"/>
          <w:bottom w:val="nil"/>
          <w:right w:val="nil"/>
          <w:between w:val="nil"/>
        </w:pBdr>
        <w:spacing w:line="360" w:lineRule="auto"/>
        <w:ind w:left="0" w:right="49" w:firstLine="0"/>
        <w:jc w:val="both"/>
      </w:pPr>
      <w:r w:rsidRPr="00821824">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BC3A883" w14:textId="77777777" w:rsidR="00C03D32" w:rsidRDefault="00C03D32" w:rsidP="00C03D32">
      <w:pPr>
        <w:pStyle w:val="Prrafodelista"/>
      </w:pPr>
    </w:p>
    <w:p w14:paraId="13DCCAF9" w14:textId="1A724842" w:rsidR="00B75DA0" w:rsidRPr="00484EFA" w:rsidRDefault="00B75DA0" w:rsidP="00374B2B">
      <w:pPr>
        <w:pStyle w:val="Prrafodelista"/>
        <w:numPr>
          <w:ilvl w:val="0"/>
          <w:numId w:val="2"/>
        </w:numPr>
        <w:pBdr>
          <w:top w:val="nil"/>
          <w:left w:val="nil"/>
          <w:bottom w:val="nil"/>
          <w:right w:val="nil"/>
          <w:between w:val="nil"/>
        </w:pBdr>
        <w:spacing w:line="360" w:lineRule="auto"/>
        <w:ind w:left="0" w:right="49" w:firstLine="0"/>
        <w:jc w:val="both"/>
      </w:pPr>
      <w:r w:rsidRPr="00C03D32">
        <w:rPr>
          <w:rFonts w:ascii="Palatino Linotype" w:eastAsia="Palatino Linotype" w:hAnsi="Palatino Linotype" w:cs="Palatino Linotype"/>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w:t>
      </w:r>
      <w:r w:rsidR="000E68DE" w:rsidRPr="00C03D32">
        <w:rPr>
          <w:rFonts w:ascii="Palatino Linotype" w:eastAsia="Palatino Linotype" w:hAnsi="Palatino Linotype" w:cs="Palatino Linotype"/>
        </w:rPr>
        <w:t xml:space="preserve">. </w:t>
      </w:r>
    </w:p>
    <w:p w14:paraId="5F2D209C" w14:textId="77777777" w:rsidR="00484EFA" w:rsidRDefault="00484EFA" w:rsidP="00484EFA">
      <w:pPr>
        <w:pStyle w:val="Prrafodelista"/>
      </w:pPr>
    </w:p>
    <w:p w14:paraId="0EC54730" w14:textId="0B149F7B" w:rsidR="00B75DA0" w:rsidRPr="002A6F5B" w:rsidRDefault="00B75DA0" w:rsidP="00374B2B">
      <w:pPr>
        <w:pStyle w:val="Prrafodelista"/>
        <w:numPr>
          <w:ilvl w:val="0"/>
          <w:numId w:val="2"/>
        </w:numPr>
        <w:pBdr>
          <w:top w:val="nil"/>
          <w:left w:val="nil"/>
          <w:bottom w:val="nil"/>
          <w:right w:val="nil"/>
          <w:between w:val="nil"/>
        </w:pBdr>
        <w:spacing w:line="360" w:lineRule="auto"/>
        <w:ind w:left="0" w:right="49" w:firstLine="0"/>
        <w:jc w:val="both"/>
      </w:pPr>
      <w:r w:rsidRPr="00484EFA">
        <w:rPr>
          <w:rFonts w:ascii="Palatino Linotype" w:eastAsia="Palatino Linotype" w:hAnsi="Palatino Linotype" w:cs="Palatino Linotype"/>
        </w:rPr>
        <w:t xml:space="preserve">Siendo aplicable, el Criterio de interpretación en el orden administrativo número 0002-11, emitido por Acuerdo del Pleno del Instituto de Transparencia y Acceso a la Información Pública del Estado de México y Municipios; publicado en el </w:t>
      </w:r>
      <w:r w:rsidRPr="00484EFA">
        <w:rPr>
          <w:rFonts w:ascii="Palatino Linotype" w:eastAsia="Palatino Linotype" w:hAnsi="Palatino Linotype" w:cs="Palatino Linotype"/>
        </w:rPr>
        <w:lastRenderedPageBreak/>
        <w:t>Periódico Oficial del Gobierno del Estado Libre y Soberano de México “Gaceta del Gobierno”, el diecinueve de octubre de dos mil once</w:t>
      </w:r>
      <w:r w:rsidR="000E68DE" w:rsidRPr="00484EFA">
        <w:rPr>
          <w:rFonts w:ascii="Palatino Linotype" w:eastAsia="Palatino Linotype" w:hAnsi="Palatino Linotype" w:cs="Palatino Linotype"/>
        </w:rPr>
        <w:t xml:space="preserve">. </w:t>
      </w:r>
    </w:p>
    <w:p w14:paraId="0AA7912D" w14:textId="77777777" w:rsidR="002A6F5B" w:rsidRDefault="002A6F5B" w:rsidP="002A6F5B">
      <w:pPr>
        <w:pStyle w:val="Prrafodelista"/>
      </w:pPr>
    </w:p>
    <w:p w14:paraId="4148BBD4" w14:textId="6145AA9D" w:rsidR="00B75DA0" w:rsidRPr="00CB17EF" w:rsidRDefault="00B75DA0" w:rsidP="00374B2B">
      <w:pPr>
        <w:pStyle w:val="Prrafodelista"/>
        <w:numPr>
          <w:ilvl w:val="0"/>
          <w:numId w:val="2"/>
        </w:numPr>
        <w:pBdr>
          <w:top w:val="nil"/>
          <w:left w:val="nil"/>
          <w:bottom w:val="nil"/>
          <w:right w:val="nil"/>
          <w:between w:val="nil"/>
        </w:pBdr>
        <w:spacing w:line="360" w:lineRule="auto"/>
        <w:ind w:left="0" w:right="49" w:firstLine="0"/>
        <w:jc w:val="both"/>
      </w:pPr>
      <w:r w:rsidRPr="002A6F5B">
        <w:rPr>
          <w:rFonts w:ascii="Palatino Linotype" w:eastAsia="Palatino Linotype" w:hAnsi="Palatino Linotype" w:cs="Palatino Linotype"/>
        </w:rPr>
        <w:t xml:space="preserve">De ahí que el </w:t>
      </w:r>
      <w:r w:rsidRPr="002A6F5B">
        <w:rPr>
          <w:rFonts w:ascii="Palatino Linotype" w:eastAsia="Palatino Linotype" w:hAnsi="Palatino Linotype" w:cs="Palatino Linotype"/>
          <w:b/>
        </w:rPr>
        <w:t>Sujeto Obligado</w:t>
      </w:r>
      <w:r w:rsidRPr="002A6F5B">
        <w:rPr>
          <w:rFonts w:ascii="Palatino Linotype" w:eastAsia="Palatino Linotype" w:hAnsi="Palatino Linotype" w:cs="Palatino Linotype"/>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56E0A552" w14:textId="77777777" w:rsidR="00CB17EF" w:rsidRDefault="00CB17EF" w:rsidP="00CB17EF">
      <w:pPr>
        <w:pStyle w:val="Prrafodelista"/>
      </w:pPr>
    </w:p>
    <w:p w14:paraId="6A80DF4B" w14:textId="25796ACE" w:rsidR="009B64CA" w:rsidRPr="001348FF" w:rsidRDefault="00B75DA0" w:rsidP="00374B2B">
      <w:pPr>
        <w:pStyle w:val="Prrafodelista"/>
        <w:numPr>
          <w:ilvl w:val="0"/>
          <w:numId w:val="2"/>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8811CF">
        <w:rPr>
          <w:rFonts w:ascii="Palatino Linotype" w:eastAsia="Palatino Linotype" w:hAnsi="Palatino Linotype" w:cs="Palatino Linotype"/>
        </w:rPr>
        <w:t xml:space="preserve">Ahora bien, para profundizar en el estudio del presente asunto, es conveniente recordar que la parte solicitante requirió al </w:t>
      </w:r>
      <w:r w:rsidRPr="008811CF">
        <w:rPr>
          <w:rFonts w:ascii="Palatino Linotype" w:eastAsia="Palatino Linotype" w:hAnsi="Palatino Linotype" w:cs="Palatino Linotype"/>
          <w:b/>
        </w:rPr>
        <w:t>Sujeto Obligado</w:t>
      </w:r>
      <w:r w:rsidRPr="008811CF">
        <w:rPr>
          <w:rFonts w:ascii="Palatino Linotype" w:eastAsia="Palatino Linotype" w:hAnsi="Palatino Linotype" w:cs="Palatino Linotype"/>
        </w:rPr>
        <w:t>, le proporcionara lo siguiente:</w:t>
      </w:r>
      <w:r w:rsidR="008811CF">
        <w:rPr>
          <w:rFonts w:ascii="Palatino Linotype" w:eastAsia="Palatino Linotype" w:hAnsi="Palatino Linotype" w:cs="Palatino Linotype"/>
        </w:rPr>
        <w:t xml:space="preserve"> </w:t>
      </w:r>
      <w:r w:rsidR="000E68DE" w:rsidRPr="008811CF">
        <w:rPr>
          <w:rFonts w:ascii="Palatino Linotype" w:eastAsia="Palatino Linotype" w:hAnsi="Palatino Linotype" w:cs="Palatino Linotype"/>
          <w:lang w:val="es-ES"/>
        </w:rPr>
        <w:t xml:space="preserve">saber cuántos elementos de la Secretaría de Seguridad pierden vigencia  en el presente año para licencia de portación de arma y cuántos pierden vigencia en el certificado único policial, cuántos están considerados en ambos rubros?, ¿cuántas evaluaciones de control de confianza por permanencia se encuentran consideradas para este año?, ¿cuántos elementos en el ejercicio 2022 fueron aprobados con restricciones y qué porcentaje ya cumplió con la </w:t>
      </w:r>
      <w:proofErr w:type="spellStart"/>
      <w:r w:rsidR="000E68DE" w:rsidRPr="008811CF">
        <w:rPr>
          <w:rFonts w:ascii="Palatino Linotype" w:eastAsia="Palatino Linotype" w:hAnsi="Palatino Linotype" w:cs="Palatino Linotype"/>
          <w:lang w:val="es-ES"/>
        </w:rPr>
        <w:t>solventación</w:t>
      </w:r>
      <w:proofErr w:type="spellEnd"/>
      <w:r w:rsidR="000E68DE" w:rsidRPr="008811CF">
        <w:rPr>
          <w:rFonts w:ascii="Palatino Linotype" w:eastAsia="Palatino Linotype" w:hAnsi="Palatino Linotype" w:cs="Palatino Linotype"/>
          <w:lang w:val="es-ES"/>
        </w:rPr>
        <w:t xml:space="preserve">?; ¿por qué no hay avance y seguimiento al porcentaje publicado en el Centro Nacional de Certificación y Acreditación de elementos no aprobados en control de confianza? ¿Qué seguimiento </w:t>
      </w:r>
      <w:r w:rsidR="000E68DE" w:rsidRPr="008811CF">
        <w:rPr>
          <w:rFonts w:ascii="Palatino Linotype" w:eastAsia="Palatino Linotype" w:hAnsi="Palatino Linotype" w:cs="Palatino Linotype"/>
          <w:lang w:val="es-ES"/>
        </w:rPr>
        <w:lastRenderedPageBreak/>
        <w:t xml:space="preserve">da al tema y bajo qué índices </w:t>
      </w:r>
      <w:r w:rsidR="000E68DE" w:rsidRPr="008811CF">
        <w:rPr>
          <w:rFonts w:ascii="Palatino Linotype" w:hAnsi="Palatino Linotype"/>
          <w:color w:val="000000"/>
        </w:rPr>
        <w:t>y programas de trabajo la Unidad de Estudios y Proyectos Especiales de la Secretaria de Seguridad al formar parte su titular de la Comisión de Honor y Justicia además de ser la Unidad encargada de notificar a la Unidad de Asuntos Internos y Dirección General de Asuntos Jurídicos, para mitigar el riesgo?; De acuerdo a las últimas cifras publicadas en el Centro Nacional de Certificación y Acreditación, en el Informe De La Evaluación De Control De Confianza, en las cifras correspondientes a la Entidad, se observa en el rubro de Seguridad Pública Estatal un universo evaluable de 17,548 y una plantilla activa de 17,316, dando una diferencia de 232 elementos, de esta diferencia cuál es motivo por el cuál no se evalúan y que bajo qué argumentos jurídicos justifica su portación de arma y su permanencia dentro de la institución; ¿Qué controles administrativos llevan en la Unidad de Estudios y Proyectos para identificar con nombre y apellido estos elementos faltantes?; De igual forma ¿qué estrategia de programación y plan de trabajo cuenta la Unidad de Estudios y Proyectos Especiales para determinar el número de elementos que cada año programa ya que de acuerdo a cifras oficiales llevan desde 2018 a la fecha, tiempo en el que está al frente de dicha Unidad Gabriela Peláez Acero, programando a 5,000 elementos de manera uniforme y constante, cuando no es posible que cada año pierdan vigencia el mismo número de elementos al menos que el estado de fuerza no tenga incrementos y movimientos ? y la justificación que expone ante el Secretariado Estatal para mitigar el riesgo de que elementos sin evaluaciones de control de confianza sean los encargados de la seguridad de los mexiquenses</w:t>
      </w:r>
      <w:r w:rsidR="001348FF">
        <w:rPr>
          <w:rFonts w:ascii="Palatino Linotype" w:hAnsi="Palatino Linotype"/>
          <w:color w:val="000000"/>
        </w:rPr>
        <w:t>.</w:t>
      </w:r>
    </w:p>
    <w:p w14:paraId="3331B3C0" w14:textId="3E17445A" w:rsidR="000541DB" w:rsidRDefault="000541DB" w:rsidP="00374B2B">
      <w:pPr>
        <w:pStyle w:val="Prrafodelista"/>
        <w:numPr>
          <w:ilvl w:val="0"/>
          <w:numId w:val="2"/>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El Sujeto Obligado en respuesta, proporcionó información parcial sobre lo solicitado, refiriendo para las demás peticiones que el Sujeto Obligado para dar respuesta a las mismas lo era el Centro de Control y Confianza, a razón de ello el Recurrente se inconformó con dichas respuestas, para mayor abundamiento se observa lo siguiente:</w:t>
      </w:r>
    </w:p>
    <w:tbl>
      <w:tblPr>
        <w:tblStyle w:val="Tablaconcuadrcula4"/>
        <w:tblW w:w="9209" w:type="dxa"/>
        <w:tblLayout w:type="fixed"/>
        <w:tblLook w:val="04A0" w:firstRow="1" w:lastRow="0" w:firstColumn="1" w:lastColumn="0" w:noHBand="0" w:noVBand="1"/>
      </w:tblPr>
      <w:tblGrid>
        <w:gridCol w:w="3114"/>
        <w:gridCol w:w="4111"/>
        <w:gridCol w:w="1984"/>
      </w:tblGrid>
      <w:tr w:rsidR="000541DB" w:rsidRPr="00354F4B" w14:paraId="36D95D81" w14:textId="77777777" w:rsidTr="000541DB">
        <w:tc>
          <w:tcPr>
            <w:tcW w:w="3114" w:type="dxa"/>
            <w:shd w:val="clear" w:color="auto" w:fill="AEAAAA" w:themeFill="background2" w:themeFillShade="BF"/>
          </w:tcPr>
          <w:p w14:paraId="12DB4C20" w14:textId="77777777" w:rsidR="000541DB" w:rsidRPr="00354F4B" w:rsidRDefault="000541DB" w:rsidP="00A04F04">
            <w:pPr>
              <w:spacing w:line="360" w:lineRule="auto"/>
              <w:jc w:val="center"/>
              <w:rPr>
                <w:rFonts w:ascii="Palatino Linotype" w:eastAsia="Times New Roman" w:hAnsi="Palatino Linotype" w:cs="Tahoma"/>
                <w:b/>
                <w:iCs/>
                <w:sz w:val="20"/>
                <w:szCs w:val="20"/>
                <w:lang w:eastAsia="es-ES"/>
              </w:rPr>
            </w:pPr>
            <w:r w:rsidRPr="00354F4B">
              <w:rPr>
                <w:rFonts w:ascii="Palatino Linotype" w:eastAsia="Times New Roman" w:hAnsi="Palatino Linotype" w:cs="Tahoma"/>
                <w:b/>
                <w:iCs/>
                <w:sz w:val="20"/>
                <w:szCs w:val="20"/>
                <w:lang w:eastAsia="es-ES"/>
              </w:rPr>
              <w:t>Información solicitada</w:t>
            </w:r>
          </w:p>
        </w:tc>
        <w:tc>
          <w:tcPr>
            <w:tcW w:w="4111" w:type="dxa"/>
            <w:shd w:val="clear" w:color="auto" w:fill="AEAAAA" w:themeFill="background2" w:themeFillShade="BF"/>
          </w:tcPr>
          <w:p w14:paraId="02042D76" w14:textId="77777777" w:rsidR="000541DB" w:rsidRPr="00354F4B" w:rsidRDefault="000541DB" w:rsidP="00A04F04">
            <w:pPr>
              <w:spacing w:line="360" w:lineRule="auto"/>
              <w:jc w:val="center"/>
              <w:rPr>
                <w:rFonts w:ascii="Palatino Linotype" w:eastAsia="Times New Roman" w:hAnsi="Palatino Linotype" w:cs="Tahoma"/>
                <w:b/>
                <w:iCs/>
                <w:sz w:val="20"/>
                <w:szCs w:val="20"/>
                <w:lang w:eastAsia="es-ES"/>
              </w:rPr>
            </w:pPr>
            <w:r w:rsidRPr="00354F4B">
              <w:rPr>
                <w:rFonts w:ascii="Palatino Linotype" w:eastAsia="Times New Roman" w:hAnsi="Palatino Linotype" w:cs="Tahoma"/>
                <w:b/>
                <w:iCs/>
                <w:sz w:val="20"/>
                <w:szCs w:val="20"/>
                <w:lang w:eastAsia="es-ES"/>
              </w:rPr>
              <w:t>Respuesta</w:t>
            </w:r>
          </w:p>
        </w:tc>
        <w:tc>
          <w:tcPr>
            <w:tcW w:w="1984" w:type="dxa"/>
            <w:shd w:val="clear" w:color="auto" w:fill="AEAAAA" w:themeFill="background2" w:themeFillShade="BF"/>
          </w:tcPr>
          <w:p w14:paraId="7550C66E" w14:textId="77777777" w:rsidR="000541DB" w:rsidRPr="00354F4B" w:rsidRDefault="000541DB" w:rsidP="00A04F04">
            <w:pPr>
              <w:spacing w:line="360" w:lineRule="auto"/>
              <w:jc w:val="center"/>
              <w:rPr>
                <w:rFonts w:ascii="Palatino Linotype" w:eastAsia="Times New Roman" w:hAnsi="Palatino Linotype" w:cs="Tahoma"/>
                <w:b/>
                <w:iCs/>
                <w:sz w:val="20"/>
                <w:szCs w:val="20"/>
                <w:lang w:eastAsia="es-ES"/>
              </w:rPr>
            </w:pPr>
            <w:r w:rsidRPr="00354F4B">
              <w:rPr>
                <w:rFonts w:ascii="Palatino Linotype" w:eastAsia="Times New Roman" w:hAnsi="Palatino Linotype" w:cs="Tahoma"/>
                <w:b/>
                <w:iCs/>
                <w:sz w:val="20"/>
                <w:szCs w:val="20"/>
                <w:lang w:eastAsia="es-ES"/>
              </w:rPr>
              <w:t>Observación</w:t>
            </w:r>
          </w:p>
        </w:tc>
      </w:tr>
      <w:tr w:rsidR="000541DB" w:rsidRPr="00354F4B" w14:paraId="28395A7F" w14:textId="77777777" w:rsidTr="000541DB">
        <w:tc>
          <w:tcPr>
            <w:tcW w:w="9209" w:type="dxa"/>
            <w:gridSpan w:val="3"/>
            <w:shd w:val="clear" w:color="auto" w:fill="AEAAAA" w:themeFill="background2" w:themeFillShade="BF"/>
          </w:tcPr>
          <w:p w14:paraId="4BE4EBDD" w14:textId="77777777" w:rsidR="000541DB" w:rsidRPr="00354F4B" w:rsidRDefault="000541DB" w:rsidP="00A04F04">
            <w:pPr>
              <w:spacing w:line="360" w:lineRule="auto"/>
              <w:jc w:val="center"/>
              <w:rPr>
                <w:rFonts w:ascii="Palatino Linotype" w:eastAsia="Times New Roman" w:hAnsi="Palatino Linotype" w:cs="Tahoma"/>
                <w:b/>
                <w:iCs/>
                <w:sz w:val="20"/>
                <w:szCs w:val="20"/>
                <w:lang w:eastAsia="es-ES"/>
              </w:rPr>
            </w:pPr>
            <w:r w:rsidRPr="00354F4B">
              <w:rPr>
                <w:rFonts w:ascii="Palatino Linotype" w:eastAsia="Times New Roman" w:hAnsi="Palatino Linotype" w:cs="Tahoma"/>
                <w:b/>
                <w:iCs/>
                <w:sz w:val="20"/>
                <w:szCs w:val="20"/>
                <w:lang w:eastAsia="es-ES"/>
              </w:rPr>
              <w:t>4678-2024</w:t>
            </w:r>
          </w:p>
        </w:tc>
      </w:tr>
      <w:tr w:rsidR="000541DB" w:rsidRPr="00354F4B" w14:paraId="3A489892" w14:textId="77777777" w:rsidTr="000541DB">
        <w:tc>
          <w:tcPr>
            <w:tcW w:w="3114" w:type="dxa"/>
          </w:tcPr>
          <w:p w14:paraId="3B51927A" w14:textId="77777777" w:rsidR="000541DB" w:rsidRPr="00354F4B" w:rsidRDefault="000541DB" w:rsidP="00A04F04">
            <w:pPr>
              <w:rPr>
                <w:rFonts w:ascii="Palatino Linotype" w:hAnsi="Palatino Linotype" w:cs="Tahoma"/>
                <w:iCs/>
                <w:sz w:val="20"/>
                <w:szCs w:val="20"/>
              </w:rPr>
            </w:pPr>
            <w:r w:rsidRPr="00354F4B">
              <w:rPr>
                <w:rFonts w:ascii="Palatino Linotype" w:hAnsi="Palatino Linotype" w:cs="Tahoma"/>
                <w:iCs/>
                <w:sz w:val="20"/>
                <w:szCs w:val="20"/>
              </w:rPr>
              <w:t xml:space="preserve">1. </w:t>
            </w:r>
            <w:r w:rsidRPr="00354F4B">
              <w:rPr>
                <w:rFonts w:ascii="Palatino Linotype" w:hAnsi="Palatino Linotype"/>
                <w:i/>
                <w:color w:val="000000" w:themeColor="text1"/>
                <w:sz w:val="20"/>
                <w:szCs w:val="20"/>
              </w:rPr>
              <w:t>“</w:t>
            </w:r>
            <w:proofErr w:type="gramStart"/>
            <w:r w:rsidRPr="00354F4B">
              <w:rPr>
                <w:rFonts w:ascii="Palatino Linotype" w:hAnsi="Palatino Linotype"/>
                <w:i/>
                <w:color w:val="000000"/>
                <w:sz w:val="20"/>
                <w:szCs w:val="20"/>
              </w:rPr>
              <w:t>¡CUANTOS ELEMENTOS DE LA SECRETARIA DE SEGURIDAD PIERDEN VIGENCIA EN EL PRESENTE AÑO PARA LA LICENCIA DE PORTACIÓN DE ARMA Y CUANTOS PIERDEN VIGENCIA EN EL CERTIFICADO UNICO POLICIAL AL MISMO TIEMPO CUANTOS ESTAN CONSIDERADOS EN AMBOS RUBROS.</w:t>
            </w:r>
            <w:proofErr w:type="gramEnd"/>
            <w:r w:rsidRPr="00354F4B">
              <w:rPr>
                <w:rFonts w:ascii="Palatino Linotype" w:hAnsi="Palatino Linotype" w:cs="Tahoma"/>
                <w:bCs/>
                <w:iCs/>
                <w:sz w:val="20"/>
                <w:szCs w:val="20"/>
                <w:lang w:val="es-MX"/>
              </w:rPr>
              <w:t xml:space="preserve"> </w:t>
            </w:r>
          </w:p>
        </w:tc>
        <w:tc>
          <w:tcPr>
            <w:tcW w:w="4111" w:type="dxa"/>
          </w:tcPr>
          <w:p w14:paraId="436D3214" w14:textId="77777777" w:rsidR="000541DB" w:rsidRPr="00354F4B" w:rsidRDefault="000541DB" w:rsidP="00A04F04">
            <w:pPr>
              <w:pBdr>
                <w:top w:val="nil"/>
                <w:left w:val="nil"/>
                <w:bottom w:val="nil"/>
                <w:right w:val="nil"/>
                <w:between w:val="nil"/>
              </w:pBdr>
              <w:ind w:left="-108"/>
              <w:jc w:val="both"/>
              <w:rPr>
                <w:rFonts w:ascii="Palatino Linotype" w:eastAsia="Palatino Linotype" w:hAnsi="Palatino Linotype" w:cs="Palatino Linotype"/>
                <w:b/>
                <w:i/>
                <w:sz w:val="20"/>
                <w:szCs w:val="20"/>
              </w:rPr>
            </w:pPr>
            <w:r w:rsidRPr="00354F4B">
              <w:rPr>
                <w:rFonts w:ascii="Palatino Linotype" w:hAnsi="Palatino Linotype"/>
                <w:b/>
                <w:i/>
                <w:sz w:val="20"/>
                <w:szCs w:val="20"/>
              </w:rPr>
              <w:t>L</w:t>
            </w:r>
            <w:r w:rsidRPr="00354F4B">
              <w:rPr>
                <w:rFonts w:ascii="Palatino Linotype" w:eastAsia="Palatino Linotype" w:hAnsi="Palatino Linotype" w:cs="Palatino Linotype"/>
                <w:b/>
                <w:i/>
                <w:sz w:val="20"/>
                <w:szCs w:val="20"/>
              </w:rPr>
              <w:t>as licencias para la portación de armas</w:t>
            </w:r>
            <w:r w:rsidRPr="00354F4B">
              <w:rPr>
                <w:rFonts w:ascii="Palatino Linotype" w:eastAsia="Palatino Linotype" w:hAnsi="Palatino Linotype" w:cs="Palatino Linotype"/>
                <w:i/>
                <w:sz w:val="20"/>
                <w:szCs w:val="20"/>
              </w:rPr>
              <w:t xml:space="preserve"> serán de dos clases: Particulares; que deberán </w:t>
            </w:r>
            <w:r w:rsidRPr="00354F4B">
              <w:rPr>
                <w:rFonts w:ascii="Palatino Linotype" w:eastAsia="Palatino Linotype" w:hAnsi="Palatino Linotype" w:cs="Palatino Linotype"/>
                <w:b/>
                <w:i/>
                <w:sz w:val="20"/>
                <w:szCs w:val="20"/>
              </w:rPr>
              <w:t>revalidarse cada dos años,</w:t>
            </w:r>
            <w:r w:rsidRPr="00354F4B">
              <w:rPr>
                <w:rFonts w:ascii="Palatino Linotype" w:eastAsia="Palatino Linotype" w:hAnsi="Palatino Linotype" w:cs="Palatino Linotype"/>
                <w:i/>
                <w:sz w:val="20"/>
                <w:szCs w:val="20"/>
              </w:rPr>
              <w:t xml:space="preserve"> por lo que, para el personal operativo de la Secretaría de Seguridad del Estado de México, cuenta con una vigencia de dos años de manera particular para el caso que nos ocupa del </w:t>
            </w:r>
            <w:r w:rsidRPr="00354F4B">
              <w:rPr>
                <w:rFonts w:ascii="Palatino Linotype" w:eastAsia="Palatino Linotype" w:hAnsi="Palatino Linotype" w:cs="Palatino Linotype"/>
                <w:b/>
                <w:i/>
                <w:sz w:val="20"/>
                <w:szCs w:val="20"/>
              </w:rPr>
              <w:t>15 de septiembre de 2023 al 14 de septiembre de 2025.</w:t>
            </w:r>
          </w:p>
          <w:p w14:paraId="4F270859" w14:textId="77777777" w:rsidR="000541DB" w:rsidRPr="00354F4B" w:rsidRDefault="000541DB" w:rsidP="00A04F04">
            <w:pPr>
              <w:pBdr>
                <w:top w:val="nil"/>
                <w:left w:val="nil"/>
                <w:bottom w:val="nil"/>
                <w:right w:val="nil"/>
                <w:between w:val="nil"/>
              </w:pBdr>
              <w:ind w:left="-108"/>
              <w:jc w:val="both"/>
              <w:rPr>
                <w:rFonts w:ascii="Palatino Linotype" w:eastAsia="Palatino Linotype" w:hAnsi="Palatino Linotype" w:cs="Palatino Linotype"/>
                <w:i/>
                <w:sz w:val="20"/>
                <w:szCs w:val="20"/>
              </w:rPr>
            </w:pPr>
            <w:r w:rsidRPr="00354F4B">
              <w:rPr>
                <w:rFonts w:ascii="Palatino Linotype" w:eastAsia="Palatino Linotype" w:hAnsi="Palatino Linotype" w:cs="Palatino Linotype"/>
                <w:i/>
                <w:sz w:val="20"/>
                <w:szCs w:val="20"/>
              </w:rPr>
              <w:t>Bajo ese contexto,  y toda vez que ambos documentos NO cuentan con el mismo periodo de vigencia, informo el número de elementos que pierden vigencia en cada uno de los rubros:</w:t>
            </w:r>
          </w:p>
          <w:p w14:paraId="27782B6E" w14:textId="77777777" w:rsidR="000541DB" w:rsidRPr="00354F4B" w:rsidRDefault="000541DB" w:rsidP="00374B2B">
            <w:pPr>
              <w:pStyle w:val="Prrafodelista"/>
              <w:numPr>
                <w:ilvl w:val="0"/>
                <w:numId w:val="3"/>
              </w:numPr>
              <w:pBdr>
                <w:top w:val="nil"/>
                <w:left w:val="nil"/>
                <w:bottom w:val="nil"/>
                <w:right w:val="nil"/>
                <w:between w:val="nil"/>
              </w:pBdr>
              <w:ind w:left="-108" w:firstLine="0"/>
              <w:jc w:val="both"/>
              <w:rPr>
                <w:rFonts w:ascii="Palatino Linotype" w:eastAsia="Palatino Linotype" w:hAnsi="Palatino Linotype" w:cs="Palatino Linotype"/>
                <w:b/>
                <w:i/>
                <w:sz w:val="20"/>
                <w:szCs w:val="20"/>
              </w:rPr>
            </w:pPr>
            <w:r w:rsidRPr="00354F4B">
              <w:rPr>
                <w:rFonts w:ascii="Palatino Linotype" w:eastAsia="Palatino Linotype" w:hAnsi="Palatino Linotype" w:cs="Palatino Linotype"/>
                <w:b/>
                <w:i/>
                <w:sz w:val="20"/>
                <w:szCs w:val="20"/>
              </w:rPr>
              <w:t xml:space="preserve">Licencia Oficial Colectiva N° 139: </w:t>
            </w:r>
            <w:r w:rsidRPr="00354F4B">
              <w:rPr>
                <w:rFonts w:ascii="Palatino Linotype" w:eastAsia="Palatino Linotype" w:hAnsi="Palatino Linotype" w:cs="Palatino Linotype"/>
                <w:i/>
                <w:sz w:val="20"/>
                <w:szCs w:val="20"/>
              </w:rPr>
              <w:t>12,656 elementos de la Secretaría de Seguridad del Estado de México.</w:t>
            </w:r>
          </w:p>
          <w:p w14:paraId="4826E06B" w14:textId="77777777" w:rsidR="000541DB" w:rsidRPr="00354F4B" w:rsidRDefault="000541DB" w:rsidP="00A04F04">
            <w:pPr>
              <w:ind w:left="-108"/>
              <w:jc w:val="both"/>
              <w:rPr>
                <w:rFonts w:ascii="Palatino Linotype" w:eastAsia="Times New Roman" w:hAnsi="Palatino Linotype" w:cs="Tahoma"/>
                <w:iCs/>
                <w:sz w:val="20"/>
                <w:szCs w:val="20"/>
                <w:lang w:eastAsia="es-ES"/>
              </w:rPr>
            </w:pPr>
            <w:r w:rsidRPr="00354F4B">
              <w:rPr>
                <w:rFonts w:ascii="Palatino Linotype" w:eastAsia="Palatino Linotype" w:hAnsi="Palatino Linotype" w:cs="Palatino Linotype"/>
                <w:b/>
                <w:i/>
                <w:sz w:val="20"/>
                <w:szCs w:val="20"/>
              </w:rPr>
              <w:t xml:space="preserve">Certificado único Policial: </w:t>
            </w:r>
            <w:r w:rsidRPr="00354F4B">
              <w:rPr>
                <w:rFonts w:ascii="Palatino Linotype" w:eastAsia="Palatino Linotype" w:hAnsi="Palatino Linotype" w:cs="Palatino Linotype"/>
                <w:i/>
                <w:sz w:val="20"/>
                <w:szCs w:val="20"/>
              </w:rPr>
              <w:t>6,278 elementos por competencias básicas o profesionales, 4,038 por evaluación del desempeño y 1,234 por evaluación de Control de Confianza, es importante mencionar que un elemento puede tener una o varias evaluaciones vencidas</w:t>
            </w:r>
          </w:p>
        </w:tc>
        <w:tc>
          <w:tcPr>
            <w:tcW w:w="1984" w:type="dxa"/>
            <w:vAlign w:val="center"/>
          </w:tcPr>
          <w:p w14:paraId="167C5153" w14:textId="30F8059C" w:rsidR="000541DB" w:rsidRPr="00354F4B" w:rsidRDefault="000541DB" w:rsidP="00A04F04">
            <w:pPr>
              <w:spacing w:line="360" w:lineRule="auto"/>
              <w:jc w:val="center"/>
              <w:rPr>
                <w:rFonts w:ascii="Palatino Linotype" w:eastAsia="Times New Roman" w:hAnsi="Palatino Linotype" w:cs="Tahoma"/>
                <w:iCs/>
                <w:sz w:val="20"/>
                <w:szCs w:val="20"/>
                <w:lang w:val="es-MX" w:eastAsia="es-ES"/>
              </w:rPr>
            </w:pPr>
            <w:r w:rsidRPr="00354F4B">
              <w:rPr>
                <w:rFonts w:ascii="Palatino Linotype" w:eastAsia="Times New Roman" w:hAnsi="Palatino Linotype" w:cs="Tahoma"/>
                <w:iCs/>
                <w:sz w:val="20"/>
                <w:szCs w:val="20"/>
                <w:lang w:val="es-MX" w:eastAsia="es-ES"/>
              </w:rPr>
              <w:t>DA CUENTA DE LO SOLICITADO.</w:t>
            </w:r>
          </w:p>
        </w:tc>
      </w:tr>
      <w:tr w:rsidR="000541DB" w:rsidRPr="00354F4B" w14:paraId="7C96A268" w14:textId="77777777" w:rsidTr="000541DB">
        <w:tc>
          <w:tcPr>
            <w:tcW w:w="3114" w:type="dxa"/>
          </w:tcPr>
          <w:p w14:paraId="0E11F474" w14:textId="77777777" w:rsidR="000541DB" w:rsidRDefault="000541DB" w:rsidP="00A04F04">
            <w:pPr>
              <w:jc w:val="both"/>
              <w:rPr>
                <w:rFonts w:cs="Tahoma"/>
                <w:bCs/>
                <w:iCs/>
                <w:sz w:val="20"/>
                <w:szCs w:val="20"/>
                <w:lang w:val="es-MX"/>
              </w:rPr>
            </w:pPr>
            <w:r w:rsidRPr="00354F4B">
              <w:rPr>
                <w:rFonts w:ascii="Palatino Linotype" w:hAnsi="Palatino Linotype" w:cs="Tahoma"/>
                <w:iCs/>
                <w:sz w:val="20"/>
                <w:szCs w:val="20"/>
              </w:rPr>
              <w:t xml:space="preserve">2. </w:t>
            </w:r>
            <w:r w:rsidRPr="00354F4B">
              <w:rPr>
                <w:rFonts w:ascii="Palatino Linotype" w:hAnsi="Palatino Linotype"/>
                <w:i/>
                <w:color w:val="000000"/>
                <w:sz w:val="20"/>
                <w:szCs w:val="20"/>
              </w:rPr>
              <w:t xml:space="preserve">CUANTAS EVALUACIONES DE CONTROL DE CONFIANZA POR PERMANENCIA SE ENCUENTRAN </w:t>
            </w:r>
            <w:r w:rsidRPr="00354F4B">
              <w:rPr>
                <w:rFonts w:ascii="Palatino Linotype" w:hAnsi="Palatino Linotype"/>
                <w:i/>
                <w:color w:val="000000"/>
                <w:sz w:val="20"/>
                <w:szCs w:val="20"/>
              </w:rPr>
              <w:lastRenderedPageBreak/>
              <w:t>CONSIDERADAS PARA ESTE AÑO?</w:t>
            </w:r>
            <w:r w:rsidRPr="00354F4B">
              <w:rPr>
                <w:rFonts w:ascii="Palatino Linotype" w:hAnsi="Palatino Linotype" w:cs="Tahoma"/>
                <w:bCs/>
                <w:iCs/>
                <w:sz w:val="20"/>
                <w:szCs w:val="20"/>
                <w:lang w:val="es-MX"/>
              </w:rPr>
              <w:t xml:space="preserve"> </w:t>
            </w:r>
          </w:p>
          <w:p w14:paraId="61DBD0B1" w14:textId="77777777" w:rsidR="000541DB" w:rsidRDefault="000541DB" w:rsidP="00A04F04">
            <w:pPr>
              <w:jc w:val="both"/>
              <w:rPr>
                <w:rFonts w:cs="Tahoma"/>
                <w:bCs/>
                <w:iCs/>
                <w:sz w:val="20"/>
                <w:szCs w:val="20"/>
                <w:lang w:val="es-MX"/>
              </w:rPr>
            </w:pPr>
          </w:p>
          <w:p w14:paraId="48E20C3D" w14:textId="77777777" w:rsidR="000541DB" w:rsidRDefault="000541DB" w:rsidP="00A04F04">
            <w:pPr>
              <w:jc w:val="both"/>
              <w:rPr>
                <w:rFonts w:cs="Tahoma"/>
                <w:bCs/>
                <w:iCs/>
                <w:sz w:val="20"/>
                <w:szCs w:val="20"/>
                <w:lang w:val="es-MX"/>
              </w:rPr>
            </w:pPr>
          </w:p>
          <w:p w14:paraId="22FC5641" w14:textId="77777777" w:rsidR="000541DB" w:rsidRDefault="000541DB" w:rsidP="00A04F04">
            <w:pPr>
              <w:jc w:val="both"/>
              <w:rPr>
                <w:i/>
                <w:color w:val="000000"/>
                <w:sz w:val="20"/>
                <w:szCs w:val="20"/>
              </w:rPr>
            </w:pPr>
            <w:r>
              <w:rPr>
                <w:rFonts w:cs="Tahoma"/>
                <w:iCs/>
                <w:sz w:val="20"/>
                <w:szCs w:val="20"/>
              </w:rPr>
              <w:t>3</w:t>
            </w:r>
            <w:r w:rsidRPr="00354F4B">
              <w:rPr>
                <w:rFonts w:ascii="Palatino Linotype" w:hAnsi="Palatino Linotype" w:cs="Tahoma"/>
                <w:iCs/>
                <w:sz w:val="20"/>
                <w:szCs w:val="20"/>
              </w:rPr>
              <w:t xml:space="preserve">. </w:t>
            </w:r>
            <w:r w:rsidRPr="00354F4B">
              <w:rPr>
                <w:rFonts w:ascii="Palatino Linotype" w:hAnsi="Palatino Linotype"/>
                <w:i/>
                <w:color w:val="000000"/>
              </w:rPr>
              <w:t>¿</w:t>
            </w:r>
            <w:r w:rsidRPr="00354F4B">
              <w:rPr>
                <w:rFonts w:ascii="Palatino Linotype" w:hAnsi="Palatino Linotype"/>
                <w:i/>
                <w:color w:val="000000"/>
                <w:sz w:val="20"/>
                <w:szCs w:val="20"/>
              </w:rPr>
              <w:t>CUANTOS ELEMENTOS EN EL EJERCICIO 2022 FUERON APROBADOS CON RESTRICCIONES Y QUE PORCENTAJE YA CUMPLIO CON LA SOLVENTACIÓN?</w:t>
            </w:r>
          </w:p>
          <w:p w14:paraId="4585CA23" w14:textId="77777777" w:rsidR="000541DB" w:rsidRDefault="000541DB" w:rsidP="00A04F04">
            <w:pPr>
              <w:jc w:val="both"/>
              <w:rPr>
                <w:i/>
                <w:color w:val="000000"/>
                <w:sz w:val="20"/>
                <w:szCs w:val="20"/>
              </w:rPr>
            </w:pPr>
          </w:p>
          <w:p w14:paraId="38A88857" w14:textId="281112CC" w:rsidR="000541DB" w:rsidRPr="00354F4B" w:rsidRDefault="000541DB" w:rsidP="00A04F04">
            <w:pPr>
              <w:jc w:val="both"/>
              <w:rPr>
                <w:rFonts w:ascii="Palatino Linotype" w:hAnsi="Palatino Linotype" w:cs="Tahoma"/>
                <w:iCs/>
                <w:sz w:val="20"/>
                <w:szCs w:val="20"/>
              </w:rPr>
            </w:pPr>
            <w:r>
              <w:rPr>
                <w:i/>
                <w:color w:val="000000"/>
                <w:sz w:val="20"/>
                <w:szCs w:val="20"/>
              </w:rPr>
              <w:t xml:space="preserve">4. </w:t>
            </w:r>
            <w:r w:rsidRPr="00354F4B">
              <w:rPr>
                <w:rFonts w:ascii="Palatino Linotype" w:hAnsi="Palatino Linotype"/>
                <w:i/>
                <w:color w:val="000000"/>
                <w:sz w:val="20"/>
                <w:szCs w:val="20"/>
              </w:rPr>
              <w:t>¿POR QUE NO HAY AVANCE Y SEGUIMIENTO AL PORCENTAJE PUBLICADO EN EL CENTRO NACIONAL DE CERTIFICACIÓN Y ACREDITACIÓN DE ELEMENTOS NO APROBADOS EN CONTROL DE CONFIAZA?</w:t>
            </w:r>
            <w:r w:rsidR="000A0A04" w:rsidRPr="00354F4B">
              <w:rPr>
                <w:rFonts w:ascii="Palatino Linotype" w:hAnsi="Palatino Linotype"/>
                <w:i/>
                <w:color w:val="000000"/>
                <w:sz w:val="20"/>
                <w:szCs w:val="20"/>
              </w:rPr>
              <w:t xml:space="preserve"> QUE SEGUIMIENTO DA AL TEMA Y BAJO QUE INDICES Y PROGRAMAS DE TRABAJO LA UNIDAD DE ESTUDIOS Y PROYECTOS ESPECIALES DE LA SECRETARIA DE SEGURIDAD AL FORMAR PARTE SU TITULAR DE LA COMISION DE HONOR Y JUSTICIA ADEMAS DE SER LA UNIDAD ENCARGADA DE NOTIFICAR A LA UNIDAD DE ASUNTOS INTERNOS Y DIRECCIÓN GENERAL DE ASUNTOS JURIDICOS, PARA MITIGAR EL RIESGO</w:t>
            </w:r>
            <w:r w:rsidR="000A0A04" w:rsidRPr="00354F4B">
              <w:rPr>
                <w:rFonts w:ascii="Palatino Linotype" w:hAnsi="Palatino Linotype"/>
                <w:color w:val="000000"/>
                <w:sz w:val="20"/>
                <w:szCs w:val="20"/>
              </w:rPr>
              <w:t>.</w:t>
            </w:r>
          </w:p>
        </w:tc>
        <w:tc>
          <w:tcPr>
            <w:tcW w:w="4111" w:type="dxa"/>
          </w:tcPr>
          <w:p w14:paraId="34835376" w14:textId="77777777" w:rsidR="000541DB" w:rsidRPr="00575675" w:rsidRDefault="000541DB" w:rsidP="00A04F04">
            <w:pPr>
              <w:pStyle w:val="Prrafodelista"/>
              <w:pBdr>
                <w:top w:val="nil"/>
                <w:left w:val="nil"/>
                <w:bottom w:val="nil"/>
                <w:right w:val="nil"/>
                <w:between w:val="nil"/>
              </w:pBdr>
              <w:ind w:left="0"/>
              <w:jc w:val="both"/>
              <w:rPr>
                <w:rFonts w:ascii="Palatino Linotype" w:eastAsia="Palatino Linotype" w:hAnsi="Palatino Linotype" w:cs="Palatino Linotype"/>
                <w:i/>
                <w:sz w:val="20"/>
                <w:szCs w:val="20"/>
              </w:rPr>
            </w:pPr>
            <w:r w:rsidRPr="00575675">
              <w:rPr>
                <w:rFonts w:ascii="Palatino Linotype" w:eastAsia="Palatino Linotype" w:hAnsi="Palatino Linotype" w:cs="Palatino Linotype"/>
                <w:i/>
                <w:sz w:val="20"/>
                <w:szCs w:val="20"/>
              </w:rPr>
              <w:lastRenderedPageBreak/>
              <w:t xml:space="preserve">Aunado a lo anterior, se hace de su conocimiento que el Centro de Control de Confianza es un organismo público descentralizado, con personalidad jurídica y patrimonio propios, que tiene la facultad de realizar las evaluaciones de </w:t>
            </w:r>
            <w:r w:rsidRPr="00575675">
              <w:rPr>
                <w:rFonts w:ascii="Palatino Linotype" w:eastAsia="Palatino Linotype" w:hAnsi="Palatino Linotype" w:cs="Palatino Linotype"/>
                <w:i/>
                <w:sz w:val="20"/>
                <w:szCs w:val="20"/>
              </w:rPr>
              <w:lastRenderedPageBreak/>
              <w:t>control de confianza, y está bajo la normatividad del Centro Nacional de Certificación y Acreditación (CNCA), aplicables a las y a los integrantes y/o a los y las aspirantes de las instituciones de seguridad pública y privada, tanto a nivel estatal como municipal; las cuales pueden ser para permanencia, nuevo ingreso, promoción, cambio de funciones; a fin de emitir, en su caso, la certificación correspondiente y es que pudieran tener mayor información al respecto.</w:t>
            </w:r>
          </w:p>
          <w:p w14:paraId="2D25B840" w14:textId="77777777" w:rsidR="000541DB" w:rsidRPr="00575675" w:rsidRDefault="000541DB" w:rsidP="00A04F04">
            <w:pPr>
              <w:pStyle w:val="Prrafodelista"/>
              <w:pBdr>
                <w:top w:val="nil"/>
                <w:left w:val="nil"/>
                <w:bottom w:val="nil"/>
                <w:right w:val="nil"/>
                <w:between w:val="nil"/>
              </w:pBdr>
              <w:ind w:left="0"/>
              <w:jc w:val="both"/>
              <w:rPr>
                <w:rFonts w:ascii="Palatino Linotype" w:eastAsia="Palatino Linotype" w:hAnsi="Palatino Linotype" w:cs="Palatino Linotype"/>
                <w:i/>
                <w:sz w:val="20"/>
                <w:szCs w:val="20"/>
              </w:rPr>
            </w:pPr>
            <w:r w:rsidRPr="00575675">
              <w:rPr>
                <w:rFonts w:ascii="Palatino Linotype" w:eastAsia="Palatino Linotype" w:hAnsi="Palatino Linotype" w:cs="Palatino Linotype"/>
                <w:i/>
                <w:sz w:val="20"/>
                <w:szCs w:val="20"/>
              </w:rPr>
              <w:t>En razón de lo anterior, se le sugiere respetuosamente dirigir su solicitud al Módulo de Acceso a la Información del Secretario Ejecutivo del Sistema Nacional de Seguridad Pública, a través del Centro Nacional de Certificación y Acreditación, con domicilio en Avenida Mariano Escobedo, número 456, colonia Anzures, C.P. 11590, Ciudad de México, ya que podría tener datos que le sean de utilidad o bien a través de la PNT.</w:t>
            </w:r>
          </w:p>
          <w:p w14:paraId="1B1A35AF" w14:textId="77777777" w:rsidR="000541DB" w:rsidRPr="00354F4B" w:rsidRDefault="000541DB" w:rsidP="00A04F04">
            <w:pPr>
              <w:pStyle w:val="Prrafodelista"/>
              <w:pBdr>
                <w:top w:val="nil"/>
                <w:left w:val="nil"/>
                <w:bottom w:val="nil"/>
                <w:right w:val="nil"/>
                <w:between w:val="nil"/>
              </w:pBdr>
              <w:ind w:left="0"/>
              <w:jc w:val="both"/>
              <w:rPr>
                <w:rFonts w:ascii="Palatino Linotype" w:eastAsia="Times New Roman" w:hAnsi="Palatino Linotype" w:cs="Tahoma"/>
                <w:iCs/>
                <w:sz w:val="20"/>
                <w:szCs w:val="20"/>
                <w:lang w:eastAsia="es-ES"/>
              </w:rPr>
            </w:pPr>
            <w:r w:rsidRPr="00575675">
              <w:rPr>
                <w:rFonts w:ascii="Palatino Linotype" w:eastAsia="Palatino Linotype" w:hAnsi="Palatino Linotype" w:cs="Palatino Linotype"/>
                <w:i/>
                <w:sz w:val="20"/>
                <w:szCs w:val="20"/>
              </w:rPr>
              <w:t xml:space="preserve">Ahora bien, por cuanto hace al avance y seguimiento al porcentaje publicado en el centro nacional de certificación y acreditación de elementos no aprobados en control de confianza, </w:t>
            </w:r>
            <w:r w:rsidRPr="00575675">
              <w:rPr>
                <w:rFonts w:ascii="Palatino Linotype" w:eastAsia="Palatino Linotype" w:hAnsi="Palatino Linotype" w:cs="Palatino Linotype"/>
                <w:b/>
                <w:i/>
                <w:sz w:val="20"/>
                <w:szCs w:val="20"/>
              </w:rPr>
              <w:t>se hizo llegar a Usted en tiempo y forma la Incompetencia Parcial correspondiente.</w:t>
            </w:r>
          </w:p>
        </w:tc>
        <w:tc>
          <w:tcPr>
            <w:tcW w:w="1984" w:type="dxa"/>
            <w:vAlign w:val="center"/>
          </w:tcPr>
          <w:p w14:paraId="63393426" w14:textId="77777777" w:rsidR="000541DB" w:rsidRDefault="000541DB" w:rsidP="00A04F04">
            <w:pPr>
              <w:spacing w:line="360" w:lineRule="auto"/>
              <w:jc w:val="center"/>
              <w:rPr>
                <w:rFonts w:eastAsia="Times New Roman" w:cs="Tahoma"/>
                <w:iCs/>
                <w:sz w:val="20"/>
                <w:szCs w:val="20"/>
                <w:lang w:val="es-MX" w:eastAsia="es-ES"/>
              </w:rPr>
            </w:pPr>
            <w:r>
              <w:rPr>
                <w:rFonts w:eastAsia="Times New Roman" w:cs="Tahoma"/>
                <w:iCs/>
                <w:sz w:val="20"/>
                <w:szCs w:val="20"/>
                <w:lang w:val="es-MX" w:eastAsia="es-ES"/>
              </w:rPr>
              <w:lastRenderedPageBreak/>
              <w:t xml:space="preserve">Respecto a los numerales 2 y 4 </w:t>
            </w:r>
          </w:p>
          <w:p w14:paraId="578A4A86" w14:textId="25FFC788" w:rsidR="000541DB" w:rsidRDefault="000541DB" w:rsidP="00A04F04">
            <w:pPr>
              <w:spacing w:line="360" w:lineRule="auto"/>
              <w:jc w:val="center"/>
              <w:rPr>
                <w:rFonts w:eastAsia="Times New Roman" w:cs="Tahoma"/>
                <w:iCs/>
                <w:sz w:val="20"/>
                <w:szCs w:val="20"/>
                <w:lang w:val="es-MX" w:eastAsia="es-ES"/>
              </w:rPr>
            </w:pPr>
            <w:r w:rsidRPr="00354F4B">
              <w:rPr>
                <w:rFonts w:ascii="Palatino Linotype" w:eastAsia="Times New Roman" w:hAnsi="Palatino Linotype" w:cs="Tahoma"/>
                <w:iCs/>
                <w:sz w:val="20"/>
                <w:szCs w:val="20"/>
                <w:lang w:val="es-MX" w:eastAsia="es-ES"/>
              </w:rPr>
              <w:lastRenderedPageBreak/>
              <w:t>DA CUENTA DE LO SOLICITADO.</w:t>
            </w:r>
          </w:p>
          <w:p w14:paraId="6F59C940" w14:textId="77777777" w:rsidR="000541DB" w:rsidRDefault="000541DB" w:rsidP="00A04F04">
            <w:pPr>
              <w:spacing w:line="360" w:lineRule="auto"/>
              <w:jc w:val="center"/>
              <w:rPr>
                <w:rFonts w:eastAsia="Times New Roman" w:cs="Tahoma"/>
                <w:iCs/>
                <w:sz w:val="20"/>
                <w:szCs w:val="20"/>
                <w:lang w:val="es-MX" w:eastAsia="es-ES"/>
              </w:rPr>
            </w:pPr>
          </w:p>
          <w:p w14:paraId="628A7C88" w14:textId="77777777" w:rsidR="000541DB" w:rsidRDefault="000541DB" w:rsidP="00A04F04">
            <w:pPr>
              <w:spacing w:line="360" w:lineRule="auto"/>
              <w:jc w:val="center"/>
              <w:rPr>
                <w:rFonts w:eastAsia="Times New Roman" w:cs="Tahoma"/>
                <w:iCs/>
                <w:sz w:val="20"/>
                <w:szCs w:val="20"/>
                <w:lang w:val="es-MX" w:eastAsia="es-ES"/>
              </w:rPr>
            </w:pPr>
          </w:p>
          <w:p w14:paraId="75D856FA" w14:textId="77777777" w:rsidR="000541DB" w:rsidRPr="00354F4B" w:rsidRDefault="000541DB" w:rsidP="00A04F04">
            <w:pPr>
              <w:spacing w:line="360" w:lineRule="auto"/>
              <w:jc w:val="center"/>
              <w:rPr>
                <w:rFonts w:ascii="Palatino Linotype" w:eastAsia="Times New Roman" w:hAnsi="Palatino Linotype" w:cs="Tahoma"/>
                <w:iCs/>
                <w:sz w:val="20"/>
                <w:szCs w:val="20"/>
                <w:lang w:val="es-MX" w:eastAsia="es-ES"/>
              </w:rPr>
            </w:pPr>
            <w:r>
              <w:rPr>
                <w:rFonts w:eastAsia="Times New Roman" w:cs="Tahoma"/>
                <w:iCs/>
                <w:sz w:val="20"/>
                <w:szCs w:val="20"/>
                <w:lang w:val="es-MX" w:eastAsia="es-ES"/>
              </w:rPr>
              <w:t>Respecto del numeral 3 no emitió pronunciamiento</w:t>
            </w:r>
          </w:p>
          <w:p w14:paraId="078DB267" w14:textId="77777777" w:rsidR="000541DB" w:rsidRPr="00354F4B" w:rsidRDefault="000541DB" w:rsidP="00A04F04">
            <w:pPr>
              <w:spacing w:line="360" w:lineRule="auto"/>
              <w:jc w:val="center"/>
              <w:rPr>
                <w:rFonts w:ascii="Palatino Linotype" w:eastAsia="Times New Roman" w:hAnsi="Palatino Linotype" w:cs="Tahoma"/>
                <w:iCs/>
                <w:sz w:val="20"/>
                <w:szCs w:val="20"/>
                <w:lang w:val="es-MX" w:eastAsia="es-ES"/>
              </w:rPr>
            </w:pPr>
          </w:p>
          <w:p w14:paraId="6201DD60" w14:textId="77777777" w:rsidR="000541DB" w:rsidRPr="00354F4B" w:rsidRDefault="000541DB" w:rsidP="00A04F04">
            <w:pPr>
              <w:spacing w:line="360" w:lineRule="auto"/>
              <w:jc w:val="center"/>
              <w:rPr>
                <w:rFonts w:ascii="Palatino Linotype" w:eastAsia="Times New Roman" w:hAnsi="Palatino Linotype" w:cs="Tahoma"/>
                <w:sz w:val="20"/>
                <w:szCs w:val="20"/>
                <w:lang w:eastAsia="es-ES"/>
              </w:rPr>
            </w:pPr>
          </w:p>
        </w:tc>
      </w:tr>
    </w:tbl>
    <w:tbl>
      <w:tblPr>
        <w:tblStyle w:val="Tablaconcuadrcula"/>
        <w:tblW w:w="9209" w:type="dxa"/>
        <w:tblLook w:val="04A0" w:firstRow="1" w:lastRow="0" w:firstColumn="1" w:lastColumn="0" w:noHBand="0" w:noVBand="1"/>
      </w:tblPr>
      <w:tblGrid>
        <w:gridCol w:w="3107"/>
        <w:gridCol w:w="4099"/>
        <w:gridCol w:w="2003"/>
      </w:tblGrid>
      <w:tr w:rsidR="000541DB" w14:paraId="0FE4E856" w14:textId="77777777" w:rsidTr="000A0A04">
        <w:tc>
          <w:tcPr>
            <w:tcW w:w="3107" w:type="dxa"/>
            <w:shd w:val="pct12" w:color="auto" w:fill="auto"/>
          </w:tcPr>
          <w:p w14:paraId="19EA19CC" w14:textId="77777777" w:rsidR="000541DB" w:rsidRPr="00A10556" w:rsidRDefault="000541DB" w:rsidP="00A04F04">
            <w:pPr>
              <w:jc w:val="center"/>
              <w:rPr>
                <w:b/>
              </w:rPr>
            </w:pPr>
            <w:r w:rsidRPr="00A10556">
              <w:rPr>
                <w:b/>
              </w:rPr>
              <w:lastRenderedPageBreak/>
              <w:t>ACTO IMPUGNADO</w:t>
            </w:r>
          </w:p>
        </w:tc>
        <w:tc>
          <w:tcPr>
            <w:tcW w:w="4099" w:type="dxa"/>
            <w:shd w:val="pct12" w:color="auto" w:fill="auto"/>
          </w:tcPr>
          <w:p w14:paraId="44EC56B0" w14:textId="77777777" w:rsidR="000541DB" w:rsidRPr="00A10556" w:rsidRDefault="000541DB" w:rsidP="00A04F04">
            <w:pPr>
              <w:jc w:val="center"/>
              <w:rPr>
                <w:b/>
              </w:rPr>
            </w:pPr>
            <w:r w:rsidRPr="00A10556">
              <w:rPr>
                <w:b/>
              </w:rPr>
              <w:t>INFORME JUSTIFICADO</w:t>
            </w:r>
          </w:p>
        </w:tc>
        <w:tc>
          <w:tcPr>
            <w:tcW w:w="2003" w:type="dxa"/>
            <w:shd w:val="pct12" w:color="auto" w:fill="auto"/>
          </w:tcPr>
          <w:p w14:paraId="39C684E4" w14:textId="578E1373" w:rsidR="000541DB" w:rsidRDefault="00A04F04" w:rsidP="00A04F04">
            <w:pPr>
              <w:jc w:val="center"/>
            </w:pPr>
            <w:r w:rsidRPr="00A04F04">
              <w:rPr>
                <w:b/>
              </w:rPr>
              <w:t>OBSERVACIÓN</w:t>
            </w:r>
          </w:p>
        </w:tc>
      </w:tr>
      <w:tr w:rsidR="000541DB" w14:paraId="78D6CB11" w14:textId="77777777" w:rsidTr="000A0A04">
        <w:tc>
          <w:tcPr>
            <w:tcW w:w="3107" w:type="dxa"/>
          </w:tcPr>
          <w:p w14:paraId="5BB1E5FC" w14:textId="77777777" w:rsidR="000541DB" w:rsidRDefault="000541DB" w:rsidP="00A04F04">
            <w:pPr>
              <w:rPr>
                <w:sz w:val="20"/>
                <w:szCs w:val="20"/>
              </w:rPr>
            </w:pPr>
            <w:r w:rsidRPr="00523A6F">
              <w:rPr>
                <w:rFonts w:ascii="Palatino Linotype" w:eastAsia="Palatino Linotype" w:hAnsi="Palatino Linotype" w:cs="Palatino Linotype"/>
                <w:b/>
                <w:color w:val="000000" w:themeColor="text1"/>
                <w:sz w:val="20"/>
                <w:szCs w:val="20"/>
              </w:rPr>
              <w:lastRenderedPageBreak/>
              <w:t xml:space="preserve">Acto impugnado: </w:t>
            </w:r>
            <w:r w:rsidRPr="00523A6F">
              <w:rPr>
                <w:rFonts w:ascii="Palatino Linotype" w:eastAsia="Palatino Linotype" w:hAnsi="Palatino Linotype" w:cs="Palatino Linotype"/>
                <w:color w:val="000000" w:themeColor="text1"/>
                <w:sz w:val="20"/>
                <w:szCs w:val="20"/>
              </w:rPr>
              <w:t>“</w:t>
            </w:r>
            <w:r w:rsidRPr="00523A6F">
              <w:rPr>
                <w:rFonts w:ascii="Palatino Linotype" w:hAnsi="Palatino Linotype"/>
                <w:color w:val="000000"/>
                <w:sz w:val="20"/>
                <w:szCs w:val="20"/>
              </w:rPr>
              <w:t>Falta de información y precisión en la misma</w:t>
            </w:r>
            <w:r w:rsidRPr="00523A6F">
              <w:rPr>
                <w:rFonts w:ascii="Palatino Linotype" w:eastAsia="Palatino Linotype" w:hAnsi="Palatino Linotype" w:cs="Palatino Linotype"/>
                <w:color w:val="000000" w:themeColor="text1"/>
                <w:sz w:val="20"/>
                <w:szCs w:val="20"/>
              </w:rPr>
              <w:t xml:space="preserve">” </w:t>
            </w:r>
          </w:p>
          <w:p w14:paraId="52D0DDF8" w14:textId="77777777" w:rsidR="000541DB" w:rsidRPr="00523A6F" w:rsidRDefault="000541DB" w:rsidP="00A04F04">
            <w:pPr>
              <w:jc w:val="both"/>
            </w:pPr>
            <w:r w:rsidRPr="00523A6F">
              <w:rPr>
                <w:rFonts w:ascii="Palatino Linotype" w:eastAsia="Palatino Linotype" w:hAnsi="Palatino Linotype" w:cs="Palatino Linotype"/>
                <w:b/>
                <w:color w:val="000000" w:themeColor="text1"/>
                <w:sz w:val="20"/>
                <w:szCs w:val="20"/>
              </w:rPr>
              <w:t xml:space="preserve">Razones o Motivos de inconformidad: </w:t>
            </w:r>
            <w:r w:rsidRPr="00523A6F">
              <w:rPr>
                <w:rFonts w:ascii="Palatino Linotype" w:eastAsia="Palatino Linotype" w:hAnsi="Palatino Linotype" w:cs="Palatino Linotype"/>
                <w:color w:val="7030A0"/>
                <w:sz w:val="20"/>
                <w:szCs w:val="20"/>
              </w:rPr>
              <w:t>“</w:t>
            </w:r>
            <w:r w:rsidRPr="00523A6F">
              <w:rPr>
                <w:rFonts w:ascii="Palatino Linotype" w:hAnsi="Palatino Linotype"/>
                <w:color w:val="000000"/>
                <w:sz w:val="20"/>
                <w:szCs w:val="20"/>
              </w:rPr>
              <w:t xml:space="preserve">Dentro de la solicitud de información se cuestiona el número de elementos aprobados con restricciones durante el ejercicio 2022 y 2023 y que avance de </w:t>
            </w:r>
            <w:proofErr w:type="spellStart"/>
            <w:r w:rsidRPr="00523A6F">
              <w:rPr>
                <w:rFonts w:ascii="Palatino Linotype" w:hAnsi="Palatino Linotype"/>
                <w:color w:val="000000"/>
                <w:sz w:val="20"/>
                <w:szCs w:val="20"/>
              </w:rPr>
              <w:t>solventación</w:t>
            </w:r>
            <w:proofErr w:type="spellEnd"/>
            <w:r w:rsidRPr="00523A6F">
              <w:rPr>
                <w:rFonts w:ascii="Palatino Linotype" w:hAnsi="Palatino Linotype"/>
                <w:color w:val="000000"/>
                <w:sz w:val="20"/>
                <w:szCs w:val="20"/>
              </w:rPr>
              <w:t xml:space="preserve"> se tiene</w:t>
            </w:r>
            <w:r w:rsidRPr="00523A6F">
              <w:rPr>
                <w:rFonts w:ascii="Palatino Linotype" w:eastAsia="Palatino Linotype" w:hAnsi="Palatino Linotype" w:cs="Palatino Linotype"/>
                <w:color w:val="000000" w:themeColor="text1"/>
                <w:sz w:val="20"/>
                <w:szCs w:val="20"/>
              </w:rPr>
              <w:t>”</w:t>
            </w:r>
          </w:p>
        </w:tc>
        <w:tc>
          <w:tcPr>
            <w:tcW w:w="4099" w:type="dxa"/>
          </w:tcPr>
          <w:p w14:paraId="31E062BD" w14:textId="07EE545E" w:rsidR="000541DB" w:rsidRPr="00575675" w:rsidRDefault="00A04F04" w:rsidP="00A04F04">
            <w:pPr>
              <w:pStyle w:val="Prrafodelista"/>
              <w:pBdr>
                <w:top w:val="nil"/>
                <w:left w:val="nil"/>
                <w:bottom w:val="nil"/>
                <w:right w:val="nil"/>
                <w:between w:val="nil"/>
              </w:pBdr>
              <w:spacing w:line="276" w:lineRule="auto"/>
              <w:ind w:left="-108" w:right="49"/>
              <w:jc w:val="both"/>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sz w:val="20"/>
                <w:szCs w:val="20"/>
              </w:rPr>
              <w:t>R</w:t>
            </w:r>
            <w:r w:rsidR="000541DB" w:rsidRPr="00575675">
              <w:rPr>
                <w:rFonts w:ascii="Palatino Linotype" w:eastAsia="Palatino Linotype" w:hAnsi="Palatino Linotype" w:cs="Palatino Linotype"/>
                <w:color w:val="000000" w:themeColor="text1"/>
                <w:sz w:val="20"/>
                <w:szCs w:val="20"/>
              </w:rPr>
              <w:t>emitió la información correspondiente, a saber:</w:t>
            </w:r>
          </w:p>
          <w:p w14:paraId="0838B8DE" w14:textId="77777777" w:rsidR="000541DB" w:rsidRPr="00575675" w:rsidRDefault="000541DB" w:rsidP="00A04F04">
            <w:pPr>
              <w:pStyle w:val="Prrafodelista"/>
              <w:pBdr>
                <w:top w:val="nil"/>
                <w:left w:val="nil"/>
                <w:bottom w:val="nil"/>
                <w:right w:val="nil"/>
                <w:between w:val="nil"/>
              </w:pBdr>
              <w:spacing w:line="276" w:lineRule="auto"/>
              <w:ind w:left="-108" w:right="49"/>
              <w:rPr>
                <w:rFonts w:ascii="Palatino Linotype" w:eastAsia="Palatino Linotype" w:hAnsi="Palatino Linotype" w:cs="Palatino Linotype"/>
                <w:color w:val="000000" w:themeColor="text1"/>
                <w:sz w:val="20"/>
                <w:szCs w:val="20"/>
              </w:rPr>
            </w:pPr>
            <w:r w:rsidRPr="00575675">
              <w:rPr>
                <w:rFonts w:ascii="Palatino Linotype" w:eastAsia="Palatino Linotype" w:hAnsi="Palatino Linotype" w:cs="Palatino Linotype"/>
                <w:color w:val="000000" w:themeColor="text1"/>
                <w:sz w:val="20"/>
                <w:szCs w:val="20"/>
              </w:rPr>
              <w:t>Número de elementos aprobados con restricciones:</w:t>
            </w:r>
          </w:p>
          <w:p w14:paraId="0318C5B7" w14:textId="77777777" w:rsidR="000541DB" w:rsidRPr="00575675" w:rsidRDefault="000541DB" w:rsidP="00A04F04">
            <w:pPr>
              <w:pStyle w:val="Prrafodelista"/>
              <w:pBdr>
                <w:top w:val="nil"/>
                <w:left w:val="nil"/>
                <w:bottom w:val="nil"/>
                <w:right w:val="nil"/>
                <w:between w:val="nil"/>
              </w:pBdr>
              <w:spacing w:line="276" w:lineRule="auto"/>
              <w:ind w:left="-108" w:right="49"/>
              <w:jc w:val="both"/>
              <w:rPr>
                <w:rFonts w:ascii="Palatino Linotype" w:eastAsia="Palatino Linotype" w:hAnsi="Palatino Linotype" w:cs="Palatino Linotype"/>
                <w:color w:val="000000" w:themeColor="text1"/>
                <w:sz w:val="20"/>
                <w:szCs w:val="20"/>
              </w:rPr>
            </w:pPr>
            <w:r w:rsidRPr="00575675">
              <w:rPr>
                <w:rFonts w:ascii="Palatino Linotype" w:eastAsia="Palatino Linotype" w:hAnsi="Palatino Linotype" w:cs="Palatino Linotype"/>
                <w:color w:val="000000" w:themeColor="text1"/>
                <w:sz w:val="20"/>
                <w:szCs w:val="20"/>
              </w:rPr>
              <w:t>Año 2022: 4,826</w:t>
            </w:r>
          </w:p>
          <w:p w14:paraId="68659F45" w14:textId="77777777" w:rsidR="000541DB" w:rsidRPr="00575675" w:rsidRDefault="000541DB" w:rsidP="00A04F04">
            <w:pPr>
              <w:pStyle w:val="Prrafodelista"/>
              <w:pBdr>
                <w:top w:val="nil"/>
                <w:left w:val="nil"/>
                <w:bottom w:val="nil"/>
                <w:right w:val="nil"/>
                <w:between w:val="nil"/>
              </w:pBdr>
              <w:spacing w:line="276" w:lineRule="auto"/>
              <w:ind w:left="-108" w:right="49"/>
              <w:jc w:val="both"/>
              <w:rPr>
                <w:rFonts w:ascii="Palatino Linotype" w:eastAsia="Palatino Linotype" w:hAnsi="Palatino Linotype" w:cs="Palatino Linotype"/>
                <w:color w:val="000000" w:themeColor="text1"/>
                <w:sz w:val="20"/>
                <w:szCs w:val="20"/>
              </w:rPr>
            </w:pPr>
            <w:r w:rsidRPr="00575675">
              <w:rPr>
                <w:rFonts w:ascii="Palatino Linotype" w:eastAsia="Palatino Linotype" w:hAnsi="Palatino Linotype" w:cs="Palatino Linotype"/>
                <w:color w:val="000000" w:themeColor="text1"/>
                <w:sz w:val="20"/>
                <w:szCs w:val="20"/>
              </w:rPr>
              <w:t xml:space="preserve">Avance de </w:t>
            </w:r>
            <w:proofErr w:type="spellStart"/>
            <w:r w:rsidRPr="00575675">
              <w:rPr>
                <w:rFonts w:ascii="Palatino Linotype" w:eastAsia="Palatino Linotype" w:hAnsi="Palatino Linotype" w:cs="Palatino Linotype"/>
                <w:color w:val="000000" w:themeColor="text1"/>
                <w:sz w:val="20"/>
                <w:szCs w:val="20"/>
              </w:rPr>
              <w:t>Solventaciones</w:t>
            </w:r>
            <w:proofErr w:type="spellEnd"/>
            <w:r w:rsidRPr="00575675">
              <w:rPr>
                <w:rFonts w:ascii="Palatino Linotype" w:eastAsia="Palatino Linotype" w:hAnsi="Palatino Linotype" w:cs="Palatino Linotype"/>
                <w:color w:val="000000" w:themeColor="text1"/>
                <w:sz w:val="20"/>
                <w:szCs w:val="20"/>
              </w:rPr>
              <w:t>: 100%</w:t>
            </w:r>
          </w:p>
          <w:p w14:paraId="1627DF2B" w14:textId="77777777" w:rsidR="00BB5D0B" w:rsidRDefault="000541DB" w:rsidP="00BB5D0B">
            <w:pPr>
              <w:pStyle w:val="Prrafodelista"/>
              <w:pBdr>
                <w:top w:val="nil"/>
                <w:left w:val="nil"/>
                <w:bottom w:val="nil"/>
                <w:right w:val="nil"/>
                <w:between w:val="nil"/>
              </w:pBdr>
              <w:spacing w:line="276" w:lineRule="auto"/>
              <w:ind w:left="-108" w:right="49"/>
              <w:jc w:val="both"/>
              <w:rPr>
                <w:rFonts w:ascii="Palatino Linotype" w:eastAsia="Palatino Linotype" w:hAnsi="Palatino Linotype" w:cs="Palatino Linotype"/>
                <w:color w:val="000000" w:themeColor="text1"/>
                <w:sz w:val="20"/>
                <w:szCs w:val="20"/>
              </w:rPr>
            </w:pPr>
            <w:r w:rsidRPr="00575675">
              <w:rPr>
                <w:rFonts w:ascii="Palatino Linotype" w:eastAsia="Palatino Linotype" w:hAnsi="Palatino Linotype" w:cs="Palatino Linotype"/>
                <w:color w:val="000000" w:themeColor="text1"/>
                <w:sz w:val="20"/>
                <w:szCs w:val="20"/>
              </w:rPr>
              <w:t>Año 2023: 6,760</w:t>
            </w:r>
          </w:p>
          <w:p w14:paraId="0832D70C" w14:textId="7076BC6F" w:rsidR="000541DB" w:rsidRPr="00BB5D0B" w:rsidRDefault="000541DB" w:rsidP="00BB5D0B">
            <w:pPr>
              <w:pStyle w:val="Prrafodelista"/>
              <w:pBdr>
                <w:top w:val="nil"/>
                <w:left w:val="nil"/>
                <w:bottom w:val="nil"/>
                <w:right w:val="nil"/>
                <w:between w:val="nil"/>
              </w:pBdr>
              <w:spacing w:line="276" w:lineRule="auto"/>
              <w:ind w:left="-108" w:right="49"/>
              <w:jc w:val="both"/>
              <w:rPr>
                <w:rFonts w:ascii="Palatino Linotype" w:eastAsia="Palatino Linotype" w:hAnsi="Palatino Linotype" w:cs="Palatino Linotype"/>
                <w:color w:val="000000" w:themeColor="text1"/>
                <w:sz w:val="20"/>
                <w:szCs w:val="20"/>
              </w:rPr>
            </w:pPr>
            <w:r w:rsidRPr="00575675">
              <w:rPr>
                <w:rFonts w:ascii="Palatino Linotype" w:eastAsia="Palatino Linotype" w:hAnsi="Palatino Linotype" w:cs="Palatino Linotype"/>
                <w:color w:val="000000" w:themeColor="text1"/>
                <w:sz w:val="20"/>
                <w:szCs w:val="20"/>
              </w:rPr>
              <w:t xml:space="preserve">Avance de </w:t>
            </w:r>
            <w:proofErr w:type="spellStart"/>
            <w:r w:rsidRPr="00575675">
              <w:rPr>
                <w:rFonts w:ascii="Palatino Linotype" w:eastAsia="Palatino Linotype" w:hAnsi="Palatino Linotype" w:cs="Palatino Linotype"/>
                <w:color w:val="000000" w:themeColor="text1"/>
                <w:sz w:val="20"/>
                <w:szCs w:val="20"/>
              </w:rPr>
              <w:t>Solventaciones</w:t>
            </w:r>
            <w:proofErr w:type="spellEnd"/>
            <w:r w:rsidRPr="00575675">
              <w:rPr>
                <w:rFonts w:ascii="Palatino Linotype" w:eastAsia="Palatino Linotype" w:hAnsi="Palatino Linotype" w:cs="Palatino Linotype"/>
                <w:color w:val="000000" w:themeColor="text1"/>
                <w:sz w:val="20"/>
                <w:szCs w:val="20"/>
              </w:rPr>
              <w:t>: 100%</w:t>
            </w:r>
          </w:p>
        </w:tc>
        <w:tc>
          <w:tcPr>
            <w:tcW w:w="2003" w:type="dxa"/>
            <w:vAlign w:val="center"/>
          </w:tcPr>
          <w:p w14:paraId="2170A0D5" w14:textId="4664159C" w:rsidR="000541DB" w:rsidRPr="001F49B5" w:rsidRDefault="00A04F04" w:rsidP="00A04F04">
            <w:pPr>
              <w:jc w:val="center"/>
              <w:rPr>
                <w:sz w:val="20"/>
                <w:szCs w:val="20"/>
              </w:rPr>
            </w:pPr>
            <w:r w:rsidRPr="001F49B5">
              <w:rPr>
                <w:sz w:val="20"/>
                <w:szCs w:val="20"/>
              </w:rPr>
              <w:t>COLMA EN INFORME JUSTIFICADO</w:t>
            </w:r>
          </w:p>
        </w:tc>
      </w:tr>
    </w:tbl>
    <w:p w14:paraId="143FE09A" w14:textId="77777777" w:rsidR="000541DB" w:rsidRDefault="000541DB" w:rsidP="000541DB">
      <w:pPr>
        <w:pStyle w:val="Prrafodelista"/>
        <w:rPr>
          <w:rFonts w:ascii="Palatino Linotype" w:eastAsia="Palatino Linotype" w:hAnsi="Palatino Linotype" w:cs="Palatino Linotype"/>
        </w:rPr>
      </w:pPr>
    </w:p>
    <w:p w14:paraId="353B057C" w14:textId="4DE346A3" w:rsidR="000A0A04" w:rsidRPr="006A0C6A" w:rsidRDefault="00EB0D27" w:rsidP="006A0C6A">
      <w:pPr>
        <w:pStyle w:val="Prrafodelista"/>
        <w:numPr>
          <w:ilvl w:val="0"/>
          <w:numId w:val="2"/>
        </w:numPr>
        <w:spacing w:line="360" w:lineRule="auto"/>
        <w:ind w:left="0" w:right="49" w:firstLine="0"/>
        <w:jc w:val="both"/>
        <w:rPr>
          <w:rFonts w:ascii="Palatino Linotype" w:eastAsia="Palatino Linotype" w:hAnsi="Palatino Linotype" w:cs="Palatino Linotype"/>
        </w:rPr>
      </w:pPr>
      <w:r w:rsidRPr="006A0C6A">
        <w:rPr>
          <w:rFonts w:ascii="Palatino Linotype" w:eastAsia="Palatino Linotype" w:hAnsi="Palatino Linotype" w:cs="Palatino Linotype"/>
        </w:rPr>
        <w:t xml:space="preserve">Con base en lo anterior, se señala </w:t>
      </w:r>
      <w:r w:rsidR="000A0A04" w:rsidRPr="006A0C6A">
        <w:rPr>
          <w:rFonts w:ascii="Palatino Linotype" w:eastAsia="Palatino Linotype" w:hAnsi="Palatino Linotype" w:cs="Palatino Linotype"/>
        </w:rPr>
        <w:t>que el particular no impugn</w:t>
      </w:r>
      <w:r w:rsidRPr="006A0C6A">
        <w:rPr>
          <w:rFonts w:ascii="Palatino Linotype" w:eastAsia="Palatino Linotype" w:hAnsi="Palatino Linotype" w:cs="Palatino Linotype"/>
        </w:rPr>
        <w:t>ó</w:t>
      </w:r>
      <w:r w:rsidR="000A0A04" w:rsidRPr="006A0C6A">
        <w:rPr>
          <w:rFonts w:ascii="Palatino Linotype" w:eastAsia="Palatino Linotype" w:hAnsi="Palatino Linotype" w:cs="Palatino Linotype"/>
        </w:rPr>
        <w:t xml:space="preserve"> </w:t>
      </w:r>
      <w:r w:rsidR="00C21923" w:rsidRPr="006A0C6A">
        <w:rPr>
          <w:rFonts w:ascii="Palatino Linotype" w:eastAsia="Palatino Linotype" w:hAnsi="Palatino Linotype" w:cs="Palatino Linotype"/>
        </w:rPr>
        <w:t xml:space="preserve">todos los puntos de </w:t>
      </w:r>
      <w:r w:rsidR="000A0A04" w:rsidRPr="006A0C6A">
        <w:rPr>
          <w:rFonts w:ascii="Palatino Linotype" w:eastAsia="Palatino Linotype" w:hAnsi="Palatino Linotype" w:cs="Palatino Linotype"/>
        </w:rPr>
        <w:t>lo referente a la respuesta</w:t>
      </w:r>
      <w:r w:rsidRPr="006A0C6A">
        <w:rPr>
          <w:rFonts w:ascii="Palatino Linotype" w:eastAsia="Palatino Linotype" w:hAnsi="Palatino Linotype" w:cs="Palatino Linotype"/>
        </w:rPr>
        <w:t xml:space="preserve"> emitida por el </w:t>
      </w:r>
      <w:r w:rsidR="000A0A04" w:rsidRPr="006A0C6A">
        <w:rPr>
          <w:rFonts w:ascii="Palatino Linotype" w:eastAsia="Palatino Linotype" w:hAnsi="Palatino Linotype" w:cs="Palatino Linotype"/>
          <w:b/>
        </w:rPr>
        <w:t xml:space="preserve">SUJETO OBLIGADO </w:t>
      </w:r>
      <w:r w:rsidR="000A0A04" w:rsidRPr="006A0C6A">
        <w:rPr>
          <w:rFonts w:ascii="Palatino Linotype" w:eastAsia="Palatino Linotype" w:hAnsi="Palatino Linotype" w:cs="Palatino Linotype"/>
        </w:rPr>
        <w:t xml:space="preserve">a la solicitud de información, </w:t>
      </w:r>
      <w:r w:rsidRPr="006A0C6A">
        <w:rPr>
          <w:rFonts w:ascii="Palatino Linotype" w:eastAsia="Palatino Linotype" w:hAnsi="Palatino Linotype" w:cs="Palatino Linotype"/>
        </w:rPr>
        <w:t xml:space="preserve">y en los motivos de inconformidad del </w:t>
      </w:r>
      <w:r w:rsidR="000A0A04" w:rsidRPr="006A0C6A">
        <w:rPr>
          <w:rFonts w:ascii="Palatino Linotype" w:eastAsia="Palatino Linotype" w:hAnsi="Palatino Linotype" w:cs="Palatino Linotype"/>
        </w:rPr>
        <w:t>recurso de revisión</w:t>
      </w:r>
      <w:r w:rsidRPr="006A0C6A">
        <w:rPr>
          <w:rFonts w:ascii="Palatino Linotype" w:eastAsia="Palatino Linotype" w:hAnsi="Palatino Linotype" w:cs="Palatino Linotype"/>
        </w:rPr>
        <w:t xml:space="preserve">, sólo </w:t>
      </w:r>
      <w:r w:rsidR="000A0A04" w:rsidRPr="006A0C6A">
        <w:rPr>
          <w:rFonts w:ascii="Palatino Linotype" w:eastAsia="Palatino Linotype" w:hAnsi="Palatino Linotype" w:cs="Palatino Linotype"/>
        </w:rPr>
        <w:t>impugna lo relacionado a</w:t>
      </w:r>
      <w:r w:rsidRPr="006A0C6A">
        <w:rPr>
          <w:rFonts w:ascii="Palatino Linotype" w:eastAsia="Palatino Linotype" w:hAnsi="Palatino Linotype" w:cs="Palatino Linotype"/>
        </w:rPr>
        <w:t>:</w:t>
      </w:r>
      <w:r w:rsidR="000A0A04" w:rsidRPr="006A0C6A">
        <w:rPr>
          <w:rFonts w:ascii="Palatino Linotype" w:eastAsia="Palatino Linotype" w:hAnsi="Palatino Linotype" w:cs="Palatino Linotype"/>
        </w:rPr>
        <w:t xml:space="preserve"> </w:t>
      </w:r>
      <w:r w:rsidR="000A0A04" w:rsidRPr="006A0C6A">
        <w:rPr>
          <w:rFonts w:ascii="Palatino Linotype" w:eastAsia="Palatino Linotype" w:hAnsi="Palatino Linotype" w:cs="Palatino Linotype"/>
          <w:b/>
          <w:i/>
        </w:rPr>
        <w:t>“</w:t>
      </w:r>
      <w:r w:rsidR="00C21923" w:rsidRPr="006A0C6A">
        <w:rPr>
          <w:rFonts w:ascii="Palatino Linotype" w:eastAsia="Palatino Linotype" w:hAnsi="Palatino Linotype" w:cs="Palatino Linotype"/>
          <w:b/>
          <w:i/>
        </w:rPr>
        <w:t xml:space="preserve">Dentro de la solicitud de información se cuestiona el número de elementos aprobados con restricciones durante el ejercicio 2022 y 2023 y que avance de </w:t>
      </w:r>
      <w:proofErr w:type="spellStart"/>
      <w:r w:rsidR="00C21923" w:rsidRPr="006A0C6A">
        <w:rPr>
          <w:rFonts w:ascii="Palatino Linotype" w:eastAsia="Palatino Linotype" w:hAnsi="Palatino Linotype" w:cs="Palatino Linotype"/>
          <w:b/>
          <w:i/>
        </w:rPr>
        <w:t>solventación</w:t>
      </w:r>
      <w:proofErr w:type="spellEnd"/>
      <w:r w:rsidR="00C21923" w:rsidRPr="006A0C6A">
        <w:rPr>
          <w:rFonts w:ascii="Palatino Linotype" w:eastAsia="Palatino Linotype" w:hAnsi="Palatino Linotype" w:cs="Palatino Linotype"/>
          <w:b/>
          <w:i/>
        </w:rPr>
        <w:t xml:space="preserve"> se tiene”</w:t>
      </w:r>
      <w:r w:rsidRPr="006A0C6A">
        <w:rPr>
          <w:rFonts w:ascii="Palatino Linotype" w:eastAsia="Palatino Linotype" w:hAnsi="Palatino Linotype" w:cs="Palatino Linotype"/>
          <w:b/>
          <w:iCs/>
        </w:rPr>
        <w:t>;</w:t>
      </w:r>
      <w:r w:rsidR="00C21923" w:rsidRPr="006A0C6A">
        <w:rPr>
          <w:rFonts w:ascii="Palatino Linotype" w:eastAsia="Palatino Linotype" w:hAnsi="Palatino Linotype" w:cs="Palatino Linotype"/>
        </w:rPr>
        <w:t xml:space="preserve"> luego entonces, </w:t>
      </w:r>
      <w:r w:rsidR="000A0A04" w:rsidRPr="006A0C6A">
        <w:rPr>
          <w:rFonts w:ascii="Palatino Linotype" w:eastAsia="Palatino Linotype" w:hAnsi="Palatino Linotype" w:cs="Palatino Linotype"/>
        </w:rPr>
        <w:t xml:space="preserve">respecto de la solicitud  inicial </w:t>
      </w:r>
      <w:r w:rsidR="00CA3010" w:rsidRPr="006A0C6A">
        <w:rPr>
          <w:rFonts w:ascii="Palatino Linotype" w:eastAsia="Palatino Linotype" w:hAnsi="Palatino Linotype" w:cs="Palatino Linotype"/>
        </w:rPr>
        <w:t>d</w:t>
      </w:r>
      <w:r w:rsidR="000A0A04" w:rsidRPr="006A0C6A">
        <w:rPr>
          <w:rFonts w:ascii="Palatino Linotype" w:eastAsia="Palatino Linotype" w:hAnsi="Palatino Linotype" w:cs="Palatino Linotype"/>
        </w:rPr>
        <w:t xml:space="preserve">el </w:t>
      </w:r>
      <w:r w:rsidR="000A0A04" w:rsidRPr="006A0C6A">
        <w:rPr>
          <w:rFonts w:ascii="Palatino Linotype" w:eastAsia="Palatino Linotype" w:hAnsi="Palatino Linotype" w:cs="Palatino Linotype"/>
          <w:b/>
        </w:rPr>
        <w:t>RECURRENTE</w:t>
      </w:r>
      <w:r w:rsidR="00CA3010" w:rsidRPr="006A0C6A">
        <w:rPr>
          <w:rFonts w:ascii="Palatino Linotype" w:eastAsia="Palatino Linotype" w:hAnsi="Palatino Linotype" w:cs="Palatino Linotype"/>
          <w:b/>
        </w:rPr>
        <w:t>,</w:t>
      </w:r>
      <w:r w:rsidR="000A0A04" w:rsidRPr="006A0C6A">
        <w:rPr>
          <w:rFonts w:ascii="Palatino Linotype" w:eastAsia="Palatino Linotype" w:hAnsi="Palatino Linotype" w:cs="Palatino Linotype"/>
          <w:b/>
        </w:rPr>
        <w:t xml:space="preserve"> </w:t>
      </w:r>
      <w:r w:rsidR="00C21923" w:rsidRPr="006A0C6A">
        <w:rPr>
          <w:rFonts w:ascii="Palatino Linotype" w:eastAsia="Palatino Linotype" w:hAnsi="Palatino Linotype" w:cs="Palatino Linotype"/>
        </w:rPr>
        <w:t xml:space="preserve">al no </w:t>
      </w:r>
      <w:r w:rsidR="000A0A04" w:rsidRPr="006A0C6A">
        <w:rPr>
          <w:rFonts w:ascii="Palatino Linotype" w:eastAsia="Palatino Linotype" w:hAnsi="Palatino Linotype" w:cs="Palatino Linotype"/>
        </w:rPr>
        <w:t>impugna</w:t>
      </w:r>
      <w:r w:rsidR="00C21923" w:rsidRPr="006A0C6A">
        <w:rPr>
          <w:rFonts w:ascii="Palatino Linotype" w:eastAsia="Palatino Linotype" w:hAnsi="Palatino Linotype" w:cs="Palatino Linotype"/>
        </w:rPr>
        <w:t>r</w:t>
      </w:r>
      <w:r w:rsidR="000A0A04" w:rsidRPr="006A0C6A">
        <w:rPr>
          <w:rFonts w:ascii="Palatino Linotype" w:eastAsia="Palatino Linotype" w:hAnsi="Palatino Linotype" w:cs="Palatino Linotype"/>
        </w:rPr>
        <w:t xml:space="preserve"> </w:t>
      </w:r>
      <w:r w:rsidR="00C21923" w:rsidRPr="006A0C6A">
        <w:rPr>
          <w:rFonts w:ascii="Palatino Linotype" w:eastAsia="Palatino Linotype" w:hAnsi="Palatino Linotype" w:cs="Palatino Linotype"/>
        </w:rPr>
        <w:t xml:space="preserve">todos los puntos de </w:t>
      </w:r>
      <w:r w:rsidR="000A0A04" w:rsidRPr="006A0C6A">
        <w:rPr>
          <w:rFonts w:ascii="Palatino Linotype" w:eastAsia="Palatino Linotype" w:hAnsi="Palatino Linotype" w:cs="Palatino Linotype"/>
        </w:rPr>
        <w:t>la respuesta entregada</w:t>
      </w:r>
      <w:r w:rsidR="00C21923" w:rsidRPr="006A0C6A">
        <w:rPr>
          <w:rFonts w:ascii="Palatino Linotype" w:eastAsia="Palatino Linotype" w:hAnsi="Palatino Linotype" w:cs="Palatino Linotype"/>
        </w:rPr>
        <w:t>,</w:t>
      </w:r>
      <w:r w:rsidR="000A0A04" w:rsidRPr="006A0C6A">
        <w:rPr>
          <w:rFonts w:ascii="Palatino Linotype" w:eastAsia="Palatino Linotype" w:hAnsi="Palatino Linotype" w:cs="Palatino Linotype"/>
        </w:rPr>
        <w:t xml:space="preserve"> </w:t>
      </w:r>
      <w:r w:rsidR="00CA3010" w:rsidRPr="006A0C6A">
        <w:rPr>
          <w:rFonts w:ascii="Palatino Linotype" w:eastAsia="Palatino Linotype" w:hAnsi="Palatino Linotype" w:cs="Palatino Linotype"/>
        </w:rPr>
        <w:t xml:space="preserve">respecto de los no impugnados, deben tenerse </w:t>
      </w:r>
      <w:r w:rsidR="000A0A04" w:rsidRPr="006A0C6A">
        <w:rPr>
          <w:rFonts w:ascii="Palatino Linotype" w:eastAsia="Palatino Linotype" w:hAnsi="Palatino Linotype" w:cs="Palatino Linotype"/>
        </w:rPr>
        <w:t>como actos consentidos. De tal forma que, la</w:t>
      </w:r>
      <w:r w:rsidR="00C21923" w:rsidRPr="006A0C6A">
        <w:rPr>
          <w:rFonts w:ascii="Palatino Linotype" w:eastAsia="Palatino Linotype" w:hAnsi="Palatino Linotype" w:cs="Palatino Linotype"/>
        </w:rPr>
        <w:t>s</w:t>
      </w:r>
      <w:r w:rsidR="000A0A04" w:rsidRPr="006A0C6A">
        <w:rPr>
          <w:rFonts w:ascii="Palatino Linotype" w:eastAsia="Palatino Linotype" w:hAnsi="Palatino Linotype" w:cs="Palatino Linotype"/>
        </w:rPr>
        <w:t xml:space="preserve"> parte</w:t>
      </w:r>
      <w:r w:rsidR="00C21923" w:rsidRPr="006A0C6A">
        <w:rPr>
          <w:rFonts w:ascii="Palatino Linotype" w:eastAsia="Palatino Linotype" w:hAnsi="Palatino Linotype" w:cs="Palatino Linotype"/>
        </w:rPr>
        <w:t>s</w:t>
      </w:r>
      <w:r w:rsidR="000A0A04" w:rsidRPr="006A0C6A">
        <w:rPr>
          <w:rFonts w:ascii="Palatino Linotype" w:eastAsia="Palatino Linotype" w:hAnsi="Palatino Linotype" w:cs="Palatino Linotype"/>
        </w:rPr>
        <w:t xml:space="preserve"> de la solicitud que no fue</w:t>
      </w:r>
      <w:r w:rsidR="00C21923" w:rsidRPr="006A0C6A">
        <w:rPr>
          <w:rFonts w:ascii="Palatino Linotype" w:eastAsia="Palatino Linotype" w:hAnsi="Palatino Linotype" w:cs="Palatino Linotype"/>
        </w:rPr>
        <w:t>ron</w:t>
      </w:r>
      <w:r w:rsidR="000A0A04" w:rsidRPr="006A0C6A">
        <w:rPr>
          <w:rFonts w:ascii="Palatino Linotype" w:eastAsia="Palatino Linotype" w:hAnsi="Palatino Linotype" w:cs="Palatino Linotype"/>
        </w:rPr>
        <w:t xml:space="preserve"> impugnada</w:t>
      </w:r>
      <w:r w:rsidR="00A21ED3">
        <w:rPr>
          <w:rFonts w:ascii="Palatino Linotype" w:eastAsia="Palatino Linotype" w:hAnsi="Palatino Linotype" w:cs="Palatino Linotype"/>
        </w:rPr>
        <w:t>s</w:t>
      </w:r>
      <w:r w:rsidR="000A0A04" w:rsidRPr="006A0C6A">
        <w:rPr>
          <w:rFonts w:ascii="Palatino Linotype" w:eastAsia="Palatino Linotype" w:hAnsi="Palatino Linotype" w:cs="Palatino Linotype"/>
        </w:rPr>
        <w:t xml:space="preserve"> debe</w:t>
      </w:r>
      <w:r w:rsidR="00A21ED3">
        <w:rPr>
          <w:rFonts w:ascii="Palatino Linotype" w:eastAsia="Palatino Linotype" w:hAnsi="Palatino Linotype" w:cs="Palatino Linotype"/>
        </w:rPr>
        <w:t>n</w:t>
      </w:r>
      <w:r w:rsidR="000A0A04" w:rsidRPr="006A0C6A">
        <w:rPr>
          <w:rFonts w:ascii="Palatino Linotype" w:eastAsia="Palatino Linotype" w:hAnsi="Palatino Linotype" w:cs="Palatino Linotype"/>
        </w:rPr>
        <w:t xml:space="preserve"> declararse consentida</w:t>
      </w:r>
      <w:r w:rsidR="00C21923" w:rsidRPr="006A0C6A">
        <w:rPr>
          <w:rFonts w:ascii="Palatino Linotype" w:eastAsia="Palatino Linotype" w:hAnsi="Palatino Linotype" w:cs="Palatino Linotype"/>
        </w:rPr>
        <w:t>s</w:t>
      </w:r>
      <w:r w:rsidR="000A0A04" w:rsidRPr="006A0C6A">
        <w:rPr>
          <w:rFonts w:ascii="Palatino Linotype" w:eastAsia="Palatino Linotype" w:hAnsi="Palatino Linotype" w:cs="Palatino Linotype"/>
        </w:rPr>
        <w:t>, toda vez que al no realizar manifestaciones de inconformidad</w:t>
      </w:r>
      <w:r w:rsidR="00A21ED3">
        <w:rPr>
          <w:rFonts w:ascii="Palatino Linotype" w:eastAsia="Palatino Linotype" w:hAnsi="Palatino Linotype" w:cs="Palatino Linotype"/>
        </w:rPr>
        <w:t xml:space="preserve">, </w:t>
      </w:r>
      <w:r w:rsidR="000A0A04" w:rsidRPr="006A0C6A">
        <w:rPr>
          <w:rFonts w:ascii="Palatino Linotype" w:eastAsia="Palatino Linotype" w:hAnsi="Palatino Linotype" w:cs="Palatino Linotype"/>
        </w:rPr>
        <w:t xml:space="preserve">no pueden producirse </w:t>
      </w:r>
      <w:r w:rsidR="000A0A04" w:rsidRPr="006A0C6A">
        <w:rPr>
          <w:rFonts w:ascii="Palatino Linotype" w:eastAsia="Calibri" w:hAnsi="Palatino Linotype" w:cs="Arial"/>
          <w:lang w:val="es-ES_tradnl" w:eastAsia="es-ES"/>
        </w:rPr>
        <w:t>efectos</w:t>
      </w:r>
      <w:r w:rsidR="000A0A04" w:rsidRPr="006A0C6A">
        <w:rPr>
          <w:rFonts w:ascii="Palatino Linotype" w:eastAsia="Palatino Linotype" w:hAnsi="Palatino Linotype" w:cs="Palatino Linotype"/>
        </w:rPr>
        <w:t xml:space="preserve"> jurídicos tendentes a revocar, confirmar o modificar el acto reclamado, ya que no realizó manifestación alguna al respecto. </w:t>
      </w:r>
    </w:p>
    <w:p w14:paraId="3A06CCDA" w14:textId="181E75A4" w:rsidR="000A0A04" w:rsidRPr="006A0C6A" w:rsidRDefault="000A0A04" w:rsidP="006A0C6A">
      <w:pPr>
        <w:pStyle w:val="Prrafodelista"/>
        <w:numPr>
          <w:ilvl w:val="0"/>
          <w:numId w:val="2"/>
        </w:numPr>
        <w:spacing w:line="360" w:lineRule="auto"/>
        <w:ind w:left="0" w:right="49" w:firstLine="0"/>
        <w:jc w:val="both"/>
        <w:rPr>
          <w:rFonts w:ascii="Palatino Linotype" w:eastAsia="Palatino Linotype" w:hAnsi="Palatino Linotype" w:cs="Palatino Linotype"/>
        </w:rPr>
      </w:pPr>
      <w:r w:rsidRPr="006A0C6A">
        <w:rPr>
          <w:rFonts w:ascii="Palatino Linotype" w:eastAsia="Palatino Linotype" w:hAnsi="Palatino Linotype" w:cs="Palatino Linotype"/>
        </w:rPr>
        <w:lastRenderedPageBreak/>
        <w:t>Sirve de sustento, la tesis jurisprudencial número VI.3o.C. J/60, publicada en el Semanario Judicial de la Federación y su Gaceta bajo el número de registro 176,608 que a la letra dice:</w:t>
      </w:r>
    </w:p>
    <w:p w14:paraId="31ED98B8" w14:textId="77777777" w:rsidR="000A0A04" w:rsidRPr="001356A5" w:rsidRDefault="000A0A04" w:rsidP="000A0A04">
      <w:pPr>
        <w:pStyle w:val="Prrafodelista"/>
        <w:spacing w:line="360" w:lineRule="auto"/>
        <w:rPr>
          <w:rFonts w:ascii="Palatino Linotype" w:eastAsia="Palatino Linotype" w:hAnsi="Palatino Linotype" w:cs="Palatino Linotype"/>
        </w:rPr>
      </w:pPr>
    </w:p>
    <w:p w14:paraId="0308964D" w14:textId="77777777" w:rsidR="000A0A04" w:rsidRPr="001356A5" w:rsidRDefault="000A0A04" w:rsidP="000A0A04">
      <w:pPr>
        <w:pStyle w:val="Prrafodelista"/>
        <w:tabs>
          <w:tab w:val="left" w:pos="851"/>
        </w:tabs>
        <w:spacing w:line="360" w:lineRule="auto"/>
        <w:ind w:left="502" w:right="616"/>
        <w:jc w:val="both"/>
        <w:rPr>
          <w:rFonts w:ascii="Palatino Linotype" w:eastAsia="Palatino Linotype" w:hAnsi="Palatino Linotype" w:cs="Palatino Linotype"/>
          <w:i/>
        </w:rPr>
      </w:pPr>
      <w:r w:rsidRPr="001356A5">
        <w:rPr>
          <w:rFonts w:ascii="Palatino Linotype" w:eastAsia="Palatino Linotype" w:hAnsi="Palatino Linotype" w:cs="Palatino Linotype"/>
          <w:b/>
          <w:i/>
        </w:rPr>
        <w:t xml:space="preserve">“ACTOS CONSENTIDOS. SON LOS QUE NO SE IMPUGNAN MEDIANTE EL RECURSO IDÓNEO. </w:t>
      </w:r>
      <w:r w:rsidRPr="001356A5">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B7AB813" w14:textId="77777777" w:rsidR="000A0A04" w:rsidRPr="001356A5" w:rsidRDefault="000A0A04" w:rsidP="000A0A04">
      <w:pPr>
        <w:pStyle w:val="Prrafodelista"/>
        <w:spacing w:line="360" w:lineRule="auto"/>
        <w:ind w:left="502"/>
        <w:jc w:val="both"/>
        <w:rPr>
          <w:rFonts w:ascii="Palatino Linotype" w:eastAsia="Palatino Linotype" w:hAnsi="Palatino Linotype" w:cs="Palatino Linotype"/>
        </w:rPr>
      </w:pPr>
    </w:p>
    <w:p w14:paraId="2DF4A246" w14:textId="0D474AFB" w:rsidR="000A0A04" w:rsidRPr="006A0C6A" w:rsidRDefault="000A0A04" w:rsidP="006A0C6A">
      <w:pPr>
        <w:pStyle w:val="Prrafodelista"/>
        <w:numPr>
          <w:ilvl w:val="0"/>
          <w:numId w:val="2"/>
        </w:numPr>
        <w:spacing w:line="360" w:lineRule="auto"/>
        <w:ind w:left="0" w:right="49" w:firstLine="0"/>
        <w:jc w:val="both"/>
        <w:rPr>
          <w:rFonts w:ascii="Palatino Linotype" w:eastAsia="Palatino Linotype" w:hAnsi="Palatino Linotype" w:cs="Palatino Linotype"/>
        </w:rPr>
      </w:pPr>
      <w:r w:rsidRPr="006A0C6A">
        <w:rPr>
          <w:rFonts w:ascii="Palatino Linotype" w:eastAsia="Palatino Linotype" w:hAnsi="Palatino Linotype" w:cs="Palatino Linotype"/>
        </w:rPr>
        <w:t xml:space="preserve">De la interpretación del criterio antes citado, se advierte que cuando el particular impugnó la respuesta del </w:t>
      </w:r>
      <w:r w:rsidRPr="006A0C6A">
        <w:rPr>
          <w:rFonts w:ascii="Palatino Linotype" w:eastAsia="Palatino Linotype" w:hAnsi="Palatino Linotype" w:cs="Palatino Linotype"/>
          <w:b/>
        </w:rPr>
        <w:t>SUJETO OBLIGADO</w:t>
      </w:r>
      <w:r w:rsidRPr="006A0C6A">
        <w:rPr>
          <w:rFonts w:ascii="Palatino Linotype" w:eastAsia="Palatino Linotype" w:hAnsi="Palatino Linotype" w:cs="Palatino Linotype"/>
        </w:rPr>
        <w:t xml:space="preserve">, no expresó razón o motivo de inconformidad en contra de </w:t>
      </w:r>
      <w:r w:rsidR="00C21923" w:rsidRPr="006A0C6A">
        <w:rPr>
          <w:rFonts w:ascii="Palatino Linotype" w:eastAsia="Palatino Linotype" w:hAnsi="Palatino Linotype" w:cs="Palatino Linotype"/>
        </w:rPr>
        <w:t xml:space="preserve">todos </w:t>
      </w:r>
      <w:r w:rsidRPr="006A0C6A">
        <w:rPr>
          <w:rFonts w:ascii="Palatino Linotype" w:eastAsia="Palatino Linotype" w:hAnsi="Palatino Linotype" w:cs="Palatino Linotype"/>
        </w:rPr>
        <w:t>los rubros solicitados</w:t>
      </w:r>
      <w:r w:rsidR="00A21ED3">
        <w:rPr>
          <w:rFonts w:ascii="Palatino Linotype" w:eastAsia="Palatino Linotype" w:hAnsi="Palatino Linotype" w:cs="Palatino Linotype"/>
        </w:rPr>
        <w:t xml:space="preserve">; </w:t>
      </w:r>
      <w:r w:rsidRPr="006A0C6A">
        <w:rPr>
          <w:rFonts w:ascii="Palatino Linotype" w:eastAsia="Palatino Linotype" w:hAnsi="Palatino Linotype" w:cs="Palatino Linotype"/>
        </w:rPr>
        <w:t>por tanto</w:t>
      </w:r>
      <w:r w:rsidR="00A21ED3">
        <w:rPr>
          <w:rFonts w:ascii="Palatino Linotype" w:eastAsia="Palatino Linotype" w:hAnsi="Palatino Linotype" w:cs="Palatino Linotype"/>
        </w:rPr>
        <w:t>,</w:t>
      </w:r>
      <w:r w:rsidRPr="006A0C6A">
        <w:rPr>
          <w:rFonts w:ascii="Palatino Linotype" w:eastAsia="Palatino Linotype" w:hAnsi="Palatino Linotype" w:cs="Palatino Linotype"/>
        </w:rPr>
        <w:t xml:space="preserve"> estos deben declararse atendidos, entend</w:t>
      </w:r>
      <w:r w:rsidR="00C21923" w:rsidRPr="006A0C6A">
        <w:rPr>
          <w:rFonts w:ascii="Palatino Linotype" w:eastAsia="Palatino Linotype" w:hAnsi="Palatino Linotype" w:cs="Palatino Linotype"/>
        </w:rPr>
        <w:t>i</w:t>
      </w:r>
      <w:r w:rsidRPr="006A0C6A">
        <w:rPr>
          <w:rFonts w:ascii="Palatino Linotype" w:eastAsia="Palatino Linotype" w:hAnsi="Palatino Linotype" w:cs="Palatino Linotype"/>
        </w:rPr>
        <w:t>e</w:t>
      </w:r>
      <w:r w:rsidR="00C21923" w:rsidRPr="006A0C6A">
        <w:rPr>
          <w:rFonts w:ascii="Palatino Linotype" w:eastAsia="Palatino Linotype" w:hAnsi="Palatino Linotype" w:cs="Palatino Linotype"/>
        </w:rPr>
        <w:t>ndo</w:t>
      </w:r>
      <w:r w:rsidRPr="006A0C6A">
        <w:rPr>
          <w:rFonts w:ascii="Palatino Linotype" w:eastAsia="Palatino Linotype" w:hAnsi="Palatino Linotype" w:cs="Palatino Linotype"/>
        </w:rPr>
        <w:t xml:space="preserve"> que </w:t>
      </w:r>
      <w:r w:rsidRPr="006A0C6A">
        <w:rPr>
          <w:rFonts w:ascii="Palatino Linotype" w:eastAsia="Palatino Linotype" w:hAnsi="Palatino Linotype" w:cs="Palatino Linotype"/>
          <w:b/>
        </w:rPr>
        <w:t>EL RECURRENTE</w:t>
      </w:r>
      <w:r w:rsidRPr="006A0C6A">
        <w:rPr>
          <w:rFonts w:ascii="Palatino Linotype" w:eastAsia="Palatino Linotype" w:hAnsi="Palatino Linotype" w:cs="Palatino Linotype"/>
        </w:rPr>
        <w:t xml:space="preserve"> está conforme con </w:t>
      </w:r>
      <w:r w:rsidR="00C21923" w:rsidRPr="006A0C6A">
        <w:rPr>
          <w:rFonts w:ascii="Palatino Linotype" w:eastAsia="Palatino Linotype" w:hAnsi="Palatino Linotype" w:cs="Palatino Linotype"/>
        </w:rPr>
        <w:t xml:space="preserve">los puntos de </w:t>
      </w:r>
      <w:r w:rsidRPr="006A0C6A">
        <w:rPr>
          <w:rFonts w:ascii="Palatino Linotype" w:eastAsia="Palatino Linotype" w:hAnsi="Palatino Linotype" w:cs="Palatino Linotype"/>
        </w:rPr>
        <w:t xml:space="preserve">la respuesta proporcionada por </w:t>
      </w:r>
      <w:r w:rsidRPr="006A0C6A">
        <w:rPr>
          <w:rFonts w:ascii="Palatino Linotype" w:eastAsia="Palatino Linotype" w:hAnsi="Palatino Linotype" w:cs="Palatino Linotype"/>
          <w:b/>
        </w:rPr>
        <w:t>EL SUJETO OBLIGADO,</w:t>
      </w:r>
      <w:r w:rsidRPr="006A0C6A">
        <w:rPr>
          <w:rFonts w:ascii="Palatino Linotype" w:eastAsia="Palatino Linotype" w:hAnsi="Palatino Linotype" w:cs="Palatino Linotype"/>
        </w:rPr>
        <w:t xml:space="preserve"> al no contravenir l</w:t>
      </w:r>
      <w:r w:rsidR="00C21923" w:rsidRPr="006A0C6A">
        <w:rPr>
          <w:rFonts w:ascii="Palatino Linotype" w:eastAsia="Palatino Linotype" w:hAnsi="Palatino Linotype" w:cs="Palatino Linotype"/>
        </w:rPr>
        <w:t>os</w:t>
      </w:r>
      <w:r w:rsidRPr="006A0C6A">
        <w:rPr>
          <w:rFonts w:ascii="Palatino Linotype" w:eastAsia="Palatino Linotype" w:hAnsi="Palatino Linotype" w:cs="Palatino Linotype"/>
        </w:rPr>
        <w:t xml:space="preserve"> mism</w:t>
      </w:r>
      <w:r w:rsidR="00C21923" w:rsidRPr="006A0C6A">
        <w:rPr>
          <w:rFonts w:ascii="Palatino Linotype" w:eastAsia="Palatino Linotype" w:hAnsi="Palatino Linotype" w:cs="Palatino Linotype"/>
        </w:rPr>
        <w:t>os</w:t>
      </w:r>
      <w:r w:rsidRPr="006A0C6A">
        <w:rPr>
          <w:rFonts w:ascii="Palatino Linotype" w:eastAsia="Palatino Linotype" w:hAnsi="Palatino Linotype" w:cs="Palatino Linotype"/>
        </w:rPr>
        <w:t>.</w:t>
      </w:r>
      <w:r w:rsidR="00C21923" w:rsidRPr="006A0C6A">
        <w:rPr>
          <w:rFonts w:ascii="Palatino Linotype" w:eastAsia="Palatino Linotype" w:hAnsi="Palatino Linotype" w:cs="Palatino Linotype"/>
        </w:rPr>
        <w:t xml:space="preserve"> </w:t>
      </w:r>
    </w:p>
    <w:p w14:paraId="1D021B18" w14:textId="77777777" w:rsidR="000A0A04" w:rsidRPr="001356A5" w:rsidRDefault="000A0A04" w:rsidP="000A0A04">
      <w:pPr>
        <w:spacing w:line="360" w:lineRule="auto"/>
        <w:ind w:right="49"/>
        <w:contextualSpacing/>
        <w:jc w:val="both"/>
        <w:rPr>
          <w:rFonts w:ascii="Palatino Linotype" w:eastAsia="Palatino Linotype" w:hAnsi="Palatino Linotype" w:cs="Palatino Linotype"/>
        </w:rPr>
      </w:pPr>
    </w:p>
    <w:p w14:paraId="74D61C04" w14:textId="1EA3EBED" w:rsidR="000A0A04" w:rsidRPr="00B75191" w:rsidRDefault="000A0A04" w:rsidP="00B75191">
      <w:pPr>
        <w:pStyle w:val="Prrafodelista"/>
        <w:numPr>
          <w:ilvl w:val="0"/>
          <w:numId w:val="2"/>
        </w:numPr>
        <w:spacing w:line="360" w:lineRule="auto"/>
        <w:ind w:left="0" w:right="49" w:firstLine="0"/>
        <w:jc w:val="both"/>
        <w:rPr>
          <w:rFonts w:ascii="Palatino Linotype" w:eastAsia="Palatino Linotype" w:hAnsi="Palatino Linotype" w:cs="Palatino Linotype"/>
        </w:rPr>
      </w:pPr>
      <w:r w:rsidRPr="00B75191">
        <w:rPr>
          <w:rFonts w:ascii="Palatino Linotype" w:eastAsia="Palatino Linotype" w:hAnsi="Palatino Linotype" w:cs="Palatino Linotype"/>
        </w:rPr>
        <w:lastRenderedPageBreak/>
        <w:t>Atento a ello, es importante traer a contexto la Tesis Jurisprudencial Número 3ª./J.7/91, Publicada en el Semanario Judicial de la Federación y su Gaceta bajo el número de registro 174,177, que establece lo siguiente:</w:t>
      </w:r>
    </w:p>
    <w:p w14:paraId="54FDBD6A" w14:textId="77777777" w:rsidR="000A0A04" w:rsidRPr="001356A5" w:rsidRDefault="000A0A04" w:rsidP="000A0A04">
      <w:pPr>
        <w:pStyle w:val="Prrafodelista"/>
        <w:tabs>
          <w:tab w:val="left" w:pos="7937"/>
          <w:tab w:val="left" w:pos="8222"/>
        </w:tabs>
        <w:spacing w:line="360" w:lineRule="auto"/>
        <w:ind w:left="502" w:right="901"/>
        <w:jc w:val="both"/>
        <w:rPr>
          <w:rFonts w:ascii="Palatino Linotype" w:eastAsia="Palatino Linotype" w:hAnsi="Palatino Linotype" w:cs="Palatino Linotype"/>
          <w:b/>
          <w:i/>
        </w:rPr>
      </w:pPr>
    </w:p>
    <w:p w14:paraId="25585E01" w14:textId="77777777" w:rsidR="000A0A04" w:rsidRPr="001356A5" w:rsidRDefault="000A0A04" w:rsidP="000A0A04">
      <w:pPr>
        <w:pStyle w:val="Prrafodelista"/>
        <w:tabs>
          <w:tab w:val="left" w:pos="7937"/>
          <w:tab w:val="left" w:pos="8222"/>
        </w:tabs>
        <w:spacing w:line="360" w:lineRule="auto"/>
        <w:ind w:left="502" w:right="901"/>
        <w:jc w:val="both"/>
        <w:rPr>
          <w:rFonts w:ascii="Palatino Linotype" w:eastAsia="Palatino Linotype" w:hAnsi="Palatino Linotype" w:cs="Palatino Linotype"/>
          <w:i/>
        </w:rPr>
      </w:pPr>
      <w:r w:rsidRPr="001356A5">
        <w:rPr>
          <w:rFonts w:ascii="Palatino Linotype" w:eastAsia="Palatino Linotype" w:hAnsi="Palatino Linotype" w:cs="Palatino Linotype"/>
          <w:b/>
          <w:i/>
        </w:rPr>
        <w:t xml:space="preserve">“REVISIÓN EN AMPARO. LOS RESOLUTIVOS NO COMBATIDOS DEBEN DECLARARSE FIRMES. </w:t>
      </w:r>
      <w:r w:rsidRPr="001356A5">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4A1B25AD" w14:textId="77777777" w:rsidR="000A0A04" w:rsidRPr="001356A5" w:rsidRDefault="000A0A04" w:rsidP="000A0A04">
      <w:pPr>
        <w:pStyle w:val="Prrafodelista"/>
        <w:tabs>
          <w:tab w:val="left" w:pos="7937"/>
          <w:tab w:val="left" w:pos="8222"/>
        </w:tabs>
        <w:spacing w:line="360" w:lineRule="auto"/>
        <w:ind w:left="502" w:right="901"/>
        <w:jc w:val="both"/>
        <w:rPr>
          <w:rFonts w:ascii="Palatino Linotype" w:eastAsia="Palatino Linotype" w:hAnsi="Palatino Linotype" w:cs="Palatino Linotype"/>
          <w:i/>
        </w:rPr>
      </w:pPr>
    </w:p>
    <w:p w14:paraId="0E814B79" w14:textId="1986FD03" w:rsidR="000A0A04" w:rsidRPr="00AD0B7D" w:rsidRDefault="000A0A04" w:rsidP="00AD0B7D">
      <w:pPr>
        <w:pStyle w:val="Prrafodelista"/>
        <w:numPr>
          <w:ilvl w:val="0"/>
          <w:numId w:val="2"/>
        </w:numPr>
        <w:spacing w:line="360" w:lineRule="auto"/>
        <w:ind w:left="0" w:right="49" w:firstLine="0"/>
        <w:jc w:val="both"/>
        <w:rPr>
          <w:rFonts w:ascii="Palatino Linotype" w:eastAsia="Palatino Linotype" w:hAnsi="Palatino Linotype" w:cs="Palatino Linotype"/>
        </w:rPr>
      </w:pPr>
      <w:r w:rsidRPr="00AD0B7D">
        <w:rPr>
          <w:rFonts w:ascii="Palatino Linotype" w:eastAsia="Palatino Linotype" w:hAnsi="Palatino Linotype" w:cs="Palatino Linotype"/>
        </w:rPr>
        <w:t xml:space="preserve">En </w:t>
      </w:r>
      <w:r w:rsidR="00284DB4" w:rsidRPr="00AD0B7D">
        <w:rPr>
          <w:rFonts w:ascii="Palatino Linotype" w:eastAsia="Palatino Linotype" w:hAnsi="Palatino Linotype" w:cs="Palatino Linotype"/>
        </w:rPr>
        <w:t>consecuencia,</w:t>
      </w:r>
      <w:r w:rsidRPr="00AD0B7D">
        <w:rPr>
          <w:rFonts w:ascii="Palatino Linotype" w:eastAsia="Palatino Linotype" w:hAnsi="Palatino Linotype" w:cs="Palatino Linotype"/>
        </w:rPr>
        <w:t xml:space="preserve"> que los demás fundamentos remitidos en respuesta</w:t>
      </w:r>
      <w:r w:rsidR="00692E2B" w:rsidRPr="00AD0B7D">
        <w:rPr>
          <w:rFonts w:ascii="Palatino Linotype" w:eastAsia="Palatino Linotype" w:hAnsi="Palatino Linotype" w:cs="Palatino Linotype"/>
        </w:rPr>
        <w:t xml:space="preserve"> s</w:t>
      </w:r>
      <w:r w:rsidRPr="00AD0B7D">
        <w:rPr>
          <w:rFonts w:ascii="Palatino Linotype" w:eastAsia="Palatino Linotype" w:hAnsi="Palatino Linotype" w:cs="Palatino Linotype"/>
        </w:rPr>
        <w:t xml:space="preserve">e consideran un acto consentido y, </w:t>
      </w:r>
      <w:r w:rsidR="00692E2B" w:rsidRPr="00AD0B7D">
        <w:rPr>
          <w:rFonts w:ascii="Palatino Linotype" w:eastAsia="Palatino Linotype" w:hAnsi="Palatino Linotype" w:cs="Palatino Linotype"/>
        </w:rPr>
        <w:t>por lo tanto</w:t>
      </w:r>
      <w:r w:rsidRPr="00AD0B7D">
        <w:rPr>
          <w:rFonts w:ascii="Palatino Linotype" w:eastAsia="Palatino Linotype" w:hAnsi="Palatino Linotype" w:cs="Palatino Linotype"/>
        </w:rPr>
        <w:t xml:space="preserve">, este Órgano Resolutor no entrará al estudio del mismo por las razones hasta aquí expuestas. </w:t>
      </w:r>
    </w:p>
    <w:p w14:paraId="11390A78" w14:textId="77777777" w:rsidR="000A0A04" w:rsidRPr="001356A5" w:rsidRDefault="000A0A04" w:rsidP="000A0A04"/>
    <w:p w14:paraId="124A5D53" w14:textId="6ECC46E5" w:rsidR="000D12BB" w:rsidRPr="00AD0B7D" w:rsidRDefault="00872439" w:rsidP="00AD0B7D">
      <w:pPr>
        <w:pStyle w:val="Prrafodelista"/>
        <w:numPr>
          <w:ilvl w:val="0"/>
          <w:numId w:val="2"/>
        </w:numPr>
        <w:spacing w:line="360" w:lineRule="auto"/>
        <w:ind w:left="0" w:right="49" w:firstLine="0"/>
        <w:jc w:val="both"/>
        <w:rPr>
          <w:rFonts w:ascii="Palatino Linotype" w:hAnsi="Palatino Linotype"/>
          <w:bCs/>
          <w:color w:val="000000" w:themeColor="text1"/>
          <w:lang w:val="es-ES_tradnl"/>
        </w:rPr>
      </w:pPr>
      <w:r w:rsidRPr="00AD0B7D">
        <w:rPr>
          <w:rFonts w:ascii="Palatino Linotype" w:hAnsi="Palatino Linotype"/>
          <w:color w:val="000000" w:themeColor="text1"/>
        </w:rPr>
        <w:t>A</w:t>
      </w:r>
      <w:r w:rsidR="000804F0" w:rsidRPr="00AD0B7D">
        <w:rPr>
          <w:rFonts w:ascii="Palatino Linotype" w:hAnsi="Palatino Linotype"/>
          <w:color w:val="000000" w:themeColor="text1"/>
        </w:rPr>
        <w:t xml:space="preserve">hora bien, por cuanto hace a los motivos de inconformidad planteados en el recurso de revisión </w:t>
      </w:r>
      <w:r w:rsidR="000804F0" w:rsidRPr="00AD0B7D">
        <w:rPr>
          <w:rFonts w:ascii="Palatino Linotype" w:eastAsia="Palatino Linotype" w:hAnsi="Palatino Linotype" w:cs="Palatino Linotype"/>
          <w:b/>
          <w:color w:val="000000" w:themeColor="text1"/>
        </w:rPr>
        <w:t xml:space="preserve">04678/INFOEM/IP/RR/2024, </w:t>
      </w:r>
      <w:r w:rsidR="000804F0" w:rsidRPr="00AD0B7D">
        <w:rPr>
          <w:rFonts w:ascii="Palatino Linotype" w:eastAsia="Palatino Linotype" w:hAnsi="Palatino Linotype" w:cs="Palatino Linotype"/>
          <w:bCs/>
          <w:color w:val="000000" w:themeColor="text1"/>
        </w:rPr>
        <w:t xml:space="preserve">derivado de la solicitud de información </w:t>
      </w:r>
      <w:r w:rsidR="000804F0" w:rsidRPr="00AD0B7D">
        <w:rPr>
          <w:rFonts w:ascii="Palatino Linotype" w:eastAsia="Palatino Linotype" w:hAnsi="Palatino Linotype" w:cs="Palatino Linotype"/>
          <w:b/>
          <w:color w:val="000000" w:themeColor="text1"/>
        </w:rPr>
        <w:t>00325/SSEM/IP/2024</w:t>
      </w:r>
      <w:r w:rsidR="000804F0" w:rsidRPr="00AD0B7D">
        <w:rPr>
          <w:rFonts w:ascii="Palatino Linotype" w:eastAsia="Palatino Linotype" w:hAnsi="Palatino Linotype" w:cs="Palatino Linotype"/>
          <w:bCs/>
          <w:color w:val="000000" w:themeColor="text1"/>
        </w:rPr>
        <w:t>,</w:t>
      </w:r>
      <w:r w:rsidR="00A9452C" w:rsidRPr="00AD0B7D">
        <w:rPr>
          <w:rFonts w:ascii="Palatino Linotype" w:eastAsia="Palatino Linotype" w:hAnsi="Palatino Linotype" w:cs="Palatino Linotype"/>
          <w:bCs/>
          <w:color w:val="000000" w:themeColor="text1"/>
        </w:rPr>
        <w:t xml:space="preserve"> se desprende</w:t>
      </w:r>
      <w:r w:rsidR="00CB0C5E" w:rsidRPr="00AD0B7D">
        <w:rPr>
          <w:rFonts w:ascii="Palatino Linotype" w:eastAsia="Palatino Linotype" w:hAnsi="Palatino Linotype" w:cs="Palatino Linotype"/>
          <w:bCs/>
          <w:color w:val="000000" w:themeColor="text1"/>
        </w:rPr>
        <w:t xml:space="preserve"> que éstos consistieron en: </w:t>
      </w:r>
      <w:r w:rsidR="00A9452C" w:rsidRPr="00AD0B7D">
        <w:rPr>
          <w:rFonts w:ascii="Palatino Linotype" w:eastAsia="Palatino Linotype" w:hAnsi="Palatino Linotype" w:cs="Palatino Linotype"/>
          <w:bCs/>
          <w:color w:val="000000" w:themeColor="text1"/>
        </w:rPr>
        <w:t xml:space="preserve">: </w:t>
      </w:r>
      <w:r w:rsidR="00A9452C" w:rsidRPr="00AD0B7D">
        <w:rPr>
          <w:rFonts w:ascii="Palatino Linotype" w:eastAsia="Palatino Linotype" w:hAnsi="Palatino Linotype" w:cs="Palatino Linotype"/>
          <w:b/>
          <w:i/>
        </w:rPr>
        <w:t xml:space="preserve">“Dentro de la solicitud de información se cuestiona el número de elementos aprobados con </w:t>
      </w:r>
      <w:r w:rsidR="00A9452C" w:rsidRPr="00AD0B7D">
        <w:rPr>
          <w:rFonts w:ascii="Palatino Linotype" w:eastAsia="Palatino Linotype" w:hAnsi="Palatino Linotype" w:cs="Palatino Linotype"/>
          <w:b/>
          <w:i/>
        </w:rPr>
        <w:lastRenderedPageBreak/>
        <w:t xml:space="preserve">restricciones durante el ejercicio 2022 y 2023 y que avance de </w:t>
      </w:r>
      <w:proofErr w:type="spellStart"/>
      <w:r w:rsidR="00A9452C" w:rsidRPr="00AD0B7D">
        <w:rPr>
          <w:rFonts w:ascii="Palatino Linotype" w:eastAsia="Palatino Linotype" w:hAnsi="Palatino Linotype" w:cs="Palatino Linotype"/>
          <w:b/>
          <w:i/>
        </w:rPr>
        <w:t>solventación</w:t>
      </w:r>
      <w:proofErr w:type="spellEnd"/>
      <w:r w:rsidR="00A9452C" w:rsidRPr="00AD0B7D">
        <w:rPr>
          <w:rFonts w:ascii="Palatino Linotype" w:eastAsia="Palatino Linotype" w:hAnsi="Palatino Linotype" w:cs="Palatino Linotype"/>
          <w:b/>
          <w:i/>
        </w:rPr>
        <w:t xml:space="preserve"> se tiene”</w:t>
      </w:r>
      <w:r w:rsidR="00A9452C" w:rsidRPr="00AD0B7D">
        <w:rPr>
          <w:rFonts w:ascii="Palatino Linotype" w:eastAsia="Palatino Linotype" w:hAnsi="Palatino Linotype" w:cs="Palatino Linotype"/>
          <w:b/>
          <w:iCs/>
        </w:rPr>
        <w:t>;</w:t>
      </w:r>
      <w:r w:rsidR="00CB0C5E" w:rsidRPr="00AD0B7D">
        <w:rPr>
          <w:rFonts w:ascii="Palatino Linotype" w:eastAsia="Palatino Linotype" w:hAnsi="Palatino Linotype" w:cs="Palatino Linotype"/>
          <w:b/>
          <w:iCs/>
        </w:rPr>
        <w:t xml:space="preserve"> </w:t>
      </w:r>
      <w:r w:rsidR="00CB0C5E" w:rsidRPr="00AD0B7D">
        <w:rPr>
          <w:rFonts w:ascii="Palatino Linotype" w:eastAsia="Palatino Linotype" w:hAnsi="Palatino Linotype" w:cs="Palatino Linotype"/>
          <w:bCs/>
          <w:iCs/>
        </w:rPr>
        <w:t xml:space="preserve"> por lo que en atención a ello, </w:t>
      </w:r>
      <w:r w:rsidR="0058584B" w:rsidRPr="00AD0B7D">
        <w:rPr>
          <w:rFonts w:ascii="Palatino Linotype" w:eastAsia="Palatino Linotype" w:hAnsi="Palatino Linotype" w:cs="Palatino Linotype"/>
          <w:bCs/>
          <w:iCs/>
        </w:rPr>
        <w:t>n</w:t>
      </w:r>
      <w:r w:rsidR="000D12BB" w:rsidRPr="00AD0B7D">
        <w:rPr>
          <w:rFonts w:ascii="Palatino Linotype" w:hAnsi="Palatino Linotype"/>
          <w:color w:val="000000" w:themeColor="text1"/>
          <w:lang w:val="es-ES_tradnl"/>
        </w:rPr>
        <w:t xml:space="preserve">o pasa desapercibido a este Instituto que el Sujeto Obligado, remitió en su Informe Justificado </w:t>
      </w:r>
      <w:r w:rsidR="0058584B" w:rsidRPr="00AD0B7D">
        <w:rPr>
          <w:rFonts w:ascii="Palatino Linotype" w:hAnsi="Palatino Linotype"/>
          <w:color w:val="000000" w:themeColor="text1"/>
          <w:lang w:val="es-ES_tradnl"/>
        </w:rPr>
        <w:t>la estadística referente a</w:t>
      </w:r>
      <w:r w:rsidR="00A14AE3" w:rsidRPr="00AD0B7D">
        <w:rPr>
          <w:rFonts w:ascii="Palatino Linotype" w:hAnsi="Palatino Linotype"/>
          <w:color w:val="000000" w:themeColor="text1"/>
          <w:lang w:val="es-ES_tradnl"/>
        </w:rPr>
        <w:t>l número de elementos integrantes de la Secretaría de Seguridad</w:t>
      </w:r>
      <w:r w:rsidR="00B547ED" w:rsidRPr="00AD0B7D">
        <w:rPr>
          <w:rFonts w:ascii="Palatino Linotype" w:hAnsi="Palatino Linotype"/>
          <w:color w:val="000000" w:themeColor="text1"/>
          <w:lang w:val="es-ES_tradnl"/>
        </w:rPr>
        <w:t xml:space="preserve"> aprobados con restricciones, correspondientes a los años 2022 y 2023, y que a la fecha habían sido solventadas con un avance del 100% en las mismas</w:t>
      </w:r>
      <w:r w:rsidR="00B547ED" w:rsidRPr="00AD0B7D">
        <w:rPr>
          <w:rFonts w:ascii="Palatino Linotype" w:eastAsia="Palatino Linotype" w:hAnsi="Palatino Linotype" w:cs="Palatino Linotype"/>
          <w:color w:val="000000" w:themeColor="text1"/>
          <w:sz w:val="20"/>
          <w:szCs w:val="20"/>
        </w:rPr>
        <w:t>.</w:t>
      </w:r>
      <w:r w:rsidR="000D12BB" w:rsidRPr="00AD0B7D">
        <w:rPr>
          <w:rFonts w:ascii="Palatino Linotype" w:hAnsi="Palatino Linotype"/>
          <w:color w:val="000000" w:themeColor="text1"/>
          <w:lang w:val="es-ES_tradnl"/>
        </w:rPr>
        <w:t xml:space="preserve"> De tal forma que,</w:t>
      </w:r>
      <w:r w:rsidR="00B547ED" w:rsidRPr="00AD0B7D">
        <w:rPr>
          <w:rFonts w:ascii="Palatino Linotype" w:hAnsi="Palatino Linotype"/>
          <w:color w:val="000000" w:themeColor="text1"/>
          <w:lang w:val="es-ES_tradnl"/>
        </w:rPr>
        <w:t xml:space="preserve"> con la información proporcionada</w:t>
      </w:r>
      <w:r w:rsidR="00857157" w:rsidRPr="00AD0B7D">
        <w:rPr>
          <w:rFonts w:ascii="Palatino Linotype" w:hAnsi="Palatino Linotype"/>
          <w:color w:val="000000" w:themeColor="text1"/>
          <w:lang w:val="es-ES_tradnl"/>
        </w:rPr>
        <w:t xml:space="preserve"> y al haberse atendido con ello en su totalidad la información solicitada en un inicio, </w:t>
      </w:r>
      <w:r w:rsidR="000D12BB" w:rsidRPr="00AD0B7D">
        <w:rPr>
          <w:rFonts w:ascii="Palatino Linotype" w:hAnsi="Palatino Linotype"/>
          <w:bCs/>
          <w:color w:val="000000" w:themeColor="text1"/>
          <w:lang w:val="es-ES_tradnl"/>
        </w:rPr>
        <w:t>se debe tener por colmad</w:t>
      </w:r>
      <w:r w:rsidR="00857157" w:rsidRPr="00AD0B7D">
        <w:rPr>
          <w:rFonts w:ascii="Palatino Linotype" w:hAnsi="Palatino Linotype"/>
          <w:bCs/>
          <w:color w:val="000000" w:themeColor="text1"/>
          <w:lang w:val="es-ES_tradnl"/>
        </w:rPr>
        <w:t>o</w:t>
      </w:r>
      <w:r w:rsidR="000D12BB" w:rsidRPr="00AD0B7D">
        <w:rPr>
          <w:rFonts w:ascii="Palatino Linotype" w:hAnsi="Palatino Linotype"/>
          <w:bCs/>
          <w:color w:val="000000" w:themeColor="text1"/>
          <w:lang w:val="es-ES_tradnl"/>
        </w:rPr>
        <w:t xml:space="preserve"> el requerimiento</w:t>
      </w:r>
      <w:r w:rsidR="00857157" w:rsidRPr="00AD0B7D">
        <w:rPr>
          <w:rFonts w:ascii="Palatino Linotype" w:hAnsi="Palatino Linotype"/>
          <w:bCs/>
          <w:color w:val="000000" w:themeColor="text1"/>
          <w:lang w:val="es-ES_tradnl"/>
        </w:rPr>
        <w:t xml:space="preserve"> de información. </w:t>
      </w:r>
    </w:p>
    <w:p w14:paraId="49EAE177" w14:textId="77777777" w:rsidR="000D12BB" w:rsidRPr="000D12BB" w:rsidRDefault="000D12BB" w:rsidP="000D12BB">
      <w:pPr>
        <w:spacing w:line="360" w:lineRule="auto"/>
        <w:ind w:right="49"/>
        <w:contextualSpacing/>
        <w:jc w:val="both"/>
        <w:rPr>
          <w:rFonts w:ascii="Palatino Linotype" w:hAnsi="Palatino Linotype"/>
          <w:color w:val="000000" w:themeColor="text1"/>
          <w:lang w:val="es-ES_tradnl"/>
        </w:rPr>
      </w:pPr>
    </w:p>
    <w:p w14:paraId="2E0D3F85" w14:textId="3745C8DE" w:rsidR="00C8400D" w:rsidRPr="00AD0B7D" w:rsidRDefault="000D12BB" w:rsidP="00AD0B7D">
      <w:pPr>
        <w:pStyle w:val="Prrafodelista"/>
        <w:numPr>
          <w:ilvl w:val="0"/>
          <w:numId w:val="2"/>
        </w:numPr>
        <w:spacing w:line="360" w:lineRule="auto"/>
        <w:ind w:left="0" w:right="49" w:firstLine="0"/>
        <w:jc w:val="both"/>
        <w:rPr>
          <w:rFonts w:ascii="Palatino Linotype" w:hAnsi="Palatino Linotype"/>
          <w:color w:val="000000" w:themeColor="text1"/>
        </w:rPr>
      </w:pPr>
      <w:r w:rsidRPr="00AD0B7D">
        <w:rPr>
          <w:rFonts w:ascii="Palatino Linotype" w:hAnsi="Palatino Linotype"/>
          <w:color w:val="000000" w:themeColor="text1"/>
          <w:lang w:val="es-ES_tradnl"/>
        </w:rPr>
        <w:t>Consecuentemente</w:t>
      </w:r>
      <w:r w:rsidRPr="00AD0B7D">
        <w:rPr>
          <w:rFonts w:ascii="Palatino Linotype" w:hAnsi="Palatino Linotype"/>
          <w:color w:val="000000" w:themeColor="text1"/>
          <w:lang w:val="es-ES"/>
        </w:rPr>
        <w:t xml:space="preserve">, conviene recordar que la Ley de Transparencia de la entidad, en su artículo 192, contempla la figura jurídica del sobreseimiento, y específicamente en su hipótesis contenida en la fracción V, refiere que se sobreseerá el asunto cuando el recurso de revisión quede sin materia por cualquier motivo; lo que en el presente caso ocurrió, </w:t>
      </w:r>
      <w:r w:rsidR="00C8400D" w:rsidRPr="00AD0B7D">
        <w:rPr>
          <w:rFonts w:ascii="Palatino Linotype" w:hAnsi="Palatino Linotype"/>
          <w:color w:val="000000" w:themeColor="text1"/>
          <w:lang w:val="es-ES"/>
        </w:rPr>
        <w:t xml:space="preserve">puesto que </w:t>
      </w:r>
      <w:r w:rsidR="00C8400D" w:rsidRPr="00AD0B7D">
        <w:rPr>
          <w:rFonts w:ascii="Palatino Linotype" w:hAnsi="Palatino Linotype"/>
          <w:color w:val="000000" w:themeColor="text1"/>
        </w:rPr>
        <w:t xml:space="preserve">la información remitida mediante informe justificado, subsanó la respuesta otorgada en un primer momento, ello debido a que si bien, en la respuesta inicial del </w:t>
      </w:r>
      <w:r w:rsidR="00C8400D" w:rsidRPr="00AD0B7D">
        <w:rPr>
          <w:rFonts w:ascii="Palatino Linotype" w:hAnsi="Palatino Linotype"/>
          <w:b/>
          <w:color w:val="000000" w:themeColor="text1"/>
        </w:rPr>
        <w:t>SUJETO OBLIGADO</w:t>
      </w:r>
      <w:r w:rsidR="00C8400D" w:rsidRPr="00AD0B7D">
        <w:rPr>
          <w:rFonts w:ascii="Palatino Linotype" w:hAnsi="Palatino Linotype"/>
          <w:color w:val="000000" w:themeColor="text1"/>
        </w:rPr>
        <w:t xml:space="preserve"> no anexo la totalidad de la información solicitada, se aprecia que en el informe justificado proporcionó la misma, modificando con ello el sentido de la presente resolución. </w:t>
      </w:r>
    </w:p>
    <w:p w14:paraId="034A50A8" w14:textId="77777777" w:rsidR="00C8400D" w:rsidRDefault="00C8400D" w:rsidP="00C8400D">
      <w:pPr>
        <w:spacing w:line="360" w:lineRule="auto"/>
        <w:ind w:right="49"/>
        <w:contextualSpacing/>
        <w:jc w:val="both"/>
        <w:rPr>
          <w:rFonts w:ascii="Palatino Linotype" w:hAnsi="Palatino Linotype"/>
          <w:color w:val="000000" w:themeColor="text1"/>
        </w:rPr>
      </w:pPr>
    </w:p>
    <w:p w14:paraId="15B72BCC" w14:textId="743626D2" w:rsidR="00C8400D" w:rsidRPr="00161EBE" w:rsidRDefault="00C8400D" w:rsidP="00161EBE">
      <w:pPr>
        <w:pStyle w:val="Prrafodelista"/>
        <w:numPr>
          <w:ilvl w:val="0"/>
          <w:numId w:val="2"/>
        </w:numPr>
        <w:spacing w:line="360" w:lineRule="auto"/>
        <w:ind w:left="0" w:right="49" w:firstLine="0"/>
        <w:jc w:val="both"/>
        <w:rPr>
          <w:rFonts w:ascii="Palatino Linotype" w:eastAsia="MS Mincho" w:hAnsi="Palatino Linotype"/>
          <w:b/>
          <w:color w:val="000000" w:themeColor="text1"/>
          <w:lang w:eastAsia="es-ES_tradnl"/>
        </w:rPr>
      </w:pPr>
      <w:r w:rsidRPr="00161EBE">
        <w:rPr>
          <w:rFonts w:ascii="Palatino Linotype" w:hAnsi="Palatino Linotype"/>
          <w:color w:val="000000" w:themeColor="text1"/>
        </w:rPr>
        <w:t xml:space="preserve">Señalado lo anterior es importante precisar que </w:t>
      </w:r>
      <w:r w:rsidRPr="00161EBE">
        <w:rPr>
          <w:rFonts w:ascii="Palatino Linotype" w:eastAsia="MS Mincho" w:hAnsi="Palatino Linotype"/>
          <w:color w:val="000000" w:themeColor="text1"/>
          <w:lang w:eastAsia="es-ES_tradnl"/>
        </w:rPr>
        <w:t xml:space="preserve">este órgano no está facultado para pronunciarse sobre la veracidad de la información que los Sujetos Obligados </w:t>
      </w:r>
      <w:r w:rsidRPr="00161EBE">
        <w:rPr>
          <w:rFonts w:ascii="Palatino Linotype" w:eastAsia="MS Mincho" w:hAnsi="Palatino Linotype"/>
          <w:color w:val="000000" w:themeColor="text1"/>
          <w:lang w:eastAsia="es-ES_tradnl"/>
        </w:rPr>
        <w:lastRenderedPageBreak/>
        <w:t xml:space="preserve">ponen a disposición de los solicitantes; situación que se aleja de las atribuciones de este Instituto máxime que al momento que ponen a disposición ésta, la misma tiene el carácter oficial y se presume veraz, tan es así que la misma queda registrada en el Sistema de Acceso a la Información Mexiquense </w:t>
      </w:r>
      <w:r w:rsidRPr="00161EBE">
        <w:rPr>
          <w:rFonts w:ascii="Palatino Linotype" w:eastAsia="MS Mincho" w:hAnsi="Palatino Linotype"/>
          <w:b/>
          <w:color w:val="000000" w:themeColor="text1"/>
          <w:lang w:eastAsia="es-ES_tradnl"/>
        </w:rPr>
        <w:t>(SAIMEX).</w:t>
      </w:r>
    </w:p>
    <w:p w14:paraId="2F17DE25" w14:textId="77777777" w:rsidR="00C8400D" w:rsidRPr="008D0041" w:rsidRDefault="00C8400D" w:rsidP="00C8400D">
      <w:pPr>
        <w:spacing w:line="360" w:lineRule="auto"/>
        <w:ind w:right="49"/>
        <w:contextualSpacing/>
        <w:jc w:val="both"/>
        <w:rPr>
          <w:rFonts w:ascii="Palatino Linotype" w:hAnsi="Palatino Linotype" w:cs="Arial"/>
          <w:color w:val="000000" w:themeColor="text1"/>
        </w:rPr>
      </w:pPr>
    </w:p>
    <w:p w14:paraId="41B1EB49" w14:textId="34A238F5" w:rsidR="00C8400D" w:rsidRPr="00161EBE" w:rsidRDefault="00C8400D" w:rsidP="00161EBE">
      <w:pPr>
        <w:pStyle w:val="Prrafodelista"/>
        <w:numPr>
          <w:ilvl w:val="0"/>
          <w:numId w:val="2"/>
        </w:numPr>
        <w:spacing w:line="360" w:lineRule="auto"/>
        <w:ind w:left="0" w:right="49" w:firstLine="0"/>
        <w:jc w:val="both"/>
        <w:rPr>
          <w:rFonts w:ascii="Palatino Linotype" w:hAnsi="Palatino Linotype" w:cs="Arial"/>
          <w:color w:val="000000" w:themeColor="text1"/>
        </w:rPr>
      </w:pPr>
      <w:r w:rsidRPr="00161EBE">
        <w:rPr>
          <w:rFonts w:ascii="Palatino Linotype" w:eastAsia="MS Mincho" w:hAnsi="Palatino Linotype"/>
          <w:color w:val="000000" w:themeColor="text1"/>
          <w:lang w:eastAsia="es-ES_tradnl"/>
        </w:rPr>
        <w:t>Sirviendo de apoyo a lo anterior por analogía, el criterio 31-10 emitido por el ahora Instituto Nacional de Transparencia, Acceso a la Información y Protección de Datos Personales, que a la letra dice:</w:t>
      </w:r>
    </w:p>
    <w:p w14:paraId="619C320C" w14:textId="77777777" w:rsidR="00C8400D" w:rsidRPr="008D0041" w:rsidRDefault="00C8400D" w:rsidP="00C8400D">
      <w:pPr>
        <w:spacing w:line="360" w:lineRule="auto"/>
        <w:ind w:right="49"/>
        <w:contextualSpacing/>
        <w:jc w:val="both"/>
        <w:rPr>
          <w:rFonts w:ascii="Palatino Linotype" w:hAnsi="Palatino Linotype" w:cs="Arial"/>
          <w:color w:val="000000" w:themeColor="text1"/>
        </w:rPr>
      </w:pPr>
    </w:p>
    <w:p w14:paraId="4038F118" w14:textId="77777777" w:rsidR="00C8400D" w:rsidRPr="008D0041" w:rsidRDefault="00C8400D" w:rsidP="00C8400D">
      <w:pPr>
        <w:widowControl w:val="0"/>
        <w:autoSpaceDE w:val="0"/>
        <w:autoSpaceDN w:val="0"/>
        <w:adjustRightInd w:val="0"/>
        <w:spacing w:line="360" w:lineRule="auto"/>
        <w:ind w:left="567" w:right="567"/>
        <w:jc w:val="both"/>
        <w:rPr>
          <w:rFonts w:ascii="Palatino Linotype" w:eastAsia="MS Mincho" w:hAnsi="Palatino Linotype"/>
          <w:i/>
          <w:color w:val="000000" w:themeColor="text1"/>
          <w:sz w:val="22"/>
          <w:lang w:eastAsia="es-ES_tradnl"/>
        </w:rPr>
      </w:pPr>
      <w:r w:rsidRPr="008D0041">
        <w:rPr>
          <w:rFonts w:ascii="Palatino Linotype" w:eastAsia="MS Mincho" w:hAnsi="Palatino Linotype"/>
          <w:b/>
          <w:i/>
          <w:color w:val="000000" w:themeColor="text1"/>
          <w:sz w:val="22"/>
          <w:lang w:eastAsia="es-ES_tradnl"/>
        </w:rPr>
        <w:t xml:space="preserve">“El Instituto Federal de Acceso a la Información y Protección de Datos no cuenta con facultades para pronunciarse respecto de la veracidad de los documentos proporcionados por los sujetos obligados. </w:t>
      </w:r>
      <w:r w:rsidRPr="008D0041">
        <w:rPr>
          <w:rFonts w:ascii="Palatino Linotype" w:eastAsia="MS Mincho" w:hAnsi="Palatino Linotype"/>
          <w:i/>
          <w:color w:val="000000" w:themeColor="text1"/>
          <w:sz w:val="22"/>
          <w:lang w:eastAsia="es-ES_tradnl"/>
        </w:rPr>
        <w:t>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23F241EC" w14:textId="4DCB2FEF" w:rsidR="00C8400D" w:rsidRPr="00161EBE" w:rsidRDefault="00C8400D" w:rsidP="00161EBE">
      <w:pPr>
        <w:pStyle w:val="Prrafodelista"/>
        <w:widowControl w:val="0"/>
        <w:numPr>
          <w:ilvl w:val="0"/>
          <w:numId w:val="2"/>
        </w:numPr>
        <w:autoSpaceDE w:val="0"/>
        <w:autoSpaceDN w:val="0"/>
        <w:adjustRightInd w:val="0"/>
        <w:spacing w:line="360" w:lineRule="auto"/>
        <w:ind w:left="0" w:firstLine="0"/>
        <w:jc w:val="both"/>
        <w:rPr>
          <w:rFonts w:ascii="Palatino Linotype" w:eastAsia="MS Mincho" w:hAnsi="Palatino Linotype"/>
          <w:color w:val="000000" w:themeColor="text1"/>
          <w:lang w:eastAsia="es-ES_tradnl"/>
        </w:rPr>
      </w:pPr>
      <w:r w:rsidRPr="00161EBE">
        <w:rPr>
          <w:rFonts w:ascii="Palatino Linotype" w:eastAsia="MS Mincho" w:hAnsi="Palatino Linotype"/>
          <w:color w:val="000000" w:themeColor="text1"/>
          <w:lang w:eastAsia="es-ES_tradnl"/>
        </w:rPr>
        <w:lastRenderedPageBreak/>
        <w:t xml:space="preserve">Numerales que compelen al </w:t>
      </w:r>
      <w:r w:rsidRPr="00161EBE">
        <w:rPr>
          <w:rFonts w:ascii="Palatino Linotype" w:eastAsia="MS Mincho" w:hAnsi="Palatino Linotype"/>
          <w:b/>
          <w:color w:val="000000" w:themeColor="text1"/>
          <w:lang w:eastAsia="es-ES_tradnl"/>
        </w:rPr>
        <w:t>SUJETO OBLIGADO</w:t>
      </w:r>
      <w:r w:rsidRPr="00161EBE">
        <w:rPr>
          <w:rFonts w:ascii="Palatino Linotype" w:eastAsia="MS Mincho" w:hAnsi="Palatino Linotype"/>
          <w:color w:val="000000" w:themeColor="text1"/>
          <w:lang w:eastAsia="es-ES_tradnl"/>
        </w:rPr>
        <w:t xml:space="preserve"> a apegarse en todo momento a los criterios ya expuestos, impidiendo a este Órgano Colegiado cuestionar la veracidad de la información.</w:t>
      </w:r>
    </w:p>
    <w:p w14:paraId="1FD7AD9D" w14:textId="77777777" w:rsidR="00C8400D" w:rsidRPr="008D0041" w:rsidRDefault="00C8400D" w:rsidP="00C8400D">
      <w:pPr>
        <w:widowControl w:val="0"/>
        <w:autoSpaceDE w:val="0"/>
        <w:autoSpaceDN w:val="0"/>
        <w:adjustRightInd w:val="0"/>
        <w:spacing w:line="360" w:lineRule="auto"/>
        <w:contextualSpacing/>
        <w:jc w:val="both"/>
        <w:rPr>
          <w:rFonts w:ascii="Palatino Linotype" w:eastAsia="MS Mincho" w:hAnsi="Palatino Linotype"/>
          <w:color w:val="000000" w:themeColor="text1"/>
          <w:lang w:eastAsia="es-ES_tradnl"/>
        </w:rPr>
      </w:pPr>
    </w:p>
    <w:p w14:paraId="64885125" w14:textId="7BA47A36" w:rsidR="000D12BB" w:rsidRPr="00AB51C9" w:rsidRDefault="000D12BB" w:rsidP="00C26728">
      <w:pPr>
        <w:pStyle w:val="Prrafodelista"/>
        <w:numPr>
          <w:ilvl w:val="0"/>
          <w:numId w:val="2"/>
        </w:numPr>
        <w:spacing w:line="360" w:lineRule="auto"/>
        <w:ind w:left="0" w:right="49" w:firstLine="0"/>
        <w:jc w:val="both"/>
        <w:rPr>
          <w:rFonts w:ascii="Palatino Linotype" w:hAnsi="Palatino Linotype"/>
          <w:color w:val="000000" w:themeColor="text1"/>
          <w:lang w:val="es-ES"/>
        </w:rPr>
      </w:pPr>
      <w:r w:rsidRPr="00AB51C9">
        <w:rPr>
          <w:rFonts w:ascii="Palatino Linotype" w:hAnsi="Palatino Linotype"/>
          <w:color w:val="000000" w:themeColor="text1"/>
          <w:lang w:val="es-ES"/>
        </w:rPr>
        <w:t xml:space="preserve">En conclusión, toda vez que el Sujeto Obligado colmó los requerimientos del Recurrente plasmados en la solicitud de información </w:t>
      </w:r>
      <w:r w:rsidR="00730B62" w:rsidRPr="00AB51C9">
        <w:rPr>
          <w:rFonts w:ascii="Palatino Linotype" w:eastAsia="Palatino Linotype" w:hAnsi="Palatino Linotype" w:cs="Palatino Linotype"/>
          <w:b/>
          <w:color w:val="000000" w:themeColor="text1"/>
        </w:rPr>
        <w:t>00325/SSEM/IP/2024</w:t>
      </w:r>
      <w:r w:rsidRPr="00AB51C9">
        <w:rPr>
          <w:rFonts w:ascii="Palatino Linotype" w:hAnsi="Palatino Linotype"/>
          <w:color w:val="000000" w:themeColor="text1"/>
          <w:lang w:val="es-ES_tradnl"/>
        </w:rPr>
        <w:t>,</w:t>
      </w:r>
      <w:r w:rsidRPr="00AB51C9">
        <w:rPr>
          <w:rFonts w:ascii="Palatino Linotype" w:hAnsi="Palatino Linotype"/>
          <w:bCs/>
          <w:color w:val="000000" w:themeColor="text1"/>
          <w:lang w:val="es-ES_tradnl"/>
        </w:rPr>
        <w:t xml:space="preserve"> </w:t>
      </w:r>
      <w:r w:rsidRPr="00AB51C9">
        <w:rPr>
          <w:rFonts w:ascii="Palatino Linotype" w:hAnsi="Palatino Linotype"/>
          <w:color w:val="000000" w:themeColor="text1"/>
          <w:lang w:val="es-ES"/>
        </w:rPr>
        <w:t>con la rendición del Informe Justificado; por ende, se considera que no existen ya extremos legales para la procedencia de</w:t>
      </w:r>
      <w:r w:rsidR="00730B62" w:rsidRPr="00AB51C9">
        <w:rPr>
          <w:rFonts w:ascii="Palatino Linotype" w:hAnsi="Palatino Linotype"/>
          <w:color w:val="000000" w:themeColor="text1"/>
          <w:lang w:val="es-ES"/>
        </w:rPr>
        <w:t xml:space="preserve">l </w:t>
      </w:r>
      <w:r w:rsidRPr="00AB51C9">
        <w:rPr>
          <w:rFonts w:ascii="Palatino Linotype" w:hAnsi="Palatino Linotype"/>
          <w:color w:val="000000" w:themeColor="text1"/>
          <w:lang w:val="es-ES"/>
        </w:rPr>
        <w:t>recurso de revisión</w:t>
      </w:r>
      <w:r w:rsidR="00730B62" w:rsidRPr="00AB51C9">
        <w:rPr>
          <w:rFonts w:ascii="Palatino Linotype" w:hAnsi="Palatino Linotype"/>
          <w:color w:val="000000" w:themeColor="text1"/>
          <w:lang w:val="es-ES"/>
        </w:rPr>
        <w:t xml:space="preserve"> derivado</w:t>
      </w:r>
      <w:r w:rsidRPr="00AB51C9">
        <w:rPr>
          <w:rFonts w:ascii="Palatino Linotype" w:hAnsi="Palatino Linotype"/>
          <w:color w:val="000000" w:themeColor="text1"/>
          <w:lang w:val="es-ES"/>
        </w:rPr>
        <w:t>,</w:t>
      </w:r>
      <w:r w:rsidR="00291DF0" w:rsidRPr="00AB51C9">
        <w:rPr>
          <w:rFonts w:ascii="Palatino Linotype" w:hAnsi="Palatino Linotype"/>
          <w:color w:val="000000" w:themeColor="text1"/>
          <w:lang w:val="es-ES"/>
        </w:rPr>
        <w:t xml:space="preserve"> al haber quedado sin materia, </w:t>
      </w:r>
      <w:r w:rsidRPr="00AB51C9">
        <w:rPr>
          <w:rFonts w:ascii="Palatino Linotype" w:hAnsi="Palatino Linotype"/>
          <w:color w:val="000000" w:themeColor="text1"/>
          <w:lang w:val="es-ES"/>
        </w:rPr>
        <w:t xml:space="preserve">lo que conlleva a decretar el sobreseimiento. Es así como se advierte que en el caso en concreto se actualiza la causal de sobreseimiento prevista en la fracción </w:t>
      </w:r>
      <w:r w:rsidR="001B4D7C" w:rsidRPr="00AB51C9">
        <w:rPr>
          <w:rFonts w:ascii="Palatino Linotype" w:hAnsi="Palatino Linotype"/>
          <w:color w:val="000000" w:themeColor="text1"/>
          <w:lang w:val="es-ES"/>
        </w:rPr>
        <w:t>III</w:t>
      </w:r>
      <w:r w:rsidR="00B57753" w:rsidRPr="00AB51C9">
        <w:rPr>
          <w:rFonts w:ascii="Palatino Linotype" w:hAnsi="Palatino Linotype"/>
          <w:color w:val="000000" w:themeColor="text1"/>
          <w:lang w:val="es-ES"/>
        </w:rPr>
        <w:t>,</w:t>
      </w:r>
      <w:r w:rsidRPr="00AB51C9">
        <w:rPr>
          <w:rFonts w:ascii="Palatino Linotype" w:hAnsi="Palatino Linotype"/>
          <w:color w:val="000000" w:themeColor="text1"/>
          <w:lang w:val="es-ES"/>
        </w:rPr>
        <w:t xml:space="preserve"> del artículo 192</w:t>
      </w:r>
      <w:r w:rsidR="00B57753" w:rsidRPr="00AB51C9">
        <w:rPr>
          <w:rFonts w:ascii="Palatino Linotype" w:hAnsi="Palatino Linotype"/>
          <w:color w:val="000000" w:themeColor="text1"/>
          <w:lang w:val="es-ES"/>
        </w:rPr>
        <w:t>,</w:t>
      </w:r>
      <w:r w:rsidRPr="00AB51C9">
        <w:rPr>
          <w:rFonts w:ascii="Palatino Linotype" w:hAnsi="Palatino Linotype"/>
          <w:color w:val="000000" w:themeColor="text1"/>
          <w:lang w:val="es-ES"/>
        </w:rPr>
        <w:t xml:space="preserve"> de la Ley de Transparencia y Acceso a la Información Pública del Estado de México y Municipio, que a la letra establece:</w:t>
      </w:r>
    </w:p>
    <w:p w14:paraId="5C9DDCB2" w14:textId="77777777" w:rsidR="000D12BB" w:rsidRPr="00AB51C9" w:rsidRDefault="000D12BB" w:rsidP="000D12BB">
      <w:pPr>
        <w:spacing w:line="360" w:lineRule="auto"/>
        <w:ind w:right="49"/>
        <w:contextualSpacing/>
        <w:jc w:val="both"/>
        <w:rPr>
          <w:rFonts w:ascii="Palatino Linotype" w:hAnsi="Palatino Linotype"/>
          <w:color w:val="000000" w:themeColor="text1"/>
          <w:lang w:val="es-ES_tradnl"/>
        </w:rPr>
      </w:pPr>
    </w:p>
    <w:p w14:paraId="2F2873DA" w14:textId="77777777" w:rsidR="000D12BB" w:rsidRPr="00AB51C9" w:rsidRDefault="000D12BB" w:rsidP="00284DB4">
      <w:pPr>
        <w:spacing w:line="276" w:lineRule="auto"/>
        <w:ind w:left="851" w:right="1105"/>
        <w:contextualSpacing/>
        <w:jc w:val="both"/>
        <w:rPr>
          <w:rFonts w:ascii="Palatino Linotype" w:hAnsi="Palatino Linotype"/>
          <w:i/>
          <w:color w:val="000000" w:themeColor="text1"/>
          <w:sz w:val="22"/>
          <w:szCs w:val="22"/>
          <w:lang w:val="es-ES_tradnl"/>
        </w:rPr>
      </w:pPr>
      <w:r w:rsidRPr="00AB51C9">
        <w:rPr>
          <w:rFonts w:ascii="Palatino Linotype" w:hAnsi="Palatino Linotype"/>
          <w:b/>
          <w:i/>
          <w:color w:val="000000" w:themeColor="text1"/>
          <w:sz w:val="22"/>
          <w:szCs w:val="22"/>
          <w:lang w:val="es-ES_tradnl"/>
        </w:rPr>
        <w:t xml:space="preserve">Artículo 192. </w:t>
      </w:r>
      <w:r w:rsidRPr="00AB51C9">
        <w:rPr>
          <w:rFonts w:ascii="Palatino Linotype" w:hAnsi="Palatino Linotype"/>
          <w:i/>
          <w:color w:val="000000" w:themeColor="text1"/>
          <w:sz w:val="22"/>
          <w:szCs w:val="22"/>
          <w:lang w:val="es-ES_tradnl"/>
        </w:rPr>
        <w:t>El recurso será sobreseído, en todo o en parte, cuando una vez admitido, se actualicen alguno de los siguientes supuestos:</w:t>
      </w:r>
    </w:p>
    <w:p w14:paraId="3DF14E35" w14:textId="77777777" w:rsidR="000D12BB" w:rsidRPr="00AB51C9" w:rsidRDefault="000D12BB" w:rsidP="00284DB4">
      <w:pPr>
        <w:spacing w:line="276" w:lineRule="auto"/>
        <w:ind w:left="851" w:right="1105"/>
        <w:contextualSpacing/>
        <w:jc w:val="both"/>
        <w:rPr>
          <w:rFonts w:ascii="Palatino Linotype" w:hAnsi="Palatino Linotype"/>
          <w:i/>
          <w:color w:val="000000" w:themeColor="text1"/>
          <w:sz w:val="22"/>
          <w:szCs w:val="22"/>
          <w:lang w:val="es-ES"/>
        </w:rPr>
      </w:pPr>
      <w:r w:rsidRPr="00AB51C9">
        <w:rPr>
          <w:rFonts w:ascii="Palatino Linotype" w:hAnsi="Palatino Linotype"/>
          <w:i/>
          <w:color w:val="000000" w:themeColor="text1"/>
          <w:sz w:val="22"/>
          <w:szCs w:val="22"/>
          <w:lang w:val="es-ES"/>
        </w:rPr>
        <w:t>[…]</w:t>
      </w:r>
    </w:p>
    <w:p w14:paraId="6D522330" w14:textId="1091DCBA" w:rsidR="000D12BB" w:rsidRPr="00284DB4" w:rsidRDefault="001B4D7C" w:rsidP="00284DB4">
      <w:pPr>
        <w:spacing w:line="276" w:lineRule="auto"/>
        <w:ind w:left="851" w:right="1105"/>
        <w:contextualSpacing/>
        <w:jc w:val="both"/>
        <w:rPr>
          <w:rFonts w:ascii="Palatino Linotype" w:hAnsi="Palatino Linotype"/>
          <w:b/>
          <w:i/>
          <w:color w:val="000000" w:themeColor="text1"/>
          <w:sz w:val="22"/>
          <w:szCs w:val="22"/>
          <w:lang w:val="es-ES_tradnl"/>
        </w:rPr>
      </w:pPr>
      <w:r w:rsidRPr="00AB51C9">
        <w:rPr>
          <w:rFonts w:ascii="Palatino Linotype" w:hAnsi="Palatino Linotype"/>
          <w:b/>
          <w:i/>
          <w:color w:val="000000" w:themeColor="text1"/>
          <w:sz w:val="22"/>
          <w:szCs w:val="22"/>
          <w:lang w:val="es-ES_tradnl"/>
        </w:rPr>
        <w:t>III</w:t>
      </w:r>
      <w:r w:rsidR="000D12BB" w:rsidRPr="00AB51C9">
        <w:rPr>
          <w:rFonts w:ascii="Palatino Linotype" w:hAnsi="Palatino Linotype"/>
          <w:b/>
          <w:i/>
          <w:color w:val="000000" w:themeColor="text1"/>
          <w:sz w:val="22"/>
          <w:szCs w:val="22"/>
          <w:lang w:val="es-ES_tradnl"/>
        </w:rPr>
        <w:t xml:space="preserve">. </w:t>
      </w:r>
      <w:r w:rsidRPr="00AB51C9">
        <w:rPr>
          <w:rFonts w:ascii="Palatino Linotype" w:hAnsi="Palatino Linotype"/>
          <w:b/>
          <w:i/>
          <w:color w:val="000000" w:themeColor="text1"/>
          <w:sz w:val="22"/>
          <w:szCs w:val="22"/>
          <w:lang w:val="es-ES_tradnl"/>
        </w:rPr>
        <w:t>El sujeto obligado responsable del acto lo modifique o revoque de tal manera que el recurso de revisión quede sin materia;</w:t>
      </w:r>
    </w:p>
    <w:p w14:paraId="031CE3C6" w14:textId="77777777" w:rsidR="000D12BB" w:rsidRPr="000D12BB" w:rsidRDefault="000D12BB" w:rsidP="000D12BB">
      <w:pPr>
        <w:spacing w:line="360" w:lineRule="auto"/>
        <w:ind w:right="49"/>
        <w:contextualSpacing/>
        <w:jc w:val="both"/>
        <w:rPr>
          <w:rFonts w:ascii="Palatino Linotype" w:hAnsi="Palatino Linotype"/>
          <w:i/>
          <w:color w:val="000000" w:themeColor="text1"/>
          <w:lang w:val="es-ES_tradnl"/>
        </w:rPr>
      </w:pPr>
    </w:p>
    <w:p w14:paraId="64658B40" w14:textId="5148CBE8" w:rsidR="000804F0" w:rsidRPr="004E3ED4" w:rsidRDefault="000D12BB" w:rsidP="004E3ED4">
      <w:pPr>
        <w:pStyle w:val="Prrafodelista"/>
        <w:numPr>
          <w:ilvl w:val="0"/>
          <w:numId w:val="2"/>
        </w:numPr>
        <w:spacing w:line="360" w:lineRule="auto"/>
        <w:ind w:left="0" w:right="49" w:firstLine="0"/>
        <w:jc w:val="both"/>
        <w:rPr>
          <w:rFonts w:ascii="Palatino Linotype" w:eastAsia="Palatino Linotype" w:hAnsi="Palatino Linotype" w:cs="Palatino Linotype"/>
          <w:b/>
          <w:color w:val="000000" w:themeColor="text1"/>
        </w:rPr>
      </w:pPr>
      <w:r w:rsidRPr="004E3ED4">
        <w:rPr>
          <w:rFonts w:ascii="Palatino Linotype" w:hAnsi="Palatino Linotype"/>
          <w:color w:val="000000" w:themeColor="text1"/>
          <w:lang w:val="es-ES"/>
        </w:rPr>
        <w:t xml:space="preserve">Lo anterior es así, ya que el Pleno ha determinado que cuando el Sujeto Obligado mediante entrega, complemento o precisión proporciona la respuesta a la solicitud de información planteada, y la misma es coincidente con lo requerido por el solicitante, debe entenderse que este rubro queda sin materia al haber colmado el requerimiento </w:t>
      </w:r>
      <w:r w:rsidRPr="004E3ED4">
        <w:rPr>
          <w:rFonts w:ascii="Palatino Linotype" w:hAnsi="Palatino Linotype"/>
          <w:color w:val="000000" w:themeColor="text1"/>
          <w:lang w:val="es-ES"/>
        </w:rPr>
        <w:lastRenderedPageBreak/>
        <w:t>inicial planteado.</w:t>
      </w:r>
      <w:r w:rsidR="00B57753" w:rsidRPr="004E3ED4">
        <w:rPr>
          <w:rFonts w:ascii="Palatino Linotype" w:hAnsi="Palatino Linotype"/>
          <w:color w:val="000000" w:themeColor="text1"/>
          <w:lang w:val="es-ES"/>
        </w:rPr>
        <w:t xml:space="preserve"> Como consecuencia de lo anterior, es dable establecer el sobreseimiento total por lo que respecta al recurso de revisión </w:t>
      </w:r>
      <w:r w:rsidR="00B57753" w:rsidRPr="004E3ED4">
        <w:rPr>
          <w:rFonts w:ascii="Palatino Linotype" w:eastAsia="Palatino Linotype" w:hAnsi="Palatino Linotype" w:cs="Palatino Linotype"/>
          <w:b/>
          <w:color w:val="000000" w:themeColor="text1"/>
        </w:rPr>
        <w:t>04678/INFOEM/IP/RR/2024.</w:t>
      </w:r>
    </w:p>
    <w:p w14:paraId="272E7363" w14:textId="77777777" w:rsidR="008D0041" w:rsidRPr="00875528" w:rsidRDefault="008D0041" w:rsidP="008D0041">
      <w:pPr>
        <w:spacing w:line="360" w:lineRule="auto"/>
        <w:contextualSpacing/>
        <w:jc w:val="both"/>
        <w:rPr>
          <w:rFonts w:ascii="Palatino Linotype" w:eastAsia="Calibri" w:hAnsi="Palatino Linotype"/>
          <w:color w:val="FF0000"/>
        </w:rPr>
      </w:pPr>
    </w:p>
    <w:p w14:paraId="3D3E9756" w14:textId="34E30CBF" w:rsidR="008D0041" w:rsidRPr="004E3ED4" w:rsidRDefault="008D0041" w:rsidP="004E3ED4">
      <w:pPr>
        <w:pStyle w:val="Prrafodelista"/>
        <w:numPr>
          <w:ilvl w:val="0"/>
          <w:numId w:val="2"/>
        </w:numPr>
        <w:spacing w:line="360" w:lineRule="auto"/>
        <w:ind w:left="0" w:firstLine="0"/>
        <w:jc w:val="both"/>
        <w:rPr>
          <w:rFonts w:ascii="Palatino Linotype" w:eastAsia="Calibri" w:hAnsi="Palatino Linotype"/>
          <w:color w:val="000000" w:themeColor="text1"/>
        </w:rPr>
      </w:pPr>
      <w:r w:rsidRPr="004E3ED4">
        <w:rPr>
          <w:rFonts w:ascii="Palatino Linotype" w:eastAsia="Calibri" w:hAnsi="Palatino Linotype"/>
          <w:color w:val="000000" w:themeColor="text1"/>
          <w:lang w:val="es-CO"/>
        </w:rPr>
        <w:t xml:space="preserve">Bajo ese tenor y en términos del artículo 186 fracción I este Pleno determina el </w:t>
      </w:r>
      <w:r w:rsidRPr="004E3ED4">
        <w:rPr>
          <w:rFonts w:ascii="Palatino Linotype" w:eastAsia="Calibri" w:hAnsi="Palatino Linotype"/>
          <w:b/>
          <w:color w:val="000000" w:themeColor="text1"/>
          <w:lang w:val="es-CO"/>
        </w:rPr>
        <w:t xml:space="preserve">SOBRESEIMIENTO </w:t>
      </w:r>
      <w:r w:rsidRPr="004E3ED4">
        <w:rPr>
          <w:rFonts w:ascii="Palatino Linotype" w:eastAsia="Calibri" w:hAnsi="Palatino Linotype"/>
          <w:color w:val="000000" w:themeColor="text1"/>
          <w:lang w:val="es-CO"/>
        </w:rPr>
        <w:t>del presente recurso de revisión, toda vez que la afectación al derecho de acceso a la información pública establecido constitucionalmente a favor del particular, ha sido resarcida.</w:t>
      </w:r>
    </w:p>
    <w:p w14:paraId="05E2A93E" w14:textId="77777777" w:rsidR="001427B8" w:rsidRPr="001427B8" w:rsidRDefault="001427B8" w:rsidP="001427B8">
      <w:pPr>
        <w:spacing w:line="360" w:lineRule="auto"/>
        <w:contextualSpacing/>
        <w:jc w:val="both"/>
        <w:rPr>
          <w:rFonts w:ascii="Palatino Linotype" w:eastAsia="Calibri" w:hAnsi="Palatino Linotype"/>
          <w:color w:val="000000" w:themeColor="text1"/>
        </w:rPr>
      </w:pPr>
    </w:p>
    <w:p w14:paraId="417901A1" w14:textId="24B8DFC0" w:rsidR="00EB1663" w:rsidRPr="009114C3" w:rsidRDefault="000D1380" w:rsidP="004E3ED4">
      <w:pPr>
        <w:numPr>
          <w:ilvl w:val="0"/>
          <w:numId w:val="2"/>
        </w:numPr>
        <w:spacing w:line="360" w:lineRule="auto"/>
        <w:ind w:left="0" w:firstLine="0"/>
        <w:contextualSpacing/>
        <w:jc w:val="both"/>
        <w:rPr>
          <w:rFonts w:ascii="Palatino Linotype" w:eastAsia="Palatino Linotype" w:hAnsi="Palatino Linotype" w:cs="Palatino Linotype"/>
        </w:rPr>
      </w:pPr>
      <w:r w:rsidRPr="004B115A">
        <w:rPr>
          <w:rFonts w:ascii="Palatino Linotype" w:eastAsia="Palatino Linotype" w:hAnsi="Palatino Linotype" w:cs="Palatino Linotype"/>
        </w:rPr>
        <w:t>Ahora bien</w:t>
      </w:r>
      <w:r w:rsidR="002E0F08" w:rsidRPr="004B115A">
        <w:rPr>
          <w:rFonts w:ascii="Palatino Linotype" w:eastAsia="Palatino Linotype" w:hAnsi="Palatino Linotype" w:cs="Palatino Linotype"/>
        </w:rPr>
        <w:t>, a efecto de precisar</w:t>
      </w:r>
      <w:r w:rsidR="004B115A" w:rsidRPr="004B115A">
        <w:rPr>
          <w:rFonts w:ascii="Palatino Linotype" w:eastAsia="Palatino Linotype" w:hAnsi="Palatino Linotype" w:cs="Palatino Linotype"/>
        </w:rPr>
        <w:t xml:space="preserve">, </w:t>
      </w:r>
      <w:r w:rsidR="002E0F08" w:rsidRPr="004B115A">
        <w:rPr>
          <w:rFonts w:ascii="Palatino Linotype" w:eastAsia="Palatino Linotype" w:hAnsi="Palatino Linotype" w:cs="Palatino Linotype"/>
        </w:rPr>
        <w:t xml:space="preserve">lo solicitado por </w:t>
      </w:r>
      <w:r w:rsidR="002E0F08" w:rsidRPr="00637E3B">
        <w:rPr>
          <w:rFonts w:ascii="Palatino Linotype" w:eastAsia="Palatino Linotype" w:hAnsi="Palatino Linotype" w:cs="Palatino Linotype"/>
          <w:b/>
          <w:bCs/>
        </w:rPr>
        <w:t>EL RECURRENTE</w:t>
      </w:r>
      <w:r w:rsidR="002E0F08" w:rsidRPr="004B115A">
        <w:rPr>
          <w:rFonts w:ascii="Palatino Linotype" w:eastAsia="Palatino Linotype" w:hAnsi="Palatino Linotype" w:cs="Palatino Linotype"/>
        </w:rPr>
        <w:t xml:space="preserve"> en el </w:t>
      </w:r>
      <w:r w:rsidR="00D02682" w:rsidRPr="004B115A">
        <w:rPr>
          <w:rFonts w:ascii="Palatino Linotype" w:eastAsia="Palatino Linotype" w:hAnsi="Palatino Linotype" w:cs="Palatino Linotype"/>
        </w:rPr>
        <w:t>Recurso</w:t>
      </w:r>
      <w:r w:rsidR="002E0F08" w:rsidRPr="004B115A">
        <w:rPr>
          <w:rFonts w:ascii="Palatino Linotype" w:eastAsia="Palatino Linotype" w:hAnsi="Palatino Linotype" w:cs="Palatino Linotype"/>
        </w:rPr>
        <w:t xml:space="preserve"> de Revisión</w:t>
      </w:r>
      <w:r w:rsidR="00EA5207" w:rsidRPr="004B115A">
        <w:rPr>
          <w:rFonts w:ascii="Palatino Linotype" w:eastAsia="Palatino Linotype" w:hAnsi="Palatino Linotype" w:cs="Palatino Linotype"/>
        </w:rPr>
        <w:t xml:space="preserve"> </w:t>
      </w:r>
      <w:r w:rsidR="00EA5207" w:rsidRPr="004B115A">
        <w:rPr>
          <w:rFonts w:ascii="Palatino Linotype" w:eastAsia="Palatino Linotype" w:hAnsi="Palatino Linotype" w:cs="Palatino Linotype"/>
          <w:b/>
          <w:bCs/>
        </w:rPr>
        <w:t>04680/INFOEM/IP/RR/2024</w:t>
      </w:r>
      <w:r w:rsidR="00EA5207" w:rsidRPr="004B115A">
        <w:rPr>
          <w:rFonts w:ascii="Palatino Linotype" w:eastAsia="Palatino Linotype" w:hAnsi="Palatino Linotype" w:cs="Palatino Linotype"/>
        </w:rPr>
        <w:t xml:space="preserve">, deducida de la solicitud de información </w:t>
      </w:r>
      <w:r w:rsidR="004B115A" w:rsidRPr="004B115A">
        <w:rPr>
          <w:rFonts w:ascii="Palatino Linotype" w:eastAsia="Palatino Linotype" w:hAnsi="Palatino Linotype" w:cs="Palatino Linotype"/>
          <w:b/>
          <w:bCs/>
        </w:rPr>
        <w:t>00324/SSEM/IP/2024</w:t>
      </w:r>
      <w:r w:rsidR="004B115A" w:rsidRPr="004B115A">
        <w:rPr>
          <w:rFonts w:ascii="Palatino Linotype" w:eastAsia="Palatino Linotype" w:hAnsi="Palatino Linotype" w:cs="Palatino Linotype"/>
        </w:rPr>
        <w:t xml:space="preserve">, al </w:t>
      </w:r>
      <w:r w:rsidR="009907C0" w:rsidRPr="004B115A">
        <w:rPr>
          <w:rFonts w:ascii="Palatino Linotype" w:eastAsia="Palatino Linotype" w:hAnsi="Palatino Linotype" w:cs="Palatino Linotype"/>
          <w:b/>
        </w:rPr>
        <w:t>SUJETO OBLIGADO</w:t>
      </w:r>
      <w:r w:rsidR="002E0F08" w:rsidRPr="004B115A">
        <w:rPr>
          <w:rFonts w:ascii="Palatino Linotype" w:eastAsia="Palatino Linotype" w:hAnsi="Palatino Linotype" w:cs="Palatino Linotype"/>
          <w:bCs/>
        </w:rPr>
        <w:t xml:space="preserve">, </w:t>
      </w:r>
      <w:r w:rsidR="004B115A" w:rsidRPr="004B115A">
        <w:rPr>
          <w:rFonts w:ascii="Palatino Linotype" w:eastAsia="Palatino Linotype" w:hAnsi="Palatino Linotype" w:cs="Palatino Linotype"/>
          <w:bCs/>
        </w:rPr>
        <w:t xml:space="preserve">consistió en los siguientes </w:t>
      </w:r>
      <w:r w:rsidR="004B115A" w:rsidRPr="00B63532">
        <w:rPr>
          <w:rFonts w:ascii="Palatino Linotype" w:eastAsia="Palatino Linotype" w:hAnsi="Palatino Linotype" w:cs="Palatino Linotype"/>
          <w:bCs/>
        </w:rPr>
        <w:t>cuestionamientos:</w:t>
      </w:r>
    </w:p>
    <w:p w14:paraId="56CC2D60" w14:textId="77777777" w:rsidR="009114C3" w:rsidRDefault="009114C3" w:rsidP="009114C3">
      <w:pPr>
        <w:pStyle w:val="Prrafodelista"/>
        <w:rPr>
          <w:rFonts w:ascii="Palatino Linotype" w:eastAsia="Palatino Linotype" w:hAnsi="Palatino Linotype" w:cs="Palatino Linotype"/>
        </w:rPr>
      </w:pPr>
    </w:p>
    <w:tbl>
      <w:tblPr>
        <w:tblStyle w:val="Tablaconcuadrcula4"/>
        <w:tblW w:w="9209" w:type="dxa"/>
        <w:tblLayout w:type="fixed"/>
        <w:tblLook w:val="04A0" w:firstRow="1" w:lastRow="0" w:firstColumn="1" w:lastColumn="0" w:noHBand="0" w:noVBand="1"/>
      </w:tblPr>
      <w:tblGrid>
        <w:gridCol w:w="2830"/>
        <w:gridCol w:w="4395"/>
        <w:gridCol w:w="1984"/>
      </w:tblGrid>
      <w:tr w:rsidR="009114C3" w:rsidRPr="00354F4B" w14:paraId="5C4FF112" w14:textId="77777777" w:rsidTr="00060351">
        <w:tc>
          <w:tcPr>
            <w:tcW w:w="2830" w:type="dxa"/>
            <w:shd w:val="clear" w:color="auto" w:fill="AEAAAA" w:themeFill="background2" w:themeFillShade="BF"/>
          </w:tcPr>
          <w:p w14:paraId="5478C5AB" w14:textId="77777777" w:rsidR="009114C3" w:rsidRPr="00354F4B" w:rsidRDefault="009114C3" w:rsidP="00943D9C">
            <w:pPr>
              <w:spacing w:line="360" w:lineRule="auto"/>
              <w:jc w:val="center"/>
              <w:rPr>
                <w:rFonts w:ascii="Palatino Linotype" w:eastAsia="Times New Roman" w:hAnsi="Palatino Linotype" w:cs="Tahoma"/>
                <w:b/>
                <w:iCs/>
                <w:sz w:val="20"/>
                <w:szCs w:val="20"/>
                <w:lang w:eastAsia="es-ES"/>
              </w:rPr>
            </w:pPr>
            <w:r w:rsidRPr="00354F4B">
              <w:rPr>
                <w:rFonts w:ascii="Palatino Linotype" w:eastAsia="Times New Roman" w:hAnsi="Palatino Linotype" w:cs="Tahoma"/>
                <w:b/>
                <w:iCs/>
                <w:sz w:val="20"/>
                <w:szCs w:val="20"/>
                <w:lang w:eastAsia="es-ES"/>
              </w:rPr>
              <w:t>Información solicitada</w:t>
            </w:r>
          </w:p>
        </w:tc>
        <w:tc>
          <w:tcPr>
            <w:tcW w:w="4395" w:type="dxa"/>
            <w:shd w:val="clear" w:color="auto" w:fill="AEAAAA" w:themeFill="background2" w:themeFillShade="BF"/>
          </w:tcPr>
          <w:p w14:paraId="38440CFC" w14:textId="77777777" w:rsidR="009114C3" w:rsidRPr="00354F4B" w:rsidRDefault="009114C3" w:rsidP="00943D9C">
            <w:pPr>
              <w:spacing w:line="360" w:lineRule="auto"/>
              <w:jc w:val="center"/>
              <w:rPr>
                <w:rFonts w:ascii="Palatino Linotype" w:eastAsia="Times New Roman" w:hAnsi="Palatino Linotype" w:cs="Tahoma"/>
                <w:b/>
                <w:iCs/>
                <w:sz w:val="20"/>
                <w:szCs w:val="20"/>
                <w:lang w:eastAsia="es-ES"/>
              </w:rPr>
            </w:pPr>
            <w:r w:rsidRPr="00354F4B">
              <w:rPr>
                <w:rFonts w:ascii="Palatino Linotype" w:eastAsia="Times New Roman" w:hAnsi="Palatino Linotype" w:cs="Tahoma"/>
                <w:b/>
                <w:iCs/>
                <w:sz w:val="20"/>
                <w:szCs w:val="20"/>
                <w:lang w:eastAsia="es-ES"/>
              </w:rPr>
              <w:t>Respuesta</w:t>
            </w:r>
          </w:p>
        </w:tc>
        <w:tc>
          <w:tcPr>
            <w:tcW w:w="1984" w:type="dxa"/>
            <w:shd w:val="clear" w:color="auto" w:fill="AEAAAA" w:themeFill="background2" w:themeFillShade="BF"/>
          </w:tcPr>
          <w:p w14:paraId="25B2ED8D" w14:textId="77777777" w:rsidR="009114C3" w:rsidRPr="00354F4B" w:rsidRDefault="009114C3" w:rsidP="00943D9C">
            <w:pPr>
              <w:spacing w:line="360" w:lineRule="auto"/>
              <w:jc w:val="center"/>
              <w:rPr>
                <w:rFonts w:ascii="Palatino Linotype" w:eastAsia="Times New Roman" w:hAnsi="Palatino Linotype" w:cs="Tahoma"/>
                <w:b/>
                <w:iCs/>
                <w:sz w:val="20"/>
                <w:szCs w:val="20"/>
                <w:lang w:eastAsia="es-ES"/>
              </w:rPr>
            </w:pPr>
            <w:r w:rsidRPr="00354F4B">
              <w:rPr>
                <w:rFonts w:ascii="Palatino Linotype" w:eastAsia="Times New Roman" w:hAnsi="Palatino Linotype" w:cs="Tahoma"/>
                <w:b/>
                <w:iCs/>
                <w:sz w:val="20"/>
                <w:szCs w:val="20"/>
                <w:lang w:eastAsia="es-ES"/>
              </w:rPr>
              <w:t>Observación</w:t>
            </w:r>
          </w:p>
        </w:tc>
      </w:tr>
      <w:tr w:rsidR="009114C3" w:rsidRPr="00354F4B" w14:paraId="0D00F280" w14:textId="77777777" w:rsidTr="00943D9C">
        <w:tc>
          <w:tcPr>
            <w:tcW w:w="9209" w:type="dxa"/>
            <w:gridSpan w:val="3"/>
            <w:shd w:val="clear" w:color="auto" w:fill="AEAAAA" w:themeFill="background2" w:themeFillShade="BF"/>
          </w:tcPr>
          <w:p w14:paraId="01E017E2" w14:textId="4991345F" w:rsidR="009114C3" w:rsidRPr="00354F4B" w:rsidRDefault="009114C3" w:rsidP="00943D9C">
            <w:pPr>
              <w:spacing w:line="360" w:lineRule="auto"/>
              <w:jc w:val="center"/>
              <w:rPr>
                <w:rFonts w:ascii="Palatino Linotype" w:eastAsia="Times New Roman" w:hAnsi="Palatino Linotype" w:cs="Tahoma"/>
                <w:b/>
                <w:iCs/>
                <w:sz w:val="20"/>
                <w:szCs w:val="20"/>
                <w:lang w:eastAsia="es-ES"/>
              </w:rPr>
            </w:pPr>
            <w:r w:rsidRPr="00354F4B">
              <w:rPr>
                <w:rFonts w:ascii="Palatino Linotype" w:eastAsia="Times New Roman" w:hAnsi="Palatino Linotype" w:cs="Tahoma"/>
                <w:b/>
                <w:iCs/>
                <w:sz w:val="20"/>
                <w:szCs w:val="20"/>
                <w:lang w:eastAsia="es-ES"/>
              </w:rPr>
              <w:t>468</w:t>
            </w:r>
            <w:r>
              <w:rPr>
                <w:rFonts w:ascii="Palatino Linotype" w:eastAsia="Times New Roman" w:hAnsi="Palatino Linotype" w:cs="Tahoma"/>
                <w:b/>
                <w:iCs/>
                <w:sz w:val="20"/>
                <w:szCs w:val="20"/>
                <w:lang w:eastAsia="es-ES"/>
              </w:rPr>
              <w:t>0</w:t>
            </w:r>
            <w:r w:rsidRPr="00354F4B">
              <w:rPr>
                <w:rFonts w:ascii="Palatino Linotype" w:eastAsia="Times New Roman" w:hAnsi="Palatino Linotype" w:cs="Tahoma"/>
                <w:b/>
                <w:iCs/>
                <w:sz w:val="20"/>
                <w:szCs w:val="20"/>
                <w:lang w:eastAsia="es-ES"/>
              </w:rPr>
              <w:t>-2024</w:t>
            </w:r>
          </w:p>
        </w:tc>
      </w:tr>
      <w:tr w:rsidR="009114C3" w:rsidRPr="00354F4B" w14:paraId="699598FD" w14:textId="77777777" w:rsidTr="00060351">
        <w:tc>
          <w:tcPr>
            <w:tcW w:w="2830" w:type="dxa"/>
          </w:tcPr>
          <w:p w14:paraId="7863D138" w14:textId="45968515" w:rsidR="009114C3" w:rsidRPr="0006127B" w:rsidRDefault="00D859A2" w:rsidP="00060351">
            <w:pPr>
              <w:spacing w:line="276" w:lineRule="auto"/>
              <w:jc w:val="both"/>
              <w:rPr>
                <w:rFonts w:ascii="Palatino Linotype" w:hAnsi="Palatino Linotype" w:cs="Tahoma"/>
                <w:sz w:val="20"/>
                <w:szCs w:val="20"/>
              </w:rPr>
            </w:pPr>
            <w:r>
              <w:rPr>
                <w:rFonts w:ascii="Palatino Linotype" w:hAnsi="Palatino Linotype"/>
                <w:i/>
                <w:color w:val="000000"/>
                <w:sz w:val="20"/>
                <w:szCs w:val="20"/>
              </w:rPr>
              <w:t>“</w:t>
            </w:r>
            <w:r w:rsidR="00060351" w:rsidRPr="00060351">
              <w:rPr>
                <w:rFonts w:ascii="Palatino Linotype" w:hAnsi="Palatino Linotype"/>
                <w:i/>
                <w:color w:val="000000"/>
                <w:sz w:val="20"/>
                <w:szCs w:val="20"/>
              </w:rPr>
              <w:t xml:space="preserve">De acuerdo a las últimas cifras publicadas en el Centro Nacional de Certificación y Acreditación, en el Informe De La Evaluación De Control De Confianza, en las cifras correspondientes a la Entidad, se observa en el rubro de Seguridad Pública Estatal un universo evaluable de 17,548 y </w:t>
            </w:r>
            <w:r w:rsidR="00060351" w:rsidRPr="00060351">
              <w:rPr>
                <w:rFonts w:ascii="Palatino Linotype" w:hAnsi="Palatino Linotype"/>
                <w:i/>
                <w:color w:val="000000"/>
                <w:sz w:val="20"/>
                <w:szCs w:val="20"/>
              </w:rPr>
              <w:lastRenderedPageBreak/>
              <w:t>una plantilla activa de 17,316, dando una diferencia de 232 elementos, de esta diferencia cual es motivo por el cual no se evalúan</w:t>
            </w:r>
            <w:r w:rsidR="0006127B">
              <w:rPr>
                <w:rFonts w:ascii="Palatino Linotype" w:hAnsi="Palatino Linotype"/>
                <w:i/>
                <w:color w:val="000000"/>
                <w:sz w:val="20"/>
                <w:szCs w:val="20"/>
              </w:rPr>
              <w:t xml:space="preserve">…” </w:t>
            </w:r>
            <w:r w:rsidR="0006127B">
              <w:rPr>
                <w:rFonts w:ascii="Palatino Linotype" w:hAnsi="Palatino Linotype"/>
                <w:color w:val="000000"/>
                <w:sz w:val="20"/>
                <w:szCs w:val="20"/>
              </w:rPr>
              <w:t xml:space="preserve"> (Sic)</w:t>
            </w:r>
          </w:p>
        </w:tc>
        <w:tc>
          <w:tcPr>
            <w:tcW w:w="4395" w:type="dxa"/>
          </w:tcPr>
          <w:p w14:paraId="5A0131D9" w14:textId="77777777" w:rsidR="0045255B" w:rsidRPr="0045255B" w:rsidRDefault="0045255B" w:rsidP="0045255B">
            <w:pPr>
              <w:pBdr>
                <w:top w:val="nil"/>
                <w:left w:val="nil"/>
                <w:bottom w:val="nil"/>
                <w:right w:val="nil"/>
                <w:between w:val="nil"/>
              </w:pBdr>
              <w:spacing w:line="276" w:lineRule="auto"/>
              <w:ind w:left="-107"/>
              <w:jc w:val="both"/>
              <w:rPr>
                <w:rFonts w:ascii="Palatino Linotype" w:eastAsia="Palatino Linotype" w:hAnsi="Palatino Linotype" w:cs="Palatino Linotype"/>
                <w:i/>
                <w:sz w:val="20"/>
                <w:szCs w:val="20"/>
              </w:rPr>
            </w:pPr>
            <w:r w:rsidRPr="0045255B">
              <w:rPr>
                <w:rFonts w:ascii="Palatino Linotype" w:eastAsia="Palatino Linotype" w:hAnsi="Palatino Linotype" w:cs="Palatino Linotype"/>
                <w:i/>
                <w:sz w:val="20"/>
                <w:szCs w:val="20"/>
              </w:rPr>
              <w:lastRenderedPageBreak/>
              <w:t>“…Mediante oficio número 20600007000000S/UIPPE/0973/2024 se requirió la información al Servidor Público Habilitado de la Dirección del Sistema de Desarrollo Policial de este Sujeto Obligado, quien a su vez mediante similar número 20600301000000L/UEPE/1126/2024, informó:</w:t>
            </w:r>
          </w:p>
          <w:p w14:paraId="7AE237E2" w14:textId="77777777" w:rsidR="0045255B" w:rsidRPr="0045255B" w:rsidRDefault="0045255B" w:rsidP="0045255B">
            <w:pPr>
              <w:pBdr>
                <w:top w:val="nil"/>
                <w:left w:val="nil"/>
                <w:bottom w:val="nil"/>
                <w:right w:val="nil"/>
                <w:between w:val="nil"/>
              </w:pBdr>
              <w:spacing w:line="276" w:lineRule="auto"/>
              <w:ind w:left="-107"/>
              <w:jc w:val="both"/>
              <w:rPr>
                <w:rFonts w:ascii="Palatino Linotype" w:eastAsia="Palatino Linotype" w:hAnsi="Palatino Linotype" w:cs="Palatino Linotype"/>
                <w:i/>
                <w:sz w:val="20"/>
                <w:szCs w:val="20"/>
              </w:rPr>
            </w:pPr>
            <w:r w:rsidRPr="0045255B">
              <w:rPr>
                <w:rFonts w:ascii="Palatino Linotype" w:eastAsia="Palatino Linotype" w:hAnsi="Palatino Linotype" w:cs="Palatino Linotype"/>
                <w:i/>
                <w:sz w:val="20"/>
                <w:szCs w:val="20"/>
              </w:rPr>
              <w:t>…</w:t>
            </w:r>
          </w:p>
          <w:p w14:paraId="5386C213" w14:textId="77777777" w:rsidR="0045255B" w:rsidRPr="0045255B" w:rsidRDefault="0045255B" w:rsidP="0045255B">
            <w:pPr>
              <w:pBdr>
                <w:top w:val="nil"/>
                <w:left w:val="nil"/>
                <w:bottom w:val="nil"/>
                <w:right w:val="nil"/>
                <w:between w:val="nil"/>
              </w:pBdr>
              <w:spacing w:line="276" w:lineRule="auto"/>
              <w:ind w:left="-107"/>
              <w:jc w:val="both"/>
              <w:rPr>
                <w:rFonts w:ascii="Palatino Linotype" w:eastAsia="Palatino Linotype" w:hAnsi="Palatino Linotype" w:cs="Palatino Linotype"/>
                <w:i/>
                <w:sz w:val="20"/>
                <w:szCs w:val="20"/>
              </w:rPr>
            </w:pPr>
            <w:r w:rsidRPr="0045255B">
              <w:rPr>
                <w:rFonts w:ascii="Palatino Linotype" w:eastAsia="Palatino Linotype" w:hAnsi="Palatino Linotype" w:cs="Palatino Linotype"/>
                <w:i/>
                <w:sz w:val="20"/>
                <w:szCs w:val="20"/>
              </w:rPr>
              <w:lastRenderedPageBreak/>
              <w:t xml:space="preserve">Hecha la precisión anterior, se hace de su conocimiento que por cuanto hace a este Sujeto Obligado, de acuerdo con lo establecido en el Reglamento Interior de la Secretaría de Seguridad del Estado de México, publicado en el Periódico Oficial “Gaceta del Gobierno” el 20 de diciembre de 2023 y que puede consultar a través de la liga: </w:t>
            </w:r>
            <w:hyperlink r:id="rId13" w:history="1">
              <w:r w:rsidRPr="0045255B">
                <w:rPr>
                  <w:rStyle w:val="Hipervnculo"/>
                  <w:rFonts w:ascii="Palatino Linotype" w:eastAsia="Palatino Linotype" w:hAnsi="Palatino Linotype" w:cs="Palatino Linotype"/>
                  <w:i/>
                  <w:sz w:val="20"/>
                  <w:szCs w:val="20"/>
                </w:rPr>
                <w:t>https://legislacion.edomex.gob.mx/sites/legislacion.edomex.gob.mx/files/files/pdf/rgl/vig/rglvig714.pdf</w:t>
              </w:r>
            </w:hyperlink>
            <w:r w:rsidRPr="0045255B">
              <w:rPr>
                <w:rFonts w:ascii="Palatino Linotype" w:eastAsia="Palatino Linotype" w:hAnsi="Palatino Linotype" w:cs="Palatino Linotype"/>
                <w:i/>
                <w:sz w:val="20"/>
                <w:szCs w:val="20"/>
              </w:rPr>
              <w:t xml:space="preserve">, así como el Manual de Procedimientos de Asignación de Evaluaciones de Control de Confianza de la Unidad de Proyectos Especiales, publicado en el Periódico Oficial “Gaceta del Gobierno” el 11 de octubre de 2021 dentro del procedimiento: Verificación de la Información de Nómina, laboral y Adscripción Física del Personal Considerado para Evaluación Periódica, disponible para su consulta a través de la siguiente dirección electrónica: </w:t>
            </w:r>
            <w:hyperlink r:id="rId14" w:history="1">
              <w:r w:rsidRPr="0045255B">
                <w:rPr>
                  <w:rStyle w:val="Hipervnculo"/>
                  <w:rFonts w:ascii="Palatino Linotype" w:eastAsia="Palatino Linotype" w:hAnsi="Palatino Linotype" w:cs="Palatino Linotype"/>
                  <w:i/>
                  <w:sz w:val="20"/>
                  <w:szCs w:val="20"/>
                </w:rPr>
                <w:t>https://legislacion.edomex.gob.mx/sites/legislacion.edomex.gob.mx/files/files/dpf/gct/2021/octubre/oct111/oct111b.pdf</w:t>
              </w:r>
            </w:hyperlink>
            <w:r w:rsidRPr="0045255B">
              <w:rPr>
                <w:rFonts w:ascii="Palatino Linotype" w:eastAsia="Palatino Linotype" w:hAnsi="Palatino Linotype" w:cs="Palatino Linotype"/>
                <w:i/>
                <w:sz w:val="20"/>
                <w:szCs w:val="20"/>
              </w:rPr>
              <w:t>, se señala el procedimientos de validación del listado del personal que se somete a la evaluación, que a la letra refieren lo siguiente:</w:t>
            </w:r>
          </w:p>
          <w:p w14:paraId="73D03F2C" w14:textId="77777777" w:rsidR="0045255B" w:rsidRPr="0045255B" w:rsidRDefault="0045255B" w:rsidP="0045255B">
            <w:pPr>
              <w:pBdr>
                <w:top w:val="nil"/>
                <w:left w:val="nil"/>
                <w:bottom w:val="nil"/>
                <w:right w:val="nil"/>
                <w:between w:val="nil"/>
              </w:pBdr>
              <w:spacing w:line="276" w:lineRule="auto"/>
              <w:ind w:left="-107"/>
              <w:jc w:val="both"/>
              <w:rPr>
                <w:rFonts w:ascii="Palatino Linotype" w:eastAsia="Palatino Linotype" w:hAnsi="Palatino Linotype" w:cs="Palatino Linotype"/>
                <w:i/>
                <w:sz w:val="20"/>
                <w:szCs w:val="20"/>
              </w:rPr>
            </w:pPr>
            <w:r w:rsidRPr="0045255B">
              <w:rPr>
                <w:rFonts w:ascii="Palatino Linotype" w:eastAsia="Palatino Linotype" w:hAnsi="Palatino Linotype" w:cs="Palatino Linotype"/>
                <w:i/>
                <w:sz w:val="20"/>
                <w:szCs w:val="20"/>
              </w:rPr>
              <w:t>…</w:t>
            </w:r>
          </w:p>
          <w:p w14:paraId="171466E2" w14:textId="68404BAA" w:rsidR="0045255B" w:rsidRDefault="0045255B" w:rsidP="0045255B">
            <w:pPr>
              <w:pBdr>
                <w:top w:val="nil"/>
                <w:left w:val="nil"/>
                <w:bottom w:val="nil"/>
                <w:right w:val="nil"/>
                <w:between w:val="nil"/>
              </w:pBdr>
              <w:spacing w:line="276" w:lineRule="auto"/>
              <w:ind w:left="-107"/>
              <w:jc w:val="both"/>
              <w:rPr>
                <w:rFonts w:ascii="Palatino Linotype" w:eastAsia="Palatino Linotype" w:hAnsi="Palatino Linotype" w:cs="Palatino Linotype"/>
                <w:i/>
                <w:sz w:val="20"/>
                <w:szCs w:val="20"/>
              </w:rPr>
            </w:pPr>
            <w:r w:rsidRPr="0045255B">
              <w:rPr>
                <w:rFonts w:ascii="Palatino Linotype" w:eastAsia="Palatino Linotype" w:hAnsi="Palatino Linotype" w:cs="Palatino Linotype"/>
                <w:i/>
                <w:sz w:val="20"/>
                <w:szCs w:val="20"/>
              </w:rPr>
              <w:t xml:space="preserve">Con base en la normatividad antes expuesta, el Centro de Control de Confianza del Estado, es el responsable de emitir el listado del personal adscrito a la Secretaría de Seguridad considerado para la evaluación de control de confianza, siendo la Unidad de Estudios y Proyectos Especiales la responsable de verificar la información laboral, de nómina y adscripción física de </w:t>
            </w:r>
            <w:r w:rsidRPr="0045255B">
              <w:rPr>
                <w:rFonts w:ascii="Palatino Linotype" w:eastAsia="Palatino Linotype" w:hAnsi="Palatino Linotype" w:cs="Palatino Linotype"/>
                <w:i/>
                <w:sz w:val="20"/>
                <w:szCs w:val="20"/>
              </w:rPr>
              <w:lastRenderedPageBreak/>
              <w:t>cada una de las personas servidoras públicas considerandos en dicha evaluación, por lo que esta Secretaría de Seguridad no determina el universo a evaluar anualmente.</w:t>
            </w:r>
          </w:p>
          <w:p w14:paraId="05A3A64F" w14:textId="77777777" w:rsidR="0045255B" w:rsidRPr="0045255B" w:rsidRDefault="0045255B" w:rsidP="0045255B">
            <w:pPr>
              <w:pBdr>
                <w:top w:val="nil"/>
                <w:left w:val="nil"/>
                <w:bottom w:val="nil"/>
                <w:right w:val="nil"/>
                <w:between w:val="nil"/>
              </w:pBdr>
              <w:spacing w:line="276" w:lineRule="auto"/>
              <w:ind w:left="-107"/>
              <w:jc w:val="both"/>
              <w:rPr>
                <w:rFonts w:ascii="Palatino Linotype" w:eastAsia="Palatino Linotype" w:hAnsi="Palatino Linotype" w:cs="Palatino Linotype"/>
                <w:i/>
                <w:sz w:val="20"/>
                <w:szCs w:val="20"/>
              </w:rPr>
            </w:pPr>
          </w:p>
          <w:p w14:paraId="04BBB529" w14:textId="722FC73D" w:rsidR="0045255B" w:rsidRDefault="0045255B" w:rsidP="0045255B">
            <w:pPr>
              <w:pBdr>
                <w:top w:val="nil"/>
                <w:left w:val="nil"/>
                <w:bottom w:val="nil"/>
                <w:right w:val="nil"/>
                <w:between w:val="nil"/>
              </w:pBdr>
              <w:spacing w:line="276" w:lineRule="auto"/>
              <w:ind w:left="-107"/>
              <w:jc w:val="both"/>
              <w:rPr>
                <w:rFonts w:ascii="Palatino Linotype" w:eastAsia="Palatino Linotype" w:hAnsi="Palatino Linotype" w:cs="Palatino Linotype"/>
                <w:i/>
                <w:sz w:val="20"/>
                <w:szCs w:val="20"/>
              </w:rPr>
            </w:pPr>
            <w:r w:rsidRPr="0045255B">
              <w:rPr>
                <w:rFonts w:ascii="Palatino Linotype" w:eastAsia="Palatino Linotype" w:hAnsi="Palatino Linotype" w:cs="Palatino Linotype"/>
                <w:i/>
                <w:sz w:val="20"/>
                <w:szCs w:val="20"/>
              </w:rPr>
              <w:t>Cabe mencionar que la cantidad de elementos que se evalúan anualmente, se determina con base en la asignación del recurso para evaluaciones de control de confianza, a través del Fondo de Aportaciones para la Seguridad Pública (FASP) o del Fondo para el Fortalecimiento de las Instituciones de Seguridad Pública (FOFISP) y su programación se hace en función del listado remitido anualmente por el Centro de Control de Confianza del Estado de México con los elementos considerados para evaluación.</w:t>
            </w:r>
          </w:p>
          <w:p w14:paraId="2DFB6540" w14:textId="77777777" w:rsidR="0045255B" w:rsidRPr="0045255B" w:rsidRDefault="0045255B" w:rsidP="0045255B">
            <w:pPr>
              <w:pBdr>
                <w:top w:val="nil"/>
                <w:left w:val="nil"/>
                <w:bottom w:val="nil"/>
                <w:right w:val="nil"/>
                <w:between w:val="nil"/>
              </w:pBdr>
              <w:spacing w:line="276" w:lineRule="auto"/>
              <w:ind w:left="-107"/>
              <w:jc w:val="both"/>
              <w:rPr>
                <w:rFonts w:ascii="Palatino Linotype" w:eastAsia="Palatino Linotype" w:hAnsi="Palatino Linotype" w:cs="Palatino Linotype"/>
                <w:i/>
                <w:sz w:val="20"/>
                <w:szCs w:val="20"/>
              </w:rPr>
            </w:pPr>
          </w:p>
          <w:p w14:paraId="3620F609" w14:textId="206805EB" w:rsidR="009114C3" w:rsidRPr="00354F4B" w:rsidRDefault="0045255B" w:rsidP="0045255B">
            <w:pPr>
              <w:pBdr>
                <w:top w:val="nil"/>
                <w:left w:val="nil"/>
                <w:bottom w:val="nil"/>
                <w:right w:val="nil"/>
                <w:between w:val="nil"/>
              </w:pBdr>
              <w:spacing w:line="276" w:lineRule="auto"/>
              <w:ind w:left="-107"/>
              <w:jc w:val="both"/>
              <w:rPr>
                <w:rFonts w:ascii="Palatino Linotype" w:eastAsia="Times New Roman" w:hAnsi="Palatino Linotype" w:cs="Tahoma"/>
                <w:iCs/>
                <w:sz w:val="20"/>
                <w:szCs w:val="20"/>
                <w:lang w:eastAsia="es-ES"/>
              </w:rPr>
            </w:pPr>
            <w:r w:rsidRPr="0045255B">
              <w:rPr>
                <w:rFonts w:ascii="Palatino Linotype" w:eastAsia="Palatino Linotype" w:hAnsi="Palatino Linotype" w:cs="Palatino Linotype"/>
                <w:i/>
                <w:sz w:val="20"/>
                <w:szCs w:val="20"/>
              </w:rPr>
              <w:t>Así mismo, es importante señalar que dicha evaluación contribuye a verificar que el personal activo actúe dentro del marco de conducta que dicta la normatividad institucional, así como que el personal de nuevo ingreso se apegue a los principios institucionales de acuerdo al perfil de puesto; derivado de ello en su caso se emite la certificación correspondiente.</w:t>
            </w:r>
          </w:p>
        </w:tc>
        <w:tc>
          <w:tcPr>
            <w:tcW w:w="1984" w:type="dxa"/>
            <w:vAlign w:val="center"/>
          </w:tcPr>
          <w:p w14:paraId="298B8C64" w14:textId="05668A6B" w:rsidR="009114C3" w:rsidRPr="00354F4B" w:rsidRDefault="009114C3" w:rsidP="00943D9C">
            <w:pPr>
              <w:spacing w:line="360" w:lineRule="auto"/>
              <w:jc w:val="center"/>
              <w:rPr>
                <w:rFonts w:ascii="Palatino Linotype" w:eastAsia="Times New Roman" w:hAnsi="Palatino Linotype" w:cs="Tahoma"/>
                <w:iCs/>
                <w:sz w:val="20"/>
                <w:szCs w:val="20"/>
                <w:lang w:val="es-MX" w:eastAsia="es-ES"/>
              </w:rPr>
            </w:pPr>
            <w:r w:rsidRPr="00354F4B">
              <w:rPr>
                <w:rFonts w:ascii="Palatino Linotype" w:eastAsia="Times New Roman" w:hAnsi="Palatino Linotype" w:cs="Tahoma"/>
                <w:iCs/>
                <w:sz w:val="20"/>
                <w:szCs w:val="20"/>
                <w:lang w:val="es-MX" w:eastAsia="es-ES"/>
              </w:rPr>
              <w:lastRenderedPageBreak/>
              <w:t>D</w:t>
            </w:r>
            <w:r w:rsidR="003C72D6">
              <w:rPr>
                <w:rFonts w:ascii="Palatino Linotype" w:eastAsia="Times New Roman" w:hAnsi="Palatino Linotype" w:cs="Tahoma"/>
                <w:iCs/>
                <w:sz w:val="20"/>
                <w:szCs w:val="20"/>
                <w:lang w:val="es-MX" w:eastAsia="es-ES"/>
              </w:rPr>
              <w:t>ERECHO DE PETICIÓN</w:t>
            </w:r>
          </w:p>
        </w:tc>
      </w:tr>
      <w:tr w:rsidR="00060351" w:rsidRPr="00354F4B" w14:paraId="7229E546" w14:textId="77777777" w:rsidTr="00060351">
        <w:tc>
          <w:tcPr>
            <w:tcW w:w="2830" w:type="dxa"/>
          </w:tcPr>
          <w:p w14:paraId="33F7A140" w14:textId="1D96D1B7" w:rsidR="00060351" w:rsidRPr="00060351" w:rsidRDefault="003E1B0F" w:rsidP="00060351">
            <w:pPr>
              <w:spacing w:line="276" w:lineRule="auto"/>
              <w:jc w:val="both"/>
              <w:rPr>
                <w:rFonts w:ascii="Palatino Linotype" w:hAnsi="Palatino Linotype"/>
                <w:i/>
                <w:color w:val="000000"/>
                <w:sz w:val="20"/>
                <w:szCs w:val="20"/>
              </w:rPr>
            </w:pPr>
            <w:r>
              <w:rPr>
                <w:rFonts w:ascii="Palatino Linotype" w:hAnsi="Palatino Linotype"/>
                <w:i/>
                <w:color w:val="000000"/>
                <w:sz w:val="20"/>
                <w:szCs w:val="20"/>
              </w:rPr>
              <w:lastRenderedPageBreak/>
              <w:t>“…</w:t>
            </w:r>
            <w:r w:rsidR="00060351" w:rsidRPr="00060351">
              <w:rPr>
                <w:rFonts w:ascii="Palatino Linotype" w:hAnsi="Palatino Linotype"/>
                <w:i/>
                <w:color w:val="000000"/>
                <w:sz w:val="20"/>
                <w:szCs w:val="20"/>
              </w:rPr>
              <w:t xml:space="preserve">bajo que argumentos jurídicos justifica su portación de arma y su permanencia dentro de la institución. y que controles administrativos llevan en la Unidad de </w:t>
            </w:r>
            <w:proofErr w:type="spellStart"/>
            <w:r w:rsidR="00060351" w:rsidRPr="00060351">
              <w:rPr>
                <w:rFonts w:ascii="Palatino Linotype" w:hAnsi="Palatino Linotype"/>
                <w:i/>
                <w:color w:val="000000"/>
                <w:sz w:val="20"/>
                <w:szCs w:val="20"/>
              </w:rPr>
              <w:t>Estudiso</w:t>
            </w:r>
            <w:proofErr w:type="spellEnd"/>
            <w:r w:rsidR="00060351" w:rsidRPr="00060351">
              <w:rPr>
                <w:rFonts w:ascii="Palatino Linotype" w:hAnsi="Palatino Linotype"/>
                <w:i/>
                <w:color w:val="000000"/>
                <w:sz w:val="20"/>
                <w:szCs w:val="20"/>
              </w:rPr>
              <w:t xml:space="preserve"> y Proyectos para identificar con nombre y apellido estos elementos faltantes</w:t>
            </w:r>
            <w:r>
              <w:rPr>
                <w:rFonts w:ascii="Palatino Linotype" w:hAnsi="Palatino Linotype"/>
                <w:i/>
                <w:color w:val="000000"/>
                <w:sz w:val="20"/>
                <w:szCs w:val="20"/>
              </w:rPr>
              <w:t xml:space="preserve">…” </w:t>
            </w:r>
            <w:r>
              <w:rPr>
                <w:rFonts w:ascii="Palatino Linotype" w:hAnsi="Palatino Linotype"/>
                <w:color w:val="000000"/>
                <w:sz w:val="20"/>
                <w:szCs w:val="20"/>
              </w:rPr>
              <w:t>(Sic)</w:t>
            </w:r>
            <w:r w:rsidR="00060351" w:rsidRPr="00060351">
              <w:rPr>
                <w:rFonts w:ascii="Palatino Linotype" w:hAnsi="Palatino Linotype"/>
                <w:i/>
                <w:color w:val="000000"/>
                <w:sz w:val="20"/>
                <w:szCs w:val="20"/>
              </w:rPr>
              <w:t xml:space="preserve"> </w:t>
            </w:r>
          </w:p>
          <w:p w14:paraId="6E70DC9C" w14:textId="77777777" w:rsidR="00060351" w:rsidRPr="00354F4B" w:rsidRDefault="00060351" w:rsidP="00943D9C">
            <w:pPr>
              <w:rPr>
                <w:rFonts w:ascii="Palatino Linotype" w:hAnsi="Palatino Linotype" w:cs="Tahoma"/>
                <w:iCs/>
                <w:sz w:val="20"/>
                <w:szCs w:val="20"/>
              </w:rPr>
            </w:pPr>
          </w:p>
        </w:tc>
        <w:tc>
          <w:tcPr>
            <w:tcW w:w="4395" w:type="dxa"/>
          </w:tcPr>
          <w:p w14:paraId="0B2CA91D" w14:textId="6359F342" w:rsidR="007E7A67" w:rsidRPr="003C72D6" w:rsidRDefault="003C72D6" w:rsidP="007E7A67">
            <w:pPr>
              <w:pBdr>
                <w:top w:val="nil"/>
                <w:left w:val="nil"/>
                <w:bottom w:val="nil"/>
                <w:right w:val="nil"/>
                <w:between w:val="nil"/>
              </w:pBdr>
              <w:spacing w:line="276" w:lineRule="auto"/>
              <w:ind w:left="-107"/>
              <w:jc w:val="both"/>
              <w:rPr>
                <w:rFonts w:ascii="Palatino Linotype" w:eastAsia="Palatino Linotype" w:hAnsi="Palatino Linotype" w:cs="Palatino Linotype"/>
                <w:iCs/>
                <w:color w:val="000000" w:themeColor="text1"/>
                <w:sz w:val="20"/>
                <w:szCs w:val="20"/>
              </w:rPr>
            </w:pPr>
            <w:r>
              <w:rPr>
                <w:rFonts w:ascii="Palatino Linotype" w:eastAsia="Palatino Linotype" w:hAnsi="Palatino Linotype" w:cs="Palatino Linotype"/>
                <w:i/>
                <w:sz w:val="20"/>
                <w:szCs w:val="20"/>
              </w:rPr>
              <w:lastRenderedPageBreak/>
              <w:t>“</w:t>
            </w:r>
            <w:r w:rsidR="007E7A67" w:rsidRPr="007E7A67">
              <w:rPr>
                <w:rFonts w:ascii="Palatino Linotype" w:eastAsia="Palatino Linotype" w:hAnsi="Palatino Linotype" w:cs="Palatino Linotype"/>
                <w:i/>
                <w:sz w:val="20"/>
                <w:szCs w:val="20"/>
              </w:rPr>
              <w:t xml:space="preserve">Ahora bien, respecto de los argumentos jurídicos que justifican la aportación de arma y la permanencia dentro de la Institución, con fundamento en lo establecido en el artículo 69 y 152 de la Ley de Seguridad del Estado de México, publicada en el Periódico Oficial “Gaceta del Gobierno” el día 19 de octubre de 2011, señala lo correspondiente a la portación de armas, así como a la permanencia de los </w:t>
            </w:r>
            <w:r w:rsidR="007E7A67" w:rsidRPr="007E7A67">
              <w:rPr>
                <w:rFonts w:ascii="Palatino Linotype" w:eastAsia="Palatino Linotype" w:hAnsi="Palatino Linotype" w:cs="Palatino Linotype"/>
                <w:i/>
                <w:sz w:val="20"/>
                <w:szCs w:val="20"/>
              </w:rPr>
              <w:lastRenderedPageBreak/>
              <w:t>servidores públicos de las Instituciones de Seguridad Pública</w:t>
            </w:r>
            <w:r w:rsidR="007E7A67" w:rsidRPr="007E7A67">
              <w:rPr>
                <w:rFonts w:ascii="Palatino Linotype" w:eastAsia="Palatino Linotype" w:hAnsi="Palatino Linotype" w:cs="Palatino Linotype"/>
                <w:i/>
                <w:color w:val="000000" w:themeColor="text1"/>
                <w:sz w:val="20"/>
                <w:szCs w:val="20"/>
              </w:rPr>
              <w:t>…</w:t>
            </w:r>
            <w:r>
              <w:rPr>
                <w:rFonts w:ascii="Palatino Linotype" w:eastAsia="Palatino Linotype" w:hAnsi="Palatino Linotype" w:cs="Palatino Linotype"/>
                <w:i/>
                <w:color w:val="000000" w:themeColor="text1"/>
                <w:sz w:val="20"/>
                <w:szCs w:val="20"/>
              </w:rPr>
              <w:t xml:space="preserve">” </w:t>
            </w:r>
            <w:r>
              <w:rPr>
                <w:rFonts w:ascii="Palatino Linotype" w:eastAsia="Palatino Linotype" w:hAnsi="Palatino Linotype" w:cs="Palatino Linotype"/>
                <w:iCs/>
                <w:color w:val="000000" w:themeColor="text1"/>
                <w:sz w:val="20"/>
                <w:szCs w:val="20"/>
              </w:rPr>
              <w:t>(Sic)</w:t>
            </w:r>
          </w:p>
          <w:p w14:paraId="7ACC368B" w14:textId="77777777" w:rsidR="00060351" w:rsidRPr="00354F4B" w:rsidRDefault="00060351" w:rsidP="00943D9C">
            <w:pPr>
              <w:pBdr>
                <w:top w:val="nil"/>
                <w:left w:val="nil"/>
                <w:bottom w:val="nil"/>
                <w:right w:val="nil"/>
                <w:between w:val="nil"/>
              </w:pBdr>
              <w:ind w:left="-108"/>
              <w:jc w:val="both"/>
              <w:rPr>
                <w:rFonts w:ascii="Palatino Linotype" w:hAnsi="Palatino Linotype"/>
                <w:b/>
                <w:i/>
                <w:sz w:val="20"/>
                <w:szCs w:val="20"/>
              </w:rPr>
            </w:pPr>
          </w:p>
        </w:tc>
        <w:tc>
          <w:tcPr>
            <w:tcW w:w="1984" w:type="dxa"/>
            <w:vAlign w:val="center"/>
          </w:tcPr>
          <w:p w14:paraId="075565AA" w14:textId="1F756C23" w:rsidR="00060351" w:rsidRPr="00354F4B" w:rsidRDefault="003C72D6" w:rsidP="00943D9C">
            <w:pPr>
              <w:spacing w:line="360" w:lineRule="auto"/>
              <w:jc w:val="center"/>
              <w:rPr>
                <w:rFonts w:ascii="Palatino Linotype" w:hAnsi="Palatino Linotype" w:cs="Tahoma"/>
                <w:iCs/>
                <w:sz w:val="20"/>
                <w:szCs w:val="20"/>
                <w:lang w:eastAsia="es-ES"/>
              </w:rPr>
            </w:pPr>
            <w:r>
              <w:rPr>
                <w:rFonts w:ascii="Palatino Linotype" w:hAnsi="Palatino Linotype" w:cs="Tahoma"/>
                <w:iCs/>
                <w:sz w:val="20"/>
                <w:szCs w:val="20"/>
                <w:lang w:eastAsia="es-ES"/>
              </w:rPr>
              <w:lastRenderedPageBreak/>
              <w:t>DA CUENTA DE LO SOLICITADO</w:t>
            </w:r>
          </w:p>
        </w:tc>
      </w:tr>
      <w:tr w:rsidR="00060351" w:rsidRPr="00354F4B" w14:paraId="5AFBD4FD" w14:textId="77777777" w:rsidTr="00060351">
        <w:tc>
          <w:tcPr>
            <w:tcW w:w="2830" w:type="dxa"/>
          </w:tcPr>
          <w:p w14:paraId="217BF65F" w14:textId="772B2D0C" w:rsidR="00060351" w:rsidRPr="003E1B0F" w:rsidRDefault="003E1B0F" w:rsidP="00060351">
            <w:pPr>
              <w:spacing w:line="276" w:lineRule="auto"/>
              <w:jc w:val="both"/>
              <w:rPr>
                <w:rFonts w:ascii="Palatino Linotype" w:hAnsi="Palatino Linotype" w:cs="Tahoma"/>
                <w:iCs/>
                <w:sz w:val="20"/>
                <w:szCs w:val="20"/>
              </w:rPr>
            </w:pPr>
            <w:r>
              <w:rPr>
                <w:rFonts w:ascii="Palatino Linotype" w:hAnsi="Palatino Linotype"/>
                <w:i/>
                <w:color w:val="000000"/>
                <w:sz w:val="20"/>
                <w:szCs w:val="20"/>
              </w:rPr>
              <w:t>“…</w:t>
            </w:r>
            <w:r w:rsidR="00060351" w:rsidRPr="00060351">
              <w:rPr>
                <w:rFonts w:ascii="Palatino Linotype" w:hAnsi="Palatino Linotype"/>
                <w:i/>
                <w:color w:val="000000"/>
                <w:sz w:val="20"/>
                <w:szCs w:val="20"/>
              </w:rPr>
              <w:t xml:space="preserve">De igual forma que estrategia de programación y plan de trabajo cuenta la Unidad de Estudios y Proyectos Especiales para determinar el número de elementos que cada año programa ya que de acuerdo a cifras oficiales llevan desde 2018 a la fecha, tiempo en el que </w:t>
            </w:r>
            <w:proofErr w:type="spellStart"/>
            <w:r w:rsidR="00060351" w:rsidRPr="00060351">
              <w:rPr>
                <w:rFonts w:ascii="Palatino Linotype" w:hAnsi="Palatino Linotype"/>
                <w:i/>
                <w:color w:val="000000"/>
                <w:sz w:val="20"/>
                <w:szCs w:val="20"/>
              </w:rPr>
              <w:t>esta</w:t>
            </w:r>
            <w:proofErr w:type="spellEnd"/>
            <w:r w:rsidR="00060351" w:rsidRPr="00060351">
              <w:rPr>
                <w:rFonts w:ascii="Palatino Linotype" w:hAnsi="Palatino Linotype"/>
                <w:i/>
                <w:color w:val="000000"/>
                <w:sz w:val="20"/>
                <w:szCs w:val="20"/>
              </w:rPr>
              <w:t xml:space="preserve"> al frente de dicha Unidad Gabriela Peláez Acero, programando a 5,000 elementos de manera uniforme y constante, cuando no es posible que cada año pierdan vigencia el mismo número de elementos al menos que el estado de fuerza no tenga incrementos y movimientos ? y la justificación que expone ante el Secretariado Estatal para mitigar el riesgo de que elementos sin evaluaciones de control de confianza sean los encargados de la seguridad de los mexiquenses</w:t>
            </w:r>
            <w:r>
              <w:rPr>
                <w:rFonts w:ascii="Palatino Linotype" w:hAnsi="Palatino Linotype"/>
                <w:i/>
                <w:color w:val="000000"/>
                <w:sz w:val="20"/>
                <w:szCs w:val="20"/>
              </w:rPr>
              <w:t xml:space="preserve">” </w:t>
            </w:r>
            <w:r>
              <w:rPr>
                <w:rFonts w:ascii="Palatino Linotype" w:hAnsi="Palatino Linotype"/>
                <w:color w:val="000000"/>
                <w:sz w:val="20"/>
                <w:szCs w:val="20"/>
              </w:rPr>
              <w:t>(Sic)</w:t>
            </w:r>
          </w:p>
        </w:tc>
        <w:tc>
          <w:tcPr>
            <w:tcW w:w="4395" w:type="dxa"/>
          </w:tcPr>
          <w:p w14:paraId="2DF80F95" w14:textId="30C8EECC" w:rsidR="00A75B1B" w:rsidRPr="00A75B1B" w:rsidRDefault="003C72D6" w:rsidP="00A75B1B">
            <w:pPr>
              <w:pBdr>
                <w:top w:val="nil"/>
                <w:left w:val="nil"/>
                <w:bottom w:val="nil"/>
                <w:right w:val="nil"/>
                <w:between w:val="nil"/>
              </w:pBdr>
              <w:spacing w:line="276" w:lineRule="auto"/>
              <w:ind w:left="-107"/>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r w:rsidR="00A75B1B" w:rsidRPr="00A75B1B">
              <w:rPr>
                <w:rFonts w:ascii="Palatino Linotype" w:eastAsia="Palatino Linotype" w:hAnsi="Palatino Linotype" w:cs="Palatino Linotype"/>
                <w:i/>
                <w:sz w:val="20"/>
                <w:szCs w:val="20"/>
              </w:rPr>
              <w:t>Con base en la normatividad antes expuesta, el Centro de Control de Confianza del Estado, es el responsable de emitir el listado del personal adscrito a la Secretaría de Seguridad considerado para la evaluación de control de confianza, siendo la Unidad de Estudios y Proyectos Especiales la responsable de verificar la información laboral, de nómina y adscripción física de cada una de las personas servidoras públicas considerandos en dicha evaluación, por lo que esta Secretaría de Seguridad no determina el universo a evaluar anualmente.</w:t>
            </w:r>
          </w:p>
          <w:p w14:paraId="207A986E" w14:textId="77777777" w:rsidR="00A75B1B" w:rsidRPr="00A75B1B" w:rsidRDefault="00A75B1B" w:rsidP="00A75B1B">
            <w:pPr>
              <w:pBdr>
                <w:top w:val="nil"/>
                <w:left w:val="nil"/>
                <w:bottom w:val="nil"/>
                <w:right w:val="nil"/>
                <w:between w:val="nil"/>
              </w:pBdr>
              <w:spacing w:line="276" w:lineRule="auto"/>
              <w:ind w:left="-107"/>
              <w:jc w:val="both"/>
              <w:rPr>
                <w:rFonts w:ascii="Palatino Linotype" w:eastAsia="Palatino Linotype" w:hAnsi="Palatino Linotype" w:cs="Palatino Linotype"/>
                <w:i/>
                <w:sz w:val="20"/>
                <w:szCs w:val="20"/>
              </w:rPr>
            </w:pPr>
            <w:r w:rsidRPr="00A75B1B">
              <w:rPr>
                <w:rFonts w:ascii="Palatino Linotype" w:eastAsia="Palatino Linotype" w:hAnsi="Palatino Linotype" w:cs="Palatino Linotype"/>
                <w:i/>
                <w:sz w:val="20"/>
                <w:szCs w:val="20"/>
              </w:rPr>
              <w:t>Cabe mencionar que la cantidad de elementos que se evalúan anualmente, se determina con base en la asignación del recurso para evaluaciones de control de confianza, a través del Fondo de Aportaciones para la Seguridad Pública (FASP) o del Fondo para el Fortalecimiento de las Instituciones de Seguridad Pública (FOFISP) y su programación se hace en función del listado remitido anualmente por el Centro de Control de Confianza del Estado de México con los elementos considerados para evaluación.</w:t>
            </w:r>
          </w:p>
          <w:p w14:paraId="195FDA1D" w14:textId="77777777" w:rsidR="00A75B1B" w:rsidRDefault="00A75B1B" w:rsidP="00A75B1B">
            <w:pPr>
              <w:pBdr>
                <w:top w:val="nil"/>
                <w:left w:val="nil"/>
                <w:bottom w:val="nil"/>
                <w:right w:val="nil"/>
                <w:between w:val="nil"/>
              </w:pBdr>
              <w:spacing w:line="276" w:lineRule="auto"/>
              <w:ind w:left="-107" w:firstLine="827"/>
              <w:jc w:val="both"/>
              <w:rPr>
                <w:rFonts w:ascii="Palatino Linotype" w:eastAsia="Palatino Linotype" w:hAnsi="Palatino Linotype" w:cs="Palatino Linotype"/>
                <w:i/>
                <w:sz w:val="20"/>
                <w:szCs w:val="20"/>
              </w:rPr>
            </w:pPr>
          </w:p>
          <w:p w14:paraId="1A366A83" w14:textId="6E74FECC" w:rsidR="00A75B1B" w:rsidRPr="00A75B1B" w:rsidRDefault="00A75B1B" w:rsidP="00A75B1B">
            <w:pPr>
              <w:pBdr>
                <w:top w:val="nil"/>
                <w:left w:val="nil"/>
                <w:bottom w:val="nil"/>
                <w:right w:val="nil"/>
                <w:between w:val="nil"/>
              </w:pBdr>
              <w:spacing w:line="276" w:lineRule="auto"/>
              <w:ind w:left="-107"/>
              <w:jc w:val="both"/>
              <w:rPr>
                <w:rFonts w:ascii="Palatino Linotype" w:eastAsia="Palatino Linotype" w:hAnsi="Palatino Linotype" w:cs="Palatino Linotype"/>
                <w:i/>
                <w:sz w:val="20"/>
                <w:szCs w:val="20"/>
              </w:rPr>
            </w:pPr>
            <w:r w:rsidRPr="00A75B1B">
              <w:rPr>
                <w:rFonts w:ascii="Palatino Linotype" w:eastAsia="Palatino Linotype" w:hAnsi="Palatino Linotype" w:cs="Palatino Linotype"/>
                <w:i/>
                <w:sz w:val="20"/>
                <w:szCs w:val="20"/>
              </w:rPr>
              <w:t>Así mismo, es importante señalar que dicha evaluación contribuye a verificar que el personal activo actúe dentro del marco de conducta que dicta la normatividad institucional, así como que el personal de nuevo ingreso se apegue a los principios institucionales de acuerdo al perfil de puesto; derivado de ello en su caso se emite la certificación correspondiente.</w:t>
            </w:r>
          </w:p>
          <w:p w14:paraId="34A0E00F" w14:textId="0D3F43B5" w:rsidR="00A75B1B" w:rsidRPr="00A75B1B" w:rsidRDefault="00A75B1B" w:rsidP="00A75B1B">
            <w:pPr>
              <w:pBdr>
                <w:top w:val="nil"/>
                <w:left w:val="nil"/>
                <w:bottom w:val="nil"/>
                <w:right w:val="nil"/>
                <w:between w:val="nil"/>
              </w:pBdr>
              <w:spacing w:line="276" w:lineRule="auto"/>
              <w:ind w:left="-107"/>
              <w:jc w:val="both"/>
              <w:rPr>
                <w:rFonts w:ascii="Palatino Linotype" w:eastAsia="Palatino Linotype" w:hAnsi="Palatino Linotype" w:cs="Palatino Linotype"/>
                <w:i/>
                <w:color w:val="000000" w:themeColor="text1"/>
                <w:sz w:val="20"/>
                <w:szCs w:val="20"/>
              </w:rPr>
            </w:pPr>
            <w:r w:rsidRPr="00A75B1B">
              <w:rPr>
                <w:rFonts w:ascii="Palatino Linotype" w:eastAsia="Palatino Linotype" w:hAnsi="Palatino Linotype" w:cs="Palatino Linotype"/>
                <w:i/>
                <w:sz w:val="20"/>
                <w:szCs w:val="20"/>
              </w:rPr>
              <w:lastRenderedPageBreak/>
              <w:t>Ahora bien, respecto de los argumentos jurídicos que justifican la aportación de arma y la permanencia dentro de la Institución, con fundamento en lo establecido en el artículo 69 y 152 de la Ley de Seguridad del Estado de México, publicada en el Periódico Oficial “Gaceta del Gobierno” el día 19 de octubre de 2011, señala lo correspondiente a la portación de armas, así como a la permanencia de los servidores públicos de las Instituciones de Seguridad Pública</w:t>
            </w:r>
            <w:r w:rsidRPr="00A75B1B">
              <w:rPr>
                <w:rFonts w:ascii="Palatino Linotype" w:eastAsia="Palatino Linotype" w:hAnsi="Palatino Linotype" w:cs="Palatino Linotype"/>
                <w:i/>
                <w:color w:val="000000" w:themeColor="text1"/>
                <w:sz w:val="20"/>
                <w:szCs w:val="20"/>
              </w:rPr>
              <w:t>…</w:t>
            </w:r>
          </w:p>
          <w:p w14:paraId="3BFC9912" w14:textId="77777777" w:rsidR="00A75B1B" w:rsidRDefault="00A75B1B" w:rsidP="00A75B1B">
            <w:pPr>
              <w:pBdr>
                <w:top w:val="nil"/>
                <w:left w:val="nil"/>
                <w:bottom w:val="nil"/>
                <w:right w:val="nil"/>
                <w:between w:val="nil"/>
              </w:pBdr>
              <w:spacing w:line="276" w:lineRule="auto"/>
              <w:ind w:left="-107"/>
              <w:jc w:val="both"/>
              <w:rPr>
                <w:rFonts w:ascii="Palatino Linotype" w:eastAsia="Palatino Linotype" w:hAnsi="Palatino Linotype" w:cs="Palatino Linotype"/>
                <w:i/>
                <w:sz w:val="20"/>
                <w:szCs w:val="20"/>
              </w:rPr>
            </w:pPr>
          </w:p>
          <w:p w14:paraId="1AC06955" w14:textId="7D68E3EB" w:rsidR="00A75B1B" w:rsidRPr="00A75B1B" w:rsidRDefault="00A75B1B" w:rsidP="00A75B1B">
            <w:pPr>
              <w:pBdr>
                <w:top w:val="nil"/>
                <w:left w:val="nil"/>
                <w:bottom w:val="nil"/>
                <w:right w:val="nil"/>
                <w:between w:val="nil"/>
              </w:pBdr>
              <w:spacing w:line="276" w:lineRule="auto"/>
              <w:ind w:left="-107"/>
              <w:jc w:val="both"/>
              <w:rPr>
                <w:rFonts w:ascii="Palatino Linotype" w:eastAsia="Palatino Linotype" w:hAnsi="Palatino Linotype" w:cs="Palatino Linotype"/>
                <w:i/>
                <w:sz w:val="20"/>
                <w:szCs w:val="20"/>
              </w:rPr>
            </w:pPr>
            <w:r w:rsidRPr="00A75B1B">
              <w:rPr>
                <w:rFonts w:ascii="Palatino Linotype" w:eastAsia="Palatino Linotype" w:hAnsi="Palatino Linotype" w:cs="Palatino Linotype"/>
                <w:i/>
                <w:sz w:val="20"/>
                <w:szCs w:val="20"/>
              </w:rPr>
              <w:t>No obstante lo anterior, se sugiere respetuosamente dirigir su solicitud al Módulo de Información Pública siguiente, ya que pudiera tener mayor información al respecto:</w:t>
            </w:r>
          </w:p>
          <w:p w14:paraId="62959919" w14:textId="77777777" w:rsidR="00A75B1B" w:rsidRPr="00A75B1B" w:rsidRDefault="00A75B1B" w:rsidP="00A75B1B">
            <w:pPr>
              <w:pStyle w:val="Prrafodelista"/>
              <w:numPr>
                <w:ilvl w:val="0"/>
                <w:numId w:val="4"/>
              </w:numPr>
              <w:pBdr>
                <w:top w:val="nil"/>
                <w:left w:val="nil"/>
                <w:bottom w:val="nil"/>
                <w:right w:val="nil"/>
                <w:between w:val="nil"/>
              </w:pBdr>
              <w:tabs>
                <w:tab w:val="left" w:pos="319"/>
              </w:tabs>
              <w:spacing w:line="276" w:lineRule="auto"/>
              <w:ind w:left="-107" w:firstLine="107"/>
              <w:jc w:val="both"/>
              <w:rPr>
                <w:rFonts w:ascii="Palatino Linotype" w:eastAsia="Palatino Linotype" w:hAnsi="Palatino Linotype" w:cs="Palatino Linotype"/>
                <w:i/>
                <w:color w:val="000000" w:themeColor="text1"/>
                <w:sz w:val="20"/>
                <w:szCs w:val="20"/>
              </w:rPr>
            </w:pPr>
            <w:r w:rsidRPr="00A75B1B">
              <w:rPr>
                <w:rFonts w:ascii="Palatino Linotype" w:eastAsia="Palatino Linotype" w:hAnsi="Palatino Linotype" w:cs="Palatino Linotype"/>
                <w:i/>
                <w:color w:val="000000" w:themeColor="text1"/>
                <w:sz w:val="20"/>
                <w:szCs w:val="20"/>
              </w:rPr>
              <w:t>Secretariado Ejecutivo del Sistema Nacional de Seguridad Pública, a través del Centro Nacional de Certificación y Acreditación, con domicilio en Avenida Mariano Escobedo, número 456, colonia Anzures, C.P. 11590, Ciudad de México.</w:t>
            </w:r>
          </w:p>
          <w:p w14:paraId="2BA753D5" w14:textId="61288049" w:rsidR="00060351" w:rsidRPr="003C72D6" w:rsidRDefault="00A75B1B" w:rsidP="00A75B1B">
            <w:pPr>
              <w:pBdr>
                <w:top w:val="nil"/>
                <w:left w:val="nil"/>
                <w:bottom w:val="nil"/>
                <w:right w:val="nil"/>
                <w:between w:val="nil"/>
              </w:pBdr>
              <w:spacing w:line="276" w:lineRule="auto"/>
              <w:ind w:left="-107"/>
              <w:jc w:val="both"/>
              <w:rPr>
                <w:rFonts w:ascii="Palatino Linotype" w:hAnsi="Palatino Linotype"/>
                <w:b/>
                <w:iCs/>
                <w:sz w:val="20"/>
                <w:szCs w:val="20"/>
              </w:rPr>
            </w:pPr>
            <w:r w:rsidRPr="00A75B1B">
              <w:rPr>
                <w:rFonts w:ascii="Palatino Linotype" w:eastAsia="Palatino Linotype" w:hAnsi="Palatino Linotype" w:cs="Palatino Linotype"/>
                <w:i/>
                <w:color w:val="000000" w:themeColor="text1"/>
                <w:sz w:val="20"/>
                <w:szCs w:val="20"/>
              </w:rPr>
              <w:t>O bien, a través de la Plataforma Nacional de Transparencia (PNT)…”</w:t>
            </w:r>
            <w:r w:rsidR="003C72D6">
              <w:rPr>
                <w:rFonts w:ascii="Palatino Linotype" w:eastAsia="Palatino Linotype" w:hAnsi="Palatino Linotype" w:cs="Palatino Linotype"/>
                <w:iCs/>
                <w:color w:val="000000" w:themeColor="text1"/>
                <w:sz w:val="20"/>
                <w:szCs w:val="20"/>
              </w:rPr>
              <w:t xml:space="preserve"> (Sic)</w:t>
            </w:r>
          </w:p>
        </w:tc>
        <w:tc>
          <w:tcPr>
            <w:tcW w:w="1984" w:type="dxa"/>
            <w:vAlign w:val="center"/>
          </w:tcPr>
          <w:p w14:paraId="4D47EA7E" w14:textId="7D926E12" w:rsidR="00060351" w:rsidRPr="00354F4B" w:rsidRDefault="003C72D6" w:rsidP="00943D9C">
            <w:pPr>
              <w:spacing w:line="360" w:lineRule="auto"/>
              <w:jc w:val="center"/>
              <w:rPr>
                <w:rFonts w:ascii="Palatino Linotype" w:hAnsi="Palatino Linotype" w:cs="Tahoma"/>
                <w:iCs/>
                <w:sz w:val="20"/>
                <w:szCs w:val="20"/>
                <w:lang w:eastAsia="es-ES"/>
              </w:rPr>
            </w:pPr>
            <w:r>
              <w:rPr>
                <w:rFonts w:ascii="Palatino Linotype" w:hAnsi="Palatino Linotype" w:cs="Tahoma"/>
                <w:iCs/>
                <w:sz w:val="20"/>
                <w:szCs w:val="20"/>
                <w:lang w:eastAsia="es-ES"/>
              </w:rPr>
              <w:lastRenderedPageBreak/>
              <w:t>DA CUENTA DE LO SOLICITADO</w:t>
            </w:r>
          </w:p>
        </w:tc>
      </w:tr>
    </w:tbl>
    <w:p w14:paraId="770FCD0B" w14:textId="343A1D67" w:rsidR="009114C3" w:rsidRDefault="009114C3" w:rsidP="009114C3">
      <w:pPr>
        <w:spacing w:line="360" w:lineRule="auto"/>
        <w:contextualSpacing/>
        <w:jc w:val="both"/>
        <w:rPr>
          <w:rFonts w:ascii="Palatino Linotype" w:eastAsia="Palatino Linotype" w:hAnsi="Palatino Linotype" w:cs="Palatino Linotype"/>
        </w:rPr>
      </w:pPr>
    </w:p>
    <w:p w14:paraId="5A405A66" w14:textId="77777777" w:rsidR="00EB1663" w:rsidRDefault="00EB1663" w:rsidP="00EB1663">
      <w:pPr>
        <w:pStyle w:val="Prrafodelista"/>
        <w:rPr>
          <w:rFonts w:ascii="Palatino Linotype" w:eastAsia="Palatino Linotype" w:hAnsi="Palatino Linotype" w:cs="Palatino Linotype"/>
          <w:bCs/>
        </w:rPr>
      </w:pPr>
    </w:p>
    <w:p w14:paraId="77DE8134" w14:textId="2E677593" w:rsidR="00FB464D" w:rsidRDefault="00FB464D" w:rsidP="004E3ED4">
      <w:pPr>
        <w:numPr>
          <w:ilvl w:val="0"/>
          <w:numId w:val="2"/>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Con base en lo anterior, </w:t>
      </w:r>
      <w:r w:rsidRPr="00FB464D">
        <w:rPr>
          <w:rFonts w:ascii="Palatino Linotype" w:eastAsia="Palatino Linotype" w:hAnsi="Palatino Linotype" w:cs="Palatino Linotype"/>
        </w:rPr>
        <w:t xml:space="preserve">es necesario señalar que este Instituto analizó a literalidad el contenido de la solicitud de acceso a la información planteada por </w:t>
      </w:r>
      <w:r w:rsidRPr="00FB464D">
        <w:rPr>
          <w:rFonts w:ascii="Palatino Linotype" w:eastAsia="Palatino Linotype" w:hAnsi="Palatino Linotype" w:cs="Palatino Linotype"/>
          <w:b/>
          <w:bCs/>
        </w:rPr>
        <w:t>LA PARTE RECURRENTE</w:t>
      </w:r>
      <w:r w:rsidRPr="00FB464D">
        <w:rPr>
          <w:rFonts w:ascii="Palatino Linotype" w:eastAsia="Palatino Linotype" w:hAnsi="Palatino Linotype" w:cs="Palatino Linotype"/>
        </w:rPr>
        <w:t xml:space="preserve">, encontrando como hallazgo que </w:t>
      </w:r>
      <w:r w:rsidR="00007AD8">
        <w:rPr>
          <w:rFonts w:ascii="Palatino Linotype" w:eastAsia="Palatino Linotype" w:hAnsi="Palatino Linotype" w:cs="Palatino Linotype"/>
        </w:rPr>
        <w:t>respecto al primer punto del cuadro anterior</w:t>
      </w:r>
      <w:r w:rsidR="003A6BA1">
        <w:rPr>
          <w:rFonts w:ascii="Palatino Linotype" w:eastAsia="Palatino Linotype" w:hAnsi="Palatino Linotype" w:cs="Palatino Linotype"/>
        </w:rPr>
        <w:t xml:space="preserve">, es decir al planteamiento: </w:t>
      </w:r>
      <w:r w:rsidR="003A6BA1" w:rsidRPr="003772BE">
        <w:rPr>
          <w:rFonts w:ascii="Palatino Linotype" w:eastAsia="Palatino Linotype" w:hAnsi="Palatino Linotype" w:cs="Palatino Linotype"/>
        </w:rPr>
        <w:t>“</w:t>
      </w:r>
      <w:r w:rsidR="003A6BA1" w:rsidRPr="003772BE">
        <w:rPr>
          <w:rFonts w:ascii="Palatino Linotype" w:hAnsi="Palatino Linotype"/>
          <w:i/>
          <w:color w:val="000000"/>
        </w:rPr>
        <w:t xml:space="preserve">De acuerdo a las últimas cifras publicadas en el Centro Nacional de Certificación y Acreditación, en el Informe De La Evaluación De Control De </w:t>
      </w:r>
      <w:r w:rsidR="003A6BA1" w:rsidRPr="003772BE">
        <w:rPr>
          <w:rFonts w:ascii="Palatino Linotype" w:hAnsi="Palatino Linotype"/>
          <w:i/>
          <w:color w:val="000000"/>
        </w:rPr>
        <w:lastRenderedPageBreak/>
        <w:t>Confianza, en las cifras correspondientes a la Entidad, se observa en el rubro de Seguridad Pública Estatal un universo evaluable de 17,548 y una plantilla activa de 17,316, dando una diferencia de 232 elementos, de esta diferencia cual es motivo por el cual no se evalúan”</w:t>
      </w:r>
      <w:r w:rsidR="003A6BA1">
        <w:rPr>
          <w:rFonts w:ascii="Palatino Linotype" w:hAnsi="Palatino Linotype"/>
          <w:i/>
          <w:color w:val="000000"/>
          <w:sz w:val="20"/>
          <w:szCs w:val="20"/>
        </w:rPr>
        <w:t xml:space="preserve"> </w:t>
      </w:r>
      <w:r w:rsidR="003A6BA1">
        <w:rPr>
          <w:rFonts w:ascii="Palatino Linotype" w:hAnsi="Palatino Linotype"/>
          <w:iCs/>
          <w:color w:val="000000"/>
          <w:sz w:val="20"/>
          <w:szCs w:val="20"/>
        </w:rPr>
        <w:t>(Sic)</w:t>
      </w:r>
      <w:r w:rsidR="00007AD8">
        <w:rPr>
          <w:rFonts w:ascii="Palatino Linotype" w:eastAsia="Palatino Linotype" w:hAnsi="Palatino Linotype" w:cs="Palatino Linotype"/>
        </w:rPr>
        <w:t xml:space="preserve">, </w:t>
      </w:r>
      <w:r w:rsidRPr="00FB464D">
        <w:rPr>
          <w:rFonts w:ascii="Palatino Linotype" w:eastAsia="Palatino Linotype" w:hAnsi="Palatino Linotype" w:cs="Palatino Linotype"/>
        </w:rPr>
        <w:t xml:space="preserve">la forma en </w:t>
      </w:r>
      <w:r>
        <w:rPr>
          <w:rFonts w:ascii="Palatino Linotype" w:eastAsia="Palatino Linotype" w:hAnsi="Palatino Linotype" w:cs="Palatino Linotype"/>
        </w:rPr>
        <w:t xml:space="preserve">cómo </w:t>
      </w:r>
      <w:r w:rsidRPr="00FB464D">
        <w:rPr>
          <w:rFonts w:ascii="Palatino Linotype" w:eastAsia="Palatino Linotype" w:hAnsi="Palatino Linotype" w:cs="Palatino Linotype"/>
        </w:rPr>
        <w:t>la realiza es a través de cuestionamientos a diversas interrogantes que son de su interés</w:t>
      </w:r>
      <w:r>
        <w:rPr>
          <w:rFonts w:ascii="Palatino Linotype" w:eastAsia="Palatino Linotype" w:hAnsi="Palatino Linotype" w:cs="Palatino Linotype"/>
        </w:rPr>
        <w:t xml:space="preserve">; </w:t>
      </w:r>
      <w:r w:rsidRPr="00FB464D">
        <w:rPr>
          <w:rFonts w:ascii="Palatino Linotype" w:eastAsia="Palatino Linotype" w:hAnsi="Palatino Linotype" w:cs="Palatino Linotype"/>
        </w:rPr>
        <w:t>razón por la cual este Órgano Garante considera pertinente, en primer lugar, establecer las diferencias entre el derecho de petición y el derecho de acceso a la información, basado en lo siguiente</w:t>
      </w:r>
      <w:r w:rsidR="00017FF9">
        <w:rPr>
          <w:rFonts w:ascii="Palatino Linotype" w:eastAsia="Palatino Linotype" w:hAnsi="Palatino Linotype" w:cs="Palatino Linotype"/>
        </w:rPr>
        <w:t>.</w:t>
      </w:r>
    </w:p>
    <w:p w14:paraId="6E20F031" w14:textId="77777777" w:rsidR="00544361" w:rsidRDefault="00544361" w:rsidP="00544361">
      <w:pPr>
        <w:spacing w:line="360" w:lineRule="auto"/>
        <w:contextualSpacing/>
        <w:jc w:val="both"/>
        <w:rPr>
          <w:rFonts w:ascii="Palatino Linotype" w:eastAsia="Palatino Linotype" w:hAnsi="Palatino Linotype" w:cs="Palatino Linotype"/>
        </w:rPr>
      </w:pPr>
    </w:p>
    <w:p w14:paraId="731F87D5" w14:textId="05B6739B" w:rsidR="00017FF9" w:rsidRPr="00F93C6E" w:rsidRDefault="00FB464D" w:rsidP="004E3ED4">
      <w:pPr>
        <w:numPr>
          <w:ilvl w:val="0"/>
          <w:numId w:val="2"/>
        </w:numPr>
        <w:spacing w:line="360" w:lineRule="auto"/>
        <w:ind w:left="0" w:firstLine="0"/>
        <w:contextualSpacing/>
        <w:jc w:val="both"/>
        <w:rPr>
          <w:rFonts w:ascii="Palatino Linotype" w:eastAsia="Palatino Linotype" w:hAnsi="Palatino Linotype" w:cs="Palatino Linotype"/>
        </w:rPr>
      </w:pPr>
      <w:r w:rsidRPr="00F93C6E">
        <w:rPr>
          <w:rFonts w:ascii="Palatino Linotype" w:eastAsia="Palatino Linotype" w:hAnsi="Palatino Linotype" w:cs="Palatino Linotype"/>
        </w:rPr>
        <w:t>El Maestro Ignacio Burgoa Orihuela refiere que el derecho de petición</w:t>
      </w:r>
      <w:r w:rsidR="00017FF9" w:rsidRPr="00F93C6E">
        <w:rPr>
          <w:rFonts w:ascii="Palatino Linotype" w:eastAsia="Palatino Linotype" w:hAnsi="Palatino Linotype" w:cs="Palatino Linotype"/>
        </w:rPr>
        <w:t xml:space="preserve"> </w:t>
      </w:r>
      <w:r w:rsidR="00F93C6E" w:rsidRPr="00F93C6E">
        <w:rPr>
          <w:rFonts w:ascii="Palatino Linotype" w:eastAsia="Palatino Linotype" w:hAnsi="Palatino Linotype" w:cs="Palatino Linotype"/>
          <w:szCs w:val="22"/>
          <w:lang w:val="es-ES"/>
        </w:rPr>
        <w:t>“…</w:t>
      </w:r>
      <w:r w:rsidR="00F93C6E" w:rsidRPr="00F93C6E">
        <w:rPr>
          <w:rFonts w:ascii="Palatino Linotype" w:eastAsia="Palatino Linotype" w:hAnsi="Palatino Linotype" w:cs="Palatino Linotype"/>
          <w:i/>
          <w:szCs w:val="22"/>
          <w:lang w:val="es-ES"/>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sidR="00F93C6E" w:rsidRPr="00F93C6E">
        <w:rPr>
          <w:rFonts w:ascii="Palatino Linotype" w:eastAsia="Palatino Linotype" w:hAnsi="Palatino Linotype" w:cs="Palatino Linotype"/>
          <w:i/>
          <w:szCs w:val="22"/>
          <w:vertAlign w:val="superscript"/>
          <w:lang w:val="es-ES"/>
        </w:rPr>
        <w:t xml:space="preserve"> </w:t>
      </w:r>
      <w:r w:rsidR="00F93C6E" w:rsidRPr="00F93C6E">
        <w:rPr>
          <w:rFonts w:ascii="Palatino Linotype" w:eastAsia="Palatino Linotype" w:hAnsi="Palatino Linotype" w:cs="Palatino Linotype"/>
          <w:i/>
          <w:szCs w:val="22"/>
          <w:vertAlign w:val="superscript"/>
          <w:lang w:val="es-ES"/>
        </w:rPr>
        <w:footnoteReference w:id="1"/>
      </w:r>
      <w:r w:rsidR="00F93C6E" w:rsidRPr="00F93C6E">
        <w:rPr>
          <w:rFonts w:ascii="Palatino Linotype" w:eastAsia="Palatino Linotype" w:hAnsi="Palatino Linotype" w:cs="Palatino Linotype"/>
          <w:i/>
          <w:szCs w:val="22"/>
          <w:lang w:val="es-ES"/>
        </w:rPr>
        <w:t xml:space="preserve">“, </w:t>
      </w:r>
      <w:r w:rsidR="00F93C6E" w:rsidRPr="00F93C6E">
        <w:rPr>
          <w:rFonts w:ascii="Palatino Linotype" w:eastAsia="Palatino Linotype" w:hAnsi="Palatino Linotype" w:cs="Palatino Linotype"/>
          <w:szCs w:val="22"/>
          <w:lang w:val="es-ES"/>
        </w:rPr>
        <w:t>mientras que</w:t>
      </w:r>
      <w:r w:rsidR="00F93C6E" w:rsidRPr="00F93C6E">
        <w:rPr>
          <w:rFonts w:ascii="Palatino Linotype" w:eastAsia="Palatino Linotype" w:hAnsi="Palatino Linotype" w:cs="Palatino Linotype"/>
          <w:i/>
          <w:szCs w:val="22"/>
          <w:lang w:val="es-ES"/>
        </w:rPr>
        <w:t xml:space="preserve"> </w:t>
      </w:r>
      <w:r w:rsidR="00F93C6E" w:rsidRPr="00F93C6E">
        <w:rPr>
          <w:rFonts w:ascii="Palatino Linotype" w:eastAsia="Palatino Linotype" w:hAnsi="Palatino Linotype" w:cs="Palatino Linotype"/>
          <w:szCs w:val="22"/>
          <w:lang w:val="es-ES"/>
        </w:rPr>
        <w:t xml:space="preserve">David Cienfuegos Salgado, lo concibe como </w:t>
      </w:r>
      <w:r w:rsidR="00F93C6E" w:rsidRPr="00F93C6E">
        <w:rPr>
          <w:rFonts w:ascii="Palatino Linotype" w:eastAsia="Palatino Linotype" w:hAnsi="Palatino Linotype" w:cs="Palatino Linotype"/>
          <w:i/>
          <w:szCs w:val="22"/>
          <w:lang w:val="es-ES"/>
        </w:rPr>
        <w:t>“el derecho de toda persona a ser escuchado por quienes ejercen el poder público.</w:t>
      </w:r>
      <w:r w:rsidR="00F93C6E" w:rsidRPr="00F93C6E">
        <w:rPr>
          <w:rFonts w:ascii="Palatino Linotype" w:eastAsia="Palatino Linotype" w:hAnsi="Palatino Linotype" w:cs="Palatino Linotype"/>
          <w:i/>
          <w:szCs w:val="22"/>
          <w:vertAlign w:val="superscript"/>
          <w:lang w:val="es-ES"/>
        </w:rPr>
        <w:t xml:space="preserve"> </w:t>
      </w:r>
      <w:r w:rsidR="00F93C6E" w:rsidRPr="00F93C6E">
        <w:rPr>
          <w:rFonts w:ascii="Palatino Linotype" w:eastAsia="Palatino Linotype" w:hAnsi="Palatino Linotype" w:cs="Palatino Linotype"/>
          <w:i/>
          <w:szCs w:val="22"/>
          <w:vertAlign w:val="superscript"/>
          <w:lang w:val="es-ES"/>
        </w:rPr>
        <w:footnoteReference w:id="2"/>
      </w:r>
      <w:r w:rsidR="00F93C6E" w:rsidRPr="00F93C6E">
        <w:rPr>
          <w:rFonts w:ascii="Palatino Linotype" w:eastAsia="Palatino Linotype" w:hAnsi="Palatino Linotype" w:cs="Palatino Linotype"/>
          <w:i/>
          <w:szCs w:val="22"/>
          <w:lang w:val="es-ES"/>
        </w:rPr>
        <w:t>”</w:t>
      </w:r>
    </w:p>
    <w:p w14:paraId="6EBE4E21" w14:textId="77777777" w:rsidR="00F93C6E" w:rsidRPr="00F93C6E" w:rsidRDefault="00F93C6E" w:rsidP="00F93C6E">
      <w:pPr>
        <w:spacing w:line="360" w:lineRule="auto"/>
        <w:contextualSpacing/>
        <w:jc w:val="both"/>
        <w:rPr>
          <w:rFonts w:ascii="Palatino Linotype" w:eastAsia="Palatino Linotype" w:hAnsi="Palatino Linotype" w:cs="Palatino Linotype"/>
        </w:rPr>
      </w:pPr>
    </w:p>
    <w:p w14:paraId="28E26006" w14:textId="01777BD5" w:rsidR="00226741" w:rsidRPr="00226741" w:rsidRDefault="00FB464D" w:rsidP="004E3ED4">
      <w:pPr>
        <w:numPr>
          <w:ilvl w:val="0"/>
          <w:numId w:val="2"/>
        </w:numPr>
        <w:spacing w:line="360" w:lineRule="auto"/>
        <w:ind w:left="0" w:firstLine="0"/>
        <w:contextualSpacing/>
        <w:jc w:val="both"/>
        <w:rPr>
          <w:rFonts w:ascii="Palatino Linotype" w:eastAsia="Palatino Linotype" w:hAnsi="Palatino Linotype" w:cs="Palatino Linotype"/>
        </w:rPr>
      </w:pPr>
      <w:r w:rsidRPr="00226741">
        <w:rPr>
          <w:rFonts w:ascii="Palatino Linotype" w:eastAsia="Palatino Linotype" w:hAnsi="Palatino Linotype" w:cs="Palatino Linotype"/>
        </w:rPr>
        <w:t>Para diferenciar el derecho de petición al derecho de acceso a la información, resulta conducente señalar que José Guadalupe Robles, conceptualiza el derecho a la información como “</w:t>
      </w:r>
      <w:r w:rsidR="00226741" w:rsidRPr="00AE0BD0">
        <w:rPr>
          <w:rFonts w:eastAsia="Palatino Linotype" w:cs="Palatino Linotype"/>
          <w:i/>
          <w:szCs w:val="22"/>
          <w:lang w:val="es-ES"/>
        </w:rPr>
        <w:t xml:space="preserve">“un derecho fundamental tanto de carácter individual como colectivo, </w:t>
      </w:r>
      <w:r w:rsidR="00226741" w:rsidRPr="00AE0BD0">
        <w:rPr>
          <w:rFonts w:eastAsia="Palatino Linotype" w:cs="Palatino Linotype"/>
          <w:i/>
          <w:szCs w:val="22"/>
          <w:lang w:val="es-ES"/>
        </w:rPr>
        <w:lastRenderedPageBreak/>
        <w:t>cuyas limitaciones deben estar establecida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w:t>
      </w:r>
      <w:r w:rsidR="00226741" w:rsidRPr="00AE0BD0">
        <w:rPr>
          <w:rFonts w:eastAsia="Palatino Linotype" w:cs="Palatino Linotype"/>
          <w:i/>
          <w:szCs w:val="22"/>
          <w:vertAlign w:val="superscript"/>
          <w:lang w:val="es-ES"/>
        </w:rPr>
        <w:t xml:space="preserve"> </w:t>
      </w:r>
      <w:r w:rsidR="00226741" w:rsidRPr="00AE0BD0">
        <w:rPr>
          <w:rFonts w:eastAsia="Palatino Linotype" w:cs="Palatino Linotype"/>
          <w:i/>
          <w:szCs w:val="22"/>
          <w:vertAlign w:val="superscript"/>
          <w:lang w:val="es-ES"/>
        </w:rPr>
        <w:footnoteReference w:id="3"/>
      </w:r>
      <w:r w:rsidR="00226741" w:rsidRPr="00AE0BD0">
        <w:rPr>
          <w:rFonts w:eastAsia="Palatino Linotype" w:cs="Palatino Linotype"/>
          <w:i/>
          <w:szCs w:val="22"/>
          <w:lang w:val="es-ES"/>
        </w:rPr>
        <w:t>“</w:t>
      </w:r>
    </w:p>
    <w:p w14:paraId="3438A2AB" w14:textId="77777777" w:rsidR="00226741" w:rsidRDefault="00226741" w:rsidP="00226741">
      <w:pPr>
        <w:pStyle w:val="Prrafodelista"/>
        <w:rPr>
          <w:rFonts w:ascii="Palatino Linotype" w:eastAsia="Palatino Linotype" w:hAnsi="Palatino Linotype" w:cs="Palatino Linotype"/>
        </w:rPr>
      </w:pPr>
    </w:p>
    <w:p w14:paraId="55ACBAD1" w14:textId="526F0567" w:rsidR="00FB464D" w:rsidRDefault="00FB464D" w:rsidP="004E3ED4">
      <w:pPr>
        <w:numPr>
          <w:ilvl w:val="0"/>
          <w:numId w:val="2"/>
        </w:numPr>
        <w:spacing w:line="360" w:lineRule="auto"/>
        <w:ind w:left="0" w:firstLine="0"/>
        <w:contextualSpacing/>
        <w:jc w:val="both"/>
        <w:rPr>
          <w:rFonts w:ascii="Palatino Linotype" w:eastAsia="Palatino Linotype" w:hAnsi="Palatino Linotype" w:cs="Palatino Linotype"/>
        </w:rPr>
      </w:pPr>
      <w:r w:rsidRPr="00A61981">
        <w:rPr>
          <w:rFonts w:ascii="Palatino Linotype" w:eastAsia="Palatino Linotype" w:hAnsi="Palatino Linotype" w:cs="Palatino Linotype"/>
        </w:rPr>
        <w:t xml:space="preserve">Además, el derecho a la información constituye una prerrogativa de acceder a documentación en poder de los Sujetos Obligados, no así a realizar cuestionamientos, o manifestaciones subjetivas. </w:t>
      </w:r>
    </w:p>
    <w:p w14:paraId="7312834D" w14:textId="77777777" w:rsidR="00A61981" w:rsidRDefault="00A61981" w:rsidP="00A61981">
      <w:pPr>
        <w:pStyle w:val="Prrafodelista"/>
        <w:rPr>
          <w:rFonts w:ascii="Palatino Linotype" w:eastAsia="Palatino Linotype" w:hAnsi="Palatino Linotype" w:cs="Palatino Linotype"/>
        </w:rPr>
      </w:pPr>
    </w:p>
    <w:p w14:paraId="5E87BDEA" w14:textId="23F7E1D6" w:rsidR="00FB464D" w:rsidRDefault="00FB464D" w:rsidP="004E3ED4">
      <w:pPr>
        <w:numPr>
          <w:ilvl w:val="0"/>
          <w:numId w:val="2"/>
        </w:numPr>
        <w:spacing w:line="360" w:lineRule="auto"/>
        <w:ind w:left="0" w:firstLine="0"/>
        <w:contextualSpacing/>
        <w:jc w:val="both"/>
        <w:rPr>
          <w:rFonts w:ascii="Palatino Linotype" w:eastAsia="Palatino Linotype" w:hAnsi="Palatino Linotype" w:cs="Palatino Linotype"/>
        </w:rPr>
      </w:pPr>
      <w:r w:rsidRPr="00A61981">
        <w:rPr>
          <w:rFonts w:ascii="Palatino Linotype" w:eastAsia="Palatino Linotype" w:hAnsi="Palatino Linotype" w:cs="Palatino Linotype"/>
        </w:rPr>
        <w:t xml:space="preserve">Sirve de apoyo a lo anterior la definición de derecho a la información de Ernesto Villanueva </w:t>
      </w:r>
      <w:proofErr w:type="spellStart"/>
      <w:r w:rsidRPr="00A61981">
        <w:rPr>
          <w:rFonts w:ascii="Palatino Linotype" w:eastAsia="Palatino Linotype" w:hAnsi="Palatino Linotype" w:cs="Palatino Linotype"/>
        </w:rPr>
        <w:t>Villanueva</w:t>
      </w:r>
      <w:proofErr w:type="spellEnd"/>
      <w:r w:rsidRPr="00A61981">
        <w:rPr>
          <w:rFonts w:ascii="Palatino Linotype" w:eastAsia="Palatino Linotype" w:hAnsi="Palatino Linotype" w:cs="Palatino Linotype"/>
        </w:rPr>
        <w:t xml:space="preserve"> que dice:</w:t>
      </w:r>
      <w:r w:rsidR="00A61981">
        <w:rPr>
          <w:rFonts w:ascii="Palatino Linotype" w:eastAsia="Palatino Linotype" w:hAnsi="Palatino Linotype" w:cs="Palatino Linotype"/>
        </w:rPr>
        <w:t xml:space="preserve"> </w:t>
      </w:r>
      <w:r w:rsidR="00A61981" w:rsidRPr="00AE0BD0">
        <w:rPr>
          <w:rFonts w:eastAsia="Palatino Linotype" w:cs="Palatino Linotype"/>
          <w:szCs w:val="22"/>
          <w:lang w:val="es-ES"/>
        </w:rPr>
        <w:t>“</w:t>
      </w:r>
      <w:r w:rsidR="00A61981" w:rsidRPr="00AE0BD0">
        <w:rPr>
          <w:rFonts w:eastAsia="Palatino Linotype" w:cs="Palatino Linotype"/>
          <w:i/>
          <w:szCs w:val="22"/>
          <w:lang w:val="es-ES"/>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00A61981" w:rsidRPr="00AE0BD0">
        <w:rPr>
          <w:rStyle w:val="Refdenotaalpie"/>
          <w:rFonts w:eastAsia="Palatino Linotype" w:cs="Palatino Linotype"/>
          <w:i/>
          <w:szCs w:val="22"/>
          <w:lang w:val="es-ES"/>
        </w:rPr>
        <w:footnoteReference w:id="4"/>
      </w:r>
      <w:r w:rsidR="00A61981" w:rsidRPr="00AE0BD0">
        <w:rPr>
          <w:rFonts w:eastAsia="Palatino Linotype" w:cs="Palatino Linotype"/>
          <w:i/>
          <w:szCs w:val="22"/>
          <w:lang w:val="es-ES"/>
        </w:rPr>
        <w:t xml:space="preserve"> </w:t>
      </w:r>
      <w:r w:rsidRPr="00A61981">
        <w:rPr>
          <w:rFonts w:ascii="Palatino Linotype" w:eastAsia="Palatino Linotype" w:hAnsi="Palatino Linotype" w:cs="Palatino Linotype"/>
        </w:rPr>
        <w:t xml:space="preserve">  </w:t>
      </w:r>
    </w:p>
    <w:p w14:paraId="3CC95A80" w14:textId="77777777" w:rsidR="00A61981" w:rsidRDefault="00A61981" w:rsidP="00A61981">
      <w:pPr>
        <w:pStyle w:val="Prrafodelista"/>
        <w:rPr>
          <w:rFonts w:ascii="Palatino Linotype" w:eastAsia="Palatino Linotype" w:hAnsi="Palatino Linotype" w:cs="Palatino Linotype"/>
        </w:rPr>
      </w:pPr>
    </w:p>
    <w:p w14:paraId="188D999E" w14:textId="77777777" w:rsidR="00FB464D" w:rsidRDefault="00FB464D" w:rsidP="004E3ED4">
      <w:pPr>
        <w:numPr>
          <w:ilvl w:val="0"/>
          <w:numId w:val="2"/>
        </w:numPr>
        <w:spacing w:line="360" w:lineRule="auto"/>
        <w:ind w:left="0" w:firstLine="0"/>
        <w:contextualSpacing/>
        <w:jc w:val="both"/>
        <w:rPr>
          <w:rFonts w:ascii="Palatino Linotype" w:eastAsia="Palatino Linotype" w:hAnsi="Palatino Linotype" w:cs="Palatino Linotype"/>
        </w:rPr>
      </w:pPr>
      <w:r w:rsidRPr="00A61981">
        <w:rPr>
          <w:rFonts w:ascii="Palatino Linotype" w:eastAsia="Palatino Linotype" w:hAnsi="Palatino Linotype" w:cs="Palatino Linotype"/>
        </w:rPr>
        <w:t xml:space="preserve">Por lo que, </w:t>
      </w:r>
      <w:r w:rsidRPr="00A61981">
        <w:rPr>
          <w:rFonts w:ascii="Palatino Linotype" w:eastAsia="Palatino Linotype" w:hAnsi="Palatino Linotype" w:cs="Palatino Linotype"/>
          <w:b/>
          <w:bCs/>
        </w:rPr>
        <w:t>la entrega de una razón o un razonamiento por parte del Sujeto Obligado no es algo que la ley establezca como atribución, derecho, o facultad; pues ello implicaría un juicio de valor referente a un cuestionamiento realizado</w:t>
      </w:r>
      <w:r w:rsidRPr="00A61981">
        <w:rPr>
          <w:rFonts w:ascii="Palatino Linotype" w:eastAsia="Palatino Linotype" w:hAnsi="Palatino Linotype" w:cs="Palatino Linotype"/>
        </w:rPr>
        <w:t>, los cuales, al constituir interrogantes, inquietudes y manifestaciones se satisfacen vía derecho de petición.</w:t>
      </w:r>
    </w:p>
    <w:p w14:paraId="3E13DBB1" w14:textId="77777777" w:rsidR="00A61981" w:rsidRDefault="00A61981" w:rsidP="00A61981">
      <w:pPr>
        <w:pStyle w:val="Prrafodelista"/>
        <w:rPr>
          <w:rFonts w:ascii="Palatino Linotype" w:eastAsia="Palatino Linotype" w:hAnsi="Palatino Linotype" w:cs="Palatino Linotype"/>
        </w:rPr>
      </w:pPr>
    </w:p>
    <w:p w14:paraId="0B4B138D" w14:textId="77777777" w:rsidR="00FB464D" w:rsidRDefault="00FB464D" w:rsidP="004E3ED4">
      <w:pPr>
        <w:numPr>
          <w:ilvl w:val="0"/>
          <w:numId w:val="2"/>
        </w:numPr>
        <w:spacing w:line="360" w:lineRule="auto"/>
        <w:ind w:left="0" w:firstLine="0"/>
        <w:contextualSpacing/>
        <w:jc w:val="both"/>
        <w:rPr>
          <w:rFonts w:ascii="Palatino Linotype" w:eastAsia="Palatino Linotype" w:hAnsi="Palatino Linotype" w:cs="Palatino Linotype"/>
        </w:rPr>
      </w:pPr>
      <w:r w:rsidRPr="00A61981">
        <w:rPr>
          <w:rFonts w:ascii="Palatino Linotype" w:eastAsia="Palatino Linotype" w:hAnsi="Palatino Linotype" w:cs="Palatino Linotype"/>
        </w:rPr>
        <w:lastRenderedPageBreak/>
        <w:t xml:space="preserve">Aunado a lo anterior, se menciona que el derecho de acceso a la información pública por disposición del artículo 4 citado con antelación, de la Ley de Transparencia y Acceso a la Información Pública del Estado de México y Municipios, menciona que es la prerrogativa de las personas para buscar, difundir, investigar, recabar, recibir y solicitar información pública. </w:t>
      </w:r>
    </w:p>
    <w:p w14:paraId="01C5E169" w14:textId="77777777" w:rsidR="00EA76C7" w:rsidRDefault="00EA76C7" w:rsidP="00EA76C7">
      <w:pPr>
        <w:pStyle w:val="Prrafodelista"/>
        <w:rPr>
          <w:rFonts w:ascii="Palatino Linotype" w:eastAsia="Palatino Linotype" w:hAnsi="Palatino Linotype" w:cs="Palatino Linotype"/>
        </w:rPr>
      </w:pPr>
    </w:p>
    <w:p w14:paraId="5A39B0D5" w14:textId="77777777" w:rsidR="00FB464D" w:rsidRDefault="00FB464D" w:rsidP="004E3ED4">
      <w:pPr>
        <w:numPr>
          <w:ilvl w:val="0"/>
          <w:numId w:val="2"/>
        </w:numPr>
        <w:spacing w:line="360" w:lineRule="auto"/>
        <w:ind w:left="0" w:firstLine="0"/>
        <w:contextualSpacing/>
        <w:jc w:val="both"/>
        <w:rPr>
          <w:rFonts w:ascii="Palatino Linotype" w:eastAsia="Palatino Linotype" w:hAnsi="Palatino Linotype" w:cs="Palatino Linotype"/>
        </w:rPr>
      </w:pPr>
      <w:r w:rsidRPr="00EA76C7">
        <w:rPr>
          <w:rFonts w:ascii="Palatino Linotype" w:eastAsia="Palatino Linotype" w:hAnsi="Palatino Linotype" w:cs="Palatino Linotype"/>
        </w:rPr>
        <w:t xml:space="preserve">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 </w:t>
      </w:r>
    </w:p>
    <w:p w14:paraId="431D8FC1" w14:textId="77777777" w:rsidR="00EA76C7" w:rsidRDefault="00EA76C7" w:rsidP="00EA76C7">
      <w:pPr>
        <w:pStyle w:val="Prrafodelista"/>
        <w:rPr>
          <w:rFonts w:ascii="Palatino Linotype" w:eastAsia="Palatino Linotype" w:hAnsi="Palatino Linotype" w:cs="Palatino Linotype"/>
        </w:rPr>
      </w:pPr>
    </w:p>
    <w:p w14:paraId="7241C673" w14:textId="77777777" w:rsidR="00FB464D" w:rsidRDefault="00FB464D" w:rsidP="004E3ED4">
      <w:pPr>
        <w:numPr>
          <w:ilvl w:val="0"/>
          <w:numId w:val="2"/>
        </w:numPr>
        <w:spacing w:line="360" w:lineRule="auto"/>
        <w:ind w:left="0" w:firstLine="0"/>
        <w:contextualSpacing/>
        <w:jc w:val="both"/>
        <w:rPr>
          <w:rFonts w:ascii="Palatino Linotype" w:eastAsia="Palatino Linotype" w:hAnsi="Palatino Linotype" w:cs="Palatino Linotype"/>
        </w:rPr>
      </w:pPr>
      <w:r w:rsidRPr="00EA76C7">
        <w:rPr>
          <w:rFonts w:ascii="Palatino Linotype" w:eastAsia="Palatino Linotype" w:hAnsi="Palatino Linotype" w:cs="Palatino Linotype"/>
        </w:rPr>
        <w:t xml:space="preserve">Por tanto, 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de Transparencia y Acceso a la Información Pública del Estado de México y Municipios y demás disposiciones de la materia, privilegiando el principio de máxima publicidad de la información. </w:t>
      </w:r>
    </w:p>
    <w:p w14:paraId="2EDC6C86" w14:textId="77777777" w:rsidR="00EA76C7" w:rsidRDefault="00EA76C7" w:rsidP="00EA76C7">
      <w:pPr>
        <w:pStyle w:val="Prrafodelista"/>
        <w:rPr>
          <w:rFonts w:ascii="Palatino Linotype" w:eastAsia="Palatino Linotype" w:hAnsi="Palatino Linotype" w:cs="Palatino Linotype"/>
        </w:rPr>
      </w:pPr>
    </w:p>
    <w:p w14:paraId="60671945" w14:textId="77777777" w:rsidR="00FB464D" w:rsidRDefault="00FB464D" w:rsidP="004E3ED4">
      <w:pPr>
        <w:numPr>
          <w:ilvl w:val="0"/>
          <w:numId w:val="2"/>
        </w:numPr>
        <w:spacing w:line="360" w:lineRule="auto"/>
        <w:ind w:left="0" w:firstLine="0"/>
        <w:contextualSpacing/>
        <w:jc w:val="both"/>
        <w:rPr>
          <w:rFonts w:ascii="Palatino Linotype" w:eastAsia="Palatino Linotype" w:hAnsi="Palatino Linotype" w:cs="Palatino Linotype"/>
        </w:rPr>
      </w:pPr>
      <w:r w:rsidRPr="00EA76C7">
        <w:rPr>
          <w:rFonts w:ascii="Palatino Linotype" w:eastAsia="Palatino Linotype" w:hAnsi="Palatino Linotype" w:cs="Palatino Linotype"/>
        </w:rPr>
        <w:lastRenderedPageBreak/>
        <w:t>Para ello, la Ley de Transparencia y Acceso a la Información Pública del Estado de México y Municipios otorga la calidad de documento a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B44BED9" w14:textId="77777777" w:rsidR="00EA76C7" w:rsidRDefault="00EA76C7" w:rsidP="00EA76C7">
      <w:pPr>
        <w:pStyle w:val="Prrafodelista"/>
        <w:rPr>
          <w:rFonts w:ascii="Palatino Linotype" w:eastAsia="Palatino Linotype" w:hAnsi="Palatino Linotype" w:cs="Palatino Linotype"/>
        </w:rPr>
      </w:pPr>
    </w:p>
    <w:p w14:paraId="6E4150B1" w14:textId="77777777" w:rsidR="00FB464D" w:rsidRDefault="00FB464D" w:rsidP="004E3ED4">
      <w:pPr>
        <w:numPr>
          <w:ilvl w:val="0"/>
          <w:numId w:val="2"/>
        </w:numPr>
        <w:spacing w:line="360" w:lineRule="auto"/>
        <w:ind w:left="0" w:firstLine="0"/>
        <w:contextualSpacing/>
        <w:jc w:val="both"/>
        <w:rPr>
          <w:rFonts w:ascii="Palatino Linotype" w:eastAsia="Palatino Linotype" w:hAnsi="Palatino Linotype" w:cs="Palatino Linotype"/>
        </w:rPr>
      </w:pPr>
      <w:r w:rsidRPr="00EA76C7">
        <w:rPr>
          <w:rFonts w:ascii="Palatino Linotype" w:eastAsia="Palatino Linotype" w:hAnsi="Palatino Linotype" w:cs="Palatino Linotype"/>
        </w:rPr>
        <w:t xml:space="preserve">De manera que el derecho de acceso a la información pública se satisface en aquellos casos en que se entregue el soporte documental en que conste la información pública, toda vez que los Sujetos Obligados no tienen el deber de generar información, resumirla, practicar investigaciones o realizar cálculos para satisfacer el derecho de acceso a la información conforme al interés de los particulares. </w:t>
      </w:r>
    </w:p>
    <w:p w14:paraId="398B42DA" w14:textId="77777777" w:rsidR="00EA76C7" w:rsidRDefault="00EA76C7" w:rsidP="00EA76C7">
      <w:pPr>
        <w:pStyle w:val="Prrafodelista"/>
        <w:rPr>
          <w:rFonts w:ascii="Palatino Linotype" w:eastAsia="Palatino Linotype" w:hAnsi="Palatino Linotype" w:cs="Palatino Linotype"/>
        </w:rPr>
      </w:pPr>
    </w:p>
    <w:p w14:paraId="5AC19454" w14:textId="52C69904" w:rsidR="00FB464D" w:rsidRPr="00F87918" w:rsidRDefault="00FB464D" w:rsidP="004E3ED4">
      <w:pPr>
        <w:numPr>
          <w:ilvl w:val="0"/>
          <w:numId w:val="2"/>
        </w:numPr>
        <w:spacing w:line="360" w:lineRule="auto"/>
        <w:ind w:left="0" w:firstLine="0"/>
        <w:contextualSpacing/>
        <w:jc w:val="both"/>
        <w:rPr>
          <w:rFonts w:ascii="Palatino Linotype" w:eastAsia="Palatino Linotype" w:hAnsi="Palatino Linotype" w:cs="Palatino Linotype"/>
        </w:rPr>
      </w:pPr>
      <w:r w:rsidRPr="00EA76C7">
        <w:rPr>
          <w:rFonts w:ascii="Palatino Linotype" w:eastAsia="Palatino Linotype" w:hAnsi="Palatino Linotype" w:cs="Palatino Linotype"/>
        </w:rPr>
        <w:t xml:space="preserve">Así, se puede concluir que la distinción entre el derecho de petición y el derecho de acceso a la información pública estriba principalmente en que en el primero de ellos, la pretensión del peticionario consiste generalmente en </w:t>
      </w:r>
      <w:r w:rsidRPr="0097292E">
        <w:rPr>
          <w:rFonts w:ascii="Palatino Linotype" w:eastAsia="Palatino Linotype" w:hAnsi="Palatino Linotype" w:cs="Palatino Linotype"/>
          <w:i/>
          <w:iCs/>
        </w:rPr>
        <w:t>obligar a la autoridad responsable a que actúe en el sentido de contestar lo solicitado</w:t>
      </w:r>
      <w:r w:rsidRPr="00EA76C7">
        <w:rPr>
          <w:rFonts w:ascii="Palatino Linotype" w:eastAsia="Palatino Linotype" w:hAnsi="Palatino Linotype" w:cs="Palatino Linotype"/>
        </w:rPr>
        <w:t xml:space="preserve">, mientras que en el segundo supuesto la solicitud de acceso a la información pública </w:t>
      </w:r>
      <w:r w:rsidRPr="0097292E">
        <w:rPr>
          <w:rFonts w:ascii="Palatino Linotype" w:eastAsia="Palatino Linotype" w:hAnsi="Palatino Linotype" w:cs="Palatino Linotype"/>
          <w:i/>
          <w:iCs/>
        </w:rPr>
        <w:t>se encamina primordialmente a permitir el acceso a datos, registros y todo tipo de información pública que conste en documentos, sea generada o se encuentre en posesión de la autoridad.</w:t>
      </w:r>
    </w:p>
    <w:p w14:paraId="33BBE23A" w14:textId="77777777" w:rsidR="00F87918" w:rsidRDefault="00F87918" w:rsidP="00F87918">
      <w:pPr>
        <w:pStyle w:val="Prrafodelista"/>
        <w:rPr>
          <w:rFonts w:ascii="Palatino Linotype" w:eastAsia="Palatino Linotype" w:hAnsi="Palatino Linotype" w:cs="Palatino Linotype"/>
        </w:rPr>
      </w:pPr>
    </w:p>
    <w:p w14:paraId="4F64486F" w14:textId="77777777" w:rsidR="00FB464D" w:rsidRDefault="00FB464D" w:rsidP="004E3ED4">
      <w:pPr>
        <w:numPr>
          <w:ilvl w:val="0"/>
          <w:numId w:val="2"/>
        </w:numPr>
        <w:spacing w:line="360" w:lineRule="auto"/>
        <w:ind w:left="0" w:firstLine="0"/>
        <w:contextualSpacing/>
        <w:jc w:val="both"/>
        <w:rPr>
          <w:rFonts w:ascii="Palatino Linotype" w:eastAsia="Palatino Linotype" w:hAnsi="Palatino Linotype" w:cs="Palatino Linotype"/>
        </w:rPr>
      </w:pPr>
      <w:r w:rsidRPr="0097292E">
        <w:rPr>
          <w:rFonts w:ascii="Palatino Linotype" w:eastAsia="Palatino Linotype" w:hAnsi="Palatino Linotype" w:cs="Palatino Linotype"/>
        </w:rPr>
        <w:t xml:space="preserve">Asimismo, es importante enfatizar que el Derecho de Acceso a la Información Pública consiste en que </w:t>
      </w:r>
      <w:r w:rsidRPr="0097292E">
        <w:rPr>
          <w:rFonts w:ascii="Palatino Linotype" w:eastAsia="Palatino Linotype" w:hAnsi="Palatino Linotype" w:cs="Palatino Linotype"/>
          <w:b/>
          <w:bCs/>
          <w:u w:val="single"/>
        </w:rPr>
        <w:t>la información solicitada conste en un soporte documental</w:t>
      </w:r>
      <w:r w:rsidRPr="0097292E">
        <w:rPr>
          <w:rFonts w:ascii="Palatino Linotype" w:eastAsia="Palatino Linotype" w:hAnsi="Palatino Linotype" w:cs="Palatino Linotype"/>
        </w:rPr>
        <w:t xml:space="preserve">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629150E3" w14:textId="77777777" w:rsidR="0097292E" w:rsidRDefault="0097292E" w:rsidP="0097292E">
      <w:pPr>
        <w:pStyle w:val="Prrafodelista"/>
        <w:rPr>
          <w:rFonts w:ascii="Palatino Linotype" w:eastAsia="Palatino Linotype" w:hAnsi="Palatino Linotype" w:cs="Palatino Linotype"/>
        </w:rPr>
      </w:pPr>
    </w:p>
    <w:p w14:paraId="7BD90DEC" w14:textId="77777777" w:rsidR="0097292E" w:rsidRPr="00454BFA" w:rsidRDefault="0097292E" w:rsidP="0097292E">
      <w:pPr>
        <w:spacing w:line="360" w:lineRule="auto"/>
        <w:ind w:left="567" w:right="538"/>
        <w:contextualSpacing/>
        <w:jc w:val="both"/>
        <w:rPr>
          <w:rFonts w:ascii="Palatino Linotype" w:eastAsia="Palatino Linotype" w:hAnsi="Palatino Linotype" w:cs="Palatino Linotype"/>
          <w:i/>
          <w:iCs/>
          <w:sz w:val="22"/>
          <w:szCs w:val="22"/>
        </w:rPr>
      </w:pPr>
      <w:r w:rsidRPr="00454BFA">
        <w:rPr>
          <w:rFonts w:ascii="Palatino Linotype" w:eastAsia="Palatino Linotype" w:hAnsi="Palatino Linotype" w:cs="Palatino Linotype"/>
          <w:i/>
          <w:iCs/>
          <w:sz w:val="22"/>
          <w:szCs w:val="22"/>
        </w:rPr>
        <w:t>“</w:t>
      </w:r>
      <w:r w:rsidRPr="00454BFA">
        <w:rPr>
          <w:rFonts w:ascii="Palatino Linotype" w:eastAsia="Palatino Linotype" w:hAnsi="Palatino Linotype" w:cs="Palatino Linotype"/>
          <w:b/>
          <w:bCs/>
          <w:i/>
          <w:iCs/>
          <w:sz w:val="22"/>
          <w:szCs w:val="22"/>
        </w:rPr>
        <w:t>Artículo 3</w:t>
      </w:r>
      <w:r w:rsidRPr="00454BFA">
        <w:rPr>
          <w:rFonts w:ascii="Palatino Linotype" w:eastAsia="Palatino Linotype" w:hAnsi="Palatino Linotype" w:cs="Palatino Linotype"/>
          <w:i/>
          <w:iCs/>
          <w:sz w:val="22"/>
          <w:szCs w:val="22"/>
        </w:rPr>
        <w:t>. Para los efectos de la presente Ley se entenderá por:</w:t>
      </w:r>
    </w:p>
    <w:p w14:paraId="50F8016E" w14:textId="77777777" w:rsidR="0097292E" w:rsidRPr="00454BFA" w:rsidRDefault="0097292E" w:rsidP="0097292E">
      <w:pPr>
        <w:spacing w:line="360" w:lineRule="auto"/>
        <w:ind w:left="567" w:right="538"/>
        <w:contextualSpacing/>
        <w:jc w:val="both"/>
        <w:rPr>
          <w:rFonts w:ascii="Palatino Linotype" w:eastAsia="Palatino Linotype" w:hAnsi="Palatino Linotype" w:cs="Palatino Linotype"/>
          <w:i/>
          <w:iCs/>
          <w:sz w:val="22"/>
          <w:szCs w:val="22"/>
        </w:rPr>
      </w:pPr>
      <w:r w:rsidRPr="00454BFA">
        <w:rPr>
          <w:rFonts w:ascii="Palatino Linotype" w:eastAsia="Palatino Linotype" w:hAnsi="Palatino Linotype" w:cs="Palatino Linotype"/>
          <w:i/>
          <w:iCs/>
          <w:sz w:val="22"/>
          <w:szCs w:val="22"/>
        </w:rPr>
        <w:t>…</w:t>
      </w:r>
    </w:p>
    <w:p w14:paraId="555BCBFA" w14:textId="77777777" w:rsidR="0097292E" w:rsidRPr="00454BFA" w:rsidRDefault="0097292E" w:rsidP="0097292E">
      <w:pPr>
        <w:spacing w:line="360" w:lineRule="auto"/>
        <w:ind w:left="567" w:right="538"/>
        <w:contextualSpacing/>
        <w:jc w:val="both"/>
        <w:rPr>
          <w:rFonts w:ascii="Palatino Linotype" w:eastAsia="Palatino Linotype" w:hAnsi="Palatino Linotype" w:cs="Palatino Linotype"/>
          <w:i/>
          <w:iCs/>
          <w:sz w:val="22"/>
          <w:szCs w:val="22"/>
        </w:rPr>
      </w:pPr>
      <w:r w:rsidRPr="00454BFA">
        <w:rPr>
          <w:rFonts w:ascii="Palatino Linotype" w:eastAsia="Palatino Linotype" w:hAnsi="Palatino Linotype" w:cs="Palatino Linotype"/>
          <w:b/>
          <w:bCs/>
          <w:i/>
          <w:iCs/>
          <w:sz w:val="22"/>
          <w:szCs w:val="22"/>
        </w:rPr>
        <w:t>XI. Documento:</w:t>
      </w:r>
      <w:r w:rsidRPr="00454BFA">
        <w:rPr>
          <w:rFonts w:ascii="Palatino Linotype" w:eastAsia="Palatino Linotype" w:hAnsi="Palatino Linotype" w:cs="Palatino Linotype"/>
          <w:i/>
          <w:iCs/>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2550876" w14:textId="77777777" w:rsidR="0097292E" w:rsidRDefault="0097292E" w:rsidP="0097292E">
      <w:pPr>
        <w:pStyle w:val="Prrafodelista"/>
        <w:rPr>
          <w:rFonts w:ascii="Palatino Linotype" w:eastAsia="Palatino Linotype" w:hAnsi="Palatino Linotype" w:cs="Palatino Linotype"/>
        </w:rPr>
      </w:pPr>
    </w:p>
    <w:p w14:paraId="6F7B4C2D" w14:textId="77777777" w:rsidR="00FB464D" w:rsidRDefault="00FB464D" w:rsidP="004E3ED4">
      <w:pPr>
        <w:numPr>
          <w:ilvl w:val="0"/>
          <w:numId w:val="2"/>
        </w:numPr>
        <w:spacing w:line="360" w:lineRule="auto"/>
        <w:ind w:left="0" w:firstLine="0"/>
        <w:contextualSpacing/>
        <w:jc w:val="both"/>
        <w:rPr>
          <w:rFonts w:ascii="Palatino Linotype" w:eastAsia="Palatino Linotype" w:hAnsi="Palatino Linotype" w:cs="Palatino Linotype"/>
        </w:rPr>
      </w:pPr>
      <w:r w:rsidRPr="00454BFA">
        <w:rPr>
          <w:rFonts w:ascii="Palatino Linotype" w:eastAsia="Palatino Linotype" w:hAnsi="Palatino Linotype" w:cs="Palatino Linotype"/>
        </w:rPr>
        <w:t xml:space="preserve">Siendo aplicable el Criterio de interpretación en el orden administrativo número 0002-11, emitido </w:t>
      </w:r>
      <w:r w:rsidRPr="00971941">
        <w:rPr>
          <w:rFonts w:ascii="Palatino Linotype" w:eastAsia="Palatino Linotype" w:hAnsi="Palatino Linotype" w:cs="Palatino Linotype"/>
        </w:rPr>
        <w:t>por Acuerdo del</w:t>
      </w:r>
      <w:r w:rsidRPr="00454BFA">
        <w:rPr>
          <w:rFonts w:ascii="Palatino Linotype" w:eastAsia="Palatino Linotype" w:hAnsi="Palatino Linotype" w:cs="Palatino Linotype"/>
        </w:rPr>
        <w:t xml:space="preserve"> Pleno del Instituto de Transparencia y Acceso a la </w:t>
      </w:r>
      <w:r w:rsidRPr="00454BFA">
        <w:rPr>
          <w:rFonts w:ascii="Palatino Linotype" w:eastAsia="Palatino Linotype" w:hAnsi="Palatino Linotype" w:cs="Palatino Linotype"/>
        </w:rPr>
        <w:lastRenderedPageBreak/>
        <w:t>Información Pública del Estado de México y Municipios; publicado en el Periódico Oficial del Gobierno del Estado Libre y Soberano de México “Gaceta del Gobierno”, el diecinueve de octubre de dos mil once, cuyo rubro y texto dispone:</w:t>
      </w:r>
    </w:p>
    <w:p w14:paraId="11B6CC32" w14:textId="77777777" w:rsidR="00454BFA" w:rsidRDefault="00454BFA" w:rsidP="00454BFA">
      <w:pPr>
        <w:spacing w:line="360" w:lineRule="auto"/>
        <w:contextualSpacing/>
        <w:jc w:val="both"/>
        <w:rPr>
          <w:rFonts w:ascii="Palatino Linotype" w:eastAsia="Palatino Linotype" w:hAnsi="Palatino Linotype" w:cs="Palatino Linotype"/>
        </w:rPr>
      </w:pPr>
    </w:p>
    <w:p w14:paraId="4B770D15" w14:textId="77777777" w:rsidR="00DC2A7B" w:rsidRPr="00DC2A7B" w:rsidRDefault="00DC2A7B" w:rsidP="003C5688">
      <w:pPr>
        <w:spacing w:line="276" w:lineRule="auto"/>
        <w:ind w:left="567" w:right="567"/>
        <w:contextualSpacing/>
        <w:jc w:val="center"/>
        <w:rPr>
          <w:rFonts w:ascii="Palatino Linotype" w:hAnsi="Palatino Linotype"/>
          <w:b/>
          <w:i/>
          <w:kern w:val="28"/>
          <w:sz w:val="22"/>
          <w:szCs w:val="56"/>
          <w:lang w:eastAsia="es-ES"/>
        </w:rPr>
      </w:pPr>
      <w:r w:rsidRPr="00DC2A7B">
        <w:rPr>
          <w:rFonts w:ascii="Palatino Linotype" w:hAnsi="Palatino Linotype"/>
          <w:i/>
          <w:kern w:val="28"/>
          <w:sz w:val="22"/>
          <w:szCs w:val="56"/>
          <w:lang w:eastAsia="es-ES"/>
        </w:rPr>
        <w:t>“</w:t>
      </w:r>
      <w:r w:rsidRPr="00DC2A7B">
        <w:rPr>
          <w:rFonts w:ascii="Palatino Linotype" w:hAnsi="Palatino Linotype"/>
          <w:b/>
          <w:i/>
          <w:kern w:val="28"/>
          <w:sz w:val="22"/>
          <w:szCs w:val="56"/>
          <w:lang w:eastAsia="es-ES"/>
        </w:rPr>
        <w:t>CRITERIO 0002-11</w:t>
      </w:r>
    </w:p>
    <w:p w14:paraId="313DB193" w14:textId="77777777" w:rsidR="00DC2A7B" w:rsidRPr="00DC2A7B" w:rsidRDefault="00DC2A7B" w:rsidP="003C5688">
      <w:pPr>
        <w:spacing w:line="276" w:lineRule="auto"/>
        <w:ind w:left="567" w:right="567"/>
        <w:contextualSpacing/>
        <w:jc w:val="both"/>
        <w:rPr>
          <w:rFonts w:ascii="Palatino Linotype" w:hAnsi="Palatino Linotype"/>
          <w:i/>
          <w:kern w:val="28"/>
          <w:sz w:val="22"/>
          <w:szCs w:val="56"/>
          <w:lang w:eastAsia="es-ES"/>
        </w:rPr>
      </w:pPr>
      <w:r w:rsidRPr="00DC2A7B">
        <w:rPr>
          <w:rFonts w:ascii="Palatino Linotype" w:hAnsi="Palatino Linotype"/>
          <w:b/>
          <w:i/>
          <w:kern w:val="28"/>
          <w:sz w:val="22"/>
          <w:szCs w:val="56"/>
          <w:lang w:eastAsia="es-ES"/>
        </w:rPr>
        <w:t>INFORMACIÓN PÚBLICA, CONCEPTO DE, EN MATERIA DE TRANSPARENCIA. INTERPRETACIÓN SISTEMÁTICA DE LOS ARTÍCULOS 2°, FRACCIÓN V, XV, Y XVI, 3°, 4°, 11 Y 41.</w:t>
      </w:r>
      <w:r w:rsidRPr="00DC2A7B">
        <w:rPr>
          <w:rFonts w:ascii="Palatino Linotype" w:hAnsi="Palatino Linotype"/>
          <w:i/>
          <w:kern w:val="28"/>
          <w:sz w:val="22"/>
          <w:szCs w:val="56"/>
          <w:lang w:eastAsia="es-ES"/>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6D2312A" w14:textId="6CCAE354" w:rsidR="00DC2A7B" w:rsidRPr="00DC2A7B" w:rsidRDefault="00DC2A7B" w:rsidP="003C5688">
      <w:pPr>
        <w:spacing w:line="276" w:lineRule="auto"/>
        <w:ind w:left="567" w:right="567"/>
        <w:contextualSpacing/>
        <w:jc w:val="both"/>
        <w:rPr>
          <w:rFonts w:ascii="Palatino Linotype" w:hAnsi="Palatino Linotype"/>
          <w:i/>
          <w:kern w:val="28"/>
          <w:sz w:val="22"/>
          <w:szCs w:val="56"/>
          <w:lang w:eastAsia="es-ES"/>
        </w:rPr>
      </w:pPr>
      <w:r w:rsidRPr="00DC2A7B">
        <w:rPr>
          <w:rFonts w:ascii="Palatino Linotype" w:hAnsi="Palatino Linotype"/>
          <w:i/>
          <w:kern w:val="28"/>
          <w:sz w:val="22"/>
          <w:szCs w:val="56"/>
          <w:lang w:eastAsia="es-ES"/>
        </w:rPr>
        <w:t xml:space="preserve">En </w:t>
      </w:r>
      <w:r w:rsidR="00DA24D6" w:rsidRPr="00DC2A7B">
        <w:rPr>
          <w:rFonts w:ascii="Palatino Linotype" w:hAnsi="Palatino Linotype"/>
          <w:i/>
          <w:kern w:val="28"/>
          <w:sz w:val="22"/>
          <w:szCs w:val="56"/>
          <w:lang w:eastAsia="es-ES"/>
        </w:rPr>
        <w:t>consecuencia,</w:t>
      </w:r>
      <w:r w:rsidRPr="00DC2A7B">
        <w:rPr>
          <w:rFonts w:ascii="Palatino Linotype" w:hAnsi="Palatino Linotype"/>
          <w:i/>
          <w:kern w:val="28"/>
          <w:sz w:val="22"/>
          <w:szCs w:val="56"/>
          <w:lang w:eastAsia="es-ES"/>
        </w:rPr>
        <w:t xml:space="preserve"> el acceso a la información se refiere a que se cumplan cualquiera de los siguientes tres supuestos:</w:t>
      </w:r>
    </w:p>
    <w:p w14:paraId="68B4ED26" w14:textId="77777777" w:rsidR="00DC2A7B" w:rsidRPr="00DC2A7B" w:rsidRDefault="00DC2A7B" w:rsidP="003C5688">
      <w:pPr>
        <w:spacing w:line="276" w:lineRule="auto"/>
        <w:ind w:left="567" w:right="567"/>
        <w:contextualSpacing/>
        <w:jc w:val="both"/>
        <w:rPr>
          <w:rFonts w:ascii="Palatino Linotype" w:hAnsi="Palatino Linotype"/>
          <w:i/>
          <w:kern w:val="28"/>
          <w:sz w:val="22"/>
          <w:szCs w:val="56"/>
          <w:lang w:eastAsia="es-ES"/>
        </w:rPr>
      </w:pPr>
      <w:r w:rsidRPr="00DC2A7B">
        <w:rPr>
          <w:rFonts w:ascii="Palatino Linotype" w:hAnsi="Palatino Linotype"/>
          <w:i/>
          <w:kern w:val="28"/>
          <w:sz w:val="22"/>
          <w:szCs w:val="56"/>
          <w:lang w:eastAsia="es-ES"/>
        </w:rPr>
        <w:t>1) Que se trate de información registrada en cualquier soporte documental, que en ejercicio de las atribuciones conferidas, sea generada por los Sujetos Obligados;</w:t>
      </w:r>
    </w:p>
    <w:p w14:paraId="7FFAC349" w14:textId="77777777" w:rsidR="00DC2A7B" w:rsidRPr="00DC2A7B" w:rsidRDefault="00DC2A7B" w:rsidP="003C5688">
      <w:pPr>
        <w:spacing w:line="276" w:lineRule="auto"/>
        <w:ind w:left="567" w:right="567"/>
        <w:contextualSpacing/>
        <w:jc w:val="both"/>
        <w:rPr>
          <w:rFonts w:ascii="Palatino Linotype" w:hAnsi="Palatino Linotype"/>
          <w:i/>
          <w:kern w:val="28"/>
          <w:sz w:val="22"/>
          <w:szCs w:val="56"/>
          <w:lang w:eastAsia="es-ES"/>
        </w:rPr>
      </w:pPr>
      <w:r w:rsidRPr="00DC2A7B">
        <w:rPr>
          <w:rFonts w:ascii="Palatino Linotype" w:hAnsi="Palatino Linotype"/>
          <w:i/>
          <w:kern w:val="28"/>
          <w:sz w:val="22"/>
          <w:szCs w:val="56"/>
          <w:lang w:eastAsia="es-ES"/>
        </w:rPr>
        <w:t>2) Que se trate de información registrada en cualquier soporte documental, que en ejercicio de las atribuciones conferidas, sea administrada por los Sujetos Obligados, y</w:t>
      </w:r>
    </w:p>
    <w:p w14:paraId="735B1990" w14:textId="705F088A" w:rsidR="00DC2A7B" w:rsidRDefault="00DC2A7B" w:rsidP="003C5688">
      <w:pPr>
        <w:spacing w:line="276" w:lineRule="auto"/>
        <w:ind w:left="567" w:right="538"/>
        <w:contextualSpacing/>
        <w:jc w:val="both"/>
        <w:rPr>
          <w:rFonts w:ascii="Palatino Linotype" w:hAnsi="Palatino Linotype"/>
          <w:sz w:val="22"/>
          <w:szCs w:val="20"/>
          <w:lang w:eastAsia="es-ES"/>
        </w:rPr>
      </w:pPr>
      <w:r w:rsidRPr="00DC2A7B">
        <w:rPr>
          <w:rFonts w:ascii="Palatino Linotype" w:hAnsi="Palatino Linotype"/>
          <w:sz w:val="22"/>
          <w:szCs w:val="20"/>
          <w:lang w:eastAsia="es-ES"/>
        </w:rPr>
        <w:t>3) Que se trate de información registrada en cualquier soporte documental, que en ejercicio de las atribuciones conferidas, se encuentre en posesión de los Sujetos Obligados.” (Sic</w:t>
      </w:r>
      <w:r>
        <w:rPr>
          <w:rFonts w:ascii="Palatino Linotype" w:hAnsi="Palatino Linotype"/>
          <w:sz w:val="22"/>
          <w:szCs w:val="20"/>
          <w:lang w:eastAsia="es-ES"/>
        </w:rPr>
        <w:t>)</w:t>
      </w:r>
    </w:p>
    <w:p w14:paraId="4F6A8D1D" w14:textId="77777777" w:rsidR="00DC2A7B" w:rsidRDefault="00DC2A7B" w:rsidP="00DC2A7B">
      <w:pPr>
        <w:spacing w:line="360" w:lineRule="auto"/>
        <w:contextualSpacing/>
        <w:jc w:val="both"/>
        <w:rPr>
          <w:rFonts w:ascii="Palatino Linotype" w:eastAsia="Palatino Linotype" w:hAnsi="Palatino Linotype" w:cs="Palatino Linotype"/>
        </w:rPr>
      </w:pPr>
    </w:p>
    <w:p w14:paraId="0220E6F0" w14:textId="7D41801F" w:rsidR="00FB464D" w:rsidRPr="00D86892" w:rsidRDefault="00FB464D" w:rsidP="00C705EB">
      <w:pPr>
        <w:numPr>
          <w:ilvl w:val="0"/>
          <w:numId w:val="2"/>
        </w:numPr>
        <w:spacing w:line="360" w:lineRule="auto"/>
        <w:ind w:left="0" w:firstLine="0"/>
        <w:contextualSpacing/>
        <w:jc w:val="both"/>
        <w:rPr>
          <w:rFonts w:ascii="Palatino Linotype" w:eastAsia="Palatino Linotype" w:hAnsi="Palatino Linotype" w:cs="Palatino Linotype"/>
        </w:rPr>
      </w:pPr>
      <w:r w:rsidRPr="00D86892">
        <w:rPr>
          <w:rFonts w:ascii="Palatino Linotype" w:eastAsia="Palatino Linotype" w:hAnsi="Palatino Linotype" w:cs="Palatino Linotype"/>
        </w:rPr>
        <w:t xml:space="preserve">En este sentido, en términos generales, para que sea posible el ejercicio del Derecho de Acceso a la Información Pública, los requerimientos deben consistir en información que se encuentre registrada en cualquier soporte documental; ya sea, </w:t>
      </w:r>
      <w:r w:rsidRPr="00D86892">
        <w:rPr>
          <w:rFonts w:ascii="Palatino Linotype" w:eastAsia="Palatino Linotype" w:hAnsi="Palatino Linotype" w:cs="Palatino Linotype"/>
        </w:rPr>
        <w:lastRenderedPageBreak/>
        <w:t xml:space="preserve">porque EL SUJETO OBLIGADO la generó o porque como parte del ejercicio de sus funciones la recibió </w:t>
      </w:r>
      <w:r w:rsidR="00DA24D6" w:rsidRPr="00D86892">
        <w:rPr>
          <w:rFonts w:ascii="Palatino Linotype" w:eastAsia="Palatino Linotype" w:hAnsi="Palatino Linotype" w:cs="Palatino Linotype"/>
        </w:rPr>
        <w:t>y,</w:t>
      </w:r>
      <w:r w:rsidRPr="00D86892">
        <w:rPr>
          <w:rFonts w:ascii="Palatino Linotype" w:eastAsia="Palatino Linotype" w:hAnsi="Palatino Linotype" w:cs="Palatino Linotype"/>
        </w:rPr>
        <w:t xml:space="preserve"> por consiguiente, la administra y posee. </w:t>
      </w:r>
    </w:p>
    <w:p w14:paraId="276414CC" w14:textId="77777777" w:rsidR="008E3937" w:rsidRDefault="00FB464D" w:rsidP="004E3ED4">
      <w:pPr>
        <w:numPr>
          <w:ilvl w:val="0"/>
          <w:numId w:val="2"/>
        </w:numPr>
        <w:spacing w:line="360" w:lineRule="auto"/>
        <w:ind w:left="0" w:firstLine="0"/>
        <w:contextualSpacing/>
        <w:jc w:val="both"/>
        <w:rPr>
          <w:rFonts w:ascii="Palatino Linotype" w:eastAsia="Palatino Linotype" w:hAnsi="Palatino Linotype" w:cs="Palatino Linotype"/>
        </w:rPr>
      </w:pPr>
      <w:r w:rsidRPr="008E3937">
        <w:rPr>
          <w:rFonts w:ascii="Palatino Linotype" w:eastAsia="Palatino Linotype" w:hAnsi="Palatino Linotype" w:cs="Palatino Linotype"/>
        </w:rPr>
        <w:t>De tal modo que dichos planteamientos realizados por LA PARTE RECURRENTE no se constituye como materia del derecho de acceso a la información, situación por la cual nos lleva a recordar que el artículo 12 de la Ley de Transparencia y Acceso a la Información Pública del Estado de México y Municipios, establece que los sujetos obligados únicamente están exigidos a entregar los documentos que obren en sus archivos en el estado en que estos se encuentren, lo que no comprende entregar la información conforme al interés del solicitante.</w:t>
      </w:r>
    </w:p>
    <w:p w14:paraId="457EA72F" w14:textId="77777777" w:rsidR="008E3937" w:rsidRDefault="008E3937" w:rsidP="008E3937">
      <w:pPr>
        <w:pStyle w:val="Prrafodelista"/>
        <w:rPr>
          <w:rFonts w:ascii="Palatino Linotype" w:eastAsia="Palatino Linotype" w:hAnsi="Palatino Linotype" w:cs="Palatino Linotype"/>
        </w:rPr>
      </w:pPr>
    </w:p>
    <w:p w14:paraId="335D9305" w14:textId="3BF69156" w:rsidR="00FB464D" w:rsidRDefault="00FB464D" w:rsidP="004E3ED4">
      <w:pPr>
        <w:numPr>
          <w:ilvl w:val="0"/>
          <w:numId w:val="2"/>
        </w:numPr>
        <w:spacing w:line="360" w:lineRule="auto"/>
        <w:ind w:left="0" w:firstLine="0"/>
        <w:contextualSpacing/>
        <w:jc w:val="both"/>
        <w:rPr>
          <w:rFonts w:ascii="Palatino Linotype" w:eastAsia="Palatino Linotype" w:hAnsi="Palatino Linotype" w:cs="Palatino Linotype"/>
        </w:rPr>
      </w:pPr>
      <w:r w:rsidRPr="008E3937">
        <w:rPr>
          <w:rFonts w:ascii="Palatino Linotype" w:eastAsia="Palatino Linotype" w:hAnsi="Palatino Linotype" w:cs="Palatino Linotype"/>
        </w:rPr>
        <w:t xml:space="preserve">  Robustece </w:t>
      </w:r>
      <w:r w:rsidRPr="003C5688">
        <w:rPr>
          <w:rFonts w:ascii="Palatino Linotype" w:eastAsia="Palatino Linotype" w:hAnsi="Palatino Linotype" w:cs="Palatino Linotype"/>
        </w:rPr>
        <w:t>lo anterior, el Criterio</w:t>
      </w:r>
      <w:r w:rsidRPr="008E3937">
        <w:rPr>
          <w:rFonts w:ascii="Palatino Linotype" w:eastAsia="Palatino Linotype" w:hAnsi="Palatino Linotype" w:cs="Palatino Linotype"/>
        </w:rPr>
        <w:t xml:space="preserve"> 03/17 emitido por el Instituto Nacional de Transparencia, Acceso a la Información y Protección de Datos Personales, el cual establece lo siguiente: </w:t>
      </w:r>
    </w:p>
    <w:p w14:paraId="310BA13F" w14:textId="77777777" w:rsidR="008E3937" w:rsidRDefault="008E3937" w:rsidP="008E3937">
      <w:pPr>
        <w:pStyle w:val="Prrafodelista"/>
        <w:rPr>
          <w:rFonts w:ascii="Palatino Linotype" w:eastAsia="Palatino Linotype" w:hAnsi="Palatino Linotype" w:cs="Palatino Linotype"/>
        </w:rPr>
      </w:pPr>
    </w:p>
    <w:p w14:paraId="2635B479" w14:textId="77777777" w:rsidR="008E3937" w:rsidRPr="008E3937" w:rsidRDefault="008E3937" w:rsidP="008E3937">
      <w:pPr>
        <w:spacing w:line="360" w:lineRule="auto"/>
        <w:ind w:left="567" w:right="538"/>
        <w:contextualSpacing/>
        <w:jc w:val="both"/>
        <w:rPr>
          <w:rFonts w:ascii="Palatino Linotype" w:eastAsia="Palatino Linotype" w:hAnsi="Palatino Linotype" w:cs="Palatino Linotype"/>
          <w:i/>
          <w:iCs/>
          <w:sz w:val="22"/>
          <w:szCs w:val="22"/>
        </w:rPr>
      </w:pPr>
      <w:r w:rsidRPr="008E3937">
        <w:rPr>
          <w:rFonts w:ascii="Palatino Linotype" w:eastAsia="Palatino Linotype" w:hAnsi="Palatino Linotype" w:cs="Palatino Linotype"/>
          <w:i/>
          <w:iCs/>
          <w:sz w:val="22"/>
          <w:szCs w:val="22"/>
        </w:rPr>
        <w:t xml:space="preserve">“No existe obligación de elaborar documentos ad hoc para atender las solicitudes de acceso a la información.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w:t>
      </w:r>
      <w:r w:rsidRPr="008E3937">
        <w:rPr>
          <w:rFonts w:ascii="Palatino Linotype" w:eastAsia="Palatino Linotype" w:hAnsi="Palatino Linotype" w:cs="Palatino Linotype"/>
          <w:i/>
          <w:iCs/>
          <w:sz w:val="22"/>
          <w:szCs w:val="22"/>
        </w:rPr>
        <w:lastRenderedPageBreak/>
        <w:t>información con la que cuentan en el formato en que la misma obre en sus archivos; sin necesidad de elaborar documentos ad hoc para atender las solicitudes de información.” Sic</w:t>
      </w:r>
    </w:p>
    <w:p w14:paraId="25225460" w14:textId="77777777" w:rsidR="008E3937" w:rsidRDefault="008E3937" w:rsidP="008E3937">
      <w:pPr>
        <w:spacing w:line="360" w:lineRule="auto"/>
        <w:contextualSpacing/>
        <w:jc w:val="both"/>
        <w:rPr>
          <w:rFonts w:ascii="Palatino Linotype" w:eastAsia="Palatino Linotype" w:hAnsi="Palatino Linotype" w:cs="Palatino Linotype"/>
        </w:rPr>
      </w:pPr>
    </w:p>
    <w:p w14:paraId="343293DC" w14:textId="60E43716" w:rsidR="00FB464D" w:rsidRDefault="00FB464D" w:rsidP="004E3ED4">
      <w:pPr>
        <w:numPr>
          <w:ilvl w:val="0"/>
          <w:numId w:val="2"/>
        </w:numPr>
        <w:spacing w:line="360" w:lineRule="auto"/>
        <w:ind w:left="0" w:firstLine="0"/>
        <w:contextualSpacing/>
        <w:jc w:val="both"/>
        <w:rPr>
          <w:rFonts w:ascii="Palatino Linotype" w:eastAsia="Palatino Linotype" w:hAnsi="Palatino Linotype" w:cs="Palatino Linotype"/>
        </w:rPr>
      </w:pPr>
      <w:r w:rsidRPr="008E3937">
        <w:rPr>
          <w:rFonts w:ascii="Palatino Linotype" w:eastAsia="Palatino Linotype" w:hAnsi="Palatino Linotype" w:cs="Palatino Linotype"/>
        </w:rPr>
        <w:t>Por lo que bajo tal modo es menester precisar que la naturaleza del derecho de acceso a la información impide que se dé contestación a requerimientos que conllevan al pronunciamiento específico de interrogantes sobre variados temas, se brinde una asesoría legal o se requiera una consulta específica mediante el SAIMEX.</w:t>
      </w:r>
    </w:p>
    <w:p w14:paraId="2E221F2F" w14:textId="77777777" w:rsidR="00DA24D6" w:rsidRDefault="00DA24D6" w:rsidP="00DA24D6">
      <w:pPr>
        <w:spacing w:line="360" w:lineRule="auto"/>
        <w:contextualSpacing/>
        <w:jc w:val="both"/>
        <w:rPr>
          <w:rFonts w:ascii="Palatino Linotype" w:eastAsia="Palatino Linotype" w:hAnsi="Palatino Linotype" w:cs="Palatino Linotype"/>
        </w:rPr>
      </w:pPr>
    </w:p>
    <w:p w14:paraId="44C6FCE5" w14:textId="77777777" w:rsidR="00FB464D" w:rsidRDefault="00FB464D" w:rsidP="004E3ED4">
      <w:pPr>
        <w:numPr>
          <w:ilvl w:val="0"/>
          <w:numId w:val="2"/>
        </w:numPr>
        <w:spacing w:line="360" w:lineRule="auto"/>
        <w:ind w:left="0" w:firstLine="0"/>
        <w:contextualSpacing/>
        <w:jc w:val="both"/>
        <w:rPr>
          <w:rFonts w:ascii="Palatino Linotype" w:eastAsia="Palatino Linotype" w:hAnsi="Palatino Linotype" w:cs="Palatino Linotype"/>
        </w:rPr>
      </w:pPr>
      <w:r w:rsidRPr="000F2B4D">
        <w:rPr>
          <w:rFonts w:ascii="Palatino Linotype" w:eastAsia="Palatino Linotype" w:hAnsi="Palatino Linotype" w:cs="Palatino Linotype"/>
        </w:rPr>
        <w:t>Por lo anterior, al no constituirse dichas manifestaciones, se considera que EL SUJETO OBLIGADO no se encuentra constreñido a emitir una respuesta al mismo, así como manifestaciones al respecto.</w:t>
      </w:r>
    </w:p>
    <w:p w14:paraId="1AB64467" w14:textId="77777777" w:rsidR="000F2B4D" w:rsidRDefault="000F2B4D" w:rsidP="000F2B4D">
      <w:pPr>
        <w:spacing w:line="360" w:lineRule="auto"/>
        <w:contextualSpacing/>
        <w:jc w:val="both"/>
        <w:rPr>
          <w:rFonts w:ascii="Palatino Linotype" w:eastAsia="Palatino Linotype" w:hAnsi="Palatino Linotype" w:cs="Palatino Linotype"/>
        </w:rPr>
      </w:pPr>
    </w:p>
    <w:p w14:paraId="674AC60B" w14:textId="77777777" w:rsidR="00FB464D" w:rsidRDefault="00FB464D" w:rsidP="004E3ED4">
      <w:pPr>
        <w:numPr>
          <w:ilvl w:val="0"/>
          <w:numId w:val="2"/>
        </w:numPr>
        <w:spacing w:line="360" w:lineRule="auto"/>
        <w:ind w:left="0" w:firstLine="0"/>
        <w:contextualSpacing/>
        <w:jc w:val="both"/>
        <w:rPr>
          <w:rFonts w:ascii="Palatino Linotype" w:eastAsia="Palatino Linotype" w:hAnsi="Palatino Linotype" w:cs="Palatino Linotype"/>
        </w:rPr>
      </w:pPr>
      <w:r w:rsidRPr="000F2B4D">
        <w:rPr>
          <w:rFonts w:ascii="Palatino Linotype" w:eastAsia="Palatino Linotype" w:hAnsi="Palatino Linotype" w:cs="Palatino Linotype"/>
        </w:rPr>
        <w:t>Bajo éste tenor, cabe aclarar que cuando los planteamientos que formulen los particulares se pueda colmar con la entrega de documentos que los Sujetos Obligados generen, posean o administren en ejercicio de sus atribuciones, se está en presencia del derecho fundamental de acceso a la información, previsto en el artículo 6, Apartado A, fracción IV de la Constitución Política de los Estados Unidos Mexicanos, el cual deberá garantizarse ordenando la entrega de tales documentales, siempre y cuando éstas sean de acceso público.</w:t>
      </w:r>
    </w:p>
    <w:p w14:paraId="6E383F24" w14:textId="77777777" w:rsidR="000F2B4D" w:rsidRDefault="000F2B4D" w:rsidP="000F2B4D">
      <w:pPr>
        <w:pStyle w:val="Prrafodelista"/>
        <w:rPr>
          <w:rFonts w:ascii="Palatino Linotype" w:eastAsia="Palatino Linotype" w:hAnsi="Palatino Linotype" w:cs="Palatino Linotype"/>
        </w:rPr>
      </w:pPr>
    </w:p>
    <w:p w14:paraId="203F649F" w14:textId="77777777" w:rsidR="00FB464D" w:rsidRDefault="00FB464D" w:rsidP="004E3ED4">
      <w:pPr>
        <w:numPr>
          <w:ilvl w:val="0"/>
          <w:numId w:val="2"/>
        </w:numPr>
        <w:spacing w:line="360" w:lineRule="auto"/>
        <w:ind w:left="0" w:firstLine="0"/>
        <w:contextualSpacing/>
        <w:jc w:val="both"/>
        <w:rPr>
          <w:rFonts w:ascii="Palatino Linotype" w:eastAsia="Palatino Linotype" w:hAnsi="Palatino Linotype" w:cs="Palatino Linotype"/>
        </w:rPr>
      </w:pPr>
      <w:r w:rsidRPr="000F2B4D">
        <w:rPr>
          <w:rFonts w:ascii="Palatino Linotype" w:eastAsia="Palatino Linotype" w:hAnsi="Palatino Linotype" w:cs="Palatino Linotype"/>
        </w:rPr>
        <w:t xml:space="preserve">Sirve de sustento a lo anterior, el Criterio </w:t>
      </w:r>
      <w:r w:rsidRPr="003C5688">
        <w:rPr>
          <w:rFonts w:ascii="Palatino Linotype" w:eastAsia="Palatino Linotype" w:hAnsi="Palatino Linotype" w:cs="Palatino Linotype"/>
        </w:rPr>
        <w:t>028-10</w:t>
      </w:r>
      <w:r w:rsidRPr="000F2B4D">
        <w:rPr>
          <w:rFonts w:ascii="Palatino Linotype" w:eastAsia="Palatino Linotype" w:hAnsi="Palatino Linotype" w:cs="Palatino Linotype"/>
        </w:rPr>
        <w:t xml:space="preserve"> emitido por el Pleno del entonces llamado Instituto Federal de Acceso a la Información y Protección de Datos, </w:t>
      </w:r>
      <w:r w:rsidRPr="000F2B4D">
        <w:rPr>
          <w:rFonts w:ascii="Palatino Linotype" w:eastAsia="Palatino Linotype" w:hAnsi="Palatino Linotype" w:cs="Palatino Linotype"/>
        </w:rPr>
        <w:lastRenderedPageBreak/>
        <w:t>ahora Instituto Nacional de Transparencia, Acceso a la Información y Protección de Datos Personales que establece que se deberá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aunque el particular lleve a cabo una solicitud de información sin identificar de forma precisa la documentación, EL SUJETO OBLIGADO deberá hacer entrega del mismo al solicitante mismo que a continuación se cita:</w:t>
      </w:r>
    </w:p>
    <w:p w14:paraId="656F4150" w14:textId="77777777" w:rsidR="000F2B4D" w:rsidRDefault="000F2B4D" w:rsidP="000F2B4D">
      <w:pPr>
        <w:pStyle w:val="Prrafodelista"/>
        <w:rPr>
          <w:rFonts w:ascii="Palatino Linotype" w:eastAsia="Palatino Linotype" w:hAnsi="Palatino Linotype" w:cs="Palatino Linotype"/>
        </w:rPr>
      </w:pPr>
    </w:p>
    <w:p w14:paraId="773E652B" w14:textId="77777777" w:rsidR="000F2B4D" w:rsidRPr="000F2B4D" w:rsidRDefault="000F2B4D" w:rsidP="000F2B4D">
      <w:pPr>
        <w:spacing w:line="360" w:lineRule="auto"/>
        <w:ind w:left="567" w:right="538"/>
        <w:contextualSpacing/>
        <w:jc w:val="both"/>
        <w:rPr>
          <w:rFonts w:ascii="Palatino Linotype" w:eastAsia="Palatino Linotype" w:hAnsi="Palatino Linotype" w:cs="Palatino Linotype"/>
          <w:i/>
          <w:iCs/>
          <w:sz w:val="22"/>
          <w:szCs w:val="22"/>
        </w:rPr>
      </w:pPr>
      <w:r w:rsidRPr="000F2B4D">
        <w:rPr>
          <w:rFonts w:ascii="Palatino Linotype" w:eastAsia="Palatino Linotype" w:hAnsi="Palatino Linotype" w:cs="Palatino Linotype"/>
          <w:i/>
          <w:iCs/>
          <w:sz w:val="22"/>
          <w:szCs w:val="22"/>
        </w:rPr>
        <w:t>“</w:t>
      </w:r>
      <w:r w:rsidRPr="000F2B4D">
        <w:rPr>
          <w:rFonts w:ascii="Palatino Linotype" w:eastAsia="Palatino Linotype" w:hAnsi="Palatino Linotype" w:cs="Palatino Linotype"/>
          <w:b/>
          <w:bCs/>
          <w:i/>
          <w:iCs/>
          <w:sz w:val="22"/>
          <w:szCs w:val="22"/>
        </w:rPr>
        <w:t>CUANDO EN UNA SOLICITUD DE INFORMACIÓN NO SE IDENTIFIQUE UN DOCUMENTO EN ESPECÍFICO, SI ÉSTA TIENE UNA EXPRESIÓN DOCUMENTAL, EL SUJETO OBLIGADO DEBERÁ ENTREGAR AL PARTICULAR EL DOCUMENTO EN ESPECÍFICO.</w:t>
      </w:r>
      <w:r w:rsidRPr="000F2B4D">
        <w:rPr>
          <w:rFonts w:ascii="Palatino Linotype" w:eastAsia="Palatino Linotype" w:hAnsi="Palatino Linotype" w:cs="Palatino Linotype"/>
          <w:i/>
          <w:iCs/>
          <w:sz w:val="22"/>
          <w:szCs w:val="22"/>
        </w:rPr>
        <w:t xml:space="preserve"> </w:t>
      </w:r>
    </w:p>
    <w:p w14:paraId="2FBC29F1" w14:textId="6DD658C3" w:rsidR="000F2B4D" w:rsidRPr="000F2B4D" w:rsidRDefault="000F2B4D" w:rsidP="000F2B4D">
      <w:pPr>
        <w:spacing w:line="360" w:lineRule="auto"/>
        <w:ind w:left="567" w:right="538"/>
        <w:contextualSpacing/>
        <w:jc w:val="both"/>
        <w:rPr>
          <w:rFonts w:ascii="Palatino Linotype" w:eastAsia="Palatino Linotype" w:hAnsi="Palatino Linotype" w:cs="Palatino Linotype"/>
          <w:i/>
          <w:iCs/>
          <w:sz w:val="22"/>
          <w:szCs w:val="22"/>
        </w:rPr>
      </w:pPr>
      <w:r w:rsidRPr="000F2B4D">
        <w:rPr>
          <w:rFonts w:ascii="Palatino Linotype" w:eastAsia="Palatino Linotype" w:hAnsi="Palatino Linotype" w:cs="Palatino Linotype"/>
          <w:i/>
          <w:iCs/>
          <w:sz w:val="22"/>
          <w:szCs w:val="22"/>
        </w:rPr>
        <w:t xml:space="preserve">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w:t>
      </w:r>
      <w:r w:rsidRPr="000F2B4D">
        <w:rPr>
          <w:rFonts w:ascii="Palatino Linotype" w:eastAsia="Palatino Linotype" w:hAnsi="Palatino Linotype" w:cs="Palatino Linotype"/>
          <w:i/>
          <w:iCs/>
          <w:sz w:val="22"/>
          <w:szCs w:val="22"/>
        </w:rPr>
        <w:lastRenderedPageBreak/>
        <w:t>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14:paraId="1759A72E" w14:textId="77777777" w:rsidR="000F2B4D" w:rsidRDefault="000F2B4D" w:rsidP="000F2B4D">
      <w:pPr>
        <w:spacing w:line="360" w:lineRule="auto"/>
        <w:contextualSpacing/>
        <w:jc w:val="both"/>
        <w:rPr>
          <w:rFonts w:ascii="Palatino Linotype" w:eastAsia="Palatino Linotype" w:hAnsi="Palatino Linotype" w:cs="Palatino Linotype"/>
        </w:rPr>
      </w:pPr>
    </w:p>
    <w:p w14:paraId="1B228500" w14:textId="77777777" w:rsidR="00BB337A" w:rsidRDefault="00BB337A" w:rsidP="004E3ED4">
      <w:pPr>
        <w:pStyle w:val="Prrafodelista"/>
        <w:numPr>
          <w:ilvl w:val="0"/>
          <w:numId w:val="2"/>
        </w:numPr>
        <w:spacing w:line="360" w:lineRule="auto"/>
        <w:ind w:left="0" w:firstLine="0"/>
        <w:jc w:val="both"/>
        <w:rPr>
          <w:rFonts w:ascii="Palatino Linotype" w:eastAsia="Palatino Linotype" w:hAnsi="Palatino Linotype" w:cs="Palatino Linotype"/>
        </w:rPr>
      </w:pPr>
      <w:r w:rsidRPr="00BB337A">
        <w:rPr>
          <w:rFonts w:ascii="Palatino Linotype" w:eastAsia="Palatino Linotype" w:hAnsi="Palatino Linotype" w:cs="Palatino Linotype"/>
        </w:rPr>
        <w:t>Asimismo, no obsta mencionar que, cuando los particulares no señalen de manera concreta el o los documentos a los que desean acceder, al no tener la obligación de ser expertos en la materia, los Sujetos Obligados cuentan con el deber de dar a las solicitudes una interpretación que les dé una expresión documental, ya que para que el derecho de acceso a la información pública de los particulares se satisfaga completamente, es necesario que se les brinde el acceso a datos, registros y todo tipo de información pública que conste en documentos, ya sea generados o que se encuentre en posesión de las autoridades, por tal motivo, privilegiando el principio de máxima publicidad, se deberá proceder a la entrega del soporte documental en donde conste la información que brinde respuesta a la solicitud, así el particular podrá buscar conforme a su interés.</w:t>
      </w:r>
    </w:p>
    <w:p w14:paraId="3DBB943F" w14:textId="77777777" w:rsidR="00BB337A" w:rsidRDefault="00BB337A" w:rsidP="00BB337A">
      <w:pPr>
        <w:pStyle w:val="Prrafodelista"/>
        <w:spacing w:line="360" w:lineRule="auto"/>
        <w:ind w:left="0"/>
        <w:jc w:val="both"/>
        <w:rPr>
          <w:rFonts w:ascii="Palatino Linotype" w:eastAsia="Palatino Linotype" w:hAnsi="Palatino Linotype" w:cs="Palatino Linotype"/>
        </w:rPr>
      </w:pPr>
    </w:p>
    <w:p w14:paraId="3263FDA5" w14:textId="3893927F" w:rsidR="00FB464D" w:rsidRDefault="00FB464D" w:rsidP="004E3ED4">
      <w:pPr>
        <w:pStyle w:val="Prrafodelista"/>
        <w:numPr>
          <w:ilvl w:val="0"/>
          <w:numId w:val="2"/>
        </w:numPr>
        <w:spacing w:line="360" w:lineRule="auto"/>
        <w:ind w:left="0" w:firstLine="0"/>
        <w:jc w:val="both"/>
        <w:rPr>
          <w:rFonts w:ascii="Palatino Linotype" w:eastAsia="Palatino Linotype" w:hAnsi="Palatino Linotype" w:cs="Palatino Linotype"/>
        </w:rPr>
      </w:pPr>
      <w:r w:rsidRPr="00BB337A">
        <w:rPr>
          <w:rFonts w:ascii="Palatino Linotype" w:eastAsia="Palatino Linotype" w:hAnsi="Palatino Linotype" w:cs="Palatino Linotype"/>
        </w:rPr>
        <w:t xml:space="preserve">Situación que en el caso en particular no se actualiza dicho supuesto, </w:t>
      </w:r>
      <w:r w:rsidR="00BB337A" w:rsidRPr="00BB337A">
        <w:rPr>
          <w:rFonts w:ascii="Palatino Linotype" w:eastAsia="Palatino Linotype" w:hAnsi="Palatino Linotype" w:cs="Palatino Linotype"/>
        </w:rPr>
        <w:t>porque</w:t>
      </w:r>
      <w:r w:rsidRPr="00BB337A">
        <w:rPr>
          <w:rFonts w:ascii="Palatino Linotype" w:eastAsia="Palatino Linotype" w:hAnsi="Palatino Linotype" w:cs="Palatino Linotype"/>
        </w:rPr>
        <w:t xml:space="preserve"> de la literalidad de la solicitud, </w:t>
      </w:r>
      <w:r w:rsidR="002777CF">
        <w:rPr>
          <w:rFonts w:ascii="Palatino Linotype" w:eastAsia="Palatino Linotype" w:hAnsi="Palatino Linotype" w:cs="Palatino Linotype"/>
        </w:rPr>
        <w:t xml:space="preserve">respecto al primer punto de la solicitud </w:t>
      </w:r>
      <w:r w:rsidR="00287C6D">
        <w:rPr>
          <w:rFonts w:ascii="Palatino Linotype" w:eastAsia="Palatino Linotype" w:hAnsi="Palatino Linotype" w:cs="Palatino Linotype"/>
        </w:rPr>
        <w:t xml:space="preserve">00324/SSEM/IP/2024 </w:t>
      </w:r>
      <w:r w:rsidRPr="00BB337A">
        <w:rPr>
          <w:rFonts w:ascii="Palatino Linotype" w:eastAsia="Palatino Linotype" w:hAnsi="Palatino Linotype" w:cs="Palatino Linotype"/>
        </w:rPr>
        <w:t xml:space="preserve">no se advierte documental que en su caso se puede entregar a fin </w:t>
      </w:r>
      <w:r w:rsidRPr="00BB337A">
        <w:rPr>
          <w:rFonts w:ascii="Palatino Linotype" w:eastAsia="Palatino Linotype" w:hAnsi="Palatino Linotype" w:cs="Palatino Linotype"/>
        </w:rPr>
        <w:lastRenderedPageBreak/>
        <w:t>de colmar la pretensión de LA PARTE RECURRENTE, no obstante</w:t>
      </w:r>
      <w:r w:rsidR="008C46E0">
        <w:rPr>
          <w:rFonts w:ascii="Palatino Linotype" w:eastAsia="Palatino Linotype" w:hAnsi="Palatino Linotype" w:cs="Palatino Linotype"/>
        </w:rPr>
        <w:t>,</w:t>
      </w:r>
      <w:r w:rsidRPr="00BB337A">
        <w:rPr>
          <w:rFonts w:ascii="Palatino Linotype" w:eastAsia="Palatino Linotype" w:hAnsi="Palatino Linotype" w:cs="Palatino Linotype"/>
        </w:rPr>
        <w:t xml:space="preserve"> EL SUJETO OBLIGADO le atiende sus inquietudes.</w:t>
      </w:r>
    </w:p>
    <w:p w14:paraId="64540BFC" w14:textId="77777777" w:rsidR="008C46E0" w:rsidRDefault="008C46E0" w:rsidP="008C46E0">
      <w:pPr>
        <w:pStyle w:val="Prrafodelista"/>
        <w:spacing w:line="360" w:lineRule="auto"/>
        <w:ind w:left="0"/>
        <w:jc w:val="both"/>
        <w:rPr>
          <w:rFonts w:ascii="Palatino Linotype" w:eastAsia="Palatino Linotype" w:hAnsi="Palatino Linotype" w:cs="Palatino Linotype"/>
        </w:rPr>
      </w:pPr>
    </w:p>
    <w:p w14:paraId="2D485782" w14:textId="255875CA" w:rsidR="00CE5E27" w:rsidRPr="00CA60EE" w:rsidRDefault="00287C6D" w:rsidP="00CA60EE">
      <w:pPr>
        <w:pStyle w:val="Prrafodelista"/>
        <w:numPr>
          <w:ilvl w:val="0"/>
          <w:numId w:val="2"/>
        </w:numPr>
        <w:spacing w:line="360" w:lineRule="auto"/>
        <w:ind w:left="0" w:firstLine="0"/>
        <w:jc w:val="both"/>
        <w:rPr>
          <w:rFonts w:ascii="Palatino Linotype" w:eastAsia="Calibri" w:hAnsi="Palatino Linotype" w:cs="Tahoma"/>
          <w:color w:val="000000"/>
        </w:rPr>
      </w:pPr>
      <w:r w:rsidRPr="00CA60EE">
        <w:rPr>
          <w:rFonts w:ascii="Palatino Linotype" w:eastAsia="Palatino Linotype" w:hAnsi="Palatino Linotype" w:cs="Palatino Linotype"/>
        </w:rPr>
        <w:t>Ahora bien, respecto a</w:t>
      </w:r>
      <w:r w:rsidR="005A2032" w:rsidRPr="00CA60EE">
        <w:rPr>
          <w:rFonts w:ascii="Palatino Linotype" w:eastAsia="Palatino Linotype" w:hAnsi="Palatino Linotype" w:cs="Palatino Linotype"/>
        </w:rPr>
        <w:t xml:space="preserve"> </w:t>
      </w:r>
      <w:r w:rsidRPr="00CA60EE">
        <w:rPr>
          <w:rFonts w:ascii="Palatino Linotype" w:eastAsia="Palatino Linotype" w:hAnsi="Palatino Linotype" w:cs="Palatino Linotype"/>
        </w:rPr>
        <w:t>l</w:t>
      </w:r>
      <w:r w:rsidR="005A2032" w:rsidRPr="00CA60EE">
        <w:rPr>
          <w:rFonts w:ascii="Palatino Linotype" w:eastAsia="Palatino Linotype" w:hAnsi="Palatino Linotype" w:cs="Palatino Linotype"/>
        </w:rPr>
        <w:t>as manifestaciones emitidas por el Recurrente</w:t>
      </w:r>
      <w:r w:rsidR="00F805DA" w:rsidRPr="00CA60EE">
        <w:rPr>
          <w:rFonts w:ascii="Palatino Linotype" w:eastAsia="Palatino Linotype" w:hAnsi="Palatino Linotype" w:cs="Palatino Linotype"/>
        </w:rPr>
        <w:t>, en específico a</w:t>
      </w:r>
      <w:r w:rsidR="005A2032" w:rsidRPr="00CA60EE">
        <w:rPr>
          <w:rFonts w:ascii="Palatino Linotype" w:eastAsia="Palatino Linotype" w:hAnsi="Palatino Linotype" w:cs="Palatino Linotype"/>
        </w:rPr>
        <w:t>: “…</w:t>
      </w:r>
      <w:r w:rsidR="005A2032" w:rsidRPr="00CA60EE">
        <w:rPr>
          <w:rFonts w:ascii="Palatino Linotype" w:hAnsi="Palatino Linotype"/>
          <w:i/>
          <w:color w:val="000000"/>
        </w:rPr>
        <w:t xml:space="preserve">bajo que argumentos jurídicos justifica su portación de arma y su permanencia dentro de la institución. y que controles administrativos llevan en la Unidad de </w:t>
      </w:r>
      <w:proofErr w:type="spellStart"/>
      <w:r w:rsidR="005A2032" w:rsidRPr="00CA60EE">
        <w:rPr>
          <w:rFonts w:ascii="Palatino Linotype" w:hAnsi="Palatino Linotype"/>
          <w:i/>
          <w:color w:val="000000"/>
        </w:rPr>
        <w:t>Estudiso</w:t>
      </w:r>
      <w:proofErr w:type="spellEnd"/>
      <w:r w:rsidR="005A2032" w:rsidRPr="00CA60EE">
        <w:rPr>
          <w:rFonts w:ascii="Palatino Linotype" w:hAnsi="Palatino Linotype"/>
          <w:i/>
          <w:color w:val="000000"/>
        </w:rPr>
        <w:t xml:space="preserve"> y Proyectos para identificar con nombre y apellido estos elementos faltantes… De igual forma que estrategia de programación y plan de trabajo cuenta la Unidad de Estudios y Proyectos Especiales para determinar el número de elementos que cada año programa ya que de acuerdo a cifras oficiales llevan desde 2018 a la fecha, tiempo en el que </w:t>
      </w:r>
      <w:proofErr w:type="spellStart"/>
      <w:r w:rsidR="005A2032" w:rsidRPr="00CA60EE">
        <w:rPr>
          <w:rFonts w:ascii="Palatino Linotype" w:hAnsi="Palatino Linotype"/>
          <w:i/>
          <w:color w:val="000000"/>
        </w:rPr>
        <w:t>esta</w:t>
      </w:r>
      <w:proofErr w:type="spellEnd"/>
      <w:r w:rsidR="005A2032" w:rsidRPr="00CA60EE">
        <w:rPr>
          <w:rFonts w:ascii="Palatino Linotype" w:hAnsi="Palatino Linotype"/>
          <w:i/>
          <w:color w:val="000000"/>
        </w:rPr>
        <w:t xml:space="preserve"> al frente de dicha Unidad Gabriela Peláez Acero, programando a 5,000 elementos de manera uniforme y constante, cuando no es posible que cada año pierdan vigencia el mismo número de elementos al menos que el estado de fuerza no tenga incrementos y movimientos ? y la justificación que expone ante el Secretariado Estatal para mitigar el riesgo de que elementos sin evaluaciones de control de confianza sean los encargados de la seguridad de los mexiquenses” </w:t>
      </w:r>
      <w:r w:rsidR="005A2032" w:rsidRPr="00CA60EE">
        <w:rPr>
          <w:rFonts w:ascii="Palatino Linotype" w:hAnsi="Palatino Linotype"/>
          <w:iCs/>
          <w:color w:val="000000"/>
        </w:rPr>
        <w:t>(Sic), el Sujeto Obligado dio respuesta a dichos planteamientos, precisando las atri</w:t>
      </w:r>
      <w:r w:rsidR="00084A7C" w:rsidRPr="00CA60EE">
        <w:rPr>
          <w:rFonts w:ascii="Palatino Linotype" w:hAnsi="Palatino Linotype"/>
          <w:iCs/>
          <w:color w:val="000000"/>
        </w:rPr>
        <w:t xml:space="preserve">buciones con las que cuenta, e informando </w:t>
      </w:r>
      <w:r w:rsidR="006F7CF2" w:rsidRPr="00CA60EE">
        <w:rPr>
          <w:rFonts w:ascii="Palatino Linotype" w:hAnsi="Palatino Linotype"/>
          <w:iCs/>
          <w:color w:val="000000"/>
        </w:rPr>
        <w:t>que la Unidad de Estudios y Proyectos Especiales es la responsable de verificar la información laboral, nominal y adscripción física de cada una de las personas</w:t>
      </w:r>
      <w:r w:rsidR="00003232" w:rsidRPr="00CA60EE">
        <w:rPr>
          <w:rFonts w:ascii="Palatino Linotype" w:hAnsi="Palatino Linotype"/>
          <w:iCs/>
          <w:color w:val="000000"/>
        </w:rPr>
        <w:t xml:space="preserve"> servidoras públicos consideradas en las evaluaciones de control y confianza, manifestando que ellos no son los encargados de determinar el universo de elementos a evaluar</w:t>
      </w:r>
      <w:r w:rsidR="00CE5E27" w:rsidRPr="00CA60EE">
        <w:rPr>
          <w:rFonts w:ascii="Palatino Linotype" w:hAnsi="Palatino Linotype"/>
          <w:iCs/>
          <w:color w:val="000000"/>
        </w:rPr>
        <w:t xml:space="preserve">; además también hizo el señalamiento en relación a los argumentos jurídicos </w:t>
      </w:r>
      <w:r w:rsidR="00CE5E27" w:rsidRPr="00CA60EE">
        <w:rPr>
          <w:rFonts w:ascii="Palatino Linotype" w:hAnsi="Palatino Linotype"/>
          <w:iCs/>
          <w:color w:val="000000"/>
        </w:rPr>
        <w:lastRenderedPageBreak/>
        <w:t xml:space="preserve">que justifican la portación de arma y la permanencia </w:t>
      </w:r>
      <w:r w:rsidR="009E006C" w:rsidRPr="00CA60EE">
        <w:rPr>
          <w:rFonts w:ascii="Palatino Linotype" w:hAnsi="Palatino Linotype"/>
          <w:iCs/>
          <w:color w:val="000000"/>
        </w:rPr>
        <w:t>dentro de la institución, dando con ello cumplimiento a lo ordenado por la normatividad</w:t>
      </w:r>
      <w:r w:rsidR="00D102DC" w:rsidRPr="00CA60EE">
        <w:rPr>
          <w:rFonts w:ascii="Palatino Linotype" w:hAnsi="Palatino Linotype"/>
          <w:iCs/>
          <w:color w:val="000000"/>
        </w:rPr>
        <w:t xml:space="preserve">, por lo que contrario a lo señalado por el </w:t>
      </w:r>
      <w:r w:rsidR="00CE5E27" w:rsidRPr="00CA60EE">
        <w:rPr>
          <w:rFonts w:ascii="Palatino Linotype" w:eastAsia="Calibri" w:hAnsi="Palatino Linotype" w:cs="Tahoma"/>
          <w:color w:val="000000"/>
        </w:rPr>
        <w:t xml:space="preserve">Particular, se considera que </w:t>
      </w:r>
      <w:r w:rsidR="00D102DC" w:rsidRPr="00CA60EE">
        <w:rPr>
          <w:rFonts w:ascii="Palatino Linotype" w:eastAsia="Calibri" w:hAnsi="Palatino Linotype" w:cs="Tahoma"/>
          <w:color w:val="000000"/>
        </w:rPr>
        <w:t xml:space="preserve">se dio </w:t>
      </w:r>
      <w:r w:rsidR="00CE5E27" w:rsidRPr="00CA60EE">
        <w:rPr>
          <w:rFonts w:ascii="Palatino Linotype" w:eastAsia="Calibri" w:hAnsi="Palatino Linotype" w:cs="Tahoma"/>
          <w:color w:val="000000"/>
        </w:rPr>
        <w:t>atención a las solicitudes de información y proporcionó los razonamientos que consideraron pertinentes. S</w:t>
      </w:r>
      <w:r w:rsidR="00CE5E27" w:rsidRPr="00CA60EE">
        <w:rPr>
          <w:rFonts w:ascii="Palatino Linotype" w:eastAsia="Calibri" w:hAnsi="Palatino Linotype" w:cs="Tahoma"/>
          <w:bCs/>
          <w:iCs/>
          <w:color w:val="000000"/>
        </w:rPr>
        <w:t>ituación que toma sustento en</w:t>
      </w:r>
      <w:r w:rsidR="00CE5E27" w:rsidRPr="00CA60EE">
        <w:rPr>
          <w:rFonts w:ascii="Palatino Linotype" w:eastAsia="Calibri" w:hAnsi="Palatino Linotype" w:cs="Tahoma"/>
          <w:bCs/>
          <w:color w:val="000000"/>
        </w:rPr>
        <w:t xml:space="preserve"> el</w:t>
      </w:r>
      <w:r w:rsidR="00CE5E27" w:rsidRPr="00CA60EE">
        <w:rPr>
          <w:rFonts w:ascii="Palatino Linotype" w:eastAsia="Calibri" w:hAnsi="Palatino Linotype" w:cs="Tahoma"/>
          <w:color w:val="000000"/>
        </w:rPr>
        <w:t xml:space="preserve">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4B51F0D1" w14:textId="34E8680D" w:rsidR="00CE5E27" w:rsidRDefault="00CE5E27" w:rsidP="00CE5E27">
      <w:pPr>
        <w:spacing w:line="360" w:lineRule="auto"/>
        <w:contextualSpacing/>
        <w:rPr>
          <w:rFonts w:eastAsia="Calibri" w:cs="Tahoma"/>
          <w:bCs/>
          <w:iCs/>
          <w:color w:val="000000"/>
        </w:rPr>
      </w:pPr>
    </w:p>
    <w:p w14:paraId="57E6F72D" w14:textId="60E16CE4" w:rsidR="002F23AD" w:rsidRPr="00CA60EE" w:rsidRDefault="002F23AD" w:rsidP="00F01EDD">
      <w:pPr>
        <w:pStyle w:val="Prrafodelista"/>
        <w:numPr>
          <w:ilvl w:val="0"/>
          <w:numId w:val="2"/>
        </w:numPr>
        <w:tabs>
          <w:tab w:val="left" w:pos="0"/>
        </w:tabs>
        <w:spacing w:line="360" w:lineRule="auto"/>
        <w:ind w:left="0" w:firstLine="0"/>
        <w:jc w:val="both"/>
        <w:rPr>
          <w:rFonts w:ascii="Palatino Linotype" w:eastAsia="Calibri" w:hAnsi="Palatino Linotype" w:cs="Tahoma"/>
          <w:color w:val="000000"/>
        </w:rPr>
      </w:pPr>
      <w:r w:rsidRPr="00CA60EE">
        <w:rPr>
          <w:rFonts w:ascii="Palatino Linotype" w:eastAsia="Calibri" w:hAnsi="Palatino Linotype" w:cs="Tahoma"/>
          <w:color w:val="000000"/>
        </w:rPr>
        <w:t xml:space="preserve">De esta manera, </w:t>
      </w:r>
      <w:r w:rsidRPr="00CA60EE">
        <w:rPr>
          <w:rFonts w:ascii="Palatino Linotype" w:eastAsia="Calibri" w:hAnsi="Palatino Linotype" w:cs="Tahoma"/>
          <w:color w:val="000000"/>
          <w:lang w:val="es-ES"/>
        </w:rPr>
        <w:t xml:space="preserve">el derecho de acceso a la información pública se satisface en aquellos casos en que se entregue el soporte documental en el que conste la información solicitada, sin necesidad de elaborar documentos </w:t>
      </w:r>
      <w:r w:rsidRPr="00CA60EE">
        <w:rPr>
          <w:rFonts w:ascii="Palatino Linotype" w:eastAsia="Calibri" w:hAnsi="Palatino Linotype" w:cs="Tahoma"/>
          <w:i/>
          <w:color w:val="000000"/>
        </w:rPr>
        <w:t>ad hoc</w:t>
      </w:r>
      <w:r w:rsidRPr="00CA60EE">
        <w:rPr>
          <w:rFonts w:ascii="Palatino Linotype" w:eastAsia="Calibri" w:hAnsi="Palatino Linotype" w:cs="Tahoma"/>
          <w:color w:val="000000"/>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14:paraId="52A55116" w14:textId="77777777" w:rsidR="002F23AD" w:rsidRPr="00327424" w:rsidRDefault="002F23AD" w:rsidP="002F23AD">
      <w:pPr>
        <w:tabs>
          <w:tab w:val="left" w:pos="4962"/>
        </w:tabs>
        <w:spacing w:line="360" w:lineRule="auto"/>
        <w:contextualSpacing/>
        <w:rPr>
          <w:rFonts w:eastAsia="Calibri" w:cs="Tahoma"/>
          <w:color w:val="000000"/>
        </w:rPr>
      </w:pPr>
    </w:p>
    <w:p w14:paraId="2B24ADBB" w14:textId="30076142" w:rsidR="002F23AD" w:rsidRDefault="002F23AD" w:rsidP="00CA60EE">
      <w:pPr>
        <w:pStyle w:val="Prrafodelista"/>
        <w:widowControl w:val="0"/>
        <w:numPr>
          <w:ilvl w:val="0"/>
          <w:numId w:val="2"/>
        </w:numPr>
        <w:spacing w:line="360" w:lineRule="auto"/>
        <w:ind w:left="0" w:firstLine="0"/>
        <w:jc w:val="both"/>
        <w:rPr>
          <w:rFonts w:ascii="Palatino Linotype" w:eastAsia="Calibri" w:hAnsi="Palatino Linotype" w:cs="Tahoma"/>
          <w:color w:val="000000"/>
          <w:lang w:val="es-ES"/>
        </w:rPr>
      </w:pPr>
      <w:r w:rsidRPr="00CA60EE">
        <w:rPr>
          <w:rFonts w:ascii="Palatino Linotype" w:eastAsia="Calibri" w:hAnsi="Palatino Linotype" w:cs="Tahoma"/>
          <w:color w:val="000000"/>
          <w:lang w:val="es-ES"/>
        </w:rPr>
        <w:t>De tales circunstancias, se concluye que los sujetos obligados únicamente se encuentran constreñidos a proporcionar los documentos que den cuenta de la información solicitada, como obren en sus archivos, sin tener que elaborarlos a las necesidades del Recurrente; lo cual aconteció, pues lo referente a</w:t>
      </w:r>
      <w:r w:rsidR="001A1463" w:rsidRPr="00CA60EE">
        <w:rPr>
          <w:rFonts w:ascii="Palatino Linotype" w:eastAsia="Calibri" w:hAnsi="Palatino Linotype" w:cs="Tahoma"/>
          <w:color w:val="000000"/>
          <w:lang w:val="es-ES"/>
        </w:rPr>
        <w:t xml:space="preserve"> </w:t>
      </w:r>
      <w:r w:rsidRPr="00CA60EE">
        <w:rPr>
          <w:rFonts w:ascii="Palatino Linotype" w:eastAsia="Calibri" w:hAnsi="Palatino Linotype" w:cs="Tahoma"/>
          <w:color w:val="000000"/>
          <w:lang w:val="es-ES"/>
        </w:rPr>
        <w:t>l</w:t>
      </w:r>
      <w:r w:rsidR="001A1463" w:rsidRPr="00CA60EE">
        <w:rPr>
          <w:rFonts w:ascii="Palatino Linotype" w:eastAsia="Calibri" w:hAnsi="Palatino Linotype" w:cs="Tahoma"/>
          <w:color w:val="000000"/>
          <w:lang w:val="es-ES"/>
        </w:rPr>
        <w:t xml:space="preserve">a Unidad de Estudios </w:t>
      </w:r>
      <w:r w:rsidR="001A1463" w:rsidRPr="00CA60EE">
        <w:rPr>
          <w:rFonts w:ascii="Palatino Linotype" w:eastAsia="Calibri" w:hAnsi="Palatino Linotype" w:cs="Tahoma"/>
          <w:color w:val="000000"/>
          <w:lang w:val="es-ES"/>
        </w:rPr>
        <w:lastRenderedPageBreak/>
        <w:t>y Proyectos Especiales</w:t>
      </w:r>
      <w:r w:rsidRPr="00CA60EE">
        <w:rPr>
          <w:rFonts w:ascii="Palatino Linotype" w:eastAsia="Calibri" w:hAnsi="Palatino Linotype" w:cs="Tahoma"/>
          <w:color w:val="000000"/>
          <w:lang w:val="es-ES"/>
        </w:rPr>
        <w:t xml:space="preserve">, señalaron que no tienen facultad para </w:t>
      </w:r>
      <w:r w:rsidR="001A1463" w:rsidRPr="00CA60EE">
        <w:rPr>
          <w:rFonts w:ascii="Palatino Linotype" w:eastAsia="Calibri" w:hAnsi="Palatino Linotype" w:cs="Tahoma"/>
          <w:color w:val="000000"/>
          <w:lang w:val="es-ES"/>
        </w:rPr>
        <w:t>determinar el universo a evaluar anualmente</w:t>
      </w:r>
      <w:r w:rsidRPr="00CA60EE">
        <w:rPr>
          <w:rFonts w:ascii="Palatino Linotype" w:eastAsia="Calibri" w:hAnsi="Palatino Linotype" w:cs="Tahoma"/>
          <w:color w:val="000000"/>
          <w:lang w:val="es-ES"/>
        </w:rPr>
        <w:t xml:space="preserve">. </w:t>
      </w:r>
    </w:p>
    <w:p w14:paraId="59581BEF" w14:textId="77777777" w:rsidR="00FC4E89" w:rsidRPr="00FC4E89" w:rsidRDefault="00FC4E89" w:rsidP="00FC4E89">
      <w:pPr>
        <w:pStyle w:val="Prrafodelista"/>
        <w:rPr>
          <w:rFonts w:ascii="Palatino Linotype" w:eastAsia="Calibri" w:hAnsi="Palatino Linotype" w:cs="Tahoma"/>
          <w:color w:val="000000"/>
          <w:lang w:val="es-ES"/>
        </w:rPr>
      </w:pPr>
    </w:p>
    <w:p w14:paraId="2C7B167C" w14:textId="48269AC2" w:rsidR="00FC4E89" w:rsidRDefault="00FC4E89" w:rsidP="00CA60EE">
      <w:pPr>
        <w:pStyle w:val="Prrafodelista"/>
        <w:widowControl w:val="0"/>
        <w:numPr>
          <w:ilvl w:val="0"/>
          <w:numId w:val="2"/>
        </w:numPr>
        <w:spacing w:line="360" w:lineRule="auto"/>
        <w:ind w:left="0" w:firstLine="0"/>
        <w:jc w:val="both"/>
        <w:rPr>
          <w:rFonts w:ascii="Palatino Linotype" w:eastAsia="Calibri" w:hAnsi="Palatino Linotype" w:cs="Tahoma"/>
          <w:color w:val="000000"/>
          <w:lang w:val="es-ES"/>
        </w:rPr>
      </w:pPr>
      <w:r>
        <w:rPr>
          <w:rFonts w:ascii="Palatino Linotype" w:eastAsia="Calibri" w:hAnsi="Palatino Linotype" w:cs="Tahoma"/>
          <w:color w:val="000000"/>
          <w:lang w:val="es-ES"/>
        </w:rPr>
        <w:t xml:space="preserve">A efecto de robustecer lo anterior, es necesario traer a colación las funciones de la Unidad de Estudios y proyectos Especiales de la Secretaría de Seguridad, </w:t>
      </w:r>
      <w:r w:rsidR="00CE615F">
        <w:rPr>
          <w:rFonts w:ascii="Palatino Linotype" w:eastAsia="Calibri" w:hAnsi="Palatino Linotype" w:cs="Tahoma"/>
          <w:color w:val="000000"/>
          <w:lang w:val="es-ES"/>
        </w:rPr>
        <w:t xml:space="preserve">previstas en el Reglamento Interior de la Secretaría de Seguridad, </w:t>
      </w:r>
      <w:r>
        <w:rPr>
          <w:rFonts w:ascii="Palatino Linotype" w:eastAsia="Calibri" w:hAnsi="Palatino Linotype" w:cs="Tahoma"/>
          <w:color w:val="000000"/>
          <w:lang w:val="es-ES"/>
        </w:rPr>
        <w:t>que al efecto señala:</w:t>
      </w:r>
    </w:p>
    <w:p w14:paraId="091A5643" w14:textId="6EC6B6A3" w:rsidR="00FC4E89" w:rsidRDefault="00FC4E89" w:rsidP="00FC4E89">
      <w:pPr>
        <w:pStyle w:val="Prrafodelista"/>
        <w:rPr>
          <w:rFonts w:ascii="Palatino Linotype" w:eastAsia="Calibri" w:hAnsi="Palatino Linotype" w:cs="Tahoma"/>
          <w:color w:val="000000"/>
          <w:lang w:val="es-ES"/>
        </w:rPr>
      </w:pPr>
    </w:p>
    <w:p w14:paraId="43311539" w14:textId="77777777" w:rsidR="00016F14" w:rsidRPr="00C06E49" w:rsidRDefault="00697A37" w:rsidP="00C06E49">
      <w:pPr>
        <w:pStyle w:val="Prrafodelista"/>
        <w:spacing w:line="276" w:lineRule="auto"/>
        <w:ind w:left="851"/>
        <w:jc w:val="both"/>
        <w:rPr>
          <w:rFonts w:ascii="Palatino Linotype" w:eastAsia="Calibri" w:hAnsi="Palatino Linotype" w:cs="Tahoma"/>
          <w:i/>
          <w:iCs/>
          <w:color w:val="000000"/>
          <w:sz w:val="22"/>
          <w:szCs w:val="22"/>
          <w:lang w:val="es-ES"/>
        </w:rPr>
      </w:pPr>
      <w:r w:rsidRPr="00C06E49">
        <w:rPr>
          <w:rFonts w:ascii="Palatino Linotype" w:eastAsia="Calibri" w:hAnsi="Palatino Linotype" w:cs="Tahoma"/>
          <w:b/>
          <w:bCs/>
          <w:i/>
          <w:iCs/>
          <w:color w:val="000000"/>
          <w:sz w:val="22"/>
          <w:szCs w:val="22"/>
          <w:lang w:val="es-ES"/>
        </w:rPr>
        <w:t>Artículo 36</w:t>
      </w:r>
      <w:r w:rsidRPr="00C06E49">
        <w:rPr>
          <w:rFonts w:ascii="Palatino Linotype" w:eastAsia="Calibri" w:hAnsi="Palatino Linotype" w:cs="Tahoma"/>
          <w:i/>
          <w:iCs/>
          <w:color w:val="000000"/>
          <w:sz w:val="22"/>
          <w:szCs w:val="22"/>
          <w:lang w:val="es-ES"/>
        </w:rPr>
        <w:t xml:space="preserve">. Corresponden a la Unidad de Estudios y Proyectos Especiales las atribuciones siguientes: </w:t>
      </w:r>
    </w:p>
    <w:p w14:paraId="4576984D" w14:textId="121B6206" w:rsidR="00016F14" w:rsidRPr="00C06E49" w:rsidRDefault="00697A37" w:rsidP="00226549">
      <w:pPr>
        <w:pStyle w:val="Prrafodelista"/>
        <w:numPr>
          <w:ilvl w:val="0"/>
          <w:numId w:val="18"/>
        </w:numPr>
        <w:spacing w:line="276" w:lineRule="auto"/>
        <w:ind w:right="538"/>
        <w:jc w:val="both"/>
        <w:rPr>
          <w:rFonts w:ascii="Palatino Linotype" w:eastAsia="Calibri" w:hAnsi="Palatino Linotype" w:cs="Tahoma"/>
          <w:i/>
          <w:iCs/>
          <w:color w:val="000000"/>
          <w:sz w:val="22"/>
          <w:szCs w:val="22"/>
          <w:lang w:val="es-ES"/>
        </w:rPr>
      </w:pPr>
      <w:r w:rsidRPr="00C06E49">
        <w:rPr>
          <w:rFonts w:ascii="Palatino Linotype" w:eastAsia="Calibri" w:hAnsi="Palatino Linotype" w:cs="Tahoma"/>
          <w:i/>
          <w:iCs/>
          <w:color w:val="000000"/>
          <w:sz w:val="22"/>
          <w:szCs w:val="22"/>
          <w:lang w:val="es-ES"/>
        </w:rPr>
        <w:t xml:space="preserve">Coordinar y organizar la operación de los procesos de evaluaciones de control de confianza, así como el seguimiento al registro de las personas aspirantes y las personas servidoras públicas de la Secretaría dentro de los sistemas de información policial;  </w:t>
      </w:r>
    </w:p>
    <w:p w14:paraId="7A628322" w14:textId="40FFB749" w:rsidR="00016F14" w:rsidRPr="00C06E49" w:rsidRDefault="00697A37" w:rsidP="00226549">
      <w:pPr>
        <w:pStyle w:val="Prrafodelista"/>
        <w:numPr>
          <w:ilvl w:val="0"/>
          <w:numId w:val="18"/>
        </w:numPr>
        <w:spacing w:line="276" w:lineRule="auto"/>
        <w:ind w:right="538"/>
        <w:jc w:val="both"/>
        <w:rPr>
          <w:rFonts w:ascii="Palatino Linotype" w:eastAsia="Calibri" w:hAnsi="Palatino Linotype" w:cs="Tahoma"/>
          <w:i/>
          <w:iCs/>
          <w:color w:val="000000"/>
          <w:sz w:val="22"/>
          <w:szCs w:val="22"/>
          <w:lang w:val="es-ES"/>
        </w:rPr>
      </w:pPr>
      <w:r w:rsidRPr="00C06E49">
        <w:rPr>
          <w:rFonts w:ascii="Palatino Linotype" w:eastAsia="Calibri" w:hAnsi="Palatino Linotype" w:cs="Tahoma"/>
          <w:i/>
          <w:iCs/>
          <w:color w:val="000000"/>
          <w:sz w:val="22"/>
          <w:szCs w:val="22"/>
          <w:lang w:val="es-ES"/>
        </w:rPr>
        <w:t xml:space="preserve">Dar seguimiento al proceso de evaluación que deben de presentar las personas aspirantes a ingresar a la Secretaría, por medio de la coordinación de acciones con el Centro de Control de Confianza del Estado de México; </w:t>
      </w:r>
    </w:p>
    <w:p w14:paraId="57DE29CA" w14:textId="2D2743DD" w:rsidR="00016F14" w:rsidRPr="00C06E49" w:rsidRDefault="00697A37" w:rsidP="00226549">
      <w:pPr>
        <w:pStyle w:val="Prrafodelista"/>
        <w:numPr>
          <w:ilvl w:val="0"/>
          <w:numId w:val="18"/>
        </w:numPr>
        <w:spacing w:line="276" w:lineRule="auto"/>
        <w:ind w:right="538"/>
        <w:jc w:val="both"/>
        <w:rPr>
          <w:rFonts w:ascii="Palatino Linotype" w:eastAsia="Calibri" w:hAnsi="Palatino Linotype" w:cs="Tahoma"/>
          <w:i/>
          <w:iCs/>
          <w:color w:val="000000"/>
          <w:sz w:val="22"/>
          <w:szCs w:val="22"/>
          <w:lang w:val="es-ES"/>
        </w:rPr>
      </w:pPr>
      <w:r w:rsidRPr="00C06E49">
        <w:rPr>
          <w:rFonts w:ascii="Palatino Linotype" w:eastAsia="Calibri" w:hAnsi="Palatino Linotype" w:cs="Tahoma"/>
          <w:i/>
          <w:iCs/>
          <w:color w:val="000000"/>
          <w:sz w:val="22"/>
          <w:szCs w:val="22"/>
          <w:lang w:val="es-ES"/>
        </w:rPr>
        <w:t xml:space="preserve">Establecer y mantener en operación los mecanismos de coordinación interinstitucional que permitan recopilar información para la elaboración de los procesos de evaluaciones de control de confianza; </w:t>
      </w:r>
    </w:p>
    <w:p w14:paraId="0C37417D" w14:textId="56632EAE" w:rsidR="00016F14" w:rsidRPr="00C06E49" w:rsidRDefault="00697A37" w:rsidP="00226549">
      <w:pPr>
        <w:pStyle w:val="Prrafodelista"/>
        <w:numPr>
          <w:ilvl w:val="0"/>
          <w:numId w:val="18"/>
        </w:numPr>
        <w:spacing w:line="276" w:lineRule="auto"/>
        <w:ind w:right="538"/>
        <w:jc w:val="both"/>
        <w:rPr>
          <w:rFonts w:ascii="Palatino Linotype" w:eastAsia="Calibri" w:hAnsi="Palatino Linotype" w:cs="Tahoma"/>
          <w:i/>
          <w:iCs/>
          <w:color w:val="000000"/>
          <w:sz w:val="22"/>
          <w:szCs w:val="22"/>
          <w:lang w:val="es-ES"/>
        </w:rPr>
      </w:pPr>
      <w:r w:rsidRPr="00C06E49">
        <w:rPr>
          <w:rFonts w:ascii="Palatino Linotype" w:eastAsia="Calibri" w:hAnsi="Palatino Linotype" w:cs="Tahoma"/>
          <w:i/>
          <w:iCs/>
          <w:color w:val="000000"/>
          <w:sz w:val="22"/>
          <w:szCs w:val="22"/>
          <w:lang w:val="es-ES"/>
        </w:rPr>
        <w:t xml:space="preserve">Establecer y coordinar mecanismos de comunicación e intercambio de información con las Unidades Administrativas, para contar con la información necesaria para los procesos de evaluaciones de control de confianza, con la finalidad de emitir documentos de análisis; </w:t>
      </w:r>
    </w:p>
    <w:p w14:paraId="0319924E" w14:textId="3602A84C" w:rsidR="00016F14" w:rsidRPr="00C06E49" w:rsidRDefault="00697A37" w:rsidP="00226549">
      <w:pPr>
        <w:pStyle w:val="Prrafodelista"/>
        <w:numPr>
          <w:ilvl w:val="0"/>
          <w:numId w:val="18"/>
        </w:numPr>
        <w:spacing w:line="276" w:lineRule="auto"/>
        <w:ind w:right="538"/>
        <w:jc w:val="both"/>
        <w:rPr>
          <w:rFonts w:ascii="Palatino Linotype" w:eastAsia="Calibri" w:hAnsi="Palatino Linotype" w:cs="Tahoma"/>
          <w:i/>
          <w:iCs/>
          <w:color w:val="000000"/>
          <w:sz w:val="22"/>
          <w:szCs w:val="22"/>
          <w:lang w:val="es-ES"/>
        </w:rPr>
      </w:pPr>
      <w:r w:rsidRPr="00C06E49">
        <w:rPr>
          <w:rFonts w:ascii="Palatino Linotype" w:eastAsia="Calibri" w:hAnsi="Palatino Linotype" w:cs="Tahoma"/>
          <w:i/>
          <w:iCs/>
          <w:color w:val="000000"/>
          <w:sz w:val="22"/>
          <w:szCs w:val="22"/>
          <w:lang w:val="es-ES"/>
        </w:rPr>
        <w:t xml:space="preserve">Controlar y dar seguimiento dentro de los sistemas de información, a las personas aspirantes y las personas servidoras públicas de la Secretaría, para la elaboración de políticas y estrategias en materia de evaluaciones de control de confianza, y </w:t>
      </w:r>
    </w:p>
    <w:p w14:paraId="58598A11" w14:textId="2FBACBFB" w:rsidR="00C17868" w:rsidRDefault="00697A37" w:rsidP="00226549">
      <w:pPr>
        <w:pStyle w:val="Prrafodelista"/>
        <w:numPr>
          <w:ilvl w:val="0"/>
          <w:numId w:val="18"/>
        </w:numPr>
        <w:spacing w:line="276" w:lineRule="auto"/>
        <w:ind w:right="538"/>
        <w:jc w:val="both"/>
        <w:rPr>
          <w:rFonts w:ascii="Palatino Linotype" w:eastAsia="Calibri" w:hAnsi="Palatino Linotype" w:cs="Tahoma"/>
          <w:i/>
          <w:iCs/>
          <w:color w:val="000000"/>
          <w:sz w:val="22"/>
          <w:szCs w:val="22"/>
          <w:lang w:val="es-ES"/>
        </w:rPr>
      </w:pPr>
      <w:r w:rsidRPr="00C06E49">
        <w:rPr>
          <w:rFonts w:ascii="Palatino Linotype" w:eastAsia="Calibri" w:hAnsi="Palatino Linotype" w:cs="Tahoma"/>
          <w:i/>
          <w:iCs/>
          <w:color w:val="000000"/>
          <w:sz w:val="22"/>
          <w:szCs w:val="22"/>
          <w:lang w:val="es-ES"/>
        </w:rPr>
        <w:t>Las demás que le confieran otras disposiciones jurídicas aplicables y las que le encomiende la persona titular de la Secretaría.</w:t>
      </w:r>
    </w:p>
    <w:p w14:paraId="2C30381F" w14:textId="77777777" w:rsidR="00E84397" w:rsidRPr="00C06E49" w:rsidRDefault="00E84397" w:rsidP="00E84397">
      <w:pPr>
        <w:pStyle w:val="Prrafodelista"/>
        <w:spacing w:line="276" w:lineRule="auto"/>
        <w:ind w:left="1571" w:right="538"/>
        <w:jc w:val="both"/>
        <w:rPr>
          <w:rFonts w:ascii="Palatino Linotype" w:eastAsia="Calibri" w:hAnsi="Palatino Linotype" w:cs="Tahoma"/>
          <w:i/>
          <w:iCs/>
          <w:color w:val="000000"/>
          <w:sz w:val="22"/>
          <w:szCs w:val="22"/>
          <w:lang w:val="es-ES"/>
        </w:rPr>
      </w:pPr>
    </w:p>
    <w:p w14:paraId="09475FC0" w14:textId="3C893613" w:rsidR="00E84397" w:rsidRDefault="00E84397" w:rsidP="00E84397">
      <w:pPr>
        <w:pStyle w:val="Prrafodelista"/>
        <w:widowControl w:val="0"/>
        <w:numPr>
          <w:ilvl w:val="0"/>
          <w:numId w:val="2"/>
        </w:numPr>
        <w:spacing w:line="360" w:lineRule="auto"/>
        <w:ind w:left="0" w:firstLine="0"/>
        <w:jc w:val="both"/>
        <w:rPr>
          <w:rFonts w:ascii="Palatino Linotype" w:eastAsia="Calibri" w:hAnsi="Palatino Linotype" w:cs="Tahoma"/>
          <w:color w:val="000000"/>
          <w:lang w:val="es-ES"/>
        </w:rPr>
      </w:pPr>
      <w:r>
        <w:rPr>
          <w:rFonts w:ascii="Palatino Linotype" w:eastAsia="Calibri" w:hAnsi="Palatino Linotype" w:cs="Tahoma"/>
          <w:color w:val="000000"/>
          <w:lang w:val="es-ES"/>
        </w:rPr>
        <w:t xml:space="preserve">Así también el Manual </w:t>
      </w:r>
      <w:r w:rsidR="00CF06E3">
        <w:rPr>
          <w:rFonts w:ascii="Palatino Linotype" w:eastAsia="Calibri" w:hAnsi="Palatino Linotype" w:cs="Tahoma"/>
          <w:color w:val="000000"/>
          <w:lang w:val="es-ES"/>
        </w:rPr>
        <w:t>General de Organización de la Secretaría de Seguridad</w:t>
      </w:r>
      <w:r>
        <w:rPr>
          <w:rFonts w:ascii="Palatino Linotype" w:eastAsia="Calibri" w:hAnsi="Palatino Linotype" w:cs="Tahoma"/>
          <w:color w:val="000000"/>
          <w:lang w:val="es-ES"/>
        </w:rPr>
        <w:t>, señala:</w:t>
      </w:r>
    </w:p>
    <w:p w14:paraId="1230F08A" w14:textId="77777777" w:rsidR="00E84397" w:rsidRDefault="00E84397" w:rsidP="00E84397">
      <w:pPr>
        <w:pStyle w:val="Prrafodelista"/>
        <w:rPr>
          <w:rFonts w:ascii="Palatino Linotype" w:eastAsia="Calibri" w:hAnsi="Palatino Linotype" w:cs="Tahoma"/>
          <w:color w:val="000000"/>
          <w:lang w:val="es-ES"/>
        </w:rPr>
      </w:pPr>
    </w:p>
    <w:p w14:paraId="1BF98D52" w14:textId="77777777" w:rsidR="000075DF" w:rsidRPr="00CA7F38" w:rsidRDefault="00E84397" w:rsidP="00CA7F38">
      <w:pPr>
        <w:pStyle w:val="Prrafodelista"/>
        <w:spacing w:line="276" w:lineRule="auto"/>
        <w:rPr>
          <w:rFonts w:ascii="Palatino Linotype" w:hAnsi="Palatino Linotype"/>
          <w:b/>
          <w:bCs/>
          <w:i/>
          <w:iCs/>
          <w:sz w:val="22"/>
          <w:szCs w:val="22"/>
        </w:rPr>
      </w:pPr>
      <w:r w:rsidRPr="00CA7F38">
        <w:rPr>
          <w:rFonts w:ascii="Palatino Linotype" w:hAnsi="Palatino Linotype"/>
          <w:b/>
          <w:bCs/>
          <w:i/>
          <w:iCs/>
          <w:sz w:val="22"/>
          <w:szCs w:val="22"/>
        </w:rPr>
        <w:t xml:space="preserve">20600301000000L UNIDAD DE ESTUDIOS Y PROYECTOS ESPECIALES </w:t>
      </w:r>
    </w:p>
    <w:p w14:paraId="105719A7" w14:textId="77777777" w:rsidR="000075DF" w:rsidRPr="00CA7F38" w:rsidRDefault="000075DF" w:rsidP="00CA7F38">
      <w:pPr>
        <w:pStyle w:val="Prrafodelista"/>
        <w:spacing w:line="276" w:lineRule="auto"/>
        <w:rPr>
          <w:rFonts w:ascii="Palatino Linotype" w:hAnsi="Palatino Linotype"/>
          <w:i/>
          <w:iCs/>
          <w:sz w:val="22"/>
          <w:szCs w:val="22"/>
        </w:rPr>
      </w:pPr>
    </w:p>
    <w:p w14:paraId="5C8AB578" w14:textId="77777777" w:rsidR="000075DF" w:rsidRPr="00CA7F38" w:rsidRDefault="00E84397" w:rsidP="00CA7F38">
      <w:pPr>
        <w:pStyle w:val="Prrafodelista"/>
        <w:spacing w:line="276" w:lineRule="auto"/>
        <w:rPr>
          <w:rFonts w:ascii="Palatino Linotype" w:hAnsi="Palatino Linotype"/>
          <w:b/>
          <w:bCs/>
          <w:i/>
          <w:iCs/>
          <w:sz w:val="22"/>
          <w:szCs w:val="22"/>
        </w:rPr>
      </w:pPr>
      <w:r w:rsidRPr="00CA7F38">
        <w:rPr>
          <w:rFonts w:ascii="Palatino Linotype" w:hAnsi="Palatino Linotype"/>
          <w:b/>
          <w:bCs/>
          <w:i/>
          <w:iCs/>
          <w:sz w:val="22"/>
          <w:szCs w:val="22"/>
        </w:rPr>
        <w:t xml:space="preserve">OBJETIVO: </w:t>
      </w:r>
    </w:p>
    <w:p w14:paraId="2968B918" w14:textId="77777777" w:rsidR="000075DF" w:rsidRPr="00CA7F38" w:rsidRDefault="00E84397" w:rsidP="00CA7F38">
      <w:pPr>
        <w:pStyle w:val="Prrafodelista"/>
        <w:spacing w:line="276" w:lineRule="auto"/>
        <w:jc w:val="both"/>
        <w:rPr>
          <w:rFonts w:ascii="Palatino Linotype" w:hAnsi="Palatino Linotype"/>
          <w:i/>
          <w:iCs/>
          <w:sz w:val="22"/>
          <w:szCs w:val="22"/>
        </w:rPr>
      </w:pPr>
      <w:r w:rsidRPr="00CA7F38">
        <w:rPr>
          <w:rFonts w:ascii="Palatino Linotype" w:hAnsi="Palatino Linotype"/>
          <w:i/>
          <w:iCs/>
          <w:sz w:val="22"/>
          <w:szCs w:val="22"/>
        </w:rPr>
        <w:t>Coordinar el proceso de evaluación de control de confianza de las y los aspirantes y del personal adscrito a la Secretaría de Seguridad de conformidad a lo establecido en la normatividad vigente en la materia, así como las metas, indicadores y procedimientos aplicables.</w:t>
      </w:r>
    </w:p>
    <w:p w14:paraId="6D87F2AD" w14:textId="77777777" w:rsidR="000075DF" w:rsidRPr="00CA7F38" w:rsidRDefault="00E84397" w:rsidP="00CA7F38">
      <w:pPr>
        <w:pStyle w:val="Prrafodelista"/>
        <w:spacing w:line="276" w:lineRule="auto"/>
        <w:jc w:val="both"/>
        <w:rPr>
          <w:rFonts w:ascii="Palatino Linotype" w:hAnsi="Palatino Linotype"/>
          <w:b/>
          <w:bCs/>
          <w:i/>
          <w:iCs/>
          <w:sz w:val="22"/>
          <w:szCs w:val="22"/>
        </w:rPr>
      </w:pPr>
      <w:r w:rsidRPr="00CA7F38">
        <w:rPr>
          <w:rFonts w:ascii="Palatino Linotype" w:hAnsi="Palatino Linotype"/>
          <w:b/>
          <w:bCs/>
          <w:i/>
          <w:iCs/>
          <w:sz w:val="22"/>
          <w:szCs w:val="22"/>
        </w:rPr>
        <w:t>FUNCIONES:</w:t>
      </w:r>
    </w:p>
    <w:p w14:paraId="26D12D33" w14:textId="77777777" w:rsidR="000075DF" w:rsidRPr="00CA7F38" w:rsidRDefault="00E84397" w:rsidP="00CA7F38">
      <w:pPr>
        <w:pStyle w:val="Prrafodelista"/>
        <w:spacing w:line="276" w:lineRule="auto"/>
        <w:jc w:val="both"/>
        <w:rPr>
          <w:rFonts w:ascii="Palatino Linotype" w:hAnsi="Palatino Linotype"/>
          <w:i/>
          <w:iCs/>
          <w:sz w:val="22"/>
          <w:szCs w:val="22"/>
        </w:rPr>
      </w:pPr>
      <w:r w:rsidRPr="00CA7F38">
        <w:rPr>
          <w:rFonts w:ascii="Palatino Linotype" w:hAnsi="Palatino Linotype"/>
          <w:i/>
          <w:iCs/>
          <w:sz w:val="22"/>
          <w:szCs w:val="22"/>
        </w:rPr>
        <w:t xml:space="preserve"> − Establecer los mecanismos de coordinación interinstitucional requeridos para la aplicación de las evaluaciones de control de confianza a las y los aspirantes y el personal adscrito a la Secretaría de Seguridad. </w:t>
      </w:r>
    </w:p>
    <w:p w14:paraId="1E16E572" w14:textId="5D6C7A49" w:rsidR="00E84397" w:rsidRPr="00CA7F38" w:rsidRDefault="00E84397" w:rsidP="00CA7F38">
      <w:pPr>
        <w:pStyle w:val="Prrafodelista"/>
        <w:spacing w:line="276" w:lineRule="auto"/>
        <w:jc w:val="both"/>
        <w:rPr>
          <w:rFonts w:ascii="Palatino Linotype" w:hAnsi="Palatino Linotype"/>
          <w:i/>
          <w:iCs/>
          <w:sz w:val="22"/>
          <w:szCs w:val="22"/>
        </w:rPr>
      </w:pPr>
      <w:r w:rsidRPr="00CA7F38">
        <w:rPr>
          <w:rFonts w:ascii="Palatino Linotype" w:hAnsi="Palatino Linotype"/>
          <w:i/>
          <w:iCs/>
          <w:sz w:val="22"/>
          <w:szCs w:val="22"/>
        </w:rPr>
        <w:t>− Conducir el proceso de solicitud de claves de acceso al Sistema de Evaluaciones de Control de Confianza del personal considerado para evaluación periódica y de nuevo ingreso, a efecto de conformar los expedientes correspondientes.</w:t>
      </w:r>
    </w:p>
    <w:p w14:paraId="259C2C9F" w14:textId="63DC0CBF" w:rsidR="00B354A1" w:rsidRPr="00CA7F38" w:rsidRDefault="00B354A1" w:rsidP="00CA7F38">
      <w:pPr>
        <w:pStyle w:val="Prrafodelista"/>
        <w:spacing w:line="276" w:lineRule="auto"/>
        <w:jc w:val="both"/>
        <w:rPr>
          <w:rFonts w:ascii="Palatino Linotype" w:eastAsia="Calibri" w:hAnsi="Palatino Linotype" w:cs="Tahoma"/>
          <w:i/>
          <w:iCs/>
          <w:color w:val="000000"/>
          <w:sz w:val="22"/>
          <w:szCs w:val="22"/>
          <w:lang w:val="es-ES"/>
        </w:rPr>
      </w:pPr>
      <w:r w:rsidRPr="00CA7F38">
        <w:rPr>
          <w:sz w:val="22"/>
          <w:szCs w:val="22"/>
        </w:rPr>
        <w:t xml:space="preserve">− </w:t>
      </w:r>
      <w:r w:rsidRPr="00CA7F38">
        <w:rPr>
          <w:rFonts w:ascii="Palatino Linotype" w:hAnsi="Palatino Linotype"/>
          <w:i/>
          <w:iCs/>
          <w:sz w:val="22"/>
          <w:szCs w:val="22"/>
        </w:rPr>
        <w:t>Implementar mecanismos de comunicación con las unidades administrativas de la Secretaría de Seguridad, a fin de va</w:t>
      </w:r>
    </w:p>
    <w:p w14:paraId="22544B19" w14:textId="16D1C27F" w:rsidR="000075DF" w:rsidRPr="00CA7F38" w:rsidRDefault="000075DF" w:rsidP="00CA7F38">
      <w:pPr>
        <w:pStyle w:val="Prrafodelista"/>
        <w:spacing w:line="276" w:lineRule="auto"/>
        <w:jc w:val="both"/>
        <w:rPr>
          <w:rFonts w:ascii="Palatino Linotype" w:hAnsi="Palatino Linotype"/>
          <w:i/>
          <w:iCs/>
          <w:sz w:val="22"/>
          <w:szCs w:val="22"/>
        </w:rPr>
      </w:pPr>
      <w:r w:rsidRPr="00CA7F38">
        <w:rPr>
          <w:rFonts w:ascii="Palatino Linotype" w:hAnsi="Palatino Linotype"/>
          <w:i/>
          <w:iCs/>
          <w:sz w:val="22"/>
          <w:szCs w:val="22"/>
        </w:rPr>
        <w:t xml:space="preserve">− Dirigir el envío de expedientes al Centro de Control de Confianza del Estado de México, de las y los aspirantes, así como del personal adscrito a la Secretaría de Seguridad, con el objeto de que se programen las evaluaciones de control de confianza conforme a la normatividad aplicable. </w:t>
      </w:r>
    </w:p>
    <w:p w14:paraId="11961171" w14:textId="4527C8EF" w:rsidR="000075DF" w:rsidRPr="00CA7F38" w:rsidRDefault="000075DF" w:rsidP="00CA7F38">
      <w:pPr>
        <w:pStyle w:val="Prrafodelista"/>
        <w:spacing w:line="276" w:lineRule="auto"/>
        <w:jc w:val="both"/>
        <w:rPr>
          <w:rFonts w:ascii="Palatino Linotype" w:hAnsi="Palatino Linotype"/>
          <w:i/>
          <w:iCs/>
          <w:sz w:val="22"/>
          <w:szCs w:val="22"/>
        </w:rPr>
      </w:pPr>
      <w:r w:rsidRPr="00CA7F38">
        <w:rPr>
          <w:rFonts w:ascii="Palatino Linotype" w:hAnsi="Palatino Linotype"/>
          <w:i/>
          <w:iCs/>
          <w:sz w:val="22"/>
          <w:szCs w:val="22"/>
        </w:rPr>
        <w:t xml:space="preserve">− Verificar que se informen de manera oportuna al personal de la Secretaría de Seguridad las fechas asignadas para la aplicación de sus evaluaciones de control de confianza, a fin de dar continuidad al proceso. </w:t>
      </w:r>
    </w:p>
    <w:p w14:paraId="3C935315" w14:textId="7AE72C29" w:rsidR="000075DF" w:rsidRPr="00CA7F38" w:rsidRDefault="000075DF" w:rsidP="00CA7F38">
      <w:pPr>
        <w:pStyle w:val="Prrafodelista"/>
        <w:spacing w:line="276" w:lineRule="auto"/>
        <w:jc w:val="both"/>
        <w:rPr>
          <w:rFonts w:ascii="Palatino Linotype" w:hAnsi="Palatino Linotype"/>
          <w:i/>
          <w:iCs/>
          <w:sz w:val="22"/>
          <w:szCs w:val="22"/>
        </w:rPr>
      </w:pPr>
      <w:r w:rsidRPr="00CA7F38">
        <w:rPr>
          <w:rFonts w:ascii="Palatino Linotype" w:hAnsi="Palatino Linotype"/>
          <w:i/>
          <w:iCs/>
          <w:sz w:val="22"/>
          <w:szCs w:val="22"/>
        </w:rPr>
        <w:t xml:space="preserve">− Gestionar la cancelación de claves de acceso al Sistema de Evaluación de Control de Confianza y al proceso de evaluación de las y los aspirantes y del personal adscrito a la Secretaría de Seguridad, a fin de que puedan ser reasignadas. </w:t>
      </w:r>
    </w:p>
    <w:p w14:paraId="145415D2" w14:textId="78D5C92A" w:rsidR="000075DF" w:rsidRPr="00CA7F38" w:rsidRDefault="000075DF" w:rsidP="00CA7F38">
      <w:pPr>
        <w:pStyle w:val="Prrafodelista"/>
        <w:spacing w:line="276" w:lineRule="auto"/>
        <w:jc w:val="both"/>
        <w:rPr>
          <w:rFonts w:ascii="Palatino Linotype" w:hAnsi="Palatino Linotype"/>
          <w:i/>
          <w:iCs/>
          <w:sz w:val="22"/>
          <w:szCs w:val="22"/>
        </w:rPr>
      </w:pPr>
      <w:r w:rsidRPr="00CA7F38">
        <w:rPr>
          <w:rFonts w:ascii="Palatino Linotype" w:hAnsi="Palatino Linotype"/>
          <w:i/>
          <w:iCs/>
          <w:sz w:val="22"/>
          <w:szCs w:val="22"/>
        </w:rPr>
        <w:lastRenderedPageBreak/>
        <w:t xml:space="preserve">− Proporcionar los resultados no aprobados y aprobados con restricción de las evaluaciones de control de confianza a la Unidad de Asuntos Jurídicos e Igualdad de Género, Unidad de Asuntos Internos, o en su caso, a la Dirección de Desarrollo Policial respectivamente, a fin de que se realicen las acciones pertinentes. </w:t>
      </w:r>
    </w:p>
    <w:p w14:paraId="5CD4EB67" w14:textId="6F57BF55" w:rsidR="000075DF" w:rsidRPr="00CA7F38" w:rsidRDefault="000075DF" w:rsidP="00CA7F38">
      <w:pPr>
        <w:pStyle w:val="Prrafodelista"/>
        <w:spacing w:line="276" w:lineRule="auto"/>
        <w:jc w:val="both"/>
        <w:rPr>
          <w:rFonts w:ascii="Palatino Linotype" w:hAnsi="Palatino Linotype"/>
          <w:i/>
          <w:iCs/>
          <w:sz w:val="22"/>
          <w:szCs w:val="22"/>
        </w:rPr>
      </w:pPr>
      <w:r w:rsidRPr="00CA7F38">
        <w:rPr>
          <w:rFonts w:ascii="Palatino Linotype" w:hAnsi="Palatino Linotype"/>
          <w:i/>
          <w:iCs/>
          <w:sz w:val="22"/>
          <w:szCs w:val="22"/>
        </w:rPr>
        <w:t xml:space="preserve">− Informar de manera periódica a la o el titular de la Dirección General del Sistema de Desarrollo Policial sobre los temas relevantes en el desempeño de sus funciones y actividades realizadas en el ámbito de su competencia. </w:t>
      </w:r>
    </w:p>
    <w:p w14:paraId="4587314C" w14:textId="6F59A326" w:rsidR="00E84397" w:rsidRPr="00CA7F38" w:rsidRDefault="000075DF" w:rsidP="00CA7F38">
      <w:pPr>
        <w:pStyle w:val="Prrafodelista"/>
        <w:spacing w:line="276" w:lineRule="auto"/>
        <w:jc w:val="both"/>
        <w:rPr>
          <w:rFonts w:ascii="Palatino Linotype" w:eastAsia="Calibri" w:hAnsi="Palatino Linotype" w:cs="Tahoma"/>
          <w:i/>
          <w:iCs/>
          <w:color w:val="000000"/>
          <w:sz w:val="22"/>
          <w:szCs w:val="22"/>
          <w:lang w:val="es-ES"/>
        </w:rPr>
      </w:pPr>
      <w:r w:rsidRPr="00CA7F38">
        <w:rPr>
          <w:rFonts w:ascii="Palatino Linotype" w:hAnsi="Palatino Linotype"/>
          <w:i/>
          <w:iCs/>
          <w:sz w:val="22"/>
          <w:szCs w:val="22"/>
        </w:rPr>
        <w:t>− Desarrollar las demás funciones que le sean asignadas.</w:t>
      </w:r>
    </w:p>
    <w:p w14:paraId="02B11F6B" w14:textId="77777777" w:rsidR="00E84397" w:rsidRPr="00FC4E89" w:rsidRDefault="00E84397" w:rsidP="00E84397">
      <w:pPr>
        <w:pStyle w:val="Prrafodelista"/>
        <w:rPr>
          <w:rFonts w:ascii="Palatino Linotype" w:eastAsia="Calibri" w:hAnsi="Palatino Linotype" w:cs="Tahoma"/>
          <w:color w:val="000000"/>
          <w:lang w:val="es-ES"/>
        </w:rPr>
      </w:pPr>
    </w:p>
    <w:p w14:paraId="345CB20E" w14:textId="5DD71A7F" w:rsidR="00BC6992" w:rsidRDefault="00BC6992" w:rsidP="00CA60EE">
      <w:pPr>
        <w:pStyle w:val="Prrafodelista"/>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lo cual, </w:t>
      </w:r>
      <w:r w:rsidRPr="008C46E0">
        <w:rPr>
          <w:rFonts w:ascii="Palatino Linotype" w:eastAsia="Palatino Linotype" w:hAnsi="Palatino Linotype" w:cs="Palatino Linotype"/>
        </w:rPr>
        <w:t xml:space="preserve">este Instituto de Transparencia como Órgano Garante de la difusión, protección y respeto al derecho de acceso a la información pública y a la protección de datos personales, que, este Órgano Garante no está facultado para manifestarse sobre la veracidad de la información proporcionada, respecto al pronunciamiento realizado por EL SUJETO OBLIGADO a fin de dar respuesta a la solicitud planteada. </w:t>
      </w:r>
    </w:p>
    <w:p w14:paraId="6327A551" w14:textId="77777777" w:rsidR="00BC6992" w:rsidRPr="008C46E0" w:rsidRDefault="00BC6992" w:rsidP="00BC6992">
      <w:pPr>
        <w:pStyle w:val="Prrafodelista"/>
        <w:rPr>
          <w:rFonts w:ascii="Palatino Linotype" w:eastAsia="Palatino Linotype" w:hAnsi="Palatino Linotype" w:cs="Palatino Linotype"/>
        </w:rPr>
      </w:pPr>
    </w:p>
    <w:p w14:paraId="02FDF34A" w14:textId="77777777" w:rsidR="00BC6992" w:rsidRDefault="00BC6992" w:rsidP="004E3ED4">
      <w:pPr>
        <w:pStyle w:val="Prrafodelista"/>
        <w:numPr>
          <w:ilvl w:val="0"/>
          <w:numId w:val="2"/>
        </w:numPr>
        <w:spacing w:line="360" w:lineRule="auto"/>
        <w:ind w:left="0" w:firstLine="0"/>
        <w:jc w:val="both"/>
        <w:rPr>
          <w:rFonts w:ascii="Palatino Linotype" w:eastAsia="Palatino Linotype" w:hAnsi="Palatino Linotype" w:cs="Palatino Linotype"/>
        </w:rPr>
      </w:pPr>
      <w:r w:rsidRPr="008C46E0">
        <w:rPr>
          <w:rFonts w:ascii="Palatino Linotype" w:eastAsia="Palatino Linotype" w:hAnsi="Palatino Linotype" w:cs="Palatino Linotype"/>
        </w:rPr>
        <w:t>Sobre el tema, el artículo 1.8, fracción XIII, del Código Administrativo del Estado de México, establece que para que tenga validez, todo acto administrativo deberá ser expedido por autoridad competente.</w:t>
      </w:r>
    </w:p>
    <w:p w14:paraId="636B0FB5" w14:textId="77777777" w:rsidR="00BC6992" w:rsidRPr="008C46E0" w:rsidRDefault="00BC6992" w:rsidP="00BC6992">
      <w:pPr>
        <w:pStyle w:val="Prrafodelista"/>
        <w:rPr>
          <w:rFonts w:ascii="Palatino Linotype" w:eastAsia="Palatino Linotype" w:hAnsi="Palatino Linotype" w:cs="Palatino Linotype"/>
        </w:rPr>
      </w:pPr>
    </w:p>
    <w:p w14:paraId="133A239C" w14:textId="1610E49C" w:rsidR="002F23AD" w:rsidRPr="009B75AC" w:rsidRDefault="00A76248" w:rsidP="005B1870">
      <w:pPr>
        <w:pStyle w:val="Prrafodelista"/>
        <w:numPr>
          <w:ilvl w:val="0"/>
          <w:numId w:val="2"/>
        </w:numPr>
        <w:spacing w:line="360" w:lineRule="auto"/>
        <w:ind w:left="0" w:firstLine="0"/>
        <w:jc w:val="both"/>
        <w:rPr>
          <w:rFonts w:ascii="Palatino Linotype" w:eastAsia="Calibri" w:hAnsi="Palatino Linotype" w:cs="Tahoma"/>
          <w:lang w:eastAsia="es-ES"/>
        </w:rPr>
      </w:pPr>
      <w:r w:rsidRPr="009B75AC">
        <w:rPr>
          <w:rFonts w:ascii="Palatino Linotype" w:hAnsi="Palatino Linotype" w:cs="Tahoma"/>
          <w:lang w:eastAsia="es-ES"/>
        </w:rPr>
        <w:t>Por lo anterior c</w:t>
      </w:r>
      <w:r w:rsidR="002F23AD" w:rsidRPr="009B75AC">
        <w:rPr>
          <w:rFonts w:ascii="Palatino Linotype" w:hAnsi="Palatino Linotype" w:cs="Tahoma"/>
          <w:lang w:eastAsia="es-ES"/>
        </w:rPr>
        <w:t>on fundamento en el artículo 186, fracciones II y III, de la Ley de Transparencia y Acceso a la Información Pública del Estado de México y Municipios, este Instituto considera p</w:t>
      </w:r>
      <w:r w:rsidR="009B75AC" w:rsidRPr="009B75AC">
        <w:rPr>
          <w:rFonts w:ascii="Palatino Linotype" w:hAnsi="Palatino Linotype" w:cs="Tahoma"/>
          <w:lang w:eastAsia="es-ES"/>
        </w:rPr>
        <w:t xml:space="preserve">rocedente </w:t>
      </w:r>
      <w:r w:rsidR="009B75AC">
        <w:rPr>
          <w:rFonts w:ascii="Palatino Linotype" w:hAnsi="Palatino Linotype" w:cs="Tahoma"/>
          <w:lang w:eastAsia="es-ES"/>
        </w:rPr>
        <w:t>C</w:t>
      </w:r>
      <w:r w:rsidR="002F23AD" w:rsidRPr="009B75AC">
        <w:rPr>
          <w:rFonts w:ascii="Palatino Linotype" w:eastAsia="Calibri" w:hAnsi="Palatino Linotype" w:cs="Tahoma"/>
          <w:bCs/>
          <w:lang w:eastAsia="es-ES"/>
        </w:rPr>
        <w:t>ONFIRMAR</w:t>
      </w:r>
      <w:r w:rsidR="002F23AD" w:rsidRPr="009B75AC">
        <w:rPr>
          <w:rFonts w:ascii="Palatino Linotype" w:eastAsia="Calibri" w:hAnsi="Palatino Linotype" w:cs="Tahoma"/>
          <w:b/>
          <w:bCs/>
          <w:lang w:eastAsia="es-ES"/>
        </w:rPr>
        <w:t xml:space="preserve"> </w:t>
      </w:r>
      <w:r w:rsidR="002F23AD" w:rsidRPr="009B75AC">
        <w:rPr>
          <w:rFonts w:ascii="Palatino Linotype" w:eastAsia="Calibri" w:hAnsi="Palatino Linotype" w:cs="Tahoma"/>
          <w:lang w:eastAsia="es-ES"/>
        </w:rPr>
        <w:t>la respuesta otorgada por el Sujeto Obligado, a la solicitud de acceso a la información 00</w:t>
      </w:r>
      <w:r w:rsidR="00C52CF9" w:rsidRPr="009B75AC">
        <w:rPr>
          <w:rFonts w:ascii="Palatino Linotype" w:eastAsia="Calibri" w:hAnsi="Palatino Linotype" w:cs="Tahoma"/>
          <w:lang w:eastAsia="es-ES"/>
        </w:rPr>
        <w:t>3</w:t>
      </w:r>
      <w:r w:rsidR="002F23AD" w:rsidRPr="009B75AC">
        <w:rPr>
          <w:rFonts w:ascii="Palatino Linotype" w:eastAsia="Calibri" w:hAnsi="Palatino Linotype" w:cs="Tahoma"/>
          <w:lang w:eastAsia="es-ES"/>
        </w:rPr>
        <w:t>24/</w:t>
      </w:r>
      <w:r w:rsidR="00C52CF9" w:rsidRPr="009B75AC">
        <w:rPr>
          <w:rFonts w:ascii="Palatino Linotype" w:eastAsia="Calibri" w:hAnsi="Palatino Linotype" w:cs="Tahoma"/>
          <w:lang w:eastAsia="es-ES"/>
        </w:rPr>
        <w:t>SSEM/IP</w:t>
      </w:r>
      <w:r w:rsidR="002F23AD" w:rsidRPr="009B75AC">
        <w:rPr>
          <w:rFonts w:ascii="Palatino Linotype" w:eastAsia="Calibri" w:hAnsi="Palatino Linotype" w:cs="Tahoma"/>
          <w:lang w:eastAsia="es-ES"/>
        </w:rPr>
        <w:t>/2024</w:t>
      </w:r>
      <w:r w:rsidR="00C52CF9" w:rsidRPr="009B75AC">
        <w:rPr>
          <w:rFonts w:ascii="Palatino Linotype" w:eastAsia="Calibri" w:hAnsi="Palatino Linotype" w:cs="Tahoma"/>
          <w:lang w:eastAsia="es-ES"/>
        </w:rPr>
        <w:t xml:space="preserve"> </w:t>
      </w:r>
      <w:r w:rsidR="002F23AD" w:rsidRPr="009B75AC">
        <w:rPr>
          <w:rFonts w:ascii="Palatino Linotype" w:eastAsia="Calibri" w:hAnsi="Palatino Linotype" w:cs="Tahoma"/>
          <w:lang w:eastAsia="es-ES"/>
        </w:rPr>
        <w:t>referente al Recurso de Revisión con número 0</w:t>
      </w:r>
      <w:r w:rsidR="00E15EE9" w:rsidRPr="009B75AC">
        <w:rPr>
          <w:rFonts w:ascii="Palatino Linotype" w:eastAsia="Calibri" w:hAnsi="Palatino Linotype" w:cs="Tahoma"/>
          <w:lang w:eastAsia="es-ES"/>
        </w:rPr>
        <w:t>4680</w:t>
      </w:r>
      <w:r w:rsidR="002F23AD" w:rsidRPr="009B75AC">
        <w:rPr>
          <w:rFonts w:ascii="Palatino Linotype" w:eastAsia="Calibri" w:hAnsi="Palatino Linotype" w:cs="Tahoma"/>
          <w:lang w:eastAsia="es-ES"/>
        </w:rPr>
        <w:t>/INFOEM/IP/RR/2024</w:t>
      </w:r>
      <w:r w:rsidRPr="009B75AC">
        <w:rPr>
          <w:rFonts w:ascii="Palatino Linotype" w:eastAsia="Calibri" w:hAnsi="Palatino Linotype" w:cs="Tahoma"/>
          <w:lang w:eastAsia="es-ES"/>
        </w:rPr>
        <w:t>.</w:t>
      </w:r>
    </w:p>
    <w:p w14:paraId="099990C9" w14:textId="63543214" w:rsidR="00A76248" w:rsidRPr="00A76248" w:rsidRDefault="00A76248" w:rsidP="00E15EE9">
      <w:pPr>
        <w:spacing w:line="360" w:lineRule="auto"/>
        <w:contextualSpacing/>
        <w:jc w:val="both"/>
        <w:rPr>
          <w:rFonts w:ascii="Palatino Linotype" w:eastAsia="Calibri" w:hAnsi="Palatino Linotype" w:cs="Tahoma"/>
          <w:lang w:eastAsia="es-ES"/>
        </w:rPr>
      </w:pPr>
    </w:p>
    <w:p w14:paraId="41526ED9" w14:textId="77777777" w:rsidR="00A76248" w:rsidRPr="00A76248" w:rsidRDefault="00A76248" w:rsidP="00A76248">
      <w:pPr>
        <w:autoSpaceDE w:val="0"/>
        <w:autoSpaceDN w:val="0"/>
        <w:adjustRightInd w:val="0"/>
        <w:spacing w:line="360" w:lineRule="auto"/>
        <w:contextualSpacing/>
        <w:rPr>
          <w:rFonts w:ascii="Palatino Linotype" w:eastAsia="Calibri" w:hAnsi="Palatino Linotype" w:cs="Tahoma"/>
          <w:bCs/>
          <w:iCs/>
          <w:color w:val="000000"/>
        </w:rPr>
      </w:pPr>
      <w:r w:rsidRPr="00A76248">
        <w:rPr>
          <w:rFonts w:ascii="Palatino Linotype" w:eastAsia="Calibri" w:hAnsi="Palatino Linotype" w:cs="Tahoma"/>
          <w:bCs/>
          <w:iCs/>
          <w:color w:val="000000"/>
        </w:rPr>
        <w:lastRenderedPageBreak/>
        <w:t>Por lo expuesto y fundado, este Pleno:</w:t>
      </w:r>
    </w:p>
    <w:p w14:paraId="301218E9" w14:textId="77777777" w:rsidR="00A76248" w:rsidRDefault="00A76248" w:rsidP="00E15EE9">
      <w:pPr>
        <w:spacing w:line="360" w:lineRule="auto"/>
        <w:contextualSpacing/>
        <w:jc w:val="both"/>
        <w:rPr>
          <w:rFonts w:ascii="Palatino Linotype" w:eastAsia="Calibri" w:hAnsi="Palatino Linotype" w:cs="Tahoma"/>
          <w:lang w:eastAsia="es-ES"/>
        </w:rPr>
      </w:pPr>
    </w:p>
    <w:p w14:paraId="0A8AC9CE" w14:textId="77777777" w:rsidR="000541DB" w:rsidRPr="00012A36" w:rsidRDefault="000541DB" w:rsidP="00012A36">
      <w:pPr>
        <w:spacing w:line="360" w:lineRule="auto"/>
        <w:ind w:right="-28"/>
        <w:jc w:val="center"/>
        <w:rPr>
          <w:rFonts w:ascii="Palatino Linotype" w:eastAsia="Calibri" w:hAnsi="Palatino Linotype" w:cs="Tahoma"/>
          <w:b/>
          <w:bCs/>
        </w:rPr>
      </w:pPr>
      <w:r w:rsidRPr="00012A36">
        <w:rPr>
          <w:rFonts w:ascii="Palatino Linotype" w:eastAsia="Calibri" w:hAnsi="Palatino Linotype" w:cs="Tahoma"/>
          <w:b/>
          <w:bCs/>
        </w:rPr>
        <w:t>R E S U E L V E:</w:t>
      </w:r>
    </w:p>
    <w:p w14:paraId="096C949E" w14:textId="77777777" w:rsidR="000541DB" w:rsidRDefault="000541DB" w:rsidP="00012A36">
      <w:pPr>
        <w:spacing w:line="360" w:lineRule="auto"/>
        <w:rPr>
          <w:rFonts w:ascii="Palatino Linotype" w:hAnsi="Palatino Linotype"/>
          <w:lang w:val="es-ES" w:eastAsia="es-ES_tradnl"/>
        </w:rPr>
      </w:pPr>
    </w:p>
    <w:p w14:paraId="58F330C8" w14:textId="33E9E4F5" w:rsidR="008734D9" w:rsidRDefault="008734D9" w:rsidP="008734D9">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PRIMERO.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b/>
          <w:color w:val="000000"/>
        </w:rPr>
        <w:t>SOBRESEE</w:t>
      </w:r>
      <w:r>
        <w:rPr>
          <w:rFonts w:ascii="Palatino Linotype" w:eastAsia="Palatino Linotype" w:hAnsi="Palatino Linotype" w:cs="Palatino Linotype"/>
          <w:color w:val="000000"/>
        </w:rPr>
        <w:t xml:space="preserve"> el Recurso de Revisión número </w:t>
      </w:r>
      <w:r w:rsidRPr="00012A36">
        <w:rPr>
          <w:rFonts w:ascii="Palatino Linotype" w:eastAsia="Palatino Linotype" w:hAnsi="Palatino Linotype" w:cs="Palatino Linotype"/>
          <w:b/>
          <w:color w:val="000000" w:themeColor="text1"/>
        </w:rPr>
        <w:t>04678/INFOEM/IP/RR/2024</w:t>
      </w:r>
      <w:r>
        <w:rPr>
          <w:rFonts w:ascii="Palatino Linotype" w:eastAsia="Palatino Linotype" w:hAnsi="Palatino Linotype" w:cs="Palatino Linotype"/>
          <w:color w:val="000000"/>
        </w:rPr>
        <w:t>, conforme al artículo 192</w:t>
      </w:r>
      <w:r w:rsidR="005A7570">
        <w:rPr>
          <w:rFonts w:ascii="Palatino Linotype" w:eastAsia="Palatino Linotype" w:hAnsi="Palatino Linotype" w:cs="Palatino Linotype"/>
          <w:color w:val="000000"/>
        </w:rPr>
        <w:t>,</w:t>
      </w:r>
      <w:r>
        <w:rPr>
          <w:rFonts w:ascii="Palatino Linotype" w:eastAsia="Palatino Linotype" w:hAnsi="Palatino Linotype" w:cs="Palatino Linotype"/>
          <w:color w:val="000000"/>
        </w:rPr>
        <w:t xml:space="preserve"> fracción III</w:t>
      </w:r>
      <w:r w:rsidR="005A7570">
        <w:rPr>
          <w:rFonts w:ascii="Palatino Linotype" w:eastAsia="Palatino Linotype" w:hAnsi="Palatino Linotype" w:cs="Palatino Linotype"/>
          <w:color w:val="000000"/>
        </w:rPr>
        <w:t>,</w:t>
      </w:r>
      <w:r>
        <w:rPr>
          <w:rFonts w:ascii="Palatino Linotype" w:eastAsia="Palatino Linotype" w:hAnsi="Palatino Linotype" w:cs="Palatino Linotype"/>
          <w:color w:val="000000"/>
        </w:rPr>
        <w:t xml:space="preserve"> de la Ley de la Materia, porque al modificar la respuesta, el Recurso de Revisión quedó sin materia en términos del  Considerando Cuarto de la presente Resolución.</w:t>
      </w:r>
    </w:p>
    <w:p w14:paraId="7DDABD2F" w14:textId="0D0B7097" w:rsidR="00012A36" w:rsidRDefault="00012A36" w:rsidP="0061137A">
      <w:pPr>
        <w:spacing w:line="360" w:lineRule="auto"/>
        <w:contextualSpacing/>
        <w:jc w:val="both"/>
        <w:rPr>
          <w:rFonts w:ascii="Palatino Linotype" w:eastAsia="Palatino Linotype" w:hAnsi="Palatino Linotype" w:cs="Palatino Linotype"/>
          <w:b/>
          <w:color w:val="000000" w:themeColor="text1"/>
        </w:rPr>
      </w:pPr>
    </w:p>
    <w:p w14:paraId="1A02A20B" w14:textId="6BD977A1" w:rsidR="008734D9" w:rsidRPr="003529FC" w:rsidRDefault="008734D9" w:rsidP="008734D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SEGUND</w:t>
      </w:r>
      <w:r w:rsidRPr="003529FC">
        <w:rPr>
          <w:rFonts w:ascii="Palatino Linotype" w:eastAsia="Palatino Linotype" w:hAnsi="Palatino Linotype" w:cs="Palatino Linotype"/>
          <w:b/>
        </w:rPr>
        <w:t>O</w:t>
      </w:r>
      <w:r w:rsidRPr="003529FC">
        <w:rPr>
          <w:rFonts w:ascii="Palatino Linotype" w:eastAsia="Palatino Linotype" w:hAnsi="Palatino Linotype" w:cs="Palatino Linotype"/>
        </w:rPr>
        <w:t>. Resultan infundadas las</w:t>
      </w:r>
      <w:r w:rsidRPr="003529FC">
        <w:rPr>
          <w:rFonts w:ascii="Palatino Linotype" w:eastAsia="Palatino Linotype" w:hAnsi="Palatino Linotype" w:cs="Palatino Linotype"/>
          <w:b/>
        </w:rPr>
        <w:t xml:space="preserve"> </w:t>
      </w:r>
      <w:r w:rsidRPr="003529FC">
        <w:rPr>
          <w:rFonts w:ascii="Palatino Linotype" w:eastAsia="Palatino Linotype" w:hAnsi="Palatino Linotype" w:cs="Palatino Linotype"/>
        </w:rPr>
        <w:t>razones o motivos de in</w:t>
      </w:r>
      <w:r>
        <w:rPr>
          <w:rFonts w:ascii="Palatino Linotype" w:eastAsia="Palatino Linotype" w:hAnsi="Palatino Linotype" w:cs="Palatino Linotype"/>
        </w:rPr>
        <w:t>conformidad hechos valer en el R</w:t>
      </w:r>
      <w:r w:rsidRPr="003529FC">
        <w:rPr>
          <w:rFonts w:ascii="Palatino Linotype" w:eastAsia="Palatino Linotype" w:hAnsi="Palatino Linotype" w:cs="Palatino Linotype"/>
        </w:rPr>
        <w:t xml:space="preserve">ecurso de </w:t>
      </w:r>
      <w:r>
        <w:rPr>
          <w:rFonts w:ascii="Palatino Linotype" w:eastAsia="Palatino Linotype" w:hAnsi="Palatino Linotype" w:cs="Palatino Linotype"/>
        </w:rPr>
        <w:t>R</w:t>
      </w:r>
      <w:r w:rsidRPr="003529FC">
        <w:rPr>
          <w:rFonts w:ascii="Palatino Linotype" w:eastAsia="Palatino Linotype" w:hAnsi="Palatino Linotype" w:cs="Palatino Linotype"/>
        </w:rPr>
        <w:t>evisión</w:t>
      </w:r>
      <w:r w:rsidRPr="003529FC">
        <w:rPr>
          <w:rFonts w:ascii="Palatino Linotype" w:eastAsia="Palatino Linotype" w:hAnsi="Palatino Linotype" w:cs="Palatino Linotype"/>
          <w:b/>
        </w:rPr>
        <w:t> </w:t>
      </w:r>
      <w:r w:rsidRPr="008734D9">
        <w:rPr>
          <w:rFonts w:ascii="Palatino Linotype" w:eastAsia="Calibri" w:hAnsi="Palatino Linotype" w:cs="Tahoma"/>
          <w:b/>
          <w:lang w:eastAsia="es-ES"/>
        </w:rPr>
        <w:t>04680/INFOEM/IP/RR/2024</w:t>
      </w:r>
      <w:r w:rsidRPr="003529FC">
        <w:rPr>
          <w:rFonts w:ascii="Palatino Linotype" w:eastAsia="Palatino Linotype" w:hAnsi="Palatino Linotype" w:cs="Palatino Linotype"/>
          <w:b/>
        </w:rPr>
        <w:t xml:space="preserve">, </w:t>
      </w:r>
      <w:r w:rsidRPr="003529FC">
        <w:rPr>
          <w:rFonts w:ascii="Palatino Linotype" w:eastAsia="Palatino Linotype" w:hAnsi="Palatino Linotype" w:cs="Palatino Linotype"/>
        </w:rPr>
        <w:t xml:space="preserve">en términos del </w:t>
      </w:r>
      <w:r w:rsidRPr="003529FC">
        <w:rPr>
          <w:rFonts w:ascii="Palatino Linotype" w:eastAsia="Palatino Linotype" w:hAnsi="Palatino Linotype" w:cs="Palatino Linotype"/>
          <w:b/>
        </w:rPr>
        <w:t>Considerando</w:t>
      </w:r>
      <w:r w:rsidRPr="003529FC">
        <w:rPr>
          <w:rFonts w:ascii="Palatino Linotype" w:eastAsia="Palatino Linotype" w:hAnsi="Palatino Linotype" w:cs="Palatino Linotype"/>
        </w:rPr>
        <w:t xml:space="preserve"> </w:t>
      </w:r>
      <w:r w:rsidRPr="003529FC">
        <w:rPr>
          <w:rFonts w:ascii="Palatino Linotype" w:eastAsia="Palatino Linotype" w:hAnsi="Palatino Linotype" w:cs="Palatino Linotype"/>
          <w:b/>
        </w:rPr>
        <w:t>CUARTO</w:t>
      </w:r>
      <w:r w:rsidRPr="003529FC">
        <w:rPr>
          <w:rFonts w:ascii="Palatino Linotype" w:eastAsia="Palatino Linotype" w:hAnsi="Palatino Linotype" w:cs="Palatino Linotype"/>
        </w:rPr>
        <w:t xml:space="preserve"> de la presente Resolución.</w:t>
      </w:r>
    </w:p>
    <w:p w14:paraId="52BF8FF6" w14:textId="77777777" w:rsidR="008734D9" w:rsidRDefault="008734D9" w:rsidP="0061137A">
      <w:pPr>
        <w:spacing w:line="360" w:lineRule="auto"/>
        <w:contextualSpacing/>
        <w:jc w:val="both"/>
        <w:rPr>
          <w:rFonts w:ascii="Palatino Linotype" w:eastAsia="Palatino Linotype" w:hAnsi="Palatino Linotype" w:cs="Palatino Linotype"/>
          <w:b/>
          <w:color w:val="000000" w:themeColor="text1"/>
        </w:rPr>
      </w:pPr>
    </w:p>
    <w:p w14:paraId="6D0BD960" w14:textId="7AC71D06" w:rsidR="008734D9" w:rsidRPr="003529FC" w:rsidRDefault="008734D9" w:rsidP="008734D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TERCER</w:t>
      </w:r>
      <w:r w:rsidRPr="003529FC">
        <w:rPr>
          <w:rFonts w:ascii="Palatino Linotype" w:eastAsia="Palatino Linotype" w:hAnsi="Palatino Linotype" w:cs="Palatino Linotype"/>
          <w:b/>
        </w:rPr>
        <w:t>O.</w:t>
      </w:r>
      <w:r w:rsidRPr="003529FC">
        <w:rPr>
          <w:rFonts w:ascii="Palatino Linotype" w:eastAsia="Calibri" w:hAnsi="Palatino Linotype"/>
          <w:color w:val="2F5496"/>
        </w:rPr>
        <w:t xml:space="preserve"> </w:t>
      </w:r>
      <w:r w:rsidRPr="003529FC">
        <w:rPr>
          <w:rFonts w:ascii="Palatino Linotype" w:eastAsia="Palatino Linotype" w:hAnsi="Palatino Linotype" w:cs="Palatino Linotype"/>
        </w:rPr>
        <w:t>Se</w:t>
      </w:r>
      <w:r w:rsidRPr="003529FC">
        <w:rPr>
          <w:rFonts w:ascii="Palatino Linotype" w:eastAsia="Palatino Linotype" w:hAnsi="Palatino Linotype" w:cs="Palatino Linotype"/>
          <w:b/>
        </w:rPr>
        <w:t xml:space="preserve"> CONFIRMA </w:t>
      </w:r>
      <w:r>
        <w:rPr>
          <w:rFonts w:ascii="Palatino Linotype" w:eastAsia="Palatino Linotype" w:hAnsi="Palatino Linotype" w:cs="Palatino Linotype"/>
        </w:rPr>
        <w:t xml:space="preserve">la respuesta emitida por </w:t>
      </w:r>
      <w:r w:rsidRPr="003529FC">
        <w:rPr>
          <w:rFonts w:ascii="Palatino Linotype" w:eastAsia="Palatino Linotype" w:hAnsi="Palatino Linotype" w:cs="Palatino Linotype"/>
        </w:rPr>
        <w:t>l</w:t>
      </w:r>
      <w:r>
        <w:rPr>
          <w:rFonts w:ascii="Palatino Linotype" w:eastAsia="Palatino Linotype" w:hAnsi="Palatino Linotype" w:cs="Palatino Linotype"/>
        </w:rPr>
        <w:t>a</w:t>
      </w:r>
      <w:r w:rsidRPr="003529FC">
        <w:rPr>
          <w:rFonts w:ascii="Palatino Linotype" w:eastAsia="Palatino Linotype" w:hAnsi="Palatino Linotype" w:cs="Palatino Linotype"/>
        </w:rPr>
        <w:t xml:space="preserve"> </w:t>
      </w:r>
      <w:r>
        <w:rPr>
          <w:rFonts w:ascii="Palatino Linotype" w:eastAsia="Palatino Linotype" w:hAnsi="Palatino Linotype" w:cs="Palatino Linotype"/>
          <w:b/>
        </w:rPr>
        <w:t>Secretaría de Seguridad</w:t>
      </w:r>
      <w:r w:rsidRPr="003529FC">
        <w:rPr>
          <w:rFonts w:ascii="Palatino Linotype" w:eastAsia="Palatino Linotype" w:hAnsi="Palatino Linotype" w:cs="Palatino Linotype"/>
          <w:b/>
        </w:rPr>
        <w:t xml:space="preserve"> </w:t>
      </w:r>
      <w:r w:rsidRPr="003529FC">
        <w:rPr>
          <w:rFonts w:ascii="Palatino Linotype" w:eastAsia="Palatino Linotype" w:hAnsi="Palatino Linotype" w:cs="Palatino Linotype"/>
        </w:rPr>
        <w:t xml:space="preserve">a la </w:t>
      </w:r>
      <w:r>
        <w:rPr>
          <w:rFonts w:ascii="Palatino Linotype" w:eastAsia="Palatino Linotype" w:hAnsi="Palatino Linotype" w:cs="Palatino Linotype"/>
        </w:rPr>
        <w:t>S</w:t>
      </w:r>
      <w:r w:rsidRPr="003529FC">
        <w:rPr>
          <w:rFonts w:ascii="Palatino Linotype" w:eastAsia="Palatino Linotype" w:hAnsi="Palatino Linotype" w:cs="Palatino Linotype"/>
        </w:rPr>
        <w:t xml:space="preserve">olicitud de </w:t>
      </w:r>
      <w:r>
        <w:rPr>
          <w:rFonts w:ascii="Palatino Linotype" w:eastAsia="Palatino Linotype" w:hAnsi="Palatino Linotype" w:cs="Palatino Linotype"/>
        </w:rPr>
        <w:t>I</w:t>
      </w:r>
      <w:r w:rsidRPr="003529FC">
        <w:rPr>
          <w:rFonts w:ascii="Palatino Linotype" w:eastAsia="Palatino Linotype" w:hAnsi="Palatino Linotype" w:cs="Palatino Linotype"/>
        </w:rPr>
        <w:t xml:space="preserve">nformación </w:t>
      </w:r>
      <w:r w:rsidRPr="00135699">
        <w:rPr>
          <w:rFonts w:ascii="Palatino Linotype" w:eastAsia="Calibri" w:hAnsi="Palatino Linotype" w:cs="Tahoma"/>
          <w:b/>
          <w:bCs/>
          <w:lang w:eastAsia="es-ES"/>
        </w:rPr>
        <w:t>00324/SSEM/IP/2024</w:t>
      </w:r>
      <w:r w:rsidRPr="003529FC">
        <w:rPr>
          <w:rFonts w:ascii="Palatino Linotype" w:eastAsia="Palatino Linotype" w:hAnsi="Palatino Linotype" w:cs="Palatino Linotype"/>
          <w:b/>
        </w:rPr>
        <w:t>.</w:t>
      </w:r>
      <w:r w:rsidRPr="003529FC">
        <w:rPr>
          <w:rFonts w:ascii="Palatino Linotype" w:eastAsia="Palatino Linotype" w:hAnsi="Palatino Linotype" w:cs="Palatino Linotype"/>
        </w:rPr>
        <w:t xml:space="preserve"> </w:t>
      </w:r>
    </w:p>
    <w:p w14:paraId="3870661A" w14:textId="77777777" w:rsidR="008734D9" w:rsidRPr="00C156E2" w:rsidRDefault="008734D9" w:rsidP="00012A36">
      <w:pPr>
        <w:spacing w:line="360" w:lineRule="auto"/>
        <w:contextualSpacing/>
        <w:jc w:val="both"/>
        <w:rPr>
          <w:rFonts w:ascii="Palatino Linotype" w:eastAsia="Calibri" w:hAnsi="Palatino Linotype" w:cs="Tahoma"/>
          <w:lang w:eastAsia="es-ES"/>
        </w:rPr>
      </w:pPr>
    </w:p>
    <w:p w14:paraId="6950021E" w14:textId="2A129C59" w:rsidR="00063D8F" w:rsidRPr="00063D8F" w:rsidRDefault="008734D9" w:rsidP="00063D8F">
      <w:pPr>
        <w:spacing w:line="360" w:lineRule="auto"/>
        <w:ind w:right="-93"/>
        <w:jc w:val="both"/>
        <w:rPr>
          <w:rFonts w:ascii="Palatino Linotype" w:hAnsi="Palatino Linotype"/>
        </w:rPr>
      </w:pPr>
      <w:r>
        <w:rPr>
          <w:rFonts w:ascii="Palatino Linotype" w:hAnsi="Palatino Linotype"/>
          <w:b/>
        </w:rPr>
        <w:t>CUART</w:t>
      </w:r>
      <w:r w:rsidR="00063D8F" w:rsidRPr="00063D8F">
        <w:rPr>
          <w:rFonts w:ascii="Palatino Linotype" w:hAnsi="Palatino Linotype"/>
          <w:b/>
        </w:rPr>
        <w:t>O.</w:t>
      </w:r>
      <w:r w:rsidR="00063D8F" w:rsidRPr="00063D8F">
        <w:rPr>
          <w:rFonts w:ascii="Palatino Linotype" w:hAnsi="Palatino Linotype"/>
        </w:rPr>
        <w:t xml:space="preserve"> Notifíquese la presente </w:t>
      </w:r>
      <w:r>
        <w:rPr>
          <w:rFonts w:ascii="Palatino Linotype" w:hAnsi="Palatino Linotype"/>
        </w:rPr>
        <w:t>R</w:t>
      </w:r>
      <w:r w:rsidR="00063D8F" w:rsidRPr="00063D8F">
        <w:rPr>
          <w:rFonts w:ascii="Palatino Linotype" w:hAnsi="Palatino Linotype"/>
        </w:rPr>
        <w:t xml:space="preserve">esolución mediante Sistema de Acceso a la Información Mexiquense </w:t>
      </w:r>
      <w:r>
        <w:rPr>
          <w:rFonts w:ascii="Palatino Linotype" w:hAnsi="Palatino Linotype"/>
        </w:rPr>
        <w:t xml:space="preserve">(SAIMEX) </w:t>
      </w:r>
      <w:r w:rsidR="00063D8F" w:rsidRPr="00063D8F">
        <w:rPr>
          <w:rFonts w:ascii="Palatino Linotype" w:hAnsi="Palatino Linotype"/>
        </w:rPr>
        <w:t xml:space="preserve">al Titular de la Unidad de Transparencia del </w:t>
      </w:r>
      <w:r w:rsidR="00063D8F" w:rsidRPr="00063D8F">
        <w:rPr>
          <w:rFonts w:ascii="Palatino Linotype" w:hAnsi="Palatino Linotype"/>
          <w:b/>
        </w:rPr>
        <w:t>SUJETO OBLIGADO</w:t>
      </w:r>
      <w:r w:rsidR="00063D8F" w:rsidRPr="00063D8F">
        <w:rPr>
          <w:rFonts w:ascii="Palatino Linotype" w:hAnsi="Palatino Linotype"/>
        </w:rPr>
        <w:t>, para su conocimiento.</w:t>
      </w:r>
    </w:p>
    <w:p w14:paraId="3D6E1B81" w14:textId="77777777" w:rsidR="00063D8F" w:rsidRPr="00063D8F" w:rsidRDefault="00063D8F" w:rsidP="00063D8F">
      <w:pPr>
        <w:spacing w:line="360" w:lineRule="auto"/>
        <w:jc w:val="both"/>
        <w:rPr>
          <w:rFonts w:ascii="Palatino Linotype" w:hAnsi="Palatino Linotype"/>
          <w:b/>
        </w:rPr>
      </w:pPr>
    </w:p>
    <w:p w14:paraId="4421FF33" w14:textId="0A9F6F5B" w:rsidR="00063D8F" w:rsidRPr="00063D8F" w:rsidRDefault="008734D9" w:rsidP="00063D8F">
      <w:pPr>
        <w:spacing w:line="360" w:lineRule="auto"/>
        <w:jc w:val="both"/>
        <w:rPr>
          <w:rFonts w:ascii="Palatino Linotype" w:hAnsi="Palatino Linotype"/>
          <w:b/>
          <w:bCs/>
        </w:rPr>
      </w:pPr>
      <w:r>
        <w:rPr>
          <w:rFonts w:ascii="Palatino Linotype" w:hAnsi="Palatino Linotype"/>
          <w:b/>
        </w:rPr>
        <w:lastRenderedPageBreak/>
        <w:t>QUINTO</w:t>
      </w:r>
      <w:r w:rsidR="00063D8F" w:rsidRPr="00063D8F">
        <w:rPr>
          <w:rFonts w:ascii="Palatino Linotype" w:hAnsi="Palatino Linotype"/>
          <w:b/>
        </w:rPr>
        <w:t>.</w:t>
      </w:r>
      <w:r w:rsidR="00063D8F" w:rsidRPr="00063D8F">
        <w:rPr>
          <w:rFonts w:ascii="Palatino Linotype" w:hAnsi="Palatino Linotype"/>
        </w:rPr>
        <w:t xml:space="preserve"> Notifíquese a </w:t>
      </w:r>
      <w:r w:rsidR="00063D8F" w:rsidRPr="00063D8F">
        <w:rPr>
          <w:rFonts w:ascii="Palatino Linotype" w:hAnsi="Palatino Linotype"/>
          <w:b/>
        </w:rPr>
        <w:t>LA PARTE RECURRENTE</w:t>
      </w:r>
      <w:r>
        <w:rPr>
          <w:rFonts w:ascii="Palatino Linotype" w:hAnsi="Palatino Linotype"/>
        </w:rPr>
        <w:t xml:space="preserve"> la presente R</w:t>
      </w:r>
      <w:r w:rsidR="00063D8F" w:rsidRPr="00063D8F">
        <w:rPr>
          <w:rFonts w:ascii="Palatino Linotype" w:hAnsi="Palatino Linotype"/>
        </w:rPr>
        <w:t>esolución vía Sistema de Acceso a la Información Mexiquense (SAIMEX)</w:t>
      </w:r>
      <w:r w:rsidR="00063D8F" w:rsidRPr="00063D8F">
        <w:rPr>
          <w:rFonts w:ascii="Palatino Linotype" w:hAnsi="Palatino Linotype"/>
          <w:b/>
          <w:bCs/>
        </w:rPr>
        <w:t>.</w:t>
      </w:r>
    </w:p>
    <w:p w14:paraId="67483179" w14:textId="77777777" w:rsidR="00063D8F" w:rsidRPr="00063D8F" w:rsidRDefault="00063D8F" w:rsidP="00063D8F">
      <w:pPr>
        <w:spacing w:line="360" w:lineRule="auto"/>
        <w:jc w:val="both"/>
        <w:rPr>
          <w:rFonts w:ascii="Palatino Linotype" w:hAnsi="Palatino Linotype"/>
        </w:rPr>
      </w:pPr>
    </w:p>
    <w:p w14:paraId="579EE904" w14:textId="67A6793E" w:rsidR="00063D8F" w:rsidRPr="00817D13" w:rsidRDefault="008734D9" w:rsidP="00063D8F">
      <w:pPr>
        <w:spacing w:line="360" w:lineRule="auto"/>
        <w:jc w:val="both"/>
        <w:rPr>
          <w:rFonts w:ascii="Palatino Linotype" w:hAnsi="Palatino Linotype"/>
        </w:rPr>
      </w:pPr>
      <w:r>
        <w:rPr>
          <w:rFonts w:ascii="Palatino Linotype" w:hAnsi="Palatino Linotype"/>
          <w:b/>
        </w:rPr>
        <w:t>SEX</w:t>
      </w:r>
      <w:r w:rsidR="00C156E2" w:rsidRPr="00817D13">
        <w:rPr>
          <w:rFonts w:ascii="Palatino Linotype" w:hAnsi="Palatino Linotype"/>
          <w:b/>
        </w:rPr>
        <w:t>T</w:t>
      </w:r>
      <w:r w:rsidR="00063D8F" w:rsidRPr="00817D13">
        <w:rPr>
          <w:rFonts w:ascii="Palatino Linotype" w:hAnsi="Palatino Linotype"/>
          <w:b/>
        </w:rPr>
        <w:t>O</w:t>
      </w:r>
      <w:r w:rsidR="00063D8F" w:rsidRPr="00817D13">
        <w:rPr>
          <w:rFonts w:ascii="Palatino Linotype" w:hAnsi="Palatino Linotype"/>
        </w:rPr>
        <w:t xml:space="preserve">. Hágase del conocimiento a </w:t>
      </w:r>
      <w:r w:rsidR="00063D8F" w:rsidRPr="00817D13">
        <w:rPr>
          <w:rFonts w:ascii="Palatino Linotype" w:hAnsi="Palatino Linotype"/>
          <w:b/>
        </w:rPr>
        <w:t>LA PARTE RECURRENTE</w:t>
      </w:r>
      <w:r w:rsidR="00063D8F" w:rsidRPr="00817D13">
        <w:rPr>
          <w:rFonts w:ascii="Palatino Linotype" w:hAnsi="Palatino Linotype"/>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567889EC" w14:textId="77777777" w:rsidR="00063D8F" w:rsidRPr="00817D13" w:rsidRDefault="00063D8F" w:rsidP="000541DB">
      <w:pPr>
        <w:spacing w:line="360" w:lineRule="auto"/>
        <w:contextualSpacing/>
        <w:rPr>
          <w:rFonts w:ascii="Palatino Linotype" w:eastAsia="Calibri" w:hAnsi="Palatino Linotype" w:cs="Tahoma"/>
          <w:bCs/>
        </w:rPr>
      </w:pPr>
    </w:p>
    <w:p w14:paraId="0EDEEBC5" w14:textId="23838F51" w:rsidR="00AB51C9" w:rsidRDefault="005A7570" w:rsidP="005A7570">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 xml:space="preserve">CUADRAGÉSIMA </w:t>
      </w:r>
      <w:r w:rsidRPr="003C7186">
        <w:rPr>
          <w:rFonts w:ascii="Palatino Linotype" w:hAnsi="Palatino Linotype"/>
        </w:rPr>
        <w:t xml:space="preserve">SESIÓN ORDINARIA CELEBRADA EL </w:t>
      </w:r>
      <w:r>
        <w:rPr>
          <w:rFonts w:ascii="Palatino Linotype" w:hAnsi="Palatino Linotype"/>
        </w:rPr>
        <w:t>VEINTIUNO</w:t>
      </w:r>
      <w:r w:rsidRPr="003C7186">
        <w:rPr>
          <w:rFonts w:ascii="Palatino Linotype" w:hAnsi="Palatino Linotype"/>
        </w:rPr>
        <w:t xml:space="preserve"> </w:t>
      </w:r>
      <w:r>
        <w:rPr>
          <w:rFonts w:ascii="Palatino Linotype" w:hAnsi="Palatino Linotype"/>
        </w:rPr>
        <w:t>(21) DE NOVIEMBRE</w:t>
      </w:r>
      <w:r w:rsidRPr="003C7186">
        <w:rPr>
          <w:rFonts w:ascii="Palatino Linotype" w:hAnsi="Palatino Linotype"/>
        </w:rPr>
        <w:t xml:space="preserve"> DE DOS MIL VEINTICUATRO, ANTE EL SECRETARIO TÉCNICO DEL PLENO ALEXIS TAPIA RAMÍREZ. </w:t>
      </w:r>
    </w:p>
    <w:p w14:paraId="091DE0C2" w14:textId="77777777" w:rsidR="00AB51C9" w:rsidRDefault="00AB51C9">
      <w:pPr>
        <w:rPr>
          <w:rFonts w:ascii="Palatino Linotype" w:hAnsi="Palatino Linotype"/>
        </w:rPr>
      </w:pPr>
      <w:r>
        <w:rPr>
          <w:rFonts w:ascii="Palatino Linotype" w:hAnsi="Palatino Linotype"/>
        </w:rPr>
        <w:br w:type="page"/>
      </w:r>
    </w:p>
    <w:p w14:paraId="2C71C446" w14:textId="77777777" w:rsidR="005A7570" w:rsidRPr="003C7186" w:rsidRDefault="005A7570" w:rsidP="005A7570">
      <w:pPr>
        <w:spacing w:line="360" w:lineRule="auto"/>
        <w:ind w:left="-142" w:right="-234" w:firstLine="1"/>
        <w:jc w:val="both"/>
        <w:rPr>
          <w:rFonts w:ascii="Palatino Linotype" w:hAnsi="Palatino Linotype"/>
        </w:rPr>
      </w:pPr>
    </w:p>
    <w:p w14:paraId="5279FD86" w14:textId="2C405932" w:rsidR="001C48AC" w:rsidRPr="00FB2290" w:rsidRDefault="001C48AC" w:rsidP="00FB2290">
      <w:pPr>
        <w:spacing w:line="360" w:lineRule="auto"/>
        <w:rPr>
          <w:rFonts w:eastAsia="Calibri" w:cs="Tahoma"/>
          <w:b/>
          <w:bCs/>
        </w:rPr>
      </w:pPr>
    </w:p>
    <w:sectPr w:rsidR="001C48AC" w:rsidRPr="00FB2290" w:rsidSect="002F4E85">
      <w:headerReference w:type="even" r:id="rId15"/>
      <w:headerReference w:type="default" r:id="rId16"/>
      <w:footerReference w:type="default" r:id="rId17"/>
      <w:headerReference w:type="first" r:id="rId18"/>
      <w:footerReference w:type="first" r:id="rId19"/>
      <w:pgSz w:w="12240" w:h="15840"/>
      <w:pgMar w:top="80" w:right="1467"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28BCC" w14:textId="77777777" w:rsidR="002E06A0" w:rsidRDefault="002E06A0">
      <w:r>
        <w:separator/>
      </w:r>
    </w:p>
  </w:endnote>
  <w:endnote w:type="continuationSeparator" w:id="0">
    <w:p w14:paraId="27B79F60" w14:textId="77777777" w:rsidR="002E06A0" w:rsidRDefault="002E0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9FF7D" w14:textId="77777777" w:rsidR="00A15BC6" w:rsidRDefault="00A15BC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2D478F">
      <w:rPr>
        <w:b/>
        <w:noProof/>
        <w:color w:val="000000"/>
      </w:rPr>
      <w:t>61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2D478F">
      <w:rPr>
        <w:b/>
        <w:noProof/>
        <w:color w:val="000000"/>
      </w:rPr>
      <w:t>62</w:t>
    </w:r>
    <w:r>
      <w:rPr>
        <w:b/>
        <w:color w:val="000000"/>
      </w:rPr>
      <w:fldChar w:fldCharType="end"/>
    </w:r>
  </w:p>
  <w:p w14:paraId="080B3CC0" w14:textId="77777777" w:rsidR="00A15BC6" w:rsidRDefault="00A15BC6">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69E4" w14:textId="77777777" w:rsidR="00A15BC6" w:rsidRDefault="00A15BC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2D478F">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2D478F">
      <w:rPr>
        <w:b/>
        <w:noProof/>
        <w:color w:val="000000"/>
      </w:rPr>
      <w:t>62</w:t>
    </w:r>
    <w:r>
      <w:rPr>
        <w:b/>
        <w:color w:val="000000"/>
      </w:rPr>
      <w:fldChar w:fldCharType="end"/>
    </w:r>
  </w:p>
  <w:p w14:paraId="390D30B6" w14:textId="77777777" w:rsidR="00A15BC6" w:rsidRDefault="00A15BC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1BB60" w14:textId="77777777" w:rsidR="002E06A0" w:rsidRDefault="002E06A0">
      <w:r>
        <w:separator/>
      </w:r>
    </w:p>
  </w:footnote>
  <w:footnote w:type="continuationSeparator" w:id="0">
    <w:p w14:paraId="3D16A00E" w14:textId="77777777" w:rsidR="002E06A0" w:rsidRDefault="002E06A0">
      <w:r>
        <w:continuationSeparator/>
      </w:r>
    </w:p>
  </w:footnote>
  <w:footnote w:id="1">
    <w:p w14:paraId="437DB130" w14:textId="77777777" w:rsidR="00F93C6E" w:rsidRDefault="00F93C6E" w:rsidP="00F93C6E">
      <w:pPr>
        <w:rPr>
          <w:rFonts w:eastAsia="Palatino Linotype" w:cs="Palatino Linotype"/>
          <w:sz w:val="16"/>
          <w:szCs w:val="16"/>
        </w:rPr>
      </w:pPr>
      <w:r>
        <w:rPr>
          <w:vertAlign w:val="superscript"/>
        </w:rPr>
        <w:footnoteRef/>
      </w:r>
      <w:r>
        <w:rPr>
          <w:rFonts w:eastAsia="Palatino Linotype" w:cs="Palatino Linotype"/>
          <w:sz w:val="16"/>
          <w:szCs w:val="16"/>
        </w:rPr>
        <w:t xml:space="preserve"> BURGOA ORIHUELA Ignacio. </w:t>
      </w:r>
      <w:r>
        <w:rPr>
          <w:rFonts w:eastAsia="Palatino Linotype" w:cs="Palatino Linotype"/>
          <w:i/>
          <w:sz w:val="16"/>
          <w:szCs w:val="16"/>
        </w:rPr>
        <w:t>Diccionario De Derecho Constitucional, Garantías y Amparo</w:t>
      </w:r>
      <w:r>
        <w:rPr>
          <w:rFonts w:eastAsia="Palatino Linotype" w:cs="Palatino Linotype"/>
          <w:sz w:val="16"/>
          <w:szCs w:val="16"/>
        </w:rPr>
        <w:t>. Ed. Porrúa, S.A., México. 1992. p. 115.</w:t>
      </w:r>
    </w:p>
  </w:footnote>
  <w:footnote w:id="2">
    <w:p w14:paraId="48035AE6" w14:textId="77777777" w:rsidR="00F93C6E" w:rsidRDefault="00F93C6E" w:rsidP="00F93C6E">
      <w:pPr>
        <w:pBdr>
          <w:top w:val="nil"/>
          <w:left w:val="nil"/>
          <w:bottom w:val="nil"/>
          <w:right w:val="nil"/>
          <w:between w:val="nil"/>
        </w:pBdr>
        <w:rPr>
          <w:rFonts w:eastAsia="Palatino Linotype" w:cs="Palatino Linotype"/>
          <w:i/>
          <w:color w:val="000000"/>
          <w:sz w:val="16"/>
          <w:szCs w:val="16"/>
        </w:rPr>
      </w:pPr>
      <w:r>
        <w:rPr>
          <w:vertAlign w:val="superscript"/>
        </w:rPr>
        <w:footnoteRef/>
      </w:r>
      <w:r>
        <w:rPr>
          <w:rFonts w:eastAsia="Palatino Linotype" w:cs="Palatino Linotype"/>
          <w:color w:val="000000"/>
          <w:sz w:val="16"/>
          <w:szCs w:val="16"/>
        </w:rPr>
        <w:t xml:space="preserve"> CIENFUEGOS SALGADO David. </w:t>
      </w:r>
      <w:r>
        <w:rPr>
          <w:rFonts w:eastAsia="Palatino Linotype" w:cs="Palatino Linotype"/>
          <w:i/>
          <w:color w:val="000000"/>
          <w:sz w:val="16"/>
          <w:szCs w:val="16"/>
        </w:rPr>
        <w:t xml:space="preserve">El Derecho de Petición en México. </w:t>
      </w:r>
      <w:r>
        <w:rPr>
          <w:rFonts w:eastAsia="Palatino Linotype" w:cs="Palatino Linotype"/>
          <w:color w:val="000000"/>
          <w:sz w:val="16"/>
          <w:szCs w:val="16"/>
        </w:rPr>
        <w:t>Ed. Instituto de Investigaciones Jurídica UNAM. México 2004. p. 31</w:t>
      </w:r>
    </w:p>
  </w:footnote>
  <w:footnote w:id="3">
    <w:p w14:paraId="5FD65964" w14:textId="77777777" w:rsidR="00226741" w:rsidRDefault="00226741" w:rsidP="00226741">
      <w:pPr>
        <w:pBdr>
          <w:top w:val="nil"/>
          <w:left w:val="nil"/>
          <w:bottom w:val="nil"/>
          <w:right w:val="nil"/>
          <w:between w:val="nil"/>
        </w:pBdr>
        <w:rPr>
          <w:rFonts w:eastAsia="Palatino Linotype" w:cs="Palatino Linotype"/>
          <w:color w:val="000000"/>
          <w:sz w:val="16"/>
          <w:szCs w:val="16"/>
        </w:rPr>
      </w:pPr>
      <w:r>
        <w:rPr>
          <w:vertAlign w:val="superscript"/>
        </w:rPr>
        <w:footnoteRef/>
      </w:r>
      <w:r>
        <w:rPr>
          <w:rFonts w:eastAsia="Palatino Linotype" w:cs="Palatino Linotype"/>
          <w:color w:val="000000"/>
          <w:sz w:val="16"/>
          <w:szCs w:val="16"/>
        </w:rPr>
        <w:t xml:space="preserve"> ROBLES HERNÁNDEZ José Guadalupe. </w:t>
      </w:r>
      <w:r>
        <w:rPr>
          <w:rFonts w:eastAsia="Palatino Linotype" w:cs="Palatino Linotype"/>
          <w:i/>
          <w:color w:val="000000"/>
          <w:sz w:val="16"/>
          <w:szCs w:val="16"/>
        </w:rPr>
        <w:t xml:space="preserve">Derecho de la Información y Comunicación Pública. </w:t>
      </w:r>
      <w:r>
        <w:rPr>
          <w:rFonts w:eastAsia="Palatino Linotype" w:cs="Palatino Linotype"/>
          <w:color w:val="000000"/>
          <w:sz w:val="16"/>
          <w:szCs w:val="16"/>
        </w:rPr>
        <w:t>Ed. Universidad de Occidente. México. 2004, p. 72.</w:t>
      </w:r>
    </w:p>
  </w:footnote>
  <w:footnote w:id="4">
    <w:p w14:paraId="779F90E7" w14:textId="77777777" w:rsidR="00A61981" w:rsidRDefault="00A61981" w:rsidP="00A61981">
      <w:pPr>
        <w:pStyle w:val="Textonotapie"/>
      </w:pPr>
      <w:r>
        <w:rPr>
          <w:rStyle w:val="Refdenotaalpie"/>
        </w:rPr>
        <w:footnoteRef/>
      </w:r>
      <w:r>
        <w:t xml:space="preserve"> </w:t>
      </w:r>
      <w:r>
        <w:rPr>
          <w:rFonts w:eastAsia="Palatino Linotype" w:cs="Palatino Linotype"/>
          <w:sz w:val="16"/>
          <w:szCs w:val="16"/>
        </w:rPr>
        <w:t xml:space="preserve">VILLANUEVA </w:t>
      </w:r>
      <w:r>
        <w:rPr>
          <w:rFonts w:eastAsia="Palatino Linotype" w:cs="Palatino Linotype"/>
          <w:sz w:val="16"/>
          <w:szCs w:val="16"/>
        </w:rPr>
        <w:t>VILLANUEVA Ernesto. Derecho de la Información, Ed. Porrúa. S.A., México. 2006. p. 270.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F015" w14:textId="77777777" w:rsidR="00A15BC6" w:rsidRDefault="002E06A0">
    <w:pPr>
      <w:pBdr>
        <w:top w:val="nil"/>
        <w:left w:val="nil"/>
        <w:bottom w:val="nil"/>
        <w:right w:val="nil"/>
        <w:between w:val="nil"/>
      </w:pBdr>
      <w:tabs>
        <w:tab w:val="center" w:pos="4419"/>
        <w:tab w:val="right" w:pos="8838"/>
      </w:tabs>
      <w:rPr>
        <w:color w:val="000000"/>
      </w:rPr>
    </w:pPr>
    <w:r>
      <w:rPr>
        <w:color w:val="000000"/>
      </w:rPr>
      <w:pict w14:anchorId="4DF31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197CA" w14:textId="77777777" w:rsidR="00A15BC6" w:rsidRDefault="00A15BC6">
    <w:pPr>
      <w:widowControl w:val="0"/>
      <w:pBdr>
        <w:top w:val="nil"/>
        <w:left w:val="nil"/>
        <w:bottom w:val="nil"/>
        <w:right w:val="nil"/>
        <w:between w:val="nil"/>
      </w:pBdr>
      <w:spacing w:line="276" w:lineRule="auto"/>
      <w:rPr>
        <w:color w:val="000000"/>
      </w:rPr>
    </w:pPr>
  </w:p>
  <w:tbl>
    <w:tblPr>
      <w:tblStyle w:val="a5"/>
      <w:tblW w:w="9214" w:type="dxa"/>
      <w:tblInd w:w="0" w:type="dxa"/>
      <w:tblLayout w:type="fixed"/>
      <w:tblLook w:val="0400" w:firstRow="0" w:lastRow="0" w:firstColumn="0" w:lastColumn="0" w:noHBand="0" w:noVBand="1"/>
    </w:tblPr>
    <w:tblGrid>
      <w:gridCol w:w="2268"/>
      <w:gridCol w:w="6946"/>
    </w:tblGrid>
    <w:tr w:rsidR="00A15BC6" w14:paraId="3D85841A" w14:textId="77777777">
      <w:trPr>
        <w:trHeight w:val="2803"/>
      </w:trPr>
      <w:tc>
        <w:tcPr>
          <w:tcW w:w="2268" w:type="dxa"/>
        </w:tcPr>
        <w:p w14:paraId="55E8E1DE" w14:textId="77777777" w:rsidR="00A15BC6" w:rsidRDefault="00A15BC6">
          <w:pPr>
            <w:tabs>
              <w:tab w:val="right" w:pos="4273"/>
            </w:tabs>
            <w:rPr>
              <w:rFonts w:ascii="Garamond" w:eastAsia="Garamond" w:hAnsi="Garamond" w:cs="Garamond"/>
              <w:sz w:val="16"/>
              <w:szCs w:val="16"/>
            </w:rPr>
          </w:pPr>
        </w:p>
      </w:tc>
      <w:tc>
        <w:tcPr>
          <w:tcW w:w="6946" w:type="dxa"/>
        </w:tcPr>
        <w:p w14:paraId="622DF868" w14:textId="77777777" w:rsidR="00A15BC6" w:rsidRDefault="00A15BC6"/>
        <w:tbl>
          <w:tblPr>
            <w:tblStyle w:val="a6"/>
            <w:tblW w:w="5910" w:type="dxa"/>
            <w:tblInd w:w="775" w:type="dxa"/>
            <w:tblLayout w:type="fixed"/>
            <w:tblLook w:val="0400" w:firstRow="0" w:lastRow="0" w:firstColumn="0" w:lastColumn="0" w:noHBand="0" w:noVBand="1"/>
          </w:tblPr>
          <w:tblGrid>
            <w:gridCol w:w="2550"/>
            <w:gridCol w:w="3360"/>
          </w:tblGrid>
          <w:tr w:rsidR="00A15BC6" w14:paraId="1FB8872F" w14:textId="77777777">
            <w:trPr>
              <w:trHeight w:val="144"/>
            </w:trPr>
            <w:tc>
              <w:tcPr>
                <w:tcW w:w="2550" w:type="dxa"/>
                <w:tcBorders>
                  <w:top w:val="nil"/>
                  <w:left w:val="nil"/>
                  <w:bottom w:val="nil"/>
                  <w:right w:val="nil"/>
                </w:tcBorders>
              </w:tcPr>
              <w:p w14:paraId="189FAA2A" w14:textId="77777777" w:rsidR="00A15BC6" w:rsidRDefault="00A15BC6">
                <w:pPr>
                  <w:tabs>
                    <w:tab w:val="right" w:pos="8838"/>
                  </w:tabs>
                  <w:ind w:left="-264" w:right="-105" w:firstLine="19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360" w:type="dxa"/>
                <w:tcBorders>
                  <w:top w:val="nil"/>
                  <w:left w:val="nil"/>
                  <w:bottom w:val="nil"/>
                  <w:right w:val="nil"/>
                </w:tcBorders>
              </w:tcPr>
              <w:p w14:paraId="404FD4D1" w14:textId="7BA6E1FF" w:rsidR="00A15BC6" w:rsidRDefault="005A7C30">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04678</w:t>
                </w:r>
                <w:r w:rsidR="00A15BC6">
                  <w:rPr>
                    <w:rFonts w:ascii="Palatino Linotype" w:eastAsia="Palatino Linotype" w:hAnsi="Palatino Linotype" w:cs="Palatino Linotype"/>
                  </w:rPr>
                  <w:t>/INFOEM/IP/RR/2024 y</w:t>
                </w:r>
              </w:p>
              <w:p w14:paraId="51A41B4F" w14:textId="148308E8" w:rsidR="00A15BC6" w:rsidRDefault="005A7C30">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acumulado</w:t>
                </w:r>
              </w:p>
            </w:tc>
          </w:tr>
          <w:tr w:rsidR="00A15BC6" w14:paraId="71710C58" w14:textId="77777777">
            <w:trPr>
              <w:trHeight w:val="283"/>
            </w:trPr>
            <w:tc>
              <w:tcPr>
                <w:tcW w:w="2550" w:type="dxa"/>
                <w:tcBorders>
                  <w:top w:val="nil"/>
                  <w:left w:val="nil"/>
                  <w:bottom w:val="nil"/>
                  <w:right w:val="nil"/>
                </w:tcBorders>
              </w:tcPr>
              <w:p w14:paraId="0B9AC401" w14:textId="77777777" w:rsidR="00A15BC6" w:rsidRDefault="00A15BC6">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360" w:type="dxa"/>
                <w:tcBorders>
                  <w:top w:val="nil"/>
                  <w:left w:val="nil"/>
                  <w:bottom w:val="nil"/>
                  <w:right w:val="nil"/>
                </w:tcBorders>
              </w:tcPr>
              <w:p w14:paraId="4B5E084B" w14:textId="1E38F4B1" w:rsidR="00A15BC6" w:rsidRDefault="0061137A">
                <w:pPr>
                  <w:tabs>
                    <w:tab w:val="left" w:pos="2834"/>
                  </w:tabs>
                  <w:ind w:left="-74" w:right="-1415"/>
                  <w:rPr>
                    <w:rFonts w:ascii="Palatino Linotype" w:eastAsia="Palatino Linotype" w:hAnsi="Palatino Linotype" w:cs="Palatino Linotype"/>
                  </w:rPr>
                </w:pPr>
                <w:r>
                  <w:rPr>
                    <w:rFonts w:ascii="Palatino Linotype" w:eastAsia="Palatino Linotype" w:hAnsi="Palatino Linotype" w:cs="Palatino Linotype"/>
                  </w:rPr>
                  <w:t>Secretaría de Seguridad</w:t>
                </w:r>
              </w:p>
            </w:tc>
          </w:tr>
          <w:tr w:rsidR="00A15BC6" w14:paraId="3571BBDD" w14:textId="77777777">
            <w:trPr>
              <w:trHeight w:val="283"/>
            </w:trPr>
            <w:tc>
              <w:tcPr>
                <w:tcW w:w="2550" w:type="dxa"/>
                <w:tcBorders>
                  <w:top w:val="nil"/>
                  <w:left w:val="nil"/>
                  <w:bottom w:val="nil"/>
                  <w:right w:val="nil"/>
                </w:tcBorders>
              </w:tcPr>
              <w:p w14:paraId="18F389C7" w14:textId="77777777" w:rsidR="00A15BC6" w:rsidRDefault="00A15BC6">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360" w:type="dxa"/>
                <w:tcBorders>
                  <w:top w:val="nil"/>
                  <w:left w:val="nil"/>
                  <w:bottom w:val="nil"/>
                  <w:right w:val="nil"/>
                </w:tcBorders>
              </w:tcPr>
              <w:p w14:paraId="51F949DE" w14:textId="77777777" w:rsidR="00A15BC6" w:rsidRDefault="00A15BC6">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p w14:paraId="6393BACA" w14:textId="77777777" w:rsidR="00A15BC6" w:rsidRDefault="00A15BC6">
                <w:pPr>
                  <w:tabs>
                    <w:tab w:val="right" w:pos="8838"/>
                  </w:tabs>
                  <w:ind w:left="-74" w:right="-1415"/>
                  <w:rPr>
                    <w:rFonts w:ascii="Palatino Linotype" w:eastAsia="Palatino Linotype" w:hAnsi="Palatino Linotype" w:cs="Palatino Linotype"/>
                    <w:b/>
                  </w:rPr>
                </w:pPr>
              </w:p>
            </w:tc>
          </w:tr>
        </w:tbl>
        <w:p w14:paraId="6740D703" w14:textId="77777777" w:rsidR="00A15BC6" w:rsidRDefault="00A15BC6">
          <w:pPr>
            <w:tabs>
              <w:tab w:val="right" w:pos="8838"/>
            </w:tabs>
            <w:ind w:left="-28"/>
            <w:jc w:val="both"/>
            <w:rPr>
              <w:rFonts w:ascii="Arial" w:eastAsia="Arial" w:hAnsi="Arial" w:cs="Arial"/>
              <w:b/>
            </w:rPr>
          </w:pPr>
        </w:p>
      </w:tc>
    </w:tr>
  </w:tbl>
  <w:p w14:paraId="4629B682" w14:textId="77777777" w:rsidR="00A15BC6" w:rsidRDefault="002E06A0">
    <w:pPr>
      <w:pBdr>
        <w:top w:val="nil"/>
        <w:left w:val="nil"/>
        <w:bottom w:val="nil"/>
        <w:right w:val="nil"/>
        <w:between w:val="nil"/>
      </w:pBdr>
      <w:tabs>
        <w:tab w:val="center" w:pos="4419"/>
        <w:tab w:val="right" w:pos="8838"/>
      </w:tabs>
      <w:rPr>
        <w:color w:val="000000"/>
        <w:sz w:val="14"/>
        <w:szCs w:val="14"/>
      </w:rPr>
    </w:pPr>
    <w:r>
      <w:rPr>
        <w:color w:val="000000"/>
      </w:rPr>
      <w:pict w14:anchorId="01C634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EA86E" w14:textId="77777777" w:rsidR="00A15BC6" w:rsidRDefault="00A15BC6">
    <w:pPr>
      <w:widowControl w:val="0"/>
      <w:pBdr>
        <w:top w:val="nil"/>
        <w:left w:val="nil"/>
        <w:bottom w:val="nil"/>
        <w:right w:val="nil"/>
        <w:between w:val="nil"/>
      </w:pBdr>
      <w:spacing w:line="276" w:lineRule="auto"/>
      <w:rPr>
        <w:color w:val="000000"/>
        <w:sz w:val="14"/>
        <w:szCs w:val="14"/>
      </w:rPr>
    </w:pPr>
  </w:p>
  <w:tbl>
    <w:tblPr>
      <w:tblStyle w:val="a7"/>
      <w:tblW w:w="9915" w:type="dxa"/>
      <w:tblInd w:w="0" w:type="dxa"/>
      <w:tblLayout w:type="fixed"/>
      <w:tblLook w:val="0400" w:firstRow="0" w:lastRow="0" w:firstColumn="0" w:lastColumn="0" w:noHBand="0" w:noVBand="1"/>
    </w:tblPr>
    <w:tblGrid>
      <w:gridCol w:w="2265"/>
      <w:gridCol w:w="7650"/>
    </w:tblGrid>
    <w:tr w:rsidR="00A15BC6" w14:paraId="373AD1C5" w14:textId="77777777">
      <w:trPr>
        <w:trHeight w:val="2514"/>
      </w:trPr>
      <w:tc>
        <w:tcPr>
          <w:tcW w:w="2265" w:type="dxa"/>
        </w:tcPr>
        <w:p w14:paraId="53408AE8" w14:textId="77777777" w:rsidR="00A15BC6" w:rsidRDefault="00A15BC6">
          <w:pPr>
            <w:tabs>
              <w:tab w:val="right" w:pos="4273"/>
            </w:tabs>
            <w:rPr>
              <w:rFonts w:ascii="Garamond" w:eastAsia="Garamond" w:hAnsi="Garamond" w:cs="Garamond"/>
            </w:rPr>
          </w:pPr>
        </w:p>
      </w:tc>
      <w:tc>
        <w:tcPr>
          <w:tcW w:w="7650" w:type="dxa"/>
        </w:tcPr>
        <w:p w14:paraId="6E1DC55D" w14:textId="77777777" w:rsidR="00A15BC6" w:rsidRDefault="00A15BC6">
          <w:pPr>
            <w:widowControl w:val="0"/>
            <w:pBdr>
              <w:top w:val="nil"/>
              <w:left w:val="nil"/>
              <w:bottom w:val="nil"/>
              <w:right w:val="nil"/>
              <w:between w:val="nil"/>
            </w:pBdr>
            <w:spacing w:line="276" w:lineRule="auto"/>
            <w:rPr>
              <w:rFonts w:ascii="Garamond" w:eastAsia="Garamond" w:hAnsi="Garamond" w:cs="Garamond"/>
            </w:rPr>
          </w:pPr>
        </w:p>
        <w:tbl>
          <w:tblPr>
            <w:tblStyle w:val="a8"/>
            <w:tblW w:w="6843" w:type="dxa"/>
            <w:tblInd w:w="700" w:type="dxa"/>
            <w:tblLayout w:type="fixed"/>
            <w:tblLook w:val="0400" w:firstRow="0" w:lastRow="0" w:firstColumn="0" w:lastColumn="0" w:noHBand="0" w:noVBand="1"/>
          </w:tblPr>
          <w:tblGrid>
            <w:gridCol w:w="2807"/>
            <w:gridCol w:w="4036"/>
          </w:tblGrid>
          <w:tr w:rsidR="00A15BC6" w14:paraId="6F452266" w14:textId="77777777" w:rsidTr="008A7758">
            <w:trPr>
              <w:trHeight w:val="144"/>
            </w:trPr>
            <w:tc>
              <w:tcPr>
                <w:tcW w:w="2807" w:type="dxa"/>
                <w:tcBorders>
                  <w:top w:val="nil"/>
                  <w:left w:val="nil"/>
                  <w:bottom w:val="nil"/>
                  <w:right w:val="nil"/>
                </w:tcBorders>
              </w:tcPr>
              <w:p w14:paraId="07296DE2" w14:textId="77777777" w:rsidR="00A15BC6" w:rsidRDefault="00A15BC6">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036" w:type="dxa"/>
                <w:tcBorders>
                  <w:top w:val="nil"/>
                  <w:left w:val="nil"/>
                  <w:bottom w:val="nil"/>
                  <w:right w:val="nil"/>
                </w:tcBorders>
              </w:tcPr>
              <w:p w14:paraId="5B693C8F" w14:textId="73B8D200" w:rsidR="00A15BC6" w:rsidRDefault="00A15BC6" w:rsidP="00C45155">
                <w:pPr>
                  <w:ind w:right="-494"/>
                  <w:rPr>
                    <w:rFonts w:ascii="Palatino Linotype" w:eastAsia="Palatino Linotype" w:hAnsi="Palatino Linotype" w:cs="Palatino Linotype"/>
                  </w:rPr>
                </w:pPr>
                <w:r>
                  <w:rPr>
                    <w:rFonts w:ascii="Palatino Linotype" w:eastAsia="Palatino Linotype" w:hAnsi="Palatino Linotype" w:cs="Palatino Linotype"/>
                  </w:rPr>
                  <w:t>04678/INFOEM/IP/RR/2024 y Acumulado</w:t>
                </w:r>
              </w:p>
            </w:tc>
          </w:tr>
          <w:tr w:rsidR="00A15BC6" w14:paraId="449E65F5" w14:textId="77777777" w:rsidTr="008A7758">
            <w:trPr>
              <w:trHeight w:val="144"/>
            </w:trPr>
            <w:tc>
              <w:tcPr>
                <w:tcW w:w="2807" w:type="dxa"/>
                <w:tcBorders>
                  <w:top w:val="nil"/>
                  <w:left w:val="nil"/>
                  <w:bottom w:val="nil"/>
                  <w:right w:val="nil"/>
                </w:tcBorders>
              </w:tcPr>
              <w:p w14:paraId="4A4584D6" w14:textId="77777777" w:rsidR="00A15BC6" w:rsidRDefault="00A15BC6">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036" w:type="dxa"/>
                <w:tcBorders>
                  <w:top w:val="nil"/>
                  <w:left w:val="nil"/>
                  <w:bottom w:val="nil"/>
                  <w:right w:val="nil"/>
                </w:tcBorders>
              </w:tcPr>
              <w:p w14:paraId="6805E13A" w14:textId="1BDD7604" w:rsidR="00A15BC6" w:rsidRDefault="00030DF8">
                <w:pPr>
                  <w:tabs>
                    <w:tab w:val="left" w:pos="3827"/>
                  </w:tabs>
                  <w:ind w:right="-494"/>
                  <w:rPr>
                    <w:rFonts w:ascii="Palatino Linotype" w:eastAsia="Palatino Linotype" w:hAnsi="Palatino Linotype" w:cs="Palatino Linotype"/>
                  </w:rPr>
                </w:pPr>
                <w:r>
                  <w:rPr>
                    <w:rFonts w:ascii="Palatino Linotype" w:eastAsia="Palatino Linotype" w:hAnsi="Palatino Linotype" w:cs="Palatino Linotype"/>
                  </w:rPr>
                  <w:t xml:space="preserve">XXX </w:t>
                </w:r>
                <w:proofErr w:type="spellStart"/>
                <w:r>
                  <w:rPr>
                    <w:rFonts w:ascii="Palatino Linotype" w:eastAsia="Palatino Linotype" w:hAnsi="Palatino Linotype" w:cs="Palatino Linotype"/>
                  </w:rPr>
                  <w:t>XXX</w:t>
                </w:r>
                <w:proofErr w:type="spellEnd"/>
              </w:p>
            </w:tc>
          </w:tr>
          <w:tr w:rsidR="00A15BC6" w14:paraId="31074C76" w14:textId="77777777" w:rsidTr="008A7758">
            <w:trPr>
              <w:trHeight w:val="283"/>
            </w:trPr>
            <w:tc>
              <w:tcPr>
                <w:tcW w:w="2807" w:type="dxa"/>
                <w:tcBorders>
                  <w:top w:val="nil"/>
                  <w:left w:val="nil"/>
                  <w:bottom w:val="nil"/>
                  <w:right w:val="nil"/>
                </w:tcBorders>
              </w:tcPr>
              <w:p w14:paraId="0BBA3376" w14:textId="77777777" w:rsidR="00A15BC6" w:rsidRDefault="00A15BC6">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036" w:type="dxa"/>
                <w:tcBorders>
                  <w:top w:val="nil"/>
                  <w:left w:val="nil"/>
                  <w:bottom w:val="nil"/>
                  <w:right w:val="nil"/>
                </w:tcBorders>
              </w:tcPr>
              <w:p w14:paraId="0154E5FA" w14:textId="420BD550" w:rsidR="00A15BC6" w:rsidRDefault="00A15BC6" w:rsidP="00717F1A">
                <w:pPr>
                  <w:tabs>
                    <w:tab w:val="left" w:pos="2834"/>
                  </w:tabs>
                  <w:ind w:right="-494"/>
                  <w:rPr>
                    <w:rFonts w:ascii="Palatino Linotype" w:eastAsia="Palatino Linotype" w:hAnsi="Palatino Linotype" w:cs="Palatino Linotype"/>
                  </w:rPr>
                </w:pPr>
                <w:r>
                  <w:rPr>
                    <w:rFonts w:ascii="Palatino Linotype" w:eastAsia="Palatino Linotype" w:hAnsi="Palatino Linotype" w:cs="Palatino Linotype"/>
                  </w:rPr>
                  <w:t xml:space="preserve">Secretaría de Seguridad </w:t>
                </w:r>
              </w:p>
            </w:tc>
          </w:tr>
          <w:tr w:rsidR="00A15BC6" w14:paraId="4B63648E" w14:textId="77777777" w:rsidTr="008A7758">
            <w:trPr>
              <w:trHeight w:val="283"/>
            </w:trPr>
            <w:tc>
              <w:tcPr>
                <w:tcW w:w="2807" w:type="dxa"/>
                <w:tcBorders>
                  <w:top w:val="nil"/>
                  <w:left w:val="nil"/>
                  <w:bottom w:val="nil"/>
                  <w:right w:val="nil"/>
                </w:tcBorders>
              </w:tcPr>
              <w:p w14:paraId="000D1DE5" w14:textId="77777777" w:rsidR="00A15BC6" w:rsidRDefault="00A15BC6">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036" w:type="dxa"/>
                <w:tcBorders>
                  <w:top w:val="nil"/>
                  <w:left w:val="nil"/>
                  <w:bottom w:val="nil"/>
                  <w:right w:val="nil"/>
                </w:tcBorders>
              </w:tcPr>
              <w:p w14:paraId="12407CB3" w14:textId="77777777" w:rsidR="00A15BC6" w:rsidRDefault="00A15BC6">
                <w:pPr>
                  <w:ind w:right="-49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p w14:paraId="4EFC9816" w14:textId="77777777" w:rsidR="00A15BC6" w:rsidRDefault="00A15BC6">
                <w:pPr>
                  <w:ind w:right="-494"/>
                  <w:rPr>
                    <w:rFonts w:ascii="Palatino Linotype" w:eastAsia="Palatino Linotype" w:hAnsi="Palatino Linotype" w:cs="Palatino Linotype"/>
                    <w:b/>
                  </w:rPr>
                </w:pPr>
              </w:p>
            </w:tc>
          </w:tr>
        </w:tbl>
        <w:p w14:paraId="3F158276" w14:textId="77777777" w:rsidR="00A15BC6" w:rsidRDefault="00A15BC6">
          <w:pPr>
            <w:tabs>
              <w:tab w:val="right" w:pos="8838"/>
            </w:tabs>
            <w:ind w:left="-28"/>
            <w:jc w:val="both"/>
            <w:rPr>
              <w:rFonts w:ascii="Arial" w:eastAsia="Arial" w:hAnsi="Arial" w:cs="Arial"/>
              <w:b/>
            </w:rPr>
          </w:pPr>
        </w:p>
      </w:tc>
    </w:tr>
  </w:tbl>
  <w:p w14:paraId="668E316E" w14:textId="77777777" w:rsidR="00A15BC6" w:rsidRDefault="002E06A0">
    <w:pPr>
      <w:pBdr>
        <w:top w:val="nil"/>
        <w:left w:val="nil"/>
        <w:bottom w:val="nil"/>
        <w:right w:val="nil"/>
        <w:between w:val="nil"/>
      </w:pBdr>
      <w:tabs>
        <w:tab w:val="center" w:pos="4419"/>
        <w:tab w:val="right" w:pos="8838"/>
      </w:tabs>
      <w:rPr>
        <w:color w:val="000000"/>
        <w:sz w:val="2"/>
        <w:szCs w:val="2"/>
      </w:rPr>
    </w:pPr>
    <w:r>
      <w:rPr>
        <w:color w:val="000000"/>
      </w:rPr>
      <w:pict w14:anchorId="2BEBAD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20FB3"/>
    <w:multiLevelType w:val="hybridMultilevel"/>
    <w:tmpl w:val="DC5EA65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AFC6977"/>
    <w:multiLevelType w:val="hybridMultilevel"/>
    <w:tmpl w:val="81BA50F0"/>
    <w:lvl w:ilvl="0" w:tplc="79FE9302">
      <w:numFmt w:val="bullet"/>
      <w:lvlText w:val="-"/>
      <w:lvlJc w:val="left"/>
      <w:pPr>
        <w:ind w:left="1080" w:hanging="360"/>
      </w:pPr>
      <w:rPr>
        <w:rFonts w:ascii="Palatino Linotype" w:eastAsia="Times New Roman" w:hAnsi="Palatino Linotype" w:cs="Times New Roman" w:hint="default"/>
        <w:color w:val="auto"/>
        <w:sz w:val="24"/>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20F92D65"/>
    <w:multiLevelType w:val="multilevel"/>
    <w:tmpl w:val="4F967D6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27F06303"/>
    <w:multiLevelType w:val="hybridMultilevel"/>
    <w:tmpl w:val="E9B8DADE"/>
    <w:lvl w:ilvl="0" w:tplc="7E76DA1C">
      <w:start w:val="1"/>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AB947DE"/>
    <w:multiLevelType w:val="hybridMultilevel"/>
    <w:tmpl w:val="F836CC7C"/>
    <w:lvl w:ilvl="0" w:tplc="A392AC42">
      <w:start w:val="1"/>
      <w:numFmt w:val="bullet"/>
      <w:lvlText w:val="-"/>
      <w:lvlJc w:val="left"/>
      <w:pPr>
        <w:ind w:left="252" w:hanging="360"/>
      </w:pPr>
      <w:rPr>
        <w:rFonts w:ascii="Palatino Linotype" w:eastAsia="Palatino Linotype" w:hAnsi="Palatino Linotype" w:cs="Palatino Linotype" w:hint="default"/>
      </w:rPr>
    </w:lvl>
    <w:lvl w:ilvl="1" w:tplc="080A0003" w:tentative="1">
      <w:start w:val="1"/>
      <w:numFmt w:val="bullet"/>
      <w:lvlText w:val="o"/>
      <w:lvlJc w:val="left"/>
      <w:pPr>
        <w:ind w:left="972" w:hanging="360"/>
      </w:pPr>
      <w:rPr>
        <w:rFonts w:ascii="Courier New" w:hAnsi="Courier New" w:cs="Courier New" w:hint="default"/>
      </w:rPr>
    </w:lvl>
    <w:lvl w:ilvl="2" w:tplc="080A0005" w:tentative="1">
      <w:start w:val="1"/>
      <w:numFmt w:val="bullet"/>
      <w:lvlText w:val=""/>
      <w:lvlJc w:val="left"/>
      <w:pPr>
        <w:ind w:left="1692" w:hanging="360"/>
      </w:pPr>
      <w:rPr>
        <w:rFonts w:ascii="Wingdings" w:hAnsi="Wingdings" w:hint="default"/>
      </w:rPr>
    </w:lvl>
    <w:lvl w:ilvl="3" w:tplc="080A0001" w:tentative="1">
      <w:start w:val="1"/>
      <w:numFmt w:val="bullet"/>
      <w:lvlText w:val=""/>
      <w:lvlJc w:val="left"/>
      <w:pPr>
        <w:ind w:left="2412" w:hanging="360"/>
      </w:pPr>
      <w:rPr>
        <w:rFonts w:ascii="Symbol" w:hAnsi="Symbol" w:hint="default"/>
      </w:rPr>
    </w:lvl>
    <w:lvl w:ilvl="4" w:tplc="080A0003" w:tentative="1">
      <w:start w:val="1"/>
      <w:numFmt w:val="bullet"/>
      <w:lvlText w:val="o"/>
      <w:lvlJc w:val="left"/>
      <w:pPr>
        <w:ind w:left="3132" w:hanging="360"/>
      </w:pPr>
      <w:rPr>
        <w:rFonts w:ascii="Courier New" w:hAnsi="Courier New" w:cs="Courier New" w:hint="default"/>
      </w:rPr>
    </w:lvl>
    <w:lvl w:ilvl="5" w:tplc="080A0005" w:tentative="1">
      <w:start w:val="1"/>
      <w:numFmt w:val="bullet"/>
      <w:lvlText w:val=""/>
      <w:lvlJc w:val="left"/>
      <w:pPr>
        <w:ind w:left="3852" w:hanging="360"/>
      </w:pPr>
      <w:rPr>
        <w:rFonts w:ascii="Wingdings" w:hAnsi="Wingdings" w:hint="default"/>
      </w:rPr>
    </w:lvl>
    <w:lvl w:ilvl="6" w:tplc="080A0001" w:tentative="1">
      <w:start w:val="1"/>
      <w:numFmt w:val="bullet"/>
      <w:lvlText w:val=""/>
      <w:lvlJc w:val="left"/>
      <w:pPr>
        <w:ind w:left="4572" w:hanging="360"/>
      </w:pPr>
      <w:rPr>
        <w:rFonts w:ascii="Symbol" w:hAnsi="Symbol" w:hint="default"/>
      </w:rPr>
    </w:lvl>
    <w:lvl w:ilvl="7" w:tplc="080A0003" w:tentative="1">
      <w:start w:val="1"/>
      <w:numFmt w:val="bullet"/>
      <w:lvlText w:val="o"/>
      <w:lvlJc w:val="left"/>
      <w:pPr>
        <w:ind w:left="5292" w:hanging="360"/>
      </w:pPr>
      <w:rPr>
        <w:rFonts w:ascii="Courier New" w:hAnsi="Courier New" w:cs="Courier New" w:hint="default"/>
      </w:rPr>
    </w:lvl>
    <w:lvl w:ilvl="8" w:tplc="080A0005" w:tentative="1">
      <w:start w:val="1"/>
      <w:numFmt w:val="bullet"/>
      <w:lvlText w:val=""/>
      <w:lvlJc w:val="left"/>
      <w:pPr>
        <w:ind w:left="6012" w:hanging="360"/>
      </w:pPr>
      <w:rPr>
        <w:rFonts w:ascii="Wingdings" w:hAnsi="Wingdings" w:hint="default"/>
      </w:rPr>
    </w:lvl>
  </w:abstractNum>
  <w:abstractNum w:abstractNumId="5" w15:restartNumberingAfterBreak="0">
    <w:nsid w:val="2C282920"/>
    <w:multiLevelType w:val="hybridMultilevel"/>
    <w:tmpl w:val="5E8A6B88"/>
    <w:lvl w:ilvl="0" w:tplc="D32E039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 w15:restartNumberingAfterBreak="0">
    <w:nsid w:val="3199772E"/>
    <w:multiLevelType w:val="hybridMultilevel"/>
    <w:tmpl w:val="E55450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D8321B"/>
    <w:multiLevelType w:val="hybridMultilevel"/>
    <w:tmpl w:val="5846EA66"/>
    <w:lvl w:ilvl="0" w:tplc="E16EFDF6">
      <w:start w:val="29"/>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9" w15:restartNumberingAfterBreak="0">
    <w:nsid w:val="3EF75390"/>
    <w:multiLevelType w:val="hybridMultilevel"/>
    <w:tmpl w:val="F62C87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FE90BC5"/>
    <w:multiLevelType w:val="hybridMultilevel"/>
    <w:tmpl w:val="5AACFDE0"/>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41BC1E15"/>
    <w:multiLevelType w:val="hybridMultilevel"/>
    <w:tmpl w:val="33DA9C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5974DE1"/>
    <w:multiLevelType w:val="hybridMultilevel"/>
    <w:tmpl w:val="5972005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1ED17CD"/>
    <w:multiLevelType w:val="hybridMultilevel"/>
    <w:tmpl w:val="DC5EA65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A324BD0"/>
    <w:multiLevelType w:val="hybridMultilevel"/>
    <w:tmpl w:val="49A6B65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B472A4F"/>
    <w:multiLevelType w:val="multilevel"/>
    <w:tmpl w:val="72D493C8"/>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rPr>
        <w:b w:val="0"/>
      </w:r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CBA354C"/>
    <w:multiLevelType w:val="hybridMultilevel"/>
    <w:tmpl w:val="CCEC28A2"/>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abstractNum w:abstractNumId="17" w15:restartNumberingAfterBreak="0">
    <w:nsid w:val="7DF33141"/>
    <w:multiLevelType w:val="hybridMultilevel"/>
    <w:tmpl w:val="DC5EA65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79310939">
    <w:abstractNumId w:val="2"/>
  </w:num>
  <w:num w:numId="2" w16cid:durableId="553390628">
    <w:abstractNumId w:val="15"/>
  </w:num>
  <w:num w:numId="3" w16cid:durableId="1136725801">
    <w:abstractNumId w:val="11"/>
  </w:num>
  <w:num w:numId="4" w16cid:durableId="2115902787">
    <w:abstractNumId w:val="1"/>
  </w:num>
  <w:num w:numId="5" w16cid:durableId="603269284">
    <w:abstractNumId w:val="12"/>
  </w:num>
  <w:num w:numId="6" w16cid:durableId="972448798">
    <w:abstractNumId w:val="17"/>
  </w:num>
  <w:num w:numId="7" w16cid:durableId="1852723874">
    <w:abstractNumId w:val="13"/>
  </w:num>
  <w:num w:numId="8" w16cid:durableId="1911848330">
    <w:abstractNumId w:val="0"/>
  </w:num>
  <w:num w:numId="9" w16cid:durableId="1221134315">
    <w:abstractNumId w:val="4"/>
  </w:num>
  <w:num w:numId="10" w16cid:durableId="1775592752">
    <w:abstractNumId w:val="14"/>
  </w:num>
  <w:num w:numId="11" w16cid:durableId="8532643">
    <w:abstractNumId w:val="3"/>
  </w:num>
  <w:num w:numId="12" w16cid:durableId="1343244200">
    <w:abstractNumId w:val="9"/>
  </w:num>
  <w:num w:numId="13" w16cid:durableId="292369085">
    <w:abstractNumId w:val="7"/>
  </w:num>
  <w:num w:numId="14" w16cid:durableId="638261908">
    <w:abstractNumId w:val="16"/>
  </w:num>
  <w:num w:numId="15" w16cid:durableId="1108502917">
    <w:abstractNumId w:val="6"/>
  </w:num>
  <w:num w:numId="16" w16cid:durableId="1989548829">
    <w:abstractNumId w:val="8"/>
  </w:num>
  <w:num w:numId="17" w16cid:durableId="512888554">
    <w:abstractNumId w:val="5"/>
  </w:num>
  <w:num w:numId="18" w16cid:durableId="1437753775">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846"/>
    <w:rsid w:val="000015D6"/>
    <w:rsid w:val="00003232"/>
    <w:rsid w:val="000047A7"/>
    <w:rsid w:val="00006F5A"/>
    <w:rsid w:val="000075DF"/>
    <w:rsid w:val="00007AD8"/>
    <w:rsid w:val="00012A36"/>
    <w:rsid w:val="00013EEA"/>
    <w:rsid w:val="00016F14"/>
    <w:rsid w:val="00017FF9"/>
    <w:rsid w:val="000279C2"/>
    <w:rsid w:val="00030DF8"/>
    <w:rsid w:val="00037CC1"/>
    <w:rsid w:val="00046C55"/>
    <w:rsid w:val="000541DB"/>
    <w:rsid w:val="00060351"/>
    <w:rsid w:val="0006127B"/>
    <w:rsid w:val="00063D8F"/>
    <w:rsid w:val="000658F6"/>
    <w:rsid w:val="000718EF"/>
    <w:rsid w:val="0007269D"/>
    <w:rsid w:val="000804F0"/>
    <w:rsid w:val="00082071"/>
    <w:rsid w:val="00083CD2"/>
    <w:rsid w:val="00084A7C"/>
    <w:rsid w:val="00084EAF"/>
    <w:rsid w:val="000851AF"/>
    <w:rsid w:val="000A08E1"/>
    <w:rsid w:val="000A0A04"/>
    <w:rsid w:val="000A205D"/>
    <w:rsid w:val="000A205F"/>
    <w:rsid w:val="000A5685"/>
    <w:rsid w:val="000A6CC8"/>
    <w:rsid w:val="000C2DFE"/>
    <w:rsid w:val="000C5EFF"/>
    <w:rsid w:val="000D12BB"/>
    <w:rsid w:val="000D1380"/>
    <w:rsid w:val="000D6ADE"/>
    <w:rsid w:val="000E3D4A"/>
    <w:rsid w:val="000E68DE"/>
    <w:rsid w:val="000F2B4D"/>
    <w:rsid w:val="000F3FC2"/>
    <w:rsid w:val="000F4476"/>
    <w:rsid w:val="0011140A"/>
    <w:rsid w:val="00111671"/>
    <w:rsid w:val="00112BBE"/>
    <w:rsid w:val="00117156"/>
    <w:rsid w:val="00123EE2"/>
    <w:rsid w:val="00133C04"/>
    <w:rsid w:val="001348A6"/>
    <w:rsid w:val="001348FF"/>
    <w:rsid w:val="00135699"/>
    <w:rsid w:val="001356A5"/>
    <w:rsid w:val="00137DF8"/>
    <w:rsid w:val="001427B8"/>
    <w:rsid w:val="00145021"/>
    <w:rsid w:val="0014512B"/>
    <w:rsid w:val="00146EF2"/>
    <w:rsid w:val="00146FE1"/>
    <w:rsid w:val="001603EC"/>
    <w:rsid w:val="00161EBE"/>
    <w:rsid w:val="001623F6"/>
    <w:rsid w:val="00166795"/>
    <w:rsid w:val="001705A9"/>
    <w:rsid w:val="00187ACF"/>
    <w:rsid w:val="00192746"/>
    <w:rsid w:val="00192893"/>
    <w:rsid w:val="001946D6"/>
    <w:rsid w:val="001965DB"/>
    <w:rsid w:val="00197DA3"/>
    <w:rsid w:val="001A0133"/>
    <w:rsid w:val="001A1463"/>
    <w:rsid w:val="001B4D7C"/>
    <w:rsid w:val="001C48AC"/>
    <w:rsid w:val="001C56B2"/>
    <w:rsid w:val="001D14BC"/>
    <w:rsid w:val="001E045B"/>
    <w:rsid w:val="001E342E"/>
    <w:rsid w:val="001E3E10"/>
    <w:rsid w:val="001E57D6"/>
    <w:rsid w:val="001E65D4"/>
    <w:rsid w:val="001E76B9"/>
    <w:rsid w:val="001F0F45"/>
    <w:rsid w:val="001F7EF9"/>
    <w:rsid w:val="002056C6"/>
    <w:rsid w:val="00207C84"/>
    <w:rsid w:val="00211C97"/>
    <w:rsid w:val="002122B1"/>
    <w:rsid w:val="00214825"/>
    <w:rsid w:val="00214E00"/>
    <w:rsid w:val="0022386D"/>
    <w:rsid w:val="00224293"/>
    <w:rsid w:val="00225FAA"/>
    <w:rsid w:val="00226549"/>
    <w:rsid w:val="00226741"/>
    <w:rsid w:val="00227A9A"/>
    <w:rsid w:val="00227EBB"/>
    <w:rsid w:val="002366E6"/>
    <w:rsid w:val="002509E6"/>
    <w:rsid w:val="00257DA6"/>
    <w:rsid w:val="00262331"/>
    <w:rsid w:val="00262D99"/>
    <w:rsid w:val="002709B3"/>
    <w:rsid w:val="002777CF"/>
    <w:rsid w:val="00283169"/>
    <w:rsid w:val="002836E5"/>
    <w:rsid w:val="00284B24"/>
    <w:rsid w:val="00284DB4"/>
    <w:rsid w:val="00285877"/>
    <w:rsid w:val="00287C6D"/>
    <w:rsid w:val="00291DF0"/>
    <w:rsid w:val="00293EBE"/>
    <w:rsid w:val="002955EF"/>
    <w:rsid w:val="00296327"/>
    <w:rsid w:val="002A01A9"/>
    <w:rsid w:val="002A2F31"/>
    <w:rsid w:val="002A3952"/>
    <w:rsid w:val="002A4061"/>
    <w:rsid w:val="002A4B7C"/>
    <w:rsid w:val="002A6A44"/>
    <w:rsid w:val="002A6F5B"/>
    <w:rsid w:val="002B2CD4"/>
    <w:rsid w:val="002B7EFF"/>
    <w:rsid w:val="002C3F56"/>
    <w:rsid w:val="002D478F"/>
    <w:rsid w:val="002D66C9"/>
    <w:rsid w:val="002E042C"/>
    <w:rsid w:val="002E06A0"/>
    <w:rsid w:val="002E0F08"/>
    <w:rsid w:val="002E44B9"/>
    <w:rsid w:val="002F0D71"/>
    <w:rsid w:val="002F23AD"/>
    <w:rsid w:val="002F4E85"/>
    <w:rsid w:val="00300329"/>
    <w:rsid w:val="00304F06"/>
    <w:rsid w:val="00311222"/>
    <w:rsid w:val="00313835"/>
    <w:rsid w:val="00324237"/>
    <w:rsid w:val="00330485"/>
    <w:rsid w:val="003315A8"/>
    <w:rsid w:val="0033567A"/>
    <w:rsid w:val="00340ED5"/>
    <w:rsid w:val="0034125D"/>
    <w:rsid w:val="00341C1A"/>
    <w:rsid w:val="00347573"/>
    <w:rsid w:val="00362C03"/>
    <w:rsid w:val="00365647"/>
    <w:rsid w:val="00366311"/>
    <w:rsid w:val="00371D68"/>
    <w:rsid w:val="00374B2B"/>
    <w:rsid w:val="003769AA"/>
    <w:rsid w:val="003772BE"/>
    <w:rsid w:val="00380122"/>
    <w:rsid w:val="0038142D"/>
    <w:rsid w:val="00382E89"/>
    <w:rsid w:val="003914A0"/>
    <w:rsid w:val="003A0B87"/>
    <w:rsid w:val="003A54C2"/>
    <w:rsid w:val="003A6652"/>
    <w:rsid w:val="003A6BA1"/>
    <w:rsid w:val="003B0559"/>
    <w:rsid w:val="003B09CB"/>
    <w:rsid w:val="003B253E"/>
    <w:rsid w:val="003B688F"/>
    <w:rsid w:val="003C5688"/>
    <w:rsid w:val="003C72D6"/>
    <w:rsid w:val="003D3532"/>
    <w:rsid w:val="003E1B0F"/>
    <w:rsid w:val="003E29F2"/>
    <w:rsid w:val="003E3ED6"/>
    <w:rsid w:val="003E5FDE"/>
    <w:rsid w:val="003E6F58"/>
    <w:rsid w:val="003F6030"/>
    <w:rsid w:val="003F6C89"/>
    <w:rsid w:val="003F7702"/>
    <w:rsid w:val="00400788"/>
    <w:rsid w:val="00404514"/>
    <w:rsid w:val="00411073"/>
    <w:rsid w:val="00411FAD"/>
    <w:rsid w:val="004128C1"/>
    <w:rsid w:val="0042609B"/>
    <w:rsid w:val="004373B1"/>
    <w:rsid w:val="00443DA2"/>
    <w:rsid w:val="00443ECB"/>
    <w:rsid w:val="00446E3D"/>
    <w:rsid w:val="0045255B"/>
    <w:rsid w:val="00454BFA"/>
    <w:rsid w:val="00460600"/>
    <w:rsid w:val="0046764F"/>
    <w:rsid w:val="00467DCB"/>
    <w:rsid w:val="004755E0"/>
    <w:rsid w:val="00484EFA"/>
    <w:rsid w:val="00487857"/>
    <w:rsid w:val="00493680"/>
    <w:rsid w:val="0049417A"/>
    <w:rsid w:val="004951D1"/>
    <w:rsid w:val="00496E14"/>
    <w:rsid w:val="004A1DD1"/>
    <w:rsid w:val="004A2010"/>
    <w:rsid w:val="004B115A"/>
    <w:rsid w:val="004B3277"/>
    <w:rsid w:val="004B6324"/>
    <w:rsid w:val="004C6C30"/>
    <w:rsid w:val="004C764A"/>
    <w:rsid w:val="004D111B"/>
    <w:rsid w:val="004D3B32"/>
    <w:rsid w:val="004E0458"/>
    <w:rsid w:val="004E1FC1"/>
    <w:rsid w:val="004E3ED4"/>
    <w:rsid w:val="004E4A08"/>
    <w:rsid w:val="004F22D2"/>
    <w:rsid w:val="004F4043"/>
    <w:rsid w:val="00504595"/>
    <w:rsid w:val="005125BC"/>
    <w:rsid w:val="00513888"/>
    <w:rsid w:val="00524A3D"/>
    <w:rsid w:val="00524C5D"/>
    <w:rsid w:val="0053030D"/>
    <w:rsid w:val="0054204E"/>
    <w:rsid w:val="00544361"/>
    <w:rsid w:val="0054645A"/>
    <w:rsid w:val="0054652D"/>
    <w:rsid w:val="00552964"/>
    <w:rsid w:val="00555C2A"/>
    <w:rsid w:val="00577704"/>
    <w:rsid w:val="0058584B"/>
    <w:rsid w:val="0059418F"/>
    <w:rsid w:val="005A0FED"/>
    <w:rsid w:val="005A2032"/>
    <w:rsid w:val="005A3FD2"/>
    <w:rsid w:val="005A7570"/>
    <w:rsid w:val="005A7C30"/>
    <w:rsid w:val="005D06AC"/>
    <w:rsid w:val="005D19D8"/>
    <w:rsid w:val="005D322C"/>
    <w:rsid w:val="005D32D1"/>
    <w:rsid w:val="005D6AA6"/>
    <w:rsid w:val="005E0D17"/>
    <w:rsid w:val="005E11EA"/>
    <w:rsid w:val="005E25D2"/>
    <w:rsid w:val="005E3A95"/>
    <w:rsid w:val="005E59AD"/>
    <w:rsid w:val="005E6914"/>
    <w:rsid w:val="005F4EAA"/>
    <w:rsid w:val="005F6447"/>
    <w:rsid w:val="0060317C"/>
    <w:rsid w:val="00603908"/>
    <w:rsid w:val="00606455"/>
    <w:rsid w:val="006064DB"/>
    <w:rsid w:val="00610F6C"/>
    <w:rsid w:val="0061137A"/>
    <w:rsid w:val="00637E3B"/>
    <w:rsid w:val="00640743"/>
    <w:rsid w:val="006421F0"/>
    <w:rsid w:val="00644772"/>
    <w:rsid w:val="006579CE"/>
    <w:rsid w:val="00663941"/>
    <w:rsid w:val="0067474A"/>
    <w:rsid w:val="00676CD3"/>
    <w:rsid w:val="00680DD4"/>
    <w:rsid w:val="006818B4"/>
    <w:rsid w:val="00684FC8"/>
    <w:rsid w:val="00686E27"/>
    <w:rsid w:val="0068753C"/>
    <w:rsid w:val="006876E8"/>
    <w:rsid w:val="00692E2B"/>
    <w:rsid w:val="00695006"/>
    <w:rsid w:val="00695EA0"/>
    <w:rsid w:val="00697A37"/>
    <w:rsid w:val="006A0C6A"/>
    <w:rsid w:val="006A3859"/>
    <w:rsid w:val="006A4EBF"/>
    <w:rsid w:val="006B20CF"/>
    <w:rsid w:val="006B5D82"/>
    <w:rsid w:val="006D165F"/>
    <w:rsid w:val="006D2ED6"/>
    <w:rsid w:val="006D4AA9"/>
    <w:rsid w:val="006D4DFA"/>
    <w:rsid w:val="006D7A89"/>
    <w:rsid w:val="006D7EE1"/>
    <w:rsid w:val="006E17BE"/>
    <w:rsid w:val="006E213A"/>
    <w:rsid w:val="006E3427"/>
    <w:rsid w:val="006E5F9E"/>
    <w:rsid w:val="006E6D0A"/>
    <w:rsid w:val="006E7CD1"/>
    <w:rsid w:val="006F59A6"/>
    <w:rsid w:val="006F6972"/>
    <w:rsid w:val="006F6B47"/>
    <w:rsid w:val="006F790C"/>
    <w:rsid w:val="006F7CF2"/>
    <w:rsid w:val="007024D4"/>
    <w:rsid w:val="00706477"/>
    <w:rsid w:val="00714CF4"/>
    <w:rsid w:val="00715833"/>
    <w:rsid w:val="00717F1A"/>
    <w:rsid w:val="00730B62"/>
    <w:rsid w:val="00735FD5"/>
    <w:rsid w:val="007361D2"/>
    <w:rsid w:val="00745693"/>
    <w:rsid w:val="0074617A"/>
    <w:rsid w:val="007475C5"/>
    <w:rsid w:val="007503C4"/>
    <w:rsid w:val="0076029F"/>
    <w:rsid w:val="00776A7C"/>
    <w:rsid w:val="007801AE"/>
    <w:rsid w:val="00785FB4"/>
    <w:rsid w:val="007869FE"/>
    <w:rsid w:val="00787104"/>
    <w:rsid w:val="00793D3A"/>
    <w:rsid w:val="007943A3"/>
    <w:rsid w:val="0079548F"/>
    <w:rsid w:val="00797348"/>
    <w:rsid w:val="007A15EC"/>
    <w:rsid w:val="007A26B1"/>
    <w:rsid w:val="007A30BA"/>
    <w:rsid w:val="007A41DE"/>
    <w:rsid w:val="007A4BF4"/>
    <w:rsid w:val="007B0380"/>
    <w:rsid w:val="007B241F"/>
    <w:rsid w:val="007B440E"/>
    <w:rsid w:val="007C0CCE"/>
    <w:rsid w:val="007C4530"/>
    <w:rsid w:val="007C467A"/>
    <w:rsid w:val="007C4724"/>
    <w:rsid w:val="007C7BF7"/>
    <w:rsid w:val="007D17DE"/>
    <w:rsid w:val="007D32DF"/>
    <w:rsid w:val="007D6FFC"/>
    <w:rsid w:val="007E2139"/>
    <w:rsid w:val="007E70B6"/>
    <w:rsid w:val="007E7A67"/>
    <w:rsid w:val="007F1725"/>
    <w:rsid w:val="007F1E60"/>
    <w:rsid w:val="007F6285"/>
    <w:rsid w:val="008000DA"/>
    <w:rsid w:val="0080408C"/>
    <w:rsid w:val="00806BE6"/>
    <w:rsid w:val="00807F40"/>
    <w:rsid w:val="008114BF"/>
    <w:rsid w:val="00817D13"/>
    <w:rsid w:val="00821824"/>
    <w:rsid w:val="008326F9"/>
    <w:rsid w:val="0083411B"/>
    <w:rsid w:val="00834EF0"/>
    <w:rsid w:val="00834F72"/>
    <w:rsid w:val="00846DB5"/>
    <w:rsid w:val="00857157"/>
    <w:rsid w:val="00857E3F"/>
    <w:rsid w:val="00865615"/>
    <w:rsid w:val="00866FA2"/>
    <w:rsid w:val="00872439"/>
    <w:rsid w:val="008734D9"/>
    <w:rsid w:val="00873A7A"/>
    <w:rsid w:val="00876F84"/>
    <w:rsid w:val="008811CF"/>
    <w:rsid w:val="00885404"/>
    <w:rsid w:val="00886E1E"/>
    <w:rsid w:val="00891734"/>
    <w:rsid w:val="008A7758"/>
    <w:rsid w:val="008C19B1"/>
    <w:rsid w:val="008C3A64"/>
    <w:rsid w:val="008C46E0"/>
    <w:rsid w:val="008C6C67"/>
    <w:rsid w:val="008C7F0B"/>
    <w:rsid w:val="008D0041"/>
    <w:rsid w:val="008D01D3"/>
    <w:rsid w:val="008D1960"/>
    <w:rsid w:val="008D2137"/>
    <w:rsid w:val="008D6CAC"/>
    <w:rsid w:val="008D7ABE"/>
    <w:rsid w:val="008E3937"/>
    <w:rsid w:val="008E4364"/>
    <w:rsid w:val="008F08A7"/>
    <w:rsid w:val="008F299F"/>
    <w:rsid w:val="009061CC"/>
    <w:rsid w:val="009114C3"/>
    <w:rsid w:val="00920440"/>
    <w:rsid w:val="0092677B"/>
    <w:rsid w:val="00930164"/>
    <w:rsid w:val="00937F00"/>
    <w:rsid w:val="0094625B"/>
    <w:rsid w:val="00950445"/>
    <w:rsid w:val="00952463"/>
    <w:rsid w:val="0095648E"/>
    <w:rsid w:val="009569E7"/>
    <w:rsid w:val="009604AF"/>
    <w:rsid w:val="0096496E"/>
    <w:rsid w:val="00965681"/>
    <w:rsid w:val="0097147D"/>
    <w:rsid w:val="00971941"/>
    <w:rsid w:val="009726BC"/>
    <w:rsid w:val="0097292E"/>
    <w:rsid w:val="00976BFD"/>
    <w:rsid w:val="0098054A"/>
    <w:rsid w:val="0098553E"/>
    <w:rsid w:val="009907C0"/>
    <w:rsid w:val="00991194"/>
    <w:rsid w:val="00993703"/>
    <w:rsid w:val="009A0E46"/>
    <w:rsid w:val="009B0487"/>
    <w:rsid w:val="009B421A"/>
    <w:rsid w:val="009B64CA"/>
    <w:rsid w:val="009B75AC"/>
    <w:rsid w:val="009D0B04"/>
    <w:rsid w:val="009D6F8F"/>
    <w:rsid w:val="009E006C"/>
    <w:rsid w:val="009E100F"/>
    <w:rsid w:val="009E4AE5"/>
    <w:rsid w:val="009E6D5C"/>
    <w:rsid w:val="009E75D2"/>
    <w:rsid w:val="009F1E07"/>
    <w:rsid w:val="00A014F1"/>
    <w:rsid w:val="00A040DF"/>
    <w:rsid w:val="00A04F04"/>
    <w:rsid w:val="00A059BC"/>
    <w:rsid w:val="00A10766"/>
    <w:rsid w:val="00A14AE3"/>
    <w:rsid w:val="00A15BC6"/>
    <w:rsid w:val="00A16252"/>
    <w:rsid w:val="00A169A0"/>
    <w:rsid w:val="00A16CD7"/>
    <w:rsid w:val="00A17C55"/>
    <w:rsid w:val="00A21ED3"/>
    <w:rsid w:val="00A2323C"/>
    <w:rsid w:val="00A249BD"/>
    <w:rsid w:val="00A260E8"/>
    <w:rsid w:val="00A26A16"/>
    <w:rsid w:val="00A37854"/>
    <w:rsid w:val="00A448CF"/>
    <w:rsid w:val="00A61981"/>
    <w:rsid w:val="00A6491A"/>
    <w:rsid w:val="00A66124"/>
    <w:rsid w:val="00A6732A"/>
    <w:rsid w:val="00A75B1B"/>
    <w:rsid w:val="00A76248"/>
    <w:rsid w:val="00A76F5F"/>
    <w:rsid w:val="00A80E02"/>
    <w:rsid w:val="00A93B65"/>
    <w:rsid w:val="00A9452C"/>
    <w:rsid w:val="00A95CCC"/>
    <w:rsid w:val="00A95D2B"/>
    <w:rsid w:val="00AA6DA0"/>
    <w:rsid w:val="00AB07B6"/>
    <w:rsid w:val="00AB25C1"/>
    <w:rsid w:val="00AB51C9"/>
    <w:rsid w:val="00AB528F"/>
    <w:rsid w:val="00AB79F5"/>
    <w:rsid w:val="00AD0B7D"/>
    <w:rsid w:val="00AD15DA"/>
    <w:rsid w:val="00AE3185"/>
    <w:rsid w:val="00AE42EB"/>
    <w:rsid w:val="00AF0790"/>
    <w:rsid w:val="00AF07AB"/>
    <w:rsid w:val="00B05B07"/>
    <w:rsid w:val="00B11AC0"/>
    <w:rsid w:val="00B138DE"/>
    <w:rsid w:val="00B17ED6"/>
    <w:rsid w:val="00B2161D"/>
    <w:rsid w:val="00B22D1A"/>
    <w:rsid w:val="00B2480B"/>
    <w:rsid w:val="00B257F7"/>
    <w:rsid w:val="00B26443"/>
    <w:rsid w:val="00B276C6"/>
    <w:rsid w:val="00B313A2"/>
    <w:rsid w:val="00B354A1"/>
    <w:rsid w:val="00B41531"/>
    <w:rsid w:val="00B428AF"/>
    <w:rsid w:val="00B44F8A"/>
    <w:rsid w:val="00B45142"/>
    <w:rsid w:val="00B50BB9"/>
    <w:rsid w:val="00B51632"/>
    <w:rsid w:val="00B52B17"/>
    <w:rsid w:val="00B530F8"/>
    <w:rsid w:val="00B53520"/>
    <w:rsid w:val="00B547ED"/>
    <w:rsid w:val="00B57753"/>
    <w:rsid w:val="00B57A32"/>
    <w:rsid w:val="00B63532"/>
    <w:rsid w:val="00B65D6E"/>
    <w:rsid w:val="00B664A2"/>
    <w:rsid w:val="00B75191"/>
    <w:rsid w:val="00B75DA0"/>
    <w:rsid w:val="00B80E4D"/>
    <w:rsid w:val="00B80F41"/>
    <w:rsid w:val="00B8427C"/>
    <w:rsid w:val="00B8662B"/>
    <w:rsid w:val="00B87BF8"/>
    <w:rsid w:val="00B94B77"/>
    <w:rsid w:val="00B95A36"/>
    <w:rsid w:val="00BA0E73"/>
    <w:rsid w:val="00BB0E03"/>
    <w:rsid w:val="00BB337A"/>
    <w:rsid w:val="00BB5D0B"/>
    <w:rsid w:val="00BB5DB2"/>
    <w:rsid w:val="00BC1582"/>
    <w:rsid w:val="00BC2DEE"/>
    <w:rsid w:val="00BC6992"/>
    <w:rsid w:val="00BD3B9F"/>
    <w:rsid w:val="00BD4194"/>
    <w:rsid w:val="00BD4713"/>
    <w:rsid w:val="00BD529D"/>
    <w:rsid w:val="00BE0FCB"/>
    <w:rsid w:val="00BE1812"/>
    <w:rsid w:val="00BF02E2"/>
    <w:rsid w:val="00BF1E38"/>
    <w:rsid w:val="00BF28B1"/>
    <w:rsid w:val="00C02D04"/>
    <w:rsid w:val="00C03D32"/>
    <w:rsid w:val="00C06E49"/>
    <w:rsid w:val="00C135AD"/>
    <w:rsid w:val="00C156E2"/>
    <w:rsid w:val="00C17868"/>
    <w:rsid w:val="00C21923"/>
    <w:rsid w:val="00C22728"/>
    <w:rsid w:val="00C232A6"/>
    <w:rsid w:val="00C26728"/>
    <w:rsid w:val="00C3605A"/>
    <w:rsid w:val="00C41594"/>
    <w:rsid w:val="00C45155"/>
    <w:rsid w:val="00C507BE"/>
    <w:rsid w:val="00C52CF9"/>
    <w:rsid w:val="00C54719"/>
    <w:rsid w:val="00C56DCF"/>
    <w:rsid w:val="00C57E81"/>
    <w:rsid w:val="00C636EB"/>
    <w:rsid w:val="00C63C28"/>
    <w:rsid w:val="00C66F83"/>
    <w:rsid w:val="00C7198E"/>
    <w:rsid w:val="00C82AD0"/>
    <w:rsid w:val="00C8400D"/>
    <w:rsid w:val="00C861A6"/>
    <w:rsid w:val="00C91A48"/>
    <w:rsid w:val="00C92670"/>
    <w:rsid w:val="00C92D33"/>
    <w:rsid w:val="00CA3010"/>
    <w:rsid w:val="00CA3866"/>
    <w:rsid w:val="00CA60EE"/>
    <w:rsid w:val="00CA7F38"/>
    <w:rsid w:val="00CB03A5"/>
    <w:rsid w:val="00CB041C"/>
    <w:rsid w:val="00CB0C5E"/>
    <w:rsid w:val="00CB17EF"/>
    <w:rsid w:val="00CB24BA"/>
    <w:rsid w:val="00CB7846"/>
    <w:rsid w:val="00CD4C8E"/>
    <w:rsid w:val="00CE5E27"/>
    <w:rsid w:val="00CE615F"/>
    <w:rsid w:val="00CF06E3"/>
    <w:rsid w:val="00CF5C54"/>
    <w:rsid w:val="00D01181"/>
    <w:rsid w:val="00D02682"/>
    <w:rsid w:val="00D0540B"/>
    <w:rsid w:val="00D102DC"/>
    <w:rsid w:val="00D113C6"/>
    <w:rsid w:val="00D14303"/>
    <w:rsid w:val="00D14DAD"/>
    <w:rsid w:val="00D25DC3"/>
    <w:rsid w:val="00D30639"/>
    <w:rsid w:val="00D4206E"/>
    <w:rsid w:val="00D47C06"/>
    <w:rsid w:val="00D523FE"/>
    <w:rsid w:val="00D558E1"/>
    <w:rsid w:val="00D62377"/>
    <w:rsid w:val="00D75D78"/>
    <w:rsid w:val="00D7606C"/>
    <w:rsid w:val="00D76B0D"/>
    <w:rsid w:val="00D76C02"/>
    <w:rsid w:val="00D77C15"/>
    <w:rsid w:val="00D859A2"/>
    <w:rsid w:val="00D86892"/>
    <w:rsid w:val="00D95885"/>
    <w:rsid w:val="00DA24D6"/>
    <w:rsid w:val="00DA352A"/>
    <w:rsid w:val="00DA45CB"/>
    <w:rsid w:val="00DB14C9"/>
    <w:rsid w:val="00DB3918"/>
    <w:rsid w:val="00DB6F2B"/>
    <w:rsid w:val="00DC1F66"/>
    <w:rsid w:val="00DC2A7B"/>
    <w:rsid w:val="00DC4D46"/>
    <w:rsid w:val="00DD2315"/>
    <w:rsid w:val="00DD356C"/>
    <w:rsid w:val="00DD3B37"/>
    <w:rsid w:val="00DD40F9"/>
    <w:rsid w:val="00DD47FB"/>
    <w:rsid w:val="00DF0943"/>
    <w:rsid w:val="00DF36D9"/>
    <w:rsid w:val="00DF7B75"/>
    <w:rsid w:val="00E14E94"/>
    <w:rsid w:val="00E15EE9"/>
    <w:rsid w:val="00E17DE0"/>
    <w:rsid w:val="00E231C2"/>
    <w:rsid w:val="00E2448A"/>
    <w:rsid w:val="00E27B3F"/>
    <w:rsid w:val="00E31D98"/>
    <w:rsid w:val="00E3366F"/>
    <w:rsid w:val="00E34E68"/>
    <w:rsid w:val="00E4151C"/>
    <w:rsid w:val="00E4171F"/>
    <w:rsid w:val="00E45413"/>
    <w:rsid w:val="00E465F6"/>
    <w:rsid w:val="00E4735E"/>
    <w:rsid w:val="00E53E05"/>
    <w:rsid w:val="00E5676A"/>
    <w:rsid w:val="00E6292D"/>
    <w:rsid w:val="00E643EA"/>
    <w:rsid w:val="00E66F15"/>
    <w:rsid w:val="00E70061"/>
    <w:rsid w:val="00E7038D"/>
    <w:rsid w:val="00E70CB1"/>
    <w:rsid w:val="00E76051"/>
    <w:rsid w:val="00E778EE"/>
    <w:rsid w:val="00E81368"/>
    <w:rsid w:val="00E82EB0"/>
    <w:rsid w:val="00E84397"/>
    <w:rsid w:val="00EA03D5"/>
    <w:rsid w:val="00EA10EE"/>
    <w:rsid w:val="00EA2F27"/>
    <w:rsid w:val="00EA5207"/>
    <w:rsid w:val="00EA76C7"/>
    <w:rsid w:val="00EB0D27"/>
    <w:rsid w:val="00EB1663"/>
    <w:rsid w:val="00EB347C"/>
    <w:rsid w:val="00EC7839"/>
    <w:rsid w:val="00ED3BA1"/>
    <w:rsid w:val="00EF1914"/>
    <w:rsid w:val="00EF4E17"/>
    <w:rsid w:val="00EF6A74"/>
    <w:rsid w:val="00EF788C"/>
    <w:rsid w:val="00F01EDD"/>
    <w:rsid w:val="00F03227"/>
    <w:rsid w:val="00F10547"/>
    <w:rsid w:val="00F1232F"/>
    <w:rsid w:val="00F133BD"/>
    <w:rsid w:val="00F21EDC"/>
    <w:rsid w:val="00F23E60"/>
    <w:rsid w:val="00F248DB"/>
    <w:rsid w:val="00F40A49"/>
    <w:rsid w:val="00F42409"/>
    <w:rsid w:val="00F44ACA"/>
    <w:rsid w:val="00F55B5B"/>
    <w:rsid w:val="00F62DDB"/>
    <w:rsid w:val="00F6459C"/>
    <w:rsid w:val="00F65621"/>
    <w:rsid w:val="00F66253"/>
    <w:rsid w:val="00F70710"/>
    <w:rsid w:val="00F738A4"/>
    <w:rsid w:val="00F805DA"/>
    <w:rsid w:val="00F87918"/>
    <w:rsid w:val="00F90259"/>
    <w:rsid w:val="00F91053"/>
    <w:rsid w:val="00F930E3"/>
    <w:rsid w:val="00F93A65"/>
    <w:rsid w:val="00F93C6E"/>
    <w:rsid w:val="00F97DEE"/>
    <w:rsid w:val="00FA13AD"/>
    <w:rsid w:val="00FB093D"/>
    <w:rsid w:val="00FB1458"/>
    <w:rsid w:val="00FB2290"/>
    <w:rsid w:val="00FB2745"/>
    <w:rsid w:val="00FB464D"/>
    <w:rsid w:val="00FB7466"/>
    <w:rsid w:val="00FC1190"/>
    <w:rsid w:val="00FC1715"/>
    <w:rsid w:val="00FC4E89"/>
    <w:rsid w:val="00FD0D7B"/>
    <w:rsid w:val="00FD1CB4"/>
    <w:rsid w:val="00FD23D3"/>
    <w:rsid w:val="00FE35A9"/>
    <w:rsid w:val="00FE4A6D"/>
    <w:rsid w:val="00FF0E5D"/>
    <w:rsid w:val="00FF42CC"/>
    <w:rsid w:val="00FF5929"/>
    <w:rsid w:val="00FF62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C3D7C"/>
  <w15:docId w15:val="{D979FE60-A6E1-4A52-84FD-13143890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967"/>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1709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Cita textual"/>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170967"/>
    <w:rPr>
      <w:rFonts w:asciiTheme="majorHAnsi" w:eastAsiaTheme="majorEastAsia" w:hAnsiTheme="majorHAnsi" w:cstheme="majorBidi"/>
      <w:color w:val="2E74B5" w:themeColor="accent1" w:themeShade="BF"/>
      <w:sz w:val="26"/>
      <w:szCs w:val="26"/>
      <w:lang w:eastAsia="es-MX"/>
    </w:rPr>
  </w:style>
  <w:style w:type="paragraph" w:styleId="Encabezado">
    <w:name w:val="header"/>
    <w:basedOn w:val="Normal"/>
    <w:link w:val="EncabezadoCar"/>
    <w:uiPriority w:val="99"/>
    <w:unhideWhenUsed/>
    <w:rsid w:val="00170967"/>
    <w:pPr>
      <w:tabs>
        <w:tab w:val="center" w:pos="4419"/>
        <w:tab w:val="right" w:pos="8838"/>
      </w:tabs>
    </w:pPr>
  </w:style>
  <w:style w:type="character" w:customStyle="1" w:styleId="EncabezadoCar">
    <w:name w:val="Encabezado Car"/>
    <w:basedOn w:val="Fuentedeprrafopredeter"/>
    <w:link w:val="Encabezado"/>
    <w:uiPriority w:val="99"/>
    <w:rsid w:val="00170967"/>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170967"/>
    <w:pPr>
      <w:tabs>
        <w:tab w:val="center" w:pos="4419"/>
        <w:tab w:val="right" w:pos="8838"/>
      </w:tabs>
    </w:pPr>
  </w:style>
  <w:style w:type="character" w:customStyle="1" w:styleId="PiedepginaCar">
    <w:name w:val="Pie de página Car"/>
    <w:basedOn w:val="Fuentedeprrafopredeter"/>
    <w:link w:val="Piedepgina"/>
    <w:uiPriority w:val="99"/>
    <w:rsid w:val="00170967"/>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70967"/>
    <w:pPr>
      <w:ind w:left="720"/>
      <w:contextualSpacing/>
    </w:pPr>
    <w:rPr>
      <w:rFonts w:ascii="Century Gothic" w:hAnsi="Century Gothic"/>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70967"/>
    <w:rPr>
      <w:rFonts w:ascii="Century Gothic" w:eastAsia="Times New Roman" w:hAnsi="Century Gothic" w:cs="Times New Roman"/>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170967"/>
    <w:rPr>
      <w:color w:val="0563C1"/>
      <w:u w:val="single"/>
    </w:rPr>
  </w:style>
  <w:style w:type="paragraph" w:styleId="Sinespaciado">
    <w:name w:val="No Spacing"/>
    <w:aliases w:val="Francesa,INAI"/>
    <w:link w:val="SinespaciadoCar"/>
    <w:uiPriority w:val="1"/>
    <w:qFormat/>
    <w:rsid w:val="00170967"/>
    <w:rPr>
      <w:lang w:eastAsia="es-ES"/>
    </w:rPr>
  </w:style>
  <w:style w:type="character" w:customStyle="1" w:styleId="SinespaciadoCar">
    <w:name w:val="Sin espaciado Car"/>
    <w:aliases w:val="Francesa Car,INAI Car"/>
    <w:link w:val="Sinespaciado"/>
    <w:uiPriority w:val="1"/>
    <w:qFormat/>
    <w:locked/>
    <w:rsid w:val="00170967"/>
    <w:rPr>
      <w:rFonts w:ascii="Times New Roman" w:eastAsia="Times New Roman" w:hAnsi="Times New Roman" w:cs="Times New Roman"/>
      <w:sz w:val="24"/>
      <w:szCs w:val="24"/>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styleId="Tablaconcuadrcula">
    <w:name w:val="Table Grid"/>
    <w:basedOn w:val="Tablanormal"/>
    <w:uiPriority w:val="39"/>
    <w:qFormat/>
    <w:rsid w:val="00E82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C262E9"/>
    <w:rPr>
      <w:b/>
      <w:sz w:val="28"/>
      <w:szCs w:val="28"/>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05D6F"/>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05D6F"/>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005D6F"/>
    <w:rPr>
      <w:vertAlign w:val="superscript"/>
    </w:rPr>
  </w:style>
  <w:style w:type="paragraph" w:customStyle="1" w:styleId="Texto">
    <w:name w:val="Texto"/>
    <w:basedOn w:val="Normal"/>
    <w:link w:val="TextoCar"/>
    <w:rsid w:val="00005D6F"/>
    <w:pPr>
      <w:spacing w:after="101" w:line="216" w:lineRule="exact"/>
      <w:ind w:firstLine="288"/>
      <w:jc w:val="both"/>
    </w:pPr>
    <w:rPr>
      <w:rFonts w:ascii="Arial" w:hAnsi="Arial" w:cs="Arial"/>
      <w:sz w:val="18"/>
      <w:szCs w:val="20"/>
      <w:lang w:val="es-ES" w:eastAsia="es-ES"/>
    </w:rPr>
  </w:style>
  <w:style w:type="paragraph" w:styleId="Textosinformato">
    <w:name w:val="Plain Text"/>
    <w:basedOn w:val="Normal"/>
    <w:link w:val="TextosinformatoCar"/>
    <w:rsid w:val="00005D6F"/>
    <w:rPr>
      <w:rFonts w:ascii="Courier New" w:hAnsi="Courier New" w:cs="Courier New"/>
      <w:sz w:val="20"/>
      <w:szCs w:val="20"/>
      <w:lang w:val="es-ES" w:eastAsia="es-ES"/>
    </w:rPr>
  </w:style>
  <w:style w:type="character" w:customStyle="1" w:styleId="TextosinformatoCar">
    <w:name w:val="Texto sin formato Car"/>
    <w:basedOn w:val="Fuentedeprrafopredeter"/>
    <w:link w:val="Textosinformato"/>
    <w:rsid w:val="00005D6F"/>
    <w:rPr>
      <w:rFonts w:ascii="Courier New" w:hAnsi="Courier New" w:cs="Courier New"/>
      <w:sz w:val="20"/>
      <w:szCs w:val="20"/>
      <w:lang w:val="es-ES" w:eastAsia="es-ES"/>
    </w:rPr>
  </w:style>
  <w:style w:type="character" w:customStyle="1" w:styleId="TextoCar">
    <w:name w:val="Texto Car"/>
    <w:link w:val="Texto"/>
    <w:locked/>
    <w:rsid w:val="00005D6F"/>
    <w:rPr>
      <w:rFonts w:ascii="Arial" w:hAnsi="Arial" w:cs="Arial"/>
      <w:sz w:val="18"/>
      <w:szCs w:val="20"/>
      <w:lang w:val="es-ES" w:eastAsia="es-ES"/>
    </w:rPr>
  </w:style>
  <w:style w:type="character" w:customStyle="1" w:styleId="TtuloCar">
    <w:name w:val="Título Car"/>
    <w:aliases w:val="Cita textual Car"/>
    <w:basedOn w:val="Fuentedeprrafopredeter"/>
    <w:link w:val="Ttulo"/>
    <w:uiPriority w:val="10"/>
    <w:rsid w:val="004E049C"/>
    <w:rPr>
      <w:b/>
      <w:sz w:val="72"/>
      <w:szCs w:val="72"/>
    </w:rPr>
  </w:style>
  <w:style w:type="character" w:customStyle="1" w:styleId="Ttulo1Car">
    <w:name w:val="Título 1 Car"/>
    <w:basedOn w:val="Fuentedeprrafopredeter"/>
    <w:link w:val="Ttulo1"/>
    <w:rsid w:val="00AC0C67"/>
    <w:rPr>
      <w:b/>
      <w:sz w:val="48"/>
      <w:szCs w:val="48"/>
    </w:r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F62DDB"/>
    <w:rPr>
      <w:color w:val="954F72" w:themeColor="followedHyperlink"/>
      <w:u w:val="single"/>
    </w:rPr>
  </w:style>
  <w:style w:type="character" w:customStyle="1" w:styleId="Mencinsinresolver1">
    <w:name w:val="Mención sin resolver1"/>
    <w:basedOn w:val="Fuentedeprrafopredeter"/>
    <w:uiPriority w:val="99"/>
    <w:semiHidden/>
    <w:unhideWhenUsed/>
    <w:rsid w:val="00E3366F"/>
    <w:rPr>
      <w:color w:val="605E5C"/>
      <w:shd w:val="clear" w:color="auto" w:fill="E1DFDD"/>
    </w:rPr>
  </w:style>
  <w:style w:type="table" w:styleId="Tablanormal1">
    <w:name w:val="Plain Table 1"/>
    <w:basedOn w:val="Tablanormal"/>
    <w:uiPriority w:val="41"/>
    <w:rsid w:val="004C764A"/>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4">
    <w:name w:val="Tabla con cuadrícula4"/>
    <w:basedOn w:val="Tablanormal"/>
    <w:next w:val="Tablaconcuadrcula"/>
    <w:uiPriority w:val="39"/>
    <w:rsid w:val="000541DB"/>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351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gislacion.edomex.gob.mx/sites/legislacion.edomex.gob.mx/files/files/pdf/rgl/vig/rglvig714.pdf"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egislacion.edomex.gob.mx/sites/legislacion.edomex.gob.mx/files/files/pdf/gct/2021/octubre/oct111/oct111b.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islacion.edomex.gob.mx/sites/legislacion.edomex.gob.mx/files/files/pdf/rgl/vig/rglvig714.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egislacion.edomex.gob.mx/sites/legislacion.edomex.gob.mx/files/files/dpf/gct/2021/octubre/oct111/oct111b.pdf"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legislacion.edomex.gob.mx/sites/legislacion.edomex.gob.mx/files/files/pdf/rgl/vig/rglvig714.pdf" TargetMode="External"/><Relationship Id="rId14" Type="http://schemas.openxmlformats.org/officeDocument/2006/relationships/hyperlink" Target="https://legislacion.edomex.gob.mx/sites/legislacion.edomex.gob.mx/files/files/dpf/gct/2021/octubre/oct111/oct111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GxSIrvCLp4Y99YLhBwxwJSJ1fA==">CgMxLjAyCGguZ2pkZ3hzMghoLnR5amN3dDIJaC4xdDNoNXNmMgloLjFmb2I5dGUyCWguM3pueXNoNzIJaC4yZXQ5MnAwMgloLjRkMzRvZzgyDmguZTRobTU4ZWtwOG1zMghoLmxueGJ6OTIJaC40ZDM0b2c4MgloLjJzOGV5bzE4AHIhMWxKcTFVeVp0RXJMejRNOHhSNENxQ1VQdFhjX3dNRGRy</go:docsCustomData>
</go:gDocsCustomXmlDataStorage>
</file>

<file path=customXml/itemProps1.xml><?xml version="1.0" encoding="utf-8"?>
<ds:datastoreItem xmlns:ds="http://schemas.openxmlformats.org/officeDocument/2006/customXml" ds:itemID="{B6EC3456-6603-434F-8EF0-39D01C2DEE6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62</Pages>
  <Words>14084</Words>
  <Characters>77463</Characters>
  <Application>Microsoft Office Word</Application>
  <DocSecurity>0</DocSecurity>
  <Lines>645</Lines>
  <Paragraphs>182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INFOEM549</dc:creator>
  <cp:lastModifiedBy>inf03m612@outlook.com</cp:lastModifiedBy>
  <cp:revision>6</cp:revision>
  <cp:lastPrinted>2024-11-25T19:30:00Z</cp:lastPrinted>
  <dcterms:created xsi:type="dcterms:W3CDTF">2024-11-13T23:43:00Z</dcterms:created>
  <dcterms:modified xsi:type="dcterms:W3CDTF">2024-12-10T18:16:00Z</dcterms:modified>
</cp:coreProperties>
</file>