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D015" w14:textId="77777777" w:rsidR="00B057B1" w:rsidRPr="005A30B1" w:rsidRDefault="00B057B1" w:rsidP="00B057B1">
      <w:pPr>
        <w:spacing w:line="360" w:lineRule="auto"/>
        <w:jc w:val="both"/>
        <w:rPr>
          <w:rFonts w:ascii="Palatino Linotype" w:eastAsiaTheme="minorEastAsia" w:hAnsi="Palatino Linotype"/>
          <w:lang w:val="es-ES_tradnl" w:eastAsia="es-ES"/>
        </w:rPr>
      </w:pPr>
      <w:r w:rsidRPr="005A30B1">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894848" w:rsidRPr="005A30B1">
        <w:rPr>
          <w:rFonts w:ascii="Palatino Linotype" w:eastAsiaTheme="minorEastAsia" w:hAnsi="Palatino Linotype"/>
          <w:lang w:val="es-ES_tradnl" w:eastAsia="es-ES"/>
        </w:rPr>
        <w:t>ocho</w:t>
      </w:r>
      <w:r w:rsidR="00966DC6" w:rsidRPr="005A30B1">
        <w:rPr>
          <w:rFonts w:ascii="Palatino Linotype" w:eastAsiaTheme="minorEastAsia" w:hAnsi="Palatino Linotype"/>
          <w:lang w:val="es-ES_tradnl" w:eastAsia="es-ES"/>
        </w:rPr>
        <w:t xml:space="preserve"> (0</w:t>
      </w:r>
      <w:r w:rsidR="00894848" w:rsidRPr="005A30B1">
        <w:rPr>
          <w:rFonts w:ascii="Palatino Linotype" w:eastAsiaTheme="minorEastAsia" w:hAnsi="Palatino Linotype"/>
          <w:lang w:val="es-ES_tradnl" w:eastAsia="es-ES"/>
        </w:rPr>
        <w:t>8</w:t>
      </w:r>
      <w:r w:rsidR="00966DC6" w:rsidRPr="005A30B1">
        <w:rPr>
          <w:rFonts w:ascii="Palatino Linotype" w:eastAsiaTheme="minorEastAsia" w:hAnsi="Palatino Linotype"/>
          <w:lang w:val="es-ES_tradnl" w:eastAsia="es-ES"/>
        </w:rPr>
        <w:t>) de febrero de dos mil veinticuatro</w:t>
      </w:r>
      <w:r w:rsidRPr="005A30B1">
        <w:rPr>
          <w:rFonts w:ascii="Palatino Linotype" w:eastAsiaTheme="minorEastAsia" w:hAnsi="Palatino Linotype"/>
          <w:lang w:val="es-ES_tradnl" w:eastAsia="es-ES"/>
        </w:rPr>
        <w:t>.</w:t>
      </w:r>
    </w:p>
    <w:p w14:paraId="232B7133" w14:textId="77777777" w:rsidR="00B057B1" w:rsidRPr="005A30B1" w:rsidRDefault="00B057B1" w:rsidP="00B057B1">
      <w:pPr>
        <w:spacing w:line="360" w:lineRule="auto"/>
        <w:jc w:val="both"/>
        <w:rPr>
          <w:rFonts w:ascii="Palatino Linotype" w:eastAsiaTheme="minorEastAsia" w:hAnsi="Palatino Linotype"/>
          <w:lang w:val="es-ES_tradnl" w:eastAsia="es-ES"/>
        </w:rPr>
      </w:pPr>
    </w:p>
    <w:p w14:paraId="54A27483" w14:textId="12102B97" w:rsidR="00B057B1" w:rsidRPr="005A30B1" w:rsidRDefault="00B057B1" w:rsidP="00B057B1">
      <w:pPr>
        <w:spacing w:line="360" w:lineRule="auto"/>
        <w:jc w:val="both"/>
        <w:rPr>
          <w:rFonts w:ascii="Palatino Linotype" w:hAnsi="Palatino Linotype"/>
        </w:rPr>
      </w:pPr>
      <w:r w:rsidRPr="005A30B1">
        <w:rPr>
          <w:rFonts w:ascii="Palatino Linotype" w:hAnsi="Palatino Linotype"/>
          <w:b/>
        </w:rPr>
        <w:t>VISTO</w:t>
      </w:r>
      <w:r w:rsidRPr="005A30B1">
        <w:rPr>
          <w:rFonts w:ascii="Palatino Linotype" w:hAnsi="Palatino Linotype"/>
        </w:rPr>
        <w:t xml:space="preserve"> el expediente electrónico formado con motivo del recurso de revisión </w:t>
      </w:r>
      <w:r w:rsidR="00966DC6" w:rsidRPr="005A30B1">
        <w:rPr>
          <w:rFonts w:ascii="Palatino Linotype" w:hAnsi="Palatino Linotype"/>
          <w:b/>
        </w:rPr>
        <w:t>07608</w:t>
      </w:r>
      <w:r w:rsidRPr="005A30B1">
        <w:rPr>
          <w:rFonts w:ascii="Palatino Linotype" w:hAnsi="Palatino Linotype"/>
          <w:b/>
        </w:rPr>
        <w:t>/INFOEM/IP/RR/2022,</w:t>
      </w:r>
      <w:r w:rsidRPr="005A30B1">
        <w:rPr>
          <w:rFonts w:ascii="Palatino Linotype" w:hAnsi="Palatino Linotype" w:cs="Arial"/>
          <w:b/>
          <w:bCs/>
        </w:rPr>
        <w:t xml:space="preserve"> </w:t>
      </w:r>
      <w:r w:rsidRPr="005A30B1">
        <w:rPr>
          <w:rFonts w:ascii="Palatino Linotype" w:eastAsiaTheme="minorEastAsia" w:hAnsi="Palatino Linotype"/>
          <w:lang w:val="es-ES_tradnl" w:eastAsia="es-ES"/>
        </w:rPr>
        <w:t xml:space="preserve">promovido por </w:t>
      </w:r>
      <w:r w:rsidR="003B6800">
        <w:rPr>
          <w:rFonts w:ascii="Palatino Linotype" w:eastAsiaTheme="minorEastAsia" w:hAnsi="Palatino Linotype"/>
          <w:b/>
          <w:bCs/>
          <w:lang w:eastAsia="es-ES"/>
        </w:rPr>
        <w:t xml:space="preserve">XXX </w:t>
      </w:r>
      <w:proofErr w:type="spellStart"/>
      <w:r w:rsidR="003B6800">
        <w:rPr>
          <w:rFonts w:ascii="Palatino Linotype" w:eastAsiaTheme="minorEastAsia" w:hAnsi="Palatino Linotype"/>
          <w:b/>
          <w:bCs/>
          <w:lang w:eastAsia="es-ES"/>
        </w:rPr>
        <w:t>XXX</w:t>
      </w:r>
      <w:proofErr w:type="spellEnd"/>
      <w:r w:rsidR="003B6800">
        <w:rPr>
          <w:rFonts w:ascii="Palatino Linotype" w:eastAsiaTheme="minorEastAsia" w:hAnsi="Palatino Linotype"/>
          <w:b/>
          <w:bCs/>
          <w:lang w:eastAsia="es-ES"/>
        </w:rPr>
        <w:t xml:space="preserve"> </w:t>
      </w:r>
      <w:proofErr w:type="spellStart"/>
      <w:r w:rsidR="003B6800">
        <w:rPr>
          <w:rFonts w:ascii="Palatino Linotype" w:eastAsiaTheme="minorEastAsia" w:hAnsi="Palatino Linotype"/>
          <w:b/>
          <w:bCs/>
          <w:lang w:eastAsia="es-ES"/>
        </w:rPr>
        <w:t>XXX</w:t>
      </w:r>
      <w:proofErr w:type="spellEnd"/>
      <w:r w:rsidRPr="005A30B1">
        <w:rPr>
          <w:rFonts w:ascii="Palatino Linotype" w:eastAsiaTheme="minorEastAsia" w:hAnsi="Palatino Linotype"/>
          <w:b/>
          <w:lang w:val="es-ES" w:eastAsia="es-ES"/>
        </w:rPr>
        <w:t>,</w:t>
      </w:r>
      <w:r w:rsidRPr="005A30B1">
        <w:rPr>
          <w:rFonts w:ascii="Palatino Linotype" w:eastAsiaTheme="minorEastAsia" w:hAnsi="Palatino Linotype"/>
          <w:lang w:eastAsia="es-ES"/>
        </w:rPr>
        <w:t xml:space="preserve"> </w:t>
      </w:r>
      <w:r w:rsidR="00894848" w:rsidRPr="005A30B1">
        <w:rPr>
          <w:rFonts w:ascii="Palatino Linotype" w:eastAsiaTheme="minorEastAsia" w:hAnsi="Palatino Linotype"/>
          <w:lang w:eastAsia="es-ES"/>
        </w:rPr>
        <w:t xml:space="preserve">a </w:t>
      </w:r>
      <w:r w:rsidRPr="005A30B1">
        <w:rPr>
          <w:rFonts w:ascii="Palatino Linotype" w:eastAsiaTheme="minorEastAsia" w:hAnsi="Palatino Linotype"/>
          <w:lang w:eastAsia="es-ES"/>
        </w:rPr>
        <w:t xml:space="preserve">quien </w:t>
      </w:r>
      <w:r w:rsidRPr="005A30B1">
        <w:rPr>
          <w:rFonts w:ascii="Palatino Linotype" w:hAnsi="Palatino Linotype"/>
        </w:rPr>
        <w:t xml:space="preserve">en lo sucesivo se identificará como </w:t>
      </w:r>
      <w:r w:rsidRPr="005A30B1">
        <w:rPr>
          <w:rFonts w:ascii="Palatino Linotype" w:hAnsi="Palatino Linotype"/>
          <w:b/>
        </w:rPr>
        <w:t xml:space="preserve">EL </w:t>
      </w:r>
      <w:r w:rsidRPr="005A30B1">
        <w:rPr>
          <w:rFonts w:ascii="Palatino Linotype" w:hAnsi="Palatino Linotype" w:cs="Arial"/>
          <w:b/>
        </w:rPr>
        <w:t>RECURRENTE</w:t>
      </w:r>
      <w:r w:rsidRPr="005A30B1">
        <w:rPr>
          <w:rFonts w:ascii="Palatino Linotype" w:hAnsi="Palatino Linotype" w:cs="Arial"/>
        </w:rPr>
        <w:t xml:space="preserve">, en contra de la respuesta del </w:t>
      </w:r>
      <w:r w:rsidR="00966DC6" w:rsidRPr="005A30B1">
        <w:rPr>
          <w:rFonts w:ascii="Palatino Linotype" w:hAnsi="Palatino Linotype" w:cs="Arial"/>
          <w:b/>
        </w:rPr>
        <w:t>Ayuntamiento de Chimalhuacán</w:t>
      </w:r>
      <w:r w:rsidRPr="005A30B1">
        <w:rPr>
          <w:rFonts w:ascii="Palatino Linotype" w:hAnsi="Palatino Linotype" w:cs="Arial"/>
          <w:b/>
        </w:rPr>
        <w:t>,</w:t>
      </w:r>
      <w:r w:rsidRPr="005A30B1">
        <w:rPr>
          <w:rFonts w:ascii="Palatino Linotype" w:hAnsi="Palatino Linotype"/>
          <w:b/>
        </w:rPr>
        <w:t xml:space="preserve"> </w:t>
      </w:r>
      <w:r w:rsidRPr="005A30B1">
        <w:rPr>
          <w:rFonts w:ascii="Palatino Linotype" w:hAnsi="Palatino Linotype"/>
        </w:rPr>
        <w:t xml:space="preserve">en </w:t>
      </w:r>
      <w:r w:rsidR="00894848" w:rsidRPr="005A30B1">
        <w:rPr>
          <w:rFonts w:ascii="Palatino Linotype" w:hAnsi="Palatino Linotype"/>
        </w:rPr>
        <w:t>adelante</w:t>
      </w:r>
      <w:r w:rsidRPr="005A30B1">
        <w:rPr>
          <w:rFonts w:ascii="Palatino Linotype" w:hAnsi="Palatino Linotype"/>
        </w:rPr>
        <w:t xml:space="preserve"> el</w:t>
      </w:r>
      <w:r w:rsidRPr="005A30B1">
        <w:rPr>
          <w:rFonts w:ascii="Palatino Linotype" w:hAnsi="Palatino Linotype"/>
          <w:b/>
        </w:rPr>
        <w:t xml:space="preserve"> SUJETO OBLIGADO</w:t>
      </w:r>
      <w:r w:rsidRPr="005A30B1">
        <w:rPr>
          <w:rFonts w:ascii="Palatino Linotype" w:hAnsi="Palatino Linotype"/>
        </w:rPr>
        <w:t>, por lo que se procede a dictar la presente resolución, con base en los siguientes:</w:t>
      </w:r>
    </w:p>
    <w:p w14:paraId="775CAE43" w14:textId="77777777" w:rsidR="00B057B1" w:rsidRPr="005A30B1" w:rsidRDefault="00B057B1" w:rsidP="00B057B1">
      <w:pPr>
        <w:spacing w:line="360" w:lineRule="auto"/>
        <w:jc w:val="both"/>
        <w:rPr>
          <w:rFonts w:ascii="Palatino Linotype" w:hAnsi="Palatino Linotype"/>
        </w:rPr>
      </w:pPr>
    </w:p>
    <w:p w14:paraId="39963707" w14:textId="77777777" w:rsidR="00B057B1" w:rsidRPr="005A30B1" w:rsidRDefault="00B057B1" w:rsidP="00B057B1">
      <w:pPr>
        <w:keepNext/>
        <w:keepLines/>
        <w:spacing w:line="360" w:lineRule="auto"/>
        <w:jc w:val="center"/>
        <w:outlineLvl w:val="0"/>
        <w:rPr>
          <w:rFonts w:ascii="Palatino Linotype" w:eastAsiaTheme="majorEastAsia" w:hAnsi="Palatino Linotype" w:cstheme="majorBidi"/>
          <w:b/>
        </w:rPr>
      </w:pPr>
      <w:bookmarkStart w:id="0" w:name="_Toc83301633"/>
      <w:r w:rsidRPr="005A30B1">
        <w:rPr>
          <w:rFonts w:ascii="Palatino Linotype" w:eastAsiaTheme="majorEastAsia" w:hAnsi="Palatino Linotype" w:cstheme="majorBidi"/>
          <w:b/>
        </w:rPr>
        <w:t>ANTECEDENTES</w:t>
      </w:r>
      <w:bookmarkEnd w:id="0"/>
    </w:p>
    <w:p w14:paraId="52C9D697" w14:textId="77777777" w:rsidR="00B057B1" w:rsidRPr="005A30B1" w:rsidRDefault="00B057B1" w:rsidP="00B057B1">
      <w:pPr>
        <w:spacing w:line="360" w:lineRule="auto"/>
        <w:rPr>
          <w:rFonts w:ascii="Palatino Linotype" w:eastAsiaTheme="minorEastAsia" w:hAnsi="Palatino Linotype"/>
        </w:rPr>
      </w:pPr>
    </w:p>
    <w:p w14:paraId="243A50E6" w14:textId="77777777" w:rsidR="00B057B1" w:rsidRPr="005A30B1" w:rsidRDefault="00966DC6" w:rsidP="00B057B1">
      <w:pPr>
        <w:numPr>
          <w:ilvl w:val="0"/>
          <w:numId w:val="1"/>
        </w:numPr>
        <w:spacing w:line="360" w:lineRule="auto"/>
        <w:ind w:left="0" w:firstLine="0"/>
        <w:contextualSpacing/>
        <w:jc w:val="both"/>
        <w:rPr>
          <w:rFonts w:ascii="Palatino Linotype" w:hAnsi="Palatino Linotype" w:cs="Arial"/>
          <w:lang w:val="es-ES" w:eastAsia="es-ES"/>
        </w:rPr>
      </w:pPr>
      <w:r w:rsidRPr="005A30B1">
        <w:rPr>
          <w:rFonts w:ascii="Palatino Linotype" w:eastAsia="Calibri" w:hAnsi="Palatino Linotype" w:cs="Arial"/>
          <w:lang w:val="es-ES" w:eastAsia="es-ES"/>
        </w:rPr>
        <w:t>El veintiocho (28) de marzo</w:t>
      </w:r>
      <w:r w:rsidR="00B057B1" w:rsidRPr="005A30B1">
        <w:rPr>
          <w:rFonts w:ascii="Palatino Linotype" w:eastAsia="Calibri" w:hAnsi="Palatino Linotype" w:cs="Arial"/>
          <w:lang w:val="es-ES" w:eastAsia="es-ES"/>
        </w:rPr>
        <w:t xml:space="preserve"> de dos mil veintidós,</w:t>
      </w:r>
      <w:r w:rsidR="00B057B1" w:rsidRPr="005A30B1">
        <w:rPr>
          <w:rFonts w:ascii="Palatino Linotype" w:eastAsia="Calibri" w:hAnsi="Palatino Linotype"/>
          <w:lang w:val="es-ES" w:eastAsia="es-ES"/>
        </w:rPr>
        <w:t xml:space="preserve"> </w:t>
      </w:r>
      <w:r w:rsidR="00B057B1" w:rsidRPr="005A30B1">
        <w:rPr>
          <w:rFonts w:ascii="Palatino Linotype" w:eastAsia="Calibri" w:hAnsi="Palatino Linotype"/>
          <w:b/>
          <w:lang w:val="es-ES" w:eastAsia="es-ES"/>
        </w:rPr>
        <w:t>EL RECURRENTE</w:t>
      </w:r>
      <w:r w:rsidR="00B057B1" w:rsidRPr="005A30B1">
        <w:rPr>
          <w:rFonts w:ascii="Palatino Linotype" w:eastAsiaTheme="minorEastAsia" w:hAnsi="Palatino Linotype"/>
          <w:b/>
          <w:lang w:val="es-ES_tradnl" w:eastAsia="es-ES"/>
        </w:rPr>
        <w:t>,</w:t>
      </w:r>
      <w:r w:rsidR="00B057B1" w:rsidRPr="005A30B1">
        <w:rPr>
          <w:rFonts w:ascii="Palatino Linotype" w:eastAsia="Calibri" w:hAnsi="Palatino Linotype" w:cs="Arial"/>
          <w:lang w:val="es-ES" w:eastAsia="es-ES"/>
        </w:rPr>
        <w:t xml:space="preserve"> ante el </w:t>
      </w:r>
      <w:r w:rsidR="00B057B1" w:rsidRPr="005A30B1">
        <w:rPr>
          <w:rFonts w:ascii="Palatino Linotype" w:eastAsia="Calibri" w:hAnsi="Palatino Linotype" w:cs="Arial"/>
          <w:b/>
          <w:lang w:val="es-ES" w:eastAsia="es-ES"/>
        </w:rPr>
        <w:t>SUJETO OBLIGADO</w:t>
      </w:r>
      <w:r w:rsidR="00B057B1" w:rsidRPr="005A30B1">
        <w:rPr>
          <w:rFonts w:ascii="Palatino Linotype" w:eastAsia="Calibri" w:hAnsi="Palatino Linotype" w:cs="Arial"/>
          <w:lang w:val="es-ES_tradnl" w:eastAsia="es-ES"/>
        </w:rPr>
        <w:t xml:space="preserve"> vía </w:t>
      </w:r>
      <w:r w:rsidR="00B057B1" w:rsidRPr="005A30B1">
        <w:rPr>
          <w:rFonts w:ascii="Palatino Linotype" w:eastAsia="Calibri" w:hAnsi="Palatino Linotype" w:cs="Arial"/>
          <w:lang w:val="es-ES" w:eastAsia="es-ES"/>
        </w:rPr>
        <w:t>Sistema de Acceso a la Información Mexiquense (</w:t>
      </w:r>
      <w:r w:rsidR="00B057B1" w:rsidRPr="005A30B1">
        <w:rPr>
          <w:rFonts w:ascii="Palatino Linotype" w:eastAsia="Calibri" w:hAnsi="Palatino Linotype" w:cs="Arial"/>
          <w:b/>
          <w:lang w:val="es-ES" w:eastAsia="es-ES"/>
        </w:rPr>
        <w:t>SAIMEX)</w:t>
      </w:r>
      <w:r w:rsidR="00B057B1" w:rsidRPr="005A30B1">
        <w:rPr>
          <w:rFonts w:ascii="Palatino Linotype" w:eastAsia="Calibri" w:hAnsi="Palatino Linotype" w:cs="Arial"/>
          <w:lang w:val="es-ES" w:eastAsia="es-ES"/>
        </w:rPr>
        <w:t xml:space="preserve">, presentó una solicitud de información registrada con el número </w:t>
      </w:r>
      <w:r w:rsidRPr="005A30B1">
        <w:rPr>
          <w:rFonts w:ascii="Palatino Linotype" w:hAnsi="Palatino Linotype"/>
          <w:b/>
          <w:bCs/>
        </w:rPr>
        <w:t>00163/CHIMALHU/IP/2022</w:t>
      </w:r>
      <w:r w:rsidR="00B057B1" w:rsidRPr="005A30B1">
        <w:rPr>
          <w:rFonts w:ascii="Palatino Linotype" w:eastAsiaTheme="minorEastAsia" w:hAnsi="Palatino Linotype"/>
          <w:b/>
          <w:lang w:val="es-ES_tradnl" w:eastAsia="es-ES"/>
        </w:rPr>
        <w:t xml:space="preserve">, </w:t>
      </w:r>
      <w:r w:rsidR="00894848" w:rsidRPr="005A30B1">
        <w:rPr>
          <w:rFonts w:ascii="Palatino Linotype" w:eastAsia="Calibri" w:hAnsi="Palatino Linotype" w:cs="Arial"/>
          <w:lang w:val="es-ES" w:eastAsia="es-ES"/>
        </w:rPr>
        <w:t>en la que</w:t>
      </w:r>
      <w:r w:rsidR="00B057B1" w:rsidRPr="005A30B1">
        <w:rPr>
          <w:rFonts w:ascii="Palatino Linotype" w:eastAsia="Calibri" w:hAnsi="Palatino Linotype" w:cs="Arial"/>
          <w:lang w:val="es-ES" w:eastAsia="es-ES"/>
        </w:rPr>
        <w:t xml:space="preserve"> solicitó lo siguiente:</w:t>
      </w:r>
    </w:p>
    <w:p w14:paraId="6C3E4C90" w14:textId="77777777" w:rsidR="00B057B1" w:rsidRPr="005A30B1" w:rsidRDefault="00B057B1" w:rsidP="00B057B1">
      <w:pPr>
        <w:spacing w:line="360" w:lineRule="auto"/>
        <w:contextualSpacing/>
        <w:jc w:val="both"/>
        <w:rPr>
          <w:rFonts w:ascii="Palatino Linotype" w:hAnsi="Palatino Linotype" w:cs="Arial"/>
          <w:lang w:val="es-ES" w:eastAsia="es-ES"/>
        </w:rPr>
      </w:pPr>
    </w:p>
    <w:p w14:paraId="2D0C1551" w14:textId="77777777" w:rsidR="00B057B1" w:rsidRPr="005A30B1" w:rsidRDefault="00B057B1" w:rsidP="00B057B1">
      <w:pPr>
        <w:pStyle w:val="Prrafodelista"/>
        <w:spacing w:line="360" w:lineRule="auto"/>
        <w:ind w:left="1069" w:right="567"/>
        <w:jc w:val="both"/>
        <w:rPr>
          <w:rFonts w:ascii="Palatino Linotype" w:hAnsi="Palatino Linotype"/>
          <w:i/>
          <w:color w:val="000000"/>
          <w:sz w:val="24"/>
        </w:rPr>
      </w:pPr>
      <w:r w:rsidRPr="005A30B1">
        <w:rPr>
          <w:rFonts w:ascii="Palatino Linotype" w:hAnsi="Palatino Linotype"/>
          <w:i/>
          <w:color w:val="000000"/>
          <w:sz w:val="24"/>
        </w:rPr>
        <w:t xml:space="preserve"> “</w:t>
      </w:r>
      <w:r w:rsidR="00966DC6" w:rsidRPr="005A30B1">
        <w:rPr>
          <w:rFonts w:ascii="Palatino Linotype" w:hAnsi="Palatino Linotype"/>
          <w:i/>
          <w:color w:val="000000"/>
          <w:sz w:val="24"/>
        </w:rPr>
        <w:t xml:space="preserve">Buenas tardes, solicito me proporcionen la siguiente información: 1. ¿Cuál es el estado de proveedores y acreedores del h. ayuntamiento de enero del 2022 a la fecha? 2. ¿Cuántos eventos públicos ha tenido cada dirección del h. ayuntamiento especificando impresión de vinilonas, renta de audio y/o sillas, botellas de agua, arreglos florales, café, almuerzo etc.?, especificando la empresa que se contrató, monto económico que se pagó por cada servicio en cada evento desde enero 2022 3. ¿El gobierno municipal renta anuncios espectaculares, cuál es la ubicación, costo inicial y de renta mensual de cada uno? 4. ¿Cuáles son los proveedores que se han </w:t>
      </w:r>
      <w:r w:rsidR="00966DC6" w:rsidRPr="005A30B1">
        <w:rPr>
          <w:rFonts w:ascii="Palatino Linotype" w:hAnsi="Palatino Linotype"/>
          <w:i/>
          <w:color w:val="000000"/>
          <w:sz w:val="24"/>
        </w:rPr>
        <w:lastRenderedPageBreak/>
        <w:t>integrado al “padrón municipal de proveedores” desde enero 2022 hasta la fecha, especificando: nombre de la empresa, responsable o representante de la misma y fecha de comienzo como proveedor? 5. ¿Cuánto cuestan los pagos para el funcionamiento del portal web, mencionando, costo anual de servidor, nombre del proveedor, si se maneja atraves de personal interno o alguna empresa externa maneja el portal? 6. ¿Quién maneja las redes sociales institucionales, en caso de servidores públicos especificar nombre completo y sueldo o si son de alguna empresa externa, cuál es el monto que se le paga a la empresa según el contrato, ya sea mensual o anual? 7. ¿Hay alguna empresa de consultoría o asesoría especializada contratada de cualquier forma por el gobierno municipal?</w:t>
      </w:r>
      <w:r w:rsidRPr="005A30B1">
        <w:rPr>
          <w:rFonts w:ascii="Palatino Linotype" w:hAnsi="Palatino Linotype"/>
          <w:i/>
          <w:color w:val="000000"/>
          <w:sz w:val="24"/>
        </w:rPr>
        <w:t xml:space="preserve">” (Sic) </w:t>
      </w:r>
    </w:p>
    <w:p w14:paraId="439A9892" w14:textId="77777777" w:rsidR="004B6A5B" w:rsidRPr="005A30B1" w:rsidRDefault="004B6A5B" w:rsidP="00B057B1">
      <w:pPr>
        <w:pStyle w:val="Prrafodelista"/>
        <w:spacing w:line="360" w:lineRule="auto"/>
        <w:ind w:left="1069" w:right="567"/>
        <w:jc w:val="both"/>
        <w:rPr>
          <w:rFonts w:ascii="Palatino Linotype" w:hAnsi="Palatino Linotype"/>
          <w:i/>
          <w:color w:val="000000"/>
          <w:sz w:val="24"/>
        </w:rPr>
      </w:pPr>
    </w:p>
    <w:p w14:paraId="1CDBF235" w14:textId="77777777" w:rsidR="00B057B1" w:rsidRPr="005A30B1"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5A30B1">
        <w:rPr>
          <w:rFonts w:ascii="Palatino Linotype" w:eastAsia="Calibri" w:hAnsi="Palatino Linotype"/>
          <w:lang w:val="es-ES" w:eastAsia="es-ES"/>
        </w:rPr>
        <w:t>Se eligió como modalidad de entrega a través de la plataforma SAIMEX.</w:t>
      </w:r>
    </w:p>
    <w:p w14:paraId="3CE79493" w14:textId="77777777" w:rsidR="00B057B1" w:rsidRPr="005A30B1" w:rsidRDefault="00B057B1" w:rsidP="00B057B1">
      <w:pPr>
        <w:spacing w:line="360" w:lineRule="auto"/>
        <w:contextualSpacing/>
        <w:jc w:val="both"/>
        <w:rPr>
          <w:rFonts w:ascii="Palatino Linotype" w:eastAsia="Calibri" w:hAnsi="Palatino Linotype"/>
          <w:lang w:val="es-ES" w:eastAsia="es-ES"/>
        </w:rPr>
      </w:pPr>
    </w:p>
    <w:p w14:paraId="1B3BA385" w14:textId="77777777" w:rsidR="00966DC6" w:rsidRPr="005A30B1" w:rsidRDefault="00966DC6" w:rsidP="00B057B1">
      <w:pPr>
        <w:numPr>
          <w:ilvl w:val="0"/>
          <w:numId w:val="1"/>
        </w:numPr>
        <w:spacing w:line="360" w:lineRule="auto"/>
        <w:ind w:left="0" w:firstLine="0"/>
        <w:contextualSpacing/>
        <w:jc w:val="both"/>
        <w:rPr>
          <w:rFonts w:ascii="Palatino Linotype" w:eastAsia="Calibri" w:hAnsi="Palatino Linotype"/>
          <w:lang w:val="es-ES" w:eastAsia="es-ES"/>
        </w:rPr>
      </w:pPr>
      <w:r w:rsidRPr="005A30B1">
        <w:rPr>
          <w:rFonts w:ascii="Palatino Linotype" w:eastAsia="Calibri" w:hAnsi="Palatino Linotype"/>
          <w:lang w:val="es-ES" w:eastAsia="es-ES"/>
        </w:rPr>
        <w:t>El veintiuno (21) de abril de dos  mil veintidós se realizó un requerimiento al servidor público habilitado.</w:t>
      </w:r>
    </w:p>
    <w:p w14:paraId="59FCF02B" w14:textId="77777777" w:rsidR="00966DC6" w:rsidRPr="005A30B1" w:rsidRDefault="00966DC6" w:rsidP="00966DC6">
      <w:pPr>
        <w:pStyle w:val="Prrafodelista"/>
        <w:rPr>
          <w:rFonts w:ascii="Palatino Linotype" w:eastAsiaTheme="minorEastAsia" w:hAnsi="Palatino Linotype"/>
          <w:sz w:val="24"/>
          <w:lang w:val="es-ES_tradnl" w:eastAsia="es-ES"/>
        </w:rPr>
      </w:pPr>
    </w:p>
    <w:p w14:paraId="57968D11" w14:textId="77777777" w:rsidR="00966DC6" w:rsidRPr="005A30B1" w:rsidRDefault="00966DC6" w:rsidP="00B057B1">
      <w:pPr>
        <w:numPr>
          <w:ilvl w:val="0"/>
          <w:numId w:val="1"/>
        </w:numPr>
        <w:spacing w:line="360" w:lineRule="auto"/>
        <w:ind w:left="0" w:firstLine="0"/>
        <w:contextualSpacing/>
        <w:jc w:val="both"/>
        <w:rPr>
          <w:rFonts w:ascii="Palatino Linotype" w:eastAsia="Calibri" w:hAnsi="Palatino Linotype"/>
          <w:lang w:val="es-ES" w:eastAsia="es-ES"/>
        </w:rPr>
      </w:pPr>
      <w:r w:rsidRPr="005A30B1">
        <w:rPr>
          <w:rFonts w:ascii="Palatino Linotype" w:eastAsia="Calibri" w:hAnsi="Palatino Linotype"/>
          <w:lang w:val="es-ES" w:eastAsia="es-ES"/>
        </w:rPr>
        <w:t>El veintidós (22) de abril de dos mil veintidós, se notificó una prórroga en el siguiente sentido:</w:t>
      </w:r>
    </w:p>
    <w:p w14:paraId="45AEB126" w14:textId="77777777" w:rsidR="00966DC6" w:rsidRPr="005A30B1" w:rsidRDefault="00966DC6" w:rsidP="00966DC6">
      <w:pPr>
        <w:pStyle w:val="Prrafodelista"/>
        <w:rPr>
          <w:rFonts w:ascii="Palatino Linotype" w:eastAsia="Calibri" w:hAnsi="Palatino Linotype"/>
          <w:sz w:val="24"/>
          <w:lang w:val="es-ES" w:eastAsia="es-ES"/>
        </w:rPr>
      </w:pPr>
    </w:p>
    <w:tbl>
      <w:tblPr>
        <w:tblW w:w="7360" w:type="dxa"/>
        <w:jc w:val="center"/>
        <w:tblCellSpacing w:w="0" w:type="dxa"/>
        <w:tblCellMar>
          <w:left w:w="0" w:type="dxa"/>
          <w:right w:w="0" w:type="dxa"/>
        </w:tblCellMar>
        <w:tblLook w:val="04A0" w:firstRow="1" w:lastRow="0" w:firstColumn="1" w:lastColumn="0" w:noHBand="0" w:noVBand="1"/>
      </w:tblPr>
      <w:tblGrid>
        <w:gridCol w:w="7360"/>
      </w:tblGrid>
      <w:tr w:rsidR="00966DC6" w:rsidRPr="005A30B1" w14:paraId="6DE1748D" w14:textId="77777777" w:rsidTr="00966DC6">
        <w:trPr>
          <w:trHeight w:val="343"/>
          <w:tblCellSpacing w:w="0" w:type="dxa"/>
          <w:jc w:val="center"/>
        </w:trPr>
        <w:tc>
          <w:tcPr>
            <w:tcW w:w="0" w:type="auto"/>
            <w:vAlign w:val="center"/>
            <w:hideMark/>
          </w:tcPr>
          <w:p w14:paraId="59CECED4" w14:textId="77777777" w:rsidR="00966DC6" w:rsidRPr="005A30B1" w:rsidRDefault="00966DC6" w:rsidP="00966DC6">
            <w:pPr>
              <w:jc w:val="right"/>
              <w:rPr>
                <w:rFonts w:ascii="Palatino Linotype" w:hAnsi="Palatino Linotype"/>
                <w:i/>
                <w:sz w:val="22"/>
              </w:rPr>
            </w:pPr>
            <w:r w:rsidRPr="005A30B1">
              <w:rPr>
                <w:rFonts w:ascii="Palatino Linotype" w:hAnsi="Palatino Linotype"/>
                <w:i/>
                <w:sz w:val="22"/>
              </w:rPr>
              <w:t>“Chimalhuacán, México a 22 de Abril de 2022</w:t>
            </w:r>
          </w:p>
        </w:tc>
      </w:tr>
      <w:tr w:rsidR="00966DC6" w:rsidRPr="005A30B1" w14:paraId="4C6A5469" w14:textId="77777777" w:rsidTr="00966DC6">
        <w:trPr>
          <w:trHeight w:val="343"/>
          <w:tblCellSpacing w:w="0" w:type="dxa"/>
          <w:jc w:val="center"/>
        </w:trPr>
        <w:tc>
          <w:tcPr>
            <w:tcW w:w="0" w:type="auto"/>
            <w:vAlign w:val="center"/>
            <w:hideMark/>
          </w:tcPr>
          <w:p w14:paraId="7D4147BF" w14:textId="77777777" w:rsidR="00966DC6" w:rsidRPr="005A30B1" w:rsidRDefault="00966DC6" w:rsidP="00966DC6">
            <w:pPr>
              <w:jc w:val="right"/>
              <w:rPr>
                <w:rFonts w:ascii="Palatino Linotype" w:hAnsi="Palatino Linotype"/>
                <w:i/>
                <w:sz w:val="22"/>
              </w:rPr>
            </w:pPr>
            <w:r w:rsidRPr="005A30B1">
              <w:rPr>
                <w:rFonts w:ascii="Palatino Linotype" w:hAnsi="Palatino Linotype"/>
                <w:i/>
                <w:sz w:val="22"/>
              </w:rPr>
              <w:t>Nombre del solicitante: C. Solicitante</w:t>
            </w:r>
          </w:p>
        </w:tc>
      </w:tr>
      <w:tr w:rsidR="00966DC6" w:rsidRPr="005A30B1" w14:paraId="5E5528AA" w14:textId="77777777" w:rsidTr="00966DC6">
        <w:trPr>
          <w:trHeight w:val="343"/>
          <w:tblCellSpacing w:w="0" w:type="dxa"/>
          <w:jc w:val="center"/>
        </w:trPr>
        <w:tc>
          <w:tcPr>
            <w:tcW w:w="0" w:type="auto"/>
            <w:vAlign w:val="center"/>
            <w:hideMark/>
          </w:tcPr>
          <w:p w14:paraId="26351AE2" w14:textId="77777777" w:rsidR="00966DC6" w:rsidRPr="005A30B1" w:rsidRDefault="00966DC6" w:rsidP="00966DC6">
            <w:pPr>
              <w:jc w:val="right"/>
              <w:rPr>
                <w:rFonts w:ascii="Palatino Linotype" w:hAnsi="Palatino Linotype"/>
                <w:i/>
                <w:sz w:val="22"/>
              </w:rPr>
            </w:pPr>
            <w:r w:rsidRPr="005A30B1">
              <w:rPr>
                <w:rFonts w:ascii="Palatino Linotype" w:hAnsi="Palatino Linotype"/>
                <w:i/>
                <w:sz w:val="22"/>
              </w:rPr>
              <w:t>Folio de la solicitud: 00163/CHIMALHU/IP/2022</w:t>
            </w:r>
          </w:p>
        </w:tc>
      </w:tr>
      <w:tr w:rsidR="00966DC6" w:rsidRPr="005A30B1" w14:paraId="73CB5FF4" w14:textId="77777777" w:rsidTr="00966DC6">
        <w:trPr>
          <w:trHeight w:val="514"/>
          <w:tblCellSpacing w:w="0" w:type="dxa"/>
          <w:jc w:val="center"/>
        </w:trPr>
        <w:tc>
          <w:tcPr>
            <w:tcW w:w="0" w:type="auto"/>
            <w:vAlign w:val="center"/>
            <w:hideMark/>
          </w:tcPr>
          <w:p w14:paraId="0405F66D" w14:textId="77777777" w:rsidR="00966DC6" w:rsidRPr="005A30B1" w:rsidRDefault="00966DC6" w:rsidP="00966DC6">
            <w:pPr>
              <w:jc w:val="right"/>
              <w:rPr>
                <w:rFonts w:ascii="Palatino Linotype" w:hAnsi="Palatino Linotype"/>
                <w:i/>
                <w:sz w:val="22"/>
              </w:rPr>
            </w:pPr>
          </w:p>
        </w:tc>
      </w:tr>
      <w:tr w:rsidR="00966DC6" w:rsidRPr="005A30B1" w14:paraId="45AD3641" w14:textId="77777777" w:rsidTr="00966DC6">
        <w:trPr>
          <w:trHeight w:val="171"/>
          <w:tblCellSpacing w:w="0" w:type="dxa"/>
          <w:jc w:val="center"/>
        </w:trPr>
        <w:tc>
          <w:tcPr>
            <w:tcW w:w="0" w:type="auto"/>
            <w:vAlign w:val="center"/>
            <w:hideMark/>
          </w:tcPr>
          <w:p w14:paraId="5C2D01DC" w14:textId="77777777" w:rsidR="00966DC6" w:rsidRPr="005A30B1" w:rsidRDefault="00966DC6" w:rsidP="00966DC6">
            <w:pPr>
              <w:rPr>
                <w:rFonts w:ascii="Palatino Linotype" w:hAnsi="Palatino Linotype"/>
                <w:i/>
                <w:sz w:val="22"/>
              </w:rPr>
            </w:pPr>
            <w:r w:rsidRPr="005A30B1">
              <w:rPr>
                <w:rFonts w:ascii="Palatino Linotype" w:hAnsi="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966DC6" w:rsidRPr="005A30B1" w14:paraId="2C52980C" w14:textId="77777777" w:rsidTr="00966DC6">
        <w:trPr>
          <w:trHeight w:val="429"/>
          <w:tblCellSpacing w:w="0" w:type="dxa"/>
          <w:jc w:val="center"/>
        </w:trPr>
        <w:tc>
          <w:tcPr>
            <w:tcW w:w="0" w:type="auto"/>
            <w:vAlign w:val="center"/>
            <w:hideMark/>
          </w:tcPr>
          <w:p w14:paraId="21073395" w14:textId="77777777" w:rsidR="00966DC6" w:rsidRPr="005A30B1" w:rsidRDefault="00966DC6" w:rsidP="00966DC6">
            <w:pPr>
              <w:rPr>
                <w:rFonts w:ascii="Palatino Linotype" w:hAnsi="Palatino Linotype"/>
                <w:i/>
                <w:sz w:val="22"/>
              </w:rPr>
            </w:pPr>
          </w:p>
        </w:tc>
      </w:tr>
      <w:tr w:rsidR="00966DC6" w:rsidRPr="005A30B1" w14:paraId="493C11CC" w14:textId="77777777" w:rsidTr="00966DC6">
        <w:trPr>
          <w:trHeight w:val="171"/>
          <w:tblCellSpacing w:w="0" w:type="dxa"/>
          <w:jc w:val="center"/>
        </w:trPr>
        <w:tc>
          <w:tcPr>
            <w:tcW w:w="0" w:type="auto"/>
            <w:vAlign w:val="center"/>
            <w:hideMark/>
          </w:tcPr>
          <w:p w14:paraId="779FD1AF" w14:textId="77777777" w:rsidR="00966DC6" w:rsidRPr="005A30B1" w:rsidRDefault="00966DC6" w:rsidP="00966DC6">
            <w:pPr>
              <w:rPr>
                <w:rFonts w:ascii="Palatino Linotype" w:hAnsi="Palatino Linotype"/>
                <w:i/>
                <w:sz w:val="22"/>
              </w:rPr>
            </w:pPr>
            <w:r w:rsidRPr="005A30B1">
              <w:rPr>
                <w:rFonts w:ascii="Palatino Linotype" w:hAnsi="Palatino Linotype"/>
                <w:i/>
                <w:sz w:val="22"/>
              </w:rPr>
              <w:lastRenderedPageBreak/>
              <w:t>El Comité de Transparencia tiene a bien y por unanimidad de votos aprobar dicha prorroga. Saludos.</w:t>
            </w:r>
          </w:p>
        </w:tc>
      </w:tr>
      <w:tr w:rsidR="00966DC6" w:rsidRPr="005A30B1" w14:paraId="7327F89A" w14:textId="77777777" w:rsidTr="00966DC6">
        <w:trPr>
          <w:trHeight w:val="429"/>
          <w:tblCellSpacing w:w="0" w:type="dxa"/>
          <w:jc w:val="center"/>
        </w:trPr>
        <w:tc>
          <w:tcPr>
            <w:tcW w:w="0" w:type="auto"/>
            <w:vAlign w:val="center"/>
            <w:hideMark/>
          </w:tcPr>
          <w:p w14:paraId="20839641" w14:textId="77777777" w:rsidR="00966DC6" w:rsidRPr="005A30B1" w:rsidRDefault="00966DC6" w:rsidP="00966DC6">
            <w:pPr>
              <w:rPr>
                <w:rFonts w:ascii="Palatino Linotype" w:hAnsi="Palatino Linotype"/>
                <w:i/>
                <w:sz w:val="22"/>
              </w:rPr>
            </w:pPr>
          </w:p>
        </w:tc>
      </w:tr>
      <w:tr w:rsidR="00966DC6" w:rsidRPr="005A30B1" w14:paraId="45CAC91F" w14:textId="77777777" w:rsidTr="00966DC6">
        <w:trPr>
          <w:trHeight w:val="171"/>
          <w:tblCellSpacing w:w="0" w:type="dxa"/>
          <w:jc w:val="center"/>
        </w:trPr>
        <w:tc>
          <w:tcPr>
            <w:tcW w:w="0" w:type="auto"/>
            <w:vAlign w:val="center"/>
            <w:hideMark/>
          </w:tcPr>
          <w:p w14:paraId="5F79269A" w14:textId="77777777" w:rsidR="00966DC6" w:rsidRPr="005A30B1" w:rsidRDefault="00966DC6" w:rsidP="00966DC6">
            <w:pPr>
              <w:jc w:val="center"/>
              <w:rPr>
                <w:rFonts w:ascii="Palatino Linotype" w:hAnsi="Palatino Linotype"/>
                <w:i/>
                <w:sz w:val="22"/>
              </w:rPr>
            </w:pPr>
          </w:p>
        </w:tc>
      </w:tr>
      <w:tr w:rsidR="00966DC6" w:rsidRPr="005A30B1" w14:paraId="0392033B" w14:textId="77777777" w:rsidTr="00966DC6">
        <w:trPr>
          <w:trHeight w:val="171"/>
          <w:tblCellSpacing w:w="0" w:type="dxa"/>
          <w:jc w:val="center"/>
        </w:trPr>
        <w:tc>
          <w:tcPr>
            <w:tcW w:w="0" w:type="auto"/>
            <w:vAlign w:val="center"/>
            <w:hideMark/>
          </w:tcPr>
          <w:p w14:paraId="0F9288AD" w14:textId="77777777" w:rsidR="00966DC6" w:rsidRPr="005A30B1" w:rsidRDefault="00966DC6" w:rsidP="00966DC6">
            <w:pPr>
              <w:rPr>
                <w:rFonts w:ascii="Palatino Linotype" w:hAnsi="Palatino Linotype"/>
                <w:i/>
                <w:sz w:val="22"/>
              </w:rPr>
            </w:pPr>
            <w:r w:rsidRPr="005A30B1">
              <w:rPr>
                <w:rFonts w:ascii="Palatino Linotype" w:hAnsi="Palatino Linotype"/>
                <w:i/>
                <w:sz w:val="22"/>
              </w:rPr>
              <w:t>C. DIANA KAREN GRACIA HERNANDEZ</w:t>
            </w:r>
          </w:p>
        </w:tc>
      </w:tr>
      <w:tr w:rsidR="00966DC6" w:rsidRPr="005A30B1" w14:paraId="5EABEF6E" w14:textId="77777777" w:rsidTr="00966DC6">
        <w:trPr>
          <w:trHeight w:val="171"/>
          <w:tblCellSpacing w:w="0" w:type="dxa"/>
          <w:jc w:val="center"/>
        </w:trPr>
        <w:tc>
          <w:tcPr>
            <w:tcW w:w="0" w:type="auto"/>
            <w:vAlign w:val="center"/>
            <w:hideMark/>
          </w:tcPr>
          <w:p w14:paraId="1392B29F" w14:textId="77777777" w:rsidR="00966DC6" w:rsidRPr="005A30B1" w:rsidRDefault="00966DC6" w:rsidP="00966DC6">
            <w:pPr>
              <w:rPr>
                <w:rFonts w:ascii="Palatino Linotype" w:hAnsi="Palatino Linotype"/>
                <w:b/>
                <w:bCs/>
                <w:i/>
                <w:sz w:val="22"/>
              </w:rPr>
            </w:pPr>
            <w:r w:rsidRPr="005A30B1">
              <w:rPr>
                <w:rFonts w:ascii="Palatino Linotype" w:hAnsi="Palatino Linotype"/>
                <w:b/>
                <w:bCs/>
                <w:i/>
                <w:sz w:val="22"/>
              </w:rPr>
              <w:t>Responsable de la Unidad de Transparencia”</w:t>
            </w:r>
          </w:p>
          <w:p w14:paraId="7DDB3C79" w14:textId="77777777" w:rsidR="00966DC6" w:rsidRPr="005A30B1" w:rsidRDefault="00966DC6" w:rsidP="00966DC6">
            <w:pPr>
              <w:rPr>
                <w:rFonts w:ascii="Palatino Linotype" w:hAnsi="Palatino Linotype"/>
                <w:b/>
                <w:bCs/>
                <w:i/>
                <w:sz w:val="22"/>
              </w:rPr>
            </w:pPr>
          </w:p>
        </w:tc>
      </w:tr>
    </w:tbl>
    <w:p w14:paraId="050D4A5F" w14:textId="77777777" w:rsidR="00966DC6" w:rsidRPr="005A30B1" w:rsidRDefault="00966DC6" w:rsidP="00966DC6">
      <w:pPr>
        <w:spacing w:line="360" w:lineRule="auto"/>
        <w:contextualSpacing/>
        <w:jc w:val="both"/>
        <w:rPr>
          <w:rFonts w:ascii="Palatino Linotype" w:eastAsia="Calibri" w:hAnsi="Palatino Linotype"/>
          <w:sz w:val="22"/>
          <w:lang w:val="es-ES" w:eastAsia="es-ES"/>
        </w:rPr>
      </w:pPr>
    </w:p>
    <w:p w14:paraId="69EAD834" w14:textId="77777777" w:rsidR="00966DC6" w:rsidRPr="005A30B1" w:rsidRDefault="00966DC6" w:rsidP="00966DC6">
      <w:pPr>
        <w:spacing w:line="360" w:lineRule="auto"/>
        <w:contextualSpacing/>
        <w:jc w:val="both"/>
        <w:rPr>
          <w:rFonts w:ascii="Palatino Linotype" w:eastAsia="Calibri" w:hAnsi="Palatino Linotype"/>
          <w:sz w:val="22"/>
          <w:lang w:val="es-ES" w:eastAsia="es-ES"/>
        </w:rPr>
      </w:pPr>
      <w:r w:rsidRPr="005A30B1">
        <w:rPr>
          <w:rFonts w:ascii="Palatino Linotype" w:eastAsia="Calibri" w:hAnsi="Palatino Linotype"/>
          <w:sz w:val="22"/>
          <w:lang w:val="es-ES" w:eastAsia="es-ES"/>
        </w:rPr>
        <w:t>A la prórroga se adjuntaron los siguientes documentos:</w:t>
      </w:r>
    </w:p>
    <w:p w14:paraId="71753DD8" w14:textId="77777777" w:rsidR="00966DC6" w:rsidRPr="005A30B1" w:rsidRDefault="00966DC6" w:rsidP="00966DC6">
      <w:pPr>
        <w:spacing w:line="360" w:lineRule="auto"/>
        <w:contextualSpacing/>
        <w:jc w:val="both"/>
        <w:rPr>
          <w:rFonts w:ascii="Palatino Linotype" w:eastAsia="Calibri" w:hAnsi="Palatino Linotype"/>
          <w:sz w:val="22"/>
          <w:lang w:val="es-ES" w:eastAsia="es-ES"/>
        </w:rPr>
      </w:pPr>
    </w:p>
    <w:p w14:paraId="39D28A72" w14:textId="77777777" w:rsidR="00966DC6" w:rsidRPr="005A30B1" w:rsidRDefault="00B525FA" w:rsidP="00966DC6">
      <w:pPr>
        <w:pStyle w:val="Prrafodelista"/>
        <w:numPr>
          <w:ilvl w:val="0"/>
          <w:numId w:val="7"/>
        </w:numPr>
        <w:spacing w:line="360" w:lineRule="auto"/>
        <w:rPr>
          <w:rFonts w:ascii="Palatino Linotype" w:eastAsia="Calibri" w:hAnsi="Palatino Linotype"/>
          <w:lang w:val="es-ES" w:eastAsia="es-ES"/>
        </w:rPr>
      </w:pPr>
      <w:hyperlink r:id="rId7" w:tgtFrame="_blank" w:history="1">
        <w:r w:rsidR="00966DC6" w:rsidRPr="005A30B1">
          <w:rPr>
            <w:rStyle w:val="Hipervnculo"/>
            <w:rFonts w:ascii="Palatino Linotype" w:eastAsiaTheme="majorEastAsia" w:hAnsi="Palatino Linotype" w:cs="Arial"/>
            <w:b/>
            <w:bCs/>
            <w:color w:val="auto"/>
          </w:rPr>
          <w:t xml:space="preserve">Segunda </w:t>
        </w:r>
        <w:r w:rsidR="000F6C54" w:rsidRPr="005A30B1">
          <w:rPr>
            <w:rStyle w:val="Hipervnculo"/>
            <w:rFonts w:ascii="Palatino Linotype" w:eastAsiaTheme="majorEastAsia" w:hAnsi="Palatino Linotype" w:cs="Arial"/>
            <w:b/>
            <w:bCs/>
            <w:color w:val="auto"/>
          </w:rPr>
          <w:t>Sesión</w:t>
        </w:r>
        <w:r w:rsidR="00966DC6" w:rsidRPr="005A30B1">
          <w:rPr>
            <w:rStyle w:val="Hipervnculo"/>
            <w:rFonts w:ascii="Palatino Linotype" w:eastAsiaTheme="majorEastAsia" w:hAnsi="Palatino Linotype" w:cs="Arial"/>
            <w:b/>
            <w:bCs/>
            <w:color w:val="auto"/>
          </w:rPr>
          <w:t xml:space="preserve"> Ordinaria del </w:t>
        </w:r>
        <w:r w:rsidR="000F6C54" w:rsidRPr="005A30B1">
          <w:rPr>
            <w:rStyle w:val="Hipervnculo"/>
            <w:rFonts w:ascii="Palatino Linotype" w:eastAsiaTheme="majorEastAsia" w:hAnsi="Palatino Linotype" w:cs="Arial"/>
            <w:b/>
            <w:bCs/>
            <w:color w:val="auto"/>
          </w:rPr>
          <w:t>Comité</w:t>
        </w:r>
        <w:r w:rsidR="00966DC6" w:rsidRPr="005A30B1">
          <w:rPr>
            <w:rStyle w:val="Hipervnculo"/>
            <w:rFonts w:ascii="Palatino Linotype" w:eastAsiaTheme="majorEastAsia" w:hAnsi="Palatino Linotype" w:cs="Arial"/>
            <w:b/>
            <w:bCs/>
            <w:color w:val="auto"/>
          </w:rPr>
          <w:t xml:space="preserve"> de Transparencia.pdf</w:t>
        </w:r>
      </w:hyperlink>
      <w:r w:rsidR="00966DC6" w:rsidRPr="005A30B1">
        <w:rPr>
          <w:rFonts w:ascii="Palatino Linotype" w:hAnsi="Palatino Linotype"/>
        </w:rPr>
        <w:t xml:space="preserve">: Acta de la Segunda Sesión Ordinaria del Comité de Transparencia, en la que se aprueba una prórroga para emitir respuesta. </w:t>
      </w:r>
    </w:p>
    <w:p w14:paraId="5D15FE5F" w14:textId="77777777" w:rsidR="00966DC6" w:rsidRPr="005A30B1" w:rsidRDefault="00966DC6" w:rsidP="00966DC6">
      <w:pPr>
        <w:pStyle w:val="Prrafodelista"/>
        <w:spacing w:line="360" w:lineRule="auto"/>
        <w:rPr>
          <w:rFonts w:ascii="Palatino Linotype" w:eastAsia="Calibri" w:hAnsi="Palatino Linotype"/>
          <w:lang w:val="es-ES" w:eastAsia="es-ES"/>
        </w:rPr>
      </w:pPr>
    </w:p>
    <w:p w14:paraId="2FCC5CE0" w14:textId="77777777" w:rsidR="00966DC6" w:rsidRPr="005A30B1" w:rsidRDefault="00B525FA" w:rsidP="00966DC6">
      <w:pPr>
        <w:pStyle w:val="Prrafodelista"/>
        <w:numPr>
          <w:ilvl w:val="0"/>
          <w:numId w:val="7"/>
        </w:numPr>
        <w:spacing w:line="360" w:lineRule="auto"/>
        <w:rPr>
          <w:rFonts w:ascii="Palatino Linotype" w:eastAsia="Calibri" w:hAnsi="Palatino Linotype"/>
          <w:lang w:val="es-ES" w:eastAsia="es-ES"/>
        </w:rPr>
      </w:pPr>
      <w:hyperlink r:id="rId8" w:tgtFrame="_blank" w:history="1">
        <w:r w:rsidR="00966DC6" w:rsidRPr="005A30B1">
          <w:rPr>
            <w:rStyle w:val="Hipervnculo"/>
            <w:rFonts w:ascii="Palatino Linotype" w:eastAsiaTheme="majorEastAsia" w:hAnsi="Palatino Linotype" w:cs="Arial"/>
            <w:b/>
            <w:bCs/>
            <w:color w:val="auto"/>
          </w:rPr>
          <w:t>Solicitud de Prorroga.pdf</w:t>
        </w:r>
      </w:hyperlink>
      <w:r w:rsidR="00966DC6" w:rsidRPr="005A30B1">
        <w:rPr>
          <w:rFonts w:ascii="Palatino Linotype" w:hAnsi="Palatino Linotype"/>
        </w:rPr>
        <w:t xml:space="preserve">: oficio de la Tesorería Municipal en el que solicitó una prórroga para emitir respuesta. </w:t>
      </w:r>
    </w:p>
    <w:p w14:paraId="4E13D976" w14:textId="77777777" w:rsidR="00966DC6" w:rsidRPr="005A30B1" w:rsidRDefault="00966DC6" w:rsidP="00966DC6">
      <w:pPr>
        <w:spacing w:line="360" w:lineRule="auto"/>
        <w:contextualSpacing/>
        <w:jc w:val="both"/>
        <w:rPr>
          <w:rFonts w:ascii="Palatino Linotype" w:eastAsia="Calibri" w:hAnsi="Palatino Linotype"/>
          <w:lang w:val="es-ES" w:eastAsia="es-ES"/>
        </w:rPr>
      </w:pPr>
    </w:p>
    <w:p w14:paraId="6A8A66C5" w14:textId="77777777" w:rsidR="00B057B1" w:rsidRPr="005A30B1"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5A30B1">
        <w:rPr>
          <w:rFonts w:ascii="Palatino Linotype" w:eastAsiaTheme="minorEastAsia" w:hAnsi="Palatino Linotype"/>
          <w:lang w:val="es-ES_tradnl" w:eastAsia="es-ES"/>
        </w:rPr>
        <w:t xml:space="preserve">El </w:t>
      </w:r>
      <w:r w:rsidR="00966DC6" w:rsidRPr="005A30B1">
        <w:rPr>
          <w:rFonts w:ascii="Palatino Linotype" w:eastAsiaTheme="minorEastAsia" w:hAnsi="Palatino Linotype"/>
          <w:lang w:val="es-ES_tradnl" w:eastAsia="es-ES"/>
        </w:rPr>
        <w:t>cuatro (04) de mayo</w:t>
      </w:r>
      <w:r w:rsidRPr="005A30B1">
        <w:rPr>
          <w:rFonts w:ascii="Palatino Linotype" w:eastAsiaTheme="minorEastAsia" w:hAnsi="Palatino Linotype"/>
          <w:lang w:val="es-ES_tradnl" w:eastAsia="es-ES"/>
        </w:rPr>
        <w:t xml:space="preserve"> de dos mil veintidós, </w:t>
      </w:r>
      <w:r w:rsidRPr="005A30B1">
        <w:rPr>
          <w:rFonts w:ascii="Palatino Linotype" w:eastAsia="Calibri" w:hAnsi="Palatino Linotype"/>
          <w:lang w:val="es-ES" w:eastAsia="es-ES"/>
        </w:rPr>
        <w:t xml:space="preserve">el </w:t>
      </w:r>
      <w:r w:rsidRPr="005A30B1">
        <w:rPr>
          <w:rFonts w:ascii="Palatino Linotype" w:eastAsia="Calibri" w:hAnsi="Palatino Linotype" w:cs="Arial"/>
          <w:b/>
          <w:lang w:val="es-AR" w:eastAsia="es-ES"/>
        </w:rPr>
        <w:t>SUJETO OBLIGADO</w:t>
      </w:r>
      <w:r w:rsidRPr="005A30B1">
        <w:rPr>
          <w:rFonts w:ascii="Palatino Linotype" w:eastAsia="Calibri" w:hAnsi="Palatino Linotype" w:cs="Arial"/>
          <w:b/>
          <w:i/>
          <w:lang w:val="es-AR" w:eastAsia="es-ES"/>
        </w:rPr>
        <w:t xml:space="preserve"> </w:t>
      </w:r>
      <w:r w:rsidRPr="005A30B1">
        <w:rPr>
          <w:rFonts w:ascii="Palatino Linotype" w:hAnsi="Palatino Linotype" w:cs="Arial"/>
          <w:lang w:val="es-ES" w:eastAsia="es-ES"/>
        </w:rPr>
        <w:t>dio respuesta a la solicitud de información en los siguientes términos:</w:t>
      </w:r>
    </w:p>
    <w:p w14:paraId="5A958AC7" w14:textId="77777777" w:rsidR="00B057B1" w:rsidRPr="005A30B1" w:rsidRDefault="00B057B1" w:rsidP="00B057B1">
      <w:pPr>
        <w:spacing w:line="360" w:lineRule="auto"/>
        <w:contextualSpacing/>
        <w:jc w:val="both"/>
        <w:rPr>
          <w:rFonts w:ascii="Palatino Linotype" w:eastAsia="Calibri" w:hAnsi="Palatino Linotype"/>
          <w:lang w:val="es-ES" w:eastAsia="es-ES"/>
        </w:rPr>
      </w:pPr>
    </w:p>
    <w:tbl>
      <w:tblPr>
        <w:tblW w:w="7811" w:type="dxa"/>
        <w:jc w:val="center"/>
        <w:tblCellSpacing w:w="0" w:type="dxa"/>
        <w:tblCellMar>
          <w:left w:w="0" w:type="dxa"/>
          <w:right w:w="0" w:type="dxa"/>
        </w:tblCellMar>
        <w:tblLook w:val="04A0" w:firstRow="1" w:lastRow="0" w:firstColumn="1" w:lastColumn="0" w:noHBand="0" w:noVBand="1"/>
      </w:tblPr>
      <w:tblGrid>
        <w:gridCol w:w="7811"/>
      </w:tblGrid>
      <w:tr w:rsidR="00966DC6" w:rsidRPr="005A30B1" w14:paraId="4B5760AB" w14:textId="77777777" w:rsidTr="00966DC6">
        <w:trPr>
          <w:trHeight w:val="563"/>
          <w:tblCellSpacing w:w="0" w:type="dxa"/>
          <w:jc w:val="center"/>
        </w:trPr>
        <w:tc>
          <w:tcPr>
            <w:tcW w:w="0" w:type="auto"/>
            <w:vAlign w:val="center"/>
            <w:hideMark/>
          </w:tcPr>
          <w:p w14:paraId="35F9CDC2" w14:textId="77777777" w:rsidR="00966DC6" w:rsidRPr="005A30B1" w:rsidRDefault="00966DC6" w:rsidP="00966DC6">
            <w:pPr>
              <w:spacing w:line="276" w:lineRule="auto"/>
              <w:jc w:val="right"/>
              <w:rPr>
                <w:rFonts w:ascii="Palatino Linotype" w:hAnsi="Palatino Linotype"/>
                <w:i/>
                <w:sz w:val="22"/>
              </w:rPr>
            </w:pPr>
            <w:r w:rsidRPr="005A30B1">
              <w:rPr>
                <w:rFonts w:ascii="Palatino Linotype" w:hAnsi="Palatino Linotype"/>
                <w:i/>
                <w:sz w:val="22"/>
              </w:rPr>
              <w:t>“Chimalhuacán, México a 04 de Mayo de 2022</w:t>
            </w:r>
          </w:p>
        </w:tc>
      </w:tr>
      <w:tr w:rsidR="00966DC6" w:rsidRPr="005A30B1" w14:paraId="7AA1413F" w14:textId="77777777" w:rsidTr="00966DC6">
        <w:trPr>
          <w:trHeight w:val="563"/>
          <w:tblCellSpacing w:w="0" w:type="dxa"/>
          <w:jc w:val="center"/>
        </w:trPr>
        <w:tc>
          <w:tcPr>
            <w:tcW w:w="0" w:type="auto"/>
            <w:vAlign w:val="center"/>
            <w:hideMark/>
          </w:tcPr>
          <w:p w14:paraId="72246E1D" w14:textId="77777777" w:rsidR="00966DC6" w:rsidRPr="005A30B1" w:rsidRDefault="00966DC6" w:rsidP="00966DC6">
            <w:pPr>
              <w:spacing w:line="276" w:lineRule="auto"/>
              <w:jc w:val="right"/>
              <w:rPr>
                <w:rFonts w:ascii="Palatino Linotype" w:hAnsi="Palatino Linotype"/>
                <w:i/>
                <w:sz w:val="22"/>
              </w:rPr>
            </w:pPr>
            <w:r w:rsidRPr="005A30B1">
              <w:rPr>
                <w:rFonts w:ascii="Palatino Linotype" w:hAnsi="Palatino Linotype"/>
                <w:i/>
                <w:sz w:val="22"/>
              </w:rPr>
              <w:t>Nombre del solicitante: C. Solicitante</w:t>
            </w:r>
          </w:p>
        </w:tc>
      </w:tr>
      <w:tr w:rsidR="00966DC6" w:rsidRPr="005A30B1" w14:paraId="1C2053E6" w14:textId="77777777" w:rsidTr="00966DC6">
        <w:trPr>
          <w:trHeight w:val="563"/>
          <w:tblCellSpacing w:w="0" w:type="dxa"/>
          <w:jc w:val="center"/>
        </w:trPr>
        <w:tc>
          <w:tcPr>
            <w:tcW w:w="0" w:type="auto"/>
            <w:vAlign w:val="center"/>
            <w:hideMark/>
          </w:tcPr>
          <w:p w14:paraId="175111B0" w14:textId="77777777" w:rsidR="00966DC6" w:rsidRPr="005A30B1" w:rsidRDefault="00966DC6" w:rsidP="00966DC6">
            <w:pPr>
              <w:spacing w:line="276" w:lineRule="auto"/>
              <w:jc w:val="right"/>
              <w:rPr>
                <w:rFonts w:ascii="Palatino Linotype" w:hAnsi="Palatino Linotype"/>
                <w:i/>
                <w:sz w:val="22"/>
              </w:rPr>
            </w:pPr>
            <w:r w:rsidRPr="005A30B1">
              <w:rPr>
                <w:rFonts w:ascii="Palatino Linotype" w:hAnsi="Palatino Linotype"/>
                <w:i/>
                <w:sz w:val="22"/>
              </w:rPr>
              <w:t>Folio de la solicitud: 00163/CHIMALHU/IP/2022</w:t>
            </w:r>
          </w:p>
        </w:tc>
      </w:tr>
      <w:tr w:rsidR="00966DC6" w:rsidRPr="005A30B1" w14:paraId="5B4EEDAC" w14:textId="77777777" w:rsidTr="00966DC6">
        <w:trPr>
          <w:trHeight w:val="845"/>
          <w:tblCellSpacing w:w="0" w:type="dxa"/>
          <w:jc w:val="center"/>
        </w:trPr>
        <w:tc>
          <w:tcPr>
            <w:tcW w:w="0" w:type="auto"/>
            <w:vAlign w:val="center"/>
            <w:hideMark/>
          </w:tcPr>
          <w:p w14:paraId="1F3F528F" w14:textId="77777777" w:rsidR="00966DC6" w:rsidRPr="005A30B1" w:rsidRDefault="00966DC6" w:rsidP="00966DC6">
            <w:pPr>
              <w:spacing w:line="276" w:lineRule="auto"/>
              <w:jc w:val="right"/>
              <w:rPr>
                <w:rFonts w:ascii="Palatino Linotype" w:hAnsi="Palatino Linotype"/>
                <w:i/>
                <w:sz w:val="22"/>
              </w:rPr>
            </w:pPr>
          </w:p>
        </w:tc>
      </w:tr>
      <w:tr w:rsidR="00966DC6" w:rsidRPr="005A30B1" w14:paraId="7E2E472C" w14:textId="77777777" w:rsidTr="00966DC6">
        <w:trPr>
          <w:trHeight w:val="281"/>
          <w:tblCellSpacing w:w="0" w:type="dxa"/>
          <w:jc w:val="center"/>
        </w:trPr>
        <w:tc>
          <w:tcPr>
            <w:tcW w:w="0" w:type="auto"/>
            <w:vAlign w:val="center"/>
            <w:hideMark/>
          </w:tcPr>
          <w:p w14:paraId="7E00C263" w14:textId="77777777" w:rsidR="00966DC6" w:rsidRPr="005A30B1" w:rsidRDefault="00966DC6" w:rsidP="00966DC6">
            <w:pPr>
              <w:spacing w:line="276" w:lineRule="auto"/>
              <w:jc w:val="both"/>
              <w:rPr>
                <w:rFonts w:ascii="Palatino Linotype" w:hAnsi="Palatino Linotype"/>
                <w:i/>
                <w:sz w:val="22"/>
              </w:rPr>
            </w:pPr>
            <w:r w:rsidRPr="005A30B1">
              <w:rPr>
                <w:rFonts w:ascii="Palatino Linotype" w:hAnsi="Palatino Linotype"/>
                <w:i/>
                <w:sz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66DC6" w:rsidRPr="005A30B1" w14:paraId="0F777AB4" w14:textId="77777777" w:rsidTr="00966DC6">
        <w:trPr>
          <w:trHeight w:val="704"/>
          <w:tblCellSpacing w:w="0" w:type="dxa"/>
          <w:jc w:val="center"/>
        </w:trPr>
        <w:tc>
          <w:tcPr>
            <w:tcW w:w="0" w:type="auto"/>
            <w:vAlign w:val="center"/>
            <w:hideMark/>
          </w:tcPr>
          <w:p w14:paraId="506D62E3" w14:textId="77777777" w:rsidR="00966DC6" w:rsidRPr="005A30B1" w:rsidRDefault="00966DC6" w:rsidP="00966DC6">
            <w:pPr>
              <w:spacing w:line="276" w:lineRule="auto"/>
              <w:jc w:val="both"/>
              <w:rPr>
                <w:rFonts w:ascii="Palatino Linotype" w:hAnsi="Palatino Linotype"/>
                <w:i/>
                <w:sz w:val="22"/>
              </w:rPr>
            </w:pPr>
          </w:p>
        </w:tc>
      </w:tr>
      <w:tr w:rsidR="00966DC6" w:rsidRPr="005A30B1" w14:paraId="3F72D49E" w14:textId="77777777" w:rsidTr="00966DC6">
        <w:trPr>
          <w:trHeight w:val="281"/>
          <w:tblCellSpacing w:w="0" w:type="dxa"/>
          <w:jc w:val="center"/>
        </w:trPr>
        <w:tc>
          <w:tcPr>
            <w:tcW w:w="0" w:type="auto"/>
            <w:vAlign w:val="center"/>
            <w:hideMark/>
          </w:tcPr>
          <w:p w14:paraId="75AB15DE" w14:textId="77777777" w:rsidR="00966DC6" w:rsidRPr="005A30B1" w:rsidRDefault="00966DC6" w:rsidP="00966DC6">
            <w:pPr>
              <w:spacing w:line="276" w:lineRule="auto"/>
              <w:jc w:val="both"/>
              <w:rPr>
                <w:rFonts w:ascii="Palatino Linotype" w:hAnsi="Palatino Linotype"/>
                <w:i/>
                <w:sz w:val="22"/>
              </w:rPr>
            </w:pPr>
            <w:r w:rsidRPr="005A30B1">
              <w:rPr>
                <w:rFonts w:ascii="Palatino Linotype" w:hAnsi="Palatino Linotype"/>
                <w:i/>
                <w:sz w:val="22"/>
              </w:rPr>
              <w:t>Esperando que sea de su conformidad el informe, no omito mencionar que el Sistema de Acceso a la Información Mexiquense es para proporcionar Información Pública de Oficio contenida en los documentos que los Sujetos Obligados posean, archiven, generen o administren de conformidad con el Artículo 12 Párrafo Segundo de la Ley en la materia: Los sujetos obligados sólo proporcionarán la información pública que se les requiera y que obre en sus archivos y en el estado en que ésta se encuentre. La obligación de proporcionar información no comprende el procesamiento de la misma, ni presentarla conforme al interés del solicitante; no estarán obligados a generarla, resumirla, efectuar cálculos o practicar investigaciones. Como Sujetos Obligados este H. Ayuntamiento buscará en todo momento que la información generada sea regida por los principios de Máxima Publicidad, Certeza, Legalidad, Transparencia e Imparcialidad, se otorgarán las medidas pertinentes para asegurar el acceso a la información pública a todas las personas con la normatividad aplicable para sus excepciones. A T E N T A M E N T E. UNIDAD DE TRANSPARENCIA Y ACCESO A LA INFORMACIÓN PÚBLICA</w:t>
            </w:r>
          </w:p>
        </w:tc>
      </w:tr>
      <w:tr w:rsidR="00966DC6" w:rsidRPr="005A30B1" w14:paraId="2722B40F" w14:textId="77777777" w:rsidTr="00966DC6">
        <w:trPr>
          <w:trHeight w:val="281"/>
          <w:tblCellSpacing w:w="0" w:type="dxa"/>
          <w:jc w:val="center"/>
        </w:trPr>
        <w:tc>
          <w:tcPr>
            <w:tcW w:w="0" w:type="auto"/>
            <w:vAlign w:val="center"/>
            <w:hideMark/>
          </w:tcPr>
          <w:p w14:paraId="33538BB0" w14:textId="77777777" w:rsidR="00966DC6" w:rsidRPr="005A30B1" w:rsidRDefault="00966DC6" w:rsidP="00966DC6">
            <w:pPr>
              <w:spacing w:line="276" w:lineRule="auto"/>
              <w:jc w:val="center"/>
              <w:rPr>
                <w:rFonts w:ascii="Palatino Linotype" w:hAnsi="Palatino Linotype"/>
                <w:i/>
                <w:sz w:val="22"/>
              </w:rPr>
            </w:pPr>
          </w:p>
        </w:tc>
      </w:tr>
      <w:tr w:rsidR="00966DC6" w:rsidRPr="005A30B1" w14:paraId="4EA77D02" w14:textId="77777777" w:rsidTr="00966DC6">
        <w:trPr>
          <w:trHeight w:val="281"/>
          <w:tblCellSpacing w:w="0" w:type="dxa"/>
          <w:jc w:val="center"/>
        </w:trPr>
        <w:tc>
          <w:tcPr>
            <w:tcW w:w="0" w:type="auto"/>
            <w:vAlign w:val="center"/>
            <w:hideMark/>
          </w:tcPr>
          <w:p w14:paraId="7962641C" w14:textId="77777777" w:rsidR="00966DC6" w:rsidRPr="005A30B1" w:rsidRDefault="00966DC6" w:rsidP="00966DC6">
            <w:pPr>
              <w:spacing w:line="276" w:lineRule="auto"/>
              <w:rPr>
                <w:rFonts w:ascii="Palatino Linotype" w:hAnsi="Palatino Linotype"/>
                <w:i/>
                <w:sz w:val="22"/>
              </w:rPr>
            </w:pPr>
          </w:p>
        </w:tc>
      </w:tr>
      <w:tr w:rsidR="00966DC6" w:rsidRPr="005A30B1" w14:paraId="0ED5F9A9" w14:textId="77777777" w:rsidTr="00966DC6">
        <w:trPr>
          <w:trHeight w:val="281"/>
          <w:tblCellSpacing w:w="0" w:type="dxa"/>
          <w:jc w:val="center"/>
        </w:trPr>
        <w:tc>
          <w:tcPr>
            <w:tcW w:w="0" w:type="auto"/>
            <w:vAlign w:val="center"/>
            <w:hideMark/>
          </w:tcPr>
          <w:p w14:paraId="0A7392DE" w14:textId="77777777" w:rsidR="00966DC6" w:rsidRPr="005A30B1" w:rsidRDefault="00966DC6" w:rsidP="00966DC6">
            <w:pPr>
              <w:spacing w:line="276" w:lineRule="auto"/>
              <w:rPr>
                <w:rFonts w:ascii="Palatino Linotype" w:hAnsi="Palatino Linotype"/>
                <w:i/>
                <w:sz w:val="22"/>
              </w:rPr>
            </w:pPr>
            <w:r w:rsidRPr="005A30B1">
              <w:rPr>
                <w:rFonts w:ascii="Palatino Linotype" w:hAnsi="Palatino Linotype"/>
                <w:i/>
                <w:sz w:val="22"/>
              </w:rPr>
              <w:t>ATENTAMENTE</w:t>
            </w:r>
          </w:p>
        </w:tc>
      </w:tr>
      <w:tr w:rsidR="00966DC6" w:rsidRPr="005A30B1" w14:paraId="04391A5C" w14:textId="77777777" w:rsidTr="00966DC6">
        <w:trPr>
          <w:trHeight w:val="422"/>
          <w:tblCellSpacing w:w="0" w:type="dxa"/>
          <w:jc w:val="center"/>
        </w:trPr>
        <w:tc>
          <w:tcPr>
            <w:tcW w:w="0" w:type="auto"/>
            <w:vAlign w:val="center"/>
            <w:hideMark/>
          </w:tcPr>
          <w:p w14:paraId="41D785E9" w14:textId="77777777" w:rsidR="00966DC6" w:rsidRPr="005A30B1" w:rsidRDefault="00966DC6" w:rsidP="00966DC6">
            <w:pPr>
              <w:spacing w:line="276" w:lineRule="auto"/>
              <w:rPr>
                <w:rFonts w:ascii="Palatino Linotype" w:hAnsi="Palatino Linotype"/>
                <w:i/>
                <w:sz w:val="22"/>
              </w:rPr>
            </w:pPr>
          </w:p>
        </w:tc>
      </w:tr>
      <w:tr w:rsidR="00966DC6" w:rsidRPr="005A30B1" w14:paraId="3EE7DA20" w14:textId="77777777" w:rsidTr="00966DC6">
        <w:trPr>
          <w:trHeight w:val="281"/>
          <w:tblCellSpacing w:w="0" w:type="dxa"/>
          <w:jc w:val="center"/>
        </w:trPr>
        <w:tc>
          <w:tcPr>
            <w:tcW w:w="0" w:type="auto"/>
            <w:vAlign w:val="center"/>
            <w:hideMark/>
          </w:tcPr>
          <w:p w14:paraId="1DB4DF51" w14:textId="77777777" w:rsidR="00966DC6" w:rsidRPr="005A30B1" w:rsidRDefault="00966DC6" w:rsidP="00966DC6">
            <w:pPr>
              <w:spacing w:line="276" w:lineRule="auto"/>
              <w:rPr>
                <w:rFonts w:ascii="Palatino Linotype" w:hAnsi="Palatino Linotype"/>
                <w:i/>
                <w:sz w:val="22"/>
              </w:rPr>
            </w:pPr>
            <w:r w:rsidRPr="005A30B1">
              <w:rPr>
                <w:rFonts w:ascii="Palatino Linotype" w:hAnsi="Palatino Linotype"/>
                <w:i/>
                <w:sz w:val="22"/>
              </w:rPr>
              <w:t>C. DIANA KAREN GRACIA HERNANDEZ”</w:t>
            </w:r>
          </w:p>
        </w:tc>
      </w:tr>
    </w:tbl>
    <w:p w14:paraId="5FA7E433" w14:textId="77777777" w:rsidR="00B057B1" w:rsidRPr="005A30B1" w:rsidRDefault="00B057B1" w:rsidP="00B057B1">
      <w:pPr>
        <w:spacing w:line="360" w:lineRule="auto"/>
        <w:ind w:right="567"/>
        <w:jc w:val="both"/>
        <w:rPr>
          <w:rFonts w:ascii="Palatino Linotype" w:hAnsi="Palatino Linotype"/>
          <w:i/>
          <w:sz w:val="22"/>
        </w:rPr>
      </w:pPr>
    </w:p>
    <w:p w14:paraId="46EA6BEB" w14:textId="77777777" w:rsidR="00B057B1" w:rsidRPr="005A30B1" w:rsidRDefault="004B6A5B" w:rsidP="004B6A5B">
      <w:pPr>
        <w:spacing w:line="360" w:lineRule="auto"/>
        <w:ind w:right="567"/>
        <w:jc w:val="both"/>
        <w:rPr>
          <w:rFonts w:ascii="Palatino Linotype" w:hAnsi="Palatino Linotype"/>
          <w:sz w:val="22"/>
        </w:rPr>
      </w:pPr>
      <w:r w:rsidRPr="005A30B1">
        <w:rPr>
          <w:rFonts w:ascii="Palatino Linotype" w:hAnsi="Palatino Linotype"/>
          <w:sz w:val="22"/>
        </w:rPr>
        <w:t xml:space="preserve">A la respuesta </w:t>
      </w:r>
      <w:r w:rsidR="00F77699" w:rsidRPr="005A30B1">
        <w:rPr>
          <w:rFonts w:ascii="Palatino Linotype" w:hAnsi="Palatino Linotype"/>
          <w:sz w:val="22"/>
        </w:rPr>
        <w:t>se adjuntaron los archivos que se describen enseguida:</w:t>
      </w:r>
    </w:p>
    <w:p w14:paraId="2A3AE5B9" w14:textId="77777777" w:rsidR="00F77699" w:rsidRPr="005A30B1" w:rsidRDefault="00F77699" w:rsidP="004B6A5B">
      <w:pPr>
        <w:spacing w:line="360" w:lineRule="auto"/>
        <w:ind w:right="567"/>
        <w:jc w:val="both"/>
        <w:rPr>
          <w:rFonts w:ascii="Palatino Linotype" w:hAnsi="Palatino Linotype"/>
          <w:sz w:val="22"/>
        </w:rPr>
      </w:pPr>
    </w:p>
    <w:p w14:paraId="308BAB65" w14:textId="77777777" w:rsidR="00F77699" w:rsidRPr="005A30B1" w:rsidRDefault="00B525FA" w:rsidP="00F77699">
      <w:pPr>
        <w:pStyle w:val="Prrafodelista"/>
        <w:numPr>
          <w:ilvl w:val="0"/>
          <w:numId w:val="8"/>
        </w:numPr>
        <w:spacing w:line="360" w:lineRule="auto"/>
        <w:ind w:right="567"/>
        <w:rPr>
          <w:rFonts w:ascii="Palatino Linotype" w:hAnsi="Palatino Linotype" w:cs="Arial"/>
          <w:b/>
          <w:bCs/>
          <w:i/>
        </w:rPr>
      </w:pPr>
      <w:hyperlink r:id="rId9" w:tgtFrame="_blank" w:history="1">
        <w:r w:rsidR="00F77699" w:rsidRPr="005A30B1">
          <w:rPr>
            <w:rStyle w:val="Hipervnculo"/>
            <w:rFonts w:ascii="Palatino Linotype" w:eastAsiaTheme="majorEastAsia" w:hAnsi="Palatino Linotype" w:cs="Arial"/>
            <w:b/>
            <w:bCs/>
            <w:color w:val="auto"/>
          </w:rPr>
          <w:t>Oficios que dan respuesta a la 163.pdf</w:t>
        </w:r>
      </w:hyperlink>
      <w:r w:rsidR="00F77699" w:rsidRPr="005A30B1">
        <w:rPr>
          <w:rFonts w:ascii="Palatino Linotype" w:hAnsi="Palatino Linotype"/>
        </w:rPr>
        <w:t xml:space="preserve"> archivo en el que se advierten los siguientes documentos:</w:t>
      </w:r>
    </w:p>
    <w:p w14:paraId="793B1C94" w14:textId="77777777" w:rsidR="00F77699" w:rsidRPr="005A30B1" w:rsidRDefault="00F77699" w:rsidP="00F77699">
      <w:pPr>
        <w:pStyle w:val="Prrafodelista"/>
        <w:spacing w:line="360" w:lineRule="auto"/>
        <w:ind w:right="567"/>
        <w:rPr>
          <w:rFonts w:ascii="Palatino Linotype" w:hAnsi="Palatino Linotype" w:cs="Arial"/>
          <w:b/>
          <w:bCs/>
          <w:i/>
        </w:rPr>
      </w:pPr>
    </w:p>
    <w:p w14:paraId="6BC44044" w14:textId="77777777" w:rsidR="00F77699" w:rsidRPr="005A30B1" w:rsidRDefault="00F77699" w:rsidP="00F77699">
      <w:pPr>
        <w:pStyle w:val="Prrafodelista"/>
        <w:numPr>
          <w:ilvl w:val="0"/>
          <w:numId w:val="9"/>
        </w:numPr>
        <w:spacing w:line="360" w:lineRule="auto"/>
        <w:ind w:right="567"/>
        <w:jc w:val="both"/>
        <w:rPr>
          <w:rFonts w:ascii="Palatino Linotype" w:hAnsi="Palatino Linotype" w:cs="Arial"/>
          <w:bCs/>
        </w:rPr>
      </w:pPr>
      <w:r w:rsidRPr="005A30B1">
        <w:rPr>
          <w:rFonts w:ascii="Palatino Linotype" w:hAnsi="Palatino Linotype" w:cs="Arial"/>
          <w:bCs/>
        </w:rPr>
        <w:t xml:space="preserve">Oficio de respuesta al cuestionamiento 1, en el que manifestó que la administración pasada no dejo ningún tipo de información de proveedores y </w:t>
      </w:r>
      <w:r w:rsidRPr="005A30B1">
        <w:rPr>
          <w:rFonts w:ascii="Palatino Linotype" w:hAnsi="Palatino Linotype" w:cs="Arial"/>
          <w:bCs/>
        </w:rPr>
        <w:lastRenderedPageBreak/>
        <w:t>acreedores</w:t>
      </w:r>
      <w:r w:rsidR="001C6CBB" w:rsidRPr="005A30B1">
        <w:rPr>
          <w:rFonts w:ascii="Palatino Linotype" w:hAnsi="Palatino Linotype" w:cs="Arial"/>
          <w:bCs/>
        </w:rPr>
        <w:t xml:space="preserve"> del 2021, a</w:t>
      </w:r>
      <w:r w:rsidRPr="005A30B1">
        <w:rPr>
          <w:rFonts w:ascii="Palatino Linotype" w:hAnsi="Palatino Linotype" w:cs="Arial"/>
          <w:bCs/>
        </w:rPr>
        <w:t>djuntó un link que señaló puede contener información q</w:t>
      </w:r>
      <w:r w:rsidR="001C6CBB" w:rsidRPr="005A30B1">
        <w:rPr>
          <w:rFonts w:ascii="Palatino Linotype" w:hAnsi="Palatino Linotype" w:cs="Arial"/>
          <w:bCs/>
        </w:rPr>
        <w:t>ue responda su cuestionamiento; de la respuesta número dos señaló que la actualización del padrón municipal de proveedores se realiza trimestralmente por lo que actualmente ésta en proceso; en la respuesta al cuestionamiento tres señaló informó que el portal web no tiene ningún costo y no existe ningún tipo de servidor pues todo se maneja a través de personal interno; en respuesta al numeral cuatro señaló que no existen licitaciones directas y cabe mencionar que no existe invitación a proveedores.</w:t>
      </w:r>
    </w:p>
    <w:p w14:paraId="62E25D1F" w14:textId="77777777" w:rsidR="00F77699" w:rsidRPr="005A30B1" w:rsidRDefault="00F77699" w:rsidP="00F77699">
      <w:pPr>
        <w:pStyle w:val="Prrafodelista"/>
        <w:numPr>
          <w:ilvl w:val="0"/>
          <w:numId w:val="9"/>
        </w:numPr>
        <w:spacing w:line="360" w:lineRule="auto"/>
        <w:ind w:right="567"/>
        <w:jc w:val="both"/>
        <w:rPr>
          <w:rFonts w:ascii="Palatino Linotype" w:hAnsi="Palatino Linotype" w:cs="Arial"/>
          <w:bCs/>
        </w:rPr>
      </w:pPr>
      <w:r w:rsidRPr="005A30B1">
        <w:rPr>
          <w:rFonts w:ascii="Palatino Linotype" w:hAnsi="Palatino Linotype" w:cs="Arial"/>
          <w:bCs/>
        </w:rPr>
        <w:t xml:space="preserve">Oficio del Jefe de Departamento de Eventos Especiales en el que emite un reporte de las actividades de los meses de enero, febrero y marzo y refirió que se desconoce el gasto de los materiales que se describen por ser información que tiene Tesorería. </w:t>
      </w:r>
    </w:p>
    <w:p w14:paraId="211B682C" w14:textId="77777777" w:rsidR="00F77699" w:rsidRPr="005A30B1" w:rsidRDefault="00F77699" w:rsidP="00F77699">
      <w:pPr>
        <w:pStyle w:val="Prrafodelista"/>
        <w:numPr>
          <w:ilvl w:val="0"/>
          <w:numId w:val="9"/>
        </w:numPr>
        <w:spacing w:line="360" w:lineRule="auto"/>
        <w:ind w:right="567"/>
        <w:jc w:val="both"/>
        <w:rPr>
          <w:rFonts w:ascii="Palatino Linotype" w:hAnsi="Palatino Linotype" w:cs="Arial"/>
          <w:bCs/>
        </w:rPr>
      </w:pPr>
      <w:r w:rsidRPr="005A30B1">
        <w:rPr>
          <w:rFonts w:ascii="Palatino Linotype" w:hAnsi="Palatino Linotype" w:cs="Arial"/>
          <w:bCs/>
        </w:rPr>
        <w:t>Oficio del Jefe de Departamento de Espectáculos en el que manifestó que el Municipio no cuent</w:t>
      </w:r>
      <w:r w:rsidR="001C6CBB" w:rsidRPr="005A30B1">
        <w:rPr>
          <w:rFonts w:ascii="Palatino Linotype" w:hAnsi="Palatino Linotype" w:cs="Arial"/>
          <w:bCs/>
        </w:rPr>
        <w:t xml:space="preserve">a con estructuras para la renta. </w:t>
      </w:r>
    </w:p>
    <w:p w14:paraId="337827C4" w14:textId="77777777" w:rsidR="001C6CBB" w:rsidRPr="005A30B1" w:rsidRDefault="001C6CBB" w:rsidP="00F77699">
      <w:pPr>
        <w:pStyle w:val="Prrafodelista"/>
        <w:numPr>
          <w:ilvl w:val="0"/>
          <w:numId w:val="9"/>
        </w:numPr>
        <w:spacing w:line="360" w:lineRule="auto"/>
        <w:ind w:right="567"/>
        <w:jc w:val="both"/>
        <w:rPr>
          <w:rFonts w:ascii="Palatino Linotype" w:hAnsi="Palatino Linotype" w:cs="Arial"/>
          <w:bCs/>
        </w:rPr>
      </w:pPr>
      <w:r w:rsidRPr="005A30B1">
        <w:rPr>
          <w:rFonts w:ascii="Palatino Linotype" w:hAnsi="Palatino Linotype" w:cs="Arial"/>
          <w:bCs/>
        </w:rPr>
        <w:t>Oficio del Titular de la Dirección de Comunicación Social en el que señaló que el primer trimestres del año en curso se diseñaron 77 vinilonas solicitadas por 11 áreas administrativas, señaló que la impresión de las vinilonas corresponde a otras áreas así como la renta de audio y sillas, botellas de agua, arreglos florales, etc. Sobre las redes sociales señaló que solo se cuenta con una página de Facebook y su administración está a cargo de un servidor público adscrito al área de nombre Isaac Hernández González, con un salario mensual de 10,000.00 (diez mil m/n).</w:t>
      </w:r>
    </w:p>
    <w:p w14:paraId="239A647E" w14:textId="77777777" w:rsidR="001C6CBB" w:rsidRPr="005A30B1" w:rsidRDefault="001C6CBB" w:rsidP="0078330D">
      <w:pPr>
        <w:pStyle w:val="Prrafodelista"/>
        <w:numPr>
          <w:ilvl w:val="0"/>
          <w:numId w:val="9"/>
        </w:numPr>
        <w:spacing w:line="360" w:lineRule="auto"/>
        <w:ind w:right="567"/>
        <w:jc w:val="both"/>
        <w:rPr>
          <w:rFonts w:ascii="Palatino Linotype" w:hAnsi="Palatino Linotype" w:cs="Arial"/>
          <w:bCs/>
        </w:rPr>
      </w:pPr>
      <w:r w:rsidRPr="005A30B1">
        <w:rPr>
          <w:rFonts w:ascii="Palatino Linotype" w:hAnsi="Palatino Linotype" w:cs="Arial"/>
          <w:bCs/>
        </w:rPr>
        <w:t xml:space="preserve">Oficio de Tesorería Municipal </w:t>
      </w:r>
      <w:r w:rsidR="0078330D" w:rsidRPr="005A30B1">
        <w:rPr>
          <w:rFonts w:ascii="Palatino Linotype" w:hAnsi="Palatino Linotype" w:cs="Arial"/>
          <w:bCs/>
        </w:rPr>
        <w:t xml:space="preserve">en el que señaló que lo que va del año no hay empresa de consultoría o asesoría especializada contratada. </w:t>
      </w:r>
    </w:p>
    <w:p w14:paraId="750E0AE4" w14:textId="77777777" w:rsidR="00F77699" w:rsidRPr="005A30B1" w:rsidRDefault="00F77699" w:rsidP="00F77699">
      <w:pPr>
        <w:pStyle w:val="Prrafodelista"/>
        <w:spacing w:line="360" w:lineRule="auto"/>
        <w:ind w:right="567"/>
        <w:rPr>
          <w:rFonts w:ascii="Palatino Linotype" w:hAnsi="Palatino Linotype" w:cs="Arial"/>
          <w:b/>
          <w:bCs/>
          <w:i/>
        </w:rPr>
      </w:pPr>
    </w:p>
    <w:p w14:paraId="36C4B3DB" w14:textId="77777777" w:rsidR="00F77699" w:rsidRPr="005A30B1" w:rsidRDefault="00B525FA" w:rsidP="0078330D">
      <w:pPr>
        <w:pStyle w:val="Prrafodelista"/>
        <w:numPr>
          <w:ilvl w:val="0"/>
          <w:numId w:val="8"/>
        </w:numPr>
        <w:spacing w:line="360" w:lineRule="auto"/>
        <w:ind w:right="567"/>
        <w:jc w:val="both"/>
        <w:rPr>
          <w:rFonts w:ascii="Palatino Linotype" w:hAnsi="Palatino Linotype" w:cs="Arial"/>
          <w:b/>
          <w:bCs/>
          <w:i/>
        </w:rPr>
      </w:pPr>
      <w:hyperlink r:id="rId10" w:tgtFrame="_blank" w:history="1">
        <w:r w:rsidR="00F77699" w:rsidRPr="005A30B1">
          <w:rPr>
            <w:rStyle w:val="Hipervnculo"/>
            <w:rFonts w:ascii="Palatino Linotype" w:eastAsiaTheme="majorEastAsia" w:hAnsi="Palatino Linotype" w:cs="Arial"/>
            <w:b/>
            <w:bCs/>
            <w:color w:val="auto"/>
          </w:rPr>
          <w:t>Respuesta a la Solicitud 163.pdf</w:t>
        </w:r>
      </w:hyperlink>
      <w:r w:rsidR="00F77699" w:rsidRPr="005A30B1">
        <w:rPr>
          <w:rFonts w:ascii="Palatino Linotype" w:hAnsi="Palatino Linotype"/>
        </w:rPr>
        <w:t>:</w:t>
      </w:r>
      <w:r w:rsidR="0078330D" w:rsidRPr="005A30B1">
        <w:rPr>
          <w:rFonts w:ascii="Palatino Linotype" w:hAnsi="Palatino Linotype"/>
        </w:rPr>
        <w:t xml:space="preserve"> oficio del Titular de la Unidad de Transparencia en el que señaló que adjunta respuestas emitidas por las diferentes Unidades Administrativas. </w:t>
      </w:r>
    </w:p>
    <w:p w14:paraId="3334A91C" w14:textId="77777777" w:rsidR="00B057B1" w:rsidRPr="005A30B1" w:rsidRDefault="00B057B1" w:rsidP="00B057B1">
      <w:pPr>
        <w:spacing w:line="360" w:lineRule="auto"/>
        <w:ind w:right="567"/>
        <w:jc w:val="both"/>
        <w:rPr>
          <w:rFonts w:ascii="Palatino Linotype" w:hAnsi="Palatino Linotype"/>
          <w:b/>
        </w:rPr>
      </w:pPr>
    </w:p>
    <w:p w14:paraId="064854C4"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5A30B1">
        <w:rPr>
          <w:rFonts w:ascii="Palatino Linotype" w:eastAsia="Calibri" w:hAnsi="Palatino Linotype" w:cs="Arial"/>
          <w:lang w:val="es-AR" w:eastAsia="es-ES"/>
        </w:rPr>
        <w:t xml:space="preserve">El </w:t>
      </w:r>
      <w:r w:rsidR="0078330D" w:rsidRPr="005A30B1">
        <w:rPr>
          <w:rFonts w:ascii="Palatino Linotype" w:eastAsia="Calibri" w:hAnsi="Palatino Linotype" w:cs="Arial"/>
          <w:lang w:val="es-AR" w:eastAsia="es-ES"/>
        </w:rPr>
        <w:t>diez (10) de mayo</w:t>
      </w:r>
      <w:r w:rsidRPr="005A30B1">
        <w:rPr>
          <w:rFonts w:ascii="Palatino Linotype" w:eastAsia="Calibri" w:hAnsi="Palatino Linotype" w:cs="Arial"/>
          <w:lang w:val="es-AR" w:eastAsia="es-ES"/>
        </w:rPr>
        <w:t xml:space="preserve"> de dos mil veintidós</w:t>
      </w:r>
      <w:r w:rsidRPr="005A30B1">
        <w:rPr>
          <w:rFonts w:ascii="Palatino Linotype" w:hAnsi="Palatino Linotype" w:cs="Arial"/>
          <w:lang w:val="es-ES" w:eastAsia="es-ES"/>
        </w:rPr>
        <w:t xml:space="preserve">, </w:t>
      </w:r>
      <w:r w:rsidRPr="005A30B1">
        <w:rPr>
          <w:rFonts w:ascii="Palatino Linotype" w:eastAsiaTheme="minorEastAsia" w:hAnsi="Palatino Linotype"/>
          <w:b/>
          <w:lang w:val="es-ES_tradnl" w:eastAsia="es-ES"/>
        </w:rPr>
        <w:t>EL RECURRENTE</w:t>
      </w:r>
      <w:r w:rsidRPr="005A30B1">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1FE8A285" w14:textId="77777777" w:rsidR="00B057B1" w:rsidRPr="005A30B1" w:rsidRDefault="00B057B1" w:rsidP="00B057B1">
      <w:pPr>
        <w:spacing w:line="360" w:lineRule="auto"/>
        <w:ind w:left="567" w:right="567"/>
        <w:contextualSpacing/>
        <w:rPr>
          <w:rFonts w:ascii="Palatino Linotype" w:eastAsiaTheme="minorEastAsia" w:hAnsi="Palatino Linotype" w:cs="Arial"/>
          <w:i/>
          <w:sz w:val="22"/>
          <w:lang w:val="es-ES_tradnl" w:eastAsia="es-ES"/>
        </w:rPr>
      </w:pPr>
    </w:p>
    <w:p w14:paraId="3AAF8E73" w14:textId="77777777" w:rsidR="00B057B1" w:rsidRPr="005A30B1" w:rsidRDefault="00B057B1" w:rsidP="00B057B1">
      <w:pPr>
        <w:spacing w:line="360" w:lineRule="auto"/>
        <w:ind w:left="567" w:right="567"/>
        <w:contextualSpacing/>
        <w:jc w:val="both"/>
        <w:rPr>
          <w:rFonts w:ascii="Palatino Linotype" w:eastAsia="Calibri" w:hAnsi="Palatino Linotype" w:cs="Arial"/>
          <w:i/>
          <w:sz w:val="22"/>
          <w:lang w:val="es-ES" w:eastAsia="es-ES"/>
        </w:rPr>
      </w:pPr>
      <w:r w:rsidRPr="005A30B1">
        <w:rPr>
          <w:rFonts w:ascii="Palatino Linotype" w:eastAsiaTheme="minorEastAsia" w:hAnsi="Palatino Linotype"/>
          <w:b/>
          <w:sz w:val="22"/>
          <w:lang w:val="es-ES_tradnl" w:eastAsia="es-ES"/>
        </w:rPr>
        <w:t>Acto impugnado</w:t>
      </w:r>
      <w:r w:rsidRPr="005A30B1">
        <w:rPr>
          <w:rFonts w:ascii="Palatino Linotype" w:eastAsiaTheme="minorEastAsia" w:hAnsi="Palatino Linotype"/>
          <w:b/>
          <w:i/>
          <w:sz w:val="22"/>
          <w:lang w:val="es-ES_tradnl" w:eastAsia="es-ES"/>
        </w:rPr>
        <w:t>:</w:t>
      </w:r>
      <w:r w:rsidRPr="005A30B1">
        <w:rPr>
          <w:rFonts w:ascii="Palatino Linotype" w:hAnsi="Palatino Linotype"/>
          <w:i/>
          <w:color w:val="000000"/>
          <w:sz w:val="22"/>
        </w:rPr>
        <w:t xml:space="preserve"> “</w:t>
      </w:r>
      <w:r w:rsidR="0078330D" w:rsidRPr="005A30B1">
        <w:rPr>
          <w:rFonts w:ascii="Palatino Linotype" w:hAnsi="Palatino Linotype"/>
          <w:i/>
          <w:color w:val="000000"/>
          <w:sz w:val="22"/>
        </w:rPr>
        <w:t>García Espinoza Grecia promoviendo por propio derecho, señalando como correo para recibir en digital cualquier tipo de notificación garciaespigrecia@gmail.com, con el debido respeto expongo: Que por medio del presente escrito vengo a interponer el recurso de revisión que contemplan los artículos 178 y 179 de la Ley de Transparencia y Acceso a la Información Pública del Estado de México y Municipios contra la resolución con el folio 00165/CHIMALHU/IP/2022 con fecha del 25 de abril del 202, por medio de la plataforma SAIMEX, emitida por el H. Ayuntamiento de Chimalhuacán, en virtud de considerar que el sujeto obligado incurrió en: la entrega de información incompleta, de lo correspondiente solicitado.</w:t>
      </w:r>
      <w:r w:rsidRPr="005A30B1">
        <w:rPr>
          <w:rFonts w:ascii="Palatino Linotype" w:hAnsi="Palatino Linotype"/>
          <w:i/>
          <w:color w:val="000000"/>
          <w:sz w:val="22"/>
        </w:rPr>
        <w:t xml:space="preserve">” </w:t>
      </w:r>
      <w:r w:rsidRPr="005A30B1">
        <w:rPr>
          <w:rFonts w:ascii="Palatino Linotype" w:hAnsi="Palatino Linotype"/>
          <w:color w:val="000000"/>
          <w:sz w:val="22"/>
        </w:rPr>
        <w:t>(Sic)</w:t>
      </w:r>
    </w:p>
    <w:p w14:paraId="7BF8AC36" w14:textId="77777777" w:rsidR="00B057B1" w:rsidRPr="005A30B1" w:rsidRDefault="00B057B1" w:rsidP="00B057B1">
      <w:pPr>
        <w:spacing w:line="360" w:lineRule="auto"/>
        <w:ind w:left="567" w:right="567"/>
        <w:contextualSpacing/>
        <w:jc w:val="both"/>
        <w:rPr>
          <w:rFonts w:ascii="Palatino Linotype" w:eastAsia="Calibri" w:hAnsi="Palatino Linotype" w:cs="Arial"/>
          <w:sz w:val="22"/>
          <w:lang w:val="es-ES" w:eastAsia="es-ES"/>
        </w:rPr>
      </w:pPr>
    </w:p>
    <w:p w14:paraId="0DF39D0A" w14:textId="77777777" w:rsidR="00B057B1" w:rsidRPr="005A30B1" w:rsidRDefault="00B057B1" w:rsidP="00B057B1">
      <w:pPr>
        <w:spacing w:line="360" w:lineRule="auto"/>
        <w:ind w:left="567" w:right="567"/>
        <w:contextualSpacing/>
        <w:jc w:val="both"/>
        <w:rPr>
          <w:rFonts w:ascii="Palatino Linotype" w:hAnsi="Palatino Linotype"/>
          <w:i/>
          <w:color w:val="000000"/>
          <w:sz w:val="22"/>
        </w:rPr>
      </w:pPr>
      <w:r w:rsidRPr="005A30B1">
        <w:rPr>
          <w:rFonts w:ascii="Palatino Linotype" w:eastAsiaTheme="minorEastAsia" w:hAnsi="Palatino Linotype"/>
          <w:b/>
          <w:sz w:val="22"/>
          <w:lang w:val="es-ES_tradnl" w:eastAsia="es-ES"/>
        </w:rPr>
        <w:t>Razones o Motivos de inconformidad: “</w:t>
      </w:r>
      <w:r w:rsidR="0078330D" w:rsidRPr="005A30B1">
        <w:rPr>
          <w:rFonts w:ascii="Palatino Linotype" w:hAnsi="Palatino Linotype"/>
          <w:i/>
          <w:color w:val="000000"/>
          <w:sz w:val="22"/>
        </w:rPr>
        <w:t>Realice una solicitud de acceso a la información pública el día 27 de marzo del 2022 en la cual se realizaron una serie de preguntas al H. Ayuntamiento de Chimalhuacán, posterior a ello se presentó una respuesta por parte de la titular de La Unidad de Transparencia y Acceso a la Información Pública del H. Ayuntamiento de Chimalhuacán, Estado de México. Al hacer un análisis de las repuestas recibidas noté que los numerales 4,6,7,8,9 y 10 no tienen respuesta incompletas por este motivo solicito que me proporcionen respuestas más claras a las preguntas de la solicitud de transparencia.</w:t>
      </w:r>
      <w:r w:rsidRPr="005A30B1">
        <w:rPr>
          <w:rFonts w:ascii="Palatino Linotype" w:hAnsi="Palatino Linotype"/>
          <w:i/>
          <w:color w:val="000000"/>
          <w:sz w:val="22"/>
        </w:rPr>
        <w:t xml:space="preserve">” </w:t>
      </w:r>
      <w:r w:rsidRPr="005A30B1">
        <w:rPr>
          <w:rFonts w:ascii="Palatino Linotype" w:hAnsi="Palatino Linotype"/>
          <w:color w:val="000000"/>
          <w:sz w:val="22"/>
        </w:rPr>
        <w:t>(Sic)</w:t>
      </w:r>
    </w:p>
    <w:bookmarkEnd w:id="1"/>
    <w:bookmarkEnd w:id="2"/>
    <w:bookmarkEnd w:id="3"/>
    <w:p w14:paraId="55DC4134" w14:textId="77777777" w:rsidR="00B057B1" w:rsidRPr="005A30B1" w:rsidRDefault="00B057B1" w:rsidP="00B057B1">
      <w:pPr>
        <w:tabs>
          <w:tab w:val="left" w:pos="6197"/>
        </w:tabs>
        <w:spacing w:line="360" w:lineRule="auto"/>
        <w:jc w:val="both"/>
        <w:rPr>
          <w:rFonts w:ascii="Palatino Linotype" w:eastAsia="Calibri" w:hAnsi="Palatino Linotype" w:cs="Arial"/>
          <w:sz w:val="22"/>
          <w:lang w:val="es-AR" w:eastAsia="es-ES"/>
        </w:rPr>
      </w:pPr>
    </w:p>
    <w:p w14:paraId="7DBE470C" w14:textId="77777777" w:rsidR="0078330D" w:rsidRPr="005A30B1" w:rsidRDefault="0078330D" w:rsidP="0078330D">
      <w:pPr>
        <w:pStyle w:val="Prrafodelista"/>
        <w:numPr>
          <w:ilvl w:val="0"/>
          <w:numId w:val="11"/>
        </w:numPr>
        <w:spacing w:line="360" w:lineRule="auto"/>
        <w:jc w:val="both"/>
        <w:rPr>
          <w:rFonts w:ascii="Palatino Linotype" w:hAnsi="Palatino Linotype" w:cs="Arial"/>
        </w:rPr>
      </w:pPr>
      <w:r w:rsidRPr="005A30B1">
        <w:rPr>
          <w:rFonts w:ascii="Palatino Linotype" w:eastAsia="Calibri" w:hAnsi="Palatino Linotype" w:cs="Arial"/>
          <w:lang w:val="es-AR" w:eastAsia="es-ES"/>
        </w:rPr>
        <w:t xml:space="preserve">Al recurso de revisión se adjuntó el archivo </w:t>
      </w:r>
      <w:hyperlink r:id="rId11" w:tgtFrame="_blank" w:history="1">
        <w:r w:rsidRPr="005A30B1">
          <w:rPr>
            <w:rStyle w:val="Hipervnculo"/>
            <w:rFonts w:ascii="Palatino Linotype" w:eastAsiaTheme="majorEastAsia" w:hAnsi="Palatino Linotype" w:cs="Arial"/>
            <w:b/>
            <w:bCs/>
            <w:color w:val="auto"/>
          </w:rPr>
          <w:t>Recurso de revisión 7.docx</w:t>
        </w:r>
      </w:hyperlink>
      <w:r w:rsidRPr="005A30B1">
        <w:rPr>
          <w:rFonts w:ascii="Palatino Linotype" w:hAnsi="Palatino Linotype" w:cs="Arial"/>
        </w:rPr>
        <w:t xml:space="preserve">: en el que señaló </w:t>
      </w:r>
      <w:r w:rsidRPr="005A30B1">
        <w:rPr>
          <w:rFonts w:ascii="Palatino Linotype" w:hAnsi="Palatino Linotype" w:cs="Arial"/>
          <w:i/>
        </w:rPr>
        <w:t xml:space="preserve">“Al hacer un análisis de las repuestas recibidas noté que los numerales </w:t>
      </w:r>
      <w:r w:rsidRPr="005A30B1">
        <w:rPr>
          <w:rFonts w:ascii="Palatino Linotype" w:hAnsi="Palatino Linotype" w:cs="Arial"/>
          <w:i/>
        </w:rPr>
        <w:lastRenderedPageBreak/>
        <w:t>4,6,7,8,9 y 10 no  tienen respuesta incompletas por este motivo solicito que me proporcionen respuestas más claras a las preguntas de la solicitud de transparencia.”</w:t>
      </w:r>
    </w:p>
    <w:p w14:paraId="07B88B6D" w14:textId="77777777" w:rsidR="0078330D" w:rsidRPr="005A30B1" w:rsidRDefault="0078330D" w:rsidP="0078330D">
      <w:pPr>
        <w:pStyle w:val="Prrafodelista"/>
        <w:spacing w:line="360" w:lineRule="auto"/>
        <w:jc w:val="both"/>
        <w:rPr>
          <w:rFonts w:ascii="Palatino Linotype" w:hAnsi="Palatino Linotype" w:cs="Arial"/>
          <w:sz w:val="24"/>
        </w:rPr>
      </w:pPr>
    </w:p>
    <w:p w14:paraId="4DC99602" w14:textId="77777777" w:rsidR="00B057B1" w:rsidRPr="005A30B1" w:rsidRDefault="00B057B1" w:rsidP="00B057B1">
      <w:pPr>
        <w:numPr>
          <w:ilvl w:val="0"/>
          <w:numId w:val="1"/>
        </w:numPr>
        <w:spacing w:line="360" w:lineRule="auto"/>
        <w:ind w:left="0" w:firstLine="0"/>
        <w:contextualSpacing/>
        <w:jc w:val="both"/>
        <w:rPr>
          <w:rFonts w:ascii="Palatino Linotype" w:eastAsia="Calibri" w:hAnsi="Palatino Linotype" w:cs="Arial"/>
          <w:lang w:val="es-AR" w:eastAsia="es-ES"/>
        </w:rPr>
      </w:pPr>
      <w:r w:rsidRPr="005A30B1">
        <w:rPr>
          <w:rFonts w:ascii="Palatino Linotype" w:hAnsi="Palatino Linotype" w:cs="Arial"/>
          <w:lang w:val="es-ES" w:eastAsia="es-ES"/>
        </w:rPr>
        <w:t xml:space="preserve">Se registró el recurso de revisión bajo el número de expediente </w:t>
      </w:r>
      <w:r w:rsidRPr="005A30B1">
        <w:rPr>
          <w:rFonts w:ascii="Palatino Linotype" w:eastAsiaTheme="minorEastAsia" w:hAnsi="Palatino Linotype" w:cs="Arial"/>
          <w:bCs/>
          <w:lang w:val="es-ES_tradnl" w:eastAsia="es-ES"/>
        </w:rPr>
        <w:t xml:space="preserve">al rubro indicado, asimismo con fundamento en lo dispuesto por el </w:t>
      </w:r>
      <w:r w:rsidRPr="005A30B1">
        <w:rPr>
          <w:rFonts w:ascii="Palatino Linotype" w:eastAsia="Calibri" w:hAnsi="Palatino Linotype" w:cs="Arial"/>
          <w:lang w:val="es-ES" w:eastAsia="es-ES"/>
        </w:rPr>
        <w:t xml:space="preserve">artículo 185 fracción I de la </w:t>
      </w:r>
      <w:r w:rsidRPr="005A30B1">
        <w:rPr>
          <w:rFonts w:ascii="Palatino Linotype" w:eastAsia="Calibri" w:hAnsi="Palatino Linotype" w:cs="Arial"/>
          <w:b/>
          <w:lang w:val="es-ES" w:eastAsia="es-ES"/>
        </w:rPr>
        <w:t xml:space="preserve">Ley de Transparencia y Acceso a la Información Pública del Estado de México y Municipios </w:t>
      </w:r>
      <w:r w:rsidRPr="005A30B1">
        <w:rPr>
          <w:rFonts w:ascii="Palatino Linotype" w:hAnsi="Palatino Linotype" w:cs="Arial"/>
          <w:lang w:val="es-ES" w:eastAsia="es-ES"/>
        </w:rPr>
        <w:t xml:space="preserve">se turnó a la </w:t>
      </w:r>
      <w:r w:rsidRPr="005A30B1">
        <w:rPr>
          <w:rFonts w:ascii="Palatino Linotype" w:hAnsi="Palatino Linotype" w:cs="Arial"/>
          <w:b/>
          <w:lang w:val="es-ES" w:eastAsia="es-ES"/>
        </w:rPr>
        <w:t xml:space="preserve">Comisionada María del Rosario Mejía Ayala, </w:t>
      </w:r>
      <w:r w:rsidR="00894848" w:rsidRPr="005A30B1">
        <w:rPr>
          <w:rFonts w:ascii="Palatino Linotype" w:hAnsi="Palatino Linotype" w:cs="Arial"/>
          <w:lang w:val="es-ES" w:eastAsia="es-ES"/>
        </w:rPr>
        <w:t>para</w:t>
      </w:r>
      <w:r w:rsidRPr="005A30B1">
        <w:rPr>
          <w:rFonts w:ascii="Palatino Linotype" w:hAnsi="Palatino Linotype" w:cs="Arial"/>
          <w:lang w:val="es-ES" w:eastAsia="es-ES"/>
        </w:rPr>
        <w:t xml:space="preserve"> </w:t>
      </w:r>
      <w:r w:rsidRPr="005A30B1">
        <w:rPr>
          <w:rFonts w:ascii="Palatino Linotype" w:hAnsi="Palatino Linotype" w:cs="Arial"/>
          <w:lang w:eastAsia="es-ES"/>
        </w:rPr>
        <w:t xml:space="preserve">su análisis. </w:t>
      </w:r>
    </w:p>
    <w:p w14:paraId="498CBA85" w14:textId="77777777" w:rsidR="00B057B1" w:rsidRPr="005A30B1" w:rsidRDefault="00B057B1" w:rsidP="00B057B1">
      <w:pPr>
        <w:spacing w:line="360" w:lineRule="auto"/>
        <w:contextualSpacing/>
        <w:jc w:val="both"/>
        <w:rPr>
          <w:rFonts w:ascii="Palatino Linotype" w:eastAsia="Calibri" w:hAnsi="Palatino Linotype" w:cs="Arial"/>
          <w:lang w:val="es-AR" w:eastAsia="es-ES"/>
        </w:rPr>
      </w:pPr>
    </w:p>
    <w:p w14:paraId="36DC5A75" w14:textId="77777777" w:rsidR="00B057B1" w:rsidRPr="005A30B1" w:rsidRDefault="00894848"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5A30B1">
        <w:rPr>
          <w:rFonts w:ascii="Palatino Linotype" w:eastAsia="Calibri" w:hAnsi="Palatino Linotype" w:cs="Arial"/>
          <w:lang w:val="es-ES" w:eastAsia="es-ES"/>
        </w:rPr>
        <w:t>La Comisionada</w:t>
      </w:r>
      <w:r w:rsidR="00B057B1" w:rsidRPr="005A30B1">
        <w:rPr>
          <w:rFonts w:ascii="Palatino Linotype" w:eastAsia="Calibri" w:hAnsi="Palatino Linotype" w:cs="Arial"/>
          <w:lang w:val="es-ES" w:eastAsia="es-ES"/>
        </w:rPr>
        <w:t xml:space="preserve"> Ponente con fundamento en lo dispuesto por el artículo 185 fracción II de la ley de la materia, a tra</w:t>
      </w:r>
      <w:r w:rsidR="00902110" w:rsidRPr="005A30B1">
        <w:rPr>
          <w:rFonts w:ascii="Palatino Linotype" w:eastAsia="Calibri" w:hAnsi="Palatino Linotype" w:cs="Arial"/>
          <w:lang w:val="es-ES" w:eastAsia="es-ES"/>
        </w:rPr>
        <w:t xml:space="preserve">vés del acuerdo de admisión del diecisiete (179 de mayo </w:t>
      </w:r>
      <w:r w:rsidR="00B057B1" w:rsidRPr="005A30B1">
        <w:rPr>
          <w:rFonts w:ascii="Palatino Linotype" w:eastAsia="Calibri" w:hAnsi="Palatino Linotype" w:cs="Arial"/>
          <w:lang w:val="es-ES" w:eastAsia="es-ES"/>
        </w:rPr>
        <w:t xml:space="preserve">de dos mil veintidós, puso a disposición de las partes el expediente electrónico </w:t>
      </w:r>
      <w:r w:rsidR="00B057B1" w:rsidRPr="005A30B1">
        <w:rPr>
          <w:rFonts w:ascii="Palatino Linotype" w:eastAsia="Calibri" w:hAnsi="Palatino Linotype" w:cs="Arial"/>
          <w:lang w:val="es-ES_tradnl" w:eastAsia="es-ES"/>
        </w:rPr>
        <w:t xml:space="preserve">vía </w:t>
      </w:r>
      <w:r w:rsidR="00B057B1" w:rsidRPr="005A30B1">
        <w:rPr>
          <w:rFonts w:ascii="Palatino Linotype" w:eastAsia="Calibri" w:hAnsi="Palatino Linotype" w:cs="Arial"/>
          <w:b/>
          <w:lang w:val="es-ES" w:eastAsia="es-ES"/>
        </w:rPr>
        <w:t xml:space="preserve">SAIMEX </w:t>
      </w:r>
      <w:r w:rsidR="00B057B1" w:rsidRPr="005A30B1">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B057B1" w:rsidRPr="005A30B1">
        <w:rPr>
          <w:rFonts w:ascii="Palatino Linotype" w:eastAsia="Calibri" w:hAnsi="Palatino Linotype" w:cs="Arial"/>
          <w:b/>
          <w:lang w:val="es-ES" w:eastAsia="es-ES"/>
        </w:rPr>
        <w:t>SUJETO OBLIGADO</w:t>
      </w:r>
      <w:r w:rsidR="00B057B1" w:rsidRPr="005A30B1">
        <w:rPr>
          <w:rFonts w:ascii="Palatino Linotype" w:eastAsia="Calibri" w:hAnsi="Palatino Linotype" w:cs="Arial"/>
          <w:lang w:val="es-ES" w:eastAsia="es-ES"/>
        </w:rPr>
        <w:t xml:space="preserve"> presentara el informe justificado procedente. De las constancias se advierte, que el particular no realizó manifestaciones; por su parte, el Sujeto Obligado no remitió informe justificado. </w:t>
      </w:r>
    </w:p>
    <w:p w14:paraId="3E8701B0"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5C5885D7"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eastAsiaTheme="minorEastAsia" w:hAnsi="Palatino Linotype"/>
          <w:lang w:val="es-ES_tradnl" w:eastAsia="es-ES"/>
        </w:rPr>
        <w:t xml:space="preserve">El </w:t>
      </w:r>
      <w:r w:rsidR="00902110" w:rsidRPr="005A30B1">
        <w:rPr>
          <w:rFonts w:ascii="Palatino Linotype" w:eastAsiaTheme="minorEastAsia" w:hAnsi="Palatino Linotype"/>
          <w:lang w:val="es-ES_tradnl" w:eastAsia="es-ES"/>
        </w:rPr>
        <w:t>diecinueve (19) de agosto</w:t>
      </w:r>
      <w:r w:rsidR="006005B8" w:rsidRPr="005A30B1">
        <w:rPr>
          <w:rFonts w:ascii="Palatino Linotype" w:eastAsiaTheme="minorEastAsia" w:hAnsi="Palatino Linotype"/>
          <w:lang w:val="es-ES_tradnl" w:eastAsia="es-ES"/>
        </w:rPr>
        <w:t xml:space="preserve"> de dos mil veintidós</w:t>
      </w:r>
      <w:r w:rsidRPr="005A30B1">
        <w:rPr>
          <w:rFonts w:ascii="Palatino Linotype" w:eastAsiaTheme="minorEastAsia" w:hAnsi="Palatino Linotype"/>
          <w:lang w:val="es-ES_tradnl" w:eastAsia="es-ES"/>
        </w:rPr>
        <w:t xml:space="preserve">, se notificó el acuerdo mediante el cual se aprobó la ampliación de plazo para emitir resolución. </w:t>
      </w:r>
    </w:p>
    <w:p w14:paraId="4B137F31"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46035ED4"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w:t>
      </w:r>
      <w:r w:rsidRPr="005A30B1">
        <w:rPr>
          <w:rFonts w:ascii="Palatino Linotype" w:hAnsi="Palatino Linotype"/>
        </w:rPr>
        <w:lastRenderedPageBreak/>
        <w:t>y humanas del personal encargado de la proyección de las resoluciones a dichos medios de impugnación.</w:t>
      </w:r>
    </w:p>
    <w:p w14:paraId="0A59D7AA"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33B356C5"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2149E62"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6C0CCEC5"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654C1C"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4325B858"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91DF092"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2CA2DA65" w14:textId="77777777" w:rsidR="00B057B1" w:rsidRPr="005A30B1"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5A30B1">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7EA127DC" w14:textId="77777777" w:rsidR="00B057B1" w:rsidRPr="005A30B1" w:rsidRDefault="00B057B1" w:rsidP="00B057B1">
      <w:pPr>
        <w:pStyle w:val="Prrafodelista"/>
        <w:spacing w:before="240" w:after="240" w:line="360" w:lineRule="auto"/>
        <w:ind w:left="284"/>
        <w:jc w:val="both"/>
        <w:rPr>
          <w:rFonts w:ascii="Palatino Linotype" w:hAnsi="Palatino Linotype"/>
        </w:rPr>
      </w:pPr>
      <w:r w:rsidRPr="005A30B1">
        <w:rPr>
          <w:rFonts w:ascii="Palatino Linotype" w:hAnsi="Palatino Linotype"/>
        </w:rPr>
        <w:t>a)     Complejidad del asunto: La complejidad de la prueba, la pluralidad de sujetos procesales, el tiempo transcurrido, las características y contexto del recurso.</w:t>
      </w:r>
    </w:p>
    <w:p w14:paraId="07831498" w14:textId="77777777" w:rsidR="00B057B1" w:rsidRPr="005A30B1" w:rsidRDefault="00B057B1" w:rsidP="00B057B1">
      <w:pPr>
        <w:pStyle w:val="Prrafodelista"/>
        <w:spacing w:before="240" w:after="240" w:line="360" w:lineRule="auto"/>
        <w:ind w:left="284"/>
        <w:jc w:val="both"/>
        <w:rPr>
          <w:rFonts w:ascii="Palatino Linotype" w:hAnsi="Palatino Linotype"/>
        </w:rPr>
      </w:pPr>
      <w:r w:rsidRPr="005A30B1">
        <w:rPr>
          <w:rFonts w:ascii="Palatino Linotype" w:hAnsi="Palatino Linotype"/>
        </w:rPr>
        <w:lastRenderedPageBreak/>
        <w:t>b)     Actividad Procesal del interesado: Acciones u omisiones del interesado.</w:t>
      </w:r>
    </w:p>
    <w:p w14:paraId="4AB9AD76" w14:textId="77777777" w:rsidR="00B057B1" w:rsidRPr="005A30B1" w:rsidRDefault="00894848" w:rsidP="00B057B1">
      <w:pPr>
        <w:pStyle w:val="Prrafodelista"/>
        <w:spacing w:before="240" w:after="240" w:line="360" w:lineRule="auto"/>
        <w:ind w:left="284"/>
        <w:jc w:val="both"/>
        <w:rPr>
          <w:rFonts w:ascii="Palatino Linotype" w:hAnsi="Palatino Linotype"/>
        </w:rPr>
      </w:pPr>
      <w:r w:rsidRPr="005A30B1">
        <w:rPr>
          <w:rFonts w:ascii="Palatino Linotype" w:hAnsi="Palatino Linotype"/>
        </w:rPr>
        <w:t xml:space="preserve">c)    </w:t>
      </w:r>
      <w:r w:rsidR="00B057B1" w:rsidRPr="005A30B1">
        <w:rPr>
          <w:rFonts w:ascii="Palatino Linotype" w:hAnsi="Palatino Linotype"/>
        </w:rPr>
        <w:t>Conducta de la Autoridad: Las Acciones u omisiones realizadas en el procedimiento. Así como si la autoridad actuó con la debida diligencia.</w:t>
      </w:r>
    </w:p>
    <w:p w14:paraId="50406215" w14:textId="77777777" w:rsidR="00B057B1" w:rsidRPr="005A30B1" w:rsidRDefault="00B057B1" w:rsidP="00B057B1">
      <w:pPr>
        <w:pStyle w:val="Prrafodelista"/>
        <w:spacing w:before="240" w:after="240" w:line="360" w:lineRule="auto"/>
        <w:ind w:left="284"/>
        <w:jc w:val="both"/>
        <w:rPr>
          <w:rFonts w:ascii="Palatino Linotype" w:hAnsi="Palatino Linotype"/>
        </w:rPr>
      </w:pPr>
      <w:r w:rsidRPr="005A30B1">
        <w:rPr>
          <w:rFonts w:ascii="Palatino Linotype" w:hAnsi="Palatino Linotype"/>
        </w:rPr>
        <w:t xml:space="preserve">d) </w:t>
      </w:r>
      <w:r w:rsidR="00894848" w:rsidRPr="005A30B1">
        <w:rPr>
          <w:rFonts w:ascii="Palatino Linotype" w:hAnsi="Palatino Linotype"/>
        </w:rPr>
        <w:t xml:space="preserve">  </w:t>
      </w:r>
      <w:r w:rsidRPr="005A30B1">
        <w:rPr>
          <w:rFonts w:ascii="Palatino Linotype" w:hAnsi="Palatino Linotype"/>
        </w:rPr>
        <w:t>La afectación generada en la situación jurídica de la persona involucrada en el proceso: Violación a sus derechos humanos.</w:t>
      </w:r>
    </w:p>
    <w:p w14:paraId="50FF8DC7" w14:textId="77777777" w:rsidR="00B057B1" w:rsidRPr="005A30B1" w:rsidRDefault="00B057B1" w:rsidP="00B057B1">
      <w:pPr>
        <w:pStyle w:val="Prrafodelista"/>
        <w:spacing w:before="240" w:after="240" w:line="360" w:lineRule="auto"/>
        <w:ind w:left="0"/>
        <w:jc w:val="both"/>
        <w:rPr>
          <w:rFonts w:ascii="Palatino Linotype" w:hAnsi="Palatino Linotype"/>
          <w:sz w:val="24"/>
        </w:rPr>
      </w:pPr>
    </w:p>
    <w:p w14:paraId="76EEF670" w14:textId="77777777" w:rsidR="00B057B1" w:rsidRPr="005A30B1"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5A30B1">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711D26" w14:textId="77777777" w:rsidR="00B057B1" w:rsidRPr="005A30B1" w:rsidRDefault="00B057B1" w:rsidP="00B057B1">
      <w:pPr>
        <w:pStyle w:val="Prrafodelista"/>
        <w:spacing w:before="240" w:after="240" w:line="360" w:lineRule="auto"/>
        <w:ind w:left="0"/>
        <w:jc w:val="both"/>
        <w:rPr>
          <w:rFonts w:ascii="Palatino Linotype" w:hAnsi="Palatino Linotype"/>
          <w:sz w:val="24"/>
        </w:rPr>
      </w:pPr>
    </w:p>
    <w:p w14:paraId="36781B63" w14:textId="77777777" w:rsidR="00B057B1" w:rsidRPr="005A30B1"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5A30B1">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8BF83FA" w14:textId="77777777" w:rsidR="00B057B1" w:rsidRPr="005A30B1" w:rsidRDefault="00B057B1" w:rsidP="00B057B1">
      <w:pPr>
        <w:pStyle w:val="Prrafodelista"/>
        <w:ind w:left="0"/>
        <w:rPr>
          <w:rFonts w:ascii="Palatino Linotype" w:hAnsi="Palatino Linotype"/>
          <w:sz w:val="24"/>
        </w:rPr>
      </w:pPr>
    </w:p>
    <w:p w14:paraId="2636CD96" w14:textId="77777777" w:rsidR="00B057B1" w:rsidRPr="005A30B1"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5A30B1">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5A30B1">
        <w:rPr>
          <w:rFonts w:ascii="Palatino Linotype" w:hAnsi="Palatino Linotype"/>
          <w:sz w:val="24"/>
        </w:rPr>
        <w:lastRenderedPageBreak/>
        <w:t>extensión de los escritos y pruebas aportadas y desahogadas por las partes; lo que impide la tramitación de los recursos dentro de los términos legales previamente establecidos por la Ley, por tratarse de causas de fuerza mayor.</w:t>
      </w:r>
    </w:p>
    <w:p w14:paraId="1F79BD13" w14:textId="77777777" w:rsidR="00B057B1" w:rsidRPr="005A30B1"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5A30B1">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1C57439E" w14:textId="77777777" w:rsidR="00B057B1" w:rsidRPr="005A30B1" w:rsidRDefault="00B057B1" w:rsidP="00B057B1">
      <w:pPr>
        <w:pStyle w:val="Prrafodelista"/>
        <w:rPr>
          <w:rFonts w:ascii="Palatino Linotype" w:hAnsi="Palatino Linotype"/>
        </w:rPr>
      </w:pPr>
    </w:p>
    <w:p w14:paraId="5AC9C356" w14:textId="77777777" w:rsidR="00B057B1" w:rsidRPr="005A30B1" w:rsidRDefault="00B057B1" w:rsidP="00B057B1">
      <w:pPr>
        <w:pStyle w:val="Prrafodelista"/>
        <w:spacing w:before="240" w:after="240" w:line="360" w:lineRule="auto"/>
        <w:ind w:left="567"/>
        <w:jc w:val="both"/>
        <w:rPr>
          <w:rFonts w:ascii="Palatino Linotype" w:hAnsi="Palatino Linotype"/>
        </w:rPr>
      </w:pPr>
      <w:r w:rsidRPr="005A30B1">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0957AA43" w14:textId="77777777" w:rsidR="00B057B1" w:rsidRPr="005A30B1" w:rsidRDefault="00B057B1" w:rsidP="00B057B1">
      <w:pPr>
        <w:pStyle w:val="Prrafodelista"/>
        <w:spacing w:before="240" w:after="240" w:line="360" w:lineRule="auto"/>
        <w:ind w:left="567"/>
        <w:jc w:val="both"/>
        <w:rPr>
          <w:rFonts w:ascii="Palatino Linotype" w:hAnsi="Palatino Linotype"/>
        </w:rPr>
      </w:pPr>
      <w:r w:rsidRPr="005A30B1">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32B9506" w14:textId="77777777" w:rsidR="00B057B1" w:rsidRPr="005A30B1" w:rsidRDefault="00B057B1" w:rsidP="00B057B1">
      <w:pPr>
        <w:pStyle w:val="Prrafodelista"/>
        <w:spacing w:before="240" w:after="240" w:line="360" w:lineRule="auto"/>
        <w:ind w:left="708"/>
        <w:jc w:val="both"/>
        <w:rPr>
          <w:rFonts w:ascii="Palatino Linotype" w:hAnsi="Palatino Linotype"/>
          <w:sz w:val="24"/>
        </w:rPr>
      </w:pPr>
    </w:p>
    <w:p w14:paraId="3A00C200" w14:textId="77777777" w:rsidR="00B057B1" w:rsidRPr="005A30B1" w:rsidRDefault="00B057B1" w:rsidP="00B057B1">
      <w:pPr>
        <w:pStyle w:val="Prrafodelista"/>
        <w:numPr>
          <w:ilvl w:val="0"/>
          <w:numId w:val="1"/>
        </w:numPr>
        <w:spacing w:line="360" w:lineRule="auto"/>
        <w:ind w:left="0" w:firstLine="0"/>
        <w:jc w:val="both"/>
        <w:rPr>
          <w:rFonts w:ascii="Palatino Linotype" w:hAnsi="Palatino Linotype" w:cs="Tahoma"/>
          <w:sz w:val="24"/>
        </w:rPr>
      </w:pPr>
      <w:r w:rsidRPr="005A30B1">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4A1F4408"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2C81C312" w14:textId="77777777" w:rsidR="00B057B1" w:rsidRPr="005A30B1" w:rsidRDefault="00894848" w:rsidP="00B057B1">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5A30B1">
        <w:rPr>
          <w:rFonts w:ascii="Palatino Linotype" w:eastAsiaTheme="minorEastAsia" w:hAnsi="Palatino Linotype"/>
          <w:lang w:val="es-ES_tradnl" w:eastAsia="es-ES"/>
        </w:rPr>
        <w:t>La Comisionada</w:t>
      </w:r>
      <w:r w:rsidR="00B057B1" w:rsidRPr="005A30B1">
        <w:rPr>
          <w:rFonts w:ascii="Palatino Linotype" w:eastAsiaTheme="minorEastAsia" w:hAnsi="Palatino Linotype"/>
          <w:lang w:val="es-ES_tradnl" w:eastAsia="es-ES"/>
        </w:rPr>
        <w:t xml:space="preserve"> Ponente decretó el cierre de instrucción</w:t>
      </w:r>
      <w:r w:rsidR="00B057B1" w:rsidRPr="005A30B1">
        <w:rPr>
          <w:rFonts w:ascii="Palatino Linotype" w:eastAsiaTheme="minorEastAsia" w:hAnsi="Palatino Linotype" w:cs="Arial"/>
          <w:lang w:val="es-ES_tradnl" w:eastAsia="es-ES"/>
        </w:rPr>
        <w:t xml:space="preserve"> </w:t>
      </w:r>
      <w:r w:rsidR="00B057B1" w:rsidRPr="005A30B1">
        <w:rPr>
          <w:rFonts w:ascii="Palatino Linotype" w:eastAsiaTheme="minorEastAsia" w:hAnsi="Palatino Linotype"/>
          <w:lang w:val="es-ES_tradnl" w:eastAsia="es-ES"/>
        </w:rPr>
        <w:t>mediante el acuerd</w:t>
      </w:r>
      <w:r w:rsidR="00902110" w:rsidRPr="005A30B1">
        <w:rPr>
          <w:rFonts w:ascii="Palatino Linotype" w:eastAsiaTheme="minorEastAsia" w:hAnsi="Palatino Linotype"/>
          <w:lang w:val="es-ES_tradnl" w:eastAsia="es-ES"/>
        </w:rPr>
        <w:t>o del treinta (30) de enero de dos mil veinticuatro</w:t>
      </w:r>
      <w:r w:rsidR="00B057B1" w:rsidRPr="005A30B1">
        <w:rPr>
          <w:rFonts w:ascii="Palatino Linotype" w:eastAsiaTheme="minorEastAsia" w:hAnsi="Palatino Linotype"/>
          <w:lang w:val="es-ES_tradnl" w:eastAsia="es-ES"/>
        </w:rPr>
        <w:t xml:space="preserve">. </w:t>
      </w:r>
    </w:p>
    <w:p w14:paraId="09254D0E" w14:textId="77777777" w:rsidR="00B057B1" w:rsidRPr="005A30B1" w:rsidRDefault="00B057B1" w:rsidP="00B057B1">
      <w:pPr>
        <w:pStyle w:val="Prrafodelista"/>
        <w:spacing w:line="360" w:lineRule="auto"/>
        <w:ind w:left="0"/>
        <w:jc w:val="both"/>
        <w:rPr>
          <w:rFonts w:ascii="Palatino Linotype" w:eastAsiaTheme="minorEastAsia" w:hAnsi="Palatino Linotype"/>
          <w:i/>
          <w:color w:val="000000"/>
          <w:sz w:val="24"/>
          <w:lang w:val="es-ES_tradnl" w:eastAsia="es-ES"/>
        </w:rPr>
      </w:pPr>
    </w:p>
    <w:p w14:paraId="7709B872" w14:textId="77777777" w:rsidR="00B057B1" w:rsidRPr="005A30B1" w:rsidRDefault="00B057B1" w:rsidP="00B057B1">
      <w:pPr>
        <w:keepNext/>
        <w:keepLines/>
        <w:spacing w:line="360" w:lineRule="auto"/>
        <w:jc w:val="center"/>
        <w:outlineLvl w:val="0"/>
        <w:rPr>
          <w:rFonts w:ascii="Palatino Linotype" w:eastAsiaTheme="majorEastAsia" w:hAnsi="Palatino Linotype" w:cstheme="majorBidi"/>
        </w:rPr>
      </w:pPr>
      <w:bookmarkStart w:id="4" w:name="_Toc83301634"/>
      <w:r w:rsidRPr="005A30B1">
        <w:rPr>
          <w:rFonts w:ascii="Palatino Linotype" w:eastAsiaTheme="majorEastAsia" w:hAnsi="Palatino Linotype" w:cstheme="majorBidi"/>
          <w:b/>
        </w:rPr>
        <w:t>CONSIDERANDO</w:t>
      </w:r>
      <w:bookmarkEnd w:id="4"/>
      <w:r w:rsidRPr="005A30B1">
        <w:rPr>
          <w:rFonts w:ascii="Palatino Linotype" w:eastAsiaTheme="majorEastAsia" w:hAnsi="Palatino Linotype" w:cstheme="majorBidi"/>
          <w:b/>
        </w:rPr>
        <w:t xml:space="preserve"> </w:t>
      </w:r>
    </w:p>
    <w:p w14:paraId="4AF5ED9E" w14:textId="77777777" w:rsidR="00B057B1" w:rsidRPr="005A30B1" w:rsidRDefault="00B057B1" w:rsidP="00B057B1">
      <w:pPr>
        <w:spacing w:line="360" w:lineRule="auto"/>
        <w:rPr>
          <w:rFonts w:ascii="Palatino Linotype" w:eastAsiaTheme="minorEastAsia" w:hAnsi="Palatino Linotype"/>
        </w:rPr>
      </w:pPr>
    </w:p>
    <w:p w14:paraId="57A99825" w14:textId="77777777" w:rsidR="00B057B1" w:rsidRPr="005A30B1" w:rsidRDefault="00B057B1" w:rsidP="00B057B1">
      <w:pPr>
        <w:keepNext/>
        <w:keepLines/>
        <w:spacing w:line="360" w:lineRule="auto"/>
        <w:outlineLvl w:val="1"/>
        <w:rPr>
          <w:rFonts w:ascii="Palatino Linotype" w:eastAsiaTheme="majorEastAsia" w:hAnsi="Palatino Linotype" w:cstheme="majorBidi"/>
          <w:b/>
        </w:rPr>
      </w:pPr>
      <w:bookmarkStart w:id="5" w:name="_Toc83301635"/>
      <w:r w:rsidRPr="005A30B1">
        <w:rPr>
          <w:rFonts w:ascii="Palatino Linotype" w:eastAsiaTheme="majorEastAsia" w:hAnsi="Palatino Linotype" w:cstheme="majorBidi"/>
          <w:b/>
        </w:rPr>
        <w:lastRenderedPageBreak/>
        <w:t>PRIMERO. De la competencia</w:t>
      </w:r>
      <w:bookmarkEnd w:id="5"/>
    </w:p>
    <w:p w14:paraId="203EA3CD" w14:textId="77777777" w:rsidR="00B057B1" w:rsidRPr="005A30B1" w:rsidRDefault="00B057B1" w:rsidP="00B057B1">
      <w:pPr>
        <w:pStyle w:val="Prrafodelista"/>
        <w:numPr>
          <w:ilvl w:val="0"/>
          <w:numId w:val="1"/>
        </w:numPr>
        <w:spacing w:line="360" w:lineRule="auto"/>
        <w:ind w:left="0" w:firstLine="0"/>
        <w:jc w:val="both"/>
        <w:rPr>
          <w:rFonts w:ascii="Palatino Linotype" w:hAnsi="Palatino Linotype"/>
          <w:sz w:val="24"/>
        </w:rPr>
      </w:pPr>
      <w:r w:rsidRPr="005A30B1">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1EB994" w14:textId="77777777" w:rsidR="00B057B1" w:rsidRPr="005A30B1" w:rsidRDefault="00B057B1" w:rsidP="00B057B1">
      <w:pPr>
        <w:spacing w:line="360" w:lineRule="auto"/>
        <w:contextualSpacing/>
        <w:jc w:val="both"/>
        <w:rPr>
          <w:rFonts w:ascii="Palatino Linotype" w:eastAsiaTheme="minorEastAsia" w:hAnsi="Palatino Linotype"/>
          <w:lang w:val="es-ES_tradnl" w:eastAsia="es-ES"/>
        </w:rPr>
      </w:pPr>
    </w:p>
    <w:p w14:paraId="1BC22EE5" w14:textId="77777777" w:rsidR="00B057B1" w:rsidRPr="005A30B1" w:rsidRDefault="00B057B1" w:rsidP="00B057B1">
      <w:pPr>
        <w:keepNext/>
        <w:keepLines/>
        <w:spacing w:line="360" w:lineRule="auto"/>
        <w:outlineLvl w:val="1"/>
        <w:rPr>
          <w:rFonts w:ascii="Palatino Linotype" w:eastAsiaTheme="majorEastAsia" w:hAnsi="Palatino Linotype" w:cstheme="majorBidi"/>
          <w:b/>
        </w:rPr>
      </w:pPr>
      <w:bookmarkStart w:id="6" w:name="_Toc83301636"/>
      <w:r w:rsidRPr="005A30B1">
        <w:rPr>
          <w:rFonts w:ascii="Palatino Linotype" w:eastAsiaTheme="majorEastAsia" w:hAnsi="Palatino Linotype" w:cstheme="majorBidi"/>
          <w:b/>
        </w:rPr>
        <w:t>SEGUNDO. De la oportunidad y procedencia.</w:t>
      </w:r>
      <w:bookmarkEnd w:id="6"/>
    </w:p>
    <w:p w14:paraId="038DCFA7" w14:textId="77777777" w:rsidR="00B057B1" w:rsidRPr="005A30B1"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A30B1">
        <w:rPr>
          <w:rFonts w:ascii="Palatino Linotype" w:eastAsia="Calibri" w:hAnsi="Palatino Linotype" w:cs="Arial"/>
          <w:lang w:val="es-ES_tradnl" w:eastAsia="es-ES"/>
        </w:rPr>
        <w:t xml:space="preserve">El medio de impugnación fue presentado a través del </w:t>
      </w:r>
      <w:r w:rsidRPr="005A30B1">
        <w:rPr>
          <w:rFonts w:ascii="Palatino Linotype" w:eastAsia="Calibri" w:hAnsi="Palatino Linotype" w:cs="Arial"/>
          <w:b/>
          <w:lang w:val="es-ES_tradnl" w:eastAsia="es-ES"/>
        </w:rPr>
        <w:t>SAIMEX,</w:t>
      </w:r>
      <w:r w:rsidRPr="005A30B1">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5A30B1">
        <w:rPr>
          <w:rFonts w:ascii="Palatino Linotype" w:eastAsia="Calibri" w:hAnsi="Palatino Linotype" w:cs="Arial"/>
          <w:b/>
          <w:lang w:val="es-ES_tradnl" w:eastAsia="es-ES"/>
        </w:rPr>
        <w:t>SUJETO OBLIGADO</w:t>
      </w:r>
      <w:r w:rsidRPr="005A30B1">
        <w:rPr>
          <w:rFonts w:ascii="Palatino Linotype" w:eastAsia="Calibri" w:hAnsi="Palatino Linotype" w:cs="Arial"/>
          <w:lang w:val="es-ES_tradnl" w:eastAsia="es-ES"/>
        </w:rPr>
        <w:t xml:space="preserve"> entregó respuesta a la solicitud el día </w:t>
      </w:r>
      <w:r w:rsidR="00902110" w:rsidRPr="005A30B1">
        <w:rPr>
          <w:rFonts w:ascii="Palatino Linotype" w:eastAsia="Calibri" w:hAnsi="Palatino Linotype" w:cs="Arial"/>
          <w:lang w:val="es-ES_tradnl" w:eastAsia="es-ES"/>
        </w:rPr>
        <w:t>cuatro (04) de mayo</w:t>
      </w:r>
      <w:r w:rsidRPr="005A30B1">
        <w:rPr>
          <w:rFonts w:ascii="Palatino Linotype" w:eastAsia="Calibri" w:hAnsi="Palatino Linotype" w:cs="Arial"/>
          <w:lang w:val="es-ES_tradnl" w:eastAsia="es-ES"/>
        </w:rPr>
        <w:t xml:space="preserve"> de dos mil veintidós, </w:t>
      </w:r>
      <w:r w:rsidRPr="005A30B1">
        <w:rPr>
          <w:rFonts w:ascii="Palatino Linotype" w:eastAsiaTheme="minorEastAsia" w:hAnsi="Palatino Linotype" w:cs="Arial"/>
          <w:lang w:val="es-ES_tradnl" w:eastAsia="es-ES"/>
        </w:rPr>
        <w:t xml:space="preserve">de tal forma que el plazo para interponer el recurso de revisión transcurrió </w:t>
      </w:r>
      <w:r w:rsidR="00902110" w:rsidRPr="005A30B1">
        <w:rPr>
          <w:rFonts w:ascii="Palatino Linotype" w:eastAsiaTheme="minorEastAsia" w:hAnsi="Palatino Linotype" w:cs="Arial"/>
          <w:lang w:val="es-ES_tradnl" w:eastAsia="es-ES"/>
        </w:rPr>
        <w:t>del seis (06) al veintiséis (26) de mayo</w:t>
      </w:r>
      <w:r w:rsidRPr="005A30B1">
        <w:rPr>
          <w:rFonts w:ascii="Palatino Linotype" w:eastAsiaTheme="minorEastAsia" w:hAnsi="Palatino Linotype" w:cs="Arial"/>
          <w:lang w:val="es-ES_tradnl" w:eastAsia="es-ES"/>
        </w:rPr>
        <w:t xml:space="preserve"> de dos mil veintidós; en consecuencia, presentó su inconformidad el día </w:t>
      </w:r>
      <w:r w:rsidR="00902110" w:rsidRPr="005A30B1">
        <w:rPr>
          <w:rFonts w:ascii="Palatino Linotype" w:eastAsiaTheme="minorEastAsia" w:hAnsi="Palatino Linotype" w:cs="Arial"/>
          <w:lang w:val="es-ES_tradnl" w:eastAsia="es-ES"/>
        </w:rPr>
        <w:t>diez (10) de mayo</w:t>
      </w:r>
      <w:r w:rsidRPr="005A30B1">
        <w:rPr>
          <w:rFonts w:ascii="Palatino Linotype" w:eastAsiaTheme="minorEastAsia" w:hAnsi="Palatino Linotype" w:cs="Arial"/>
          <w:lang w:val="es-ES_tradnl" w:eastAsia="es-ES"/>
        </w:rPr>
        <w:t xml:space="preserve"> de dos mil veintidós, por lo que se encuentra dentro de los márgenes temporales previstos en el artículo 178 de la </w:t>
      </w:r>
      <w:r w:rsidRPr="005A30B1">
        <w:rPr>
          <w:rFonts w:ascii="Palatino Linotype" w:eastAsiaTheme="minorEastAsia" w:hAnsi="Palatino Linotype" w:cs="Arial"/>
          <w:b/>
          <w:lang w:val="es-ES_tradnl" w:eastAsia="es-ES"/>
        </w:rPr>
        <w:t xml:space="preserve">Ley de Transparencia y Acceso a la Información Pública del Estado de México y Municipios </w:t>
      </w:r>
      <w:r w:rsidRPr="005A30B1">
        <w:rPr>
          <w:rFonts w:ascii="Palatino Linotype" w:eastAsiaTheme="minorEastAsia" w:hAnsi="Palatino Linotype" w:cs="Arial"/>
          <w:lang w:val="es-ES_tradnl" w:eastAsia="es-ES"/>
        </w:rPr>
        <w:t>vigente.</w:t>
      </w:r>
    </w:p>
    <w:p w14:paraId="7263DF94" w14:textId="77777777" w:rsidR="00B057B1" w:rsidRPr="005A30B1" w:rsidRDefault="00B057B1" w:rsidP="00B057B1">
      <w:pPr>
        <w:rPr>
          <w:rFonts w:ascii="Palatino Linotype" w:hAnsi="Palatino Linotype" w:cs="Arial"/>
          <w:i/>
        </w:rPr>
      </w:pPr>
    </w:p>
    <w:p w14:paraId="7C852D85" w14:textId="77777777" w:rsidR="00B057B1" w:rsidRPr="005A30B1"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A30B1">
        <w:rPr>
          <w:rFonts w:ascii="Palatino Linotype" w:eastAsia="Calibri" w:hAnsi="Palatino Linotype" w:cs="Arial"/>
          <w:lang w:val="es-ES_tradnl" w:eastAsia="es-ES"/>
        </w:rPr>
        <w:t xml:space="preserve">Por otro lado, el escrito contiene las formalidades previstas por el artículo 180 último párrafo de la Ley de la materia actual, por lo que es procedente que este Instituto de </w:t>
      </w:r>
      <w:r w:rsidRPr="005A30B1">
        <w:rPr>
          <w:rFonts w:ascii="Palatino Linotype" w:eastAsia="Calibri" w:hAnsi="Palatino Linotype" w:cs="Arial"/>
          <w:lang w:val="es-ES_tradnl" w:eastAsia="es-ES"/>
        </w:rPr>
        <w:lastRenderedPageBreak/>
        <w:t>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1C3031CB" w14:textId="77777777" w:rsidR="00894848" w:rsidRPr="005A30B1" w:rsidRDefault="00894848" w:rsidP="00B057B1">
      <w:pPr>
        <w:spacing w:line="360" w:lineRule="auto"/>
        <w:ind w:right="49"/>
        <w:contextualSpacing/>
        <w:jc w:val="both"/>
        <w:rPr>
          <w:rFonts w:ascii="Palatino Linotype" w:eastAsiaTheme="minorEastAsia" w:hAnsi="Palatino Linotype"/>
          <w:lang w:val="es-ES_tradnl" w:eastAsia="es-ES"/>
        </w:rPr>
      </w:pPr>
    </w:p>
    <w:p w14:paraId="7FF2F090" w14:textId="77777777" w:rsidR="00894848" w:rsidRPr="005A30B1" w:rsidRDefault="00894848" w:rsidP="00B057B1">
      <w:pPr>
        <w:spacing w:line="360" w:lineRule="auto"/>
        <w:ind w:right="49"/>
        <w:contextualSpacing/>
        <w:jc w:val="both"/>
        <w:rPr>
          <w:rFonts w:ascii="Palatino Linotype" w:eastAsiaTheme="minorEastAsia" w:hAnsi="Palatino Linotype"/>
          <w:lang w:val="es-ES_tradnl" w:eastAsia="es-ES"/>
        </w:rPr>
      </w:pPr>
    </w:p>
    <w:p w14:paraId="2603D0E1" w14:textId="77777777" w:rsidR="00894848" w:rsidRPr="005A30B1" w:rsidRDefault="00894848" w:rsidP="00B057B1">
      <w:pPr>
        <w:spacing w:line="360" w:lineRule="auto"/>
        <w:ind w:right="49"/>
        <w:contextualSpacing/>
        <w:jc w:val="both"/>
        <w:rPr>
          <w:rFonts w:ascii="Palatino Linotype" w:eastAsiaTheme="minorEastAsia" w:hAnsi="Palatino Linotype"/>
          <w:lang w:val="es-ES_tradnl" w:eastAsia="es-ES"/>
        </w:rPr>
      </w:pPr>
    </w:p>
    <w:p w14:paraId="7B711848" w14:textId="77777777" w:rsidR="00B057B1" w:rsidRPr="005A30B1" w:rsidRDefault="00B057B1" w:rsidP="00B057B1">
      <w:pPr>
        <w:spacing w:line="360" w:lineRule="auto"/>
        <w:ind w:right="49"/>
        <w:contextualSpacing/>
        <w:jc w:val="both"/>
        <w:rPr>
          <w:rFonts w:ascii="Palatino Linotype" w:eastAsia="MS Gothic" w:hAnsi="Palatino Linotype" w:cstheme="majorBidi"/>
          <w:b/>
          <w:lang w:eastAsia="es-ES"/>
        </w:rPr>
      </w:pPr>
      <w:r w:rsidRPr="005A30B1">
        <w:rPr>
          <w:rFonts w:ascii="Palatino Linotype" w:eastAsia="MS Gothic" w:hAnsi="Palatino Linotype" w:cstheme="majorBidi"/>
          <w:b/>
          <w:lang w:val="es-ES_tradnl" w:eastAsia="es-ES"/>
        </w:rPr>
        <w:t>TERCERO. Planteamiento de la Litis</w:t>
      </w:r>
      <w:r w:rsidRPr="005A30B1">
        <w:rPr>
          <w:rFonts w:ascii="Palatino Linotype" w:eastAsia="MS Gothic" w:hAnsi="Palatino Linotype" w:cstheme="majorBidi"/>
          <w:b/>
          <w:lang w:eastAsia="es-ES"/>
        </w:rPr>
        <w:t>.</w:t>
      </w:r>
      <w:bookmarkEnd w:id="7"/>
      <w:bookmarkEnd w:id="8"/>
    </w:p>
    <w:p w14:paraId="3CBD8C79" w14:textId="77777777" w:rsidR="006005B8" w:rsidRPr="005A30B1" w:rsidRDefault="00B057B1" w:rsidP="006005B8">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5A30B1">
        <w:rPr>
          <w:rFonts w:ascii="Palatino Linotype" w:eastAsia="MS Gothic" w:hAnsi="Palatino Linotype" w:cstheme="majorBidi"/>
          <w:lang w:eastAsia="es-ES"/>
        </w:rPr>
        <w:t>El particular solicitó:</w:t>
      </w:r>
    </w:p>
    <w:p w14:paraId="4EC2E3C9"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1.  El estado de proveedores y acreedores del h. ayuntamiento de enero del 2022 a la fecha;</w:t>
      </w:r>
    </w:p>
    <w:p w14:paraId="25A96A17"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2. Número de eventos públicos que ha tenido cada dirección del H. Ayuntamiento especificando impresión de vinilonas, renta de audio y/o sillas, botellas de agua, arreglos florales, café, almuerzo etc., especificando la empresa que se contrató, monto económico que se pagó por cada servicio en cada evento desde enero 2022 a la fecha de la solicitud;</w:t>
      </w:r>
    </w:p>
    <w:p w14:paraId="6F57C68D"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3. Conocer si el gobierno municipal renta anuncios espectaculares, cuál es la ubicación, costo inicial y de renta mensual de cada uno;</w:t>
      </w:r>
    </w:p>
    <w:p w14:paraId="1568F308"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4. Proveedores que se han integrado al “padrón municipal de proveedores” desde enero 2022 hasta la fecha, especificando: nombre de la empresa, responsable o representante de la misma y fecha de comienzo como proveedor;</w:t>
      </w:r>
    </w:p>
    <w:p w14:paraId="76402B48"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 xml:space="preserve">5. Costo de los pagos para el funcionamiento del portal web, mencionando, costo anual de servidor, nombre del proveedor, conocer si se maneja a través de personal interno o alguna empresa externa maneja el portal; </w:t>
      </w:r>
    </w:p>
    <w:p w14:paraId="16C95DE6" w14:textId="77777777" w:rsidR="00902110" w:rsidRPr="005A30B1" w:rsidRDefault="00902110" w:rsidP="00902110">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 xml:space="preserve">6. Conocer quién maneja las redes sociales institucionales, en caso de servidores públicos especificar nombre completo y sueldo o si son de alguna empresa externa, cuál es el monto que se le paga a la empresa según el contrato, ya sea mensual o anual; </w:t>
      </w:r>
    </w:p>
    <w:p w14:paraId="4623F408" w14:textId="77777777" w:rsidR="00B057B1" w:rsidRPr="005A30B1" w:rsidRDefault="00902110"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lastRenderedPageBreak/>
        <w:t>7. Si hay alguna empresa de consultoría o asesoría especializada contratada de cualquier forma por el gobierno municipal;</w:t>
      </w:r>
    </w:p>
    <w:p w14:paraId="6C55A893" w14:textId="77777777" w:rsidR="00902110" w:rsidRPr="005A30B1" w:rsidRDefault="00902110" w:rsidP="00B057B1">
      <w:pPr>
        <w:spacing w:line="360" w:lineRule="auto"/>
        <w:ind w:right="822"/>
        <w:contextualSpacing/>
        <w:jc w:val="both"/>
        <w:rPr>
          <w:rFonts w:ascii="Palatino Linotype" w:hAnsi="Palatino Linotype"/>
          <w:color w:val="000000"/>
        </w:rPr>
      </w:pPr>
    </w:p>
    <w:p w14:paraId="2D310F28" w14:textId="77777777" w:rsidR="00B057B1" w:rsidRPr="005A30B1" w:rsidRDefault="00902110" w:rsidP="00FE584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5A30B1">
        <w:rPr>
          <w:rFonts w:ascii="Palatino Linotype" w:eastAsia="MS Gothic" w:hAnsi="Palatino Linotype" w:cstheme="majorBidi"/>
          <w:iCs/>
          <w:lang w:eastAsia="es-ES"/>
        </w:rPr>
        <w:t>Posteriormente, el Sujeto Obligado dio respuesta a cada uno de los cuestionamientos.</w:t>
      </w:r>
      <w:r w:rsidR="00FE5849" w:rsidRPr="005A30B1">
        <w:rPr>
          <w:rFonts w:ascii="Palatino Linotype" w:eastAsia="MS Gothic" w:hAnsi="Palatino Linotype" w:cstheme="majorBidi"/>
          <w:i/>
          <w:lang w:val="es-ES_tradnl" w:eastAsia="es-ES"/>
        </w:rPr>
        <w:t xml:space="preserve"> </w:t>
      </w:r>
      <w:r w:rsidR="00B057B1" w:rsidRPr="005A30B1">
        <w:rPr>
          <w:rFonts w:ascii="Palatino Linotype" w:eastAsia="MS Gothic" w:hAnsi="Palatino Linotype" w:cstheme="majorBidi"/>
          <w:iCs/>
          <w:lang w:eastAsia="es-ES"/>
        </w:rPr>
        <w:t xml:space="preserve">Consecuentemente, </w:t>
      </w:r>
      <w:r w:rsidR="00FE5849" w:rsidRPr="005A30B1">
        <w:rPr>
          <w:rFonts w:ascii="Palatino Linotype" w:eastAsia="MS Gothic" w:hAnsi="Palatino Linotype" w:cstheme="majorBidi"/>
          <w:iCs/>
          <w:lang w:eastAsia="es-ES"/>
        </w:rPr>
        <w:t xml:space="preserve">inconforme con la respuesta, el hoy recurrente interpuso recurso de revisión en el que señaló el motivo de inconformidad por </w:t>
      </w:r>
      <w:r w:rsidRPr="005A30B1">
        <w:rPr>
          <w:rFonts w:ascii="Palatino Linotype" w:eastAsia="MS Gothic" w:hAnsi="Palatino Linotype" w:cstheme="majorBidi"/>
          <w:iCs/>
          <w:lang w:eastAsia="es-ES"/>
        </w:rPr>
        <w:t>las respuestas a los cuestionamientos 4, 6, 7, 8, 9 y 10.</w:t>
      </w:r>
    </w:p>
    <w:p w14:paraId="4E1F3FD5" w14:textId="77777777" w:rsidR="00B057B1" w:rsidRPr="005A30B1" w:rsidRDefault="00B057B1" w:rsidP="00B057B1">
      <w:pPr>
        <w:spacing w:line="360" w:lineRule="auto"/>
        <w:ind w:right="49"/>
        <w:contextualSpacing/>
        <w:jc w:val="both"/>
        <w:rPr>
          <w:rFonts w:ascii="Palatino Linotype" w:eastAsia="MS Gothic" w:hAnsi="Palatino Linotype" w:cstheme="majorBidi"/>
          <w:lang w:eastAsia="es-ES"/>
        </w:rPr>
      </w:pPr>
    </w:p>
    <w:p w14:paraId="1FE0A11A" w14:textId="77777777" w:rsidR="00B057B1" w:rsidRPr="005A30B1" w:rsidRDefault="00B057B1" w:rsidP="00B057B1">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5A30B1">
        <w:rPr>
          <w:rFonts w:ascii="Palatino Linotype" w:eastAsia="MS Gothic" w:hAnsi="Palatino Linotype" w:cstheme="majorBidi"/>
          <w:lang w:eastAsia="es-ES"/>
        </w:rPr>
        <w:t xml:space="preserve">En consecuencia, la Litis a resolver en este recurso, se circunscribe a determinar si la respuesta colma con lo </w:t>
      </w:r>
      <w:r w:rsidR="00FE5849" w:rsidRPr="005A30B1">
        <w:rPr>
          <w:rFonts w:ascii="Palatino Linotype" w:eastAsia="MS Gothic" w:hAnsi="Palatino Linotype" w:cstheme="majorBidi"/>
          <w:lang w:eastAsia="es-ES"/>
        </w:rPr>
        <w:t>solicitado o si se actualiza la</w:t>
      </w:r>
      <w:r w:rsidRPr="005A30B1">
        <w:rPr>
          <w:rFonts w:ascii="Palatino Linotype" w:eastAsia="MS Gothic" w:hAnsi="Palatino Linotype" w:cstheme="majorBidi"/>
          <w:lang w:eastAsia="es-ES"/>
        </w:rPr>
        <w:t xml:space="preserve"> c</w:t>
      </w:r>
      <w:r w:rsidR="00FE5849" w:rsidRPr="005A30B1">
        <w:rPr>
          <w:rFonts w:ascii="Palatino Linotype" w:eastAsia="MS Gothic" w:hAnsi="Palatino Linotype" w:cstheme="majorBidi"/>
          <w:lang w:eastAsia="es-ES"/>
        </w:rPr>
        <w:t>ausal de procedencia prevista</w:t>
      </w:r>
      <w:r w:rsidRPr="005A30B1">
        <w:rPr>
          <w:rFonts w:ascii="Palatino Linotype" w:eastAsia="MS Gothic" w:hAnsi="Palatino Linotype" w:cstheme="majorBidi"/>
          <w:lang w:eastAsia="es-ES"/>
        </w:rPr>
        <w:t xml:space="preserve"> e</w:t>
      </w:r>
      <w:r w:rsidR="00FE5849" w:rsidRPr="005A30B1">
        <w:rPr>
          <w:rFonts w:ascii="Palatino Linotype" w:eastAsia="MS Gothic" w:hAnsi="Palatino Linotype" w:cstheme="majorBidi"/>
          <w:lang w:eastAsia="es-ES"/>
        </w:rPr>
        <w:t>n el artículo 179, fracción I</w:t>
      </w:r>
      <w:r w:rsidR="00A36896" w:rsidRPr="005A30B1">
        <w:rPr>
          <w:rFonts w:ascii="Palatino Linotype" w:eastAsia="MS Gothic" w:hAnsi="Palatino Linotype" w:cstheme="majorBidi"/>
          <w:lang w:eastAsia="es-ES"/>
        </w:rPr>
        <w:t xml:space="preserve"> y V</w:t>
      </w:r>
      <w:r w:rsidRPr="005A30B1">
        <w:rPr>
          <w:rFonts w:ascii="Palatino Linotype" w:eastAsia="MS Gothic" w:hAnsi="Palatino Linotype" w:cstheme="majorBidi"/>
          <w:lang w:eastAsia="es-ES"/>
        </w:rPr>
        <w:t xml:space="preserve"> de la Ley de Transparencia y Acceso a la Información Pública del Estado de México y Municipios; que establece la negativa de la información</w:t>
      </w:r>
      <w:r w:rsidR="00A36896" w:rsidRPr="005A30B1">
        <w:rPr>
          <w:rFonts w:ascii="Palatino Linotype" w:eastAsia="MS Gothic" w:hAnsi="Palatino Linotype" w:cstheme="majorBidi"/>
          <w:lang w:eastAsia="es-ES"/>
        </w:rPr>
        <w:t xml:space="preserve"> y la entrega de información incompleta.</w:t>
      </w:r>
    </w:p>
    <w:p w14:paraId="07912A4E" w14:textId="77777777" w:rsidR="00B057B1" w:rsidRPr="005A30B1" w:rsidRDefault="00B057B1" w:rsidP="00B057B1">
      <w:pPr>
        <w:spacing w:line="360" w:lineRule="auto"/>
        <w:ind w:right="49"/>
        <w:contextualSpacing/>
        <w:jc w:val="both"/>
        <w:rPr>
          <w:rFonts w:ascii="Palatino Linotype" w:eastAsia="MS Gothic" w:hAnsi="Palatino Linotype"/>
        </w:rPr>
      </w:pPr>
    </w:p>
    <w:p w14:paraId="6710AD3A" w14:textId="77777777" w:rsidR="00B057B1" w:rsidRPr="005A30B1" w:rsidRDefault="00B057B1" w:rsidP="00B057B1">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5A30B1">
        <w:rPr>
          <w:rFonts w:ascii="Palatino Linotype" w:eastAsia="MS Gothic" w:hAnsi="Palatino Linotype" w:cstheme="majorBidi"/>
          <w:b/>
          <w:lang w:val="es-ES_tradnl" w:eastAsia="es-ES"/>
        </w:rPr>
        <w:t>CUARTO. Del estudio y resolución del recurso de revisión.</w:t>
      </w:r>
      <w:bookmarkEnd w:id="12"/>
      <w:bookmarkEnd w:id="13"/>
      <w:bookmarkEnd w:id="14"/>
    </w:p>
    <w:p w14:paraId="05D2816F" w14:textId="77777777" w:rsidR="00B057B1" w:rsidRPr="005A30B1" w:rsidRDefault="00B057B1" w:rsidP="00A36896">
      <w:pPr>
        <w:pStyle w:val="Ttulo1"/>
        <w:numPr>
          <w:ilvl w:val="0"/>
          <w:numId w:val="8"/>
        </w:numPr>
        <w:spacing w:before="0" w:line="360" w:lineRule="auto"/>
        <w:rPr>
          <w:rFonts w:ascii="Palatino Linotype" w:hAnsi="Palatino Linotype"/>
          <w:b/>
          <w:color w:val="auto"/>
          <w:sz w:val="24"/>
          <w:szCs w:val="24"/>
        </w:rPr>
      </w:pPr>
      <w:bookmarkStart w:id="15" w:name="_Toc80812777"/>
      <w:bookmarkStart w:id="16" w:name="_Toc83301641"/>
      <w:r w:rsidRPr="005A30B1">
        <w:rPr>
          <w:rFonts w:ascii="Palatino Linotype" w:hAnsi="Palatino Linotype"/>
          <w:b/>
          <w:color w:val="auto"/>
          <w:sz w:val="24"/>
          <w:szCs w:val="24"/>
        </w:rPr>
        <w:t>De la información solicitada y la respuesta del Sujeto Obligado.</w:t>
      </w:r>
      <w:bookmarkEnd w:id="15"/>
      <w:bookmarkEnd w:id="16"/>
    </w:p>
    <w:p w14:paraId="77BC405C" w14:textId="77777777" w:rsidR="00B057B1" w:rsidRPr="005A30B1"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A30B1">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5A30B1">
        <w:rPr>
          <w:rFonts w:ascii="Palatino Linotype" w:eastAsia="Calibri" w:hAnsi="Palatino Linotype" w:cs="Arial"/>
          <w:lang w:val="es-ES"/>
        </w:rPr>
        <w:t>Ley de Transparencia y Acceso a la Información Pública del Estado de México y Municipios</w:t>
      </w:r>
      <w:r w:rsidRPr="005A30B1">
        <w:rPr>
          <w:rFonts w:ascii="Palatino Linotype" w:hAnsi="Palatino Linotype" w:cs="Arial"/>
          <w:lang w:val="es-ES"/>
        </w:rPr>
        <w:t>.</w:t>
      </w:r>
    </w:p>
    <w:p w14:paraId="0BFDFCBD" w14:textId="77777777" w:rsidR="00B057B1" w:rsidRPr="005A30B1" w:rsidRDefault="00B057B1" w:rsidP="00B057B1">
      <w:pPr>
        <w:spacing w:line="360" w:lineRule="auto"/>
        <w:ind w:right="49"/>
        <w:contextualSpacing/>
        <w:jc w:val="both"/>
        <w:rPr>
          <w:rFonts w:ascii="Palatino Linotype" w:eastAsiaTheme="minorEastAsia" w:hAnsi="Palatino Linotype"/>
          <w:lang w:val="es-ES_tradnl" w:eastAsia="es-ES"/>
        </w:rPr>
      </w:pPr>
    </w:p>
    <w:p w14:paraId="29D5A71E" w14:textId="77777777" w:rsidR="00B057B1" w:rsidRPr="005A30B1" w:rsidRDefault="00B057B1" w:rsidP="00B057B1">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5A30B1">
        <w:rPr>
          <w:rFonts w:ascii="Palatino Linotype" w:hAnsi="Palatino Linotype" w:cs="Arial"/>
          <w:lang w:val="es-ES"/>
        </w:rPr>
        <w:t>En este caso, el particular solicitó:</w:t>
      </w:r>
    </w:p>
    <w:p w14:paraId="0478F62E"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1.  El estado de proveedores y acreedores del h. ayuntamiento de enero del 2022 a la fecha;</w:t>
      </w:r>
    </w:p>
    <w:p w14:paraId="2F88F2BE"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lastRenderedPageBreak/>
        <w:t>2. Número de eventos públicos que ha tenido cada dirección del H. Ayuntamiento especificando impresión de vinilonas, renta de audio y/o sillas, botellas de agua, arreglos florales, café, almuerzo etc., especificando la empresa que se contrató, monto económico que se pagó por cada servicio en cada evento desde enero 2022 a la fecha de la solicitud;</w:t>
      </w:r>
    </w:p>
    <w:p w14:paraId="33D5270F"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3. Conocer si el gobierno municipal renta anuncios espectaculares, cuál es la ubicación, costo inicial y de renta mensual de cada uno;</w:t>
      </w:r>
    </w:p>
    <w:p w14:paraId="13484198"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4. Proveedores que se han integrado al “padrón municipal de proveedores” desde enero 2022 hasta la fecha, especificando: nombre de la empresa, responsable o representante de la misma y fecha de comienzo como proveedor;</w:t>
      </w:r>
    </w:p>
    <w:p w14:paraId="56092136"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 xml:space="preserve">5. Costo de los pagos para el funcionamiento del portal web, mencionando, costo anual de servidor, nombre del proveedor, conocer si se maneja a través de personal interno o alguna empresa externa maneja el portal; </w:t>
      </w:r>
    </w:p>
    <w:p w14:paraId="374BE8EA"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 xml:space="preserve">6. Conocer quién maneja las redes sociales institucionales, en caso de servidores públicos especificar nombre completo y sueldo o si son de alguna empresa externa, cuál es el monto que se le paga a la empresa según el contrato, ya sea mensual o anual; </w:t>
      </w:r>
    </w:p>
    <w:p w14:paraId="763319BE" w14:textId="77777777" w:rsidR="00A36896" w:rsidRPr="005A30B1" w:rsidRDefault="00A36896" w:rsidP="00A36896">
      <w:pPr>
        <w:spacing w:line="360" w:lineRule="auto"/>
        <w:ind w:left="851" w:right="822"/>
        <w:contextualSpacing/>
        <w:jc w:val="both"/>
        <w:rPr>
          <w:rFonts w:ascii="Palatino Linotype" w:hAnsi="Palatino Linotype"/>
          <w:color w:val="000000"/>
          <w:sz w:val="22"/>
        </w:rPr>
      </w:pPr>
      <w:r w:rsidRPr="005A30B1">
        <w:rPr>
          <w:rFonts w:ascii="Palatino Linotype" w:hAnsi="Palatino Linotype"/>
          <w:color w:val="000000"/>
          <w:sz w:val="22"/>
        </w:rPr>
        <w:t>7. Si hay alguna empresa de consultoría o asesoría especializada contratada de cualquier forma por el gobierno municipal.</w:t>
      </w:r>
    </w:p>
    <w:p w14:paraId="216F8BD5" w14:textId="77777777" w:rsidR="00FE5849" w:rsidRPr="005A30B1" w:rsidRDefault="00FE5849" w:rsidP="00FE5849">
      <w:pPr>
        <w:spacing w:line="360" w:lineRule="auto"/>
        <w:ind w:right="113"/>
        <w:contextualSpacing/>
        <w:jc w:val="both"/>
        <w:rPr>
          <w:rFonts w:ascii="Palatino Linotype" w:hAnsi="Palatino Linotype"/>
          <w:color w:val="000000"/>
        </w:rPr>
      </w:pPr>
    </w:p>
    <w:p w14:paraId="4F541CF4" w14:textId="77777777" w:rsidR="00A36896" w:rsidRPr="005A30B1" w:rsidRDefault="00A36896" w:rsidP="00A36896">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5A30B1">
        <w:rPr>
          <w:rFonts w:ascii="Palatino Linotype" w:eastAsia="MS Gothic" w:hAnsi="Palatino Linotype" w:cstheme="majorBidi"/>
          <w:iCs/>
          <w:lang w:eastAsia="es-ES"/>
        </w:rPr>
        <w:t>Posteriormente, el Sujeto Obligado dio respuesta a cada uno de los cuestionamientos.</w:t>
      </w:r>
      <w:r w:rsidRPr="005A30B1">
        <w:rPr>
          <w:rFonts w:ascii="Palatino Linotype" w:eastAsia="MS Gothic" w:hAnsi="Palatino Linotype" w:cstheme="majorBidi"/>
          <w:i/>
          <w:lang w:val="es-ES_tradnl" w:eastAsia="es-ES"/>
        </w:rPr>
        <w:t xml:space="preserve"> </w:t>
      </w:r>
      <w:r w:rsidRPr="005A30B1">
        <w:rPr>
          <w:rFonts w:ascii="Palatino Linotype" w:eastAsia="MS Gothic" w:hAnsi="Palatino Linotype" w:cstheme="majorBidi"/>
          <w:iCs/>
          <w:lang w:eastAsia="es-ES"/>
        </w:rPr>
        <w:t>Consecuentemente, inconforme con la respuesta, el hoy recurrente interpuso recurso de revisión en el que señaló el motivo de inconformidad por las respuestas a los cuestionamientos 4, 6, 7, 8, 9 y 10.</w:t>
      </w:r>
    </w:p>
    <w:p w14:paraId="68E7ADC8" w14:textId="77777777" w:rsidR="00A36896" w:rsidRPr="005A30B1" w:rsidRDefault="00A36896" w:rsidP="00A3689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5A30B1">
        <w:rPr>
          <w:rFonts w:ascii="Palatino Linotype" w:eastAsia="MS Mincho" w:hAnsi="Palatino Linotype" w:cs="Arial"/>
          <w:sz w:val="24"/>
          <w:lang w:eastAsia="es-ES"/>
        </w:rPr>
        <w:t xml:space="preserve">Ahora bien, la inconformidad del RECURRENTE radica en que la información remitida es incompleta, es decir, que el particular no se inconformó por las documentales </w:t>
      </w:r>
      <w:r w:rsidRPr="005A30B1">
        <w:rPr>
          <w:rFonts w:ascii="Palatino Linotype" w:eastAsia="MS Mincho" w:hAnsi="Palatino Linotype" w:cs="Arial"/>
          <w:sz w:val="24"/>
          <w:lang w:eastAsia="es-ES"/>
        </w:rPr>
        <w:lastRenderedPageBreak/>
        <w:t xml:space="preserve">emitidas en respuesta, únicamente señaló su inconformidad por las respuesta a los cuestionamientos 4, 6, 7, 8, 9 y 10;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1B02B623" w14:textId="77777777" w:rsidR="00A36896" w:rsidRPr="005A30B1" w:rsidRDefault="00A36896" w:rsidP="00A36896">
      <w:pPr>
        <w:pStyle w:val="Prrafodelista"/>
        <w:spacing w:before="240" w:after="240" w:line="360" w:lineRule="auto"/>
        <w:ind w:left="0" w:right="48"/>
        <w:jc w:val="both"/>
        <w:rPr>
          <w:rFonts w:ascii="Palatino Linotype" w:eastAsia="MS Mincho" w:hAnsi="Palatino Linotype" w:cs="Arial"/>
          <w:sz w:val="24"/>
          <w:lang w:eastAsia="es-ES"/>
        </w:rPr>
      </w:pPr>
    </w:p>
    <w:p w14:paraId="52122672" w14:textId="77777777" w:rsidR="00A36896" w:rsidRPr="005A30B1" w:rsidRDefault="00A36896" w:rsidP="00A3689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5A30B1">
        <w:rPr>
          <w:rFonts w:ascii="Palatino Linotype" w:eastAsia="MS Mincho" w:hAnsi="Palatino Linotype" w:cs="Arial"/>
          <w:sz w:val="24"/>
          <w:lang w:eastAsia="es-ES"/>
        </w:rPr>
        <w:t>Sirve de sustento, la tesis jurisprudencial número VI.3o.C. J/60, publicada en el Semanario Judicial de la Federación y su Gaceta bajo el número de registro 176,608 que a la letra dice:</w:t>
      </w:r>
    </w:p>
    <w:p w14:paraId="1D59B311" w14:textId="77777777" w:rsidR="00A36896" w:rsidRPr="005A30B1" w:rsidRDefault="00A36896" w:rsidP="00A36896">
      <w:pPr>
        <w:pStyle w:val="Prrafodelista"/>
        <w:spacing w:before="240" w:after="240" w:line="360" w:lineRule="auto"/>
        <w:ind w:left="851" w:right="822"/>
        <w:jc w:val="both"/>
        <w:rPr>
          <w:rFonts w:ascii="Palatino Linotype" w:eastAsia="MS Mincho" w:hAnsi="Palatino Linotype" w:cs="Arial"/>
          <w:i/>
          <w:lang w:eastAsia="es-ES"/>
        </w:rPr>
      </w:pPr>
      <w:r w:rsidRPr="005A30B1">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53749E0" w14:textId="77777777" w:rsidR="00A36896" w:rsidRPr="005A30B1" w:rsidRDefault="00A36896" w:rsidP="00A36896">
      <w:pPr>
        <w:pStyle w:val="Prrafodelista"/>
        <w:spacing w:before="240" w:after="240" w:line="360" w:lineRule="auto"/>
        <w:ind w:left="851" w:right="822"/>
        <w:jc w:val="both"/>
        <w:rPr>
          <w:rFonts w:ascii="Palatino Linotype" w:eastAsia="MS Mincho" w:hAnsi="Palatino Linotype" w:cs="Arial"/>
          <w:i/>
          <w:sz w:val="24"/>
          <w:lang w:eastAsia="es-ES"/>
        </w:rPr>
      </w:pPr>
    </w:p>
    <w:p w14:paraId="0519E0C8" w14:textId="77777777" w:rsidR="00A36896" w:rsidRPr="005A30B1" w:rsidRDefault="00A36896" w:rsidP="00A3689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5A30B1">
        <w:rPr>
          <w:rFonts w:ascii="Palatino Linotype" w:eastAsia="MS Mincho" w:hAnsi="Palatino Linotype" w:cs="Arial"/>
          <w:sz w:val="24"/>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4CD11A4B" w14:textId="77777777" w:rsidR="00A36896" w:rsidRPr="005A30B1" w:rsidRDefault="00A36896" w:rsidP="00A36896">
      <w:pPr>
        <w:pStyle w:val="Prrafodelista"/>
        <w:spacing w:before="240" w:after="240" w:line="360" w:lineRule="auto"/>
        <w:ind w:left="0" w:right="48"/>
        <w:jc w:val="both"/>
        <w:rPr>
          <w:rFonts w:ascii="Palatino Linotype" w:eastAsia="MS Mincho" w:hAnsi="Palatino Linotype" w:cs="Arial"/>
          <w:sz w:val="24"/>
          <w:lang w:eastAsia="es-ES"/>
        </w:rPr>
      </w:pPr>
    </w:p>
    <w:p w14:paraId="0CEA8D96" w14:textId="77777777" w:rsidR="00A36896" w:rsidRPr="005A30B1" w:rsidRDefault="00A36896" w:rsidP="00A3689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5A30B1">
        <w:rPr>
          <w:rFonts w:ascii="Palatino Linotype" w:eastAsia="MS Mincho" w:hAnsi="Palatino Linotype" w:cs="Arial"/>
          <w:sz w:val="24"/>
          <w:lang w:eastAsia="es-ES"/>
        </w:rPr>
        <w:lastRenderedPageBreak/>
        <w:t>Atento a ello, es importante traer a contexto la Tesis Jurisprudencial Número 3ª./J.7/91, Publicada en el Semanario Judicial de la Federación y su Gaceta bajo el número de registro 174,177, que establece lo siguiente:</w:t>
      </w:r>
    </w:p>
    <w:p w14:paraId="1D465AE8" w14:textId="77777777" w:rsidR="00A36896" w:rsidRPr="005A30B1" w:rsidRDefault="00A36896" w:rsidP="00A36896">
      <w:pPr>
        <w:pStyle w:val="Prrafodelista"/>
        <w:spacing w:before="240" w:after="240" w:line="360" w:lineRule="auto"/>
        <w:ind w:left="0" w:right="48"/>
        <w:jc w:val="both"/>
        <w:rPr>
          <w:rFonts w:ascii="Palatino Linotype" w:eastAsia="MS Mincho" w:hAnsi="Palatino Linotype" w:cs="Arial"/>
          <w:sz w:val="24"/>
          <w:lang w:eastAsia="es-ES"/>
        </w:rPr>
      </w:pPr>
    </w:p>
    <w:p w14:paraId="2F1A3E97" w14:textId="77777777" w:rsidR="00A36896" w:rsidRPr="005A30B1" w:rsidRDefault="00A36896" w:rsidP="00A36896">
      <w:pPr>
        <w:pStyle w:val="Prrafodelista"/>
        <w:spacing w:before="240" w:after="240" w:line="360" w:lineRule="auto"/>
        <w:ind w:left="851" w:right="822"/>
        <w:jc w:val="both"/>
        <w:rPr>
          <w:rFonts w:ascii="Palatino Linotype" w:eastAsia="MS Mincho" w:hAnsi="Palatino Linotype" w:cs="Arial"/>
          <w:i/>
          <w:lang w:eastAsia="es-ES"/>
        </w:rPr>
      </w:pPr>
      <w:r w:rsidRPr="005A30B1">
        <w:rPr>
          <w:rFonts w:ascii="Palatino Linotype" w:eastAsia="MS Mincho" w:hAnsi="Palatino Linotype" w:cs="Arial"/>
          <w:i/>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DFE533" w14:textId="77777777" w:rsidR="00A36896" w:rsidRPr="005A30B1" w:rsidRDefault="00A36896" w:rsidP="00A3689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A30B1">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54688DCC" w14:textId="77777777" w:rsidR="00A36896" w:rsidRPr="005A30B1" w:rsidRDefault="00A36896" w:rsidP="00A36896">
      <w:pPr>
        <w:spacing w:line="360" w:lineRule="auto"/>
        <w:ind w:right="49"/>
        <w:contextualSpacing/>
        <w:jc w:val="both"/>
        <w:rPr>
          <w:rFonts w:ascii="Palatino Linotype" w:eastAsiaTheme="minorEastAsia" w:hAnsi="Palatino Linotype"/>
          <w:lang w:val="es-ES_tradnl" w:eastAsia="es-ES"/>
        </w:rPr>
      </w:pPr>
    </w:p>
    <w:p w14:paraId="4A14B4C2" w14:textId="77777777" w:rsidR="00A36896" w:rsidRPr="005A30B1" w:rsidRDefault="00A36896" w:rsidP="00A3689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A30B1">
        <w:rPr>
          <w:rFonts w:ascii="Palatino Linotype" w:hAnsi="Palatino Linotype" w:cs="Tahoma"/>
          <w:bCs/>
          <w:lang w:eastAsia="es-ES"/>
        </w:rPr>
        <w:t xml:space="preserve">Ahora bien, debemos destacar que el particular se inconformó por las respuestas a los puntos </w:t>
      </w:r>
      <w:r w:rsidRPr="005A30B1">
        <w:rPr>
          <w:rFonts w:ascii="Palatino Linotype" w:eastAsia="MS Gothic" w:hAnsi="Palatino Linotype" w:cstheme="majorBidi"/>
          <w:iCs/>
          <w:lang w:eastAsia="es-ES"/>
        </w:rPr>
        <w:t xml:space="preserve">4, 6, 7, 8, 9 y 10; sin embargo, se advierte que de las constancias del expediente electrónico, que únicamente se realizaron siete cuestionamientos, por lo tanto, solo se hará pronunciamiento a las respuesta emitidas en los cuestionamientos </w:t>
      </w:r>
      <w:r w:rsidR="002C269C" w:rsidRPr="005A30B1">
        <w:rPr>
          <w:rFonts w:ascii="Palatino Linotype" w:eastAsia="MS Gothic" w:hAnsi="Palatino Linotype" w:cstheme="majorBidi"/>
          <w:iCs/>
          <w:lang w:eastAsia="es-ES"/>
        </w:rPr>
        <w:t xml:space="preserve">4, 6 y 7. </w:t>
      </w:r>
    </w:p>
    <w:p w14:paraId="176754AA" w14:textId="77777777" w:rsidR="00A36896" w:rsidRPr="005A30B1" w:rsidRDefault="00A36896" w:rsidP="002C269C">
      <w:pPr>
        <w:spacing w:line="360" w:lineRule="auto"/>
        <w:ind w:right="49"/>
        <w:contextualSpacing/>
        <w:jc w:val="both"/>
        <w:rPr>
          <w:rFonts w:ascii="Palatino Linotype" w:eastAsia="MS Gothic" w:hAnsi="Palatino Linotype" w:cstheme="majorBidi"/>
          <w:b/>
          <w:i/>
          <w:lang w:val="es-ES_tradnl" w:eastAsia="es-ES"/>
        </w:rPr>
      </w:pPr>
    </w:p>
    <w:tbl>
      <w:tblPr>
        <w:tblStyle w:val="Tablaconcuadrcula4-nfasis3"/>
        <w:tblW w:w="0" w:type="auto"/>
        <w:tblLook w:val="04A0" w:firstRow="1" w:lastRow="0" w:firstColumn="1" w:lastColumn="0" w:noHBand="0" w:noVBand="1"/>
      </w:tblPr>
      <w:tblGrid>
        <w:gridCol w:w="4517"/>
        <w:gridCol w:w="4517"/>
      </w:tblGrid>
      <w:tr w:rsidR="00101586" w:rsidRPr="005A30B1" w14:paraId="3FFE4105" w14:textId="77777777" w:rsidTr="00101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tcPr>
          <w:p w14:paraId="7227BD98" w14:textId="77777777" w:rsidR="00101586" w:rsidRPr="005A30B1" w:rsidRDefault="00101586" w:rsidP="00101586">
            <w:pPr>
              <w:pStyle w:val="Prrafodelista"/>
              <w:tabs>
                <w:tab w:val="left" w:pos="851"/>
              </w:tabs>
              <w:spacing w:line="360" w:lineRule="auto"/>
              <w:ind w:left="0" w:right="49"/>
              <w:jc w:val="both"/>
              <w:rPr>
                <w:rFonts w:ascii="Palatino Linotype" w:hAnsi="Palatino Linotype"/>
                <w:sz w:val="20"/>
                <w:lang w:val="es-ES"/>
              </w:rPr>
            </w:pPr>
            <w:r w:rsidRPr="005A30B1">
              <w:rPr>
                <w:rFonts w:ascii="Palatino Linotype" w:hAnsi="Palatino Linotype"/>
                <w:sz w:val="20"/>
                <w:lang w:val="es-ES"/>
              </w:rPr>
              <w:t>SOLICITUD</w:t>
            </w:r>
          </w:p>
        </w:tc>
        <w:tc>
          <w:tcPr>
            <w:tcW w:w="4517" w:type="dxa"/>
          </w:tcPr>
          <w:p w14:paraId="79A16720" w14:textId="77777777" w:rsidR="00101586" w:rsidRPr="005A30B1" w:rsidRDefault="00101586" w:rsidP="00101586">
            <w:pPr>
              <w:pStyle w:val="Prrafodelista"/>
              <w:tabs>
                <w:tab w:val="left" w:pos="851"/>
              </w:tabs>
              <w:spacing w:line="360" w:lineRule="auto"/>
              <w:ind w:left="0" w:right="4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lang w:val="es-ES"/>
              </w:rPr>
            </w:pPr>
            <w:r w:rsidRPr="005A30B1">
              <w:rPr>
                <w:rFonts w:ascii="Palatino Linotype" w:hAnsi="Palatino Linotype"/>
                <w:sz w:val="20"/>
                <w:lang w:val="es-ES"/>
              </w:rPr>
              <w:t>RESPUESTA</w:t>
            </w:r>
          </w:p>
        </w:tc>
      </w:tr>
      <w:tr w:rsidR="00101586" w:rsidRPr="005A30B1" w14:paraId="542D1829" w14:textId="77777777" w:rsidTr="00101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tcPr>
          <w:p w14:paraId="1811232D" w14:textId="77777777" w:rsidR="00101586" w:rsidRPr="005A30B1" w:rsidRDefault="00101586" w:rsidP="00101586">
            <w:pPr>
              <w:pStyle w:val="Prrafodelista"/>
              <w:tabs>
                <w:tab w:val="left" w:pos="851"/>
              </w:tabs>
              <w:ind w:left="0" w:right="49"/>
              <w:jc w:val="both"/>
              <w:rPr>
                <w:rFonts w:ascii="Palatino Linotype" w:hAnsi="Palatino Linotype"/>
                <w:b w:val="0"/>
                <w:sz w:val="20"/>
              </w:rPr>
            </w:pPr>
            <w:r w:rsidRPr="005A30B1">
              <w:rPr>
                <w:rFonts w:ascii="Palatino Linotype" w:hAnsi="Palatino Linotype"/>
                <w:b w:val="0"/>
                <w:sz w:val="20"/>
              </w:rPr>
              <w:lastRenderedPageBreak/>
              <w:t>4. Proveedores que se han integrado al “padrón municipal de proveedores” desde enero 2022 hasta la fecha, especificando: nombre de la empresa, responsable o representante de la misma y fecha de comienzo como proveedor;</w:t>
            </w:r>
          </w:p>
          <w:p w14:paraId="647F3E53" w14:textId="77777777" w:rsidR="00101586" w:rsidRPr="005A30B1" w:rsidRDefault="00101586" w:rsidP="00101586">
            <w:pPr>
              <w:pStyle w:val="Prrafodelista"/>
              <w:tabs>
                <w:tab w:val="left" w:pos="851"/>
              </w:tabs>
              <w:spacing w:line="360" w:lineRule="auto"/>
              <w:ind w:left="0" w:right="49"/>
              <w:jc w:val="both"/>
              <w:rPr>
                <w:rFonts w:ascii="Palatino Linotype" w:hAnsi="Palatino Linotype"/>
                <w:b w:val="0"/>
                <w:sz w:val="20"/>
                <w:lang w:val="es-ES"/>
              </w:rPr>
            </w:pPr>
          </w:p>
        </w:tc>
        <w:tc>
          <w:tcPr>
            <w:tcW w:w="4517" w:type="dxa"/>
          </w:tcPr>
          <w:p w14:paraId="0086F336" w14:textId="77777777" w:rsidR="00101586" w:rsidRPr="005A30B1" w:rsidRDefault="00101586" w:rsidP="00101586">
            <w:pPr>
              <w:pStyle w:val="Prrafodelista"/>
              <w:tabs>
                <w:tab w:val="left" w:pos="851"/>
              </w:tabs>
              <w:spacing w:line="360" w:lineRule="auto"/>
              <w:ind w:left="0"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lang w:val="es-ES"/>
              </w:rPr>
            </w:pPr>
            <w:r w:rsidRPr="005A30B1">
              <w:rPr>
                <w:rFonts w:ascii="Palatino Linotype" w:hAnsi="Palatino Linotype"/>
                <w:b/>
                <w:sz w:val="20"/>
                <w:lang w:val="es-ES"/>
              </w:rPr>
              <w:t xml:space="preserve">Se le informa que no existen licitaciones directas y cabe mencionar que no existe invitación a proveedores. </w:t>
            </w:r>
          </w:p>
        </w:tc>
      </w:tr>
      <w:tr w:rsidR="00101586" w:rsidRPr="005A30B1" w14:paraId="29A66FAC" w14:textId="77777777" w:rsidTr="00101586">
        <w:tc>
          <w:tcPr>
            <w:cnfStyle w:val="001000000000" w:firstRow="0" w:lastRow="0" w:firstColumn="1" w:lastColumn="0" w:oddVBand="0" w:evenVBand="0" w:oddHBand="0" w:evenHBand="0" w:firstRowFirstColumn="0" w:firstRowLastColumn="0" w:lastRowFirstColumn="0" w:lastRowLastColumn="0"/>
            <w:tcW w:w="4517" w:type="dxa"/>
          </w:tcPr>
          <w:p w14:paraId="6104C9EA" w14:textId="77777777" w:rsidR="00101586" w:rsidRPr="005A30B1" w:rsidRDefault="00101586" w:rsidP="00101586">
            <w:pPr>
              <w:pStyle w:val="Prrafodelista"/>
              <w:tabs>
                <w:tab w:val="left" w:pos="851"/>
              </w:tabs>
              <w:ind w:left="0" w:right="49"/>
              <w:jc w:val="both"/>
              <w:rPr>
                <w:rFonts w:ascii="Palatino Linotype" w:hAnsi="Palatino Linotype"/>
                <w:b w:val="0"/>
                <w:sz w:val="20"/>
              </w:rPr>
            </w:pPr>
          </w:p>
          <w:p w14:paraId="0FC30654" w14:textId="77777777" w:rsidR="00101586" w:rsidRPr="005A30B1" w:rsidRDefault="00101586" w:rsidP="00101586">
            <w:pPr>
              <w:pStyle w:val="Prrafodelista"/>
              <w:tabs>
                <w:tab w:val="left" w:pos="851"/>
              </w:tabs>
              <w:ind w:left="0" w:right="49"/>
              <w:jc w:val="both"/>
              <w:rPr>
                <w:rFonts w:ascii="Palatino Linotype" w:hAnsi="Palatino Linotype"/>
                <w:b w:val="0"/>
                <w:sz w:val="20"/>
              </w:rPr>
            </w:pPr>
            <w:r w:rsidRPr="005A30B1">
              <w:rPr>
                <w:rFonts w:ascii="Palatino Linotype" w:hAnsi="Palatino Linotype"/>
                <w:b w:val="0"/>
                <w:sz w:val="20"/>
              </w:rPr>
              <w:t xml:space="preserve">6. Conocer quién maneja las redes sociales institucionales, en caso de servidores públicos especificar nombre completo y sueldo o si son de alguna empresa externa, cuál es el monto que se le paga a la empresa según el contrato, ya sea mensual o anual; </w:t>
            </w:r>
          </w:p>
          <w:p w14:paraId="47D682B5" w14:textId="77777777" w:rsidR="00101586" w:rsidRPr="005A30B1" w:rsidRDefault="00101586" w:rsidP="00101586">
            <w:pPr>
              <w:pStyle w:val="Prrafodelista"/>
              <w:tabs>
                <w:tab w:val="left" w:pos="851"/>
              </w:tabs>
              <w:ind w:left="0" w:right="49"/>
              <w:jc w:val="both"/>
              <w:rPr>
                <w:rFonts w:ascii="Palatino Linotype" w:hAnsi="Palatino Linotype"/>
                <w:b w:val="0"/>
                <w:sz w:val="20"/>
                <w:lang w:val="es-ES"/>
              </w:rPr>
            </w:pPr>
          </w:p>
        </w:tc>
        <w:tc>
          <w:tcPr>
            <w:tcW w:w="4517" w:type="dxa"/>
          </w:tcPr>
          <w:p w14:paraId="0B612A75" w14:textId="77777777" w:rsidR="00101586" w:rsidRPr="005A30B1" w:rsidRDefault="00101586" w:rsidP="00101586">
            <w:pPr>
              <w:pStyle w:val="Prrafodelista"/>
              <w:tabs>
                <w:tab w:val="left" w:pos="851"/>
              </w:tabs>
              <w:spacing w:line="360" w:lineRule="auto"/>
              <w:ind w:left="0"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lang w:val="es-ES"/>
              </w:rPr>
            </w:pPr>
            <w:r w:rsidRPr="005A30B1">
              <w:rPr>
                <w:rFonts w:ascii="Palatino Linotype" w:hAnsi="Palatino Linotype"/>
                <w:b/>
                <w:sz w:val="20"/>
                <w:lang w:val="es-ES"/>
              </w:rPr>
              <w:t>Con respecto al manejo de redes sociales institucionales, me permito informarle que solo se cuenta con una página de Facebook denominada “Gobierno de Chimalhuacán” y su administración está a cargo de un servidor público adscrito al área, de nombre Isaac Eduardo Hernández González, con un salario mensual de $10,000.00 (diez mil pesos m/n)</w:t>
            </w:r>
          </w:p>
        </w:tc>
      </w:tr>
      <w:tr w:rsidR="00101586" w:rsidRPr="005A30B1" w14:paraId="70D635E0" w14:textId="77777777" w:rsidTr="00101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tcPr>
          <w:p w14:paraId="7116D08E" w14:textId="77777777" w:rsidR="00101586" w:rsidRPr="005A30B1" w:rsidRDefault="00101586" w:rsidP="00101586">
            <w:pPr>
              <w:pStyle w:val="Prrafodelista"/>
              <w:tabs>
                <w:tab w:val="left" w:pos="851"/>
              </w:tabs>
              <w:ind w:left="0" w:right="49"/>
              <w:jc w:val="both"/>
              <w:rPr>
                <w:rFonts w:ascii="Palatino Linotype" w:hAnsi="Palatino Linotype"/>
                <w:b w:val="0"/>
                <w:sz w:val="20"/>
              </w:rPr>
            </w:pPr>
            <w:r w:rsidRPr="005A30B1">
              <w:rPr>
                <w:rFonts w:ascii="Palatino Linotype" w:hAnsi="Palatino Linotype"/>
                <w:b w:val="0"/>
                <w:sz w:val="20"/>
              </w:rPr>
              <w:t>7. Si hay alguna empresa de consultoría o asesoría especializada contratada de cualquier forma por el gobierno municipal.</w:t>
            </w:r>
          </w:p>
          <w:p w14:paraId="134BC4D6" w14:textId="77777777" w:rsidR="00101586" w:rsidRPr="005A30B1" w:rsidRDefault="00101586" w:rsidP="00101586">
            <w:pPr>
              <w:pStyle w:val="Prrafodelista"/>
              <w:tabs>
                <w:tab w:val="left" w:pos="851"/>
              </w:tabs>
              <w:spacing w:line="360" w:lineRule="auto"/>
              <w:ind w:left="0" w:right="49"/>
              <w:jc w:val="both"/>
              <w:rPr>
                <w:rFonts w:ascii="Palatino Linotype" w:hAnsi="Palatino Linotype"/>
                <w:b w:val="0"/>
                <w:sz w:val="20"/>
                <w:lang w:val="es-ES"/>
              </w:rPr>
            </w:pPr>
          </w:p>
        </w:tc>
        <w:tc>
          <w:tcPr>
            <w:tcW w:w="4517" w:type="dxa"/>
          </w:tcPr>
          <w:p w14:paraId="5CCAF2EC" w14:textId="77777777" w:rsidR="00101586" w:rsidRPr="005A30B1" w:rsidRDefault="00101586" w:rsidP="00101586">
            <w:pPr>
              <w:pStyle w:val="Prrafodelista"/>
              <w:tabs>
                <w:tab w:val="left" w:pos="851"/>
              </w:tabs>
              <w:spacing w:line="360" w:lineRule="auto"/>
              <w:ind w:left="0"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sz w:val="20"/>
                <w:lang w:val="es-ES"/>
              </w:rPr>
            </w:pPr>
            <w:r w:rsidRPr="005A30B1">
              <w:rPr>
                <w:rFonts w:ascii="Palatino Linotype" w:hAnsi="Palatino Linotype"/>
                <w:b/>
                <w:sz w:val="20"/>
                <w:lang w:val="es-ES"/>
              </w:rPr>
              <w:t xml:space="preserve">Tengo a bien informar que al momento que va de esta administración no hay empresa de consultoría o asesoría especializada. </w:t>
            </w:r>
          </w:p>
        </w:tc>
      </w:tr>
    </w:tbl>
    <w:p w14:paraId="64DDD306" w14:textId="77777777" w:rsidR="00101586" w:rsidRPr="005A30B1" w:rsidRDefault="00101586" w:rsidP="00101586">
      <w:pPr>
        <w:pStyle w:val="Prrafodelista"/>
        <w:tabs>
          <w:tab w:val="left" w:pos="851"/>
        </w:tabs>
        <w:spacing w:line="360" w:lineRule="auto"/>
        <w:ind w:left="0" w:right="49"/>
        <w:jc w:val="both"/>
        <w:rPr>
          <w:rFonts w:ascii="Palatino Linotype" w:hAnsi="Palatino Linotype"/>
          <w:sz w:val="24"/>
          <w:lang w:val="es-ES"/>
        </w:rPr>
      </w:pPr>
    </w:p>
    <w:p w14:paraId="2CF588BD" w14:textId="77777777" w:rsidR="00101586" w:rsidRPr="005A30B1" w:rsidRDefault="00101586" w:rsidP="00101586">
      <w:pPr>
        <w:pStyle w:val="Prrafodelista"/>
        <w:tabs>
          <w:tab w:val="left" w:pos="851"/>
        </w:tabs>
        <w:spacing w:line="360" w:lineRule="auto"/>
        <w:ind w:left="0" w:right="49"/>
        <w:jc w:val="both"/>
        <w:rPr>
          <w:rFonts w:ascii="Palatino Linotype" w:hAnsi="Palatino Linotype"/>
          <w:sz w:val="24"/>
          <w:lang w:val="es-ES"/>
        </w:rPr>
      </w:pPr>
    </w:p>
    <w:p w14:paraId="628B824A" w14:textId="77777777" w:rsidR="00DE53FB" w:rsidRPr="005A30B1" w:rsidRDefault="00BF4487" w:rsidP="00DE53FB">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t>Con respecto al punto 4 de la solicitud, se advierte que la respuesta fue emitida por el Director de Egresos, quien es el servidor público habilitado que de acuerdo a sus facultades genera, posee y administra la información solicitada;</w:t>
      </w:r>
      <w:r w:rsidR="00B15DD4" w:rsidRPr="005A30B1">
        <w:rPr>
          <w:rFonts w:ascii="Palatino Linotype" w:hAnsi="Palatino Linotype"/>
          <w:sz w:val="24"/>
          <w:lang w:val="es-ES"/>
        </w:rPr>
        <w:t xml:space="preserve"> sin embargo, la respuesta resulta incongruente, ya que el particular no solicitó conoc</w:t>
      </w:r>
      <w:r w:rsidR="00DE53FB" w:rsidRPr="005A30B1">
        <w:rPr>
          <w:rFonts w:ascii="Palatino Linotype" w:hAnsi="Palatino Linotype"/>
          <w:sz w:val="24"/>
          <w:lang w:val="es-ES"/>
        </w:rPr>
        <w:t>er si se realizaron adjudicaciones</w:t>
      </w:r>
      <w:r w:rsidR="00B15DD4" w:rsidRPr="005A30B1">
        <w:rPr>
          <w:rFonts w:ascii="Palatino Linotype" w:hAnsi="Palatino Linotype"/>
          <w:sz w:val="24"/>
          <w:lang w:val="es-ES"/>
        </w:rPr>
        <w:t xml:space="preserve"> direct</w:t>
      </w:r>
      <w:r w:rsidR="00DE53FB" w:rsidRPr="005A30B1">
        <w:rPr>
          <w:rFonts w:ascii="Palatino Linotype" w:hAnsi="Palatino Linotype"/>
          <w:sz w:val="24"/>
          <w:lang w:val="es-ES"/>
        </w:rPr>
        <w:t xml:space="preserve">as o invitaciones a proveedores, el particular requiere saber si en el periodo solicitado se integraron proveedores al padrón, en ese sentido, debemos traer a contexto el Criterio </w:t>
      </w:r>
      <w:r w:rsidR="00DE53FB" w:rsidRPr="005A30B1">
        <w:rPr>
          <w:rFonts w:ascii="Palatino Linotype" w:eastAsia="Palatino Linotype" w:hAnsi="Palatino Linotype" w:cs="Palatino Linotype"/>
          <w:sz w:val="24"/>
        </w:rPr>
        <w:t xml:space="preserve">02/2017 emitido por el Instituto Nacional de Transparencia, Acceso a la Información  y Protección de Datos Personales se establece que: </w:t>
      </w:r>
    </w:p>
    <w:p w14:paraId="1D12439A" w14:textId="77777777" w:rsidR="00DE53FB" w:rsidRPr="005A30B1" w:rsidRDefault="00DE53FB" w:rsidP="00DE53FB">
      <w:pPr>
        <w:pStyle w:val="Prrafodelista"/>
        <w:spacing w:line="276" w:lineRule="auto"/>
        <w:ind w:left="851" w:right="822"/>
        <w:jc w:val="both"/>
        <w:rPr>
          <w:rFonts w:ascii="Palatino Linotype" w:hAnsi="Palatino Linotype" w:cs="Arial"/>
          <w:i/>
          <w:iCs/>
          <w:color w:val="000000"/>
        </w:rPr>
      </w:pPr>
      <w:r w:rsidRPr="005A30B1">
        <w:rPr>
          <w:rStyle w:val="normaltextrun"/>
          <w:rFonts w:ascii="Palatino Linotype" w:hAnsi="Palatino Linotype" w:cs="Arial"/>
          <w:b/>
          <w:bCs/>
          <w:i/>
          <w:iCs/>
          <w:color w:val="000000"/>
          <w:shd w:val="clear" w:color="auto" w:fill="FFFFFF"/>
        </w:rPr>
        <w:t xml:space="preserve">Congruencia y exhaustividad. Sus alcances para garantizar el derecho de acceso a la información. </w:t>
      </w:r>
      <w:r w:rsidRPr="005A30B1">
        <w:rPr>
          <w:rStyle w:val="normaltextrun"/>
          <w:rFonts w:ascii="Palatino Linotype" w:hAnsi="Palatino Linotype" w:cs="Arial"/>
          <w:i/>
          <w:iCs/>
          <w:color w:val="000000"/>
          <w:shd w:val="clear" w:color="auto" w:fill="FFFFFF"/>
        </w:rPr>
        <w:t xml:space="preserve">De conformidad con el artículo 3 de la Ley Federal de Procedimiento </w:t>
      </w:r>
      <w:r w:rsidRPr="005A30B1">
        <w:rPr>
          <w:rStyle w:val="normaltextrun"/>
          <w:rFonts w:ascii="Palatino Linotype" w:hAnsi="Palatino Linotype" w:cs="Arial"/>
          <w:i/>
          <w:iCs/>
          <w:color w:val="000000"/>
          <w:shd w:val="clear" w:color="auto" w:fill="FFFFFF"/>
        </w:rPr>
        <w:lastRenderedPageBreak/>
        <w:t>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0B821F1" w14:textId="77777777" w:rsidR="00DE53FB" w:rsidRPr="005A30B1" w:rsidRDefault="00DE53FB" w:rsidP="00DE53FB">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 w:val="24"/>
        </w:rPr>
      </w:pPr>
    </w:p>
    <w:p w14:paraId="12FB00D5" w14:textId="77777777" w:rsidR="00DE53FB" w:rsidRPr="005A30B1" w:rsidRDefault="00DE53FB" w:rsidP="00DE53FB">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sz w:val="24"/>
        </w:rPr>
      </w:pPr>
      <w:r w:rsidRPr="005A30B1">
        <w:rPr>
          <w:rFonts w:ascii="Palatino Linotype" w:eastAsia="Palatino Linotype" w:hAnsi="Palatino Linotype" w:cs="Palatino Linotype"/>
          <w:sz w:val="24"/>
        </w:rPr>
        <w:t xml:space="preserve">Es así, que los sujetos obligados para garantizar el derecho de acceso a la Información, deberán cumplir con los principios de exhaustividad y congruencia, esto es, que la </w:t>
      </w:r>
      <w:r w:rsidRPr="005A30B1">
        <w:rPr>
          <w:rFonts w:ascii="Palatino Linotype" w:eastAsia="Palatino Linotype" w:hAnsi="Palatino Linotype" w:cs="Palatino Linotype"/>
          <w:b/>
          <w:sz w:val="24"/>
        </w:rPr>
        <w:t>congruencia implica que exista concordancia entre el requerimiento formulado por el particular y la respuesta proporcionada por el sujeto obligado (</w:t>
      </w:r>
      <w:r w:rsidRPr="005A30B1">
        <w:rPr>
          <w:rFonts w:ascii="Palatino Linotype" w:eastAsia="Palatino Linotype" w:hAnsi="Palatino Linotype" w:cs="Palatino Linotype"/>
          <w:sz w:val="24"/>
        </w:rPr>
        <w:t>situación que en el presente caso no aconteció), mientras que la exhaustividad establece que el sujeto obligado deberá atender de manera expresa cada uno de los puntos solicitados.</w:t>
      </w:r>
    </w:p>
    <w:p w14:paraId="425B9C88" w14:textId="77777777" w:rsidR="00DE53FB" w:rsidRPr="005A30B1" w:rsidRDefault="00DE53FB" w:rsidP="00DE53FB">
      <w:pPr>
        <w:pStyle w:val="Prrafodelista"/>
        <w:tabs>
          <w:tab w:val="left" w:pos="851"/>
        </w:tabs>
        <w:spacing w:line="360" w:lineRule="auto"/>
        <w:ind w:left="0" w:right="49"/>
        <w:jc w:val="both"/>
        <w:rPr>
          <w:rFonts w:ascii="Palatino Linotype" w:hAnsi="Palatino Linotype"/>
          <w:sz w:val="24"/>
          <w:lang w:val="es-ES"/>
        </w:rPr>
      </w:pPr>
    </w:p>
    <w:p w14:paraId="4F90ED3D" w14:textId="77777777" w:rsidR="00BF4487" w:rsidRPr="005A30B1" w:rsidRDefault="00DE53FB" w:rsidP="00BF448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t xml:space="preserve">Consecuentemente, es necesario referir que el padrón de proveedores es una obligación de transparencia común contemplada en el </w:t>
      </w:r>
      <w:r w:rsidR="006634BC" w:rsidRPr="005A30B1">
        <w:rPr>
          <w:rFonts w:ascii="Palatino Linotype" w:hAnsi="Palatino Linotype"/>
          <w:sz w:val="24"/>
          <w:lang w:val="es-ES"/>
        </w:rPr>
        <w:t>artículo</w:t>
      </w:r>
      <w:r w:rsidRPr="005A30B1">
        <w:rPr>
          <w:rFonts w:ascii="Palatino Linotype" w:hAnsi="Palatino Linotype"/>
          <w:sz w:val="24"/>
          <w:lang w:val="es-ES"/>
        </w:rPr>
        <w:t xml:space="preserve"> 92 de la Ley de Transparencia que establece</w:t>
      </w:r>
      <w:r w:rsidR="006634BC" w:rsidRPr="005A30B1">
        <w:rPr>
          <w:rFonts w:ascii="Palatino Linotype" w:hAnsi="Palatino Linotype"/>
          <w:sz w:val="24"/>
          <w:lang w:val="es-ES"/>
        </w:rPr>
        <w:t>:</w:t>
      </w:r>
    </w:p>
    <w:p w14:paraId="05EA2337" w14:textId="77777777" w:rsidR="006634BC" w:rsidRPr="005A30B1" w:rsidRDefault="006634BC" w:rsidP="006634BC">
      <w:pPr>
        <w:pStyle w:val="Prrafodelista"/>
        <w:tabs>
          <w:tab w:val="left" w:pos="851"/>
        </w:tabs>
        <w:spacing w:line="360" w:lineRule="auto"/>
        <w:ind w:left="851" w:right="822"/>
        <w:jc w:val="center"/>
        <w:rPr>
          <w:rFonts w:ascii="Palatino Linotype" w:hAnsi="Palatino Linotype"/>
          <w:i/>
        </w:rPr>
      </w:pPr>
      <w:r w:rsidRPr="005A30B1">
        <w:rPr>
          <w:rFonts w:ascii="Palatino Linotype" w:hAnsi="Palatino Linotype"/>
          <w:i/>
        </w:rPr>
        <w:t>“Capítulo II</w:t>
      </w:r>
    </w:p>
    <w:p w14:paraId="0255B799" w14:textId="77777777" w:rsidR="006634BC" w:rsidRPr="005A30B1" w:rsidRDefault="006634BC" w:rsidP="006634BC">
      <w:pPr>
        <w:pStyle w:val="Prrafodelista"/>
        <w:tabs>
          <w:tab w:val="left" w:pos="851"/>
        </w:tabs>
        <w:spacing w:line="360" w:lineRule="auto"/>
        <w:ind w:left="851" w:right="822"/>
        <w:jc w:val="center"/>
        <w:rPr>
          <w:rFonts w:ascii="Palatino Linotype" w:hAnsi="Palatino Linotype"/>
          <w:i/>
        </w:rPr>
      </w:pPr>
      <w:r w:rsidRPr="005A30B1">
        <w:rPr>
          <w:rFonts w:ascii="Palatino Linotype" w:hAnsi="Palatino Linotype"/>
          <w:i/>
        </w:rPr>
        <w:t>De las Obligaciones de Transparencia Comunes</w:t>
      </w:r>
    </w:p>
    <w:p w14:paraId="2D71080E" w14:textId="77777777" w:rsidR="006634BC" w:rsidRPr="005A30B1" w:rsidRDefault="006634BC" w:rsidP="006634BC">
      <w:pPr>
        <w:pStyle w:val="Prrafodelista"/>
        <w:tabs>
          <w:tab w:val="left" w:pos="851"/>
        </w:tabs>
        <w:spacing w:line="360" w:lineRule="auto"/>
        <w:ind w:left="851" w:right="822"/>
        <w:jc w:val="both"/>
        <w:rPr>
          <w:rFonts w:ascii="Palatino Linotype" w:hAnsi="Palatino Linotype"/>
          <w:i/>
          <w:lang w:val="es-ES"/>
        </w:rPr>
      </w:pPr>
      <w:r w:rsidRPr="005A30B1">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44EBFA7" w14:textId="77777777" w:rsidR="006634BC" w:rsidRPr="005A30B1" w:rsidRDefault="006634BC" w:rsidP="006634BC">
      <w:pPr>
        <w:pStyle w:val="Prrafodelista"/>
        <w:tabs>
          <w:tab w:val="left" w:pos="851"/>
        </w:tabs>
        <w:spacing w:line="360" w:lineRule="auto"/>
        <w:ind w:left="851" w:right="822"/>
        <w:jc w:val="both"/>
        <w:rPr>
          <w:rFonts w:ascii="Palatino Linotype" w:hAnsi="Palatino Linotype"/>
          <w:i/>
          <w:lang w:val="es-ES"/>
        </w:rPr>
      </w:pPr>
    </w:p>
    <w:p w14:paraId="3C1B4DD9" w14:textId="77777777" w:rsidR="006634BC" w:rsidRPr="005A30B1" w:rsidRDefault="006634BC" w:rsidP="006634BC">
      <w:pPr>
        <w:pStyle w:val="Prrafodelista"/>
        <w:tabs>
          <w:tab w:val="left" w:pos="851"/>
        </w:tabs>
        <w:spacing w:line="360" w:lineRule="auto"/>
        <w:ind w:left="851" w:right="822"/>
        <w:jc w:val="both"/>
        <w:rPr>
          <w:rFonts w:ascii="Palatino Linotype" w:hAnsi="Palatino Linotype"/>
          <w:i/>
          <w:lang w:val="es-ES"/>
        </w:rPr>
      </w:pPr>
      <w:r w:rsidRPr="005A30B1">
        <w:rPr>
          <w:rFonts w:ascii="Palatino Linotype" w:hAnsi="Palatino Linotype"/>
          <w:i/>
          <w:lang w:val="es-ES"/>
        </w:rPr>
        <w:t>…</w:t>
      </w:r>
    </w:p>
    <w:p w14:paraId="7E86520C" w14:textId="77777777" w:rsidR="006634BC" w:rsidRPr="005A30B1" w:rsidRDefault="006634BC" w:rsidP="006634BC">
      <w:pPr>
        <w:pStyle w:val="Prrafodelista"/>
        <w:tabs>
          <w:tab w:val="left" w:pos="851"/>
        </w:tabs>
        <w:spacing w:line="360" w:lineRule="auto"/>
        <w:ind w:left="851" w:right="822"/>
        <w:jc w:val="both"/>
        <w:rPr>
          <w:rFonts w:ascii="Palatino Linotype" w:hAnsi="Palatino Linotype"/>
          <w:i/>
        </w:rPr>
      </w:pPr>
      <w:r w:rsidRPr="005A30B1">
        <w:rPr>
          <w:rFonts w:ascii="Palatino Linotype" w:hAnsi="Palatino Linotype"/>
          <w:i/>
        </w:rPr>
        <w:t>XXXVI. Padrón de proveedores y contratistas;</w:t>
      </w:r>
    </w:p>
    <w:p w14:paraId="02069CDC" w14:textId="77777777" w:rsidR="006634BC" w:rsidRPr="005A30B1" w:rsidRDefault="006634BC" w:rsidP="006634BC">
      <w:pPr>
        <w:pStyle w:val="Prrafodelista"/>
        <w:tabs>
          <w:tab w:val="left" w:pos="851"/>
        </w:tabs>
        <w:spacing w:line="360" w:lineRule="auto"/>
        <w:ind w:left="851" w:right="822"/>
        <w:jc w:val="both"/>
        <w:rPr>
          <w:rFonts w:ascii="Palatino Linotype" w:hAnsi="Palatino Linotype"/>
          <w:i/>
        </w:rPr>
      </w:pPr>
      <w:r w:rsidRPr="005A30B1">
        <w:rPr>
          <w:rFonts w:ascii="Palatino Linotype" w:hAnsi="Palatino Linotype"/>
          <w:i/>
        </w:rPr>
        <w:t>…”</w:t>
      </w:r>
    </w:p>
    <w:p w14:paraId="52BC5932" w14:textId="77777777" w:rsidR="00BF4487" w:rsidRPr="005A30B1" w:rsidRDefault="00BF4487" w:rsidP="006634BC">
      <w:pPr>
        <w:pStyle w:val="Prrafodelista"/>
        <w:tabs>
          <w:tab w:val="left" w:pos="851"/>
        </w:tabs>
        <w:spacing w:line="360" w:lineRule="auto"/>
        <w:ind w:left="0" w:right="49"/>
        <w:jc w:val="both"/>
        <w:rPr>
          <w:rFonts w:ascii="Palatino Linotype" w:hAnsi="Palatino Linotype"/>
          <w:sz w:val="24"/>
          <w:lang w:val="es-ES"/>
        </w:rPr>
      </w:pPr>
    </w:p>
    <w:p w14:paraId="1EB6B2A1" w14:textId="77777777" w:rsidR="006634BC" w:rsidRPr="005A30B1" w:rsidRDefault="006634BC" w:rsidP="00BF448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t>En ese sentido, resulta procedente ordenar al Sujeto Obligado, la entrega de la información solicitada, estableciendo que para el caso de que no se haya generado, lo haga del conocimiento del particular en términos del artículo 19, segundo párrafo de la Ley de Transparencia y Acceso a la Información Pública del Estado de México y Municipios.</w:t>
      </w:r>
    </w:p>
    <w:p w14:paraId="61EF7E56" w14:textId="77777777" w:rsidR="00BF4487" w:rsidRPr="005A30B1" w:rsidRDefault="00101586" w:rsidP="00BF448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t xml:space="preserve">Por otro lado, respecto a  los puntos 6 y 7 de la solicitud, podemos advertir que la respuesta fue emitida por los servidores públicos habilitados de la Dirección de </w:t>
      </w:r>
      <w:r w:rsidR="00BF4487" w:rsidRPr="005A30B1">
        <w:rPr>
          <w:rFonts w:ascii="Palatino Linotype" w:hAnsi="Palatino Linotype"/>
          <w:sz w:val="24"/>
          <w:lang w:val="es-ES"/>
        </w:rPr>
        <w:t>Comunicación</w:t>
      </w:r>
      <w:r w:rsidRPr="005A30B1">
        <w:rPr>
          <w:rFonts w:ascii="Palatino Linotype" w:hAnsi="Palatino Linotype"/>
          <w:sz w:val="24"/>
          <w:lang w:val="es-ES"/>
        </w:rPr>
        <w:t xml:space="preserve"> Social y Te</w:t>
      </w:r>
      <w:r w:rsidR="00BF4487" w:rsidRPr="005A30B1">
        <w:rPr>
          <w:rFonts w:ascii="Palatino Linotype" w:hAnsi="Palatino Linotype"/>
          <w:sz w:val="24"/>
          <w:lang w:val="es-ES"/>
        </w:rPr>
        <w:t>sorería Municipal, que tienen las atribuciones para generar, poseer y administrar la información solicitada de acuerdo a las atribuciones que les confiere el Bando Municipal de Chimalhuacán:</w:t>
      </w:r>
    </w:p>
    <w:p w14:paraId="3BCE9DC2" w14:textId="77777777" w:rsidR="00BF4487" w:rsidRPr="005A30B1" w:rsidRDefault="00BF4487" w:rsidP="000F6C54">
      <w:pPr>
        <w:pStyle w:val="Prrafodelista"/>
        <w:spacing w:line="360" w:lineRule="auto"/>
        <w:ind w:left="851" w:right="49"/>
        <w:jc w:val="both"/>
        <w:rPr>
          <w:rFonts w:ascii="Palatino Linotype" w:hAnsi="Palatino Linotype"/>
          <w:i/>
        </w:rPr>
      </w:pPr>
      <w:r w:rsidRPr="005A30B1">
        <w:rPr>
          <w:rFonts w:ascii="Palatino Linotype" w:hAnsi="Palatino Linotype"/>
          <w:sz w:val="24"/>
          <w:lang w:val="es-ES"/>
        </w:rPr>
        <w:t xml:space="preserve"> </w:t>
      </w:r>
      <w:r w:rsidRPr="005A30B1">
        <w:rPr>
          <w:rFonts w:ascii="Palatino Linotype" w:hAnsi="Palatino Linotype"/>
          <w:i/>
        </w:rPr>
        <w:t>“Artículo 65.- La Tesorería Municipal es el órgano encargado de la obtención y aplicación del recurso financiero de acuerdo con la Ley de Ingresos, Código Financiero del Estado de México y Municipios y demás disposiciones aplicables vigentes. Esta dependencia se encargará de recibir la Hacienda Pública, de acuerdo con las previsiones a que se refiere el artículo 19 de la Ley Orgánica Municipal del Estado de México.”</w:t>
      </w:r>
    </w:p>
    <w:p w14:paraId="0086E044" w14:textId="77777777" w:rsidR="00BF4487" w:rsidRPr="005A30B1" w:rsidRDefault="00BF4487" w:rsidP="00BF4487">
      <w:pPr>
        <w:pStyle w:val="Prrafodelista"/>
        <w:tabs>
          <w:tab w:val="left" w:pos="851"/>
        </w:tabs>
        <w:spacing w:line="360" w:lineRule="auto"/>
        <w:ind w:left="851" w:right="822"/>
        <w:jc w:val="both"/>
        <w:rPr>
          <w:rFonts w:ascii="Palatino Linotype" w:hAnsi="Palatino Linotype"/>
          <w:i/>
        </w:rPr>
      </w:pPr>
    </w:p>
    <w:p w14:paraId="51563A70" w14:textId="77777777" w:rsidR="00BF4487" w:rsidRPr="005A30B1" w:rsidRDefault="00BF4487" w:rsidP="00BF4487">
      <w:pPr>
        <w:pStyle w:val="Prrafodelista"/>
        <w:tabs>
          <w:tab w:val="left" w:pos="851"/>
        </w:tabs>
        <w:spacing w:line="360" w:lineRule="auto"/>
        <w:ind w:left="851" w:right="822"/>
        <w:jc w:val="both"/>
        <w:rPr>
          <w:rFonts w:ascii="Palatino Linotype" w:hAnsi="Palatino Linotype"/>
          <w:i/>
        </w:rPr>
      </w:pPr>
      <w:r w:rsidRPr="005A30B1">
        <w:rPr>
          <w:rFonts w:ascii="Palatino Linotype" w:hAnsi="Palatino Linotype"/>
          <w:i/>
        </w:rPr>
        <w:t>“Artículo 69.- La Dirección General de Comunicación Social es la unidad administrativa responsable de difundir las obras, acciones, planes, programas y proyectos del Gobierno Municipal.”</w:t>
      </w:r>
    </w:p>
    <w:p w14:paraId="740CBB32" w14:textId="77777777" w:rsidR="00BF4487" w:rsidRPr="005A30B1" w:rsidRDefault="00BF4487" w:rsidP="00BF4487">
      <w:pPr>
        <w:pStyle w:val="Prrafodelista"/>
        <w:tabs>
          <w:tab w:val="left" w:pos="851"/>
        </w:tabs>
        <w:spacing w:line="360" w:lineRule="auto"/>
        <w:ind w:left="851" w:right="822"/>
        <w:jc w:val="both"/>
        <w:rPr>
          <w:rFonts w:ascii="Palatino Linotype" w:hAnsi="Palatino Linotype"/>
          <w:i/>
          <w:sz w:val="24"/>
          <w:lang w:val="es-ES"/>
        </w:rPr>
      </w:pPr>
    </w:p>
    <w:p w14:paraId="277650AC" w14:textId="77777777" w:rsidR="00BF4487" w:rsidRPr="005A30B1" w:rsidRDefault="00BF4487" w:rsidP="00BF448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t xml:space="preserve">Por lo tanto, al haber existido un pronunciamiento por parte del Sujeto Obligado, </w:t>
      </w:r>
      <w:r w:rsidRPr="005A30B1">
        <w:rPr>
          <w:rFonts w:ascii="Palatino Linotype" w:hAnsi="Palatino Linotype" w:cs="Arial"/>
          <w:sz w:val="24"/>
        </w:rPr>
        <w:t xml:space="preserve">éste Órgano Garante no está facultado para pronunciarse sobre la veracidad de la </w:t>
      </w:r>
      <w:r w:rsidRPr="005A30B1">
        <w:rPr>
          <w:rFonts w:ascii="Palatino Linotype" w:hAnsi="Palatino Linotype" w:cs="Arial"/>
          <w:sz w:val="24"/>
        </w:rPr>
        <w:lastRenderedPageBreak/>
        <w:t xml:space="preserve">información que los Sujetos Obligados ponen a disposición de los solicitantes; situación que se aleja de las atribuciones de este Instituto </w:t>
      </w:r>
      <w:r w:rsidRPr="005A30B1">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0101925B" w14:textId="77777777" w:rsidR="00BF4487" w:rsidRPr="005A30B1" w:rsidRDefault="00BF4487" w:rsidP="00BF4487">
      <w:pPr>
        <w:pStyle w:val="Default"/>
        <w:numPr>
          <w:ilvl w:val="0"/>
          <w:numId w:val="1"/>
        </w:numPr>
        <w:spacing w:before="240" w:after="360" w:line="360" w:lineRule="auto"/>
        <w:ind w:left="0" w:firstLine="0"/>
        <w:jc w:val="both"/>
        <w:rPr>
          <w:rFonts w:ascii="Palatino Linotype" w:hAnsi="Palatino Linotype"/>
        </w:rPr>
      </w:pPr>
      <w:r w:rsidRPr="005A30B1">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458658E" w14:textId="77777777" w:rsidR="00BF4487" w:rsidRPr="005A30B1" w:rsidRDefault="00BF4487" w:rsidP="00BF4487">
      <w:pPr>
        <w:pStyle w:val="Default"/>
        <w:spacing w:before="240" w:after="360" w:line="360" w:lineRule="auto"/>
        <w:ind w:left="851" w:right="850"/>
        <w:jc w:val="both"/>
        <w:rPr>
          <w:rFonts w:ascii="Palatino Linotype" w:hAnsi="Palatino Linotype"/>
          <w:i/>
          <w:sz w:val="22"/>
        </w:rPr>
      </w:pPr>
      <w:r w:rsidRPr="005A30B1">
        <w:rPr>
          <w:rFonts w:ascii="Palatino Linotype" w:hAnsi="Palatino Linotype"/>
          <w:i/>
          <w:sz w:val="22"/>
        </w:rPr>
        <w:t xml:space="preserve">El Instituto Federal de Acceso a la Información y Protección de Datos </w:t>
      </w:r>
      <w:r w:rsidRPr="005A30B1">
        <w:rPr>
          <w:rFonts w:ascii="Palatino Linotype" w:hAnsi="Palatino Linotype"/>
          <w:b/>
          <w:i/>
          <w:sz w:val="22"/>
        </w:rPr>
        <w:t>no cuenta con facultades para pronunciarse respecto de la veracidad de los documentos proporcionados por los sujetos obligados.</w:t>
      </w:r>
      <w:r w:rsidRPr="005A30B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E3CD0C7" w14:textId="77777777" w:rsidR="00BF4487" w:rsidRPr="005A30B1" w:rsidRDefault="00BF4487" w:rsidP="00BF4487">
      <w:pPr>
        <w:pStyle w:val="Prrafodelista"/>
        <w:numPr>
          <w:ilvl w:val="0"/>
          <w:numId w:val="1"/>
        </w:numPr>
        <w:spacing w:line="360" w:lineRule="auto"/>
        <w:ind w:left="0" w:firstLine="0"/>
        <w:jc w:val="both"/>
        <w:rPr>
          <w:rFonts w:ascii="Palatino Linotype" w:hAnsi="Palatino Linotype" w:cs="Arial"/>
          <w:sz w:val="24"/>
        </w:rPr>
      </w:pPr>
      <w:r w:rsidRPr="005A30B1">
        <w:rPr>
          <w:rFonts w:ascii="Palatino Linotype" w:hAnsi="Palatino Linotype" w:cs="Arial"/>
          <w:sz w:val="24"/>
        </w:rPr>
        <w:t xml:space="preserve">Así mismo, la </w:t>
      </w:r>
      <w:r w:rsidRPr="005A30B1">
        <w:rPr>
          <w:rFonts w:ascii="Palatino Linotype" w:hAnsi="Palatino Linotype" w:cs="Arial"/>
          <w:b/>
          <w:sz w:val="24"/>
        </w:rPr>
        <w:t>Ley de Transparencia y Acceso a la Información Pública del Estado de México y Municipios</w:t>
      </w:r>
      <w:r w:rsidRPr="005A30B1">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w:t>
      </w:r>
      <w:r w:rsidRPr="005A30B1">
        <w:rPr>
          <w:rFonts w:ascii="Palatino Linotype" w:hAnsi="Palatino Linotype" w:cs="Arial"/>
          <w:sz w:val="24"/>
        </w:rPr>
        <w:lastRenderedPageBreak/>
        <w:t>información, por lo que deberán apegarse en todo momento a los criterios de publicidad, veracidad, oportunidad entre otros, numeral en comento que a la letra señala;</w:t>
      </w:r>
    </w:p>
    <w:p w14:paraId="3E223F9E" w14:textId="77777777" w:rsidR="00BF4487" w:rsidRPr="005A30B1" w:rsidRDefault="00BF4487" w:rsidP="00BF4487">
      <w:pPr>
        <w:pStyle w:val="Prrafodelista"/>
        <w:tabs>
          <w:tab w:val="left" w:pos="8080"/>
        </w:tabs>
        <w:spacing w:line="360" w:lineRule="auto"/>
        <w:ind w:left="851" w:right="902"/>
        <w:jc w:val="both"/>
        <w:rPr>
          <w:rFonts w:ascii="Palatino Linotype" w:hAnsi="Palatino Linotype" w:cs="Arial"/>
          <w:b/>
          <w:i/>
        </w:rPr>
      </w:pPr>
      <w:r w:rsidRPr="005A30B1">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A30B1">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42EF5FF9" w14:textId="77777777" w:rsidR="00BF4487" w:rsidRPr="005A30B1" w:rsidRDefault="00BF4487" w:rsidP="00BF4487">
      <w:pPr>
        <w:pStyle w:val="Prrafodelista"/>
        <w:tabs>
          <w:tab w:val="left" w:pos="709"/>
        </w:tabs>
        <w:spacing w:line="360" w:lineRule="auto"/>
        <w:ind w:left="644" w:right="51"/>
        <w:jc w:val="both"/>
        <w:rPr>
          <w:rFonts w:ascii="Palatino Linotype" w:hAnsi="Palatino Linotype" w:cs="Arial"/>
          <w:noProof/>
          <w:sz w:val="24"/>
        </w:rPr>
      </w:pPr>
    </w:p>
    <w:p w14:paraId="7441A98C" w14:textId="77777777" w:rsidR="00BF4487" w:rsidRPr="005A30B1" w:rsidRDefault="00BF4487" w:rsidP="00BF4487">
      <w:pPr>
        <w:pStyle w:val="Prrafodelista"/>
        <w:numPr>
          <w:ilvl w:val="0"/>
          <w:numId w:val="1"/>
        </w:numPr>
        <w:tabs>
          <w:tab w:val="left" w:pos="709"/>
        </w:tabs>
        <w:spacing w:line="360" w:lineRule="auto"/>
        <w:ind w:left="0" w:right="51" w:firstLine="0"/>
        <w:jc w:val="both"/>
        <w:rPr>
          <w:rFonts w:ascii="Palatino Linotype" w:hAnsi="Palatino Linotype" w:cs="Arial"/>
          <w:noProof/>
          <w:sz w:val="24"/>
        </w:rPr>
      </w:pPr>
      <w:r w:rsidRPr="005A30B1">
        <w:rPr>
          <w:rFonts w:ascii="Palatino Linotype" w:hAnsi="Palatino Linotype" w:cs="Arial"/>
          <w:noProof/>
          <w:sz w:val="24"/>
        </w:rPr>
        <w:t xml:space="preserve">Numerales que compelen al </w:t>
      </w:r>
      <w:r w:rsidRPr="005A30B1">
        <w:rPr>
          <w:rFonts w:ascii="Palatino Linotype" w:hAnsi="Palatino Linotype" w:cs="Arial"/>
          <w:b/>
          <w:noProof/>
          <w:sz w:val="24"/>
        </w:rPr>
        <w:t>SUJETO OBLIGADO</w:t>
      </w:r>
      <w:r w:rsidRPr="005A30B1">
        <w:rPr>
          <w:rFonts w:ascii="Palatino Linotype" w:hAnsi="Palatino Linotype" w:cs="Arial"/>
          <w:noProof/>
          <w:sz w:val="24"/>
        </w:rPr>
        <w:t xml:space="preserve"> a apegarse en todo momento a los criterios ya expuestos, imipidiendo a este Órgano Colegiado cuestionar la veracidad de la información.</w:t>
      </w:r>
    </w:p>
    <w:p w14:paraId="161254C0" w14:textId="77777777" w:rsidR="00101586" w:rsidRPr="005A30B1" w:rsidRDefault="00101586" w:rsidP="006634BC">
      <w:pPr>
        <w:pStyle w:val="Prrafodelista"/>
        <w:tabs>
          <w:tab w:val="left" w:pos="851"/>
        </w:tabs>
        <w:spacing w:line="360" w:lineRule="auto"/>
        <w:ind w:left="0" w:right="49"/>
        <w:jc w:val="both"/>
        <w:rPr>
          <w:rFonts w:ascii="Palatino Linotype" w:hAnsi="Palatino Linotype"/>
          <w:sz w:val="24"/>
          <w:lang w:val="es-ES"/>
        </w:rPr>
      </w:pPr>
    </w:p>
    <w:p w14:paraId="584A0B03" w14:textId="77777777" w:rsidR="00756D5C" w:rsidRPr="005A30B1" w:rsidRDefault="00756D5C" w:rsidP="00DB0ACE">
      <w:pPr>
        <w:pStyle w:val="Prrafodelista"/>
        <w:numPr>
          <w:ilvl w:val="0"/>
          <w:numId w:val="1"/>
        </w:numPr>
        <w:tabs>
          <w:tab w:val="left" w:pos="851"/>
        </w:tabs>
        <w:spacing w:line="360" w:lineRule="auto"/>
        <w:ind w:left="0" w:right="49" w:firstLine="0"/>
        <w:jc w:val="both"/>
        <w:rPr>
          <w:rFonts w:ascii="Palatino Linotype" w:eastAsia="MS Mincho" w:hAnsi="Palatino Linotype" w:cstheme="majorBidi"/>
          <w:b/>
          <w:sz w:val="24"/>
        </w:rPr>
      </w:pPr>
      <w:r w:rsidRPr="005A30B1">
        <w:rPr>
          <w:rFonts w:ascii="Palatino Linotype" w:hAnsi="Palatino Linotype"/>
          <w:color w:val="000000" w:themeColor="text1"/>
          <w:sz w:val="24"/>
        </w:rPr>
        <w:t xml:space="preserve">Una vez analizadas las constancias que forman el expediente electrónico, </w:t>
      </w:r>
      <w:r w:rsidRPr="005A30B1">
        <w:rPr>
          <w:rFonts w:ascii="Palatino Linotype" w:eastAsia="MS Mincho" w:hAnsi="Palatino Linotype" w:cstheme="majorBidi"/>
          <w:sz w:val="24"/>
          <w:lang w:val="es-ES"/>
        </w:rPr>
        <w:t xml:space="preserve">resultan parcialmente fundadas las razones o motivos de inconformidad hechos valer por el </w:t>
      </w:r>
      <w:r w:rsidRPr="005A30B1">
        <w:rPr>
          <w:rFonts w:ascii="Palatino Linotype" w:eastAsia="MS Mincho" w:hAnsi="Palatino Linotype" w:cstheme="majorBidi"/>
          <w:b/>
          <w:sz w:val="24"/>
          <w:lang w:val="es-ES"/>
        </w:rPr>
        <w:t>RECURRENTE</w:t>
      </w:r>
      <w:r w:rsidRPr="005A30B1">
        <w:rPr>
          <w:rFonts w:ascii="Palatino Linotype" w:eastAsia="MS Mincho" w:hAnsi="Palatino Linotype" w:cstheme="majorBidi"/>
          <w:sz w:val="24"/>
          <w:lang w:val="es-ES"/>
        </w:rPr>
        <w:t xml:space="preserve"> dentro del recurso de revisión </w:t>
      </w:r>
      <w:r w:rsidR="006634BC" w:rsidRPr="005A30B1">
        <w:rPr>
          <w:rFonts w:ascii="Palatino Linotype" w:eastAsia="MS Mincho" w:hAnsi="Palatino Linotype" w:cstheme="majorBidi"/>
          <w:b/>
          <w:bCs/>
          <w:sz w:val="24"/>
          <w:lang w:val="es-ES"/>
        </w:rPr>
        <w:t>07608</w:t>
      </w:r>
      <w:r w:rsidRPr="005A30B1">
        <w:rPr>
          <w:rFonts w:ascii="Palatino Linotype" w:eastAsia="MS Mincho" w:hAnsi="Palatino Linotype" w:cstheme="majorBidi"/>
          <w:b/>
          <w:bCs/>
          <w:sz w:val="24"/>
          <w:lang w:val="es-ES"/>
        </w:rPr>
        <w:t>/INFOEM/IP/RR/2022,</w:t>
      </w:r>
      <w:r w:rsidRPr="005A30B1">
        <w:rPr>
          <w:rFonts w:ascii="Palatino Linotype" w:eastAsia="MS Mincho" w:hAnsi="Palatino Linotype" w:cstheme="majorBidi"/>
          <w:bCs/>
          <w:sz w:val="24"/>
          <w:lang w:val="es-ES"/>
        </w:rPr>
        <w:t xml:space="preserve"> al determinarse que la información remitida en respuesta es incompleta</w:t>
      </w:r>
      <w:r w:rsidRPr="005A30B1">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Pr="005A30B1">
        <w:rPr>
          <w:rFonts w:ascii="Palatino Linotype" w:eastAsia="MS Mincho" w:hAnsi="Palatino Linotype" w:cstheme="majorBidi"/>
          <w:b/>
          <w:sz w:val="24"/>
          <w:lang w:val="es-ES"/>
        </w:rPr>
        <w:t>MODIFICA</w:t>
      </w:r>
      <w:r w:rsidRPr="005A30B1">
        <w:rPr>
          <w:rFonts w:ascii="Palatino Linotype" w:eastAsia="MS Mincho" w:hAnsi="Palatino Linotype" w:cstheme="majorBidi"/>
          <w:sz w:val="24"/>
          <w:lang w:val="es-ES"/>
        </w:rPr>
        <w:t xml:space="preserve"> la respuesta del Sujeto Obligado y se ordena la entrega, de ser procedente en versión pública, </w:t>
      </w:r>
      <w:r w:rsidR="00DB0ACE" w:rsidRPr="005A30B1">
        <w:rPr>
          <w:rFonts w:ascii="Palatino Linotype" w:eastAsia="MS Mincho" w:hAnsi="Palatino Linotype" w:cstheme="majorBidi"/>
          <w:b/>
          <w:sz w:val="24"/>
        </w:rPr>
        <w:t xml:space="preserve">soporte documental donde consten los proveedores que se han incorporado al padrón municipal de proveedores, en el que se advierta el nombre de la empresa, responsable o representante legal y la fecha de comienzo como proveedor, del periodo comprendido del uno de enero al veintiocho de marzo de dos mil veintidós. </w:t>
      </w:r>
    </w:p>
    <w:p w14:paraId="2B9553F3" w14:textId="77777777" w:rsidR="005438B3" w:rsidRPr="005A30B1" w:rsidRDefault="005438B3" w:rsidP="00756D5C">
      <w:pPr>
        <w:pStyle w:val="Prrafodelista"/>
        <w:spacing w:before="240" w:after="240" w:line="360" w:lineRule="auto"/>
        <w:ind w:left="0" w:right="48"/>
        <w:jc w:val="both"/>
        <w:rPr>
          <w:rFonts w:ascii="Palatino Linotype" w:eastAsia="MS Mincho" w:hAnsi="Palatino Linotype" w:cs="Arial"/>
          <w:sz w:val="24"/>
          <w:lang w:eastAsia="es-ES"/>
        </w:rPr>
      </w:pPr>
    </w:p>
    <w:p w14:paraId="1AC24D4C" w14:textId="77777777" w:rsidR="00B057B1" w:rsidRPr="005A30B1" w:rsidRDefault="00B057B1" w:rsidP="00B057B1">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5A30B1">
        <w:rPr>
          <w:rFonts w:ascii="Palatino Linotype" w:hAnsi="Palatino Linotype"/>
          <w:sz w:val="24"/>
          <w:lang w:val="es-ES"/>
        </w:rPr>
        <w:lastRenderedPageBreak/>
        <w:t>Por otra parte, derivado de la información que se o</w:t>
      </w:r>
      <w:r w:rsidR="00756D5C" w:rsidRPr="005A30B1">
        <w:rPr>
          <w:rFonts w:ascii="Palatino Linotype" w:hAnsi="Palatino Linotype"/>
          <w:sz w:val="24"/>
          <w:lang w:val="es-ES"/>
        </w:rPr>
        <w:t>rdena entregar, en esta pudiera obrar información susceptible de clasificarse</w:t>
      </w:r>
      <w:r w:rsidRPr="005A30B1">
        <w:rPr>
          <w:rFonts w:ascii="Palatino Linotype" w:hAnsi="Palatino Linotype"/>
          <w:sz w:val="24"/>
          <w:lang w:val="es-ES"/>
        </w:rPr>
        <w:t xml:space="preserve">, por ello, se debe atender al siguiente considerando de la versión pública. </w:t>
      </w:r>
    </w:p>
    <w:p w14:paraId="2B1C230B" w14:textId="77777777" w:rsidR="00B057B1" w:rsidRPr="005A30B1" w:rsidRDefault="00B057B1" w:rsidP="00B057B1">
      <w:pPr>
        <w:spacing w:line="360" w:lineRule="auto"/>
        <w:ind w:right="49"/>
        <w:contextualSpacing/>
        <w:jc w:val="both"/>
        <w:rPr>
          <w:rFonts w:ascii="Palatino Linotype" w:eastAsia="MS Mincho" w:hAnsi="Palatino Linotype" w:cs="Arial"/>
          <w:lang w:val="es-ES_tradnl" w:eastAsia="es-ES"/>
        </w:rPr>
      </w:pPr>
    </w:p>
    <w:p w14:paraId="71792CF1" w14:textId="77777777" w:rsidR="00B057B1" w:rsidRPr="005A30B1" w:rsidRDefault="00B057B1" w:rsidP="00B057B1">
      <w:pPr>
        <w:spacing w:line="360" w:lineRule="auto"/>
        <w:ind w:right="49"/>
        <w:contextualSpacing/>
        <w:jc w:val="both"/>
        <w:rPr>
          <w:rFonts w:ascii="Palatino Linotype" w:eastAsia="MS Gothic" w:hAnsi="Palatino Linotype" w:cstheme="majorBidi"/>
          <w:lang w:val="es-ES_tradnl" w:eastAsia="es-ES"/>
        </w:rPr>
      </w:pPr>
      <w:bookmarkStart w:id="17" w:name="_Toc89350464"/>
      <w:bookmarkStart w:id="18" w:name="_Toc94119619"/>
      <w:r w:rsidRPr="005A30B1">
        <w:rPr>
          <w:rFonts w:ascii="Palatino Linotype" w:hAnsi="Palatino Linotype"/>
          <w:b/>
          <w:bCs/>
          <w:color w:val="000000" w:themeColor="text1"/>
        </w:rPr>
        <w:t>QUINTO. De la versión pública.</w:t>
      </w:r>
      <w:bookmarkEnd w:id="17"/>
      <w:bookmarkEnd w:id="18"/>
    </w:p>
    <w:p w14:paraId="50BE127C" w14:textId="77777777" w:rsidR="00B057B1" w:rsidRPr="005A30B1" w:rsidRDefault="00B057B1" w:rsidP="00B057B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5A30B1">
        <w:rPr>
          <w:rFonts w:ascii="Palatino Linotype" w:hAnsi="Palatino Linotype"/>
          <w:color w:val="000000" w:themeColor="text1"/>
          <w:sz w:val="24"/>
        </w:rPr>
        <w:t>Debe destacarse que, debido a la naturaleza de la información solicitada</w:t>
      </w:r>
      <w:r w:rsidRPr="005A30B1">
        <w:rPr>
          <w:rFonts w:ascii="Palatino Linotype" w:hAnsi="Palatino Linotype"/>
          <w:b/>
          <w:color w:val="000000" w:themeColor="text1"/>
          <w:sz w:val="24"/>
        </w:rPr>
        <w:t xml:space="preserve"> </w:t>
      </w:r>
      <w:r w:rsidRPr="005A30B1">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26D7FF7B" w14:textId="77777777" w:rsidR="00B057B1" w:rsidRPr="005A30B1"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p w14:paraId="4770E2C2" w14:textId="77777777" w:rsidR="00B057B1" w:rsidRPr="005A30B1" w:rsidRDefault="00B057B1" w:rsidP="00B057B1">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5A30B1">
        <w:rPr>
          <w:rFonts w:ascii="Palatino Linotype" w:hAnsi="Palatino Linotype"/>
          <w:color w:val="000000" w:themeColor="text1"/>
          <w:sz w:val="24"/>
        </w:rPr>
        <w:t xml:space="preserve">La </w:t>
      </w:r>
      <w:r w:rsidRPr="005A30B1">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50B7F47B" w14:textId="77777777" w:rsidR="00B057B1" w:rsidRPr="005A30B1"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B057B1" w:rsidRPr="005A30B1" w14:paraId="79B7D164" w14:textId="77777777" w:rsidTr="00E84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2B01E1" w14:textId="77777777" w:rsidR="00B057B1" w:rsidRPr="005A30B1" w:rsidRDefault="00B057B1" w:rsidP="00E84FDD">
            <w:pPr>
              <w:spacing w:line="360" w:lineRule="auto"/>
              <w:rPr>
                <w:rFonts w:ascii="Palatino Linotype" w:hAnsi="Palatino Linotype"/>
                <w:sz w:val="20"/>
              </w:rPr>
            </w:pPr>
            <w:r w:rsidRPr="005A30B1">
              <w:rPr>
                <w:rFonts w:ascii="Palatino Linotype" w:hAnsi="Palatino Linotype" w:cstheme="majorBidi"/>
                <w:b w:val="0"/>
                <w:sz w:val="20"/>
              </w:rPr>
              <w:t>a) Requisitos previos.</w:t>
            </w:r>
          </w:p>
        </w:tc>
        <w:tc>
          <w:tcPr>
            <w:tcW w:w="6990" w:type="dxa"/>
          </w:tcPr>
          <w:p w14:paraId="58F3DD7E" w14:textId="77777777" w:rsidR="00B057B1" w:rsidRPr="005A30B1"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Los artículos 100 y 122 de la Ley Estatal y de la Ley General, respectivamente, señalan que si los </w:t>
            </w:r>
            <w:r w:rsidRPr="005A30B1">
              <w:rPr>
                <w:rFonts w:ascii="Palatino Linotype" w:hAnsi="Palatino Linotype" w:cs="Arial"/>
                <w:b w:val="0"/>
                <w:color w:val="000000"/>
                <w:sz w:val="20"/>
              </w:rPr>
              <w:t>Sujetos Obligados</w:t>
            </w:r>
            <w:r w:rsidRPr="005A30B1">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1E8512ED" w14:textId="77777777" w:rsidR="00B057B1" w:rsidRPr="005A30B1"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Al hacerlo tienen que precisar de qué información se trata, señalando el supuesto de clasificación (confidencialidad o reserva).</w:t>
            </w:r>
          </w:p>
          <w:p w14:paraId="7233D401" w14:textId="77777777" w:rsidR="00B057B1" w:rsidRPr="005A30B1"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Además, se debe señalar el procedimiento, de los tres que establecen los artículos 132 y 106 de la Ley Estatal y General, respectivamente.</w:t>
            </w:r>
          </w:p>
          <w:p w14:paraId="49591643" w14:textId="77777777" w:rsidR="00B057B1" w:rsidRPr="005A30B1" w:rsidRDefault="00B057B1" w:rsidP="00E84FD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5A30B1">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5A30B1">
              <w:rPr>
                <w:rFonts w:ascii="Palatino Linotype" w:hAnsi="Palatino Linotype" w:cs="Arial"/>
                <w:b w:val="0"/>
                <w:color w:val="000000"/>
                <w:sz w:val="20"/>
                <w:u w:val="single"/>
              </w:rPr>
              <w:t xml:space="preserve">no se puede hacer un acuerdo para clasificar de manera general todos los documentos de un expediente o área,  </w:t>
            </w:r>
            <w:r w:rsidRPr="005A30B1">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B057B1" w:rsidRPr="005A30B1" w14:paraId="2D1436F4"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E8ED5B" w14:textId="77777777" w:rsidR="00B057B1" w:rsidRPr="005A30B1" w:rsidRDefault="00B057B1" w:rsidP="00E84FDD">
            <w:pPr>
              <w:spacing w:line="360" w:lineRule="auto"/>
              <w:rPr>
                <w:rFonts w:ascii="Palatino Linotype" w:hAnsi="Palatino Linotype"/>
                <w:sz w:val="20"/>
              </w:rPr>
            </w:pPr>
            <w:r w:rsidRPr="005A30B1">
              <w:rPr>
                <w:rFonts w:ascii="Palatino Linotype" w:hAnsi="Palatino Linotype" w:cstheme="majorBidi"/>
                <w:b w:val="0"/>
                <w:sz w:val="20"/>
              </w:rPr>
              <w:lastRenderedPageBreak/>
              <w:t>b) Supuestos de clasificación.</w:t>
            </w:r>
          </w:p>
        </w:tc>
        <w:tc>
          <w:tcPr>
            <w:tcW w:w="6990" w:type="dxa"/>
          </w:tcPr>
          <w:p w14:paraId="51E671A2"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0A228D3"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804D961" w14:textId="77777777" w:rsidR="00B057B1" w:rsidRPr="005A30B1" w:rsidRDefault="00B057B1" w:rsidP="00E84FD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5A30B1">
              <w:rPr>
                <w:rFonts w:ascii="Palatino Linotype" w:hAnsi="Palatino Linotype" w:cs="Arial"/>
                <w:color w:val="000000"/>
                <w:sz w:val="20"/>
              </w:rPr>
              <w:t xml:space="preserve">El </w:t>
            </w:r>
            <w:r w:rsidRPr="005A30B1">
              <w:rPr>
                <w:rFonts w:ascii="Palatino Linotype" w:hAnsi="Palatino Linotype" w:cs="Arial"/>
                <w:b/>
                <w:color w:val="000000"/>
                <w:sz w:val="20"/>
              </w:rPr>
              <w:t>SUJETO OBLIGADO</w:t>
            </w:r>
            <w:r w:rsidRPr="005A30B1">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057B1" w:rsidRPr="005A30B1" w14:paraId="426C57A7"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7B8D0AE0" w14:textId="77777777" w:rsidR="00B057B1" w:rsidRPr="005A30B1" w:rsidRDefault="00B057B1" w:rsidP="00E84FDD">
            <w:pPr>
              <w:spacing w:line="360" w:lineRule="auto"/>
              <w:rPr>
                <w:rFonts w:ascii="Palatino Linotype" w:hAnsi="Palatino Linotype"/>
                <w:sz w:val="20"/>
              </w:rPr>
            </w:pPr>
            <w:r w:rsidRPr="005A30B1">
              <w:rPr>
                <w:rFonts w:ascii="Palatino Linotype" w:hAnsi="Palatino Linotype" w:cstheme="majorBidi"/>
                <w:b w:val="0"/>
                <w:sz w:val="20"/>
              </w:rPr>
              <w:t>c) Formalidades para emitir el acuerdo de clasificación.</w:t>
            </w:r>
          </w:p>
        </w:tc>
        <w:tc>
          <w:tcPr>
            <w:tcW w:w="6990" w:type="dxa"/>
          </w:tcPr>
          <w:p w14:paraId="6CE72437" w14:textId="77777777" w:rsidR="00B057B1" w:rsidRPr="005A30B1"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A654119" w14:textId="77777777" w:rsidR="00B057B1" w:rsidRPr="005A30B1"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Es necesario que </w:t>
            </w:r>
            <w:r w:rsidRPr="005A30B1">
              <w:rPr>
                <w:rFonts w:ascii="Palatino Linotype" w:hAnsi="Palatino Linotype" w:cs="Arial"/>
                <w:b/>
                <w:color w:val="000000"/>
                <w:sz w:val="20"/>
                <w:u w:val="single"/>
              </w:rPr>
              <w:t>el acto reúna con los requisitos elementales</w:t>
            </w:r>
            <w:r w:rsidRPr="005A30B1">
              <w:rPr>
                <w:rFonts w:ascii="Palatino Linotype" w:hAnsi="Palatino Linotype" w:cs="Arial"/>
                <w:color w:val="000000"/>
                <w:sz w:val="20"/>
              </w:rPr>
              <w:t>, entre ellos, que la autoridad que va a emitir el acto de autoridad sea la legalmente facultada para ello.</w:t>
            </w:r>
          </w:p>
          <w:p w14:paraId="197F444F" w14:textId="77777777" w:rsidR="00B057B1" w:rsidRPr="005A30B1" w:rsidRDefault="00B057B1" w:rsidP="00E84FD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5A30B1">
              <w:rPr>
                <w:rFonts w:ascii="Palatino Linotype" w:hAnsi="Palatino Linotype" w:cs="Arial"/>
                <w:color w:val="000000"/>
                <w:sz w:val="20"/>
              </w:rPr>
              <w:t xml:space="preserve">La decisión de aprobar, modificar o revocar la clasificación deberá de asentarse en un documento que registre la determinación a la que se llegue </w:t>
            </w:r>
            <w:r w:rsidRPr="005A30B1">
              <w:rPr>
                <w:rFonts w:ascii="Palatino Linotype" w:hAnsi="Palatino Linotype" w:cs="Arial"/>
                <w:color w:val="000000"/>
                <w:sz w:val="20"/>
              </w:rPr>
              <w:lastRenderedPageBreak/>
              <w:t>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057B1" w:rsidRPr="005A30B1" w14:paraId="77E65A30"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6B6A0C" w14:textId="77777777" w:rsidR="00B057B1" w:rsidRPr="005A30B1" w:rsidRDefault="00B057B1" w:rsidP="00E84FDD">
            <w:pPr>
              <w:spacing w:line="360" w:lineRule="auto"/>
              <w:rPr>
                <w:rFonts w:ascii="Palatino Linotype" w:hAnsi="Palatino Linotype"/>
                <w:b w:val="0"/>
                <w:sz w:val="20"/>
              </w:rPr>
            </w:pPr>
          </w:p>
          <w:p w14:paraId="20D03A09" w14:textId="77777777" w:rsidR="00B057B1" w:rsidRPr="005A30B1" w:rsidRDefault="00B057B1" w:rsidP="00E84FDD">
            <w:pPr>
              <w:spacing w:line="360" w:lineRule="auto"/>
              <w:jc w:val="both"/>
              <w:rPr>
                <w:rFonts w:ascii="Palatino Linotype" w:hAnsi="Palatino Linotype"/>
                <w:b w:val="0"/>
                <w:sz w:val="20"/>
              </w:rPr>
            </w:pPr>
            <w:r w:rsidRPr="005A30B1">
              <w:rPr>
                <w:rFonts w:ascii="Palatino Linotype" w:hAnsi="Palatino Linotype" w:cs="Arial"/>
                <w:b w:val="0"/>
                <w:color w:val="000000"/>
                <w:sz w:val="20"/>
              </w:rPr>
              <w:t xml:space="preserve">d) Requisitos de fondo del acuerdo de clasificación. </w:t>
            </w:r>
          </w:p>
        </w:tc>
        <w:tc>
          <w:tcPr>
            <w:tcW w:w="6990" w:type="dxa"/>
          </w:tcPr>
          <w:p w14:paraId="6F4F1F6B"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A30B1">
              <w:rPr>
                <w:rFonts w:ascii="Palatino Linotype" w:hAnsi="Palatino Linotype" w:cs="Arial"/>
                <w:b/>
                <w:color w:val="000000"/>
                <w:sz w:val="20"/>
              </w:rPr>
              <w:t>Sujetos Obligados</w:t>
            </w:r>
            <w:r w:rsidRPr="005A30B1">
              <w:rPr>
                <w:rFonts w:ascii="Palatino Linotype" w:hAnsi="Palatino Linotype" w:cs="Arial"/>
                <w:color w:val="000000"/>
                <w:sz w:val="20"/>
              </w:rPr>
              <w:t xml:space="preserve">, por lo que deberán fundar y motivar debidamente la clasificación. </w:t>
            </w:r>
          </w:p>
          <w:p w14:paraId="497535E5"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De lo anterior, se desprende que para una correcta </w:t>
            </w:r>
            <w:r w:rsidRPr="005A30B1">
              <w:rPr>
                <w:rFonts w:ascii="Palatino Linotype" w:hAnsi="Palatino Linotype" w:cs="Arial"/>
                <w:b/>
                <w:color w:val="000000"/>
                <w:sz w:val="20"/>
              </w:rPr>
              <w:t>clasificación total o parcial</w:t>
            </w:r>
            <w:r w:rsidRPr="005A30B1">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0A16CEE"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BDCBF07"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E993DD8" w14:textId="77777777" w:rsidR="00B057B1" w:rsidRPr="005A30B1"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Ahora bien, </w:t>
            </w:r>
            <w:r w:rsidRPr="005A30B1">
              <w:rPr>
                <w:rFonts w:ascii="Palatino Linotype" w:hAnsi="Palatino Linotype" w:cs="Arial"/>
                <w:b/>
                <w:color w:val="000000"/>
                <w:sz w:val="20"/>
                <w:u w:val="single"/>
              </w:rPr>
              <w:t>para cada caso además de fundar y motivar</w:t>
            </w:r>
            <w:r w:rsidRPr="005A30B1">
              <w:rPr>
                <w:rFonts w:ascii="Palatino Linotype" w:hAnsi="Palatino Linotype" w:cs="Arial"/>
                <w:color w:val="000000"/>
                <w:sz w:val="20"/>
              </w:rPr>
              <w:t xml:space="preserve">, se debe identificar con claridad que datos contenidos en las documentales que son susceptibles </w:t>
            </w:r>
            <w:r w:rsidRPr="005A30B1">
              <w:rPr>
                <w:rFonts w:ascii="Palatino Linotype" w:hAnsi="Palatino Linotype" w:cs="Arial"/>
                <w:color w:val="000000"/>
                <w:sz w:val="20"/>
              </w:rPr>
              <w:lastRenderedPageBreak/>
              <w:t xml:space="preserve">de suprimirse, por ejemplo; </w:t>
            </w:r>
            <w:r w:rsidRPr="005A30B1">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057B1" w:rsidRPr="005A30B1" w14:paraId="6C5B41A7"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5B1ED1A8" w14:textId="77777777" w:rsidR="00B057B1" w:rsidRPr="005A30B1" w:rsidRDefault="00B057B1" w:rsidP="00E84FDD">
            <w:pPr>
              <w:spacing w:line="360" w:lineRule="auto"/>
              <w:ind w:right="49"/>
              <w:jc w:val="both"/>
              <w:rPr>
                <w:rFonts w:ascii="Palatino Linotype" w:hAnsi="Palatino Linotype" w:cs="Arial"/>
                <w:color w:val="000000"/>
                <w:sz w:val="20"/>
              </w:rPr>
            </w:pPr>
            <w:r w:rsidRPr="005A30B1">
              <w:rPr>
                <w:rFonts w:ascii="Palatino Linotype" w:eastAsia="MS Gothic" w:hAnsi="Palatino Linotype"/>
                <w:b w:val="0"/>
                <w:sz w:val="20"/>
              </w:rPr>
              <w:lastRenderedPageBreak/>
              <w:t xml:space="preserve">e) Condiciones especiales de la clasificación de la información como confidencial. </w:t>
            </w:r>
          </w:p>
          <w:p w14:paraId="485DFB5D" w14:textId="77777777" w:rsidR="00B057B1" w:rsidRPr="005A30B1" w:rsidRDefault="00B057B1" w:rsidP="00E84FDD">
            <w:pPr>
              <w:spacing w:line="360" w:lineRule="auto"/>
              <w:rPr>
                <w:rFonts w:ascii="Palatino Linotype" w:hAnsi="Palatino Linotype"/>
                <w:sz w:val="20"/>
              </w:rPr>
            </w:pPr>
          </w:p>
        </w:tc>
        <w:tc>
          <w:tcPr>
            <w:tcW w:w="6990" w:type="dxa"/>
          </w:tcPr>
          <w:p w14:paraId="5880F6C0" w14:textId="77777777" w:rsidR="00B057B1" w:rsidRPr="005A30B1"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6870707" w14:textId="77777777" w:rsidR="00B057B1" w:rsidRPr="005A30B1"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5A30B1">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5258B3B" w14:textId="77777777" w:rsidR="00B057B1" w:rsidRPr="005A30B1" w:rsidRDefault="00B057B1" w:rsidP="00E84FD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5A30B1">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3F2A11A" w14:textId="77777777" w:rsidR="00B057B1" w:rsidRPr="005A30B1" w:rsidRDefault="00B057B1" w:rsidP="00B057B1">
      <w:pPr>
        <w:spacing w:line="360" w:lineRule="auto"/>
        <w:ind w:right="49"/>
        <w:contextualSpacing/>
        <w:jc w:val="both"/>
        <w:rPr>
          <w:rFonts w:ascii="Palatino Linotype" w:eastAsia="MS Mincho" w:hAnsi="Palatino Linotype" w:cs="Arial"/>
          <w:lang w:val="es-ES_tradnl" w:eastAsia="es-ES"/>
        </w:rPr>
      </w:pPr>
    </w:p>
    <w:p w14:paraId="0E1B189F" w14:textId="77777777" w:rsidR="00B057B1" w:rsidRPr="005A30B1" w:rsidRDefault="00B057B1" w:rsidP="00B057B1">
      <w:pPr>
        <w:pStyle w:val="Prrafodelista"/>
        <w:tabs>
          <w:tab w:val="left" w:pos="426"/>
        </w:tabs>
        <w:spacing w:line="360" w:lineRule="auto"/>
        <w:ind w:left="0" w:right="49"/>
        <w:jc w:val="both"/>
        <w:rPr>
          <w:rFonts w:ascii="Palatino Linotype" w:eastAsia="Calibri" w:hAnsi="Palatino Linotype"/>
          <w:sz w:val="24"/>
        </w:rPr>
      </w:pPr>
    </w:p>
    <w:p w14:paraId="408C4BC0" w14:textId="77777777" w:rsidR="00B057B1" w:rsidRPr="005A30B1" w:rsidRDefault="00B057B1" w:rsidP="00B057B1">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5A30B1">
        <w:rPr>
          <w:rFonts w:ascii="Palatino Linotype" w:eastAsia="Calibri" w:hAnsi="Palatino Linotype"/>
        </w:rPr>
        <w:t xml:space="preserve">Por lo anteriormente expuesto y fundado, este </w:t>
      </w:r>
      <w:r w:rsidRPr="005A30B1">
        <w:rPr>
          <w:rFonts w:ascii="Palatino Linotype" w:eastAsia="Calibri" w:hAnsi="Palatino Linotype"/>
          <w:b/>
          <w:bCs/>
        </w:rPr>
        <w:t>ÓRGANO GARANTE</w:t>
      </w:r>
      <w:r w:rsidRPr="005A30B1">
        <w:rPr>
          <w:rFonts w:ascii="Palatino Linotype" w:eastAsia="Calibri" w:hAnsi="Palatino Linotype"/>
        </w:rPr>
        <w:t xml:space="preserve"> emite los siguientes:</w:t>
      </w:r>
    </w:p>
    <w:p w14:paraId="6142E33C" w14:textId="77777777" w:rsidR="00B057B1" w:rsidRPr="005A30B1" w:rsidRDefault="00B057B1" w:rsidP="00B057B1">
      <w:pPr>
        <w:spacing w:line="360" w:lineRule="auto"/>
        <w:contextualSpacing/>
        <w:jc w:val="both"/>
        <w:rPr>
          <w:rFonts w:ascii="Palatino Linotype" w:eastAsia="Calibri" w:hAnsi="Palatino Linotype"/>
        </w:rPr>
      </w:pPr>
    </w:p>
    <w:p w14:paraId="5E145082" w14:textId="77777777" w:rsidR="00B057B1" w:rsidRPr="005A30B1"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9" w:name="_Toc528153792"/>
      <w:bookmarkStart w:id="20" w:name="_Toc71158406"/>
      <w:bookmarkStart w:id="21" w:name="_Toc83301643"/>
      <w:r w:rsidRPr="005A30B1">
        <w:rPr>
          <w:rFonts w:ascii="Palatino Linotype" w:eastAsiaTheme="majorEastAsia" w:hAnsi="Palatino Linotype" w:cstheme="majorBidi"/>
          <w:b/>
          <w:color w:val="000000" w:themeColor="text1"/>
          <w:lang w:eastAsia="en-US"/>
        </w:rPr>
        <w:t>R E S O L U T I V O S</w:t>
      </w:r>
      <w:bookmarkEnd w:id="19"/>
      <w:bookmarkEnd w:id="20"/>
      <w:bookmarkEnd w:id="21"/>
    </w:p>
    <w:p w14:paraId="4C6171A7" w14:textId="77777777" w:rsidR="00B057B1" w:rsidRPr="005A30B1"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5151F91F" w14:textId="77777777" w:rsidR="00B057B1" w:rsidRPr="005A30B1" w:rsidRDefault="00B057B1" w:rsidP="00B057B1">
      <w:pPr>
        <w:spacing w:line="360" w:lineRule="auto"/>
        <w:ind w:right="48"/>
        <w:jc w:val="both"/>
        <w:rPr>
          <w:rFonts w:ascii="Palatino Linotype" w:hAnsi="Palatino Linotype" w:cs="Arial"/>
          <w:bCs/>
        </w:rPr>
      </w:pPr>
      <w:r w:rsidRPr="005A30B1">
        <w:rPr>
          <w:rFonts w:ascii="Palatino Linotype" w:hAnsi="Palatino Linotype" w:cs="Arial"/>
          <w:b/>
        </w:rPr>
        <w:t xml:space="preserve">PRIMERO. </w:t>
      </w:r>
      <w:r w:rsidRPr="005A30B1">
        <w:rPr>
          <w:rFonts w:ascii="Palatino Linotype" w:hAnsi="Palatino Linotype" w:cs="Arial"/>
        </w:rPr>
        <w:t xml:space="preserve">Resultan </w:t>
      </w:r>
      <w:r w:rsidR="00756D5C" w:rsidRPr="005A30B1">
        <w:rPr>
          <w:rFonts w:ascii="Palatino Linotype" w:hAnsi="Palatino Linotype" w:cs="Arial"/>
        </w:rPr>
        <w:t xml:space="preserve">parcialmente </w:t>
      </w:r>
      <w:r w:rsidRPr="005A30B1">
        <w:rPr>
          <w:rFonts w:ascii="Palatino Linotype" w:hAnsi="Palatino Linotype" w:cs="Arial"/>
        </w:rPr>
        <w:t>fundadas las</w:t>
      </w:r>
      <w:r w:rsidRPr="005A30B1">
        <w:rPr>
          <w:rFonts w:ascii="Palatino Linotype" w:hAnsi="Palatino Linotype" w:cs="Arial"/>
          <w:b/>
        </w:rPr>
        <w:t xml:space="preserve"> </w:t>
      </w:r>
      <w:r w:rsidRPr="005A30B1">
        <w:rPr>
          <w:rFonts w:ascii="Palatino Linotype" w:hAnsi="Palatino Linotype" w:cs="Arial"/>
          <w:lang w:val="es-ES"/>
        </w:rPr>
        <w:t xml:space="preserve">razones o motivos de inconformidad hechos valer </w:t>
      </w:r>
      <w:r w:rsidRPr="005A30B1">
        <w:rPr>
          <w:rFonts w:ascii="Palatino Linotype" w:eastAsia="Calibri" w:hAnsi="Palatino Linotype" w:cs="Arial"/>
          <w:lang w:val="es-ES"/>
        </w:rPr>
        <w:t xml:space="preserve">en el recurso de revisión </w:t>
      </w:r>
      <w:r w:rsidR="006634BC" w:rsidRPr="005A30B1">
        <w:rPr>
          <w:rFonts w:ascii="Palatino Linotype" w:hAnsi="Palatino Linotype" w:cs="Arial"/>
          <w:b/>
          <w:bCs/>
        </w:rPr>
        <w:t>07608</w:t>
      </w:r>
      <w:r w:rsidRPr="005A30B1">
        <w:rPr>
          <w:rFonts w:ascii="Palatino Linotype" w:hAnsi="Palatino Linotype" w:cs="Arial"/>
          <w:b/>
          <w:bCs/>
        </w:rPr>
        <w:t xml:space="preserve">/INFOEM/IP/RR/2022, </w:t>
      </w:r>
      <w:r w:rsidRPr="005A30B1">
        <w:rPr>
          <w:rFonts w:ascii="Palatino Linotype" w:hAnsi="Palatino Linotype" w:cs="Arial"/>
          <w:bCs/>
        </w:rPr>
        <w:t>en términos de</w:t>
      </w:r>
      <w:r w:rsidR="000F6C54" w:rsidRPr="005A30B1">
        <w:rPr>
          <w:rFonts w:ascii="Palatino Linotype" w:hAnsi="Palatino Linotype" w:cs="Arial"/>
          <w:bCs/>
        </w:rPr>
        <w:t xml:space="preserve"> </w:t>
      </w:r>
      <w:r w:rsidRPr="005A30B1">
        <w:rPr>
          <w:rFonts w:ascii="Palatino Linotype" w:hAnsi="Palatino Linotype" w:cs="Arial"/>
          <w:bCs/>
        </w:rPr>
        <w:t>l</w:t>
      </w:r>
      <w:r w:rsidR="000F6C54" w:rsidRPr="005A30B1">
        <w:rPr>
          <w:rFonts w:ascii="Palatino Linotype" w:hAnsi="Palatino Linotype" w:cs="Arial"/>
          <w:bCs/>
        </w:rPr>
        <w:t>os</w:t>
      </w:r>
      <w:r w:rsidRPr="005A30B1">
        <w:rPr>
          <w:rFonts w:ascii="Palatino Linotype" w:hAnsi="Palatino Linotype" w:cs="Arial"/>
          <w:bCs/>
        </w:rPr>
        <w:t xml:space="preserve"> </w:t>
      </w:r>
      <w:r w:rsidR="000F6C54" w:rsidRPr="005A30B1">
        <w:rPr>
          <w:rFonts w:ascii="Palatino Linotype" w:hAnsi="Palatino Linotype" w:cs="Arial"/>
          <w:bCs/>
        </w:rPr>
        <w:t>c</w:t>
      </w:r>
      <w:r w:rsidRPr="005A30B1">
        <w:rPr>
          <w:rFonts w:ascii="Palatino Linotype" w:hAnsi="Palatino Linotype" w:cs="Arial"/>
          <w:b/>
          <w:bCs/>
        </w:rPr>
        <w:t>onsiderando</w:t>
      </w:r>
      <w:r w:rsidR="000F6C54" w:rsidRPr="005A30B1">
        <w:rPr>
          <w:rFonts w:ascii="Palatino Linotype" w:hAnsi="Palatino Linotype" w:cs="Arial"/>
          <w:b/>
          <w:bCs/>
        </w:rPr>
        <w:t>s</w:t>
      </w:r>
      <w:r w:rsidRPr="005A30B1">
        <w:rPr>
          <w:rFonts w:ascii="Palatino Linotype" w:hAnsi="Palatino Linotype" w:cs="Arial"/>
          <w:bCs/>
        </w:rPr>
        <w:t xml:space="preserve"> </w:t>
      </w:r>
      <w:r w:rsidRPr="005A30B1">
        <w:rPr>
          <w:rFonts w:ascii="Palatino Linotype" w:hAnsi="Palatino Linotype" w:cs="Arial"/>
          <w:b/>
          <w:bCs/>
        </w:rPr>
        <w:t xml:space="preserve">CUARTO y QUINTO </w:t>
      </w:r>
      <w:r w:rsidRPr="005A30B1">
        <w:rPr>
          <w:rFonts w:ascii="Palatino Linotype" w:hAnsi="Palatino Linotype" w:cs="Arial"/>
          <w:bCs/>
        </w:rPr>
        <w:t>de la presente resolución.</w:t>
      </w:r>
    </w:p>
    <w:p w14:paraId="50CEF1DA" w14:textId="77777777" w:rsidR="00B057B1" w:rsidRPr="005A30B1" w:rsidRDefault="00B057B1" w:rsidP="00B057B1">
      <w:pPr>
        <w:spacing w:line="360" w:lineRule="auto"/>
        <w:ind w:right="48"/>
        <w:jc w:val="both"/>
        <w:rPr>
          <w:rFonts w:ascii="Palatino Linotype" w:hAnsi="Palatino Linotype" w:cs="Arial"/>
          <w:bCs/>
        </w:rPr>
      </w:pPr>
    </w:p>
    <w:p w14:paraId="2E211F00" w14:textId="77777777" w:rsidR="00B057B1" w:rsidRPr="005A30B1" w:rsidRDefault="00B057B1" w:rsidP="00B057B1">
      <w:pPr>
        <w:spacing w:line="360" w:lineRule="auto"/>
        <w:ind w:right="48"/>
        <w:jc w:val="both"/>
        <w:rPr>
          <w:rFonts w:ascii="Palatino Linotype" w:hAnsi="Palatino Linotype" w:cs="Arial"/>
          <w:bCs/>
        </w:rPr>
      </w:pPr>
      <w:bookmarkStart w:id="22" w:name="_Toc477891768"/>
      <w:bookmarkStart w:id="23" w:name="_Toc477891858"/>
      <w:bookmarkStart w:id="24" w:name="_Toc481576259"/>
      <w:bookmarkStart w:id="25" w:name="_Toc492590391"/>
      <w:bookmarkStart w:id="26" w:name="_Toc462653937"/>
      <w:bookmarkStart w:id="27" w:name="_Toc453696502"/>
      <w:bookmarkStart w:id="28" w:name="_Toc454301155"/>
      <w:r w:rsidRPr="005A30B1">
        <w:rPr>
          <w:rFonts w:ascii="Palatino Linotype" w:hAnsi="Palatino Linotype"/>
          <w:b/>
        </w:rPr>
        <w:t>SEGUNDO.</w:t>
      </w:r>
      <w:r w:rsidRPr="005A30B1">
        <w:rPr>
          <w:rStyle w:val="Ttulo2Car"/>
          <w:rFonts w:ascii="Palatino Linotype" w:hAnsi="Palatino Linotype"/>
          <w:sz w:val="24"/>
          <w:szCs w:val="24"/>
        </w:rPr>
        <w:t xml:space="preserve"> </w:t>
      </w:r>
      <w:bookmarkEnd w:id="22"/>
      <w:bookmarkEnd w:id="23"/>
      <w:bookmarkEnd w:id="24"/>
      <w:bookmarkEnd w:id="25"/>
      <w:bookmarkEnd w:id="26"/>
      <w:bookmarkEnd w:id="27"/>
      <w:bookmarkEnd w:id="28"/>
      <w:r w:rsidRPr="005A30B1">
        <w:rPr>
          <w:rFonts w:ascii="Palatino Linotype" w:eastAsia="Calibri" w:hAnsi="Palatino Linotype" w:cs="Arial"/>
          <w:lang w:val="es-ES"/>
        </w:rPr>
        <w:t>Se</w:t>
      </w:r>
      <w:r w:rsidR="00756D5C" w:rsidRPr="005A30B1">
        <w:rPr>
          <w:rFonts w:ascii="Palatino Linotype" w:eastAsia="Calibri" w:hAnsi="Palatino Linotype" w:cs="Arial"/>
          <w:b/>
          <w:lang w:val="es-ES"/>
        </w:rPr>
        <w:t xml:space="preserve"> MODIFICA</w:t>
      </w:r>
      <w:r w:rsidRPr="005A30B1">
        <w:rPr>
          <w:rFonts w:ascii="Palatino Linotype" w:eastAsia="Calibri" w:hAnsi="Palatino Linotype" w:cs="Arial"/>
          <w:b/>
          <w:lang w:val="es-ES"/>
        </w:rPr>
        <w:t xml:space="preserve"> </w:t>
      </w:r>
      <w:r w:rsidR="006634BC" w:rsidRPr="005A30B1">
        <w:rPr>
          <w:rFonts w:ascii="Palatino Linotype" w:eastAsia="Calibri" w:hAnsi="Palatino Linotype" w:cs="Arial"/>
          <w:lang w:val="es-ES"/>
        </w:rPr>
        <w:t>la respuesta emitida por el</w:t>
      </w:r>
      <w:r w:rsidRPr="005A30B1">
        <w:rPr>
          <w:rFonts w:ascii="Palatino Linotype" w:eastAsia="Calibri" w:hAnsi="Palatino Linotype" w:cs="Arial"/>
          <w:lang w:val="es-ES"/>
        </w:rPr>
        <w:t xml:space="preserve"> </w:t>
      </w:r>
      <w:r w:rsidR="006634BC" w:rsidRPr="005A30B1">
        <w:rPr>
          <w:rFonts w:ascii="Palatino Linotype" w:hAnsi="Palatino Linotype" w:cs="Arial"/>
          <w:b/>
          <w:bCs/>
        </w:rPr>
        <w:t>Ayuntamiento de Chimalhuacán</w:t>
      </w:r>
      <w:r w:rsidRPr="005A30B1">
        <w:rPr>
          <w:rFonts w:ascii="Palatino Linotype" w:hAnsi="Palatino Linotype" w:cs="Arial"/>
          <w:b/>
        </w:rPr>
        <w:t xml:space="preserve"> </w:t>
      </w:r>
      <w:r w:rsidRPr="005A30B1">
        <w:rPr>
          <w:rFonts w:ascii="Palatino Linotype" w:eastAsia="Calibri" w:hAnsi="Palatino Linotype" w:cs="Arial"/>
          <w:lang w:val="es-ES"/>
        </w:rPr>
        <w:t>y se</w:t>
      </w:r>
      <w:r w:rsidRPr="005A30B1">
        <w:rPr>
          <w:rFonts w:ascii="Palatino Linotype" w:eastAsia="Calibri" w:hAnsi="Palatino Linotype" w:cs="Arial"/>
          <w:b/>
          <w:lang w:val="es-ES"/>
        </w:rPr>
        <w:t xml:space="preserve"> ORDENA </w:t>
      </w:r>
      <w:r w:rsidRPr="005A30B1">
        <w:rPr>
          <w:rFonts w:ascii="Palatino Linotype" w:hAnsi="Palatino Linotype" w:cs="Arial"/>
          <w:lang w:val="es-ES"/>
        </w:rPr>
        <w:t>entregar vía</w:t>
      </w:r>
      <w:r w:rsidRPr="005A30B1">
        <w:rPr>
          <w:rFonts w:ascii="Palatino Linotype" w:eastAsia="Calibri" w:hAnsi="Palatino Linotype" w:cs="Arial"/>
          <w:lang w:val="es-ES"/>
        </w:rPr>
        <w:t xml:space="preserve"> </w:t>
      </w:r>
      <w:r w:rsidRPr="005A30B1">
        <w:rPr>
          <w:rFonts w:ascii="Palatino Linotype" w:eastAsia="Calibri" w:hAnsi="Palatino Linotype" w:cs="Arial"/>
          <w:b/>
          <w:lang w:val="es-ES"/>
        </w:rPr>
        <w:t>SAIMEX</w:t>
      </w:r>
      <w:r w:rsidRPr="005A30B1">
        <w:rPr>
          <w:rFonts w:ascii="Palatino Linotype" w:eastAsia="Calibri" w:hAnsi="Palatino Linotype" w:cs="Arial"/>
          <w:lang w:val="es-ES"/>
        </w:rPr>
        <w:t>, de ser procedente en versión pública, la siguiente información</w:t>
      </w:r>
      <w:r w:rsidRPr="005A30B1">
        <w:rPr>
          <w:rFonts w:ascii="Palatino Linotype" w:hAnsi="Palatino Linotype" w:cs="Arial"/>
          <w:bCs/>
        </w:rPr>
        <w:t>:</w:t>
      </w:r>
    </w:p>
    <w:p w14:paraId="47AEFE91" w14:textId="77777777" w:rsidR="00B057B1" w:rsidRPr="005A30B1" w:rsidRDefault="00B057B1" w:rsidP="00B057B1">
      <w:pPr>
        <w:spacing w:line="360" w:lineRule="auto"/>
        <w:ind w:right="48"/>
        <w:jc w:val="both"/>
        <w:rPr>
          <w:rFonts w:ascii="Palatino Linotype" w:hAnsi="Palatino Linotype" w:cs="Arial"/>
          <w:b/>
          <w:bCs/>
        </w:rPr>
      </w:pPr>
    </w:p>
    <w:p w14:paraId="1F68EA07" w14:textId="77777777" w:rsidR="00756D5C" w:rsidRPr="005A30B1" w:rsidRDefault="006634BC" w:rsidP="006634BC">
      <w:pPr>
        <w:pStyle w:val="Prrafodelista"/>
        <w:numPr>
          <w:ilvl w:val="0"/>
          <w:numId w:val="13"/>
        </w:numPr>
        <w:spacing w:line="360" w:lineRule="auto"/>
        <w:ind w:right="822"/>
        <w:jc w:val="both"/>
        <w:rPr>
          <w:rFonts w:ascii="Palatino Linotype" w:hAnsi="Palatino Linotype"/>
          <w:b/>
          <w:color w:val="000000"/>
          <w:sz w:val="24"/>
        </w:rPr>
      </w:pPr>
      <w:bookmarkStart w:id="29" w:name="_Toc460947013"/>
      <w:r w:rsidRPr="005A30B1">
        <w:rPr>
          <w:rFonts w:ascii="Palatino Linotype" w:hAnsi="Palatino Linotype"/>
          <w:b/>
          <w:color w:val="000000"/>
          <w:sz w:val="24"/>
        </w:rPr>
        <w:t>S</w:t>
      </w:r>
      <w:r w:rsidR="00BD4AC2" w:rsidRPr="005A30B1">
        <w:rPr>
          <w:rFonts w:ascii="Palatino Linotype" w:hAnsi="Palatino Linotype"/>
          <w:b/>
          <w:color w:val="000000"/>
          <w:sz w:val="24"/>
        </w:rPr>
        <w:t xml:space="preserve">oporte documental donde consten los proveedores que se han incorporado al padrón municipal de proveedores, en el que se advierta el nombre de la empresa, responsable o representante legal y la fecha de comienzo como proveedor, del periodo comprendido del uno de enero al veintiocho de marzo de dos mil veintidós. </w:t>
      </w:r>
    </w:p>
    <w:p w14:paraId="16E6D0DB" w14:textId="77777777" w:rsidR="00B057B1" w:rsidRPr="005A30B1" w:rsidRDefault="00B057B1" w:rsidP="00B057B1">
      <w:pPr>
        <w:spacing w:line="360" w:lineRule="auto"/>
        <w:jc w:val="both"/>
        <w:rPr>
          <w:rFonts w:ascii="Palatino Linotype" w:eastAsia="Calibri" w:hAnsi="Palatino Linotype" w:cs="Arial"/>
          <w:b/>
        </w:rPr>
      </w:pPr>
      <w:r w:rsidRPr="005A30B1">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5A30B1">
        <w:rPr>
          <w:rFonts w:ascii="Palatino Linotype" w:eastAsia="Calibri" w:hAnsi="Palatino Linotype" w:cs="Arial"/>
          <w:b/>
        </w:rPr>
        <w:t>RECURRENTE.</w:t>
      </w:r>
    </w:p>
    <w:p w14:paraId="2FE731E2" w14:textId="77777777" w:rsidR="00B057B1" w:rsidRPr="005A30B1" w:rsidRDefault="00B057B1" w:rsidP="00B057B1">
      <w:pPr>
        <w:spacing w:line="360" w:lineRule="auto"/>
        <w:ind w:right="48"/>
        <w:jc w:val="both"/>
        <w:rPr>
          <w:rFonts w:ascii="Palatino Linotype" w:eastAsia="Palatino Linotype" w:hAnsi="Palatino Linotype" w:cs="Palatino Linotype"/>
          <w:b/>
        </w:rPr>
      </w:pPr>
    </w:p>
    <w:p w14:paraId="53717A26" w14:textId="77777777" w:rsidR="00BD4AC2" w:rsidRPr="005A30B1" w:rsidRDefault="00BD4AC2" w:rsidP="00BD4AC2">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5A30B1">
        <w:rPr>
          <w:rFonts w:ascii="Palatino Linotype" w:eastAsia="Palatino Linotype" w:hAnsi="Palatino Linotype" w:cs="Palatino Linotype"/>
          <w:sz w:val="24"/>
        </w:rPr>
        <w:t xml:space="preserve">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4367F5D8" w14:textId="77777777" w:rsidR="00BD4AC2" w:rsidRPr="005A30B1" w:rsidRDefault="00BD4AC2" w:rsidP="00B057B1">
      <w:pPr>
        <w:spacing w:line="360" w:lineRule="auto"/>
        <w:ind w:right="48"/>
        <w:jc w:val="both"/>
        <w:rPr>
          <w:rFonts w:ascii="Palatino Linotype" w:eastAsia="Palatino Linotype" w:hAnsi="Palatino Linotype" w:cs="Palatino Linotype"/>
          <w:b/>
        </w:rPr>
      </w:pPr>
    </w:p>
    <w:p w14:paraId="064F4AD8" w14:textId="77777777" w:rsidR="00B057B1" w:rsidRPr="005A30B1"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r w:rsidRPr="005A30B1">
        <w:rPr>
          <w:rFonts w:ascii="Palatino Linotype" w:eastAsia="Palatino Linotype" w:hAnsi="Palatino Linotype" w:cs="Palatino Linotype"/>
          <w:b/>
        </w:rPr>
        <w:t xml:space="preserve">TERCERO. Notifíquese </w:t>
      </w:r>
      <w:r w:rsidRPr="005A30B1">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w:t>
      </w:r>
      <w:r w:rsidRPr="005A30B1">
        <w:rPr>
          <w:rFonts w:ascii="Palatino Linotype" w:eastAsia="Palatino Linotype" w:hAnsi="Palatino Linotype" w:cs="Palatino Linotype"/>
        </w:rPr>
        <w:lastRenderedPageBreak/>
        <w:t xml:space="preserve">Estado de México y Municipios </w:t>
      </w:r>
      <w:r w:rsidRPr="005A30B1">
        <w:rPr>
          <w:rFonts w:ascii="Palatino Linotype" w:eastAsia="Palatino Linotype" w:hAnsi="Palatino Linotype" w:cs="Palatino Linotype"/>
          <w:b/>
        </w:rPr>
        <w:t>dé cumplimiento a lo ordenado dentro del plazo de diez días hábiles</w:t>
      </w:r>
      <w:r w:rsidRPr="005A30B1">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F6FF1C" w14:textId="77777777" w:rsidR="00B057B1" w:rsidRPr="005A30B1"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p>
    <w:p w14:paraId="60A5A951" w14:textId="77777777" w:rsidR="000F6C54" w:rsidRPr="005A30B1" w:rsidRDefault="000F6C54" w:rsidP="00B057B1">
      <w:pPr>
        <w:tabs>
          <w:tab w:val="left" w:pos="8080"/>
        </w:tabs>
        <w:spacing w:line="360" w:lineRule="auto"/>
        <w:ind w:right="48"/>
        <w:contextualSpacing/>
        <w:jc w:val="both"/>
        <w:rPr>
          <w:rFonts w:ascii="Palatino Linotype" w:hAnsi="Palatino Linotype"/>
          <w:color w:val="222222"/>
          <w:shd w:val="clear" w:color="auto" w:fill="FFFFFF"/>
        </w:rPr>
      </w:pPr>
    </w:p>
    <w:p w14:paraId="4E5D6197" w14:textId="77777777" w:rsidR="000F6C54" w:rsidRPr="005A30B1" w:rsidRDefault="000F6C54" w:rsidP="00B057B1">
      <w:pPr>
        <w:tabs>
          <w:tab w:val="left" w:pos="8080"/>
        </w:tabs>
        <w:spacing w:line="360" w:lineRule="auto"/>
        <w:ind w:right="48"/>
        <w:contextualSpacing/>
        <w:jc w:val="both"/>
        <w:rPr>
          <w:rFonts w:ascii="Palatino Linotype" w:hAnsi="Palatino Linotype"/>
          <w:color w:val="222222"/>
          <w:shd w:val="clear" w:color="auto" w:fill="FFFFFF"/>
        </w:rPr>
      </w:pPr>
    </w:p>
    <w:p w14:paraId="6F75BD89" w14:textId="77777777" w:rsidR="00B057B1" w:rsidRPr="005A30B1" w:rsidRDefault="00B057B1" w:rsidP="00B057B1">
      <w:pPr>
        <w:shd w:val="clear" w:color="auto" w:fill="FFFFFF"/>
        <w:spacing w:line="360" w:lineRule="auto"/>
        <w:ind w:right="48"/>
        <w:jc w:val="both"/>
        <w:rPr>
          <w:rFonts w:ascii="Palatino Linotype" w:hAnsi="Palatino Linotype"/>
        </w:rPr>
      </w:pPr>
      <w:r w:rsidRPr="005A30B1">
        <w:rPr>
          <w:rFonts w:ascii="Palatino Linotype" w:hAnsi="Palatino Linotype" w:cs="Arial"/>
          <w:b/>
        </w:rPr>
        <w:t xml:space="preserve">CUARTO. </w:t>
      </w:r>
      <w:r w:rsidRPr="005A30B1">
        <w:rPr>
          <w:rFonts w:ascii="Palatino Linotype" w:hAnsi="Palatino Linotype"/>
          <w:b/>
          <w:bCs/>
          <w:lang w:val="es-ES"/>
        </w:rPr>
        <w:t>Notifíquese al RECURRENTE</w:t>
      </w:r>
      <w:r w:rsidRPr="005A30B1">
        <w:rPr>
          <w:rFonts w:ascii="Palatino Linotype" w:hAnsi="Palatino Linotype"/>
        </w:rPr>
        <w:t xml:space="preserve"> la presente resolución vía SAIMEX.</w:t>
      </w:r>
    </w:p>
    <w:p w14:paraId="12F52F40" w14:textId="77777777" w:rsidR="00B057B1" w:rsidRPr="005A30B1" w:rsidRDefault="00B057B1" w:rsidP="00B057B1">
      <w:pPr>
        <w:shd w:val="clear" w:color="auto" w:fill="FFFFFF"/>
        <w:spacing w:line="360" w:lineRule="auto"/>
        <w:ind w:right="48"/>
        <w:jc w:val="both"/>
        <w:rPr>
          <w:rFonts w:ascii="Palatino Linotype" w:hAnsi="Palatino Linotype"/>
          <w:b/>
          <w:color w:val="FF0000"/>
        </w:rPr>
      </w:pPr>
    </w:p>
    <w:bookmarkEnd w:id="29"/>
    <w:p w14:paraId="6322751A" w14:textId="77777777" w:rsidR="00B057B1" w:rsidRPr="005A30B1" w:rsidRDefault="00B057B1" w:rsidP="00B057B1">
      <w:pPr>
        <w:spacing w:line="360" w:lineRule="auto"/>
        <w:ind w:right="48"/>
        <w:jc w:val="both"/>
        <w:rPr>
          <w:rFonts w:ascii="Palatino Linotype" w:eastAsia="MS Mincho" w:hAnsi="Palatino Linotype"/>
          <w:lang w:val="es-ES"/>
        </w:rPr>
      </w:pPr>
      <w:r w:rsidRPr="005A30B1">
        <w:rPr>
          <w:rFonts w:ascii="Palatino Linotype" w:eastAsia="MS Mincho" w:hAnsi="Palatino Linotype"/>
          <w:b/>
        </w:rPr>
        <w:t>QUINTO.</w:t>
      </w:r>
      <w:r w:rsidRPr="005A30B1">
        <w:rPr>
          <w:rFonts w:ascii="Palatino Linotype" w:eastAsia="MS Mincho" w:hAnsi="Palatino Linotype"/>
        </w:rPr>
        <w:t xml:space="preserve"> </w:t>
      </w:r>
      <w:r w:rsidRPr="005A30B1">
        <w:rPr>
          <w:rFonts w:ascii="Palatino Linotype" w:eastAsia="MS Mincho" w:hAnsi="Palatino Linotype"/>
          <w:lang w:val="es-ES"/>
        </w:rPr>
        <w:t xml:space="preserve">Se hace del conocimiento del </w:t>
      </w:r>
      <w:r w:rsidRPr="005A30B1">
        <w:rPr>
          <w:rFonts w:ascii="Palatino Linotype" w:hAnsi="Palatino Linotype"/>
          <w:b/>
        </w:rPr>
        <w:t>RECURRENTE</w:t>
      </w:r>
      <w:r w:rsidRPr="005A30B1">
        <w:rPr>
          <w:rFonts w:ascii="Palatino Linotype" w:hAnsi="Palatino Linotype"/>
        </w:rPr>
        <w:t xml:space="preserve"> </w:t>
      </w:r>
      <w:r w:rsidRPr="005A30B1">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5A30B1">
        <w:rPr>
          <w:rFonts w:ascii="Palatino Linotype" w:eastAsia="MS Mincho" w:hAnsi="Palatino Linotype"/>
          <w:bCs/>
          <w:lang w:val="es-ES"/>
        </w:rPr>
        <w:t>vía juicio de amparo</w:t>
      </w:r>
      <w:r w:rsidRPr="005A30B1">
        <w:rPr>
          <w:rFonts w:ascii="Palatino Linotype" w:eastAsia="MS Mincho" w:hAnsi="Palatino Linotype"/>
          <w:lang w:val="es-ES"/>
        </w:rPr>
        <w:t> en los términos de las leyes aplicables.</w:t>
      </w:r>
    </w:p>
    <w:p w14:paraId="3BF351E5" w14:textId="77777777" w:rsidR="00B057B1" w:rsidRPr="005A30B1" w:rsidRDefault="00B057B1" w:rsidP="00B057B1">
      <w:pPr>
        <w:spacing w:line="360" w:lineRule="auto"/>
        <w:ind w:right="48"/>
        <w:jc w:val="both"/>
        <w:rPr>
          <w:rFonts w:ascii="Palatino Linotype" w:hAnsi="Palatino Linotype"/>
          <w:color w:val="000000"/>
          <w:shd w:val="clear" w:color="auto" w:fill="FFFFFF"/>
        </w:rPr>
      </w:pPr>
    </w:p>
    <w:p w14:paraId="009983CE" w14:textId="77777777" w:rsidR="00B057B1" w:rsidRPr="005A30B1" w:rsidRDefault="00B057B1" w:rsidP="00B057B1">
      <w:pPr>
        <w:spacing w:line="360" w:lineRule="auto"/>
        <w:ind w:right="48"/>
        <w:jc w:val="both"/>
        <w:rPr>
          <w:rFonts w:ascii="Palatino Linotype" w:eastAsia="Calibri" w:hAnsi="Palatino Linotype" w:cs="Arial"/>
          <w:bCs/>
        </w:rPr>
      </w:pPr>
      <w:r w:rsidRPr="005A30B1">
        <w:rPr>
          <w:rFonts w:ascii="Palatino Linotype" w:hAnsi="Palatino Linotype"/>
          <w:b/>
          <w:color w:val="000000"/>
          <w:shd w:val="clear" w:color="auto" w:fill="FFFFFF"/>
        </w:rPr>
        <w:t xml:space="preserve">SEXTO. </w:t>
      </w:r>
      <w:r w:rsidRPr="005A30B1">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C621F80" w14:textId="77777777" w:rsidR="00B057B1" w:rsidRPr="005A30B1" w:rsidRDefault="00B057B1" w:rsidP="00B057B1">
      <w:pPr>
        <w:spacing w:line="360" w:lineRule="auto"/>
        <w:ind w:right="48"/>
        <w:jc w:val="both"/>
        <w:rPr>
          <w:rFonts w:ascii="Palatino Linotype" w:hAnsi="Palatino Linotype"/>
        </w:rPr>
      </w:pPr>
    </w:p>
    <w:p w14:paraId="7B5F24AD" w14:textId="77777777" w:rsidR="000F6C54" w:rsidRPr="000F6C54" w:rsidRDefault="000F6C54" w:rsidP="000F6C54">
      <w:pPr>
        <w:spacing w:before="240" w:after="240" w:line="360" w:lineRule="auto"/>
        <w:ind w:firstLine="1"/>
        <w:jc w:val="both"/>
        <w:rPr>
          <w:rStyle w:val="Referenciasutil"/>
          <w:rFonts w:ascii="Palatino Linotype" w:eastAsiaTheme="majorEastAsia" w:hAnsi="Palatino Linotype"/>
          <w:color w:val="auto"/>
        </w:rPr>
      </w:pPr>
      <w:bookmarkStart w:id="30" w:name="_Hlk129792997"/>
      <w:r w:rsidRPr="005A30B1">
        <w:rPr>
          <w:rStyle w:val="Referenciasutil"/>
          <w:rFonts w:ascii="Palatino Linotype" w:eastAsiaTheme="majorEastAsia"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w:t>
      </w:r>
      <w:r w:rsidRPr="000F6C54">
        <w:rPr>
          <w:rStyle w:val="Referenciasutil"/>
          <w:rFonts w:ascii="Palatino Linotype" w:eastAsiaTheme="majorEastAsia" w:hAnsi="Palatino Linotype"/>
          <w:color w:val="auto"/>
        </w:rPr>
        <w:t xml:space="preserve"> </w:t>
      </w:r>
      <w:bookmarkEnd w:id="30"/>
    </w:p>
    <w:p w14:paraId="0C0EE884" w14:textId="77777777" w:rsidR="00B057B1" w:rsidRPr="00894848" w:rsidRDefault="00B057B1" w:rsidP="00B057B1">
      <w:pPr>
        <w:spacing w:line="360" w:lineRule="auto"/>
        <w:ind w:right="48"/>
        <w:rPr>
          <w:rFonts w:ascii="Palatino Linotype" w:hAnsi="Palatino Linotype"/>
        </w:rPr>
      </w:pPr>
    </w:p>
    <w:p w14:paraId="32FABBCA"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5802F1D3"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04040366"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29030811"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74594DDD"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210D0163"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0AFAEE3D"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57924146"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20DEED3A"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233F98E6" w14:textId="77777777" w:rsidR="00B057B1" w:rsidRPr="00894848" w:rsidRDefault="00B057B1" w:rsidP="00B057B1">
      <w:pPr>
        <w:spacing w:line="360" w:lineRule="auto"/>
        <w:ind w:right="49"/>
        <w:jc w:val="both"/>
        <w:rPr>
          <w:rFonts w:ascii="Palatino Linotype" w:eastAsiaTheme="minorEastAsia" w:hAnsi="Palatino Linotype" w:cs="Arial"/>
          <w:lang w:val="es-ES_tradnl" w:eastAsia="es-ES"/>
        </w:rPr>
      </w:pPr>
    </w:p>
    <w:p w14:paraId="59D96653" w14:textId="77777777" w:rsidR="00B057B1" w:rsidRPr="00894848" w:rsidRDefault="00B057B1" w:rsidP="00B057B1">
      <w:pPr>
        <w:spacing w:line="360" w:lineRule="auto"/>
        <w:rPr>
          <w:rFonts w:ascii="Palatino Linotype" w:hAnsi="Palatino Linotype"/>
        </w:rPr>
      </w:pPr>
    </w:p>
    <w:p w14:paraId="043775E4" w14:textId="77777777" w:rsidR="00B057B1" w:rsidRPr="00894848" w:rsidRDefault="00B057B1" w:rsidP="00B057B1"/>
    <w:p w14:paraId="5EB26958" w14:textId="77777777" w:rsidR="00B057B1" w:rsidRPr="00894848" w:rsidRDefault="00B057B1" w:rsidP="00B057B1"/>
    <w:p w14:paraId="7D8033AD" w14:textId="77777777" w:rsidR="00B057B1" w:rsidRPr="00894848" w:rsidRDefault="00B057B1" w:rsidP="00B057B1"/>
    <w:p w14:paraId="3A4B6477" w14:textId="77777777" w:rsidR="00B057B1" w:rsidRPr="00894848" w:rsidRDefault="00B057B1" w:rsidP="00B057B1"/>
    <w:p w14:paraId="795A035E" w14:textId="77777777" w:rsidR="00B057B1" w:rsidRPr="00894848" w:rsidRDefault="00B057B1" w:rsidP="00B057B1"/>
    <w:p w14:paraId="0D401AB2" w14:textId="77777777" w:rsidR="00B057B1" w:rsidRPr="00894848" w:rsidRDefault="00B057B1" w:rsidP="00B057B1"/>
    <w:p w14:paraId="6F4CE7B7" w14:textId="77777777" w:rsidR="00E84FDD" w:rsidRPr="00894848" w:rsidRDefault="00E84FDD"/>
    <w:sectPr w:rsidR="00E84FDD" w:rsidRPr="00894848" w:rsidSect="00894848">
      <w:headerReference w:type="even" r:id="rId12"/>
      <w:headerReference w:type="default" r:id="rId13"/>
      <w:footerReference w:type="default" r:id="rId14"/>
      <w:headerReference w:type="first" r:id="rId15"/>
      <w:footerReference w:type="first" r:id="rId16"/>
      <w:pgSz w:w="12240" w:h="15840"/>
      <w:pgMar w:top="80" w:right="1041"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EAD8" w14:textId="77777777" w:rsidR="00B525FA" w:rsidRDefault="00B525FA" w:rsidP="00B057B1">
      <w:r>
        <w:separator/>
      </w:r>
    </w:p>
  </w:endnote>
  <w:endnote w:type="continuationSeparator" w:id="0">
    <w:p w14:paraId="41A22A8B" w14:textId="77777777" w:rsidR="00B525FA" w:rsidRDefault="00B525FA" w:rsidP="00B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415C" w14:textId="77777777" w:rsidR="00F77699" w:rsidRDefault="00F77699">
    <w:pPr>
      <w:pStyle w:val="Piedepgina"/>
      <w:jc w:val="right"/>
    </w:pPr>
    <w:r>
      <w:rPr>
        <w:lang w:val="es-ES"/>
      </w:rPr>
      <w:t xml:space="preserve">Página </w:t>
    </w:r>
    <w:r>
      <w:rPr>
        <w:b/>
        <w:bCs/>
      </w:rPr>
      <w:fldChar w:fldCharType="begin"/>
    </w:r>
    <w:r>
      <w:rPr>
        <w:b/>
        <w:bCs/>
      </w:rPr>
      <w:instrText>PAGE</w:instrText>
    </w:r>
    <w:r>
      <w:rPr>
        <w:b/>
        <w:bCs/>
      </w:rPr>
      <w:fldChar w:fldCharType="separate"/>
    </w:r>
    <w:r w:rsidR="002F0AC4">
      <w:rPr>
        <w:b/>
        <w:bCs/>
        <w:noProof/>
      </w:rPr>
      <w:t>26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F0AC4">
      <w:rPr>
        <w:b/>
        <w:bCs/>
        <w:noProof/>
      </w:rPr>
      <w:t>28</w:t>
    </w:r>
    <w:r>
      <w:rPr>
        <w:b/>
        <w:bCs/>
      </w:rPr>
      <w:fldChar w:fldCharType="end"/>
    </w:r>
  </w:p>
  <w:p w14:paraId="171C24B1" w14:textId="77777777" w:rsidR="00F77699" w:rsidRDefault="00F776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7435" w14:textId="77777777" w:rsidR="00F77699" w:rsidRDefault="00F77699">
    <w:pPr>
      <w:pStyle w:val="Piedepgina"/>
      <w:jc w:val="right"/>
    </w:pPr>
    <w:r>
      <w:rPr>
        <w:lang w:val="es-ES"/>
      </w:rPr>
      <w:t xml:space="preserve">Página </w:t>
    </w:r>
    <w:r>
      <w:rPr>
        <w:b/>
        <w:bCs/>
      </w:rPr>
      <w:fldChar w:fldCharType="begin"/>
    </w:r>
    <w:r>
      <w:rPr>
        <w:b/>
        <w:bCs/>
      </w:rPr>
      <w:instrText>PAGE</w:instrText>
    </w:r>
    <w:r>
      <w:rPr>
        <w:b/>
        <w:bCs/>
      </w:rPr>
      <w:fldChar w:fldCharType="separate"/>
    </w:r>
    <w:r w:rsidR="002F0AC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F0AC4">
      <w:rPr>
        <w:b/>
        <w:bCs/>
        <w:noProof/>
      </w:rPr>
      <w:t>28</w:t>
    </w:r>
    <w:r>
      <w:rPr>
        <w:b/>
        <w:bCs/>
      </w:rPr>
      <w:fldChar w:fldCharType="end"/>
    </w:r>
  </w:p>
  <w:p w14:paraId="5E54F5AF" w14:textId="77777777" w:rsidR="00F77699" w:rsidRDefault="00F77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3240" w14:textId="77777777" w:rsidR="00B525FA" w:rsidRDefault="00B525FA" w:rsidP="00B057B1">
      <w:r>
        <w:separator/>
      </w:r>
    </w:p>
  </w:footnote>
  <w:footnote w:type="continuationSeparator" w:id="0">
    <w:p w14:paraId="6DFDB327" w14:textId="77777777" w:rsidR="00B525FA" w:rsidRDefault="00B525FA" w:rsidP="00B0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567D" w14:textId="77777777" w:rsidR="00F77699" w:rsidRDefault="00B525FA">
    <w:pPr>
      <w:pStyle w:val="Encabezado"/>
    </w:pPr>
    <w:r>
      <w:rPr>
        <w:noProof/>
      </w:rPr>
      <w:pict w14:anchorId="5BA43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2268"/>
      <w:gridCol w:w="7088"/>
    </w:tblGrid>
    <w:tr w:rsidR="00F77699" w:rsidRPr="005C106F" w14:paraId="7111143A" w14:textId="77777777" w:rsidTr="00894848">
      <w:trPr>
        <w:trHeight w:val="1435"/>
      </w:trPr>
      <w:tc>
        <w:tcPr>
          <w:tcW w:w="2268" w:type="dxa"/>
          <w:shd w:val="clear" w:color="auto" w:fill="auto"/>
        </w:tcPr>
        <w:p w14:paraId="2647CB6A" w14:textId="77777777" w:rsidR="00F77699" w:rsidRPr="005C106F" w:rsidRDefault="00F77699" w:rsidP="00894848">
          <w:pPr>
            <w:rPr>
              <w:rFonts w:ascii="Garamond" w:eastAsia="Calibri" w:hAnsi="Garamond"/>
              <w:sz w:val="16"/>
              <w:szCs w:val="16"/>
              <w:lang w:eastAsia="en-US"/>
            </w:rPr>
          </w:pPr>
        </w:p>
      </w:tc>
      <w:tc>
        <w:tcPr>
          <w:tcW w:w="7088" w:type="dxa"/>
          <w:shd w:val="clear" w:color="auto" w:fill="auto"/>
        </w:tcPr>
        <w:tbl>
          <w:tblPr>
            <w:tblW w:w="6662" w:type="dxa"/>
            <w:tblInd w:w="1168" w:type="dxa"/>
            <w:tblLayout w:type="fixed"/>
            <w:tblLook w:val="0420" w:firstRow="1" w:lastRow="0" w:firstColumn="0" w:lastColumn="0" w:noHBand="0" w:noVBand="1"/>
          </w:tblPr>
          <w:tblGrid>
            <w:gridCol w:w="2551"/>
            <w:gridCol w:w="4111"/>
          </w:tblGrid>
          <w:tr w:rsidR="00F77699" w14:paraId="0FE6066E" w14:textId="77777777" w:rsidTr="00894848">
            <w:trPr>
              <w:trHeight w:val="150"/>
            </w:trPr>
            <w:tc>
              <w:tcPr>
                <w:tcW w:w="2551" w:type="dxa"/>
                <w:shd w:val="clear" w:color="auto" w:fill="auto"/>
              </w:tcPr>
              <w:p w14:paraId="2B536FEC" w14:textId="77777777"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AF97ABA" w14:textId="77777777" w:rsidR="00F77699" w:rsidRPr="00020E73" w:rsidRDefault="00F77699" w:rsidP="00E84FD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07608/INFOEM/IP/RR/2022</w:t>
                </w:r>
              </w:p>
            </w:tc>
          </w:tr>
          <w:tr w:rsidR="00F77699" w14:paraId="4DF0DC1D" w14:textId="77777777" w:rsidTr="00894848">
            <w:trPr>
              <w:trHeight w:val="295"/>
            </w:trPr>
            <w:tc>
              <w:tcPr>
                <w:tcW w:w="2551" w:type="dxa"/>
                <w:shd w:val="clear" w:color="auto" w:fill="auto"/>
              </w:tcPr>
              <w:p w14:paraId="06916575" w14:textId="77777777"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2EDF586" w14:textId="77777777" w:rsidR="00F77699" w:rsidRPr="004B6A5B" w:rsidRDefault="00F77699" w:rsidP="00E84FDD">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Ayuntamiento de Chimalhuacán </w:t>
                </w:r>
              </w:p>
            </w:tc>
          </w:tr>
          <w:tr w:rsidR="00F77699" w14:paraId="28CC78B6" w14:textId="77777777" w:rsidTr="00894848">
            <w:trPr>
              <w:trHeight w:val="295"/>
            </w:trPr>
            <w:tc>
              <w:tcPr>
                <w:tcW w:w="2551" w:type="dxa"/>
                <w:shd w:val="clear" w:color="auto" w:fill="auto"/>
              </w:tcPr>
              <w:p w14:paraId="2C39147C" w14:textId="77777777"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24D3AB9F" w14:textId="77777777" w:rsidR="00F77699" w:rsidRPr="00020E73" w:rsidRDefault="00F77699" w:rsidP="00E84FD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76BACAE" w14:textId="77777777" w:rsidR="00F77699" w:rsidRPr="00020E73" w:rsidRDefault="00F77699" w:rsidP="00E84FDD">
                <w:pPr>
                  <w:tabs>
                    <w:tab w:val="right" w:pos="8838"/>
                  </w:tabs>
                  <w:ind w:left="-108" w:right="171"/>
                  <w:jc w:val="both"/>
                  <w:rPr>
                    <w:rFonts w:ascii="Palatino Linotype" w:eastAsia="Calibri" w:hAnsi="Palatino Linotype" w:cs="Tahoma"/>
                    <w:b/>
                    <w:sz w:val="22"/>
                    <w:szCs w:val="22"/>
                    <w:lang w:val="es-ES" w:eastAsia="en-US"/>
                  </w:rPr>
                </w:pPr>
              </w:p>
            </w:tc>
          </w:tr>
        </w:tbl>
        <w:p w14:paraId="473FAE5E" w14:textId="77777777" w:rsidR="00F77699" w:rsidRPr="005C106F" w:rsidRDefault="00F77699" w:rsidP="00E84FDD">
          <w:pPr>
            <w:tabs>
              <w:tab w:val="right" w:pos="8838"/>
            </w:tabs>
            <w:ind w:left="-28"/>
            <w:jc w:val="both"/>
            <w:rPr>
              <w:rFonts w:ascii="Arial" w:eastAsia="Calibri" w:hAnsi="Arial" w:cs="Arial"/>
              <w:b/>
              <w:sz w:val="22"/>
              <w:szCs w:val="22"/>
              <w:lang w:eastAsia="en-US"/>
            </w:rPr>
          </w:pPr>
        </w:p>
      </w:tc>
    </w:tr>
  </w:tbl>
  <w:p w14:paraId="3741EB3C" w14:textId="77777777" w:rsidR="00F77699" w:rsidRPr="00443C6B" w:rsidRDefault="00B525FA" w:rsidP="00894848">
    <w:pPr>
      <w:pStyle w:val="Encabezado"/>
      <w:tabs>
        <w:tab w:val="clear" w:pos="4419"/>
        <w:tab w:val="clear" w:pos="8838"/>
      </w:tabs>
      <w:rPr>
        <w:sz w:val="14"/>
      </w:rPr>
    </w:pPr>
    <w:r>
      <w:rPr>
        <w:noProof/>
        <w:sz w:val="14"/>
      </w:rPr>
      <w:pict w14:anchorId="462B1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F77699" w:rsidRPr="00330DA7" w14:paraId="570F7435" w14:textId="77777777" w:rsidTr="00E84FDD">
      <w:trPr>
        <w:trHeight w:val="1435"/>
      </w:trPr>
      <w:tc>
        <w:tcPr>
          <w:tcW w:w="2268" w:type="dxa"/>
          <w:shd w:val="clear" w:color="auto" w:fill="auto"/>
        </w:tcPr>
        <w:p w14:paraId="123940B8" w14:textId="77777777" w:rsidR="00F77699" w:rsidRPr="00330DA7" w:rsidRDefault="00F77699" w:rsidP="00E84FD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885" w:type="dxa"/>
            <w:tblLayout w:type="fixed"/>
            <w:tblLook w:val="0420" w:firstRow="1" w:lastRow="0" w:firstColumn="0" w:lastColumn="0" w:noHBand="0" w:noVBand="1"/>
          </w:tblPr>
          <w:tblGrid>
            <w:gridCol w:w="2444"/>
            <w:gridCol w:w="4218"/>
          </w:tblGrid>
          <w:tr w:rsidR="00F77699" w:rsidRPr="00330DA7" w14:paraId="1F3E7977" w14:textId="77777777" w:rsidTr="00AE2B32">
            <w:trPr>
              <w:trHeight w:val="144"/>
            </w:trPr>
            <w:tc>
              <w:tcPr>
                <w:tcW w:w="2444" w:type="dxa"/>
                <w:shd w:val="clear" w:color="auto" w:fill="auto"/>
              </w:tcPr>
              <w:p w14:paraId="39748A4B" w14:textId="77777777" w:rsidR="00F77699" w:rsidRPr="00020E73" w:rsidRDefault="00F77699" w:rsidP="00E84FD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46EA229B" w14:textId="77777777" w:rsidR="00F77699" w:rsidRPr="00020E73" w:rsidRDefault="00F77699" w:rsidP="00AE2B32">
                <w:pPr>
                  <w:tabs>
                    <w:tab w:val="right" w:pos="8838"/>
                  </w:tabs>
                  <w:ind w:right="-105" w:hanging="6"/>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07608/INFOEM/IP/RR/2022</w:t>
                </w:r>
                <w:r>
                  <w:rPr>
                    <w:rFonts w:ascii="Palatino Linotype" w:eastAsia="Calibri" w:hAnsi="Palatino Linotype" w:cs="Tahoma"/>
                    <w:b/>
                    <w:bCs/>
                    <w:sz w:val="22"/>
                    <w:szCs w:val="22"/>
                    <w:lang w:eastAsia="en-US"/>
                  </w:rPr>
                  <w:t xml:space="preserve"> </w:t>
                </w:r>
              </w:p>
            </w:tc>
          </w:tr>
          <w:tr w:rsidR="00F77699" w:rsidRPr="00330DA7" w14:paraId="3BC860F6" w14:textId="77777777" w:rsidTr="00AE2B32">
            <w:trPr>
              <w:trHeight w:val="144"/>
            </w:trPr>
            <w:tc>
              <w:tcPr>
                <w:tcW w:w="2444" w:type="dxa"/>
                <w:shd w:val="clear" w:color="auto" w:fill="auto"/>
              </w:tcPr>
              <w:p w14:paraId="3AC685F3" w14:textId="77777777"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6D0D8C33" w14:textId="0BE8F6C3" w:rsidR="00F77699" w:rsidRPr="00966DC6" w:rsidRDefault="00F77699" w:rsidP="00AE2B32">
                <w:pPr>
                  <w:tabs>
                    <w:tab w:val="right" w:pos="8838"/>
                  </w:tabs>
                  <w:ind w:left="-6" w:right="-105" w:hanging="6"/>
                  <w:rPr>
                    <w:rFonts w:ascii="Palatino Linotype" w:eastAsia="Calibri" w:hAnsi="Palatino Linotype" w:cs="Tahoma"/>
                    <w:sz w:val="22"/>
                    <w:szCs w:val="22"/>
                    <w:lang w:val="es-ES" w:eastAsia="en-US"/>
                  </w:rPr>
                </w:pPr>
                <w:r w:rsidRPr="004B6A5B">
                  <w:rPr>
                    <w:rFonts w:ascii="Palatino Linotype" w:eastAsia="Calibri" w:hAnsi="Palatino Linotype" w:cs="Tahoma"/>
                    <w:sz w:val="22"/>
                    <w:szCs w:val="22"/>
                    <w:lang w:val="es-ES" w:eastAsia="en-US"/>
                  </w:rPr>
                  <w:t xml:space="preserve"> </w:t>
                </w:r>
                <w:r w:rsidR="003B6800">
                  <w:rPr>
                    <w:rFonts w:ascii="Palatino Linotype" w:eastAsia="Calibri" w:hAnsi="Palatino Linotype" w:cs="Tahoma"/>
                    <w:bCs/>
                    <w:sz w:val="22"/>
                    <w:szCs w:val="22"/>
                    <w:lang w:eastAsia="en-US"/>
                  </w:rPr>
                  <w:t xml:space="preserve">XXX </w:t>
                </w:r>
                <w:proofErr w:type="spellStart"/>
                <w:r w:rsidR="003B6800">
                  <w:rPr>
                    <w:rFonts w:ascii="Palatino Linotype" w:eastAsia="Calibri" w:hAnsi="Palatino Linotype" w:cs="Tahoma"/>
                    <w:bCs/>
                    <w:sz w:val="22"/>
                    <w:szCs w:val="22"/>
                    <w:lang w:eastAsia="en-US"/>
                  </w:rPr>
                  <w:t>XXX</w:t>
                </w:r>
                <w:proofErr w:type="spellEnd"/>
                <w:r w:rsidR="003B6800">
                  <w:rPr>
                    <w:rFonts w:ascii="Palatino Linotype" w:eastAsia="Calibri" w:hAnsi="Palatino Linotype" w:cs="Tahoma"/>
                    <w:bCs/>
                    <w:sz w:val="22"/>
                    <w:szCs w:val="22"/>
                    <w:lang w:eastAsia="en-US"/>
                  </w:rPr>
                  <w:t xml:space="preserve"> </w:t>
                </w:r>
                <w:proofErr w:type="spellStart"/>
                <w:r w:rsidR="003B6800">
                  <w:rPr>
                    <w:rFonts w:ascii="Palatino Linotype" w:eastAsia="Calibri" w:hAnsi="Palatino Linotype" w:cs="Tahoma"/>
                    <w:bCs/>
                    <w:sz w:val="22"/>
                    <w:szCs w:val="22"/>
                    <w:lang w:eastAsia="en-US"/>
                  </w:rPr>
                  <w:t>XXX</w:t>
                </w:r>
                <w:proofErr w:type="spellEnd"/>
              </w:p>
            </w:tc>
          </w:tr>
          <w:tr w:rsidR="00F77699" w:rsidRPr="00330DA7" w14:paraId="7BAC6B2B" w14:textId="77777777" w:rsidTr="00AE2B32">
            <w:trPr>
              <w:trHeight w:val="283"/>
            </w:trPr>
            <w:tc>
              <w:tcPr>
                <w:tcW w:w="2444" w:type="dxa"/>
                <w:shd w:val="clear" w:color="auto" w:fill="auto"/>
              </w:tcPr>
              <w:p w14:paraId="113C8E85" w14:textId="77777777"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B342CED" w14:textId="77777777" w:rsidR="00F77699" w:rsidRPr="004B6A5B" w:rsidRDefault="00F77699" w:rsidP="00AE2B32">
                <w:pPr>
                  <w:tabs>
                    <w:tab w:val="left" w:pos="2834"/>
                    <w:tab w:val="right" w:pos="8838"/>
                  </w:tabs>
                  <w:ind w:right="-105" w:hanging="6"/>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Chimalhuacán</w:t>
                </w:r>
              </w:p>
            </w:tc>
          </w:tr>
          <w:tr w:rsidR="00F77699" w:rsidRPr="00330DA7" w14:paraId="1ABACA82" w14:textId="77777777" w:rsidTr="00AE2B32">
            <w:trPr>
              <w:trHeight w:val="283"/>
            </w:trPr>
            <w:tc>
              <w:tcPr>
                <w:tcW w:w="2444" w:type="dxa"/>
                <w:shd w:val="clear" w:color="auto" w:fill="auto"/>
              </w:tcPr>
              <w:p w14:paraId="2098401E" w14:textId="77777777"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BE07D2B" w14:textId="77777777" w:rsidR="00F77699" w:rsidRPr="00020E73" w:rsidRDefault="00F77699" w:rsidP="00AE2B32">
                <w:pPr>
                  <w:tabs>
                    <w:tab w:val="right" w:pos="8838"/>
                  </w:tabs>
                  <w:ind w:right="-105" w:hanging="6"/>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E2E8BED" w14:textId="77777777" w:rsidR="00F77699" w:rsidRPr="00020E73" w:rsidRDefault="00F77699" w:rsidP="00AE2B32">
                <w:pPr>
                  <w:tabs>
                    <w:tab w:val="right" w:pos="8838"/>
                  </w:tabs>
                  <w:ind w:right="-105" w:hanging="6"/>
                  <w:rPr>
                    <w:rFonts w:ascii="Palatino Linotype" w:eastAsia="Calibri" w:hAnsi="Palatino Linotype" w:cs="Tahoma"/>
                    <w:b/>
                    <w:sz w:val="22"/>
                    <w:szCs w:val="22"/>
                    <w:lang w:val="es-ES" w:eastAsia="en-US"/>
                  </w:rPr>
                </w:pPr>
              </w:p>
            </w:tc>
          </w:tr>
        </w:tbl>
        <w:p w14:paraId="0AF794AD" w14:textId="77777777" w:rsidR="00F77699" w:rsidRPr="00330DA7" w:rsidRDefault="00F77699" w:rsidP="00E84FDD">
          <w:pPr>
            <w:tabs>
              <w:tab w:val="right" w:pos="8838"/>
            </w:tabs>
            <w:ind w:left="-28"/>
            <w:jc w:val="both"/>
            <w:rPr>
              <w:rFonts w:ascii="Arial" w:eastAsia="Calibri" w:hAnsi="Arial" w:cs="Arial"/>
              <w:b/>
              <w:sz w:val="22"/>
              <w:szCs w:val="22"/>
              <w:lang w:eastAsia="en-US"/>
            </w:rPr>
          </w:pPr>
        </w:p>
      </w:tc>
    </w:tr>
  </w:tbl>
  <w:p w14:paraId="06E9FA69" w14:textId="77777777" w:rsidR="00F77699" w:rsidRPr="00827FA0" w:rsidRDefault="00B525FA" w:rsidP="00E84FDD">
    <w:pPr>
      <w:pStyle w:val="Encabezado"/>
      <w:rPr>
        <w:sz w:val="2"/>
        <w:szCs w:val="22"/>
      </w:rPr>
    </w:pPr>
    <w:r>
      <w:rPr>
        <w:noProof/>
        <w:sz w:val="2"/>
        <w:szCs w:val="22"/>
      </w:rPr>
      <w:pict w14:anchorId="7D505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314"/>
    <w:multiLevelType w:val="hybridMultilevel"/>
    <w:tmpl w:val="DAC65CF0"/>
    <w:lvl w:ilvl="0" w:tplc="0C0A0001">
      <w:start w:val="1"/>
      <w:numFmt w:val="bullet"/>
      <w:lvlText w:val=""/>
      <w:lvlJc w:val="left"/>
      <w:pPr>
        <w:ind w:left="1571" w:hanging="360"/>
      </w:pPr>
      <w:rPr>
        <w:rFonts w:ascii="Symbol" w:hAnsi="Symbol" w:hint="default"/>
      </w:rPr>
    </w:lvl>
    <w:lvl w:ilvl="1" w:tplc="B7443454">
      <w:numFmt w:val="bullet"/>
      <w:lvlText w:val="-"/>
      <w:lvlJc w:val="left"/>
      <w:pPr>
        <w:ind w:left="2291" w:hanging="360"/>
      </w:pPr>
      <w:rPr>
        <w:rFonts w:ascii="Palatino Linotype" w:eastAsia="Times New Roman" w:hAnsi="Palatino Linotype" w:cs="Times New Roman"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A11463F"/>
    <w:multiLevelType w:val="hybridMultilevel"/>
    <w:tmpl w:val="6A98A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CD7314"/>
    <w:multiLevelType w:val="hybridMultilevel"/>
    <w:tmpl w:val="DB52551C"/>
    <w:lvl w:ilvl="0" w:tplc="5BC05A84">
      <w:start w:val="1"/>
      <w:numFmt w:val="upperLetter"/>
      <w:lvlText w:val="%1."/>
      <w:lvlJc w:val="left"/>
      <w:pPr>
        <w:ind w:left="786" w:hanging="360"/>
      </w:pPr>
      <w:rPr>
        <w:rFonts w:eastAsia="MS Gothic" w:cstheme="majorBidi"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83368C5"/>
    <w:multiLevelType w:val="hybridMultilevel"/>
    <w:tmpl w:val="BD6E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133F47"/>
    <w:multiLevelType w:val="hybridMultilevel"/>
    <w:tmpl w:val="3146A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512CC1"/>
    <w:multiLevelType w:val="hybridMultilevel"/>
    <w:tmpl w:val="50042A1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E84693A"/>
    <w:multiLevelType w:val="hybridMultilevel"/>
    <w:tmpl w:val="65CC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54101F"/>
    <w:multiLevelType w:val="hybridMultilevel"/>
    <w:tmpl w:val="42D697C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58951BAA"/>
    <w:multiLevelType w:val="multilevel"/>
    <w:tmpl w:val="EA2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F8C1B2F"/>
    <w:multiLevelType w:val="hybridMultilevel"/>
    <w:tmpl w:val="18666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6951453">
    <w:abstractNumId w:val="5"/>
  </w:num>
  <w:num w:numId="2" w16cid:durableId="1496260778">
    <w:abstractNumId w:val="4"/>
  </w:num>
  <w:num w:numId="3" w16cid:durableId="2088309454">
    <w:abstractNumId w:val="1"/>
  </w:num>
  <w:num w:numId="4" w16cid:durableId="587885568">
    <w:abstractNumId w:val="0"/>
  </w:num>
  <w:num w:numId="5" w16cid:durableId="1160730761">
    <w:abstractNumId w:val="9"/>
  </w:num>
  <w:num w:numId="6" w16cid:durableId="1754280759">
    <w:abstractNumId w:val="12"/>
  </w:num>
  <w:num w:numId="7" w16cid:durableId="744375772">
    <w:abstractNumId w:val="8"/>
  </w:num>
  <w:num w:numId="8" w16cid:durableId="1421021833">
    <w:abstractNumId w:val="3"/>
  </w:num>
  <w:num w:numId="9" w16cid:durableId="1277450282">
    <w:abstractNumId w:val="7"/>
  </w:num>
  <w:num w:numId="10" w16cid:durableId="1726561411">
    <w:abstractNumId w:val="10"/>
  </w:num>
  <w:num w:numId="11" w16cid:durableId="1879967658">
    <w:abstractNumId w:val="6"/>
  </w:num>
  <w:num w:numId="12" w16cid:durableId="282657326">
    <w:abstractNumId w:val="11"/>
  </w:num>
  <w:num w:numId="13" w16cid:durableId="161782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B1"/>
    <w:rsid w:val="00007A3C"/>
    <w:rsid w:val="000F6C54"/>
    <w:rsid w:val="00101586"/>
    <w:rsid w:val="00150472"/>
    <w:rsid w:val="00155F64"/>
    <w:rsid w:val="001B658D"/>
    <w:rsid w:val="001C6CBB"/>
    <w:rsid w:val="001D5B90"/>
    <w:rsid w:val="00202965"/>
    <w:rsid w:val="00214EBE"/>
    <w:rsid w:val="002C269C"/>
    <w:rsid w:val="002F0AC4"/>
    <w:rsid w:val="00301094"/>
    <w:rsid w:val="00343E7C"/>
    <w:rsid w:val="003A562E"/>
    <w:rsid w:val="003B6800"/>
    <w:rsid w:val="00492E35"/>
    <w:rsid w:val="004B6A5B"/>
    <w:rsid w:val="00510289"/>
    <w:rsid w:val="005438B3"/>
    <w:rsid w:val="005A2493"/>
    <w:rsid w:val="005A30B1"/>
    <w:rsid w:val="005C5682"/>
    <w:rsid w:val="006005B8"/>
    <w:rsid w:val="006634BC"/>
    <w:rsid w:val="007133BE"/>
    <w:rsid w:val="00756D5C"/>
    <w:rsid w:val="0076643E"/>
    <w:rsid w:val="0078330D"/>
    <w:rsid w:val="00894848"/>
    <w:rsid w:val="00902110"/>
    <w:rsid w:val="00966DC6"/>
    <w:rsid w:val="009D4B44"/>
    <w:rsid w:val="00A36896"/>
    <w:rsid w:val="00AE2B32"/>
    <w:rsid w:val="00B01DBD"/>
    <w:rsid w:val="00B057B1"/>
    <w:rsid w:val="00B15DD4"/>
    <w:rsid w:val="00B525FA"/>
    <w:rsid w:val="00BD4AC2"/>
    <w:rsid w:val="00BF4487"/>
    <w:rsid w:val="00D2475A"/>
    <w:rsid w:val="00DB0ACE"/>
    <w:rsid w:val="00DE53FB"/>
    <w:rsid w:val="00E00593"/>
    <w:rsid w:val="00E766DC"/>
    <w:rsid w:val="00E84FDD"/>
    <w:rsid w:val="00EE7302"/>
    <w:rsid w:val="00F030F9"/>
    <w:rsid w:val="00F55B4E"/>
    <w:rsid w:val="00F77699"/>
    <w:rsid w:val="00FE1EE8"/>
    <w:rsid w:val="00FE3E30"/>
    <w:rsid w:val="00FE44BF"/>
    <w:rsid w:val="00FE4B6F"/>
    <w:rsid w:val="00FE5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7B21"/>
  <w15:chartTrackingRefBased/>
  <w15:docId w15:val="{FA653E3B-CEF2-45BA-A214-8249934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B1"/>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057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7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7B1"/>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B057B1"/>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057B1"/>
    <w:pPr>
      <w:tabs>
        <w:tab w:val="center" w:pos="4419"/>
        <w:tab w:val="right" w:pos="8838"/>
      </w:tabs>
    </w:pPr>
  </w:style>
  <w:style w:type="character" w:customStyle="1" w:styleId="EncabezadoCar">
    <w:name w:val="Encabezado Car"/>
    <w:basedOn w:val="Fuentedeprrafopredeter"/>
    <w:link w:val="Encabezado"/>
    <w:uiPriority w:val="99"/>
    <w:rsid w:val="00B057B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057B1"/>
    <w:pPr>
      <w:tabs>
        <w:tab w:val="center" w:pos="4419"/>
        <w:tab w:val="right" w:pos="8838"/>
      </w:tabs>
    </w:pPr>
  </w:style>
  <w:style w:type="character" w:customStyle="1" w:styleId="PiedepginaCar">
    <w:name w:val="Pie de página Car"/>
    <w:basedOn w:val="Fuentedeprrafopredeter"/>
    <w:link w:val="Piedepgina"/>
    <w:uiPriority w:val="99"/>
    <w:rsid w:val="00B057B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57B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057B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057B1"/>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57B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B057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57B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B057B1"/>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B057B1"/>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030F9"/>
    <w:pPr>
      <w:autoSpaceDE w:val="0"/>
      <w:autoSpaceDN w:val="0"/>
      <w:adjustRightInd w:val="0"/>
      <w:spacing w:after="0" w:line="240" w:lineRule="auto"/>
    </w:pPr>
    <w:rPr>
      <w:rFonts w:ascii="Arial" w:hAnsi="Arial" w:cs="Arial"/>
      <w:color w:val="000000"/>
      <w:sz w:val="24"/>
      <w:szCs w:val="24"/>
      <w:lang w:val="es-MX"/>
    </w:rPr>
  </w:style>
  <w:style w:type="table" w:styleId="Tablaconcuadrcula">
    <w:name w:val="Table Grid"/>
    <w:basedOn w:val="Tablanormal"/>
    <w:uiPriority w:val="39"/>
    <w:rsid w:val="0010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1015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DE53FB"/>
  </w:style>
  <w:style w:type="character" w:styleId="Referenciasutil">
    <w:name w:val="Subtle Reference"/>
    <w:basedOn w:val="Fuentedeprrafopredeter"/>
    <w:uiPriority w:val="31"/>
    <w:qFormat/>
    <w:rsid w:val="000F6C5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181">
      <w:bodyDiv w:val="1"/>
      <w:marLeft w:val="0"/>
      <w:marRight w:val="0"/>
      <w:marTop w:val="0"/>
      <w:marBottom w:val="0"/>
      <w:divBdr>
        <w:top w:val="none" w:sz="0" w:space="0" w:color="auto"/>
        <w:left w:val="none" w:sz="0" w:space="0" w:color="auto"/>
        <w:bottom w:val="none" w:sz="0" w:space="0" w:color="auto"/>
        <w:right w:val="none" w:sz="0" w:space="0" w:color="auto"/>
      </w:divBdr>
    </w:div>
    <w:div w:id="1175263045">
      <w:bodyDiv w:val="1"/>
      <w:marLeft w:val="0"/>
      <w:marRight w:val="0"/>
      <w:marTop w:val="0"/>
      <w:marBottom w:val="0"/>
      <w:divBdr>
        <w:top w:val="none" w:sz="0" w:space="0" w:color="auto"/>
        <w:left w:val="none" w:sz="0" w:space="0" w:color="auto"/>
        <w:bottom w:val="none" w:sz="0" w:space="0" w:color="auto"/>
        <w:right w:val="none" w:sz="0" w:space="0" w:color="auto"/>
      </w:divBdr>
    </w:div>
    <w:div w:id="1442725321">
      <w:bodyDiv w:val="1"/>
      <w:marLeft w:val="0"/>
      <w:marRight w:val="0"/>
      <w:marTop w:val="0"/>
      <w:marBottom w:val="0"/>
      <w:divBdr>
        <w:top w:val="none" w:sz="0" w:space="0" w:color="auto"/>
        <w:left w:val="none" w:sz="0" w:space="0" w:color="auto"/>
        <w:bottom w:val="none" w:sz="0" w:space="0" w:color="auto"/>
        <w:right w:val="none" w:sz="0" w:space="0" w:color="auto"/>
      </w:divBdr>
    </w:div>
    <w:div w:id="1518423315">
      <w:bodyDiv w:val="1"/>
      <w:marLeft w:val="0"/>
      <w:marRight w:val="0"/>
      <w:marTop w:val="0"/>
      <w:marBottom w:val="0"/>
      <w:divBdr>
        <w:top w:val="none" w:sz="0" w:space="0" w:color="auto"/>
        <w:left w:val="none" w:sz="0" w:space="0" w:color="auto"/>
        <w:bottom w:val="none" w:sz="0" w:space="0" w:color="auto"/>
        <w:right w:val="none" w:sz="0" w:space="0" w:color="auto"/>
      </w:divBdr>
    </w:div>
    <w:div w:id="20464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11956.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1411955.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431932.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mex.org.mx/saimex/solicitud/downloadAttach/1425407.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1425406.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28</Pages>
  <Words>6917</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7</cp:revision>
  <cp:lastPrinted>2024-02-12T16:04:00Z</cp:lastPrinted>
  <dcterms:created xsi:type="dcterms:W3CDTF">2024-02-01T18:44:00Z</dcterms:created>
  <dcterms:modified xsi:type="dcterms:W3CDTF">2024-02-21T17:04:00Z</dcterms:modified>
</cp:coreProperties>
</file>