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BE210"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diciembre de dos mil veinticuatro. </w:t>
      </w:r>
    </w:p>
    <w:p w14:paraId="0CEC413A" w14:textId="60C6052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t>VISTO</w:t>
      </w:r>
      <w:r w:rsidRPr="00AC6F8D">
        <w:rPr>
          <w:rFonts w:ascii="Palatino Linotype" w:eastAsia="Palatino Linotype" w:hAnsi="Palatino Linotype" w:cs="Palatino Linotype"/>
        </w:rPr>
        <w:t xml:space="preserve"> el expediente formado con motivo del recurso de revisión </w:t>
      </w:r>
      <w:r w:rsidRPr="00AC6F8D">
        <w:rPr>
          <w:rFonts w:ascii="Palatino Linotype" w:eastAsia="Palatino Linotype" w:hAnsi="Palatino Linotype" w:cs="Palatino Linotype"/>
          <w:b/>
        </w:rPr>
        <w:t>07242/INFOEM/IP/RR/2024</w:t>
      </w:r>
      <w:r w:rsidRPr="00AC6F8D">
        <w:rPr>
          <w:rFonts w:ascii="Palatino Linotype" w:eastAsia="Palatino Linotype" w:hAnsi="Palatino Linotype" w:cs="Palatino Linotype"/>
        </w:rPr>
        <w:t>, interpuesto por</w:t>
      </w:r>
      <w:r w:rsidRPr="00AC6F8D">
        <w:rPr>
          <w:rFonts w:ascii="Palatino Linotype" w:eastAsia="Palatino Linotype" w:hAnsi="Palatino Linotype" w:cs="Palatino Linotype"/>
          <w:b/>
        </w:rPr>
        <w:t xml:space="preserve"> </w:t>
      </w:r>
      <w:r w:rsidR="00962F13" w:rsidRPr="00962F13">
        <w:rPr>
          <w:rFonts w:ascii="Palatino Linotype" w:eastAsia="Palatino Linotype" w:hAnsi="Palatino Linotype" w:cs="Palatino Linotype"/>
          <w:b/>
        </w:rPr>
        <w:t>XXXXXXX XXX XXXXXXXX</w:t>
      </w:r>
      <w:r w:rsidRPr="00AC6F8D">
        <w:rPr>
          <w:rFonts w:ascii="Palatino Linotype" w:eastAsia="Palatino Linotype" w:hAnsi="Palatino Linotype" w:cs="Palatino Linotype"/>
          <w:b/>
        </w:rPr>
        <w:t>,</w:t>
      </w:r>
      <w:r w:rsidRPr="00AC6F8D">
        <w:rPr>
          <w:rFonts w:ascii="Palatino Linotype" w:eastAsia="Palatino Linotype" w:hAnsi="Palatino Linotype" w:cs="Palatino Linotype"/>
        </w:rPr>
        <w:t xml:space="preserve"> en lo sucesivo</w:t>
      </w:r>
      <w:r w:rsidRPr="00AC6F8D">
        <w:rPr>
          <w:rFonts w:ascii="Palatino Linotype" w:eastAsia="Palatino Linotype" w:hAnsi="Palatino Linotype" w:cs="Palatino Linotype"/>
          <w:b/>
        </w:rPr>
        <w:t xml:space="preserve"> </w:t>
      </w:r>
      <w:r w:rsidRPr="00AC6F8D">
        <w:rPr>
          <w:rFonts w:ascii="Palatino Linotype" w:eastAsia="Palatino Linotype" w:hAnsi="Palatino Linotype" w:cs="Palatino Linotype"/>
        </w:rPr>
        <w:t xml:space="preserve">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xml:space="preserve"> en contra de la respuesta a la solicitud de información con número de folio </w:t>
      </w:r>
      <w:r w:rsidRPr="00AC6F8D">
        <w:rPr>
          <w:rFonts w:ascii="Palatino Linotype" w:eastAsia="Palatino Linotype" w:hAnsi="Palatino Linotype" w:cs="Palatino Linotype"/>
          <w:b/>
        </w:rPr>
        <w:t xml:space="preserve">00132/OCOYOAC/IP/2024, </w:t>
      </w:r>
      <w:r w:rsidRPr="00AC6F8D">
        <w:rPr>
          <w:rFonts w:ascii="Palatino Linotype" w:eastAsia="Palatino Linotype" w:hAnsi="Palatino Linotype" w:cs="Palatino Linotype"/>
        </w:rPr>
        <w:t xml:space="preserve">por parte del </w:t>
      </w:r>
      <w:r w:rsidRPr="00AC6F8D">
        <w:rPr>
          <w:rFonts w:ascii="Palatino Linotype" w:eastAsia="Palatino Linotype" w:hAnsi="Palatino Linotype" w:cs="Palatino Linotype"/>
          <w:b/>
        </w:rPr>
        <w:t xml:space="preserve">Ayuntamiento de Ocoyoacac, </w:t>
      </w:r>
      <w:r w:rsidRPr="00AC6F8D">
        <w:rPr>
          <w:rFonts w:ascii="Palatino Linotype" w:eastAsia="Palatino Linotype" w:hAnsi="Palatino Linotype" w:cs="Palatino Linotype"/>
        </w:rPr>
        <w:t xml:space="preserve">en lo sucesivo 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 xml:space="preserve">se procede a dictar la presente resolución con base en los siguientes: </w:t>
      </w:r>
    </w:p>
    <w:p w14:paraId="5E8F1780" w14:textId="77777777" w:rsidR="009169BE" w:rsidRPr="00AC6F8D" w:rsidRDefault="005C58B8">
      <w:pPr>
        <w:spacing w:before="240" w:after="240" w:line="360" w:lineRule="auto"/>
        <w:jc w:val="center"/>
        <w:rPr>
          <w:rFonts w:ascii="Palatino Linotype" w:eastAsia="Palatino Linotype" w:hAnsi="Palatino Linotype" w:cs="Palatino Linotype"/>
          <w:b/>
        </w:rPr>
      </w:pPr>
      <w:r w:rsidRPr="00AC6F8D">
        <w:rPr>
          <w:rFonts w:ascii="Palatino Linotype" w:eastAsia="Palatino Linotype" w:hAnsi="Palatino Linotype" w:cs="Palatino Linotype"/>
          <w:b/>
        </w:rPr>
        <w:t>I. A N T E C E D E N T E S</w:t>
      </w:r>
    </w:p>
    <w:p w14:paraId="328563A4" w14:textId="77777777" w:rsidR="009169BE" w:rsidRPr="00AC6F8D" w:rsidRDefault="005C58B8">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AC6F8D">
        <w:rPr>
          <w:rFonts w:ascii="Palatino Linotype" w:eastAsia="Palatino Linotype" w:hAnsi="Palatino Linotype" w:cs="Palatino Linotype"/>
          <w:b/>
        </w:rPr>
        <w:t>1. Solicitud de acceso a la información.</w:t>
      </w:r>
      <w:r w:rsidRPr="00AC6F8D">
        <w:rPr>
          <w:rFonts w:ascii="Palatino Linotype" w:eastAsia="Palatino Linotype" w:hAnsi="Palatino Linotype" w:cs="Palatino Linotype"/>
        </w:rPr>
        <w:t xml:space="preserve"> El </w:t>
      </w:r>
      <w:r w:rsidRPr="00AC6F8D">
        <w:rPr>
          <w:rFonts w:ascii="Palatino Linotype" w:eastAsia="Palatino Linotype" w:hAnsi="Palatino Linotype" w:cs="Palatino Linotype"/>
          <w:b/>
        </w:rPr>
        <w:t xml:space="preserve">veintidós de octubre de dos mil veinticuatro, </w:t>
      </w:r>
      <w:r w:rsidRPr="00AC6F8D">
        <w:rPr>
          <w:rFonts w:ascii="Palatino Linotype" w:eastAsia="Palatino Linotype" w:hAnsi="Palatino Linotype" w:cs="Palatino Linotype"/>
        </w:rPr>
        <w:t xml:space="preserve">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 xml:space="preserve">presentó, a través del Sistema de Acceso a la Información Mexiquense, en lo subsecuente el </w:t>
      </w:r>
      <w:r w:rsidRPr="00AC6F8D">
        <w:rPr>
          <w:rFonts w:ascii="Palatino Linotype" w:eastAsia="Palatino Linotype" w:hAnsi="Palatino Linotype" w:cs="Palatino Linotype"/>
          <w:b/>
        </w:rPr>
        <w:t xml:space="preserve">SAIMEX, </w:t>
      </w:r>
      <w:r w:rsidRPr="00AC6F8D">
        <w:rPr>
          <w:rFonts w:ascii="Palatino Linotype" w:eastAsia="Palatino Linotype" w:hAnsi="Palatino Linotype" w:cs="Palatino Linotype"/>
        </w:rPr>
        <w:t xml:space="preserve">ante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la solicitud de acceso a la información pública, mediante la cual requirió la información siguiente: </w:t>
      </w:r>
    </w:p>
    <w:p w14:paraId="424C51C3" w14:textId="77777777" w:rsidR="009169BE" w:rsidRPr="00AC6F8D" w:rsidRDefault="005C58B8">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AC6F8D">
        <w:rPr>
          <w:rFonts w:ascii="Palatino Linotype" w:eastAsia="Palatino Linotype" w:hAnsi="Palatino Linotype" w:cs="Palatino Linotype"/>
          <w:i/>
          <w:sz w:val="22"/>
          <w:szCs w:val="22"/>
        </w:rPr>
        <w:t xml:space="preserve"> “Se me informe, respecto a su armamento, cuántas se encuentran operativas y cuántas se encuentran fuera de operación o uso y por qué conceptos. Cuántos chalecos antibalas o balísticos tiene ese municipio, en qué condiciones se encuentran y por qué medio fueron adquiridos, es decir, el origen de los recursos (federal, estatal o municipal) por los que fueron comprados, y el nombre del o los servidores públicos que se encuentran a cargo de las adquisiciones de ese Municipio, es decir, su Director General de Administración y, su Director de Recursos Materiales y Adquisiciones.</w:t>
      </w:r>
      <w:r w:rsidRPr="00AC6F8D">
        <w:rPr>
          <w:rFonts w:ascii="Palatino Linotype" w:eastAsia="Palatino Linotype" w:hAnsi="Palatino Linotype" w:cs="Palatino Linotype"/>
          <w:b/>
          <w:i/>
          <w:sz w:val="22"/>
          <w:szCs w:val="22"/>
        </w:rPr>
        <w:t>”</w:t>
      </w:r>
      <w:r w:rsidRPr="00AC6F8D">
        <w:rPr>
          <w:rFonts w:ascii="Palatino Linotype" w:eastAsia="Palatino Linotype" w:hAnsi="Palatino Linotype" w:cs="Palatino Linotype"/>
          <w:i/>
          <w:sz w:val="22"/>
          <w:szCs w:val="22"/>
        </w:rPr>
        <w:t xml:space="preserve"> (sic) </w:t>
      </w:r>
    </w:p>
    <w:p w14:paraId="04E96EC0" w14:textId="77777777" w:rsidR="009169BE" w:rsidRPr="00AC6F8D" w:rsidRDefault="005C58B8">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AC6F8D">
        <w:rPr>
          <w:rFonts w:ascii="Palatino Linotype" w:eastAsia="Palatino Linotype" w:hAnsi="Palatino Linotype" w:cs="Palatino Linotype"/>
          <w:b/>
        </w:rPr>
        <w:t xml:space="preserve">Modalidad de Entrega: </w:t>
      </w:r>
      <w:r w:rsidRPr="00AC6F8D">
        <w:rPr>
          <w:rFonts w:ascii="Palatino Linotype" w:eastAsia="Palatino Linotype" w:hAnsi="Palatino Linotype" w:cs="Palatino Linotype"/>
        </w:rPr>
        <w:t xml:space="preserve">A través del SAIMEX. </w:t>
      </w:r>
    </w:p>
    <w:p w14:paraId="0A4A651D" w14:textId="77777777" w:rsidR="009169BE" w:rsidRPr="00AC6F8D" w:rsidRDefault="005C58B8">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lastRenderedPageBreak/>
        <w:t xml:space="preserve">2. Respuesta. </w:t>
      </w:r>
      <w:r w:rsidRPr="00AC6F8D">
        <w:rPr>
          <w:rFonts w:ascii="Palatino Linotype" w:eastAsia="Palatino Linotype" w:hAnsi="Palatino Linotype" w:cs="Palatino Linotype"/>
        </w:rPr>
        <w:t xml:space="preserve">El </w:t>
      </w:r>
      <w:r w:rsidRPr="00AC6F8D">
        <w:rPr>
          <w:rFonts w:ascii="Palatino Linotype" w:eastAsia="Palatino Linotype" w:hAnsi="Palatino Linotype" w:cs="Palatino Linotype"/>
          <w:b/>
        </w:rPr>
        <w:t>doce de noviembre de dos mil veinticuatro</w:t>
      </w:r>
      <w:r w:rsidRPr="00AC6F8D">
        <w:rPr>
          <w:rFonts w:ascii="Palatino Linotype" w:eastAsia="Palatino Linotype" w:hAnsi="Palatino Linotype" w:cs="Palatino Linotype"/>
        </w:rPr>
        <w:t xml:space="preserve">, 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315C733" w14:textId="77777777" w:rsidR="009169BE" w:rsidRPr="00AC6F8D" w:rsidRDefault="005C58B8">
      <w:pPr>
        <w:spacing w:before="240" w:after="24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“Se notifica respuesta mediante oficio PMO/UT/499/2024, por parte del Titular de la Unidad de Transparencia del Ayuntamiento de Ocoyoacac, Estado de México.” (sic)</w:t>
      </w:r>
    </w:p>
    <w:p w14:paraId="5587DC2C"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adjuntó lo siguiente: </w:t>
      </w:r>
    </w:p>
    <w:p w14:paraId="58166C5C"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 Oficio número SAO/499/2024, del veintiocho de octubre de dos mil veinticuatro, mediante el cual el Secretario del Ayuntamiento, sugirió dirigir la petición a la Dirección de Seguridad Pública del Ayuntamiento.</w:t>
      </w:r>
    </w:p>
    <w:p w14:paraId="6F47E03B"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 Oficio número MOC/DGSPYT/544/24, del siete de noviembre de dos mil veinticuatro, mediante el cual Director General de Seguridad Pública y Tránsito Municipal manifestó que la información relativa a “</w:t>
      </w:r>
      <w:r w:rsidRPr="00AC6F8D">
        <w:rPr>
          <w:rFonts w:ascii="Palatino Linotype" w:eastAsia="Palatino Linotype" w:hAnsi="Palatino Linotype" w:cs="Palatino Linotype"/>
          <w:i/>
        </w:rPr>
        <w:t xml:space="preserve">Se me informe, respecto a su armamento, cuántas se encuentran operativas y cuantas se encuentran fuera  de operación o uso y </w:t>
      </w:r>
      <w:proofErr w:type="spellStart"/>
      <w:r w:rsidRPr="00AC6F8D">
        <w:rPr>
          <w:rFonts w:ascii="Palatino Linotype" w:eastAsia="Palatino Linotype" w:hAnsi="Palatino Linotype" w:cs="Palatino Linotype"/>
          <w:i/>
        </w:rPr>
        <w:t>por que</w:t>
      </w:r>
      <w:proofErr w:type="spellEnd"/>
      <w:r w:rsidRPr="00AC6F8D">
        <w:rPr>
          <w:rFonts w:ascii="Palatino Linotype" w:eastAsia="Palatino Linotype" w:hAnsi="Palatino Linotype" w:cs="Palatino Linotype"/>
          <w:i/>
        </w:rPr>
        <w:t xml:space="preserve"> conceptos. Cuantos chalecos antibalas o balísticos tiene ese municipio, en </w:t>
      </w:r>
      <w:proofErr w:type="spellStart"/>
      <w:r w:rsidRPr="00AC6F8D">
        <w:rPr>
          <w:rFonts w:ascii="Palatino Linotype" w:eastAsia="Palatino Linotype" w:hAnsi="Palatino Linotype" w:cs="Palatino Linotype"/>
          <w:i/>
        </w:rPr>
        <w:t>que</w:t>
      </w:r>
      <w:proofErr w:type="spellEnd"/>
      <w:r w:rsidRPr="00AC6F8D">
        <w:rPr>
          <w:rFonts w:ascii="Palatino Linotype" w:eastAsia="Palatino Linotype" w:hAnsi="Palatino Linotype" w:cs="Palatino Linotype"/>
          <w:i/>
        </w:rPr>
        <w:t xml:space="preserve"> condiciones se encuentran…</w:t>
      </w:r>
      <w:r w:rsidRPr="00AC6F8D">
        <w:rPr>
          <w:rFonts w:ascii="Palatino Linotype" w:eastAsia="Palatino Linotype" w:hAnsi="Palatino Linotype" w:cs="Palatino Linotype"/>
        </w:rPr>
        <w:t xml:space="preserve">” (sic) reviste el carácter de información reservada, en términos de los artículos 113, fracción I de la Ley General de Transparencia y Acceso a la Información Pública, y 140, fracción I de la Ley de Transparencia y Acceso a la Información Pública del Estado de México y Municipios, así como el numeral Décimo Séptimo de los Lineamientos Generales de Clasificación y Desclasificación de la Información, así como para la Elaboración de Versiones Públicas, por lo que en el acto solicitó se presentara la propuesta de clasificación ante el Comité de Transparencia de conformidad con la prueba de daño presentada, la cual será analizada en líneas posteriores; asimismo, informó que se identificó un proceso de </w:t>
      </w:r>
      <w:r w:rsidRPr="00AC6F8D">
        <w:rPr>
          <w:rFonts w:ascii="Palatino Linotype" w:eastAsia="Palatino Linotype" w:hAnsi="Palatino Linotype" w:cs="Palatino Linotype"/>
        </w:rPr>
        <w:lastRenderedPageBreak/>
        <w:t>adquisición de chalecos balísticos o antibalas realizado en el año 2023, con fondos estatales a cargo del Programa de Acciones para el Desarrollo del Estado de México, (PAD), y finalmente, refirió que el área encargada de los procesos adquisitivos del ayuntamiento es la Dirección de Recursos Materiales, Adquisiciones y Compras, el nombre de la servidora pública titular de la misma, así como el nombre del servidor público titular de la Dirección General de Administración.</w:t>
      </w:r>
    </w:p>
    <w:p w14:paraId="33723D55"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 Acta número CT/OCO/SE/21/2024 correspondiente a la Vigésima Primera Sesión Extraordinaria del Comité de Transparencia, celebrada el once de noviembre de dos mil veinticuatro, en la cual fue sometida a consideración de los integrantes como punto III del orden del día,  la propuesta de clasificación presentada por la Dirección de Seguridad Pública y Tránsito Municipal del Ayuntamiento de Ocoyoacac, con la finalidad de dar atención a la solicitud de información pública 00132/OCOYOACAC/IP/2024.</w:t>
      </w:r>
    </w:p>
    <w:p w14:paraId="40A7B022"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 Oficio número PMO/UT/499/2024, del doce de noviembre de dos mil veinticuatro, mediante el cual el Titular de la Unidad de Transparencia y Protección de Datos Personales, notificó la respuesta proporcionada por el servidor público habilitado de la Dirección de Seguridad Pública y Tránsito Municipal, a su solicitud de información, así como el Acta de la Vigésima Primera Sesión Extraordinaria del Comité de Transparencia.</w:t>
      </w:r>
    </w:p>
    <w:p w14:paraId="7C1CE269"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b/>
        </w:rPr>
        <w:t xml:space="preserve">3. Interposición del recurso de revisión. </w:t>
      </w:r>
      <w:r w:rsidRPr="00AC6F8D">
        <w:rPr>
          <w:rFonts w:ascii="Palatino Linotype" w:eastAsia="Palatino Linotype" w:hAnsi="Palatino Linotype" w:cs="Palatino Linotype"/>
        </w:rPr>
        <w:t xml:space="preserve">Inconforme con los términos de la respuesta emitida por parte del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el</w:t>
      </w:r>
      <w:r w:rsidRPr="00AC6F8D">
        <w:rPr>
          <w:rFonts w:ascii="Palatino Linotype" w:eastAsia="Palatino Linotype" w:hAnsi="Palatino Linotype" w:cs="Palatino Linotype"/>
          <w:b/>
        </w:rPr>
        <w:t xml:space="preserve"> diecinueve de noviembre de dos mil veinticuatro, </w:t>
      </w:r>
      <w:r w:rsidRPr="00AC6F8D">
        <w:rPr>
          <w:rFonts w:ascii="Palatino Linotype" w:eastAsia="Palatino Linotype" w:hAnsi="Palatino Linotype" w:cs="Palatino Linotype"/>
        </w:rPr>
        <w:t xml:space="preserve">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xml:space="preserve"> interpuso el recurso de revisión a través de </w:t>
      </w:r>
      <w:r w:rsidRPr="00AC6F8D">
        <w:rPr>
          <w:rFonts w:ascii="Palatino Linotype" w:eastAsia="Palatino Linotype" w:hAnsi="Palatino Linotype" w:cs="Palatino Linotype"/>
          <w:b/>
        </w:rPr>
        <w:t xml:space="preserve">SAIMEX, </w:t>
      </w:r>
      <w:r w:rsidRPr="00AC6F8D">
        <w:rPr>
          <w:rFonts w:ascii="Palatino Linotype" w:eastAsia="Palatino Linotype" w:hAnsi="Palatino Linotype" w:cs="Palatino Linotype"/>
        </w:rPr>
        <w:t>en donde se manifestó de la siguiente manera:</w:t>
      </w:r>
    </w:p>
    <w:p w14:paraId="7B26E315" w14:textId="77777777" w:rsidR="009169BE" w:rsidRPr="00AC6F8D" w:rsidRDefault="005C58B8">
      <w:pPr>
        <w:tabs>
          <w:tab w:val="left" w:pos="2745"/>
        </w:tabs>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b/>
        </w:rPr>
        <w:lastRenderedPageBreak/>
        <w:t xml:space="preserve">Acto impugnado: </w:t>
      </w:r>
    </w:p>
    <w:p w14:paraId="1DE29019" w14:textId="77777777" w:rsidR="009169BE" w:rsidRPr="00AC6F8D" w:rsidRDefault="005C58B8">
      <w:pPr>
        <w:tabs>
          <w:tab w:val="left" w:pos="2745"/>
        </w:tabs>
        <w:spacing w:before="240" w:after="24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“La contestación </w:t>
      </w:r>
      <w:proofErr w:type="spellStart"/>
      <w:r w:rsidRPr="00AC6F8D">
        <w:rPr>
          <w:rFonts w:ascii="Palatino Linotype" w:eastAsia="Palatino Linotype" w:hAnsi="Palatino Linotype" w:cs="Palatino Linotype"/>
          <w:i/>
          <w:sz w:val="22"/>
          <w:szCs w:val="22"/>
        </w:rPr>
        <w:t>inconmpletal</w:t>
      </w:r>
      <w:proofErr w:type="spellEnd"/>
      <w:r w:rsidRPr="00AC6F8D">
        <w:rPr>
          <w:rFonts w:ascii="Palatino Linotype" w:eastAsia="Palatino Linotype" w:hAnsi="Palatino Linotype" w:cs="Palatino Linotype"/>
          <w:i/>
          <w:sz w:val="22"/>
          <w:szCs w:val="22"/>
        </w:rPr>
        <w:t xml:space="preserve"> otorgada.” (sic)</w:t>
      </w:r>
    </w:p>
    <w:p w14:paraId="17BEBF1D" w14:textId="77777777" w:rsidR="009169BE" w:rsidRPr="00AC6F8D" w:rsidRDefault="005C58B8">
      <w:pPr>
        <w:spacing w:line="360" w:lineRule="auto"/>
        <w:jc w:val="both"/>
        <w:rPr>
          <w:rFonts w:ascii="Palatino Linotype" w:eastAsia="Palatino Linotype" w:hAnsi="Palatino Linotype" w:cs="Palatino Linotype"/>
        </w:rPr>
      </w:pPr>
      <w:bookmarkStart w:id="3" w:name="_heading=h.30j0zll" w:colFirst="0" w:colLast="0"/>
      <w:bookmarkEnd w:id="3"/>
      <w:r w:rsidRPr="00AC6F8D">
        <w:rPr>
          <w:rFonts w:ascii="Palatino Linotype" w:eastAsia="Palatino Linotype" w:hAnsi="Palatino Linotype" w:cs="Palatino Linotype"/>
          <w:b/>
        </w:rPr>
        <w:t>Y, Razones o motivos de inconformidad</w:t>
      </w:r>
      <w:r w:rsidRPr="00AC6F8D">
        <w:rPr>
          <w:rFonts w:ascii="Palatino Linotype" w:eastAsia="Palatino Linotype" w:hAnsi="Palatino Linotype" w:cs="Palatino Linotype"/>
        </w:rPr>
        <w:t>:</w:t>
      </w:r>
    </w:p>
    <w:p w14:paraId="0BB67F93" w14:textId="77777777" w:rsidR="009169BE" w:rsidRPr="00AC6F8D" w:rsidRDefault="005C58B8">
      <w:pPr>
        <w:tabs>
          <w:tab w:val="left" w:pos="2745"/>
        </w:tabs>
        <w:spacing w:before="240" w:after="24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“El sujeto obligado argumentó que la información solicitada se encuentra RESERVADA, sin embargo, no se le ha solicitado información alguna respecto a su estado de fuerza, que sería lo que informa que entregando este solicitante dicha información al crimen organizado o bandas de delincuentes pondría en riesgo la seguridad del municipio. Sin embargo, el Sujeto Obligado omitió señalar que la información que se solicita no toda corresponde a lo que denominó “su estado de fuerza”, </w:t>
      </w:r>
      <w:r w:rsidRPr="00AC6F8D">
        <w:rPr>
          <w:rFonts w:ascii="Palatino Linotype" w:eastAsia="Palatino Linotype" w:hAnsi="Palatino Linotype" w:cs="Palatino Linotype"/>
          <w:i/>
          <w:sz w:val="22"/>
          <w:szCs w:val="22"/>
          <w:u w:val="single"/>
        </w:rPr>
        <w:t>aludiendo a las unidades operativas,</w:t>
      </w:r>
      <w:r w:rsidRPr="00AC6F8D">
        <w:rPr>
          <w:rFonts w:ascii="Palatino Linotype" w:eastAsia="Palatino Linotype" w:hAnsi="Palatino Linotype" w:cs="Palatino Linotype"/>
          <w:b/>
          <w:i/>
          <w:sz w:val="22"/>
          <w:szCs w:val="22"/>
          <w:u w:val="single"/>
        </w:rPr>
        <w:t xml:space="preserve"> por lo que al omitir informar cuántas unidades se encuentran fuera de uso y por qué conceptos</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u w:val="single"/>
        </w:rPr>
        <w:t xml:space="preserve">vulnera mi derecho </w:t>
      </w:r>
      <w:r w:rsidRPr="00AC6F8D">
        <w:rPr>
          <w:rFonts w:ascii="Palatino Linotype" w:eastAsia="Palatino Linotype" w:hAnsi="Palatino Linotype" w:cs="Palatino Linotype"/>
          <w:i/>
          <w:sz w:val="22"/>
          <w:szCs w:val="22"/>
        </w:rPr>
        <w:t>a conocer cuántas unidades se encuentran en talleres particulares o cuántas se encuentran en un inventario pero que no son usadas para el servicio y misión con las que fueron adquiridas, como sucede justamente con la unidad Jeep que compraron como patrulla pero que el Presidente Municipal utiliza de forma personal.” (sic)</w:t>
      </w:r>
    </w:p>
    <w:p w14:paraId="7348DB2E" w14:textId="77777777" w:rsidR="009169BE" w:rsidRPr="00AC6F8D" w:rsidRDefault="005C58B8">
      <w:pP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b/>
        </w:rPr>
        <w:t xml:space="preserve">4. Turno. </w:t>
      </w:r>
      <w:r w:rsidRPr="00AC6F8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C6F8D">
        <w:rPr>
          <w:rFonts w:ascii="Palatino Linotype" w:eastAsia="Palatino Linotype" w:hAnsi="Palatino Linotype" w:cs="Palatino Linotype"/>
          <w:b/>
        </w:rPr>
        <w:t xml:space="preserve">Sharon Cristina Morales Martínez, </w:t>
      </w:r>
      <w:r w:rsidRPr="00AC6F8D">
        <w:rPr>
          <w:rFonts w:ascii="Palatino Linotype" w:eastAsia="Palatino Linotype" w:hAnsi="Palatino Linotype" w:cs="Palatino Linotype"/>
        </w:rPr>
        <w:t xml:space="preserve">a efecto de que analizara sobre su admisión o su </w:t>
      </w:r>
      <w:proofErr w:type="spellStart"/>
      <w:r w:rsidRPr="00AC6F8D">
        <w:rPr>
          <w:rFonts w:ascii="Palatino Linotype" w:eastAsia="Palatino Linotype" w:hAnsi="Palatino Linotype" w:cs="Palatino Linotype"/>
        </w:rPr>
        <w:t>desechamiento</w:t>
      </w:r>
      <w:proofErr w:type="spellEnd"/>
      <w:r w:rsidRPr="00AC6F8D">
        <w:rPr>
          <w:rFonts w:ascii="Palatino Linotype" w:eastAsia="Palatino Linotype" w:hAnsi="Palatino Linotype" w:cs="Palatino Linotype"/>
        </w:rPr>
        <w:t>.</w:t>
      </w:r>
    </w:p>
    <w:p w14:paraId="4D0D5711"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t>5. Admisión del Recurso de revisión.</w:t>
      </w:r>
      <w:r w:rsidRPr="00AC6F8D">
        <w:rPr>
          <w:rFonts w:ascii="Palatino Linotype" w:eastAsia="Palatino Linotype" w:hAnsi="Palatino Linotype" w:cs="Palatino Linotype"/>
        </w:rPr>
        <w:t xml:space="preserve"> El</w:t>
      </w:r>
      <w:r w:rsidRPr="00AC6F8D">
        <w:rPr>
          <w:rFonts w:ascii="Palatino Linotype" w:eastAsia="Palatino Linotype" w:hAnsi="Palatino Linotype" w:cs="Palatino Linotype"/>
          <w:b/>
        </w:rPr>
        <w:t xml:space="preserve"> veintiuno de noviembre de dos mil veinticuatro, </w:t>
      </w:r>
      <w:r w:rsidRPr="00AC6F8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AC6F8D">
        <w:rPr>
          <w:rFonts w:ascii="Palatino Linotype" w:eastAsia="Palatino Linotype" w:hAnsi="Palatino Linotype" w:cs="Palatino Linotype"/>
        </w:rPr>
        <w:lastRenderedPageBreak/>
        <w:t xml:space="preserve">conveniente, ofrecieran pruebas, formularan alegatos y 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presentara su informe justificado.</w:t>
      </w:r>
    </w:p>
    <w:p w14:paraId="13D1FB9F" w14:textId="77777777" w:rsidR="009169BE" w:rsidRPr="00AC6F8D" w:rsidRDefault="005C58B8">
      <w:pPr>
        <w:widowControl w:val="0"/>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AC6F8D">
        <w:rPr>
          <w:rFonts w:ascii="Palatino Linotype" w:eastAsia="Palatino Linotype" w:hAnsi="Palatino Linotype" w:cs="Palatino Linotype"/>
          <w:b/>
        </w:rPr>
        <w:t>6. Manifestaciones</w:t>
      </w:r>
      <w:r w:rsidRPr="00AC6F8D">
        <w:rPr>
          <w:rFonts w:ascii="Palatino Linotype" w:eastAsia="Palatino Linotype" w:hAnsi="Palatino Linotype" w:cs="Palatino Linotype"/>
        </w:rPr>
        <w:t xml:space="preserve">. </w:t>
      </w:r>
      <w:r w:rsidRPr="00AC6F8D">
        <w:rPr>
          <w:rFonts w:ascii="Palatino Linotype" w:eastAsia="Palatino Linotype" w:hAnsi="Palatino Linotype" w:cs="Palatino Linotype"/>
          <w:sz w:val="22"/>
          <w:szCs w:val="22"/>
        </w:rPr>
        <w:t xml:space="preserve">De constancias del expediente electrónico del SAIMEX, se observa que el </w:t>
      </w:r>
      <w:r w:rsidRPr="00AC6F8D">
        <w:rPr>
          <w:rFonts w:ascii="Palatino Linotype" w:eastAsia="Palatino Linotype" w:hAnsi="Palatino Linotype" w:cs="Palatino Linotype"/>
          <w:b/>
          <w:sz w:val="22"/>
          <w:szCs w:val="22"/>
        </w:rPr>
        <w:t>Sujeto Obligado</w:t>
      </w:r>
      <w:r w:rsidRPr="00AC6F8D">
        <w:rPr>
          <w:rFonts w:ascii="Palatino Linotype" w:eastAsia="Palatino Linotype" w:hAnsi="Palatino Linotype" w:cs="Palatino Linotype"/>
          <w:sz w:val="22"/>
          <w:szCs w:val="22"/>
        </w:rPr>
        <w:t xml:space="preserve"> fue omiso en rendir su informe justificado; así como, la parte </w:t>
      </w:r>
      <w:r w:rsidRPr="00AC6F8D">
        <w:rPr>
          <w:rFonts w:ascii="Palatino Linotype" w:eastAsia="Palatino Linotype" w:hAnsi="Palatino Linotype" w:cs="Palatino Linotype"/>
          <w:b/>
          <w:sz w:val="22"/>
          <w:szCs w:val="22"/>
        </w:rPr>
        <w:t xml:space="preserve">Recurrente </w:t>
      </w:r>
      <w:r w:rsidRPr="00AC6F8D">
        <w:rPr>
          <w:rFonts w:ascii="Palatino Linotype" w:eastAsia="Palatino Linotype" w:hAnsi="Palatino Linotype" w:cs="Palatino Linotype"/>
          <w:sz w:val="22"/>
          <w:szCs w:val="22"/>
        </w:rPr>
        <w:t>fue omisa en hacer valer manifestaciones o rendir alegatos que conforme a derecho resultaran procedentes, como se muestra:</w:t>
      </w:r>
    </w:p>
    <w:p w14:paraId="79AED16F"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noProof/>
        </w:rPr>
        <w:drawing>
          <wp:inline distT="0" distB="0" distL="0" distR="0" wp14:anchorId="1A4EC0DC" wp14:editId="5A497EF4">
            <wp:extent cx="5612130" cy="1565275"/>
            <wp:effectExtent l="0" t="0" r="0" b="0"/>
            <wp:docPr id="19841231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612130" cy="1565275"/>
                    </a:xfrm>
                    <a:prstGeom prst="rect">
                      <a:avLst/>
                    </a:prstGeom>
                    <a:ln/>
                  </pic:spPr>
                </pic:pic>
              </a:graphicData>
            </a:graphic>
          </wp:inline>
        </w:drawing>
      </w:r>
    </w:p>
    <w:p w14:paraId="42A584E3" w14:textId="77777777" w:rsidR="009169BE" w:rsidRPr="00AC6F8D" w:rsidRDefault="005C58B8">
      <w:pPr>
        <w:widowControl w:val="0"/>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t xml:space="preserve">7. Cierre de instrucción. </w:t>
      </w:r>
      <w:r w:rsidRPr="00AC6F8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AC6F8D">
        <w:rPr>
          <w:rFonts w:ascii="Palatino Linotype" w:eastAsia="Palatino Linotype" w:hAnsi="Palatino Linotype" w:cs="Palatino Linotype"/>
          <w:b/>
        </w:rPr>
        <w:t>tres de diciembre de dos mil veinticuatro</w:t>
      </w:r>
      <w:r w:rsidRPr="00AC6F8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2E7D227" w14:textId="77777777" w:rsidR="009169BE" w:rsidRPr="00AC6F8D" w:rsidRDefault="005C58B8">
      <w:pPr>
        <w:spacing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t xml:space="preserve">8. </w:t>
      </w:r>
      <w:proofErr w:type="spellStart"/>
      <w:r w:rsidRPr="00AC6F8D">
        <w:rPr>
          <w:rFonts w:ascii="Palatino Linotype" w:eastAsia="Palatino Linotype" w:hAnsi="Palatino Linotype" w:cs="Palatino Linotype"/>
          <w:b/>
        </w:rPr>
        <w:t>Returno</w:t>
      </w:r>
      <w:proofErr w:type="spellEnd"/>
      <w:r w:rsidRPr="00AC6F8D">
        <w:rPr>
          <w:rFonts w:ascii="Palatino Linotype" w:eastAsia="Palatino Linotype" w:hAnsi="Palatino Linotype" w:cs="Palatino Linotype"/>
          <w:b/>
        </w:rPr>
        <w:t xml:space="preserve">. </w:t>
      </w:r>
      <w:r w:rsidRPr="00AC6F8D">
        <w:rPr>
          <w:rFonts w:ascii="Palatino Linotype" w:eastAsia="Palatino Linotype" w:hAnsi="Palatino Linotype" w:cs="Palatino Linotype"/>
        </w:rPr>
        <w:t xml:space="preserve">En la </w:t>
      </w:r>
      <w:r w:rsidRPr="00AC6F8D">
        <w:rPr>
          <w:rFonts w:ascii="Palatino Linotype" w:eastAsia="Palatino Linotype" w:hAnsi="Palatino Linotype" w:cs="Palatino Linotype"/>
          <w:b/>
        </w:rPr>
        <w:t xml:space="preserve">Cuadragésima Tercera Sesión Ordinaria </w:t>
      </w:r>
      <w:r w:rsidRPr="00AC6F8D">
        <w:rPr>
          <w:rFonts w:ascii="Palatino Linotype" w:eastAsia="Palatino Linotype" w:hAnsi="Palatino Linotype" w:cs="Palatino Linotype"/>
        </w:rPr>
        <w:t xml:space="preserve">celebrada el </w:t>
      </w:r>
      <w:r w:rsidRPr="00AC6F8D">
        <w:rPr>
          <w:rFonts w:ascii="Palatino Linotype" w:eastAsia="Palatino Linotype" w:hAnsi="Palatino Linotype" w:cs="Palatino Linotype"/>
          <w:b/>
        </w:rPr>
        <w:t xml:space="preserve">once de diciembre de dos mil veinticuatro, </w:t>
      </w:r>
      <w:r w:rsidRPr="00AC6F8D">
        <w:rPr>
          <w:rFonts w:ascii="Palatino Linotype" w:eastAsia="Palatino Linotype" w:hAnsi="Palatino Linotype" w:cs="Palatino Linotype"/>
        </w:rPr>
        <w:t xml:space="preserve">el Pleno de este Organismo Garante, aprobó </w:t>
      </w:r>
      <w:proofErr w:type="spellStart"/>
      <w:r w:rsidRPr="00AC6F8D">
        <w:rPr>
          <w:rFonts w:ascii="Palatino Linotype" w:eastAsia="Palatino Linotype" w:hAnsi="Palatino Linotype" w:cs="Palatino Linotype"/>
        </w:rPr>
        <w:t>returnar</w:t>
      </w:r>
      <w:proofErr w:type="spellEnd"/>
      <w:r w:rsidRPr="00AC6F8D">
        <w:rPr>
          <w:rFonts w:ascii="Palatino Linotype" w:eastAsia="Palatino Linotype" w:hAnsi="Palatino Linotype" w:cs="Palatino Linotype"/>
        </w:rPr>
        <w:t xml:space="preserve"> el recurso de revisión a la Comisionada </w:t>
      </w:r>
      <w:r w:rsidRPr="00AC6F8D">
        <w:rPr>
          <w:rFonts w:ascii="Palatino Linotype" w:eastAsia="Palatino Linotype" w:hAnsi="Palatino Linotype" w:cs="Palatino Linotype"/>
          <w:b/>
        </w:rPr>
        <w:t>Guadalupe Ramírez</w:t>
      </w:r>
      <w:r w:rsidRPr="00AC6F8D">
        <w:rPr>
          <w:rFonts w:ascii="Palatino Linotype" w:eastAsia="Palatino Linotype" w:hAnsi="Palatino Linotype" w:cs="Palatino Linotype"/>
        </w:rPr>
        <w:t>, a efecto de que formulara y presentara el proyecto de resolución correspondiente.</w:t>
      </w:r>
    </w:p>
    <w:p w14:paraId="72760C44"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35C16E56" w14:textId="77777777" w:rsidR="009169BE" w:rsidRPr="00AC6F8D" w:rsidRDefault="005C58B8">
      <w:pPr>
        <w:widowControl w:val="0"/>
        <w:spacing w:before="240" w:after="240" w:line="360" w:lineRule="auto"/>
        <w:jc w:val="center"/>
        <w:rPr>
          <w:rFonts w:ascii="Palatino Linotype" w:eastAsia="Palatino Linotype" w:hAnsi="Palatino Linotype" w:cs="Palatino Linotype"/>
          <w:b/>
        </w:rPr>
      </w:pPr>
      <w:r w:rsidRPr="00AC6F8D">
        <w:rPr>
          <w:rFonts w:ascii="Palatino Linotype" w:eastAsia="Palatino Linotype" w:hAnsi="Palatino Linotype" w:cs="Palatino Linotype"/>
          <w:b/>
        </w:rPr>
        <w:t>II. C O N S I D E R A N D O S</w:t>
      </w:r>
    </w:p>
    <w:p w14:paraId="58B2A6CB"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t>Primero. Competencia.</w:t>
      </w:r>
      <w:r w:rsidRPr="00AC6F8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8B59382" w14:textId="77777777" w:rsidR="009169BE" w:rsidRPr="00AC6F8D" w:rsidRDefault="005C58B8">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AC6F8D">
        <w:rPr>
          <w:rFonts w:ascii="Palatino Linotype" w:eastAsia="Palatino Linotype" w:hAnsi="Palatino Linotype" w:cs="Palatino Linotype"/>
          <w:b/>
        </w:rPr>
        <w:t>Segundo. Oportunidad y Procedibilidad del Recurso de Revisión</w:t>
      </w:r>
      <w:r w:rsidRPr="00AC6F8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8E8D34B" w14:textId="77777777" w:rsidR="009169BE" w:rsidRPr="00AC6F8D" w:rsidRDefault="005C58B8">
      <w:pP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 xml:space="preserve">remitió </w:t>
      </w:r>
      <w:r w:rsidRPr="00AC6F8D">
        <w:rPr>
          <w:rFonts w:ascii="Palatino Linotype" w:eastAsia="Palatino Linotype" w:hAnsi="Palatino Linotype" w:cs="Palatino Linotype"/>
        </w:rPr>
        <w:lastRenderedPageBreak/>
        <w:t xml:space="preserve">la respuesta a la solicitud de información el día </w:t>
      </w:r>
      <w:r w:rsidRPr="00AC6F8D">
        <w:rPr>
          <w:rFonts w:ascii="Palatino Linotype" w:eastAsia="Palatino Linotype" w:hAnsi="Palatino Linotype" w:cs="Palatino Linotype"/>
          <w:b/>
        </w:rPr>
        <w:t>doce de noviembre de dos mil veinticuatro</w:t>
      </w:r>
      <w:r w:rsidRPr="00AC6F8D">
        <w:rPr>
          <w:rFonts w:ascii="Palatino Linotype" w:eastAsia="Palatino Linotype" w:hAnsi="Palatino Linotype" w:cs="Palatino Linotype"/>
        </w:rPr>
        <w:t>,</w:t>
      </w:r>
      <w:r w:rsidRPr="00AC6F8D">
        <w:rPr>
          <w:rFonts w:ascii="Palatino Linotype" w:eastAsia="Palatino Linotype" w:hAnsi="Palatino Linotype" w:cs="Palatino Linotype"/>
          <w:b/>
        </w:rPr>
        <w:t xml:space="preserve"> </w:t>
      </w:r>
      <w:r w:rsidRPr="00AC6F8D">
        <w:rPr>
          <w:rFonts w:ascii="Palatino Linotype" w:eastAsia="Palatino Linotype" w:hAnsi="Palatino Linotype" w:cs="Palatino Linotype"/>
        </w:rPr>
        <w:t xml:space="preserve">mientras que el recurso de revisión interpuesto por 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xml:space="preserve">, se tuvo por presentado el día </w:t>
      </w:r>
      <w:r w:rsidRPr="00AC6F8D">
        <w:rPr>
          <w:rFonts w:ascii="Palatino Linotype" w:eastAsia="Palatino Linotype" w:hAnsi="Palatino Linotype" w:cs="Palatino Linotype"/>
          <w:b/>
        </w:rPr>
        <w:t>diecinueve de noviembre de dos mil veinticuatro</w:t>
      </w:r>
      <w:r w:rsidRPr="00AC6F8D">
        <w:rPr>
          <w:rFonts w:ascii="Palatino Linotype" w:eastAsia="Palatino Linotype" w:hAnsi="Palatino Linotype" w:cs="Palatino Linotype"/>
        </w:rPr>
        <w:t>, esto es al cuarto día hábil posterior a aquel en que tuvo conocimiento de la respuesta impugnada. En este sentido, se concluye que el presente recurso de revisión se encuentra dentro de los márgenes temporales previstos en las disposiciones legales referidas.</w:t>
      </w:r>
    </w:p>
    <w:p w14:paraId="26FEC1C2" w14:textId="77777777" w:rsidR="009169BE" w:rsidRPr="00AC6F8D" w:rsidRDefault="005C58B8">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AC6F8D">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65BFD54"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Finalmente, se advierte que resulta procedente la interposición del recurso, según lo manifestado por 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xml:space="preserve"> en sus motivos de inconformidad, de acuerdo al artículo 179, fracciones II y V del ordenamiento legal citado, que a la letra dice: </w:t>
      </w:r>
    </w:p>
    <w:p w14:paraId="62124ECA"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Artículo 179.</w:t>
      </w:r>
      <w:r w:rsidRPr="00AC6F8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3657BF6" w14:textId="77777777" w:rsidR="009169BE" w:rsidRPr="00AC6F8D" w:rsidRDefault="005C58B8">
      <w:pPr>
        <w:spacing w:before="120" w:after="120"/>
        <w:ind w:left="1134"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175191BE" w14:textId="77777777" w:rsidR="009169BE" w:rsidRPr="00AC6F8D" w:rsidRDefault="005C58B8">
      <w:pPr>
        <w:spacing w:before="120" w:after="120"/>
        <w:ind w:left="1134"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 xml:space="preserve">II. </w:t>
      </w:r>
      <w:r w:rsidRPr="00AC6F8D">
        <w:rPr>
          <w:rFonts w:ascii="Palatino Linotype" w:eastAsia="Palatino Linotype" w:hAnsi="Palatino Linotype" w:cs="Palatino Linotype"/>
          <w:i/>
          <w:sz w:val="22"/>
          <w:szCs w:val="22"/>
        </w:rPr>
        <w:t>La clasificación de la información;</w:t>
      </w:r>
    </w:p>
    <w:p w14:paraId="2F50E5CA" w14:textId="77777777" w:rsidR="009169BE" w:rsidRPr="00AC6F8D" w:rsidRDefault="005C58B8">
      <w:pPr>
        <w:spacing w:before="120" w:after="120"/>
        <w:ind w:left="1134"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w:t>
      </w:r>
      <w:r w:rsidRPr="00AC6F8D">
        <w:rPr>
          <w:rFonts w:ascii="Palatino Linotype" w:eastAsia="Palatino Linotype" w:hAnsi="Palatino Linotype" w:cs="Palatino Linotype"/>
          <w:i/>
          <w:sz w:val="22"/>
          <w:szCs w:val="22"/>
        </w:rPr>
        <w:t>..</w:t>
      </w:r>
    </w:p>
    <w:p w14:paraId="4D8C3FF6" w14:textId="77777777" w:rsidR="009169BE" w:rsidRPr="00AC6F8D" w:rsidRDefault="005C58B8">
      <w:pPr>
        <w:spacing w:before="120" w:after="120"/>
        <w:ind w:left="1134"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V</w:t>
      </w:r>
      <w:r w:rsidRPr="00AC6F8D">
        <w:rPr>
          <w:rFonts w:ascii="Palatino Linotype" w:eastAsia="Palatino Linotype" w:hAnsi="Palatino Linotype" w:cs="Palatino Linotype"/>
          <w:i/>
          <w:sz w:val="22"/>
          <w:szCs w:val="22"/>
        </w:rPr>
        <w:t>. La entrega de información incompleta;”</w:t>
      </w:r>
    </w:p>
    <w:p w14:paraId="187EA872"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lastRenderedPageBreak/>
        <w:t xml:space="preserve">Tercero. Materia de la revisión. </w:t>
      </w:r>
      <w:r w:rsidRPr="00AC6F8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C6F8D">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C6F8D">
        <w:rPr>
          <w:rFonts w:ascii="Palatino Linotype" w:eastAsia="Palatino Linotype" w:hAnsi="Palatino Linotype" w:cs="Palatino Linotype"/>
        </w:rPr>
        <w:t xml:space="preserve">de 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o en su defecto, en caso de ser procedente, ordenar la entrega de información.</w:t>
      </w:r>
    </w:p>
    <w:p w14:paraId="4E10DC5A"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t xml:space="preserve">Cuarto. Estudio del asunto. </w:t>
      </w:r>
      <w:r w:rsidRPr="00AC6F8D">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7E258B6"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Artículo 4</w:t>
      </w:r>
      <w:r w:rsidRPr="00AC6F8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722D29"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C6F8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43B5F3A"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AC6F8D">
        <w:rPr>
          <w:rFonts w:ascii="Palatino Linotype" w:eastAsia="Palatino Linotype" w:hAnsi="Palatino Linotype" w:cs="Palatino Linotype"/>
          <w:i/>
          <w:sz w:val="22"/>
          <w:szCs w:val="22"/>
        </w:rPr>
        <w:t>.”</w:t>
      </w:r>
    </w:p>
    <w:p w14:paraId="04C10C0A"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CF7988C"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“Artículo 12.-</w:t>
      </w:r>
      <w:r w:rsidRPr="00AC6F8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1A4268D"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5167B415" w14:textId="77777777" w:rsidR="009169BE" w:rsidRPr="00AC6F8D" w:rsidRDefault="005C58B8">
      <w:pPr>
        <w:spacing w:before="240" w:after="240" w:line="360" w:lineRule="auto"/>
        <w:ind w:right="-93"/>
        <w:jc w:val="both"/>
        <w:rPr>
          <w:rFonts w:ascii="Palatino Linotype" w:eastAsia="Palatino Linotype" w:hAnsi="Palatino Linotype" w:cs="Palatino Linotype"/>
        </w:rPr>
      </w:pPr>
      <w:r w:rsidRPr="00AC6F8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27460B3" w14:textId="77777777" w:rsidR="009169BE" w:rsidRPr="00AC6F8D" w:rsidRDefault="005C58B8">
      <w:pP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rPr>
        <w:lastRenderedPageBreak/>
        <w:t>Sirve de apoyo a lo anterior, el criterio 03/17, emitido por el Instituto Nacional de Transparencia, Acceso a la Información y Protección de Datos Personales, que por rubro y texto, dispone lo siguiente:</w:t>
      </w:r>
      <w:r w:rsidRPr="00AC6F8D">
        <w:rPr>
          <w:rFonts w:ascii="Palatino Linotype" w:eastAsia="Palatino Linotype" w:hAnsi="Palatino Linotype" w:cs="Palatino Linotype"/>
          <w:b/>
        </w:rPr>
        <w:t xml:space="preserve"> </w:t>
      </w:r>
    </w:p>
    <w:p w14:paraId="15AE690E"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No existe obligación de elaborar documentos ad hoc para atender las solicitudes de acceso a la información.</w:t>
      </w:r>
      <w:r w:rsidRPr="00AC6F8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5F00F023" w14:textId="77777777" w:rsidR="009169BE" w:rsidRPr="00AC6F8D" w:rsidRDefault="005C58B8">
      <w:pPr>
        <w:spacing w:before="120" w:after="12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095571" w14:textId="77777777" w:rsidR="009169BE" w:rsidRPr="00AC6F8D" w:rsidRDefault="005C58B8">
      <w:pPr>
        <w:spacing w:before="120" w:after="12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AC6F8D">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7B1FAB03"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 xml:space="preserve">Artículo 3. </w:t>
      </w:r>
      <w:r w:rsidRPr="00AC6F8D">
        <w:rPr>
          <w:rFonts w:ascii="Palatino Linotype" w:eastAsia="Palatino Linotype" w:hAnsi="Palatino Linotype" w:cs="Palatino Linotype"/>
          <w:i/>
          <w:sz w:val="22"/>
          <w:szCs w:val="22"/>
        </w:rPr>
        <w:t>Para los efectos de la presente Ley se entenderá por:</w:t>
      </w:r>
    </w:p>
    <w:p w14:paraId="08F07F90"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0D5A7954"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XI. Documento:</w:t>
      </w:r>
      <w:r w:rsidRPr="00AC6F8D">
        <w:rPr>
          <w:rFonts w:ascii="Palatino Linotype" w:eastAsia="Palatino Linotype" w:hAnsi="Palatino Linotype" w:cs="Palatino Linotype"/>
          <w:i/>
          <w:sz w:val="22"/>
          <w:szCs w:val="22"/>
        </w:rPr>
        <w:t xml:space="preserve"> Los expedientes, reportes, estudios, actas</w:t>
      </w:r>
      <w:r w:rsidRPr="00AC6F8D">
        <w:rPr>
          <w:rFonts w:ascii="Palatino Linotype" w:eastAsia="Palatino Linotype" w:hAnsi="Palatino Linotype" w:cs="Palatino Linotype"/>
          <w:b/>
          <w:i/>
          <w:sz w:val="22"/>
          <w:szCs w:val="22"/>
        </w:rPr>
        <w:t>,</w:t>
      </w:r>
      <w:r w:rsidRPr="00AC6F8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2ED3FF7"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2BBC644"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sz w:val="22"/>
          <w:szCs w:val="22"/>
        </w:rPr>
        <w:t>“</w:t>
      </w:r>
      <w:r w:rsidRPr="00AC6F8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C6F8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B1E8E2"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C3FF933"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D47DDDC"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291733F0"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7A30510E" w14:textId="77777777" w:rsidR="009169BE" w:rsidRPr="00AC6F8D" w:rsidRDefault="005C58B8">
      <w:pP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A2823E"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76B5D9D" w14:textId="77777777" w:rsidR="009169BE" w:rsidRPr="00AC6F8D" w:rsidRDefault="005C58B8">
      <w:pP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xml:space="preserve"> requirió al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le proporcione consistente en lo siguiente:</w:t>
      </w:r>
    </w:p>
    <w:p w14:paraId="2CF328C0" w14:textId="77777777" w:rsidR="009169BE" w:rsidRPr="00AC6F8D" w:rsidRDefault="005C58B8">
      <w:pPr>
        <w:spacing w:before="120" w:after="120" w:line="360" w:lineRule="auto"/>
        <w:ind w:left="284" w:right="4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1. Respecto al armamento del municipio, cuántas se encuentran operativas y cuántas se encuentran fuera de operación o uso, y por qué conceptos. </w:t>
      </w:r>
    </w:p>
    <w:p w14:paraId="076F29FE" w14:textId="77777777" w:rsidR="009169BE" w:rsidRPr="00AC6F8D" w:rsidRDefault="005C58B8">
      <w:pPr>
        <w:spacing w:before="120" w:after="120" w:line="360" w:lineRule="auto"/>
        <w:ind w:left="284" w:right="49"/>
        <w:jc w:val="both"/>
        <w:rPr>
          <w:rFonts w:ascii="Palatino Linotype" w:eastAsia="Palatino Linotype" w:hAnsi="Palatino Linotype" w:cs="Palatino Linotype"/>
        </w:rPr>
      </w:pPr>
      <w:r w:rsidRPr="00AC6F8D">
        <w:rPr>
          <w:rFonts w:ascii="Palatino Linotype" w:eastAsia="Palatino Linotype" w:hAnsi="Palatino Linotype" w:cs="Palatino Linotype"/>
        </w:rPr>
        <w:t>2. Cuántos chalecos antibalas o balísticos tiene el municipio, en qué condiciones se encuentran y por qué medio fueron adquiridos, es decir, el origen de los recursos (federal, estatal o municipal) por los que fueron comprados.</w:t>
      </w:r>
    </w:p>
    <w:p w14:paraId="4EAA9963" w14:textId="77777777" w:rsidR="009169BE" w:rsidRPr="00AC6F8D" w:rsidRDefault="005C58B8">
      <w:pPr>
        <w:spacing w:before="120" w:after="120" w:line="360" w:lineRule="auto"/>
        <w:ind w:left="284" w:right="49"/>
        <w:jc w:val="both"/>
        <w:rPr>
          <w:rFonts w:ascii="Palatino Linotype" w:eastAsia="Palatino Linotype" w:hAnsi="Palatino Linotype" w:cs="Palatino Linotype"/>
          <w:b/>
        </w:rPr>
      </w:pPr>
      <w:r w:rsidRPr="00AC6F8D">
        <w:rPr>
          <w:rFonts w:ascii="Palatino Linotype" w:eastAsia="Palatino Linotype" w:hAnsi="Palatino Linotype" w:cs="Palatino Linotype"/>
        </w:rPr>
        <w:t>3. El nombre del o los servidores públicos que se encuentran a cargo de las adquisiciones del municipio, es decir, su Director General de Administración y, su Director de Recursos Materiales y</w:t>
      </w:r>
      <w:r w:rsidRPr="00AC6F8D">
        <w:rPr>
          <w:rFonts w:ascii="Palatino Linotype" w:eastAsia="Palatino Linotype" w:hAnsi="Palatino Linotype" w:cs="Palatino Linotype"/>
          <w:i/>
        </w:rPr>
        <w:t xml:space="preserve"> </w:t>
      </w:r>
      <w:r w:rsidRPr="00AC6F8D">
        <w:rPr>
          <w:rFonts w:ascii="Palatino Linotype" w:eastAsia="Palatino Linotype" w:hAnsi="Palatino Linotype" w:cs="Palatino Linotype"/>
        </w:rPr>
        <w:t>Adquisiciones.</w:t>
      </w:r>
    </w:p>
    <w:p w14:paraId="01CB59F0"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En respuesta,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por conducto de la Unidad de Transparencia hizo del conocimiento de la persona solicitante el pronunciamiento emitido por el Secretario del Ayuntamiento, quien sugirió dirigir la petición a la Dirección de Seguridad Pública y Tránsito; así como del Director General de Seguridad Pública y Tránsito Municipal, quien manifestó que la información relativa al número del armamento en operación </w:t>
      </w:r>
      <w:r w:rsidRPr="00AC6F8D">
        <w:rPr>
          <w:rFonts w:ascii="Palatino Linotype" w:eastAsia="Palatino Linotype" w:hAnsi="Palatino Linotype" w:cs="Palatino Linotype"/>
          <w:b/>
          <w:u w:val="single"/>
        </w:rPr>
        <w:t>y en desuso</w:t>
      </w:r>
      <w:r w:rsidRPr="00AC6F8D">
        <w:rPr>
          <w:rFonts w:ascii="Palatino Linotype" w:eastAsia="Palatino Linotype" w:hAnsi="Palatino Linotype" w:cs="Palatino Linotype"/>
        </w:rPr>
        <w:t xml:space="preserve">, así como el número de chalecos antibalas o balísticos con los que cuenta el municipio y el estado de estos, era información que reviste el carácter de reservada, cuya clasificación fue aprobada por el Comité de Transparencia mediante el acta de la Vigésima Primera Sesión Extraordinaria del Comité de Transparencia, informó que se identificó un proceso de adquisición de chalecos balísticos o antibalas realizado en el año 2023, con fondos estatales a cargo del Programa de Acciones para el Desarrollo del Estado de México, (PAD), y </w:t>
      </w:r>
      <w:r w:rsidRPr="00AC6F8D">
        <w:rPr>
          <w:rFonts w:ascii="Palatino Linotype" w:eastAsia="Palatino Linotype" w:hAnsi="Palatino Linotype" w:cs="Palatino Linotype"/>
        </w:rPr>
        <w:lastRenderedPageBreak/>
        <w:t>finalmente, refirió que el área encargada de los procesos adquisitivos del ayuntamiento es la Dirección de Recursos Materiales, Adquisiciones y Compras, el nombre de la servidora pública titular de la misma, así como el nombre del servidor público titular de la Dirección General de Administración.</w:t>
      </w:r>
    </w:p>
    <w:p w14:paraId="71460009" w14:textId="77777777" w:rsidR="009169BE" w:rsidRPr="00AC6F8D" w:rsidRDefault="005C58B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No obstante, 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 xml:space="preserve">interpuso el recurso de revisión que se resuelve, donde manifestó como motivo de inconformidad la reserva de la información argumentando que no se había solicitado información alguna respecto al estado de fuerza, ya que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omitió señalar que de la información que se solicitó no toda corresponde a lo que denominó su estado de fuerza, aludiendo a las unidades operativas, al no informar cuántas unidades se encuentran fuera de uso y por qué conceptos dicho armamento esta fuera de uso.</w:t>
      </w:r>
    </w:p>
    <w:p w14:paraId="257C4DCA" w14:textId="77777777" w:rsidR="009169BE" w:rsidRPr="00AC6F8D" w:rsidRDefault="005C58B8">
      <w:pP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rPr>
        <w:t xml:space="preserve">Es de señalar que de la lectura del motivo de inconformidad de 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 xml:space="preserve">no se advierte que este no versa sobre la totalidad de la información proporcionada por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ya que no manifestó agravios respecto del origen de los recursos utilizados para la adquisición de los chalecos antibalas o balísticos, así como el nombre de los servidores públicos a cargo de las adquisiciones del municipio, es decir, de los titulares de la Dirección  General de Administración y de la  Dirección de Recursos Materiales, Adquisiciones y Compras, por tanto, esta parte de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2CC0F3CF" w14:textId="77777777" w:rsidR="009169BE" w:rsidRPr="00AC6F8D" w:rsidRDefault="005C58B8">
      <w:pPr>
        <w:spacing w:before="240" w:after="36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 xml:space="preserve">Lo anterior es así, debido a que cuando 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xml:space="preserve"> impugna la respuesta del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ésta conforme con la información entregada al no contravenir la misma. </w:t>
      </w:r>
    </w:p>
    <w:p w14:paraId="0156133C"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5E2C9FC4" w14:textId="77777777" w:rsidR="009169BE" w:rsidRPr="00AC6F8D" w:rsidRDefault="005C58B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 xml:space="preserve">Actos consentidos tácitamente. Improcedencia de su análisis. </w:t>
      </w:r>
      <w:r w:rsidRPr="00AC6F8D">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0F9FA2B"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40FF325E" w14:textId="77777777" w:rsidR="009169BE" w:rsidRPr="00AC6F8D" w:rsidRDefault="005C58B8">
      <w:pPr>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mallCaps/>
          <w:sz w:val="22"/>
          <w:szCs w:val="22"/>
        </w:rPr>
        <w:t xml:space="preserve">“ACTOS CONSENTIDOS. SON LOS QUE NO SE IMPUGNAN MEDIANTE EL RECURSO IDÓNEO. </w:t>
      </w:r>
      <w:r w:rsidRPr="00AC6F8D">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93C059C" w14:textId="77777777" w:rsidR="009169BE" w:rsidRPr="00AC6F8D" w:rsidRDefault="009169BE">
      <w:pPr>
        <w:spacing w:before="240" w:after="240" w:line="360" w:lineRule="auto"/>
        <w:jc w:val="both"/>
        <w:rPr>
          <w:rFonts w:ascii="Palatino Linotype" w:eastAsia="Palatino Linotype" w:hAnsi="Palatino Linotype" w:cs="Palatino Linotype"/>
        </w:rPr>
      </w:pPr>
    </w:p>
    <w:p w14:paraId="2EAFF3C3"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En consecuencia, se insiste, ante la falta de impugnación eficaz, la respuesta entregada debe declararse consentida por persona solicitante, y por consiguiente, no es procedente el análisis de fondo en la resolución.</w:t>
      </w:r>
    </w:p>
    <w:p w14:paraId="2F273B42" w14:textId="77777777" w:rsidR="009169BE" w:rsidRPr="00AC6F8D" w:rsidRDefault="005C58B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No obstante, no escapa de la óptica de este Organismo Garante que al momento de  interponer el recurso de revisión, 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realizó diversos planteamientos subjetivos, tales como “</w:t>
      </w:r>
      <w:r w:rsidRPr="00AC6F8D">
        <w:rPr>
          <w:rFonts w:ascii="Palatino Linotype" w:eastAsia="Palatino Linotype" w:hAnsi="Palatino Linotype" w:cs="Palatino Linotype"/>
          <w:i/>
        </w:rPr>
        <w:t>vulnera mi derecho a conocer cuántas unidades se encuentran en talleres particulares o cuántas se encuentran en un inventario pero que no son usadas para el servicio y misión con las que fueron adquiridas, como sucede justamente con la unidad Jeep que compraron como patrulla pero que el Presidente Municipal utiliza de forma personal</w:t>
      </w:r>
      <w:r w:rsidRPr="00AC6F8D">
        <w:rPr>
          <w:rFonts w:ascii="Palatino Linotype" w:eastAsia="Palatino Linotype" w:hAnsi="Palatino Linotype" w:cs="Palatino Linotype"/>
        </w:rPr>
        <w:t>”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sus motivos de inconformidad. En este sentido, se trata de manifestaciones sobre las cuales este Instituto no está facultado para pronunciarse.</w:t>
      </w:r>
    </w:p>
    <w:p w14:paraId="0F192E64" w14:textId="77777777" w:rsidR="009169BE" w:rsidRPr="00AC6F8D" w:rsidRDefault="005C58B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Aunado a lo anterior, es imprescindible señalar la información relativa al número de unidades vehiculares que se encuentran en talleres particulares, así como el número de unidades que se encuentran en un inventario, es información que no se requirió en primera instancia, como se advierte en el antecedente 1 de la presente </w:t>
      </w:r>
      <w:r w:rsidRPr="00AC6F8D">
        <w:rPr>
          <w:rFonts w:ascii="Palatino Linotype" w:eastAsia="Palatino Linotype" w:hAnsi="Palatino Linotype" w:cs="Palatino Linotype"/>
        </w:rPr>
        <w:lastRenderedPageBreak/>
        <w:t xml:space="preserve">resolución, en este sentido, dichos pronunciamientos se traducen como una </w:t>
      </w:r>
      <w:r w:rsidRPr="00AC6F8D">
        <w:rPr>
          <w:rFonts w:ascii="Palatino Linotype" w:eastAsia="Palatino Linotype" w:hAnsi="Palatino Linotype" w:cs="Palatino Linotype"/>
          <w:i/>
        </w:rPr>
        <w:t xml:space="preserve">plus </w:t>
      </w:r>
      <w:proofErr w:type="spellStart"/>
      <w:r w:rsidRPr="00AC6F8D">
        <w:rPr>
          <w:rFonts w:ascii="Palatino Linotype" w:eastAsia="Palatino Linotype" w:hAnsi="Palatino Linotype" w:cs="Palatino Linotype"/>
          <w:i/>
        </w:rPr>
        <w:t>petitio</w:t>
      </w:r>
      <w:proofErr w:type="spellEnd"/>
      <w:r w:rsidRPr="00AC6F8D">
        <w:rPr>
          <w:rFonts w:ascii="Palatino Linotype" w:eastAsia="Palatino Linotype" w:hAnsi="Palatino Linotype" w:cs="Palatino Linotype"/>
          <w:b/>
          <w:i/>
        </w:rPr>
        <w:t xml:space="preserve">, </w:t>
      </w:r>
      <w:r w:rsidRPr="00AC6F8D">
        <w:rPr>
          <w:rFonts w:ascii="Palatino Linotype" w:eastAsia="Palatino Linotype" w:hAnsi="Palatino Linotype" w:cs="Palatino Linotype"/>
        </w:rPr>
        <w:t xml:space="preserve">y por tanto inatendibles a través del recurso de revisión. </w:t>
      </w:r>
    </w:p>
    <w:p w14:paraId="54157CE2" w14:textId="77777777" w:rsidR="009169BE" w:rsidRPr="00AC6F8D" w:rsidRDefault="005C58B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Para sustentar lo anterior, es oportuno referir que 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 xml:space="preserve">solicitó información específicamente relacionada con el armamento y los chalecos antibalas no balísticos del municipio, no así de vehículos. </w:t>
      </w:r>
    </w:p>
    <w:p w14:paraId="5764B9AD"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En este orden de ideas, cabe agregar que una vez formulada su solicitud inicial, las personas solicitante no pueden modificarla o ampliarla a través de posteriores promociones o en el momento de ingresar su recurso de revisión y menos aún si se les otorga la oportunidad para su ampliación, por tanto, la materia de las solicitudes de información se circunscribe a que se permita el acceso a los documentos inicialmente solicitados y en su caso a los aclarados o corregidos.</w:t>
      </w:r>
    </w:p>
    <w:p w14:paraId="4E33F7F1" w14:textId="77777777" w:rsidR="009169BE" w:rsidRPr="00AC6F8D" w:rsidRDefault="005C58B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Robustece lo anterior por analogía, lo plasmado en el Criterio de interpretación con clave de control SO/001/2017, emitido por el Instituto Nacional de Transparencia, Acceso a la Información y Protección de Datos Personales, INAI, que lleva por rubro y texto lo que a continuación se transcribe:</w:t>
      </w:r>
    </w:p>
    <w:p w14:paraId="3ABBA714" w14:textId="77777777" w:rsidR="009169BE" w:rsidRPr="00AC6F8D" w:rsidRDefault="005C58B8">
      <w:pPr>
        <w:spacing w:before="240" w:after="240"/>
        <w:ind w:left="851" w:right="900"/>
        <w:jc w:val="both"/>
        <w:rPr>
          <w:rFonts w:ascii="Palatino Linotype" w:eastAsia="Palatino Linotype" w:hAnsi="Palatino Linotype" w:cs="Palatino Linotype"/>
        </w:rPr>
      </w:pP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AC6F8D">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AC6F8D">
        <w:rPr>
          <w:rFonts w:ascii="Palatino Linotype" w:eastAsia="Palatino Linotype" w:hAnsi="Palatino Linotype" w:cs="Palatino Linotype"/>
          <w:b/>
          <w:i/>
          <w:sz w:val="22"/>
          <w:szCs w:val="22"/>
        </w:rPr>
        <w:t>.</w:t>
      </w:r>
      <w:r w:rsidRPr="00AC6F8D">
        <w:rPr>
          <w:rFonts w:ascii="Palatino Linotype" w:eastAsia="Palatino Linotype" w:hAnsi="Palatino Linotype" w:cs="Palatino Linotype"/>
          <w:i/>
          <w:sz w:val="22"/>
          <w:szCs w:val="22"/>
        </w:rPr>
        <w:t>”</w:t>
      </w:r>
    </w:p>
    <w:p w14:paraId="4C056B87"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No obstante, de lo anterior, se dejan a salvo los derechos de la persona solicitante, para que, en caso de considerar conveniente a sus intereses, el conocer la información que fue señalada, la solicite a través de una nueva solicitud de información.</w:t>
      </w:r>
    </w:p>
    <w:p w14:paraId="06FAFBE7" w14:textId="77777777" w:rsidR="009169BE" w:rsidRPr="00AC6F8D" w:rsidRDefault="005C58B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Durante el periodo de manifestaciones 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 xml:space="preserve">fue omiso en rendir su informe justificado, y 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659E88EF" w14:textId="77777777" w:rsidR="009169BE" w:rsidRPr="00AC6F8D" w:rsidRDefault="005C58B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C6F8D">
        <w:rPr>
          <w:rFonts w:ascii="Palatino Linotype" w:eastAsia="Palatino Linotype" w:hAnsi="Palatino Linotype" w:cs="Palatino Linotype"/>
        </w:rPr>
        <w:t>Una vez establecidas las posturas de las partes,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DF825A0"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03C814B7" w14:textId="77777777" w:rsidR="009169BE" w:rsidRPr="00AC6F8D" w:rsidRDefault="005C58B8">
      <w:pP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w:t>
      </w:r>
      <w:r w:rsidRPr="00AC6F8D">
        <w:rPr>
          <w:rFonts w:ascii="Palatino Linotype" w:eastAsia="Palatino Linotype" w:hAnsi="Palatino Linotype" w:cs="Palatino Linotype"/>
        </w:rPr>
        <w:lastRenderedPageBreak/>
        <w:t>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2DCF5CB1"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723AC39"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del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turnó la solicitud al servidor público habilitado de la Dirección de Seguridad Pública y Tránsito Municipal, como la a entidad responsable de salvaguardar la seguridad de la ciudadanía y preservar el orden </w:t>
      </w:r>
      <w:r w:rsidRPr="00AC6F8D">
        <w:rPr>
          <w:rFonts w:ascii="Palatino Linotype" w:eastAsia="Palatino Linotype" w:hAnsi="Palatino Linotype" w:cs="Palatino Linotype"/>
        </w:rPr>
        <w:lastRenderedPageBreak/>
        <w:t>público en el territorio municipal, a efecto de asegurar el pleno goce de las garantías individuales, proteger y garantizar la libertad, la integridad física y el patrimonio de la población, además de prevenir la comisión de delitos, acorde a las disposiciones de la Ley de Seguridad del Estado de México de conformidad con el artículo 46 del Reglamento Orgánico de la Administración Pública Municipal de Ocoyoacac, la cual se auxilia para el cumplimiento de sus atribuciones de las siguientes áreas:</w:t>
      </w:r>
    </w:p>
    <w:p w14:paraId="7E92C9D7" w14:textId="77777777" w:rsidR="009169BE" w:rsidRPr="00AC6F8D" w:rsidRDefault="005C58B8">
      <w:pPr>
        <w:spacing w:before="240" w:after="240" w:line="276" w:lineRule="auto"/>
        <w:ind w:left="284"/>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I. Secretaría Técnica de Seguridad Pública </w:t>
      </w:r>
    </w:p>
    <w:p w14:paraId="605633B7" w14:textId="77777777" w:rsidR="009169BE" w:rsidRPr="00AC6F8D" w:rsidRDefault="005C58B8">
      <w:pPr>
        <w:spacing w:before="240" w:after="240" w:line="276" w:lineRule="auto"/>
        <w:ind w:left="284"/>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II. Subdirección de Seguridad Pública </w:t>
      </w:r>
    </w:p>
    <w:p w14:paraId="660AE1FF" w14:textId="77777777" w:rsidR="009169BE" w:rsidRPr="00AC6F8D" w:rsidRDefault="005C58B8">
      <w:pPr>
        <w:spacing w:before="240" w:after="240" w:line="276" w:lineRule="auto"/>
        <w:ind w:left="567"/>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 Departamento de Supervisión Operativa </w:t>
      </w:r>
    </w:p>
    <w:p w14:paraId="4A8CF0C4" w14:textId="77777777" w:rsidR="009169BE" w:rsidRPr="00AC6F8D" w:rsidRDefault="005C58B8">
      <w:pPr>
        <w:spacing w:before="240" w:after="240" w:line="276" w:lineRule="auto"/>
        <w:ind w:left="567"/>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b) Departamento de Prevención del Delito </w:t>
      </w:r>
    </w:p>
    <w:p w14:paraId="1BFD7615" w14:textId="77777777" w:rsidR="009169BE" w:rsidRPr="00AC6F8D" w:rsidRDefault="005C58B8">
      <w:pPr>
        <w:spacing w:before="240" w:after="240" w:line="276" w:lineRule="auto"/>
        <w:ind w:left="567"/>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c) Departamento de Unidad Canina </w:t>
      </w:r>
    </w:p>
    <w:p w14:paraId="65A7C62A" w14:textId="77777777" w:rsidR="009169BE" w:rsidRPr="00AC6F8D" w:rsidRDefault="005C58B8">
      <w:pPr>
        <w:spacing w:before="240" w:after="240" w:line="276" w:lineRule="auto"/>
        <w:ind w:left="284"/>
        <w:jc w:val="both"/>
        <w:rPr>
          <w:rFonts w:ascii="Palatino Linotype" w:eastAsia="Palatino Linotype" w:hAnsi="Palatino Linotype" w:cs="Palatino Linotype"/>
        </w:rPr>
      </w:pPr>
      <w:r w:rsidRPr="00AC6F8D">
        <w:rPr>
          <w:rFonts w:ascii="Palatino Linotype" w:eastAsia="Palatino Linotype" w:hAnsi="Palatino Linotype" w:cs="Palatino Linotype"/>
        </w:rPr>
        <w:t>III. Subdirección de Tránsito</w:t>
      </w:r>
    </w:p>
    <w:p w14:paraId="706A1E7C" w14:textId="77777777" w:rsidR="009169BE" w:rsidRPr="00AC6F8D" w:rsidRDefault="005C58B8">
      <w:pPr>
        <w:spacing w:before="240" w:after="240" w:line="276" w:lineRule="auto"/>
        <w:ind w:left="284"/>
        <w:jc w:val="both"/>
        <w:rPr>
          <w:rFonts w:ascii="Palatino Linotype" w:eastAsia="Palatino Linotype" w:hAnsi="Palatino Linotype" w:cs="Palatino Linotype"/>
        </w:rPr>
      </w:pPr>
      <w:r w:rsidRPr="00AC6F8D">
        <w:rPr>
          <w:rFonts w:ascii="Palatino Linotype" w:eastAsia="Palatino Linotype" w:hAnsi="Palatino Linotype" w:cs="Palatino Linotype"/>
        </w:rPr>
        <w:t>IV. Subdirección Táctica, Estratégica y Operativa</w:t>
      </w:r>
    </w:p>
    <w:p w14:paraId="32206419"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Respecto al tema que nos ocupa es oportuno mencionar que de conformidad con el artículo 33 del Reglamento Interno de la Dirección General de Seguridad Pública y Tránsito Municipal, y el numeral 1.1.1. del Manual de Organización de la Dirección General de Seguridad Pública, le corresponde al Departamento de Supervisión Operativa, adscrito a la Subdirección de Seguridad Pública, entre otras atribuciones, la de vigilar la disciplina, instrucción del personal a su mando, armamento y municiones del equipo que tenga a su cargo, además del buen funcionamiento de los servicios que por ese conducto se establezca.</w:t>
      </w:r>
    </w:p>
    <w:p w14:paraId="1FACE009"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Mientras que en el Manual de Procedimientos de la Dirección General de Seguridad Pública y Tránsito Municipal se localiza el Procedimiento 3: Equipar al personal policial antes de salir a servicio, cuyo objetivo consiste en equipar al personal policial en turno, para brindar el servicio de seguridad con calidad y eficacia, en el cual participa el Director General de Seguridad Pública y Tránsito Municipal, el encargado de Armamento y Equipo y el Subdirector de Seguridad Pública, y se desarrolla de la siguiente forma:</w:t>
      </w:r>
    </w:p>
    <w:p w14:paraId="461B81A6" w14:textId="77777777" w:rsidR="009169BE" w:rsidRPr="00AC6F8D" w:rsidRDefault="005C58B8">
      <w:pPr>
        <w:spacing w:before="240" w:after="240" w:line="360" w:lineRule="auto"/>
        <w:jc w:val="center"/>
      </w:pPr>
      <w:r w:rsidRPr="00AC6F8D">
        <w:rPr>
          <w:noProof/>
        </w:rPr>
        <w:drawing>
          <wp:inline distT="0" distB="0" distL="0" distR="0" wp14:anchorId="509837F9" wp14:editId="7AA8236B">
            <wp:extent cx="4320000" cy="4593972"/>
            <wp:effectExtent l="0" t="0" r="0" b="0"/>
            <wp:docPr id="19841231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782"/>
                    <a:stretch>
                      <a:fillRect/>
                    </a:stretch>
                  </pic:blipFill>
                  <pic:spPr>
                    <a:xfrm>
                      <a:off x="0" y="0"/>
                      <a:ext cx="4320000" cy="4593972"/>
                    </a:xfrm>
                    <a:prstGeom prst="rect">
                      <a:avLst/>
                    </a:prstGeom>
                    <a:ln/>
                  </pic:spPr>
                </pic:pic>
              </a:graphicData>
            </a:graphic>
          </wp:inline>
        </w:drawing>
      </w:r>
    </w:p>
    <w:p w14:paraId="2849A8FA" w14:textId="77777777" w:rsidR="009169BE" w:rsidRPr="00AC6F8D" w:rsidRDefault="005C58B8">
      <w:pPr>
        <w:spacing w:before="240" w:after="240" w:line="360" w:lineRule="auto"/>
        <w:jc w:val="center"/>
        <w:rPr>
          <w:rFonts w:ascii="Palatino Linotype" w:eastAsia="Palatino Linotype" w:hAnsi="Palatino Linotype" w:cs="Palatino Linotype"/>
        </w:rPr>
      </w:pPr>
      <w:r w:rsidRPr="00AC6F8D">
        <w:rPr>
          <w:noProof/>
        </w:rPr>
        <w:lastRenderedPageBreak/>
        <w:drawing>
          <wp:inline distT="0" distB="0" distL="0" distR="0" wp14:anchorId="1F63C984" wp14:editId="52369A5A">
            <wp:extent cx="4320000" cy="2052203"/>
            <wp:effectExtent l="0" t="0" r="0" b="0"/>
            <wp:docPr id="198412314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320000" cy="2052203"/>
                    </a:xfrm>
                    <a:prstGeom prst="rect">
                      <a:avLst/>
                    </a:prstGeom>
                    <a:ln/>
                  </pic:spPr>
                </pic:pic>
              </a:graphicData>
            </a:graphic>
          </wp:inline>
        </w:drawing>
      </w:r>
    </w:p>
    <w:p w14:paraId="2CE45956"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De la imagen anterior se desprende que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por conducto de la Dirección de Seguridad Pública y Tránsito Municipal, cuenta con competencia para generar, administrar y/o poseer la información que es del interés de la persona solicitante, al tener esta bajo su adscripción al área encargada del almacén de armamento y equipo que es utilizado por el personal policial en ejercicio de sus funciones, el cual es registrado en la bitácora de registro para el control de entradas y salidas de armamento cuando se encuentra en buenas condiciones, o bien se elabora una nota informativa para el caso de equipo dañado, lo cual se realiza diariamente al inicio de cada turno, por lo tanto, el procedimiento de búsqueda se tiene por agotado.</w:t>
      </w:r>
    </w:p>
    <w:p w14:paraId="4F43FBE7"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Ahora bien, retomando la reserva que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realizó respecto del número de armamento operativo, el número de armamento fuera de operación o uso, y los conceptos, así como el número de chalecos antibalas o balísticos con los que cuenta el municipio, a criterio de este Órgano Garante conviene analizar la clasificación de dicha información, partiendo de las siguientes consideraciones:</w:t>
      </w:r>
    </w:p>
    <w:p w14:paraId="7E23A794" w14:textId="77777777" w:rsidR="009169BE" w:rsidRPr="00AC6F8D" w:rsidRDefault="005C58B8">
      <w:pP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rPr>
        <w:lastRenderedPageBreak/>
        <w:t xml:space="preserve">En principio, es de indicar que conforme al artículo 20 de la Ley de Transparencia y Acceso a la Información Pública del Estado de México y Municipios, </w:t>
      </w:r>
      <w:r w:rsidRPr="00AC6F8D">
        <w:rPr>
          <w:rFonts w:ascii="Palatino Linotype" w:eastAsia="Palatino Linotype" w:hAnsi="Palatino Linotype" w:cs="Palatino Linotype"/>
          <w:b/>
        </w:rPr>
        <w:t>ante la negativa de acceso a la información o su inexistencia, el sujeto obligado deberá demostrar que encuentra en alguna de las excepciones establecidas en la normatividad aplicable.</w:t>
      </w:r>
    </w:p>
    <w:p w14:paraId="38E0D0BA"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En ese sentido, según Trujillo, Humberto (2019), en el “Diccionario de Transparencia y Acceso a la Información Pública” (p. 201), </w:t>
      </w:r>
      <w:r w:rsidRPr="00AC6F8D">
        <w:rPr>
          <w:rFonts w:ascii="Palatino Linotype" w:eastAsia="Palatino Linotype" w:hAnsi="Palatino Linotype" w:cs="Palatino Linotype"/>
          <w:b/>
        </w:rPr>
        <w:t xml:space="preserve">la negativa de acceso a la información </w:t>
      </w:r>
      <w:r w:rsidRPr="00AC6F8D">
        <w:rPr>
          <w:rFonts w:ascii="Palatino Linotype" w:eastAsia="Palatino Linotype" w:hAnsi="Palatino Linotype" w:cs="Palatino Linotype"/>
        </w:rPr>
        <w:t xml:space="preserve">ocurre cuando de manera fundada y motivada, una autoridad la niega o la limita, por alguna de las siguientes razones: </w:t>
      </w:r>
    </w:p>
    <w:p w14:paraId="23B44212" w14:textId="77777777" w:rsidR="009169BE" w:rsidRPr="00AC6F8D" w:rsidRDefault="005C58B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b/>
        </w:rPr>
        <w:t xml:space="preserve">La inexistencia de la información (p. 171): </w:t>
      </w:r>
      <w:r w:rsidRPr="00AC6F8D">
        <w:rPr>
          <w:rFonts w:ascii="Palatino Linotype" w:eastAsia="Palatino Linotype" w:hAnsi="Palatino Linotype" w:cs="Palatino Linotype"/>
        </w:rPr>
        <w:t>Sucede cuando la información solicitada no se encuentra en los archivos públicos o clasificados de los entes sujetos a las Leyes de Transparencia.</w:t>
      </w:r>
    </w:p>
    <w:p w14:paraId="55575F7D" w14:textId="77777777" w:rsidR="009169BE" w:rsidRPr="00AC6F8D" w:rsidRDefault="005C58B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b/>
        </w:rPr>
        <w:t xml:space="preserve">La incompetencia del Sujeto Obligado (p. 171): </w:t>
      </w:r>
      <w:r w:rsidRPr="00AC6F8D">
        <w:rPr>
          <w:rFonts w:ascii="Palatino Linotype" w:eastAsia="Palatino Linotype" w:hAnsi="Palatino Linotype" w:cs="Palatino Linotype"/>
        </w:rPr>
        <w:t>Ocurre cuando el Sujeto Obligado carece de atribuciones para poseer la información peticionada.</w:t>
      </w:r>
    </w:p>
    <w:p w14:paraId="13F72C09" w14:textId="77777777" w:rsidR="009169BE" w:rsidRPr="00AC6F8D" w:rsidRDefault="005C58B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b/>
        </w:rPr>
        <w:t xml:space="preserve">La clasificación de la información (p. 70): </w:t>
      </w:r>
      <w:r w:rsidRPr="00AC6F8D">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0C60FEC9" w14:textId="77777777" w:rsidR="009169BE" w:rsidRPr="00AC6F8D" w:rsidRDefault="005C58B8">
      <w:pP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rPr>
        <w:t xml:space="preserve">En ese orden de ideas y en atención a lo anterior, es de señalar que las excepciones al derecho de acceso a la información, consisten en que la documentación sea inexistente, </w:t>
      </w:r>
      <w:r w:rsidRPr="00AC6F8D">
        <w:rPr>
          <w:rFonts w:ascii="Palatino Linotype" w:eastAsia="Palatino Linotype" w:hAnsi="Palatino Linotype" w:cs="Palatino Linotype"/>
          <w:b/>
        </w:rPr>
        <w:t>se encuentre clasificada</w:t>
      </w:r>
      <w:r w:rsidRPr="00AC6F8D">
        <w:rPr>
          <w:rFonts w:ascii="Palatino Linotype" w:eastAsia="Palatino Linotype" w:hAnsi="Palatino Linotype" w:cs="Palatino Linotype"/>
        </w:rPr>
        <w:t xml:space="preserve">, o bien, el Sujeto Obligado sea incompetente para contar con esta; esto es, la negativa de acceso a la información, recae cuando la </w:t>
      </w:r>
      <w:r w:rsidRPr="00AC6F8D">
        <w:rPr>
          <w:rFonts w:ascii="Palatino Linotype" w:eastAsia="Palatino Linotype" w:hAnsi="Palatino Linotype" w:cs="Palatino Linotype"/>
        </w:rPr>
        <w:lastRenderedPageBreak/>
        <w:t xml:space="preserve">documentación no se encuentre en los archivos del sujeto obligado, o bien exista, pero no pueda proporcionarse por contener datos </w:t>
      </w:r>
      <w:r w:rsidRPr="00AC6F8D">
        <w:rPr>
          <w:rFonts w:ascii="Palatino Linotype" w:eastAsia="Palatino Linotype" w:hAnsi="Palatino Linotype" w:cs="Palatino Linotype"/>
          <w:b/>
        </w:rPr>
        <w:t>confidenciales o reservados.</w:t>
      </w:r>
    </w:p>
    <w:p w14:paraId="001B0A43"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Así, en los artículos 122, 128 y 130 de la Ley Transparencia y Acceso a la Información Pública del Estado de México y Municipios, se prevé que </w:t>
      </w:r>
      <w:r w:rsidRPr="00AC6F8D">
        <w:rPr>
          <w:rFonts w:ascii="Palatino Linotype" w:eastAsia="Palatino Linotype" w:hAnsi="Palatino Linotype" w:cs="Palatino Linotype"/>
          <w:b/>
        </w:rPr>
        <w:t xml:space="preserve">la clasificación </w:t>
      </w:r>
      <w:r w:rsidRPr="00AC6F8D">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8656A62"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AC6F8D">
        <w:rPr>
          <w:rFonts w:ascii="Palatino Linotype" w:eastAsia="Palatino Linotype" w:hAnsi="Palatino Linotype" w:cs="Palatino Linotype"/>
          <w:b/>
        </w:rPr>
        <w:t xml:space="preserve">el Comité de Transparencia deberá confirmar, modificar o revocar la decisión; </w:t>
      </w:r>
      <w:r w:rsidRPr="00AC6F8D">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55AEF45D" w14:textId="77777777" w:rsidR="009169BE" w:rsidRPr="00AC6F8D" w:rsidRDefault="005C58B8">
      <w:pP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rPr>
        <w:t xml:space="preserve">Por su parte, según Bonifaz, Leticia (2016), en la “Ley General de Transparencia y Acceso a la Información Pública Comentada” (p. 342), la </w:t>
      </w:r>
      <w:r w:rsidRPr="00AC6F8D">
        <w:rPr>
          <w:rFonts w:ascii="Palatino Linotype" w:eastAsia="Palatino Linotype" w:hAnsi="Palatino Linotype" w:cs="Palatino Linotype"/>
          <w:b/>
        </w:rPr>
        <w:t>clasificación de la información</w:t>
      </w:r>
      <w:r w:rsidRPr="00AC6F8D">
        <w:rPr>
          <w:rFonts w:ascii="Palatino Linotype" w:eastAsia="Palatino Linotype" w:hAnsi="Palatino Linotype" w:cs="Palatino Linotype"/>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AC6F8D">
        <w:rPr>
          <w:rFonts w:ascii="Palatino Linotype" w:eastAsia="Palatino Linotype" w:hAnsi="Palatino Linotype" w:cs="Palatino Linotype"/>
          <w:b/>
        </w:rPr>
        <w:t>de manera adecuada la negativa de información.</w:t>
      </w:r>
    </w:p>
    <w:p w14:paraId="33E175F1" w14:textId="77777777" w:rsidR="009169BE" w:rsidRPr="00AC6F8D" w:rsidRDefault="005C58B8">
      <w:pP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Conforme a lo anterior, en el presente caso, el Titular del Órgano Interno de Control no señaló que era inexistente la información; al contrario, precisó que no podía </w:t>
      </w:r>
      <w:r w:rsidRPr="00AC6F8D">
        <w:rPr>
          <w:rFonts w:ascii="Palatino Linotype" w:eastAsia="Palatino Linotype" w:hAnsi="Palatino Linotype" w:cs="Palatino Linotype"/>
        </w:rPr>
        <w:lastRenderedPageBreak/>
        <w:t xml:space="preserve">proporcionarla al ser reservada; por lo que es posible concluir que  esta se generó y obra en los archivos del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siendo la clasificación y la inexistencia dos figuras que no pueden coexistir, como se desprende del Criterio de interpretación con clave de control SO/012/2023, emitido por el Instituto Nacional de Transparencia, Acceso a la Información y Protección de Datos Personales, INAI</w:t>
      </w:r>
      <w:r w:rsidRPr="00AC6F8D">
        <w:rPr>
          <w:rFonts w:ascii="Palatino Linotype" w:eastAsia="Palatino Linotype" w:hAnsi="Palatino Linotype" w:cs="Palatino Linotype"/>
          <w:b/>
        </w:rPr>
        <w:t xml:space="preserve">, </w:t>
      </w:r>
      <w:r w:rsidRPr="00AC6F8D">
        <w:rPr>
          <w:rFonts w:ascii="Palatino Linotype" w:eastAsia="Palatino Linotype" w:hAnsi="Palatino Linotype" w:cs="Palatino Linotype"/>
        </w:rPr>
        <w:t xml:space="preserve">el cual refiere lo siguiente: </w:t>
      </w:r>
    </w:p>
    <w:p w14:paraId="6B767670" w14:textId="77777777" w:rsidR="009169BE" w:rsidRPr="00AC6F8D" w:rsidRDefault="005C58B8">
      <w:pPr>
        <w:spacing w:before="67"/>
        <w:ind w:left="851" w:right="900"/>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 xml:space="preserve">“Respuesta a solicitud de acceso. La clasificación y la inexistencia de información son conceptos que no pueden coexistir. </w:t>
      </w:r>
      <w:r w:rsidRPr="00AC6F8D">
        <w:rPr>
          <w:rFonts w:ascii="Palatino Linotype" w:eastAsia="Palatino Linotype" w:hAnsi="Palatino Linotype" w:cs="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w:t>
      </w:r>
      <w:proofErr w:type="spellStart"/>
      <w:r w:rsidRPr="00AC6F8D">
        <w:rPr>
          <w:rFonts w:ascii="Palatino Linotype" w:eastAsia="Palatino Linotype" w:hAnsi="Palatino Linotype" w:cs="Palatino Linotype"/>
          <w:i/>
          <w:sz w:val="22"/>
          <w:szCs w:val="22"/>
        </w:rPr>
        <w:t>actualiza</w:t>
      </w:r>
      <w:proofErr w:type="spellEnd"/>
      <w:r w:rsidRPr="00AC6F8D">
        <w:rPr>
          <w:rFonts w:ascii="Palatino Linotype" w:eastAsia="Palatino Linotype" w:hAnsi="Palatino Linotype" w:cs="Palatino Linotype"/>
          <w:i/>
          <w:sz w:val="22"/>
          <w:szCs w:val="22"/>
        </w:rPr>
        <w:t xml:space="preserve"> alguno de los supuestos de reserva o confidencialidad, por lo que se trata de una característica que adquiere la información contenida en un documento específico. Por lo anterior, </w:t>
      </w:r>
      <w:r w:rsidRPr="00AC6F8D">
        <w:rPr>
          <w:rFonts w:ascii="Palatino Linotype" w:eastAsia="Palatino Linotype" w:hAnsi="Palatino Linotype" w:cs="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AAAA95D"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Conforme a lo anterior, se negó el acceso a la información peticionada por la parte </w:t>
      </w:r>
      <w:r w:rsidRPr="00AC6F8D">
        <w:rPr>
          <w:rFonts w:ascii="Palatino Linotype" w:eastAsia="Palatino Linotype" w:hAnsi="Palatino Linotype" w:cs="Palatino Linotype"/>
          <w:b/>
        </w:rPr>
        <w:t>Recurrente</w:t>
      </w:r>
      <w:r w:rsidRPr="00AC6F8D">
        <w:rPr>
          <w:rFonts w:ascii="Palatino Linotype" w:eastAsia="Palatino Linotype" w:hAnsi="Palatino Linotype" w:cs="Palatino Linotype"/>
        </w:rPr>
        <w:t xml:space="preserve">, al considerar que estaba clasificada; tan es así, que proporcionó el Acta Vigésima Primera Sesión Extraordinaria del Comité de Transparencia, celebrada el once de noviembre de dos mil veinticuatro, donde confirmó la clasificación de la información solicitada  como reservada, en términos los artículos 113, fracción I de la Ley General de Transparencia y Acceso a la Información Pública, y 140, fracción I de la Ley de Transparencia y Acceso a la Información Pública del Estado de México y Municipios, así como el numeral Décimo Séptimo de los Lineamientos Generales de Clasificación y Desclasificación de la Información, así como para la Elaboración </w:t>
      </w:r>
      <w:r w:rsidRPr="00AC6F8D">
        <w:rPr>
          <w:rFonts w:ascii="Palatino Linotype" w:eastAsia="Palatino Linotype" w:hAnsi="Palatino Linotype" w:cs="Palatino Linotype"/>
        </w:rPr>
        <w:lastRenderedPageBreak/>
        <w:t xml:space="preserve">de Versiones Públicas, como a continuación se muestra de la siguiente digitalización del Acta de mérito:  </w:t>
      </w:r>
    </w:p>
    <w:p w14:paraId="4030263C" w14:textId="77777777" w:rsidR="009169BE" w:rsidRPr="00AC6F8D" w:rsidRDefault="005C58B8">
      <w:pPr>
        <w:pBdr>
          <w:top w:val="nil"/>
          <w:left w:val="nil"/>
          <w:bottom w:val="nil"/>
          <w:right w:val="nil"/>
          <w:between w:val="nil"/>
        </w:pBdr>
        <w:tabs>
          <w:tab w:val="left" w:pos="993"/>
        </w:tabs>
        <w:spacing w:before="240" w:after="240" w:line="360" w:lineRule="auto"/>
        <w:jc w:val="center"/>
        <w:rPr>
          <w:rFonts w:ascii="Palatino Linotype" w:eastAsia="Palatino Linotype" w:hAnsi="Palatino Linotype" w:cs="Palatino Linotype"/>
        </w:rPr>
      </w:pPr>
      <w:r w:rsidRPr="00AC6F8D">
        <w:rPr>
          <w:rFonts w:ascii="Palatino Linotype" w:eastAsia="Palatino Linotype" w:hAnsi="Palatino Linotype" w:cs="Palatino Linotype"/>
          <w:noProof/>
        </w:rPr>
        <w:drawing>
          <wp:inline distT="0" distB="0" distL="0" distR="0" wp14:anchorId="13CC60E4" wp14:editId="22ADB76A">
            <wp:extent cx="5040000" cy="1741098"/>
            <wp:effectExtent l="0" t="0" r="0" b="0"/>
            <wp:docPr id="19841231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68137"/>
                    <a:stretch>
                      <a:fillRect/>
                    </a:stretch>
                  </pic:blipFill>
                  <pic:spPr>
                    <a:xfrm>
                      <a:off x="0" y="0"/>
                      <a:ext cx="5040000" cy="1741098"/>
                    </a:xfrm>
                    <a:prstGeom prst="rect">
                      <a:avLst/>
                    </a:prstGeom>
                    <a:ln/>
                  </pic:spPr>
                </pic:pic>
              </a:graphicData>
            </a:graphic>
          </wp:inline>
        </w:drawing>
      </w:r>
      <w:r w:rsidRPr="00AC6F8D">
        <w:rPr>
          <w:rFonts w:ascii="Palatino Linotype" w:eastAsia="Palatino Linotype" w:hAnsi="Palatino Linotype" w:cs="Palatino Linotype"/>
          <w:noProof/>
        </w:rPr>
        <w:drawing>
          <wp:inline distT="0" distB="0" distL="0" distR="0" wp14:anchorId="7D6213E7" wp14:editId="36A2802D">
            <wp:extent cx="5038370" cy="1249747"/>
            <wp:effectExtent l="0" t="0" r="0" b="0"/>
            <wp:docPr id="1984123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77127" b="-5"/>
                    <a:stretch>
                      <a:fillRect/>
                    </a:stretch>
                  </pic:blipFill>
                  <pic:spPr>
                    <a:xfrm>
                      <a:off x="0" y="0"/>
                      <a:ext cx="5038370" cy="1249747"/>
                    </a:xfrm>
                    <a:prstGeom prst="rect">
                      <a:avLst/>
                    </a:prstGeom>
                    <a:ln/>
                  </pic:spPr>
                </pic:pic>
              </a:graphicData>
            </a:graphic>
          </wp:inline>
        </w:drawing>
      </w:r>
    </w:p>
    <w:p w14:paraId="12379049" w14:textId="77777777" w:rsidR="009169BE" w:rsidRPr="00AC6F8D" w:rsidRDefault="005C58B8">
      <w:pPr>
        <w:spacing w:before="240" w:after="240" w:line="360" w:lineRule="auto"/>
        <w:jc w:val="both"/>
        <w:rPr>
          <w:rFonts w:ascii="Palatino Linotype" w:eastAsia="Palatino Linotype" w:hAnsi="Palatino Linotype" w:cs="Palatino Linotype"/>
          <w:b/>
        </w:rPr>
      </w:pPr>
      <w:r w:rsidRPr="00AC6F8D">
        <w:rPr>
          <w:rFonts w:ascii="Palatino Linotype" w:eastAsia="Palatino Linotype" w:hAnsi="Palatino Linotype" w:cs="Palatino Linotype"/>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AC6F8D">
        <w:rPr>
          <w:rFonts w:ascii="Palatino Linotype" w:eastAsia="Palatino Linotype" w:hAnsi="Palatino Linotype" w:cs="Palatino Linotype"/>
          <w:b/>
        </w:rPr>
        <w:t>análisis caso por caso.</w:t>
      </w:r>
    </w:p>
    <w:p w14:paraId="78A6F4BE"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Además, el artículo 131 de la Ley referida, así como el Quinto de los Lineamientos Generales, establecen que los sujetos obligados </w:t>
      </w:r>
      <w:r w:rsidRPr="00AC6F8D">
        <w:rPr>
          <w:rFonts w:ascii="Palatino Linotype" w:eastAsia="Palatino Linotype" w:hAnsi="Palatino Linotype" w:cs="Palatino Linotype"/>
          <w:b/>
        </w:rPr>
        <w:t>deberán fundar y motivar</w:t>
      </w:r>
      <w:r w:rsidRPr="00AC6F8D">
        <w:rPr>
          <w:rFonts w:ascii="Palatino Linotype" w:eastAsia="Palatino Linotype" w:hAnsi="Palatino Linotype" w:cs="Palatino Linotype"/>
        </w:rPr>
        <w:t xml:space="preserve"> debidamente la clasificación de la información.</w:t>
      </w:r>
    </w:p>
    <w:p w14:paraId="38080E04"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Al respecto, el Octavo de los Lineamientos Generales, precisa lo siguiente:</w:t>
      </w:r>
    </w:p>
    <w:p w14:paraId="280E85FF" w14:textId="77777777" w:rsidR="009169BE" w:rsidRPr="00AC6F8D" w:rsidRDefault="005C58B8">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rPr>
      </w:pPr>
      <w:r w:rsidRPr="00AC6F8D">
        <w:rPr>
          <w:rFonts w:ascii="Palatino Linotype" w:eastAsia="Palatino Linotype" w:hAnsi="Palatino Linotype" w:cs="Palatino Linotype"/>
          <w:b/>
        </w:rPr>
        <w:t>Para fundar la clasificación</w:t>
      </w:r>
      <w:r w:rsidRPr="00AC6F8D">
        <w:rPr>
          <w:rFonts w:ascii="Palatino Linotype" w:eastAsia="Palatino Linotype" w:hAnsi="Palatino Linotype" w:cs="Palatino Linotype"/>
        </w:rPr>
        <w:t xml:space="preserve"> de la información se deberán señalar el artículo, fracción, inciso, párrafo o numeral de la Ley aplicable;</w:t>
      </w:r>
    </w:p>
    <w:p w14:paraId="5037599C" w14:textId="77777777" w:rsidR="009169BE" w:rsidRPr="00AC6F8D" w:rsidRDefault="005C58B8">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rPr>
      </w:pPr>
      <w:r w:rsidRPr="00AC6F8D">
        <w:rPr>
          <w:rFonts w:ascii="Palatino Linotype" w:eastAsia="Palatino Linotype" w:hAnsi="Palatino Linotype" w:cs="Palatino Linotype"/>
          <w:b/>
        </w:rPr>
        <w:t>Para motivar la clasificación</w:t>
      </w:r>
      <w:r w:rsidRPr="00AC6F8D">
        <w:rPr>
          <w:rFonts w:ascii="Palatino Linotype" w:eastAsia="Palatino Linotype" w:hAnsi="Palatino Linotype" w:cs="Palatino Linotype"/>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76758492"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156BB925"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 xml:space="preserve">“FUNDAMENTACION Y MOTIVACION, CONCEPTO DE. </w:t>
      </w:r>
      <w:r w:rsidRPr="00AC6F8D">
        <w:rPr>
          <w:rFonts w:ascii="Palatino Linotype" w:eastAsia="Palatino Linotype" w:hAnsi="Palatino Linotype" w:cs="Palatino Linotype"/>
          <w:i/>
          <w:sz w:val="22"/>
          <w:szCs w:val="2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60AA8DB1"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Conforme a lo anterior, se advierte lo siguiente:</w:t>
      </w:r>
    </w:p>
    <w:p w14:paraId="0A0AA38F" w14:textId="77777777" w:rsidR="009169BE" w:rsidRPr="00AC6F8D" w:rsidRDefault="005C58B8">
      <w:pPr>
        <w:numPr>
          <w:ilvl w:val="0"/>
          <w:numId w:val="4"/>
        </w:numPr>
        <w:tabs>
          <w:tab w:val="left" w:pos="709"/>
        </w:tabs>
        <w:spacing w:before="240" w:after="240" w:line="360" w:lineRule="auto"/>
        <w:ind w:left="284" w:firstLine="0"/>
        <w:jc w:val="both"/>
        <w:rPr>
          <w:rFonts w:ascii="Palatino Linotype" w:eastAsia="Palatino Linotype" w:hAnsi="Palatino Linotype" w:cs="Palatino Linotype"/>
          <w:b/>
        </w:rPr>
      </w:pPr>
      <w:r w:rsidRPr="00AC6F8D">
        <w:rPr>
          <w:rFonts w:ascii="Palatino Linotype" w:eastAsia="Palatino Linotype" w:hAnsi="Palatino Linotype" w:cs="Palatino Linotype"/>
          <w:b/>
        </w:rPr>
        <w:lastRenderedPageBreak/>
        <w:t xml:space="preserve">Fundamentación: </w:t>
      </w:r>
      <w:r w:rsidRPr="00AC6F8D">
        <w:rPr>
          <w:rFonts w:ascii="Palatino Linotype" w:eastAsia="Palatino Linotype" w:hAnsi="Palatino Linotype" w:cs="Palatino Linotype"/>
        </w:rPr>
        <w:t>Obligación de la autoridad que emite un acto, para citar los preceptos legales, sustantivos y adjetivos, en que se apoye para la determinación tomada.</w:t>
      </w:r>
    </w:p>
    <w:p w14:paraId="553159C6" w14:textId="77777777" w:rsidR="009169BE" w:rsidRPr="00AC6F8D" w:rsidRDefault="005C58B8">
      <w:pPr>
        <w:numPr>
          <w:ilvl w:val="0"/>
          <w:numId w:val="4"/>
        </w:numPr>
        <w:tabs>
          <w:tab w:val="left" w:pos="709"/>
        </w:tabs>
        <w:spacing w:before="240" w:after="240" w:line="360" w:lineRule="auto"/>
        <w:ind w:left="284" w:firstLine="0"/>
        <w:jc w:val="both"/>
        <w:rPr>
          <w:rFonts w:ascii="Palatino Linotype" w:eastAsia="Palatino Linotype" w:hAnsi="Palatino Linotype" w:cs="Palatino Linotype"/>
          <w:b/>
        </w:rPr>
      </w:pPr>
      <w:r w:rsidRPr="00AC6F8D">
        <w:rPr>
          <w:rFonts w:ascii="Palatino Linotype" w:eastAsia="Palatino Linotype" w:hAnsi="Palatino Linotype" w:cs="Palatino Linotype"/>
          <w:b/>
        </w:rPr>
        <w:t xml:space="preserve">Motivación: </w:t>
      </w:r>
      <w:r w:rsidRPr="00AC6F8D">
        <w:rPr>
          <w:rFonts w:ascii="Palatino Linotype" w:eastAsia="Palatino Linotype" w:hAnsi="Palatino Linotype" w:cs="Palatino Linotype"/>
        </w:rPr>
        <w:t>Razonamientos lógico-jurídicos sobre porque se consideró en el caso en concreto, que se ajusta a la hipótesis normativa.</w:t>
      </w:r>
    </w:p>
    <w:p w14:paraId="614DDCF1" w14:textId="77777777" w:rsidR="009169BE" w:rsidRPr="00AC6F8D" w:rsidRDefault="005C58B8">
      <w:pPr>
        <w:spacing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En ese orden de ideas, el Lineamiento Trigésimo tercero de los Lineamientos Generales, establece la forma en que se debe fundamentar y motivar la reserva de la información, como a continuación se lee:</w:t>
      </w:r>
    </w:p>
    <w:p w14:paraId="0321E57E" w14:textId="77777777" w:rsidR="009169BE" w:rsidRPr="00AC6F8D" w:rsidRDefault="005C58B8">
      <w:pPr>
        <w:spacing w:before="120" w:after="120"/>
        <w:ind w:left="851" w:right="758"/>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Trigésimo tercero</w:t>
      </w:r>
      <w:r w:rsidRPr="00AC6F8D">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466DC161" w14:textId="77777777" w:rsidR="009169BE" w:rsidRPr="00AC6F8D" w:rsidRDefault="005C58B8">
      <w:pPr>
        <w:tabs>
          <w:tab w:val="left" w:pos="1701"/>
        </w:tabs>
        <w:spacing w:before="120" w:after="120"/>
        <w:ind w:left="1134" w:right="760"/>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 xml:space="preserve">I. </w:t>
      </w:r>
      <w:r w:rsidRPr="00AC6F8D">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7BA07F54" w14:textId="77777777" w:rsidR="009169BE" w:rsidRPr="00AC6F8D" w:rsidRDefault="005C58B8">
      <w:pPr>
        <w:tabs>
          <w:tab w:val="left" w:pos="1701"/>
        </w:tabs>
        <w:spacing w:before="120" w:after="120"/>
        <w:ind w:left="1134" w:right="76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w:t>
      </w:r>
      <w:r w:rsidRPr="00AC6F8D">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5741A93C" w14:textId="77777777" w:rsidR="009169BE" w:rsidRPr="00AC6F8D" w:rsidRDefault="005C58B8">
      <w:pPr>
        <w:tabs>
          <w:tab w:val="left" w:pos="1701"/>
        </w:tabs>
        <w:spacing w:before="120" w:after="120"/>
        <w:ind w:left="1134" w:right="76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III.</w:t>
      </w:r>
      <w:r w:rsidRPr="00AC6F8D">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0D06360C" w14:textId="77777777" w:rsidR="009169BE" w:rsidRPr="00AC6F8D" w:rsidRDefault="005C58B8">
      <w:pPr>
        <w:tabs>
          <w:tab w:val="left" w:pos="1701"/>
        </w:tabs>
        <w:spacing w:before="120" w:after="120"/>
        <w:ind w:left="1134" w:right="760"/>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IV.</w:t>
      </w:r>
      <w:r w:rsidRPr="00AC6F8D">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AC6F8D">
        <w:rPr>
          <w:rFonts w:ascii="Palatino Linotype" w:eastAsia="Palatino Linotype" w:hAnsi="Palatino Linotype" w:cs="Palatino Linotype"/>
          <w:b/>
          <w:i/>
          <w:sz w:val="22"/>
          <w:szCs w:val="22"/>
        </w:rPr>
        <w:t xml:space="preserve"> </w:t>
      </w:r>
    </w:p>
    <w:p w14:paraId="42541644" w14:textId="77777777" w:rsidR="009169BE" w:rsidRPr="00AC6F8D" w:rsidRDefault="005C58B8">
      <w:pPr>
        <w:tabs>
          <w:tab w:val="left" w:pos="1701"/>
        </w:tabs>
        <w:spacing w:before="120" w:after="120"/>
        <w:ind w:left="1134" w:right="760"/>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V</w:t>
      </w:r>
      <w:r w:rsidRPr="00AC6F8D">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AC6F8D">
        <w:rPr>
          <w:rFonts w:ascii="Palatino Linotype" w:eastAsia="Palatino Linotype" w:hAnsi="Palatino Linotype" w:cs="Palatino Linotype"/>
          <w:b/>
          <w:i/>
          <w:sz w:val="22"/>
          <w:szCs w:val="22"/>
        </w:rPr>
        <w:t xml:space="preserve"> </w:t>
      </w:r>
    </w:p>
    <w:p w14:paraId="2EE7197A" w14:textId="77777777" w:rsidR="009169BE" w:rsidRPr="00AC6F8D" w:rsidRDefault="005C58B8">
      <w:pPr>
        <w:tabs>
          <w:tab w:val="left" w:pos="1701"/>
        </w:tabs>
        <w:spacing w:before="120" w:after="120"/>
        <w:ind w:left="1134" w:right="76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lastRenderedPageBreak/>
        <w:t>VI</w:t>
      </w:r>
      <w:r w:rsidRPr="00AC6F8D">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72C930F0"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2B675C4D" w14:textId="77777777" w:rsidR="009169BE" w:rsidRPr="00AC6F8D" w:rsidRDefault="005C58B8">
      <w:pPr>
        <w:tabs>
          <w:tab w:val="left" w:pos="2835"/>
        </w:tabs>
        <w:spacing w:before="280" w:after="28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En el caso particular, 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remitió el Acta de la Vigésima Primera Sesión Extraordinaria del Comité de Transparencia, celebrada el once de noviembre de dos mil veinticuatro, mediante la cual se confirma la clasificación de la información propuesta por el Director General de Seguridad Pública y Tránsito Municipal, como se observa a continuación:</w:t>
      </w:r>
    </w:p>
    <w:p w14:paraId="374CCC37" w14:textId="77777777" w:rsidR="009169BE" w:rsidRPr="00AC6F8D" w:rsidRDefault="005C58B8">
      <w:pPr>
        <w:tabs>
          <w:tab w:val="left" w:pos="2835"/>
        </w:tabs>
        <w:spacing w:before="280" w:after="28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Ahora bien, toda vez que el Comité de Transparencia reservó la información relativa al número de armamento operativo o en uso, el número de armamento que se encuentra fuera de operación o de uso y porqué conceptos, así como el número de chalecos antibalas o balísticos que tiene el municipio y en qué condiciones se encuentran, en apego a lo establecido en los artículos 113, fracción I de la Ley General de Transparencia y Acceso a la Información Pública, y 140, fracción I de la Ley de Transparencia y Acceso a la Información Pública del Estado de México y Municipios, se procede a analizar dicha causal, al tenor de lo siguiente:</w:t>
      </w:r>
    </w:p>
    <w:p w14:paraId="18433672" w14:textId="77777777" w:rsidR="009169BE" w:rsidRPr="00AC6F8D" w:rsidRDefault="005C58B8">
      <w:pPr>
        <w:spacing w:line="360" w:lineRule="auto"/>
        <w:jc w:val="both"/>
        <w:rPr>
          <w:rFonts w:ascii="Palatino Linotype" w:eastAsia="Palatino Linotype" w:hAnsi="Palatino Linotype" w:cs="Palatino Linotype"/>
          <w:b/>
          <w:u w:val="single"/>
        </w:rPr>
      </w:pPr>
      <w:r w:rsidRPr="00AC6F8D">
        <w:rPr>
          <w:rFonts w:ascii="Palatino Linotype" w:eastAsia="Palatino Linotype" w:hAnsi="Palatino Linotype" w:cs="Palatino Linotype"/>
        </w:rPr>
        <w:t xml:space="preserve">De acuerdo con lo que establece la fracción I de los artículos 113 y 140, de la Ley Genera y la Ley Local respectivamente, </w:t>
      </w:r>
      <w:r w:rsidRPr="00AC6F8D">
        <w:rPr>
          <w:rFonts w:ascii="Palatino Linotype" w:eastAsia="Palatino Linotype" w:hAnsi="Palatino Linotype" w:cs="Palatino Linotype"/>
          <w:b/>
          <w:u w:val="single"/>
        </w:rPr>
        <w:t xml:space="preserve">será información reservada, aquella en la que el daño que pueda producirse con la publicación de la información sea mayor </w:t>
      </w:r>
      <w:r w:rsidRPr="00AC6F8D">
        <w:rPr>
          <w:rFonts w:ascii="Palatino Linotype" w:eastAsia="Palatino Linotype" w:hAnsi="Palatino Linotype" w:cs="Palatino Linotype"/>
          <w:b/>
          <w:u w:val="single"/>
        </w:rPr>
        <w:lastRenderedPageBreak/>
        <w:t>que el interés público de conocer la información de referencia, siempre que comprometa la seguridad pública y cuente con un propósito genuino y un efecto demostrable.</w:t>
      </w:r>
    </w:p>
    <w:p w14:paraId="658C6C6F" w14:textId="77777777" w:rsidR="009169BE" w:rsidRPr="00AC6F8D" w:rsidRDefault="005C58B8">
      <w:pPr>
        <w:tabs>
          <w:tab w:val="left" w:pos="2835"/>
        </w:tabs>
        <w:spacing w:before="280" w:after="28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En este sentido, la disposición Décima Octava de los Lineamientos Generales de Clasificación y Desclasificación de la Información, así como para la Elaboración de Versiones Públicas, prevé lo siguiente:</w:t>
      </w:r>
    </w:p>
    <w:p w14:paraId="5728C0EE" w14:textId="77777777" w:rsidR="009169BE" w:rsidRPr="00AC6F8D" w:rsidRDefault="005C58B8">
      <w:pPr>
        <w:tabs>
          <w:tab w:val="left" w:pos="2835"/>
        </w:tabs>
        <w:spacing w:before="120" w:after="120"/>
        <w:ind w:left="851" w:right="900"/>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Décimo octavo</w:t>
      </w:r>
      <w:r w:rsidRPr="00AC6F8D">
        <w:rPr>
          <w:rFonts w:ascii="Palatino Linotype" w:eastAsia="Palatino Linotype" w:hAnsi="Palatino Linotype" w:cs="Palatino Linotype"/>
          <w:i/>
          <w:sz w:val="22"/>
          <w:szCs w:val="22"/>
        </w:rPr>
        <w:t xml:space="preserve">. De conformidad con el </w:t>
      </w:r>
      <w:r w:rsidRPr="00AC6F8D">
        <w:rPr>
          <w:rFonts w:ascii="Palatino Linotype" w:eastAsia="Palatino Linotype" w:hAnsi="Palatino Linotype" w:cs="Palatino Linotype"/>
          <w:b/>
          <w:i/>
          <w:sz w:val="22"/>
          <w:szCs w:val="22"/>
        </w:rPr>
        <w:t>artículo 113, fracción I</w:t>
      </w:r>
      <w:r w:rsidRPr="00AC6F8D">
        <w:rPr>
          <w:rFonts w:ascii="Palatino Linotype" w:eastAsia="Palatino Linotype" w:hAnsi="Palatino Linotype" w:cs="Palatino Linotype"/>
          <w:i/>
          <w:sz w:val="22"/>
          <w:szCs w:val="22"/>
        </w:rPr>
        <w:t xml:space="preserve"> de la Ley General, </w:t>
      </w:r>
      <w:r w:rsidRPr="00AC6F8D">
        <w:rPr>
          <w:rFonts w:ascii="Palatino Linotype" w:eastAsia="Palatino Linotype" w:hAnsi="Palatino Linotype" w:cs="Palatino Linotype"/>
          <w:b/>
          <w:i/>
          <w:sz w:val="22"/>
          <w:szCs w:val="22"/>
        </w:rPr>
        <w:t xml:space="preserve">podrá considerarse como información reservada, aquella que comprometa la seguridad pública, al poner en peligro las funciones a cargo de </w:t>
      </w:r>
      <w:r w:rsidRPr="00AC6F8D">
        <w:rPr>
          <w:rFonts w:ascii="Palatino Linotype" w:eastAsia="Palatino Linotype" w:hAnsi="Palatino Linotype" w:cs="Palatino Linotype"/>
          <w:i/>
          <w:sz w:val="22"/>
          <w:szCs w:val="22"/>
        </w:rPr>
        <w:t>la Federación, la Ciudad de México, los Estados y</w:t>
      </w:r>
      <w:r w:rsidRPr="00AC6F8D">
        <w:rPr>
          <w:rFonts w:ascii="Palatino Linotype" w:eastAsia="Palatino Linotype" w:hAnsi="Palatino Linotype" w:cs="Palatino Linotype"/>
          <w:b/>
          <w:i/>
          <w:sz w:val="22"/>
          <w:szCs w:val="22"/>
        </w:rPr>
        <w:t xml:space="preserve"> los Municipios</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tendientes a preservar y resguardar la vida, la salud, la integridad y el ejercicio de los derechos de las personas</w:t>
      </w:r>
      <w:r w:rsidRPr="00AC6F8D">
        <w:rPr>
          <w:rFonts w:ascii="Palatino Linotype" w:eastAsia="Palatino Linotype" w:hAnsi="Palatino Linotype" w:cs="Palatino Linotype"/>
          <w:i/>
          <w:sz w:val="22"/>
          <w:szCs w:val="22"/>
        </w:rPr>
        <w:t xml:space="preserve">, así como </w:t>
      </w:r>
      <w:r w:rsidRPr="00AC6F8D">
        <w:rPr>
          <w:rFonts w:ascii="Palatino Linotype" w:eastAsia="Palatino Linotype" w:hAnsi="Palatino Linotype" w:cs="Palatino Linotype"/>
          <w:b/>
          <w:i/>
          <w:sz w:val="22"/>
          <w:szCs w:val="22"/>
        </w:rPr>
        <w:t xml:space="preserve">para el mantenimiento del orden público. </w:t>
      </w:r>
    </w:p>
    <w:p w14:paraId="517E45CC" w14:textId="77777777" w:rsidR="009169BE" w:rsidRPr="00AC6F8D" w:rsidRDefault="005C58B8">
      <w:pPr>
        <w:tabs>
          <w:tab w:val="left" w:pos="2835"/>
        </w:tabs>
        <w:spacing w:before="120" w:after="12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74488D0E" w14:textId="77777777" w:rsidR="009169BE" w:rsidRPr="00AC6F8D" w:rsidRDefault="005C58B8">
      <w:pPr>
        <w:tabs>
          <w:tab w:val="left" w:pos="2835"/>
        </w:tabs>
        <w:spacing w:before="120" w:after="12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Asimismo, </w:t>
      </w:r>
      <w:r w:rsidRPr="00AC6F8D">
        <w:rPr>
          <w:rFonts w:ascii="Palatino Linotype" w:eastAsia="Palatino Linotype" w:hAnsi="Palatino Linotype" w:cs="Palatino Linotype"/>
          <w:b/>
          <w:i/>
          <w:sz w:val="22"/>
          <w:szCs w:val="22"/>
        </w:rPr>
        <w:t>podrá considerarse como reservada aquella que revele datos que pudieran ser aprovechados para conocer la capacidad de reacción de las instituciones encargadas de la seguridad pública</w:t>
      </w:r>
      <w:r w:rsidRPr="00AC6F8D">
        <w:rPr>
          <w:rFonts w:ascii="Palatino Linotype" w:eastAsia="Palatino Linotype" w:hAnsi="Palatino Linotype" w:cs="Palatino Linotype"/>
          <w:i/>
          <w:sz w:val="22"/>
          <w:szCs w:val="22"/>
        </w:rPr>
        <w:t>, sus planes, estrategias, tecnología, información, sistemas de comunicaciones.”</w:t>
      </w:r>
    </w:p>
    <w:p w14:paraId="1E584C26"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De la normatividad citada, se desprende que el supuesto de clasificación invocado por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prevé que podrá clasificarse como información reservada aquella que de divulgarse </w:t>
      </w:r>
      <w:r w:rsidRPr="00AC6F8D">
        <w:rPr>
          <w:rFonts w:ascii="Palatino Linotype" w:eastAsia="Palatino Linotype" w:hAnsi="Palatino Linotype" w:cs="Palatino Linotype"/>
          <w:b/>
        </w:rPr>
        <w:t>comprometa la seguridad pública al poner en peligro las funciones a cargo de los municipios</w:t>
      </w:r>
      <w:r w:rsidRPr="00AC6F8D">
        <w:rPr>
          <w:rFonts w:ascii="Palatino Linotype" w:eastAsia="Palatino Linotype" w:hAnsi="Palatino Linotype" w:cs="Palatino Linotype"/>
        </w:rPr>
        <w:t>,</w:t>
      </w:r>
      <w:r w:rsidRPr="00AC6F8D">
        <w:t xml:space="preserve"> </w:t>
      </w:r>
      <w:r w:rsidRPr="00AC6F8D">
        <w:rPr>
          <w:rFonts w:ascii="Palatino Linotype" w:eastAsia="Palatino Linotype" w:hAnsi="Palatino Linotype" w:cs="Palatino Linotype"/>
        </w:rPr>
        <w:t xml:space="preserve">tendentes a preservar y resguardar la vida, la salud, la integridad y el ejercicio de los derechos de las personas, así como para el mantenimiento del orden público; aquella que de difundirse ponga en peligro el orden público al entorpecer los sistemas de coordinación interinstitucional en </w:t>
      </w:r>
      <w:r w:rsidRPr="00AC6F8D">
        <w:rPr>
          <w:rFonts w:ascii="Palatino Linotype" w:eastAsia="Palatino Linotype" w:hAnsi="Palatino Linotype" w:cs="Palatino Linotype"/>
        </w:rPr>
        <w:lastRenderedPageBreak/>
        <w:t xml:space="preserve">materia de seguridad pública, menoscabar o dificultar las estrategias contra la evasión de reos; o menoscabar o limitar la capacidad de las autoridades encaminadas a disuadir o prevenir disturbios sociales; así como aquella que </w:t>
      </w:r>
      <w:r w:rsidRPr="00AC6F8D">
        <w:rPr>
          <w:rFonts w:ascii="Palatino Linotype" w:eastAsia="Palatino Linotype" w:hAnsi="Palatino Linotype" w:cs="Palatino Linotype"/>
          <w:b/>
          <w:u w:val="single"/>
        </w:rPr>
        <w:t>revele datos que pudieran ser aprovechados para conocer la capacidad de reacción de las instituciones encargadas de la seguridad pública</w:t>
      </w:r>
      <w:r w:rsidRPr="00AC6F8D">
        <w:rPr>
          <w:rFonts w:ascii="Palatino Linotype" w:eastAsia="Palatino Linotype" w:hAnsi="Palatino Linotype" w:cs="Palatino Linotype"/>
        </w:rPr>
        <w:t>, sus planes, estrategias, tecnología, información, sistemas de comunicaciones.</w:t>
      </w:r>
    </w:p>
    <w:p w14:paraId="3C6DFD3C"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En ese sentido, en el presente asunto se advierte que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no acreditó fehacientemente que el proporcionar el número total de armamento en operación o en uso, del armamento fuera de operación o de uso y los conceptos por los cuales dicho armamento esta fuera de uso, así como el número de chalecos antibalas o balísticos, y el estado en el que se encuentra, a la fecha de presentación de la solicitud, pudiera: </w:t>
      </w:r>
    </w:p>
    <w:p w14:paraId="6298BFCF" w14:textId="77777777" w:rsidR="009169BE" w:rsidRPr="00AC6F8D" w:rsidRDefault="005C58B8">
      <w:pPr>
        <w:spacing w:before="240" w:after="240" w:line="360" w:lineRule="auto"/>
        <w:ind w:left="142"/>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 Comprometer la seguridad pública al poner en peligro las funciones a cargo del Municipio, tendentes a preservar y resguardar la vida, la salud, la integridad y el ejercicio de los derechos de las personas, así como para el mantenimiento del orden público; </w:t>
      </w:r>
    </w:p>
    <w:p w14:paraId="19036050" w14:textId="77777777" w:rsidR="009169BE" w:rsidRPr="00AC6F8D" w:rsidRDefault="005C58B8">
      <w:pPr>
        <w:spacing w:before="240" w:after="240" w:line="360" w:lineRule="auto"/>
        <w:ind w:left="142"/>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 Entorpecer los sistemas de coordinación interinstitucional en materia de seguridad pública o limitar la capacidad de las autoridades encaminadas a disuadir o prevenir disturbios sociales; </w:t>
      </w:r>
    </w:p>
    <w:p w14:paraId="3192970F" w14:textId="77777777" w:rsidR="009169BE" w:rsidRPr="00AC6F8D" w:rsidRDefault="005C58B8">
      <w:pPr>
        <w:spacing w:before="240" w:after="240" w:line="360" w:lineRule="auto"/>
        <w:ind w:left="142"/>
        <w:jc w:val="both"/>
        <w:rPr>
          <w:rFonts w:ascii="Palatino Linotype" w:eastAsia="Palatino Linotype" w:hAnsi="Palatino Linotype" w:cs="Palatino Linotype"/>
        </w:rPr>
      </w:pPr>
      <w:r w:rsidRPr="00AC6F8D">
        <w:rPr>
          <w:rFonts w:ascii="Palatino Linotype" w:eastAsia="Palatino Linotype" w:hAnsi="Palatino Linotype" w:cs="Palatino Linotype"/>
        </w:rPr>
        <w:t>- Revelar datos que pudieran ser aprovechados para conocer la capacidad de reacción de las instituciones encargadas de la seguridad pública, sus planes, estrategias, tecnología, información, sistemas de comunicaciones.</w:t>
      </w:r>
    </w:p>
    <w:p w14:paraId="5FB9E48D"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Por tales circunstancias, se estima que en el caso que nos ocupa, no se acredita la reserva de la información bajo la causal analizada.</w:t>
      </w:r>
    </w:p>
    <w:p w14:paraId="7981E7B6" w14:textId="77777777" w:rsidR="009169BE" w:rsidRPr="00AC6F8D" w:rsidRDefault="005C58B8">
      <w:pPr>
        <w:tabs>
          <w:tab w:val="left" w:pos="4962"/>
        </w:tabs>
        <w:spacing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07A31FF1" w14:textId="77777777" w:rsidR="009169BE" w:rsidRPr="00AC6F8D" w:rsidRDefault="005C58B8">
      <w:pPr>
        <w:numPr>
          <w:ilvl w:val="0"/>
          <w:numId w:val="5"/>
        </w:numPr>
        <w:tabs>
          <w:tab w:val="left" w:pos="851"/>
          <w:tab w:val="left" w:pos="4962"/>
        </w:tabs>
        <w:spacing w:line="360" w:lineRule="auto"/>
        <w:ind w:left="426" w:hanging="12"/>
        <w:jc w:val="both"/>
        <w:rPr>
          <w:rFonts w:ascii="Palatino Linotype" w:eastAsia="Palatino Linotype" w:hAnsi="Palatino Linotype" w:cs="Palatino Linotype"/>
        </w:rPr>
      </w:pPr>
      <w:r w:rsidRPr="00AC6F8D">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180D068B" w14:textId="77777777" w:rsidR="009169BE" w:rsidRPr="00AC6F8D" w:rsidRDefault="005C58B8">
      <w:pPr>
        <w:numPr>
          <w:ilvl w:val="0"/>
          <w:numId w:val="5"/>
        </w:numPr>
        <w:tabs>
          <w:tab w:val="left" w:pos="851"/>
          <w:tab w:val="left" w:pos="4962"/>
        </w:tabs>
        <w:spacing w:line="360" w:lineRule="auto"/>
        <w:ind w:left="426" w:hanging="12"/>
        <w:jc w:val="both"/>
        <w:rPr>
          <w:rFonts w:ascii="Palatino Linotype" w:eastAsia="Palatino Linotype" w:hAnsi="Palatino Linotype" w:cs="Palatino Linotype"/>
        </w:rPr>
      </w:pPr>
      <w:r w:rsidRPr="00AC6F8D">
        <w:rPr>
          <w:rFonts w:ascii="Palatino Linotype" w:eastAsia="Palatino Linotype" w:hAnsi="Palatino Linotype" w:cs="Palatino Linotype"/>
        </w:rPr>
        <w:t>El riesgo de perjuicio supera el interés público general de que se difunda.</w:t>
      </w:r>
    </w:p>
    <w:p w14:paraId="46C0B97E" w14:textId="77777777" w:rsidR="009169BE" w:rsidRPr="00AC6F8D" w:rsidRDefault="005C58B8">
      <w:pPr>
        <w:numPr>
          <w:ilvl w:val="0"/>
          <w:numId w:val="5"/>
        </w:numPr>
        <w:tabs>
          <w:tab w:val="left" w:pos="851"/>
          <w:tab w:val="left" w:pos="4962"/>
        </w:tabs>
        <w:spacing w:line="360" w:lineRule="auto"/>
        <w:ind w:left="426" w:hanging="12"/>
        <w:jc w:val="both"/>
        <w:rPr>
          <w:rFonts w:ascii="Palatino Linotype" w:eastAsia="Palatino Linotype" w:hAnsi="Palatino Linotype" w:cs="Palatino Linotype"/>
        </w:rPr>
      </w:pPr>
      <w:r w:rsidRPr="00AC6F8D">
        <w:rPr>
          <w:rFonts w:ascii="Palatino Linotype" w:eastAsia="Palatino Linotype" w:hAnsi="Palatino Linotype" w:cs="Palatino Linotype"/>
        </w:rPr>
        <w:t>Que la limitación se adecua al principio de proporcionalidad y representa el medio menos restrictivo disponible para evitar el perjuicio.</w:t>
      </w:r>
    </w:p>
    <w:p w14:paraId="6A98FD0C"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 mayor abundamiento, se analizará el Acta del Comité de Transparencia y su prueba de daño, a fin de establecer si esta cumple con las formalidades exigidas por el artículo 113 de la Ley General de Transparencia y Acceso a la Información Pública, la disposición Trigésima, fracción I de los Lineamientos Generales en Materia de Clasificación y Desclasificación de la Información, así como para la Elaboración de Versiones Públicas, y los artículos 91, 128, 129, 140, y 141, de la Ley de Transparencia y Acceso a la Información Pública del Estado de México y Municipios, se analizará lo siguiente: </w:t>
      </w:r>
    </w:p>
    <w:p w14:paraId="0A30B33E" w14:textId="77777777" w:rsidR="009169BE" w:rsidRPr="00AC6F8D" w:rsidRDefault="009169BE">
      <w:pPr>
        <w:spacing w:before="240" w:after="240" w:line="360" w:lineRule="auto"/>
        <w:jc w:val="both"/>
        <w:rPr>
          <w:rFonts w:ascii="Palatino Linotype" w:eastAsia="Palatino Linotype" w:hAnsi="Palatino Linotype" w:cs="Palatino Linotype"/>
        </w:rPr>
      </w:pP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AC6F8D" w:rsidRPr="00AC6F8D" w14:paraId="37AB64D3"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09590AFF" w14:textId="77777777" w:rsidR="009169BE" w:rsidRPr="00AC6F8D" w:rsidRDefault="005C58B8">
            <w:pPr>
              <w:jc w:val="center"/>
              <w:rPr>
                <w:rFonts w:ascii="Palatino Linotype" w:eastAsia="Palatino Linotype" w:hAnsi="Palatino Linotype" w:cs="Palatino Linotype"/>
                <w:b/>
                <w:sz w:val="18"/>
                <w:szCs w:val="18"/>
              </w:rPr>
            </w:pPr>
            <w:r w:rsidRPr="00AC6F8D">
              <w:rPr>
                <w:rFonts w:ascii="Palatino Linotype" w:eastAsia="Palatino Linotype" w:hAnsi="Palatino Linotype" w:cs="Palatino Linotype"/>
                <w:b/>
                <w:sz w:val="18"/>
                <w:szCs w:val="18"/>
              </w:rPr>
              <w:lastRenderedPageBreak/>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38079854"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166B9121"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t>¿Cumple?</w:t>
            </w:r>
          </w:p>
        </w:tc>
      </w:tr>
      <w:tr w:rsidR="00AC6F8D" w:rsidRPr="00AC6F8D" w14:paraId="0BAEA042" w14:textId="77777777">
        <w:tc>
          <w:tcPr>
            <w:tcW w:w="1413" w:type="dxa"/>
            <w:tcBorders>
              <w:top w:val="single" w:sz="4" w:space="0" w:color="000000"/>
              <w:left w:val="single" w:sz="4" w:space="0" w:color="000000"/>
              <w:bottom w:val="single" w:sz="4" w:space="0" w:color="000000"/>
              <w:right w:val="single" w:sz="4" w:space="0" w:color="000000"/>
            </w:tcBorders>
          </w:tcPr>
          <w:p w14:paraId="4547B138" w14:textId="77777777" w:rsidR="009169BE" w:rsidRPr="00AC6F8D" w:rsidRDefault="005C58B8">
            <w:pPr>
              <w:jc w:val="center"/>
              <w:rPr>
                <w:rFonts w:ascii="Palatino Linotype" w:eastAsia="Palatino Linotype" w:hAnsi="Palatino Linotype" w:cs="Palatino Linotype"/>
                <w:sz w:val="18"/>
                <w:szCs w:val="18"/>
              </w:rPr>
            </w:pPr>
            <w:r w:rsidRPr="00AC6F8D">
              <w:rPr>
                <w:rFonts w:ascii="Palatino Linotype" w:eastAsia="Palatino Linotype" w:hAnsi="Palatino Linotype" w:cs="Palatino Linotype"/>
                <w:b/>
                <w:sz w:val="18"/>
                <w:szCs w:val="18"/>
              </w:rPr>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6A667E85" w14:textId="77777777" w:rsidR="009169BE" w:rsidRPr="00AC6F8D" w:rsidRDefault="005C58B8">
            <w:pP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131C108C" wp14:editId="36B3884D">
                  <wp:extent cx="3193415" cy="793750"/>
                  <wp:effectExtent l="0" t="0" r="0" b="0"/>
                  <wp:docPr id="19841231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93415" cy="79375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79109199"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t>Sí</w:t>
            </w:r>
          </w:p>
        </w:tc>
      </w:tr>
      <w:tr w:rsidR="00AC6F8D" w:rsidRPr="00AC6F8D" w14:paraId="63A4F5BB" w14:textId="77777777">
        <w:tc>
          <w:tcPr>
            <w:tcW w:w="1413" w:type="dxa"/>
            <w:tcBorders>
              <w:top w:val="single" w:sz="4" w:space="0" w:color="000000"/>
              <w:left w:val="single" w:sz="4" w:space="0" w:color="000000"/>
              <w:bottom w:val="single" w:sz="4" w:space="0" w:color="000000"/>
              <w:right w:val="single" w:sz="4" w:space="0" w:color="000000"/>
            </w:tcBorders>
          </w:tcPr>
          <w:p w14:paraId="4546B940" w14:textId="77777777" w:rsidR="009169BE" w:rsidRPr="00AC6F8D" w:rsidRDefault="005C58B8">
            <w:pPr>
              <w:jc w:val="center"/>
              <w:rPr>
                <w:rFonts w:ascii="Palatino Linotype" w:eastAsia="Palatino Linotype" w:hAnsi="Palatino Linotype" w:cs="Palatino Linotype"/>
                <w:sz w:val="18"/>
                <w:szCs w:val="18"/>
              </w:rPr>
            </w:pPr>
            <w:r w:rsidRPr="00AC6F8D">
              <w:rPr>
                <w:rFonts w:ascii="Palatino Linotype" w:eastAsia="Palatino Linotype" w:hAnsi="Palatino Linotype" w:cs="Palatino Linotype"/>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453DABB5" w14:textId="77777777" w:rsidR="009169BE" w:rsidRPr="00AC6F8D" w:rsidRDefault="005C58B8">
            <w:pPr>
              <w:jc w:val="cente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2080C9B7" wp14:editId="07C73FDC">
                  <wp:extent cx="3193415" cy="737235"/>
                  <wp:effectExtent l="0" t="0" r="0" b="0"/>
                  <wp:docPr id="19841231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193415" cy="737235"/>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69F12853" w14:textId="77777777" w:rsidR="009169BE" w:rsidRPr="00AC6F8D" w:rsidRDefault="005C58B8">
            <w:pPr>
              <w:jc w:val="center"/>
              <w:rPr>
                <w:rFonts w:ascii="Palatino Linotype" w:eastAsia="Palatino Linotype" w:hAnsi="Palatino Linotype" w:cs="Palatino Linotype"/>
                <w:sz w:val="20"/>
                <w:szCs w:val="20"/>
              </w:rPr>
            </w:pPr>
            <w:r w:rsidRPr="00AC6F8D">
              <w:rPr>
                <w:rFonts w:ascii="Palatino Linotype" w:eastAsia="Palatino Linotype" w:hAnsi="Palatino Linotype" w:cs="Palatino Linotype"/>
                <w:b/>
                <w:sz w:val="20"/>
                <w:szCs w:val="20"/>
              </w:rPr>
              <w:t>Sí</w:t>
            </w:r>
          </w:p>
        </w:tc>
      </w:tr>
      <w:tr w:rsidR="00AC6F8D" w:rsidRPr="00AC6F8D" w14:paraId="524752BB" w14:textId="77777777">
        <w:tc>
          <w:tcPr>
            <w:tcW w:w="1413" w:type="dxa"/>
            <w:tcBorders>
              <w:top w:val="single" w:sz="4" w:space="0" w:color="000000"/>
              <w:left w:val="single" w:sz="4" w:space="0" w:color="000000"/>
              <w:bottom w:val="single" w:sz="4" w:space="0" w:color="000000"/>
              <w:right w:val="single" w:sz="4" w:space="0" w:color="000000"/>
            </w:tcBorders>
          </w:tcPr>
          <w:p w14:paraId="4A73F142" w14:textId="77777777" w:rsidR="009169BE" w:rsidRPr="00AC6F8D" w:rsidRDefault="005C58B8">
            <w:pPr>
              <w:jc w:val="center"/>
              <w:rPr>
                <w:rFonts w:ascii="Palatino Linotype" w:eastAsia="Palatino Linotype" w:hAnsi="Palatino Linotype" w:cs="Palatino Linotype"/>
                <w:sz w:val="18"/>
                <w:szCs w:val="18"/>
              </w:rPr>
            </w:pPr>
            <w:bookmarkStart w:id="7" w:name="_heading=h.35nkun2" w:colFirst="0" w:colLast="0"/>
            <w:bookmarkEnd w:id="7"/>
            <w:r w:rsidRPr="00AC6F8D">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5CFB4126" w14:textId="77777777" w:rsidR="009169BE" w:rsidRPr="00AC6F8D" w:rsidRDefault="005C58B8">
            <w:pPr>
              <w:jc w:val="cente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01E98E40" wp14:editId="7802F0FB">
                  <wp:extent cx="3193415" cy="904240"/>
                  <wp:effectExtent l="0" t="0" r="0" b="0"/>
                  <wp:docPr id="19841231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193415" cy="904240"/>
                          </a:xfrm>
                          <a:prstGeom prst="rect">
                            <a:avLst/>
                          </a:prstGeom>
                          <a:ln/>
                        </pic:spPr>
                      </pic:pic>
                    </a:graphicData>
                  </a:graphic>
                </wp:inline>
              </w:drawing>
            </w:r>
          </w:p>
          <w:p w14:paraId="2DFF3648" w14:textId="77777777" w:rsidR="009169BE" w:rsidRPr="00AC6F8D" w:rsidRDefault="009169BE">
            <w:pPr>
              <w:jc w:val="center"/>
              <w:rPr>
                <w:rFonts w:ascii="Palatino Linotype" w:eastAsia="Palatino Linotype" w:hAnsi="Palatino Linotype" w:cs="Palatino Linotype"/>
                <w:sz w:val="20"/>
                <w:szCs w:val="20"/>
              </w:rPr>
            </w:pPr>
          </w:p>
          <w:p w14:paraId="32D23C14" w14:textId="77777777" w:rsidR="009169BE" w:rsidRPr="00AC6F8D" w:rsidRDefault="009169BE">
            <w:pPr>
              <w:rPr>
                <w:rFonts w:ascii="Palatino Linotype" w:eastAsia="Palatino Linotype" w:hAnsi="Palatino Linotype" w:cs="Palatino Linotype"/>
                <w:sz w:val="20"/>
                <w:szCs w:val="20"/>
              </w:rPr>
            </w:pPr>
          </w:p>
        </w:tc>
        <w:tc>
          <w:tcPr>
            <w:tcW w:w="2170" w:type="dxa"/>
            <w:tcBorders>
              <w:top w:val="single" w:sz="4" w:space="0" w:color="000000"/>
              <w:left w:val="single" w:sz="4" w:space="0" w:color="000000"/>
              <w:bottom w:val="single" w:sz="4" w:space="0" w:color="000000"/>
              <w:right w:val="single" w:sz="4" w:space="0" w:color="000000"/>
            </w:tcBorders>
          </w:tcPr>
          <w:p w14:paraId="46578F86"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t>Parcialmente</w:t>
            </w:r>
          </w:p>
          <w:p w14:paraId="2829F3BA" w14:textId="77777777" w:rsidR="009169BE" w:rsidRPr="00AC6F8D" w:rsidRDefault="009169BE">
            <w:pPr>
              <w:jc w:val="center"/>
              <w:rPr>
                <w:rFonts w:ascii="Palatino Linotype" w:eastAsia="Palatino Linotype" w:hAnsi="Palatino Linotype" w:cs="Palatino Linotype"/>
                <w:b/>
                <w:sz w:val="20"/>
                <w:szCs w:val="20"/>
              </w:rPr>
            </w:pPr>
          </w:p>
          <w:p w14:paraId="6C77FD8F" w14:textId="77777777" w:rsidR="009169BE" w:rsidRPr="00AC6F8D" w:rsidRDefault="005C58B8">
            <w:pPr>
              <w:jc w:val="both"/>
              <w:rPr>
                <w:rFonts w:ascii="Palatino Linotype" w:eastAsia="Palatino Linotype" w:hAnsi="Palatino Linotype" w:cs="Palatino Linotype"/>
                <w:sz w:val="20"/>
                <w:szCs w:val="20"/>
              </w:rPr>
            </w:pPr>
            <w:r w:rsidRPr="00AC6F8D">
              <w:rPr>
                <w:rFonts w:ascii="Palatino Linotype" w:eastAsia="Palatino Linotype" w:hAnsi="Palatino Linotype" w:cs="Palatino Linotype"/>
                <w:sz w:val="20"/>
                <w:szCs w:val="20"/>
              </w:rPr>
              <w:t xml:space="preserve">En virtud de que, si bien el Sujeto Obligado señaló la causal que consideraba aplicable de conformidad con el artículo 140, fracción I de La Ley de Transparencia Local, en relación con el artículo 113, fracción I de la Ley General de Transparencia, vinculándola con la disposición Vigésimo Séptima de los Lineamientos Técnicos Generales; no hay conexidad entre esta última y la causal invocada, al no comprometerse la seguridad nacional,  aunado al hecho de que </w:t>
            </w:r>
            <w:r w:rsidRPr="00AC6F8D">
              <w:rPr>
                <w:rFonts w:ascii="Palatino Linotype" w:eastAsia="Palatino Linotype" w:hAnsi="Palatino Linotype" w:cs="Palatino Linotype"/>
                <w:b/>
                <w:sz w:val="20"/>
                <w:szCs w:val="20"/>
                <w:u w:val="single"/>
              </w:rPr>
              <w:t xml:space="preserve">la información solicitada no es susceptible de ser clasificada en su totalidad, por tratarse </w:t>
            </w:r>
            <w:r w:rsidRPr="00AC6F8D">
              <w:rPr>
                <w:rFonts w:ascii="Palatino Linotype" w:eastAsia="Palatino Linotype" w:hAnsi="Palatino Linotype" w:cs="Palatino Linotype"/>
                <w:b/>
                <w:sz w:val="20"/>
                <w:szCs w:val="20"/>
                <w:u w:val="single"/>
              </w:rPr>
              <w:lastRenderedPageBreak/>
              <w:t>de información estadística.</w:t>
            </w:r>
          </w:p>
        </w:tc>
      </w:tr>
      <w:tr w:rsidR="00AC6F8D" w:rsidRPr="00AC6F8D" w14:paraId="26DED259" w14:textId="77777777">
        <w:tc>
          <w:tcPr>
            <w:tcW w:w="1413" w:type="dxa"/>
            <w:tcBorders>
              <w:top w:val="single" w:sz="4" w:space="0" w:color="000000"/>
              <w:left w:val="single" w:sz="4" w:space="0" w:color="000000"/>
              <w:bottom w:val="single" w:sz="4" w:space="0" w:color="000000"/>
              <w:right w:val="single" w:sz="4" w:space="0" w:color="000000"/>
            </w:tcBorders>
          </w:tcPr>
          <w:p w14:paraId="153DAC79" w14:textId="77777777" w:rsidR="009169BE" w:rsidRPr="00AC6F8D" w:rsidRDefault="005C58B8">
            <w:pPr>
              <w:jc w:val="center"/>
              <w:rPr>
                <w:rFonts w:ascii="Palatino Linotype" w:eastAsia="Palatino Linotype" w:hAnsi="Palatino Linotype" w:cs="Palatino Linotype"/>
                <w:sz w:val="18"/>
                <w:szCs w:val="18"/>
              </w:rPr>
            </w:pPr>
            <w:r w:rsidRPr="00AC6F8D">
              <w:rPr>
                <w:rFonts w:ascii="Palatino Linotype" w:eastAsia="Palatino Linotype" w:hAnsi="Palatino Linotype" w:cs="Palatino Linotype"/>
                <w:b/>
                <w:sz w:val="18"/>
                <w:szCs w:val="18"/>
              </w:rPr>
              <w:lastRenderedPageBreak/>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7A0E5DF1" w14:textId="77777777" w:rsidR="009169BE" w:rsidRPr="00AC6F8D" w:rsidRDefault="005C58B8">
            <w:pP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23E3D52F" wp14:editId="76762A30">
                  <wp:extent cx="3193415" cy="3119755"/>
                  <wp:effectExtent l="0" t="0" r="0" b="0"/>
                  <wp:docPr id="19841231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93415" cy="3119755"/>
                          </a:xfrm>
                          <a:prstGeom prst="rect">
                            <a:avLst/>
                          </a:prstGeom>
                          <a:ln/>
                        </pic:spPr>
                      </pic:pic>
                    </a:graphicData>
                  </a:graphic>
                </wp:inline>
              </w:drawing>
            </w:r>
          </w:p>
          <w:p w14:paraId="1436EB67" w14:textId="77777777" w:rsidR="009169BE" w:rsidRPr="00AC6F8D" w:rsidRDefault="005C58B8">
            <w:pP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2E3D6388" wp14:editId="0420280F">
                  <wp:extent cx="3193415" cy="2649855"/>
                  <wp:effectExtent l="0" t="0" r="0" b="0"/>
                  <wp:docPr id="19841231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193415" cy="2649855"/>
                          </a:xfrm>
                          <a:prstGeom prst="rect">
                            <a:avLst/>
                          </a:prstGeom>
                          <a:ln/>
                        </pic:spPr>
                      </pic:pic>
                    </a:graphicData>
                  </a:graphic>
                </wp:inline>
              </w:drawing>
            </w:r>
          </w:p>
          <w:p w14:paraId="19F183D8" w14:textId="77777777" w:rsidR="009169BE" w:rsidRPr="00AC6F8D" w:rsidRDefault="009169BE">
            <w:pPr>
              <w:rPr>
                <w:rFonts w:ascii="Palatino Linotype" w:eastAsia="Palatino Linotype" w:hAnsi="Palatino Linotype" w:cs="Palatino Linotype"/>
                <w:sz w:val="20"/>
                <w:szCs w:val="20"/>
              </w:rPr>
            </w:pPr>
          </w:p>
        </w:tc>
        <w:tc>
          <w:tcPr>
            <w:tcW w:w="2170" w:type="dxa"/>
            <w:tcBorders>
              <w:top w:val="single" w:sz="4" w:space="0" w:color="000000"/>
              <w:left w:val="single" w:sz="4" w:space="0" w:color="000000"/>
              <w:bottom w:val="single" w:sz="4" w:space="0" w:color="000000"/>
              <w:right w:val="single" w:sz="4" w:space="0" w:color="000000"/>
            </w:tcBorders>
          </w:tcPr>
          <w:p w14:paraId="615BBC80"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t xml:space="preserve">NO </w:t>
            </w:r>
          </w:p>
          <w:p w14:paraId="175B5BD6" w14:textId="77777777" w:rsidR="009169BE" w:rsidRPr="00AC6F8D" w:rsidRDefault="005C58B8">
            <w:pPr>
              <w:tabs>
                <w:tab w:val="left" w:pos="2835"/>
              </w:tabs>
              <w:spacing w:before="280" w:after="280"/>
              <w:ind w:right="51"/>
              <w:jc w:val="both"/>
              <w:rPr>
                <w:rFonts w:ascii="Palatino Linotype" w:eastAsia="Palatino Linotype" w:hAnsi="Palatino Linotype" w:cs="Palatino Linotype"/>
                <w:sz w:val="20"/>
                <w:szCs w:val="20"/>
              </w:rPr>
            </w:pPr>
            <w:r w:rsidRPr="00AC6F8D">
              <w:rPr>
                <w:rFonts w:ascii="Palatino Linotype" w:eastAsia="Palatino Linotype" w:hAnsi="Palatino Linotype" w:cs="Palatino Linotype"/>
                <w:sz w:val="20"/>
                <w:szCs w:val="20"/>
              </w:rPr>
              <w:t xml:space="preserve">En virtud de que, si bien el Sujeto Obligado señaló la causal que consideraba aplicable de conformidad con el artículo 140, fracción I de La Ley de Transparencia Local, en relación con el artículo 113, fracción I de la Ley General de Transparencia, vinculándola con la disposición Vigésimo Séptima de los Lineamientos Técnicos Generales; no hay conexidad entre esta última y la causal invocada, al no comprometerse la seguridad nacional,  aunado al hecho de que </w:t>
            </w:r>
            <w:r w:rsidRPr="00AC6F8D">
              <w:rPr>
                <w:rFonts w:ascii="Palatino Linotype" w:eastAsia="Palatino Linotype" w:hAnsi="Palatino Linotype" w:cs="Palatino Linotype"/>
                <w:b/>
                <w:sz w:val="20"/>
                <w:szCs w:val="20"/>
                <w:u w:val="single"/>
              </w:rPr>
              <w:t>la información solicitada no es susceptible de ser clasificada en su totalidad, por tratarse de información estadística.</w:t>
            </w:r>
          </w:p>
        </w:tc>
      </w:tr>
      <w:tr w:rsidR="00AC6F8D" w:rsidRPr="00AC6F8D" w14:paraId="11A30AB3" w14:textId="77777777">
        <w:tc>
          <w:tcPr>
            <w:tcW w:w="1413" w:type="dxa"/>
            <w:tcBorders>
              <w:top w:val="single" w:sz="4" w:space="0" w:color="000000"/>
              <w:left w:val="single" w:sz="4" w:space="0" w:color="000000"/>
              <w:bottom w:val="single" w:sz="4" w:space="0" w:color="000000"/>
              <w:right w:val="single" w:sz="4" w:space="0" w:color="000000"/>
            </w:tcBorders>
          </w:tcPr>
          <w:p w14:paraId="4D385D40" w14:textId="77777777" w:rsidR="009169BE" w:rsidRPr="00AC6F8D" w:rsidRDefault="005C58B8">
            <w:pPr>
              <w:jc w:val="center"/>
              <w:rPr>
                <w:rFonts w:ascii="Palatino Linotype" w:eastAsia="Palatino Linotype" w:hAnsi="Palatino Linotype" w:cs="Palatino Linotype"/>
                <w:b/>
                <w:sz w:val="18"/>
                <w:szCs w:val="18"/>
              </w:rPr>
            </w:pPr>
            <w:r w:rsidRPr="00AC6F8D">
              <w:rPr>
                <w:rFonts w:ascii="Palatino Linotype" w:eastAsia="Palatino Linotype" w:hAnsi="Palatino Linotype" w:cs="Palatino Linotype"/>
                <w:b/>
                <w:sz w:val="18"/>
                <w:szCs w:val="18"/>
              </w:rPr>
              <w:t xml:space="preserve">Conexión entre los fundamentos y motivos que dieron origen a la Reserva </w:t>
            </w:r>
            <w:r w:rsidRPr="00AC6F8D">
              <w:rPr>
                <w:rFonts w:ascii="Palatino Linotype" w:eastAsia="Palatino Linotype" w:hAnsi="Palatino Linotype" w:cs="Palatino Linotype"/>
                <w:b/>
                <w:sz w:val="18"/>
                <w:szCs w:val="18"/>
              </w:rPr>
              <w:lastRenderedPageBreak/>
              <w:t>de la información</w:t>
            </w:r>
          </w:p>
        </w:tc>
        <w:tc>
          <w:tcPr>
            <w:tcW w:w="5245" w:type="dxa"/>
            <w:tcBorders>
              <w:top w:val="single" w:sz="4" w:space="0" w:color="000000"/>
              <w:left w:val="single" w:sz="4" w:space="0" w:color="000000"/>
              <w:bottom w:val="single" w:sz="4" w:space="0" w:color="000000"/>
              <w:right w:val="single" w:sz="4" w:space="0" w:color="000000"/>
            </w:tcBorders>
          </w:tcPr>
          <w:p w14:paraId="065E2D94" w14:textId="77777777" w:rsidR="009169BE" w:rsidRPr="00AC6F8D" w:rsidRDefault="009169BE">
            <w:pPr>
              <w:rPr>
                <w:rFonts w:ascii="Palatino Linotype" w:eastAsia="Palatino Linotype" w:hAnsi="Palatino Linotype" w:cs="Palatino Linotype"/>
                <w:sz w:val="20"/>
                <w:szCs w:val="20"/>
              </w:rPr>
            </w:pPr>
          </w:p>
          <w:p w14:paraId="66074B9F" w14:textId="77777777" w:rsidR="009169BE" w:rsidRPr="00AC6F8D" w:rsidRDefault="005C58B8">
            <w:pP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60AD7E25" wp14:editId="7ACD4235">
                  <wp:extent cx="3193415" cy="770890"/>
                  <wp:effectExtent l="0" t="0" r="0" b="0"/>
                  <wp:docPr id="19841231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193415" cy="770890"/>
                          </a:xfrm>
                          <a:prstGeom prst="rect">
                            <a:avLst/>
                          </a:prstGeom>
                          <a:ln/>
                        </pic:spPr>
                      </pic:pic>
                    </a:graphicData>
                  </a:graphic>
                </wp:inline>
              </w:drawing>
            </w:r>
          </w:p>
          <w:p w14:paraId="40ED1031" w14:textId="77777777" w:rsidR="009169BE" w:rsidRPr="00AC6F8D" w:rsidRDefault="005C58B8">
            <w:pP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lastRenderedPageBreak/>
              <w:drawing>
                <wp:inline distT="0" distB="0" distL="0" distR="0" wp14:anchorId="2F71D341" wp14:editId="3CC242F3">
                  <wp:extent cx="3193415" cy="1556385"/>
                  <wp:effectExtent l="0" t="0" r="0" b="0"/>
                  <wp:docPr id="19841231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193415" cy="1556385"/>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61930430"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lastRenderedPageBreak/>
              <w:t>NO</w:t>
            </w:r>
          </w:p>
          <w:p w14:paraId="60147DDA" w14:textId="77777777" w:rsidR="009169BE" w:rsidRPr="00AC6F8D" w:rsidRDefault="005C58B8">
            <w:pPr>
              <w:jc w:val="both"/>
              <w:rPr>
                <w:rFonts w:ascii="Palatino Linotype" w:eastAsia="Palatino Linotype" w:hAnsi="Palatino Linotype" w:cs="Palatino Linotype"/>
                <w:sz w:val="20"/>
                <w:szCs w:val="20"/>
              </w:rPr>
            </w:pPr>
            <w:r w:rsidRPr="00AC6F8D">
              <w:rPr>
                <w:rFonts w:ascii="Palatino Linotype" w:eastAsia="Palatino Linotype" w:hAnsi="Palatino Linotype" w:cs="Palatino Linotype"/>
                <w:sz w:val="20"/>
                <w:szCs w:val="20"/>
              </w:rPr>
              <w:t xml:space="preserve">No hay conexidad entre los motivos y fundamentos por los que se reservó la información. </w:t>
            </w:r>
          </w:p>
          <w:p w14:paraId="0D2CFAED" w14:textId="77777777" w:rsidR="009169BE" w:rsidRPr="00AC6F8D" w:rsidRDefault="009169BE">
            <w:pPr>
              <w:jc w:val="both"/>
              <w:rPr>
                <w:rFonts w:ascii="Palatino Linotype" w:eastAsia="Palatino Linotype" w:hAnsi="Palatino Linotype" w:cs="Palatino Linotype"/>
                <w:sz w:val="20"/>
                <w:szCs w:val="20"/>
              </w:rPr>
            </w:pPr>
          </w:p>
        </w:tc>
      </w:tr>
      <w:tr w:rsidR="00AC6F8D" w:rsidRPr="00AC6F8D" w14:paraId="06B5CCA8"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36DE3C23" w14:textId="77777777" w:rsidR="009169BE" w:rsidRPr="00AC6F8D" w:rsidRDefault="005C58B8">
            <w:pPr>
              <w:jc w:val="center"/>
              <w:rPr>
                <w:rFonts w:ascii="Palatino Linotype" w:eastAsia="Palatino Linotype" w:hAnsi="Palatino Linotype" w:cs="Palatino Linotype"/>
                <w:b/>
                <w:sz w:val="18"/>
                <w:szCs w:val="18"/>
              </w:rPr>
            </w:pPr>
            <w:r w:rsidRPr="00AC6F8D">
              <w:rPr>
                <w:rFonts w:ascii="Palatino Linotype" w:eastAsia="Palatino Linotype" w:hAnsi="Palatino Linotype" w:cs="Palatino Linotype"/>
                <w:b/>
                <w:sz w:val="18"/>
                <w:szCs w:val="18"/>
              </w:rPr>
              <w:lastRenderedPageBreak/>
              <w:t>Elementos de la prueba de daño</w:t>
            </w:r>
          </w:p>
        </w:tc>
      </w:tr>
      <w:tr w:rsidR="00AC6F8D" w:rsidRPr="00AC6F8D" w14:paraId="4B205EB5" w14:textId="77777777">
        <w:tc>
          <w:tcPr>
            <w:tcW w:w="1413" w:type="dxa"/>
            <w:tcBorders>
              <w:top w:val="single" w:sz="4" w:space="0" w:color="000000"/>
              <w:left w:val="single" w:sz="4" w:space="0" w:color="000000"/>
              <w:bottom w:val="single" w:sz="4" w:space="0" w:color="000000"/>
              <w:right w:val="single" w:sz="4" w:space="0" w:color="000000"/>
            </w:tcBorders>
          </w:tcPr>
          <w:p w14:paraId="0778F684" w14:textId="77777777" w:rsidR="009169BE" w:rsidRPr="00AC6F8D" w:rsidRDefault="005C58B8">
            <w:pPr>
              <w:spacing w:line="256" w:lineRule="auto"/>
              <w:jc w:val="center"/>
              <w:rPr>
                <w:rFonts w:ascii="Palatino Linotype" w:eastAsia="Palatino Linotype" w:hAnsi="Palatino Linotype" w:cs="Palatino Linotype"/>
                <w:b/>
                <w:sz w:val="18"/>
                <w:szCs w:val="18"/>
              </w:rPr>
            </w:pPr>
            <w:r w:rsidRPr="00AC6F8D">
              <w:rPr>
                <w:rFonts w:ascii="Palatino Linotype" w:eastAsia="Palatino Linotype" w:hAnsi="Palatino Linotype" w:cs="Palatino Linotype"/>
                <w:b/>
                <w:sz w:val="18"/>
                <w:szCs w:val="18"/>
              </w:rPr>
              <w:t>Riesgo Real, Demostrable e Identificable</w:t>
            </w:r>
          </w:p>
          <w:p w14:paraId="4695E33F" w14:textId="77777777" w:rsidR="009169BE" w:rsidRPr="00AC6F8D" w:rsidRDefault="005C58B8">
            <w:pPr>
              <w:jc w:val="center"/>
              <w:rPr>
                <w:rFonts w:ascii="Palatino Linotype" w:eastAsia="Palatino Linotype" w:hAnsi="Palatino Linotype" w:cs="Palatino Linotype"/>
                <w:b/>
                <w:sz w:val="18"/>
                <w:szCs w:val="18"/>
              </w:rPr>
            </w:pPr>
            <w:r w:rsidRPr="00AC6F8D">
              <w:rPr>
                <w:rFonts w:ascii="Palatino Linotype" w:eastAsia="Palatino Linotype" w:hAnsi="Palatino Linotype" w:cs="Palatino Linotype"/>
                <w:b/>
                <w:sz w:val="18"/>
                <w:szCs w:val="18"/>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7F3BB1B0" w14:textId="77777777" w:rsidR="009169BE" w:rsidRPr="00AC6F8D" w:rsidRDefault="009169BE">
            <w:pPr>
              <w:rPr>
                <w:rFonts w:ascii="Palatino Linotype" w:eastAsia="Palatino Linotype" w:hAnsi="Palatino Linotype" w:cs="Palatino Linotype"/>
                <w:sz w:val="20"/>
                <w:szCs w:val="20"/>
              </w:rPr>
            </w:pPr>
          </w:p>
          <w:p w14:paraId="301CA9EB" w14:textId="77777777" w:rsidR="009169BE" w:rsidRPr="00AC6F8D" w:rsidRDefault="005C58B8">
            <w:pP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038F320F" wp14:editId="27800B65">
                  <wp:extent cx="3193415" cy="786130"/>
                  <wp:effectExtent l="0" t="0" r="0" b="0"/>
                  <wp:docPr id="19841231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193415" cy="786130"/>
                          </a:xfrm>
                          <a:prstGeom prst="rect">
                            <a:avLst/>
                          </a:prstGeom>
                          <a:ln/>
                        </pic:spPr>
                      </pic:pic>
                    </a:graphicData>
                  </a:graphic>
                </wp:inline>
              </w:drawing>
            </w:r>
          </w:p>
          <w:p w14:paraId="56AF754F" w14:textId="77777777" w:rsidR="009169BE" w:rsidRPr="00AC6F8D" w:rsidRDefault="009169BE">
            <w:pPr>
              <w:jc w:val="center"/>
              <w:rPr>
                <w:rFonts w:ascii="Palatino Linotype" w:eastAsia="Palatino Linotype" w:hAnsi="Palatino Linotype" w:cs="Palatino Linotype"/>
                <w:b/>
                <w:sz w:val="20"/>
                <w:szCs w:val="20"/>
              </w:rPr>
            </w:pPr>
          </w:p>
          <w:p w14:paraId="243448D8"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noProof/>
                <w:sz w:val="20"/>
                <w:szCs w:val="20"/>
              </w:rPr>
              <w:drawing>
                <wp:inline distT="0" distB="0" distL="0" distR="0" wp14:anchorId="7641E007" wp14:editId="583C718A">
                  <wp:extent cx="3193415" cy="1683385"/>
                  <wp:effectExtent l="0" t="0" r="0" b="0"/>
                  <wp:docPr id="19841231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3193415" cy="1683385"/>
                          </a:xfrm>
                          <a:prstGeom prst="rect">
                            <a:avLst/>
                          </a:prstGeom>
                          <a:ln/>
                        </pic:spPr>
                      </pic:pic>
                    </a:graphicData>
                  </a:graphic>
                </wp:inline>
              </w:drawing>
            </w:r>
          </w:p>
          <w:p w14:paraId="04DB4497"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noProof/>
                <w:sz w:val="20"/>
                <w:szCs w:val="20"/>
              </w:rPr>
              <w:drawing>
                <wp:inline distT="0" distB="0" distL="0" distR="0" wp14:anchorId="21DCA4DC" wp14:editId="28AD4AB7">
                  <wp:extent cx="3193415" cy="705485"/>
                  <wp:effectExtent l="0" t="0" r="0" b="0"/>
                  <wp:docPr id="19841231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193415" cy="705485"/>
                          </a:xfrm>
                          <a:prstGeom prst="rect">
                            <a:avLst/>
                          </a:prstGeom>
                          <a:ln/>
                        </pic:spPr>
                      </pic:pic>
                    </a:graphicData>
                  </a:graphic>
                </wp:inline>
              </w:drawing>
            </w:r>
            <w:r w:rsidRPr="00AC6F8D">
              <w:t xml:space="preserve"> </w:t>
            </w:r>
            <w:r w:rsidRPr="00AC6F8D">
              <w:rPr>
                <w:rFonts w:ascii="Palatino Linotype" w:eastAsia="Palatino Linotype" w:hAnsi="Palatino Linotype" w:cs="Palatino Linotype"/>
                <w:b/>
                <w:noProof/>
                <w:sz w:val="20"/>
                <w:szCs w:val="20"/>
              </w:rPr>
              <w:drawing>
                <wp:inline distT="0" distB="0" distL="0" distR="0" wp14:anchorId="1B180A33" wp14:editId="044C1774">
                  <wp:extent cx="3193415" cy="206375"/>
                  <wp:effectExtent l="0" t="0" r="0" b="0"/>
                  <wp:docPr id="19841231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193415" cy="206375"/>
                          </a:xfrm>
                          <a:prstGeom prst="rect">
                            <a:avLst/>
                          </a:prstGeom>
                          <a:ln/>
                        </pic:spPr>
                      </pic:pic>
                    </a:graphicData>
                  </a:graphic>
                </wp:inline>
              </w:drawing>
            </w:r>
          </w:p>
          <w:p w14:paraId="6AE2F838"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noProof/>
                <w:sz w:val="20"/>
                <w:szCs w:val="20"/>
              </w:rPr>
              <w:drawing>
                <wp:inline distT="0" distB="0" distL="0" distR="0" wp14:anchorId="762C7735" wp14:editId="22E623B1">
                  <wp:extent cx="3193415" cy="1527000"/>
                  <wp:effectExtent l="0" t="0" r="0" b="0"/>
                  <wp:docPr id="19841231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t="14907"/>
                          <a:stretch>
                            <a:fillRect/>
                          </a:stretch>
                        </pic:blipFill>
                        <pic:spPr>
                          <a:xfrm>
                            <a:off x="0" y="0"/>
                            <a:ext cx="3193415" cy="152700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2059725C"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t>NO</w:t>
            </w:r>
          </w:p>
          <w:p w14:paraId="2284EA32" w14:textId="77777777" w:rsidR="009169BE" w:rsidRPr="00AC6F8D" w:rsidRDefault="005C58B8">
            <w:pPr>
              <w:jc w:val="both"/>
              <w:rPr>
                <w:rFonts w:ascii="Palatino Linotype" w:eastAsia="Palatino Linotype" w:hAnsi="Palatino Linotype" w:cs="Palatino Linotype"/>
                <w:sz w:val="20"/>
                <w:szCs w:val="20"/>
              </w:rPr>
            </w:pPr>
            <w:r w:rsidRPr="00AC6F8D">
              <w:rPr>
                <w:rFonts w:ascii="Palatino Linotype" w:eastAsia="Palatino Linotype" w:hAnsi="Palatino Linotype" w:cs="Palatino Linotype"/>
                <w:sz w:val="20"/>
                <w:szCs w:val="20"/>
              </w:rPr>
              <w:t>Debido a que no se exponen los argumentos tendentes a demostrar el Riesgo Real, Demostrable e Identificable (circunstancias de modo, tiempo y lugar), que existe al hacer la entrega de la información.</w:t>
            </w:r>
          </w:p>
          <w:p w14:paraId="60195189" w14:textId="77777777" w:rsidR="009169BE" w:rsidRPr="00AC6F8D" w:rsidRDefault="009169BE">
            <w:pPr>
              <w:jc w:val="both"/>
              <w:rPr>
                <w:rFonts w:ascii="Palatino Linotype" w:eastAsia="Palatino Linotype" w:hAnsi="Palatino Linotype" w:cs="Palatino Linotype"/>
                <w:sz w:val="20"/>
                <w:szCs w:val="20"/>
              </w:rPr>
            </w:pPr>
          </w:p>
          <w:p w14:paraId="4659D8A6" w14:textId="77777777" w:rsidR="009169BE" w:rsidRPr="00AC6F8D" w:rsidRDefault="009169BE">
            <w:pPr>
              <w:jc w:val="center"/>
              <w:rPr>
                <w:rFonts w:ascii="Palatino Linotype" w:eastAsia="Palatino Linotype" w:hAnsi="Palatino Linotype" w:cs="Palatino Linotype"/>
                <w:b/>
                <w:sz w:val="20"/>
                <w:szCs w:val="20"/>
              </w:rPr>
            </w:pPr>
          </w:p>
          <w:p w14:paraId="7FD93703" w14:textId="77777777" w:rsidR="009169BE" w:rsidRPr="00AC6F8D" w:rsidRDefault="009169BE">
            <w:pPr>
              <w:jc w:val="center"/>
              <w:rPr>
                <w:rFonts w:ascii="Palatino Linotype" w:eastAsia="Palatino Linotype" w:hAnsi="Palatino Linotype" w:cs="Palatino Linotype"/>
                <w:sz w:val="20"/>
                <w:szCs w:val="20"/>
              </w:rPr>
            </w:pPr>
          </w:p>
        </w:tc>
      </w:tr>
      <w:tr w:rsidR="00AC6F8D" w:rsidRPr="00AC6F8D" w14:paraId="19ABDA75" w14:textId="77777777">
        <w:tc>
          <w:tcPr>
            <w:tcW w:w="1413" w:type="dxa"/>
            <w:tcBorders>
              <w:top w:val="single" w:sz="4" w:space="0" w:color="000000"/>
              <w:left w:val="single" w:sz="4" w:space="0" w:color="000000"/>
              <w:bottom w:val="single" w:sz="4" w:space="0" w:color="000000"/>
              <w:right w:val="single" w:sz="4" w:space="0" w:color="000000"/>
            </w:tcBorders>
          </w:tcPr>
          <w:p w14:paraId="33DE1FE5" w14:textId="77777777" w:rsidR="009169BE" w:rsidRPr="00AC6F8D" w:rsidRDefault="005C58B8">
            <w:pPr>
              <w:jc w:val="center"/>
              <w:rPr>
                <w:rFonts w:ascii="Palatino Linotype" w:eastAsia="Palatino Linotype" w:hAnsi="Palatino Linotype" w:cs="Palatino Linotype"/>
                <w:b/>
                <w:sz w:val="18"/>
                <w:szCs w:val="18"/>
              </w:rPr>
            </w:pPr>
            <w:r w:rsidRPr="00AC6F8D">
              <w:rPr>
                <w:rFonts w:ascii="Palatino Linotype" w:eastAsia="Palatino Linotype" w:hAnsi="Palatino Linotype" w:cs="Palatino Linotype"/>
                <w:b/>
                <w:sz w:val="18"/>
                <w:szCs w:val="18"/>
              </w:rPr>
              <w:lastRenderedPageBreak/>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6B7A5B5F"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noProof/>
                <w:sz w:val="20"/>
                <w:szCs w:val="20"/>
              </w:rPr>
              <w:drawing>
                <wp:inline distT="0" distB="0" distL="0" distR="0" wp14:anchorId="71F40574" wp14:editId="39823046">
                  <wp:extent cx="3193415" cy="800100"/>
                  <wp:effectExtent l="0" t="0" r="0" b="0"/>
                  <wp:docPr id="19841231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3193415" cy="80010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50103AC8" w14:textId="77777777" w:rsidR="009169BE" w:rsidRPr="00AC6F8D" w:rsidRDefault="005C58B8">
            <w:pPr>
              <w:jc w:val="center"/>
              <w:rPr>
                <w:rFonts w:ascii="Palatino Linotype" w:eastAsia="Palatino Linotype" w:hAnsi="Palatino Linotype" w:cs="Palatino Linotype"/>
                <w:b/>
                <w:sz w:val="20"/>
                <w:szCs w:val="20"/>
              </w:rPr>
            </w:pPr>
            <w:r w:rsidRPr="00AC6F8D">
              <w:rPr>
                <w:rFonts w:ascii="Palatino Linotype" w:eastAsia="Palatino Linotype" w:hAnsi="Palatino Linotype" w:cs="Palatino Linotype"/>
                <w:b/>
                <w:sz w:val="20"/>
                <w:szCs w:val="20"/>
              </w:rPr>
              <w:t>Sí</w:t>
            </w:r>
          </w:p>
        </w:tc>
      </w:tr>
      <w:tr w:rsidR="00AC6F8D" w:rsidRPr="00AC6F8D" w14:paraId="537C5071" w14:textId="77777777">
        <w:tc>
          <w:tcPr>
            <w:tcW w:w="1413" w:type="dxa"/>
            <w:tcBorders>
              <w:top w:val="single" w:sz="4" w:space="0" w:color="000000"/>
              <w:left w:val="single" w:sz="4" w:space="0" w:color="000000"/>
              <w:bottom w:val="single" w:sz="4" w:space="0" w:color="000000"/>
              <w:right w:val="single" w:sz="4" w:space="0" w:color="000000"/>
            </w:tcBorders>
          </w:tcPr>
          <w:p w14:paraId="70E87F23" w14:textId="77777777" w:rsidR="009169BE" w:rsidRPr="00AC6F8D" w:rsidRDefault="005C58B8">
            <w:pPr>
              <w:jc w:val="center"/>
              <w:rPr>
                <w:rFonts w:ascii="Palatino Linotype" w:eastAsia="Palatino Linotype" w:hAnsi="Palatino Linotype" w:cs="Palatino Linotype"/>
                <w:b/>
                <w:sz w:val="18"/>
                <w:szCs w:val="18"/>
              </w:rPr>
            </w:pPr>
            <w:r w:rsidRPr="00AC6F8D">
              <w:rPr>
                <w:rFonts w:ascii="Palatino Linotype" w:eastAsia="Palatino Linotype" w:hAnsi="Palatino Linotype" w:cs="Palatino Linotype"/>
                <w:b/>
                <w:sz w:val="18"/>
                <w:szCs w:val="18"/>
              </w:rPr>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22624A3E" w14:textId="77777777" w:rsidR="009169BE" w:rsidRPr="00AC6F8D" w:rsidRDefault="009169BE">
            <w:pPr>
              <w:jc w:val="center"/>
              <w:rPr>
                <w:rFonts w:ascii="Palatino Linotype" w:eastAsia="Palatino Linotype" w:hAnsi="Palatino Linotype" w:cs="Palatino Linotype"/>
                <w:sz w:val="20"/>
                <w:szCs w:val="20"/>
              </w:rPr>
            </w:pPr>
          </w:p>
          <w:p w14:paraId="2FC6EEFC" w14:textId="77777777" w:rsidR="009169BE" w:rsidRPr="00AC6F8D" w:rsidRDefault="005C58B8">
            <w:pPr>
              <w:jc w:val="cente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5282AE18" wp14:editId="7A5D9F30">
                  <wp:extent cx="3193415" cy="890905"/>
                  <wp:effectExtent l="0" t="0" r="0" b="0"/>
                  <wp:docPr id="19841231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3193415" cy="890905"/>
                          </a:xfrm>
                          <a:prstGeom prst="rect">
                            <a:avLst/>
                          </a:prstGeom>
                          <a:ln/>
                        </pic:spPr>
                      </pic:pic>
                    </a:graphicData>
                  </a:graphic>
                </wp:inline>
              </w:drawing>
            </w:r>
          </w:p>
          <w:p w14:paraId="7DCB17CE" w14:textId="77777777" w:rsidR="009169BE" w:rsidRPr="00AC6F8D" w:rsidRDefault="005C58B8">
            <w:pPr>
              <w:jc w:val="center"/>
              <w:rPr>
                <w:rFonts w:ascii="Palatino Linotype" w:eastAsia="Palatino Linotype" w:hAnsi="Palatino Linotype" w:cs="Palatino Linotype"/>
                <w:sz w:val="20"/>
                <w:szCs w:val="20"/>
              </w:rPr>
            </w:pPr>
            <w:r w:rsidRPr="00AC6F8D">
              <w:rPr>
                <w:rFonts w:ascii="Palatino Linotype" w:eastAsia="Palatino Linotype" w:hAnsi="Palatino Linotype" w:cs="Palatino Linotype"/>
                <w:noProof/>
                <w:sz w:val="20"/>
                <w:szCs w:val="20"/>
              </w:rPr>
              <w:drawing>
                <wp:inline distT="0" distB="0" distL="0" distR="0" wp14:anchorId="74B0F7C9" wp14:editId="441EC3E5">
                  <wp:extent cx="3193415" cy="2519045"/>
                  <wp:effectExtent l="0" t="0" r="0" b="0"/>
                  <wp:docPr id="19841231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3193415" cy="2519045"/>
                          </a:xfrm>
                          <a:prstGeom prst="rect">
                            <a:avLst/>
                          </a:prstGeom>
                          <a:ln/>
                        </pic:spPr>
                      </pic:pic>
                    </a:graphicData>
                  </a:graphic>
                </wp:inline>
              </w:drawing>
            </w:r>
          </w:p>
          <w:p w14:paraId="735D2701" w14:textId="77777777" w:rsidR="009169BE" w:rsidRPr="00AC6F8D" w:rsidRDefault="009169BE">
            <w:pPr>
              <w:jc w:val="center"/>
              <w:rPr>
                <w:rFonts w:ascii="Palatino Linotype" w:eastAsia="Palatino Linotype" w:hAnsi="Palatino Linotype" w:cs="Palatino Linotype"/>
                <w:sz w:val="20"/>
                <w:szCs w:val="20"/>
              </w:rPr>
            </w:pPr>
          </w:p>
        </w:tc>
        <w:tc>
          <w:tcPr>
            <w:tcW w:w="2170" w:type="dxa"/>
            <w:tcBorders>
              <w:top w:val="single" w:sz="4" w:space="0" w:color="000000"/>
              <w:left w:val="single" w:sz="4" w:space="0" w:color="000000"/>
              <w:bottom w:val="single" w:sz="4" w:space="0" w:color="000000"/>
              <w:right w:val="single" w:sz="4" w:space="0" w:color="000000"/>
            </w:tcBorders>
          </w:tcPr>
          <w:p w14:paraId="57AE443A" w14:textId="77777777" w:rsidR="009169BE" w:rsidRPr="00AC6F8D" w:rsidRDefault="005C58B8">
            <w:pPr>
              <w:jc w:val="center"/>
              <w:rPr>
                <w:rFonts w:ascii="Palatino Linotype" w:eastAsia="Palatino Linotype" w:hAnsi="Palatino Linotype" w:cs="Palatino Linotype"/>
                <w:sz w:val="20"/>
                <w:szCs w:val="20"/>
              </w:rPr>
            </w:pPr>
            <w:r w:rsidRPr="00AC6F8D">
              <w:rPr>
                <w:rFonts w:ascii="Palatino Linotype" w:eastAsia="Palatino Linotype" w:hAnsi="Palatino Linotype" w:cs="Palatino Linotype"/>
                <w:b/>
                <w:sz w:val="20"/>
                <w:szCs w:val="20"/>
              </w:rPr>
              <w:t>Sí</w:t>
            </w:r>
          </w:p>
        </w:tc>
      </w:tr>
    </w:tbl>
    <w:p w14:paraId="6326E40D" w14:textId="77777777" w:rsidR="009169BE" w:rsidRPr="00AC6F8D" w:rsidRDefault="005C58B8">
      <w:pPr>
        <w:spacing w:before="240" w:after="240" w:line="360" w:lineRule="auto"/>
        <w:jc w:val="both"/>
        <w:rPr>
          <w:rFonts w:ascii="Palatino Linotype" w:eastAsia="Palatino Linotype" w:hAnsi="Palatino Linotype" w:cs="Palatino Linotype"/>
          <w:b/>
          <w:u w:val="single"/>
        </w:rPr>
      </w:pPr>
      <w:r w:rsidRPr="00AC6F8D">
        <w:rPr>
          <w:rFonts w:ascii="Palatino Linotype" w:eastAsia="Palatino Linotype" w:hAnsi="Palatino Linotype" w:cs="Palatino Linotype"/>
        </w:rPr>
        <w:t xml:space="preserve">De lo anterior, si bien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a través del acuerdo emitido por su Comité de Transparencia realizó la prueba de daño; </w:t>
      </w:r>
      <w:r w:rsidRPr="00AC6F8D">
        <w:rPr>
          <w:rFonts w:ascii="Palatino Linotype" w:eastAsia="Palatino Linotype" w:hAnsi="Palatino Linotype" w:cs="Palatino Linotype"/>
          <w:b/>
          <w:u w:val="single"/>
        </w:rPr>
        <w:t xml:space="preserve">no acreditó cabalmente las razones por las cuales la entrega de la información estadística concerniente al número total de armamento en operación y fuera de operación o de uso, los conceptos por los cuales el armamento está fuera de operación o uso, así como al número total de chalecos antibalas o balísticos y el estado en el que se encuentran, podría revelar la capacidad operativa y de reacción de la Dirección de Seguridad Pública del Municipio, y con ello vulnerar la seguridad pública del municipio, así como  poner en riesgo la vida e integridad de los elementos operativos, y en general la </w:t>
      </w:r>
      <w:r w:rsidRPr="00AC6F8D">
        <w:rPr>
          <w:rFonts w:ascii="Palatino Linotype" w:eastAsia="Palatino Linotype" w:hAnsi="Palatino Linotype" w:cs="Palatino Linotype"/>
          <w:b/>
          <w:u w:val="single"/>
        </w:rPr>
        <w:lastRenderedPageBreak/>
        <w:t>seguridad y bienestar de todos y cada uno de los habitantes del municipio;</w:t>
      </w:r>
      <w:r w:rsidRPr="00AC6F8D">
        <w:rPr>
          <w:rFonts w:ascii="Palatino Linotype" w:eastAsia="Palatino Linotype" w:hAnsi="Palatino Linotype" w:cs="Palatino Linotype"/>
          <w:b/>
        </w:rPr>
        <w:t xml:space="preserve"> </w:t>
      </w:r>
      <w:r w:rsidRPr="00AC6F8D">
        <w:rPr>
          <w:rFonts w:ascii="Palatino Linotype" w:eastAsia="Palatino Linotype" w:hAnsi="Palatino Linotype" w:cs="Palatino Linotype"/>
        </w:rPr>
        <w:t>además que no se encuentra debidamente fundado y motivado.</w:t>
      </w:r>
    </w:p>
    <w:p w14:paraId="6607C13A"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Es de agregar que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tiene el deber de motivar la clasificación, señalando las </w:t>
      </w:r>
      <w:r w:rsidRPr="00AC6F8D">
        <w:rPr>
          <w:rFonts w:ascii="Palatino Linotype" w:eastAsia="Palatino Linotype" w:hAnsi="Palatino Linotype" w:cs="Palatino Linotype"/>
          <w:b/>
        </w:rPr>
        <w:t>circunstancias de modo, tiempo y lugar del daño</w:t>
      </w:r>
      <w:r w:rsidRPr="00AC6F8D">
        <w:rPr>
          <w:rFonts w:ascii="Palatino Linotype" w:eastAsia="Palatino Linotype" w:hAnsi="Palatino Linotype" w:cs="Palatino Linotype"/>
        </w:rPr>
        <w:t xml:space="preserve">, que acrediten el vínculo entre la difusión de la información y la afectación al interés público, desarrollando esta parte en la prueba de daño correspondiente; </w:t>
      </w:r>
      <w:r w:rsidRPr="00AC6F8D">
        <w:rPr>
          <w:rFonts w:ascii="Palatino Linotype" w:eastAsia="Palatino Linotype" w:hAnsi="Palatino Linotype" w:cs="Palatino Linotype"/>
          <w:b/>
          <w:u w:val="single"/>
        </w:rPr>
        <w:t>situación que como se logra vislumbrar del acuerdo analizado tampoco se cumplió</w:t>
      </w:r>
      <w:r w:rsidRPr="00AC6F8D">
        <w:rPr>
          <w:rFonts w:ascii="Palatino Linotype" w:eastAsia="Palatino Linotype" w:hAnsi="Palatino Linotype" w:cs="Palatino Linotype"/>
        </w:rPr>
        <w:t>, pues sólo se indicó que la información solicitada se relacionaba con datos estratégicos que pudieran poner en riesgo la seguridad e incluso la vida de los habitantes del municipio, que de difundirse pudiera poner en riesgo la seguridad pública del municipio, así como  poner en riesgo la vida e integridad de los elementos operativos, y en general la seguridad y bienestar de todos y cada uno de los habitantes del municipio, al revelarse la capacidad operativa y de reacción de la Dirección de Seguridad Pública del Municipio.</w:t>
      </w:r>
    </w:p>
    <w:p w14:paraId="528CCD99"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Por tanto, al no llevarse a cabo la ponderación de los intereses en conflicto tendentes a demostrar que la publicidad generaría un daño, bajo el análisis de dichos factores, no de demuestra el daño que generaría la entrega de la información.</w:t>
      </w:r>
    </w:p>
    <w:p w14:paraId="7EB84643" w14:textId="77777777" w:rsidR="009169BE" w:rsidRPr="00AC6F8D" w:rsidRDefault="005C58B8">
      <w:pPr>
        <w:spacing w:before="240" w:after="240" w:line="360" w:lineRule="auto"/>
        <w:jc w:val="both"/>
        <w:rPr>
          <w:rFonts w:ascii="Palatino Linotype" w:eastAsia="Palatino Linotype" w:hAnsi="Palatino Linotype" w:cs="Palatino Linotype"/>
          <w:b/>
          <w:u w:val="single"/>
        </w:rPr>
      </w:pPr>
      <w:r w:rsidRPr="00AC6F8D">
        <w:rPr>
          <w:rFonts w:ascii="Palatino Linotype" w:eastAsia="Palatino Linotype" w:hAnsi="Palatino Linotype" w:cs="Palatino Linotype"/>
        </w:rPr>
        <w:t xml:space="preserve">Por otro lado, y no menos importante, no obsta mencionar que en el presente asunto la información requerida corresponde con información estadística, por lo que no se encontraría en ningún supuesto de </w:t>
      </w:r>
      <w:r w:rsidRPr="00AC6F8D">
        <w:rPr>
          <w:rFonts w:ascii="Palatino Linotype" w:eastAsia="Palatino Linotype" w:hAnsi="Palatino Linotype" w:cs="Palatino Linotype"/>
          <w:b/>
        </w:rPr>
        <w:t>reserva en su totalidad</w:t>
      </w:r>
      <w:r w:rsidRPr="00AC6F8D">
        <w:rPr>
          <w:rFonts w:ascii="Palatino Linotype" w:eastAsia="Palatino Linotype" w:hAnsi="Palatino Linotype" w:cs="Palatino Linotype"/>
        </w:rPr>
        <w:t xml:space="preserve">, ya que únicamente se daría a conocer de manera general </w:t>
      </w:r>
      <w:r w:rsidRPr="00AC6F8D">
        <w:rPr>
          <w:rFonts w:ascii="Palatino Linotype" w:eastAsia="Palatino Linotype" w:hAnsi="Palatino Linotype" w:cs="Palatino Linotype"/>
          <w:b/>
          <w:u w:val="single"/>
        </w:rPr>
        <w:t xml:space="preserve">el número total de armamento operativo en uso, así como el que se encontraba fuera de operación y los conceptos por los cuales dicho armamento se encontraba fuera de uso, y el número total de chalecos </w:t>
      </w:r>
      <w:r w:rsidRPr="00AC6F8D">
        <w:rPr>
          <w:rFonts w:ascii="Palatino Linotype" w:eastAsia="Palatino Linotype" w:hAnsi="Palatino Linotype" w:cs="Palatino Linotype"/>
          <w:b/>
          <w:u w:val="single"/>
        </w:rPr>
        <w:lastRenderedPageBreak/>
        <w:t>antibalas o balísticos con los que contaba el municipio y el estado en el que se encontraban</w:t>
      </w:r>
      <w:r w:rsidRPr="00AC6F8D">
        <w:rPr>
          <w:rFonts w:ascii="Palatino Linotype" w:eastAsia="Palatino Linotype" w:hAnsi="Palatino Linotype" w:cs="Palatino Linotype"/>
          <w:u w:val="single"/>
        </w:rPr>
        <w:t xml:space="preserve"> </w:t>
      </w:r>
      <w:r w:rsidRPr="00AC6F8D">
        <w:rPr>
          <w:rFonts w:ascii="Palatino Linotype" w:eastAsia="Palatino Linotype" w:hAnsi="Palatino Linotype" w:cs="Palatino Linotype"/>
          <w:b/>
          <w:u w:val="single"/>
        </w:rPr>
        <w:t>dichos chalecos</w:t>
      </w:r>
      <w:r w:rsidRPr="00AC6F8D">
        <w:rPr>
          <w:rFonts w:ascii="Palatino Linotype" w:eastAsia="Palatino Linotype" w:hAnsi="Palatino Linotype" w:cs="Palatino Linotype"/>
          <w:u w:val="single"/>
        </w:rPr>
        <w:t>,</w:t>
      </w:r>
      <w:r w:rsidRPr="00AC6F8D">
        <w:rPr>
          <w:rFonts w:ascii="Palatino Linotype" w:eastAsia="Palatino Linotype" w:hAnsi="Palatino Linotype" w:cs="Palatino Linotype"/>
        </w:rPr>
        <w:t xml:space="preserve"> al </w:t>
      </w:r>
      <w:r w:rsidRPr="00AC6F8D">
        <w:rPr>
          <w:rFonts w:ascii="Palatino Linotype" w:eastAsia="Palatino Linotype" w:hAnsi="Palatino Linotype" w:cs="Palatino Linotype"/>
          <w:b/>
        </w:rPr>
        <w:t xml:space="preserve">veintidós de octubre de dos mil veinticuatro, </w:t>
      </w:r>
      <w:r w:rsidRPr="00AC6F8D">
        <w:rPr>
          <w:rFonts w:ascii="Palatino Linotype" w:eastAsia="Palatino Linotype" w:hAnsi="Palatino Linotype" w:cs="Palatino Linotype"/>
          <w:b/>
          <w:u w:val="single"/>
        </w:rPr>
        <w:t>no así el tipo de armamento o las especificaciones técnicas de estos o de los chalecos antibalas o balísticos, ya que la información solicitada no se encuentra individualizada, sino que se solicita de manera general.</w:t>
      </w:r>
    </w:p>
    <w:p w14:paraId="7E6C76D1" w14:textId="77777777" w:rsidR="009169BE" w:rsidRPr="00AC6F8D" w:rsidRDefault="005C58B8">
      <w:pP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Sierve de sustento a lo anterior, el Criterio de interpretación con clave de control SO/008/2023, emitido por el Pleno del Instituto Nacional de Transparencia y Acceso a la Información y Protección de Datos Personales, INAI, de rubro y texto siguientes:</w:t>
      </w:r>
    </w:p>
    <w:p w14:paraId="22172125"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 xml:space="preserve">Ejercicio del derecho de Acceso a la Información Pública. La información estadística es de naturaleza pública, independientemente de la materia con la que se encuentre vinculada. </w:t>
      </w:r>
      <w:r w:rsidRPr="00AC6F8D">
        <w:rPr>
          <w:rFonts w:ascii="Palatino Linotype" w:eastAsia="Palatino Linotype" w:hAnsi="Palatino Linotype" w:cs="Palatino Linotype"/>
          <w:i/>
          <w:sz w:val="22"/>
          <w:szCs w:val="22"/>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AC6F8D">
        <w:rPr>
          <w:rFonts w:ascii="Palatino Linotype" w:eastAsia="Palatino Linotype" w:hAnsi="Palatino Linotype" w:cs="Palatino Linotype"/>
          <w:b/>
          <w:i/>
          <w:sz w:val="22"/>
          <w:szCs w:val="22"/>
        </w:rPr>
        <w:t>los sujetos obligados deberán poner a disposición del público, entre otra, la relativa a la que con base en la información estadística</w:t>
      </w:r>
      <w:r w:rsidRPr="00AC6F8D">
        <w:rPr>
          <w:rFonts w:ascii="Palatino Linotype" w:eastAsia="Palatino Linotype" w:hAnsi="Palatino Linotype" w:cs="Palatino Linotype"/>
          <w:i/>
          <w:sz w:val="22"/>
          <w:szCs w:val="22"/>
        </w:rPr>
        <w:t xml:space="preserve">, responda a las preguntas hechas con más frecuencia por el público, por lo que es posible afirmar que la información estadística es de naturaleza pública, </w:t>
      </w:r>
      <w:r w:rsidRPr="00AC6F8D">
        <w:rPr>
          <w:rFonts w:ascii="Palatino Linotype" w:eastAsia="Palatino Linotype" w:hAnsi="Palatino Linotype" w:cs="Palatino Linotype"/>
          <w:b/>
          <w:i/>
          <w:sz w:val="22"/>
          <w:szCs w:val="22"/>
        </w:rPr>
        <w:t>siempre y cuando los datos estadísticos no se encuentren individualizados o personalizados a casos o situaciones específicas,</w:t>
      </w:r>
      <w:r w:rsidRPr="00AC6F8D">
        <w:rPr>
          <w:rFonts w:ascii="Palatino Linotype" w:eastAsia="Palatino Linotype" w:hAnsi="Palatino Linotype" w:cs="Palatino Linotype"/>
          <w:i/>
          <w:sz w:val="22"/>
          <w:szCs w:val="22"/>
        </w:rPr>
        <w:t xml:space="preserve"> que pudieran llegar a justificar su clasificación.”</w:t>
      </w:r>
    </w:p>
    <w:p w14:paraId="6C5F4D99"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Por consiguiente, para tener por satisfecho el Derecho de acceso de la persona solicitante, se estima dable ordenar la entrega del o los documentos que den cuenta de lo peticionado, en versión pública de ser procedente de conformidad con el considerando siguiente, para el caso de que estos llegaran a contener información susceptible de ser clasificada como reservada, de manera enunciativa más no limitativa, las especificaciones técnicas del armamento, de los chalecos antibalas o </w:t>
      </w:r>
      <w:r w:rsidRPr="00AC6F8D">
        <w:rPr>
          <w:rFonts w:ascii="Palatino Linotype" w:eastAsia="Palatino Linotype" w:hAnsi="Palatino Linotype" w:cs="Palatino Linotype"/>
        </w:rPr>
        <w:lastRenderedPageBreak/>
        <w:t>balísticos, y demás equipamiento que pudiera encontrarse inmerso en el soporte documental que contenga la información peticionada.</w:t>
      </w:r>
    </w:p>
    <w:p w14:paraId="1F30D986" w14:textId="77777777" w:rsidR="009169BE" w:rsidRPr="00AC6F8D" w:rsidRDefault="005C58B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De lo hasta aquí expuesto, se concluye que los motivos de inconformidad de 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 xml:space="preserve">devienen parcialmente fundados, siendo procedente </w:t>
      </w:r>
      <w:r w:rsidRPr="00AC6F8D">
        <w:rPr>
          <w:rFonts w:ascii="Palatino Linotype" w:eastAsia="Palatino Linotype" w:hAnsi="Palatino Linotype" w:cs="Palatino Linotype"/>
          <w:i/>
        </w:rPr>
        <w:t xml:space="preserve">Modificar </w:t>
      </w:r>
      <w:r w:rsidRPr="00AC6F8D">
        <w:rPr>
          <w:rFonts w:ascii="Palatino Linotype" w:eastAsia="Palatino Linotype" w:hAnsi="Palatino Linotype" w:cs="Palatino Linotype"/>
        </w:rPr>
        <w:t xml:space="preserve">la respuesta proporcionada por el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3015B5BC" w14:textId="77777777" w:rsidR="009169BE" w:rsidRPr="00AC6F8D" w:rsidRDefault="005C58B8">
      <w:pP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b/>
        </w:rPr>
        <w:t xml:space="preserve">Quinto. Versión Pública. </w:t>
      </w:r>
      <w:r w:rsidRPr="00AC6F8D">
        <w:rPr>
          <w:rFonts w:ascii="Palatino Linotype" w:eastAsia="Palatino Linotype" w:hAnsi="Palatino Linotype" w:cs="Palatino Linotype"/>
        </w:rPr>
        <w:t>Como fue debidamente apuntado,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BE9AEC9"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EE3256B"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B1F4FE3"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Al respecto, los artículos 3, fracciones IX, XX, XXI, XXXII, XLV; 6, 91, 132, 137, 143, fracción I, de la Ley de Transparencia y Acceso a la Información Pública del Estado de México y Municipios establecen:</w:t>
      </w:r>
    </w:p>
    <w:p w14:paraId="0B48A563"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sz w:val="22"/>
          <w:szCs w:val="22"/>
        </w:rPr>
        <w:t> </w:t>
      </w: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Artículo 3.</w:t>
      </w:r>
      <w:r w:rsidRPr="00AC6F8D">
        <w:rPr>
          <w:rFonts w:ascii="Palatino Linotype" w:eastAsia="Palatino Linotype" w:hAnsi="Palatino Linotype" w:cs="Palatino Linotype"/>
          <w:i/>
          <w:sz w:val="22"/>
          <w:szCs w:val="22"/>
        </w:rPr>
        <w:t xml:space="preserve"> Para los efectos de la presente Ley se entenderá por:</w:t>
      </w:r>
    </w:p>
    <w:p w14:paraId="7CFD8C58"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25FE13D1"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IX. Datos personales</w:t>
      </w:r>
      <w:r w:rsidRPr="00AC6F8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F4AF88B"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1A2DA824"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XX. Información clasificada</w:t>
      </w:r>
      <w:r w:rsidRPr="00AC6F8D">
        <w:rPr>
          <w:rFonts w:ascii="Palatino Linotype" w:eastAsia="Palatino Linotype" w:hAnsi="Palatino Linotype" w:cs="Palatino Linotype"/>
          <w:i/>
          <w:sz w:val="22"/>
          <w:szCs w:val="22"/>
        </w:rPr>
        <w:t>: Aquella considerada por la presente Ley como reservada o confidencial;</w:t>
      </w:r>
    </w:p>
    <w:p w14:paraId="64983708"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XXI. Información confidencial</w:t>
      </w:r>
      <w:r w:rsidRPr="00AC6F8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841276"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6BC50990"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XXXII. Protección de Datos Personales</w:t>
      </w:r>
      <w:r w:rsidRPr="00AC6F8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10CCB35"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62DC6753" w14:textId="77777777" w:rsidR="009169BE" w:rsidRPr="00AC6F8D" w:rsidRDefault="005C58B8">
      <w:pPr>
        <w:tabs>
          <w:tab w:val="left" w:pos="1276"/>
        </w:tabs>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XLV. Versión pública</w:t>
      </w:r>
      <w:r w:rsidRPr="00AC6F8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C74C866"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 Artículo 6</w:t>
      </w:r>
      <w:r w:rsidRPr="00AC6F8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738CFE9"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098D1C34"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lastRenderedPageBreak/>
        <w:t>Artículo 91.</w:t>
      </w:r>
      <w:r w:rsidRPr="00AC6F8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AC6F8D">
        <w:rPr>
          <w:rFonts w:ascii="Palatino Linotype" w:eastAsia="Palatino Linotype" w:hAnsi="Palatino Linotype" w:cs="Palatino Linotype"/>
          <w:i/>
          <w:sz w:val="22"/>
          <w:szCs w:val="22"/>
        </w:rPr>
        <w:br/>
        <w:t>…</w:t>
      </w:r>
    </w:p>
    <w:p w14:paraId="057FA25A"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Artículo 132.</w:t>
      </w:r>
      <w:r w:rsidRPr="00AC6F8D">
        <w:rPr>
          <w:rFonts w:ascii="Palatino Linotype" w:eastAsia="Palatino Linotype" w:hAnsi="Palatino Linotype" w:cs="Palatino Linotype"/>
          <w:i/>
          <w:sz w:val="22"/>
          <w:szCs w:val="22"/>
        </w:rPr>
        <w:t xml:space="preserve"> La clasificación de la información se llevará a cabo en el momento en que:</w:t>
      </w:r>
    </w:p>
    <w:p w14:paraId="0C8417A9"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w:t>
      </w:r>
      <w:r w:rsidRPr="00AC6F8D">
        <w:rPr>
          <w:rFonts w:ascii="Palatino Linotype" w:eastAsia="Palatino Linotype" w:hAnsi="Palatino Linotype" w:cs="Palatino Linotype"/>
          <w:i/>
          <w:sz w:val="22"/>
          <w:szCs w:val="22"/>
        </w:rPr>
        <w:t>. Se reciba una solicitud de acceso a la información;</w:t>
      </w:r>
    </w:p>
    <w:p w14:paraId="428C7461"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w:t>
      </w:r>
      <w:r w:rsidRPr="00AC6F8D">
        <w:rPr>
          <w:rFonts w:ascii="Palatino Linotype" w:eastAsia="Palatino Linotype" w:hAnsi="Palatino Linotype" w:cs="Palatino Linotype"/>
          <w:i/>
          <w:sz w:val="22"/>
          <w:szCs w:val="22"/>
        </w:rPr>
        <w:t xml:space="preserve"> Se determine mediante resolución de autoridad competente; o</w:t>
      </w:r>
    </w:p>
    <w:p w14:paraId="215979BE"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III.</w:t>
      </w:r>
      <w:r w:rsidRPr="00AC6F8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0A032F6"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w:t>
      </w:r>
    </w:p>
    <w:p w14:paraId="1CCFBF0B"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Artículo 137.</w:t>
      </w:r>
      <w:r w:rsidRPr="00AC6F8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8E0BAE6"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 Artículo 143.</w:t>
      </w:r>
      <w:r w:rsidRPr="00AC6F8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06EEDD9"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w:t>
      </w:r>
      <w:r w:rsidRPr="00AC6F8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AA7695D" w14:textId="77777777" w:rsidR="009169BE" w:rsidRPr="00AC6F8D" w:rsidRDefault="005C58B8">
      <w:pPr>
        <w:spacing w:before="240" w:after="240" w:line="360" w:lineRule="auto"/>
        <w:ind w:right="50"/>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w:t>
      </w:r>
      <w:r w:rsidRPr="00AC6F8D">
        <w:rPr>
          <w:rFonts w:ascii="Palatino Linotype" w:eastAsia="Palatino Linotype" w:hAnsi="Palatino Linotype" w:cs="Palatino Linotype"/>
        </w:rPr>
        <w:lastRenderedPageBreak/>
        <w:t>acuerdo a los que señala la fracción XII del artículo 4 de la Ley de Protección de Datos Personales en posesión de Sujeto Obligados del Estado de México.</w:t>
      </w:r>
    </w:p>
    <w:p w14:paraId="5381CBDB" w14:textId="77777777" w:rsidR="009169BE" w:rsidRPr="00AC6F8D" w:rsidRDefault="005C58B8">
      <w:pPr>
        <w:spacing w:before="240" w:after="240" w:line="360" w:lineRule="auto"/>
        <w:ind w:right="50"/>
        <w:jc w:val="both"/>
        <w:rPr>
          <w:rFonts w:ascii="Palatino Linotype" w:eastAsia="Palatino Linotype" w:hAnsi="Palatino Linotype" w:cs="Palatino Linotype"/>
        </w:rPr>
      </w:pPr>
      <w:r w:rsidRPr="00AC6F8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5767DCE"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Asimismo, para el caso de que la información que se ordena contenga información relacionada con las especificaciones técnicas del armamento, de los chalecos antibalas o balísticos, y demás equipamiento, dicha descripción deberá clasificarse en términos de lo previsto en el artículo 140, fracción I de la Ley de Transparencia y Acceso a la Información Pública del Estado de México y Municipios, a través del acuerdo de clasificación emitido por el Comité de Transparencia, en donde de manera fundada y motivada, mediante prueba de daño, confirme la clasificación de dicha información como reservada, a través de la versión pública que entregue.</w:t>
      </w:r>
    </w:p>
    <w:p w14:paraId="1DC51B3C"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2DB286A5"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Ahora bien respecto a la información que habrá de ser reservada, resulta necesario señalar que de conformidad con el artículo 3, fracciones XXIV de la Ley de </w:t>
      </w:r>
      <w:r w:rsidRPr="00AC6F8D">
        <w:rPr>
          <w:rFonts w:ascii="Palatino Linotype" w:eastAsia="Palatino Linotype" w:hAnsi="Palatino Linotype" w:cs="Palatino Linotype"/>
        </w:rPr>
        <w:lastRenderedPageBreak/>
        <w:t>Transparencia y Acceso a la Información Pública del Estado de México y Municipios, se define de la siguiente manera:</w:t>
      </w:r>
    </w:p>
    <w:p w14:paraId="34E4241C"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XXIV. Información reservada</w:t>
      </w:r>
      <w:r w:rsidRPr="00AC6F8D">
        <w:rPr>
          <w:rFonts w:ascii="Palatino Linotype" w:eastAsia="Palatino Linotype" w:hAnsi="Palatino Linotype" w:cs="Palatino Linotype"/>
          <w:i/>
          <w:sz w:val="22"/>
          <w:szCs w:val="22"/>
        </w:rPr>
        <w:t>: La clasificada con este carácter de manera temporal por las disposiciones de esta Ley, cuya divulgación puede causar daño en términos de lo establecido por esta Ley…”</w:t>
      </w:r>
    </w:p>
    <w:p w14:paraId="2F4A1A8B"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w:t>
      </w:r>
    </w:p>
    <w:p w14:paraId="48E90E34" w14:textId="77777777" w:rsidR="009169BE" w:rsidRPr="00AC6F8D" w:rsidRDefault="005C58B8">
      <w:pPr>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Cabe señalar que el Comité de Transparencia del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2FD2B436"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rPr>
        <w:t xml:space="preserve"> </w:t>
      </w: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Segundo.-</w:t>
      </w:r>
      <w:r w:rsidRPr="00AC6F8D">
        <w:rPr>
          <w:rFonts w:ascii="Palatino Linotype" w:eastAsia="Palatino Linotype" w:hAnsi="Palatino Linotype" w:cs="Palatino Linotype"/>
          <w:i/>
          <w:sz w:val="22"/>
          <w:szCs w:val="22"/>
        </w:rPr>
        <w:t xml:space="preserve"> Para efectos de los presentes Lineamientos Generales, se entenderá por:</w:t>
      </w:r>
    </w:p>
    <w:p w14:paraId="415854DB" w14:textId="77777777" w:rsidR="009169BE" w:rsidRPr="00AC6F8D" w:rsidRDefault="005C58B8">
      <w:pPr>
        <w:tabs>
          <w:tab w:val="left" w:pos="8222"/>
        </w:tabs>
        <w:spacing w:before="120" w:after="120"/>
        <w:ind w:left="1134"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XVIII.</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Versión pública:</w:t>
      </w:r>
      <w:r w:rsidRPr="00AC6F8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C6F8D">
        <w:rPr>
          <w:rFonts w:ascii="Palatino Linotype" w:eastAsia="Palatino Linotype" w:hAnsi="Palatino Linotype" w:cs="Palatino Linotype"/>
          <w:b/>
          <w:i/>
          <w:sz w:val="22"/>
          <w:szCs w:val="22"/>
        </w:rPr>
        <w:t>fundando y motivando la</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reserva o confidencialidad</w:t>
      </w:r>
      <w:r w:rsidRPr="00AC6F8D">
        <w:rPr>
          <w:rFonts w:ascii="Palatino Linotype" w:eastAsia="Palatino Linotype" w:hAnsi="Palatino Linotype" w:cs="Palatino Linotype"/>
          <w:i/>
          <w:sz w:val="22"/>
          <w:szCs w:val="22"/>
        </w:rPr>
        <w:t>, a través de la resolución que para tal efecto emita el Comité de Transparencia.</w:t>
      </w:r>
    </w:p>
    <w:p w14:paraId="74BC3C35"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w:t>
      </w:r>
    </w:p>
    <w:p w14:paraId="745EB79C"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lastRenderedPageBreak/>
        <w:t>Cuarto.</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Para clasificar la información como</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reservada o</w:t>
      </w:r>
      <w:r w:rsidRPr="00AC6F8D">
        <w:rPr>
          <w:rFonts w:ascii="Palatino Linotype" w:eastAsia="Palatino Linotype" w:hAnsi="Palatino Linotype" w:cs="Palatino Linotype"/>
          <w:i/>
          <w:sz w:val="22"/>
          <w:szCs w:val="22"/>
        </w:rPr>
        <w:t xml:space="preserve"> </w:t>
      </w:r>
      <w:r w:rsidRPr="00AC6F8D">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C6F8D">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0B6CD56"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FF04B36"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Quinto.</w:t>
      </w:r>
      <w:r w:rsidRPr="00AC6F8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8230E8"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Sexto.</w:t>
      </w:r>
      <w:r w:rsidRPr="00AC6F8D">
        <w:rPr>
          <w:rFonts w:ascii="Palatino Linotype" w:eastAsia="Palatino Linotype" w:hAnsi="Palatino Linotype" w:cs="Palatino Linotype"/>
          <w:i/>
          <w:sz w:val="22"/>
          <w:szCs w:val="22"/>
        </w:rPr>
        <w:t xml:space="preserve"> Se deroga.</w:t>
      </w:r>
    </w:p>
    <w:p w14:paraId="0D9B0967"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Séptimo.</w:t>
      </w:r>
      <w:r w:rsidRPr="00AC6F8D">
        <w:rPr>
          <w:rFonts w:ascii="Palatino Linotype" w:eastAsia="Palatino Linotype" w:hAnsi="Palatino Linotype" w:cs="Palatino Linotype"/>
          <w:i/>
          <w:sz w:val="22"/>
          <w:szCs w:val="22"/>
        </w:rPr>
        <w:t xml:space="preserve"> La clasificación de la información se llevará a cabo en el momento en que:</w:t>
      </w:r>
    </w:p>
    <w:p w14:paraId="0FC47516" w14:textId="77777777" w:rsidR="009169BE" w:rsidRPr="00AC6F8D" w:rsidRDefault="005C58B8">
      <w:pPr>
        <w:tabs>
          <w:tab w:val="left" w:pos="8222"/>
        </w:tabs>
        <w:spacing w:before="120" w:after="120"/>
        <w:ind w:left="1134"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w:t>
      </w:r>
      <w:r w:rsidRPr="00AC6F8D">
        <w:rPr>
          <w:rFonts w:ascii="Palatino Linotype" w:eastAsia="Palatino Linotype" w:hAnsi="Palatino Linotype" w:cs="Palatino Linotype"/>
          <w:i/>
          <w:sz w:val="22"/>
          <w:szCs w:val="22"/>
        </w:rPr>
        <w:t xml:space="preserve"> Se reciba una solicitud de acceso a la información;</w:t>
      </w:r>
    </w:p>
    <w:p w14:paraId="7ECC7719" w14:textId="77777777" w:rsidR="009169BE" w:rsidRPr="00AC6F8D" w:rsidRDefault="005C58B8">
      <w:pPr>
        <w:tabs>
          <w:tab w:val="left" w:pos="8222"/>
        </w:tabs>
        <w:spacing w:before="120" w:after="120"/>
        <w:ind w:left="1134"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w:t>
      </w:r>
      <w:r w:rsidRPr="00AC6F8D">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0501FD6F" w14:textId="77777777" w:rsidR="009169BE" w:rsidRPr="00AC6F8D" w:rsidRDefault="005C58B8">
      <w:pPr>
        <w:tabs>
          <w:tab w:val="left" w:pos="8222"/>
        </w:tabs>
        <w:spacing w:before="120" w:after="120"/>
        <w:ind w:left="1134"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III.</w:t>
      </w:r>
      <w:r w:rsidRPr="00AC6F8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8644ED6"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AC6F8D">
        <w:rPr>
          <w:rFonts w:ascii="Palatino Linotype" w:eastAsia="Palatino Linotype" w:hAnsi="Palatino Linotype" w:cs="Palatino Linotype"/>
          <w:sz w:val="22"/>
          <w:szCs w:val="22"/>
        </w:rPr>
        <w:t xml:space="preserve">, </w:t>
      </w:r>
      <w:r w:rsidRPr="00AC6F8D">
        <w:rPr>
          <w:rFonts w:ascii="Palatino Linotype" w:eastAsia="Palatino Linotype" w:hAnsi="Palatino Linotype" w:cs="Palatino Linotype"/>
          <w:i/>
          <w:sz w:val="22"/>
          <w:szCs w:val="22"/>
        </w:rPr>
        <w:t>conforme a su naturaleza, si encuadra en una causal de reserva o de confidencialidad.</w:t>
      </w:r>
    </w:p>
    <w:p w14:paraId="7B313477"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Octavo.</w:t>
      </w:r>
      <w:r w:rsidRPr="00AC6F8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B6B96F"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61F4A912"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206F7E7"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Noveno.</w:t>
      </w:r>
      <w:r w:rsidRPr="00AC6F8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060FCA8"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Décimo.</w:t>
      </w:r>
      <w:r w:rsidRPr="00AC6F8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3C9AB87"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AC61323" w14:textId="77777777" w:rsidR="009169BE" w:rsidRPr="00AC6F8D" w:rsidRDefault="005C58B8">
      <w:pPr>
        <w:tabs>
          <w:tab w:val="left" w:pos="8222"/>
        </w:tabs>
        <w:spacing w:before="120" w:after="120"/>
        <w:ind w:left="851" w:right="1134"/>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Décimo primero.</w:t>
      </w:r>
      <w:r w:rsidRPr="00AC6F8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BD90F4A" w14:textId="77777777" w:rsidR="009169BE" w:rsidRPr="00AC6F8D" w:rsidRDefault="005C58B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Asimismo, respecto a las formalidades que deberá llevar el acuerdo de clasificación que deberá emitir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12C612C"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lastRenderedPageBreak/>
        <w:t xml:space="preserve"> “Quincuagésimo. </w:t>
      </w:r>
      <w:r w:rsidRPr="00AC6F8D">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E98C646" w14:textId="77777777" w:rsidR="009169BE" w:rsidRPr="00AC6F8D" w:rsidRDefault="005C58B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 xml:space="preserve">Quincuagésimo primero. </w:t>
      </w:r>
      <w:r w:rsidRPr="00AC6F8D">
        <w:rPr>
          <w:rFonts w:ascii="Palatino Linotype" w:eastAsia="Palatino Linotype" w:hAnsi="Palatino Linotype" w:cs="Palatino Linotype"/>
          <w:i/>
          <w:sz w:val="22"/>
          <w:szCs w:val="22"/>
        </w:rPr>
        <w:t xml:space="preserve">Toda acta del Comité de Transparencia deberá contener: </w:t>
      </w:r>
    </w:p>
    <w:p w14:paraId="45FB5DD8"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w:t>
      </w:r>
      <w:r w:rsidRPr="00AC6F8D">
        <w:rPr>
          <w:rFonts w:ascii="Palatino Linotype" w:eastAsia="Palatino Linotype" w:hAnsi="Palatino Linotype" w:cs="Palatino Linotype"/>
          <w:i/>
          <w:sz w:val="22"/>
          <w:szCs w:val="22"/>
        </w:rPr>
        <w:t xml:space="preserve"> El número de sesión y fecha; </w:t>
      </w:r>
    </w:p>
    <w:p w14:paraId="574C0F65"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w:t>
      </w:r>
      <w:r w:rsidRPr="00AC6F8D">
        <w:rPr>
          <w:rFonts w:ascii="Palatino Linotype" w:eastAsia="Palatino Linotype" w:hAnsi="Palatino Linotype" w:cs="Palatino Linotype"/>
          <w:i/>
          <w:sz w:val="22"/>
          <w:szCs w:val="22"/>
        </w:rPr>
        <w:t xml:space="preserve">. El nombre del área que solicitó la clasificación de información; </w:t>
      </w:r>
    </w:p>
    <w:p w14:paraId="1BF76D0F"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III</w:t>
      </w:r>
      <w:r w:rsidRPr="00AC6F8D">
        <w:rPr>
          <w:rFonts w:ascii="Palatino Linotype" w:eastAsia="Palatino Linotype" w:hAnsi="Palatino Linotype" w:cs="Palatino Linotype"/>
          <w:i/>
          <w:sz w:val="22"/>
          <w:szCs w:val="22"/>
        </w:rPr>
        <w:t xml:space="preserve">. La fundamentación legal y motivación correspondiente; </w:t>
      </w:r>
    </w:p>
    <w:p w14:paraId="7E1FAA58"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IV</w:t>
      </w:r>
      <w:r w:rsidRPr="00AC6F8D">
        <w:rPr>
          <w:rFonts w:ascii="Palatino Linotype" w:eastAsia="Palatino Linotype" w:hAnsi="Palatino Linotype" w:cs="Palatino Linotype"/>
          <w:i/>
          <w:sz w:val="22"/>
          <w:szCs w:val="22"/>
        </w:rPr>
        <w:t xml:space="preserve">. La resolución o resoluciones aprobadas; y </w:t>
      </w:r>
    </w:p>
    <w:p w14:paraId="1FD6E044"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V</w:t>
      </w:r>
      <w:r w:rsidRPr="00AC6F8D">
        <w:rPr>
          <w:rFonts w:ascii="Palatino Linotype" w:eastAsia="Palatino Linotype" w:hAnsi="Palatino Linotype" w:cs="Palatino Linotype"/>
          <w:i/>
          <w:sz w:val="22"/>
          <w:szCs w:val="22"/>
        </w:rPr>
        <w:t xml:space="preserve">. La rúbrica o firma digital de cada integrante del Comité de Transparencia. </w:t>
      </w:r>
    </w:p>
    <w:p w14:paraId="11665291" w14:textId="77777777" w:rsidR="009169BE" w:rsidRPr="00AC6F8D" w:rsidRDefault="005C58B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D7A518E"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w:t>
      </w:r>
      <w:r w:rsidRPr="00AC6F8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89775FF"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II</w:t>
      </w:r>
      <w:r w:rsidRPr="00AC6F8D">
        <w:rPr>
          <w:rFonts w:ascii="Palatino Linotype" w:eastAsia="Palatino Linotype" w:hAnsi="Palatino Linotype" w:cs="Palatino Linotype"/>
          <w:i/>
          <w:sz w:val="22"/>
          <w:szCs w:val="22"/>
        </w:rPr>
        <w:t>. Descripción de las partes o secciones reservadas, en caso de clasificación parcial</w:t>
      </w:r>
      <w:r w:rsidRPr="00AC6F8D">
        <w:rPr>
          <w:rFonts w:ascii="Palatino Linotype" w:eastAsia="Palatino Linotype" w:hAnsi="Palatino Linotype" w:cs="Palatino Linotype"/>
          <w:b/>
          <w:i/>
          <w:sz w:val="22"/>
          <w:szCs w:val="22"/>
        </w:rPr>
        <w:t xml:space="preserve">; </w:t>
      </w:r>
    </w:p>
    <w:p w14:paraId="6596A76E"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III.</w:t>
      </w:r>
      <w:r w:rsidRPr="00AC6F8D">
        <w:rPr>
          <w:rFonts w:ascii="Palatino Linotype" w:eastAsia="Palatino Linotype" w:hAnsi="Palatino Linotype" w:cs="Palatino Linotype"/>
          <w:i/>
          <w:sz w:val="22"/>
          <w:szCs w:val="22"/>
        </w:rPr>
        <w:t xml:space="preserve"> El periodo por el que mantendrá su clasificación y fecha de expiración; y </w:t>
      </w:r>
    </w:p>
    <w:p w14:paraId="5FA20119" w14:textId="77777777" w:rsidR="009169BE" w:rsidRPr="00AC6F8D" w:rsidRDefault="005C58B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IV.</w:t>
      </w:r>
      <w:r w:rsidRPr="00AC6F8D">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51109A0" w14:textId="77777777" w:rsidR="009169BE" w:rsidRPr="00AC6F8D" w:rsidRDefault="005C58B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9AB2E64" w14:textId="77777777" w:rsidR="009169BE" w:rsidRPr="00AC6F8D" w:rsidRDefault="005C58B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71FA86B" w14:textId="77777777" w:rsidR="009169BE" w:rsidRPr="00AC6F8D" w:rsidRDefault="005C58B8">
      <w:pPr>
        <w:spacing w:before="240" w:after="240" w:line="360" w:lineRule="auto"/>
        <w:ind w:right="50"/>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AC6F8D">
        <w:rPr>
          <w:rFonts w:ascii="Palatino Linotype" w:eastAsia="Palatino Linotype" w:hAnsi="Palatino Linotype" w:cs="Palatino Linotype"/>
        </w:rPr>
        <w:t>supraindicados</w:t>
      </w:r>
      <w:proofErr w:type="spellEnd"/>
      <w:r w:rsidRPr="00AC6F8D">
        <w:rPr>
          <w:rFonts w:ascii="Palatino Linotype" w:eastAsia="Palatino Linotype" w:hAnsi="Palatino Linotype" w:cs="Palatino Linotype"/>
        </w:rPr>
        <w:t xml:space="preserve">, que establece los formatos para la clasificación de los documentos o expedientes que contengan información reservada, conforme a lo siguiente: </w:t>
      </w:r>
    </w:p>
    <w:p w14:paraId="348CCE8A" w14:textId="77777777" w:rsidR="009169BE" w:rsidRPr="00AC6F8D" w:rsidRDefault="005C58B8">
      <w:pPr>
        <w:ind w:left="851" w:right="900"/>
        <w:jc w:val="center"/>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lastRenderedPageBreak/>
        <w:t>CAPÍTULO VIII</w:t>
      </w:r>
    </w:p>
    <w:p w14:paraId="18DC4A6B" w14:textId="77777777" w:rsidR="009169BE" w:rsidRPr="00AC6F8D" w:rsidRDefault="005C58B8">
      <w:pPr>
        <w:ind w:left="851" w:right="900"/>
        <w:jc w:val="center"/>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 xml:space="preserve">DE LOS ELEMENTOS PARA LA CLASIFICACIÓN </w:t>
      </w:r>
    </w:p>
    <w:p w14:paraId="561FACE2" w14:textId="77777777" w:rsidR="009169BE" w:rsidRPr="00AC6F8D" w:rsidRDefault="005C58B8">
      <w:pPr>
        <w:ind w:left="851" w:right="900"/>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183834EB"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 xml:space="preserve">Quincuagésimo tercero. </w:t>
      </w:r>
      <w:r w:rsidRPr="00AC6F8D">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AC6F8D">
        <w:rPr>
          <w:rFonts w:ascii="Palatino Linotype" w:eastAsia="Palatino Linotype" w:hAnsi="Palatino Linotype" w:cs="Palatino Linotype"/>
          <w:b/>
          <w:i/>
          <w:sz w:val="22"/>
          <w:szCs w:val="22"/>
        </w:rPr>
        <w:t xml:space="preserve">, </w:t>
      </w:r>
      <w:r w:rsidRPr="00AC6F8D">
        <w:rPr>
          <w:rFonts w:ascii="Palatino Linotype" w:eastAsia="Palatino Linotype" w:hAnsi="Palatino Linotype" w:cs="Palatino Linotype"/>
          <w:i/>
          <w:sz w:val="22"/>
          <w:szCs w:val="22"/>
        </w:rPr>
        <w:t xml:space="preserve">es el siguiente: </w:t>
      </w:r>
    </w:p>
    <w:p w14:paraId="3F52D48B" w14:textId="77777777" w:rsidR="009169BE" w:rsidRPr="00AC6F8D" w:rsidRDefault="005C58B8">
      <w:pPr>
        <w:spacing w:before="120" w:after="120"/>
        <w:ind w:left="851" w:right="902"/>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noProof/>
          <w:sz w:val="22"/>
          <w:szCs w:val="22"/>
        </w:rPr>
        <w:drawing>
          <wp:inline distT="0" distB="0" distL="0" distR="0" wp14:anchorId="6B4DF4FE" wp14:editId="28BC9515">
            <wp:extent cx="4295775" cy="295275"/>
            <wp:effectExtent l="0" t="0" r="0" b="0"/>
            <wp:docPr id="19841231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b="95731"/>
                    <a:stretch>
                      <a:fillRect/>
                    </a:stretch>
                  </pic:blipFill>
                  <pic:spPr>
                    <a:xfrm>
                      <a:off x="0" y="0"/>
                      <a:ext cx="4295775" cy="295275"/>
                    </a:xfrm>
                    <a:prstGeom prst="rect">
                      <a:avLst/>
                    </a:prstGeom>
                    <a:ln/>
                  </pic:spPr>
                </pic:pic>
              </a:graphicData>
            </a:graphic>
          </wp:inline>
        </w:drawing>
      </w:r>
    </w:p>
    <w:p w14:paraId="67B0A2AC" w14:textId="77777777" w:rsidR="009169BE" w:rsidRPr="00AC6F8D" w:rsidRDefault="005C58B8">
      <w:pPr>
        <w:spacing w:before="120" w:after="120"/>
        <w:ind w:left="851" w:right="902"/>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noProof/>
          <w:sz w:val="22"/>
          <w:szCs w:val="22"/>
        </w:rPr>
        <w:drawing>
          <wp:inline distT="0" distB="0" distL="0" distR="0" wp14:anchorId="65B0142D" wp14:editId="2F03027A">
            <wp:extent cx="4333875" cy="4722932"/>
            <wp:effectExtent l="0" t="0" r="0" b="0"/>
            <wp:docPr id="19841231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t="30908" b="712"/>
                    <a:stretch>
                      <a:fillRect/>
                    </a:stretch>
                  </pic:blipFill>
                  <pic:spPr>
                    <a:xfrm>
                      <a:off x="0" y="0"/>
                      <a:ext cx="4333875" cy="4722932"/>
                    </a:xfrm>
                    <a:prstGeom prst="rect">
                      <a:avLst/>
                    </a:prstGeom>
                    <a:ln/>
                  </pic:spPr>
                </pic:pic>
              </a:graphicData>
            </a:graphic>
          </wp:inline>
        </w:drawing>
      </w:r>
    </w:p>
    <w:p w14:paraId="7E5D99F1"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Los documentos que integren un expediente reservado en su totalidad no deberán marcarse en lo individual.</w:t>
      </w:r>
    </w:p>
    <w:p w14:paraId="67E79D3F" w14:textId="77777777" w:rsidR="009169BE" w:rsidRPr="00AC6F8D" w:rsidRDefault="005C58B8">
      <w:pPr>
        <w:spacing w:before="120" w:after="120"/>
        <w:ind w:left="851" w:right="902"/>
        <w:jc w:val="both"/>
        <w:rPr>
          <w:rFonts w:ascii="Palatino Linotype" w:eastAsia="Palatino Linotype" w:hAnsi="Palatino Linotype" w:cs="Palatino Linotype"/>
          <w:i/>
        </w:rPr>
      </w:pPr>
      <w:r w:rsidRPr="00AC6F8D">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3B886CE7"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lastRenderedPageBreak/>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BC6ACC9" w14:textId="77777777" w:rsidR="009169BE" w:rsidRPr="00AC6F8D" w:rsidRDefault="005C58B8">
      <w:pPr>
        <w:spacing w:before="120" w:after="12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r w:rsidRPr="00AC6F8D">
        <w:rPr>
          <w:rFonts w:ascii="Palatino Linotype" w:eastAsia="Palatino Linotype" w:hAnsi="Palatino Linotype" w:cs="Palatino Linotype"/>
          <w:b/>
          <w:i/>
          <w:sz w:val="22"/>
          <w:szCs w:val="22"/>
        </w:rPr>
        <w:t>Quincuagésimo segundo</w:t>
      </w:r>
      <w:r w:rsidRPr="00AC6F8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DF972E" w14:textId="77777777" w:rsidR="009169BE" w:rsidRPr="00AC6F8D" w:rsidRDefault="005C58B8">
      <w:pPr>
        <w:spacing w:before="120" w:after="12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FB77271" w14:textId="77777777" w:rsidR="009169BE" w:rsidRPr="00AC6F8D" w:rsidRDefault="005C58B8">
      <w:pPr>
        <w:spacing w:before="120" w:after="120"/>
        <w:ind w:left="1134"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w:t>
      </w:r>
      <w:r w:rsidRPr="00AC6F8D">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BAE0B68" w14:textId="77777777" w:rsidR="009169BE" w:rsidRPr="00AC6F8D" w:rsidRDefault="005C58B8">
      <w:pPr>
        <w:spacing w:before="120" w:after="120"/>
        <w:ind w:left="1134"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w:t>
      </w:r>
      <w:r w:rsidRPr="00AC6F8D">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EF84AA8" w14:textId="77777777" w:rsidR="009169BE" w:rsidRPr="00AC6F8D" w:rsidRDefault="005C58B8">
      <w:pPr>
        <w:spacing w:before="120" w:after="120"/>
        <w:ind w:left="1134"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III.</w:t>
      </w:r>
      <w:r w:rsidRPr="00AC6F8D">
        <w:rPr>
          <w:rFonts w:ascii="Palatino Linotype" w:eastAsia="Palatino Linotype" w:hAnsi="Palatino Linotype" w:cs="Palatino Linotype"/>
          <w:i/>
          <w:sz w:val="22"/>
          <w:szCs w:val="22"/>
        </w:rPr>
        <w:t xml:space="preserve"> Señalar las personas o instancias autorizadas a acceder a la información clasificada.</w:t>
      </w:r>
    </w:p>
    <w:p w14:paraId="0654D984" w14:textId="77777777" w:rsidR="009169BE" w:rsidRPr="00AC6F8D" w:rsidRDefault="005C58B8">
      <w:pPr>
        <w:spacing w:before="120" w:after="12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0293F33" w14:textId="77777777" w:rsidR="009169BE" w:rsidRPr="00AC6F8D" w:rsidRDefault="005C58B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w:t>
      </w:r>
    </w:p>
    <w:p w14:paraId="496A3B61" w14:textId="77777777" w:rsidR="009169BE" w:rsidRPr="00AC6F8D" w:rsidRDefault="005C58B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 xml:space="preserve">Quincuagésimo cuarto. </w:t>
      </w:r>
      <w:r w:rsidRPr="00AC6F8D">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C6F8D">
        <w:rPr>
          <w:rFonts w:ascii="Palatino Linotype" w:eastAsia="Palatino Linotype" w:hAnsi="Palatino Linotype" w:cs="Palatino Linotype"/>
          <w:b/>
          <w:i/>
          <w:sz w:val="22"/>
          <w:szCs w:val="22"/>
        </w:rPr>
        <w:t xml:space="preserve"> </w:t>
      </w:r>
    </w:p>
    <w:p w14:paraId="0B74C665"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 xml:space="preserve">Quincuagésimo quinto. </w:t>
      </w:r>
      <w:r w:rsidRPr="00AC6F8D">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C6F8D">
        <w:rPr>
          <w:rFonts w:ascii="Palatino Linotype" w:eastAsia="Palatino Linotype" w:hAnsi="Palatino Linotype" w:cs="Palatino Linotype"/>
          <w:i/>
          <w:sz w:val="22"/>
          <w:szCs w:val="22"/>
        </w:rPr>
        <w:t>testado</w:t>
      </w:r>
      <w:proofErr w:type="spellEnd"/>
      <w:r w:rsidRPr="00AC6F8D">
        <w:rPr>
          <w:rFonts w:ascii="Palatino Linotype" w:eastAsia="Palatino Linotype" w:hAnsi="Palatino Linotype" w:cs="Palatino Linotype"/>
          <w:i/>
          <w:sz w:val="22"/>
          <w:szCs w:val="22"/>
        </w:rPr>
        <w:t xml:space="preserve">, que sean encargadas de la adecuada elaboración o supervisión de las versiones públicas de </w:t>
      </w:r>
      <w:r w:rsidRPr="00AC6F8D">
        <w:rPr>
          <w:rFonts w:ascii="Palatino Linotype" w:eastAsia="Palatino Linotype" w:hAnsi="Palatino Linotype" w:cs="Palatino Linotype"/>
          <w:i/>
          <w:sz w:val="22"/>
          <w:szCs w:val="22"/>
        </w:rPr>
        <w:lastRenderedPageBreak/>
        <w:t>los documentos o expedientes, verificando que cumplan con los requisitos señalados en las Leyes Generales, los presentes Lineamientos y demás normativa aplicable antes de su confirmación por el Comité de Transparencia.</w:t>
      </w:r>
    </w:p>
    <w:p w14:paraId="19EBBD80" w14:textId="77777777" w:rsidR="009169BE" w:rsidRPr="00AC6F8D" w:rsidRDefault="005C58B8">
      <w:pPr>
        <w:spacing w:before="120" w:after="120"/>
        <w:ind w:left="851" w:right="902"/>
        <w:jc w:val="both"/>
        <w:rPr>
          <w:rFonts w:ascii="Palatino Linotype" w:eastAsia="Palatino Linotype" w:hAnsi="Palatino Linotype" w:cs="Palatino Linotype"/>
          <w:b/>
          <w:i/>
          <w:sz w:val="22"/>
          <w:szCs w:val="22"/>
        </w:rPr>
      </w:pPr>
      <w:r w:rsidRPr="00AC6F8D">
        <w:rPr>
          <w:rFonts w:ascii="Palatino Linotype" w:eastAsia="Palatino Linotype" w:hAnsi="Palatino Linotype" w:cs="Palatino Linotype"/>
          <w:b/>
          <w:i/>
          <w:sz w:val="22"/>
          <w:szCs w:val="22"/>
        </w:rPr>
        <w:t>...</w:t>
      </w:r>
    </w:p>
    <w:p w14:paraId="03D1A2CF"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Quincuagésimo séptimo</w:t>
      </w:r>
      <w:r w:rsidRPr="00AC6F8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C5F815E"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w:t>
      </w:r>
      <w:r w:rsidRPr="00AC6F8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6F2C666"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w:t>
      </w:r>
      <w:r w:rsidRPr="00AC6F8D">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AB1E2F6" w14:textId="77777777" w:rsidR="009169BE" w:rsidRPr="00AC6F8D" w:rsidRDefault="005C58B8">
      <w:pPr>
        <w:spacing w:before="120" w:after="120"/>
        <w:ind w:left="1134"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III</w:t>
      </w:r>
      <w:r w:rsidRPr="00AC6F8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55CE225"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75C52C6" w14:textId="77777777" w:rsidR="009169BE" w:rsidRPr="00AC6F8D" w:rsidRDefault="005C58B8">
      <w:pPr>
        <w:spacing w:before="120" w:after="120"/>
        <w:ind w:left="851" w:right="902"/>
        <w:jc w:val="both"/>
        <w:rPr>
          <w:rFonts w:ascii="Palatino Linotype" w:eastAsia="Palatino Linotype" w:hAnsi="Palatino Linotype" w:cs="Palatino Linotype"/>
          <w:i/>
          <w:sz w:val="22"/>
          <w:szCs w:val="22"/>
        </w:rPr>
      </w:pPr>
      <w:r w:rsidRPr="00AC6F8D">
        <w:rPr>
          <w:rFonts w:ascii="Palatino Linotype" w:eastAsia="Palatino Linotype" w:hAnsi="Palatino Linotype" w:cs="Palatino Linotype"/>
          <w:b/>
          <w:i/>
          <w:sz w:val="22"/>
          <w:szCs w:val="22"/>
        </w:rPr>
        <w:t>Quincuagésimo octavo</w:t>
      </w:r>
      <w:r w:rsidRPr="00AC6F8D">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BE04BA6"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No obsta mencionar que, cabe la posibilidad de que dentro de la información que se ordena, se encuentren documentos que contengan información que actualicen alguna de las causales de reserva o confidencialidad establecidas en los artículos 140 y 143 de la Ley de la materia, y, en cuyo caso se deberá emitir un acuerdo que clasifique con tal carácter el documento o los datos contenidos en el mismo. </w:t>
      </w:r>
    </w:p>
    <w:p w14:paraId="06C2F15B"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Así, con fundamento en lo prescrito en los artículos 5 párrafos trigésimo tercero, trigésimo cuarto y trigésimo quinto de la Constitución Política del Estado Libre y Soberano de México; 2, fracción II; 29, 36 fracciones I y II; 176, 178, 181, 185 y 186 </w:t>
      </w:r>
      <w:r w:rsidRPr="00AC6F8D">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7FB1DF8F" w14:textId="77777777" w:rsidR="009169BE" w:rsidRPr="00AC6F8D" w:rsidRDefault="009169BE">
      <w:pPr>
        <w:spacing w:before="240" w:after="240" w:line="360" w:lineRule="auto"/>
        <w:jc w:val="both"/>
        <w:rPr>
          <w:rFonts w:ascii="Palatino Linotype" w:eastAsia="Palatino Linotype" w:hAnsi="Palatino Linotype" w:cs="Palatino Linotype"/>
        </w:rPr>
      </w:pPr>
    </w:p>
    <w:p w14:paraId="65DA774B" w14:textId="77777777" w:rsidR="009169BE" w:rsidRPr="00AC6F8D" w:rsidRDefault="009169BE">
      <w:pPr>
        <w:spacing w:before="240" w:after="240" w:line="360" w:lineRule="auto"/>
        <w:jc w:val="both"/>
        <w:rPr>
          <w:rFonts w:ascii="Palatino Linotype" w:eastAsia="Palatino Linotype" w:hAnsi="Palatino Linotype" w:cs="Palatino Linotype"/>
        </w:rPr>
      </w:pPr>
    </w:p>
    <w:p w14:paraId="091F6C50" w14:textId="77777777" w:rsidR="009169BE" w:rsidRPr="00AC6F8D" w:rsidRDefault="009169BE">
      <w:pPr>
        <w:spacing w:before="240" w:after="240" w:line="360" w:lineRule="auto"/>
        <w:jc w:val="both"/>
        <w:rPr>
          <w:rFonts w:ascii="Palatino Linotype" w:eastAsia="Palatino Linotype" w:hAnsi="Palatino Linotype" w:cs="Palatino Linotype"/>
        </w:rPr>
      </w:pPr>
    </w:p>
    <w:p w14:paraId="158AFA67" w14:textId="77777777" w:rsidR="009169BE" w:rsidRPr="00AC6F8D" w:rsidRDefault="005C58B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C6F8D">
        <w:rPr>
          <w:rFonts w:ascii="Palatino Linotype" w:eastAsia="Palatino Linotype" w:hAnsi="Palatino Linotype" w:cs="Palatino Linotype"/>
          <w:b/>
        </w:rPr>
        <w:t>III. R E S U E L V E</w:t>
      </w:r>
    </w:p>
    <w:p w14:paraId="0FB503E2" w14:textId="77777777" w:rsidR="009169BE" w:rsidRPr="00AC6F8D" w:rsidRDefault="005C58B8">
      <w:pPr>
        <w:spacing w:before="240" w:after="240" w:line="360" w:lineRule="auto"/>
        <w:jc w:val="both"/>
        <w:rPr>
          <w:rFonts w:ascii="Palatino Linotype" w:eastAsia="Palatino Linotype" w:hAnsi="Palatino Linotype" w:cs="Palatino Linotype"/>
        </w:rPr>
      </w:pPr>
      <w:bookmarkStart w:id="8" w:name="_heading=h.26in1rg" w:colFirst="0" w:colLast="0"/>
      <w:bookmarkEnd w:id="8"/>
      <w:r w:rsidRPr="00AC6F8D">
        <w:rPr>
          <w:rFonts w:ascii="Palatino Linotype" w:eastAsia="Palatino Linotype" w:hAnsi="Palatino Linotype" w:cs="Palatino Linotype"/>
          <w:b/>
        </w:rPr>
        <w:t xml:space="preserve">Primero. </w:t>
      </w:r>
      <w:r w:rsidRPr="00AC6F8D">
        <w:rPr>
          <w:rFonts w:ascii="Palatino Linotype" w:eastAsia="Palatino Linotype" w:hAnsi="Palatino Linotype" w:cs="Palatino Linotype"/>
        </w:rPr>
        <w:t xml:space="preserve">Resultan </w:t>
      </w:r>
      <w:r w:rsidRPr="00AC6F8D">
        <w:rPr>
          <w:rFonts w:ascii="Palatino Linotype" w:eastAsia="Palatino Linotype" w:hAnsi="Palatino Linotype" w:cs="Palatino Linotype"/>
          <w:b/>
        </w:rPr>
        <w:t>parcialmente fundadas</w:t>
      </w:r>
      <w:r w:rsidRPr="00AC6F8D">
        <w:rPr>
          <w:rFonts w:ascii="Palatino Linotype" w:eastAsia="Palatino Linotype" w:hAnsi="Palatino Linotype" w:cs="Palatino Linotype"/>
        </w:rPr>
        <w:t xml:space="preserve"> las razones o motivos de inconformidad hechos valer por la parte</w:t>
      </w:r>
      <w:r w:rsidRPr="00AC6F8D">
        <w:rPr>
          <w:rFonts w:ascii="Palatino Linotype" w:eastAsia="Palatino Linotype" w:hAnsi="Palatino Linotype" w:cs="Palatino Linotype"/>
          <w:b/>
        </w:rPr>
        <w:t xml:space="preserve"> Recurrente</w:t>
      </w:r>
      <w:r w:rsidRPr="00AC6F8D">
        <w:rPr>
          <w:rFonts w:ascii="Palatino Linotype" w:eastAsia="Palatino Linotype" w:hAnsi="Palatino Linotype" w:cs="Palatino Linotype"/>
        </w:rPr>
        <w:t xml:space="preserve"> en el recurso de revisión </w:t>
      </w:r>
      <w:r w:rsidRPr="00AC6F8D">
        <w:rPr>
          <w:rFonts w:ascii="Palatino Linotype" w:eastAsia="Palatino Linotype" w:hAnsi="Palatino Linotype" w:cs="Palatino Linotype"/>
          <w:b/>
        </w:rPr>
        <w:t>07242/INFOEM/IP/RR/2024</w:t>
      </w:r>
      <w:r w:rsidRPr="00AC6F8D">
        <w:rPr>
          <w:rFonts w:ascii="Palatino Linotype" w:eastAsia="Palatino Linotype" w:hAnsi="Palatino Linotype" w:cs="Palatino Linotype"/>
        </w:rPr>
        <w:t xml:space="preserve">; por lo que, en términos del </w:t>
      </w:r>
      <w:r w:rsidRPr="00AC6F8D">
        <w:rPr>
          <w:rFonts w:ascii="Palatino Linotype" w:eastAsia="Palatino Linotype" w:hAnsi="Palatino Linotype" w:cs="Palatino Linotype"/>
          <w:b/>
        </w:rPr>
        <w:t>Considerando</w:t>
      </w:r>
      <w:r w:rsidRPr="00AC6F8D">
        <w:rPr>
          <w:rFonts w:ascii="Palatino Linotype" w:eastAsia="Palatino Linotype" w:hAnsi="Palatino Linotype" w:cs="Palatino Linotype"/>
        </w:rPr>
        <w:t xml:space="preserve"> </w:t>
      </w:r>
      <w:r w:rsidRPr="00AC6F8D">
        <w:rPr>
          <w:rFonts w:ascii="Palatino Linotype" w:eastAsia="Palatino Linotype" w:hAnsi="Palatino Linotype" w:cs="Palatino Linotype"/>
          <w:b/>
        </w:rPr>
        <w:t xml:space="preserve">Cuarto </w:t>
      </w:r>
      <w:r w:rsidRPr="00AC6F8D">
        <w:rPr>
          <w:rFonts w:ascii="Palatino Linotype" w:eastAsia="Palatino Linotype" w:hAnsi="Palatino Linotype" w:cs="Palatino Linotype"/>
        </w:rPr>
        <w:t xml:space="preserve">de esta resolución, se </w:t>
      </w:r>
      <w:r w:rsidRPr="00AC6F8D">
        <w:rPr>
          <w:rFonts w:ascii="Palatino Linotype" w:eastAsia="Palatino Linotype" w:hAnsi="Palatino Linotype" w:cs="Palatino Linotype"/>
          <w:b/>
        </w:rPr>
        <w:t xml:space="preserve">Modifica </w:t>
      </w:r>
      <w:r w:rsidRPr="00AC6F8D">
        <w:rPr>
          <w:rFonts w:ascii="Palatino Linotype" w:eastAsia="Palatino Linotype" w:hAnsi="Palatino Linotype" w:cs="Palatino Linotype"/>
        </w:rPr>
        <w:t xml:space="preserve">la respuesta emitida por el </w:t>
      </w:r>
      <w:r w:rsidRPr="00AC6F8D">
        <w:rPr>
          <w:rFonts w:ascii="Palatino Linotype" w:eastAsia="Palatino Linotype" w:hAnsi="Palatino Linotype" w:cs="Palatino Linotype"/>
          <w:b/>
        </w:rPr>
        <w:t xml:space="preserve">Sujeto Obligado. </w:t>
      </w:r>
    </w:p>
    <w:p w14:paraId="2E62AD00" w14:textId="77777777" w:rsidR="009169BE" w:rsidRPr="00AC6F8D" w:rsidRDefault="005C58B8">
      <w:pPr>
        <w:tabs>
          <w:tab w:val="left" w:pos="5040"/>
        </w:tabs>
        <w:spacing w:before="240" w:after="240" w:line="360" w:lineRule="auto"/>
        <w:ind w:right="49"/>
        <w:jc w:val="both"/>
        <w:rPr>
          <w:rFonts w:ascii="Palatino Linotype" w:eastAsia="Palatino Linotype" w:hAnsi="Palatino Linotype" w:cs="Palatino Linotype"/>
        </w:rPr>
      </w:pPr>
      <w:r w:rsidRPr="00AC6F8D">
        <w:rPr>
          <w:rFonts w:ascii="Palatino Linotype" w:eastAsia="Palatino Linotype" w:hAnsi="Palatino Linotype" w:cs="Palatino Linotype"/>
          <w:b/>
        </w:rPr>
        <w:t xml:space="preserve">Segundo. </w:t>
      </w:r>
      <w:r w:rsidRPr="00AC6F8D">
        <w:rPr>
          <w:rFonts w:ascii="Palatino Linotype" w:eastAsia="Palatino Linotype" w:hAnsi="Palatino Linotype" w:cs="Palatino Linotype"/>
        </w:rPr>
        <w:t xml:space="preserve">Se </w:t>
      </w:r>
      <w:r w:rsidRPr="00AC6F8D">
        <w:rPr>
          <w:rFonts w:ascii="Palatino Linotype" w:eastAsia="Palatino Linotype" w:hAnsi="Palatino Linotype" w:cs="Palatino Linotype"/>
          <w:b/>
        </w:rPr>
        <w:t xml:space="preserve">Ordena </w:t>
      </w:r>
      <w:r w:rsidRPr="00AC6F8D">
        <w:rPr>
          <w:rFonts w:ascii="Palatino Linotype" w:eastAsia="Palatino Linotype" w:hAnsi="Palatino Linotype" w:cs="Palatino Linotype"/>
        </w:rPr>
        <w:t xml:space="preserve">al </w:t>
      </w:r>
      <w:r w:rsidRPr="00AC6F8D">
        <w:rPr>
          <w:rFonts w:ascii="Palatino Linotype" w:eastAsia="Palatino Linotype" w:hAnsi="Palatino Linotype" w:cs="Palatino Linotype"/>
          <w:b/>
        </w:rPr>
        <w:t xml:space="preserve">Sujeto Obligado, </w:t>
      </w:r>
      <w:r w:rsidRPr="00AC6F8D">
        <w:rPr>
          <w:rFonts w:ascii="Palatino Linotype" w:eastAsia="Palatino Linotype" w:hAnsi="Palatino Linotype" w:cs="Palatino Linotype"/>
        </w:rPr>
        <w:t xml:space="preserve">en términos de los </w:t>
      </w:r>
      <w:r w:rsidRPr="00AC6F8D">
        <w:rPr>
          <w:rFonts w:ascii="Palatino Linotype" w:eastAsia="Palatino Linotype" w:hAnsi="Palatino Linotype" w:cs="Palatino Linotype"/>
          <w:b/>
        </w:rPr>
        <w:t>Considerandos</w:t>
      </w:r>
      <w:r w:rsidRPr="00AC6F8D">
        <w:rPr>
          <w:rFonts w:ascii="Palatino Linotype" w:eastAsia="Palatino Linotype" w:hAnsi="Palatino Linotype" w:cs="Palatino Linotype"/>
        </w:rPr>
        <w:t xml:space="preserve"> </w:t>
      </w:r>
      <w:r w:rsidRPr="00AC6F8D">
        <w:rPr>
          <w:rFonts w:ascii="Palatino Linotype" w:eastAsia="Palatino Linotype" w:hAnsi="Palatino Linotype" w:cs="Palatino Linotype"/>
          <w:b/>
        </w:rPr>
        <w:t xml:space="preserve">Cuarto </w:t>
      </w:r>
      <w:r w:rsidRPr="00AC6F8D">
        <w:rPr>
          <w:rFonts w:ascii="Palatino Linotype" w:eastAsia="Palatino Linotype" w:hAnsi="Palatino Linotype" w:cs="Palatino Linotype"/>
        </w:rPr>
        <w:t>y</w:t>
      </w:r>
      <w:r w:rsidRPr="00AC6F8D">
        <w:rPr>
          <w:rFonts w:ascii="Palatino Linotype" w:eastAsia="Palatino Linotype" w:hAnsi="Palatino Linotype" w:cs="Palatino Linotype"/>
          <w:b/>
        </w:rPr>
        <w:t xml:space="preserve"> Quinto </w:t>
      </w:r>
      <w:r w:rsidRPr="00AC6F8D">
        <w:rPr>
          <w:rFonts w:ascii="Palatino Linotype" w:eastAsia="Palatino Linotype" w:hAnsi="Palatino Linotype" w:cs="Palatino Linotype"/>
        </w:rPr>
        <w:t xml:space="preserve">de esta resolución, haga entrega, vía </w:t>
      </w:r>
      <w:r w:rsidRPr="00AC6F8D">
        <w:rPr>
          <w:rFonts w:ascii="Palatino Linotype" w:eastAsia="Palatino Linotype" w:hAnsi="Palatino Linotype" w:cs="Palatino Linotype"/>
          <w:b/>
        </w:rPr>
        <w:t>SAIMEX,</w:t>
      </w:r>
      <w:r w:rsidRPr="00AC6F8D">
        <w:rPr>
          <w:rFonts w:ascii="Palatino Linotype" w:eastAsia="Palatino Linotype" w:hAnsi="Palatino Linotype" w:cs="Palatino Linotype"/>
        </w:rPr>
        <w:t xml:space="preserve"> en versión pública de ser necesario, al veintidós de octubre de dos mil veinticuatro, los documentos donde </w:t>
      </w:r>
      <w:r w:rsidR="00C0094F" w:rsidRPr="00AC6F8D">
        <w:rPr>
          <w:rFonts w:ascii="Palatino Linotype" w:eastAsia="Palatino Linotype" w:hAnsi="Palatino Linotype" w:cs="Palatino Linotype"/>
        </w:rPr>
        <w:t>conste o se pueda advertir lo si</w:t>
      </w:r>
      <w:r w:rsidRPr="00AC6F8D">
        <w:rPr>
          <w:rFonts w:ascii="Palatino Linotype" w:eastAsia="Palatino Linotype" w:hAnsi="Palatino Linotype" w:cs="Palatino Linotype"/>
        </w:rPr>
        <w:t>guiente:</w:t>
      </w:r>
    </w:p>
    <w:p w14:paraId="1A939FCF" w14:textId="77777777" w:rsidR="009169BE" w:rsidRPr="00AC6F8D" w:rsidRDefault="005C58B8" w:rsidP="00C0094F">
      <w:pPr>
        <w:numPr>
          <w:ilvl w:val="0"/>
          <w:numId w:val="1"/>
        </w:numPr>
        <w:pBdr>
          <w:top w:val="nil"/>
          <w:left w:val="nil"/>
          <w:bottom w:val="nil"/>
          <w:right w:val="nil"/>
          <w:between w:val="nil"/>
        </w:pBdr>
        <w:tabs>
          <w:tab w:val="left" w:pos="567"/>
        </w:tabs>
        <w:spacing w:after="240" w:line="276" w:lineRule="auto"/>
        <w:ind w:left="284" w:right="51" w:firstLine="0"/>
        <w:jc w:val="both"/>
        <w:rPr>
          <w:rFonts w:ascii="Palatino Linotype" w:eastAsia="Palatino Linotype" w:hAnsi="Palatino Linotype" w:cs="Palatino Linotype"/>
        </w:rPr>
      </w:pPr>
      <w:r w:rsidRPr="00AC6F8D">
        <w:rPr>
          <w:rFonts w:ascii="Palatino Linotype" w:eastAsia="Palatino Linotype" w:hAnsi="Palatino Linotype" w:cs="Palatino Linotype"/>
        </w:rPr>
        <w:t>El número total de armamento operativo en uso, así como el que se encuentra fuera de operación y los conceptos por los cuales dicho armamento se encontraba fuera de uso.</w:t>
      </w:r>
    </w:p>
    <w:p w14:paraId="2C6694A1" w14:textId="77777777" w:rsidR="009169BE" w:rsidRPr="00AC6F8D" w:rsidRDefault="005C58B8" w:rsidP="00C0094F">
      <w:pPr>
        <w:numPr>
          <w:ilvl w:val="0"/>
          <w:numId w:val="1"/>
        </w:numPr>
        <w:pBdr>
          <w:top w:val="nil"/>
          <w:left w:val="nil"/>
          <w:bottom w:val="nil"/>
          <w:right w:val="nil"/>
          <w:between w:val="nil"/>
        </w:pBdr>
        <w:tabs>
          <w:tab w:val="left" w:pos="567"/>
        </w:tabs>
        <w:spacing w:after="240" w:line="276" w:lineRule="auto"/>
        <w:ind w:left="284" w:right="51" w:firstLine="0"/>
        <w:jc w:val="both"/>
        <w:rPr>
          <w:rFonts w:ascii="Palatino Linotype" w:eastAsia="Palatino Linotype" w:hAnsi="Palatino Linotype" w:cs="Palatino Linotype"/>
        </w:rPr>
      </w:pPr>
      <w:r w:rsidRPr="00AC6F8D">
        <w:rPr>
          <w:rFonts w:ascii="Palatino Linotype" w:eastAsia="Palatino Linotype" w:hAnsi="Palatino Linotype" w:cs="Palatino Linotype"/>
        </w:rPr>
        <w:t>El número total de chalecos antibalas o balísticos con los que contaba el municipio y el estado en el que se encontraban.</w:t>
      </w:r>
    </w:p>
    <w:p w14:paraId="7660A273" w14:textId="77777777" w:rsidR="009169BE" w:rsidRPr="00AC6F8D" w:rsidRDefault="005C58B8">
      <w:pPr>
        <w:spacing w:before="240" w:after="240"/>
        <w:ind w:left="284" w:firstLine="1"/>
        <w:jc w:val="both"/>
        <w:rPr>
          <w:rFonts w:ascii="Palatino Linotype" w:eastAsia="Palatino Linotype" w:hAnsi="Palatino Linotype" w:cs="Palatino Linotype"/>
          <w:sz w:val="20"/>
          <w:szCs w:val="20"/>
        </w:rPr>
      </w:pPr>
      <w:bookmarkStart w:id="9" w:name="_heading=h.1ksv4uv" w:colFirst="0" w:colLast="0"/>
      <w:bookmarkEnd w:id="9"/>
      <w:r w:rsidRPr="00AC6F8D">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AC6F8D">
        <w:rPr>
          <w:rFonts w:ascii="Palatino Linotype" w:eastAsia="Palatino Linotype" w:hAnsi="Palatino Linotype" w:cs="Palatino Linotype"/>
          <w:b/>
          <w:i/>
          <w:sz w:val="20"/>
          <w:szCs w:val="20"/>
        </w:rPr>
        <w:t>Recurrente</w:t>
      </w:r>
      <w:r w:rsidRPr="00AC6F8D">
        <w:rPr>
          <w:rFonts w:ascii="Palatino Linotype" w:eastAsia="Palatino Linotype" w:hAnsi="Palatino Linotype" w:cs="Palatino Linotype"/>
          <w:i/>
          <w:sz w:val="20"/>
          <w:szCs w:val="20"/>
        </w:rPr>
        <w:t>.</w:t>
      </w:r>
    </w:p>
    <w:p w14:paraId="74451E4B"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b/>
        </w:rPr>
        <w:lastRenderedPageBreak/>
        <w:t xml:space="preserve">Tercero. Notifíquese, </w:t>
      </w:r>
      <w:r w:rsidRPr="00AC6F8D">
        <w:rPr>
          <w:rFonts w:ascii="Palatino Linotype" w:eastAsia="Palatino Linotype" w:hAnsi="Palatino Linotype" w:cs="Palatino Linotype"/>
        </w:rPr>
        <w:t xml:space="preserve">vía </w:t>
      </w:r>
      <w:r w:rsidRPr="00AC6F8D">
        <w:rPr>
          <w:rFonts w:ascii="Palatino Linotype" w:eastAsia="Palatino Linotype" w:hAnsi="Palatino Linotype" w:cs="Palatino Linotype"/>
          <w:b/>
        </w:rPr>
        <w:t>SAIMEX</w:t>
      </w:r>
      <w:r w:rsidRPr="00AC6F8D">
        <w:rPr>
          <w:rFonts w:ascii="Palatino Linotype" w:eastAsia="Palatino Linotype" w:hAnsi="Palatino Linotype" w:cs="Palatino Linotype"/>
        </w:rPr>
        <w:t xml:space="preserve">, al Titular de la Unidad de Transparencia del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A821A7"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C6F8D">
        <w:rPr>
          <w:rFonts w:ascii="Palatino Linotype" w:eastAsia="Palatino Linotype" w:hAnsi="Palatino Linotype" w:cs="Palatino Linotype"/>
          <w:b/>
        </w:rPr>
        <w:t>Sujeto Obligado</w:t>
      </w:r>
      <w:r w:rsidRPr="00AC6F8D">
        <w:rPr>
          <w:rFonts w:ascii="Palatino Linotype" w:eastAsia="Palatino Linotype" w:hAnsi="Palatino Linotype" w:cs="Palatino Linotype"/>
        </w:rPr>
        <w:t xml:space="preserve"> de manera fundada y motivada, podrá solicitar una ampliación de plazo para el cumplimiento de la presente resolución.</w:t>
      </w:r>
    </w:p>
    <w:p w14:paraId="3F1FC7A1" w14:textId="77777777" w:rsidR="009169BE" w:rsidRPr="00AC6F8D" w:rsidRDefault="005C58B8">
      <w:pPr>
        <w:spacing w:before="240" w:after="240" w:line="360" w:lineRule="auto"/>
        <w:jc w:val="both"/>
        <w:rPr>
          <w:rFonts w:ascii="Palatino Linotype" w:eastAsia="Palatino Linotype" w:hAnsi="Palatino Linotype" w:cs="Palatino Linotype"/>
        </w:rPr>
      </w:pPr>
      <w:bookmarkStart w:id="10" w:name="_heading=h.17dp8vu" w:colFirst="0" w:colLast="0"/>
      <w:bookmarkEnd w:id="10"/>
      <w:r w:rsidRPr="00AC6F8D">
        <w:rPr>
          <w:rFonts w:ascii="Palatino Linotype" w:eastAsia="Palatino Linotype" w:hAnsi="Palatino Linotype" w:cs="Palatino Linotype"/>
          <w:b/>
        </w:rPr>
        <w:t>Cuarto.  Notifíquese, vía SAIMEX</w:t>
      </w:r>
      <w:r w:rsidRPr="00AC6F8D">
        <w:rPr>
          <w:rFonts w:ascii="Palatino Linotype" w:eastAsia="Palatino Linotype" w:hAnsi="Palatino Linotype" w:cs="Palatino Linotype"/>
        </w:rPr>
        <w:t xml:space="preserve"> a la parte </w:t>
      </w:r>
      <w:r w:rsidRPr="00AC6F8D">
        <w:rPr>
          <w:rFonts w:ascii="Palatino Linotype" w:eastAsia="Palatino Linotype" w:hAnsi="Palatino Linotype" w:cs="Palatino Linotype"/>
          <w:b/>
        </w:rPr>
        <w:t xml:space="preserve">Recurrente </w:t>
      </w:r>
      <w:r w:rsidRPr="00AC6F8D">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13A3BA9" w14:textId="77777777" w:rsidR="009169BE" w:rsidRPr="00AC6F8D" w:rsidRDefault="005C58B8">
      <w:pPr>
        <w:spacing w:before="240" w:after="240" w:line="360" w:lineRule="auto"/>
        <w:jc w:val="both"/>
        <w:rPr>
          <w:rFonts w:ascii="Palatino Linotype" w:eastAsia="Palatino Linotype" w:hAnsi="Palatino Linotype" w:cs="Palatino Linotype"/>
        </w:rPr>
      </w:pPr>
      <w:r w:rsidRPr="00AC6F8D">
        <w:rPr>
          <w:rFonts w:ascii="Palatino Linotype" w:eastAsia="Palatino Linotype" w:hAnsi="Palatino Linotype" w:cs="Palatino Linotype"/>
        </w:rPr>
        <w:t xml:space="preserve">ASÍ LO RESUELVE, POR MAYORÍA DE VOTOS, EL PLENO DEL INSTITUTO DE TRANSPARENCIA, ACCESO A LA INFORMACIÓN PÚBLICA Y PROTECCIÓN DE DATOS PERSONALES DEL ESTADO DE MÉXICO Y MUNICIPIOS, CONFORMADO POR LOS COMISIONADOS JOSÉ MARTÍNEZ VILCHIS, MARÍA </w:t>
      </w:r>
      <w:r w:rsidRPr="00AC6F8D">
        <w:rPr>
          <w:rFonts w:ascii="Palatino Linotype" w:eastAsia="Palatino Linotype" w:hAnsi="Palatino Linotype" w:cs="Palatino Linotype"/>
        </w:rPr>
        <w:lastRenderedPageBreak/>
        <w:t>DEL ROSARIO MEJÍA AYALA, SHARON CRISTINA MORALES MARTÍNEZ, EMITIENDO VOTO DISIDENTE, LUIS GUSTAVO PARRA NORIEGA, Y GUADALUPE RAMÍREZ PEÑA; EN LA CUADRAGÉSIMA CUARTA SESIÓN ORDINARIA CELEBRADA EL DIECIOCHO DE DICIEMBRE DE DOS MIL VEINTICUATRO, ANTE EL SECRETARIO TÉCNICO DEL PLENO ALEXIS TAPIA RAMÍREZ.</w:t>
      </w:r>
    </w:p>
    <w:p w14:paraId="720FA9DE" w14:textId="77777777" w:rsidR="009169BE" w:rsidRPr="00AC6F8D" w:rsidRDefault="009169BE">
      <w:pPr>
        <w:spacing w:line="360" w:lineRule="auto"/>
        <w:jc w:val="both"/>
        <w:rPr>
          <w:rFonts w:ascii="Palatino Linotype" w:eastAsia="Palatino Linotype" w:hAnsi="Palatino Linotype" w:cs="Palatino Linotype"/>
        </w:rPr>
      </w:pPr>
      <w:bookmarkStart w:id="11" w:name="_heading=h.1fob9te" w:colFirst="0" w:colLast="0"/>
      <w:bookmarkEnd w:id="11"/>
    </w:p>
    <w:p w14:paraId="5DF4A3EE" w14:textId="77777777" w:rsidR="009169BE" w:rsidRPr="00AC6F8D" w:rsidRDefault="009169BE">
      <w:pPr>
        <w:rPr>
          <w:rFonts w:ascii="Palatino Linotype" w:eastAsia="Palatino Linotype" w:hAnsi="Palatino Linotype" w:cs="Palatino Linotype"/>
        </w:rPr>
      </w:pPr>
    </w:p>
    <w:p w14:paraId="0D41CC16" w14:textId="77777777" w:rsidR="009169BE" w:rsidRPr="00AC6F8D" w:rsidRDefault="009169BE">
      <w:pPr>
        <w:rPr>
          <w:rFonts w:ascii="Palatino Linotype" w:eastAsia="Palatino Linotype" w:hAnsi="Palatino Linotype" w:cs="Palatino Linotype"/>
        </w:rPr>
      </w:pPr>
    </w:p>
    <w:p w14:paraId="303F2DAD" w14:textId="77777777" w:rsidR="009169BE" w:rsidRPr="00AC6F8D" w:rsidRDefault="009169BE">
      <w:pPr>
        <w:rPr>
          <w:rFonts w:ascii="Palatino Linotype" w:eastAsia="Palatino Linotype" w:hAnsi="Palatino Linotype" w:cs="Palatino Linotype"/>
        </w:rPr>
      </w:pPr>
    </w:p>
    <w:p w14:paraId="02C81CD8" w14:textId="77777777" w:rsidR="009169BE" w:rsidRPr="00AC6F8D" w:rsidRDefault="009169BE">
      <w:pPr>
        <w:rPr>
          <w:rFonts w:ascii="Palatino Linotype" w:eastAsia="Palatino Linotype" w:hAnsi="Palatino Linotype" w:cs="Palatino Linotype"/>
        </w:rPr>
      </w:pPr>
    </w:p>
    <w:p w14:paraId="52073986" w14:textId="77777777" w:rsidR="009169BE" w:rsidRPr="00AC6F8D" w:rsidRDefault="009169BE">
      <w:pPr>
        <w:rPr>
          <w:rFonts w:ascii="Palatino Linotype" w:eastAsia="Palatino Linotype" w:hAnsi="Palatino Linotype" w:cs="Palatino Linotype"/>
        </w:rPr>
      </w:pPr>
    </w:p>
    <w:p w14:paraId="7A36A637" w14:textId="77777777" w:rsidR="009169BE" w:rsidRPr="00AC6F8D" w:rsidRDefault="009169BE">
      <w:pPr>
        <w:rPr>
          <w:rFonts w:ascii="Palatino Linotype" w:eastAsia="Palatino Linotype" w:hAnsi="Palatino Linotype" w:cs="Palatino Linotype"/>
        </w:rPr>
      </w:pPr>
    </w:p>
    <w:p w14:paraId="1D938957" w14:textId="77777777" w:rsidR="009169BE" w:rsidRPr="00AC6F8D" w:rsidRDefault="009169BE">
      <w:pPr>
        <w:rPr>
          <w:rFonts w:ascii="Palatino Linotype" w:eastAsia="Palatino Linotype" w:hAnsi="Palatino Linotype" w:cs="Palatino Linotype"/>
        </w:rPr>
      </w:pPr>
    </w:p>
    <w:p w14:paraId="40087DBC" w14:textId="77777777" w:rsidR="009169BE" w:rsidRPr="00AC6F8D" w:rsidRDefault="009169BE">
      <w:pPr>
        <w:rPr>
          <w:rFonts w:ascii="Palatino Linotype" w:eastAsia="Palatino Linotype" w:hAnsi="Palatino Linotype" w:cs="Palatino Linotype"/>
        </w:rPr>
      </w:pPr>
    </w:p>
    <w:p w14:paraId="20CC78CE" w14:textId="77777777" w:rsidR="009169BE" w:rsidRPr="00AC6F8D" w:rsidRDefault="009169BE">
      <w:pPr>
        <w:rPr>
          <w:rFonts w:ascii="Palatino Linotype" w:eastAsia="Palatino Linotype" w:hAnsi="Palatino Linotype" w:cs="Palatino Linotype"/>
        </w:rPr>
      </w:pPr>
    </w:p>
    <w:p w14:paraId="5F4332B4" w14:textId="77777777" w:rsidR="009169BE" w:rsidRPr="00AC6F8D" w:rsidRDefault="009169BE">
      <w:pPr>
        <w:spacing w:line="360" w:lineRule="auto"/>
        <w:jc w:val="both"/>
        <w:rPr>
          <w:rFonts w:ascii="Palatino Linotype" w:eastAsia="Palatino Linotype" w:hAnsi="Palatino Linotype" w:cs="Palatino Linotype"/>
        </w:rPr>
      </w:pPr>
      <w:bookmarkStart w:id="12" w:name="_heading=h.3rdcrjn" w:colFirst="0" w:colLast="0"/>
      <w:bookmarkEnd w:id="12"/>
    </w:p>
    <w:p w14:paraId="2FFD0240" w14:textId="77777777" w:rsidR="009169BE" w:rsidRPr="00AC6F8D" w:rsidRDefault="009169BE">
      <w:pPr>
        <w:spacing w:line="360" w:lineRule="auto"/>
        <w:jc w:val="both"/>
        <w:rPr>
          <w:rFonts w:ascii="Palatino Linotype" w:eastAsia="Palatino Linotype" w:hAnsi="Palatino Linotype" w:cs="Palatino Linotype"/>
        </w:rPr>
      </w:pPr>
    </w:p>
    <w:p w14:paraId="184C2971" w14:textId="77777777" w:rsidR="009169BE" w:rsidRPr="00AC6F8D" w:rsidRDefault="009169BE">
      <w:pPr>
        <w:spacing w:line="360" w:lineRule="auto"/>
        <w:jc w:val="both"/>
        <w:rPr>
          <w:rFonts w:ascii="Palatino Linotype" w:eastAsia="Palatino Linotype" w:hAnsi="Palatino Linotype" w:cs="Palatino Linotype"/>
        </w:rPr>
      </w:pPr>
    </w:p>
    <w:p w14:paraId="3CDEA5DF" w14:textId="77777777" w:rsidR="009169BE" w:rsidRPr="00AC6F8D" w:rsidRDefault="009169BE">
      <w:pPr>
        <w:spacing w:line="360" w:lineRule="auto"/>
        <w:jc w:val="both"/>
        <w:rPr>
          <w:rFonts w:ascii="Palatino Linotype" w:eastAsia="Palatino Linotype" w:hAnsi="Palatino Linotype" w:cs="Palatino Linotype"/>
        </w:rPr>
      </w:pPr>
      <w:bookmarkStart w:id="13" w:name="_heading=h.1t3h5sf" w:colFirst="0" w:colLast="0"/>
      <w:bookmarkEnd w:id="13"/>
    </w:p>
    <w:p w14:paraId="448E4356" w14:textId="77777777" w:rsidR="009169BE" w:rsidRPr="00AC6F8D" w:rsidRDefault="009169BE">
      <w:pPr>
        <w:spacing w:line="360" w:lineRule="auto"/>
        <w:jc w:val="both"/>
        <w:rPr>
          <w:rFonts w:ascii="Palatino Linotype" w:eastAsia="Palatino Linotype" w:hAnsi="Palatino Linotype" w:cs="Palatino Linotype"/>
        </w:rPr>
      </w:pPr>
    </w:p>
    <w:p w14:paraId="20BA2697" w14:textId="77777777" w:rsidR="009169BE" w:rsidRPr="00AC6F8D" w:rsidRDefault="009169BE">
      <w:pPr>
        <w:spacing w:line="360" w:lineRule="auto"/>
        <w:jc w:val="both"/>
        <w:rPr>
          <w:rFonts w:ascii="Palatino Linotype" w:eastAsia="Palatino Linotype" w:hAnsi="Palatino Linotype" w:cs="Palatino Linotype"/>
        </w:rPr>
      </w:pPr>
    </w:p>
    <w:p w14:paraId="20673B5C" w14:textId="77777777" w:rsidR="009169BE" w:rsidRPr="00AC6F8D" w:rsidRDefault="009169BE">
      <w:pPr>
        <w:spacing w:line="360" w:lineRule="auto"/>
        <w:jc w:val="both"/>
        <w:rPr>
          <w:rFonts w:ascii="Palatino Linotype" w:eastAsia="Palatino Linotype" w:hAnsi="Palatino Linotype" w:cs="Palatino Linotype"/>
        </w:rPr>
      </w:pPr>
    </w:p>
    <w:p w14:paraId="335CFD5B" w14:textId="77777777" w:rsidR="009169BE" w:rsidRPr="00AC6F8D" w:rsidRDefault="009169BE">
      <w:pPr>
        <w:spacing w:line="360" w:lineRule="auto"/>
        <w:jc w:val="both"/>
        <w:rPr>
          <w:rFonts w:ascii="Palatino Linotype" w:eastAsia="Palatino Linotype" w:hAnsi="Palatino Linotype" w:cs="Palatino Linotype"/>
        </w:rPr>
      </w:pPr>
    </w:p>
    <w:p w14:paraId="11706A19" w14:textId="77777777" w:rsidR="009169BE" w:rsidRPr="00AC6F8D" w:rsidRDefault="009169BE">
      <w:pPr>
        <w:spacing w:line="360" w:lineRule="auto"/>
        <w:jc w:val="both"/>
        <w:rPr>
          <w:rFonts w:ascii="Palatino Linotype" w:eastAsia="Palatino Linotype" w:hAnsi="Palatino Linotype" w:cs="Palatino Linotype"/>
        </w:rPr>
      </w:pPr>
    </w:p>
    <w:p w14:paraId="20A2F2FD" w14:textId="77777777" w:rsidR="009169BE" w:rsidRPr="00AC6F8D" w:rsidRDefault="009169BE">
      <w:pPr>
        <w:spacing w:line="360" w:lineRule="auto"/>
        <w:jc w:val="both"/>
        <w:rPr>
          <w:rFonts w:ascii="Palatino Linotype" w:eastAsia="Palatino Linotype" w:hAnsi="Palatino Linotype" w:cs="Palatino Linotype"/>
        </w:rPr>
      </w:pPr>
    </w:p>
    <w:p w14:paraId="26508657" w14:textId="77777777" w:rsidR="009169BE" w:rsidRPr="00AC6F8D" w:rsidRDefault="009169BE">
      <w:pPr>
        <w:spacing w:line="360" w:lineRule="auto"/>
        <w:jc w:val="both"/>
        <w:rPr>
          <w:rFonts w:ascii="Palatino Linotype" w:eastAsia="Palatino Linotype" w:hAnsi="Palatino Linotype" w:cs="Palatino Linotype"/>
        </w:rPr>
      </w:pPr>
    </w:p>
    <w:p w14:paraId="7A3E7472" w14:textId="77777777" w:rsidR="009169BE" w:rsidRPr="00AC6F8D" w:rsidRDefault="009169BE">
      <w:pPr>
        <w:spacing w:line="360" w:lineRule="auto"/>
        <w:jc w:val="both"/>
        <w:rPr>
          <w:rFonts w:ascii="Palatino Linotype" w:eastAsia="Palatino Linotype" w:hAnsi="Palatino Linotype" w:cs="Palatino Linotype"/>
        </w:rPr>
      </w:pPr>
    </w:p>
    <w:p w14:paraId="49062623" w14:textId="77777777" w:rsidR="009169BE" w:rsidRPr="00AC6F8D" w:rsidRDefault="009169BE">
      <w:pPr>
        <w:spacing w:line="360" w:lineRule="auto"/>
        <w:jc w:val="both"/>
        <w:rPr>
          <w:rFonts w:ascii="Palatino Linotype" w:eastAsia="Palatino Linotype" w:hAnsi="Palatino Linotype" w:cs="Palatino Linotype"/>
        </w:rPr>
      </w:pPr>
    </w:p>
    <w:p w14:paraId="0BF1D5C6" w14:textId="77777777" w:rsidR="009169BE" w:rsidRPr="00AC6F8D" w:rsidRDefault="009169BE">
      <w:pPr>
        <w:spacing w:line="360" w:lineRule="auto"/>
        <w:jc w:val="both"/>
        <w:rPr>
          <w:rFonts w:ascii="Palatino Linotype" w:eastAsia="Palatino Linotype" w:hAnsi="Palatino Linotype" w:cs="Palatino Linotype"/>
        </w:rPr>
      </w:pPr>
    </w:p>
    <w:p w14:paraId="57A2C43A" w14:textId="77777777" w:rsidR="009169BE" w:rsidRPr="00AC6F8D" w:rsidRDefault="009169BE">
      <w:pPr>
        <w:spacing w:line="360" w:lineRule="auto"/>
        <w:jc w:val="both"/>
        <w:rPr>
          <w:rFonts w:ascii="Palatino Linotype" w:eastAsia="Palatino Linotype" w:hAnsi="Palatino Linotype" w:cs="Palatino Linotype"/>
        </w:rPr>
      </w:pPr>
    </w:p>
    <w:sectPr w:rsidR="009169BE" w:rsidRPr="00AC6F8D">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5445" w14:textId="77777777" w:rsidR="00A073D3" w:rsidRDefault="00A073D3">
      <w:r>
        <w:separator/>
      </w:r>
    </w:p>
  </w:endnote>
  <w:endnote w:type="continuationSeparator" w:id="0">
    <w:p w14:paraId="57E2B469" w14:textId="77777777" w:rsidR="00A073D3" w:rsidRDefault="00A07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F911" w14:textId="77777777" w:rsidR="009169BE" w:rsidRDefault="005C58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3911">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391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0C50CA29" w14:textId="77777777" w:rsidR="009169BE" w:rsidRDefault="009169B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D7B3" w14:textId="77777777" w:rsidR="009169BE" w:rsidRDefault="005C58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391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391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70D1B6B5" w14:textId="77777777" w:rsidR="009169BE" w:rsidRDefault="009169B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204CA" w14:textId="77777777" w:rsidR="00A073D3" w:rsidRDefault="00A073D3">
      <w:r>
        <w:separator/>
      </w:r>
    </w:p>
  </w:footnote>
  <w:footnote w:type="continuationSeparator" w:id="0">
    <w:p w14:paraId="223221A5" w14:textId="77777777" w:rsidR="00A073D3" w:rsidRDefault="00A07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C852" w14:textId="77777777" w:rsidR="009169BE" w:rsidRDefault="005C58B8">
    <w:pPr>
      <w:rPr>
        <w:rFonts w:ascii="Cambria" w:eastAsia="Cambria" w:hAnsi="Cambria" w:cs="Cambria"/>
        <w:color w:val="000000"/>
      </w:rPr>
    </w:pPr>
    <w:r>
      <w:rPr>
        <w:noProof/>
      </w:rPr>
      <w:drawing>
        <wp:anchor distT="0" distB="0" distL="0" distR="0" simplePos="0" relativeHeight="251658240" behindDoc="1" locked="0" layoutInCell="1" hidden="0" allowOverlap="1" wp14:anchorId="1F24B460" wp14:editId="5E288F54">
          <wp:simplePos x="0" y="0"/>
          <wp:positionH relativeFrom="column">
            <wp:posOffset>-1080102</wp:posOffset>
          </wp:positionH>
          <wp:positionV relativeFrom="paragraph">
            <wp:posOffset>-488276</wp:posOffset>
          </wp:positionV>
          <wp:extent cx="7809865" cy="10165715"/>
          <wp:effectExtent l="0" t="0" r="0" b="0"/>
          <wp:wrapNone/>
          <wp:docPr id="1984123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9169BE" w14:paraId="48C472E0" w14:textId="77777777">
      <w:tc>
        <w:tcPr>
          <w:tcW w:w="2489" w:type="dxa"/>
          <w:shd w:val="clear" w:color="auto" w:fill="auto"/>
        </w:tcPr>
        <w:p w14:paraId="206BC3B0" w14:textId="77777777" w:rsidR="009169BE" w:rsidRDefault="005C58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13EFEDE" w14:textId="77777777" w:rsidR="009169BE" w:rsidRDefault="005C58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07242/INFOEM/IP/RR/2024</w:t>
          </w:r>
        </w:p>
      </w:tc>
    </w:tr>
    <w:tr w:rsidR="009169BE" w14:paraId="58C800F9" w14:textId="77777777">
      <w:trPr>
        <w:trHeight w:val="228"/>
      </w:trPr>
      <w:tc>
        <w:tcPr>
          <w:tcW w:w="2489" w:type="dxa"/>
          <w:shd w:val="clear" w:color="auto" w:fill="auto"/>
          <w:vAlign w:val="center"/>
        </w:tcPr>
        <w:p w14:paraId="3377C841" w14:textId="77777777" w:rsidR="009169BE" w:rsidRDefault="005C58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54A2707" w14:textId="77777777" w:rsidR="009169BE" w:rsidRDefault="005C58B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Ocoyoacac</w:t>
          </w:r>
        </w:p>
      </w:tc>
    </w:tr>
    <w:tr w:rsidR="009169BE" w14:paraId="7927861B" w14:textId="77777777">
      <w:tc>
        <w:tcPr>
          <w:tcW w:w="2489" w:type="dxa"/>
          <w:shd w:val="clear" w:color="auto" w:fill="auto"/>
          <w:vAlign w:val="center"/>
        </w:tcPr>
        <w:p w14:paraId="0BDA2A99" w14:textId="77777777" w:rsidR="009169BE" w:rsidRDefault="005C58B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BA0F6C3" w14:textId="77777777" w:rsidR="009169BE" w:rsidRDefault="005C58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50AFE4" w14:textId="77777777" w:rsidR="009169BE" w:rsidRDefault="005C58B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659E" w14:textId="77777777" w:rsidR="009169BE" w:rsidRDefault="005C58B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550F7C28" wp14:editId="4E1AE0EC">
          <wp:simplePos x="0" y="0"/>
          <wp:positionH relativeFrom="column">
            <wp:posOffset>-1080128</wp:posOffset>
          </wp:positionH>
          <wp:positionV relativeFrom="paragraph">
            <wp:posOffset>-369904</wp:posOffset>
          </wp:positionV>
          <wp:extent cx="7809865" cy="10165715"/>
          <wp:effectExtent l="0" t="0" r="0" b="0"/>
          <wp:wrapNone/>
          <wp:docPr id="1984123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5953" w:type="dxa"/>
      <w:tblInd w:w="3261" w:type="dxa"/>
      <w:tblLayout w:type="fixed"/>
      <w:tblLook w:val="0400" w:firstRow="0" w:lastRow="0" w:firstColumn="0" w:lastColumn="0" w:noHBand="0" w:noVBand="1"/>
    </w:tblPr>
    <w:tblGrid>
      <w:gridCol w:w="2489"/>
      <w:gridCol w:w="3464"/>
    </w:tblGrid>
    <w:tr w:rsidR="009169BE" w14:paraId="63E4D9C2" w14:textId="77777777">
      <w:tc>
        <w:tcPr>
          <w:tcW w:w="2489" w:type="dxa"/>
          <w:shd w:val="clear" w:color="auto" w:fill="auto"/>
        </w:tcPr>
        <w:p w14:paraId="0D16250F" w14:textId="77777777" w:rsidR="009169BE" w:rsidRDefault="005C58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5986EF1" w14:textId="77777777" w:rsidR="009169BE" w:rsidRDefault="005C58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07242/INFOEM/IP/RR/2024</w:t>
          </w:r>
        </w:p>
      </w:tc>
    </w:tr>
    <w:tr w:rsidR="009169BE" w14:paraId="1C6DE96E" w14:textId="77777777">
      <w:tc>
        <w:tcPr>
          <w:tcW w:w="2489" w:type="dxa"/>
          <w:shd w:val="clear" w:color="auto" w:fill="auto"/>
        </w:tcPr>
        <w:p w14:paraId="5D82C8E2" w14:textId="77777777" w:rsidR="009169BE" w:rsidRDefault="005C58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7D616508" w14:textId="03052263" w:rsidR="009169BE" w:rsidRDefault="00962F1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 XXXXXXXX </w:t>
          </w:r>
        </w:p>
      </w:tc>
    </w:tr>
    <w:tr w:rsidR="009169BE" w14:paraId="5853A253" w14:textId="77777777">
      <w:trPr>
        <w:trHeight w:val="228"/>
      </w:trPr>
      <w:tc>
        <w:tcPr>
          <w:tcW w:w="2489" w:type="dxa"/>
          <w:shd w:val="clear" w:color="auto" w:fill="auto"/>
          <w:vAlign w:val="center"/>
        </w:tcPr>
        <w:p w14:paraId="3FA0EED0" w14:textId="77777777" w:rsidR="009169BE" w:rsidRDefault="005C58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BF670D7" w14:textId="77777777" w:rsidR="009169BE" w:rsidRDefault="005C58B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Ocoyoacac</w:t>
          </w:r>
        </w:p>
      </w:tc>
    </w:tr>
    <w:tr w:rsidR="009169BE" w14:paraId="41FEDFC2" w14:textId="77777777">
      <w:tc>
        <w:tcPr>
          <w:tcW w:w="2489" w:type="dxa"/>
          <w:shd w:val="clear" w:color="auto" w:fill="auto"/>
          <w:vAlign w:val="center"/>
        </w:tcPr>
        <w:p w14:paraId="1B87292A" w14:textId="77777777" w:rsidR="009169BE" w:rsidRDefault="005C58B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B42F006" w14:textId="77777777" w:rsidR="009169BE" w:rsidRDefault="005C58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9DAFD8D" w14:textId="77777777" w:rsidR="009169BE" w:rsidRDefault="009169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D4010"/>
    <w:multiLevelType w:val="multilevel"/>
    <w:tmpl w:val="F2369452"/>
    <w:lvl w:ilvl="0">
      <w:start w:val="1"/>
      <w:numFmt w:val="bullet"/>
      <w:pStyle w:val="Listaconvietas"/>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 w15:restartNumberingAfterBreak="0">
    <w:nsid w:val="36230904"/>
    <w:multiLevelType w:val="multilevel"/>
    <w:tmpl w:val="27ECF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9D3D1D"/>
    <w:multiLevelType w:val="multilevel"/>
    <w:tmpl w:val="83A24FC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505F7D"/>
    <w:multiLevelType w:val="multilevel"/>
    <w:tmpl w:val="139CAD36"/>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493A7C35"/>
    <w:multiLevelType w:val="multilevel"/>
    <w:tmpl w:val="8258D38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9BE"/>
    <w:rsid w:val="00183911"/>
    <w:rsid w:val="00414278"/>
    <w:rsid w:val="005C58B8"/>
    <w:rsid w:val="009169BE"/>
    <w:rsid w:val="00962F13"/>
    <w:rsid w:val="00A073D3"/>
    <w:rsid w:val="00AC6F8D"/>
    <w:rsid w:val="00C009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5F77E"/>
  <w15:docId w15:val="{ECCDF953-2294-4001-AF05-CCA7CCD88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576276"/>
    <w:rPr>
      <w:color w:val="605E5C"/>
      <w:shd w:val="clear" w:color="auto" w:fill="E1DFDD"/>
    </w:rPr>
  </w:style>
  <w:style w:type="paragraph" w:styleId="Textoindependiente">
    <w:name w:val="Body Text"/>
    <w:basedOn w:val="Normal"/>
    <w:link w:val="TextoindependienteCar"/>
    <w:uiPriority w:val="1"/>
    <w:qFormat/>
    <w:rsid w:val="001E4A02"/>
    <w:pPr>
      <w:widowControl w:val="0"/>
      <w:autoSpaceDE w:val="0"/>
      <w:autoSpaceDN w:val="0"/>
    </w:pPr>
    <w:rPr>
      <w:rFonts w:ascii="Arial" w:eastAsia="Arial" w:hAnsi="Arial" w:cs="Arial"/>
      <w:sz w:val="19"/>
      <w:szCs w:val="19"/>
      <w:lang w:val="es-ES" w:eastAsia="en-US"/>
    </w:rPr>
  </w:style>
  <w:style w:type="character" w:customStyle="1" w:styleId="TextoindependienteCar">
    <w:name w:val="Texto independiente Car"/>
    <w:basedOn w:val="Fuentedeprrafopredeter"/>
    <w:link w:val="Textoindependiente"/>
    <w:uiPriority w:val="1"/>
    <w:rsid w:val="001E4A02"/>
    <w:rPr>
      <w:rFonts w:ascii="Arial" w:eastAsia="Arial" w:hAnsi="Arial" w:cs="Arial"/>
      <w:sz w:val="19"/>
      <w:szCs w:val="19"/>
      <w:lang w:val="es-ES" w:eastAsia="en-US"/>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styleId="Listaconvietas">
    <w:name w:val="List Bullet"/>
    <w:basedOn w:val="Normal"/>
    <w:uiPriority w:val="99"/>
    <w:semiHidden/>
    <w:unhideWhenUsed/>
    <w:rsid w:val="001020EC"/>
    <w:pPr>
      <w:numPr>
        <w:numId w:val="4"/>
      </w:numPr>
      <w:contextualSpacing/>
    </w:p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Rjd+79Q9eDzn6xLzeoeEyZbkvw==">CgMxLjAyCWguNGQzNG9nODIIaC5namRneHMyCWguM2R5NnZrbTIJaC4zMGowemxsMgloLjJzOGV5bzEyCGgudHlqY3d0MgloLjN6bnlzaDcyCWguMzVua3VuMjIJaC4yNmluMXJnMgloLjFrc3Y0dXYyCWguMTdkcDh2dTIJaC4xZm9iOXRlMgloLjNyZGNyam4yCWguMXQzaDVzZjgAciExVGdsNnVRNmc3WVpiMVFaSmdPendrU3g0ZGpOS2xxQjc=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12869</Words>
  <Characters>70781</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2024-12-19T20:51:00Z</cp:lastPrinted>
  <dcterms:created xsi:type="dcterms:W3CDTF">2025-01-16T19:24:00Z</dcterms:created>
  <dcterms:modified xsi:type="dcterms:W3CDTF">2025-01-16T19:24:00Z</dcterms:modified>
</cp:coreProperties>
</file>