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B2B0D" w14:textId="77777777" w:rsidR="009302CD" w:rsidRDefault="009302CD">
      <w:pPr>
        <w:widowControl w:val="0"/>
        <w:pBdr>
          <w:top w:val="nil"/>
          <w:left w:val="nil"/>
          <w:bottom w:val="nil"/>
          <w:right w:val="nil"/>
          <w:between w:val="nil"/>
        </w:pBdr>
        <w:spacing w:after="0" w:line="276" w:lineRule="auto"/>
        <w:jc w:val="left"/>
      </w:pPr>
    </w:p>
    <w:sdt>
      <w:sdtPr>
        <w:rPr>
          <w:rFonts w:eastAsia="Palatino Linotype" w:cs="Palatino Linotype"/>
          <w:b w:val="0"/>
          <w:color w:val="000000" w:themeColor="text1"/>
          <w:szCs w:val="22"/>
          <w:lang w:val="es-ES"/>
        </w:rPr>
        <w:id w:val="-734163581"/>
        <w:docPartObj>
          <w:docPartGallery w:val="Table of Contents"/>
          <w:docPartUnique/>
        </w:docPartObj>
      </w:sdtPr>
      <w:sdtEndPr>
        <w:rPr>
          <w:bCs/>
        </w:rPr>
      </w:sdtEndPr>
      <w:sdtContent>
        <w:p w14:paraId="1601CCA4" w14:textId="0E9E4DE6" w:rsidR="00A67F67" w:rsidRPr="00F41FA9" w:rsidRDefault="00A67F67">
          <w:pPr>
            <w:pStyle w:val="TtulodeTDC"/>
          </w:pPr>
          <w:r w:rsidRPr="00F41FA9">
            <w:rPr>
              <w:lang w:val="es-ES"/>
            </w:rPr>
            <w:t>Contenido</w:t>
          </w:r>
        </w:p>
        <w:p w14:paraId="161F224E" w14:textId="77777777" w:rsidR="0016054C" w:rsidRPr="00F41FA9" w:rsidRDefault="00A67F67">
          <w:pPr>
            <w:pStyle w:val="TDC1"/>
            <w:tabs>
              <w:tab w:val="right" w:leader="dot" w:pos="9062"/>
            </w:tabs>
            <w:rPr>
              <w:rFonts w:asciiTheme="minorHAnsi" w:eastAsiaTheme="minorEastAsia" w:hAnsiTheme="minorHAnsi" w:cstheme="minorBidi"/>
              <w:noProof/>
              <w:color w:val="auto"/>
            </w:rPr>
          </w:pPr>
          <w:r w:rsidRPr="00F41FA9">
            <w:fldChar w:fldCharType="begin"/>
          </w:r>
          <w:r w:rsidRPr="00F41FA9">
            <w:instrText xml:space="preserve"> TOC \o "1-3" \h \z \u </w:instrText>
          </w:r>
          <w:r w:rsidRPr="00F41FA9">
            <w:fldChar w:fldCharType="separate"/>
          </w:r>
          <w:hyperlink w:anchor="_Toc184209282" w:history="1">
            <w:r w:rsidR="0016054C" w:rsidRPr="00F41FA9">
              <w:rPr>
                <w:rStyle w:val="Hipervnculo"/>
                <w:noProof/>
              </w:rPr>
              <w:t>A N T E C E D E N T E S</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_Toc184209282 \h </w:instrText>
            </w:r>
            <w:r w:rsidR="0016054C" w:rsidRPr="00F41FA9">
              <w:rPr>
                <w:noProof/>
                <w:webHidden/>
              </w:rPr>
            </w:r>
            <w:r w:rsidR="0016054C" w:rsidRPr="00F41FA9">
              <w:rPr>
                <w:noProof/>
                <w:webHidden/>
              </w:rPr>
              <w:fldChar w:fldCharType="separate"/>
            </w:r>
            <w:r w:rsidR="005B170D">
              <w:rPr>
                <w:noProof/>
                <w:webHidden/>
              </w:rPr>
              <w:t>2</w:t>
            </w:r>
            <w:r w:rsidR="0016054C" w:rsidRPr="00F41FA9">
              <w:rPr>
                <w:noProof/>
                <w:webHidden/>
              </w:rPr>
              <w:fldChar w:fldCharType="end"/>
            </w:r>
          </w:hyperlink>
        </w:p>
        <w:p w14:paraId="4373D198"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3" w:history="1">
            <w:r w:rsidR="0016054C" w:rsidRPr="00F41FA9">
              <w:rPr>
                <w:rStyle w:val="Hipervnculo"/>
                <w:noProof/>
              </w:rPr>
              <w:t>I. Presentación de la solicitud de información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_Toc184209283 \h </w:instrText>
            </w:r>
            <w:r w:rsidR="0016054C" w:rsidRPr="00F41FA9">
              <w:rPr>
                <w:noProof/>
                <w:webHidden/>
              </w:rPr>
            </w:r>
            <w:r w:rsidR="0016054C" w:rsidRPr="00F41FA9">
              <w:rPr>
                <w:noProof/>
                <w:webHidden/>
              </w:rPr>
              <w:fldChar w:fldCharType="separate"/>
            </w:r>
            <w:r w:rsidR="005B170D">
              <w:rPr>
                <w:noProof/>
                <w:webHidden/>
              </w:rPr>
              <w:t>2</w:t>
            </w:r>
            <w:r w:rsidR="0016054C" w:rsidRPr="00F41FA9">
              <w:rPr>
                <w:noProof/>
                <w:webHidden/>
              </w:rPr>
              <w:fldChar w:fldCharType="end"/>
            </w:r>
          </w:hyperlink>
        </w:p>
        <w:p w14:paraId="4D3C8418"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4" w:history="1">
            <w:r w:rsidR="0016054C" w:rsidRPr="00F41FA9">
              <w:rPr>
                <w:rStyle w:val="Hipervnculo"/>
                <w:noProof/>
              </w:rPr>
              <w:t>II. Prórroga</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_Toc184209284 \h </w:instrText>
            </w:r>
            <w:r w:rsidR="0016054C" w:rsidRPr="00F41FA9">
              <w:rPr>
                <w:noProof/>
                <w:webHidden/>
              </w:rPr>
            </w:r>
            <w:r w:rsidR="0016054C" w:rsidRPr="00F41FA9">
              <w:rPr>
                <w:noProof/>
                <w:webHidden/>
              </w:rPr>
              <w:fldChar w:fldCharType="separate"/>
            </w:r>
            <w:r w:rsidR="005B170D">
              <w:rPr>
                <w:noProof/>
                <w:webHidden/>
              </w:rPr>
              <w:t>3</w:t>
            </w:r>
            <w:r w:rsidR="0016054C" w:rsidRPr="00F41FA9">
              <w:rPr>
                <w:noProof/>
                <w:webHidden/>
              </w:rPr>
              <w:fldChar w:fldCharType="end"/>
            </w:r>
          </w:hyperlink>
        </w:p>
        <w:p w14:paraId="25A45853"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5" w:history="1">
            <w:r w:rsidR="0016054C" w:rsidRPr="00F41FA9">
              <w:rPr>
                <w:rStyle w:val="Hipervnculo"/>
                <w:noProof/>
              </w:rPr>
              <w:t>II. Respuesta del Sujeto Obligado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_Toc184209285 \h </w:instrText>
            </w:r>
            <w:r w:rsidR="0016054C" w:rsidRPr="00F41FA9">
              <w:rPr>
                <w:noProof/>
                <w:webHidden/>
              </w:rPr>
            </w:r>
            <w:r w:rsidR="0016054C" w:rsidRPr="00F41FA9">
              <w:rPr>
                <w:noProof/>
                <w:webHidden/>
              </w:rPr>
              <w:fldChar w:fldCharType="separate"/>
            </w:r>
            <w:r w:rsidR="005B170D">
              <w:rPr>
                <w:noProof/>
                <w:webHidden/>
              </w:rPr>
              <w:t>3</w:t>
            </w:r>
            <w:r w:rsidR="0016054C" w:rsidRPr="00F41FA9">
              <w:rPr>
                <w:noProof/>
                <w:webHidden/>
              </w:rPr>
              <w:fldChar w:fldCharType="end"/>
            </w:r>
          </w:hyperlink>
        </w:p>
        <w:p w14:paraId="2CDD2632"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6" w:history="1">
            <w:r w:rsidR="0016054C" w:rsidRPr="00F41FA9">
              <w:rPr>
                <w:rStyle w:val="Hipervnculo"/>
                <w:noProof/>
              </w:rPr>
              <w:t>III. Interposición del Recurso de Revisión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_Toc184209286 \h </w:instrText>
            </w:r>
            <w:r w:rsidR="0016054C" w:rsidRPr="00F41FA9">
              <w:rPr>
                <w:noProof/>
                <w:webHidden/>
              </w:rPr>
            </w:r>
            <w:r w:rsidR="0016054C" w:rsidRPr="00F41FA9">
              <w:rPr>
                <w:noProof/>
                <w:webHidden/>
              </w:rPr>
              <w:fldChar w:fldCharType="separate"/>
            </w:r>
            <w:r w:rsidR="005B170D">
              <w:rPr>
                <w:noProof/>
                <w:webHidden/>
              </w:rPr>
              <w:t>4</w:t>
            </w:r>
            <w:r w:rsidR="0016054C" w:rsidRPr="00F41FA9">
              <w:rPr>
                <w:noProof/>
                <w:webHidden/>
              </w:rPr>
              <w:fldChar w:fldCharType="end"/>
            </w:r>
          </w:hyperlink>
        </w:p>
        <w:p w14:paraId="3B0F0EED"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7" w:history="1">
            <w:r w:rsidR="0016054C" w:rsidRPr="00F41FA9">
              <w:rPr>
                <w:rStyle w:val="Hipervnculo"/>
                <w:noProof/>
              </w:rPr>
              <w:t>IV. Trámite del Recurso de Revisión ante este Instituto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_Toc184209287 \h </w:instrText>
            </w:r>
            <w:r w:rsidR="0016054C" w:rsidRPr="00F41FA9">
              <w:rPr>
                <w:noProof/>
                <w:webHidden/>
              </w:rPr>
            </w:r>
            <w:r w:rsidR="0016054C" w:rsidRPr="00F41FA9">
              <w:rPr>
                <w:noProof/>
                <w:webHidden/>
              </w:rPr>
              <w:fldChar w:fldCharType="separate"/>
            </w:r>
            <w:r w:rsidR="005B170D">
              <w:rPr>
                <w:noProof/>
                <w:webHidden/>
              </w:rPr>
              <w:t>4</w:t>
            </w:r>
            <w:r w:rsidR="0016054C" w:rsidRPr="00F41FA9">
              <w:rPr>
                <w:noProof/>
                <w:webHidden/>
              </w:rPr>
              <w:fldChar w:fldCharType="end"/>
            </w:r>
          </w:hyperlink>
        </w:p>
        <w:p w14:paraId="4BBC6DDE"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8" w:history="1">
            <w:r w:rsidR="0016054C" w:rsidRPr="00F41FA9">
              <w:rPr>
                <w:rStyle w:val="Hipervnculo"/>
                <w:noProof/>
              </w:rPr>
              <w:t>a) Turno del Medio de Impugnación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_Toc184209288 \h </w:instrText>
            </w:r>
            <w:r w:rsidR="0016054C" w:rsidRPr="00F41FA9">
              <w:rPr>
                <w:noProof/>
                <w:webHidden/>
              </w:rPr>
            </w:r>
            <w:r w:rsidR="0016054C" w:rsidRPr="00F41FA9">
              <w:rPr>
                <w:noProof/>
                <w:webHidden/>
              </w:rPr>
              <w:fldChar w:fldCharType="separate"/>
            </w:r>
            <w:r w:rsidR="005B170D">
              <w:rPr>
                <w:noProof/>
                <w:webHidden/>
              </w:rPr>
              <w:t>4</w:t>
            </w:r>
            <w:r w:rsidR="0016054C" w:rsidRPr="00F41FA9">
              <w:rPr>
                <w:noProof/>
                <w:webHidden/>
              </w:rPr>
              <w:fldChar w:fldCharType="end"/>
            </w:r>
          </w:hyperlink>
        </w:p>
        <w:p w14:paraId="16CFBA56"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89" w:history="1">
            <w:r w:rsidR="0016054C" w:rsidRPr="00F41FA9">
              <w:rPr>
                <w:rStyle w:val="Hipervnculo"/>
                <w:noProof/>
              </w:rPr>
              <w:t>b) Admisión del Recurso de Revisión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_Toc184209289 \h </w:instrText>
            </w:r>
            <w:r w:rsidR="0016054C" w:rsidRPr="00F41FA9">
              <w:rPr>
                <w:noProof/>
                <w:webHidden/>
              </w:rPr>
            </w:r>
            <w:r w:rsidR="0016054C" w:rsidRPr="00F41FA9">
              <w:rPr>
                <w:noProof/>
                <w:webHidden/>
              </w:rPr>
              <w:fldChar w:fldCharType="separate"/>
            </w:r>
            <w:r w:rsidR="005B170D">
              <w:rPr>
                <w:noProof/>
                <w:webHidden/>
              </w:rPr>
              <w:t>4</w:t>
            </w:r>
            <w:r w:rsidR="0016054C" w:rsidRPr="00F41FA9">
              <w:rPr>
                <w:noProof/>
                <w:webHidden/>
              </w:rPr>
              <w:fldChar w:fldCharType="end"/>
            </w:r>
          </w:hyperlink>
        </w:p>
        <w:p w14:paraId="3A2C432B"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0" w:history="1">
            <w:r w:rsidR="0016054C" w:rsidRPr="00F41FA9">
              <w:rPr>
                <w:rStyle w:val="Hipervnculo"/>
                <w:noProof/>
              </w:rPr>
              <w:t>c) Informe Justificado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_Toc184209290 \h </w:instrText>
            </w:r>
            <w:r w:rsidR="0016054C" w:rsidRPr="00F41FA9">
              <w:rPr>
                <w:noProof/>
                <w:webHidden/>
              </w:rPr>
            </w:r>
            <w:r w:rsidR="0016054C" w:rsidRPr="00F41FA9">
              <w:rPr>
                <w:noProof/>
                <w:webHidden/>
              </w:rPr>
              <w:fldChar w:fldCharType="separate"/>
            </w:r>
            <w:r w:rsidR="005B170D">
              <w:rPr>
                <w:noProof/>
                <w:webHidden/>
              </w:rPr>
              <w:t>5</w:t>
            </w:r>
            <w:r w:rsidR="0016054C" w:rsidRPr="00F41FA9">
              <w:rPr>
                <w:noProof/>
                <w:webHidden/>
              </w:rPr>
              <w:fldChar w:fldCharType="end"/>
            </w:r>
          </w:hyperlink>
        </w:p>
        <w:p w14:paraId="4F199EDD"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1" w:history="1">
            <w:r w:rsidR="0016054C" w:rsidRPr="00F41FA9">
              <w:rPr>
                <w:rStyle w:val="Hipervnculo"/>
                <w:noProof/>
              </w:rPr>
              <w:t>d) Manifestaciones</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_Toc184209291 \h </w:instrText>
            </w:r>
            <w:r w:rsidR="0016054C" w:rsidRPr="00F41FA9">
              <w:rPr>
                <w:noProof/>
                <w:webHidden/>
              </w:rPr>
            </w:r>
            <w:r w:rsidR="0016054C" w:rsidRPr="00F41FA9">
              <w:rPr>
                <w:noProof/>
                <w:webHidden/>
              </w:rPr>
              <w:fldChar w:fldCharType="separate"/>
            </w:r>
            <w:r w:rsidR="005B170D">
              <w:rPr>
                <w:noProof/>
                <w:webHidden/>
              </w:rPr>
              <w:t>5</w:t>
            </w:r>
            <w:r w:rsidR="0016054C" w:rsidRPr="00F41FA9">
              <w:rPr>
                <w:noProof/>
                <w:webHidden/>
              </w:rPr>
              <w:fldChar w:fldCharType="end"/>
            </w:r>
          </w:hyperlink>
        </w:p>
        <w:p w14:paraId="24F060C0"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2" w:history="1">
            <w:r w:rsidR="0016054C" w:rsidRPr="00F41FA9">
              <w:rPr>
                <w:rStyle w:val="Hipervnculo"/>
                <w:noProof/>
              </w:rPr>
              <w:t>e) Ampliación de plazo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_Toc184209292 \h </w:instrText>
            </w:r>
            <w:r w:rsidR="0016054C" w:rsidRPr="00F41FA9">
              <w:rPr>
                <w:noProof/>
                <w:webHidden/>
              </w:rPr>
            </w:r>
            <w:r w:rsidR="0016054C" w:rsidRPr="00F41FA9">
              <w:rPr>
                <w:noProof/>
                <w:webHidden/>
              </w:rPr>
              <w:fldChar w:fldCharType="separate"/>
            </w:r>
            <w:r w:rsidR="005B170D">
              <w:rPr>
                <w:noProof/>
                <w:webHidden/>
              </w:rPr>
              <w:t>5</w:t>
            </w:r>
            <w:r w:rsidR="0016054C" w:rsidRPr="00F41FA9">
              <w:rPr>
                <w:noProof/>
                <w:webHidden/>
              </w:rPr>
              <w:fldChar w:fldCharType="end"/>
            </w:r>
          </w:hyperlink>
        </w:p>
        <w:p w14:paraId="34BC5EC5"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3" w:history="1">
            <w:r w:rsidR="0016054C" w:rsidRPr="00F41FA9">
              <w:rPr>
                <w:rStyle w:val="Hipervnculo"/>
                <w:noProof/>
              </w:rPr>
              <w:t>f) Cierre de instrucción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_Toc184209293 \h </w:instrText>
            </w:r>
            <w:r w:rsidR="0016054C" w:rsidRPr="00F41FA9">
              <w:rPr>
                <w:noProof/>
                <w:webHidden/>
              </w:rPr>
            </w:r>
            <w:r w:rsidR="0016054C" w:rsidRPr="00F41FA9">
              <w:rPr>
                <w:noProof/>
                <w:webHidden/>
              </w:rPr>
              <w:fldChar w:fldCharType="separate"/>
            </w:r>
            <w:r w:rsidR="005B170D">
              <w:rPr>
                <w:noProof/>
                <w:webHidden/>
              </w:rPr>
              <w:t>8</w:t>
            </w:r>
            <w:r w:rsidR="0016054C" w:rsidRPr="00F41FA9">
              <w:rPr>
                <w:noProof/>
                <w:webHidden/>
              </w:rPr>
              <w:fldChar w:fldCharType="end"/>
            </w:r>
          </w:hyperlink>
        </w:p>
        <w:p w14:paraId="398C8E2C" w14:textId="77777777" w:rsidR="0016054C" w:rsidRPr="00F41FA9" w:rsidRDefault="0080144A">
          <w:pPr>
            <w:pStyle w:val="TDC1"/>
            <w:tabs>
              <w:tab w:val="right" w:leader="dot" w:pos="9062"/>
            </w:tabs>
            <w:rPr>
              <w:rFonts w:asciiTheme="minorHAnsi" w:eastAsiaTheme="minorEastAsia" w:hAnsiTheme="minorHAnsi" w:cstheme="minorBidi"/>
              <w:noProof/>
              <w:color w:val="auto"/>
            </w:rPr>
          </w:pPr>
          <w:hyperlink w:anchor="_Toc184209294" w:history="1">
            <w:r w:rsidR="0016054C" w:rsidRPr="00F41FA9">
              <w:rPr>
                <w:rStyle w:val="Hipervnculo"/>
                <w:noProof/>
              </w:rPr>
              <w:t>CONSIDERANDOS</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_Toc184209294 \h </w:instrText>
            </w:r>
            <w:r w:rsidR="0016054C" w:rsidRPr="00F41FA9">
              <w:rPr>
                <w:noProof/>
                <w:webHidden/>
              </w:rPr>
            </w:r>
            <w:r w:rsidR="0016054C" w:rsidRPr="00F41FA9">
              <w:rPr>
                <w:noProof/>
                <w:webHidden/>
              </w:rPr>
              <w:fldChar w:fldCharType="separate"/>
            </w:r>
            <w:r w:rsidR="005B170D">
              <w:rPr>
                <w:noProof/>
                <w:webHidden/>
              </w:rPr>
              <w:t>9</w:t>
            </w:r>
            <w:r w:rsidR="0016054C" w:rsidRPr="00F41FA9">
              <w:rPr>
                <w:noProof/>
                <w:webHidden/>
              </w:rPr>
              <w:fldChar w:fldCharType="end"/>
            </w:r>
          </w:hyperlink>
        </w:p>
        <w:p w14:paraId="60370952"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5" w:history="1">
            <w:r w:rsidR="0016054C" w:rsidRPr="00F41FA9">
              <w:rPr>
                <w:rStyle w:val="Hipervnculo"/>
                <w:rFonts w:eastAsia="Calibri"/>
                <w:noProof/>
                <w:lang w:val="es-ES"/>
              </w:rPr>
              <w:t xml:space="preserve">PRIMERO. </w:t>
            </w:r>
            <w:r w:rsidR="0016054C" w:rsidRPr="00F41FA9">
              <w:rPr>
                <w:rStyle w:val="Hipervnculo"/>
                <w:noProof/>
                <w:lang w:val="es-ES"/>
              </w:rPr>
              <w:t>Competencia</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_Toc184209295 \h </w:instrText>
            </w:r>
            <w:r w:rsidR="0016054C" w:rsidRPr="00F41FA9">
              <w:rPr>
                <w:noProof/>
                <w:webHidden/>
              </w:rPr>
            </w:r>
            <w:r w:rsidR="0016054C" w:rsidRPr="00F41FA9">
              <w:rPr>
                <w:noProof/>
                <w:webHidden/>
              </w:rPr>
              <w:fldChar w:fldCharType="separate"/>
            </w:r>
            <w:r w:rsidR="005B170D">
              <w:rPr>
                <w:noProof/>
                <w:webHidden/>
              </w:rPr>
              <w:t>9</w:t>
            </w:r>
            <w:r w:rsidR="0016054C" w:rsidRPr="00F41FA9">
              <w:rPr>
                <w:noProof/>
                <w:webHidden/>
              </w:rPr>
              <w:fldChar w:fldCharType="end"/>
            </w:r>
          </w:hyperlink>
        </w:p>
        <w:p w14:paraId="3A6D78BD"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6" w:history="1">
            <w:r w:rsidR="0016054C" w:rsidRPr="00F41FA9">
              <w:rPr>
                <w:rStyle w:val="Hipervnculo"/>
                <w:rFonts w:eastAsia="Calibri"/>
                <w:noProof/>
                <w:lang w:val="es-ES"/>
              </w:rPr>
              <w:t xml:space="preserve">SEGUNDO. </w:t>
            </w:r>
            <w:r w:rsidR="0016054C" w:rsidRPr="00F41FA9">
              <w:rPr>
                <w:rStyle w:val="Hipervnculo"/>
                <w:noProof/>
                <w:lang w:val="es-ES"/>
              </w:rPr>
              <w:t>Causales de improcedencia y sobreseimiento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_Toc184209296 \h </w:instrText>
            </w:r>
            <w:r w:rsidR="0016054C" w:rsidRPr="00F41FA9">
              <w:rPr>
                <w:noProof/>
                <w:webHidden/>
              </w:rPr>
            </w:r>
            <w:r w:rsidR="0016054C" w:rsidRPr="00F41FA9">
              <w:rPr>
                <w:noProof/>
                <w:webHidden/>
              </w:rPr>
              <w:fldChar w:fldCharType="separate"/>
            </w:r>
            <w:r w:rsidR="005B170D">
              <w:rPr>
                <w:noProof/>
                <w:webHidden/>
              </w:rPr>
              <w:t>10</w:t>
            </w:r>
            <w:r w:rsidR="0016054C" w:rsidRPr="00F41FA9">
              <w:rPr>
                <w:noProof/>
                <w:webHidden/>
              </w:rPr>
              <w:fldChar w:fldCharType="end"/>
            </w:r>
          </w:hyperlink>
        </w:p>
        <w:p w14:paraId="14BDBE5C"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7" w:history="1">
            <w:r w:rsidR="0016054C" w:rsidRPr="00F41FA9">
              <w:rPr>
                <w:rStyle w:val="Hipervnculo"/>
                <w:noProof/>
              </w:rPr>
              <w:t>TERCERO. Causales de sobreseimiento</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_Toc184209297 \h </w:instrText>
            </w:r>
            <w:r w:rsidR="0016054C" w:rsidRPr="00F41FA9">
              <w:rPr>
                <w:noProof/>
                <w:webHidden/>
              </w:rPr>
            </w:r>
            <w:r w:rsidR="0016054C" w:rsidRPr="00F41FA9">
              <w:rPr>
                <w:noProof/>
                <w:webHidden/>
              </w:rPr>
              <w:fldChar w:fldCharType="separate"/>
            </w:r>
            <w:r w:rsidR="005B170D">
              <w:rPr>
                <w:noProof/>
                <w:webHidden/>
              </w:rPr>
              <w:t>10</w:t>
            </w:r>
            <w:r w:rsidR="0016054C" w:rsidRPr="00F41FA9">
              <w:rPr>
                <w:noProof/>
                <w:webHidden/>
              </w:rPr>
              <w:fldChar w:fldCharType="end"/>
            </w:r>
          </w:hyperlink>
        </w:p>
        <w:p w14:paraId="4E3C7EC7" w14:textId="77777777" w:rsidR="0016054C" w:rsidRPr="00F41FA9" w:rsidRDefault="0080144A">
          <w:pPr>
            <w:pStyle w:val="TDC2"/>
            <w:tabs>
              <w:tab w:val="right" w:leader="dot" w:pos="9062"/>
            </w:tabs>
            <w:rPr>
              <w:rFonts w:asciiTheme="minorHAnsi" w:eastAsiaTheme="minorEastAsia" w:hAnsiTheme="minorHAnsi" w:cstheme="minorBidi"/>
              <w:noProof/>
              <w:color w:val="auto"/>
            </w:rPr>
          </w:pPr>
          <w:hyperlink w:anchor="_Toc184209298" w:history="1">
            <w:r w:rsidR="0016054C" w:rsidRPr="00F41FA9">
              <w:rPr>
                <w:rStyle w:val="Hipervnculo"/>
                <w:noProof/>
              </w:rPr>
              <w:t>CUARTO.  Decisión</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_Toc184209298 \h </w:instrText>
            </w:r>
            <w:r w:rsidR="0016054C" w:rsidRPr="00F41FA9">
              <w:rPr>
                <w:noProof/>
                <w:webHidden/>
              </w:rPr>
            </w:r>
            <w:r w:rsidR="0016054C" w:rsidRPr="00F41FA9">
              <w:rPr>
                <w:noProof/>
                <w:webHidden/>
              </w:rPr>
              <w:fldChar w:fldCharType="separate"/>
            </w:r>
            <w:r w:rsidR="005B170D">
              <w:rPr>
                <w:noProof/>
                <w:webHidden/>
              </w:rPr>
              <w:t>17</w:t>
            </w:r>
            <w:r w:rsidR="0016054C" w:rsidRPr="00F41FA9">
              <w:rPr>
                <w:noProof/>
                <w:webHidden/>
              </w:rPr>
              <w:fldChar w:fldCharType="end"/>
            </w:r>
          </w:hyperlink>
        </w:p>
        <w:p w14:paraId="01D86A58" w14:textId="77777777" w:rsidR="0016054C" w:rsidRPr="00F41FA9" w:rsidRDefault="0080144A">
          <w:pPr>
            <w:pStyle w:val="TDC1"/>
            <w:tabs>
              <w:tab w:val="right" w:leader="dot" w:pos="9062"/>
            </w:tabs>
            <w:rPr>
              <w:rFonts w:asciiTheme="minorHAnsi" w:eastAsiaTheme="minorEastAsia" w:hAnsiTheme="minorHAnsi" w:cstheme="minorBidi"/>
              <w:noProof/>
              <w:color w:val="auto"/>
            </w:rPr>
          </w:pPr>
          <w:hyperlink w:anchor="_Toc184209299" w:history="1">
            <w:r w:rsidR="0016054C" w:rsidRPr="00F41FA9">
              <w:rPr>
                <w:rStyle w:val="Hipervnculo"/>
                <w:noProof/>
              </w:rPr>
              <w:t>RESUELVE</w:t>
            </w:r>
            <w:r w:rsidR="0016054C" w:rsidRPr="00F41FA9">
              <w:rPr>
                <w:noProof/>
                <w:webHidden/>
              </w:rPr>
              <w:tab/>
            </w:r>
            <w:r w:rsidR="0016054C" w:rsidRPr="00F41FA9">
              <w:rPr>
                <w:noProof/>
                <w:webHidden/>
              </w:rPr>
              <w:fldChar w:fldCharType="begin"/>
            </w:r>
            <w:r w:rsidR="0016054C" w:rsidRPr="00F41FA9">
              <w:rPr>
                <w:noProof/>
                <w:webHidden/>
              </w:rPr>
              <w:instrText xml:space="preserve"> PAGEREF _Toc184209299 \h </w:instrText>
            </w:r>
            <w:r w:rsidR="0016054C" w:rsidRPr="00F41FA9">
              <w:rPr>
                <w:noProof/>
                <w:webHidden/>
              </w:rPr>
            </w:r>
            <w:r w:rsidR="0016054C" w:rsidRPr="00F41FA9">
              <w:rPr>
                <w:noProof/>
                <w:webHidden/>
              </w:rPr>
              <w:fldChar w:fldCharType="separate"/>
            </w:r>
            <w:r w:rsidR="005B170D">
              <w:rPr>
                <w:noProof/>
                <w:webHidden/>
              </w:rPr>
              <w:t>18</w:t>
            </w:r>
            <w:r w:rsidR="0016054C" w:rsidRPr="00F41FA9">
              <w:rPr>
                <w:noProof/>
                <w:webHidden/>
              </w:rPr>
              <w:fldChar w:fldCharType="end"/>
            </w:r>
          </w:hyperlink>
        </w:p>
        <w:p w14:paraId="5E147722" w14:textId="6EB0009D" w:rsidR="00A67F67" w:rsidRPr="00F41FA9" w:rsidRDefault="00A67F67">
          <w:r w:rsidRPr="00F41FA9">
            <w:rPr>
              <w:b/>
              <w:bCs/>
              <w:lang w:val="es-ES"/>
            </w:rPr>
            <w:fldChar w:fldCharType="end"/>
          </w:r>
        </w:p>
      </w:sdtContent>
    </w:sdt>
    <w:p w14:paraId="4E2B2B1E" w14:textId="77777777" w:rsidR="009302CD" w:rsidRPr="00F41FA9" w:rsidRDefault="009302CD">
      <w:pPr>
        <w:tabs>
          <w:tab w:val="left" w:pos="8931"/>
        </w:tabs>
        <w:spacing w:after="0" w:line="360" w:lineRule="auto"/>
      </w:pPr>
    </w:p>
    <w:p w14:paraId="4E2B2B1F" w14:textId="77777777" w:rsidR="009302CD" w:rsidRPr="00F41FA9" w:rsidRDefault="009302CD">
      <w:pPr>
        <w:tabs>
          <w:tab w:val="left" w:pos="8931"/>
        </w:tabs>
        <w:spacing w:after="0" w:line="360" w:lineRule="auto"/>
      </w:pPr>
    </w:p>
    <w:p w14:paraId="4E2B2B20" w14:textId="77777777" w:rsidR="009302CD" w:rsidRPr="00F41FA9" w:rsidRDefault="009302CD">
      <w:pPr>
        <w:tabs>
          <w:tab w:val="left" w:pos="8931"/>
        </w:tabs>
        <w:spacing w:after="0" w:line="360" w:lineRule="auto"/>
      </w:pPr>
    </w:p>
    <w:p w14:paraId="4E2B2B22" w14:textId="77777777" w:rsidR="009302CD" w:rsidRPr="00F41FA9" w:rsidRDefault="009302CD">
      <w:pPr>
        <w:tabs>
          <w:tab w:val="left" w:pos="8931"/>
        </w:tabs>
        <w:spacing w:after="0" w:line="360" w:lineRule="auto"/>
      </w:pPr>
    </w:p>
    <w:p w14:paraId="4E2B2B27" w14:textId="53143D15" w:rsidR="009302CD" w:rsidRPr="00F41FA9" w:rsidRDefault="006E571C">
      <w:pPr>
        <w:tabs>
          <w:tab w:val="left" w:pos="8931"/>
        </w:tabs>
        <w:spacing w:after="0" w:line="360" w:lineRule="auto"/>
      </w:pPr>
      <w:r w:rsidRPr="00F41FA9">
        <w:lastRenderedPageBreak/>
        <w:t xml:space="preserve">Resolución del Pleno del Instituto de Transparencia, Acceso a la Información Pública y Protección de Datos Personales del Estado de México y Municipios, con domicilio en Metepec, Estado de México, de fecha </w:t>
      </w:r>
      <w:r w:rsidR="0029103D" w:rsidRPr="00F41FA9">
        <w:t>cuatro</w:t>
      </w:r>
      <w:r w:rsidRPr="00F41FA9">
        <w:t xml:space="preserve"> de </w:t>
      </w:r>
      <w:r w:rsidR="0029103D" w:rsidRPr="00F41FA9">
        <w:t>diciembre</w:t>
      </w:r>
      <w:r w:rsidRPr="00F41FA9">
        <w:t xml:space="preserve"> de dos mil veinticuatro. </w:t>
      </w:r>
    </w:p>
    <w:p w14:paraId="4E2B2B28" w14:textId="77777777" w:rsidR="009302CD" w:rsidRPr="00F41FA9" w:rsidRDefault="009302CD">
      <w:pPr>
        <w:spacing w:after="0" w:line="360" w:lineRule="auto"/>
        <w:rPr>
          <w:b/>
        </w:rPr>
      </w:pPr>
    </w:p>
    <w:p w14:paraId="4E2B2B29" w14:textId="7BFB7E06" w:rsidR="009302CD" w:rsidRPr="00F41FA9" w:rsidRDefault="006E571C">
      <w:pPr>
        <w:spacing w:after="0" w:line="360" w:lineRule="auto"/>
        <w:rPr>
          <w:color w:val="0D0D0D"/>
        </w:rPr>
      </w:pPr>
      <w:r w:rsidRPr="00F41FA9">
        <w:rPr>
          <w:b/>
        </w:rPr>
        <w:t xml:space="preserve">VISTO </w:t>
      </w:r>
      <w:r w:rsidRPr="00F41FA9">
        <w:t>el expediente electrónico conformado con motivo de</w:t>
      </w:r>
      <w:r w:rsidR="00C57AC7" w:rsidRPr="00F41FA9">
        <w:t xml:space="preserve"> </w:t>
      </w:r>
      <w:r w:rsidRPr="00F41FA9">
        <w:t>l</w:t>
      </w:r>
      <w:r w:rsidR="00C57AC7" w:rsidRPr="00F41FA9">
        <w:t>os</w:t>
      </w:r>
      <w:r w:rsidRPr="00F41FA9">
        <w:t xml:space="preserve"> Recurso</w:t>
      </w:r>
      <w:r w:rsidR="00C57AC7" w:rsidRPr="00F41FA9">
        <w:t>s</w:t>
      </w:r>
      <w:r w:rsidRPr="00F41FA9">
        <w:t xml:space="preserve"> de Revisión </w:t>
      </w:r>
      <w:r w:rsidR="00F76C0E" w:rsidRPr="00F41FA9">
        <w:rPr>
          <w:b/>
        </w:rPr>
        <w:t>0</w:t>
      </w:r>
      <w:r w:rsidR="00A40F7E" w:rsidRPr="00F41FA9">
        <w:rPr>
          <w:b/>
        </w:rPr>
        <w:t>5006</w:t>
      </w:r>
      <w:r w:rsidR="00F76C0E" w:rsidRPr="00F41FA9">
        <w:rPr>
          <w:b/>
        </w:rPr>
        <w:t>/INFOEM/IP/RR/2024</w:t>
      </w:r>
      <w:r w:rsidRPr="00F41FA9">
        <w:t>, interpuesto por la persona Recurrente o Particular,</w:t>
      </w:r>
      <w:r w:rsidRPr="00F41FA9">
        <w:rPr>
          <w:color w:val="0D0D0D"/>
        </w:rPr>
        <w:t xml:space="preserve"> en contra de la respuesta del Sujeto Obligado, </w:t>
      </w:r>
      <w:r w:rsidR="00F76C0E" w:rsidRPr="00F41FA9">
        <w:rPr>
          <w:b/>
          <w:color w:val="000000"/>
        </w:rPr>
        <w:t>Instituto Electoral del Estado de México</w:t>
      </w:r>
      <w:r w:rsidRPr="00F41FA9">
        <w:rPr>
          <w:color w:val="0D0D0D"/>
        </w:rPr>
        <w:t>, a la solicitud de acceso a la información pública</w:t>
      </w:r>
      <w:r w:rsidRPr="00F41FA9">
        <w:rPr>
          <w:b/>
          <w:color w:val="0D0D0D"/>
        </w:rPr>
        <w:t> </w:t>
      </w:r>
      <w:r w:rsidR="00D80AB7" w:rsidRPr="00F41FA9">
        <w:rPr>
          <w:b/>
          <w:color w:val="0D0D0D"/>
        </w:rPr>
        <w:t>02</w:t>
      </w:r>
      <w:r w:rsidR="00A40F7E" w:rsidRPr="00F41FA9">
        <w:rPr>
          <w:b/>
          <w:color w:val="0D0D0D"/>
        </w:rPr>
        <w:t>253</w:t>
      </w:r>
      <w:r w:rsidR="00D80AB7" w:rsidRPr="00F41FA9">
        <w:rPr>
          <w:b/>
          <w:color w:val="0D0D0D"/>
        </w:rPr>
        <w:t>/IEEM/IP/2024</w:t>
      </w:r>
      <w:r w:rsidRPr="00F41FA9">
        <w:rPr>
          <w:color w:val="000000"/>
        </w:rPr>
        <w:t xml:space="preserve">, </w:t>
      </w:r>
      <w:r w:rsidRPr="00F41FA9">
        <w:rPr>
          <w:color w:val="0D0D0D"/>
        </w:rPr>
        <w:t>se emite la presente Resolución, con base en los Antecedentes y Considerandos que se exponen a continuación:</w:t>
      </w:r>
    </w:p>
    <w:p w14:paraId="4E2B2B2A" w14:textId="77777777" w:rsidR="009302CD" w:rsidRPr="00F41FA9" w:rsidRDefault="009302CD">
      <w:pPr>
        <w:spacing w:after="0" w:line="360" w:lineRule="auto"/>
        <w:jc w:val="center"/>
        <w:rPr>
          <w:b/>
        </w:rPr>
      </w:pPr>
    </w:p>
    <w:p w14:paraId="4E2B2B2B" w14:textId="77777777" w:rsidR="009302CD" w:rsidRPr="00F41FA9" w:rsidRDefault="006E571C" w:rsidP="0069033A">
      <w:pPr>
        <w:pStyle w:val="Ttulo1"/>
        <w:rPr>
          <w:b w:val="0"/>
        </w:rPr>
      </w:pPr>
      <w:bookmarkStart w:id="0" w:name="_Toc184209282"/>
      <w:r w:rsidRPr="00F41FA9">
        <w:t>A N T E C E D E N T E S</w:t>
      </w:r>
      <w:bookmarkEnd w:id="0"/>
    </w:p>
    <w:p w14:paraId="4E2B2B2C" w14:textId="77777777" w:rsidR="009302CD" w:rsidRPr="00F41FA9" w:rsidRDefault="009302CD">
      <w:pPr>
        <w:spacing w:after="0" w:line="360" w:lineRule="auto"/>
        <w:jc w:val="center"/>
        <w:rPr>
          <w:b/>
        </w:rPr>
      </w:pPr>
    </w:p>
    <w:p w14:paraId="4E2B2B2D" w14:textId="0A8330A4" w:rsidR="009302CD" w:rsidRPr="00F41FA9" w:rsidRDefault="006E571C">
      <w:pPr>
        <w:pStyle w:val="Ttulo2"/>
        <w:rPr>
          <w:b w:val="0"/>
        </w:rPr>
      </w:pPr>
      <w:bookmarkStart w:id="1" w:name="_Toc184209283"/>
      <w:r w:rsidRPr="00F41FA9">
        <w:t>I. Presentación de la solicitud de información</w:t>
      </w:r>
      <w:bookmarkEnd w:id="1"/>
    </w:p>
    <w:p w14:paraId="4E2B2B2E" w14:textId="77777777" w:rsidR="009302CD" w:rsidRPr="00F41FA9" w:rsidRDefault="009302CD">
      <w:pPr>
        <w:tabs>
          <w:tab w:val="left" w:pos="567"/>
        </w:tabs>
        <w:spacing w:after="0" w:line="360" w:lineRule="auto"/>
      </w:pPr>
    </w:p>
    <w:p w14:paraId="4E2B2B2F" w14:textId="59658162" w:rsidR="009302CD" w:rsidRPr="00F41FA9" w:rsidRDefault="006E571C">
      <w:pPr>
        <w:spacing w:after="0" w:line="360" w:lineRule="auto"/>
      </w:pPr>
      <w:r w:rsidRPr="00F41FA9">
        <w:t xml:space="preserve">El </w:t>
      </w:r>
      <w:r w:rsidR="002D3FD2" w:rsidRPr="00F41FA9">
        <w:t>diez</w:t>
      </w:r>
      <w:r w:rsidRPr="00F41FA9">
        <w:t xml:space="preserve"> de </w:t>
      </w:r>
      <w:r w:rsidR="00D80AB7" w:rsidRPr="00F41FA9">
        <w:t>junio</w:t>
      </w:r>
      <w:r w:rsidRPr="00F41FA9">
        <w:t xml:space="preserve"> de dos mil veinticuatro, el Particular presentó </w:t>
      </w:r>
      <w:r w:rsidR="00D80AB7" w:rsidRPr="00F41FA9">
        <w:t xml:space="preserve">una </w:t>
      </w:r>
      <w:r w:rsidRPr="00F41FA9">
        <w:t>solicitud de acceso a la información pública con número</w:t>
      </w:r>
      <w:r w:rsidR="00AF3EBD" w:rsidRPr="00F41FA9">
        <w:t>s</w:t>
      </w:r>
      <w:r w:rsidRPr="00F41FA9">
        <w:t xml:space="preserve"> de folio </w:t>
      </w:r>
      <w:r w:rsidR="00C539AD" w:rsidRPr="00F41FA9">
        <w:rPr>
          <w:b/>
          <w:color w:val="0D0D0D"/>
        </w:rPr>
        <w:t>02185/IEEM/IP/2024</w:t>
      </w:r>
      <w:r w:rsidRPr="00F41FA9">
        <w:t xml:space="preserve">, a través del Sistema de Acceso a la Información Mexiquense, en lo sucesivo, el SAIMEX, ante </w:t>
      </w:r>
      <w:r w:rsidR="00C539AD" w:rsidRPr="00F41FA9">
        <w:t xml:space="preserve">el </w:t>
      </w:r>
      <w:r w:rsidR="00C539AD" w:rsidRPr="00F41FA9">
        <w:rPr>
          <w:b/>
          <w:bCs/>
        </w:rPr>
        <w:t>Instituto Electoral del Estado de México</w:t>
      </w:r>
      <w:r w:rsidRPr="00F41FA9">
        <w:t xml:space="preserve">, en los siguientes términos: </w:t>
      </w:r>
    </w:p>
    <w:p w14:paraId="4E2B2B30" w14:textId="77777777" w:rsidR="009302CD" w:rsidRPr="00F41FA9" w:rsidRDefault="009302CD">
      <w:pPr>
        <w:spacing w:after="0" w:line="360" w:lineRule="auto"/>
      </w:pPr>
    </w:p>
    <w:p w14:paraId="4E2B2B31" w14:textId="742A015D" w:rsidR="009302CD" w:rsidRPr="00F41FA9" w:rsidRDefault="006E571C">
      <w:pPr>
        <w:tabs>
          <w:tab w:val="left" w:pos="4667"/>
        </w:tabs>
        <w:spacing w:after="0" w:line="360" w:lineRule="auto"/>
        <w:ind w:left="567" w:right="567"/>
        <w:rPr>
          <w:b/>
          <w:i/>
          <w:sz w:val="20"/>
          <w:szCs w:val="20"/>
        </w:rPr>
      </w:pPr>
      <w:r w:rsidRPr="00F41FA9">
        <w:rPr>
          <w:b/>
          <w:i/>
          <w:sz w:val="20"/>
          <w:szCs w:val="20"/>
        </w:rPr>
        <w:t>DESCRIPCIÓN CLARA Y PRECISA DE LA INFORMACIÓN SOLICITADA.</w:t>
      </w:r>
    </w:p>
    <w:p w14:paraId="639C52B6" w14:textId="0A14F08C" w:rsidR="009D0CD7" w:rsidRPr="00F41FA9" w:rsidRDefault="00A40F7E">
      <w:pPr>
        <w:tabs>
          <w:tab w:val="left" w:pos="4667"/>
        </w:tabs>
        <w:spacing w:after="0" w:line="360" w:lineRule="auto"/>
        <w:ind w:left="567" w:right="567"/>
        <w:rPr>
          <w:sz w:val="20"/>
          <w:szCs w:val="20"/>
        </w:rPr>
      </w:pPr>
      <w:r w:rsidRPr="00F41FA9">
        <w:rPr>
          <w:i/>
          <w:color w:val="000000"/>
          <w:sz w:val="20"/>
          <w:szCs w:val="20"/>
        </w:rPr>
        <w:t xml:space="preserve">“A quién corresponda. Solicito los escritos iniciales de los medios de impugnación y/o procedimientos, en los que las partes actoras solicitaron la protección de sus datos personales y, en ese sentido, qué criterio utilizó el IEEM para llevar a cabo la protección de los datos personales de dichas personas. En caso de que se superen las capacidades técnicas del Sistema SAIMEX, requiero aquellos escritos iniciales que si proceda su entrega por SAIMEX, en los cuales se haya solicitado la protección de datos personales; así como el procedimiento que llevo a cabo la unidad de transparencia </w:t>
      </w:r>
      <w:r w:rsidRPr="00F41FA9">
        <w:rPr>
          <w:i/>
          <w:color w:val="000000"/>
          <w:sz w:val="20"/>
          <w:szCs w:val="20"/>
        </w:rPr>
        <w:lastRenderedPageBreak/>
        <w:t>del IEEM o, en su caso, el Comité de Transparencia. En caso de que lo anterior supere las capacidades técnicas del Saimex, solicito un escrito inicial presentado ante el Instituto Electoral del Estado de México, en donde se solicitó la protección de datos personales; así como su debido procedimiento llevado a cabo por el Comité de Transparencia.</w:t>
      </w:r>
    </w:p>
    <w:p w14:paraId="670C4C6D" w14:textId="77777777" w:rsidR="00A40F7E" w:rsidRPr="00F41FA9" w:rsidRDefault="00A40F7E">
      <w:pPr>
        <w:tabs>
          <w:tab w:val="left" w:pos="4667"/>
        </w:tabs>
        <w:spacing w:after="0" w:line="360" w:lineRule="auto"/>
        <w:ind w:left="567" w:right="567"/>
        <w:rPr>
          <w:b/>
          <w:i/>
          <w:sz w:val="20"/>
          <w:szCs w:val="20"/>
        </w:rPr>
      </w:pPr>
    </w:p>
    <w:p w14:paraId="4E2B2B34" w14:textId="605CE6BA" w:rsidR="009302CD" w:rsidRPr="00F41FA9" w:rsidRDefault="006E571C">
      <w:pPr>
        <w:tabs>
          <w:tab w:val="left" w:pos="4667"/>
        </w:tabs>
        <w:spacing w:after="0" w:line="360" w:lineRule="auto"/>
        <w:ind w:left="567" w:right="567"/>
        <w:rPr>
          <w:i/>
          <w:color w:val="000000"/>
          <w:sz w:val="20"/>
          <w:szCs w:val="20"/>
        </w:rPr>
      </w:pPr>
      <w:r w:rsidRPr="00F41FA9">
        <w:rPr>
          <w:b/>
          <w:i/>
          <w:sz w:val="20"/>
          <w:szCs w:val="20"/>
        </w:rPr>
        <w:t xml:space="preserve">MODALIDAD DE ENTREGA </w:t>
      </w:r>
      <w:r w:rsidR="00A81745" w:rsidRPr="00F41FA9">
        <w:rPr>
          <w:b/>
          <w:i/>
          <w:sz w:val="20"/>
          <w:szCs w:val="20"/>
        </w:rPr>
        <w:t xml:space="preserve"> “</w:t>
      </w:r>
      <w:r w:rsidRPr="00F41FA9">
        <w:rPr>
          <w:i/>
          <w:color w:val="000000"/>
          <w:sz w:val="20"/>
          <w:szCs w:val="20"/>
        </w:rPr>
        <w:t>A través del SAIMEX”</w:t>
      </w:r>
    </w:p>
    <w:p w14:paraId="4E2B2B35" w14:textId="77777777" w:rsidR="009302CD" w:rsidRPr="00F41FA9" w:rsidRDefault="009302CD">
      <w:pPr>
        <w:tabs>
          <w:tab w:val="left" w:pos="4667"/>
        </w:tabs>
        <w:spacing w:after="0" w:line="360" w:lineRule="auto"/>
        <w:ind w:right="567"/>
        <w:rPr>
          <w:i/>
          <w:color w:val="000000"/>
          <w:sz w:val="20"/>
          <w:szCs w:val="20"/>
        </w:rPr>
      </w:pPr>
    </w:p>
    <w:p w14:paraId="3DCD759E" w14:textId="304FAC7E" w:rsidR="001854AC" w:rsidRPr="00F41FA9" w:rsidRDefault="001854AC" w:rsidP="001854AC">
      <w:pPr>
        <w:pStyle w:val="Ttulo2"/>
      </w:pPr>
      <w:bookmarkStart w:id="2" w:name="_Toc184209284"/>
      <w:r w:rsidRPr="00F41FA9">
        <w:t>II. Prórroga</w:t>
      </w:r>
      <w:bookmarkEnd w:id="2"/>
    </w:p>
    <w:p w14:paraId="64DA5509" w14:textId="77777777" w:rsidR="001854AC" w:rsidRPr="00F41FA9" w:rsidRDefault="001854AC">
      <w:pPr>
        <w:tabs>
          <w:tab w:val="left" w:pos="4667"/>
        </w:tabs>
        <w:spacing w:after="0" w:line="360" w:lineRule="auto"/>
        <w:ind w:right="567"/>
        <w:rPr>
          <w:i/>
          <w:color w:val="000000"/>
          <w:sz w:val="20"/>
          <w:szCs w:val="20"/>
        </w:rPr>
      </w:pPr>
    </w:p>
    <w:p w14:paraId="740988B3" w14:textId="415BB27B" w:rsidR="0042749C" w:rsidRPr="00F41FA9" w:rsidRDefault="00431978" w:rsidP="00431978">
      <w:pPr>
        <w:spacing w:after="0" w:line="360" w:lineRule="auto"/>
        <w:rPr>
          <w:b/>
          <w:color w:val="0D0D0D"/>
        </w:rPr>
      </w:pPr>
      <w:r w:rsidRPr="00F41FA9">
        <w:t xml:space="preserve">El </w:t>
      </w:r>
      <w:r w:rsidR="00A40F7E" w:rsidRPr="00F41FA9">
        <w:t>dieciséis</w:t>
      </w:r>
      <w:r w:rsidRPr="00F41FA9">
        <w:t xml:space="preserve"> de ju</w:t>
      </w:r>
      <w:r w:rsidR="00A40F7E" w:rsidRPr="00F41FA9">
        <w:t>l</w:t>
      </w:r>
      <w:r w:rsidRPr="00F41FA9">
        <w:t xml:space="preserve">io de dos mil veinticuatro, </w:t>
      </w:r>
      <w:r w:rsidR="005B03BF" w:rsidRPr="00F41FA9">
        <w:t xml:space="preserve">se notificó el acuerdo de ampliación de plazo para dar atención a la solicitud de acceso a la información pública, para lo que aportó </w:t>
      </w:r>
      <w:r w:rsidR="006D201C" w:rsidRPr="00F41FA9">
        <w:t xml:space="preserve">el Acuerdo </w:t>
      </w:r>
      <w:r w:rsidR="00A40F7E" w:rsidRPr="00F41FA9">
        <w:t>IEEM-CT-181-2024.pdf</w:t>
      </w:r>
      <w:r w:rsidR="006D201C" w:rsidRPr="00F41FA9">
        <w:t>,</w:t>
      </w:r>
      <w:r w:rsidR="007236CC" w:rsidRPr="00F41FA9">
        <w:t xml:space="preserve"> en donde, </w:t>
      </w:r>
      <w:r w:rsidR="0042749C" w:rsidRPr="00F41FA9">
        <w:t>se aprobó</w:t>
      </w:r>
      <w:r w:rsidR="008C30BF" w:rsidRPr="00F41FA9">
        <w:t xml:space="preserve"> la ampliación de plazo </w:t>
      </w:r>
      <w:r w:rsidR="00A40F7E" w:rsidRPr="00F41FA9">
        <w:t xml:space="preserve">por siente días </w:t>
      </w:r>
      <w:r w:rsidR="008C30BF" w:rsidRPr="00F41FA9">
        <w:t xml:space="preserve">para atender a la solicitud </w:t>
      </w:r>
      <w:r w:rsidR="00A40F7E" w:rsidRPr="00F41FA9">
        <w:rPr>
          <w:b/>
          <w:color w:val="0D0D0D"/>
        </w:rPr>
        <w:t>02185/IEEM/IP/2024</w:t>
      </w:r>
      <w:r w:rsidR="00D13031" w:rsidRPr="00F41FA9">
        <w:rPr>
          <w:b/>
          <w:color w:val="0D0D0D"/>
        </w:rPr>
        <w:t xml:space="preserve">, </w:t>
      </w:r>
      <w:r w:rsidR="00BE2C71" w:rsidRPr="00F41FA9">
        <w:rPr>
          <w:b/>
          <w:color w:val="0D0D0D"/>
        </w:rPr>
        <w:t>que es la que nos ocupa.</w:t>
      </w:r>
    </w:p>
    <w:p w14:paraId="6E369213" w14:textId="77777777" w:rsidR="001854AC" w:rsidRPr="00F41FA9" w:rsidRDefault="001854AC">
      <w:pPr>
        <w:tabs>
          <w:tab w:val="left" w:pos="4667"/>
        </w:tabs>
        <w:spacing w:after="0" w:line="360" w:lineRule="auto"/>
        <w:ind w:right="567"/>
        <w:rPr>
          <w:i/>
          <w:color w:val="000000"/>
          <w:sz w:val="20"/>
          <w:szCs w:val="20"/>
        </w:rPr>
      </w:pPr>
    </w:p>
    <w:p w14:paraId="4E2B2B36" w14:textId="77777777" w:rsidR="009302CD" w:rsidRPr="00F41FA9" w:rsidRDefault="006E571C">
      <w:pPr>
        <w:pStyle w:val="Ttulo2"/>
      </w:pPr>
      <w:bookmarkStart w:id="3" w:name="_Toc184209285"/>
      <w:r w:rsidRPr="00F41FA9">
        <w:t>II. Respuesta del Sujeto Obligado</w:t>
      </w:r>
      <w:bookmarkEnd w:id="3"/>
    </w:p>
    <w:p w14:paraId="4E2B2B37" w14:textId="77777777" w:rsidR="009302CD" w:rsidRPr="00F41FA9" w:rsidRDefault="009302CD">
      <w:pPr>
        <w:spacing w:after="0" w:line="360" w:lineRule="auto"/>
      </w:pPr>
    </w:p>
    <w:p w14:paraId="4E2B2B38" w14:textId="31E3F0AF" w:rsidR="009302CD" w:rsidRPr="00F41FA9" w:rsidRDefault="00F82E40">
      <w:pPr>
        <w:spacing w:after="0" w:line="360" w:lineRule="auto"/>
      </w:pPr>
      <w:r w:rsidRPr="00F41FA9">
        <w:t>El nueve</w:t>
      </w:r>
      <w:r w:rsidR="00952E0A" w:rsidRPr="00F41FA9">
        <w:t xml:space="preserve"> </w:t>
      </w:r>
      <w:r w:rsidR="006E571C" w:rsidRPr="00F41FA9">
        <w:t xml:space="preserve">de </w:t>
      </w:r>
      <w:r w:rsidRPr="00F41FA9">
        <w:t>agosto</w:t>
      </w:r>
      <w:r w:rsidR="006E571C" w:rsidRPr="00F41FA9">
        <w:t xml:space="preserve"> de dos mil veinticuatro, el</w:t>
      </w:r>
      <w:r w:rsidR="006E571C" w:rsidRPr="00F41FA9">
        <w:rPr>
          <w:b/>
        </w:rPr>
        <w:t xml:space="preserve"> </w:t>
      </w:r>
      <w:r w:rsidR="006E571C" w:rsidRPr="00F41FA9">
        <w:t xml:space="preserve">Sujeto Obligado, a través del SAIMEX </w:t>
      </w:r>
      <w:r w:rsidR="00252B51" w:rsidRPr="00F41FA9">
        <w:t xml:space="preserve">respondió a </w:t>
      </w:r>
      <w:r w:rsidR="00E24AEC" w:rsidRPr="00F41FA9">
        <w:t>la solicitud en los siguientes términos</w:t>
      </w:r>
      <w:r w:rsidR="00252B51" w:rsidRPr="00F41FA9">
        <w:t>:</w:t>
      </w:r>
    </w:p>
    <w:p w14:paraId="46990A17" w14:textId="77777777" w:rsidR="00F82E40" w:rsidRPr="00F41FA9" w:rsidRDefault="00F82E40">
      <w:pPr>
        <w:spacing w:after="0" w:line="360" w:lineRule="auto"/>
      </w:pPr>
    </w:p>
    <w:p w14:paraId="39E17C36" w14:textId="24EBEF97" w:rsidR="00F82E40" w:rsidRPr="00F41FA9" w:rsidRDefault="00F82E40">
      <w:pPr>
        <w:spacing w:after="0" w:line="360" w:lineRule="auto"/>
      </w:pPr>
      <w:r w:rsidRPr="00F41FA9">
        <w:t>Se entregó oficio de la Titular de la Unidad de Transparencia mediante la cual remite la respuesta del área competente que corresponde a la Secretaría Ejecutiva a través del Subdirector de Medios de Impugnación mediante el cual citó la fundamentación para proteger los datos personales y adjuntó los escritos originales en versión pública junto con los escritos de JDC 17 2024, JDC 18 2024 y JDC 35 2024.</w:t>
      </w:r>
    </w:p>
    <w:p w14:paraId="7554D6CB" w14:textId="77777777" w:rsidR="00F82E40" w:rsidRPr="00F41FA9" w:rsidRDefault="00F82E40">
      <w:pPr>
        <w:spacing w:after="0" w:line="360" w:lineRule="auto"/>
      </w:pPr>
    </w:p>
    <w:p w14:paraId="53C44B71" w14:textId="77777777" w:rsidR="00F82E40" w:rsidRPr="00F41FA9" w:rsidRDefault="00F82E40">
      <w:pPr>
        <w:spacing w:after="0" w:line="360" w:lineRule="auto"/>
      </w:pPr>
    </w:p>
    <w:p w14:paraId="4E2B2B4B" w14:textId="25442F8B" w:rsidR="009302CD" w:rsidRPr="00F41FA9" w:rsidRDefault="006E571C">
      <w:pPr>
        <w:pStyle w:val="Ttulo2"/>
      </w:pPr>
      <w:bookmarkStart w:id="4" w:name="_Toc184209286"/>
      <w:r w:rsidRPr="00F41FA9">
        <w:lastRenderedPageBreak/>
        <w:t>III. Interposición del Recurso de Revisión</w:t>
      </w:r>
      <w:bookmarkEnd w:id="4"/>
    </w:p>
    <w:p w14:paraId="4E2B2B4C" w14:textId="77777777" w:rsidR="009302CD" w:rsidRPr="00F41FA9" w:rsidRDefault="009302CD">
      <w:pPr>
        <w:spacing w:after="0" w:line="360" w:lineRule="auto"/>
        <w:rPr>
          <w:b/>
        </w:rPr>
      </w:pPr>
    </w:p>
    <w:p w14:paraId="4E2B2B4D" w14:textId="1FF3045E" w:rsidR="009302CD" w:rsidRPr="00F41FA9" w:rsidRDefault="006E571C">
      <w:pPr>
        <w:spacing w:after="0" w:line="360" w:lineRule="auto"/>
      </w:pPr>
      <w:r w:rsidRPr="00F41FA9">
        <w:t xml:space="preserve">El </w:t>
      </w:r>
      <w:r w:rsidR="00F82E40" w:rsidRPr="00F41FA9">
        <w:t>veinte</w:t>
      </w:r>
      <w:r w:rsidRPr="00F41FA9">
        <w:t xml:space="preserve"> de </w:t>
      </w:r>
      <w:r w:rsidR="00F82E40" w:rsidRPr="00F41FA9">
        <w:t xml:space="preserve">agosto </w:t>
      </w:r>
      <w:r w:rsidRPr="00F41FA9">
        <w:t>de dos mil veinticuatro, se recibió en este Instituto, a través del SAIMEX, Recurso de Revisión interpuesto por la persona Recurrente, en contra de la respuesta por el Sujeto Obligado, en los siguientes términos:</w:t>
      </w:r>
    </w:p>
    <w:p w14:paraId="4E2B2B4E" w14:textId="77777777" w:rsidR="009302CD" w:rsidRPr="00F41FA9" w:rsidRDefault="009302CD">
      <w:pPr>
        <w:spacing w:after="0" w:line="360" w:lineRule="auto"/>
      </w:pPr>
    </w:p>
    <w:p w14:paraId="1F21EC98" w14:textId="77777777" w:rsidR="00187572" w:rsidRPr="00F41FA9" w:rsidRDefault="00187572" w:rsidP="00187572">
      <w:pPr>
        <w:spacing w:after="0" w:line="360" w:lineRule="auto"/>
        <w:ind w:left="567" w:right="567"/>
        <w:rPr>
          <w:i/>
          <w:sz w:val="20"/>
          <w:szCs w:val="20"/>
        </w:rPr>
      </w:pPr>
      <w:r w:rsidRPr="00F41FA9">
        <w:rPr>
          <w:b/>
          <w:i/>
          <w:sz w:val="20"/>
          <w:szCs w:val="20"/>
        </w:rPr>
        <w:t>ACTO IMPUGNADO</w:t>
      </w:r>
    </w:p>
    <w:p w14:paraId="4C8396A5" w14:textId="7043FF5A" w:rsidR="00187572" w:rsidRPr="00F41FA9" w:rsidRDefault="00F82E40" w:rsidP="00187572">
      <w:pPr>
        <w:spacing w:after="0" w:line="360" w:lineRule="auto"/>
        <w:ind w:left="567" w:right="567"/>
        <w:rPr>
          <w:b/>
          <w:i/>
          <w:sz w:val="20"/>
          <w:szCs w:val="20"/>
        </w:rPr>
      </w:pPr>
      <w:r w:rsidRPr="00F41FA9">
        <w:rPr>
          <w:i/>
          <w:color w:val="000000"/>
          <w:sz w:val="20"/>
          <w:szCs w:val="20"/>
        </w:rPr>
        <w:t>Indebida clasificación.</w:t>
      </w:r>
    </w:p>
    <w:p w14:paraId="7DDCF527" w14:textId="77777777" w:rsidR="007924DC" w:rsidRPr="00F41FA9" w:rsidRDefault="007924DC" w:rsidP="00187572">
      <w:pPr>
        <w:spacing w:after="0" w:line="360" w:lineRule="auto"/>
        <w:ind w:left="567" w:right="567"/>
        <w:rPr>
          <w:b/>
          <w:i/>
          <w:sz w:val="20"/>
          <w:szCs w:val="20"/>
        </w:rPr>
      </w:pPr>
    </w:p>
    <w:p w14:paraId="6F371BF8" w14:textId="44153D49" w:rsidR="00187572" w:rsidRPr="00F41FA9" w:rsidRDefault="00187572" w:rsidP="00187572">
      <w:pPr>
        <w:spacing w:after="0" w:line="360" w:lineRule="auto"/>
        <w:ind w:left="567" w:right="567"/>
        <w:rPr>
          <w:b/>
          <w:i/>
          <w:sz w:val="20"/>
          <w:szCs w:val="20"/>
        </w:rPr>
      </w:pPr>
      <w:r w:rsidRPr="00F41FA9">
        <w:rPr>
          <w:b/>
          <w:i/>
          <w:sz w:val="20"/>
          <w:szCs w:val="20"/>
        </w:rPr>
        <w:t>RAZONES O MOTIVOS DE LA INCONFORMIDAD</w:t>
      </w:r>
    </w:p>
    <w:p w14:paraId="63DF83F7" w14:textId="61681C9C" w:rsidR="00295217" w:rsidRPr="00F41FA9" w:rsidRDefault="00F82E40" w:rsidP="00F82E40">
      <w:pPr>
        <w:spacing w:after="0" w:line="360" w:lineRule="auto"/>
        <w:ind w:left="567" w:right="567"/>
        <w:rPr>
          <w:b/>
          <w:i/>
          <w:sz w:val="20"/>
          <w:szCs w:val="20"/>
        </w:rPr>
      </w:pPr>
      <w:r w:rsidRPr="00F41FA9">
        <w:rPr>
          <w:i/>
          <w:color w:val="000000"/>
          <w:sz w:val="20"/>
          <w:szCs w:val="20"/>
        </w:rPr>
        <w:t>No remiten el acuerdo de clasificación de la información, emitida por el Comité de Transparencia, relativa a la protección de datos personales de las personas actoras. Asimismo, no remiten el acuerdo de clasificación correspondiente de las versiones públicas que sirvieron para dar contestación a la solicitud de referencia. Asimismo, la leyenda de clasificación está mal realizada.</w:t>
      </w:r>
    </w:p>
    <w:p w14:paraId="172C54C7" w14:textId="77777777" w:rsidR="00F82E40" w:rsidRPr="00F41FA9" w:rsidRDefault="00F82E40" w:rsidP="00A67F67">
      <w:pPr>
        <w:pStyle w:val="Ttulo2"/>
      </w:pPr>
    </w:p>
    <w:p w14:paraId="4E2B2B55" w14:textId="721E8049" w:rsidR="009302CD" w:rsidRPr="00F41FA9" w:rsidRDefault="006E571C" w:rsidP="00A67F67">
      <w:pPr>
        <w:pStyle w:val="Ttulo2"/>
      </w:pPr>
      <w:bookmarkStart w:id="5" w:name="_Toc184209287"/>
      <w:r w:rsidRPr="00F41FA9">
        <w:t>IV. Trámite del Recurso de Revisión ante este Instituto</w:t>
      </w:r>
      <w:bookmarkEnd w:id="5"/>
    </w:p>
    <w:p w14:paraId="4E2B2B56" w14:textId="77777777" w:rsidR="009302CD" w:rsidRPr="00F41FA9" w:rsidRDefault="009302CD">
      <w:pPr>
        <w:spacing w:after="0" w:line="360" w:lineRule="auto"/>
        <w:rPr>
          <w:b/>
        </w:rPr>
      </w:pPr>
    </w:p>
    <w:p w14:paraId="761C6BFE" w14:textId="33F77C33" w:rsidR="008619FE" w:rsidRPr="00F41FA9" w:rsidRDefault="006E571C">
      <w:pPr>
        <w:spacing w:after="0" w:line="360" w:lineRule="auto"/>
      </w:pPr>
      <w:bookmarkStart w:id="6" w:name="_Toc184209288"/>
      <w:r w:rsidRPr="00F41FA9">
        <w:rPr>
          <w:rStyle w:val="Ttulo2Car"/>
        </w:rPr>
        <w:t>a) Turno del Medio de Impugnación</w:t>
      </w:r>
      <w:bookmarkEnd w:id="6"/>
    </w:p>
    <w:p w14:paraId="19BA76C4" w14:textId="77777777" w:rsidR="008619FE" w:rsidRPr="00F41FA9" w:rsidRDefault="008619FE">
      <w:pPr>
        <w:spacing w:after="0" w:line="360" w:lineRule="auto"/>
      </w:pPr>
    </w:p>
    <w:p w14:paraId="4E2B2B58" w14:textId="1014ABBA" w:rsidR="009302CD" w:rsidRPr="00F41FA9" w:rsidRDefault="003E63A0">
      <w:pPr>
        <w:spacing w:after="0" w:line="360" w:lineRule="auto"/>
        <w:rPr>
          <w:rFonts w:eastAsia="Batang" w:cs="Tahoma"/>
          <w:bCs/>
        </w:rPr>
      </w:pPr>
      <w:r w:rsidRPr="00F41FA9">
        <w:rPr>
          <w:rFonts w:eastAsia="Batang" w:cs="Tahoma"/>
          <w:bCs/>
        </w:rPr>
        <w:t xml:space="preserve">El </w:t>
      </w:r>
      <w:r w:rsidR="00F82E40" w:rsidRPr="00F41FA9">
        <w:rPr>
          <w:rFonts w:cs="Tahoma"/>
        </w:rPr>
        <w:t>veinte</w:t>
      </w:r>
      <w:r w:rsidRPr="00F41FA9">
        <w:rPr>
          <w:rFonts w:cs="Tahoma"/>
        </w:rPr>
        <w:t xml:space="preserve"> de </w:t>
      </w:r>
      <w:r w:rsidR="00F82E40" w:rsidRPr="00F41FA9">
        <w:rPr>
          <w:rFonts w:cs="Tahoma"/>
        </w:rPr>
        <w:t>agosto</w:t>
      </w:r>
      <w:r w:rsidRPr="00F41FA9">
        <w:rPr>
          <w:rFonts w:cs="Tahoma"/>
        </w:rPr>
        <w:t xml:space="preserve"> de dos mil veinticuatro</w:t>
      </w:r>
      <w:r w:rsidRPr="00F41FA9">
        <w:rPr>
          <w:rFonts w:eastAsia="Batang" w:cs="Tahoma"/>
          <w:bCs/>
        </w:rPr>
        <w:t>, el SAIMEX, asignó el número de expediente</w:t>
      </w:r>
      <w:r w:rsidR="00F903A0" w:rsidRPr="00F41FA9">
        <w:rPr>
          <w:rFonts w:eastAsia="Batang" w:cs="Tahoma"/>
          <w:bCs/>
        </w:rPr>
        <w:t xml:space="preserve"> </w:t>
      </w:r>
      <w:r w:rsidR="00F903A0" w:rsidRPr="00F41FA9">
        <w:rPr>
          <w:rFonts w:eastAsia="Batang" w:cs="Tahoma"/>
          <w:b/>
          <w:bCs/>
        </w:rPr>
        <w:t>05006/INFOEM/IP/RR/2024</w:t>
      </w:r>
      <w:r w:rsidRPr="00F41FA9">
        <w:rPr>
          <w:rFonts w:eastAsia="Batang" w:cs="Tahoma"/>
          <w:bCs/>
        </w:rPr>
        <w:t xml:space="preserve">, al medio de impugnación que nos ocupa, con base en el sistema aprobado por el Pleno de este </w:t>
      </w:r>
      <w:r w:rsidR="00F903A0" w:rsidRPr="00F41FA9">
        <w:rPr>
          <w:rFonts w:eastAsia="Batang" w:cs="Tahoma"/>
          <w:bCs/>
        </w:rPr>
        <w:t>Organismo</w:t>
      </w:r>
      <w:r w:rsidRPr="00F41FA9">
        <w:rPr>
          <w:rFonts w:eastAsia="Batang" w:cs="Tahoma"/>
          <w:bCs/>
        </w:rPr>
        <w:t xml:space="preserve"> Garante y lo turnó al </w:t>
      </w:r>
      <w:r w:rsidRPr="00F41FA9">
        <w:rPr>
          <w:rFonts w:eastAsia="Batang" w:cs="Tahoma"/>
          <w:b/>
          <w:bCs/>
        </w:rPr>
        <w:t>Comisionado Ponente Luis Gustavo Parra Noriega</w:t>
      </w:r>
      <w:r w:rsidRPr="00F41FA9">
        <w:rPr>
          <w:rFonts w:eastAsia="Batang" w:cs="Tahoma"/>
          <w:bCs/>
        </w:rPr>
        <w:t>, para los efectos del artículo 185, fracción I, de la Ley de Transparencia y Acceso a la Información Pública del Estado de México y Municipios.</w:t>
      </w:r>
    </w:p>
    <w:p w14:paraId="09854974" w14:textId="77777777" w:rsidR="009615B6" w:rsidRPr="00F41FA9" w:rsidRDefault="009615B6">
      <w:pPr>
        <w:spacing w:after="0" w:line="360" w:lineRule="auto"/>
      </w:pPr>
    </w:p>
    <w:p w14:paraId="2291077E" w14:textId="004BB5CC" w:rsidR="008619FE" w:rsidRPr="00F41FA9" w:rsidRDefault="006E571C">
      <w:pPr>
        <w:spacing w:after="0" w:line="360" w:lineRule="auto"/>
        <w:rPr>
          <w:b/>
        </w:rPr>
      </w:pPr>
      <w:bookmarkStart w:id="7" w:name="_Toc184209289"/>
      <w:r w:rsidRPr="00F41FA9">
        <w:rPr>
          <w:rStyle w:val="Ttulo2Car"/>
        </w:rPr>
        <w:t>b) Admisión del Recurso de Revisión</w:t>
      </w:r>
      <w:bookmarkEnd w:id="7"/>
    </w:p>
    <w:p w14:paraId="1657D62C" w14:textId="77777777" w:rsidR="008619FE" w:rsidRPr="00F41FA9" w:rsidRDefault="008619FE">
      <w:pPr>
        <w:spacing w:after="0" w:line="360" w:lineRule="auto"/>
        <w:rPr>
          <w:b/>
        </w:rPr>
      </w:pPr>
    </w:p>
    <w:p w14:paraId="4E2B2B59" w14:textId="46BEC899" w:rsidR="009302CD" w:rsidRPr="00F41FA9" w:rsidRDefault="003F21E0">
      <w:pPr>
        <w:spacing w:after="0" w:line="360" w:lineRule="auto"/>
      </w:pPr>
      <w:r w:rsidRPr="00F41FA9">
        <w:rPr>
          <w:bCs/>
        </w:rPr>
        <w:lastRenderedPageBreak/>
        <w:t xml:space="preserve">Por acuerdo </w:t>
      </w:r>
      <w:r w:rsidR="009615B6" w:rsidRPr="00F41FA9">
        <w:rPr>
          <w:bCs/>
        </w:rPr>
        <w:t>de</w:t>
      </w:r>
      <w:r w:rsidR="00F903A0" w:rsidRPr="00F41FA9">
        <w:rPr>
          <w:bCs/>
        </w:rPr>
        <w:t xml:space="preserve">l veintitrés </w:t>
      </w:r>
      <w:r w:rsidR="008261C7" w:rsidRPr="00F41FA9">
        <w:rPr>
          <w:bCs/>
        </w:rPr>
        <w:t xml:space="preserve">de </w:t>
      </w:r>
      <w:r w:rsidR="00F903A0" w:rsidRPr="00F41FA9">
        <w:rPr>
          <w:bCs/>
        </w:rPr>
        <w:t>agosto</w:t>
      </w:r>
      <w:r w:rsidR="008261C7" w:rsidRPr="00F41FA9">
        <w:rPr>
          <w:bCs/>
        </w:rPr>
        <w:t xml:space="preserve"> de dos mil veinticuatro, se acordó la</w:t>
      </w:r>
      <w:r w:rsidR="006E571C" w:rsidRPr="00F41FA9">
        <w:t xml:space="preserve"> admisión del Recurso de Revisión interpuesto por la persona Recurrente en contra del Sujeto Obligado, en términos del artículo 185, fracciones I y II de la Ley de Transparencia y Acceso a la Información Pública del Estado de México y Municipios,</w:t>
      </w:r>
      <w:r w:rsidR="008261C7" w:rsidRPr="00F41FA9">
        <w:t xml:space="preserve"> acto notificado en la misma fecha,</w:t>
      </w:r>
      <w:r w:rsidR="006E571C" w:rsidRPr="00F41FA9">
        <w:t xml:space="preserve"> en el que se les otorgó un plazo de siete días hábiles posteriores a la misma, para que manifestaran lo que a su derecho conviniera y formularan alegatos.</w:t>
      </w:r>
    </w:p>
    <w:p w14:paraId="4E2B2B5A" w14:textId="77777777" w:rsidR="009302CD" w:rsidRPr="00F41FA9" w:rsidRDefault="009302CD">
      <w:pPr>
        <w:spacing w:after="0" w:line="360" w:lineRule="auto"/>
      </w:pPr>
    </w:p>
    <w:p w14:paraId="5E964A40" w14:textId="40948482" w:rsidR="008619FE" w:rsidRPr="00F41FA9" w:rsidRDefault="006E571C">
      <w:pPr>
        <w:widowControl w:val="0"/>
        <w:spacing w:after="0" w:line="360" w:lineRule="auto"/>
        <w:rPr>
          <w:b/>
        </w:rPr>
      </w:pPr>
      <w:bookmarkStart w:id="8" w:name="_Toc184209290"/>
      <w:r w:rsidRPr="00F41FA9">
        <w:rPr>
          <w:rStyle w:val="Ttulo2Car"/>
        </w:rPr>
        <w:t>c) Informe Justificado</w:t>
      </w:r>
      <w:bookmarkEnd w:id="8"/>
    </w:p>
    <w:p w14:paraId="3779B5B0" w14:textId="77777777" w:rsidR="008619FE" w:rsidRPr="00F41FA9" w:rsidRDefault="008619FE">
      <w:pPr>
        <w:widowControl w:val="0"/>
        <w:spacing w:after="0" w:line="360" w:lineRule="auto"/>
        <w:rPr>
          <w:b/>
        </w:rPr>
      </w:pPr>
    </w:p>
    <w:p w14:paraId="47D1F00D" w14:textId="0436873D" w:rsidR="0035508A" w:rsidRPr="00F41FA9" w:rsidRDefault="006E571C" w:rsidP="004942EB">
      <w:pPr>
        <w:widowControl w:val="0"/>
        <w:spacing w:after="0" w:line="360" w:lineRule="auto"/>
      </w:pPr>
      <w:r w:rsidRPr="00F41FA9">
        <w:t xml:space="preserve">El Sujeto Obligado, </w:t>
      </w:r>
      <w:r w:rsidR="004942EB" w:rsidRPr="00F41FA9">
        <w:t xml:space="preserve">el </w:t>
      </w:r>
      <w:r w:rsidR="00F903A0" w:rsidRPr="00F41FA9">
        <w:t>dos</w:t>
      </w:r>
      <w:r w:rsidR="004942EB" w:rsidRPr="00F41FA9">
        <w:t xml:space="preserve"> de </w:t>
      </w:r>
      <w:r w:rsidR="00F903A0" w:rsidRPr="00F41FA9">
        <w:t>septiembre</w:t>
      </w:r>
      <w:r w:rsidR="004942EB" w:rsidRPr="00F41FA9">
        <w:t xml:space="preserve"> de dos mil veinticuatro, remitió informe justificado </w:t>
      </w:r>
      <w:r w:rsidR="00F903A0" w:rsidRPr="00F41FA9">
        <w:t>mediante el cual remitió el Acuerdo del Comité de Transparencia IEEM/CT/228/2024, refiere que fue una omisión la falta de entrega del Acuerdo del Comité de Transparencia IEEM/CT/212/2024 y sobre la leyenda de clasificación informó como fue elaborada. Finalmente solicitó sobreseer el presente medio de impugnación.</w:t>
      </w:r>
    </w:p>
    <w:p w14:paraId="2F76321A" w14:textId="77777777" w:rsidR="0035508A" w:rsidRPr="00F41FA9" w:rsidRDefault="0035508A">
      <w:pPr>
        <w:widowControl w:val="0"/>
        <w:spacing w:after="0" w:line="360" w:lineRule="auto"/>
      </w:pPr>
    </w:p>
    <w:p w14:paraId="0803595A" w14:textId="77777777" w:rsidR="008619FE" w:rsidRPr="00F41FA9" w:rsidRDefault="006E571C">
      <w:pPr>
        <w:widowControl w:val="0"/>
        <w:spacing w:after="0" w:line="360" w:lineRule="auto"/>
        <w:rPr>
          <w:rStyle w:val="Ttulo2Car"/>
        </w:rPr>
      </w:pPr>
      <w:bookmarkStart w:id="9" w:name="_Toc184209291"/>
      <w:r w:rsidRPr="00F41FA9">
        <w:rPr>
          <w:rStyle w:val="Ttulo2Car"/>
        </w:rPr>
        <w:t>d) Manifestaciones</w:t>
      </w:r>
      <w:bookmarkEnd w:id="9"/>
    </w:p>
    <w:p w14:paraId="0303C407" w14:textId="77777777" w:rsidR="008619FE" w:rsidRPr="00F41FA9" w:rsidRDefault="008619FE">
      <w:pPr>
        <w:widowControl w:val="0"/>
        <w:spacing w:after="0" w:line="360" w:lineRule="auto"/>
        <w:rPr>
          <w:rStyle w:val="Ttulo2Car"/>
        </w:rPr>
      </w:pPr>
    </w:p>
    <w:p w14:paraId="4E2B2B82" w14:textId="0387924A" w:rsidR="009302CD" w:rsidRPr="00F41FA9" w:rsidRDefault="006E571C">
      <w:pPr>
        <w:widowControl w:val="0"/>
        <w:spacing w:after="0" w:line="360" w:lineRule="auto"/>
      </w:pPr>
      <w:r w:rsidRPr="00F41FA9">
        <w:t>El Particular, durante el plazo de ley para emitir expresión alguna que a su derecho convenga, fue omiso en realizar pronunciamiento alguno.</w:t>
      </w:r>
    </w:p>
    <w:p w14:paraId="3DBA394D" w14:textId="77777777" w:rsidR="000C4623" w:rsidRPr="00F41FA9" w:rsidRDefault="000C4623" w:rsidP="000C4623">
      <w:pPr>
        <w:widowControl w:val="0"/>
        <w:spacing w:after="0" w:line="360" w:lineRule="auto"/>
      </w:pPr>
    </w:p>
    <w:p w14:paraId="057135FC" w14:textId="1327EFF4" w:rsidR="008619FE" w:rsidRPr="00F41FA9" w:rsidRDefault="000C4623" w:rsidP="0004148C">
      <w:pPr>
        <w:pStyle w:val="Ttulo2"/>
      </w:pPr>
      <w:bookmarkStart w:id="10" w:name="_Toc184209292"/>
      <w:r w:rsidRPr="00F41FA9">
        <w:rPr>
          <w:color w:val="000000"/>
        </w:rPr>
        <w:t>e</w:t>
      </w:r>
      <w:r w:rsidR="006E571C" w:rsidRPr="00F41FA9">
        <w:rPr>
          <w:color w:val="000000"/>
        </w:rPr>
        <w:t xml:space="preserve">) </w:t>
      </w:r>
      <w:r w:rsidR="006E571C" w:rsidRPr="00F41FA9">
        <w:t>Ampliación de plazo</w:t>
      </w:r>
      <w:bookmarkEnd w:id="10"/>
    </w:p>
    <w:p w14:paraId="447A340F" w14:textId="77777777" w:rsidR="008619FE" w:rsidRPr="00F41FA9" w:rsidRDefault="008619FE">
      <w:pPr>
        <w:spacing w:after="0" w:line="360" w:lineRule="auto"/>
      </w:pPr>
    </w:p>
    <w:p w14:paraId="4E2B2B86" w14:textId="79656781" w:rsidR="009302CD" w:rsidRPr="00F41FA9" w:rsidRDefault="006E571C">
      <w:pPr>
        <w:spacing w:after="0" w:line="360" w:lineRule="auto"/>
      </w:pPr>
      <w:r w:rsidRPr="00F41FA9">
        <w:t xml:space="preserve">El </w:t>
      </w:r>
      <w:r w:rsidR="002F2848" w:rsidRPr="00F41FA9">
        <w:t>veinticinco</w:t>
      </w:r>
      <w:r w:rsidRPr="00F41FA9">
        <w:t xml:space="preserve"> de </w:t>
      </w:r>
      <w:r w:rsidR="00EB66BE" w:rsidRPr="00F41FA9">
        <w:t>septiembre</w:t>
      </w:r>
      <w:r w:rsidRPr="00F41FA9">
        <w:t xml:space="preserve"> de dos mil veinticuatro, el Comisionado Ponente, con fundamento en lo dispuesto por el artículo 181, párrafo tercero, de la Ley de Transparencia y Acceso a la Información Pública del Estado de México y Municipios, acordó ampliar por un </w:t>
      </w:r>
      <w:r w:rsidRPr="00F41FA9">
        <w:lastRenderedPageBreak/>
        <w:t xml:space="preserve">plazo razonable, para resolver el Recurso de Revisión que nos ocupa; acto que fue notificado a las partes en fecha </w:t>
      </w:r>
      <w:r w:rsidR="002F2848" w:rsidRPr="00F41FA9">
        <w:t>trece</w:t>
      </w:r>
      <w:r w:rsidRPr="00F41FA9">
        <w:t xml:space="preserve"> de </w:t>
      </w:r>
      <w:r w:rsidR="002F2848" w:rsidRPr="00F41FA9">
        <w:t>noviembre</w:t>
      </w:r>
      <w:r w:rsidRPr="00F41FA9">
        <w:t xml:space="preserve"> de dos mil veinticuatro, mediante el SAIMEX.</w:t>
      </w:r>
    </w:p>
    <w:p w14:paraId="4E2B2B87" w14:textId="77777777" w:rsidR="009302CD" w:rsidRPr="00F41FA9" w:rsidRDefault="009302CD">
      <w:pPr>
        <w:spacing w:after="0" w:line="360" w:lineRule="auto"/>
      </w:pPr>
    </w:p>
    <w:p w14:paraId="4E2B2B88" w14:textId="77777777" w:rsidR="009302CD" w:rsidRPr="00F41FA9" w:rsidRDefault="006E571C">
      <w:pPr>
        <w:spacing w:after="0" w:line="360" w:lineRule="auto"/>
      </w:pPr>
      <w:r w:rsidRPr="00F41FA9">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E2B2B89" w14:textId="77777777" w:rsidR="009302CD" w:rsidRPr="00F41FA9" w:rsidRDefault="009302CD">
      <w:pPr>
        <w:spacing w:after="0" w:line="360" w:lineRule="auto"/>
      </w:pPr>
    </w:p>
    <w:p w14:paraId="4E2B2B8A" w14:textId="77777777" w:rsidR="009302CD" w:rsidRPr="00F41FA9" w:rsidRDefault="006E571C">
      <w:pPr>
        <w:spacing w:after="0" w:line="360" w:lineRule="auto"/>
      </w:pPr>
      <w:r w:rsidRPr="00F41FA9">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E2B2B8B" w14:textId="77777777" w:rsidR="009302CD" w:rsidRPr="00F41FA9" w:rsidRDefault="006E571C">
      <w:pPr>
        <w:spacing w:after="0" w:line="360" w:lineRule="auto"/>
      </w:pPr>
      <w:r w:rsidRPr="00F41FA9">
        <w:t xml:space="preserve"> </w:t>
      </w:r>
    </w:p>
    <w:p w14:paraId="4E2B2B8C" w14:textId="77777777" w:rsidR="009302CD" w:rsidRPr="00F41FA9" w:rsidRDefault="006E571C">
      <w:pPr>
        <w:spacing w:after="0" w:line="360" w:lineRule="auto"/>
      </w:pPr>
      <w:r w:rsidRPr="00F41FA9">
        <w:t xml:space="preserve">Por ello, excepcionalmente, si un asunto es resuelto con posterioridad a los plazos señalados por la norma debe analizarse la razonabilidad del tiempo necesario para su resolución, atentos a los siguientes criterios:  </w:t>
      </w:r>
    </w:p>
    <w:p w14:paraId="4E2B2B8D" w14:textId="77777777" w:rsidR="009302CD" w:rsidRPr="00F41FA9" w:rsidRDefault="006E571C">
      <w:pPr>
        <w:spacing w:after="0" w:line="360" w:lineRule="auto"/>
      </w:pPr>
      <w:r w:rsidRPr="00F41FA9">
        <w:t xml:space="preserve"> </w:t>
      </w:r>
    </w:p>
    <w:p w14:paraId="4E2B2B8E" w14:textId="77777777" w:rsidR="009302CD" w:rsidRPr="00F41FA9" w:rsidRDefault="006E571C">
      <w:pPr>
        <w:numPr>
          <w:ilvl w:val="0"/>
          <w:numId w:val="7"/>
        </w:numPr>
        <w:spacing w:after="0" w:line="360" w:lineRule="auto"/>
      </w:pPr>
      <w:r w:rsidRPr="00F41FA9">
        <w:rPr>
          <w:b/>
        </w:rPr>
        <w:t>Complejidad del asunto:</w:t>
      </w:r>
      <w:r w:rsidRPr="00F41FA9">
        <w:t xml:space="preserve"> La complejidad de la prueba, la pluralidad de sujetos procesales, el tiempo transcurrido, las características y contexto del recurso.</w:t>
      </w:r>
    </w:p>
    <w:p w14:paraId="4E2B2B8F" w14:textId="77777777" w:rsidR="009302CD" w:rsidRPr="00F41FA9" w:rsidRDefault="009302CD">
      <w:pPr>
        <w:spacing w:after="0" w:line="360" w:lineRule="auto"/>
        <w:ind w:left="720"/>
      </w:pPr>
    </w:p>
    <w:p w14:paraId="4E2B2B90" w14:textId="77777777" w:rsidR="009302CD" w:rsidRPr="00F41FA9" w:rsidRDefault="006E571C">
      <w:pPr>
        <w:numPr>
          <w:ilvl w:val="0"/>
          <w:numId w:val="7"/>
        </w:numPr>
        <w:spacing w:after="0" w:line="360" w:lineRule="auto"/>
      </w:pPr>
      <w:r w:rsidRPr="00F41FA9">
        <w:rPr>
          <w:b/>
        </w:rPr>
        <w:t>Actividad Procesal del interesado:</w:t>
      </w:r>
      <w:r w:rsidRPr="00F41FA9">
        <w:t xml:space="preserve"> Acciones u omisiones del interesado.</w:t>
      </w:r>
    </w:p>
    <w:p w14:paraId="4E2B2B91" w14:textId="77777777" w:rsidR="009302CD" w:rsidRPr="00F41FA9" w:rsidRDefault="009302CD">
      <w:pPr>
        <w:spacing w:after="0" w:line="360" w:lineRule="auto"/>
        <w:ind w:left="720"/>
      </w:pPr>
    </w:p>
    <w:p w14:paraId="4E2B2B92" w14:textId="77777777" w:rsidR="009302CD" w:rsidRPr="00F41FA9" w:rsidRDefault="006E571C">
      <w:pPr>
        <w:numPr>
          <w:ilvl w:val="0"/>
          <w:numId w:val="7"/>
        </w:numPr>
        <w:spacing w:after="0" w:line="360" w:lineRule="auto"/>
      </w:pPr>
      <w:r w:rsidRPr="00F41FA9">
        <w:rPr>
          <w:b/>
        </w:rPr>
        <w:t>Conducta de la Autoridad:</w:t>
      </w:r>
      <w:r w:rsidRPr="00F41FA9">
        <w:t xml:space="preserve"> Las Acciones u omisiones realizadas en el procedimiento. Así como si la autoridad actuó con la debida diligencia.</w:t>
      </w:r>
    </w:p>
    <w:p w14:paraId="4E2B2B94" w14:textId="77777777" w:rsidR="009302CD" w:rsidRPr="00F41FA9" w:rsidRDefault="006E571C">
      <w:pPr>
        <w:numPr>
          <w:ilvl w:val="0"/>
          <w:numId w:val="7"/>
        </w:numPr>
        <w:spacing w:after="0" w:line="360" w:lineRule="auto"/>
      </w:pPr>
      <w:r w:rsidRPr="00F41FA9">
        <w:rPr>
          <w:b/>
        </w:rPr>
        <w:t xml:space="preserve">La afectación generada en la situación jurídica de la persona involucrada en el proceso: </w:t>
      </w:r>
      <w:r w:rsidRPr="00F41FA9">
        <w:t>Violación a sus derechos humanos.</w:t>
      </w:r>
    </w:p>
    <w:p w14:paraId="4E2B2B95" w14:textId="77777777" w:rsidR="009302CD" w:rsidRPr="00F41FA9" w:rsidRDefault="009302CD">
      <w:pPr>
        <w:spacing w:after="0" w:line="360" w:lineRule="auto"/>
      </w:pPr>
    </w:p>
    <w:p w14:paraId="4E2B2B96" w14:textId="77777777" w:rsidR="009302CD" w:rsidRPr="00F41FA9" w:rsidRDefault="006E571C">
      <w:pPr>
        <w:spacing w:after="0" w:line="360" w:lineRule="auto"/>
      </w:pPr>
      <w:r w:rsidRPr="00F41FA9">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2B2B97" w14:textId="77777777" w:rsidR="009302CD" w:rsidRPr="00F41FA9" w:rsidRDefault="006E571C">
      <w:pPr>
        <w:spacing w:after="0" w:line="360" w:lineRule="auto"/>
      </w:pPr>
      <w:r w:rsidRPr="00F41FA9">
        <w:t xml:space="preserve"> </w:t>
      </w:r>
    </w:p>
    <w:p w14:paraId="4E2B2B98" w14:textId="77777777" w:rsidR="009302CD" w:rsidRPr="00F41FA9" w:rsidRDefault="006E571C">
      <w:pPr>
        <w:spacing w:after="0" w:line="360" w:lineRule="auto"/>
      </w:pPr>
      <w:r w:rsidRPr="00F41FA9">
        <w:t xml:space="preserve">Argumento que encuentra sustento en la jurisprudencia P./J. 32/92 emitida por el Pleno de la Suprema Corte de Justicia de la Nación de rubro </w:t>
      </w:r>
      <w:r w:rsidRPr="00F41FA9">
        <w:rPr>
          <w:b/>
        </w:rPr>
        <w:t>“TÉRMINOS PROCESALES. PARA DETERMINAR SI UN FUNCIONARIO JUDICIAL ACTUÓ INDEBIDAMENTE POR NO RESPETARLOS SE DEBE ATENDER AL PRESUPUESTO QUE CONSIDERÓ EL LEGISLADOR AL FIJARLOS Y LAS CARACTERÍSTICAS DEL CASO.”</w:t>
      </w:r>
      <w:r w:rsidRPr="00F41FA9">
        <w:t>, visible en la Gaceta del Seminario Judicial de la Federación con el registro digital 205635.</w:t>
      </w:r>
    </w:p>
    <w:p w14:paraId="4E2B2B99" w14:textId="77777777" w:rsidR="009302CD" w:rsidRPr="00F41FA9" w:rsidRDefault="006E571C">
      <w:pPr>
        <w:spacing w:after="0" w:line="360" w:lineRule="auto"/>
      </w:pPr>
      <w:r w:rsidRPr="00F41FA9">
        <w:t xml:space="preserve"> </w:t>
      </w:r>
    </w:p>
    <w:p w14:paraId="4E2B2B9A" w14:textId="77777777" w:rsidR="009302CD" w:rsidRPr="00F41FA9" w:rsidRDefault="006E571C">
      <w:pPr>
        <w:spacing w:after="0" w:line="360" w:lineRule="auto"/>
      </w:pPr>
      <w:r w:rsidRPr="00F41FA9">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sidRPr="00F41FA9">
        <w:lastRenderedPageBreak/>
        <w:t>aportadas y desahogadas por las partes; lo que impide la tramitación de los recursos dentro de los términos legales previamente establecidos por la Ley, por tratarse de causas de fuerza mayor.</w:t>
      </w:r>
    </w:p>
    <w:p w14:paraId="4456B1FC" w14:textId="77777777" w:rsidR="009D7C4A" w:rsidRPr="00F41FA9" w:rsidRDefault="009D7C4A">
      <w:pPr>
        <w:spacing w:after="0" w:line="360" w:lineRule="auto"/>
      </w:pPr>
    </w:p>
    <w:p w14:paraId="4E2B2B9C" w14:textId="77777777" w:rsidR="009302CD" w:rsidRPr="00F41FA9" w:rsidRDefault="006E571C">
      <w:pPr>
        <w:spacing w:after="0" w:line="360" w:lineRule="auto"/>
      </w:pPr>
      <w:r w:rsidRPr="00F41FA9">
        <w:t>Al respecto, también son de considerar los criterios sostenidos por el Cuarto Tribunal Colegiado en Materia Administrativa del Primer Circuito, cuyos rubros y datos de identificación son los siguientes:</w:t>
      </w:r>
    </w:p>
    <w:p w14:paraId="4E2B2B9D" w14:textId="77777777" w:rsidR="009302CD" w:rsidRPr="00F41FA9" w:rsidRDefault="006E571C">
      <w:pPr>
        <w:spacing w:after="0" w:line="360" w:lineRule="auto"/>
      </w:pPr>
      <w:r w:rsidRPr="00F41FA9">
        <w:t xml:space="preserve"> </w:t>
      </w:r>
    </w:p>
    <w:p w14:paraId="4E2B2B9E" w14:textId="77777777" w:rsidR="009302CD" w:rsidRPr="00F41FA9" w:rsidRDefault="006E571C">
      <w:pPr>
        <w:spacing w:after="0" w:line="360" w:lineRule="auto"/>
      </w:pPr>
      <w:r w:rsidRPr="00F41FA9">
        <w:rPr>
          <w:b/>
        </w:rPr>
        <w:t>“PLAZO RAZONABLE PARA RESOLVER. DIMENSIÓN Y EFECTOS DE ESTE CONCEPTO CUANDO SE ADUCE EXCESIVA CARGA DE TRABAJO.”</w:t>
      </w:r>
      <w:r w:rsidRPr="00F41FA9">
        <w:t xml:space="preserve"> consultable en el Seminario Judicial de la Federación y su gaceta, con el registro digital 2002351.</w:t>
      </w:r>
    </w:p>
    <w:p w14:paraId="4E2B2B9F" w14:textId="77777777" w:rsidR="009302CD" w:rsidRPr="00F41FA9" w:rsidRDefault="006E571C">
      <w:pPr>
        <w:spacing w:after="0" w:line="360" w:lineRule="auto"/>
      </w:pPr>
      <w:r w:rsidRPr="00F41FA9">
        <w:t xml:space="preserve"> </w:t>
      </w:r>
    </w:p>
    <w:p w14:paraId="4E2B2BA0" w14:textId="77777777" w:rsidR="009302CD" w:rsidRPr="00F41FA9" w:rsidRDefault="006E571C">
      <w:pPr>
        <w:spacing w:after="0" w:line="360" w:lineRule="auto"/>
      </w:pPr>
      <w:r w:rsidRPr="00F41FA9">
        <w:rPr>
          <w:b/>
        </w:rPr>
        <w:t>“PLAZO RAZONABLE PARA RESOLVER. CONCEPTO Y ELEMENTOS QUE LO INTEGRAN A LA LUZ DEL DERECHO INTERNACIONAL DE LOS DERECHOS HUMANOS.”</w:t>
      </w:r>
      <w:r w:rsidRPr="00F41FA9">
        <w:t>, visible en el Seminario Judicial de la Federación y su gaceta, con el registro digital 2002350.</w:t>
      </w:r>
    </w:p>
    <w:p w14:paraId="4E2B2BA1" w14:textId="77777777" w:rsidR="009302CD" w:rsidRPr="00F41FA9" w:rsidRDefault="009302CD">
      <w:pPr>
        <w:spacing w:after="0" w:line="360" w:lineRule="auto"/>
      </w:pPr>
    </w:p>
    <w:p w14:paraId="4E2B2BA2" w14:textId="77777777" w:rsidR="009302CD" w:rsidRPr="00F41FA9" w:rsidRDefault="006E571C">
      <w:pPr>
        <w:spacing w:after="0" w:line="360" w:lineRule="auto"/>
      </w:pPr>
      <w:r w:rsidRPr="00F41FA9">
        <w:t>Por ello, este organismo garante comprometido con la tutela de los derechos humanos confiados, señala que este exceso del plazo legal para resolver el presente asunto, resulta de carácter excepcional.</w:t>
      </w:r>
    </w:p>
    <w:p w14:paraId="4E2B2BA3" w14:textId="77777777" w:rsidR="009302CD" w:rsidRPr="00F41FA9" w:rsidRDefault="009302CD">
      <w:pPr>
        <w:spacing w:after="0" w:line="360" w:lineRule="auto"/>
      </w:pPr>
    </w:p>
    <w:p w14:paraId="3DEEFA05" w14:textId="6F7D4248" w:rsidR="0004148C" w:rsidRPr="00F41FA9" w:rsidRDefault="0004148C" w:rsidP="0004148C">
      <w:pPr>
        <w:pStyle w:val="Ttulo2"/>
      </w:pPr>
      <w:bookmarkStart w:id="11" w:name="_Toc184209293"/>
      <w:r w:rsidRPr="00F41FA9">
        <w:rPr>
          <w:color w:val="000000"/>
        </w:rPr>
        <w:t>f</w:t>
      </w:r>
      <w:r w:rsidR="006E571C" w:rsidRPr="00F41FA9">
        <w:rPr>
          <w:color w:val="000000"/>
        </w:rPr>
        <w:t xml:space="preserve">) </w:t>
      </w:r>
      <w:r w:rsidR="006E571C" w:rsidRPr="00F41FA9">
        <w:t>Cierre de instrucción</w:t>
      </w:r>
      <w:bookmarkEnd w:id="11"/>
    </w:p>
    <w:p w14:paraId="083A86A1" w14:textId="77777777" w:rsidR="0004148C" w:rsidRPr="00F41FA9" w:rsidRDefault="0004148C">
      <w:pPr>
        <w:spacing w:after="0" w:line="360" w:lineRule="auto"/>
      </w:pPr>
    </w:p>
    <w:p w14:paraId="4E2B2BA4" w14:textId="13FA667D" w:rsidR="009302CD" w:rsidRPr="00F41FA9" w:rsidRDefault="006E571C">
      <w:pPr>
        <w:spacing w:after="0" w:line="360" w:lineRule="auto"/>
      </w:pPr>
      <w:r w:rsidRPr="00F41FA9">
        <w:t xml:space="preserve">El </w:t>
      </w:r>
      <w:r w:rsidR="002F2848" w:rsidRPr="00F41FA9">
        <w:t>veintiocho</w:t>
      </w:r>
      <w:r w:rsidRPr="00F41FA9">
        <w:t xml:space="preserve"> de </w:t>
      </w:r>
      <w:r w:rsidR="001B413C" w:rsidRPr="00F41FA9">
        <w:t>noviembre</w:t>
      </w:r>
      <w:r w:rsidRPr="00F41FA9">
        <w:t xml:space="preserve"> de dos mil veinticuatro, al no existir diligencias pendientes por desahogar, se emitió el acuerdo por medio del cual se declaró cerrada la instrucción y se determinó pasar los expedientes a resolución, en términos de lo dispuesto en los artículos 185, </w:t>
      </w:r>
      <w:r w:rsidRPr="00F41FA9">
        <w:lastRenderedPageBreak/>
        <w:t>fracciones VI y VIII, de la Ley de Transparencia y Acceso a la Información Pública del Estado de México y Municipios, acto que fue notificado a las partes, mediante el SAIMEX, el mismo día.</w:t>
      </w:r>
    </w:p>
    <w:p w14:paraId="4E2B2BA5" w14:textId="77777777" w:rsidR="009302CD" w:rsidRPr="00F41FA9" w:rsidRDefault="009302CD">
      <w:pPr>
        <w:spacing w:after="0" w:line="360" w:lineRule="auto"/>
        <w:ind w:right="-28"/>
      </w:pPr>
    </w:p>
    <w:p w14:paraId="77C6A388" w14:textId="77777777" w:rsidR="004107F0" w:rsidRPr="00F41FA9" w:rsidRDefault="006E571C" w:rsidP="004107F0">
      <w:pPr>
        <w:spacing w:after="0" w:line="360" w:lineRule="auto"/>
        <w:rPr>
          <w:color w:val="000000"/>
        </w:rPr>
      </w:pPr>
      <w:r w:rsidRPr="00F41FA9">
        <w:rPr>
          <w:color w:val="000000"/>
        </w:rPr>
        <w:t>En razón de que fue debidamente sustanciado e integrado el expediente electrónico y no existe diligencia pendiente de desahogo, se emite la resolución que conforme a Derecho proceda, de acuerdo a los siguientes:</w:t>
      </w:r>
    </w:p>
    <w:p w14:paraId="39E8DF8E" w14:textId="77777777" w:rsidR="004107F0" w:rsidRPr="00F41FA9" w:rsidRDefault="004107F0" w:rsidP="004107F0">
      <w:pPr>
        <w:spacing w:after="0" w:line="360" w:lineRule="auto"/>
        <w:rPr>
          <w:color w:val="000000"/>
        </w:rPr>
      </w:pPr>
    </w:p>
    <w:p w14:paraId="7A71382D" w14:textId="1A7C9EE8" w:rsidR="00B171A6" w:rsidRPr="00F41FA9" w:rsidRDefault="00B171A6" w:rsidP="004107F0">
      <w:pPr>
        <w:pStyle w:val="Ttulo1"/>
      </w:pPr>
      <w:bookmarkStart w:id="12" w:name="_Toc184209294"/>
      <w:r w:rsidRPr="00F41FA9">
        <w:t>CONSIDERANDOS</w:t>
      </w:r>
      <w:bookmarkEnd w:id="12"/>
    </w:p>
    <w:p w14:paraId="64851FB0" w14:textId="77777777" w:rsidR="00B171A6" w:rsidRPr="00F41FA9" w:rsidRDefault="00B171A6" w:rsidP="00B171A6">
      <w:pPr>
        <w:spacing w:after="0" w:line="360" w:lineRule="auto"/>
        <w:jc w:val="center"/>
        <w:rPr>
          <w:rFonts w:cs="Tahoma"/>
          <w:b/>
          <w:lang w:val="es-ES"/>
        </w:rPr>
      </w:pPr>
    </w:p>
    <w:p w14:paraId="621DA131" w14:textId="77777777" w:rsidR="00B171A6" w:rsidRPr="00F41FA9" w:rsidRDefault="00B171A6" w:rsidP="004107F0">
      <w:pPr>
        <w:pStyle w:val="Ttulo2"/>
        <w:rPr>
          <w:lang w:val="es-ES"/>
        </w:rPr>
      </w:pPr>
      <w:bookmarkStart w:id="13" w:name="_Toc184209295"/>
      <w:r w:rsidRPr="00F41FA9">
        <w:rPr>
          <w:rFonts w:eastAsia="Calibri"/>
          <w:lang w:val="es-ES"/>
        </w:rPr>
        <w:t xml:space="preserve">PRIMERO. </w:t>
      </w:r>
      <w:r w:rsidRPr="00F41FA9">
        <w:rPr>
          <w:lang w:val="es-ES"/>
        </w:rPr>
        <w:t>Competencia</w:t>
      </w:r>
      <w:bookmarkEnd w:id="13"/>
    </w:p>
    <w:p w14:paraId="25BDB11D" w14:textId="77777777" w:rsidR="00B171A6" w:rsidRPr="00F41FA9" w:rsidRDefault="00B171A6" w:rsidP="00B171A6">
      <w:pPr>
        <w:autoSpaceDE w:val="0"/>
        <w:autoSpaceDN w:val="0"/>
        <w:adjustRightInd w:val="0"/>
        <w:spacing w:after="0" w:line="360" w:lineRule="auto"/>
        <w:rPr>
          <w:rFonts w:cs="Tahoma"/>
          <w:b/>
          <w:szCs w:val="24"/>
          <w:lang w:val="es-ES"/>
        </w:rPr>
      </w:pPr>
    </w:p>
    <w:p w14:paraId="794076FB" w14:textId="77777777" w:rsidR="00B171A6" w:rsidRPr="00F41FA9" w:rsidRDefault="00B171A6" w:rsidP="00B171A6">
      <w:pPr>
        <w:spacing w:after="0" w:line="360" w:lineRule="auto"/>
        <w:rPr>
          <w:rFonts w:cs="Tahoma"/>
          <w:bCs/>
        </w:rPr>
      </w:pPr>
      <w:r w:rsidRPr="00F41FA9">
        <w:rPr>
          <w:rFonts w:cs="Tahoma"/>
          <w:bC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41FA9">
        <w:rPr>
          <w:bCs/>
        </w:rPr>
        <w:t xml:space="preserve"> 7°, </w:t>
      </w:r>
      <w:r w:rsidRPr="00F41FA9">
        <w:rPr>
          <w:rFonts w:cs="Tahoma"/>
          <w:bCs/>
        </w:rPr>
        <w:t>9°, fracciones I y XXIII y 11 del Reglamento Interior del Instituto de Transparencia, Acceso a la Información Pública y Protección de Datos Personales del Estado de México y Municipios.</w:t>
      </w:r>
    </w:p>
    <w:p w14:paraId="39216608" w14:textId="77777777" w:rsidR="00B171A6" w:rsidRPr="00F41FA9" w:rsidRDefault="00B171A6" w:rsidP="00B171A6">
      <w:pPr>
        <w:spacing w:after="0" w:line="360" w:lineRule="auto"/>
        <w:rPr>
          <w:rFonts w:cs="Tahoma"/>
          <w:bCs/>
        </w:rPr>
      </w:pPr>
    </w:p>
    <w:p w14:paraId="51541BA5" w14:textId="77777777" w:rsidR="00B171A6" w:rsidRPr="00F41FA9" w:rsidRDefault="00B171A6" w:rsidP="008B7BC6">
      <w:pPr>
        <w:pStyle w:val="Ttulo2"/>
        <w:rPr>
          <w:lang w:val="es-ES"/>
        </w:rPr>
      </w:pPr>
      <w:bookmarkStart w:id="14" w:name="_Toc184209296"/>
      <w:r w:rsidRPr="00F41FA9">
        <w:rPr>
          <w:rFonts w:eastAsia="Calibri"/>
          <w:lang w:val="es-ES"/>
        </w:rPr>
        <w:lastRenderedPageBreak/>
        <w:t xml:space="preserve">SEGUNDO. </w:t>
      </w:r>
      <w:r w:rsidRPr="00F41FA9">
        <w:rPr>
          <w:lang w:val="es-ES"/>
        </w:rPr>
        <w:t>Causales de improcedencia y sobreseimiento</w:t>
      </w:r>
      <w:bookmarkEnd w:id="14"/>
    </w:p>
    <w:p w14:paraId="22B56182" w14:textId="77777777" w:rsidR="00B171A6" w:rsidRPr="00F41FA9" w:rsidRDefault="00B171A6" w:rsidP="00B171A6">
      <w:pPr>
        <w:autoSpaceDE w:val="0"/>
        <w:autoSpaceDN w:val="0"/>
        <w:adjustRightInd w:val="0"/>
        <w:spacing w:after="0" w:line="360" w:lineRule="auto"/>
        <w:rPr>
          <w:rFonts w:cs="Tahoma"/>
          <w:szCs w:val="24"/>
          <w:lang w:val="es-ES"/>
        </w:rPr>
      </w:pPr>
    </w:p>
    <w:p w14:paraId="236A8687" w14:textId="77777777" w:rsidR="00B171A6" w:rsidRPr="00F41FA9" w:rsidRDefault="00B171A6" w:rsidP="00B171A6">
      <w:pPr>
        <w:autoSpaceDE w:val="0"/>
        <w:autoSpaceDN w:val="0"/>
        <w:adjustRightInd w:val="0"/>
        <w:spacing w:after="0" w:line="360" w:lineRule="auto"/>
        <w:rPr>
          <w:rFonts w:cs="Tahoma"/>
          <w:szCs w:val="24"/>
          <w:lang w:val="es-ES"/>
        </w:rPr>
      </w:pPr>
      <w:r w:rsidRPr="00F41FA9">
        <w:rPr>
          <w:rFonts w:cs="Tahoma"/>
          <w:szCs w:val="24"/>
          <w:lang w:val="es-ES"/>
        </w:rPr>
        <w:t xml:space="preserve">De las constancias que forma parte del Recurso de Revisión que se analiza, se advierte que previo al estudio del fondo de la </w:t>
      </w:r>
      <w:r w:rsidRPr="00F41FA9">
        <w:rPr>
          <w:rFonts w:cs="Tahoma"/>
          <w:i/>
          <w:szCs w:val="24"/>
          <w:lang w:val="es-ES"/>
        </w:rPr>
        <w:t>litis</w:t>
      </w:r>
      <w:r w:rsidRPr="00F41FA9">
        <w:rPr>
          <w:rFonts w:cs="Tahoma"/>
          <w:szCs w:val="24"/>
          <w:lang w:val="es-ES"/>
        </w:rPr>
        <w:t>, es necesario estudiar las causales de improcedencia y sobreseimiento que se adviertan, para determinar lo que en Derecho proceda.</w:t>
      </w:r>
    </w:p>
    <w:p w14:paraId="48B7BBC3" w14:textId="77777777" w:rsidR="00B171A6" w:rsidRPr="00F41FA9" w:rsidRDefault="00B171A6" w:rsidP="00B171A6">
      <w:pPr>
        <w:autoSpaceDE w:val="0"/>
        <w:autoSpaceDN w:val="0"/>
        <w:adjustRightInd w:val="0"/>
        <w:spacing w:after="0" w:line="360" w:lineRule="auto"/>
        <w:rPr>
          <w:rFonts w:cs="Tahoma"/>
          <w:szCs w:val="24"/>
          <w:lang w:val="es-ES"/>
        </w:rPr>
      </w:pPr>
    </w:p>
    <w:p w14:paraId="4BAB160F" w14:textId="77777777" w:rsidR="00B171A6" w:rsidRPr="00F41FA9" w:rsidRDefault="00B171A6" w:rsidP="00B171A6">
      <w:pPr>
        <w:autoSpaceDE w:val="0"/>
        <w:autoSpaceDN w:val="0"/>
        <w:adjustRightInd w:val="0"/>
        <w:spacing w:after="0" w:line="360" w:lineRule="auto"/>
        <w:rPr>
          <w:rFonts w:eastAsia="Calibri" w:cs="Tahoma"/>
          <w:szCs w:val="24"/>
          <w:lang w:val="es-ES"/>
        </w:rPr>
      </w:pPr>
      <w:r w:rsidRPr="00F41FA9">
        <w:rPr>
          <w:rFonts w:eastAsia="Calibri" w:cs="Tahoma"/>
          <w:b/>
          <w:szCs w:val="24"/>
          <w:lang w:val="es-ES"/>
        </w:rPr>
        <w:t>Causales de improcedencia</w:t>
      </w:r>
    </w:p>
    <w:p w14:paraId="7D7A1EB4" w14:textId="77777777" w:rsidR="00B171A6" w:rsidRPr="00F41FA9" w:rsidRDefault="00B171A6" w:rsidP="00B171A6">
      <w:pPr>
        <w:autoSpaceDE w:val="0"/>
        <w:autoSpaceDN w:val="0"/>
        <w:adjustRightInd w:val="0"/>
        <w:spacing w:after="0" w:line="360" w:lineRule="auto"/>
        <w:rPr>
          <w:rFonts w:eastAsia="Calibri" w:cs="Tahoma"/>
          <w:szCs w:val="24"/>
          <w:lang w:val="es-ES"/>
        </w:rPr>
      </w:pPr>
    </w:p>
    <w:p w14:paraId="50F8D6C0" w14:textId="77777777" w:rsidR="00B171A6" w:rsidRPr="00F41FA9" w:rsidRDefault="00B171A6" w:rsidP="00B171A6">
      <w:pPr>
        <w:autoSpaceDE w:val="0"/>
        <w:autoSpaceDN w:val="0"/>
        <w:adjustRightInd w:val="0"/>
        <w:spacing w:after="0" w:line="360" w:lineRule="auto"/>
        <w:rPr>
          <w:rFonts w:eastAsia="Calibri" w:cs="Tahoma"/>
          <w:lang w:val="es-ES"/>
        </w:rPr>
      </w:pPr>
      <w:r w:rsidRPr="00F41FA9">
        <w:rPr>
          <w:rFonts w:eastAsia="Calibri" w:cs="Tahoma"/>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F41FA9">
        <w:rPr>
          <w:rFonts w:eastAsia="Calibri" w:cs="Tahoma"/>
          <w:b/>
          <w:bCs/>
        </w:rPr>
        <w:t xml:space="preserve"> </w:t>
      </w:r>
      <w:r w:rsidRPr="00F41FA9">
        <w:rPr>
          <w:rFonts w:eastAsia="Calibri" w:cs="Tahoma"/>
        </w:rP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75536B39" w14:textId="77777777" w:rsidR="00B171A6" w:rsidRPr="00F41FA9" w:rsidRDefault="00B171A6" w:rsidP="00B171A6">
      <w:pPr>
        <w:autoSpaceDE w:val="0"/>
        <w:autoSpaceDN w:val="0"/>
        <w:adjustRightInd w:val="0"/>
        <w:spacing w:after="0" w:line="360" w:lineRule="auto"/>
        <w:rPr>
          <w:rFonts w:eastAsia="Calibri" w:cs="Tahoma"/>
        </w:rPr>
      </w:pPr>
    </w:p>
    <w:p w14:paraId="1C4563FE" w14:textId="77777777" w:rsidR="00B171A6" w:rsidRPr="00F41FA9" w:rsidRDefault="00B171A6" w:rsidP="00B171A6">
      <w:pPr>
        <w:autoSpaceDE w:val="0"/>
        <w:autoSpaceDN w:val="0"/>
        <w:adjustRightInd w:val="0"/>
        <w:spacing w:after="0" w:line="360" w:lineRule="auto"/>
        <w:rPr>
          <w:rFonts w:eastAsia="Calibri" w:cs="Tahoma"/>
        </w:rPr>
      </w:pPr>
      <w:r w:rsidRPr="00F41FA9">
        <w:rPr>
          <w:rFonts w:eastAsia="Calibri" w:cs="Tahoma"/>
        </w:rPr>
        <w:t xml:space="preserve">En el presente caso, </w:t>
      </w:r>
      <w:r w:rsidRPr="00F41FA9">
        <w:rPr>
          <w:rFonts w:eastAsia="Calibri" w:cs="Tahoma"/>
          <w:b/>
        </w:rPr>
        <w:t>no se actualiza ninguna de las causales de improcedencia</w:t>
      </w:r>
      <w:r w:rsidRPr="00F41FA9">
        <w:rPr>
          <w:rFonts w:eastAsia="Calibri" w:cs="Tahoma"/>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2D19CB89" w14:textId="77777777" w:rsidR="00B171A6" w:rsidRPr="00F41FA9" w:rsidRDefault="00B171A6" w:rsidP="00B171A6">
      <w:pPr>
        <w:spacing w:after="0" w:line="360" w:lineRule="auto"/>
        <w:rPr>
          <w:rFonts w:cs="Tahoma"/>
          <w:b/>
          <w:bCs/>
        </w:rPr>
      </w:pPr>
    </w:p>
    <w:p w14:paraId="209A0EC6" w14:textId="77777777" w:rsidR="00B171A6" w:rsidRPr="00F41FA9" w:rsidRDefault="00B171A6" w:rsidP="0004148C">
      <w:pPr>
        <w:pStyle w:val="Ttulo2"/>
      </w:pPr>
      <w:bookmarkStart w:id="15" w:name="_Toc184209297"/>
      <w:r w:rsidRPr="00F41FA9">
        <w:t>TERCERO. Causales de sobreseimiento</w:t>
      </w:r>
      <w:bookmarkEnd w:id="15"/>
    </w:p>
    <w:p w14:paraId="5135781A" w14:textId="77777777" w:rsidR="00B171A6" w:rsidRPr="00F41FA9" w:rsidRDefault="00B171A6" w:rsidP="00B171A6">
      <w:pPr>
        <w:spacing w:after="0" w:line="360" w:lineRule="auto"/>
        <w:rPr>
          <w:rFonts w:cs="Tahoma"/>
          <w:b/>
          <w:bCs/>
        </w:rPr>
      </w:pPr>
    </w:p>
    <w:p w14:paraId="0B4D63CD" w14:textId="77777777" w:rsidR="00B171A6" w:rsidRPr="00F41FA9" w:rsidRDefault="00B171A6" w:rsidP="00B171A6">
      <w:pPr>
        <w:spacing w:after="0" w:line="360" w:lineRule="auto"/>
        <w:rPr>
          <w:rFonts w:cs="Tahoma"/>
        </w:rPr>
      </w:pPr>
      <w:r w:rsidRPr="00F41FA9">
        <w:rPr>
          <w:rFonts w:cs="Tahoma"/>
        </w:rPr>
        <w:lastRenderedPageBreak/>
        <w:t>Por ser de previo y especial pronunciamiento, este Instituto analiza si se actualiza alguna causal de sobreseimiento.</w:t>
      </w:r>
    </w:p>
    <w:p w14:paraId="32FA6798" w14:textId="77777777" w:rsidR="00B171A6" w:rsidRPr="00F41FA9" w:rsidRDefault="00B171A6" w:rsidP="00B171A6">
      <w:pPr>
        <w:spacing w:after="0" w:line="360" w:lineRule="auto"/>
        <w:rPr>
          <w:rFonts w:cs="Tahoma"/>
        </w:rPr>
      </w:pPr>
    </w:p>
    <w:p w14:paraId="4B650DEE" w14:textId="77777777" w:rsidR="00B171A6" w:rsidRPr="00F41FA9" w:rsidRDefault="00B171A6" w:rsidP="00B171A6">
      <w:pPr>
        <w:spacing w:after="0" w:line="360" w:lineRule="auto"/>
        <w:rPr>
          <w:rFonts w:cs="Tahoma"/>
        </w:rPr>
      </w:pPr>
      <w:r w:rsidRPr="00F41FA9">
        <w:rPr>
          <w:rFonts w:cs="Tahoma"/>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F41FA9">
        <w:rPr>
          <w:rFonts w:cs="Tahoma"/>
          <w:b/>
          <w:bCs/>
        </w:rPr>
        <w:t>que no se actualizan los supuestos de sobreseimiento previstos en las fracciones I, II, IV y V</w:t>
      </w:r>
      <w:r w:rsidRPr="00F41FA9">
        <w:rPr>
          <w:rFonts w:cs="Tahoma"/>
        </w:rPr>
        <w:t xml:space="preserve"> del artículo en comento, lo anterior, en virtud de que no hay constancias en el expediente en que se actúa, de que el Recurrente se haya desistido del recurso, haya fallecido, se haya actualizado alguna causal de improcedencia o bien haya quedado sin materia por cualquier otro motivo.</w:t>
      </w:r>
    </w:p>
    <w:p w14:paraId="7ED449E2" w14:textId="77777777" w:rsidR="00B171A6" w:rsidRPr="00F41FA9" w:rsidRDefault="00B171A6" w:rsidP="00B171A6">
      <w:pPr>
        <w:spacing w:after="0" w:line="360" w:lineRule="auto"/>
        <w:rPr>
          <w:rFonts w:cs="Tahoma"/>
        </w:rPr>
      </w:pPr>
    </w:p>
    <w:p w14:paraId="31236EEB" w14:textId="77777777" w:rsidR="00B171A6" w:rsidRPr="00F41FA9" w:rsidRDefault="00B171A6" w:rsidP="00B171A6">
      <w:pPr>
        <w:tabs>
          <w:tab w:val="left" w:pos="4962"/>
        </w:tabs>
        <w:spacing w:after="0" w:line="360" w:lineRule="auto"/>
        <w:contextualSpacing/>
        <w:rPr>
          <w:rFonts w:eastAsia="Calibri" w:cs="Tahoma"/>
          <w:iCs/>
          <w:lang w:eastAsia="es-ES_tradnl"/>
        </w:rPr>
      </w:pPr>
      <w:r w:rsidRPr="00F41FA9">
        <w:rPr>
          <w:rFonts w:eastAsia="Calibri" w:cs="Tahoma"/>
          <w:iCs/>
          <w:lang w:eastAsia="es-ES_tradnl"/>
        </w:rPr>
        <w:t>Con el objeto de ilustrar la controversia planteada, resulta conveniente precisar que, una vez realizado el estudio de las constancias que integran el expediente en que se actúa, se desprende que el Particular solicitó la siguiente información:</w:t>
      </w:r>
    </w:p>
    <w:p w14:paraId="3763051D" w14:textId="77777777" w:rsidR="00B171A6" w:rsidRPr="00F41FA9" w:rsidRDefault="00B171A6" w:rsidP="00B171A6">
      <w:pPr>
        <w:tabs>
          <w:tab w:val="left" w:pos="4962"/>
        </w:tabs>
        <w:spacing w:after="0" w:line="360" w:lineRule="auto"/>
        <w:contextualSpacing/>
        <w:rPr>
          <w:rFonts w:eastAsia="Calibri" w:cs="Tahoma"/>
          <w:iCs/>
          <w:lang w:eastAsia="es-ES_tradnl"/>
        </w:rPr>
      </w:pPr>
    </w:p>
    <w:p w14:paraId="0E736E9E" w14:textId="77777777" w:rsidR="008B7BC6" w:rsidRPr="00F41FA9" w:rsidRDefault="008B7BC6" w:rsidP="008B7BC6">
      <w:pPr>
        <w:pStyle w:val="Prrafodelista"/>
        <w:numPr>
          <w:ilvl w:val="0"/>
          <w:numId w:val="20"/>
        </w:numPr>
        <w:tabs>
          <w:tab w:val="left" w:pos="4962"/>
        </w:tabs>
        <w:spacing w:after="0" w:line="360" w:lineRule="auto"/>
        <w:rPr>
          <w:rFonts w:eastAsia="Calibri" w:cs="Tahoma"/>
          <w:iCs/>
          <w:lang w:eastAsia="es-ES_tradnl"/>
        </w:rPr>
      </w:pPr>
      <w:r w:rsidRPr="00F41FA9">
        <w:rPr>
          <w:iCs/>
          <w:color w:val="000000"/>
        </w:rPr>
        <w:t xml:space="preserve">Los escritos iniciales de los medios de impugnación y/o procedimientos, en los que las partes actoras solicitaron la protección de sus datos personales </w:t>
      </w:r>
    </w:p>
    <w:p w14:paraId="525C4EF8" w14:textId="77777777" w:rsidR="008B7BC6" w:rsidRPr="00F41FA9" w:rsidRDefault="008B7BC6" w:rsidP="008B7BC6">
      <w:pPr>
        <w:pStyle w:val="Prrafodelista"/>
        <w:numPr>
          <w:ilvl w:val="1"/>
          <w:numId w:val="20"/>
        </w:numPr>
        <w:tabs>
          <w:tab w:val="left" w:pos="4962"/>
        </w:tabs>
        <w:spacing w:after="0" w:line="360" w:lineRule="auto"/>
        <w:rPr>
          <w:rFonts w:eastAsia="Calibri" w:cs="Tahoma"/>
          <w:iCs/>
          <w:lang w:eastAsia="es-ES_tradnl"/>
        </w:rPr>
      </w:pPr>
      <w:r w:rsidRPr="00F41FA9">
        <w:rPr>
          <w:iCs/>
          <w:color w:val="000000"/>
        </w:rPr>
        <w:t xml:space="preserve">Qué criterio utilizó el IEEM para llevar a cabo la protección de los datos personales de dichas personas. </w:t>
      </w:r>
    </w:p>
    <w:p w14:paraId="4DFCF62B" w14:textId="77777777" w:rsidR="00F507B9" w:rsidRPr="00F41FA9" w:rsidRDefault="008B7BC6" w:rsidP="008B7BC6">
      <w:pPr>
        <w:pStyle w:val="Prrafodelista"/>
        <w:numPr>
          <w:ilvl w:val="0"/>
          <w:numId w:val="20"/>
        </w:numPr>
        <w:tabs>
          <w:tab w:val="left" w:pos="4962"/>
        </w:tabs>
        <w:spacing w:after="0" w:line="360" w:lineRule="auto"/>
        <w:rPr>
          <w:rFonts w:eastAsia="Calibri" w:cs="Tahoma"/>
          <w:iCs/>
          <w:lang w:eastAsia="es-ES_tradnl"/>
        </w:rPr>
      </w:pPr>
      <w:r w:rsidRPr="00F41FA9">
        <w:rPr>
          <w:iCs/>
          <w:color w:val="000000"/>
        </w:rPr>
        <w:t xml:space="preserve">En caso de que se superen las capacidades técnicas del Sistema SAIMEX, requiero aquellos escritos iniciales que, si proceda su entrega por SAIMEX, en los cuales se haya solicitado la protección de datos personales; así como el procedimiento que llevo a cabo la unidad de transparencia del IEEM o, en su caso, el Comité de Transparencia. </w:t>
      </w:r>
    </w:p>
    <w:p w14:paraId="6F34480D" w14:textId="7449CAFB" w:rsidR="008B7BC6" w:rsidRPr="00F41FA9" w:rsidRDefault="008B7BC6" w:rsidP="008B7BC6">
      <w:pPr>
        <w:pStyle w:val="Prrafodelista"/>
        <w:numPr>
          <w:ilvl w:val="0"/>
          <w:numId w:val="20"/>
        </w:numPr>
        <w:tabs>
          <w:tab w:val="left" w:pos="4962"/>
        </w:tabs>
        <w:spacing w:after="0" w:line="360" w:lineRule="auto"/>
        <w:rPr>
          <w:rFonts w:eastAsia="Calibri" w:cs="Tahoma"/>
          <w:iCs/>
          <w:lang w:eastAsia="es-ES_tradnl"/>
        </w:rPr>
      </w:pPr>
      <w:r w:rsidRPr="00F41FA9">
        <w:rPr>
          <w:iCs/>
          <w:color w:val="000000"/>
        </w:rPr>
        <w:t xml:space="preserve">En caso de que lo anterior supere las capacidades técnicas del Saimex, solicito un escrito inicial presentado ante el Instituto Electoral del Estado de México, en donde se </w:t>
      </w:r>
      <w:r w:rsidRPr="00F41FA9">
        <w:rPr>
          <w:iCs/>
          <w:color w:val="000000"/>
        </w:rPr>
        <w:lastRenderedPageBreak/>
        <w:t>solicitó la protección de datos personales; así como su debido procedimiento llevado a cabo por el Comité de Transparencia</w:t>
      </w:r>
    </w:p>
    <w:p w14:paraId="06335C83" w14:textId="77777777" w:rsidR="00B171A6" w:rsidRPr="00F41FA9" w:rsidRDefault="00B171A6" w:rsidP="00B171A6">
      <w:pPr>
        <w:tabs>
          <w:tab w:val="left" w:pos="4962"/>
        </w:tabs>
        <w:spacing w:after="0" w:line="360" w:lineRule="auto"/>
        <w:rPr>
          <w:rFonts w:cs="Tahoma"/>
          <w:bCs/>
          <w:i/>
        </w:rPr>
      </w:pPr>
    </w:p>
    <w:p w14:paraId="1DE9202B" w14:textId="3D775AA9" w:rsidR="00B171A6" w:rsidRPr="00F41FA9" w:rsidRDefault="00B171A6" w:rsidP="00F507B9">
      <w:pPr>
        <w:tabs>
          <w:tab w:val="left" w:pos="4962"/>
        </w:tabs>
        <w:spacing w:after="0" w:line="360" w:lineRule="auto"/>
        <w:contextualSpacing/>
        <w:rPr>
          <w:rFonts w:cs="Tahoma"/>
        </w:rPr>
      </w:pPr>
      <w:r w:rsidRPr="00F41FA9">
        <w:rPr>
          <w:rFonts w:cs="Tahoma"/>
        </w:rPr>
        <w:t xml:space="preserve">El Sujeto Obligado, </w:t>
      </w:r>
      <w:r w:rsidR="00F507B9" w:rsidRPr="00F41FA9">
        <w:rPr>
          <w:rFonts w:cs="Tahoma"/>
        </w:rPr>
        <w:t xml:space="preserve">en respuesta entregó </w:t>
      </w:r>
      <w:r w:rsidR="00114BBB" w:rsidRPr="00F41FA9">
        <w:rPr>
          <w:rFonts w:cs="Tahoma"/>
        </w:rPr>
        <w:t xml:space="preserve">la respuesta de la Servidora Pública Habilitada de la Secretaría Ejecutiva, quien remitió </w:t>
      </w:r>
      <w:r w:rsidR="00C72426" w:rsidRPr="00F41FA9">
        <w:rPr>
          <w:rFonts w:cs="Tahoma"/>
        </w:rPr>
        <w:t xml:space="preserve">a través de archivo comprimido </w:t>
      </w:r>
      <w:r w:rsidR="00943C8F" w:rsidRPr="00F41FA9">
        <w:rPr>
          <w:rFonts w:cs="Tahoma"/>
        </w:rPr>
        <w:t xml:space="preserve">una respuesta general, una carátula de clasificación </w:t>
      </w:r>
      <w:r w:rsidR="00FD1D04" w:rsidRPr="00F41FA9">
        <w:rPr>
          <w:rFonts w:cs="Tahoma"/>
        </w:rPr>
        <w:t>y la</w:t>
      </w:r>
      <w:r w:rsidR="0082542D" w:rsidRPr="00F41FA9">
        <w:rPr>
          <w:rFonts w:cs="Tahoma"/>
        </w:rPr>
        <w:t xml:space="preserve"> versión pública de los escritos iniciales</w:t>
      </w:r>
      <w:r w:rsidR="00A25F84" w:rsidRPr="00F41FA9">
        <w:rPr>
          <w:rFonts w:cs="Tahoma"/>
        </w:rPr>
        <w:t xml:space="preserve"> de quienes solicitaron la protección de sus datos personales. En la misma respuesta, refiere la entrega del acuerdo de clasificación </w:t>
      </w:r>
      <w:r w:rsidR="00FD1D04" w:rsidRPr="00F41FA9">
        <w:rPr>
          <w:rFonts w:cs="Tahoma"/>
        </w:rPr>
        <w:t>IEEM/CT/212/2024, el cual, no obra en los archivos remitidos.</w:t>
      </w:r>
      <w:r w:rsidR="00EE5D5C" w:rsidRPr="00F41FA9">
        <w:rPr>
          <w:rFonts w:cs="Tahoma"/>
        </w:rPr>
        <w:t xml:space="preserve"> </w:t>
      </w:r>
    </w:p>
    <w:p w14:paraId="3A3A5B1C" w14:textId="77777777" w:rsidR="00F507B9" w:rsidRPr="00F41FA9" w:rsidRDefault="00F507B9" w:rsidP="00F507B9">
      <w:pPr>
        <w:tabs>
          <w:tab w:val="left" w:pos="4962"/>
        </w:tabs>
        <w:spacing w:after="0" w:line="360" w:lineRule="auto"/>
        <w:contextualSpacing/>
        <w:rPr>
          <w:rFonts w:cs="Tahoma"/>
        </w:rPr>
      </w:pPr>
    </w:p>
    <w:p w14:paraId="2C7BB6AD" w14:textId="37D9860B" w:rsidR="00FD1D04" w:rsidRPr="00F41FA9" w:rsidRDefault="00FD1D04" w:rsidP="00F507B9">
      <w:pPr>
        <w:tabs>
          <w:tab w:val="left" w:pos="4962"/>
        </w:tabs>
        <w:spacing w:after="0" w:line="360" w:lineRule="auto"/>
        <w:contextualSpacing/>
        <w:rPr>
          <w:rFonts w:cs="Tahoma"/>
        </w:rPr>
      </w:pPr>
      <w:r w:rsidRPr="00F41FA9">
        <w:rPr>
          <w:rFonts w:cs="Tahoma"/>
        </w:rPr>
        <w:t>El Particular, se inconformó de los siguientes puntos:</w:t>
      </w:r>
    </w:p>
    <w:p w14:paraId="2AB2937D" w14:textId="77777777" w:rsidR="00FD1D04" w:rsidRPr="00F41FA9" w:rsidRDefault="00FD1D04" w:rsidP="00082DB7">
      <w:pPr>
        <w:tabs>
          <w:tab w:val="left" w:pos="4962"/>
        </w:tabs>
        <w:spacing w:after="0" w:line="360" w:lineRule="auto"/>
        <w:ind w:left="426"/>
        <w:contextualSpacing/>
        <w:rPr>
          <w:rFonts w:cs="Tahoma"/>
        </w:rPr>
      </w:pPr>
    </w:p>
    <w:p w14:paraId="6216407C" w14:textId="77777777" w:rsidR="00FD1D04" w:rsidRPr="00F41FA9" w:rsidRDefault="00FD1D04" w:rsidP="00082DB7">
      <w:pPr>
        <w:pStyle w:val="Prrafodelista"/>
        <w:numPr>
          <w:ilvl w:val="0"/>
          <w:numId w:val="21"/>
        </w:numPr>
        <w:spacing w:after="0" w:line="360" w:lineRule="auto"/>
        <w:ind w:left="426"/>
        <w:rPr>
          <w:iCs/>
          <w:color w:val="000000"/>
        </w:rPr>
      </w:pPr>
      <w:r w:rsidRPr="00F41FA9">
        <w:rPr>
          <w:iCs/>
          <w:color w:val="000000"/>
        </w:rPr>
        <w:t xml:space="preserve">No remiten el acuerdo de clasificación de la información, emitida por el Comité de Transparencia, relativa a la protección de datos personales de las personas actoras. </w:t>
      </w:r>
    </w:p>
    <w:p w14:paraId="7FBD6AC5" w14:textId="77777777" w:rsidR="00082DB7" w:rsidRPr="00F41FA9" w:rsidRDefault="00082DB7" w:rsidP="00082DB7">
      <w:pPr>
        <w:pStyle w:val="Prrafodelista"/>
        <w:numPr>
          <w:ilvl w:val="0"/>
          <w:numId w:val="21"/>
        </w:numPr>
        <w:spacing w:after="0" w:line="360" w:lineRule="auto"/>
        <w:ind w:left="426"/>
        <w:rPr>
          <w:iCs/>
          <w:color w:val="000000"/>
        </w:rPr>
      </w:pPr>
      <w:r w:rsidRPr="00F41FA9">
        <w:rPr>
          <w:iCs/>
          <w:color w:val="000000"/>
        </w:rPr>
        <w:t>N</w:t>
      </w:r>
      <w:r w:rsidR="00FD1D04" w:rsidRPr="00F41FA9">
        <w:rPr>
          <w:iCs/>
          <w:color w:val="000000"/>
        </w:rPr>
        <w:t xml:space="preserve">o remiten el acuerdo de clasificación correspondiente de las versiones públicas que sirvieron para dar contestación a la solicitud de referencia. </w:t>
      </w:r>
    </w:p>
    <w:p w14:paraId="095AA543" w14:textId="2147B4CE" w:rsidR="00FD1D04" w:rsidRPr="00F41FA9" w:rsidRDefault="00082DB7" w:rsidP="00082DB7">
      <w:pPr>
        <w:pStyle w:val="Prrafodelista"/>
        <w:numPr>
          <w:ilvl w:val="0"/>
          <w:numId w:val="21"/>
        </w:numPr>
        <w:spacing w:after="0" w:line="360" w:lineRule="auto"/>
        <w:ind w:left="426"/>
        <w:rPr>
          <w:b/>
          <w:iCs/>
        </w:rPr>
      </w:pPr>
      <w:r w:rsidRPr="00F41FA9">
        <w:rPr>
          <w:iCs/>
          <w:color w:val="000000"/>
        </w:rPr>
        <w:t>L</w:t>
      </w:r>
      <w:r w:rsidR="00FD1D04" w:rsidRPr="00F41FA9">
        <w:rPr>
          <w:iCs/>
          <w:color w:val="000000"/>
        </w:rPr>
        <w:t>a leyenda de clasificación está mal realizada.</w:t>
      </w:r>
    </w:p>
    <w:p w14:paraId="5473D3F9" w14:textId="77777777" w:rsidR="00FD1D04" w:rsidRPr="00F41FA9" w:rsidRDefault="00FD1D04" w:rsidP="00F507B9">
      <w:pPr>
        <w:tabs>
          <w:tab w:val="left" w:pos="4962"/>
        </w:tabs>
        <w:spacing w:after="0" w:line="360" w:lineRule="auto"/>
        <w:contextualSpacing/>
        <w:rPr>
          <w:rFonts w:cs="Tahoma"/>
        </w:rPr>
      </w:pPr>
    </w:p>
    <w:p w14:paraId="1383E35F" w14:textId="1D3F01DA" w:rsidR="00B171A6" w:rsidRPr="00F41FA9" w:rsidRDefault="00B171A6" w:rsidP="00B171A6">
      <w:pPr>
        <w:spacing w:after="0" w:line="360" w:lineRule="auto"/>
        <w:rPr>
          <w:rFonts w:eastAsia="Calibri" w:cs="Tahoma"/>
          <w:szCs w:val="24"/>
          <w:lang w:val="es-ES" w:eastAsia="en-US"/>
        </w:rPr>
      </w:pPr>
      <w:r w:rsidRPr="00F41FA9">
        <w:rPr>
          <w:rFonts w:eastAsia="Calibri" w:cs="Tahoma"/>
          <w:szCs w:val="24"/>
          <w:lang w:val="es-ES" w:eastAsia="en-US"/>
        </w:rPr>
        <w:t>En este contexto,</w:t>
      </w:r>
      <w:r w:rsidR="00082DB7" w:rsidRPr="00F41FA9">
        <w:rPr>
          <w:rFonts w:eastAsia="Calibri" w:cs="Tahoma"/>
          <w:szCs w:val="24"/>
          <w:lang w:val="es-ES" w:eastAsia="en-US"/>
        </w:rPr>
        <w:t xml:space="preserve"> el Particular no se inconformó de la información remitida, exclusivamente fue sobre los documentos que versan sobre la clasificación, </w:t>
      </w:r>
      <w:r w:rsidRPr="00F41FA9">
        <w:rPr>
          <w:rFonts w:eastAsia="Calibri" w:cs="Tahoma"/>
          <w:szCs w:val="24"/>
          <w:lang w:val="es-ES" w:eastAsia="en-US"/>
        </w:rPr>
        <w:t>lo pertinente entonces, es entrar al estudio, exclusivamente de aquellos puntos que fueron controvertidos por el Sujeto Obligado, esto en ajuste a lo contemplado por el criterio de interpretación emitido por el Instituto Nacional de Transparencia, Acceso a la Información Pública y Protección de Datos Personales, con clave de control SO/001/2020, que lleva por rubro y texto lo siguiente:</w:t>
      </w:r>
    </w:p>
    <w:p w14:paraId="45B66D82" w14:textId="77777777" w:rsidR="00B171A6" w:rsidRPr="00F41FA9" w:rsidRDefault="00B171A6" w:rsidP="00B171A6">
      <w:pPr>
        <w:spacing w:after="0" w:line="360" w:lineRule="auto"/>
        <w:rPr>
          <w:rFonts w:eastAsia="Calibri" w:cs="Tahoma"/>
          <w:szCs w:val="24"/>
          <w:lang w:val="es-ES" w:eastAsia="en-US"/>
        </w:rPr>
      </w:pPr>
    </w:p>
    <w:p w14:paraId="0293DE56" w14:textId="77777777" w:rsidR="00B171A6" w:rsidRPr="00F41FA9" w:rsidRDefault="00B171A6" w:rsidP="00B171A6">
      <w:pPr>
        <w:spacing w:after="0" w:line="360" w:lineRule="auto"/>
        <w:ind w:left="567" w:right="567"/>
        <w:rPr>
          <w:rFonts w:eastAsia="Calibri" w:cs="Tahoma"/>
          <w:i/>
          <w:iCs/>
          <w:lang w:val="es-ES" w:eastAsia="en-US"/>
        </w:rPr>
      </w:pPr>
      <w:r w:rsidRPr="00F41FA9">
        <w:rPr>
          <w:rFonts w:eastAsia="Calibri" w:cs="Tahoma"/>
          <w:b/>
          <w:bCs/>
          <w:i/>
          <w:iCs/>
          <w:lang w:val="es-ES" w:eastAsia="en-US"/>
        </w:rPr>
        <w:lastRenderedPageBreak/>
        <w:t>Actos consentidos tácitamente. Improcedencia de su análisis</w:t>
      </w:r>
      <w:r w:rsidRPr="00F41FA9">
        <w:rPr>
          <w:rFonts w:eastAsia="Calibri" w:cs="Tahoma"/>
          <w:i/>
          <w:iCs/>
          <w:lang w:val="es-ES" w:eastAsia="en-US"/>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7DC52F01" w14:textId="77777777" w:rsidR="00B171A6" w:rsidRPr="00F41FA9" w:rsidRDefault="00B171A6" w:rsidP="00B171A6">
      <w:pPr>
        <w:spacing w:after="0" w:line="360" w:lineRule="auto"/>
        <w:rPr>
          <w:rFonts w:eastAsia="Calibri" w:cs="Tahoma"/>
          <w:szCs w:val="24"/>
          <w:lang w:val="es-ES" w:eastAsia="en-US"/>
        </w:rPr>
      </w:pPr>
    </w:p>
    <w:p w14:paraId="10A92830" w14:textId="77777777" w:rsidR="00B171A6" w:rsidRPr="00F41FA9" w:rsidRDefault="00B171A6" w:rsidP="00B171A6">
      <w:pPr>
        <w:spacing w:after="0" w:line="360" w:lineRule="auto"/>
        <w:rPr>
          <w:rFonts w:eastAsia="Calibri" w:cs="Tahoma"/>
          <w:szCs w:val="24"/>
          <w:lang w:val="es-ES" w:eastAsia="en-US"/>
        </w:rPr>
      </w:pPr>
      <w:r w:rsidRPr="00F41FA9">
        <w:rPr>
          <w:rFonts w:eastAsia="Calibri" w:cs="Tahoma"/>
          <w:szCs w:val="24"/>
          <w:lang w:val="es-ES" w:eastAsia="en-US"/>
        </w:rPr>
        <w:t>Así, los puntos controvertidos, se pueden sintetizar en dos y se analizarán de conformidad con los siguientes temas:</w:t>
      </w:r>
    </w:p>
    <w:p w14:paraId="4477765B" w14:textId="77777777" w:rsidR="00B171A6" w:rsidRPr="00F41FA9" w:rsidRDefault="00B171A6" w:rsidP="00B171A6">
      <w:pPr>
        <w:spacing w:after="0" w:line="360" w:lineRule="auto"/>
        <w:rPr>
          <w:rFonts w:eastAsia="Calibri" w:cs="Tahoma"/>
          <w:szCs w:val="24"/>
          <w:lang w:val="es-ES" w:eastAsia="en-US"/>
        </w:rPr>
      </w:pPr>
    </w:p>
    <w:p w14:paraId="4BBE5122" w14:textId="3364BD64" w:rsidR="00B171A6" w:rsidRPr="00F41FA9" w:rsidRDefault="000C2E58" w:rsidP="000C2E58">
      <w:pPr>
        <w:pStyle w:val="Prrafodelista"/>
        <w:numPr>
          <w:ilvl w:val="0"/>
          <w:numId w:val="22"/>
        </w:numPr>
        <w:spacing w:after="0" w:line="360" w:lineRule="auto"/>
        <w:rPr>
          <w:rFonts w:eastAsia="Calibri" w:cs="Tahoma"/>
          <w:b/>
          <w:bCs/>
          <w:szCs w:val="24"/>
          <w:lang w:val="es-ES" w:eastAsia="en-US"/>
        </w:rPr>
      </w:pPr>
      <w:r w:rsidRPr="00F41FA9">
        <w:rPr>
          <w:rFonts w:eastAsia="Calibri" w:cs="Tahoma"/>
          <w:b/>
          <w:bCs/>
          <w:szCs w:val="24"/>
          <w:lang w:val="es-ES" w:eastAsia="en-US"/>
        </w:rPr>
        <w:t>No remiten acuerdos de clasificación</w:t>
      </w:r>
      <w:r w:rsidR="00E50C83" w:rsidRPr="00F41FA9">
        <w:rPr>
          <w:rFonts w:eastAsia="Calibri" w:cs="Tahoma"/>
          <w:b/>
          <w:bCs/>
          <w:szCs w:val="24"/>
          <w:lang w:val="es-ES" w:eastAsia="en-US"/>
        </w:rPr>
        <w:t xml:space="preserve"> (referente a las personas actoras y para dar respuesta a la solicitud)</w:t>
      </w:r>
    </w:p>
    <w:p w14:paraId="706459B4" w14:textId="530CCC27" w:rsidR="000C2E58" w:rsidRPr="00F41FA9" w:rsidRDefault="000C2E58" w:rsidP="00B171A6">
      <w:pPr>
        <w:spacing w:after="0" w:line="360" w:lineRule="auto"/>
        <w:rPr>
          <w:rFonts w:eastAsia="Calibri" w:cs="Tahoma"/>
          <w:szCs w:val="24"/>
          <w:lang w:val="es-ES" w:eastAsia="en-US"/>
        </w:rPr>
      </w:pPr>
    </w:p>
    <w:p w14:paraId="503E2FC0" w14:textId="6A73C0EE" w:rsidR="000C2E58" w:rsidRPr="00F41FA9" w:rsidRDefault="00E50C83" w:rsidP="00B171A6">
      <w:pPr>
        <w:spacing w:after="0" w:line="360" w:lineRule="auto"/>
        <w:rPr>
          <w:rFonts w:eastAsia="Calibri" w:cs="Tahoma"/>
          <w:szCs w:val="24"/>
          <w:lang w:val="es-ES" w:eastAsia="en-US"/>
        </w:rPr>
      </w:pPr>
      <w:r w:rsidRPr="00F41FA9">
        <w:rPr>
          <w:rFonts w:eastAsia="Calibri" w:cs="Tahoma"/>
          <w:szCs w:val="24"/>
          <w:lang w:val="es-ES" w:eastAsia="en-US"/>
        </w:rPr>
        <w:t>Se advierte que el Particular, desea conocer qui</w:t>
      </w:r>
      <w:r w:rsidR="006944A7" w:rsidRPr="00F41FA9">
        <w:rPr>
          <w:rFonts w:eastAsia="Calibri" w:cs="Tahoma"/>
          <w:szCs w:val="24"/>
          <w:lang w:val="es-ES" w:eastAsia="en-US"/>
        </w:rPr>
        <w:t>é</w:t>
      </w:r>
      <w:r w:rsidRPr="00F41FA9">
        <w:rPr>
          <w:rFonts w:eastAsia="Calibri" w:cs="Tahoma"/>
          <w:szCs w:val="24"/>
          <w:lang w:val="es-ES" w:eastAsia="en-US"/>
        </w:rPr>
        <w:t>nes en ejercicio de sus derechos político electorales</w:t>
      </w:r>
      <w:r w:rsidR="00CB26B9" w:rsidRPr="00F41FA9">
        <w:rPr>
          <w:rFonts w:eastAsia="Calibri" w:cs="Tahoma"/>
          <w:szCs w:val="24"/>
          <w:lang w:val="es-ES" w:eastAsia="en-US"/>
        </w:rPr>
        <w:t>, solicitaron la oposición al tratamiento de sus datos personales, lo cual, no fue objeto de controversia, sino que exclusivamente se inconformó de que no se entregó el acuerdo de procedencia de los mismos.</w:t>
      </w:r>
    </w:p>
    <w:p w14:paraId="2D7721DD" w14:textId="77777777" w:rsidR="0051691B" w:rsidRPr="00F41FA9" w:rsidRDefault="0051691B" w:rsidP="00B171A6">
      <w:pPr>
        <w:spacing w:after="0" w:line="360" w:lineRule="auto"/>
        <w:rPr>
          <w:rFonts w:eastAsia="Calibri" w:cs="Tahoma"/>
          <w:szCs w:val="24"/>
          <w:lang w:val="es-ES" w:eastAsia="en-US"/>
        </w:rPr>
      </w:pPr>
    </w:p>
    <w:p w14:paraId="10B7529B" w14:textId="75BD58FA" w:rsidR="0051691B" w:rsidRPr="00F41FA9" w:rsidRDefault="0051691B" w:rsidP="00B171A6">
      <w:pPr>
        <w:spacing w:after="0" w:line="360" w:lineRule="auto"/>
        <w:rPr>
          <w:rFonts w:eastAsia="Calibri" w:cs="Tahoma"/>
          <w:szCs w:val="24"/>
          <w:lang w:val="es-ES" w:eastAsia="en-US"/>
        </w:rPr>
      </w:pPr>
      <w:r w:rsidRPr="00F41FA9">
        <w:rPr>
          <w:rFonts w:eastAsia="Calibri" w:cs="Tahoma"/>
          <w:szCs w:val="24"/>
          <w:lang w:val="es-ES" w:eastAsia="en-US"/>
        </w:rPr>
        <w:t xml:space="preserve">Para dar cumplimiento a este punto, se remitió el </w:t>
      </w:r>
      <w:r w:rsidR="002B6101" w:rsidRPr="00F41FA9">
        <w:rPr>
          <w:rFonts w:eastAsia="Calibri" w:cs="Tahoma"/>
          <w:szCs w:val="24"/>
          <w:lang w:val="es-ES" w:eastAsia="en-US"/>
        </w:rPr>
        <w:t xml:space="preserve">Acuerdo IEEM/CT/208/2024, que contempla </w:t>
      </w:r>
      <w:r w:rsidR="00D91638" w:rsidRPr="00F41FA9">
        <w:rPr>
          <w:rFonts w:eastAsia="Calibri" w:cs="Tahoma"/>
          <w:szCs w:val="24"/>
          <w:lang w:val="es-ES" w:eastAsia="en-US"/>
        </w:rPr>
        <w:t>la Clasificación de información como confidencial para dar cumplimiento a las obligaciones de transparencia</w:t>
      </w:r>
      <w:r w:rsidR="00E6167B" w:rsidRPr="00F41FA9">
        <w:rPr>
          <w:rFonts w:eastAsia="Calibri" w:cs="Tahoma"/>
          <w:szCs w:val="24"/>
          <w:lang w:val="es-ES" w:eastAsia="en-US"/>
        </w:rPr>
        <w:t xml:space="preserve"> y para notificar a través de est</w:t>
      </w:r>
      <w:r w:rsidR="006944A7" w:rsidRPr="00F41FA9">
        <w:rPr>
          <w:rFonts w:eastAsia="Calibri" w:cs="Tahoma"/>
          <w:szCs w:val="24"/>
          <w:lang w:val="es-ES" w:eastAsia="en-US"/>
        </w:rPr>
        <w:t>r</w:t>
      </w:r>
      <w:r w:rsidR="00E6167B" w:rsidRPr="00F41FA9">
        <w:rPr>
          <w:rFonts w:eastAsia="Calibri" w:cs="Tahoma"/>
          <w:szCs w:val="24"/>
          <w:lang w:val="es-ES" w:eastAsia="en-US"/>
        </w:rPr>
        <w:t xml:space="preserve">ados; esto se clarificó por la Unidad de Transparencia a través de informe justificado, en donde refirió que </w:t>
      </w:r>
      <w:r w:rsidR="00FC27C6" w:rsidRPr="00F41FA9">
        <w:rPr>
          <w:rFonts w:eastAsia="Calibri" w:cs="Tahoma"/>
          <w:szCs w:val="24"/>
          <w:lang w:val="es-ES" w:eastAsia="en-US"/>
        </w:rPr>
        <w:t>este acuerdo sustenta</w:t>
      </w:r>
      <w:r w:rsidR="0036227C" w:rsidRPr="00F41FA9">
        <w:rPr>
          <w:rFonts w:eastAsia="Calibri" w:cs="Tahoma"/>
          <w:szCs w:val="24"/>
          <w:lang w:val="es-ES" w:eastAsia="en-US"/>
        </w:rPr>
        <w:t xml:space="preserve"> las versiones públicas </w:t>
      </w:r>
      <w:r w:rsidR="00FC1C03" w:rsidRPr="00F41FA9">
        <w:rPr>
          <w:rFonts w:eastAsia="Calibri" w:cs="Tahoma"/>
          <w:szCs w:val="24"/>
          <w:lang w:val="es-ES" w:eastAsia="en-US"/>
        </w:rPr>
        <w:t>de los juicios entablados</w:t>
      </w:r>
      <w:r w:rsidR="003351AF" w:rsidRPr="00F41FA9">
        <w:rPr>
          <w:rFonts w:eastAsia="Calibri" w:cs="Tahoma"/>
          <w:szCs w:val="24"/>
          <w:lang w:val="es-ES" w:eastAsia="en-US"/>
        </w:rPr>
        <w:t xml:space="preserve"> por los Particulares para la protección de sus datos personales.</w:t>
      </w:r>
    </w:p>
    <w:p w14:paraId="64A63229" w14:textId="77777777" w:rsidR="003351AF" w:rsidRPr="00F41FA9" w:rsidRDefault="003351AF" w:rsidP="00B171A6">
      <w:pPr>
        <w:spacing w:after="0" w:line="360" w:lineRule="auto"/>
        <w:rPr>
          <w:rFonts w:eastAsia="Calibri" w:cs="Tahoma"/>
          <w:szCs w:val="24"/>
          <w:lang w:val="es-ES" w:eastAsia="en-US"/>
        </w:rPr>
      </w:pPr>
    </w:p>
    <w:p w14:paraId="5298644E" w14:textId="228EC884" w:rsidR="006944A7" w:rsidRPr="00F41FA9" w:rsidRDefault="003351AF" w:rsidP="00B171A6">
      <w:pPr>
        <w:spacing w:after="0" w:line="360" w:lineRule="auto"/>
        <w:rPr>
          <w:rFonts w:eastAsia="Calibri" w:cs="Tahoma"/>
          <w:szCs w:val="24"/>
          <w:lang w:val="es-ES" w:eastAsia="en-US"/>
        </w:rPr>
      </w:pPr>
      <w:r w:rsidRPr="00F41FA9">
        <w:rPr>
          <w:rFonts w:eastAsia="Calibri" w:cs="Tahoma"/>
          <w:szCs w:val="24"/>
          <w:lang w:val="es-ES" w:eastAsia="en-US"/>
        </w:rPr>
        <w:t xml:space="preserve">Por ello, se considera </w:t>
      </w:r>
      <w:r w:rsidR="00FC27C6" w:rsidRPr="00F41FA9">
        <w:rPr>
          <w:rFonts w:eastAsia="Calibri" w:cs="Tahoma"/>
          <w:szCs w:val="24"/>
          <w:lang w:val="es-ES" w:eastAsia="en-US"/>
        </w:rPr>
        <w:t>que,</w:t>
      </w:r>
      <w:r w:rsidRPr="00F41FA9">
        <w:rPr>
          <w:rFonts w:eastAsia="Calibri" w:cs="Tahoma"/>
          <w:szCs w:val="24"/>
          <w:lang w:val="es-ES" w:eastAsia="en-US"/>
        </w:rPr>
        <w:t xml:space="preserve"> con el acuerdo remitido, se modifica la respuesta por cuanto refiere a este punto</w:t>
      </w:r>
      <w:r w:rsidR="006944A7" w:rsidRPr="00F41FA9">
        <w:rPr>
          <w:rFonts w:eastAsia="Calibri" w:cs="Tahoma"/>
          <w:szCs w:val="24"/>
          <w:lang w:val="es-ES" w:eastAsia="en-US"/>
        </w:rPr>
        <w:t xml:space="preserve"> y se tiene por atendida tanto la solicitud como la impugnación, ya que, no procede </w:t>
      </w:r>
      <w:r w:rsidR="006944A7" w:rsidRPr="00F41FA9">
        <w:rPr>
          <w:rFonts w:eastAsia="Calibri" w:cs="Tahoma"/>
          <w:szCs w:val="24"/>
          <w:lang w:val="es-ES" w:eastAsia="en-US"/>
        </w:rPr>
        <w:lastRenderedPageBreak/>
        <w:t>analizar  la procedencia o contenido de dicho acuerdo pues se trata de una actuación del Comité para dar atención a un tema distinto a la solicitud que nos ocupa, por lo tanto, la simple entrega del acuerdo del Comité de Transparencia permite tener por atendida la inconformidad de la persona Recurrente.</w:t>
      </w:r>
    </w:p>
    <w:p w14:paraId="0DFFE104" w14:textId="77777777" w:rsidR="006944A7" w:rsidRPr="00F41FA9" w:rsidRDefault="006944A7" w:rsidP="00B171A6">
      <w:pPr>
        <w:spacing w:after="0" w:line="360" w:lineRule="auto"/>
        <w:rPr>
          <w:rFonts w:eastAsia="Calibri" w:cs="Tahoma"/>
          <w:szCs w:val="24"/>
          <w:lang w:val="es-ES" w:eastAsia="en-US"/>
        </w:rPr>
      </w:pPr>
    </w:p>
    <w:p w14:paraId="78BC0C8B" w14:textId="0268AD76" w:rsidR="003351AF" w:rsidRPr="00F41FA9" w:rsidRDefault="003351AF" w:rsidP="00B171A6">
      <w:pPr>
        <w:spacing w:after="0" w:line="360" w:lineRule="auto"/>
      </w:pPr>
      <w:r w:rsidRPr="00F41FA9">
        <w:rPr>
          <w:rFonts w:eastAsia="Calibri" w:cs="Tahoma"/>
          <w:szCs w:val="24"/>
          <w:lang w:val="es-ES" w:eastAsia="en-US"/>
        </w:rPr>
        <w:t xml:space="preserve">Por cuanto hace al acuerdo </w:t>
      </w:r>
      <w:r w:rsidRPr="00F41FA9">
        <w:t xml:space="preserve">IEEM/CT/212/2024, se inconformó de que el mismo no se entregó </w:t>
      </w:r>
      <w:r w:rsidR="006C6FB2" w:rsidRPr="00F41FA9">
        <w:t>aun</w:t>
      </w:r>
      <w:r w:rsidRPr="00F41FA9">
        <w:t xml:space="preserve"> cuando se mencionó</w:t>
      </w:r>
      <w:r w:rsidR="006C6FB2" w:rsidRPr="00F41FA9">
        <w:t xml:space="preserve"> por el Servidor Público Habilitado; al respecto la Unidad de Transparencia, refirió que por un error humano, no se remitió el mismo pero este se entregó como un documento adjunto, a través del informe justificado.</w:t>
      </w:r>
    </w:p>
    <w:p w14:paraId="36DA8DAB" w14:textId="77777777" w:rsidR="006C6FB2" w:rsidRPr="00F41FA9" w:rsidRDefault="006C6FB2" w:rsidP="00B171A6">
      <w:pPr>
        <w:spacing w:after="0" w:line="360" w:lineRule="auto"/>
      </w:pPr>
    </w:p>
    <w:p w14:paraId="4D7F7544" w14:textId="37757C6C" w:rsidR="006C6FB2" w:rsidRPr="00F41FA9" w:rsidRDefault="00BA1228" w:rsidP="00B171A6">
      <w:pPr>
        <w:spacing w:after="0" w:line="360" w:lineRule="auto"/>
      </w:pPr>
      <w:r w:rsidRPr="00F41FA9">
        <w:t xml:space="preserve">Ahora bien, en un ejercicio pro persona, se analizan también las versiones públicas, debido a que los acuerdos de clasificación, se relacionan con </w:t>
      </w:r>
      <w:r w:rsidR="004E7602" w:rsidRPr="00F41FA9">
        <w:t xml:space="preserve">la información remitida, por lo cual, se identifica </w:t>
      </w:r>
      <w:r w:rsidR="00F11F2F" w:rsidRPr="00F41FA9">
        <w:t>que,</w:t>
      </w:r>
      <w:r w:rsidR="004E7602" w:rsidRPr="00F41FA9">
        <w:t xml:space="preserve"> ante la inconformidad del acuerdo de clasificación, </w:t>
      </w:r>
      <w:r w:rsidR="0002015A" w:rsidRPr="00F41FA9">
        <w:t>intrínsecamente</w:t>
      </w:r>
      <w:r w:rsidR="004E7602" w:rsidRPr="00F41FA9">
        <w:t xml:space="preserve"> hay una inconformidad con los criterios </w:t>
      </w:r>
      <w:r w:rsidR="008177A3" w:rsidRPr="00F41FA9">
        <w:t>de la clasificación.</w:t>
      </w:r>
    </w:p>
    <w:p w14:paraId="7DB2ACE3" w14:textId="77777777" w:rsidR="008177A3" w:rsidRPr="00F41FA9" w:rsidRDefault="008177A3" w:rsidP="00B171A6">
      <w:pPr>
        <w:spacing w:after="0" w:line="360" w:lineRule="auto"/>
      </w:pPr>
    </w:p>
    <w:p w14:paraId="6EE89164" w14:textId="21C055B9" w:rsidR="002061A3" w:rsidRPr="00F41FA9" w:rsidRDefault="008177A3" w:rsidP="00B171A6">
      <w:pPr>
        <w:spacing w:after="0" w:line="360" w:lineRule="auto"/>
      </w:pPr>
      <w:r w:rsidRPr="00F41FA9">
        <w:t xml:space="preserve">Al respecto, al revisar los datos eliminados de las versiones </w:t>
      </w:r>
      <w:r w:rsidR="002061A3" w:rsidRPr="00F41FA9">
        <w:t>públicas</w:t>
      </w:r>
      <w:r w:rsidRPr="00F41FA9">
        <w:t>,</w:t>
      </w:r>
      <w:r w:rsidR="002061A3" w:rsidRPr="00F41FA9">
        <w:t xml:space="preserve"> se eliminaron datos de particulares como domicilios, </w:t>
      </w:r>
      <w:r w:rsidR="00BB2198" w:rsidRPr="00F41FA9">
        <w:t>nombres, teléfonos, correos electrónicos y firmas</w:t>
      </w:r>
      <w:r w:rsidR="00081431" w:rsidRPr="00F41FA9">
        <w:t xml:space="preserve">, así como el nombre de aspirantes </w:t>
      </w:r>
      <w:r w:rsidR="0094670D" w:rsidRPr="00F41FA9">
        <w:t xml:space="preserve">a ocupar un cargo </w:t>
      </w:r>
      <w:r w:rsidR="002D0B77" w:rsidRPr="00F41FA9">
        <w:t xml:space="preserve">como servidor electoral y el número de folio, </w:t>
      </w:r>
      <w:r w:rsidR="00D164EA" w:rsidRPr="00F41FA9">
        <w:t>que,</w:t>
      </w:r>
      <w:r w:rsidR="002D0B77" w:rsidRPr="00F41FA9">
        <w:t xml:space="preserve"> en el acuerdo de clasificación, refieren, permite conocer datos personales.</w:t>
      </w:r>
    </w:p>
    <w:p w14:paraId="38395D8B" w14:textId="77777777" w:rsidR="002D0B77" w:rsidRPr="00F41FA9" w:rsidRDefault="002D0B77" w:rsidP="00B171A6">
      <w:pPr>
        <w:spacing w:after="0" w:line="360" w:lineRule="auto"/>
      </w:pPr>
    </w:p>
    <w:p w14:paraId="565BC13E" w14:textId="3DE4E1FC" w:rsidR="002D0B77" w:rsidRPr="00F41FA9" w:rsidRDefault="002D0B77" w:rsidP="00B171A6">
      <w:pPr>
        <w:spacing w:after="0" w:line="360" w:lineRule="auto"/>
      </w:pPr>
      <w:r w:rsidRPr="00F41FA9">
        <w:t xml:space="preserve">A saber, </w:t>
      </w:r>
      <w:r w:rsidR="00D164EA" w:rsidRPr="00F41FA9">
        <w:t xml:space="preserve">las versiones publicas entregadas, corresponden a personas que ejercieron su derecho para la protección de sus datos personales y se considera que se eliminan los datos personales, </w:t>
      </w:r>
      <w:r w:rsidR="00A80004" w:rsidRPr="00F41FA9">
        <w:t>que protegen dicho fin, con la finalidad de no hacerlos identificados o identificables.</w:t>
      </w:r>
    </w:p>
    <w:p w14:paraId="64609010" w14:textId="3BBB7A9A" w:rsidR="006B470E" w:rsidRPr="00F41FA9" w:rsidRDefault="006B470E" w:rsidP="00B171A6">
      <w:pPr>
        <w:spacing w:after="0" w:line="360" w:lineRule="auto"/>
      </w:pPr>
    </w:p>
    <w:p w14:paraId="03550713" w14:textId="21ECE13D" w:rsidR="006B470E" w:rsidRPr="00F41FA9" w:rsidRDefault="006B470E" w:rsidP="00B171A6">
      <w:pPr>
        <w:spacing w:after="0" w:line="360" w:lineRule="auto"/>
      </w:pPr>
      <w:r w:rsidRPr="00F41FA9">
        <w:lastRenderedPageBreak/>
        <w:t xml:space="preserve">De las versiones públicas, se identifica que las mismas son correctas y las versiones públicas, fueron debidamente </w:t>
      </w:r>
      <w:r w:rsidR="009E4FCF" w:rsidRPr="00F41FA9">
        <w:t>motivadas, a través de la entrega de los Acuerdos de Clasificación entregados en informe justificado.</w:t>
      </w:r>
    </w:p>
    <w:p w14:paraId="663A1A4B" w14:textId="77777777" w:rsidR="00E84D43" w:rsidRPr="00F41FA9" w:rsidRDefault="00E84D43" w:rsidP="00B171A6">
      <w:pPr>
        <w:spacing w:after="0" w:line="360" w:lineRule="auto"/>
        <w:rPr>
          <w:rFonts w:eastAsia="Calibri" w:cs="Tahoma"/>
          <w:szCs w:val="24"/>
          <w:lang w:val="es-ES" w:eastAsia="en-US"/>
        </w:rPr>
      </w:pPr>
    </w:p>
    <w:p w14:paraId="3F493C31" w14:textId="3AC27B46" w:rsidR="00FC1C03" w:rsidRPr="00F41FA9" w:rsidRDefault="00FC1C03" w:rsidP="00FC1C03">
      <w:pPr>
        <w:pStyle w:val="Prrafodelista"/>
        <w:numPr>
          <w:ilvl w:val="0"/>
          <w:numId w:val="22"/>
        </w:numPr>
        <w:spacing w:after="0" w:line="360" w:lineRule="auto"/>
        <w:rPr>
          <w:rFonts w:eastAsia="Calibri" w:cs="Tahoma"/>
          <w:b/>
          <w:bCs/>
          <w:szCs w:val="24"/>
          <w:lang w:val="es-ES" w:eastAsia="en-US"/>
        </w:rPr>
      </w:pPr>
      <w:r w:rsidRPr="00F41FA9">
        <w:rPr>
          <w:rFonts w:eastAsia="Calibri" w:cs="Tahoma"/>
          <w:b/>
          <w:bCs/>
          <w:szCs w:val="24"/>
          <w:lang w:val="es-ES" w:eastAsia="en-US"/>
        </w:rPr>
        <w:t>La leyenda de clasificación está mal realizada</w:t>
      </w:r>
    </w:p>
    <w:p w14:paraId="18D676F4" w14:textId="77777777" w:rsidR="00E84D43" w:rsidRPr="00F41FA9" w:rsidRDefault="00E84D43" w:rsidP="00B171A6">
      <w:pPr>
        <w:spacing w:after="0" w:line="360" w:lineRule="auto"/>
        <w:rPr>
          <w:rFonts w:eastAsia="Calibri" w:cs="Tahoma"/>
          <w:szCs w:val="24"/>
          <w:lang w:val="es-ES" w:eastAsia="en-US"/>
        </w:rPr>
      </w:pPr>
    </w:p>
    <w:p w14:paraId="3974D1E1" w14:textId="08BE7B15" w:rsidR="00FC1C03" w:rsidRPr="00F41FA9" w:rsidRDefault="00FC1C03" w:rsidP="00B171A6">
      <w:pPr>
        <w:spacing w:after="0" w:line="360" w:lineRule="auto"/>
      </w:pPr>
      <w:r w:rsidRPr="00F41FA9">
        <w:rPr>
          <w:rFonts w:eastAsia="Calibri" w:cs="Tahoma"/>
          <w:szCs w:val="24"/>
          <w:lang w:val="es-ES" w:eastAsia="en-US"/>
        </w:rPr>
        <w:t xml:space="preserve">Este punto es un elemento técnico; al respecto los Lineamiento General </w:t>
      </w:r>
      <w:r w:rsidR="00316B7F" w:rsidRPr="00F41FA9">
        <w:t>en Materia de Clasificación y Desclasificación de la Información, así como para la Elaboración de Versiones Públicas</w:t>
      </w:r>
      <w:r w:rsidR="000A322E" w:rsidRPr="00F41FA9">
        <w:t xml:space="preserve"> vigentes a la fecha de la emisión de la presente resolución, consultables en la liga de acceso directo </w:t>
      </w:r>
      <w:hyperlink r:id="rId9" w:history="1">
        <w:r w:rsidR="00E814DE" w:rsidRPr="00F41FA9">
          <w:rPr>
            <w:rStyle w:val="Hipervnculo"/>
          </w:rPr>
          <w:t>https://snt.org.mx/wp-content/uploads/30112022-Lineamientos-de-Clasificacion-y-Desclasificacion-01_14h.pdf</w:t>
        </w:r>
      </w:hyperlink>
      <w:r w:rsidR="00316B7F" w:rsidRPr="00F41FA9">
        <w:t xml:space="preserve">, en su numeral Décimo primero, contempla la generación de una leyenda, para la transferencia </w:t>
      </w:r>
      <w:r w:rsidR="00056009" w:rsidRPr="00F41FA9">
        <w:t>solo para el intercambio de información entre Sujetos Obligados, para lo cual, se transcribe literalmente el correspondiente:</w:t>
      </w:r>
    </w:p>
    <w:p w14:paraId="4FF67267" w14:textId="77777777" w:rsidR="005B04A8" w:rsidRPr="00F41FA9" w:rsidRDefault="005B04A8" w:rsidP="00B171A6">
      <w:pPr>
        <w:spacing w:after="0" w:line="360" w:lineRule="auto"/>
      </w:pPr>
    </w:p>
    <w:p w14:paraId="6FCE5D4B" w14:textId="08121DD6" w:rsidR="005B04A8" w:rsidRPr="00F41FA9" w:rsidRDefault="005B04A8" w:rsidP="005B04A8">
      <w:pPr>
        <w:spacing w:after="0" w:line="360" w:lineRule="auto"/>
        <w:ind w:left="567" w:right="567"/>
        <w:rPr>
          <w:rFonts w:eastAsia="Calibri" w:cs="Tahoma"/>
          <w:i/>
          <w:iCs/>
          <w:lang w:val="es-ES" w:eastAsia="en-US"/>
        </w:rPr>
      </w:pPr>
      <w:r w:rsidRPr="00F41FA9">
        <w:rPr>
          <w:rFonts w:eastAsia="Calibri" w:cs="Tahoma"/>
          <w:i/>
          <w:iCs/>
          <w:lang w:val="es-ES" w:eastAsia="en-US"/>
        </w:rPr>
        <w:t>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F77FD91" w14:textId="77777777" w:rsidR="00E84D43" w:rsidRPr="00F41FA9" w:rsidRDefault="00E84D43" w:rsidP="00B171A6">
      <w:pPr>
        <w:spacing w:after="0" w:line="360" w:lineRule="auto"/>
        <w:rPr>
          <w:rFonts w:eastAsia="Calibri" w:cs="Tahoma"/>
          <w:szCs w:val="24"/>
          <w:lang w:val="es-ES" w:eastAsia="en-US"/>
        </w:rPr>
      </w:pPr>
    </w:p>
    <w:p w14:paraId="084005CC" w14:textId="5A9B3AC7" w:rsidR="005B04A8" w:rsidRPr="00F41FA9" w:rsidRDefault="005B04A8" w:rsidP="00B171A6">
      <w:pPr>
        <w:spacing w:after="0" w:line="360" w:lineRule="auto"/>
        <w:rPr>
          <w:rFonts w:eastAsia="Calibri" w:cs="Tahoma"/>
          <w:szCs w:val="24"/>
          <w:lang w:val="es-ES" w:eastAsia="en-US"/>
        </w:rPr>
      </w:pPr>
      <w:r w:rsidRPr="00F41FA9">
        <w:rPr>
          <w:rFonts w:eastAsia="Calibri" w:cs="Tahoma"/>
          <w:szCs w:val="24"/>
          <w:lang w:val="es-ES" w:eastAsia="en-US"/>
        </w:rPr>
        <w:t xml:space="preserve">Esto es, no existe una obligación en la actualidad, que constriña a que los Sujetos Obligados, generen versiones públicas, con leyendas </w:t>
      </w:r>
      <w:r w:rsidR="000A322E" w:rsidRPr="00F41FA9">
        <w:rPr>
          <w:rFonts w:eastAsia="Calibri" w:cs="Tahoma"/>
          <w:szCs w:val="24"/>
          <w:lang w:val="es-ES" w:eastAsia="en-US"/>
        </w:rPr>
        <w:t xml:space="preserve">específicas hacia los Particulares en atención a una solicitud de acceso a la </w:t>
      </w:r>
      <w:r w:rsidR="00E814DE" w:rsidRPr="00F41FA9">
        <w:rPr>
          <w:rFonts w:eastAsia="Calibri" w:cs="Tahoma"/>
          <w:szCs w:val="24"/>
          <w:lang w:val="es-ES" w:eastAsia="en-US"/>
        </w:rPr>
        <w:t>información</w:t>
      </w:r>
      <w:r w:rsidR="000A322E" w:rsidRPr="00F41FA9">
        <w:rPr>
          <w:rFonts w:eastAsia="Calibri" w:cs="Tahoma"/>
          <w:szCs w:val="24"/>
          <w:lang w:val="es-ES" w:eastAsia="en-US"/>
        </w:rPr>
        <w:t xml:space="preserve"> pública</w:t>
      </w:r>
      <w:r w:rsidR="00CF035A" w:rsidRPr="00F41FA9">
        <w:rPr>
          <w:rFonts w:eastAsia="Calibri" w:cs="Tahoma"/>
          <w:szCs w:val="24"/>
          <w:lang w:val="es-ES" w:eastAsia="en-US"/>
        </w:rPr>
        <w:t>, aunado al Quincuagésimo segundo lineamiento invocado por el Sujeto Obligado, que contempla:</w:t>
      </w:r>
    </w:p>
    <w:p w14:paraId="61566210" w14:textId="77777777" w:rsidR="003F48F9" w:rsidRPr="00F41FA9" w:rsidRDefault="003F48F9" w:rsidP="0004148C">
      <w:pPr>
        <w:spacing w:after="0" w:line="360" w:lineRule="auto"/>
        <w:ind w:left="567" w:right="567"/>
        <w:rPr>
          <w:rFonts w:eastAsia="Calibri" w:cs="Tahoma"/>
          <w:i/>
          <w:iCs/>
          <w:lang w:val="es-ES" w:eastAsia="en-US"/>
        </w:rPr>
      </w:pPr>
    </w:p>
    <w:p w14:paraId="03FD2FEE" w14:textId="270E6E47" w:rsidR="003F48F9" w:rsidRPr="00F41FA9" w:rsidRDefault="003F48F9" w:rsidP="0004148C">
      <w:pPr>
        <w:spacing w:after="0" w:line="360" w:lineRule="auto"/>
        <w:ind w:left="567" w:right="567"/>
        <w:rPr>
          <w:rFonts w:eastAsia="Calibri" w:cs="Tahoma"/>
          <w:i/>
          <w:iCs/>
          <w:lang w:val="es-ES" w:eastAsia="en-US"/>
        </w:rPr>
      </w:pPr>
      <w:r w:rsidRPr="00F41FA9">
        <w:rPr>
          <w:rFonts w:eastAsia="Calibri" w:cs="Tahoma"/>
          <w:i/>
          <w:iCs/>
          <w:lang w:val="es-ES" w:eastAsia="en-US"/>
        </w:rPr>
        <w:lastRenderedPageBreak/>
        <w:t>Quincuagésimo segundo.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51166C7" w14:textId="77777777" w:rsidR="0004148C" w:rsidRPr="00F41FA9" w:rsidRDefault="0004148C" w:rsidP="0004148C">
      <w:pPr>
        <w:spacing w:after="0" w:line="360" w:lineRule="auto"/>
        <w:ind w:left="567" w:right="567"/>
        <w:rPr>
          <w:rFonts w:eastAsia="Calibri" w:cs="Tahoma"/>
          <w:i/>
          <w:iCs/>
          <w:lang w:val="es-ES" w:eastAsia="en-US"/>
        </w:rPr>
      </w:pPr>
    </w:p>
    <w:p w14:paraId="47433360" w14:textId="6234A252" w:rsidR="0004148C" w:rsidRPr="00F41FA9" w:rsidRDefault="0004148C" w:rsidP="0004148C">
      <w:pPr>
        <w:spacing w:after="0" w:line="360" w:lineRule="auto"/>
        <w:ind w:left="567" w:right="567"/>
        <w:rPr>
          <w:rFonts w:eastAsia="Calibri" w:cs="Tahoma"/>
          <w:i/>
          <w:iCs/>
          <w:lang w:val="es-ES" w:eastAsia="en-US"/>
        </w:rPr>
      </w:pPr>
      <w:r w:rsidRPr="00F41FA9">
        <w:rPr>
          <w:rFonts w:eastAsia="Calibri" w:cs="Tahoma"/>
          <w:i/>
          <w:iCs/>
          <w:lang w:val="es-ES" w:eastAsia="en-US"/>
        </w:rPr>
        <w:t xml:space="preserve">En el caso </w:t>
      </w:r>
      <w:r w:rsidR="006944A7" w:rsidRPr="00F41FA9">
        <w:rPr>
          <w:rFonts w:eastAsia="Calibri" w:cs="Tahoma"/>
          <w:i/>
          <w:iCs/>
          <w:lang w:val="es-ES" w:eastAsia="en-US"/>
        </w:rPr>
        <w:t>específico</w:t>
      </w:r>
      <w:r w:rsidRPr="00F41FA9">
        <w:rPr>
          <w:rFonts w:eastAsia="Calibri" w:cs="Tahoma"/>
          <w:i/>
          <w:iCs/>
          <w:lang w:val="es-ES" w:eastAsia="en-US"/>
        </w:rPr>
        <w:t xml:space="preserve"> de la clasificación y elaboración de versiones públicas de documentos que contengan información confidencial, las áreas de los sujetos obligados deberán:</w:t>
      </w:r>
    </w:p>
    <w:p w14:paraId="7DCC03C8" w14:textId="77777777" w:rsidR="0004148C" w:rsidRPr="00F41FA9" w:rsidRDefault="0004148C" w:rsidP="0004148C">
      <w:pPr>
        <w:spacing w:after="0" w:line="360" w:lineRule="auto"/>
        <w:ind w:left="567" w:right="567"/>
        <w:rPr>
          <w:rFonts w:eastAsia="Calibri" w:cs="Tahoma"/>
          <w:i/>
          <w:iCs/>
          <w:lang w:val="es-ES" w:eastAsia="en-US"/>
        </w:rPr>
      </w:pPr>
    </w:p>
    <w:p w14:paraId="008BC408" w14:textId="77777777" w:rsidR="0004148C" w:rsidRPr="00F41FA9" w:rsidRDefault="0004148C" w:rsidP="0004148C">
      <w:pPr>
        <w:spacing w:after="0" w:line="360" w:lineRule="auto"/>
        <w:ind w:left="567" w:right="567"/>
        <w:rPr>
          <w:rFonts w:eastAsia="Calibri" w:cs="Tahoma"/>
          <w:i/>
          <w:iCs/>
          <w:lang w:val="es-ES" w:eastAsia="en-US"/>
        </w:rPr>
      </w:pPr>
      <w:r w:rsidRPr="00F41FA9">
        <w:rPr>
          <w:rFonts w:eastAsia="Calibri" w:cs="Tahoma"/>
          <w:i/>
          <w:iCs/>
          <w:lang w:val="es-ES" w:eastAsia="en-US"/>
        </w:rPr>
        <w:t xml:space="preserve">I. Fijar la fecha en que se elaboró la versión pública y la fecha en la cual el Comité de Transparencia confirmó dicha versión; </w:t>
      </w:r>
    </w:p>
    <w:p w14:paraId="67DA214B" w14:textId="77777777" w:rsidR="0004148C" w:rsidRPr="00F41FA9" w:rsidRDefault="0004148C" w:rsidP="0004148C">
      <w:pPr>
        <w:spacing w:after="0" w:line="360" w:lineRule="auto"/>
        <w:ind w:left="567" w:right="567"/>
        <w:rPr>
          <w:rFonts w:eastAsia="Calibri" w:cs="Tahoma"/>
          <w:i/>
          <w:iCs/>
          <w:lang w:val="es-ES" w:eastAsia="en-US"/>
        </w:rPr>
      </w:pPr>
      <w:r w:rsidRPr="00F41FA9">
        <w:rPr>
          <w:rFonts w:eastAsia="Calibri" w:cs="Tahoma"/>
          <w:i/>
          <w:iCs/>
          <w:lang w:val="es-ES" w:eastAsia="en-US"/>
        </w:rPr>
        <w:t xml:space="preserve">II. Señalar dentro del documento el tipo de información confidencial que fue testada en cada caso específico, de conformidad con el lineamiento trigésimo octavo; y </w:t>
      </w:r>
    </w:p>
    <w:p w14:paraId="3E8FCB7A" w14:textId="77777777" w:rsidR="0004148C" w:rsidRPr="00F41FA9" w:rsidRDefault="0004148C" w:rsidP="0004148C">
      <w:pPr>
        <w:spacing w:after="0" w:line="360" w:lineRule="auto"/>
        <w:ind w:left="567" w:right="567"/>
        <w:rPr>
          <w:rFonts w:eastAsia="Calibri" w:cs="Tahoma"/>
          <w:i/>
          <w:iCs/>
          <w:lang w:val="es-ES" w:eastAsia="en-US"/>
        </w:rPr>
      </w:pPr>
      <w:r w:rsidRPr="00F41FA9">
        <w:rPr>
          <w:rFonts w:eastAsia="Calibri" w:cs="Tahoma"/>
          <w:i/>
          <w:iCs/>
          <w:lang w:val="es-ES" w:eastAsia="en-US"/>
        </w:rPr>
        <w:t xml:space="preserve">III. Señalar las personas o instancias autorizadas a acceder a la información clasificada. </w:t>
      </w:r>
    </w:p>
    <w:p w14:paraId="7A21E6B3" w14:textId="363C337B" w:rsidR="0004148C" w:rsidRPr="00F41FA9" w:rsidRDefault="0004148C" w:rsidP="0004148C">
      <w:pPr>
        <w:spacing w:after="0" w:line="360" w:lineRule="auto"/>
        <w:ind w:left="567" w:right="567"/>
        <w:rPr>
          <w:rFonts w:eastAsia="Calibri" w:cs="Tahoma"/>
          <w:i/>
          <w:iCs/>
          <w:lang w:val="es-ES" w:eastAsia="en-US"/>
        </w:rPr>
      </w:pPr>
      <w:r w:rsidRPr="00F41FA9">
        <w:rPr>
          <w:rFonts w:eastAsia="Calibri" w:cs="Tahoma"/>
          <w:i/>
          <w:iCs/>
          <w:lang w:val="es-ES" w:eastAsia="en-US"/>
        </w:rPr>
        <w:t>En los documentos de difusión electrónica, señalar en la primera hoja y en el nombre del archivo, que la versión pública corresponde a un documento que contiene información confidencial.</w:t>
      </w:r>
    </w:p>
    <w:p w14:paraId="5C270C2D" w14:textId="77777777" w:rsidR="00E814DE" w:rsidRPr="00F41FA9" w:rsidRDefault="00E814DE" w:rsidP="00B171A6">
      <w:pPr>
        <w:spacing w:after="0" w:line="360" w:lineRule="auto"/>
        <w:rPr>
          <w:rFonts w:eastAsia="Calibri" w:cs="Tahoma"/>
          <w:szCs w:val="24"/>
          <w:lang w:val="es-ES" w:eastAsia="en-US"/>
        </w:rPr>
      </w:pPr>
    </w:p>
    <w:p w14:paraId="7EBC2AC9" w14:textId="11CA3474" w:rsidR="00E814DE" w:rsidRPr="00F41FA9" w:rsidRDefault="00E814DE" w:rsidP="00B171A6">
      <w:pPr>
        <w:spacing w:after="0" w:line="360" w:lineRule="auto"/>
        <w:rPr>
          <w:rFonts w:eastAsia="Calibri" w:cs="Tahoma"/>
          <w:szCs w:val="24"/>
          <w:lang w:val="es-ES" w:eastAsia="en-US"/>
        </w:rPr>
      </w:pPr>
      <w:r w:rsidRPr="00F41FA9">
        <w:rPr>
          <w:rFonts w:eastAsia="Calibri" w:cs="Tahoma"/>
          <w:szCs w:val="24"/>
          <w:lang w:val="es-ES" w:eastAsia="en-US"/>
        </w:rPr>
        <w:t>Además, se entregó tanto en respuesta como en informe justificado el cuadro de clasificación, que contempla los datos personales que fueron eliminados de las versiones públicas, lo que resulta el medio suficiente para dar sustento a dichos documentos.</w:t>
      </w:r>
    </w:p>
    <w:p w14:paraId="7B8D0F14" w14:textId="77777777" w:rsidR="00E814DE" w:rsidRPr="00F41FA9" w:rsidRDefault="00E814DE" w:rsidP="00B171A6">
      <w:pPr>
        <w:spacing w:after="0" w:line="360" w:lineRule="auto"/>
        <w:rPr>
          <w:rFonts w:eastAsia="Calibri" w:cs="Tahoma"/>
          <w:szCs w:val="24"/>
          <w:lang w:val="es-ES" w:eastAsia="en-US"/>
        </w:rPr>
      </w:pPr>
    </w:p>
    <w:p w14:paraId="282325C1" w14:textId="336B60E1" w:rsidR="00E814DE" w:rsidRPr="00F41FA9" w:rsidRDefault="00E814DE" w:rsidP="00B171A6">
      <w:pPr>
        <w:spacing w:after="0" w:line="360" w:lineRule="auto"/>
        <w:rPr>
          <w:rFonts w:eastAsia="Calibri" w:cs="Tahoma"/>
          <w:szCs w:val="24"/>
          <w:lang w:val="es-ES" w:eastAsia="en-US"/>
        </w:rPr>
      </w:pPr>
      <w:r w:rsidRPr="00F41FA9">
        <w:rPr>
          <w:rFonts w:eastAsia="Calibri" w:cs="Tahoma"/>
          <w:szCs w:val="24"/>
          <w:lang w:val="es-ES" w:eastAsia="en-US"/>
        </w:rPr>
        <w:t>Por ello, se considera que no es atendible este punto</w:t>
      </w:r>
      <w:r w:rsidR="0004148C" w:rsidRPr="00F41FA9">
        <w:rPr>
          <w:rFonts w:eastAsia="Calibri" w:cs="Tahoma"/>
          <w:szCs w:val="24"/>
          <w:lang w:val="es-ES" w:eastAsia="en-US"/>
        </w:rPr>
        <w:t>, pues se entregó de manera correcta desde la respuesta.</w:t>
      </w:r>
    </w:p>
    <w:p w14:paraId="0FBE8BB1" w14:textId="77777777" w:rsidR="005B04A8" w:rsidRPr="00F41FA9" w:rsidRDefault="005B04A8" w:rsidP="00B171A6">
      <w:pPr>
        <w:spacing w:after="0" w:line="360" w:lineRule="auto"/>
        <w:rPr>
          <w:rFonts w:eastAsia="Calibri" w:cs="Tahoma"/>
          <w:szCs w:val="24"/>
          <w:lang w:val="es-ES" w:eastAsia="en-US"/>
        </w:rPr>
      </w:pPr>
    </w:p>
    <w:p w14:paraId="5F3B5081" w14:textId="77777777" w:rsidR="00B171A6" w:rsidRPr="00F41FA9" w:rsidRDefault="00B171A6" w:rsidP="00B171A6">
      <w:pPr>
        <w:spacing w:after="0" w:line="360" w:lineRule="auto"/>
        <w:rPr>
          <w:rFonts w:eastAsia="Calibri" w:cs="Tahoma"/>
          <w:szCs w:val="24"/>
          <w:lang w:val="es-ES" w:eastAsia="en-US"/>
        </w:rPr>
      </w:pPr>
      <w:r w:rsidRPr="00F41FA9">
        <w:rPr>
          <w:rFonts w:eastAsia="Calibri" w:cs="Tahoma"/>
          <w:szCs w:val="24"/>
          <w:lang w:val="es-ES" w:eastAsia="en-US"/>
        </w:rPr>
        <w:lastRenderedPageBreak/>
        <w:t>En este orden de ideas, el Sujeto Obligado, a través de informe justificado, modificó su respuesta, de tal manera que agotó todos los puntos de inconformidad y dejó sin materia el presente medio de impugnación.</w:t>
      </w:r>
    </w:p>
    <w:p w14:paraId="018C45D3" w14:textId="77777777" w:rsidR="00B171A6" w:rsidRPr="00F41FA9" w:rsidRDefault="00B171A6" w:rsidP="00B171A6">
      <w:pPr>
        <w:spacing w:after="0" w:line="360" w:lineRule="auto"/>
        <w:rPr>
          <w:rFonts w:eastAsia="Calibri" w:cs="Tahoma"/>
          <w:szCs w:val="24"/>
          <w:lang w:val="es-ES" w:eastAsia="en-US"/>
        </w:rPr>
      </w:pPr>
    </w:p>
    <w:p w14:paraId="7D5F64C6" w14:textId="77777777" w:rsidR="00B171A6" w:rsidRPr="00F41FA9" w:rsidRDefault="00B171A6" w:rsidP="00B171A6">
      <w:pPr>
        <w:spacing w:after="0" w:line="360" w:lineRule="auto"/>
        <w:rPr>
          <w:rFonts w:eastAsia="Calibri" w:cs="Tahoma"/>
          <w:szCs w:val="24"/>
          <w:lang w:val="es-ES" w:eastAsia="en-US"/>
        </w:rPr>
      </w:pPr>
      <w:r w:rsidRPr="00F41FA9">
        <w:rPr>
          <w:rFonts w:eastAsia="Calibri" w:cs="Tahoma"/>
          <w:szCs w:val="24"/>
          <w:lang w:val="es-ES" w:eastAsia="en-US"/>
        </w:rPr>
        <w:t xml:space="preserve">Por lo cual, se actualiza la causal de sobreseimiento contemplada en el artículo 192, fracción III de la Ley de Transparencia y Acceso a la Información Pública del Estado de México y Municipios, que contempla: </w:t>
      </w:r>
    </w:p>
    <w:p w14:paraId="4FA9F7D1" w14:textId="77777777" w:rsidR="00B171A6" w:rsidRPr="00F41FA9" w:rsidRDefault="00B171A6" w:rsidP="00B171A6">
      <w:pPr>
        <w:spacing w:after="0" w:line="360" w:lineRule="auto"/>
        <w:rPr>
          <w:rFonts w:eastAsia="Calibri" w:cs="Tahoma"/>
          <w:szCs w:val="24"/>
          <w:lang w:val="es-ES" w:eastAsia="en-US"/>
        </w:rPr>
      </w:pPr>
    </w:p>
    <w:p w14:paraId="4694E3EB" w14:textId="77777777" w:rsidR="00B171A6" w:rsidRPr="00F41FA9" w:rsidRDefault="00B171A6" w:rsidP="00B171A6">
      <w:pPr>
        <w:tabs>
          <w:tab w:val="left" w:pos="4667"/>
        </w:tabs>
        <w:spacing w:after="0" w:line="360" w:lineRule="auto"/>
        <w:ind w:left="567" w:right="567"/>
        <w:rPr>
          <w:rFonts w:cs="Tahoma"/>
          <w:bCs/>
          <w:i/>
        </w:rPr>
      </w:pPr>
      <w:r w:rsidRPr="00F41FA9">
        <w:rPr>
          <w:rFonts w:cs="Tahoma"/>
          <w:bCs/>
          <w:i/>
        </w:rPr>
        <w:t xml:space="preserve">Artículo 192. El recurso será sobreseído, en todo o en parte, cuando una vez admitido, se actualicen alguno de los siguientes supuestos: </w:t>
      </w:r>
    </w:p>
    <w:p w14:paraId="58F883CA" w14:textId="77777777" w:rsidR="00B171A6" w:rsidRPr="00F41FA9" w:rsidRDefault="00B171A6" w:rsidP="00B171A6">
      <w:pPr>
        <w:tabs>
          <w:tab w:val="left" w:pos="4667"/>
        </w:tabs>
        <w:spacing w:after="0" w:line="360" w:lineRule="auto"/>
        <w:ind w:left="567" w:right="567"/>
        <w:rPr>
          <w:rFonts w:cs="Tahoma"/>
          <w:bCs/>
          <w:i/>
        </w:rPr>
      </w:pPr>
      <w:r w:rsidRPr="00F41FA9">
        <w:rPr>
          <w:rFonts w:cs="Tahoma"/>
          <w:bCs/>
          <w:i/>
        </w:rPr>
        <w:t xml:space="preserve">I. El recurrente se desista expresamente del recurso; </w:t>
      </w:r>
    </w:p>
    <w:p w14:paraId="50E4B8EB" w14:textId="77777777" w:rsidR="00B171A6" w:rsidRPr="00F41FA9" w:rsidRDefault="00B171A6" w:rsidP="00B171A6">
      <w:pPr>
        <w:tabs>
          <w:tab w:val="left" w:pos="4667"/>
        </w:tabs>
        <w:spacing w:after="0" w:line="360" w:lineRule="auto"/>
        <w:ind w:left="567" w:right="567"/>
        <w:rPr>
          <w:rFonts w:cs="Tahoma"/>
          <w:bCs/>
          <w:i/>
        </w:rPr>
      </w:pPr>
      <w:r w:rsidRPr="00F41FA9">
        <w:rPr>
          <w:rFonts w:cs="Tahoma"/>
          <w:bCs/>
          <w:i/>
        </w:rPr>
        <w:t xml:space="preserve">II. El recurrente fallezca o, tratándose de personas jurídicas colectivas, se disuelva; </w:t>
      </w:r>
    </w:p>
    <w:p w14:paraId="7196F5B8" w14:textId="77777777" w:rsidR="00B171A6" w:rsidRPr="00F41FA9" w:rsidRDefault="00B171A6" w:rsidP="00B171A6">
      <w:pPr>
        <w:tabs>
          <w:tab w:val="left" w:pos="4667"/>
        </w:tabs>
        <w:spacing w:after="0" w:line="360" w:lineRule="auto"/>
        <w:ind w:left="567" w:right="567"/>
        <w:rPr>
          <w:rFonts w:cs="Tahoma"/>
          <w:b/>
          <w:i/>
        </w:rPr>
      </w:pPr>
      <w:r w:rsidRPr="00F41FA9">
        <w:rPr>
          <w:rFonts w:cs="Tahoma"/>
          <w:b/>
          <w:i/>
        </w:rPr>
        <w:t xml:space="preserve">III. El sujeto obligado responsable del acto lo modifique o revoque de tal manera que el recurso de revisión quede sin materia; </w:t>
      </w:r>
    </w:p>
    <w:p w14:paraId="475D98B1" w14:textId="77777777" w:rsidR="00B171A6" w:rsidRPr="00F41FA9" w:rsidRDefault="00B171A6" w:rsidP="00B171A6">
      <w:pPr>
        <w:tabs>
          <w:tab w:val="left" w:pos="4667"/>
        </w:tabs>
        <w:spacing w:after="0" w:line="360" w:lineRule="auto"/>
        <w:ind w:left="567" w:right="567"/>
        <w:rPr>
          <w:rFonts w:cs="Tahoma"/>
          <w:bCs/>
          <w:i/>
        </w:rPr>
      </w:pPr>
      <w:r w:rsidRPr="00F41FA9">
        <w:rPr>
          <w:rFonts w:cs="Tahoma"/>
          <w:bCs/>
          <w:i/>
        </w:rPr>
        <w:t xml:space="preserve">IV. Admitido el recurso de revisión, aparezca alguna causal de improcedencia en los términos de la presente Ley; y </w:t>
      </w:r>
    </w:p>
    <w:p w14:paraId="6CB79A16" w14:textId="77777777" w:rsidR="00B171A6" w:rsidRPr="00F41FA9" w:rsidRDefault="00B171A6" w:rsidP="00B171A6">
      <w:pPr>
        <w:tabs>
          <w:tab w:val="left" w:pos="4667"/>
        </w:tabs>
        <w:spacing w:after="0" w:line="360" w:lineRule="auto"/>
        <w:ind w:left="567" w:right="567"/>
        <w:rPr>
          <w:rFonts w:cs="Tahoma"/>
          <w:bCs/>
          <w:i/>
        </w:rPr>
      </w:pPr>
      <w:r w:rsidRPr="00F41FA9">
        <w:rPr>
          <w:rFonts w:cs="Tahoma"/>
          <w:bCs/>
          <w:i/>
        </w:rPr>
        <w:t>V. Cuando por cualquier motivo quede sin materia el recurso.</w:t>
      </w:r>
    </w:p>
    <w:p w14:paraId="5A9F2B63" w14:textId="77777777" w:rsidR="00B171A6" w:rsidRPr="00F41FA9" w:rsidRDefault="00B171A6" w:rsidP="00B171A6">
      <w:pPr>
        <w:spacing w:after="0" w:line="360" w:lineRule="auto"/>
        <w:contextualSpacing/>
        <w:rPr>
          <w:rFonts w:cs="Tahoma"/>
          <w:b/>
        </w:rPr>
      </w:pPr>
    </w:p>
    <w:p w14:paraId="2750564C" w14:textId="77777777" w:rsidR="00B171A6" w:rsidRPr="00F41FA9" w:rsidRDefault="00B171A6" w:rsidP="00B171A6">
      <w:pPr>
        <w:spacing w:after="0" w:line="360" w:lineRule="auto"/>
        <w:rPr>
          <w:rFonts w:eastAsia="Calibri" w:cs="Tahoma"/>
          <w:szCs w:val="24"/>
          <w:lang w:val="es-ES" w:eastAsia="en-US"/>
        </w:rPr>
      </w:pPr>
      <w:r w:rsidRPr="00F41FA9">
        <w:rPr>
          <w:rFonts w:eastAsia="Calibri" w:cs="Tahoma"/>
          <w:szCs w:val="24"/>
          <w:lang w:val="es-ES" w:eastAsia="en-US"/>
        </w:rPr>
        <w:t>Así, toda vez que el Sujeto Obligado, modificó su respuesta y se pronunció el Servidor Público Habilitado, competente de tal manera, que dejó sin materia el presente medio de impugnación, lo procedente es sobreseer el presente Recurso de Revisión.</w:t>
      </w:r>
    </w:p>
    <w:p w14:paraId="500B7993" w14:textId="77777777" w:rsidR="00B171A6" w:rsidRPr="00F41FA9" w:rsidRDefault="00B171A6" w:rsidP="00B171A6">
      <w:pPr>
        <w:spacing w:after="0" w:line="360" w:lineRule="auto"/>
        <w:contextualSpacing/>
        <w:rPr>
          <w:rFonts w:cs="Tahoma"/>
          <w:b/>
        </w:rPr>
      </w:pPr>
    </w:p>
    <w:p w14:paraId="6343DFAE" w14:textId="047CAE9F" w:rsidR="00B171A6" w:rsidRPr="00F41FA9" w:rsidRDefault="00B171A6" w:rsidP="0004148C">
      <w:pPr>
        <w:pStyle w:val="Ttulo2"/>
      </w:pPr>
      <w:bookmarkStart w:id="16" w:name="_Toc184209298"/>
      <w:r w:rsidRPr="00F41FA9">
        <w:t>CUARTO.  Decisión</w:t>
      </w:r>
      <w:bookmarkEnd w:id="16"/>
    </w:p>
    <w:p w14:paraId="3DE909E7" w14:textId="77777777" w:rsidR="00B171A6" w:rsidRPr="00F41FA9" w:rsidRDefault="00B171A6" w:rsidP="00B171A6">
      <w:pPr>
        <w:spacing w:after="0" w:line="360" w:lineRule="auto"/>
        <w:contextualSpacing/>
        <w:rPr>
          <w:rFonts w:cs="Tahoma"/>
          <w:b/>
        </w:rPr>
      </w:pPr>
    </w:p>
    <w:p w14:paraId="302DA7C7" w14:textId="28801AEC" w:rsidR="00B171A6" w:rsidRPr="00F41FA9" w:rsidRDefault="00B171A6" w:rsidP="00B171A6">
      <w:pPr>
        <w:spacing w:after="0" w:line="360" w:lineRule="auto"/>
        <w:ind w:right="-93"/>
      </w:pPr>
      <w:r w:rsidRPr="00F41FA9">
        <w:t xml:space="preserve">Con fundamento en el artículo 186, fracción I, de la Ley de Transparencia y Acceso a la Información Pública del Estado de México y Municipios, este Instituto considera procedente </w:t>
      </w:r>
      <w:r w:rsidRPr="00F41FA9">
        <w:rPr>
          <w:b/>
        </w:rPr>
        <w:lastRenderedPageBreak/>
        <w:t xml:space="preserve">SOBRESEER </w:t>
      </w:r>
      <w:r w:rsidRPr="00F41FA9">
        <w:t xml:space="preserve">el medio de impugnación que nos ocupa, en virtud </w:t>
      </w:r>
      <w:r w:rsidR="0004148C" w:rsidRPr="00F41FA9">
        <w:t>del</w:t>
      </w:r>
      <w:r w:rsidRPr="00F41FA9">
        <w:t xml:space="preserve"> Sujeto Obligado, modificó su respuesta, de tal manera, que quedó sin materia el presente asunto. </w:t>
      </w:r>
    </w:p>
    <w:p w14:paraId="628A545C" w14:textId="77777777" w:rsidR="00B171A6" w:rsidRPr="00F41FA9" w:rsidRDefault="00B171A6" w:rsidP="00B171A6">
      <w:pPr>
        <w:autoSpaceDE w:val="0"/>
        <w:autoSpaceDN w:val="0"/>
        <w:adjustRightInd w:val="0"/>
        <w:spacing w:after="0" w:line="360" w:lineRule="auto"/>
        <w:contextualSpacing/>
        <w:rPr>
          <w:rFonts w:cs="Arial"/>
        </w:rPr>
      </w:pPr>
    </w:p>
    <w:p w14:paraId="6FD329CE" w14:textId="77777777" w:rsidR="00B171A6" w:rsidRPr="00F41FA9" w:rsidRDefault="00B171A6" w:rsidP="00B171A6">
      <w:pPr>
        <w:autoSpaceDE w:val="0"/>
        <w:autoSpaceDN w:val="0"/>
        <w:adjustRightInd w:val="0"/>
        <w:spacing w:after="0" w:line="360" w:lineRule="auto"/>
        <w:contextualSpacing/>
        <w:rPr>
          <w:rFonts w:eastAsia="Calibri" w:cs="Tahoma"/>
          <w:b/>
          <w:bCs/>
          <w:iCs/>
          <w:u w:val="single"/>
          <w:lang w:val="es-ES" w:eastAsia="es-ES_tradnl"/>
        </w:rPr>
      </w:pPr>
      <w:r w:rsidRPr="00F41FA9">
        <w:rPr>
          <w:rFonts w:eastAsia="Calibri" w:cs="Tahoma"/>
          <w:b/>
          <w:bCs/>
          <w:iCs/>
          <w:u w:val="single"/>
          <w:lang w:val="es-ES" w:eastAsia="es-ES_tradnl"/>
        </w:rPr>
        <w:t>Términos de la Resolución para conocimiento del Particular.</w:t>
      </w:r>
    </w:p>
    <w:p w14:paraId="12F7C29E" w14:textId="77777777" w:rsidR="00B171A6" w:rsidRPr="00F41FA9" w:rsidRDefault="00B171A6" w:rsidP="00B171A6">
      <w:pPr>
        <w:spacing w:after="0" w:line="360" w:lineRule="auto"/>
        <w:contextualSpacing/>
        <w:rPr>
          <w:rFonts w:eastAsia="Calibri" w:cs="Tahoma"/>
          <w:b/>
          <w:bCs/>
          <w:iCs/>
          <w:u w:val="single"/>
          <w:lang w:val="es-ES" w:eastAsia="es-ES_tradnl"/>
        </w:rPr>
      </w:pPr>
    </w:p>
    <w:p w14:paraId="45F1E7C3" w14:textId="23883034" w:rsidR="00B171A6" w:rsidRPr="00F41FA9" w:rsidRDefault="00B171A6" w:rsidP="00B171A6">
      <w:pPr>
        <w:spacing w:after="0" w:line="360" w:lineRule="auto"/>
        <w:contextualSpacing/>
        <w:rPr>
          <w:rFonts w:eastAsia="Calibri" w:cs="Tahoma"/>
          <w:b/>
          <w:iCs/>
          <w:lang w:val="es-ES" w:eastAsia="es-ES_tradnl"/>
        </w:rPr>
      </w:pPr>
      <w:r w:rsidRPr="00F41FA9">
        <w:rPr>
          <w:rFonts w:eastAsia="Calibri" w:cs="Tahoma"/>
          <w:iCs/>
          <w:lang w:val="es-ES" w:eastAsia="es-ES_tradnl"/>
        </w:rPr>
        <w:t xml:space="preserve">Este Instituto Garante determinó </w:t>
      </w:r>
      <w:r w:rsidRPr="00F41FA9">
        <w:rPr>
          <w:rFonts w:eastAsia="Calibri" w:cs="Tahoma"/>
          <w:b/>
          <w:iCs/>
          <w:lang w:val="es-ES" w:eastAsia="es-ES_tradnl"/>
        </w:rPr>
        <w:t xml:space="preserve">sobreseer </w:t>
      </w:r>
      <w:r w:rsidRPr="00F41FA9">
        <w:rPr>
          <w:rFonts w:eastAsia="Calibri" w:cs="Tahoma"/>
          <w:bCs/>
          <w:iCs/>
          <w:lang w:val="es-ES" w:eastAsia="es-ES_tradnl"/>
        </w:rPr>
        <w:t xml:space="preserve">el Recurso de Revisión que interpuso, en virtud que el Sujeto Obligado, modificó su respuesta, al </w:t>
      </w:r>
      <w:r w:rsidR="0004148C" w:rsidRPr="00F41FA9">
        <w:rPr>
          <w:rFonts w:eastAsia="Calibri" w:cs="Tahoma"/>
          <w:bCs/>
          <w:iCs/>
          <w:lang w:val="es-ES" w:eastAsia="es-ES_tradnl"/>
        </w:rPr>
        <w:t>entregar los acuerdos de clasificación, que sustentan tanto la versión pública, como la notificación por estrados, que se relaciona con los expedientes solicitados.</w:t>
      </w:r>
    </w:p>
    <w:p w14:paraId="6C54FECD" w14:textId="77777777" w:rsidR="00B171A6" w:rsidRPr="00F41FA9" w:rsidRDefault="00B171A6" w:rsidP="00B171A6">
      <w:pPr>
        <w:spacing w:after="0" w:line="360" w:lineRule="auto"/>
        <w:contextualSpacing/>
        <w:rPr>
          <w:rFonts w:eastAsia="Calibri" w:cs="Tahoma"/>
          <w:b/>
          <w:iCs/>
          <w:lang w:val="es-ES" w:eastAsia="es-ES_tradnl"/>
        </w:rPr>
      </w:pPr>
    </w:p>
    <w:p w14:paraId="13BFEBF2" w14:textId="77777777" w:rsidR="00B171A6" w:rsidRPr="00F41FA9" w:rsidRDefault="00B171A6" w:rsidP="00B171A6">
      <w:pPr>
        <w:spacing w:after="0" w:line="360" w:lineRule="auto"/>
        <w:contextualSpacing/>
        <w:rPr>
          <w:rFonts w:eastAsia="Calibri" w:cs="Tahoma"/>
          <w:b/>
          <w:bCs/>
          <w:iCs/>
          <w:u w:val="single"/>
          <w:lang w:val="es-ES" w:eastAsia="es-ES_tradnl"/>
        </w:rPr>
      </w:pPr>
      <w:r w:rsidRPr="00F41FA9">
        <w:rPr>
          <w:rFonts w:eastAsia="Calibri" w:cs="Tahoma"/>
          <w:iCs/>
          <w:lang w:val="es-ES" w:eastAsia="es-ES_tradnl"/>
        </w:rPr>
        <w:t xml:space="preserve">La labor del Instituto de Transparencia Acceso a la Información Pública y Protección de Datos Personales del Estado de México y Municipios es apoyar a la población </w:t>
      </w:r>
      <w:r w:rsidRPr="00F41FA9">
        <w:rPr>
          <w:rFonts w:eastAsia="Calibri" w:cs="Tahoma"/>
          <w:iCs/>
          <w:u w:val="single"/>
          <w:lang w:val="es-ES" w:eastAsia="es-ES_tradnl"/>
        </w:rPr>
        <w:t>para acceder a la información pública y garantizar la protección de sus datos personales.</w:t>
      </w:r>
    </w:p>
    <w:p w14:paraId="44CB64ED" w14:textId="77777777" w:rsidR="00B171A6" w:rsidRPr="00F41FA9" w:rsidRDefault="00B171A6" w:rsidP="00B171A6">
      <w:pPr>
        <w:autoSpaceDE w:val="0"/>
        <w:autoSpaceDN w:val="0"/>
        <w:adjustRightInd w:val="0"/>
        <w:spacing w:after="0" w:line="360" w:lineRule="auto"/>
        <w:contextualSpacing/>
        <w:rPr>
          <w:rFonts w:eastAsia="Calibri" w:cs="Tahoma"/>
          <w:b/>
          <w:bCs/>
          <w:iCs/>
          <w:lang w:eastAsia="en-US"/>
        </w:rPr>
      </w:pPr>
    </w:p>
    <w:p w14:paraId="49EBB2E9" w14:textId="77777777" w:rsidR="00B171A6" w:rsidRPr="00F41FA9" w:rsidRDefault="00B171A6" w:rsidP="00B171A6">
      <w:pPr>
        <w:autoSpaceDE w:val="0"/>
        <w:autoSpaceDN w:val="0"/>
        <w:adjustRightInd w:val="0"/>
        <w:spacing w:after="0" w:line="360" w:lineRule="auto"/>
        <w:contextualSpacing/>
        <w:rPr>
          <w:rFonts w:eastAsia="Calibri" w:cs="Tahoma"/>
          <w:bCs/>
          <w:iCs/>
          <w:lang w:eastAsia="en-US"/>
        </w:rPr>
      </w:pPr>
      <w:r w:rsidRPr="00F41FA9">
        <w:rPr>
          <w:rFonts w:eastAsia="Calibri" w:cs="Tahoma"/>
          <w:bCs/>
          <w:iCs/>
          <w:lang w:eastAsia="en-US"/>
        </w:rPr>
        <w:t>Por lo expuesto y fundado, este Pleno:</w:t>
      </w:r>
    </w:p>
    <w:p w14:paraId="723B742D" w14:textId="77777777" w:rsidR="00B171A6" w:rsidRPr="00F41FA9" w:rsidRDefault="00B171A6" w:rsidP="00B171A6">
      <w:pPr>
        <w:autoSpaceDE w:val="0"/>
        <w:autoSpaceDN w:val="0"/>
        <w:adjustRightInd w:val="0"/>
        <w:spacing w:after="0" w:line="360" w:lineRule="auto"/>
        <w:contextualSpacing/>
        <w:rPr>
          <w:rFonts w:eastAsia="Calibri" w:cs="Tahoma"/>
          <w:bCs/>
          <w:iCs/>
          <w:lang w:eastAsia="en-US"/>
        </w:rPr>
      </w:pPr>
    </w:p>
    <w:p w14:paraId="6DE4D2E3" w14:textId="3E43ACAE" w:rsidR="00B171A6" w:rsidRPr="00F41FA9" w:rsidRDefault="00B171A6" w:rsidP="0004148C">
      <w:pPr>
        <w:pStyle w:val="Ttulo1"/>
        <w:rPr>
          <w:rFonts w:eastAsia="Palatino Linotype"/>
        </w:rPr>
      </w:pPr>
      <w:bookmarkStart w:id="17" w:name="_Toc184209299"/>
      <w:r w:rsidRPr="00F41FA9">
        <w:rPr>
          <w:rFonts w:eastAsia="Palatino Linotype"/>
        </w:rPr>
        <w:t>RESUELVE</w:t>
      </w:r>
      <w:bookmarkEnd w:id="17"/>
    </w:p>
    <w:p w14:paraId="7E7B4812" w14:textId="77777777" w:rsidR="00B171A6" w:rsidRPr="00F41FA9" w:rsidRDefault="00B171A6" w:rsidP="00B171A6">
      <w:pPr>
        <w:spacing w:after="0" w:line="360" w:lineRule="auto"/>
        <w:ind w:right="-91"/>
        <w:jc w:val="center"/>
        <w:rPr>
          <w:rFonts w:eastAsia="Calibri" w:cs="Tahoma"/>
          <w:bCs/>
          <w:iCs/>
          <w:lang w:eastAsia="en-US"/>
        </w:rPr>
      </w:pPr>
    </w:p>
    <w:p w14:paraId="5A88D33F" w14:textId="29CDF837" w:rsidR="00B171A6" w:rsidRPr="00F41FA9" w:rsidRDefault="00B171A6" w:rsidP="00B171A6">
      <w:pPr>
        <w:spacing w:after="0" w:line="360" w:lineRule="auto"/>
        <w:rPr>
          <w:rFonts w:cs="Tahoma"/>
          <w:szCs w:val="24"/>
        </w:rPr>
      </w:pPr>
      <w:r w:rsidRPr="00F41FA9">
        <w:rPr>
          <w:rFonts w:eastAsia="Calibri" w:cs="Tahoma"/>
          <w:b/>
          <w:bCs/>
          <w:lang w:eastAsia="en-US"/>
        </w:rPr>
        <w:t xml:space="preserve">PRIMERO. </w:t>
      </w:r>
      <w:r w:rsidRPr="00F41FA9">
        <w:rPr>
          <w:rFonts w:eastAsia="Calibri" w:cs="Tahoma"/>
          <w:bCs/>
          <w:lang w:eastAsia="en-US"/>
        </w:rPr>
        <w:t xml:space="preserve">Se </w:t>
      </w:r>
      <w:r w:rsidRPr="00F41FA9">
        <w:rPr>
          <w:rFonts w:eastAsia="Calibri" w:cs="Tahoma"/>
          <w:b/>
          <w:bCs/>
          <w:lang w:eastAsia="en-US"/>
        </w:rPr>
        <w:t xml:space="preserve">SOBRESEE </w:t>
      </w:r>
      <w:r w:rsidRPr="00F41FA9">
        <w:rPr>
          <w:rFonts w:eastAsia="Calibri" w:cs="Tahoma"/>
          <w:bCs/>
          <w:lang w:eastAsia="en-US"/>
        </w:rPr>
        <w:t xml:space="preserve">el Recurso de Revisión </w:t>
      </w:r>
      <w:r w:rsidR="0004148C" w:rsidRPr="00F41FA9">
        <w:rPr>
          <w:rFonts w:cs="Tahoma"/>
          <w:b/>
          <w:bCs/>
          <w:color w:val="0D0D0D" w:themeColor="text1" w:themeTint="F2"/>
        </w:rPr>
        <w:t>05006</w:t>
      </w:r>
      <w:r w:rsidRPr="00F41FA9">
        <w:rPr>
          <w:rFonts w:cs="Tahoma"/>
          <w:b/>
          <w:bCs/>
          <w:color w:val="0D0D0D" w:themeColor="text1" w:themeTint="F2"/>
        </w:rPr>
        <w:t>/INFOEM/IP/RR/</w:t>
      </w:r>
      <w:r w:rsidR="0004148C" w:rsidRPr="00F41FA9">
        <w:rPr>
          <w:rFonts w:cs="Tahoma"/>
          <w:b/>
          <w:bCs/>
          <w:color w:val="0D0D0D" w:themeColor="text1" w:themeTint="F2"/>
        </w:rPr>
        <w:t>2024</w:t>
      </w:r>
      <w:r w:rsidRPr="00F41FA9">
        <w:t xml:space="preserve">, </w:t>
      </w:r>
      <w:r w:rsidRPr="00F41FA9">
        <w:rPr>
          <w:rFonts w:cs="Arial"/>
        </w:rPr>
        <w:t xml:space="preserve">en términos del artículo 192, fracción III, de la Ley de Transparencia y Acceso a la Información Pública del Estado de México y Municipios, </w:t>
      </w:r>
      <w:r w:rsidR="006944A7" w:rsidRPr="00F41FA9">
        <w:rPr>
          <w:rFonts w:cs="Arial"/>
        </w:rPr>
        <w:t xml:space="preserve">porque al modificar la respuesta el medio de impugnación quedó sin materia, </w:t>
      </w:r>
      <w:r w:rsidRPr="00F41FA9">
        <w:rPr>
          <w:rFonts w:cs="Tahoma"/>
          <w:szCs w:val="24"/>
        </w:rPr>
        <w:t>de conformidad con los Considerandos TERCERO y CUARTO de la presente Resolución</w:t>
      </w:r>
      <w:r w:rsidR="006944A7" w:rsidRPr="00F41FA9">
        <w:rPr>
          <w:rFonts w:cs="Tahoma"/>
          <w:szCs w:val="24"/>
        </w:rPr>
        <w:t>.</w:t>
      </w:r>
    </w:p>
    <w:p w14:paraId="4E1D09B4" w14:textId="77777777" w:rsidR="00B171A6" w:rsidRPr="00F41FA9" w:rsidRDefault="00B171A6" w:rsidP="00B171A6">
      <w:pPr>
        <w:spacing w:after="0" w:line="360" w:lineRule="auto"/>
        <w:rPr>
          <w:rFonts w:cs="Arial"/>
        </w:rPr>
      </w:pPr>
    </w:p>
    <w:p w14:paraId="4B0A14DC" w14:textId="3CB9638A" w:rsidR="00B171A6" w:rsidRPr="00F41FA9" w:rsidRDefault="00B171A6" w:rsidP="00B171A6">
      <w:pPr>
        <w:spacing w:after="0" w:line="360" w:lineRule="auto"/>
        <w:contextualSpacing/>
        <w:rPr>
          <w:rFonts w:cs="Arial"/>
        </w:rPr>
      </w:pPr>
      <w:r w:rsidRPr="00F41FA9">
        <w:rPr>
          <w:b/>
        </w:rPr>
        <w:lastRenderedPageBreak/>
        <w:t>SEGUNDO.</w:t>
      </w:r>
      <w:r w:rsidRPr="00F41FA9">
        <w:rPr>
          <w:rFonts w:cs="Arial"/>
        </w:rPr>
        <w:t xml:space="preserve"> </w:t>
      </w:r>
      <w:r w:rsidR="0004148C" w:rsidRPr="00F41FA9">
        <w:rPr>
          <w:rFonts w:cs="Arial"/>
          <w:b/>
        </w:rPr>
        <w:t>NOTIFIQUESE POR SAIMEX</w:t>
      </w:r>
      <w:r w:rsidRPr="00F41FA9">
        <w:rPr>
          <w:rFonts w:cs="Arial"/>
          <w:b/>
        </w:rPr>
        <w:t xml:space="preserve"> </w:t>
      </w:r>
      <w:r w:rsidRPr="00F41FA9">
        <w:rPr>
          <w:rFonts w:cs="Arial"/>
        </w:rPr>
        <w:t>la presente resolución</w:t>
      </w:r>
      <w:r w:rsidRPr="00F41FA9">
        <w:rPr>
          <w:rFonts w:cs="Arial"/>
          <w:b/>
        </w:rPr>
        <w:t xml:space="preserve"> </w:t>
      </w:r>
      <w:r w:rsidRPr="00F41FA9">
        <w:rPr>
          <w:rFonts w:cs="Arial"/>
        </w:rPr>
        <w:t xml:space="preserve">al Titular de la Unidad de Transparencia del </w:t>
      </w:r>
      <w:r w:rsidRPr="00F41FA9">
        <w:rPr>
          <w:rFonts w:cs="Arial"/>
          <w:bCs/>
        </w:rPr>
        <w:t>Sujeto Obligado</w:t>
      </w:r>
      <w:r w:rsidR="0004148C" w:rsidRPr="00F41FA9">
        <w:rPr>
          <w:rFonts w:cs="Arial"/>
        </w:rPr>
        <w:t>.</w:t>
      </w:r>
    </w:p>
    <w:p w14:paraId="5CCF06EC" w14:textId="77777777" w:rsidR="00B171A6" w:rsidRPr="00F41FA9" w:rsidRDefault="00B171A6" w:rsidP="00B171A6">
      <w:pPr>
        <w:spacing w:after="0" w:line="360" w:lineRule="auto"/>
        <w:contextualSpacing/>
        <w:rPr>
          <w:rFonts w:cs="Arial"/>
        </w:rPr>
      </w:pPr>
    </w:p>
    <w:p w14:paraId="0D49851F" w14:textId="1BB0CCA0" w:rsidR="00B171A6" w:rsidRPr="00F41FA9" w:rsidRDefault="00B171A6" w:rsidP="00B171A6">
      <w:pPr>
        <w:spacing w:after="0" w:line="360" w:lineRule="auto"/>
        <w:contextualSpacing/>
        <w:rPr>
          <w:rFonts w:cs="Tahoma"/>
        </w:rPr>
      </w:pPr>
      <w:r w:rsidRPr="00F41FA9">
        <w:rPr>
          <w:rFonts w:cs="Arial"/>
          <w:b/>
        </w:rPr>
        <w:t>TERCERO.</w:t>
      </w:r>
      <w:r w:rsidRPr="00F41FA9">
        <w:rPr>
          <w:rFonts w:cs="Arial"/>
        </w:rPr>
        <w:t xml:space="preserve"> </w:t>
      </w:r>
      <w:r w:rsidR="0004148C" w:rsidRPr="00F41FA9">
        <w:rPr>
          <w:rFonts w:cs="Arial"/>
          <w:b/>
        </w:rPr>
        <w:t>NOTIFIQUESE POR SAIMEX</w:t>
      </w:r>
      <w:r w:rsidRPr="00F41FA9">
        <w:rPr>
          <w:rFonts w:cs="Arial"/>
          <w:b/>
        </w:rPr>
        <w:t xml:space="preserve"> </w:t>
      </w:r>
      <w:r w:rsidRPr="00F41FA9">
        <w:rPr>
          <w:rFonts w:cs="Arial"/>
        </w:rPr>
        <w:t>la presente resolución</w:t>
      </w:r>
      <w:r w:rsidRPr="00F41FA9">
        <w:rPr>
          <w:rFonts w:cs="Arial"/>
          <w:b/>
        </w:rPr>
        <w:t xml:space="preserve"> </w:t>
      </w:r>
      <w:r w:rsidRPr="00F41FA9">
        <w:rPr>
          <w:rFonts w:cs="Arial"/>
        </w:rPr>
        <w:t xml:space="preserve">al Recurrente, </w:t>
      </w:r>
      <w:r w:rsidRPr="00F41FA9">
        <w:rPr>
          <w:rFonts w:cs="Tahoma"/>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884B3A0" w14:textId="77777777" w:rsidR="00B171A6" w:rsidRPr="00F41FA9" w:rsidRDefault="00B171A6" w:rsidP="00B171A6">
      <w:pPr>
        <w:spacing w:after="0" w:line="360" w:lineRule="auto"/>
        <w:ind w:right="-93"/>
        <w:rPr>
          <w:rFonts w:cs="Tahoma"/>
          <w:b/>
          <w:bCs/>
        </w:rPr>
      </w:pPr>
    </w:p>
    <w:p w14:paraId="75EBF842" w14:textId="77777777" w:rsidR="00B171A6" w:rsidRPr="00F41FA9" w:rsidRDefault="00B171A6" w:rsidP="00B171A6">
      <w:pPr>
        <w:spacing w:after="0" w:line="360" w:lineRule="auto"/>
        <w:ind w:right="-93"/>
        <w:rPr>
          <w:rFonts w:eastAsia="Calibri" w:cs="Tahoma"/>
          <w:bCs/>
          <w:lang w:val="es-ES_tradnl" w:eastAsia="en-US"/>
        </w:rPr>
      </w:pPr>
      <w:r w:rsidRPr="00F41FA9">
        <w:rPr>
          <w:rFonts w:eastAsia="Calibri" w:cs="Tahoma"/>
          <w:bCs/>
          <w:lang w:val="es-ES_tradnl" w:eastAsia="en-US"/>
        </w:rPr>
        <w:t xml:space="preserve">ASÍ LO RESUELVE, POR </w:t>
      </w:r>
      <w:bookmarkStart w:id="18" w:name="_GoBack"/>
      <w:r w:rsidRPr="00466006">
        <w:rPr>
          <w:rFonts w:eastAsia="Calibri" w:cs="Tahoma"/>
          <w:b/>
          <w:bCs/>
          <w:lang w:val="es-ES_tradnl" w:eastAsia="en-US"/>
        </w:rPr>
        <w:t>UNANIMIDAD</w:t>
      </w:r>
      <w:bookmarkEnd w:id="18"/>
      <w:r w:rsidRPr="00F41FA9">
        <w:rPr>
          <w:rFonts w:eastAsia="Calibri" w:cs="Tahoma"/>
          <w:bCs/>
          <w:lang w:val="es-ES_tradnl" w:eastAsia="en-US"/>
        </w:rPr>
        <w:t xml:space="preserve"> DE VOTOS EL PLENO DEL INSTITUTO DE TRANSPARENCIA, ACCESO A LA INFORMACIÓN PÚBLICA Y PROTECCIÓN DE DATOS</w:t>
      </w:r>
    </w:p>
    <w:p w14:paraId="789FF4D5" w14:textId="15D5810E" w:rsidR="00B171A6" w:rsidRPr="00815A33" w:rsidRDefault="00B171A6" w:rsidP="00B171A6">
      <w:pPr>
        <w:spacing w:after="0" w:line="360" w:lineRule="auto"/>
        <w:ind w:right="-93"/>
        <w:rPr>
          <w:rFonts w:eastAsia="Calibri" w:cs="Tahoma"/>
          <w:bCs/>
          <w:lang w:val="es-ES_tradnl" w:eastAsia="en-US"/>
        </w:rPr>
      </w:pPr>
      <w:r w:rsidRPr="00F41FA9">
        <w:rPr>
          <w:rFonts w:eastAsia="Calibri" w:cs="Tahoma"/>
          <w:bCs/>
          <w:lang w:val="es-ES_tradnl" w:eastAsia="en-US"/>
        </w:rPr>
        <w:t xml:space="preserve">PERSONALES DEL ESTADO DE MÉXICO Y MUNICIPIOS, CONFORMADO POR LOS COMISIONADOS JOSÉ MARTÍNEZ VILCHIS, MARÍA DEL ROSARIO MEJÍA AYALA, SHARON CRISTINA MORALES MARTÍNEZ, LUIS GUSTAVO PARRA NORIEGA Y GUADALUPE RAMÍREZ PEÑA, EN LA </w:t>
      </w:r>
      <w:r w:rsidR="0004148C" w:rsidRPr="00F41FA9">
        <w:rPr>
          <w:rFonts w:eastAsia="Calibri" w:cs="Tahoma"/>
          <w:bCs/>
          <w:lang w:val="es-ES_tradnl" w:eastAsia="en-US"/>
        </w:rPr>
        <w:t>CUADRAGÉSIMA SEGUNDA</w:t>
      </w:r>
      <w:r w:rsidRPr="00F41FA9">
        <w:rPr>
          <w:rFonts w:eastAsia="Calibri" w:cs="Tahoma"/>
          <w:bCs/>
          <w:lang w:val="es-ES_tradnl" w:eastAsia="en-US"/>
        </w:rPr>
        <w:t xml:space="preserve"> SESIÓN ORDINARIA, CELEBRADA EL </w:t>
      </w:r>
      <w:r w:rsidR="0004148C" w:rsidRPr="00F41FA9">
        <w:rPr>
          <w:rFonts w:eastAsia="Calibri" w:cs="Tahoma"/>
          <w:bCs/>
          <w:lang w:val="es-ES_tradnl" w:eastAsia="en-US"/>
        </w:rPr>
        <w:t>CUATRO</w:t>
      </w:r>
      <w:r w:rsidRPr="00F41FA9">
        <w:rPr>
          <w:rFonts w:eastAsia="Calibri" w:cs="Tahoma"/>
          <w:bCs/>
          <w:lang w:val="es-ES_tradnl" w:eastAsia="en-US"/>
        </w:rPr>
        <w:t xml:space="preserve"> DE </w:t>
      </w:r>
      <w:r w:rsidR="0004148C" w:rsidRPr="00F41FA9">
        <w:rPr>
          <w:rFonts w:eastAsia="Calibri" w:cs="Tahoma"/>
          <w:bCs/>
          <w:lang w:val="es-ES_tradnl" w:eastAsia="en-US"/>
        </w:rPr>
        <w:t>DICIEMBRE</w:t>
      </w:r>
      <w:r w:rsidRPr="00F41FA9">
        <w:rPr>
          <w:rFonts w:eastAsia="Calibri" w:cs="Tahoma"/>
          <w:bCs/>
          <w:lang w:val="es-ES_tradnl" w:eastAsia="en-US"/>
        </w:rPr>
        <w:t xml:space="preserve"> DE DOS MIL </w:t>
      </w:r>
      <w:r w:rsidR="0004148C" w:rsidRPr="00F41FA9">
        <w:rPr>
          <w:rFonts w:eastAsia="Calibri" w:cs="Tahoma"/>
          <w:bCs/>
          <w:lang w:val="es-ES_tradnl" w:eastAsia="en-US"/>
        </w:rPr>
        <w:t>VEINTICUATRO</w:t>
      </w:r>
      <w:r w:rsidRPr="00F41FA9">
        <w:rPr>
          <w:rFonts w:eastAsia="Calibri" w:cs="Tahoma"/>
          <w:bCs/>
          <w:lang w:val="es-ES_tradnl" w:eastAsia="en-US"/>
        </w:rPr>
        <w:t>, ANTE EL SECRETARIO TÉCNICO DEL PLENO, ALEXIS TAPIA RAMÍREZ.</w:t>
      </w:r>
    </w:p>
    <w:p w14:paraId="4E2B2D59" w14:textId="77777777" w:rsidR="009302CD" w:rsidRDefault="009302CD">
      <w:pPr>
        <w:spacing w:line="360" w:lineRule="auto"/>
        <w:ind w:right="-93"/>
        <w:rPr>
          <w:color w:val="000000"/>
        </w:rPr>
      </w:pPr>
    </w:p>
    <w:p w14:paraId="4E2B2D5A" w14:textId="77777777" w:rsidR="009302CD" w:rsidRDefault="006E571C">
      <w:pPr>
        <w:jc w:val="left"/>
      </w:pPr>
      <w:r>
        <w:br w:type="page"/>
      </w:r>
    </w:p>
    <w:p w14:paraId="4E2B2D5B" w14:textId="77777777" w:rsidR="009302CD" w:rsidRDefault="009302CD">
      <w:pPr>
        <w:spacing w:after="0" w:line="360" w:lineRule="auto"/>
      </w:pPr>
    </w:p>
    <w:sectPr w:rsidR="009302CD">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52D98" w14:textId="77777777" w:rsidR="0080144A" w:rsidRDefault="0080144A">
      <w:pPr>
        <w:spacing w:after="0" w:line="240" w:lineRule="auto"/>
      </w:pPr>
      <w:r>
        <w:separator/>
      </w:r>
    </w:p>
  </w:endnote>
  <w:endnote w:type="continuationSeparator" w:id="0">
    <w:p w14:paraId="1B33EB83" w14:textId="77777777" w:rsidR="0080144A" w:rsidRDefault="0080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D"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5B170D">
      <w:rPr>
        <w:b/>
        <w:color w:val="000000"/>
        <w:sz w:val="24"/>
        <w:szCs w:val="24"/>
      </w:rPr>
      <w:fldChar w:fldCharType="separate"/>
    </w:r>
    <w:r w:rsidR="005B170D">
      <w:rPr>
        <w:b/>
        <w:noProof/>
        <w:color w:val="000000"/>
        <w:sz w:val="24"/>
        <w:szCs w:val="24"/>
      </w:rPr>
      <w:t>20</w:t>
    </w:r>
    <w:r>
      <w:rPr>
        <w:b/>
        <w:color w:val="000000"/>
        <w:sz w:val="24"/>
        <w:szCs w:val="24"/>
      </w:rPr>
      <w:fldChar w:fldCharType="end"/>
    </w:r>
  </w:p>
  <w:p w14:paraId="4E2B2D7E"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F"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170D">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170D">
      <w:rPr>
        <w:b/>
        <w:noProof/>
        <w:color w:val="000000"/>
        <w:sz w:val="24"/>
        <w:szCs w:val="24"/>
      </w:rPr>
      <w:t>20</w:t>
    </w:r>
    <w:r>
      <w:rPr>
        <w:b/>
        <w:color w:val="000000"/>
        <w:sz w:val="24"/>
        <w:szCs w:val="24"/>
      </w:rPr>
      <w:fldChar w:fldCharType="end"/>
    </w:r>
  </w:p>
  <w:p w14:paraId="4E2B2D80"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8F" w14:textId="77777777" w:rsidR="0089059B" w:rsidRDefault="008905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17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170D">
      <w:rPr>
        <w:b/>
        <w:noProof/>
        <w:color w:val="000000"/>
        <w:sz w:val="24"/>
        <w:szCs w:val="24"/>
      </w:rPr>
      <w:t>20</w:t>
    </w:r>
    <w:r>
      <w:rPr>
        <w:b/>
        <w:color w:val="000000"/>
        <w:sz w:val="24"/>
        <w:szCs w:val="24"/>
      </w:rPr>
      <w:fldChar w:fldCharType="end"/>
    </w:r>
  </w:p>
  <w:p w14:paraId="4E2B2D90" w14:textId="77777777" w:rsidR="0089059B" w:rsidRDefault="0089059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9ADC" w14:textId="77777777" w:rsidR="0080144A" w:rsidRDefault="0080144A">
      <w:pPr>
        <w:spacing w:after="0" w:line="240" w:lineRule="auto"/>
      </w:pPr>
      <w:r>
        <w:separator/>
      </w:r>
    </w:p>
  </w:footnote>
  <w:footnote w:type="continuationSeparator" w:id="0">
    <w:p w14:paraId="4083DA28" w14:textId="77777777" w:rsidR="0080144A" w:rsidRDefault="00801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66" w14:textId="77777777" w:rsidR="0089059B" w:rsidRDefault="0089059B">
    <w:pPr>
      <w:widowControl w:val="0"/>
      <w:pBdr>
        <w:top w:val="nil"/>
        <w:left w:val="nil"/>
        <w:bottom w:val="nil"/>
        <w:right w:val="nil"/>
        <w:between w:val="nil"/>
      </w:pBdr>
      <w:spacing w:after="0" w:line="276" w:lineRule="auto"/>
      <w:jc w:val="left"/>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9059B" w14:paraId="4E2B2D69" w14:textId="77777777">
      <w:trPr>
        <w:trHeight w:val="132"/>
      </w:trPr>
      <w:tc>
        <w:tcPr>
          <w:tcW w:w="2691" w:type="dxa"/>
        </w:tcPr>
        <w:p w14:paraId="4E2B2D67" w14:textId="77777777" w:rsidR="0089059B" w:rsidRDefault="0089059B">
          <w:pPr>
            <w:tabs>
              <w:tab w:val="right" w:pos="8838"/>
            </w:tabs>
            <w:ind w:right="-105"/>
            <w:rPr>
              <w:b/>
            </w:rPr>
          </w:pPr>
          <w:r>
            <w:rPr>
              <w:b/>
            </w:rPr>
            <w:t>Recurso de Revisión:</w:t>
          </w:r>
        </w:p>
      </w:tc>
      <w:tc>
        <w:tcPr>
          <w:tcW w:w="3405" w:type="dxa"/>
        </w:tcPr>
        <w:p w14:paraId="4E2B2D68" w14:textId="77777777" w:rsidR="0089059B" w:rsidRDefault="0089059B">
          <w:pPr>
            <w:tabs>
              <w:tab w:val="right" w:pos="8838"/>
            </w:tabs>
            <w:ind w:left="-28" w:right="-32"/>
          </w:pPr>
          <w:r>
            <w:t>03846/INFOEM/IP/RR/2020</w:t>
          </w:r>
        </w:p>
      </w:tc>
    </w:tr>
    <w:tr w:rsidR="0089059B" w14:paraId="4E2B2D6C" w14:textId="77777777">
      <w:trPr>
        <w:trHeight w:val="261"/>
      </w:trPr>
      <w:tc>
        <w:tcPr>
          <w:tcW w:w="2691" w:type="dxa"/>
        </w:tcPr>
        <w:p w14:paraId="4E2B2D6A" w14:textId="77777777" w:rsidR="0089059B" w:rsidRDefault="0089059B">
          <w:pPr>
            <w:tabs>
              <w:tab w:val="right" w:pos="8838"/>
            </w:tabs>
            <w:ind w:right="-105"/>
            <w:rPr>
              <w:b/>
            </w:rPr>
          </w:pPr>
          <w:r>
            <w:rPr>
              <w:b/>
            </w:rPr>
            <w:t>Sujeto Obligado:</w:t>
          </w:r>
        </w:p>
      </w:tc>
      <w:tc>
        <w:tcPr>
          <w:tcW w:w="3405" w:type="dxa"/>
        </w:tcPr>
        <w:p w14:paraId="4E2B2D6B" w14:textId="77777777" w:rsidR="0089059B" w:rsidRDefault="0089059B">
          <w:pPr>
            <w:tabs>
              <w:tab w:val="right" w:pos="8838"/>
            </w:tabs>
            <w:ind w:right="-32"/>
          </w:pPr>
          <w:r>
            <w:t>Ayuntamiento de Temascalcingo</w:t>
          </w:r>
        </w:p>
      </w:tc>
    </w:tr>
    <w:tr w:rsidR="0089059B" w14:paraId="4E2B2D6F" w14:textId="77777777">
      <w:trPr>
        <w:trHeight w:val="261"/>
      </w:trPr>
      <w:tc>
        <w:tcPr>
          <w:tcW w:w="2691" w:type="dxa"/>
        </w:tcPr>
        <w:p w14:paraId="4E2B2D6D" w14:textId="77777777" w:rsidR="0089059B" w:rsidRDefault="0089059B">
          <w:pPr>
            <w:tabs>
              <w:tab w:val="right" w:pos="8838"/>
            </w:tabs>
            <w:ind w:right="-105"/>
            <w:rPr>
              <w:b/>
            </w:rPr>
          </w:pPr>
          <w:r>
            <w:rPr>
              <w:b/>
            </w:rPr>
            <w:t>Comisionado Ponente:</w:t>
          </w:r>
        </w:p>
      </w:tc>
      <w:tc>
        <w:tcPr>
          <w:tcW w:w="3405" w:type="dxa"/>
        </w:tcPr>
        <w:p w14:paraId="4E2B2D6E" w14:textId="77777777" w:rsidR="0089059B" w:rsidRDefault="0089059B">
          <w:pPr>
            <w:tabs>
              <w:tab w:val="right" w:pos="8838"/>
            </w:tabs>
            <w:ind w:right="-32"/>
            <w:rPr>
              <w:b/>
            </w:rPr>
          </w:pPr>
          <w:r>
            <w:t>Luis Gustavo Parra Noriega</w:t>
          </w:r>
        </w:p>
      </w:tc>
    </w:tr>
  </w:tbl>
  <w:p w14:paraId="4E2B2D70" w14:textId="77777777" w:rsidR="0089059B" w:rsidRDefault="0080144A">
    <w:pPr>
      <w:pBdr>
        <w:top w:val="nil"/>
        <w:left w:val="nil"/>
        <w:bottom w:val="nil"/>
        <w:right w:val="nil"/>
        <w:between w:val="nil"/>
      </w:pBdr>
      <w:tabs>
        <w:tab w:val="center" w:pos="4419"/>
        <w:tab w:val="right" w:pos="8838"/>
      </w:tabs>
      <w:spacing w:after="0" w:line="240" w:lineRule="auto"/>
      <w:rPr>
        <w:color w:val="000000"/>
      </w:rPr>
    </w:pPr>
    <w:r>
      <w:rPr>
        <w:color w:val="000000"/>
      </w:rPr>
      <w:pict w14:anchorId="4E2B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71" w14:textId="55F78CFA" w:rsidR="0089059B" w:rsidRDefault="0080144A">
    <w:pPr>
      <w:widowControl w:val="0"/>
      <w:pBdr>
        <w:top w:val="nil"/>
        <w:left w:val="nil"/>
        <w:bottom w:val="nil"/>
        <w:right w:val="nil"/>
        <w:between w:val="nil"/>
      </w:pBdr>
      <w:spacing w:after="0" w:line="276" w:lineRule="auto"/>
      <w:jc w:val="left"/>
      <w:rPr>
        <w:color w:val="000000"/>
      </w:rPr>
    </w:pPr>
    <w:r>
      <w:rPr>
        <w:color w:val="000000"/>
      </w:rPr>
      <w:pict w14:anchorId="4E2B2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1pt;margin-top:-154.25pt;width:663.5pt;height:12in;z-index:-251659776;mso-position-horizontal-relative:margin;mso-position-vertical-relative:margin">
          <v:imagedata r:id="rId1" o:title="image2"/>
          <w10:wrap anchorx="margin" anchory="margin"/>
        </v:shape>
      </w:pict>
    </w:r>
  </w:p>
  <w:tbl>
    <w:tblPr>
      <w:tblStyle w:val="a1"/>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9059B" w14:paraId="4E2B2D74" w14:textId="77777777">
      <w:trPr>
        <w:trHeight w:val="132"/>
      </w:trPr>
      <w:tc>
        <w:tcPr>
          <w:tcW w:w="2691" w:type="dxa"/>
        </w:tcPr>
        <w:p w14:paraId="4E2B2D72" w14:textId="77777777" w:rsidR="0089059B" w:rsidRDefault="0089059B">
          <w:pPr>
            <w:tabs>
              <w:tab w:val="right" w:pos="8838"/>
            </w:tabs>
            <w:ind w:right="-105"/>
            <w:rPr>
              <w:b/>
            </w:rPr>
          </w:pPr>
          <w:r>
            <w:rPr>
              <w:b/>
            </w:rPr>
            <w:t>Recurso de Revisión:</w:t>
          </w:r>
        </w:p>
      </w:tc>
      <w:tc>
        <w:tcPr>
          <w:tcW w:w="3612" w:type="dxa"/>
        </w:tcPr>
        <w:p w14:paraId="4E2B2D73" w14:textId="5FAC7AEC" w:rsidR="0089059B" w:rsidRDefault="0089059B">
          <w:pPr>
            <w:tabs>
              <w:tab w:val="right" w:pos="8838"/>
            </w:tabs>
            <w:ind w:left="-28" w:right="-32"/>
          </w:pPr>
          <w:r>
            <w:t>0</w:t>
          </w:r>
          <w:r w:rsidR="00A40F7E">
            <w:t>5006</w:t>
          </w:r>
          <w:r w:rsidRPr="008839E3">
            <w:t>/INFOEM/IP/RR/2024</w:t>
          </w:r>
        </w:p>
      </w:tc>
    </w:tr>
    <w:tr w:rsidR="0089059B" w14:paraId="4E2B2D77" w14:textId="77777777">
      <w:trPr>
        <w:trHeight w:val="261"/>
      </w:trPr>
      <w:tc>
        <w:tcPr>
          <w:tcW w:w="2691" w:type="dxa"/>
        </w:tcPr>
        <w:p w14:paraId="4E2B2D75" w14:textId="77777777" w:rsidR="0089059B" w:rsidRDefault="0089059B">
          <w:pPr>
            <w:tabs>
              <w:tab w:val="right" w:pos="8838"/>
            </w:tabs>
            <w:ind w:right="-105"/>
            <w:rPr>
              <w:b/>
            </w:rPr>
          </w:pPr>
          <w:r>
            <w:rPr>
              <w:b/>
            </w:rPr>
            <w:t>Sujeto Obligado:</w:t>
          </w:r>
        </w:p>
      </w:tc>
      <w:tc>
        <w:tcPr>
          <w:tcW w:w="3612" w:type="dxa"/>
        </w:tcPr>
        <w:p w14:paraId="4E2B2D76" w14:textId="45E3E3FD" w:rsidR="0089059B" w:rsidRDefault="0089059B">
          <w:pPr>
            <w:tabs>
              <w:tab w:val="right" w:pos="8838"/>
            </w:tabs>
            <w:ind w:right="-32"/>
          </w:pPr>
          <w:r>
            <w:t>Instituto Electoral del Estado de México</w:t>
          </w:r>
        </w:p>
      </w:tc>
    </w:tr>
    <w:tr w:rsidR="0089059B" w14:paraId="4E2B2D7B" w14:textId="77777777">
      <w:trPr>
        <w:trHeight w:val="261"/>
      </w:trPr>
      <w:tc>
        <w:tcPr>
          <w:tcW w:w="2691" w:type="dxa"/>
        </w:tcPr>
        <w:p w14:paraId="4E2B2D78" w14:textId="77777777" w:rsidR="0089059B" w:rsidRDefault="0089059B">
          <w:pPr>
            <w:tabs>
              <w:tab w:val="right" w:pos="8838"/>
            </w:tabs>
            <w:ind w:right="-105"/>
            <w:rPr>
              <w:b/>
            </w:rPr>
          </w:pPr>
          <w:r>
            <w:rPr>
              <w:b/>
            </w:rPr>
            <w:t>Comisionado Ponente:</w:t>
          </w:r>
        </w:p>
      </w:tc>
      <w:tc>
        <w:tcPr>
          <w:tcW w:w="3612" w:type="dxa"/>
        </w:tcPr>
        <w:p w14:paraId="4E2B2D79" w14:textId="77777777" w:rsidR="0089059B" w:rsidRDefault="0089059B">
          <w:pPr>
            <w:tabs>
              <w:tab w:val="right" w:pos="8838"/>
            </w:tabs>
            <w:ind w:right="-32"/>
          </w:pPr>
          <w:r>
            <w:t>Luis Gustavo Parra Noriega</w:t>
          </w:r>
        </w:p>
        <w:p w14:paraId="4E2B2D7A" w14:textId="77777777" w:rsidR="0089059B" w:rsidRDefault="0089059B">
          <w:pPr>
            <w:tabs>
              <w:tab w:val="right" w:pos="8838"/>
            </w:tabs>
            <w:ind w:right="-32"/>
            <w:rPr>
              <w:b/>
            </w:rPr>
          </w:pPr>
        </w:p>
      </w:tc>
    </w:tr>
  </w:tbl>
  <w:p w14:paraId="4E2B2D7C" w14:textId="3D17D29C" w:rsidR="0089059B" w:rsidRDefault="0089059B">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2D81" w14:textId="77777777" w:rsidR="0089059B" w:rsidRDefault="0089059B">
    <w:pPr>
      <w:widowControl w:val="0"/>
      <w:pBdr>
        <w:top w:val="nil"/>
        <w:left w:val="nil"/>
        <w:bottom w:val="nil"/>
        <w:right w:val="nil"/>
        <w:between w:val="nil"/>
      </w:pBdr>
      <w:spacing w:after="0" w:line="276" w:lineRule="auto"/>
      <w:jc w:val="left"/>
      <w:rPr>
        <w:color w:val="000000"/>
      </w:rPr>
    </w:pPr>
  </w:p>
  <w:tbl>
    <w:tblPr>
      <w:tblStyle w:val="a2"/>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89059B" w14:paraId="4E2B2D84" w14:textId="77777777">
      <w:trPr>
        <w:trHeight w:val="132"/>
        <w:jc w:val="right"/>
      </w:trPr>
      <w:tc>
        <w:tcPr>
          <w:tcW w:w="2691" w:type="dxa"/>
        </w:tcPr>
        <w:p w14:paraId="4E2B2D82" w14:textId="77777777" w:rsidR="0089059B" w:rsidRDefault="0089059B">
          <w:pPr>
            <w:tabs>
              <w:tab w:val="right" w:pos="8838"/>
            </w:tabs>
            <w:ind w:right="-105"/>
            <w:rPr>
              <w:b/>
            </w:rPr>
          </w:pPr>
          <w:r>
            <w:rPr>
              <w:b/>
            </w:rPr>
            <w:t>Recurso de Revisión:</w:t>
          </w:r>
        </w:p>
      </w:tc>
      <w:tc>
        <w:tcPr>
          <w:tcW w:w="3612" w:type="dxa"/>
        </w:tcPr>
        <w:p w14:paraId="4E2B2D83" w14:textId="43F3B304" w:rsidR="0089059B" w:rsidRDefault="0089059B">
          <w:pPr>
            <w:tabs>
              <w:tab w:val="right" w:pos="8838"/>
            </w:tabs>
            <w:ind w:left="-28" w:right="-32"/>
          </w:pPr>
          <w:r>
            <w:t>0</w:t>
          </w:r>
          <w:r w:rsidR="00A40F7E">
            <w:t>5006</w:t>
          </w:r>
          <w:r w:rsidRPr="000120EC">
            <w:t>/INFOEM/IP/RR/2024</w:t>
          </w:r>
        </w:p>
      </w:tc>
    </w:tr>
    <w:tr w:rsidR="0089059B" w14:paraId="4E2B2D87" w14:textId="77777777">
      <w:trPr>
        <w:trHeight w:val="132"/>
        <w:jc w:val="right"/>
      </w:trPr>
      <w:tc>
        <w:tcPr>
          <w:tcW w:w="2691" w:type="dxa"/>
        </w:tcPr>
        <w:p w14:paraId="4E2B2D85" w14:textId="77777777" w:rsidR="0089059B" w:rsidRDefault="0089059B">
          <w:pPr>
            <w:tabs>
              <w:tab w:val="right" w:pos="8838"/>
            </w:tabs>
            <w:ind w:right="-105"/>
            <w:rPr>
              <w:b/>
            </w:rPr>
          </w:pPr>
          <w:r>
            <w:rPr>
              <w:b/>
            </w:rPr>
            <w:t>Recurrente:</w:t>
          </w:r>
        </w:p>
      </w:tc>
      <w:tc>
        <w:tcPr>
          <w:tcW w:w="3612" w:type="dxa"/>
        </w:tcPr>
        <w:p w14:paraId="4E2B2D86" w14:textId="0D27CB72" w:rsidR="0089059B" w:rsidRDefault="0089059B"/>
      </w:tc>
    </w:tr>
    <w:tr w:rsidR="0089059B" w14:paraId="4E2B2D8A" w14:textId="77777777">
      <w:trPr>
        <w:trHeight w:val="261"/>
        <w:jc w:val="right"/>
      </w:trPr>
      <w:tc>
        <w:tcPr>
          <w:tcW w:w="2691" w:type="dxa"/>
        </w:tcPr>
        <w:p w14:paraId="4E2B2D88" w14:textId="77777777" w:rsidR="0089059B" w:rsidRDefault="0089059B">
          <w:pPr>
            <w:tabs>
              <w:tab w:val="right" w:pos="8838"/>
            </w:tabs>
            <w:ind w:right="-105"/>
            <w:rPr>
              <w:b/>
            </w:rPr>
          </w:pPr>
          <w:r>
            <w:rPr>
              <w:b/>
            </w:rPr>
            <w:t>Sujeto Obligado:</w:t>
          </w:r>
        </w:p>
      </w:tc>
      <w:tc>
        <w:tcPr>
          <w:tcW w:w="3612" w:type="dxa"/>
        </w:tcPr>
        <w:p w14:paraId="4E2B2D89" w14:textId="1E10891E" w:rsidR="0089059B" w:rsidRDefault="0089059B">
          <w:r>
            <w:t>Instituto Electoral del Estado de México</w:t>
          </w:r>
        </w:p>
      </w:tc>
    </w:tr>
    <w:tr w:rsidR="0089059B" w14:paraId="4E2B2D8D" w14:textId="77777777">
      <w:trPr>
        <w:trHeight w:val="261"/>
        <w:jc w:val="right"/>
      </w:trPr>
      <w:tc>
        <w:tcPr>
          <w:tcW w:w="2691" w:type="dxa"/>
        </w:tcPr>
        <w:p w14:paraId="4E2B2D8B" w14:textId="77777777" w:rsidR="0089059B" w:rsidRDefault="0089059B">
          <w:pPr>
            <w:tabs>
              <w:tab w:val="right" w:pos="8838"/>
            </w:tabs>
            <w:ind w:right="-105"/>
            <w:rPr>
              <w:b/>
            </w:rPr>
          </w:pPr>
          <w:r>
            <w:rPr>
              <w:b/>
            </w:rPr>
            <w:t>Comisionado Ponente:</w:t>
          </w:r>
        </w:p>
      </w:tc>
      <w:tc>
        <w:tcPr>
          <w:tcW w:w="3612" w:type="dxa"/>
        </w:tcPr>
        <w:p w14:paraId="4E2B2D8C" w14:textId="77777777" w:rsidR="0089059B" w:rsidRDefault="0089059B">
          <w:pPr>
            <w:tabs>
              <w:tab w:val="right" w:pos="8838"/>
            </w:tabs>
            <w:ind w:right="-32"/>
            <w:rPr>
              <w:b/>
            </w:rPr>
          </w:pPr>
          <w:r>
            <w:t>Luis Gustavo Parra Noriega</w:t>
          </w:r>
        </w:p>
      </w:tc>
    </w:tr>
  </w:tbl>
  <w:p w14:paraId="4E2B2D8E" w14:textId="77777777" w:rsidR="0089059B" w:rsidRDefault="0080144A">
    <w:pPr>
      <w:pBdr>
        <w:top w:val="nil"/>
        <w:left w:val="nil"/>
        <w:bottom w:val="nil"/>
        <w:right w:val="nil"/>
        <w:between w:val="nil"/>
      </w:pBdr>
      <w:tabs>
        <w:tab w:val="center" w:pos="4419"/>
        <w:tab w:val="right" w:pos="8838"/>
      </w:tabs>
      <w:spacing w:after="0" w:line="240" w:lineRule="auto"/>
      <w:rPr>
        <w:color w:val="000000"/>
      </w:rPr>
    </w:pPr>
    <w:r>
      <w:rPr>
        <w:color w:val="000000"/>
      </w:rPr>
      <w:pict w14:anchorId="4E2B2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181"/>
    <w:multiLevelType w:val="multilevel"/>
    <w:tmpl w:val="DB0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4D2E6E"/>
    <w:multiLevelType w:val="hybridMultilevel"/>
    <w:tmpl w:val="04FA3700"/>
    <w:lvl w:ilvl="0" w:tplc="841E15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051B2D"/>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7E5046"/>
    <w:multiLevelType w:val="multilevel"/>
    <w:tmpl w:val="B67A19DC"/>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E4185"/>
    <w:multiLevelType w:val="hybridMultilevel"/>
    <w:tmpl w:val="AC70D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028F0"/>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C46E5"/>
    <w:multiLevelType w:val="multilevel"/>
    <w:tmpl w:val="1D466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2C1D00"/>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2618E8"/>
    <w:multiLevelType w:val="hybridMultilevel"/>
    <w:tmpl w:val="F92A4DC6"/>
    <w:lvl w:ilvl="0" w:tplc="30AEDDC2">
      <w:start w:val="12"/>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DD59E6"/>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4425CB"/>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28679F"/>
    <w:multiLevelType w:val="hybridMultilevel"/>
    <w:tmpl w:val="31E0E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51156F"/>
    <w:multiLevelType w:val="hybridMultilevel"/>
    <w:tmpl w:val="E87A10A0"/>
    <w:lvl w:ilvl="0" w:tplc="0AE6556A">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A919D2"/>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EF4F02"/>
    <w:multiLevelType w:val="hybridMultilevel"/>
    <w:tmpl w:val="688A0E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5EA66341"/>
    <w:multiLevelType w:val="hybridMultilevel"/>
    <w:tmpl w:val="569E81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C269AC"/>
    <w:multiLevelType w:val="multilevel"/>
    <w:tmpl w:val="97563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505AD"/>
    <w:multiLevelType w:val="multilevel"/>
    <w:tmpl w:val="FE4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DD2F68"/>
    <w:multiLevelType w:val="multilevel"/>
    <w:tmpl w:val="B734F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A81A3C"/>
    <w:multiLevelType w:val="hybridMultilevel"/>
    <w:tmpl w:val="51F0F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8B0CB8"/>
    <w:multiLevelType w:val="hybridMultilevel"/>
    <w:tmpl w:val="4F2C9E32"/>
    <w:lvl w:ilvl="0" w:tplc="0AE6556A">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7"/>
  </w:num>
  <w:num w:numId="4">
    <w:abstractNumId w:val="0"/>
  </w:num>
  <w:num w:numId="5">
    <w:abstractNumId w:val="18"/>
  </w:num>
  <w:num w:numId="6">
    <w:abstractNumId w:val="19"/>
  </w:num>
  <w:num w:numId="7">
    <w:abstractNumId w:val="5"/>
  </w:num>
  <w:num w:numId="8">
    <w:abstractNumId w:val="11"/>
  </w:num>
  <w:num w:numId="9">
    <w:abstractNumId w:val="2"/>
  </w:num>
  <w:num w:numId="10">
    <w:abstractNumId w:val="14"/>
  </w:num>
  <w:num w:numId="11">
    <w:abstractNumId w:val="6"/>
  </w:num>
  <w:num w:numId="12">
    <w:abstractNumId w:val="10"/>
  </w:num>
  <w:num w:numId="13">
    <w:abstractNumId w:val="4"/>
  </w:num>
  <w:num w:numId="14">
    <w:abstractNumId w:val="8"/>
  </w:num>
  <w:num w:numId="15">
    <w:abstractNumId w:val="21"/>
  </w:num>
  <w:num w:numId="16">
    <w:abstractNumId w:val="13"/>
  </w:num>
  <w:num w:numId="17">
    <w:abstractNumId w:val="12"/>
  </w:num>
  <w:num w:numId="18">
    <w:abstractNumId w:val="16"/>
  </w:num>
  <w:num w:numId="19">
    <w:abstractNumId w:val="1"/>
  </w:num>
  <w:num w:numId="20">
    <w:abstractNumId w:val="20"/>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CD"/>
    <w:rsid w:val="000030E6"/>
    <w:rsid w:val="000120EC"/>
    <w:rsid w:val="00012518"/>
    <w:rsid w:val="0002015A"/>
    <w:rsid w:val="00030C99"/>
    <w:rsid w:val="0004148C"/>
    <w:rsid w:val="00052578"/>
    <w:rsid w:val="00052AD3"/>
    <w:rsid w:val="00056009"/>
    <w:rsid w:val="00056F2C"/>
    <w:rsid w:val="00061380"/>
    <w:rsid w:val="0006297B"/>
    <w:rsid w:val="00066A8C"/>
    <w:rsid w:val="0007083B"/>
    <w:rsid w:val="00081431"/>
    <w:rsid w:val="00082DB7"/>
    <w:rsid w:val="00082E5D"/>
    <w:rsid w:val="0008658C"/>
    <w:rsid w:val="00086AF2"/>
    <w:rsid w:val="00092E25"/>
    <w:rsid w:val="000A322E"/>
    <w:rsid w:val="000B4B40"/>
    <w:rsid w:val="000C2E58"/>
    <w:rsid w:val="000C4623"/>
    <w:rsid w:val="000D39BB"/>
    <w:rsid w:val="000E0A9B"/>
    <w:rsid w:val="000E199E"/>
    <w:rsid w:val="000F1267"/>
    <w:rsid w:val="000F2472"/>
    <w:rsid w:val="000F51D8"/>
    <w:rsid w:val="001006EE"/>
    <w:rsid w:val="00105757"/>
    <w:rsid w:val="00114BBB"/>
    <w:rsid w:val="0011639D"/>
    <w:rsid w:val="0012370C"/>
    <w:rsid w:val="001465EC"/>
    <w:rsid w:val="00150876"/>
    <w:rsid w:val="001529C4"/>
    <w:rsid w:val="00155A63"/>
    <w:rsid w:val="00156EE2"/>
    <w:rsid w:val="0016054C"/>
    <w:rsid w:val="001772DA"/>
    <w:rsid w:val="00184633"/>
    <w:rsid w:val="001854AC"/>
    <w:rsid w:val="00187572"/>
    <w:rsid w:val="001950A3"/>
    <w:rsid w:val="001976EB"/>
    <w:rsid w:val="001A17D4"/>
    <w:rsid w:val="001A77CD"/>
    <w:rsid w:val="001B413C"/>
    <w:rsid w:val="001B6EF4"/>
    <w:rsid w:val="001C72FE"/>
    <w:rsid w:val="001D1FEC"/>
    <w:rsid w:val="001D3E7B"/>
    <w:rsid w:val="00201B7E"/>
    <w:rsid w:val="00205646"/>
    <w:rsid w:val="002061A3"/>
    <w:rsid w:val="00221469"/>
    <w:rsid w:val="002325CA"/>
    <w:rsid w:val="00240754"/>
    <w:rsid w:val="00243793"/>
    <w:rsid w:val="002458F7"/>
    <w:rsid w:val="002469AC"/>
    <w:rsid w:val="00252B51"/>
    <w:rsid w:val="00262719"/>
    <w:rsid w:val="00273F1D"/>
    <w:rsid w:val="0029103D"/>
    <w:rsid w:val="00295217"/>
    <w:rsid w:val="002B6101"/>
    <w:rsid w:val="002D0B77"/>
    <w:rsid w:val="002D3FD2"/>
    <w:rsid w:val="002F22BA"/>
    <w:rsid w:val="002F2780"/>
    <w:rsid w:val="002F2848"/>
    <w:rsid w:val="003068DD"/>
    <w:rsid w:val="00314FEA"/>
    <w:rsid w:val="003168A8"/>
    <w:rsid w:val="00316B7F"/>
    <w:rsid w:val="003261A0"/>
    <w:rsid w:val="003351AF"/>
    <w:rsid w:val="0033552E"/>
    <w:rsid w:val="0035508A"/>
    <w:rsid w:val="0036227C"/>
    <w:rsid w:val="00380F9A"/>
    <w:rsid w:val="00380FC6"/>
    <w:rsid w:val="00390A10"/>
    <w:rsid w:val="003A3F1D"/>
    <w:rsid w:val="003D5A84"/>
    <w:rsid w:val="003E39C9"/>
    <w:rsid w:val="003E63A0"/>
    <w:rsid w:val="003E750B"/>
    <w:rsid w:val="003F21E0"/>
    <w:rsid w:val="003F48F9"/>
    <w:rsid w:val="003F5D8C"/>
    <w:rsid w:val="004107F0"/>
    <w:rsid w:val="00414D4F"/>
    <w:rsid w:val="004167CD"/>
    <w:rsid w:val="0042303B"/>
    <w:rsid w:val="00425779"/>
    <w:rsid w:val="0042749C"/>
    <w:rsid w:val="00431978"/>
    <w:rsid w:val="0043346E"/>
    <w:rsid w:val="004410EB"/>
    <w:rsid w:val="00456EBD"/>
    <w:rsid w:val="004570F4"/>
    <w:rsid w:val="004611D7"/>
    <w:rsid w:val="00466006"/>
    <w:rsid w:val="004708D7"/>
    <w:rsid w:val="00490F6E"/>
    <w:rsid w:val="004942EB"/>
    <w:rsid w:val="00496C0A"/>
    <w:rsid w:val="004A483D"/>
    <w:rsid w:val="004B2C3D"/>
    <w:rsid w:val="004B688B"/>
    <w:rsid w:val="004C2C51"/>
    <w:rsid w:val="004C456A"/>
    <w:rsid w:val="004E0D0B"/>
    <w:rsid w:val="004E3FA2"/>
    <w:rsid w:val="004E7005"/>
    <w:rsid w:val="004E7602"/>
    <w:rsid w:val="004F1C14"/>
    <w:rsid w:val="004F2BD6"/>
    <w:rsid w:val="005017B1"/>
    <w:rsid w:val="0051691B"/>
    <w:rsid w:val="00525A8F"/>
    <w:rsid w:val="00527116"/>
    <w:rsid w:val="005321B0"/>
    <w:rsid w:val="00545F97"/>
    <w:rsid w:val="00562F18"/>
    <w:rsid w:val="00582DEF"/>
    <w:rsid w:val="00585324"/>
    <w:rsid w:val="00593278"/>
    <w:rsid w:val="00596D4C"/>
    <w:rsid w:val="005A1567"/>
    <w:rsid w:val="005A45DD"/>
    <w:rsid w:val="005B03BF"/>
    <w:rsid w:val="005B04A8"/>
    <w:rsid w:val="005B170D"/>
    <w:rsid w:val="005C12CD"/>
    <w:rsid w:val="005C24B2"/>
    <w:rsid w:val="005D323C"/>
    <w:rsid w:val="005E445B"/>
    <w:rsid w:val="005E6546"/>
    <w:rsid w:val="00610F0F"/>
    <w:rsid w:val="00611A35"/>
    <w:rsid w:val="00630AA2"/>
    <w:rsid w:val="00635496"/>
    <w:rsid w:val="0065752C"/>
    <w:rsid w:val="006655A7"/>
    <w:rsid w:val="00680DE4"/>
    <w:rsid w:val="0069033A"/>
    <w:rsid w:val="00692343"/>
    <w:rsid w:val="006944A7"/>
    <w:rsid w:val="0069784D"/>
    <w:rsid w:val="006A6AAC"/>
    <w:rsid w:val="006B470E"/>
    <w:rsid w:val="006C60AB"/>
    <w:rsid w:val="006C6FB2"/>
    <w:rsid w:val="006D0AB0"/>
    <w:rsid w:val="006D201C"/>
    <w:rsid w:val="006D3BC5"/>
    <w:rsid w:val="006E0EF5"/>
    <w:rsid w:val="006E1D38"/>
    <w:rsid w:val="006E571C"/>
    <w:rsid w:val="006F196A"/>
    <w:rsid w:val="006F6F48"/>
    <w:rsid w:val="007000BE"/>
    <w:rsid w:val="00700DF3"/>
    <w:rsid w:val="007127CC"/>
    <w:rsid w:val="007236CC"/>
    <w:rsid w:val="0073085F"/>
    <w:rsid w:val="0074357E"/>
    <w:rsid w:val="00751569"/>
    <w:rsid w:val="00754C62"/>
    <w:rsid w:val="0076477B"/>
    <w:rsid w:val="007659BD"/>
    <w:rsid w:val="00771D21"/>
    <w:rsid w:val="00773E59"/>
    <w:rsid w:val="00774242"/>
    <w:rsid w:val="007751A3"/>
    <w:rsid w:val="00790CF1"/>
    <w:rsid w:val="00790F4B"/>
    <w:rsid w:val="007924DC"/>
    <w:rsid w:val="007926F2"/>
    <w:rsid w:val="007B3BF0"/>
    <w:rsid w:val="007F2EFA"/>
    <w:rsid w:val="0080144A"/>
    <w:rsid w:val="00811A4F"/>
    <w:rsid w:val="00814150"/>
    <w:rsid w:val="008177A3"/>
    <w:rsid w:val="0082542D"/>
    <w:rsid w:val="008261C7"/>
    <w:rsid w:val="00837442"/>
    <w:rsid w:val="00857C63"/>
    <w:rsid w:val="00861164"/>
    <w:rsid w:val="008619FE"/>
    <w:rsid w:val="00865C4B"/>
    <w:rsid w:val="00872736"/>
    <w:rsid w:val="00876FDD"/>
    <w:rsid w:val="008839E3"/>
    <w:rsid w:val="00883FE9"/>
    <w:rsid w:val="0088729C"/>
    <w:rsid w:val="0089059B"/>
    <w:rsid w:val="008A29B9"/>
    <w:rsid w:val="008A33F9"/>
    <w:rsid w:val="008A65DA"/>
    <w:rsid w:val="008B7BC6"/>
    <w:rsid w:val="008C30BF"/>
    <w:rsid w:val="008D7B3B"/>
    <w:rsid w:val="008E3448"/>
    <w:rsid w:val="008E6F77"/>
    <w:rsid w:val="00900E71"/>
    <w:rsid w:val="00902358"/>
    <w:rsid w:val="00921459"/>
    <w:rsid w:val="00923EC9"/>
    <w:rsid w:val="009302CD"/>
    <w:rsid w:val="00937E20"/>
    <w:rsid w:val="00940C97"/>
    <w:rsid w:val="00943C8F"/>
    <w:rsid w:val="00945290"/>
    <w:rsid w:val="0094670D"/>
    <w:rsid w:val="00952E0A"/>
    <w:rsid w:val="009615B6"/>
    <w:rsid w:val="00990F09"/>
    <w:rsid w:val="009928BA"/>
    <w:rsid w:val="00993DD0"/>
    <w:rsid w:val="009A47A7"/>
    <w:rsid w:val="009D0CD7"/>
    <w:rsid w:val="009D7C4A"/>
    <w:rsid w:val="009E4FCF"/>
    <w:rsid w:val="009E7440"/>
    <w:rsid w:val="00A00569"/>
    <w:rsid w:val="00A05301"/>
    <w:rsid w:val="00A13325"/>
    <w:rsid w:val="00A25F84"/>
    <w:rsid w:val="00A40F7E"/>
    <w:rsid w:val="00A465E3"/>
    <w:rsid w:val="00A534EB"/>
    <w:rsid w:val="00A67F67"/>
    <w:rsid w:val="00A80004"/>
    <w:rsid w:val="00A81745"/>
    <w:rsid w:val="00A81939"/>
    <w:rsid w:val="00A81D63"/>
    <w:rsid w:val="00A97B86"/>
    <w:rsid w:val="00AD2A47"/>
    <w:rsid w:val="00AD7C9D"/>
    <w:rsid w:val="00AF206D"/>
    <w:rsid w:val="00AF3EBD"/>
    <w:rsid w:val="00B141B0"/>
    <w:rsid w:val="00B171A6"/>
    <w:rsid w:val="00B229EB"/>
    <w:rsid w:val="00B22EE4"/>
    <w:rsid w:val="00B2762D"/>
    <w:rsid w:val="00B320F8"/>
    <w:rsid w:val="00B43133"/>
    <w:rsid w:val="00B52822"/>
    <w:rsid w:val="00B667E4"/>
    <w:rsid w:val="00B74F84"/>
    <w:rsid w:val="00B96324"/>
    <w:rsid w:val="00B972B1"/>
    <w:rsid w:val="00BA1228"/>
    <w:rsid w:val="00BA157F"/>
    <w:rsid w:val="00BA5E37"/>
    <w:rsid w:val="00BB0CAF"/>
    <w:rsid w:val="00BB1EE2"/>
    <w:rsid w:val="00BB2198"/>
    <w:rsid w:val="00BD64DB"/>
    <w:rsid w:val="00BE0A58"/>
    <w:rsid w:val="00BE2C71"/>
    <w:rsid w:val="00C01774"/>
    <w:rsid w:val="00C1686E"/>
    <w:rsid w:val="00C258FD"/>
    <w:rsid w:val="00C27C93"/>
    <w:rsid w:val="00C319F9"/>
    <w:rsid w:val="00C3649B"/>
    <w:rsid w:val="00C374DA"/>
    <w:rsid w:val="00C5058F"/>
    <w:rsid w:val="00C534C9"/>
    <w:rsid w:val="00C539AD"/>
    <w:rsid w:val="00C54E5A"/>
    <w:rsid w:val="00C57AC7"/>
    <w:rsid w:val="00C672B8"/>
    <w:rsid w:val="00C72426"/>
    <w:rsid w:val="00C76A18"/>
    <w:rsid w:val="00C77DFD"/>
    <w:rsid w:val="00C87378"/>
    <w:rsid w:val="00CA279B"/>
    <w:rsid w:val="00CB26B9"/>
    <w:rsid w:val="00CC5C1D"/>
    <w:rsid w:val="00CF035A"/>
    <w:rsid w:val="00D13031"/>
    <w:rsid w:val="00D13AE8"/>
    <w:rsid w:val="00D14AF1"/>
    <w:rsid w:val="00D164EA"/>
    <w:rsid w:val="00D35A09"/>
    <w:rsid w:val="00D45CA3"/>
    <w:rsid w:val="00D76D71"/>
    <w:rsid w:val="00D80AB7"/>
    <w:rsid w:val="00D81185"/>
    <w:rsid w:val="00D843CA"/>
    <w:rsid w:val="00D86832"/>
    <w:rsid w:val="00D91638"/>
    <w:rsid w:val="00DB353B"/>
    <w:rsid w:val="00DD6D36"/>
    <w:rsid w:val="00DF62E8"/>
    <w:rsid w:val="00E07D49"/>
    <w:rsid w:val="00E11D1A"/>
    <w:rsid w:val="00E24AEC"/>
    <w:rsid w:val="00E25C67"/>
    <w:rsid w:val="00E311C2"/>
    <w:rsid w:val="00E31745"/>
    <w:rsid w:val="00E40A27"/>
    <w:rsid w:val="00E423BE"/>
    <w:rsid w:val="00E50C83"/>
    <w:rsid w:val="00E51687"/>
    <w:rsid w:val="00E5215F"/>
    <w:rsid w:val="00E53550"/>
    <w:rsid w:val="00E6167B"/>
    <w:rsid w:val="00E72B8A"/>
    <w:rsid w:val="00E814DE"/>
    <w:rsid w:val="00E84C68"/>
    <w:rsid w:val="00E84D43"/>
    <w:rsid w:val="00E92D88"/>
    <w:rsid w:val="00E962C7"/>
    <w:rsid w:val="00EB66BE"/>
    <w:rsid w:val="00EC2B6B"/>
    <w:rsid w:val="00EC2E20"/>
    <w:rsid w:val="00EC5C49"/>
    <w:rsid w:val="00ED1FBE"/>
    <w:rsid w:val="00ED55F8"/>
    <w:rsid w:val="00EE5D5C"/>
    <w:rsid w:val="00F03F3A"/>
    <w:rsid w:val="00F11F2F"/>
    <w:rsid w:val="00F20DA8"/>
    <w:rsid w:val="00F41FA9"/>
    <w:rsid w:val="00F45566"/>
    <w:rsid w:val="00F507B9"/>
    <w:rsid w:val="00F57896"/>
    <w:rsid w:val="00F70B3E"/>
    <w:rsid w:val="00F756F1"/>
    <w:rsid w:val="00F762C3"/>
    <w:rsid w:val="00F76C0E"/>
    <w:rsid w:val="00F82E40"/>
    <w:rsid w:val="00F85CE8"/>
    <w:rsid w:val="00F87FED"/>
    <w:rsid w:val="00F903A0"/>
    <w:rsid w:val="00F95701"/>
    <w:rsid w:val="00FA08EA"/>
    <w:rsid w:val="00FA2149"/>
    <w:rsid w:val="00FC1C03"/>
    <w:rsid w:val="00FC27C6"/>
    <w:rsid w:val="00FC7C65"/>
    <w:rsid w:val="00FD1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2B2B0D"/>
  <w15:docId w15:val="{6583DFA2-A44B-4675-8858-9CB1BE2C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04"/>
    <w:rPr>
      <w:color w:val="000000" w:themeColor="text1"/>
    </w:rPr>
  </w:style>
  <w:style w:type="paragraph" w:styleId="Ttulo1">
    <w:name w:val="heading 1"/>
    <w:basedOn w:val="Normal"/>
    <w:next w:val="Normal"/>
    <w:link w:val="Ttulo1Car"/>
    <w:uiPriority w:val="9"/>
    <w:qFormat/>
    <w:rsid w:val="004107F0"/>
    <w:pPr>
      <w:keepNext/>
      <w:keepLines/>
      <w:spacing w:before="240" w:after="0" w:line="24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076BF9"/>
    <w:pPr>
      <w:keepNext/>
      <w:keepLines/>
      <w:spacing w:before="40" w:after="0"/>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5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4107F0"/>
    <w:rPr>
      <w:rFonts w:eastAsiaTheme="majorEastAsia" w:cstheme="majorBidi"/>
      <w:b/>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076BF9"/>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C93D2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Sinespaciado">
    <w:name w:val="No Spacing"/>
    <w:uiPriority w:val="1"/>
    <w:qFormat/>
    <w:rsid w:val="0069033A"/>
    <w:pPr>
      <w:spacing w:after="0" w:line="240" w:lineRule="auto"/>
      <w:jc w:val="center"/>
    </w:pPr>
    <w:rPr>
      <w:b/>
      <w:color w:val="000000" w:themeColor="text1"/>
    </w:rPr>
  </w:style>
  <w:style w:type="character" w:customStyle="1" w:styleId="Mencinsinresolver3">
    <w:name w:val="Mención sin resolver3"/>
    <w:basedOn w:val="Fuentedeprrafopredeter"/>
    <w:uiPriority w:val="99"/>
    <w:semiHidden/>
    <w:unhideWhenUsed/>
    <w:rsid w:val="00790F4B"/>
    <w:rPr>
      <w:color w:val="605E5C"/>
      <w:shd w:val="clear" w:color="auto" w:fill="E1DFDD"/>
    </w:rPr>
  </w:style>
  <w:style w:type="character" w:customStyle="1" w:styleId="UnresolvedMention">
    <w:name w:val="Unresolved Mention"/>
    <w:basedOn w:val="Fuentedeprrafopredeter"/>
    <w:uiPriority w:val="99"/>
    <w:semiHidden/>
    <w:unhideWhenUsed/>
    <w:rsid w:val="00E8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9227">
      <w:bodyDiv w:val="1"/>
      <w:marLeft w:val="0"/>
      <w:marRight w:val="0"/>
      <w:marTop w:val="0"/>
      <w:marBottom w:val="0"/>
      <w:divBdr>
        <w:top w:val="none" w:sz="0" w:space="0" w:color="auto"/>
        <w:left w:val="none" w:sz="0" w:space="0" w:color="auto"/>
        <w:bottom w:val="none" w:sz="0" w:space="0" w:color="auto"/>
        <w:right w:val="none" w:sz="0" w:space="0" w:color="auto"/>
      </w:divBdr>
    </w:div>
    <w:div w:id="760301235">
      <w:bodyDiv w:val="1"/>
      <w:marLeft w:val="0"/>
      <w:marRight w:val="0"/>
      <w:marTop w:val="0"/>
      <w:marBottom w:val="0"/>
      <w:divBdr>
        <w:top w:val="none" w:sz="0" w:space="0" w:color="auto"/>
        <w:left w:val="none" w:sz="0" w:space="0" w:color="auto"/>
        <w:bottom w:val="none" w:sz="0" w:space="0" w:color="auto"/>
        <w:right w:val="none" w:sz="0" w:space="0" w:color="auto"/>
      </w:divBdr>
    </w:div>
    <w:div w:id="943806692">
      <w:bodyDiv w:val="1"/>
      <w:marLeft w:val="0"/>
      <w:marRight w:val="0"/>
      <w:marTop w:val="0"/>
      <w:marBottom w:val="0"/>
      <w:divBdr>
        <w:top w:val="none" w:sz="0" w:space="0" w:color="auto"/>
        <w:left w:val="none" w:sz="0" w:space="0" w:color="auto"/>
        <w:bottom w:val="none" w:sz="0" w:space="0" w:color="auto"/>
        <w:right w:val="none" w:sz="0" w:space="0" w:color="auto"/>
      </w:divBdr>
    </w:div>
    <w:div w:id="1587761993">
      <w:bodyDiv w:val="1"/>
      <w:marLeft w:val="0"/>
      <w:marRight w:val="0"/>
      <w:marTop w:val="0"/>
      <w:marBottom w:val="0"/>
      <w:divBdr>
        <w:top w:val="none" w:sz="0" w:space="0" w:color="auto"/>
        <w:left w:val="none" w:sz="0" w:space="0" w:color="auto"/>
        <w:bottom w:val="none" w:sz="0" w:space="0" w:color="auto"/>
        <w:right w:val="none" w:sz="0" w:space="0" w:color="auto"/>
      </w:divBdr>
    </w:div>
    <w:div w:id="187341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nt.org.mx/wp-content/uploads/30112022-Lineamientos-de-Clasificacion-y-Desclasificacion-01_14h.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JCtmVn2ZF+OrRnYAPeD2nYGsg==">CgMxLjAyCGguZ2pkZ3hzMgloLjMwajB6bGwyCWguMWZvYjl0ZTIJaC4zem55c2g3MgloLjJldDkycDAyCGgudHlqY3d0MgloLjNkeTZ2a20yCWguMXQzaDVzZjIJaC40ZDM0b2c4MgloLjJzOGV5bzEyCWguMTdkcDh2dTIJaC4zcmRjcmpuMgloLjI2aW4xcmcyCGgubG54Yno5MgloLjM1bmt1bjIyCWguMWtzdjR1djgAciExRkJnUXl6ZDZ0QU9JRVFxRlVxTzR1bFZjVFlqR1laT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D273AB-DC45-4B5A-8C62-B32531EA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4382</Words>
  <Characters>24107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oswaldo medina hernandez</dc:creator>
  <cp:lastModifiedBy>USUARIO</cp:lastModifiedBy>
  <cp:revision>3</cp:revision>
  <cp:lastPrinted>2024-12-05T22:54:00Z</cp:lastPrinted>
  <dcterms:created xsi:type="dcterms:W3CDTF">2024-12-05T22:54:00Z</dcterms:created>
  <dcterms:modified xsi:type="dcterms:W3CDTF">2024-12-05T22:55:00Z</dcterms:modified>
</cp:coreProperties>
</file>