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E125" w14:textId="54BB04B4" w:rsidR="007A1197" w:rsidRPr="008F6FC2" w:rsidRDefault="00B43A0A">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Resolución del Pleno del Instituto de Transparencia, Acceso a la Información Pública y Protección de Datos Personales del Estado de México y Municipios, con domicilio </w:t>
      </w:r>
      <w:r w:rsidR="00A477E2" w:rsidRPr="008F6FC2">
        <w:rPr>
          <w:rFonts w:ascii="Palatino Linotype" w:eastAsia="Palatino Linotype" w:hAnsi="Palatino Linotype" w:cs="Palatino Linotype"/>
          <w:sz w:val="22"/>
        </w:rPr>
        <w:t xml:space="preserve">en Metepec, Estado de México, a </w:t>
      </w:r>
      <w:r w:rsidR="0085738B" w:rsidRPr="008F6FC2">
        <w:rPr>
          <w:rFonts w:ascii="Palatino Linotype" w:eastAsia="Palatino Linotype" w:hAnsi="Palatino Linotype" w:cs="Palatino Linotype"/>
          <w:b/>
          <w:sz w:val="22"/>
        </w:rPr>
        <w:t>veinticinco</w:t>
      </w:r>
      <w:r w:rsidR="00D062C0" w:rsidRPr="008F6FC2">
        <w:rPr>
          <w:rFonts w:ascii="Palatino Linotype" w:eastAsia="Palatino Linotype" w:hAnsi="Palatino Linotype" w:cs="Palatino Linotype"/>
          <w:b/>
          <w:sz w:val="22"/>
        </w:rPr>
        <w:t xml:space="preserve"> </w:t>
      </w:r>
      <w:r w:rsidR="00645E55" w:rsidRPr="008F6FC2">
        <w:rPr>
          <w:rFonts w:ascii="Palatino Linotype" w:eastAsia="Palatino Linotype" w:hAnsi="Palatino Linotype" w:cs="Palatino Linotype"/>
          <w:b/>
          <w:sz w:val="22"/>
        </w:rPr>
        <w:t>de septiembre</w:t>
      </w:r>
      <w:r w:rsidRPr="008F6FC2">
        <w:rPr>
          <w:rFonts w:ascii="Palatino Linotype" w:eastAsia="Palatino Linotype" w:hAnsi="Palatino Linotype" w:cs="Palatino Linotype"/>
          <w:b/>
          <w:sz w:val="22"/>
        </w:rPr>
        <w:t xml:space="preserve"> </w:t>
      </w:r>
      <w:r w:rsidR="00D062C0" w:rsidRPr="008F6FC2">
        <w:rPr>
          <w:rFonts w:ascii="Palatino Linotype" w:eastAsia="Palatino Linotype" w:hAnsi="Palatino Linotype" w:cs="Palatino Linotype"/>
          <w:b/>
          <w:sz w:val="22"/>
        </w:rPr>
        <w:t>de dos mil veinticuatro</w:t>
      </w:r>
      <w:r w:rsidRPr="008F6FC2">
        <w:rPr>
          <w:rFonts w:ascii="Palatino Linotype" w:eastAsia="Palatino Linotype" w:hAnsi="Palatino Linotype" w:cs="Palatino Linotype"/>
          <w:sz w:val="22"/>
        </w:rPr>
        <w:t xml:space="preserve">. </w:t>
      </w:r>
    </w:p>
    <w:p w14:paraId="4BC0F9F8" w14:textId="01A3F550" w:rsidR="007A1197" w:rsidRPr="008F6FC2" w:rsidRDefault="00B43A0A">
      <w:pPr>
        <w:spacing w:before="240" w:after="240" w:line="360" w:lineRule="auto"/>
        <w:jc w:val="both"/>
        <w:rPr>
          <w:rFonts w:ascii="Palatino Linotype" w:eastAsia="Palatino Linotype" w:hAnsi="Palatino Linotype" w:cs="Palatino Linotype"/>
          <w:b/>
          <w:sz w:val="22"/>
        </w:rPr>
      </w:pPr>
      <w:r w:rsidRPr="008F6FC2">
        <w:rPr>
          <w:rFonts w:ascii="Palatino Linotype" w:eastAsia="Palatino Linotype" w:hAnsi="Palatino Linotype" w:cs="Palatino Linotype"/>
          <w:b/>
          <w:sz w:val="22"/>
        </w:rPr>
        <w:t>Visto</w:t>
      </w:r>
      <w:r w:rsidRPr="008F6FC2">
        <w:rPr>
          <w:rFonts w:ascii="Palatino Linotype" w:eastAsia="Palatino Linotype" w:hAnsi="Palatino Linotype" w:cs="Palatino Linotype"/>
          <w:sz w:val="22"/>
        </w:rPr>
        <w:t xml:space="preserve"> el expediente formado con motivo del recurso de revisión </w:t>
      </w:r>
      <w:r w:rsidR="006C2E5E" w:rsidRPr="008F6FC2">
        <w:rPr>
          <w:rFonts w:ascii="Palatino Linotype" w:eastAsia="Palatino Linotype" w:hAnsi="Palatino Linotype" w:cs="Palatino Linotype"/>
          <w:b/>
          <w:sz w:val="22"/>
        </w:rPr>
        <w:t>04164/INFOEM/IP/RR/2024</w:t>
      </w:r>
      <w:r w:rsidRPr="008F6FC2">
        <w:rPr>
          <w:rFonts w:ascii="Palatino Linotype" w:eastAsia="Palatino Linotype" w:hAnsi="Palatino Linotype" w:cs="Palatino Linotype"/>
          <w:sz w:val="22"/>
        </w:rPr>
        <w:t>, interpuesto por</w:t>
      </w:r>
      <w:r w:rsidRPr="008F6FC2">
        <w:rPr>
          <w:rFonts w:ascii="Palatino Linotype" w:eastAsia="Palatino Linotype" w:hAnsi="Palatino Linotype" w:cs="Palatino Linotype"/>
          <w:b/>
          <w:sz w:val="22"/>
        </w:rPr>
        <w:t xml:space="preserve"> </w:t>
      </w:r>
      <w:r w:rsidR="00DB3A88" w:rsidRPr="00DB3A88">
        <w:rPr>
          <w:rFonts w:ascii="Palatino Linotype" w:eastAsia="Palatino Linotype" w:hAnsi="Palatino Linotype" w:cs="Palatino Linotype"/>
          <w:b/>
          <w:sz w:val="22"/>
        </w:rPr>
        <w:t>XXXX XXXXXXX</w:t>
      </w:r>
      <w:r w:rsidRPr="008F6FC2">
        <w:rPr>
          <w:rFonts w:ascii="Palatino Linotype" w:eastAsia="Palatino Linotype" w:hAnsi="Palatino Linotype" w:cs="Palatino Linotype"/>
          <w:sz w:val="22"/>
        </w:rPr>
        <w:t xml:space="preserve">, en lo sucesivo </w:t>
      </w:r>
      <w:r w:rsidRPr="008F6FC2">
        <w:rPr>
          <w:rFonts w:ascii="Palatino Linotype" w:eastAsia="Palatino Linotype" w:hAnsi="Palatino Linotype" w:cs="Palatino Linotype"/>
          <w:b/>
          <w:sz w:val="22"/>
        </w:rPr>
        <w:t>la</w:t>
      </w:r>
      <w:r w:rsidRPr="008F6FC2">
        <w:rPr>
          <w:rFonts w:ascii="Palatino Linotype" w:eastAsia="Palatino Linotype" w:hAnsi="Palatino Linotype" w:cs="Palatino Linotype"/>
          <w:sz w:val="22"/>
        </w:rPr>
        <w:t xml:space="preserve"> </w:t>
      </w:r>
      <w:r w:rsidRPr="008F6FC2">
        <w:rPr>
          <w:rFonts w:ascii="Palatino Linotype" w:eastAsia="Palatino Linotype" w:hAnsi="Palatino Linotype" w:cs="Palatino Linotype"/>
          <w:b/>
          <w:sz w:val="22"/>
        </w:rPr>
        <w:t>parte</w:t>
      </w:r>
      <w:r w:rsidRPr="008F6FC2">
        <w:rPr>
          <w:rFonts w:ascii="Palatino Linotype" w:eastAsia="Palatino Linotype" w:hAnsi="Palatino Linotype" w:cs="Palatino Linotype"/>
          <w:sz w:val="22"/>
        </w:rPr>
        <w:t xml:space="preserve"> </w:t>
      </w:r>
      <w:r w:rsidRPr="008F6FC2">
        <w:rPr>
          <w:rFonts w:ascii="Palatino Linotype" w:eastAsia="Palatino Linotype" w:hAnsi="Palatino Linotype" w:cs="Palatino Linotype"/>
          <w:b/>
          <w:sz w:val="22"/>
        </w:rPr>
        <w:t>Recurrente,</w:t>
      </w:r>
      <w:r w:rsidRPr="008F6FC2">
        <w:rPr>
          <w:rFonts w:ascii="Palatino Linotype" w:eastAsia="Palatino Linotype" w:hAnsi="Palatino Linotype" w:cs="Palatino Linotype"/>
          <w:sz w:val="22"/>
        </w:rPr>
        <w:t xml:space="preserve"> en contra de la respue</w:t>
      </w:r>
      <w:r w:rsidR="00645E55" w:rsidRPr="008F6FC2">
        <w:rPr>
          <w:rFonts w:ascii="Palatino Linotype" w:eastAsia="Palatino Linotype" w:hAnsi="Palatino Linotype" w:cs="Palatino Linotype"/>
          <w:sz w:val="22"/>
        </w:rPr>
        <w:t>sta a su solicitud por parte de la</w:t>
      </w:r>
      <w:r w:rsidRPr="008F6FC2">
        <w:rPr>
          <w:rFonts w:ascii="Palatino Linotype" w:eastAsia="Palatino Linotype" w:hAnsi="Palatino Linotype" w:cs="Palatino Linotype"/>
          <w:sz w:val="22"/>
        </w:rPr>
        <w:t xml:space="preserve"> </w:t>
      </w:r>
      <w:r w:rsidR="006C2E5E" w:rsidRPr="008F6FC2">
        <w:rPr>
          <w:rFonts w:ascii="Palatino Linotype" w:eastAsia="Palatino Linotype" w:hAnsi="Palatino Linotype" w:cs="Palatino Linotype"/>
          <w:b/>
          <w:sz w:val="22"/>
        </w:rPr>
        <w:t>Comisión de Derechos Humanos del Estado de México</w:t>
      </w:r>
      <w:r w:rsidRPr="008F6FC2">
        <w:rPr>
          <w:rFonts w:ascii="Palatino Linotype" w:eastAsia="Palatino Linotype" w:hAnsi="Palatino Linotype" w:cs="Palatino Linotype"/>
          <w:b/>
          <w:sz w:val="22"/>
        </w:rPr>
        <w:t xml:space="preserve">, </w:t>
      </w:r>
      <w:r w:rsidRPr="008F6FC2">
        <w:rPr>
          <w:rFonts w:ascii="Palatino Linotype" w:eastAsia="Palatino Linotype" w:hAnsi="Palatino Linotype" w:cs="Palatino Linotype"/>
          <w:sz w:val="22"/>
        </w:rPr>
        <w:t xml:space="preserve">en lo sucesivo el </w:t>
      </w:r>
      <w:r w:rsidRPr="008F6FC2">
        <w:rPr>
          <w:rFonts w:ascii="Palatino Linotype" w:eastAsia="Palatino Linotype" w:hAnsi="Palatino Linotype" w:cs="Palatino Linotype"/>
          <w:b/>
          <w:sz w:val="22"/>
        </w:rPr>
        <w:t xml:space="preserve">Sujeto Obligado, </w:t>
      </w:r>
      <w:r w:rsidRPr="008F6FC2">
        <w:rPr>
          <w:rFonts w:ascii="Palatino Linotype" w:eastAsia="Palatino Linotype" w:hAnsi="Palatino Linotype" w:cs="Palatino Linotype"/>
          <w:sz w:val="22"/>
        </w:rPr>
        <w:t xml:space="preserve">se procede a dictar la presente resolución con base en los siguientes: </w:t>
      </w:r>
    </w:p>
    <w:p w14:paraId="45427B68" w14:textId="77777777" w:rsidR="007A1197" w:rsidRPr="008F6FC2" w:rsidRDefault="00B43A0A">
      <w:pPr>
        <w:spacing w:before="240" w:after="240" w:line="360" w:lineRule="auto"/>
        <w:jc w:val="center"/>
        <w:rPr>
          <w:rFonts w:ascii="Palatino Linotype" w:eastAsia="Palatino Linotype" w:hAnsi="Palatino Linotype" w:cs="Palatino Linotype"/>
          <w:b/>
          <w:sz w:val="22"/>
          <w:szCs w:val="22"/>
        </w:rPr>
      </w:pPr>
      <w:r w:rsidRPr="008F6FC2">
        <w:rPr>
          <w:rFonts w:ascii="Palatino Linotype" w:eastAsia="Palatino Linotype" w:hAnsi="Palatino Linotype" w:cs="Palatino Linotype"/>
          <w:b/>
        </w:rPr>
        <w:t xml:space="preserve">I. </w:t>
      </w:r>
      <w:r w:rsidRPr="008F6FC2">
        <w:rPr>
          <w:rFonts w:ascii="Palatino Linotype" w:eastAsia="Palatino Linotype" w:hAnsi="Palatino Linotype" w:cs="Palatino Linotype"/>
          <w:b/>
          <w:sz w:val="22"/>
          <w:szCs w:val="22"/>
        </w:rPr>
        <w:t>A N T E C E D E N T E S</w:t>
      </w:r>
    </w:p>
    <w:p w14:paraId="2285163B" w14:textId="1335A726" w:rsidR="007A1197" w:rsidRPr="008F6FC2" w:rsidRDefault="00B43A0A">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b/>
          <w:sz w:val="22"/>
          <w:szCs w:val="22"/>
        </w:rPr>
        <w:t>1. Solicitud de acceso a la información.</w:t>
      </w:r>
      <w:r w:rsidRPr="008F6FC2">
        <w:rPr>
          <w:rFonts w:ascii="Palatino Linotype" w:eastAsia="Palatino Linotype" w:hAnsi="Palatino Linotype" w:cs="Palatino Linotype"/>
          <w:sz w:val="22"/>
          <w:szCs w:val="22"/>
        </w:rPr>
        <w:t xml:space="preserve"> El </w:t>
      </w:r>
      <w:r w:rsidR="006C2E5E" w:rsidRPr="008F6FC2">
        <w:rPr>
          <w:rFonts w:ascii="Palatino Linotype" w:eastAsia="Palatino Linotype" w:hAnsi="Palatino Linotype" w:cs="Palatino Linotype"/>
          <w:b/>
          <w:sz w:val="22"/>
          <w:szCs w:val="22"/>
        </w:rPr>
        <w:t>primero de juli</w:t>
      </w:r>
      <w:r w:rsidR="00764065" w:rsidRPr="008F6FC2">
        <w:rPr>
          <w:rFonts w:ascii="Palatino Linotype" w:eastAsia="Palatino Linotype" w:hAnsi="Palatino Linotype" w:cs="Palatino Linotype"/>
          <w:b/>
          <w:sz w:val="22"/>
          <w:szCs w:val="22"/>
        </w:rPr>
        <w:t>o del dos mil veinticuatro</w:t>
      </w:r>
      <w:r w:rsidRPr="008F6FC2">
        <w:rPr>
          <w:rFonts w:ascii="Palatino Linotype" w:eastAsia="Palatino Linotype" w:hAnsi="Palatino Linotype" w:cs="Palatino Linotype"/>
          <w:b/>
          <w:sz w:val="22"/>
          <w:szCs w:val="22"/>
        </w:rPr>
        <w:t>,</w:t>
      </w: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b/>
          <w:sz w:val="22"/>
          <w:szCs w:val="22"/>
        </w:rPr>
        <w:t xml:space="preserve">la parte Recurrente </w:t>
      </w:r>
      <w:r w:rsidRPr="008F6FC2">
        <w:rPr>
          <w:rFonts w:ascii="Palatino Linotype" w:eastAsia="Palatino Linotype" w:hAnsi="Palatino Linotype" w:cs="Palatino Linotype"/>
          <w:sz w:val="22"/>
          <w:szCs w:val="22"/>
        </w:rPr>
        <w:t xml:space="preserve">presentó, a través del Sistema de Acceso a la Información Mexiquense, en lo subsecuente el </w:t>
      </w:r>
      <w:r w:rsidRPr="008F6FC2">
        <w:rPr>
          <w:rFonts w:ascii="Palatino Linotype" w:eastAsia="Palatino Linotype" w:hAnsi="Palatino Linotype" w:cs="Palatino Linotype"/>
          <w:b/>
          <w:sz w:val="22"/>
          <w:szCs w:val="22"/>
        </w:rPr>
        <w:t>SAIMEX,</w:t>
      </w:r>
      <w:r w:rsidRPr="008F6FC2">
        <w:rPr>
          <w:rFonts w:ascii="Palatino Linotype" w:eastAsia="Palatino Linotype" w:hAnsi="Palatino Linotype" w:cs="Palatino Linotype"/>
          <w:sz w:val="22"/>
          <w:szCs w:val="22"/>
        </w:rPr>
        <w:t xml:space="preserve"> ante 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la solicitud de acceso a la información pública, a la que se le asignó el número</w:t>
      </w:r>
      <w:r w:rsidRPr="008F6FC2">
        <w:rPr>
          <w:rFonts w:ascii="Palatino Linotype" w:eastAsia="Palatino Linotype" w:hAnsi="Palatino Linotype" w:cs="Palatino Linotype"/>
          <w:b/>
          <w:sz w:val="22"/>
          <w:szCs w:val="22"/>
        </w:rPr>
        <w:t xml:space="preserve"> </w:t>
      </w:r>
      <w:r w:rsidR="006C2E5E" w:rsidRPr="008F6FC2">
        <w:rPr>
          <w:rFonts w:ascii="Palatino Linotype" w:eastAsia="Palatino Linotype" w:hAnsi="Palatino Linotype" w:cs="Palatino Linotype"/>
          <w:b/>
          <w:sz w:val="22"/>
          <w:szCs w:val="22"/>
        </w:rPr>
        <w:t>00131/CODHEM/IP/2024</w:t>
      </w:r>
      <w:r w:rsidRPr="008F6FC2">
        <w:rPr>
          <w:rFonts w:ascii="Palatino Linotype" w:eastAsia="Palatino Linotype" w:hAnsi="Palatino Linotype" w:cs="Palatino Linotype"/>
          <w:b/>
          <w:sz w:val="22"/>
          <w:szCs w:val="22"/>
        </w:rPr>
        <w:t xml:space="preserve">, </w:t>
      </w:r>
      <w:r w:rsidRPr="008F6FC2">
        <w:rPr>
          <w:rFonts w:ascii="Palatino Linotype" w:eastAsia="Palatino Linotype" w:hAnsi="Palatino Linotype" w:cs="Palatino Linotype"/>
          <w:sz w:val="22"/>
          <w:szCs w:val="22"/>
        </w:rPr>
        <w:t xml:space="preserve">mediante la cual requirió la información siguiente: </w:t>
      </w:r>
    </w:p>
    <w:p w14:paraId="66B299EB" w14:textId="448F4231" w:rsidR="007A1197" w:rsidRPr="008F6FC2" w:rsidRDefault="00B43A0A" w:rsidP="00764065">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8F6FC2">
        <w:rPr>
          <w:rFonts w:ascii="Palatino Linotype" w:eastAsia="Palatino Linotype" w:hAnsi="Palatino Linotype" w:cs="Palatino Linotype"/>
          <w:i/>
          <w:sz w:val="22"/>
          <w:szCs w:val="22"/>
        </w:rPr>
        <w:t>“</w:t>
      </w:r>
      <w:r w:rsidR="006C2E5E" w:rsidRPr="008F6FC2">
        <w:rPr>
          <w:rFonts w:ascii="Palatino Linotype" w:eastAsia="Palatino Linotype" w:hAnsi="Palatino Linotype" w:cs="Palatino Linotype"/>
          <w:b/>
          <w:i/>
          <w:sz w:val="22"/>
          <w:szCs w:val="22"/>
          <w:u w:val="single"/>
        </w:rPr>
        <w:t>Cantidad de Recomendaciones hechas en 2023 y 2024</w:t>
      </w:r>
      <w:r w:rsidR="006C2E5E" w:rsidRPr="008F6FC2">
        <w:rPr>
          <w:rFonts w:ascii="Palatino Linotype" w:eastAsia="Palatino Linotype" w:hAnsi="Palatino Linotype" w:cs="Palatino Linotype"/>
          <w:i/>
          <w:sz w:val="22"/>
          <w:szCs w:val="22"/>
        </w:rPr>
        <w:t xml:space="preserve"> al penitenciario y de readaptación social "Santiaguito"</w:t>
      </w:r>
      <w:r w:rsidRPr="008F6FC2">
        <w:rPr>
          <w:rFonts w:ascii="Palatino Linotype" w:eastAsia="Palatino Linotype" w:hAnsi="Palatino Linotype" w:cs="Palatino Linotype"/>
          <w:i/>
          <w:sz w:val="22"/>
          <w:szCs w:val="22"/>
        </w:rPr>
        <w:t xml:space="preserve">” (Sic) </w:t>
      </w:r>
    </w:p>
    <w:p w14:paraId="6CC7A6F5" w14:textId="77777777" w:rsidR="007A1197" w:rsidRPr="008F6FC2" w:rsidRDefault="00B43A0A">
      <w:pPr>
        <w:tabs>
          <w:tab w:val="left" w:pos="1080"/>
        </w:tabs>
        <w:spacing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ab/>
      </w:r>
    </w:p>
    <w:p w14:paraId="425CF5FF" w14:textId="77777777" w:rsidR="007A1197" w:rsidRPr="008F6FC2" w:rsidRDefault="00B43A0A">
      <w:pPr>
        <w:spacing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b/>
          <w:sz w:val="22"/>
          <w:szCs w:val="22"/>
        </w:rPr>
        <w:t>Modalidad de Entrega:</w:t>
      </w:r>
      <w:r w:rsidRPr="008F6FC2">
        <w:rPr>
          <w:rFonts w:ascii="Palatino Linotype" w:eastAsia="Palatino Linotype" w:hAnsi="Palatino Linotype" w:cs="Palatino Linotype"/>
          <w:sz w:val="22"/>
          <w:szCs w:val="22"/>
        </w:rPr>
        <w:t xml:space="preserve"> A través de </w:t>
      </w:r>
      <w:r w:rsidRPr="008F6FC2">
        <w:rPr>
          <w:rFonts w:ascii="Palatino Linotype" w:eastAsia="Palatino Linotype" w:hAnsi="Palatino Linotype" w:cs="Palatino Linotype"/>
          <w:b/>
          <w:sz w:val="22"/>
          <w:szCs w:val="22"/>
        </w:rPr>
        <w:t>SAIMEX</w:t>
      </w:r>
      <w:r w:rsidRPr="008F6FC2">
        <w:rPr>
          <w:rFonts w:ascii="Palatino Linotype" w:eastAsia="Palatino Linotype" w:hAnsi="Palatino Linotype" w:cs="Palatino Linotype"/>
          <w:sz w:val="22"/>
          <w:szCs w:val="22"/>
        </w:rPr>
        <w:t>.</w:t>
      </w:r>
    </w:p>
    <w:p w14:paraId="03560E2F" w14:textId="77777777" w:rsidR="007A1197" w:rsidRPr="008F6FC2" w:rsidRDefault="007A1197">
      <w:pPr>
        <w:spacing w:line="360" w:lineRule="auto"/>
        <w:ind w:left="567" w:right="900"/>
        <w:jc w:val="both"/>
        <w:rPr>
          <w:rFonts w:ascii="Palatino Linotype" w:eastAsia="Palatino Linotype" w:hAnsi="Palatino Linotype" w:cs="Palatino Linotype"/>
          <w:sz w:val="22"/>
          <w:szCs w:val="22"/>
        </w:rPr>
      </w:pPr>
    </w:p>
    <w:p w14:paraId="176ACCAF" w14:textId="0464BFD6" w:rsidR="007A1197" w:rsidRPr="008F6FC2" w:rsidRDefault="00B43A0A">
      <w:pPr>
        <w:spacing w:after="240" w:line="360" w:lineRule="auto"/>
        <w:jc w:val="both"/>
        <w:rPr>
          <w:rFonts w:ascii="Palatino Linotype" w:eastAsia="Palatino Linotype" w:hAnsi="Palatino Linotype" w:cs="Palatino Linotype"/>
          <w:b/>
          <w:sz w:val="22"/>
        </w:rPr>
      </w:pPr>
      <w:r w:rsidRPr="008F6FC2">
        <w:rPr>
          <w:rFonts w:ascii="Palatino Linotype" w:eastAsia="Palatino Linotype" w:hAnsi="Palatino Linotype" w:cs="Palatino Linotype"/>
          <w:b/>
          <w:sz w:val="22"/>
        </w:rPr>
        <w:t xml:space="preserve">2. Respuesta. </w:t>
      </w:r>
      <w:r w:rsidRPr="008F6FC2">
        <w:rPr>
          <w:rFonts w:ascii="Palatino Linotype" w:eastAsia="Palatino Linotype" w:hAnsi="Palatino Linotype" w:cs="Palatino Linotype"/>
          <w:sz w:val="22"/>
        </w:rPr>
        <w:t xml:space="preserve">El </w:t>
      </w:r>
      <w:r w:rsidR="006C2E5E" w:rsidRPr="008F6FC2">
        <w:rPr>
          <w:rFonts w:ascii="Palatino Linotype" w:eastAsia="Palatino Linotype" w:hAnsi="Palatino Linotype" w:cs="Palatino Linotype"/>
          <w:b/>
          <w:sz w:val="22"/>
        </w:rPr>
        <w:t>primero de julio</w:t>
      </w:r>
      <w:r w:rsidR="00764065" w:rsidRPr="008F6FC2">
        <w:rPr>
          <w:rFonts w:ascii="Palatino Linotype" w:eastAsia="Palatino Linotype" w:hAnsi="Palatino Linotype" w:cs="Palatino Linotype"/>
          <w:b/>
          <w:sz w:val="22"/>
        </w:rPr>
        <w:t xml:space="preserve"> de dos mil veinticuatro</w:t>
      </w:r>
      <w:r w:rsidRPr="008F6FC2">
        <w:rPr>
          <w:rFonts w:ascii="Palatino Linotype" w:eastAsia="Palatino Linotype" w:hAnsi="Palatino Linotype" w:cs="Palatino Linotype"/>
          <w:sz w:val="22"/>
        </w:rPr>
        <w:t xml:space="preserve">, el </w:t>
      </w:r>
      <w:r w:rsidRPr="008F6FC2">
        <w:rPr>
          <w:rFonts w:ascii="Palatino Linotype" w:eastAsia="Palatino Linotype" w:hAnsi="Palatino Linotype" w:cs="Palatino Linotype"/>
          <w:b/>
          <w:sz w:val="22"/>
        </w:rPr>
        <w:t xml:space="preserve">Sujeto Obligado </w:t>
      </w:r>
      <w:r w:rsidRPr="008F6FC2">
        <w:rPr>
          <w:rFonts w:ascii="Palatino Linotype" w:eastAsia="Palatino Linotype" w:hAnsi="Palatino Linotype" w:cs="Palatino Linotype"/>
          <w:sz w:val="22"/>
        </w:rPr>
        <w:t xml:space="preserve">remitió su respuesta a la solicitud de acceso a la información a través de SAIMEX, sustancialmente en los términos siguientes:   </w:t>
      </w:r>
    </w:p>
    <w:p w14:paraId="1EF30408" w14:textId="77777777" w:rsidR="006C2E5E" w:rsidRPr="008F6FC2" w:rsidRDefault="00B43A0A" w:rsidP="006C2E5E">
      <w:pPr>
        <w:spacing w:before="240" w:after="240"/>
        <w:ind w:left="567" w:right="902"/>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lastRenderedPageBreak/>
        <w:t>“</w:t>
      </w:r>
      <w:r w:rsidR="006C2E5E" w:rsidRPr="008F6FC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EE7C19" w14:textId="28D1BDC9" w:rsidR="006C2E5E" w:rsidRPr="008F6FC2" w:rsidRDefault="006C2E5E" w:rsidP="006C2E5E">
      <w:pPr>
        <w:spacing w:before="240" w:after="240"/>
        <w:ind w:left="567" w:right="902"/>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En respuesta a la solicitud 00131/CODHEM/IP/2024, nos permitimos hacer de su conocimiento que con fundamento en los artículos 53, Fracciones: II, V y VI, 163 de la Ley de Transparencia y Acceso a la Información Pública del Estado de México y Municipios, se envía respuesta a su solicitud, misma que encontrará en archivos anexos. Atte. L.A.E. Erika Yolanda Funes Velázquez Titular de la Unidad de Transparencia. Comisión de Derechos Humanos del Estado de México</w:t>
      </w:r>
      <w:r w:rsidR="004F046D" w:rsidRPr="008F6FC2">
        <w:rPr>
          <w:rFonts w:ascii="Palatino Linotype" w:eastAsia="Palatino Linotype" w:hAnsi="Palatino Linotype" w:cs="Palatino Linotype"/>
          <w:i/>
          <w:sz w:val="22"/>
          <w:szCs w:val="22"/>
        </w:rPr>
        <w:t>.</w:t>
      </w:r>
    </w:p>
    <w:p w14:paraId="371BB914" w14:textId="77777777" w:rsidR="006C2E5E" w:rsidRPr="008F6FC2" w:rsidRDefault="006C2E5E" w:rsidP="006C2E5E">
      <w:pPr>
        <w:spacing w:before="240" w:after="240"/>
        <w:ind w:left="567" w:right="902"/>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ATENTAMENTE</w:t>
      </w:r>
    </w:p>
    <w:p w14:paraId="12383B12" w14:textId="3D98009E" w:rsidR="007A1197" w:rsidRPr="008F6FC2" w:rsidRDefault="006C2E5E" w:rsidP="006C2E5E">
      <w:pPr>
        <w:spacing w:before="240" w:after="240"/>
        <w:ind w:left="567" w:right="902"/>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L. A. E. ERIKA Y. FUNES VELÁZQUEZ</w:t>
      </w:r>
      <w:r w:rsidR="00B43A0A" w:rsidRPr="008F6FC2">
        <w:rPr>
          <w:rFonts w:ascii="Palatino Linotype" w:eastAsia="Palatino Linotype" w:hAnsi="Palatino Linotype" w:cs="Palatino Linotype"/>
          <w:i/>
          <w:sz w:val="22"/>
          <w:szCs w:val="22"/>
        </w:rPr>
        <w:t xml:space="preserve">” (Sic) </w:t>
      </w:r>
    </w:p>
    <w:p w14:paraId="123ED65E" w14:textId="77777777" w:rsidR="007A1197" w:rsidRPr="008F6FC2" w:rsidRDefault="00B43A0A">
      <w:pPr>
        <w:spacing w:before="240" w:after="240" w:line="360" w:lineRule="auto"/>
        <w:ind w:left="567" w:right="49"/>
        <w:jc w:val="both"/>
        <w:rPr>
          <w:rFonts w:ascii="Palatino Linotype" w:eastAsia="Palatino Linotype" w:hAnsi="Palatino Linotype" w:cs="Palatino Linotype"/>
          <w:b/>
          <w:sz w:val="22"/>
        </w:rPr>
      </w:pPr>
      <w:r w:rsidRPr="008F6FC2">
        <w:rPr>
          <w:rFonts w:ascii="Palatino Linotype" w:eastAsia="Palatino Linotype" w:hAnsi="Palatino Linotype" w:cs="Palatino Linotype"/>
          <w:b/>
          <w:sz w:val="22"/>
        </w:rPr>
        <w:t xml:space="preserve">Archivos adjuntos: </w:t>
      </w:r>
    </w:p>
    <w:p w14:paraId="50B10EA6" w14:textId="35111B8A" w:rsidR="006C2E5E" w:rsidRPr="008F6FC2" w:rsidRDefault="006C2E5E" w:rsidP="00E77D2F">
      <w:pPr>
        <w:spacing w:before="240" w:after="240" w:line="360" w:lineRule="auto"/>
        <w:ind w:left="567" w:right="758"/>
        <w:jc w:val="both"/>
        <w:rPr>
          <w:rFonts w:ascii="Palatino Linotype" w:eastAsia="Palatino Linotype" w:hAnsi="Palatino Linotype" w:cs="Palatino Linotype"/>
          <w:sz w:val="22"/>
        </w:rPr>
      </w:pPr>
      <w:r w:rsidRPr="008F6FC2">
        <w:rPr>
          <w:rFonts w:ascii="Palatino Linotype" w:eastAsia="Palatino Linotype" w:hAnsi="Palatino Linotype" w:cs="Palatino Linotype"/>
          <w:b/>
          <w:i/>
          <w:sz w:val="22"/>
        </w:rPr>
        <w:t xml:space="preserve">“Solicitud SAIMEX 00131-CODHEM-IP-2024.pdf”: </w:t>
      </w:r>
      <w:r w:rsidRPr="008F6FC2">
        <w:rPr>
          <w:rFonts w:ascii="Palatino Linotype" w:eastAsia="Palatino Linotype" w:hAnsi="Palatino Linotype" w:cs="Palatino Linotype"/>
          <w:sz w:val="22"/>
        </w:rPr>
        <w:t>Oficio 400C110100A/99/2024, suscrito por el Servidor Público Habilitado de la Unidad Especializada de Seguimiento de Recomendaciones y Proyectos, quien informa que la Recomendación que cumple con el criterio solicitado es la:</w:t>
      </w:r>
    </w:p>
    <w:p w14:paraId="4A85E063" w14:textId="5B55872B" w:rsidR="006C2E5E" w:rsidRPr="008F6FC2" w:rsidRDefault="006C2E5E" w:rsidP="00E77D2F">
      <w:pPr>
        <w:spacing w:before="240" w:after="240" w:line="360" w:lineRule="auto"/>
        <w:ind w:left="567" w:right="758"/>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 </w:t>
      </w:r>
      <w:r w:rsidRPr="008F6FC2">
        <w:rPr>
          <w:rFonts w:ascii="Palatino Linotype" w:eastAsia="Palatino Linotype" w:hAnsi="Palatino Linotype" w:cs="Palatino Linotype"/>
          <w:b/>
          <w:sz w:val="22"/>
        </w:rPr>
        <w:t>Recomendación 8/2023</w:t>
      </w:r>
      <w:r w:rsidRPr="008F6FC2">
        <w:rPr>
          <w:rFonts w:ascii="Palatino Linotype" w:eastAsia="Palatino Linotype" w:hAnsi="Palatino Linotype" w:cs="Palatino Linotype"/>
          <w:sz w:val="22"/>
        </w:rPr>
        <w:t xml:space="preserve">: </w:t>
      </w:r>
      <w:r w:rsidRPr="008F6FC2">
        <w:rPr>
          <w:rFonts w:ascii="Palatino Linotype" w:eastAsia="Palatino Linotype" w:hAnsi="Palatino Linotype" w:cs="Palatino Linotype"/>
          <w:b/>
          <w:bCs/>
          <w:sz w:val="22"/>
          <w:u w:val="single"/>
        </w:rPr>
        <w:t xml:space="preserve">Emitida al </w:t>
      </w:r>
      <w:proofErr w:type="gramStart"/>
      <w:r w:rsidRPr="008F6FC2">
        <w:rPr>
          <w:rFonts w:ascii="Palatino Linotype" w:eastAsia="Palatino Linotype" w:hAnsi="Palatino Linotype" w:cs="Palatino Linotype"/>
          <w:b/>
          <w:bCs/>
          <w:sz w:val="22"/>
          <w:u w:val="single"/>
        </w:rPr>
        <w:t>Fiscal General</w:t>
      </w:r>
      <w:proofErr w:type="gramEnd"/>
      <w:r w:rsidRPr="008F6FC2">
        <w:rPr>
          <w:rFonts w:ascii="Palatino Linotype" w:eastAsia="Palatino Linotype" w:hAnsi="Palatino Linotype" w:cs="Palatino Linotype"/>
          <w:b/>
          <w:bCs/>
          <w:sz w:val="22"/>
          <w:u w:val="single"/>
        </w:rPr>
        <w:t xml:space="preserve"> de Justicia del Est</w:t>
      </w:r>
      <w:r w:rsidR="00E77D2F" w:rsidRPr="008F6FC2">
        <w:rPr>
          <w:rFonts w:ascii="Palatino Linotype" w:eastAsia="Palatino Linotype" w:hAnsi="Palatino Linotype" w:cs="Palatino Linotype"/>
          <w:b/>
          <w:bCs/>
          <w:sz w:val="22"/>
          <w:u w:val="single"/>
        </w:rPr>
        <w:t>ado</w:t>
      </w:r>
      <w:r w:rsidR="00E77D2F" w:rsidRPr="008F6FC2">
        <w:rPr>
          <w:rFonts w:ascii="Palatino Linotype" w:eastAsia="Palatino Linotype" w:hAnsi="Palatino Linotype" w:cs="Palatino Linotype"/>
          <w:sz w:val="22"/>
        </w:rPr>
        <w:t xml:space="preserve"> de México, el diez de julio </w:t>
      </w:r>
      <w:r w:rsidRPr="008F6FC2">
        <w:rPr>
          <w:rFonts w:ascii="Palatino Linotype" w:eastAsia="Palatino Linotype" w:hAnsi="Palatino Linotype" w:cs="Palatino Linotype"/>
          <w:sz w:val="22"/>
        </w:rPr>
        <w:t>de 2023, por vulneración al derecho a la seguridad humana, dere</w:t>
      </w:r>
      <w:r w:rsidR="00E77D2F" w:rsidRPr="008F6FC2">
        <w:rPr>
          <w:rFonts w:ascii="Palatino Linotype" w:eastAsia="Palatino Linotype" w:hAnsi="Palatino Linotype" w:cs="Palatino Linotype"/>
          <w:sz w:val="22"/>
        </w:rPr>
        <w:t xml:space="preserve">cho a la integridad y seguridad </w:t>
      </w:r>
      <w:r w:rsidRPr="008F6FC2">
        <w:rPr>
          <w:rFonts w:ascii="Palatino Linotype" w:eastAsia="Palatino Linotype" w:hAnsi="Palatino Linotype" w:cs="Palatino Linotype"/>
          <w:sz w:val="22"/>
        </w:rPr>
        <w:t>personal y derechos a servicios públicos de calidad.</w:t>
      </w:r>
    </w:p>
    <w:p w14:paraId="0B5C8AC3" w14:textId="798F5D9C" w:rsidR="006C2E5E" w:rsidRPr="008F6FC2" w:rsidRDefault="006C2E5E" w:rsidP="00E77D2F">
      <w:pPr>
        <w:spacing w:before="240" w:after="240" w:line="360" w:lineRule="auto"/>
        <w:ind w:left="567" w:right="758"/>
        <w:jc w:val="both"/>
        <w:rPr>
          <w:rFonts w:ascii="Palatino Linotype" w:eastAsia="Palatino Linotype" w:hAnsi="Palatino Linotype" w:cs="Palatino Linotype"/>
          <w:sz w:val="22"/>
        </w:rPr>
      </w:pPr>
      <w:r w:rsidRPr="008F6FC2">
        <w:rPr>
          <w:rFonts w:ascii="Palatino Linotype" w:eastAsia="Palatino Linotype" w:hAnsi="Palatino Linotype" w:cs="Palatino Linotype"/>
          <w:b/>
          <w:i/>
          <w:sz w:val="22"/>
        </w:rPr>
        <w:t xml:space="preserve">“Oficio de respuesta a solicitud 00131.pdf”: </w:t>
      </w:r>
      <w:r w:rsidRPr="008F6FC2">
        <w:rPr>
          <w:rFonts w:ascii="Palatino Linotype" w:eastAsia="Palatino Linotype" w:hAnsi="Palatino Linotype" w:cs="Palatino Linotype"/>
          <w:sz w:val="22"/>
        </w:rPr>
        <w:t xml:space="preserve">Oficio número UT/381/2024 por el cual, la Titular de la Unidad de Transparencia refiere que la solicitud fue analizada por esta Unidad de Transparencia y turnada para su atención a al servidor público habilitado de la Unidad Especializada de Seguimiento de </w:t>
      </w:r>
      <w:r w:rsidRPr="008F6FC2">
        <w:rPr>
          <w:rFonts w:ascii="Palatino Linotype" w:eastAsia="Palatino Linotype" w:hAnsi="Palatino Linotype" w:cs="Palatino Linotype"/>
          <w:sz w:val="22"/>
        </w:rPr>
        <w:lastRenderedPageBreak/>
        <w:t xml:space="preserve">Recomendaciones y Proyectos de esta Defensoría de Habitantes, quien dio respuesta a su solicitud, información que se adjunta en archivo </w:t>
      </w:r>
      <w:proofErr w:type="spellStart"/>
      <w:r w:rsidRPr="008F6FC2">
        <w:rPr>
          <w:rFonts w:ascii="Palatino Linotype" w:eastAsia="Palatino Linotype" w:hAnsi="Palatino Linotype" w:cs="Palatino Linotype"/>
          <w:sz w:val="22"/>
        </w:rPr>
        <w:t>pdf</w:t>
      </w:r>
      <w:proofErr w:type="spellEnd"/>
      <w:r w:rsidRPr="008F6FC2">
        <w:rPr>
          <w:rFonts w:ascii="Palatino Linotype" w:eastAsia="Palatino Linotype" w:hAnsi="Palatino Linotype" w:cs="Palatino Linotype"/>
          <w:sz w:val="22"/>
        </w:rPr>
        <w:t>.</w:t>
      </w:r>
    </w:p>
    <w:p w14:paraId="2C36444D" w14:textId="46350309" w:rsidR="007A1197" w:rsidRPr="008F6FC2" w:rsidRDefault="005D66ED">
      <w:pPr>
        <w:spacing w:before="240" w:after="240" w:line="360" w:lineRule="auto"/>
        <w:ind w:right="49"/>
        <w:jc w:val="both"/>
        <w:rPr>
          <w:rFonts w:ascii="Palatino Linotype" w:eastAsia="Palatino Linotype" w:hAnsi="Palatino Linotype" w:cs="Palatino Linotype"/>
          <w:b/>
          <w:i/>
          <w:sz w:val="22"/>
        </w:rPr>
      </w:pPr>
      <w:r w:rsidRPr="008F6FC2">
        <w:rPr>
          <w:rFonts w:ascii="Palatino Linotype" w:eastAsia="Palatino Linotype" w:hAnsi="Palatino Linotype" w:cs="Palatino Linotype"/>
          <w:b/>
          <w:sz w:val="22"/>
        </w:rPr>
        <w:t>3</w:t>
      </w:r>
      <w:r w:rsidR="00B43A0A" w:rsidRPr="008F6FC2">
        <w:rPr>
          <w:rFonts w:ascii="Palatino Linotype" w:eastAsia="Palatino Linotype" w:hAnsi="Palatino Linotype" w:cs="Palatino Linotype"/>
          <w:b/>
          <w:sz w:val="22"/>
        </w:rPr>
        <w:t xml:space="preserve">. Interposición del recurso de revisión. </w:t>
      </w:r>
      <w:r w:rsidR="00B43A0A" w:rsidRPr="008F6FC2">
        <w:rPr>
          <w:rFonts w:ascii="Palatino Linotype" w:eastAsia="Palatino Linotype" w:hAnsi="Palatino Linotype" w:cs="Palatino Linotype"/>
          <w:sz w:val="22"/>
        </w:rPr>
        <w:t xml:space="preserve">Inconforme con los términos de la respuesta emitida por parte del </w:t>
      </w:r>
      <w:r w:rsidR="00B43A0A" w:rsidRPr="008F6FC2">
        <w:rPr>
          <w:rFonts w:ascii="Palatino Linotype" w:eastAsia="Palatino Linotype" w:hAnsi="Palatino Linotype" w:cs="Palatino Linotype"/>
          <w:b/>
          <w:sz w:val="22"/>
        </w:rPr>
        <w:t>Sujeto Obligado</w:t>
      </w:r>
      <w:r w:rsidR="00B43A0A" w:rsidRPr="008F6FC2">
        <w:rPr>
          <w:rFonts w:ascii="Palatino Linotype" w:eastAsia="Palatino Linotype" w:hAnsi="Palatino Linotype" w:cs="Palatino Linotype"/>
          <w:sz w:val="22"/>
        </w:rPr>
        <w:t xml:space="preserve">, el </w:t>
      </w:r>
      <w:r w:rsidR="00E77D2F" w:rsidRPr="008F6FC2">
        <w:rPr>
          <w:rFonts w:ascii="Palatino Linotype" w:eastAsia="Palatino Linotype" w:hAnsi="Palatino Linotype" w:cs="Palatino Linotype"/>
          <w:b/>
          <w:sz w:val="22"/>
        </w:rPr>
        <w:t>ocho de julio</w:t>
      </w:r>
      <w:r w:rsidRPr="008F6FC2">
        <w:rPr>
          <w:rFonts w:ascii="Palatino Linotype" w:eastAsia="Palatino Linotype" w:hAnsi="Palatino Linotype" w:cs="Palatino Linotype"/>
          <w:b/>
          <w:sz w:val="22"/>
        </w:rPr>
        <w:t xml:space="preserve"> de dos mil veinticuatro</w:t>
      </w:r>
      <w:r w:rsidR="00B43A0A" w:rsidRPr="008F6FC2">
        <w:rPr>
          <w:rFonts w:ascii="Palatino Linotype" w:eastAsia="Palatino Linotype" w:hAnsi="Palatino Linotype" w:cs="Palatino Linotype"/>
          <w:b/>
          <w:sz w:val="22"/>
        </w:rPr>
        <w:t>,</w:t>
      </w:r>
      <w:r w:rsidR="00B43A0A" w:rsidRPr="008F6FC2">
        <w:rPr>
          <w:rFonts w:ascii="Palatino Linotype" w:eastAsia="Palatino Linotype" w:hAnsi="Palatino Linotype" w:cs="Palatino Linotype"/>
          <w:sz w:val="22"/>
        </w:rPr>
        <w:t xml:space="preserve"> </w:t>
      </w:r>
      <w:r w:rsidR="00B43A0A" w:rsidRPr="008F6FC2">
        <w:rPr>
          <w:rFonts w:ascii="Palatino Linotype" w:eastAsia="Palatino Linotype" w:hAnsi="Palatino Linotype" w:cs="Palatino Linotype"/>
          <w:b/>
          <w:sz w:val="22"/>
        </w:rPr>
        <w:t>la parte Recurrente</w:t>
      </w:r>
      <w:r w:rsidR="00B43A0A" w:rsidRPr="008F6FC2">
        <w:rPr>
          <w:rFonts w:ascii="Palatino Linotype" w:eastAsia="Palatino Linotype" w:hAnsi="Palatino Linotype" w:cs="Palatino Linotype"/>
          <w:sz w:val="22"/>
        </w:rPr>
        <w:t xml:space="preserve"> interpuso el recurso de revisión a través de </w:t>
      </w:r>
      <w:r w:rsidR="00B43A0A" w:rsidRPr="008F6FC2">
        <w:rPr>
          <w:rFonts w:ascii="Palatino Linotype" w:eastAsia="Palatino Linotype" w:hAnsi="Palatino Linotype" w:cs="Palatino Linotype"/>
          <w:b/>
          <w:sz w:val="22"/>
        </w:rPr>
        <w:t xml:space="preserve">SAIMEX, </w:t>
      </w:r>
      <w:r w:rsidR="00B43A0A" w:rsidRPr="008F6FC2">
        <w:rPr>
          <w:rFonts w:ascii="Palatino Linotype" w:eastAsia="Palatino Linotype" w:hAnsi="Palatino Linotype" w:cs="Palatino Linotype"/>
          <w:sz w:val="22"/>
        </w:rPr>
        <w:t>en donde se manifestó de la siguiente manera:</w:t>
      </w:r>
    </w:p>
    <w:p w14:paraId="38E71830" w14:textId="20529A6A" w:rsidR="004F0CBB" w:rsidRPr="008F6FC2" w:rsidRDefault="00B43A0A" w:rsidP="00E77D2F">
      <w:pPr>
        <w:tabs>
          <w:tab w:val="left" w:pos="2745"/>
        </w:tabs>
        <w:spacing w:before="240" w:after="240" w:line="276" w:lineRule="auto"/>
        <w:ind w:left="567" w:right="900"/>
        <w:jc w:val="both"/>
        <w:rPr>
          <w:rFonts w:ascii="Palatino Linotype" w:eastAsia="Palatino Linotype" w:hAnsi="Palatino Linotype" w:cs="Palatino Linotype"/>
          <w:b/>
          <w:sz w:val="22"/>
        </w:rPr>
      </w:pPr>
      <w:r w:rsidRPr="008F6FC2">
        <w:rPr>
          <w:rFonts w:ascii="Palatino Linotype" w:eastAsia="Palatino Linotype" w:hAnsi="Palatino Linotype" w:cs="Palatino Linotype"/>
          <w:b/>
          <w:sz w:val="22"/>
        </w:rPr>
        <w:t xml:space="preserve">a) </w:t>
      </w:r>
      <w:r w:rsidR="005D66ED" w:rsidRPr="008F6FC2">
        <w:rPr>
          <w:rFonts w:ascii="Palatino Linotype" w:eastAsia="Palatino Linotype" w:hAnsi="Palatino Linotype" w:cs="Palatino Linotype"/>
          <w:b/>
          <w:sz w:val="22"/>
        </w:rPr>
        <w:t xml:space="preserve">Acto impugnado: </w:t>
      </w:r>
      <w:r w:rsidRPr="008F6FC2">
        <w:rPr>
          <w:rFonts w:ascii="Palatino Linotype" w:eastAsia="Palatino Linotype" w:hAnsi="Palatino Linotype" w:cs="Palatino Linotype"/>
          <w:i/>
          <w:sz w:val="22"/>
          <w:szCs w:val="22"/>
        </w:rPr>
        <w:t>“</w:t>
      </w:r>
      <w:r w:rsidR="00E77D2F" w:rsidRPr="008F6FC2">
        <w:rPr>
          <w:rFonts w:ascii="Palatino Linotype" w:eastAsia="Palatino Linotype" w:hAnsi="Palatino Linotype" w:cs="Palatino Linotype"/>
          <w:i/>
          <w:sz w:val="22"/>
          <w:szCs w:val="22"/>
        </w:rPr>
        <w:t>La negativa del sujeto obligado a brindar información solicitada.</w:t>
      </w:r>
      <w:r w:rsidRPr="008F6FC2">
        <w:rPr>
          <w:rFonts w:ascii="Palatino Linotype" w:eastAsia="Palatino Linotype" w:hAnsi="Palatino Linotype" w:cs="Palatino Linotype"/>
          <w:i/>
          <w:sz w:val="22"/>
          <w:szCs w:val="22"/>
        </w:rPr>
        <w:t>” (Sic)</w:t>
      </w:r>
    </w:p>
    <w:p w14:paraId="12B7A45C" w14:textId="5ED037E6" w:rsidR="007A1197" w:rsidRPr="008F6FC2" w:rsidRDefault="00B43A0A" w:rsidP="00E77D2F">
      <w:pPr>
        <w:spacing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sz w:val="22"/>
        </w:rPr>
        <w:t>b) Razones o motivos de inconformidad</w:t>
      </w:r>
      <w:r w:rsidRPr="008F6FC2">
        <w:rPr>
          <w:rFonts w:ascii="Palatino Linotype" w:eastAsia="Palatino Linotype" w:hAnsi="Palatino Linotype" w:cs="Palatino Linotype"/>
        </w:rPr>
        <w:t>:</w:t>
      </w:r>
      <w:bookmarkStart w:id="1" w:name="_heading=h.30j0zll" w:colFirst="0" w:colLast="0"/>
      <w:bookmarkEnd w:id="1"/>
      <w:r w:rsidR="005D66ED" w:rsidRPr="008F6FC2">
        <w:rPr>
          <w:rFonts w:ascii="Palatino Linotype" w:eastAsia="Palatino Linotype" w:hAnsi="Palatino Linotype" w:cs="Palatino Linotype"/>
        </w:rPr>
        <w:t xml:space="preserve"> </w:t>
      </w:r>
      <w:bookmarkStart w:id="2" w:name="_Hlk175758862"/>
      <w:r w:rsidRPr="008F6FC2">
        <w:rPr>
          <w:rFonts w:ascii="Palatino Linotype" w:eastAsia="Palatino Linotype" w:hAnsi="Palatino Linotype" w:cs="Palatino Linotype"/>
          <w:i/>
          <w:sz w:val="22"/>
          <w:szCs w:val="22"/>
        </w:rPr>
        <w:t>“</w:t>
      </w:r>
      <w:r w:rsidR="00E77D2F" w:rsidRPr="008F6FC2">
        <w:rPr>
          <w:rFonts w:ascii="Palatino Linotype" w:eastAsia="Palatino Linotype" w:hAnsi="Palatino Linotype" w:cs="Palatino Linotype"/>
          <w:i/>
          <w:sz w:val="22"/>
          <w:szCs w:val="22"/>
        </w:rPr>
        <w:t xml:space="preserve">De acuerdo al sujeto obligado la razón de su negativa fue que "Los sujetos obligados sólo proporcionarán la información pública que se les requiera y que obre en sus archivos y en el estado en que se encuentra. La obligación de proporcionar información no comprende el procesamiento de la misma, ni el presentarla conforme al interés del solicitante; no estarán obligados a generarla, resumirla, efectuar cálculos o practicar investigaciones" no obstante el sujeto obligado es un </w:t>
      </w:r>
      <w:proofErr w:type="spellStart"/>
      <w:r w:rsidR="00E77D2F" w:rsidRPr="008F6FC2">
        <w:rPr>
          <w:rFonts w:ascii="Palatino Linotype" w:eastAsia="Palatino Linotype" w:hAnsi="Palatino Linotype" w:cs="Palatino Linotype"/>
          <w:i/>
          <w:sz w:val="22"/>
          <w:szCs w:val="22"/>
        </w:rPr>
        <w:t>organo</w:t>
      </w:r>
      <w:proofErr w:type="spellEnd"/>
      <w:r w:rsidR="00E77D2F" w:rsidRPr="008F6FC2">
        <w:rPr>
          <w:rFonts w:ascii="Palatino Linotype" w:eastAsia="Palatino Linotype" w:hAnsi="Palatino Linotype" w:cs="Palatino Linotype"/>
          <w:i/>
          <w:sz w:val="22"/>
          <w:szCs w:val="22"/>
        </w:rPr>
        <w:t xml:space="preserve"> estatal que cuenta con una unidad de atención a personas privadas de la libertad y es a dicha unidad a quien se debió recurrir para dar respuesta a lo solicitado; </w:t>
      </w:r>
      <w:proofErr w:type="spellStart"/>
      <w:r w:rsidR="00E77D2F" w:rsidRPr="008F6FC2">
        <w:rPr>
          <w:rFonts w:ascii="Palatino Linotype" w:eastAsia="Palatino Linotype" w:hAnsi="Palatino Linotype" w:cs="Palatino Linotype"/>
          <w:i/>
          <w:sz w:val="22"/>
          <w:szCs w:val="22"/>
        </w:rPr>
        <w:t>maxime</w:t>
      </w:r>
      <w:proofErr w:type="spellEnd"/>
      <w:r w:rsidR="00E77D2F" w:rsidRPr="008F6FC2">
        <w:rPr>
          <w:rFonts w:ascii="Palatino Linotype" w:eastAsia="Palatino Linotype" w:hAnsi="Palatino Linotype" w:cs="Palatino Linotype"/>
          <w:i/>
          <w:sz w:val="22"/>
          <w:szCs w:val="22"/>
        </w:rPr>
        <w:t xml:space="preserve"> que se trata de un organismo que vela por los derechos humanos de las personas. Su fundamentación resultó reduccionista y simplista; a pesar de que se pudo solicitar al área correspondiente. Por otra </w:t>
      </w:r>
      <w:proofErr w:type="gramStart"/>
      <w:r w:rsidR="00E77D2F" w:rsidRPr="008F6FC2">
        <w:rPr>
          <w:rFonts w:ascii="Palatino Linotype" w:eastAsia="Palatino Linotype" w:hAnsi="Palatino Linotype" w:cs="Palatino Linotype"/>
          <w:i/>
          <w:sz w:val="22"/>
          <w:szCs w:val="22"/>
        </w:rPr>
        <w:t>parte</w:t>
      </w:r>
      <w:proofErr w:type="gramEnd"/>
      <w:r w:rsidR="00E77D2F" w:rsidRPr="008F6FC2">
        <w:rPr>
          <w:rFonts w:ascii="Palatino Linotype" w:eastAsia="Palatino Linotype" w:hAnsi="Palatino Linotype" w:cs="Palatino Linotype"/>
          <w:i/>
          <w:sz w:val="22"/>
          <w:szCs w:val="22"/>
        </w:rPr>
        <w:t xml:space="preserve"> la CNDH presenta mensual y anualmente informes sobre los organismos estatales que la conforman y es evidente que cuenta con dicha información, así que es evidente la negativa del sujeto obligado a emitirla. Así como tampoco rindió un criterio </w:t>
      </w:r>
      <w:proofErr w:type="gramStart"/>
      <w:r w:rsidR="00E77D2F" w:rsidRPr="008F6FC2">
        <w:rPr>
          <w:rFonts w:ascii="Palatino Linotype" w:eastAsia="Palatino Linotype" w:hAnsi="Palatino Linotype" w:cs="Palatino Linotype"/>
          <w:i/>
          <w:sz w:val="22"/>
          <w:szCs w:val="22"/>
        </w:rPr>
        <w:t>orientador</w:t>
      </w:r>
      <w:proofErr w:type="gramEnd"/>
      <w:r w:rsidR="00E77D2F" w:rsidRPr="008F6FC2">
        <w:rPr>
          <w:rFonts w:ascii="Palatino Linotype" w:eastAsia="Palatino Linotype" w:hAnsi="Palatino Linotype" w:cs="Palatino Linotype"/>
          <w:i/>
          <w:sz w:val="22"/>
          <w:szCs w:val="22"/>
        </w:rPr>
        <w:t xml:space="preserve"> sino que simplemente copió un precepto legal as hoc para motivar su negativa a responder. Cabe destacar que también cuenta con </w:t>
      </w:r>
      <w:proofErr w:type="spellStart"/>
      <w:r w:rsidR="00E77D2F" w:rsidRPr="008F6FC2">
        <w:rPr>
          <w:rFonts w:ascii="Palatino Linotype" w:eastAsia="Palatino Linotype" w:hAnsi="Palatino Linotype" w:cs="Palatino Linotype"/>
          <w:i/>
          <w:sz w:val="22"/>
          <w:szCs w:val="22"/>
        </w:rPr>
        <w:t>visitadurias</w:t>
      </w:r>
      <w:proofErr w:type="spellEnd"/>
      <w:r w:rsidR="00E77D2F" w:rsidRPr="008F6FC2">
        <w:rPr>
          <w:rFonts w:ascii="Palatino Linotype" w:eastAsia="Palatino Linotype" w:hAnsi="Palatino Linotype" w:cs="Palatino Linotype"/>
          <w:i/>
          <w:sz w:val="22"/>
          <w:szCs w:val="22"/>
        </w:rPr>
        <w:t xml:space="preserve"> que pueden responder sin generar, procesar o hacer algo extraordinario para responder. Y dichas </w:t>
      </w:r>
      <w:proofErr w:type="spellStart"/>
      <w:r w:rsidR="00E77D2F" w:rsidRPr="008F6FC2">
        <w:rPr>
          <w:rFonts w:ascii="Palatino Linotype" w:eastAsia="Palatino Linotype" w:hAnsi="Palatino Linotype" w:cs="Palatino Linotype"/>
          <w:i/>
          <w:sz w:val="22"/>
          <w:szCs w:val="22"/>
        </w:rPr>
        <w:t>visitadurias</w:t>
      </w:r>
      <w:proofErr w:type="spellEnd"/>
      <w:r w:rsidR="00E77D2F" w:rsidRPr="008F6FC2">
        <w:rPr>
          <w:rFonts w:ascii="Palatino Linotype" w:eastAsia="Palatino Linotype" w:hAnsi="Palatino Linotype" w:cs="Palatino Linotype"/>
          <w:i/>
          <w:sz w:val="22"/>
          <w:szCs w:val="22"/>
        </w:rPr>
        <w:t xml:space="preserve"> también se encargan de sectores para atender a la población.</w:t>
      </w:r>
      <w:r w:rsidR="000856C2" w:rsidRPr="008F6FC2">
        <w:rPr>
          <w:rFonts w:ascii="Palatino Linotype" w:eastAsia="Palatino Linotype" w:hAnsi="Palatino Linotype" w:cs="Palatino Linotype"/>
          <w:i/>
          <w:sz w:val="22"/>
          <w:szCs w:val="22"/>
        </w:rPr>
        <w:t>”</w:t>
      </w:r>
      <w:r w:rsidR="00CF2B54" w:rsidRPr="008F6FC2">
        <w:rPr>
          <w:rFonts w:ascii="Palatino Linotype" w:eastAsia="Palatino Linotype" w:hAnsi="Palatino Linotype" w:cs="Palatino Linotype"/>
          <w:i/>
          <w:sz w:val="22"/>
          <w:szCs w:val="22"/>
        </w:rPr>
        <w:t xml:space="preserve"> </w:t>
      </w:r>
      <w:r w:rsidRPr="008F6FC2">
        <w:rPr>
          <w:rFonts w:ascii="Palatino Linotype" w:eastAsia="Palatino Linotype" w:hAnsi="Palatino Linotype" w:cs="Palatino Linotype"/>
          <w:i/>
          <w:sz w:val="22"/>
          <w:szCs w:val="22"/>
        </w:rPr>
        <w:t xml:space="preserve">(Sic) </w:t>
      </w:r>
      <w:bookmarkEnd w:id="2"/>
    </w:p>
    <w:p w14:paraId="176DE642" w14:textId="77777777" w:rsidR="00E77D2F" w:rsidRPr="008F6FC2" w:rsidRDefault="00E77D2F" w:rsidP="00E77D2F">
      <w:pPr>
        <w:spacing w:line="276" w:lineRule="auto"/>
        <w:ind w:left="567" w:right="900"/>
        <w:jc w:val="both"/>
        <w:rPr>
          <w:rFonts w:ascii="Palatino Linotype" w:eastAsia="Palatino Linotype" w:hAnsi="Palatino Linotype" w:cs="Palatino Linotype"/>
          <w:i/>
          <w:sz w:val="22"/>
          <w:szCs w:val="22"/>
        </w:rPr>
      </w:pPr>
    </w:p>
    <w:p w14:paraId="2A290F1A" w14:textId="77777777" w:rsidR="007A1197" w:rsidRPr="008F6FC2" w:rsidRDefault="005D66ED">
      <w:pPr>
        <w:spacing w:line="360" w:lineRule="auto"/>
        <w:ind w:right="51"/>
        <w:jc w:val="both"/>
        <w:rPr>
          <w:rFonts w:ascii="Palatino Linotype" w:eastAsia="Palatino Linotype" w:hAnsi="Palatino Linotype" w:cs="Palatino Linotype"/>
          <w:sz w:val="22"/>
        </w:rPr>
      </w:pPr>
      <w:r w:rsidRPr="008F6FC2">
        <w:rPr>
          <w:rFonts w:ascii="Palatino Linotype" w:eastAsia="Palatino Linotype" w:hAnsi="Palatino Linotype" w:cs="Palatino Linotype"/>
          <w:b/>
          <w:sz w:val="22"/>
        </w:rPr>
        <w:lastRenderedPageBreak/>
        <w:t>4</w:t>
      </w:r>
      <w:r w:rsidR="00B43A0A" w:rsidRPr="008F6FC2">
        <w:rPr>
          <w:rFonts w:ascii="Palatino Linotype" w:eastAsia="Palatino Linotype" w:hAnsi="Palatino Linotype" w:cs="Palatino Linotype"/>
          <w:b/>
          <w:sz w:val="22"/>
        </w:rPr>
        <w:t xml:space="preserve">. Turno. </w:t>
      </w:r>
      <w:r w:rsidR="00B43A0A" w:rsidRPr="008F6FC2">
        <w:rPr>
          <w:rFonts w:ascii="Palatino Linotype" w:eastAsia="Palatino Linotype" w:hAnsi="Palatino Linotype" w:cs="Palatino Linotype"/>
          <w:sz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00B43A0A" w:rsidRPr="008F6FC2">
        <w:rPr>
          <w:rFonts w:ascii="Palatino Linotype" w:eastAsia="Palatino Linotype" w:hAnsi="Palatino Linotype" w:cs="Palatino Linotype"/>
          <w:b/>
          <w:sz w:val="22"/>
        </w:rPr>
        <w:t>Comisionada</w:t>
      </w:r>
      <w:r w:rsidR="00B43A0A" w:rsidRPr="008F6FC2">
        <w:rPr>
          <w:rFonts w:ascii="Palatino Linotype" w:eastAsia="Palatino Linotype" w:hAnsi="Palatino Linotype" w:cs="Palatino Linotype"/>
          <w:sz w:val="22"/>
        </w:rPr>
        <w:t xml:space="preserve"> </w:t>
      </w:r>
      <w:r w:rsidR="00B43A0A" w:rsidRPr="008F6FC2">
        <w:rPr>
          <w:rFonts w:ascii="Palatino Linotype" w:eastAsia="Palatino Linotype" w:hAnsi="Palatino Linotype" w:cs="Palatino Linotype"/>
          <w:b/>
          <w:sz w:val="22"/>
        </w:rPr>
        <w:t xml:space="preserve">Guadalupe Ramírez Peña, </w:t>
      </w:r>
      <w:r w:rsidR="00B43A0A" w:rsidRPr="008F6FC2">
        <w:rPr>
          <w:rFonts w:ascii="Palatino Linotype" w:eastAsia="Palatino Linotype" w:hAnsi="Palatino Linotype" w:cs="Palatino Linotype"/>
          <w:sz w:val="22"/>
        </w:rPr>
        <w:t xml:space="preserve">a efecto de que analizara sobre su admisión o su </w:t>
      </w:r>
      <w:proofErr w:type="spellStart"/>
      <w:r w:rsidR="00B43A0A" w:rsidRPr="008F6FC2">
        <w:rPr>
          <w:rFonts w:ascii="Palatino Linotype" w:eastAsia="Palatino Linotype" w:hAnsi="Palatino Linotype" w:cs="Palatino Linotype"/>
          <w:sz w:val="22"/>
        </w:rPr>
        <w:t>desechamiento</w:t>
      </w:r>
      <w:proofErr w:type="spellEnd"/>
      <w:r w:rsidR="00B43A0A" w:rsidRPr="008F6FC2">
        <w:rPr>
          <w:rFonts w:ascii="Palatino Linotype" w:eastAsia="Palatino Linotype" w:hAnsi="Palatino Linotype" w:cs="Palatino Linotype"/>
          <w:sz w:val="22"/>
        </w:rPr>
        <w:t>.</w:t>
      </w:r>
    </w:p>
    <w:p w14:paraId="04351C56" w14:textId="77777777" w:rsidR="007A1197" w:rsidRPr="008F6FC2" w:rsidRDefault="007A1197">
      <w:pPr>
        <w:spacing w:line="360" w:lineRule="auto"/>
        <w:ind w:right="51"/>
        <w:jc w:val="both"/>
        <w:rPr>
          <w:rFonts w:ascii="Palatino Linotype" w:eastAsia="Palatino Linotype" w:hAnsi="Palatino Linotype" w:cs="Palatino Linotype"/>
        </w:rPr>
      </w:pPr>
    </w:p>
    <w:p w14:paraId="048CB216" w14:textId="465C753C" w:rsidR="007A1197" w:rsidRPr="008F6FC2" w:rsidRDefault="005D66ED">
      <w:pPr>
        <w:spacing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b/>
          <w:sz w:val="22"/>
        </w:rPr>
        <w:t>5</w:t>
      </w:r>
      <w:r w:rsidR="00B43A0A" w:rsidRPr="008F6FC2">
        <w:rPr>
          <w:rFonts w:ascii="Palatino Linotype" w:eastAsia="Palatino Linotype" w:hAnsi="Palatino Linotype" w:cs="Palatino Linotype"/>
          <w:b/>
          <w:sz w:val="22"/>
        </w:rPr>
        <w:t>. Admisión del Recurso de Revisión.</w:t>
      </w:r>
      <w:r w:rsidR="00B43A0A" w:rsidRPr="008F6FC2">
        <w:rPr>
          <w:rFonts w:ascii="Palatino Linotype" w:eastAsia="Palatino Linotype" w:hAnsi="Palatino Linotype" w:cs="Palatino Linotype"/>
          <w:sz w:val="22"/>
        </w:rPr>
        <w:t xml:space="preserve"> El</w:t>
      </w:r>
      <w:r w:rsidR="00E77D2F" w:rsidRPr="008F6FC2">
        <w:rPr>
          <w:rFonts w:ascii="Palatino Linotype" w:eastAsia="Palatino Linotype" w:hAnsi="Palatino Linotype" w:cs="Palatino Linotype"/>
          <w:b/>
          <w:sz w:val="22"/>
        </w:rPr>
        <w:t xml:space="preserve"> once de juli</w:t>
      </w:r>
      <w:r w:rsidRPr="008F6FC2">
        <w:rPr>
          <w:rFonts w:ascii="Palatino Linotype" w:eastAsia="Palatino Linotype" w:hAnsi="Palatino Linotype" w:cs="Palatino Linotype"/>
          <w:b/>
          <w:sz w:val="22"/>
        </w:rPr>
        <w:t>o de dos mil veinticuatro</w:t>
      </w:r>
      <w:r w:rsidR="00B43A0A" w:rsidRPr="008F6FC2">
        <w:rPr>
          <w:rFonts w:ascii="Palatino Linotype" w:eastAsia="Palatino Linotype" w:hAnsi="Palatino Linotype" w:cs="Palatino Linotype"/>
          <w:b/>
          <w:sz w:val="22"/>
        </w:rPr>
        <w:t xml:space="preserve">, </w:t>
      </w:r>
      <w:r w:rsidR="00B43A0A" w:rsidRPr="008F6FC2">
        <w:rPr>
          <w:rFonts w:ascii="Palatino Linotype" w:eastAsia="Palatino Linotype" w:hAnsi="Palatino Linotype" w:cs="Palatino Linotype"/>
          <w:sz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B43A0A" w:rsidRPr="008F6FC2">
        <w:rPr>
          <w:rFonts w:ascii="Palatino Linotype" w:eastAsia="Palatino Linotype" w:hAnsi="Palatino Linotype" w:cs="Palatino Linotype"/>
          <w:b/>
          <w:sz w:val="22"/>
        </w:rPr>
        <w:t xml:space="preserve">Sujeto Obligado </w:t>
      </w:r>
      <w:r w:rsidR="00B43A0A" w:rsidRPr="008F6FC2">
        <w:rPr>
          <w:rFonts w:ascii="Palatino Linotype" w:eastAsia="Palatino Linotype" w:hAnsi="Palatino Linotype" w:cs="Palatino Linotype"/>
          <w:sz w:val="22"/>
        </w:rPr>
        <w:t>presentara su informe justificado.</w:t>
      </w:r>
    </w:p>
    <w:p w14:paraId="11E87998" w14:textId="5D34BD04" w:rsidR="00E77D2F" w:rsidRPr="008F6FC2" w:rsidRDefault="005D66ED" w:rsidP="00E77D2F">
      <w:pPr>
        <w:spacing w:after="240" w:line="360" w:lineRule="auto"/>
        <w:jc w:val="both"/>
        <w:rPr>
          <w:rFonts w:ascii="Palatino Linotype" w:eastAsia="Palatino Linotype" w:hAnsi="Palatino Linotype" w:cs="Palatino Linotype"/>
          <w:sz w:val="22"/>
        </w:rPr>
      </w:pPr>
      <w:bookmarkStart w:id="3" w:name="_heading=h.2s8eyo1" w:colFirst="0" w:colLast="0"/>
      <w:bookmarkEnd w:id="3"/>
      <w:r w:rsidRPr="008F6FC2">
        <w:rPr>
          <w:rFonts w:ascii="Palatino Linotype" w:eastAsia="Palatino Linotype" w:hAnsi="Palatino Linotype" w:cs="Palatino Linotype"/>
          <w:b/>
          <w:sz w:val="22"/>
        </w:rPr>
        <w:t>6</w:t>
      </w:r>
      <w:r w:rsidR="00B43A0A" w:rsidRPr="008F6FC2">
        <w:rPr>
          <w:rFonts w:ascii="Palatino Linotype" w:eastAsia="Palatino Linotype" w:hAnsi="Palatino Linotype" w:cs="Palatino Linotype"/>
          <w:b/>
          <w:sz w:val="22"/>
        </w:rPr>
        <w:t>. Manifestaciones</w:t>
      </w:r>
      <w:r w:rsidR="00E77D2F" w:rsidRPr="008F6FC2">
        <w:rPr>
          <w:rFonts w:ascii="Palatino Linotype" w:eastAsia="Palatino Linotype" w:hAnsi="Palatino Linotype" w:cs="Palatino Linotype"/>
          <w:b/>
          <w:sz w:val="22"/>
        </w:rPr>
        <w:t xml:space="preserve"> e Informe Justificado</w:t>
      </w:r>
      <w:r w:rsidR="00B43A0A" w:rsidRPr="008F6FC2">
        <w:rPr>
          <w:rFonts w:ascii="Palatino Linotype" w:eastAsia="Palatino Linotype" w:hAnsi="Palatino Linotype" w:cs="Palatino Linotype"/>
          <w:sz w:val="22"/>
        </w:rPr>
        <w:t xml:space="preserve">. Durante este plazo, se tiene constancia que </w:t>
      </w:r>
      <w:r w:rsidRPr="008F6FC2">
        <w:rPr>
          <w:rFonts w:ascii="Palatino Linotype" w:eastAsia="Palatino Linotype" w:hAnsi="Palatino Linotype" w:cs="Palatino Linotype"/>
          <w:sz w:val="22"/>
        </w:rPr>
        <w:t xml:space="preserve">el </w:t>
      </w:r>
      <w:r w:rsidRPr="008F6FC2">
        <w:rPr>
          <w:rFonts w:ascii="Palatino Linotype" w:eastAsia="Palatino Linotype" w:hAnsi="Palatino Linotype" w:cs="Palatino Linotype"/>
          <w:b/>
          <w:sz w:val="22"/>
        </w:rPr>
        <w:t>Sujeto Obligado</w:t>
      </w:r>
      <w:r w:rsidRPr="008F6FC2">
        <w:rPr>
          <w:rFonts w:ascii="Palatino Linotype" w:eastAsia="Palatino Linotype" w:hAnsi="Palatino Linotype" w:cs="Palatino Linotype"/>
          <w:sz w:val="22"/>
        </w:rPr>
        <w:t xml:space="preserve"> proporcionó </w:t>
      </w:r>
      <w:r w:rsidR="00E77D2F" w:rsidRPr="008F6FC2">
        <w:rPr>
          <w:rFonts w:ascii="Palatino Linotype" w:eastAsia="Palatino Linotype" w:hAnsi="Palatino Linotype" w:cs="Palatino Linotype"/>
          <w:sz w:val="22"/>
        </w:rPr>
        <w:t xml:space="preserve">el </w:t>
      </w:r>
      <w:r w:rsidR="00E77D2F" w:rsidRPr="008F6FC2">
        <w:rPr>
          <w:rFonts w:ascii="Palatino Linotype" w:eastAsia="Palatino Linotype" w:hAnsi="Palatino Linotype" w:cs="Palatino Linotype"/>
          <w:b/>
          <w:sz w:val="22"/>
        </w:rPr>
        <w:t>dieciséis de julio de dos mil veinticuatro</w:t>
      </w:r>
      <w:r w:rsidR="00E77D2F" w:rsidRPr="008F6FC2">
        <w:rPr>
          <w:rFonts w:ascii="Palatino Linotype" w:eastAsia="Palatino Linotype" w:hAnsi="Palatino Linotype" w:cs="Palatino Linotype"/>
          <w:sz w:val="22"/>
        </w:rPr>
        <w:t xml:space="preserve">, los archivos electrónicos: </w:t>
      </w:r>
    </w:p>
    <w:p w14:paraId="1E8D7DEF" w14:textId="67800C6F" w:rsidR="00E77D2F" w:rsidRPr="008F6FC2" w:rsidRDefault="00E77D2F" w:rsidP="00E77D2F">
      <w:pPr>
        <w:spacing w:after="240" w:line="360" w:lineRule="auto"/>
        <w:ind w:left="567" w:right="900"/>
        <w:jc w:val="both"/>
        <w:rPr>
          <w:rFonts w:ascii="Palatino Linotype" w:eastAsia="Palatino Linotype" w:hAnsi="Palatino Linotype" w:cs="Palatino Linotype"/>
          <w:b/>
          <w:i/>
          <w:sz w:val="22"/>
        </w:rPr>
      </w:pPr>
      <w:r w:rsidRPr="008F6FC2">
        <w:rPr>
          <w:rFonts w:ascii="Palatino Linotype" w:eastAsia="Palatino Linotype" w:hAnsi="Palatino Linotype" w:cs="Palatino Linotype"/>
          <w:b/>
          <w:i/>
          <w:sz w:val="22"/>
        </w:rPr>
        <w:t>“EXPEDIENTE CERTIFICADO SOL 00131-2024.pdf”:</w:t>
      </w:r>
      <w:r w:rsidRPr="008F6FC2">
        <w:rPr>
          <w:rFonts w:ascii="Palatino Linotype" w:eastAsia="Palatino Linotype" w:hAnsi="Palatino Linotype" w:cs="Palatino Linotype"/>
          <w:sz w:val="22"/>
        </w:rPr>
        <w:t xml:space="preserve"> Documento que se compone de dieciocho fojas y consiste en el expediente certificado del presente asunto.</w:t>
      </w:r>
      <w:r w:rsidRPr="008F6FC2">
        <w:rPr>
          <w:rFonts w:ascii="Palatino Linotype" w:eastAsia="Palatino Linotype" w:hAnsi="Palatino Linotype" w:cs="Palatino Linotype"/>
          <w:b/>
          <w:i/>
          <w:sz w:val="22"/>
        </w:rPr>
        <w:tab/>
      </w:r>
      <w:r w:rsidRPr="008F6FC2">
        <w:rPr>
          <w:rFonts w:ascii="Palatino Linotype" w:eastAsia="Palatino Linotype" w:hAnsi="Palatino Linotype" w:cs="Palatino Linotype"/>
          <w:b/>
          <w:i/>
          <w:sz w:val="22"/>
        </w:rPr>
        <w:tab/>
      </w:r>
    </w:p>
    <w:p w14:paraId="3524F8C4" w14:textId="74DD2D58" w:rsidR="00E77D2F" w:rsidRPr="008F6FC2" w:rsidRDefault="00E77D2F" w:rsidP="00D82412">
      <w:pPr>
        <w:spacing w:after="240" w:line="360" w:lineRule="auto"/>
        <w:ind w:left="567" w:right="900"/>
        <w:jc w:val="both"/>
        <w:rPr>
          <w:rFonts w:ascii="Palatino Linotype" w:eastAsia="Palatino Linotype" w:hAnsi="Palatino Linotype" w:cs="Palatino Linotype"/>
          <w:sz w:val="22"/>
        </w:rPr>
      </w:pPr>
      <w:r w:rsidRPr="008F6FC2">
        <w:rPr>
          <w:rFonts w:ascii="Palatino Linotype" w:eastAsia="Palatino Linotype" w:hAnsi="Palatino Linotype" w:cs="Palatino Linotype"/>
          <w:b/>
          <w:i/>
          <w:sz w:val="22"/>
        </w:rPr>
        <w:t xml:space="preserve">“Informe Justificado Recursos 04164-2024 Sol. 00131-2024.pdf”: </w:t>
      </w:r>
      <w:r w:rsidRPr="008F6FC2">
        <w:rPr>
          <w:rFonts w:ascii="Palatino Linotype" w:eastAsia="Palatino Linotype" w:hAnsi="Palatino Linotype" w:cs="Palatino Linotype"/>
          <w:sz w:val="22"/>
        </w:rPr>
        <w:t xml:space="preserve">Archivo electrónico que se compone de siete fojas, en los que la persona Titular de la Unidad de Transparencia, refiere que </w:t>
      </w:r>
      <w:r w:rsidR="00D82412" w:rsidRPr="008F6FC2">
        <w:rPr>
          <w:rFonts w:ascii="Palatino Linotype" w:eastAsia="Palatino Linotype" w:hAnsi="Palatino Linotype" w:cs="Palatino Linotype"/>
          <w:sz w:val="22"/>
        </w:rPr>
        <w:t xml:space="preserve">se observó que en la respuesta remitida por el Titular de la Unidad Especializada de Seguimiento de Recomendaciones y Proyectos, se hizo mención de manera errónea, sobre la </w:t>
      </w:r>
      <w:r w:rsidR="00D82412" w:rsidRPr="008F6FC2">
        <w:rPr>
          <w:rFonts w:ascii="Palatino Linotype" w:eastAsia="Palatino Linotype" w:hAnsi="Palatino Linotype" w:cs="Palatino Linotype"/>
          <w:sz w:val="22"/>
        </w:rPr>
        <w:lastRenderedPageBreak/>
        <w:t>autoridad a la cual se le dirigió la recomendación, toda vez que se mencionó que la Recomendación 08/2023, había sido emitida al Fiscal General de Justicia del Estado de México, siendo que esta Recomendación, fue dirigida al Secretario de Seguridad del Estado de México, al Subsecretario de Control Penitenciario y al Director General de Prevención y Reinserción Social del Estado de México, información que de acuerdo a los solicitado cumple con los criterios requeridos por el particular.</w:t>
      </w:r>
      <w:r w:rsidRPr="008F6FC2">
        <w:rPr>
          <w:rFonts w:ascii="Palatino Linotype" w:eastAsia="Palatino Linotype" w:hAnsi="Palatino Linotype" w:cs="Palatino Linotype"/>
          <w:b/>
          <w:i/>
          <w:sz w:val="22"/>
        </w:rPr>
        <w:tab/>
      </w:r>
    </w:p>
    <w:p w14:paraId="12E0CD14" w14:textId="7A987BAD" w:rsidR="00E77D2F" w:rsidRPr="008F6FC2" w:rsidRDefault="00E77D2F" w:rsidP="00D82412">
      <w:pPr>
        <w:spacing w:after="240" w:line="360" w:lineRule="auto"/>
        <w:ind w:left="567" w:right="900"/>
        <w:jc w:val="both"/>
        <w:rPr>
          <w:rFonts w:ascii="Palatino Linotype" w:eastAsia="Palatino Linotype" w:hAnsi="Palatino Linotype" w:cs="Palatino Linotype"/>
          <w:sz w:val="22"/>
        </w:rPr>
      </w:pPr>
      <w:r w:rsidRPr="008F6FC2">
        <w:rPr>
          <w:rFonts w:ascii="Palatino Linotype" w:eastAsia="Palatino Linotype" w:hAnsi="Palatino Linotype" w:cs="Palatino Linotype"/>
          <w:b/>
          <w:i/>
          <w:sz w:val="22"/>
        </w:rPr>
        <w:t xml:space="preserve">“Recomendacion-8-2023-V.-PUBLICA-19-12-2023_.pdf”: </w:t>
      </w:r>
      <w:r w:rsidR="00D82412" w:rsidRPr="008F6FC2">
        <w:rPr>
          <w:rFonts w:ascii="Palatino Linotype" w:eastAsia="Palatino Linotype" w:hAnsi="Palatino Linotype" w:cs="Palatino Linotype"/>
          <w:sz w:val="22"/>
        </w:rPr>
        <w:t>Consiste en la</w:t>
      </w:r>
      <w:r w:rsidR="00D82412" w:rsidRPr="008F6FC2">
        <w:rPr>
          <w:rFonts w:ascii="Palatino Linotype" w:eastAsia="Palatino Linotype" w:hAnsi="Palatino Linotype" w:cs="Palatino Linotype"/>
          <w:b/>
          <w:i/>
          <w:sz w:val="22"/>
        </w:rPr>
        <w:t xml:space="preserve"> </w:t>
      </w:r>
      <w:r w:rsidR="00D82412" w:rsidRPr="008F6FC2">
        <w:rPr>
          <w:rFonts w:ascii="Palatino Linotype" w:eastAsia="Palatino Linotype" w:hAnsi="Palatino Linotype" w:cs="Palatino Linotype"/>
          <w:sz w:val="22"/>
        </w:rPr>
        <w:t xml:space="preserve">Recomendación 08/2023, del 23 de noviembre de 2023, dirigida al </w:t>
      </w:r>
      <w:proofErr w:type="gramStart"/>
      <w:r w:rsidR="00D82412" w:rsidRPr="008F6FC2">
        <w:rPr>
          <w:rFonts w:ascii="Palatino Linotype" w:eastAsia="Palatino Linotype" w:hAnsi="Palatino Linotype" w:cs="Palatino Linotype"/>
          <w:sz w:val="22"/>
        </w:rPr>
        <w:t>Secretario</w:t>
      </w:r>
      <w:proofErr w:type="gramEnd"/>
      <w:r w:rsidR="00D82412" w:rsidRPr="008F6FC2">
        <w:rPr>
          <w:rFonts w:ascii="Palatino Linotype" w:eastAsia="Palatino Linotype" w:hAnsi="Palatino Linotype" w:cs="Palatino Linotype"/>
          <w:sz w:val="22"/>
        </w:rPr>
        <w:t xml:space="preserve"> de Seguridad del Estado de México, al Subsecretario de Control Penitenciario y al Director General de Prevención y Reinserción Social del Estado de México.</w:t>
      </w:r>
    </w:p>
    <w:p w14:paraId="65FAF992" w14:textId="4BF43555" w:rsidR="00CF2B54" w:rsidRPr="008F6FC2" w:rsidRDefault="00AB43DA" w:rsidP="00CF2B54">
      <w:pPr>
        <w:spacing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Es de precisar </w:t>
      </w:r>
      <w:proofErr w:type="gramStart"/>
      <w:r w:rsidRPr="008F6FC2">
        <w:rPr>
          <w:rFonts w:ascii="Palatino Linotype" w:eastAsia="Palatino Linotype" w:hAnsi="Palatino Linotype" w:cs="Palatino Linotype"/>
          <w:sz w:val="22"/>
        </w:rPr>
        <w:t>que</w:t>
      </w:r>
      <w:proofErr w:type="gramEnd"/>
      <w:r w:rsidRPr="008F6FC2">
        <w:rPr>
          <w:rFonts w:ascii="Palatino Linotype" w:eastAsia="Palatino Linotype" w:hAnsi="Palatino Linotype" w:cs="Palatino Linotype"/>
          <w:sz w:val="22"/>
        </w:rPr>
        <w:t xml:space="preserve"> una vez analizada esta documentación, se determinó hacerla de conocimiento de </w:t>
      </w:r>
      <w:r w:rsidRPr="008F6FC2">
        <w:rPr>
          <w:rFonts w:ascii="Palatino Linotype" w:eastAsia="Palatino Linotype" w:hAnsi="Palatino Linotype" w:cs="Palatino Linotype"/>
          <w:b/>
          <w:sz w:val="22"/>
        </w:rPr>
        <w:t>la parte Recurrente</w:t>
      </w:r>
      <w:r w:rsidRPr="008F6FC2">
        <w:rPr>
          <w:rFonts w:ascii="Palatino Linotype" w:eastAsia="Palatino Linotype" w:hAnsi="Palatino Linotype" w:cs="Palatino Linotype"/>
          <w:sz w:val="22"/>
        </w:rPr>
        <w:t xml:space="preserve"> mediante acuerdo signado por la Comisionada Ponente, el </w:t>
      </w:r>
      <w:r w:rsidR="00D82412" w:rsidRPr="008F6FC2">
        <w:rPr>
          <w:rFonts w:ascii="Palatino Linotype" w:eastAsia="Palatino Linotype" w:hAnsi="Palatino Linotype" w:cs="Palatino Linotype"/>
          <w:b/>
          <w:sz w:val="22"/>
        </w:rPr>
        <w:t>once de septiembre</w:t>
      </w:r>
      <w:r w:rsidRPr="008F6FC2">
        <w:rPr>
          <w:rFonts w:ascii="Palatino Linotype" w:eastAsia="Palatino Linotype" w:hAnsi="Palatino Linotype" w:cs="Palatino Linotype"/>
          <w:b/>
          <w:sz w:val="22"/>
        </w:rPr>
        <w:t xml:space="preserve"> de dos mil veinticuatro</w:t>
      </w:r>
      <w:r w:rsidRPr="008F6FC2">
        <w:rPr>
          <w:rFonts w:ascii="Palatino Linotype" w:eastAsia="Palatino Linotype" w:hAnsi="Palatino Linotype" w:cs="Palatino Linotype"/>
          <w:sz w:val="22"/>
        </w:rPr>
        <w:t xml:space="preserve">, teniendo así que </w:t>
      </w:r>
      <w:r w:rsidRPr="008F6FC2">
        <w:rPr>
          <w:rFonts w:ascii="Palatino Linotype" w:eastAsia="Palatino Linotype" w:hAnsi="Palatino Linotype" w:cs="Palatino Linotype"/>
          <w:b/>
          <w:sz w:val="22"/>
        </w:rPr>
        <w:t>la parte Recurrente</w:t>
      </w:r>
      <w:r w:rsidRPr="008F6FC2">
        <w:rPr>
          <w:rFonts w:ascii="Palatino Linotype" w:eastAsia="Palatino Linotype" w:hAnsi="Palatino Linotype" w:cs="Palatino Linotype"/>
          <w:sz w:val="22"/>
        </w:rPr>
        <w:t xml:space="preserve"> fue omisa en </w:t>
      </w:r>
      <w:r w:rsidR="00CF2B54" w:rsidRPr="008F6FC2">
        <w:rPr>
          <w:rFonts w:ascii="Palatino Linotype" w:eastAsia="Palatino Linotype" w:hAnsi="Palatino Linotype" w:cs="Palatino Linotype"/>
          <w:sz w:val="22"/>
        </w:rPr>
        <w:t>remitir sus alegatos o cualquier manifestación que a su derecho conviniera, por lo tanto, se tiene por precluido su derecho para tal efecto.</w:t>
      </w:r>
    </w:p>
    <w:p w14:paraId="68453306" w14:textId="47E29C86" w:rsidR="00CF2B54" w:rsidRPr="008F6FC2" w:rsidRDefault="00D82412" w:rsidP="00D82412">
      <w:pPr>
        <w:spacing w:after="240" w:line="360" w:lineRule="auto"/>
        <w:jc w:val="center"/>
        <w:rPr>
          <w:rFonts w:ascii="Palatino Linotype" w:eastAsia="Palatino Linotype" w:hAnsi="Palatino Linotype" w:cs="Palatino Linotype"/>
        </w:rPr>
      </w:pPr>
      <w:r w:rsidRPr="008F6FC2">
        <w:rPr>
          <w:rFonts w:ascii="Palatino Linotype" w:eastAsia="Palatino Linotype" w:hAnsi="Palatino Linotype" w:cs="Palatino Linotype"/>
          <w:noProof/>
          <w:lang w:val="es-MX"/>
        </w:rPr>
        <w:lastRenderedPageBreak/>
        <w:drawing>
          <wp:inline distT="0" distB="0" distL="0" distR="0" wp14:anchorId="5B9BA6F5" wp14:editId="279D9D4A">
            <wp:extent cx="5220141" cy="346710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7005" cy="3484943"/>
                    </a:xfrm>
                    <a:prstGeom prst="rect">
                      <a:avLst/>
                    </a:prstGeom>
                    <a:ln>
                      <a:solidFill>
                        <a:schemeClr val="tx1"/>
                      </a:solidFill>
                    </a:ln>
                  </pic:spPr>
                </pic:pic>
              </a:graphicData>
            </a:graphic>
          </wp:inline>
        </w:drawing>
      </w:r>
    </w:p>
    <w:p w14:paraId="41C356FB" w14:textId="4E723B1A" w:rsidR="00AB43DA" w:rsidRPr="008F6FC2" w:rsidRDefault="00AB43DA" w:rsidP="00AB43DA">
      <w:pPr>
        <w:spacing w:after="240" w:line="360" w:lineRule="auto"/>
        <w:jc w:val="both"/>
        <w:rPr>
          <w:rFonts w:ascii="Palatino Linotype" w:eastAsia="Palatino Linotype" w:hAnsi="Palatino Linotype" w:cs="Palatino Linotype"/>
          <w:b/>
          <w:sz w:val="22"/>
          <w:szCs w:val="22"/>
          <w:lang w:val="es-MX"/>
        </w:rPr>
      </w:pPr>
      <w:r w:rsidRPr="008F6FC2">
        <w:rPr>
          <w:rFonts w:ascii="Palatino Linotype" w:eastAsia="Palatino Linotype" w:hAnsi="Palatino Linotype" w:cs="Palatino Linotype"/>
          <w:b/>
          <w:sz w:val="22"/>
          <w:szCs w:val="22"/>
          <w:lang w:val="es-MX"/>
        </w:rPr>
        <w:t>7. Ampliación del término para resolver</w:t>
      </w:r>
      <w:r w:rsidRPr="008F6FC2">
        <w:rPr>
          <w:rFonts w:ascii="Palatino Linotype" w:eastAsia="Palatino Linotype" w:hAnsi="Palatino Linotype" w:cs="Palatino Linotype"/>
          <w:sz w:val="22"/>
          <w:szCs w:val="22"/>
          <w:lang w:val="es-MX"/>
        </w:rPr>
        <w:t xml:space="preserve">. </w:t>
      </w:r>
      <w:r w:rsidR="004074B5" w:rsidRPr="008F6FC2">
        <w:rPr>
          <w:rFonts w:ascii="Palatino Linotype" w:eastAsia="Palatino Linotype" w:hAnsi="Palatino Linotype" w:cs="Palatino Linotype"/>
          <w:sz w:val="22"/>
          <w:szCs w:val="22"/>
          <w:lang w:val="es-MX"/>
        </w:rPr>
        <w:t>Mediante acuerdo emitido</w:t>
      </w:r>
      <w:r w:rsidR="004074B5" w:rsidRPr="008F6FC2">
        <w:rPr>
          <w:rFonts w:ascii="Palatino Linotype" w:eastAsia="Palatino Linotype" w:hAnsi="Palatino Linotype" w:cs="Palatino Linotype"/>
          <w:b/>
          <w:sz w:val="22"/>
          <w:szCs w:val="22"/>
          <w:lang w:val="es-MX"/>
        </w:rPr>
        <w:t xml:space="preserve"> el once </w:t>
      </w:r>
      <w:r w:rsidR="00AE798A" w:rsidRPr="008F6FC2">
        <w:rPr>
          <w:rFonts w:ascii="Palatino Linotype" w:eastAsia="Palatino Linotype" w:hAnsi="Palatino Linotype" w:cs="Palatino Linotype"/>
          <w:b/>
          <w:sz w:val="22"/>
          <w:szCs w:val="22"/>
          <w:lang w:val="es-MX"/>
        </w:rPr>
        <w:t>de septiembre</w:t>
      </w:r>
      <w:r w:rsidRPr="008F6FC2">
        <w:rPr>
          <w:rFonts w:ascii="Palatino Linotype" w:eastAsia="Palatino Linotype" w:hAnsi="Palatino Linotype" w:cs="Palatino Linotype"/>
          <w:b/>
          <w:sz w:val="22"/>
          <w:szCs w:val="22"/>
          <w:lang w:val="es-MX"/>
        </w:rPr>
        <w:t xml:space="preserve"> de dos mil veinticuatro</w:t>
      </w:r>
      <w:r w:rsidR="004074B5" w:rsidRPr="008F6FC2">
        <w:rPr>
          <w:rFonts w:ascii="Palatino Linotype" w:eastAsia="Palatino Linotype" w:hAnsi="Palatino Linotype" w:cs="Palatino Linotype"/>
          <w:b/>
          <w:sz w:val="22"/>
          <w:szCs w:val="22"/>
          <w:lang w:val="es-MX"/>
        </w:rPr>
        <w:t xml:space="preserve">, </w:t>
      </w:r>
      <w:r w:rsidR="004074B5" w:rsidRPr="008F6FC2">
        <w:rPr>
          <w:rFonts w:ascii="Palatino Linotype" w:eastAsia="Palatino Linotype" w:hAnsi="Palatino Linotype" w:cs="Palatino Linotype"/>
          <w:sz w:val="22"/>
          <w:szCs w:val="22"/>
          <w:lang w:val="es-MX"/>
        </w:rPr>
        <w:t>notificado el</w:t>
      </w:r>
      <w:r w:rsidR="004074B5" w:rsidRPr="008F6FC2">
        <w:rPr>
          <w:rFonts w:ascii="Palatino Linotype" w:eastAsia="Palatino Linotype" w:hAnsi="Palatino Linotype" w:cs="Palatino Linotype"/>
          <w:b/>
          <w:sz w:val="22"/>
          <w:szCs w:val="22"/>
          <w:lang w:val="es-MX"/>
        </w:rPr>
        <w:t xml:space="preserve"> doce de septiembre de dos mil veinticuatro</w:t>
      </w:r>
      <w:r w:rsidRPr="008F6FC2">
        <w:rPr>
          <w:rFonts w:ascii="Palatino Linotype" w:eastAsia="Palatino Linotype" w:hAnsi="Palatino Linotype" w:cs="Palatino Linotype"/>
          <w:sz w:val="22"/>
          <w:szCs w:val="22"/>
          <w:lang w:val="es-MX"/>
        </w:rPr>
        <w:t>, se amplió el término para resolver el recurso de revisión en términos del artículo 181 párrafo tercero de la Ley de Transparencia y Acceso a la Información Pública del Estado de México y Municipios.</w:t>
      </w:r>
    </w:p>
    <w:p w14:paraId="7DECA0F0"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9E71B82"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 xml:space="preserve">Por ello, es menester precisar que si bien se ha excedido el plazo para resolver el presente medio de impugnación, de conformidad con la ley de la materia, el plazo para emitir la </w:t>
      </w:r>
      <w:r w:rsidRPr="008F6FC2">
        <w:rPr>
          <w:rFonts w:ascii="Palatino Linotype" w:eastAsia="Palatino Linotype" w:hAnsi="Palatino Linotype" w:cs="Palatino Linotype"/>
          <w:sz w:val="22"/>
          <w:szCs w:val="22"/>
          <w:lang w:val="es-MX"/>
        </w:rPr>
        <w:lastRenderedPageBreak/>
        <w:t>resolución se encuentra ju en los elementos para medir la razonabilidad de asuntos conforme a los parámetros establecidos por diversos órganos jurisdiccionales federales, aplicables también en procedimientos análogos, como el que nos ocupa.</w:t>
      </w:r>
    </w:p>
    <w:p w14:paraId="3217420A"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4D3E31"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B57BF5B" w14:textId="77777777" w:rsidR="00AB43DA" w:rsidRPr="008F6FC2" w:rsidRDefault="00AB43DA" w:rsidP="00AB43DA">
      <w:pPr>
        <w:spacing w:before="240" w:after="240" w:line="360" w:lineRule="auto"/>
        <w:jc w:val="both"/>
        <w:rPr>
          <w:rFonts w:ascii="Palatino Linotype" w:eastAsia="Palatino Linotype" w:hAnsi="Palatino Linotype" w:cs="Palatino Linotype"/>
          <w:strike/>
          <w:sz w:val="22"/>
          <w:szCs w:val="22"/>
          <w:lang w:val="es-MX"/>
        </w:rPr>
      </w:pPr>
      <w:r w:rsidRPr="008F6FC2">
        <w:rPr>
          <w:rFonts w:ascii="Palatino Linotype" w:eastAsia="Palatino Linotype" w:hAnsi="Palatino Linotype" w:cs="Palatino Linotype"/>
          <w:sz w:val="22"/>
          <w:szCs w:val="22"/>
          <w:lang w:val="es-MX"/>
        </w:rPr>
        <w:t xml:space="preserve">Por ello, excepcionalmente, si un asunto es resuelto con posterioridad a los plazos señalados por la norma debe analizarse la razonabilidad del tiempo necesario para su resolución atentos a los siguientes criterios: </w:t>
      </w:r>
    </w:p>
    <w:p w14:paraId="0054F2EF" w14:textId="77777777" w:rsidR="00AB43DA" w:rsidRPr="008F6FC2"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b/>
          <w:sz w:val="22"/>
          <w:szCs w:val="22"/>
          <w:lang w:val="es-MX"/>
        </w:rPr>
        <w:t>Complejidad del Asunto:</w:t>
      </w:r>
      <w:r w:rsidRPr="008F6FC2">
        <w:rPr>
          <w:rFonts w:ascii="Palatino Linotype" w:eastAsia="Palatino Linotype" w:hAnsi="Palatino Linotype" w:cs="Palatino Linotype"/>
          <w:sz w:val="22"/>
          <w:szCs w:val="22"/>
          <w:lang w:val="es-MX"/>
        </w:rPr>
        <w:t xml:space="preserve"> La complejidad de la prueba, la pluralidad de sujetos procesales, el tiempo transcurrido, las características y contexto del recurso. </w:t>
      </w:r>
    </w:p>
    <w:p w14:paraId="55F86B60" w14:textId="77777777" w:rsidR="00AB43DA" w:rsidRPr="008F6FC2"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b/>
          <w:sz w:val="22"/>
          <w:szCs w:val="22"/>
          <w:lang w:val="es-MX"/>
        </w:rPr>
        <w:t>Actividad Procesal del interesado</w:t>
      </w:r>
      <w:r w:rsidRPr="008F6FC2">
        <w:rPr>
          <w:rFonts w:ascii="Palatino Linotype" w:eastAsia="Palatino Linotype" w:hAnsi="Palatino Linotype" w:cs="Palatino Linotype"/>
          <w:sz w:val="22"/>
          <w:szCs w:val="22"/>
          <w:lang w:val="es-MX"/>
        </w:rPr>
        <w:t>. Acciones u omisiones del interesado.</w:t>
      </w:r>
    </w:p>
    <w:p w14:paraId="363C36B1" w14:textId="77777777" w:rsidR="00AB43DA" w:rsidRPr="008F6FC2"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b/>
          <w:sz w:val="22"/>
          <w:szCs w:val="22"/>
          <w:lang w:val="es-MX"/>
        </w:rPr>
        <w:t>Conducta de la Autoridad:</w:t>
      </w:r>
      <w:r w:rsidRPr="008F6FC2">
        <w:rPr>
          <w:rFonts w:ascii="Palatino Linotype" w:eastAsia="Palatino Linotype" w:hAnsi="Palatino Linotype" w:cs="Palatino Linotype"/>
          <w:sz w:val="22"/>
          <w:szCs w:val="22"/>
          <w:lang w:val="es-MX"/>
        </w:rPr>
        <w:t xml:space="preserve"> Las Acciones u omisiones realizadas en el procedimiento. Así como si la autoridad actuó con la debida diligencia.</w:t>
      </w:r>
    </w:p>
    <w:p w14:paraId="3F0AECFB" w14:textId="77777777" w:rsidR="00AB43DA" w:rsidRPr="008F6FC2" w:rsidRDefault="00AB43DA" w:rsidP="00AB43DA">
      <w:pPr>
        <w:numPr>
          <w:ilvl w:val="0"/>
          <w:numId w:val="8"/>
        </w:numPr>
        <w:tabs>
          <w:tab w:val="left" w:pos="993"/>
        </w:tabs>
        <w:spacing w:before="240" w:after="240" w:line="360" w:lineRule="auto"/>
        <w:ind w:left="567" w:right="900" w:firstLine="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b/>
          <w:sz w:val="22"/>
          <w:szCs w:val="22"/>
          <w:lang w:val="es-MX"/>
        </w:rPr>
        <w:t>La afectación generada en la situación jurídica de la persona involucrada en el proceso:</w:t>
      </w:r>
      <w:r w:rsidRPr="008F6FC2">
        <w:rPr>
          <w:rFonts w:ascii="Palatino Linotype" w:eastAsia="Palatino Linotype" w:hAnsi="Palatino Linotype" w:cs="Palatino Linotype"/>
          <w:sz w:val="22"/>
          <w:szCs w:val="22"/>
          <w:lang w:val="es-MX"/>
        </w:rPr>
        <w:t xml:space="preserve"> Violación a sus derechos humanos.</w:t>
      </w:r>
    </w:p>
    <w:p w14:paraId="21323A5E"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F5F22E" w14:textId="77777777" w:rsidR="00AB43DA" w:rsidRPr="008F6FC2" w:rsidRDefault="00AB43DA" w:rsidP="00AB43DA">
      <w:pPr>
        <w:spacing w:before="240" w:after="240" w:line="360" w:lineRule="auto"/>
        <w:jc w:val="both"/>
        <w:rPr>
          <w:rFonts w:ascii="Palatino Linotype" w:eastAsia="Palatino Linotype" w:hAnsi="Palatino Linotype" w:cs="Palatino Linotype"/>
          <w:b/>
          <w:sz w:val="22"/>
          <w:szCs w:val="22"/>
          <w:lang w:val="es-MX"/>
        </w:rPr>
      </w:pPr>
      <w:r w:rsidRPr="008F6FC2">
        <w:rPr>
          <w:rFonts w:ascii="Palatino Linotype" w:eastAsia="Palatino Linotype" w:hAnsi="Palatino Linotype" w:cs="Palatino Linotype"/>
          <w:sz w:val="22"/>
          <w:szCs w:val="22"/>
          <w:lang w:val="es-MX"/>
        </w:rPr>
        <w:t xml:space="preserve">Argumento que encuentra sustento en la jurisprudencia P./J. 32/92 emitida por el Pleno de la Suprema Corte de Justicia de la Nación de rubro </w:t>
      </w:r>
      <w:r w:rsidRPr="008F6FC2">
        <w:rPr>
          <w:rFonts w:ascii="Palatino Linotype" w:eastAsia="Palatino Linotype" w:hAnsi="Palatino Linotype" w:cs="Palatino Linotype"/>
          <w:i/>
          <w:sz w:val="22"/>
          <w:szCs w:val="22"/>
          <w:lang w:val="es-MX"/>
        </w:rPr>
        <w:t>“TÉRMINOS PROCESALES. PARA DETERMINAR SI UN FUNCIONARIO JUDICIAL ACTUÓ INDEBIDAMENTE POR NO RESPETARLOS SE DEBE ATENDER AL PRESUPUESTO QUE CONSIDERÓ EL LEGISLADOR AL FIJARLOS Y LAS CARACTERÍSTICAS DEL CASO.”</w:t>
      </w:r>
      <w:r w:rsidRPr="008F6FC2">
        <w:rPr>
          <w:rFonts w:ascii="Palatino Linotype" w:eastAsia="Palatino Linotype" w:hAnsi="Palatino Linotype" w:cs="Palatino Linotype"/>
          <w:sz w:val="22"/>
          <w:szCs w:val="22"/>
          <w:lang w:val="es-MX"/>
        </w:rPr>
        <w:t>, visible en la Gaceta del Seminario Judicial de la Federación con el registro digital 205635.</w:t>
      </w:r>
    </w:p>
    <w:p w14:paraId="5C5893DE"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D2D9E97"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Al respecto, también son de considerar los criterios sostenidos por el Cuarto Tribunal Colegiado en Materia Administrativa del Primer Circuito, cuyos rubros y datos de identificación son los siguientes:</w:t>
      </w:r>
    </w:p>
    <w:p w14:paraId="6A29D2C1" w14:textId="77777777" w:rsidR="00AB43DA" w:rsidRPr="008F6FC2" w:rsidRDefault="00AB43DA" w:rsidP="00AB43DA">
      <w:pPr>
        <w:spacing w:before="240" w:after="240" w:line="360" w:lineRule="auto"/>
        <w:ind w:left="851" w:right="90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lastRenderedPageBreak/>
        <w:t xml:space="preserve"> </w:t>
      </w:r>
      <w:r w:rsidRPr="008F6FC2">
        <w:rPr>
          <w:rFonts w:ascii="Palatino Linotype" w:eastAsia="Palatino Linotype" w:hAnsi="Palatino Linotype" w:cs="Palatino Linotype"/>
          <w:b/>
          <w:i/>
          <w:sz w:val="22"/>
          <w:szCs w:val="22"/>
          <w:lang w:val="es-MX"/>
        </w:rPr>
        <w:t>“PLAZO RAZONABLE PARA RESOLVER. DIMENSIÓN Y EFECTOS DE ESTE CONCEPTO CUANDO SE ADUCE EXCESIVA CARGA DE TRABAJO</w:t>
      </w:r>
      <w:r w:rsidRPr="008F6FC2">
        <w:rPr>
          <w:rFonts w:ascii="Palatino Linotype" w:eastAsia="Palatino Linotype" w:hAnsi="Palatino Linotype" w:cs="Palatino Linotype"/>
          <w:i/>
          <w:sz w:val="22"/>
          <w:szCs w:val="22"/>
          <w:lang w:val="es-MX"/>
        </w:rPr>
        <w:t>.”</w:t>
      </w:r>
      <w:r w:rsidRPr="008F6FC2">
        <w:rPr>
          <w:rFonts w:ascii="Palatino Linotype" w:eastAsia="Palatino Linotype" w:hAnsi="Palatino Linotype" w:cs="Palatino Linotype"/>
          <w:sz w:val="22"/>
          <w:szCs w:val="22"/>
          <w:lang w:val="es-MX"/>
        </w:rPr>
        <w:t xml:space="preserve"> consultable en el Seminario Judicial de la Federación y su gaceta, con el registro digital 2002351.</w:t>
      </w:r>
    </w:p>
    <w:p w14:paraId="61873664" w14:textId="77777777" w:rsidR="00AB43DA" w:rsidRPr="008F6FC2" w:rsidRDefault="00AB43DA" w:rsidP="00AB43DA">
      <w:pPr>
        <w:spacing w:before="240" w:after="240" w:line="360" w:lineRule="auto"/>
        <w:ind w:left="851" w:right="900"/>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b/>
          <w:i/>
          <w:sz w:val="22"/>
          <w:szCs w:val="22"/>
          <w:lang w:val="es-MX"/>
        </w:rPr>
        <w:t>“PLAZO RAZONABLE PARA RESOLVER. CONCEPTO Y ELEMENTOS QUE LO INTEGRAN A LA LUZ DEL DERECHO INTERNACIONAL DE LOS DERECHOS HUMANOS.”</w:t>
      </w:r>
      <w:r w:rsidRPr="008F6FC2">
        <w:rPr>
          <w:rFonts w:ascii="Palatino Linotype" w:eastAsia="Palatino Linotype" w:hAnsi="Palatino Linotype" w:cs="Palatino Linotype"/>
          <w:sz w:val="22"/>
          <w:szCs w:val="22"/>
          <w:lang w:val="es-MX"/>
        </w:rPr>
        <w:t>, visible en el Seminario Judicial de la Federación y su gaceta, con el registro digital 2002350.</w:t>
      </w:r>
    </w:p>
    <w:p w14:paraId="1B3E72F9" w14:textId="77777777" w:rsidR="00AB43DA" w:rsidRPr="008F6FC2" w:rsidRDefault="00AB43DA" w:rsidP="00AB43DA">
      <w:pPr>
        <w:spacing w:before="240" w:after="240" w:line="360" w:lineRule="auto"/>
        <w:jc w:val="both"/>
        <w:rPr>
          <w:rFonts w:ascii="Palatino Linotype" w:eastAsia="Palatino Linotype" w:hAnsi="Palatino Linotype" w:cs="Palatino Linotype"/>
          <w:sz w:val="22"/>
          <w:szCs w:val="22"/>
          <w:lang w:val="es-MX"/>
        </w:rPr>
      </w:pPr>
      <w:r w:rsidRPr="008F6FC2">
        <w:rPr>
          <w:rFonts w:ascii="Palatino Linotype" w:eastAsia="Palatino Linotype" w:hAnsi="Palatino Linotype" w:cs="Palatino Linotype"/>
          <w:sz w:val="22"/>
          <w:szCs w:val="22"/>
          <w:lang w:val="es-MX"/>
        </w:rPr>
        <w:t>Por ello, este organismo garante comprometido con la tutela de los derechos humanos confiados, señala que este exceso del plazo legal para resolver el presente asunto, resulta de carácter excepcional.</w:t>
      </w:r>
    </w:p>
    <w:p w14:paraId="45CD695D" w14:textId="4F6C2DEF" w:rsidR="00CF2B54" w:rsidRPr="008F6FC2" w:rsidRDefault="000856C2" w:rsidP="00CF2B54">
      <w:pPr>
        <w:spacing w:after="240" w:line="360" w:lineRule="auto"/>
        <w:jc w:val="both"/>
        <w:rPr>
          <w:rFonts w:ascii="Palatino Linotype" w:eastAsia="Palatino Linotype" w:hAnsi="Palatino Linotype" w:cs="Palatino Linotype"/>
          <w:b/>
          <w:sz w:val="22"/>
        </w:rPr>
      </w:pPr>
      <w:r w:rsidRPr="008F6FC2">
        <w:rPr>
          <w:rFonts w:ascii="Palatino Linotype" w:eastAsia="Palatino Linotype" w:hAnsi="Palatino Linotype" w:cs="Palatino Linotype"/>
          <w:b/>
          <w:sz w:val="22"/>
        </w:rPr>
        <w:t>8</w:t>
      </w:r>
      <w:r w:rsidR="00CF2B54" w:rsidRPr="008F6FC2">
        <w:rPr>
          <w:rFonts w:ascii="Palatino Linotype" w:eastAsia="Palatino Linotype" w:hAnsi="Palatino Linotype" w:cs="Palatino Linotype"/>
          <w:b/>
          <w:sz w:val="22"/>
        </w:rPr>
        <w:t xml:space="preserve">. Cierre de instrucción. </w:t>
      </w:r>
      <w:r w:rsidR="00CF2B54" w:rsidRPr="008F6FC2">
        <w:rPr>
          <w:rFonts w:ascii="Palatino Linotype" w:eastAsia="Palatino Linotype" w:hAnsi="Palatino Linotype" w:cs="Palatino Linotype"/>
          <w:sz w:val="22"/>
        </w:rPr>
        <w:t xml:space="preserve">Una vez transcurrido el periodo otorgado a las partes para realizar sus manifestaciones y no habiendo documentos que integrar al expediente, el </w:t>
      </w:r>
      <w:r w:rsidR="00AE798A" w:rsidRPr="008F6FC2">
        <w:rPr>
          <w:rFonts w:ascii="Palatino Linotype" w:eastAsia="Palatino Linotype" w:hAnsi="Palatino Linotype" w:cs="Palatino Linotype"/>
          <w:b/>
          <w:sz w:val="22"/>
        </w:rPr>
        <w:t>dieciocho</w:t>
      </w:r>
      <w:r w:rsidR="00DD0935" w:rsidRPr="008F6FC2">
        <w:rPr>
          <w:rFonts w:ascii="Palatino Linotype" w:eastAsia="Palatino Linotype" w:hAnsi="Palatino Linotype" w:cs="Palatino Linotype"/>
          <w:b/>
          <w:sz w:val="22"/>
        </w:rPr>
        <w:t xml:space="preserve"> de septiembre</w:t>
      </w:r>
      <w:r w:rsidRPr="008F6FC2">
        <w:rPr>
          <w:rFonts w:ascii="Palatino Linotype" w:eastAsia="Palatino Linotype" w:hAnsi="Palatino Linotype" w:cs="Palatino Linotype"/>
          <w:b/>
          <w:sz w:val="22"/>
        </w:rPr>
        <w:t xml:space="preserve"> de dos mil veinticuatro</w:t>
      </w:r>
      <w:r w:rsidR="00CF2B54" w:rsidRPr="008F6FC2">
        <w:rPr>
          <w:rFonts w:ascii="Palatino Linotype" w:eastAsia="Palatino Linotype" w:hAnsi="Palatino Linotype" w:cs="Palatino Linotype"/>
          <w:sz w:val="22"/>
        </w:rPr>
        <w:t>, la Comisionada Ponente determinó el cierre de instrucción en términos de la fracción VI del artículo 185 de la Ley de Transparencia y Acceso a la Información Pública del Estado de México y Municipios.</w:t>
      </w:r>
    </w:p>
    <w:p w14:paraId="744FE362" w14:textId="77777777" w:rsidR="007A1197" w:rsidRPr="008F6FC2" w:rsidRDefault="00B43A0A">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En razón de que fue debidamente sustanciado el expediente electrónico y no existe diligencia pendiente de desahogo, se emite la Resolución que conforme a Derecho proceda, de acuerdo con los siguientes: </w:t>
      </w:r>
    </w:p>
    <w:p w14:paraId="37D31532" w14:textId="77777777" w:rsidR="007A1197" w:rsidRPr="008F6FC2" w:rsidRDefault="00B43A0A">
      <w:pPr>
        <w:widowControl w:val="0"/>
        <w:spacing w:line="360" w:lineRule="auto"/>
        <w:jc w:val="center"/>
        <w:rPr>
          <w:rFonts w:ascii="Palatino Linotype" w:eastAsia="Palatino Linotype" w:hAnsi="Palatino Linotype" w:cs="Palatino Linotype"/>
          <w:b/>
          <w:sz w:val="22"/>
        </w:rPr>
      </w:pPr>
      <w:r w:rsidRPr="008F6FC2">
        <w:rPr>
          <w:rFonts w:ascii="Palatino Linotype" w:eastAsia="Palatino Linotype" w:hAnsi="Palatino Linotype" w:cs="Palatino Linotype"/>
          <w:b/>
        </w:rPr>
        <w:t xml:space="preserve">II. </w:t>
      </w:r>
      <w:r w:rsidRPr="008F6FC2">
        <w:rPr>
          <w:rFonts w:ascii="Palatino Linotype" w:eastAsia="Palatino Linotype" w:hAnsi="Palatino Linotype" w:cs="Palatino Linotype"/>
          <w:b/>
          <w:sz w:val="22"/>
        </w:rPr>
        <w:t>C O N S I D E R A N D O S</w:t>
      </w:r>
    </w:p>
    <w:p w14:paraId="37E0FCE6" w14:textId="77777777" w:rsidR="007A1197" w:rsidRPr="008F6FC2" w:rsidRDefault="007A1197">
      <w:pPr>
        <w:widowControl w:val="0"/>
        <w:spacing w:line="360" w:lineRule="auto"/>
        <w:jc w:val="center"/>
        <w:rPr>
          <w:rFonts w:ascii="Palatino Linotype" w:eastAsia="Palatino Linotype" w:hAnsi="Palatino Linotype" w:cs="Palatino Linotype"/>
          <w:b/>
          <w:sz w:val="22"/>
        </w:rPr>
      </w:pPr>
    </w:p>
    <w:p w14:paraId="4D52E64F" w14:textId="77777777" w:rsidR="007A1197" w:rsidRPr="008F6FC2" w:rsidRDefault="00B43A0A">
      <w:pPr>
        <w:spacing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b/>
          <w:sz w:val="22"/>
        </w:rPr>
        <w:lastRenderedPageBreak/>
        <w:t>Primero. Competencia.</w:t>
      </w:r>
      <w:r w:rsidRPr="008F6FC2">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w:t>
      </w:r>
      <w:r w:rsidRPr="008F6FC2">
        <w:rPr>
          <w:rFonts w:ascii="Palatino Linotype" w:eastAsia="Palatino Linotype" w:hAnsi="Palatino Linotype" w:cs="Palatino Linotype"/>
          <w:b/>
          <w:sz w:val="22"/>
        </w:rPr>
        <w:t>la parte Recurrente</w:t>
      </w:r>
      <w:r w:rsidRPr="008F6FC2">
        <w:rPr>
          <w:rFonts w:ascii="Palatino Linotype" w:eastAsia="Palatino Linotype" w:hAnsi="Palatino Linotype" w:cs="Palatino Linotype"/>
          <w:sz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5A4DFA" w14:textId="77777777" w:rsidR="007A1197" w:rsidRPr="008F6FC2" w:rsidRDefault="00B43A0A">
      <w:pPr>
        <w:spacing w:before="240" w:after="240" w:line="360" w:lineRule="auto"/>
        <w:jc w:val="both"/>
        <w:rPr>
          <w:rFonts w:ascii="Palatino Linotype" w:eastAsia="Palatino Linotype" w:hAnsi="Palatino Linotype" w:cs="Palatino Linotype"/>
          <w:sz w:val="22"/>
        </w:rPr>
      </w:pPr>
      <w:bookmarkStart w:id="4" w:name="_heading=h.tyjcwt" w:colFirst="0" w:colLast="0"/>
      <w:bookmarkEnd w:id="4"/>
      <w:r w:rsidRPr="008F6FC2">
        <w:rPr>
          <w:rFonts w:ascii="Palatino Linotype" w:eastAsia="Palatino Linotype" w:hAnsi="Palatino Linotype" w:cs="Palatino Linotype"/>
          <w:b/>
          <w:sz w:val="22"/>
        </w:rPr>
        <w:t xml:space="preserve">Segundo. Oportunidad y Procedibilidad del Recurso de Revisión. </w:t>
      </w:r>
      <w:r w:rsidRPr="008F6FC2">
        <w:rPr>
          <w:rFonts w:ascii="Palatino Linotype" w:eastAsia="Palatino Linotype" w:hAnsi="Palatino Linotype" w:cs="Palatino Linotype"/>
          <w:sz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36E2B2A" w14:textId="21197EB8" w:rsidR="007A1197" w:rsidRPr="008F6FC2" w:rsidRDefault="00B43A0A">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El recurso de revisión fue interpuesto dentro del plazo de quince días hábiles, previsto en el artículo 178 de la Ley de Transparencia, toda vez que </w:t>
      </w:r>
      <w:r w:rsidRPr="008F6FC2">
        <w:rPr>
          <w:rFonts w:ascii="Palatino Linotype" w:eastAsia="Palatino Linotype" w:hAnsi="Palatino Linotype" w:cs="Palatino Linotype"/>
          <w:b/>
          <w:sz w:val="22"/>
        </w:rPr>
        <w:t>el Sujeto Obligado</w:t>
      </w:r>
      <w:r w:rsidRPr="008F6FC2">
        <w:rPr>
          <w:rFonts w:ascii="Palatino Linotype" w:eastAsia="Palatino Linotype" w:hAnsi="Palatino Linotype" w:cs="Palatino Linotype"/>
          <w:sz w:val="22"/>
        </w:rPr>
        <w:t xml:space="preserve"> respondió a la solicitud de información el </w:t>
      </w:r>
      <w:r w:rsidR="00AE798A" w:rsidRPr="008F6FC2">
        <w:rPr>
          <w:rFonts w:ascii="Palatino Linotype" w:eastAsia="Palatino Linotype" w:hAnsi="Palatino Linotype" w:cs="Palatino Linotype"/>
          <w:b/>
          <w:sz w:val="22"/>
        </w:rPr>
        <w:t>primero</w:t>
      </w:r>
      <w:r w:rsidR="00DD0935" w:rsidRPr="008F6FC2">
        <w:rPr>
          <w:rFonts w:ascii="Palatino Linotype" w:eastAsia="Palatino Linotype" w:hAnsi="Palatino Linotype" w:cs="Palatino Linotype"/>
          <w:b/>
          <w:sz w:val="22"/>
        </w:rPr>
        <w:t xml:space="preserve"> </w:t>
      </w:r>
      <w:r w:rsidR="00AE798A" w:rsidRPr="008F6FC2">
        <w:rPr>
          <w:rFonts w:ascii="Palatino Linotype" w:eastAsia="Palatino Linotype" w:hAnsi="Palatino Linotype" w:cs="Palatino Linotype"/>
          <w:b/>
          <w:sz w:val="22"/>
        </w:rPr>
        <w:t>de julio</w:t>
      </w:r>
      <w:r w:rsidR="008F39B1" w:rsidRPr="008F6FC2">
        <w:rPr>
          <w:rFonts w:ascii="Palatino Linotype" w:eastAsia="Palatino Linotype" w:hAnsi="Palatino Linotype" w:cs="Palatino Linotype"/>
          <w:b/>
          <w:sz w:val="22"/>
        </w:rPr>
        <w:t xml:space="preserve"> de dos mil veinticuatro</w:t>
      </w:r>
      <w:r w:rsidRPr="008F6FC2">
        <w:rPr>
          <w:rFonts w:ascii="Palatino Linotype" w:eastAsia="Palatino Linotype" w:hAnsi="Palatino Linotype" w:cs="Palatino Linotype"/>
          <w:b/>
          <w:sz w:val="22"/>
        </w:rPr>
        <w:t xml:space="preserve">, </w:t>
      </w:r>
      <w:r w:rsidRPr="008F6FC2">
        <w:rPr>
          <w:rFonts w:ascii="Palatino Linotype" w:eastAsia="Palatino Linotype" w:hAnsi="Palatino Linotype" w:cs="Palatino Linotype"/>
          <w:sz w:val="22"/>
        </w:rPr>
        <w:t xml:space="preserve">mientras que el recurso de revisión se interpuso el </w:t>
      </w:r>
      <w:r w:rsidR="00AE798A" w:rsidRPr="008F6FC2">
        <w:rPr>
          <w:rFonts w:ascii="Palatino Linotype" w:eastAsia="Palatino Linotype" w:hAnsi="Palatino Linotype" w:cs="Palatino Linotype"/>
          <w:b/>
          <w:sz w:val="22"/>
        </w:rPr>
        <w:t>ocho de julio</w:t>
      </w:r>
      <w:r w:rsidR="008F39B1" w:rsidRPr="008F6FC2">
        <w:rPr>
          <w:rFonts w:ascii="Palatino Linotype" w:eastAsia="Palatino Linotype" w:hAnsi="Palatino Linotype" w:cs="Palatino Linotype"/>
          <w:b/>
          <w:sz w:val="22"/>
        </w:rPr>
        <w:t xml:space="preserve"> de dos mil veinticuatro</w:t>
      </w:r>
      <w:r w:rsidRPr="008F6FC2">
        <w:rPr>
          <w:rFonts w:ascii="Palatino Linotype" w:eastAsia="Palatino Linotype" w:hAnsi="Palatino Linotype" w:cs="Palatino Linotype"/>
          <w:sz w:val="22"/>
        </w:rPr>
        <w:t xml:space="preserve">, esto es, el </w:t>
      </w:r>
      <w:r w:rsidR="00AE798A" w:rsidRPr="008F6FC2">
        <w:rPr>
          <w:rFonts w:ascii="Palatino Linotype" w:eastAsia="Palatino Linotype" w:hAnsi="Palatino Linotype" w:cs="Palatino Linotype"/>
          <w:b/>
          <w:sz w:val="22"/>
        </w:rPr>
        <w:t>quinto</w:t>
      </w:r>
      <w:r w:rsidRPr="008F6FC2">
        <w:rPr>
          <w:rFonts w:ascii="Palatino Linotype" w:eastAsia="Palatino Linotype" w:hAnsi="Palatino Linotype" w:cs="Palatino Linotype"/>
          <w:b/>
          <w:sz w:val="22"/>
        </w:rPr>
        <w:t xml:space="preserve"> día hábil </w:t>
      </w:r>
      <w:r w:rsidRPr="008F6FC2">
        <w:rPr>
          <w:rFonts w:ascii="Palatino Linotype" w:eastAsia="Palatino Linotype" w:hAnsi="Palatino Linotype" w:cs="Palatino Linotype"/>
          <w:sz w:val="22"/>
        </w:rPr>
        <w:t>posterior en que tuvo conocimiento de la respuesta impugnada.</w:t>
      </w:r>
    </w:p>
    <w:p w14:paraId="547ABEB4" w14:textId="77777777" w:rsidR="007A1197" w:rsidRPr="008F6FC2" w:rsidRDefault="00B43A0A">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En este sentido, al considerar la fecha en que se formuló la solicitud y la fecha en que respondió a esta el </w:t>
      </w:r>
      <w:r w:rsidRPr="008F6FC2">
        <w:rPr>
          <w:rFonts w:ascii="Palatino Linotype" w:eastAsia="Palatino Linotype" w:hAnsi="Palatino Linotype" w:cs="Palatino Linotype"/>
          <w:b/>
          <w:sz w:val="22"/>
        </w:rPr>
        <w:t>Sujeto Obligado</w:t>
      </w:r>
      <w:r w:rsidRPr="008F6FC2">
        <w:rPr>
          <w:rFonts w:ascii="Palatino Linotype" w:eastAsia="Palatino Linotype" w:hAnsi="Palatino Linotype" w:cs="Palatino Linotype"/>
          <w:sz w:val="22"/>
        </w:rPr>
        <w:t>; así como la fecha en que se interpuso el recurso de revisión, se concluye que el presente recurso de revisión se encuentra dentro de los márgenes temporales previstos las disposiciones legales referidas.</w:t>
      </w:r>
    </w:p>
    <w:p w14:paraId="03F2DC75" w14:textId="2FC9E5A2" w:rsidR="00457A6D" w:rsidRPr="008F6FC2" w:rsidRDefault="00457A6D" w:rsidP="00457A6D">
      <w:pPr>
        <w:pStyle w:val="NormalWeb"/>
        <w:spacing w:before="240" w:beforeAutospacing="0" w:after="240" w:afterAutospacing="0" w:line="360" w:lineRule="auto"/>
        <w:jc w:val="both"/>
        <w:rPr>
          <w:sz w:val="22"/>
        </w:rPr>
      </w:pPr>
      <w:r w:rsidRPr="008F6FC2">
        <w:rPr>
          <w:rFonts w:ascii="Palatino Linotype" w:hAnsi="Palatino Linotype"/>
          <w:sz w:val="22"/>
        </w:rPr>
        <w:lastRenderedPageBreak/>
        <w:t xml:space="preserve">Asimismo, por cuanto hace a la procedibilidad del  recurso de revisión, es de suma importancia señalar que </w:t>
      </w:r>
      <w:r w:rsidRPr="008F6FC2">
        <w:rPr>
          <w:rFonts w:ascii="Palatino Linotype" w:hAnsi="Palatino Linotype"/>
          <w:b/>
          <w:bCs/>
          <w:sz w:val="22"/>
        </w:rPr>
        <w:t>la parte Recurrente</w:t>
      </w:r>
      <w:r w:rsidRPr="008F6FC2">
        <w:rPr>
          <w:rFonts w:ascii="Palatino Linotype" w:hAnsi="Palatino Linotype"/>
          <w:sz w:val="22"/>
        </w:rPr>
        <w:t xml:space="preserve">, </w:t>
      </w:r>
      <w:r w:rsidR="00AE798A" w:rsidRPr="008F6FC2">
        <w:rPr>
          <w:rFonts w:ascii="Palatino Linotype" w:hAnsi="Palatino Linotype"/>
          <w:sz w:val="22"/>
        </w:rPr>
        <w:t xml:space="preserve">no </w:t>
      </w:r>
      <w:r w:rsidRPr="008F6FC2">
        <w:rPr>
          <w:rFonts w:ascii="Palatino Linotype" w:hAnsi="Palatino Linotype"/>
          <w:sz w:val="22"/>
        </w:rPr>
        <w:t xml:space="preserve">señaló </w:t>
      </w:r>
      <w:r w:rsidR="00AE798A" w:rsidRPr="008F6FC2">
        <w:rPr>
          <w:rFonts w:ascii="Palatino Linotype" w:hAnsi="Palatino Linotype"/>
          <w:b/>
          <w:sz w:val="22"/>
        </w:rPr>
        <w:t>nombre completo</w:t>
      </w:r>
      <w:r w:rsidR="000856C2" w:rsidRPr="008F6FC2">
        <w:rPr>
          <w:rFonts w:ascii="Palatino Linotype" w:hAnsi="Palatino Linotype"/>
          <w:sz w:val="22"/>
        </w:rPr>
        <w:t xml:space="preserve"> </w:t>
      </w:r>
      <w:r w:rsidRPr="008F6FC2">
        <w:rPr>
          <w:rFonts w:ascii="Palatino Linotype" w:hAnsi="Palatino Linotype"/>
          <w:sz w:val="22"/>
        </w:rPr>
        <w:t>con el que</w:t>
      </w:r>
      <w:r w:rsidR="00AE798A" w:rsidRPr="008F6FC2">
        <w:rPr>
          <w:rFonts w:ascii="Palatino Linotype" w:hAnsi="Palatino Linotype"/>
          <w:sz w:val="22"/>
        </w:rPr>
        <w:t xml:space="preserve"> desea que se le identifique</w:t>
      </w:r>
      <w:r w:rsidRPr="008F6FC2">
        <w:rPr>
          <w:rFonts w:ascii="Palatino Linotype" w:hAnsi="Palatino Linotype"/>
          <w:sz w:val="22"/>
        </w:rPr>
        <w:t>,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700188C" w14:textId="77777777" w:rsidR="00457A6D" w:rsidRPr="008F6FC2" w:rsidRDefault="00457A6D" w:rsidP="00457A6D">
      <w:pPr>
        <w:pStyle w:val="NormalWeb"/>
        <w:spacing w:before="240" w:beforeAutospacing="0" w:after="240" w:afterAutospacing="0"/>
        <w:ind w:left="567" w:right="616"/>
        <w:jc w:val="both"/>
      </w:pPr>
      <w:r w:rsidRPr="008F6FC2">
        <w:rPr>
          <w:rFonts w:ascii="Palatino Linotype" w:hAnsi="Palatino Linotype"/>
          <w:i/>
          <w:iCs/>
          <w:sz w:val="22"/>
          <w:szCs w:val="22"/>
        </w:rPr>
        <w:t>"</w:t>
      </w:r>
      <w:r w:rsidRPr="008F6FC2">
        <w:rPr>
          <w:rFonts w:ascii="Palatino Linotype" w:hAnsi="Palatino Linotype"/>
          <w:b/>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r w:rsidRPr="008F6FC2">
        <w:rPr>
          <w:rFonts w:ascii="Palatino Linotype" w:hAnsi="Palatino Linotype"/>
          <w:i/>
          <w:iCs/>
          <w:sz w:val="22"/>
          <w:szCs w:val="22"/>
        </w:rPr>
        <w:t>."</w:t>
      </w:r>
    </w:p>
    <w:p w14:paraId="79BA747E" w14:textId="77777777" w:rsidR="007A1197" w:rsidRPr="008F6FC2" w:rsidRDefault="00B43A0A">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1140A7A" w14:textId="77777777" w:rsidR="007A1197" w:rsidRPr="008F6FC2" w:rsidRDefault="00B43A0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Ahora bien, resulta procedente la interposición del recurso, según lo aducido por la parte recurrente en sus razones o motivos de inconformidad, de acuerdo al artículo 179, </w:t>
      </w:r>
      <w:r w:rsidR="0007345B" w:rsidRPr="008F6FC2">
        <w:rPr>
          <w:rFonts w:ascii="Palatino Linotype" w:eastAsia="Palatino Linotype" w:hAnsi="Palatino Linotype" w:cs="Palatino Linotype"/>
          <w:sz w:val="22"/>
        </w:rPr>
        <w:t>fracciones</w:t>
      </w:r>
      <w:r w:rsidR="008F39B1" w:rsidRPr="008F6FC2">
        <w:rPr>
          <w:rFonts w:ascii="Palatino Linotype" w:eastAsia="Palatino Linotype" w:hAnsi="Palatino Linotype" w:cs="Palatino Linotype"/>
          <w:sz w:val="22"/>
        </w:rPr>
        <w:t xml:space="preserve"> II</w:t>
      </w:r>
      <w:r w:rsidRPr="008F6FC2">
        <w:rPr>
          <w:rFonts w:ascii="Palatino Linotype" w:eastAsia="Palatino Linotype" w:hAnsi="Palatino Linotype" w:cs="Palatino Linotype"/>
          <w:sz w:val="22"/>
        </w:rPr>
        <w:t xml:space="preserve"> </w:t>
      </w:r>
      <w:r w:rsidR="0007345B" w:rsidRPr="008F6FC2">
        <w:rPr>
          <w:rFonts w:ascii="Palatino Linotype" w:eastAsia="Palatino Linotype" w:hAnsi="Palatino Linotype" w:cs="Palatino Linotype"/>
          <w:sz w:val="22"/>
        </w:rPr>
        <w:t xml:space="preserve">y VI </w:t>
      </w:r>
      <w:r w:rsidRPr="008F6FC2">
        <w:rPr>
          <w:rFonts w:ascii="Palatino Linotype" w:eastAsia="Palatino Linotype" w:hAnsi="Palatino Linotype" w:cs="Palatino Linotype"/>
          <w:sz w:val="22"/>
        </w:rPr>
        <w:t>de la Ley de Transparencia y Acceso a la Información Pública del Estado de México y Municipios; que a la letra dice:</w:t>
      </w:r>
    </w:p>
    <w:p w14:paraId="78E291CE" w14:textId="77777777" w:rsidR="007A1197" w:rsidRPr="008F6FC2" w:rsidRDefault="00B43A0A" w:rsidP="00F1119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i/>
          <w:sz w:val="22"/>
          <w:szCs w:val="22"/>
        </w:rPr>
        <w:t>“Artículo 179</w:t>
      </w:r>
      <w:r w:rsidRPr="008F6FC2">
        <w:rPr>
          <w:rFonts w:ascii="Palatino Linotype" w:eastAsia="Palatino Linotype" w:hAnsi="Palatino Linotype" w:cs="Palatino Linotype"/>
          <w:i/>
          <w:sz w:val="22"/>
          <w:szCs w:val="22"/>
        </w:rPr>
        <w:t xml:space="preserve">. </w:t>
      </w:r>
      <w:r w:rsidRPr="008F6FC2">
        <w:rPr>
          <w:rFonts w:ascii="Palatino Linotype" w:eastAsia="Palatino Linotype" w:hAnsi="Palatino Linotype" w:cs="Palatino Linotype"/>
          <w:b/>
          <w:i/>
          <w:sz w:val="22"/>
          <w:szCs w:val="22"/>
        </w:rPr>
        <w:t>El recurso de revisión</w:t>
      </w:r>
      <w:r w:rsidRPr="008F6FC2">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8F6FC2">
        <w:rPr>
          <w:rFonts w:ascii="Palatino Linotype" w:eastAsia="Palatino Linotype" w:hAnsi="Palatino Linotype" w:cs="Palatino Linotype"/>
          <w:b/>
          <w:i/>
          <w:sz w:val="22"/>
          <w:szCs w:val="22"/>
        </w:rPr>
        <w:t>, y procederá en contra de las siguientes causas</w:t>
      </w:r>
      <w:r w:rsidRPr="008F6FC2">
        <w:rPr>
          <w:rFonts w:ascii="Palatino Linotype" w:eastAsia="Palatino Linotype" w:hAnsi="Palatino Linotype" w:cs="Palatino Linotype"/>
          <w:i/>
          <w:sz w:val="22"/>
          <w:szCs w:val="22"/>
        </w:rPr>
        <w:t>:</w:t>
      </w:r>
    </w:p>
    <w:p w14:paraId="2700817A" w14:textId="77777777" w:rsidR="007A1197" w:rsidRPr="008F6FC2" w:rsidRDefault="00B43A0A" w:rsidP="00F11194">
      <w:pPr>
        <w:pBdr>
          <w:top w:val="nil"/>
          <w:left w:val="nil"/>
          <w:bottom w:val="nil"/>
          <w:right w:val="nil"/>
          <w:between w:val="nil"/>
        </w:pBd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w:t>
      </w:r>
    </w:p>
    <w:p w14:paraId="70294E5D" w14:textId="53039E7D" w:rsidR="007A1197" w:rsidRPr="008F6FC2" w:rsidRDefault="00AE798A" w:rsidP="00AE798A">
      <w:pPr>
        <w:pBdr>
          <w:top w:val="nil"/>
          <w:left w:val="nil"/>
          <w:bottom w:val="nil"/>
          <w:right w:val="nil"/>
          <w:between w:val="nil"/>
        </w:pBdr>
        <w:spacing w:before="240" w:after="240" w:line="276" w:lineRule="auto"/>
        <w:ind w:left="567" w:right="1043"/>
        <w:jc w:val="both"/>
        <w:rPr>
          <w:rFonts w:ascii="Palatino Linotype" w:eastAsia="Palatino Linotype" w:hAnsi="Palatino Linotype" w:cs="Palatino Linotype"/>
          <w:i/>
          <w:sz w:val="22"/>
          <w:szCs w:val="22"/>
          <w:u w:val="single"/>
        </w:rPr>
      </w:pPr>
      <w:r w:rsidRPr="008F6FC2">
        <w:rPr>
          <w:rFonts w:ascii="Palatino Linotype" w:eastAsia="Palatino Linotype" w:hAnsi="Palatino Linotype" w:cs="Palatino Linotype"/>
          <w:b/>
          <w:i/>
          <w:sz w:val="22"/>
          <w:szCs w:val="22"/>
          <w:u w:val="single"/>
        </w:rPr>
        <w:lastRenderedPageBreak/>
        <w:t>I. La negativa a la información solicitada</w:t>
      </w:r>
      <w:r w:rsidR="00B43A0A" w:rsidRPr="008F6FC2">
        <w:rPr>
          <w:rFonts w:ascii="Palatino Linotype" w:eastAsia="Palatino Linotype" w:hAnsi="Palatino Linotype" w:cs="Palatino Linotype"/>
          <w:i/>
          <w:sz w:val="22"/>
          <w:szCs w:val="22"/>
          <w:u w:val="single"/>
        </w:rPr>
        <w:t>;</w:t>
      </w:r>
      <w:r w:rsidR="00B43A0A" w:rsidRPr="008F6FC2">
        <w:rPr>
          <w:rFonts w:ascii="Palatino Linotype" w:eastAsia="Palatino Linotype" w:hAnsi="Palatino Linotype" w:cs="Palatino Linotype"/>
          <w:i/>
          <w:sz w:val="22"/>
          <w:szCs w:val="22"/>
        </w:rPr>
        <w:t>” (Énfasis añadido)</w:t>
      </w:r>
    </w:p>
    <w:p w14:paraId="33EAA7FF" w14:textId="77777777" w:rsidR="004074B5" w:rsidRPr="008F6FC2" w:rsidRDefault="00B43A0A" w:rsidP="004074B5">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b/>
          <w:sz w:val="22"/>
          <w:szCs w:val="22"/>
        </w:rPr>
        <w:t xml:space="preserve">Tercero. </w:t>
      </w:r>
      <w:r w:rsidR="004074B5" w:rsidRPr="008F6FC2">
        <w:rPr>
          <w:rFonts w:ascii="Palatino Linotype" w:eastAsia="Palatino Linotype" w:hAnsi="Palatino Linotype" w:cs="Palatino Linotype"/>
          <w:b/>
          <w:sz w:val="22"/>
        </w:rPr>
        <w:t xml:space="preserve">Análisis de las causas de sobreseimiento del recurso de revisión. </w:t>
      </w:r>
      <w:r w:rsidR="004074B5" w:rsidRPr="008F6FC2">
        <w:rPr>
          <w:rFonts w:ascii="Palatino Linotype" w:eastAsia="Palatino Linotype" w:hAnsi="Palatino Linotype" w:cs="Palatino Linotype"/>
          <w:sz w:val="22"/>
        </w:rPr>
        <w:t>En primera instancia, debe apuntarse que del análisis al recurso de revisión que ahora se resuelve, se tiene que se actualiza la causal de sobreseimiento del recurso de revisión establecido en la fracción III del artículo 192</w:t>
      </w:r>
      <w:r w:rsidR="004074B5" w:rsidRPr="008F6FC2">
        <w:rPr>
          <w:rFonts w:ascii="Palatino Linotype" w:eastAsia="Palatino Linotype" w:hAnsi="Palatino Linotype" w:cs="Palatino Linotype"/>
          <w:sz w:val="22"/>
          <w:vertAlign w:val="superscript"/>
        </w:rPr>
        <w:footnoteReference w:id="1"/>
      </w:r>
      <w:r w:rsidR="004074B5" w:rsidRPr="008F6FC2">
        <w:rPr>
          <w:rFonts w:ascii="Palatino Linotype" w:eastAsia="Palatino Linotype" w:hAnsi="Palatino Linotype" w:cs="Palatino Linotype"/>
          <w:sz w:val="22"/>
        </w:rPr>
        <w:t xml:space="preserve"> en relación con el diverso 186 fracción I</w:t>
      </w:r>
      <w:r w:rsidR="004074B5" w:rsidRPr="008F6FC2">
        <w:rPr>
          <w:rFonts w:ascii="Palatino Linotype" w:eastAsia="Palatino Linotype" w:hAnsi="Palatino Linotype" w:cs="Palatino Linotype"/>
          <w:sz w:val="22"/>
          <w:vertAlign w:val="superscript"/>
        </w:rPr>
        <w:footnoteReference w:id="2"/>
      </w:r>
      <w:r w:rsidR="004074B5" w:rsidRPr="008F6FC2">
        <w:rPr>
          <w:rFonts w:ascii="Palatino Linotype" w:eastAsia="Palatino Linotype" w:hAnsi="Palatino Linotype" w:cs="Palatino Linotype"/>
          <w:sz w:val="22"/>
        </w:rPr>
        <w:t xml:space="preserve">, ambos de la Ley de Transparencia y Acceso a la Información Pública del Estado de México y Municipios, derivado del contenido del informe justificado rendido por el </w:t>
      </w:r>
      <w:r w:rsidR="004074B5" w:rsidRPr="008F6FC2">
        <w:rPr>
          <w:rFonts w:ascii="Palatino Linotype" w:eastAsia="Palatino Linotype" w:hAnsi="Palatino Linotype" w:cs="Palatino Linotype"/>
          <w:b/>
          <w:sz w:val="22"/>
        </w:rPr>
        <w:t>Sujeto Obligado.</w:t>
      </w:r>
      <w:r w:rsidR="004074B5" w:rsidRPr="008F6FC2">
        <w:rPr>
          <w:rFonts w:ascii="Palatino Linotype" w:eastAsia="Palatino Linotype" w:hAnsi="Palatino Linotype" w:cs="Palatino Linotype"/>
          <w:sz w:val="22"/>
        </w:rPr>
        <w:t xml:space="preserve"> </w:t>
      </w:r>
    </w:p>
    <w:p w14:paraId="3D2C6FA2" w14:textId="1165B74A" w:rsidR="004074B5" w:rsidRPr="008F6FC2" w:rsidRDefault="004074B5" w:rsidP="004074B5">
      <w:pPr>
        <w:tabs>
          <w:tab w:val="left" w:pos="7513"/>
        </w:tabs>
        <w:spacing w:after="240"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Para una mejor comprensión del asunto, de las constancias que obran en el expediente electrónico, valoradas anteriormente, destacan por su importancia los antecedentes siguientes:</w:t>
      </w:r>
    </w:p>
    <w:p w14:paraId="307BE9BE" w14:textId="0C6D97B3" w:rsidR="00F11194" w:rsidRPr="008F6FC2" w:rsidRDefault="00F11194" w:rsidP="00F11194">
      <w:pPr>
        <w:pStyle w:val="Prrafodelista"/>
        <w:numPr>
          <w:ilvl w:val="0"/>
          <w:numId w:val="13"/>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8F6FC2">
        <w:rPr>
          <w:rFonts w:ascii="Palatino Linotype" w:eastAsia="Palatino Linotype" w:hAnsi="Palatino Linotype" w:cs="Palatino Linotype"/>
          <w:b/>
          <w:sz w:val="22"/>
          <w:szCs w:val="22"/>
        </w:rPr>
        <w:t>Cantidad de Recomendaciones hechas en 2023 y 2024 al centro penitenciario y de readaptación social "Santiaguito".</w:t>
      </w:r>
    </w:p>
    <w:p w14:paraId="55867B61" w14:textId="659B9C55" w:rsidR="00F11194" w:rsidRPr="008F6FC2" w:rsidRDefault="00B43A0A" w:rsidP="00F11194">
      <w:pPr>
        <w:spacing w:before="240" w:after="240"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El </w:t>
      </w:r>
      <w:r w:rsidRPr="008F6FC2">
        <w:rPr>
          <w:rFonts w:ascii="Palatino Linotype" w:eastAsia="Palatino Linotype" w:hAnsi="Palatino Linotype" w:cs="Palatino Linotype"/>
          <w:b/>
          <w:sz w:val="22"/>
        </w:rPr>
        <w:t xml:space="preserve">Sujeto Obligado </w:t>
      </w:r>
      <w:r w:rsidR="0007345B" w:rsidRPr="008F6FC2">
        <w:rPr>
          <w:rFonts w:ascii="Palatino Linotype" w:eastAsia="Palatino Linotype" w:hAnsi="Palatino Linotype" w:cs="Palatino Linotype"/>
          <w:sz w:val="22"/>
        </w:rPr>
        <w:t xml:space="preserve">se pronunció en respuesta a través del servidor público habilitado de </w:t>
      </w:r>
      <w:r w:rsidR="00F11194" w:rsidRPr="008F6FC2">
        <w:rPr>
          <w:rFonts w:ascii="Palatino Linotype" w:eastAsia="Palatino Linotype" w:hAnsi="Palatino Linotype" w:cs="Palatino Linotype"/>
          <w:sz w:val="22"/>
        </w:rPr>
        <w:t xml:space="preserve">la Unidad Especializada de Seguimiento de Recomendaciones y Proyectos, quien informa que la Recomendación que cumple con el criterio solicitado es la: Recomendación 8/2023: Emitida al </w:t>
      </w:r>
      <w:proofErr w:type="gramStart"/>
      <w:r w:rsidR="00F11194" w:rsidRPr="008F6FC2">
        <w:rPr>
          <w:rFonts w:ascii="Palatino Linotype" w:eastAsia="Palatino Linotype" w:hAnsi="Palatino Linotype" w:cs="Palatino Linotype"/>
          <w:sz w:val="22"/>
        </w:rPr>
        <w:t>Fiscal General</w:t>
      </w:r>
      <w:proofErr w:type="gramEnd"/>
      <w:r w:rsidR="00F11194" w:rsidRPr="008F6FC2">
        <w:rPr>
          <w:rFonts w:ascii="Palatino Linotype" w:eastAsia="Palatino Linotype" w:hAnsi="Palatino Linotype" w:cs="Palatino Linotype"/>
          <w:sz w:val="22"/>
        </w:rPr>
        <w:t xml:space="preserve"> de Justicia del Estado de México, el diez de julio de 2023, por vulneración al derecho a la seguridad humana, derecho a la integridad y seguridad personal y derechos a servicios públicos de calidad.</w:t>
      </w:r>
    </w:p>
    <w:p w14:paraId="6B3F75AD" w14:textId="28874B4C" w:rsidR="00910E1A" w:rsidRPr="008F6FC2" w:rsidRDefault="00B43A0A">
      <w:pPr>
        <w:spacing w:before="240" w:after="240" w:line="360" w:lineRule="auto"/>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lastRenderedPageBreak/>
        <w:t xml:space="preserve">En esta tesitura, una vez conocida la respuesta emitida por el </w:t>
      </w:r>
      <w:r w:rsidRPr="008F6FC2">
        <w:rPr>
          <w:rFonts w:ascii="Palatino Linotype" w:eastAsia="Palatino Linotype" w:hAnsi="Palatino Linotype" w:cs="Palatino Linotype"/>
          <w:b/>
          <w:sz w:val="22"/>
        </w:rPr>
        <w:t>Sujeto Obligado</w:t>
      </w:r>
      <w:r w:rsidRPr="008F6FC2">
        <w:rPr>
          <w:rFonts w:ascii="Palatino Linotype" w:eastAsia="Palatino Linotype" w:hAnsi="Palatino Linotype" w:cs="Palatino Linotype"/>
          <w:sz w:val="22"/>
        </w:rPr>
        <w:t xml:space="preserve">, </w:t>
      </w:r>
      <w:r w:rsidRPr="008F6FC2">
        <w:rPr>
          <w:rFonts w:ascii="Palatino Linotype" w:eastAsia="Palatino Linotype" w:hAnsi="Palatino Linotype" w:cs="Palatino Linotype"/>
          <w:b/>
          <w:sz w:val="22"/>
        </w:rPr>
        <w:t>la parte Recurrente</w:t>
      </w:r>
      <w:r w:rsidRPr="008F6FC2">
        <w:rPr>
          <w:rFonts w:ascii="Palatino Linotype" w:eastAsia="Palatino Linotype" w:hAnsi="Palatino Linotype" w:cs="Palatino Linotype"/>
          <w:sz w:val="22"/>
        </w:rPr>
        <w:t>, al no estar conforme con los términos de la misma, interpuso el rec</w:t>
      </w:r>
      <w:r w:rsidR="00C877CA" w:rsidRPr="008F6FC2">
        <w:rPr>
          <w:rFonts w:ascii="Palatino Linotype" w:eastAsia="Palatino Linotype" w:hAnsi="Palatino Linotype" w:cs="Palatino Linotype"/>
          <w:sz w:val="22"/>
        </w:rPr>
        <w:t xml:space="preserve">urso de revisión que nos ocupa, mediante el cual se inconforma por </w:t>
      </w:r>
      <w:r w:rsidR="00910E1A" w:rsidRPr="008F6FC2">
        <w:rPr>
          <w:rFonts w:ascii="Palatino Linotype" w:eastAsia="Palatino Linotype" w:hAnsi="Palatino Linotype" w:cs="Palatino Linotype"/>
          <w:sz w:val="22"/>
        </w:rPr>
        <w:t>la</w:t>
      </w:r>
      <w:r w:rsidR="006447C3" w:rsidRPr="008F6FC2">
        <w:rPr>
          <w:rFonts w:ascii="Palatino Linotype" w:eastAsia="Palatino Linotype" w:hAnsi="Palatino Linotype" w:cs="Palatino Linotype"/>
          <w:sz w:val="22"/>
        </w:rPr>
        <w:t xml:space="preserve"> negativa a entregar la información solicitada, ello se deduce de los motivos de inconformidad en los que la persona solicitante de información expresa que el </w:t>
      </w:r>
      <w:r w:rsidR="006447C3" w:rsidRPr="008F6FC2">
        <w:rPr>
          <w:rFonts w:ascii="Palatino Linotype" w:eastAsia="Palatino Linotype" w:hAnsi="Palatino Linotype" w:cs="Palatino Linotype"/>
          <w:b/>
          <w:sz w:val="22"/>
        </w:rPr>
        <w:t>Sujeto Obligado</w:t>
      </w:r>
      <w:r w:rsidR="006447C3" w:rsidRPr="008F6FC2">
        <w:rPr>
          <w:rFonts w:ascii="Palatino Linotype" w:eastAsia="Palatino Linotype" w:hAnsi="Palatino Linotype" w:cs="Palatino Linotype"/>
          <w:sz w:val="22"/>
        </w:rPr>
        <w:t xml:space="preserve"> cuenta con una unidad de atención a personas privadas de la libertad y es a dicha unidad a quien se debió recurrir para dar respuesta a lo solicitado</w:t>
      </w:r>
      <w:r w:rsidR="00910E1A" w:rsidRPr="008F6FC2">
        <w:rPr>
          <w:rFonts w:ascii="Palatino Linotype" w:eastAsia="Palatino Linotype" w:hAnsi="Palatino Linotype" w:cs="Palatino Linotype"/>
          <w:sz w:val="22"/>
        </w:rPr>
        <w:t>.</w:t>
      </w:r>
    </w:p>
    <w:p w14:paraId="696074F4" w14:textId="6DB464D4" w:rsidR="006447C3" w:rsidRPr="008F6FC2" w:rsidRDefault="00B43A0A" w:rsidP="006447C3">
      <w:pPr>
        <w:spacing w:before="240" w:after="240" w:line="360" w:lineRule="auto"/>
        <w:jc w:val="both"/>
        <w:rPr>
          <w:rFonts w:ascii="Palatino Linotype" w:eastAsia="Palatino Linotype" w:hAnsi="Palatino Linotype" w:cs="Palatino Linotype"/>
          <w:b/>
          <w:sz w:val="22"/>
          <w:u w:val="single"/>
        </w:rPr>
      </w:pPr>
      <w:r w:rsidRPr="008F6FC2">
        <w:rPr>
          <w:rFonts w:ascii="Palatino Linotype" w:eastAsia="Palatino Linotype" w:hAnsi="Palatino Linotype" w:cs="Palatino Linotype"/>
          <w:sz w:val="22"/>
        </w:rPr>
        <w:t xml:space="preserve">Así las cosas, durante la etapa de manifestaciones, se tiene que </w:t>
      </w:r>
      <w:r w:rsidR="008F39B1" w:rsidRPr="008F6FC2">
        <w:rPr>
          <w:rFonts w:ascii="Palatino Linotype" w:eastAsia="Palatino Linotype" w:hAnsi="Palatino Linotype" w:cs="Palatino Linotype"/>
          <w:sz w:val="22"/>
        </w:rPr>
        <w:t xml:space="preserve">el </w:t>
      </w:r>
      <w:r w:rsidR="008F39B1" w:rsidRPr="008F6FC2">
        <w:rPr>
          <w:rFonts w:ascii="Palatino Linotype" w:eastAsia="Palatino Linotype" w:hAnsi="Palatino Linotype" w:cs="Palatino Linotype"/>
          <w:b/>
          <w:sz w:val="22"/>
        </w:rPr>
        <w:t>Sujeto Obligado</w:t>
      </w:r>
      <w:r w:rsidR="008F39B1" w:rsidRPr="008F6FC2">
        <w:rPr>
          <w:rFonts w:ascii="Palatino Linotype" w:eastAsia="Palatino Linotype" w:hAnsi="Palatino Linotype" w:cs="Palatino Linotype"/>
          <w:sz w:val="22"/>
        </w:rPr>
        <w:t xml:space="preserve"> </w:t>
      </w:r>
      <w:r w:rsidR="006447C3" w:rsidRPr="008F6FC2">
        <w:rPr>
          <w:rFonts w:ascii="Palatino Linotype" w:eastAsia="Palatino Linotype" w:hAnsi="Palatino Linotype" w:cs="Palatino Linotype"/>
          <w:sz w:val="22"/>
        </w:rPr>
        <w:t xml:space="preserve">modificó los términos de su pronunciamiento inicial al referir que en la respuesta remitida por el Titular de la Unidad Especializada de Seguimiento de Recomendaciones y Proyectos, </w:t>
      </w:r>
      <w:r w:rsidR="006447C3" w:rsidRPr="008F6FC2">
        <w:rPr>
          <w:rFonts w:ascii="Palatino Linotype" w:eastAsia="Palatino Linotype" w:hAnsi="Palatino Linotype" w:cs="Palatino Linotype"/>
          <w:b/>
          <w:sz w:val="22"/>
          <w:u w:val="single"/>
        </w:rPr>
        <w:t>se hizo mención de manera errónea, sobre la autoridad a la cual se le dirigió la recomendación, toda vez que se mencionó que la Recomendación 08/2023, había sido emitida al Fiscal General de Justicia del Estado de México, siendo que esta Recomendación, fue dirigida al Secretario de Seguridad del Estado de México, al Subsecretario de Control Penitenciario y al Director General de Prevención y Reinserción Social del Estado de México, información que de acuerdo a los solicitado cumple con los criterios requeridos por el particular</w:t>
      </w:r>
      <w:r w:rsidR="006447C3" w:rsidRPr="008F6FC2">
        <w:rPr>
          <w:rFonts w:ascii="Palatino Linotype" w:eastAsia="Palatino Linotype" w:hAnsi="Palatino Linotype" w:cs="Palatino Linotype"/>
          <w:sz w:val="22"/>
        </w:rPr>
        <w:t>, cabe destacar que también proporcionó dicha r</w:t>
      </w:r>
      <w:r w:rsidR="000037A7" w:rsidRPr="008F6FC2">
        <w:rPr>
          <w:rFonts w:ascii="Palatino Linotype" w:eastAsia="Palatino Linotype" w:hAnsi="Palatino Linotype" w:cs="Palatino Linotype"/>
          <w:sz w:val="22"/>
        </w:rPr>
        <w:t xml:space="preserve">ecomendación en versión pública, sin embargo, toda vez que </w:t>
      </w:r>
      <w:r w:rsidR="000037A7" w:rsidRPr="008F6FC2">
        <w:rPr>
          <w:rFonts w:ascii="Palatino Linotype" w:eastAsia="Palatino Linotype" w:hAnsi="Palatino Linotype" w:cs="Palatino Linotype"/>
          <w:b/>
          <w:sz w:val="22"/>
          <w:u w:val="single"/>
        </w:rPr>
        <w:t xml:space="preserve">la Litis se limita específicamente a conocer específicamente el número de recomendaciones hechas en 2023 y 2024 al centro penitenciario y de readaptación social "Santiaguito", dicha documental no será motivo de análisis. </w:t>
      </w:r>
    </w:p>
    <w:p w14:paraId="1EEBFDE6" w14:textId="18EE1A35" w:rsidR="006447C3" w:rsidRPr="008F6FC2" w:rsidRDefault="007B33D5" w:rsidP="001F739C">
      <w:pPr>
        <w:spacing w:before="240" w:after="240" w:line="360" w:lineRule="auto"/>
        <w:ind w:right="49"/>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Acotado lo anterior, resulta </w:t>
      </w:r>
      <w:r w:rsidR="006447C3" w:rsidRPr="008F6FC2">
        <w:rPr>
          <w:rFonts w:ascii="Palatino Linotype" w:eastAsia="Palatino Linotype" w:hAnsi="Palatino Linotype" w:cs="Palatino Linotype"/>
          <w:sz w:val="22"/>
          <w:szCs w:val="22"/>
        </w:rPr>
        <w:t xml:space="preserve">pertinente delimitar que inicialmente la solicitud fue turnada al servidor público habilitado de la Unidad Especializada de Seguimiento de </w:t>
      </w:r>
      <w:r w:rsidR="006447C3" w:rsidRPr="008F6FC2">
        <w:rPr>
          <w:rFonts w:ascii="Palatino Linotype" w:eastAsia="Palatino Linotype" w:hAnsi="Palatino Linotype" w:cs="Palatino Linotype"/>
          <w:sz w:val="22"/>
          <w:szCs w:val="22"/>
        </w:rPr>
        <w:lastRenderedPageBreak/>
        <w:t xml:space="preserve">Recomendaciones y Proyectos de la Segunda Visitaduría General, tal como se desprende de las siguientes ilustraciones: </w:t>
      </w:r>
    </w:p>
    <w:p w14:paraId="01702CD6" w14:textId="4CE4A314" w:rsidR="006447C3" w:rsidRPr="008F6FC2" w:rsidRDefault="006447C3" w:rsidP="006447C3">
      <w:pPr>
        <w:spacing w:before="240" w:after="240" w:line="360" w:lineRule="auto"/>
        <w:ind w:right="49"/>
        <w:jc w:val="center"/>
        <w:rPr>
          <w:rFonts w:ascii="Palatino Linotype" w:eastAsia="Palatino Linotype" w:hAnsi="Palatino Linotype" w:cs="Palatino Linotype"/>
          <w:sz w:val="22"/>
          <w:szCs w:val="22"/>
        </w:rPr>
      </w:pPr>
      <w:r w:rsidRPr="008F6FC2">
        <w:rPr>
          <w:rFonts w:ascii="Palatino Linotype" w:eastAsia="Palatino Linotype" w:hAnsi="Palatino Linotype" w:cs="Palatino Linotype"/>
          <w:noProof/>
          <w:sz w:val="22"/>
          <w:szCs w:val="22"/>
          <w:lang w:val="es-MX"/>
        </w:rPr>
        <w:drawing>
          <wp:inline distT="0" distB="0" distL="0" distR="0" wp14:anchorId="7A5104DD" wp14:editId="2B655DE6">
            <wp:extent cx="2440781" cy="1143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7977" cy="1146370"/>
                    </a:xfrm>
                    <a:prstGeom prst="rect">
                      <a:avLst/>
                    </a:prstGeom>
                  </pic:spPr>
                </pic:pic>
              </a:graphicData>
            </a:graphic>
          </wp:inline>
        </w:drawing>
      </w:r>
    </w:p>
    <w:p w14:paraId="6AD014FF" w14:textId="379DE6E7" w:rsidR="006447C3" w:rsidRPr="008F6FC2" w:rsidRDefault="006447C3" w:rsidP="006447C3">
      <w:pPr>
        <w:spacing w:before="240" w:after="240" w:line="360" w:lineRule="auto"/>
        <w:ind w:right="49"/>
        <w:jc w:val="center"/>
        <w:rPr>
          <w:rFonts w:ascii="Palatino Linotype" w:eastAsia="Palatino Linotype" w:hAnsi="Palatino Linotype" w:cs="Palatino Linotype"/>
          <w:sz w:val="22"/>
          <w:szCs w:val="22"/>
        </w:rPr>
      </w:pPr>
      <w:r w:rsidRPr="008F6FC2">
        <w:rPr>
          <w:rFonts w:ascii="Palatino Linotype" w:eastAsia="Palatino Linotype" w:hAnsi="Palatino Linotype" w:cs="Palatino Linotype"/>
          <w:noProof/>
          <w:sz w:val="22"/>
          <w:szCs w:val="22"/>
          <w:lang w:val="es-MX"/>
        </w:rPr>
        <w:drawing>
          <wp:inline distT="0" distB="0" distL="0" distR="0" wp14:anchorId="3FB002C3" wp14:editId="6C166047">
            <wp:extent cx="5077534" cy="1209844"/>
            <wp:effectExtent l="19050" t="19050" r="27940" b="285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7534" cy="1209844"/>
                    </a:xfrm>
                    <a:prstGeom prst="rect">
                      <a:avLst/>
                    </a:prstGeom>
                    <a:ln>
                      <a:solidFill>
                        <a:schemeClr val="tx1"/>
                      </a:solidFill>
                    </a:ln>
                  </pic:spPr>
                </pic:pic>
              </a:graphicData>
            </a:graphic>
          </wp:inline>
        </w:drawing>
      </w:r>
    </w:p>
    <w:p w14:paraId="31786952" w14:textId="2491D3BC" w:rsidR="006447C3" w:rsidRPr="008F6FC2" w:rsidRDefault="006447C3" w:rsidP="006447C3">
      <w:pPr>
        <w:spacing w:before="240" w:after="240" w:line="360" w:lineRule="auto"/>
        <w:ind w:right="49"/>
        <w:jc w:val="center"/>
        <w:rPr>
          <w:rFonts w:ascii="Palatino Linotype" w:eastAsia="Palatino Linotype" w:hAnsi="Palatino Linotype" w:cs="Palatino Linotype"/>
          <w:sz w:val="22"/>
          <w:szCs w:val="22"/>
        </w:rPr>
      </w:pPr>
      <w:r w:rsidRPr="008F6FC2">
        <w:rPr>
          <w:rFonts w:ascii="Palatino Linotype" w:eastAsia="Palatino Linotype" w:hAnsi="Palatino Linotype" w:cs="Palatino Linotype"/>
          <w:noProof/>
          <w:sz w:val="22"/>
          <w:szCs w:val="22"/>
          <w:lang w:val="es-MX"/>
        </w:rPr>
        <w:drawing>
          <wp:inline distT="0" distB="0" distL="0" distR="0" wp14:anchorId="09748CC5" wp14:editId="73C99DB0">
            <wp:extent cx="5125165" cy="2829320"/>
            <wp:effectExtent l="19050" t="19050" r="18415" b="285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25165" cy="2829320"/>
                    </a:xfrm>
                    <a:prstGeom prst="rect">
                      <a:avLst/>
                    </a:prstGeom>
                    <a:ln>
                      <a:solidFill>
                        <a:schemeClr val="tx1"/>
                      </a:solidFill>
                    </a:ln>
                  </pic:spPr>
                </pic:pic>
              </a:graphicData>
            </a:graphic>
          </wp:inline>
        </w:drawing>
      </w:r>
    </w:p>
    <w:p w14:paraId="445F7222" w14:textId="1DDB92B5" w:rsidR="006447C3" w:rsidRPr="008F6FC2" w:rsidRDefault="00DA0116" w:rsidP="001F739C">
      <w:pPr>
        <w:spacing w:before="240" w:after="240" w:line="360" w:lineRule="auto"/>
        <w:ind w:right="49"/>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Es de precisar </w:t>
      </w:r>
      <w:proofErr w:type="gramStart"/>
      <w:r w:rsidRPr="008F6FC2">
        <w:rPr>
          <w:rFonts w:ascii="Palatino Linotype" w:eastAsia="Palatino Linotype" w:hAnsi="Palatino Linotype" w:cs="Palatino Linotype"/>
          <w:sz w:val="22"/>
          <w:szCs w:val="22"/>
        </w:rPr>
        <w:t>que</w:t>
      </w:r>
      <w:proofErr w:type="gramEnd"/>
      <w:r w:rsidRPr="008F6FC2">
        <w:rPr>
          <w:rFonts w:ascii="Palatino Linotype" w:eastAsia="Palatino Linotype" w:hAnsi="Palatino Linotype" w:cs="Palatino Linotype"/>
          <w:sz w:val="22"/>
          <w:szCs w:val="22"/>
        </w:rPr>
        <w:t xml:space="preserve"> conforme al Reglamento Interno de la Comisión de Derechos Humanos del Estado de México, le corresponden las siguientes atribuciones a la Segunda Visitaduría </w:t>
      </w:r>
      <w:r w:rsidRPr="008F6FC2">
        <w:rPr>
          <w:rFonts w:ascii="Palatino Linotype" w:eastAsia="Palatino Linotype" w:hAnsi="Palatino Linotype" w:cs="Palatino Linotype"/>
          <w:sz w:val="22"/>
          <w:szCs w:val="22"/>
        </w:rPr>
        <w:lastRenderedPageBreak/>
        <w:t xml:space="preserve">General y concretamente a la Unidad Especializada de Seguimiento de Recomendaciones y Proyectos: </w:t>
      </w:r>
    </w:p>
    <w:p w14:paraId="0B97DD32" w14:textId="33E55205"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“Artículo 5.- Para el despacho de los asuntos de su competencia, así como para el cumplimiento de sus objetivos, la Comisión cuenta con las unidades administrativas siguientes:</w:t>
      </w:r>
    </w:p>
    <w:p w14:paraId="54DE1C8E" w14:textId="0E1B229F"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w:t>
      </w:r>
    </w:p>
    <w:p w14:paraId="420BD7CC" w14:textId="3E4C7800" w:rsidR="00DA0116" w:rsidRPr="008F6FC2" w:rsidRDefault="00DA0116" w:rsidP="00DA0116">
      <w:pPr>
        <w:spacing w:before="240" w:after="240" w:line="276" w:lineRule="auto"/>
        <w:ind w:left="567" w:right="900"/>
        <w:jc w:val="both"/>
        <w:rPr>
          <w:rFonts w:ascii="Palatino Linotype" w:eastAsia="Palatino Linotype" w:hAnsi="Palatino Linotype" w:cs="Palatino Linotype"/>
          <w:b/>
          <w:i/>
          <w:sz w:val="22"/>
          <w:szCs w:val="22"/>
          <w:u w:val="single"/>
        </w:rPr>
      </w:pPr>
      <w:r w:rsidRPr="008F6FC2">
        <w:rPr>
          <w:rFonts w:ascii="Palatino Linotype" w:eastAsia="Palatino Linotype" w:hAnsi="Palatino Linotype" w:cs="Palatino Linotype"/>
          <w:b/>
          <w:i/>
          <w:sz w:val="22"/>
          <w:szCs w:val="22"/>
          <w:u w:val="single"/>
        </w:rPr>
        <w:t>I Bis. Segunda Visitaduría General;</w:t>
      </w:r>
    </w:p>
    <w:p w14:paraId="7E775F99" w14:textId="77777777"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Visitadurías adscritas a la Segunda Visitaduría General</w:t>
      </w:r>
    </w:p>
    <w:p w14:paraId="449B7A60" w14:textId="77777777"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Artículo 8 </w:t>
      </w:r>
      <w:proofErr w:type="gramStart"/>
      <w:r w:rsidRPr="008F6FC2">
        <w:rPr>
          <w:rFonts w:ascii="Palatino Linotype" w:eastAsia="Palatino Linotype" w:hAnsi="Palatino Linotype" w:cs="Palatino Linotype"/>
          <w:i/>
          <w:sz w:val="22"/>
          <w:szCs w:val="22"/>
        </w:rPr>
        <w:t>Bis.-</w:t>
      </w:r>
      <w:proofErr w:type="gramEnd"/>
      <w:r w:rsidRPr="008F6FC2">
        <w:rPr>
          <w:rFonts w:ascii="Palatino Linotype" w:eastAsia="Palatino Linotype" w:hAnsi="Palatino Linotype" w:cs="Palatino Linotype"/>
          <w:i/>
          <w:sz w:val="22"/>
          <w:szCs w:val="22"/>
        </w:rPr>
        <w:t xml:space="preserve"> Las Visitadurías a cargo de la Segunda Visitaduría General serán las siguientes:</w:t>
      </w:r>
    </w:p>
    <w:p w14:paraId="1593E5DF" w14:textId="10BDF923"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w:t>
      </w:r>
    </w:p>
    <w:p w14:paraId="415F9D9F" w14:textId="0EA966C0" w:rsidR="00DA0116" w:rsidRPr="008F6FC2" w:rsidRDefault="00DA0116" w:rsidP="00DA0116">
      <w:pPr>
        <w:spacing w:before="240" w:after="240" w:line="276" w:lineRule="auto"/>
        <w:ind w:left="567" w:right="900"/>
        <w:jc w:val="both"/>
        <w:rPr>
          <w:rFonts w:ascii="Palatino Linotype" w:eastAsia="Palatino Linotype" w:hAnsi="Palatino Linotype" w:cs="Palatino Linotype"/>
          <w:b/>
          <w:i/>
          <w:sz w:val="22"/>
          <w:szCs w:val="22"/>
          <w:u w:val="single"/>
        </w:rPr>
      </w:pPr>
      <w:r w:rsidRPr="008F6FC2">
        <w:rPr>
          <w:rFonts w:ascii="Palatino Linotype" w:eastAsia="Palatino Linotype" w:hAnsi="Palatino Linotype" w:cs="Palatino Linotype"/>
          <w:b/>
          <w:i/>
          <w:sz w:val="22"/>
          <w:szCs w:val="22"/>
          <w:u w:val="single"/>
        </w:rPr>
        <w:t xml:space="preserve">II. La Visitaduría Especializada de Atención a Personas Privadas de la Libertad, la cual tendrá competencia específica para supervisar el debido respeto a los derechos humanos en los Centros Penitenciarios y de Reinserción Social del Estado de México, el Centro de Internamiento para Adolescentes, las Preceptorías Juveniles Regionales, áreas de aseguramiento </w:t>
      </w:r>
      <w:proofErr w:type="spellStart"/>
      <w:r w:rsidRPr="008F6FC2">
        <w:rPr>
          <w:rFonts w:ascii="Palatino Linotype" w:eastAsia="Palatino Linotype" w:hAnsi="Palatino Linotype" w:cs="Palatino Linotype"/>
          <w:b/>
          <w:i/>
          <w:sz w:val="22"/>
          <w:szCs w:val="22"/>
          <w:u w:val="single"/>
        </w:rPr>
        <w:t>e</w:t>
      </w:r>
      <w:proofErr w:type="spellEnd"/>
      <w:r w:rsidRPr="008F6FC2">
        <w:rPr>
          <w:rFonts w:ascii="Palatino Linotype" w:eastAsia="Palatino Linotype" w:hAnsi="Palatino Linotype" w:cs="Palatino Linotype"/>
          <w:b/>
          <w:i/>
          <w:sz w:val="22"/>
          <w:szCs w:val="22"/>
          <w:u w:val="single"/>
        </w:rPr>
        <w:t xml:space="preserve"> internamiento, y conocerá de presuntas violaciones a derechos humanos de las personas privadas de la libertad en territorio estatal; y</w:t>
      </w:r>
    </w:p>
    <w:p w14:paraId="13D78B93" w14:textId="0DC9E647"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w:t>
      </w:r>
    </w:p>
    <w:p w14:paraId="5EDD33B5" w14:textId="77777777"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Artículo 9 </w:t>
      </w:r>
      <w:proofErr w:type="gramStart"/>
      <w:r w:rsidRPr="008F6FC2">
        <w:rPr>
          <w:rFonts w:ascii="Palatino Linotype" w:eastAsia="Palatino Linotype" w:hAnsi="Palatino Linotype" w:cs="Palatino Linotype"/>
          <w:i/>
          <w:sz w:val="22"/>
          <w:szCs w:val="22"/>
        </w:rPr>
        <w:t>Bis.-</w:t>
      </w:r>
      <w:proofErr w:type="gramEnd"/>
      <w:r w:rsidRPr="008F6FC2">
        <w:rPr>
          <w:rFonts w:ascii="Palatino Linotype" w:eastAsia="Palatino Linotype" w:hAnsi="Palatino Linotype" w:cs="Palatino Linotype"/>
          <w:i/>
          <w:sz w:val="22"/>
          <w:szCs w:val="22"/>
        </w:rPr>
        <w:t xml:space="preserve"> Además de las Visitadurías, la Segunda Visitaduría General, para el desempeño de sus atribuciones se auxiliará de las siguientes: </w:t>
      </w:r>
    </w:p>
    <w:p w14:paraId="630B7D38" w14:textId="671599EB"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i/>
          <w:sz w:val="22"/>
          <w:szCs w:val="22"/>
          <w:u w:val="single"/>
        </w:rPr>
        <w:t>I. Unidad Especializada de Seguimiento de Recomendaciones y Proyectos</w:t>
      </w:r>
      <w:r w:rsidRPr="008F6FC2">
        <w:rPr>
          <w:rFonts w:ascii="Palatino Linotype" w:eastAsia="Palatino Linotype" w:hAnsi="Palatino Linotype" w:cs="Palatino Linotype"/>
          <w:i/>
          <w:sz w:val="22"/>
          <w:szCs w:val="22"/>
        </w:rPr>
        <w:t>; y</w:t>
      </w:r>
    </w:p>
    <w:p w14:paraId="42BEAD2E" w14:textId="10B3442B"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w:t>
      </w:r>
    </w:p>
    <w:p w14:paraId="48C44C9A" w14:textId="77777777" w:rsidR="00DA0116" w:rsidRPr="008F6FC2" w:rsidRDefault="00DA0116" w:rsidP="00DA011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lastRenderedPageBreak/>
        <w:t>Atribuciones de la Unidad Especializada de Seguimiento de Recomendaciones y Proyectos</w:t>
      </w:r>
    </w:p>
    <w:p w14:paraId="0DE3FE3B" w14:textId="62A1E15F" w:rsidR="00DA0116" w:rsidRPr="008F6FC2" w:rsidRDefault="00DA0116" w:rsidP="0005035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Artículo 16 </w:t>
      </w:r>
      <w:proofErr w:type="gramStart"/>
      <w:r w:rsidRPr="008F6FC2">
        <w:rPr>
          <w:rFonts w:ascii="Palatino Linotype" w:eastAsia="Palatino Linotype" w:hAnsi="Palatino Linotype" w:cs="Palatino Linotype"/>
          <w:i/>
          <w:sz w:val="22"/>
          <w:szCs w:val="22"/>
        </w:rPr>
        <w:t>Bis.-</w:t>
      </w:r>
      <w:proofErr w:type="gramEnd"/>
      <w:r w:rsidRPr="008F6FC2">
        <w:rPr>
          <w:rFonts w:ascii="Palatino Linotype" w:eastAsia="Palatino Linotype" w:hAnsi="Palatino Linotype" w:cs="Palatino Linotype"/>
          <w:i/>
          <w:sz w:val="22"/>
          <w:szCs w:val="22"/>
        </w:rPr>
        <w:t xml:space="preserve"> La Unidad Especializada de Seguimiento de Recomendaciones y Proyectos tiene las</w:t>
      </w:r>
      <w:r w:rsidR="00050356" w:rsidRPr="008F6FC2">
        <w:rPr>
          <w:rFonts w:ascii="Palatino Linotype" w:eastAsia="Palatino Linotype" w:hAnsi="Palatino Linotype" w:cs="Palatino Linotype"/>
          <w:i/>
          <w:sz w:val="22"/>
          <w:szCs w:val="22"/>
        </w:rPr>
        <w:t xml:space="preserve"> </w:t>
      </w:r>
      <w:r w:rsidRPr="008F6FC2">
        <w:rPr>
          <w:rFonts w:ascii="Palatino Linotype" w:eastAsia="Palatino Linotype" w:hAnsi="Palatino Linotype" w:cs="Palatino Linotype"/>
          <w:i/>
          <w:sz w:val="22"/>
          <w:szCs w:val="22"/>
        </w:rPr>
        <w:t>atribuciones siguientes:</w:t>
      </w:r>
    </w:p>
    <w:p w14:paraId="617A4724" w14:textId="5480E752" w:rsidR="00DA0116" w:rsidRPr="008F6FC2" w:rsidRDefault="00DA0116" w:rsidP="00050356">
      <w:pPr>
        <w:spacing w:before="240" w:after="240" w:line="276" w:lineRule="auto"/>
        <w:ind w:left="567" w:right="900"/>
        <w:jc w:val="both"/>
        <w:rPr>
          <w:rFonts w:ascii="Palatino Linotype" w:eastAsia="Palatino Linotype" w:hAnsi="Palatino Linotype" w:cs="Palatino Linotype"/>
          <w:b/>
          <w:i/>
          <w:sz w:val="22"/>
          <w:szCs w:val="22"/>
          <w:u w:val="single"/>
        </w:rPr>
      </w:pPr>
      <w:r w:rsidRPr="008F6FC2">
        <w:rPr>
          <w:rFonts w:ascii="Palatino Linotype" w:eastAsia="Palatino Linotype" w:hAnsi="Palatino Linotype" w:cs="Palatino Linotype"/>
          <w:b/>
          <w:i/>
          <w:sz w:val="22"/>
          <w:szCs w:val="22"/>
          <w:u w:val="single"/>
        </w:rPr>
        <w:t>I. Vigilar el seguimiento y cumplimiento de las Recomendaciones a</w:t>
      </w:r>
      <w:r w:rsidR="00050356" w:rsidRPr="008F6FC2">
        <w:rPr>
          <w:rFonts w:ascii="Palatino Linotype" w:eastAsia="Palatino Linotype" w:hAnsi="Palatino Linotype" w:cs="Palatino Linotype"/>
          <w:b/>
          <w:i/>
          <w:sz w:val="22"/>
          <w:szCs w:val="22"/>
          <w:u w:val="single"/>
        </w:rPr>
        <w:t xml:space="preserve">ceptadas, correspondientes a la </w:t>
      </w:r>
      <w:r w:rsidRPr="008F6FC2">
        <w:rPr>
          <w:rFonts w:ascii="Palatino Linotype" w:eastAsia="Palatino Linotype" w:hAnsi="Palatino Linotype" w:cs="Palatino Linotype"/>
          <w:b/>
          <w:i/>
          <w:sz w:val="22"/>
          <w:szCs w:val="22"/>
          <w:u w:val="single"/>
        </w:rPr>
        <w:t>Segunda Visitaduría General;</w:t>
      </w:r>
    </w:p>
    <w:p w14:paraId="7270A000" w14:textId="15E9FA1A" w:rsidR="00DA0116" w:rsidRPr="008F6FC2" w:rsidRDefault="00DA0116" w:rsidP="0005035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II. Elaborar las propuestas sobre el cumplimiento de las Recomendac</w:t>
      </w:r>
      <w:r w:rsidR="00050356" w:rsidRPr="008F6FC2">
        <w:rPr>
          <w:rFonts w:ascii="Palatino Linotype" w:eastAsia="Palatino Linotype" w:hAnsi="Palatino Linotype" w:cs="Palatino Linotype"/>
          <w:i/>
          <w:sz w:val="22"/>
          <w:szCs w:val="22"/>
        </w:rPr>
        <w:t xml:space="preserve">iones que serán presentadas por </w:t>
      </w:r>
      <w:r w:rsidRPr="008F6FC2">
        <w:rPr>
          <w:rFonts w:ascii="Palatino Linotype" w:eastAsia="Palatino Linotype" w:hAnsi="Palatino Linotype" w:cs="Palatino Linotype"/>
          <w:i/>
          <w:sz w:val="22"/>
          <w:szCs w:val="22"/>
        </w:rPr>
        <w:t>la Segunda Visitaduría General a la Presidencia;</w:t>
      </w:r>
    </w:p>
    <w:p w14:paraId="3BE58D73" w14:textId="3F82B1A2" w:rsidR="00DA0116" w:rsidRPr="008F6FC2" w:rsidRDefault="00DA0116" w:rsidP="0005035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III. Coadyuvar con las y los Visitadores en la elaboración</w:t>
      </w:r>
      <w:r w:rsidR="00050356" w:rsidRPr="008F6FC2">
        <w:rPr>
          <w:rFonts w:ascii="Palatino Linotype" w:eastAsia="Palatino Linotype" w:hAnsi="Palatino Linotype" w:cs="Palatino Linotype"/>
          <w:i/>
          <w:sz w:val="22"/>
          <w:szCs w:val="22"/>
        </w:rPr>
        <w:t xml:space="preserve"> de proyectos de Recomendación, </w:t>
      </w:r>
      <w:r w:rsidRPr="008F6FC2">
        <w:rPr>
          <w:rFonts w:ascii="Palatino Linotype" w:eastAsia="Palatino Linotype" w:hAnsi="Palatino Linotype" w:cs="Palatino Linotype"/>
          <w:i/>
          <w:sz w:val="22"/>
          <w:szCs w:val="22"/>
        </w:rPr>
        <w:t>correspondientes a la Segunda Visitaduría General;</w:t>
      </w:r>
    </w:p>
    <w:p w14:paraId="204B2C26" w14:textId="69AA7811" w:rsidR="00DA0116" w:rsidRPr="008F6FC2" w:rsidRDefault="00DA0116" w:rsidP="0005035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IV. Coordinar la elaboración de los proyectos de Pronunciamie</w:t>
      </w:r>
      <w:r w:rsidR="00050356" w:rsidRPr="008F6FC2">
        <w:rPr>
          <w:rFonts w:ascii="Palatino Linotype" w:eastAsia="Palatino Linotype" w:hAnsi="Palatino Linotype" w:cs="Palatino Linotype"/>
          <w:i/>
          <w:sz w:val="22"/>
          <w:szCs w:val="22"/>
        </w:rPr>
        <w:t xml:space="preserve">ntos que sean competencia de la </w:t>
      </w:r>
      <w:r w:rsidRPr="008F6FC2">
        <w:rPr>
          <w:rFonts w:ascii="Palatino Linotype" w:eastAsia="Palatino Linotype" w:hAnsi="Palatino Linotype" w:cs="Palatino Linotype"/>
          <w:i/>
          <w:sz w:val="22"/>
          <w:szCs w:val="22"/>
        </w:rPr>
        <w:t>Segunda Visitaduría General; y</w:t>
      </w:r>
    </w:p>
    <w:p w14:paraId="484AF2B9" w14:textId="1CA2AD3E" w:rsidR="00DA0116" w:rsidRPr="008F6FC2" w:rsidRDefault="00DA0116" w:rsidP="00050356">
      <w:pPr>
        <w:spacing w:before="240" w:after="240" w:line="276" w:lineRule="auto"/>
        <w:ind w:left="567" w:right="900"/>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V. Las demás que le confieran otras regulaciones y aquell</w:t>
      </w:r>
      <w:r w:rsidR="00050356" w:rsidRPr="008F6FC2">
        <w:rPr>
          <w:rFonts w:ascii="Palatino Linotype" w:eastAsia="Palatino Linotype" w:hAnsi="Palatino Linotype" w:cs="Palatino Linotype"/>
          <w:i/>
          <w:sz w:val="22"/>
          <w:szCs w:val="22"/>
        </w:rPr>
        <w:t xml:space="preserve">as que le encomiende la Segunda </w:t>
      </w:r>
      <w:r w:rsidRPr="008F6FC2">
        <w:rPr>
          <w:rFonts w:ascii="Palatino Linotype" w:eastAsia="Palatino Linotype" w:hAnsi="Palatino Linotype" w:cs="Palatino Linotype"/>
          <w:i/>
          <w:sz w:val="22"/>
          <w:szCs w:val="22"/>
        </w:rPr>
        <w:t>Visitaduría General.</w:t>
      </w:r>
      <w:r w:rsidR="00050356" w:rsidRPr="008F6FC2">
        <w:rPr>
          <w:rFonts w:ascii="Palatino Linotype" w:eastAsia="Palatino Linotype" w:hAnsi="Palatino Linotype" w:cs="Palatino Linotype"/>
          <w:i/>
          <w:sz w:val="22"/>
          <w:szCs w:val="22"/>
        </w:rPr>
        <w:t>” (Énfasis añadido)</w:t>
      </w:r>
    </w:p>
    <w:p w14:paraId="27DCEB02" w14:textId="3A15E41F" w:rsidR="00050356" w:rsidRPr="008F6FC2" w:rsidRDefault="00050356" w:rsidP="00050356">
      <w:pPr>
        <w:spacing w:before="240" w:after="240" w:line="276" w:lineRule="auto"/>
        <w:ind w:right="900"/>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Por lo anteriormente citado, se abordan a las siguientes conclusiones: </w:t>
      </w:r>
    </w:p>
    <w:p w14:paraId="74DD55B8" w14:textId="611D8F0F" w:rsidR="00050356" w:rsidRPr="008F6FC2" w:rsidRDefault="00050356" w:rsidP="00050356">
      <w:pPr>
        <w:pStyle w:val="Prrafodelista"/>
        <w:numPr>
          <w:ilvl w:val="0"/>
          <w:numId w:val="13"/>
        </w:numPr>
        <w:spacing w:before="240" w:after="240" w:line="360" w:lineRule="auto"/>
        <w:ind w:left="567" w:right="900" w:hanging="141"/>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La Segunda Visitaduría General cuenta con diversas Visitadurías, de la cual destaca la Visitaduría Especializada de Atención a Personas Privadas de la Libertad, la cual tendrá competencia específica para supervisar el debido respeto a los derechos humanos en los Centros Penitenciarios y de Reinserción Social del Estado de México. </w:t>
      </w:r>
    </w:p>
    <w:p w14:paraId="05568E96" w14:textId="77777777" w:rsidR="00050356" w:rsidRPr="008F6FC2" w:rsidRDefault="00050356" w:rsidP="00050356">
      <w:pPr>
        <w:pStyle w:val="Prrafodelista"/>
        <w:spacing w:before="240" w:after="240" w:line="360" w:lineRule="auto"/>
        <w:ind w:left="567" w:right="900"/>
        <w:jc w:val="both"/>
        <w:rPr>
          <w:rFonts w:ascii="Palatino Linotype" w:eastAsia="Palatino Linotype" w:hAnsi="Palatino Linotype" w:cs="Palatino Linotype"/>
          <w:sz w:val="22"/>
          <w:szCs w:val="22"/>
        </w:rPr>
      </w:pPr>
    </w:p>
    <w:p w14:paraId="46062FA8" w14:textId="11EC1584" w:rsidR="00050356" w:rsidRPr="008F6FC2" w:rsidRDefault="00050356" w:rsidP="00050356">
      <w:pPr>
        <w:pStyle w:val="Prrafodelista"/>
        <w:numPr>
          <w:ilvl w:val="0"/>
          <w:numId w:val="13"/>
        </w:numPr>
        <w:spacing w:before="240" w:after="240" w:line="360" w:lineRule="auto"/>
        <w:ind w:left="567" w:right="900" w:hanging="141"/>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Dentro de la estructura orgánica de la Segunda Visitaduría General, se advierte la existencia de la Unidad Especializada de Seguimiento de Recomendaciones y Proyectos, la cual tiene dentro de sus atribuciones la de </w:t>
      </w:r>
      <w:r w:rsidRPr="008F6FC2">
        <w:rPr>
          <w:rFonts w:ascii="Palatino Linotype" w:eastAsia="Palatino Linotype" w:hAnsi="Palatino Linotype" w:cs="Palatino Linotype"/>
          <w:sz w:val="22"/>
          <w:szCs w:val="22"/>
        </w:rPr>
        <w:lastRenderedPageBreak/>
        <w:t xml:space="preserve">vigilar el seguimiento y cumplimiento de las recomendaciones aceptadas, correspondientes a la Segunda Visitaduría General. </w:t>
      </w:r>
    </w:p>
    <w:p w14:paraId="522BCC92" w14:textId="77777777" w:rsidR="00050356" w:rsidRPr="008F6FC2" w:rsidRDefault="00050356" w:rsidP="00050356">
      <w:pPr>
        <w:pStyle w:val="Prrafodelista"/>
        <w:rPr>
          <w:rFonts w:ascii="Palatino Linotype" w:eastAsia="Palatino Linotype" w:hAnsi="Palatino Linotype" w:cs="Palatino Linotype"/>
          <w:sz w:val="22"/>
          <w:szCs w:val="22"/>
        </w:rPr>
      </w:pPr>
    </w:p>
    <w:p w14:paraId="29022400" w14:textId="22D32800" w:rsidR="00050356" w:rsidRPr="008F6FC2" w:rsidRDefault="00050356" w:rsidP="001819E0">
      <w:pPr>
        <w:pStyle w:val="Prrafodelista"/>
        <w:numPr>
          <w:ilvl w:val="0"/>
          <w:numId w:val="13"/>
        </w:numPr>
        <w:spacing w:before="240" w:after="240" w:line="360" w:lineRule="auto"/>
        <w:ind w:left="567" w:right="900" w:hanging="141"/>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Consecuentemente, si la Unidad Especializada de Seguimiento de Recomendaciones y Proyectos</w:t>
      </w:r>
      <w:r w:rsidR="001819E0" w:rsidRPr="008F6FC2">
        <w:rPr>
          <w:rFonts w:ascii="Palatino Linotype" w:eastAsia="Palatino Linotype" w:hAnsi="Palatino Linotype" w:cs="Palatino Linotype"/>
          <w:sz w:val="22"/>
          <w:szCs w:val="22"/>
        </w:rPr>
        <w:t xml:space="preserve"> de la Segunda Visitaduría General, la cual tiene a su cargo la Visitaduría Especializada de Atención a Personas Privadas de la Libertad, la cual tiene competencia específica para supervisar el debido respeto a los derechos humanos en los Centros Penitenciarios y de Reinserción Social del Estado de México, manifestó que bajo los criterios referidos por la persona solicitante se localizó sólo una recomendación, se advierte que este pronunciamiento fue proporcionado por la persona servidora pública habilitada competente. </w:t>
      </w:r>
    </w:p>
    <w:p w14:paraId="56D71E4C" w14:textId="4EAA09B2" w:rsidR="005842DD" w:rsidRPr="008F6FC2" w:rsidRDefault="001819E0" w:rsidP="005842DD">
      <w:pPr>
        <w:spacing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P</w:t>
      </w:r>
      <w:r w:rsidR="005842DD" w:rsidRPr="008F6FC2">
        <w:rPr>
          <w:rFonts w:ascii="Palatino Linotype" w:eastAsia="Palatino Linotype" w:hAnsi="Palatino Linotype" w:cs="Palatino Linotype"/>
          <w:sz w:val="22"/>
        </w:rPr>
        <w:t xml:space="preserve">or ende, se determina que la respuesta fue proporcionada por </w:t>
      </w:r>
      <w:r w:rsidR="005842DD" w:rsidRPr="008F6FC2">
        <w:rPr>
          <w:rFonts w:ascii="Palatino Linotype" w:hAnsi="Palatino Linotype"/>
          <w:sz w:val="22"/>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15B23429" w14:textId="77777777" w:rsidR="005842DD" w:rsidRPr="008F6FC2" w:rsidRDefault="005842DD" w:rsidP="005842DD"/>
    <w:p w14:paraId="7087C79B" w14:textId="26DE5CD5" w:rsidR="005842DD" w:rsidRPr="008F6FC2" w:rsidRDefault="001819E0" w:rsidP="005842DD">
      <w:pPr>
        <w:pStyle w:val="NormalWeb"/>
        <w:spacing w:before="0" w:beforeAutospacing="0" w:after="0" w:afterAutospacing="0"/>
        <w:ind w:left="864" w:right="864"/>
        <w:jc w:val="both"/>
      </w:pPr>
      <w:r w:rsidRPr="008F6FC2">
        <w:rPr>
          <w:rFonts w:ascii="Palatino Linotype" w:hAnsi="Palatino Linotype"/>
          <w:i/>
          <w:iCs/>
          <w:sz w:val="22"/>
          <w:szCs w:val="22"/>
        </w:rPr>
        <w:t>“</w:t>
      </w:r>
      <w:r w:rsidR="005842DD" w:rsidRPr="008F6FC2">
        <w:rPr>
          <w:rFonts w:ascii="Palatino Linotype" w:hAnsi="Palatino Linotype"/>
          <w:i/>
          <w:iCs/>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r w:rsidRPr="008F6FC2">
        <w:rPr>
          <w:rFonts w:ascii="Palatino Linotype" w:hAnsi="Palatino Linotype"/>
          <w:i/>
          <w:iCs/>
          <w:sz w:val="22"/>
          <w:szCs w:val="22"/>
        </w:rPr>
        <w:t>”</w:t>
      </w:r>
      <w:r w:rsidR="005842DD" w:rsidRPr="008F6FC2">
        <w:rPr>
          <w:rFonts w:ascii="Palatino Linotype" w:hAnsi="Palatino Linotype"/>
          <w:i/>
          <w:iCs/>
          <w:sz w:val="22"/>
          <w:szCs w:val="22"/>
        </w:rPr>
        <w:t> </w:t>
      </w:r>
    </w:p>
    <w:p w14:paraId="240186C9" w14:textId="77777777" w:rsidR="005842DD" w:rsidRPr="008F6FC2" w:rsidRDefault="005842DD" w:rsidP="005842DD"/>
    <w:p w14:paraId="699CA210" w14:textId="77777777" w:rsidR="005842DD" w:rsidRPr="008F6FC2" w:rsidRDefault="005842DD" w:rsidP="005842DD">
      <w:pPr>
        <w:pStyle w:val="NormalWeb"/>
        <w:shd w:val="clear" w:color="auto" w:fill="FFFFFF"/>
        <w:spacing w:before="0" w:beforeAutospacing="0" w:after="0" w:afterAutospacing="0" w:line="360" w:lineRule="auto"/>
        <w:jc w:val="both"/>
        <w:rPr>
          <w:sz w:val="22"/>
        </w:rPr>
      </w:pPr>
      <w:r w:rsidRPr="008F6FC2">
        <w:rPr>
          <w:rFonts w:ascii="Palatino Linotype" w:hAnsi="Palatino Linotype"/>
          <w:sz w:val="22"/>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39021FDF" w14:textId="77777777" w:rsidR="005842DD" w:rsidRPr="008F6FC2" w:rsidRDefault="005842DD" w:rsidP="005842DD"/>
    <w:p w14:paraId="218D829C" w14:textId="77777777" w:rsidR="005842DD" w:rsidRPr="008F6FC2" w:rsidRDefault="0033600A" w:rsidP="005842DD">
      <w:pPr>
        <w:pStyle w:val="NormalWeb"/>
        <w:spacing w:before="0" w:beforeAutospacing="0" w:after="0" w:afterAutospacing="0"/>
        <w:ind w:left="864" w:right="864"/>
        <w:jc w:val="both"/>
      </w:pPr>
      <w:r w:rsidRPr="008F6FC2">
        <w:rPr>
          <w:rFonts w:ascii="Palatino Linotype" w:hAnsi="Palatino Linotype"/>
          <w:i/>
          <w:iCs/>
          <w:sz w:val="22"/>
          <w:szCs w:val="22"/>
        </w:rPr>
        <w:t>“</w:t>
      </w:r>
      <w:r w:rsidR="005842DD" w:rsidRPr="008F6FC2">
        <w:rPr>
          <w:rFonts w:ascii="Palatino Linotype" w:hAnsi="Palatino Linotype"/>
          <w:i/>
          <w:iCs/>
          <w:sz w:val="22"/>
          <w:szCs w:val="22"/>
        </w:rPr>
        <w:t xml:space="preserve">Artículo 162. Las unidades de transparencia deberán garantizar que las solicitudes </w:t>
      </w:r>
      <w:r w:rsidR="005842DD" w:rsidRPr="008F6FC2">
        <w:rPr>
          <w:rFonts w:ascii="Palatino Linotype" w:hAnsi="Palatino Linotype"/>
          <w:b/>
          <w:bCs/>
          <w:i/>
          <w:iCs/>
          <w:sz w:val="22"/>
          <w:szCs w:val="22"/>
        </w:rPr>
        <w:t xml:space="preserve">se turnen a todas las Áreas competentes </w:t>
      </w:r>
      <w:r w:rsidR="005842DD" w:rsidRPr="008F6FC2">
        <w:rPr>
          <w:rFonts w:ascii="Palatino Linotype" w:hAnsi="Palatino Linotype"/>
          <w:i/>
          <w:iCs/>
          <w:sz w:val="22"/>
          <w:szCs w:val="22"/>
        </w:rPr>
        <w:t>que cuenten con la información o deban tenerla de acuerdo a sus facultades, competencias y funciones, con el objeto de que realicen una búsqueda exhaustiva y razonable de la información solicitada.</w:t>
      </w:r>
      <w:r w:rsidRPr="008F6FC2">
        <w:rPr>
          <w:rFonts w:ascii="Palatino Linotype" w:hAnsi="Palatino Linotype"/>
          <w:i/>
          <w:iCs/>
          <w:sz w:val="22"/>
          <w:szCs w:val="22"/>
        </w:rPr>
        <w:t>”</w:t>
      </w:r>
    </w:p>
    <w:p w14:paraId="27D0A877" w14:textId="3EE1A274" w:rsidR="00041194" w:rsidRPr="008F6FC2" w:rsidRDefault="00BF7E8B" w:rsidP="00041194">
      <w:pPr>
        <w:spacing w:before="240" w:after="240" w:line="360" w:lineRule="auto"/>
        <w:ind w:right="49"/>
        <w:jc w:val="both"/>
        <w:rPr>
          <w:rFonts w:ascii="Palatino Linotype" w:eastAsia="Palatino Linotype" w:hAnsi="Palatino Linotype" w:cs="Palatino Linotype"/>
          <w:sz w:val="20"/>
        </w:rPr>
      </w:pPr>
      <w:r w:rsidRPr="008F6FC2">
        <w:rPr>
          <w:rFonts w:ascii="Palatino Linotype" w:eastAsia="Palatino Linotype" w:hAnsi="Palatino Linotype" w:cs="Palatino Linotype"/>
          <w:sz w:val="22"/>
        </w:rPr>
        <w:t xml:space="preserve">Establecido lo anterior, </w:t>
      </w:r>
      <w:r w:rsidR="001819E0" w:rsidRPr="008F6FC2">
        <w:rPr>
          <w:rFonts w:ascii="Palatino Linotype" w:eastAsia="Palatino Linotype" w:hAnsi="Palatino Linotype" w:cs="Palatino Linotype"/>
          <w:sz w:val="22"/>
        </w:rPr>
        <w:t xml:space="preserve">resulta importante </w:t>
      </w:r>
      <w:r w:rsidR="00041194" w:rsidRPr="008F6FC2">
        <w:rPr>
          <w:rFonts w:ascii="Palatino Linotype" w:eastAsia="Palatino Linotype" w:hAnsi="Palatino Linotype" w:cs="Palatino Linotype"/>
          <w:sz w:val="22"/>
        </w:rPr>
        <w:t xml:space="preserve">expresar que </w:t>
      </w:r>
      <w:r w:rsidR="00041194" w:rsidRPr="008F6FC2">
        <w:rPr>
          <w:rFonts w:ascii="Palatino Linotype" w:eastAsia="Palatino Linotype" w:hAnsi="Palatino Linotype" w:cs="Palatino Linotype"/>
          <w:b/>
          <w:sz w:val="22"/>
          <w:u w:val="single"/>
        </w:rPr>
        <w:t xml:space="preserve">lo solicitado </w:t>
      </w:r>
      <w:r w:rsidR="005B79BC" w:rsidRPr="008F6FC2">
        <w:rPr>
          <w:rFonts w:ascii="Palatino Linotype" w:eastAsia="Palatino Linotype" w:hAnsi="Palatino Linotype" w:cs="Palatino Linotype"/>
          <w:b/>
          <w:sz w:val="22"/>
          <w:u w:val="single"/>
        </w:rPr>
        <w:t>concretamente es el</w:t>
      </w:r>
      <w:r w:rsidR="00041194" w:rsidRPr="008F6FC2">
        <w:rPr>
          <w:rFonts w:ascii="Palatino Linotype" w:eastAsia="Palatino Linotype" w:hAnsi="Palatino Linotype" w:cs="Palatino Linotype"/>
          <w:b/>
          <w:sz w:val="22"/>
          <w:u w:val="single"/>
        </w:rPr>
        <w:t xml:space="preserve"> número de recomendaciones emitidas, es decir, </w:t>
      </w:r>
      <w:r w:rsidR="00041194" w:rsidRPr="008F6FC2">
        <w:rPr>
          <w:rFonts w:ascii="Palatino Linotype" w:hAnsi="Palatino Linotype"/>
          <w:b/>
          <w:bCs/>
          <w:sz w:val="22"/>
          <w:u w:val="single"/>
        </w:rPr>
        <w:t>un dato estadístico</w:t>
      </w:r>
      <w:r w:rsidR="00041194" w:rsidRPr="008F6FC2">
        <w:rPr>
          <w:rFonts w:ascii="Palatino Linotype" w:hAnsi="Palatino Linotype"/>
          <w:sz w:val="22"/>
        </w:rPr>
        <w:t xml:space="preserve">, el </w:t>
      </w:r>
      <w:proofErr w:type="gramStart"/>
      <w:r w:rsidR="00041194" w:rsidRPr="008F6FC2">
        <w:rPr>
          <w:rFonts w:ascii="Palatino Linotype" w:hAnsi="Palatino Linotype"/>
          <w:sz w:val="22"/>
        </w:rPr>
        <w:t>cual</w:t>
      </w:r>
      <w:proofErr w:type="gramEnd"/>
      <w:r w:rsidR="00041194" w:rsidRPr="008F6FC2">
        <w:rPr>
          <w:rFonts w:ascii="Palatino Linotype" w:hAnsi="Palatino Linotype"/>
          <w:sz w:val="22"/>
        </w:rPr>
        <w:t xml:space="preserve"> en términos de los criterios emitidos por el Instituto Federal de Transparencia, Acceso a la Información Pública y Protección de Datos Personales ahora Instituto Nacional de Transparencia, Acceso a la Información Pública y Protección de Datos Personales es de naturaleza pública:</w:t>
      </w:r>
    </w:p>
    <w:p w14:paraId="0ADBA251" w14:textId="77777777" w:rsidR="00041194" w:rsidRPr="008F6FC2" w:rsidRDefault="00041194" w:rsidP="00041194">
      <w:pPr>
        <w:spacing w:after="120"/>
        <w:ind w:left="851" w:right="900"/>
        <w:jc w:val="both"/>
      </w:pPr>
      <w:r w:rsidRPr="008F6FC2">
        <w:rPr>
          <w:rFonts w:ascii="Palatino Linotype" w:hAnsi="Palatino Linotype"/>
          <w:b/>
          <w:bCs/>
          <w:i/>
          <w:iCs/>
          <w:sz w:val="22"/>
          <w:szCs w:val="22"/>
        </w:rPr>
        <w:t xml:space="preserve">“Bases de datos. Deberá otorgarse acceso a las mismas, en el formato en el que obren en los archivos de los sujetos obligados, a fin de garantizar la libre explotación, manipulación y reutilización de la información que contienen. </w:t>
      </w:r>
      <w:r w:rsidRPr="008F6FC2">
        <w:rPr>
          <w:rFonts w:ascii="Palatino Linotype" w:hAnsi="Palatino Linotype"/>
          <w:i/>
          <w:iCs/>
          <w:sz w:val="22"/>
          <w:szCs w:val="22"/>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w:t>
      </w:r>
      <w:proofErr w:type="gramStart"/>
      <w:r w:rsidRPr="008F6FC2">
        <w:rPr>
          <w:rFonts w:ascii="Palatino Linotype" w:hAnsi="Palatino Linotype"/>
          <w:i/>
          <w:iCs/>
          <w:sz w:val="22"/>
          <w:szCs w:val="22"/>
        </w:rPr>
        <w:t>amplio  del</w:t>
      </w:r>
      <w:proofErr w:type="gramEnd"/>
      <w:r w:rsidRPr="008F6FC2">
        <w:rPr>
          <w:rFonts w:ascii="Palatino Linotype" w:hAnsi="Palatino Linotype"/>
          <w:i/>
          <w:iCs/>
          <w:sz w:val="22"/>
          <w:szCs w:val="22"/>
        </w:rPr>
        <w:t xml:space="preserve">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w:t>
      </w:r>
      <w:r w:rsidRPr="008F6FC2">
        <w:rPr>
          <w:rFonts w:ascii="Palatino Linotype" w:hAnsi="Palatino Linotype"/>
          <w:i/>
          <w:iCs/>
          <w:sz w:val="22"/>
          <w:szCs w:val="22"/>
        </w:rPr>
        <w:lastRenderedPageBreak/>
        <w:t>transforma o conserva 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26EEC309" w14:textId="77777777" w:rsidR="00041194" w:rsidRPr="008F6FC2" w:rsidRDefault="00041194" w:rsidP="00041194"/>
    <w:p w14:paraId="30BD004B" w14:textId="77777777" w:rsidR="00041194" w:rsidRPr="008F6FC2" w:rsidRDefault="00041194" w:rsidP="00041194">
      <w:pPr>
        <w:spacing w:after="120"/>
        <w:ind w:left="851" w:right="958"/>
        <w:jc w:val="both"/>
      </w:pPr>
      <w:r w:rsidRPr="008F6FC2">
        <w:rPr>
          <w:rFonts w:ascii="Palatino Linotype" w:hAnsi="Palatino Linotype"/>
          <w:b/>
          <w:bCs/>
          <w:i/>
          <w:iCs/>
          <w:sz w:val="22"/>
          <w:szCs w:val="22"/>
        </w:rPr>
        <w:t xml:space="preserve">La información estadística es de naturaleza pública, independientemente de la materia con la que se encuentre vinculada. </w:t>
      </w:r>
      <w:r w:rsidRPr="008F6FC2">
        <w:rPr>
          <w:rFonts w:ascii="Palatino Linotype" w:hAnsi="Palatino Linotype"/>
          <w:i/>
          <w:iCs/>
          <w:sz w:val="22"/>
          <w:szCs w:val="22"/>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25BBFBC9" w14:textId="1A0F49B2" w:rsidR="001819E0" w:rsidRPr="008F6FC2" w:rsidRDefault="00041194" w:rsidP="00E24DCE">
      <w:pPr>
        <w:spacing w:before="240" w:after="240"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Establecido lo anterior, debemos </w:t>
      </w:r>
      <w:r w:rsidR="001819E0" w:rsidRPr="008F6FC2">
        <w:rPr>
          <w:rFonts w:ascii="Palatino Linotype" w:eastAsia="Palatino Linotype" w:hAnsi="Palatino Linotype" w:cs="Palatino Linotype"/>
          <w:sz w:val="22"/>
        </w:rPr>
        <w:t xml:space="preserve">recordar que en informe justificado, el </w:t>
      </w:r>
      <w:r w:rsidR="001819E0" w:rsidRPr="008F6FC2">
        <w:rPr>
          <w:rFonts w:ascii="Palatino Linotype" w:eastAsia="Palatino Linotype" w:hAnsi="Palatino Linotype" w:cs="Palatino Linotype"/>
          <w:b/>
          <w:sz w:val="22"/>
        </w:rPr>
        <w:t xml:space="preserve">Sujeto Obligado </w:t>
      </w:r>
      <w:r w:rsidRPr="008F6FC2">
        <w:rPr>
          <w:rFonts w:ascii="Palatino Linotype" w:eastAsia="Palatino Linotype" w:hAnsi="Palatino Linotype" w:cs="Palatino Linotype"/>
          <w:b/>
          <w:sz w:val="22"/>
        </w:rPr>
        <w:t xml:space="preserve">subsana la deficiencia de su respuesta </w:t>
      </w:r>
      <w:r w:rsidRPr="008F6FC2">
        <w:rPr>
          <w:rFonts w:ascii="Palatino Linotype" w:eastAsia="Palatino Linotype" w:hAnsi="Palatino Linotype" w:cs="Palatino Linotype"/>
          <w:b/>
          <w:sz w:val="22"/>
          <w:u w:val="single"/>
        </w:rPr>
        <w:t>haciendo</w:t>
      </w:r>
      <w:r w:rsidR="001819E0" w:rsidRPr="008F6FC2">
        <w:rPr>
          <w:rFonts w:ascii="Palatino Linotype" w:eastAsia="Palatino Linotype" w:hAnsi="Palatino Linotype" w:cs="Palatino Linotype"/>
          <w:b/>
          <w:sz w:val="22"/>
          <w:u w:val="single"/>
        </w:rPr>
        <w:t xml:space="preserve"> mención de manera errónea, sobre la autoridad a la cual se le dirigió la recomendación, toda vez que se mencionó que la Recomendación 08/2023, había sido emitida al Fiscal General de Justicia del Estado de México, siendo que esta Recomendación, fue dirigida al Secretario de Seguridad del Estado de México, al Subsecretario de Control Penitenciario y al Director General de Prevención y Reinserción Social del Estado de México, </w:t>
      </w:r>
      <w:r w:rsidRPr="008F6FC2">
        <w:rPr>
          <w:rFonts w:ascii="Palatino Linotype" w:eastAsia="Palatino Linotype" w:hAnsi="Palatino Linotype" w:cs="Palatino Linotype"/>
          <w:b/>
          <w:sz w:val="22"/>
          <w:u w:val="single"/>
        </w:rPr>
        <w:t xml:space="preserve">puntualizando que esta </w:t>
      </w:r>
      <w:r w:rsidR="001819E0" w:rsidRPr="008F6FC2">
        <w:rPr>
          <w:rFonts w:ascii="Palatino Linotype" w:eastAsia="Palatino Linotype" w:hAnsi="Palatino Linotype" w:cs="Palatino Linotype"/>
          <w:b/>
          <w:sz w:val="22"/>
          <w:u w:val="single"/>
        </w:rPr>
        <w:t>información que de acuerdo a los solicitado cumple con los criterio</w:t>
      </w:r>
      <w:r w:rsidRPr="008F6FC2">
        <w:rPr>
          <w:rFonts w:ascii="Palatino Linotype" w:eastAsia="Palatino Linotype" w:hAnsi="Palatino Linotype" w:cs="Palatino Linotype"/>
          <w:b/>
          <w:sz w:val="22"/>
          <w:u w:val="single"/>
        </w:rPr>
        <w:t>s requeridos por el particular.</w:t>
      </w:r>
    </w:p>
    <w:p w14:paraId="303BA85F" w14:textId="32E453CE" w:rsidR="001819E0" w:rsidRPr="008F6FC2" w:rsidRDefault="001819E0" w:rsidP="00E24DCE">
      <w:pPr>
        <w:spacing w:before="240" w:after="240"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lastRenderedPageBreak/>
        <w:t xml:space="preserve">En esta consecución de ideas, de la lectura a la recomendación 08/2023, se observa que esta deriva de hechos suscitados en el Centro Penitenciario y de Reinserción Social de Almoloya de Juárez “Santiaguito”, tal como se desprende de la siguiente ilustración: </w:t>
      </w:r>
    </w:p>
    <w:p w14:paraId="7BB7167B" w14:textId="63E82168" w:rsidR="001819E0" w:rsidRPr="008F6FC2" w:rsidRDefault="001819E0" w:rsidP="001819E0">
      <w:pPr>
        <w:spacing w:before="240" w:after="240" w:line="360" w:lineRule="auto"/>
        <w:ind w:right="49"/>
        <w:jc w:val="center"/>
        <w:rPr>
          <w:rFonts w:ascii="Palatino Linotype" w:eastAsia="Palatino Linotype" w:hAnsi="Palatino Linotype" w:cs="Palatino Linotype"/>
          <w:sz w:val="22"/>
        </w:rPr>
      </w:pPr>
      <w:r w:rsidRPr="008F6FC2">
        <w:rPr>
          <w:rFonts w:ascii="Palatino Linotype" w:eastAsia="Palatino Linotype" w:hAnsi="Palatino Linotype" w:cs="Palatino Linotype"/>
          <w:noProof/>
          <w:sz w:val="22"/>
          <w:lang w:val="es-MX"/>
        </w:rPr>
        <w:drawing>
          <wp:inline distT="0" distB="0" distL="0" distR="0" wp14:anchorId="5B567982" wp14:editId="6ACDC28D">
            <wp:extent cx="5316855" cy="3159760"/>
            <wp:effectExtent l="19050" t="19050" r="17145" b="215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262" t="4049"/>
                    <a:stretch/>
                  </pic:blipFill>
                  <pic:spPr bwMode="auto">
                    <a:xfrm>
                      <a:off x="0" y="0"/>
                      <a:ext cx="5316855" cy="315976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9E661F2" w14:textId="7D15A738" w:rsidR="001819E0" w:rsidRPr="008F6FC2" w:rsidRDefault="00AC0855" w:rsidP="002D205F">
      <w:pPr>
        <w:spacing w:before="240" w:after="240" w:line="360" w:lineRule="auto"/>
        <w:ind w:right="49"/>
        <w:jc w:val="center"/>
        <w:rPr>
          <w:rFonts w:ascii="Palatino Linotype" w:eastAsia="Palatino Linotype" w:hAnsi="Palatino Linotype" w:cs="Palatino Linotype"/>
          <w:sz w:val="22"/>
        </w:rPr>
      </w:pPr>
      <w:r w:rsidRPr="008F6FC2">
        <w:rPr>
          <w:rFonts w:ascii="Palatino Linotype" w:eastAsia="Palatino Linotype" w:hAnsi="Palatino Linotype" w:cs="Palatino Linotype"/>
          <w:noProof/>
          <w:sz w:val="22"/>
          <w:lang w:val="es-MX"/>
        </w:rPr>
        <w:lastRenderedPageBreak/>
        <w:drawing>
          <wp:inline distT="0" distB="0" distL="0" distR="0" wp14:anchorId="42BCFC5D" wp14:editId="3FC37BB5">
            <wp:extent cx="5285405" cy="2874738"/>
            <wp:effectExtent l="19050" t="19050" r="10795" b="209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3821" cy="2884755"/>
                    </a:xfrm>
                    <a:prstGeom prst="rect">
                      <a:avLst/>
                    </a:prstGeom>
                    <a:ln>
                      <a:solidFill>
                        <a:schemeClr val="tx1"/>
                      </a:solidFill>
                    </a:ln>
                  </pic:spPr>
                </pic:pic>
              </a:graphicData>
            </a:graphic>
          </wp:inline>
        </w:drawing>
      </w:r>
    </w:p>
    <w:p w14:paraId="6795505C" w14:textId="68E3E0AC" w:rsidR="00041194" w:rsidRPr="008F6FC2" w:rsidRDefault="00A72C7F" w:rsidP="00041194">
      <w:pPr>
        <w:spacing w:before="240" w:after="240" w:line="360" w:lineRule="auto"/>
        <w:ind w:right="49"/>
        <w:jc w:val="both"/>
        <w:rPr>
          <w:rFonts w:ascii="Palatino Linotype" w:eastAsia="Palatino Linotype" w:hAnsi="Palatino Linotype" w:cs="Palatino Linotype"/>
          <w:sz w:val="22"/>
        </w:rPr>
      </w:pPr>
      <w:r w:rsidRPr="008F6FC2">
        <w:rPr>
          <w:rFonts w:ascii="Palatino Linotype" w:eastAsia="Palatino Linotype" w:hAnsi="Palatino Linotype" w:cs="Palatino Linotype"/>
          <w:sz w:val="22"/>
        </w:rPr>
        <w:t xml:space="preserve">Derivado de lo anterior, en un primer acercamiento a la información proporcionada en </w:t>
      </w:r>
      <w:r w:rsidR="00AC0855" w:rsidRPr="008F6FC2">
        <w:rPr>
          <w:rFonts w:ascii="Palatino Linotype" w:eastAsia="Palatino Linotype" w:hAnsi="Palatino Linotype" w:cs="Palatino Linotype"/>
          <w:sz w:val="22"/>
        </w:rPr>
        <w:t>informe justificado</w:t>
      </w:r>
      <w:r w:rsidRPr="008F6FC2">
        <w:rPr>
          <w:rFonts w:ascii="Palatino Linotype" w:eastAsia="Palatino Linotype" w:hAnsi="Palatino Linotype" w:cs="Palatino Linotype"/>
          <w:sz w:val="22"/>
        </w:rPr>
        <w:t xml:space="preserve">, se advierte que </w:t>
      </w:r>
      <w:r w:rsidR="002D205F" w:rsidRPr="008F6FC2">
        <w:rPr>
          <w:rFonts w:ascii="Palatino Linotype" w:eastAsia="Palatino Linotype" w:hAnsi="Palatino Linotype" w:cs="Palatino Linotype"/>
          <w:sz w:val="22"/>
        </w:rPr>
        <w:t xml:space="preserve">en efecto, el </w:t>
      </w:r>
      <w:r w:rsidR="002D205F" w:rsidRPr="008F6FC2">
        <w:rPr>
          <w:rFonts w:ascii="Palatino Linotype" w:eastAsia="Palatino Linotype" w:hAnsi="Palatino Linotype" w:cs="Palatino Linotype"/>
          <w:b/>
          <w:sz w:val="22"/>
        </w:rPr>
        <w:t>Sujeto Obligado</w:t>
      </w:r>
      <w:r w:rsidR="002D205F" w:rsidRPr="008F6FC2">
        <w:rPr>
          <w:rFonts w:ascii="Palatino Linotype" w:eastAsia="Palatino Linotype" w:hAnsi="Palatino Linotype" w:cs="Palatino Linotype"/>
          <w:sz w:val="22"/>
        </w:rPr>
        <w:t xml:space="preserve"> </w:t>
      </w:r>
      <w:r w:rsidR="00041194" w:rsidRPr="008F6FC2">
        <w:rPr>
          <w:rFonts w:ascii="Palatino Linotype" w:eastAsia="Palatino Linotype" w:hAnsi="Palatino Linotype" w:cs="Palatino Linotype"/>
          <w:sz w:val="22"/>
        </w:rPr>
        <w:t xml:space="preserve">refirió el número de la </w:t>
      </w:r>
      <w:r w:rsidR="002D205F" w:rsidRPr="008F6FC2">
        <w:rPr>
          <w:rFonts w:ascii="Palatino Linotype" w:eastAsia="Palatino Linotype" w:hAnsi="Palatino Linotype" w:cs="Palatino Linotype"/>
          <w:sz w:val="22"/>
        </w:rPr>
        <w:t xml:space="preserve">recomendación dirigida a al Secretario de Seguridad del Estado de México, al Subsecretario de Control Penitenciario y al Director General de Prevención y Reinserción Social del Estado de México </w:t>
      </w:r>
      <w:r w:rsidR="00041194" w:rsidRPr="008F6FC2">
        <w:rPr>
          <w:rFonts w:ascii="Palatino Linotype" w:eastAsia="Palatino Linotype" w:hAnsi="Palatino Linotype" w:cs="Palatino Linotype"/>
          <w:sz w:val="22"/>
        </w:rPr>
        <w:t xml:space="preserve">la cual se emitió </w:t>
      </w:r>
      <w:r w:rsidR="002D205F" w:rsidRPr="008F6FC2">
        <w:rPr>
          <w:rFonts w:ascii="Palatino Linotype" w:eastAsia="Palatino Linotype" w:hAnsi="Palatino Linotype" w:cs="Palatino Linotype"/>
          <w:sz w:val="22"/>
        </w:rPr>
        <w:t xml:space="preserve">derivado de unos hechos suscitados en el Centro Penitenciario y de Reinserción Social de Almoloya de Juárez “Santiaguito”, además el </w:t>
      </w:r>
      <w:r w:rsidR="002D205F" w:rsidRPr="008F6FC2">
        <w:rPr>
          <w:rFonts w:ascii="Palatino Linotype" w:eastAsia="Palatino Linotype" w:hAnsi="Palatino Linotype" w:cs="Palatino Linotype"/>
          <w:b/>
          <w:sz w:val="22"/>
        </w:rPr>
        <w:t>Sujeto Obligado</w:t>
      </w:r>
      <w:r w:rsidR="002D205F" w:rsidRPr="008F6FC2">
        <w:rPr>
          <w:rFonts w:ascii="Palatino Linotype" w:eastAsia="Palatino Linotype" w:hAnsi="Palatino Linotype" w:cs="Palatino Linotype"/>
          <w:sz w:val="22"/>
        </w:rPr>
        <w:t xml:space="preserve"> puntualizó que es la única que cumple con los criterios de la persona solicitante, por lo tanto, se determina que proporcionó la única documental que</w:t>
      </w:r>
      <w:r w:rsidR="00041194" w:rsidRPr="008F6FC2">
        <w:rPr>
          <w:rFonts w:ascii="Palatino Linotype" w:eastAsia="Palatino Linotype" w:hAnsi="Palatino Linotype" w:cs="Palatino Linotype"/>
          <w:sz w:val="22"/>
        </w:rPr>
        <w:t xml:space="preserve"> obra en sus archivos, por consiguiente</w:t>
      </w:r>
      <w:r w:rsidR="00041194" w:rsidRPr="008F6FC2">
        <w:rPr>
          <w:rFonts w:ascii="Palatino Linotype" w:eastAsia="Palatino Linotype" w:hAnsi="Palatino Linotype" w:cs="Palatino Linotype"/>
          <w:sz w:val="22"/>
          <w:szCs w:val="22"/>
        </w:rPr>
        <w:t>, al haber colmado lo peticionado en la solicitud mediante el informe justificado es que se actualiza la causal de sobreseimiento prevista en la fracción III del artículo 192 de la Ley de Transparencia y Acceso a la Información Pública del Estado de México y Municipios, que dispone lo siguiente:</w:t>
      </w:r>
    </w:p>
    <w:p w14:paraId="6638BD99" w14:textId="77777777" w:rsidR="00041194" w:rsidRPr="008F6FC2" w:rsidRDefault="00041194" w:rsidP="00041194">
      <w:pPr>
        <w:spacing w:line="276" w:lineRule="auto"/>
        <w:ind w:left="567" w:right="901"/>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i/>
          <w:sz w:val="22"/>
          <w:szCs w:val="22"/>
        </w:rPr>
        <w:t xml:space="preserve">“Artículo 192. </w:t>
      </w:r>
      <w:r w:rsidRPr="008F6FC2">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29CE912B" w14:textId="77777777" w:rsidR="00041194" w:rsidRPr="008F6FC2" w:rsidRDefault="00041194" w:rsidP="00041194">
      <w:pPr>
        <w:spacing w:line="276" w:lineRule="auto"/>
        <w:ind w:left="567" w:right="901"/>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i/>
          <w:sz w:val="22"/>
          <w:szCs w:val="22"/>
        </w:rPr>
        <w:lastRenderedPageBreak/>
        <w:t>…</w:t>
      </w:r>
    </w:p>
    <w:p w14:paraId="74A3D863" w14:textId="77777777" w:rsidR="00041194" w:rsidRPr="008F6FC2" w:rsidRDefault="00041194" w:rsidP="00041194">
      <w:pPr>
        <w:spacing w:line="276" w:lineRule="auto"/>
        <w:ind w:left="567" w:right="901"/>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r w:rsidRPr="008F6FC2">
        <w:rPr>
          <w:rFonts w:ascii="Palatino Linotype" w:eastAsia="Palatino Linotype" w:hAnsi="Palatino Linotype" w:cs="Palatino Linotype"/>
          <w:i/>
          <w:sz w:val="22"/>
          <w:szCs w:val="22"/>
        </w:rPr>
        <w:t>(Énfasis añadido)</w:t>
      </w:r>
    </w:p>
    <w:p w14:paraId="4CB14FE4" w14:textId="77777777" w:rsidR="00041194" w:rsidRPr="008F6FC2" w:rsidRDefault="00041194" w:rsidP="00041194">
      <w:pPr>
        <w:spacing w:line="360" w:lineRule="auto"/>
        <w:jc w:val="both"/>
        <w:rPr>
          <w:rFonts w:ascii="Palatino Linotype" w:eastAsia="Palatino Linotype" w:hAnsi="Palatino Linotype" w:cs="Palatino Linotype"/>
          <w:b/>
          <w:i/>
          <w:sz w:val="22"/>
          <w:szCs w:val="22"/>
        </w:rPr>
      </w:pPr>
    </w:p>
    <w:p w14:paraId="4952B678" w14:textId="77777777" w:rsidR="00041194" w:rsidRPr="008F6FC2" w:rsidRDefault="00041194" w:rsidP="00041194">
      <w:pPr>
        <w:spacing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052EEEDE"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a) Cuando el sujeto obligado modifique el acto impugnado.</w:t>
      </w:r>
    </w:p>
    <w:p w14:paraId="748E62E2"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b) Cuando el sujeto obligado revoque el acto impugnado.</w:t>
      </w:r>
    </w:p>
    <w:p w14:paraId="157466B3"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Quedando en ambos casos el acto combatido sin materia o sin efectos.</w:t>
      </w:r>
    </w:p>
    <w:p w14:paraId="2D949867"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Como se observa de lo anterior, un acto impugnado es modificado en aquellos casos en los que 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w:t>
      </w:r>
      <w:r w:rsidRPr="008F6FC2">
        <w:rPr>
          <w:rFonts w:ascii="Palatino Linotype" w:eastAsia="Palatino Linotype" w:hAnsi="Palatino Linotype" w:cs="Palatino Linotype"/>
          <w:b/>
          <w:sz w:val="22"/>
          <w:szCs w:val="22"/>
        </w:rPr>
        <w:t>la parte</w:t>
      </w: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b/>
          <w:sz w:val="22"/>
          <w:szCs w:val="22"/>
        </w:rPr>
        <w:t>Recurrente</w:t>
      </w:r>
      <w:r w:rsidRPr="008F6FC2">
        <w:rPr>
          <w:rFonts w:ascii="Palatino Linotype" w:eastAsia="Palatino Linotype" w:hAnsi="Palatino Linotype" w:cs="Palatino Linotype"/>
          <w:sz w:val="22"/>
          <w:szCs w:val="22"/>
        </w:rPr>
        <w:t>.</w:t>
      </w:r>
    </w:p>
    <w:p w14:paraId="38A763D0"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Por lo que hace a la revocación, esta se actualiza cuando el </w:t>
      </w:r>
      <w:r w:rsidRPr="008F6FC2">
        <w:rPr>
          <w:rFonts w:ascii="Palatino Linotype" w:eastAsia="Palatino Linotype" w:hAnsi="Palatino Linotype" w:cs="Palatino Linotype"/>
          <w:b/>
          <w:sz w:val="22"/>
          <w:szCs w:val="22"/>
        </w:rPr>
        <w:t xml:space="preserve">Sujeto Obligado </w:t>
      </w:r>
      <w:r w:rsidRPr="008F6FC2">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08ACE57A" w14:textId="77777777" w:rsidR="00041194" w:rsidRPr="008F6FC2" w:rsidRDefault="00041194" w:rsidP="00041194">
      <w:pPr>
        <w:spacing w:before="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092F25F1" w14:textId="325E4244" w:rsidR="00041194" w:rsidRPr="008F6FC2" w:rsidRDefault="00041194" w:rsidP="00041194">
      <w:pPr>
        <w:spacing w:before="240" w:after="240" w:line="360" w:lineRule="auto"/>
        <w:ind w:right="49"/>
        <w:jc w:val="both"/>
        <w:rPr>
          <w:rFonts w:ascii="Palatino Linotype" w:eastAsia="Palatino Linotype" w:hAnsi="Palatino Linotype" w:cs="Palatino Linotype"/>
          <w:b/>
          <w:sz w:val="22"/>
          <w:u w:val="single"/>
        </w:rPr>
      </w:pPr>
      <w:r w:rsidRPr="008F6FC2">
        <w:rPr>
          <w:rFonts w:ascii="Palatino Linotype" w:eastAsia="Palatino Linotype" w:hAnsi="Palatino Linotype" w:cs="Palatino Linotype"/>
          <w:sz w:val="22"/>
          <w:szCs w:val="22"/>
        </w:rPr>
        <w:t xml:space="preserve">En tanto, en el presente caso queda sin materia, toda vez que con el Informe Justificado, 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xml:space="preserve"> modificó los términos de la respuesta inicial </w:t>
      </w:r>
      <w:r w:rsidRPr="008F6FC2">
        <w:rPr>
          <w:rFonts w:ascii="Palatino Linotype" w:eastAsia="Palatino Linotype" w:hAnsi="Palatino Linotype" w:cs="Palatino Linotype"/>
          <w:b/>
          <w:sz w:val="22"/>
          <w:szCs w:val="22"/>
          <w:u w:val="single"/>
        </w:rPr>
        <w:t xml:space="preserve">al subsanar la deficiencia señalando que la Recomendación 08/2023 fue dirigida al Secretario de Seguridad del Estado de México, al Subsecretario de Control Penitenciario y al Director General de </w:t>
      </w:r>
      <w:r w:rsidRPr="008F6FC2">
        <w:rPr>
          <w:rFonts w:ascii="Palatino Linotype" w:eastAsia="Palatino Linotype" w:hAnsi="Palatino Linotype" w:cs="Palatino Linotype"/>
          <w:b/>
          <w:sz w:val="22"/>
          <w:szCs w:val="22"/>
          <w:u w:val="single"/>
        </w:rPr>
        <w:lastRenderedPageBreak/>
        <w:t>Prevención y Reinserción Social del Estado de México, información que de acuerdo a los solicitado cumple con los criteri</w:t>
      </w:r>
      <w:r w:rsidR="005B79BC" w:rsidRPr="008F6FC2">
        <w:rPr>
          <w:rFonts w:ascii="Palatino Linotype" w:eastAsia="Palatino Linotype" w:hAnsi="Palatino Linotype" w:cs="Palatino Linotype"/>
          <w:b/>
          <w:sz w:val="22"/>
          <w:szCs w:val="22"/>
          <w:u w:val="single"/>
        </w:rPr>
        <w:t>os requeridos por el particular; por lo tanto, del análisis realizado a las constancias que obran en el expediente electrónico, tenemos que la cantidad de recomendaciones hechas en 2023 y 2024 al penitenciario y de readaptación social "Santiaguito es una, la cual cuenta con el número 08/2023 y fue dirigida al Secretario de Seguridad del Estado de México, al Subsecretario de Control Penitenciario y al Director General de Prevención y Reinserción Social del Estado de México.</w:t>
      </w:r>
    </w:p>
    <w:p w14:paraId="5FAD3233" w14:textId="77777777" w:rsidR="00041194" w:rsidRPr="008F6FC2" w:rsidRDefault="00041194" w:rsidP="00041194">
      <w:pPr>
        <w:spacing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xml:space="preserve"> satisface el requerimiento de información y fue puesta a la vista de la parte </w:t>
      </w:r>
      <w:r w:rsidRPr="008F6FC2">
        <w:rPr>
          <w:rFonts w:ascii="Palatino Linotype" w:eastAsia="Palatino Linotype" w:hAnsi="Palatino Linotype" w:cs="Palatino Linotype"/>
          <w:b/>
          <w:sz w:val="22"/>
          <w:szCs w:val="22"/>
        </w:rPr>
        <w:t>Recurrente</w:t>
      </w:r>
      <w:r w:rsidRPr="008F6FC2">
        <w:rPr>
          <w:rFonts w:ascii="Palatino Linotype" w:eastAsia="Palatino Linotype" w:hAnsi="Palatino Linotype" w:cs="Palatino Linotype"/>
          <w:sz w:val="22"/>
          <w:szCs w:val="22"/>
        </w:rPr>
        <w:t>,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126BC3A5"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En resumen, 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xml:space="preserve"> dio respuesta completa a la solicitud de acceso a la información pública de </w:t>
      </w:r>
      <w:r w:rsidRPr="008F6FC2">
        <w:rPr>
          <w:rFonts w:ascii="Palatino Linotype" w:eastAsia="Palatino Linotype" w:hAnsi="Palatino Linotype" w:cs="Palatino Linotype"/>
          <w:b/>
          <w:sz w:val="22"/>
          <w:szCs w:val="22"/>
        </w:rPr>
        <w:t>la ahora parte</w:t>
      </w: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b/>
          <w:sz w:val="22"/>
          <w:szCs w:val="22"/>
        </w:rPr>
        <w:t>Recurrente</w:t>
      </w:r>
      <w:r w:rsidRPr="008F6FC2">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4B3D40BF" w14:textId="77777777" w:rsidR="00041194" w:rsidRPr="008F6FC2" w:rsidRDefault="00041194" w:rsidP="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Siendo el </w:t>
      </w:r>
      <w:r w:rsidRPr="008F6FC2">
        <w:rPr>
          <w:rFonts w:ascii="Palatino Linotype" w:eastAsia="Palatino Linotype" w:hAnsi="Palatino Linotype" w:cs="Palatino Linotype"/>
          <w:i/>
          <w:sz w:val="22"/>
          <w:szCs w:val="22"/>
        </w:rPr>
        <w:t>sobreseimiento</w:t>
      </w:r>
      <w:r w:rsidRPr="008F6FC2">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w:t>
      </w:r>
      <w:r w:rsidRPr="008F6FC2">
        <w:rPr>
          <w:rFonts w:ascii="Palatino Linotype" w:eastAsia="Palatino Linotype" w:hAnsi="Palatino Linotype" w:cs="Palatino Linotype"/>
          <w:b/>
          <w:sz w:val="22"/>
          <w:szCs w:val="22"/>
        </w:rPr>
        <w:t>Recurrente</w:t>
      </w:r>
      <w:r w:rsidRPr="008F6FC2">
        <w:rPr>
          <w:rFonts w:ascii="Palatino Linotype" w:eastAsia="Palatino Linotype" w:hAnsi="Palatino Linotype" w:cs="Palatino Linotype"/>
          <w:sz w:val="22"/>
          <w:szCs w:val="22"/>
        </w:rPr>
        <w:t>, los efectos del sobreseimiento son los dar por concluido el recurso administrativo sin entrar al estudio de fondo del asunto de que se trate; lo anterior con apoyo en el criterio del Poder Judicial de la Federación con rubro:</w:t>
      </w:r>
    </w:p>
    <w:p w14:paraId="07E9B4E2" w14:textId="77777777" w:rsidR="00041194" w:rsidRPr="008F6FC2" w:rsidRDefault="00041194" w:rsidP="00041194">
      <w:pPr>
        <w:spacing w:before="240"/>
        <w:ind w:left="567" w:right="567"/>
        <w:jc w:val="both"/>
        <w:rPr>
          <w:rFonts w:ascii="Palatino Linotype" w:eastAsia="Palatino Linotype" w:hAnsi="Palatino Linotype" w:cs="Palatino Linotype"/>
          <w:b/>
          <w:i/>
          <w:sz w:val="22"/>
          <w:szCs w:val="22"/>
        </w:rPr>
      </w:pPr>
      <w:r w:rsidRPr="008F6FC2">
        <w:rPr>
          <w:rFonts w:ascii="Palatino Linotype" w:eastAsia="Palatino Linotype" w:hAnsi="Palatino Linotype" w:cs="Palatino Linotype"/>
          <w:i/>
          <w:sz w:val="22"/>
          <w:szCs w:val="22"/>
        </w:rPr>
        <w:lastRenderedPageBreak/>
        <w:t>“</w:t>
      </w:r>
      <w:r w:rsidRPr="008F6FC2">
        <w:rPr>
          <w:rFonts w:ascii="Palatino Linotype" w:eastAsia="Palatino Linotype" w:hAnsi="Palatino Linotype" w:cs="Palatino Linotype"/>
          <w:b/>
          <w:i/>
          <w:sz w:val="22"/>
          <w:szCs w:val="22"/>
        </w:rPr>
        <w:t>SOBRESEIMIENTO, NO PERMITE ENTRAR AL ESTUDIO DE LAS CUESTIONES DE FONDO</w:t>
      </w:r>
    </w:p>
    <w:p w14:paraId="2BCCFF3F" w14:textId="77777777" w:rsidR="00041194" w:rsidRPr="008F6FC2" w:rsidRDefault="00041194" w:rsidP="00041194">
      <w:pPr>
        <w:ind w:left="567" w:right="567"/>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8F6FC2">
        <w:rPr>
          <w:rFonts w:ascii="Palatino Linotype" w:eastAsia="Palatino Linotype" w:hAnsi="Palatino Linotype" w:cs="Palatino Linotype"/>
          <w:i/>
          <w:sz w:val="22"/>
          <w:szCs w:val="22"/>
        </w:rPr>
        <w:t>Febrero</w:t>
      </w:r>
      <w:proofErr w:type="gramEnd"/>
      <w:r w:rsidRPr="008F6FC2">
        <w:rPr>
          <w:rFonts w:ascii="Palatino Linotype" w:eastAsia="Palatino Linotype" w:hAnsi="Palatino Linotype" w:cs="Palatino Linotype"/>
          <w:i/>
          <w:sz w:val="22"/>
          <w:szCs w:val="22"/>
        </w:rPr>
        <w:t xml:space="preserve"> de 1994, Pág. 420</w:t>
      </w:r>
    </w:p>
    <w:p w14:paraId="7268CFC0" w14:textId="77777777" w:rsidR="00041194" w:rsidRPr="008F6FC2" w:rsidRDefault="00041194" w:rsidP="00041194">
      <w:pPr>
        <w:ind w:left="567" w:right="567"/>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39F6FDF9" w14:textId="77777777" w:rsidR="00041194" w:rsidRPr="008F6FC2" w:rsidRDefault="00041194" w:rsidP="00041194">
      <w:pPr>
        <w:ind w:left="567" w:right="567"/>
        <w:jc w:val="both"/>
        <w:rPr>
          <w:rFonts w:ascii="Palatino Linotype" w:eastAsia="Palatino Linotype" w:hAnsi="Palatino Linotype" w:cs="Palatino Linotype"/>
          <w:i/>
          <w:sz w:val="22"/>
          <w:szCs w:val="22"/>
        </w:rPr>
      </w:pPr>
    </w:p>
    <w:p w14:paraId="537A11CC" w14:textId="77777777" w:rsidR="00041194" w:rsidRPr="008F6FC2" w:rsidRDefault="00041194" w:rsidP="00041194">
      <w:pPr>
        <w:spacing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0D099EDF" w14:textId="77777777" w:rsidR="00041194" w:rsidRPr="008F6FC2" w:rsidRDefault="00041194" w:rsidP="00041194">
      <w:pPr>
        <w:spacing w:before="240"/>
        <w:ind w:left="567" w:right="567"/>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452089BC" w14:textId="77777777" w:rsidR="00041194" w:rsidRPr="008F6FC2" w:rsidRDefault="00041194" w:rsidP="00041194">
      <w:pPr>
        <w:ind w:left="567" w:right="567"/>
        <w:jc w:val="both"/>
        <w:rPr>
          <w:rFonts w:ascii="Palatino Linotype" w:eastAsia="Palatino Linotype" w:hAnsi="Palatino Linotype" w:cs="Palatino Linotype"/>
          <w:i/>
          <w:sz w:val="22"/>
          <w:szCs w:val="22"/>
        </w:rPr>
      </w:pPr>
      <w:r w:rsidRPr="008F6FC2">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FB0D05E" w14:textId="77777777" w:rsidR="00041194" w:rsidRPr="008F6FC2" w:rsidRDefault="00041194" w:rsidP="008F6FC2">
      <w:pPr>
        <w:ind w:right="567"/>
        <w:jc w:val="both"/>
        <w:rPr>
          <w:rFonts w:ascii="Palatino Linotype" w:eastAsia="Palatino Linotype" w:hAnsi="Palatino Linotype" w:cs="Palatino Linotype"/>
          <w:sz w:val="22"/>
          <w:szCs w:val="22"/>
        </w:rPr>
      </w:pPr>
    </w:p>
    <w:p w14:paraId="0D36683D" w14:textId="77777777" w:rsidR="00041194" w:rsidRPr="008F6FC2" w:rsidRDefault="00041194" w:rsidP="00041194">
      <w:pPr>
        <w:spacing w:line="360" w:lineRule="auto"/>
        <w:ind w:right="50"/>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sz w:val="22"/>
          <w:szCs w:val="22"/>
        </w:rPr>
        <w:t xml:space="preserve"> Así, con fundamento en lo prescrito en los artículos 5 párrafos trigésimo segundo, trigésimo tercero y trigésimo cuarto, fracciones IV y V de la Constitución Política del Estado Libre y Soberano de México; 2, fracción II; 29, 36 fracciones I y II; 176, 178, 181, 185 de la Ley </w:t>
      </w:r>
      <w:r w:rsidRPr="008F6FC2">
        <w:rPr>
          <w:rFonts w:ascii="Palatino Linotype" w:eastAsia="Palatino Linotype" w:hAnsi="Palatino Linotype" w:cs="Palatino Linotype"/>
          <w:sz w:val="22"/>
          <w:szCs w:val="22"/>
        </w:rPr>
        <w:lastRenderedPageBreak/>
        <w:t>de Transparencia y Acceso a la Información Pública del Estado de México y Municipios, este Pleno:</w:t>
      </w:r>
    </w:p>
    <w:p w14:paraId="7B49A793" w14:textId="77777777" w:rsidR="00041194" w:rsidRPr="008F6FC2" w:rsidRDefault="00041194" w:rsidP="00041194">
      <w:pPr>
        <w:numPr>
          <w:ilvl w:val="0"/>
          <w:numId w:val="14"/>
        </w:numPr>
        <w:spacing w:before="280" w:after="280" w:line="360" w:lineRule="auto"/>
        <w:ind w:left="284" w:hanging="426"/>
        <w:jc w:val="center"/>
        <w:rPr>
          <w:rFonts w:ascii="Palatino Linotype" w:eastAsia="Palatino Linotype" w:hAnsi="Palatino Linotype" w:cs="Palatino Linotype"/>
          <w:b/>
          <w:sz w:val="22"/>
          <w:szCs w:val="22"/>
        </w:rPr>
      </w:pPr>
      <w:r w:rsidRPr="008F6FC2">
        <w:rPr>
          <w:rFonts w:ascii="Palatino Linotype" w:eastAsia="Palatino Linotype" w:hAnsi="Palatino Linotype" w:cs="Palatino Linotype"/>
          <w:b/>
          <w:sz w:val="22"/>
          <w:szCs w:val="22"/>
        </w:rPr>
        <w:t>R E S U E L V E:</w:t>
      </w:r>
    </w:p>
    <w:p w14:paraId="53AEB42D" w14:textId="60752EB1" w:rsidR="00041194" w:rsidRPr="008F6FC2" w:rsidRDefault="00041194" w:rsidP="00041194">
      <w:pPr>
        <w:spacing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b/>
          <w:sz w:val="22"/>
          <w:szCs w:val="22"/>
        </w:rPr>
        <w:t>Primero.</w:t>
      </w:r>
      <w:r w:rsidRPr="008F6FC2">
        <w:rPr>
          <w:rFonts w:ascii="Palatino Linotype" w:eastAsia="Palatino Linotype" w:hAnsi="Palatino Linotype" w:cs="Palatino Linotype"/>
          <w:sz w:val="22"/>
          <w:szCs w:val="22"/>
        </w:rPr>
        <w:t xml:space="preserve"> Se </w:t>
      </w:r>
      <w:r w:rsidRPr="008F6FC2">
        <w:rPr>
          <w:rFonts w:ascii="Palatino Linotype" w:eastAsia="Palatino Linotype" w:hAnsi="Palatino Linotype" w:cs="Palatino Linotype"/>
          <w:b/>
          <w:sz w:val="22"/>
          <w:szCs w:val="22"/>
        </w:rPr>
        <w:t>SOBRESEE</w:t>
      </w:r>
      <w:r w:rsidRPr="008F6FC2">
        <w:rPr>
          <w:rFonts w:ascii="Palatino Linotype" w:eastAsia="Palatino Linotype" w:hAnsi="Palatino Linotype" w:cs="Palatino Linotype"/>
          <w:sz w:val="22"/>
          <w:szCs w:val="22"/>
        </w:rPr>
        <w:t xml:space="preserve"> el recurso de revisión </w:t>
      </w:r>
      <w:r w:rsidRPr="008F6FC2">
        <w:rPr>
          <w:rFonts w:ascii="Palatino Linotype" w:eastAsia="Palatino Linotype" w:hAnsi="Palatino Linotype" w:cs="Palatino Linotype"/>
          <w:b/>
          <w:sz w:val="22"/>
          <w:szCs w:val="22"/>
        </w:rPr>
        <w:t xml:space="preserve">04164/INFOEM/IP/RR/2024, </w:t>
      </w:r>
      <w:r w:rsidRPr="008F6FC2">
        <w:rPr>
          <w:rFonts w:ascii="Palatino Linotype" w:eastAsia="Palatino Linotype" w:hAnsi="Palatino Linotype" w:cs="Palatino Linotype"/>
          <w:sz w:val="22"/>
          <w:szCs w:val="22"/>
        </w:rPr>
        <w:t xml:space="preserve">porque al </w:t>
      </w:r>
      <w:r w:rsidRPr="008F6FC2">
        <w:rPr>
          <w:rFonts w:ascii="Palatino Linotype" w:eastAsia="Palatino Linotype" w:hAnsi="Palatino Linotype" w:cs="Palatino Linotype"/>
          <w:b/>
          <w:sz w:val="22"/>
          <w:szCs w:val="22"/>
        </w:rPr>
        <w:t>modificar la respuesta</w:t>
      </w:r>
      <w:r w:rsidRPr="008F6FC2">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quedando sin materia en términos del </w:t>
      </w:r>
      <w:r w:rsidRPr="008F6FC2">
        <w:rPr>
          <w:rFonts w:ascii="Palatino Linotype" w:eastAsia="Palatino Linotype" w:hAnsi="Palatino Linotype" w:cs="Palatino Linotype"/>
          <w:b/>
          <w:sz w:val="22"/>
          <w:szCs w:val="22"/>
        </w:rPr>
        <w:t>Considerando</w:t>
      </w: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b/>
          <w:sz w:val="22"/>
          <w:szCs w:val="22"/>
        </w:rPr>
        <w:t xml:space="preserve">Tercero </w:t>
      </w:r>
      <w:r w:rsidRPr="008F6FC2">
        <w:rPr>
          <w:rFonts w:ascii="Palatino Linotype" w:eastAsia="Palatino Linotype" w:hAnsi="Palatino Linotype" w:cs="Palatino Linotype"/>
          <w:sz w:val="22"/>
          <w:szCs w:val="22"/>
        </w:rPr>
        <w:t>de la presente Resolución.</w:t>
      </w:r>
    </w:p>
    <w:p w14:paraId="70431343" w14:textId="77777777" w:rsidR="00041194" w:rsidRPr="008F6FC2" w:rsidRDefault="00041194" w:rsidP="00041194">
      <w:pPr>
        <w:spacing w:before="240" w:after="240" w:line="360" w:lineRule="auto"/>
        <w:ind w:right="49"/>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b/>
          <w:sz w:val="22"/>
          <w:szCs w:val="22"/>
        </w:rPr>
        <w:t>Segundo. Notifíquese vía Sistema de Acceso a la Información Mexiquense</w:t>
      </w:r>
      <w:r w:rsidRPr="008F6FC2">
        <w:rPr>
          <w:rFonts w:ascii="Palatino Linotype" w:eastAsia="Palatino Linotype" w:hAnsi="Palatino Linotype" w:cs="Palatino Linotype"/>
          <w:sz w:val="22"/>
          <w:szCs w:val="22"/>
        </w:rPr>
        <w:t xml:space="preserve"> (</w:t>
      </w:r>
      <w:r w:rsidRPr="008F6FC2">
        <w:rPr>
          <w:rFonts w:ascii="Palatino Linotype" w:eastAsia="Palatino Linotype" w:hAnsi="Palatino Linotype" w:cs="Palatino Linotype"/>
          <w:b/>
          <w:sz w:val="22"/>
          <w:szCs w:val="22"/>
        </w:rPr>
        <w:t>SAIMEX)</w:t>
      </w:r>
      <w:r w:rsidRPr="008F6FC2">
        <w:rPr>
          <w:rFonts w:ascii="Palatino Linotype" w:eastAsia="Palatino Linotype" w:hAnsi="Palatino Linotype" w:cs="Palatino Linotype"/>
          <w:b/>
          <w:i/>
          <w:sz w:val="22"/>
          <w:szCs w:val="22"/>
        </w:rPr>
        <w:t xml:space="preserve">, </w:t>
      </w:r>
      <w:r w:rsidRPr="008F6FC2">
        <w:rPr>
          <w:rFonts w:ascii="Palatino Linotype" w:eastAsia="Palatino Linotype" w:hAnsi="Palatino Linotype" w:cs="Palatino Linotype"/>
          <w:sz w:val="22"/>
          <w:szCs w:val="22"/>
        </w:rPr>
        <w:t xml:space="preserve">al Titular de la Unidad de Transparencia del </w:t>
      </w:r>
      <w:r w:rsidRPr="008F6FC2">
        <w:rPr>
          <w:rFonts w:ascii="Palatino Linotype" w:eastAsia="Palatino Linotype" w:hAnsi="Palatino Linotype" w:cs="Palatino Linotype"/>
          <w:b/>
          <w:sz w:val="22"/>
          <w:szCs w:val="22"/>
        </w:rPr>
        <w:t>Sujeto Obligado</w:t>
      </w:r>
      <w:r w:rsidRPr="008F6FC2">
        <w:rPr>
          <w:rFonts w:ascii="Palatino Linotype" w:eastAsia="Palatino Linotype" w:hAnsi="Palatino Linotype" w:cs="Palatino Linotype"/>
          <w:sz w:val="22"/>
          <w:szCs w:val="22"/>
        </w:rPr>
        <w:t xml:space="preserve"> la presente resolución, para su conocimiento.</w:t>
      </w:r>
    </w:p>
    <w:p w14:paraId="51120E4E" w14:textId="33236509" w:rsidR="000037A7" w:rsidRPr="008F6FC2" w:rsidRDefault="00041194">
      <w:pPr>
        <w:spacing w:before="240" w:after="240" w:line="360" w:lineRule="auto"/>
        <w:jc w:val="both"/>
        <w:rPr>
          <w:rFonts w:ascii="Palatino Linotype" w:eastAsia="Palatino Linotype" w:hAnsi="Palatino Linotype" w:cs="Palatino Linotype"/>
          <w:sz w:val="22"/>
          <w:szCs w:val="22"/>
        </w:rPr>
      </w:pPr>
      <w:r w:rsidRPr="008F6FC2">
        <w:rPr>
          <w:rFonts w:ascii="Palatino Linotype" w:eastAsia="Palatino Linotype" w:hAnsi="Palatino Linotype" w:cs="Palatino Linotype"/>
          <w:b/>
          <w:sz w:val="22"/>
          <w:szCs w:val="22"/>
        </w:rPr>
        <w:t xml:space="preserve">Tercero. Notifíquese, vía Sistema de Acceso a la Información Mexiquense (SAIMEX), </w:t>
      </w:r>
      <w:r w:rsidRPr="008F6FC2">
        <w:rPr>
          <w:rFonts w:ascii="Palatino Linotype" w:eastAsia="Palatino Linotype" w:hAnsi="Palatino Linotype" w:cs="Palatino Linotype"/>
          <w:sz w:val="22"/>
          <w:szCs w:val="22"/>
        </w:rPr>
        <w:t xml:space="preserve">la presente resolución a </w:t>
      </w:r>
      <w:r w:rsidRPr="008F6FC2">
        <w:rPr>
          <w:rFonts w:ascii="Palatino Linotype" w:eastAsia="Palatino Linotype" w:hAnsi="Palatino Linotype" w:cs="Palatino Linotype"/>
          <w:b/>
          <w:sz w:val="22"/>
          <w:szCs w:val="22"/>
        </w:rPr>
        <w:t>la parte Recurrente</w:t>
      </w:r>
      <w:r w:rsidRPr="008F6FC2">
        <w:rPr>
          <w:rFonts w:ascii="Palatino Linotype" w:eastAsia="Palatino Linotype" w:hAnsi="Palatino Linotype" w:cs="Palatino Linotype"/>
          <w:sz w:val="22"/>
          <w:szCs w:val="22"/>
        </w:rPr>
        <w:t xml:space="preserve">, así como que podrá impugnarla vía </w:t>
      </w:r>
      <w:r w:rsidRPr="008F6FC2">
        <w:rPr>
          <w:rFonts w:ascii="Palatino Linotype" w:eastAsia="Palatino Linotype" w:hAnsi="Palatino Linotype" w:cs="Palatino Linotype"/>
          <w:b/>
          <w:sz w:val="22"/>
          <w:szCs w:val="22"/>
        </w:rPr>
        <w:t>Juicio de Amparo</w:t>
      </w:r>
      <w:r w:rsidRPr="008F6FC2">
        <w:rPr>
          <w:rFonts w:ascii="Palatino Linotype" w:eastAsia="Palatino Linotype" w:hAnsi="Palatino Linotype" w:cs="Palatino Linotype"/>
          <w:sz w:val="22"/>
          <w:szCs w:val="22"/>
        </w:rPr>
        <w:t xml:space="preserve"> en los términos de las leyes aplicables, de conformidad con lo establecido en el artículo 196 de la Ley de Transparencia y Acceso a la Información Pública del Estado de México y Municipios. </w:t>
      </w:r>
    </w:p>
    <w:p w14:paraId="4522A708" w14:textId="4D108E79" w:rsidR="007A1197" w:rsidRPr="008F6FC2" w:rsidRDefault="00B43A0A">
      <w:pPr>
        <w:spacing w:before="240" w:after="240" w:line="360" w:lineRule="auto"/>
        <w:jc w:val="both"/>
        <w:rPr>
          <w:rFonts w:ascii="Palatino Linotype" w:eastAsia="Palatino Linotype" w:hAnsi="Palatino Linotype" w:cs="Palatino Linotype"/>
        </w:rPr>
      </w:pPr>
      <w:r w:rsidRPr="008F6FC2">
        <w:rPr>
          <w:rFonts w:ascii="Palatino Linotype" w:eastAsia="Palatino Linotype" w:hAnsi="Palatino Linotype" w:cs="Palatino Linotype"/>
        </w:rPr>
        <w:t xml:space="preserve">ASÍ LO </w:t>
      </w:r>
      <w:r w:rsidR="00771907">
        <w:rPr>
          <w:rFonts w:ascii="Palatino Linotype" w:eastAsia="Palatino Linotype" w:hAnsi="Palatino Linotype" w:cs="Palatino Linotype"/>
        </w:rPr>
        <w:t>RESOLVIÓ</w:t>
      </w:r>
      <w:r w:rsidRPr="008F6FC2">
        <w:rPr>
          <w:rFonts w:ascii="Palatino Linotype" w:eastAsia="Palatino Linotype" w:hAnsi="Palatino Linotype" w:cs="Palatino Linotype"/>
        </w:rPr>
        <w:t xml:space="preserve">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w:t>
      </w:r>
      <w:r w:rsidR="00DD55C6" w:rsidRPr="008F6FC2">
        <w:rPr>
          <w:rFonts w:ascii="Palatino Linotype" w:eastAsia="Palatino Linotype" w:hAnsi="Palatino Linotype" w:cs="Palatino Linotype"/>
        </w:rPr>
        <w:t xml:space="preserve">TRIGÉSIMA </w:t>
      </w:r>
      <w:r w:rsidR="0085738B" w:rsidRPr="008F6FC2">
        <w:rPr>
          <w:rFonts w:ascii="Palatino Linotype" w:eastAsia="Palatino Linotype" w:hAnsi="Palatino Linotype" w:cs="Palatino Linotype"/>
        </w:rPr>
        <w:t>CUARTA</w:t>
      </w:r>
      <w:r w:rsidR="004A0807" w:rsidRPr="008F6FC2">
        <w:rPr>
          <w:rFonts w:ascii="Palatino Linotype" w:eastAsia="Palatino Linotype" w:hAnsi="Palatino Linotype" w:cs="Palatino Linotype"/>
        </w:rPr>
        <w:t xml:space="preserve"> </w:t>
      </w:r>
      <w:r w:rsidRPr="008F6FC2">
        <w:rPr>
          <w:rFonts w:ascii="Palatino Linotype" w:eastAsia="Palatino Linotype" w:hAnsi="Palatino Linotype" w:cs="Palatino Linotype"/>
        </w:rPr>
        <w:t>SESIÓ</w:t>
      </w:r>
      <w:r w:rsidR="004A0807" w:rsidRPr="008F6FC2">
        <w:rPr>
          <w:rFonts w:ascii="Palatino Linotype" w:eastAsia="Palatino Linotype" w:hAnsi="Palatino Linotype" w:cs="Palatino Linotype"/>
        </w:rPr>
        <w:t xml:space="preserve">N ORDINARIA </w:t>
      </w:r>
      <w:r w:rsidR="004A0807" w:rsidRPr="008F6FC2">
        <w:rPr>
          <w:rFonts w:ascii="Palatino Linotype" w:eastAsia="Palatino Linotype" w:hAnsi="Palatino Linotype" w:cs="Palatino Linotype"/>
        </w:rPr>
        <w:lastRenderedPageBreak/>
        <w:t xml:space="preserve">CELEBRADA EL </w:t>
      </w:r>
      <w:r w:rsidR="0085738B" w:rsidRPr="008F6FC2">
        <w:rPr>
          <w:rFonts w:ascii="Palatino Linotype" w:eastAsia="Palatino Linotype" w:hAnsi="Palatino Linotype" w:cs="Palatino Linotype"/>
        </w:rPr>
        <w:t>VEINTICINCO</w:t>
      </w:r>
      <w:r w:rsidR="00DD55C6" w:rsidRPr="008F6FC2">
        <w:rPr>
          <w:rFonts w:ascii="Palatino Linotype" w:eastAsia="Palatino Linotype" w:hAnsi="Palatino Linotype" w:cs="Palatino Linotype"/>
        </w:rPr>
        <w:t xml:space="preserve"> DE SEPTIEMBRE</w:t>
      </w:r>
      <w:r w:rsidR="004A0807" w:rsidRPr="008F6FC2">
        <w:rPr>
          <w:rFonts w:ascii="Palatino Linotype" w:eastAsia="Palatino Linotype" w:hAnsi="Palatino Linotype" w:cs="Palatino Linotype"/>
        </w:rPr>
        <w:t xml:space="preserve"> DE DOS MIL VEINTICUATRO</w:t>
      </w:r>
      <w:r w:rsidRPr="008F6FC2">
        <w:rPr>
          <w:rFonts w:ascii="Palatino Linotype" w:eastAsia="Palatino Linotype" w:hAnsi="Palatino Linotype" w:cs="Palatino Linotype"/>
        </w:rPr>
        <w:t>, ANTE EL SECRETARIO TÉCNICO DEL PLENO ALEXIS TAPIA RAMÍREZ.</w:t>
      </w:r>
    </w:p>
    <w:p w14:paraId="5D6EBB44" w14:textId="77777777" w:rsidR="00A35B5E" w:rsidRPr="008F6FC2" w:rsidRDefault="00A35B5E">
      <w:pPr>
        <w:spacing w:before="240" w:after="240" w:line="360" w:lineRule="auto"/>
        <w:jc w:val="both"/>
        <w:rPr>
          <w:rFonts w:ascii="Palatino Linotype" w:eastAsia="Palatino Linotype" w:hAnsi="Palatino Linotype" w:cs="Palatino Linotype"/>
        </w:rPr>
      </w:pPr>
    </w:p>
    <w:p w14:paraId="2A53C3DD" w14:textId="77777777" w:rsidR="00A35B5E" w:rsidRPr="008F6FC2" w:rsidRDefault="00A35B5E">
      <w:pPr>
        <w:spacing w:before="240" w:after="240" w:line="360" w:lineRule="auto"/>
        <w:jc w:val="both"/>
        <w:rPr>
          <w:rFonts w:ascii="Palatino Linotype" w:eastAsia="Palatino Linotype" w:hAnsi="Palatino Linotype" w:cs="Palatino Linotype"/>
        </w:rPr>
      </w:pPr>
    </w:p>
    <w:p w14:paraId="6A8DB4F9" w14:textId="77777777" w:rsidR="00A35B5E" w:rsidRPr="008F6FC2" w:rsidRDefault="00A35B5E">
      <w:pPr>
        <w:spacing w:before="240" w:after="240" w:line="360" w:lineRule="auto"/>
        <w:jc w:val="both"/>
        <w:rPr>
          <w:rFonts w:ascii="Palatino Linotype" w:eastAsia="Palatino Linotype" w:hAnsi="Palatino Linotype" w:cs="Palatino Linotype"/>
        </w:rPr>
      </w:pPr>
    </w:p>
    <w:p w14:paraId="5964A8EF" w14:textId="77777777" w:rsidR="00A35B5E" w:rsidRPr="008F6FC2" w:rsidRDefault="00A35B5E">
      <w:pPr>
        <w:spacing w:before="240" w:after="240" w:line="360" w:lineRule="auto"/>
        <w:jc w:val="both"/>
        <w:rPr>
          <w:rFonts w:ascii="Palatino Linotype" w:eastAsia="Palatino Linotype" w:hAnsi="Palatino Linotype" w:cs="Palatino Linotype"/>
        </w:rPr>
      </w:pPr>
    </w:p>
    <w:p w14:paraId="05B1AD59" w14:textId="77777777" w:rsidR="00A35B5E" w:rsidRPr="008F6FC2" w:rsidRDefault="00A35B5E">
      <w:pPr>
        <w:spacing w:before="240" w:after="240" w:line="360" w:lineRule="auto"/>
        <w:jc w:val="both"/>
        <w:rPr>
          <w:rFonts w:ascii="Palatino Linotype" w:eastAsia="Palatino Linotype" w:hAnsi="Palatino Linotype" w:cs="Palatino Linotype"/>
        </w:rPr>
      </w:pPr>
    </w:p>
    <w:p w14:paraId="0C53DE9E" w14:textId="77777777" w:rsidR="00A35B5E" w:rsidRPr="008F6FC2" w:rsidRDefault="00A35B5E">
      <w:pPr>
        <w:spacing w:before="240" w:after="240" w:line="360" w:lineRule="auto"/>
        <w:jc w:val="both"/>
        <w:rPr>
          <w:rFonts w:ascii="Palatino Linotype" w:eastAsia="Palatino Linotype" w:hAnsi="Palatino Linotype" w:cs="Palatino Linotype"/>
        </w:rPr>
      </w:pPr>
    </w:p>
    <w:p w14:paraId="088FF81E" w14:textId="77777777" w:rsidR="00A35B5E" w:rsidRPr="008F6FC2" w:rsidRDefault="00A35B5E">
      <w:pPr>
        <w:spacing w:before="240" w:after="240" w:line="360" w:lineRule="auto"/>
        <w:jc w:val="both"/>
        <w:rPr>
          <w:rFonts w:ascii="Palatino Linotype" w:eastAsia="Palatino Linotype" w:hAnsi="Palatino Linotype" w:cs="Palatino Linotype"/>
        </w:rPr>
      </w:pPr>
    </w:p>
    <w:p w14:paraId="162E4A87" w14:textId="77777777" w:rsidR="00A35B5E" w:rsidRPr="008F6FC2" w:rsidRDefault="00A35B5E">
      <w:pPr>
        <w:spacing w:before="240" w:after="240" w:line="360" w:lineRule="auto"/>
        <w:jc w:val="both"/>
        <w:rPr>
          <w:rFonts w:ascii="Palatino Linotype" w:eastAsia="Palatino Linotype" w:hAnsi="Palatino Linotype" w:cs="Palatino Linotype"/>
        </w:rPr>
      </w:pPr>
    </w:p>
    <w:p w14:paraId="08EDD64B" w14:textId="77777777" w:rsidR="00A35B5E" w:rsidRPr="008F6FC2" w:rsidRDefault="00A35B5E">
      <w:pPr>
        <w:spacing w:before="240" w:after="240" w:line="360" w:lineRule="auto"/>
        <w:jc w:val="both"/>
        <w:rPr>
          <w:rFonts w:ascii="Palatino Linotype" w:eastAsia="Palatino Linotype" w:hAnsi="Palatino Linotype" w:cs="Palatino Linotype"/>
        </w:rPr>
      </w:pPr>
    </w:p>
    <w:p w14:paraId="2742A608" w14:textId="77777777" w:rsidR="00A35B5E" w:rsidRPr="008F6FC2" w:rsidRDefault="00A35B5E">
      <w:pPr>
        <w:spacing w:before="240" w:after="240" w:line="360" w:lineRule="auto"/>
        <w:jc w:val="both"/>
        <w:rPr>
          <w:rFonts w:ascii="Palatino Linotype" w:eastAsia="Palatino Linotype" w:hAnsi="Palatino Linotype" w:cs="Palatino Linotype"/>
        </w:rPr>
      </w:pPr>
    </w:p>
    <w:p w14:paraId="42E84FE1" w14:textId="77777777" w:rsidR="00A35B5E" w:rsidRPr="008F6FC2" w:rsidRDefault="00A35B5E">
      <w:pPr>
        <w:spacing w:before="240" w:after="240" w:line="360" w:lineRule="auto"/>
        <w:jc w:val="both"/>
        <w:rPr>
          <w:rFonts w:ascii="Palatino Linotype" w:eastAsia="Palatino Linotype" w:hAnsi="Palatino Linotype" w:cs="Palatino Linotype"/>
        </w:rPr>
      </w:pPr>
    </w:p>
    <w:p w14:paraId="654D55CF" w14:textId="77777777" w:rsidR="007A1197" w:rsidRPr="008F6FC2" w:rsidRDefault="007A1197">
      <w:pPr>
        <w:spacing w:before="240" w:after="240" w:line="360" w:lineRule="auto"/>
        <w:jc w:val="both"/>
        <w:rPr>
          <w:rFonts w:ascii="Palatino Linotype" w:eastAsia="Palatino Linotype" w:hAnsi="Palatino Linotype" w:cs="Palatino Linotype"/>
        </w:rPr>
      </w:pPr>
    </w:p>
    <w:p w14:paraId="62E1D5B1" w14:textId="77777777" w:rsidR="007A1197" w:rsidRPr="008F6FC2" w:rsidRDefault="007A1197">
      <w:pPr>
        <w:spacing w:before="240" w:after="240" w:line="360" w:lineRule="auto"/>
        <w:jc w:val="both"/>
        <w:rPr>
          <w:rFonts w:ascii="Palatino Linotype" w:eastAsia="Palatino Linotype" w:hAnsi="Palatino Linotype" w:cs="Palatino Linotype"/>
        </w:rPr>
      </w:pPr>
    </w:p>
    <w:p w14:paraId="0CCFCBEF" w14:textId="77777777" w:rsidR="007A1197" w:rsidRPr="008F6FC2" w:rsidRDefault="007A1197">
      <w:pPr>
        <w:spacing w:before="240" w:after="240" w:line="360" w:lineRule="auto"/>
        <w:jc w:val="both"/>
        <w:rPr>
          <w:rFonts w:ascii="Palatino Linotype" w:eastAsia="Palatino Linotype" w:hAnsi="Palatino Linotype" w:cs="Palatino Linotype"/>
        </w:rPr>
      </w:pPr>
    </w:p>
    <w:p w14:paraId="1ACF4121" w14:textId="77777777" w:rsidR="007A1197" w:rsidRPr="008F6FC2" w:rsidRDefault="007A1197">
      <w:pPr>
        <w:spacing w:before="240" w:after="240" w:line="360" w:lineRule="auto"/>
        <w:jc w:val="both"/>
        <w:rPr>
          <w:rFonts w:ascii="Palatino Linotype" w:eastAsia="Palatino Linotype" w:hAnsi="Palatino Linotype" w:cs="Palatino Linotype"/>
        </w:rPr>
      </w:pPr>
    </w:p>
    <w:p w14:paraId="1C025666" w14:textId="77777777" w:rsidR="007A1197" w:rsidRPr="008F6FC2" w:rsidRDefault="007A1197">
      <w:pPr>
        <w:spacing w:before="240" w:after="240" w:line="360" w:lineRule="auto"/>
        <w:jc w:val="both"/>
        <w:rPr>
          <w:rFonts w:ascii="Palatino Linotype" w:eastAsia="Palatino Linotype" w:hAnsi="Palatino Linotype" w:cs="Palatino Linotype"/>
        </w:rPr>
      </w:pPr>
    </w:p>
    <w:p w14:paraId="7D9F9E38" w14:textId="77777777" w:rsidR="007A1197" w:rsidRPr="008F6FC2" w:rsidRDefault="007A1197">
      <w:pPr>
        <w:spacing w:before="240" w:after="240" w:line="360" w:lineRule="auto"/>
        <w:jc w:val="both"/>
        <w:rPr>
          <w:rFonts w:ascii="Palatino Linotype" w:eastAsia="Palatino Linotype" w:hAnsi="Palatino Linotype" w:cs="Palatino Linotype"/>
        </w:rPr>
      </w:pPr>
    </w:p>
    <w:sectPr w:rsidR="007A1197" w:rsidRPr="008F6FC2">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87EA" w14:textId="77777777" w:rsidR="00BB4AD5" w:rsidRDefault="00BB4AD5">
      <w:r>
        <w:separator/>
      </w:r>
    </w:p>
  </w:endnote>
  <w:endnote w:type="continuationSeparator" w:id="0">
    <w:p w14:paraId="4493D3F3" w14:textId="77777777" w:rsidR="00BB4AD5" w:rsidRDefault="00BB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EFE4" w14:textId="77777777" w:rsidR="00041194" w:rsidRDefault="0004119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028E1">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028E1">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162CD439" w14:textId="77777777" w:rsidR="00041194" w:rsidRDefault="0004119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9DCB" w14:textId="77777777" w:rsidR="00041194" w:rsidRDefault="0004119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F6FC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F6FC2">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63342D51" w14:textId="77777777" w:rsidR="00041194" w:rsidRDefault="0004119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0A0C" w14:textId="77777777" w:rsidR="00BB4AD5" w:rsidRDefault="00BB4AD5">
      <w:r>
        <w:separator/>
      </w:r>
    </w:p>
  </w:footnote>
  <w:footnote w:type="continuationSeparator" w:id="0">
    <w:p w14:paraId="01146B65" w14:textId="77777777" w:rsidR="00BB4AD5" w:rsidRDefault="00BB4AD5">
      <w:r>
        <w:continuationSeparator/>
      </w:r>
    </w:p>
  </w:footnote>
  <w:footnote w:id="1">
    <w:p w14:paraId="298B94E4" w14:textId="77777777" w:rsidR="00041194" w:rsidRDefault="00041194" w:rsidP="004074B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6ADBC3B8" w14:textId="77777777" w:rsidR="00041194" w:rsidRDefault="00041194" w:rsidP="004074B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0BF06255" w14:textId="77777777" w:rsidR="00041194" w:rsidRDefault="00041194" w:rsidP="004074B5">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1FF90D5B" w14:textId="77777777" w:rsidR="00041194" w:rsidRDefault="00041194" w:rsidP="004074B5">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3082118F" w14:textId="77777777" w:rsidR="00041194" w:rsidRDefault="00041194" w:rsidP="004074B5">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9EB" w14:textId="77777777" w:rsidR="00041194" w:rsidRDefault="00041194">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8DEDA81" wp14:editId="58714953">
          <wp:simplePos x="0" y="0"/>
          <wp:positionH relativeFrom="column">
            <wp:posOffset>-1127122</wp:posOffset>
          </wp:positionH>
          <wp:positionV relativeFrom="paragraph">
            <wp:posOffset>-344802</wp:posOffset>
          </wp:positionV>
          <wp:extent cx="7809865" cy="1016571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6945" w:type="dxa"/>
      <w:tblInd w:w="3261" w:type="dxa"/>
      <w:tblLayout w:type="fixed"/>
      <w:tblLook w:val="0400" w:firstRow="0" w:lastRow="0" w:firstColumn="0" w:lastColumn="0" w:noHBand="0" w:noVBand="1"/>
    </w:tblPr>
    <w:tblGrid>
      <w:gridCol w:w="2489"/>
      <w:gridCol w:w="4456"/>
    </w:tblGrid>
    <w:tr w:rsidR="00041194" w14:paraId="01E31FAD" w14:textId="77777777">
      <w:tc>
        <w:tcPr>
          <w:tcW w:w="2489" w:type="dxa"/>
          <w:shd w:val="clear" w:color="auto" w:fill="auto"/>
        </w:tcPr>
        <w:p w14:paraId="597CDAF8"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25E94AB1" w14:textId="7402D032" w:rsidR="00041194" w:rsidRDefault="00041194">
          <w:pPr>
            <w:ind w:left="-53" w:right="175"/>
            <w:jc w:val="both"/>
            <w:rPr>
              <w:rFonts w:ascii="Palatino Linotype" w:eastAsia="Palatino Linotype" w:hAnsi="Palatino Linotype" w:cs="Palatino Linotype"/>
              <w:b/>
              <w:sz w:val="22"/>
              <w:szCs w:val="22"/>
            </w:rPr>
          </w:pPr>
          <w:r w:rsidRPr="006C2E5E">
            <w:rPr>
              <w:rFonts w:ascii="Palatino Linotype" w:eastAsia="Palatino Linotype" w:hAnsi="Palatino Linotype" w:cs="Palatino Linotype"/>
              <w:b/>
              <w:sz w:val="22"/>
              <w:szCs w:val="22"/>
            </w:rPr>
            <w:t>04164/INFOEM/IP/RR/2024</w:t>
          </w:r>
        </w:p>
      </w:tc>
    </w:tr>
    <w:tr w:rsidR="00041194" w14:paraId="31D5A007" w14:textId="77777777">
      <w:trPr>
        <w:trHeight w:val="228"/>
      </w:trPr>
      <w:tc>
        <w:tcPr>
          <w:tcW w:w="2489" w:type="dxa"/>
          <w:shd w:val="clear" w:color="auto" w:fill="auto"/>
          <w:vAlign w:val="center"/>
        </w:tcPr>
        <w:p w14:paraId="0142EC3E"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7F6DC96F" w14:textId="2284720C" w:rsidR="00041194" w:rsidRDefault="00041194" w:rsidP="00764065">
          <w:pPr>
            <w:ind w:left="-45" w:right="1586"/>
            <w:jc w:val="both"/>
            <w:rPr>
              <w:rFonts w:ascii="Palatino Linotype" w:eastAsia="Palatino Linotype" w:hAnsi="Palatino Linotype" w:cs="Palatino Linotype"/>
              <w:b/>
              <w:sz w:val="22"/>
              <w:szCs w:val="22"/>
            </w:rPr>
          </w:pPr>
          <w:r w:rsidRPr="006C2E5E">
            <w:rPr>
              <w:rFonts w:ascii="Palatino Linotype" w:eastAsia="Palatino Linotype" w:hAnsi="Palatino Linotype" w:cs="Palatino Linotype"/>
              <w:b/>
              <w:sz w:val="22"/>
              <w:szCs w:val="22"/>
            </w:rPr>
            <w:t>Comisión de Derechos Humanos del Estado de México</w:t>
          </w:r>
        </w:p>
      </w:tc>
    </w:tr>
    <w:tr w:rsidR="00041194" w14:paraId="73B962F8" w14:textId="77777777">
      <w:tc>
        <w:tcPr>
          <w:tcW w:w="2489" w:type="dxa"/>
          <w:shd w:val="clear" w:color="auto" w:fill="auto"/>
          <w:vAlign w:val="center"/>
        </w:tcPr>
        <w:p w14:paraId="6B690B2D" w14:textId="77777777" w:rsidR="00041194" w:rsidRDefault="0004119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37DEA6FF" w14:textId="77777777" w:rsidR="00041194" w:rsidRDefault="0004119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16B83C" w14:textId="77777777" w:rsidR="00041194" w:rsidRDefault="0004119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1A2A" w14:textId="77777777" w:rsidR="00041194" w:rsidRDefault="0004119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D16D36A" wp14:editId="3FB95051">
          <wp:simplePos x="0" y="0"/>
          <wp:positionH relativeFrom="page">
            <wp:align>left</wp:align>
          </wp:positionH>
          <wp:positionV relativeFrom="paragraph">
            <wp:posOffset>-212090</wp:posOffset>
          </wp:positionV>
          <wp:extent cx="7809865" cy="10165715"/>
          <wp:effectExtent l="0" t="0" r="635" b="6985"/>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520" w:type="dxa"/>
      <w:tblInd w:w="3261" w:type="dxa"/>
      <w:tblLayout w:type="fixed"/>
      <w:tblLook w:val="0400" w:firstRow="0" w:lastRow="0" w:firstColumn="0" w:lastColumn="0" w:noHBand="0" w:noVBand="1"/>
    </w:tblPr>
    <w:tblGrid>
      <w:gridCol w:w="2551"/>
      <w:gridCol w:w="3969"/>
    </w:tblGrid>
    <w:tr w:rsidR="00041194" w14:paraId="521B2CB1" w14:textId="77777777">
      <w:tc>
        <w:tcPr>
          <w:tcW w:w="2551" w:type="dxa"/>
          <w:shd w:val="clear" w:color="auto" w:fill="auto"/>
          <w:vAlign w:val="center"/>
        </w:tcPr>
        <w:p w14:paraId="7BC5A09C"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7AF7B54" w14:textId="262B530D" w:rsidR="00041194" w:rsidRDefault="00041194">
          <w:pPr>
            <w:tabs>
              <w:tab w:val="left" w:pos="3153"/>
            </w:tabs>
            <w:ind w:left="-115"/>
            <w:jc w:val="both"/>
            <w:rPr>
              <w:rFonts w:ascii="Palatino Linotype" w:eastAsia="Palatino Linotype" w:hAnsi="Palatino Linotype" w:cs="Palatino Linotype"/>
              <w:b/>
              <w:sz w:val="22"/>
              <w:szCs w:val="22"/>
            </w:rPr>
          </w:pPr>
          <w:r w:rsidRPr="006C2E5E">
            <w:rPr>
              <w:rFonts w:ascii="Palatino Linotype" w:eastAsia="Palatino Linotype" w:hAnsi="Palatino Linotype" w:cs="Palatino Linotype"/>
              <w:b/>
              <w:sz w:val="22"/>
              <w:szCs w:val="22"/>
            </w:rPr>
            <w:t>04164/INFOEM/IP/RR/2024</w:t>
          </w:r>
        </w:p>
      </w:tc>
    </w:tr>
    <w:tr w:rsidR="00041194" w14:paraId="0844B48C" w14:textId="77777777">
      <w:trPr>
        <w:trHeight w:val="130"/>
      </w:trPr>
      <w:tc>
        <w:tcPr>
          <w:tcW w:w="2551" w:type="dxa"/>
          <w:shd w:val="clear" w:color="auto" w:fill="auto"/>
          <w:vAlign w:val="center"/>
        </w:tcPr>
        <w:p w14:paraId="778E60B5"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2C20FADD" w14:textId="420A745D" w:rsidR="00041194" w:rsidRDefault="00DB3A88">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 </w:t>
          </w:r>
        </w:p>
      </w:tc>
    </w:tr>
    <w:tr w:rsidR="00041194" w14:paraId="1FF3F3D5" w14:textId="77777777">
      <w:trPr>
        <w:trHeight w:val="228"/>
      </w:trPr>
      <w:tc>
        <w:tcPr>
          <w:tcW w:w="2551" w:type="dxa"/>
          <w:shd w:val="clear" w:color="auto" w:fill="auto"/>
          <w:vAlign w:val="center"/>
        </w:tcPr>
        <w:p w14:paraId="4ECF248B"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BB9BF7C" w14:textId="45EE756C" w:rsidR="00041194" w:rsidRDefault="00041194" w:rsidP="00645E55">
          <w:pPr>
            <w:ind w:left="-115" w:right="1019"/>
            <w:jc w:val="both"/>
            <w:rPr>
              <w:rFonts w:ascii="Palatino Linotype" w:eastAsia="Palatino Linotype" w:hAnsi="Palatino Linotype" w:cs="Palatino Linotype"/>
              <w:b/>
              <w:sz w:val="22"/>
              <w:szCs w:val="22"/>
            </w:rPr>
          </w:pPr>
          <w:r w:rsidRPr="006C2E5E">
            <w:rPr>
              <w:rFonts w:ascii="Palatino Linotype" w:eastAsia="Palatino Linotype" w:hAnsi="Palatino Linotype" w:cs="Palatino Linotype"/>
              <w:b/>
              <w:sz w:val="22"/>
              <w:szCs w:val="22"/>
            </w:rPr>
            <w:t>Comisión de Derechos Humanos del Estado de México</w:t>
          </w:r>
        </w:p>
      </w:tc>
    </w:tr>
    <w:tr w:rsidR="00041194" w14:paraId="6A0C9909" w14:textId="77777777">
      <w:tc>
        <w:tcPr>
          <w:tcW w:w="2551" w:type="dxa"/>
          <w:shd w:val="clear" w:color="auto" w:fill="auto"/>
          <w:vAlign w:val="center"/>
        </w:tcPr>
        <w:p w14:paraId="6CDDE88D" w14:textId="77777777" w:rsidR="00041194" w:rsidRDefault="0004119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182F4F94" w14:textId="77777777" w:rsidR="00041194" w:rsidRDefault="00041194">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057D7EC" w14:textId="77777777" w:rsidR="00041194" w:rsidRDefault="00041194">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C4"/>
    <w:multiLevelType w:val="hybridMultilevel"/>
    <w:tmpl w:val="D45A27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DC625FD"/>
    <w:multiLevelType w:val="multilevel"/>
    <w:tmpl w:val="4D9CD16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2E0310"/>
    <w:multiLevelType w:val="hybridMultilevel"/>
    <w:tmpl w:val="36EA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FE0FEB"/>
    <w:multiLevelType w:val="multilevel"/>
    <w:tmpl w:val="BE323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6B1D1D"/>
    <w:multiLevelType w:val="hybridMultilevel"/>
    <w:tmpl w:val="14C4F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63F40"/>
    <w:multiLevelType w:val="multilevel"/>
    <w:tmpl w:val="7B3E927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BED4C33"/>
    <w:multiLevelType w:val="multilevel"/>
    <w:tmpl w:val="EF40F27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31BE7809"/>
    <w:multiLevelType w:val="hybridMultilevel"/>
    <w:tmpl w:val="75E44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470BBC"/>
    <w:multiLevelType w:val="multilevel"/>
    <w:tmpl w:val="C7083BD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A4E0218"/>
    <w:multiLevelType w:val="multilevel"/>
    <w:tmpl w:val="05609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722CD7"/>
    <w:multiLevelType w:val="multilevel"/>
    <w:tmpl w:val="EA80B3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9F6276"/>
    <w:multiLevelType w:val="multilevel"/>
    <w:tmpl w:val="47447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4A65E34"/>
    <w:multiLevelType w:val="multilevel"/>
    <w:tmpl w:val="7FC66D9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8A3171"/>
    <w:multiLevelType w:val="hybridMultilevel"/>
    <w:tmpl w:val="AC3857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9"/>
  </w:num>
  <w:num w:numId="4">
    <w:abstractNumId w:val="2"/>
  </w:num>
  <w:num w:numId="5">
    <w:abstractNumId w:val="5"/>
  </w:num>
  <w:num w:numId="6">
    <w:abstractNumId w:val="13"/>
  </w:num>
  <w:num w:numId="7">
    <w:abstractNumId w:val="7"/>
  </w:num>
  <w:num w:numId="8">
    <w:abstractNumId w:val="8"/>
  </w:num>
  <w:num w:numId="9">
    <w:abstractNumId w:val="4"/>
  </w:num>
  <w:num w:numId="10">
    <w:abstractNumId w:val="11"/>
  </w:num>
  <w:num w:numId="11">
    <w:abstractNumId w:val="6"/>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97"/>
    <w:rsid w:val="000037A7"/>
    <w:rsid w:val="00005907"/>
    <w:rsid w:val="00007A2A"/>
    <w:rsid w:val="00031CCD"/>
    <w:rsid w:val="00034D1E"/>
    <w:rsid w:val="00041194"/>
    <w:rsid w:val="0004346C"/>
    <w:rsid w:val="00050356"/>
    <w:rsid w:val="00052B68"/>
    <w:rsid w:val="00072A87"/>
    <w:rsid w:val="0007345B"/>
    <w:rsid w:val="000856C2"/>
    <w:rsid w:val="00087637"/>
    <w:rsid w:val="000D1D6C"/>
    <w:rsid w:val="000D732B"/>
    <w:rsid w:val="00150C1E"/>
    <w:rsid w:val="00152C44"/>
    <w:rsid w:val="001749E0"/>
    <w:rsid w:val="001819E0"/>
    <w:rsid w:val="00185137"/>
    <w:rsid w:val="001A27B9"/>
    <w:rsid w:val="001A46AD"/>
    <w:rsid w:val="001D5376"/>
    <w:rsid w:val="001D6E87"/>
    <w:rsid w:val="001E0483"/>
    <w:rsid w:val="001F739C"/>
    <w:rsid w:val="002028E1"/>
    <w:rsid w:val="00220A3B"/>
    <w:rsid w:val="002307E7"/>
    <w:rsid w:val="002308E5"/>
    <w:rsid w:val="002374D5"/>
    <w:rsid w:val="002511FD"/>
    <w:rsid w:val="002C0458"/>
    <w:rsid w:val="002D0848"/>
    <w:rsid w:val="002D205F"/>
    <w:rsid w:val="002D4850"/>
    <w:rsid w:val="002D6F53"/>
    <w:rsid w:val="002E1C20"/>
    <w:rsid w:val="0030648C"/>
    <w:rsid w:val="0031415B"/>
    <w:rsid w:val="0032516E"/>
    <w:rsid w:val="0033600A"/>
    <w:rsid w:val="003D42BF"/>
    <w:rsid w:val="004074B5"/>
    <w:rsid w:val="00407E66"/>
    <w:rsid w:val="00446D0A"/>
    <w:rsid w:val="00453F8F"/>
    <w:rsid w:val="00457A6D"/>
    <w:rsid w:val="00493D4E"/>
    <w:rsid w:val="004A0807"/>
    <w:rsid w:val="004C21DF"/>
    <w:rsid w:val="004F046D"/>
    <w:rsid w:val="004F0CBB"/>
    <w:rsid w:val="004F50E8"/>
    <w:rsid w:val="00500D99"/>
    <w:rsid w:val="00500DA3"/>
    <w:rsid w:val="00506212"/>
    <w:rsid w:val="005455BD"/>
    <w:rsid w:val="005719BE"/>
    <w:rsid w:val="005842DD"/>
    <w:rsid w:val="005B58CA"/>
    <w:rsid w:val="005B79BC"/>
    <w:rsid w:val="005D66ED"/>
    <w:rsid w:val="005E4272"/>
    <w:rsid w:val="006447C3"/>
    <w:rsid w:val="00645E55"/>
    <w:rsid w:val="006524F5"/>
    <w:rsid w:val="006653CD"/>
    <w:rsid w:val="006775E5"/>
    <w:rsid w:val="006B7494"/>
    <w:rsid w:val="006C2E5E"/>
    <w:rsid w:val="006E2068"/>
    <w:rsid w:val="00705830"/>
    <w:rsid w:val="00745682"/>
    <w:rsid w:val="00750421"/>
    <w:rsid w:val="00753B7C"/>
    <w:rsid w:val="00756C3E"/>
    <w:rsid w:val="00764065"/>
    <w:rsid w:val="00771907"/>
    <w:rsid w:val="00793CE3"/>
    <w:rsid w:val="00794F62"/>
    <w:rsid w:val="007A1197"/>
    <w:rsid w:val="007A29B0"/>
    <w:rsid w:val="007A3453"/>
    <w:rsid w:val="007B33D5"/>
    <w:rsid w:val="007B5077"/>
    <w:rsid w:val="007C701A"/>
    <w:rsid w:val="007F4B3F"/>
    <w:rsid w:val="007F56DC"/>
    <w:rsid w:val="0080559F"/>
    <w:rsid w:val="00856040"/>
    <w:rsid w:val="0085738B"/>
    <w:rsid w:val="008C0545"/>
    <w:rsid w:val="008E2972"/>
    <w:rsid w:val="008F028A"/>
    <w:rsid w:val="008F39B1"/>
    <w:rsid w:val="008F6FC2"/>
    <w:rsid w:val="00910A3A"/>
    <w:rsid w:val="00910E1A"/>
    <w:rsid w:val="00931E31"/>
    <w:rsid w:val="00950A70"/>
    <w:rsid w:val="00976384"/>
    <w:rsid w:val="00A01981"/>
    <w:rsid w:val="00A35B5E"/>
    <w:rsid w:val="00A477E2"/>
    <w:rsid w:val="00A72C7F"/>
    <w:rsid w:val="00A74309"/>
    <w:rsid w:val="00AB43DA"/>
    <w:rsid w:val="00AC0855"/>
    <w:rsid w:val="00AD5B22"/>
    <w:rsid w:val="00AE1805"/>
    <w:rsid w:val="00AE798A"/>
    <w:rsid w:val="00B43A0A"/>
    <w:rsid w:val="00B60918"/>
    <w:rsid w:val="00B65BA8"/>
    <w:rsid w:val="00B75897"/>
    <w:rsid w:val="00B9385A"/>
    <w:rsid w:val="00BB4AD5"/>
    <w:rsid w:val="00BC1216"/>
    <w:rsid w:val="00BF7E8B"/>
    <w:rsid w:val="00C877CA"/>
    <w:rsid w:val="00CD1625"/>
    <w:rsid w:val="00CF2B54"/>
    <w:rsid w:val="00CF76EB"/>
    <w:rsid w:val="00D062C0"/>
    <w:rsid w:val="00D1645A"/>
    <w:rsid w:val="00D51FE9"/>
    <w:rsid w:val="00D82412"/>
    <w:rsid w:val="00D8755D"/>
    <w:rsid w:val="00D90C55"/>
    <w:rsid w:val="00DA0116"/>
    <w:rsid w:val="00DA7FCE"/>
    <w:rsid w:val="00DB3A88"/>
    <w:rsid w:val="00DD0935"/>
    <w:rsid w:val="00DD242D"/>
    <w:rsid w:val="00DD55C6"/>
    <w:rsid w:val="00DD575C"/>
    <w:rsid w:val="00E0690A"/>
    <w:rsid w:val="00E20B0B"/>
    <w:rsid w:val="00E24DCE"/>
    <w:rsid w:val="00E36AC1"/>
    <w:rsid w:val="00E40355"/>
    <w:rsid w:val="00E74A57"/>
    <w:rsid w:val="00E77D2F"/>
    <w:rsid w:val="00E80606"/>
    <w:rsid w:val="00E91ECB"/>
    <w:rsid w:val="00EA2FE7"/>
    <w:rsid w:val="00EE664F"/>
    <w:rsid w:val="00F00C81"/>
    <w:rsid w:val="00F0151E"/>
    <w:rsid w:val="00F11194"/>
    <w:rsid w:val="00F25301"/>
    <w:rsid w:val="00F57D09"/>
    <w:rsid w:val="00F60093"/>
    <w:rsid w:val="00FA4EC4"/>
    <w:rsid w:val="00FB632C"/>
    <w:rsid w:val="00FC1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3287"/>
  <w15:docId w15:val="{7097B0C0-096E-49E8-9915-615D4F2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Tablaconcuadrcula11">
    <w:name w:val="Tabla con cuadrícula11"/>
    <w:basedOn w:val="Tablanormal"/>
    <w:next w:val="Tablaconcuadrcula"/>
    <w:uiPriority w:val="59"/>
    <w:rsid w:val="00F00C81"/>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38830">
      <w:bodyDiv w:val="1"/>
      <w:marLeft w:val="0"/>
      <w:marRight w:val="0"/>
      <w:marTop w:val="0"/>
      <w:marBottom w:val="0"/>
      <w:divBdr>
        <w:top w:val="none" w:sz="0" w:space="0" w:color="auto"/>
        <w:left w:val="none" w:sz="0" w:space="0" w:color="auto"/>
        <w:bottom w:val="none" w:sz="0" w:space="0" w:color="auto"/>
        <w:right w:val="none" w:sz="0" w:space="0" w:color="auto"/>
      </w:divBdr>
    </w:div>
    <w:div w:id="842209359">
      <w:bodyDiv w:val="1"/>
      <w:marLeft w:val="0"/>
      <w:marRight w:val="0"/>
      <w:marTop w:val="0"/>
      <w:marBottom w:val="0"/>
      <w:divBdr>
        <w:top w:val="none" w:sz="0" w:space="0" w:color="auto"/>
        <w:left w:val="none" w:sz="0" w:space="0" w:color="auto"/>
        <w:bottom w:val="none" w:sz="0" w:space="0" w:color="auto"/>
        <w:right w:val="none" w:sz="0" w:space="0" w:color="auto"/>
      </w:divBdr>
    </w:div>
    <w:div w:id="973754006">
      <w:bodyDiv w:val="1"/>
      <w:marLeft w:val="0"/>
      <w:marRight w:val="0"/>
      <w:marTop w:val="0"/>
      <w:marBottom w:val="0"/>
      <w:divBdr>
        <w:top w:val="none" w:sz="0" w:space="0" w:color="auto"/>
        <w:left w:val="none" w:sz="0" w:space="0" w:color="auto"/>
        <w:bottom w:val="none" w:sz="0" w:space="0" w:color="auto"/>
        <w:right w:val="none" w:sz="0" w:space="0" w:color="auto"/>
      </w:divBdr>
    </w:div>
    <w:div w:id="1144928989">
      <w:bodyDiv w:val="1"/>
      <w:marLeft w:val="0"/>
      <w:marRight w:val="0"/>
      <w:marTop w:val="0"/>
      <w:marBottom w:val="0"/>
      <w:divBdr>
        <w:top w:val="none" w:sz="0" w:space="0" w:color="auto"/>
        <w:left w:val="none" w:sz="0" w:space="0" w:color="auto"/>
        <w:bottom w:val="none" w:sz="0" w:space="0" w:color="auto"/>
        <w:right w:val="none" w:sz="0" w:space="0" w:color="auto"/>
      </w:divBdr>
    </w:div>
    <w:div w:id="1208493622">
      <w:bodyDiv w:val="1"/>
      <w:marLeft w:val="0"/>
      <w:marRight w:val="0"/>
      <w:marTop w:val="0"/>
      <w:marBottom w:val="0"/>
      <w:divBdr>
        <w:top w:val="none" w:sz="0" w:space="0" w:color="auto"/>
        <w:left w:val="none" w:sz="0" w:space="0" w:color="auto"/>
        <w:bottom w:val="none" w:sz="0" w:space="0" w:color="auto"/>
        <w:right w:val="none" w:sz="0" w:space="0" w:color="auto"/>
      </w:divBdr>
    </w:div>
    <w:div w:id="1371304178">
      <w:bodyDiv w:val="1"/>
      <w:marLeft w:val="0"/>
      <w:marRight w:val="0"/>
      <w:marTop w:val="0"/>
      <w:marBottom w:val="0"/>
      <w:divBdr>
        <w:top w:val="none" w:sz="0" w:space="0" w:color="auto"/>
        <w:left w:val="none" w:sz="0" w:space="0" w:color="auto"/>
        <w:bottom w:val="none" w:sz="0" w:space="0" w:color="auto"/>
        <w:right w:val="none" w:sz="0" w:space="0" w:color="auto"/>
      </w:divBdr>
    </w:div>
    <w:div w:id="140151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mov/l9tTTZ6wenytg+O/w1UWg==">CgMxLjAyCGguZ2pkZ3hzMgloLjMwajB6bGwyCWguMnM4ZXlvMTIIaC50eWpjd3QyCWguM2R5NnZrbTgAciExWDdhSVVwcE1VX1htYXdBMWpybXVPbFBGY2ExWUxhc0k=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FF055D-9496-49D0-A520-A2A153FB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5934</Words>
  <Characters>32643</Characters>
  <Application>Microsoft Office Word</Application>
  <DocSecurity>0</DocSecurity>
  <Lines>272</Lines>
  <Paragraphs>76</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2024-09-27T18:33:00Z</cp:lastPrinted>
  <dcterms:created xsi:type="dcterms:W3CDTF">2024-10-04T20:19:00Z</dcterms:created>
  <dcterms:modified xsi:type="dcterms:W3CDTF">2024-10-04T20:19:00Z</dcterms:modified>
</cp:coreProperties>
</file>