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1E0A" w14:textId="77777777" w:rsidR="00D92C64" w:rsidRPr="00236CAB" w:rsidRDefault="00647915">
      <w:pPr>
        <w:spacing w:before="240" w:after="240" w:line="360" w:lineRule="auto"/>
        <w:jc w:val="both"/>
      </w:pPr>
      <w:r w:rsidRPr="00236CA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00C7313B" w:rsidRPr="00236CAB">
        <w:rPr>
          <w:rFonts w:ascii="Palatino Linotype" w:eastAsia="Palatino Linotype" w:hAnsi="Palatino Linotype" w:cs="Palatino Linotype"/>
        </w:rPr>
        <w:t>de fecha tres</w:t>
      </w:r>
      <w:r w:rsidRPr="00236CAB">
        <w:rPr>
          <w:rFonts w:ascii="Palatino Linotype" w:eastAsia="Palatino Linotype" w:hAnsi="Palatino Linotype" w:cs="Palatino Linotype"/>
        </w:rPr>
        <w:t xml:space="preserve"> (</w:t>
      </w:r>
      <w:r w:rsidR="00C7313B" w:rsidRPr="00236CAB">
        <w:rPr>
          <w:rFonts w:ascii="Palatino Linotype" w:eastAsia="Palatino Linotype" w:hAnsi="Palatino Linotype" w:cs="Palatino Linotype"/>
        </w:rPr>
        <w:t>03</w:t>
      </w:r>
      <w:r w:rsidRPr="00236CAB">
        <w:rPr>
          <w:rFonts w:ascii="Palatino Linotype" w:eastAsia="Palatino Linotype" w:hAnsi="Palatino Linotype" w:cs="Palatino Linotype"/>
        </w:rPr>
        <w:t xml:space="preserve">) de </w:t>
      </w:r>
      <w:r w:rsidR="00C7313B" w:rsidRPr="00236CAB">
        <w:rPr>
          <w:rFonts w:ascii="Palatino Linotype" w:eastAsia="Palatino Linotype" w:hAnsi="Palatino Linotype" w:cs="Palatino Linotype"/>
        </w:rPr>
        <w:t>abril</w:t>
      </w:r>
      <w:r w:rsidRPr="00236CAB">
        <w:rPr>
          <w:rFonts w:ascii="Palatino Linotype" w:eastAsia="Palatino Linotype" w:hAnsi="Palatino Linotype" w:cs="Palatino Linotype"/>
        </w:rPr>
        <w:t xml:space="preserve"> de dos mil veinticuatro.</w:t>
      </w:r>
    </w:p>
    <w:p w14:paraId="19914146" w14:textId="77777777" w:rsidR="00D92C64" w:rsidRPr="00236CAB" w:rsidRDefault="00647915">
      <w:pPr>
        <w:spacing w:before="240" w:after="360" w:line="360" w:lineRule="auto"/>
        <w:jc w:val="both"/>
        <w:rPr>
          <w:rFonts w:ascii="Palatino Linotype" w:eastAsia="Palatino Linotype" w:hAnsi="Palatino Linotype" w:cs="Palatino Linotype"/>
          <w:b/>
        </w:rPr>
      </w:pPr>
      <w:r w:rsidRPr="00236CAB">
        <w:rPr>
          <w:rFonts w:ascii="Palatino Linotype" w:eastAsia="Palatino Linotype" w:hAnsi="Palatino Linotype" w:cs="Palatino Linotype"/>
          <w:b/>
        </w:rPr>
        <w:t>VISTOS</w:t>
      </w:r>
      <w:r w:rsidRPr="00236CAB">
        <w:rPr>
          <w:rFonts w:ascii="Palatino Linotype" w:eastAsia="Palatino Linotype" w:hAnsi="Palatino Linotype" w:cs="Palatino Linotype"/>
        </w:rPr>
        <w:t xml:space="preserve"> los expedientes electrónicos formados con motivo de los recursos de revisión </w:t>
      </w:r>
      <w:r w:rsidRPr="00236CAB">
        <w:rPr>
          <w:rFonts w:ascii="Palatino Linotype" w:eastAsia="Palatino Linotype" w:hAnsi="Palatino Linotype" w:cs="Palatino Linotype"/>
          <w:b/>
        </w:rPr>
        <w:t xml:space="preserve">07563/INFOEM/IP/RR/2023 y 07571/INFOEM/IP/RR/2023; </w:t>
      </w:r>
      <w:r w:rsidRPr="00236CAB">
        <w:rPr>
          <w:rFonts w:ascii="Palatino Linotype" w:eastAsia="Palatino Linotype" w:hAnsi="Palatino Linotype" w:cs="Palatino Linotype"/>
        </w:rPr>
        <w:t>promovidos por</w:t>
      </w:r>
      <w:r w:rsidRPr="00236CAB">
        <w:rPr>
          <w:rFonts w:ascii="Palatino Linotype" w:eastAsia="Palatino Linotype" w:hAnsi="Palatino Linotype" w:cs="Palatino Linotype"/>
          <w:b/>
        </w:rPr>
        <w:t xml:space="preserve"> un usuario del Sistema de Acceso a la Información Mexiquense (SAIMEX), que no proporcionó nombre para ser identificado, </w:t>
      </w:r>
      <w:r w:rsidRPr="00236CAB">
        <w:rPr>
          <w:rFonts w:ascii="Palatino Linotype" w:eastAsia="Palatino Linotype" w:hAnsi="Palatino Linotype" w:cs="Palatino Linotype"/>
        </w:rPr>
        <w:t xml:space="preserve">en su calidad de </w:t>
      </w:r>
      <w:r w:rsidRPr="00236CAB">
        <w:rPr>
          <w:rFonts w:ascii="Palatino Linotype" w:eastAsia="Palatino Linotype" w:hAnsi="Palatino Linotype" w:cs="Palatino Linotype"/>
          <w:b/>
        </w:rPr>
        <w:t>RECURRENTE</w:t>
      </w:r>
      <w:r w:rsidRPr="00236CAB">
        <w:rPr>
          <w:rFonts w:ascii="Palatino Linotype" w:eastAsia="Palatino Linotype" w:hAnsi="Palatino Linotype" w:cs="Palatino Linotype"/>
        </w:rPr>
        <w:t xml:space="preserve">, en contra de las respuestas del </w:t>
      </w:r>
      <w:r w:rsidRPr="00236CAB">
        <w:rPr>
          <w:rFonts w:ascii="Palatino Linotype" w:eastAsia="Palatino Linotype" w:hAnsi="Palatino Linotype" w:cs="Palatino Linotype"/>
          <w:b/>
        </w:rPr>
        <w:t xml:space="preserve">Ayuntamiento de Atizapán, </w:t>
      </w:r>
      <w:r w:rsidRPr="00236CAB">
        <w:rPr>
          <w:rFonts w:ascii="Palatino Linotype" w:eastAsia="Palatino Linotype" w:hAnsi="Palatino Linotype" w:cs="Palatino Linotype"/>
        </w:rPr>
        <w:t>en lo sucesivo el</w:t>
      </w:r>
      <w:r w:rsidRPr="00236CAB">
        <w:rPr>
          <w:rFonts w:ascii="Palatino Linotype" w:eastAsia="Palatino Linotype" w:hAnsi="Palatino Linotype" w:cs="Palatino Linotype"/>
          <w:b/>
        </w:rPr>
        <w:t xml:space="preserve"> SUJETO OBLIGADO, </w:t>
      </w:r>
      <w:r w:rsidRPr="00236CAB">
        <w:rPr>
          <w:rFonts w:ascii="Palatino Linotype" w:eastAsia="Palatino Linotype" w:hAnsi="Palatino Linotype" w:cs="Palatino Linotype"/>
        </w:rPr>
        <w:t>se procede a dictar la presente resolución, con base en los siguientes:</w:t>
      </w:r>
    </w:p>
    <w:p w14:paraId="7481D386" w14:textId="77777777" w:rsidR="00D92C64" w:rsidRPr="00236CAB" w:rsidRDefault="00647915">
      <w:pPr>
        <w:pStyle w:val="Ttulo1"/>
        <w:spacing w:line="360" w:lineRule="auto"/>
        <w:jc w:val="center"/>
        <w:rPr>
          <w:b/>
          <w:color w:val="000000"/>
          <w:sz w:val="24"/>
          <w:szCs w:val="24"/>
        </w:rPr>
      </w:pPr>
      <w:bookmarkStart w:id="0" w:name="_heading=h.gjdgxs" w:colFirst="0" w:colLast="0"/>
      <w:bookmarkEnd w:id="0"/>
      <w:r w:rsidRPr="00236CAB">
        <w:rPr>
          <w:b/>
          <w:color w:val="000000"/>
          <w:sz w:val="24"/>
          <w:szCs w:val="24"/>
        </w:rPr>
        <w:t>ANTECEDENTES</w:t>
      </w:r>
    </w:p>
    <w:p w14:paraId="339CA541" w14:textId="77777777" w:rsidR="00D92C64" w:rsidRPr="00236CAB" w:rsidRDefault="00647915">
      <w:pPr>
        <w:numPr>
          <w:ilvl w:val="0"/>
          <w:numId w:val="6"/>
        </w:numPr>
        <w:pBdr>
          <w:top w:val="nil"/>
          <w:left w:val="nil"/>
          <w:bottom w:val="nil"/>
          <w:right w:val="nil"/>
          <w:between w:val="nil"/>
        </w:pBdr>
        <w:tabs>
          <w:tab w:val="left" w:pos="284"/>
        </w:tabs>
        <w:spacing w:before="240" w:after="240" w:line="360" w:lineRule="auto"/>
        <w:ind w:left="0"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El nueve (09) de octubre de dos mil veintitrés</w:t>
      </w:r>
      <w:r w:rsidRPr="00236CAB">
        <w:rPr>
          <w:rFonts w:ascii="Palatino Linotype" w:eastAsia="Palatino Linotype" w:hAnsi="Palatino Linotype" w:cs="Palatino Linotype"/>
          <w:b/>
          <w:color w:val="000000"/>
        </w:rPr>
        <w:t xml:space="preserve">, </w:t>
      </w:r>
      <w:r w:rsidRPr="00236CAB">
        <w:rPr>
          <w:rFonts w:ascii="Palatino Linotype" w:eastAsia="Palatino Linotype" w:hAnsi="Palatino Linotype" w:cs="Palatino Linotype"/>
          <w:color w:val="000000"/>
        </w:rPr>
        <w:t xml:space="preserve">se presentaron ante el </w:t>
      </w:r>
      <w:r w:rsidRPr="00236CAB">
        <w:rPr>
          <w:rFonts w:ascii="Palatino Linotype" w:eastAsia="Palatino Linotype" w:hAnsi="Palatino Linotype" w:cs="Palatino Linotype"/>
          <w:b/>
          <w:color w:val="000000"/>
        </w:rPr>
        <w:t>SUJETO OBLIGADO</w:t>
      </w:r>
      <w:r w:rsidRPr="00236CAB">
        <w:rPr>
          <w:rFonts w:ascii="Palatino Linotype" w:eastAsia="Palatino Linotype" w:hAnsi="Palatino Linotype" w:cs="Palatino Linotype"/>
          <w:color w:val="000000"/>
        </w:rPr>
        <w:t xml:space="preserve"> vía Sistema de Acceso a la Información Mexiquense </w:t>
      </w:r>
      <w:r w:rsidRPr="00236CAB">
        <w:rPr>
          <w:rFonts w:ascii="Palatino Linotype" w:eastAsia="Palatino Linotype" w:hAnsi="Palatino Linotype" w:cs="Palatino Linotype"/>
          <w:b/>
          <w:i/>
          <w:color w:val="000000"/>
        </w:rPr>
        <w:t>SAIMEX</w:t>
      </w:r>
      <w:r w:rsidRPr="00236CAB">
        <w:rPr>
          <w:rFonts w:ascii="Palatino Linotype" w:eastAsia="Palatino Linotype" w:hAnsi="Palatino Linotype" w:cs="Palatino Linotype"/>
          <w:color w:val="000000"/>
        </w:rPr>
        <w:t xml:space="preserve">, las solicitudes de información pública registradas con los números </w:t>
      </w:r>
      <w:r w:rsidRPr="00236CAB">
        <w:rPr>
          <w:rFonts w:ascii="Palatino Linotype" w:eastAsia="Palatino Linotype" w:hAnsi="Palatino Linotype" w:cs="Palatino Linotype"/>
          <w:b/>
          <w:color w:val="000000"/>
        </w:rPr>
        <w:t xml:space="preserve">00125/ATIZAPAN/IP/2023 y 00121/ATIZAPAN/IP/2023, </w:t>
      </w:r>
      <w:r w:rsidR="00600E17" w:rsidRPr="00236CAB">
        <w:rPr>
          <w:rFonts w:ascii="Palatino Linotype" w:eastAsia="Palatino Linotype" w:hAnsi="Palatino Linotype" w:cs="Palatino Linotype"/>
          <w:color w:val="000000"/>
        </w:rPr>
        <w:t>en las que</w:t>
      </w:r>
      <w:r w:rsidRPr="00236CAB">
        <w:rPr>
          <w:rFonts w:ascii="Palatino Linotype" w:eastAsia="Palatino Linotype" w:hAnsi="Palatino Linotype" w:cs="Palatino Linotype"/>
          <w:color w:val="000000"/>
        </w:rPr>
        <w:t xml:space="preserve"> solicitó:</w:t>
      </w:r>
    </w:p>
    <w:p w14:paraId="1B7C85E8" w14:textId="77777777" w:rsidR="00D92C64" w:rsidRPr="00236CAB" w:rsidRDefault="00647915">
      <w:pPr>
        <w:spacing w:line="360" w:lineRule="auto"/>
        <w:jc w:val="both"/>
        <w:rPr>
          <w:rFonts w:ascii="Palatino Linotype" w:eastAsia="Palatino Linotype" w:hAnsi="Palatino Linotype" w:cs="Palatino Linotype"/>
          <w:b/>
        </w:rPr>
      </w:pPr>
      <w:r w:rsidRPr="00236CAB">
        <w:rPr>
          <w:rFonts w:ascii="Palatino Linotype" w:eastAsia="Palatino Linotype" w:hAnsi="Palatino Linotype" w:cs="Palatino Linotype"/>
          <w:b/>
        </w:rPr>
        <w:t>00125/ATIZAPAN/IP/2023:</w:t>
      </w:r>
    </w:p>
    <w:p w14:paraId="1329E036" w14:textId="77777777" w:rsidR="00D92C64" w:rsidRPr="00236CAB" w:rsidRDefault="00647915">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i/>
          <w:color w:val="000000"/>
        </w:rPr>
        <w:t>“De la titular de Control y bienestar animal Perfil del puesto Título profesional Currículo Recibos de nómina de septiembre Activades que a realizado Método para contratarla”</w:t>
      </w:r>
      <w:r w:rsidRPr="00236CAB">
        <w:rPr>
          <w:rFonts w:ascii="Palatino Linotype" w:eastAsia="Palatino Linotype" w:hAnsi="Palatino Linotype" w:cs="Palatino Linotype"/>
          <w:color w:val="000000"/>
        </w:rPr>
        <w:t xml:space="preserve"> (Sic)</w:t>
      </w:r>
    </w:p>
    <w:p w14:paraId="488B43AB" w14:textId="77777777" w:rsidR="00D92C64" w:rsidRPr="00236CAB" w:rsidRDefault="00D92C64">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rPr>
      </w:pPr>
    </w:p>
    <w:p w14:paraId="21AFDEF9" w14:textId="77777777" w:rsidR="00D92C64" w:rsidRPr="00236CAB" w:rsidRDefault="0064791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color w:val="000000"/>
        </w:rPr>
      </w:pPr>
      <w:r w:rsidRPr="00236CAB">
        <w:rPr>
          <w:rFonts w:ascii="Palatino Linotype" w:eastAsia="Palatino Linotype" w:hAnsi="Palatino Linotype" w:cs="Palatino Linotype"/>
          <w:b/>
          <w:color w:val="000000"/>
        </w:rPr>
        <w:t xml:space="preserve">00121/ATIZAPAN/IP/2023: </w:t>
      </w:r>
    </w:p>
    <w:p w14:paraId="7309C6DA" w14:textId="77777777" w:rsidR="00D92C64" w:rsidRPr="00236CAB" w:rsidRDefault="00647915">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i/>
          <w:color w:val="000000"/>
        </w:rPr>
        <w:t>“Del titular de transparencia Documento que de cuenta de las actividades que realiza el titular de transparencia Título profesional Currículo Certificado de competencia laboral vigente Recibos de nómina de septiembre Listas de asistencia”</w:t>
      </w:r>
      <w:r w:rsidRPr="00236CAB">
        <w:rPr>
          <w:rFonts w:ascii="Palatino Linotype" w:eastAsia="Palatino Linotype" w:hAnsi="Palatino Linotype" w:cs="Palatino Linotype"/>
          <w:color w:val="000000"/>
        </w:rPr>
        <w:t xml:space="preserve"> (Sic)</w:t>
      </w:r>
    </w:p>
    <w:p w14:paraId="591E9593" w14:textId="77777777" w:rsidR="00D92C64" w:rsidRPr="00236CAB" w:rsidRDefault="00647915">
      <w:pPr>
        <w:numPr>
          <w:ilvl w:val="0"/>
          <w:numId w:val="6"/>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lastRenderedPageBreak/>
        <w:t xml:space="preserve">De las constancias que obran en el expediente, se aprecia que el entonces </w:t>
      </w:r>
      <w:r w:rsidRPr="00236CAB">
        <w:rPr>
          <w:rFonts w:ascii="Palatino Linotype" w:eastAsia="Palatino Linotype" w:hAnsi="Palatino Linotype" w:cs="Palatino Linotype"/>
          <w:b/>
          <w:color w:val="000000"/>
        </w:rPr>
        <w:t>SOLICITANTE</w:t>
      </w:r>
      <w:r w:rsidRPr="00236CAB">
        <w:rPr>
          <w:rFonts w:ascii="Palatino Linotype" w:eastAsia="Palatino Linotype" w:hAnsi="Palatino Linotype" w:cs="Palatino Linotype"/>
          <w:color w:val="000000"/>
        </w:rPr>
        <w:t xml:space="preserve"> señaló como modalidad de entrega de la información “A través del </w:t>
      </w:r>
      <w:r w:rsidRPr="00236CAB">
        <w:rPr>
          <w:rFonts w:ascii="Palatino Linotype" w:eastAsia="Palatino Linotype" w:hAnsi="Palatino Linotype" w:cs="Palatino Linotype"/>
          <w:b/>
          <w:color w:val="000000"/>
        </w:rPr>
        <w:t>SAIMEX”</w:t>
      </w:r>
      <w:r w:rsidRPr="00236CAB">
        <w:rPr>
          <w:rFonts w:ascii="Palatino Linotype" w:eastAsia="Palatino Linotype" w:hAnsi="Palatino Linotype" w:cs="Palatino Linotype"/>
          <w:color w:val="000000"/>
        </w:rPr>
        <w:t>.</w:t>
      </w:r>
    </w:p>
    <w:p w14:paraId="055D1653" w14:textId="77777777" w:rsidR="00D92C64" w:rsidRPr="00236CAB" w:rsidRDefault="00D92C6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5F2E3389" w14:textId="77777777" w:rsidR="00D92C64" w:rsidRPr="00236CAB" w:rsidRDefault="00647915">
      <w:pPr>
        <w:numPr>
          <w:ilvl w:val="0"/>
          <w:numId w:val="6"/>
        </w:numPr>
        <w:pBdr>
          <w:top w:val="nil"/>
          <w:left w:val="nil"/>
          <w:bottom w:val="nil"/>
          <w:right w:val="nil"/>
          <w:between w:val="nil"/>
        </w:pBdr>
        <w:tabs>
          <w:tab w:val="left" w:pos="284"/>
        </w:tabs>
        <w:spacing w:line="360" w:lineRule="auto"/>
        <w:ind w:left="0" w:right="34" w:firstLine="0"/>
        <w:jc w:val="both"/>
        <w:rPr>
          <w:rFonts w:ascii="Palatino Linotype" w:eastAsia="Palatino Linotype" w:hAnsi="Palatino Linotype" w:cs="Palatino Linotype"/>
          <w:i/>
          <w:color w:val="000000"/>
        </w:rPr>
      </w:pPr>
      <w:r w:rsidRPr="00236CAB">
        <w:rPr>
          <w:rFonts w:ascii="Palatino Linotype" w:eastAsia="Palatino Linotype" w:hAnsi="Palatino Linotype" w:cs="Palatino Linotype"/>
          <w:color w:val="000000"/>
        </w:rPr>
        <w:t xml:space="preserve">El once (11) de octubre de dos mil veintitrés, se realizó un requerimiento al servidor público habilitado en la solicitud de información </w:t>
      </w:r>
      <w:r w:rsidRPr="00236CAB">
        <w:rPr>
          <w:rFonts w:ascii="Palatino Linotype" w:eastAsia="Palatino Linotype" w:hAnsi="Palatino Linotype" w:cs="Palatino Linotype"/>
          <w:b/>
          <w:color w:val="000000"/>
        </w:rPr>
        <w:t>00125/ATIZAPAN/IP/2023</w:t>
      </w:r>
      <w:r w:rsidRPr="00236CAB">
        <w:rPr>
          <w:rFonts w:ascii="Palatino Linotype" w:eastAsia="Palatino Linotype" w:hAnsi="Palatino Linotype" w:cs="Palatino Linotype"/>
          <w:color w:val="000000"/>
        </w:rPr>
        <w:t xml:space="preserve">. </w:t>
      </w:r>
    </w:p>
    <w:p w14:paraId="0A7BF041" w14:textId="77777777" w:rsidR="00D92C64" w:rsidRPr="00236CAB" w:rsidRDefault="00D92C64">
      <w:pPr>
        <w:pBdr>
          <w:top w:val="nil"/>
          <w:left w:val="nil"/>
          <w:bottom w:val="nil"/>
          <w:right w:val="nil"/>
          <w:between w:val="nil"/>
        </w:pBdr>
        <w:ind w:left="720"/>
        <w:rPr>
          <w:rFonts w:ascii="Palatino Linotype" w:eastAsia="Palatino Linotype" w:hAnsi="Palatino Linotype" w:cs="Palatino Linotype"/>
          <w:color w:val="000000"/>
        </w:rPr>
      </w:pPr>
    </w:p>
    <w:p w14:paraId="4FBCAD27" w14:textId="77777777" w:rsidR="00D92C64" w:rsidRPr="00236CAB" w:rsidRDefault="00647915">
      <w:pPr>
        <w:numPr>
          <w:ilvl w:val="0"/>
          <w:numId w:val="6"/>
        </w:numPr>
        <w:pBdr>
          <w:top w:val="nil"/>
          <w:left w:val="nil"/>
          <w:bottom w:val="nil"/>
          <w:right w:val="nil"/>
          <w:between w:val="nil"/>
        </w:pBdr>
        <w:tabs>
          <w:tab w:val="left" w:pos="284"/>
        </w:tabs>
        <w:spacing w:line="360" w:lineRule="auto"/>
        <w:ind w:left="0" w:right="34" w:firstLine="0"/>
        <w:jc w:val="both"/>
        <w:rPr>
          <w:rFonts w:ascii="Palatino Linotype" w:eastAsia="Palatino Linotype" w:hAnsi="Palatino Linotype" w:cs="Palatino Linotype"/>
          <w:i/>
          <w:color w:val="000000"/>
        </w:rPr>
      </w:pPr>
      <w:r w:rsidRPr="00236CAB">
        <w:rPr>
          <w:rFonts w:ascii="Palatino Linotype" w:eastAsia="Palatino Linotype" w:hAnsi="Palatino Linotype" w:cs="Palatino Linotype"/>
          <w:color w:val="000000"/>
        </w:rPr>
        <w:t>El veinticinco (25) de octubre de dos mil veintitrés, el SUJETO OBLIGADO dio respuesta a la solicitudes de información en el siguiente sentido:</w:t>
      </w:r>
    </w:p>
    <w:p w14:paraId="144B8C35" w14:textId="77777777" w:rsidR="00D92C64" w:rsidRPr="00236CAB" w:rsidRDefault="00D92C64">
      <w:pPr>
        <w:pBdr>
          <w:top w:val="nil"/>
          <w:left w:val="nil"/>
          <w:bottom w:val="nil"/>
          <w:right w:val="nil"/>
          <w:between w:val="nil"/>
        </w:pBdr>
        <w:spacing w:line="360" w:lineRule="auto"/>
        <w:ind w:right="34"/>
        <w:jc w:val="both"/>
        <w:rPr>
          <w:rFonts w:ascii="Palatino Linotype" w:eastAsia="Palatino Linotype" w:hAnsi="Palatino Linotype" w:cs="Palatino Linotype"/>
          <w:b/>
          <w:color w:val="000000"/>
        </w:rPr>
      </w:pPr>
    </w:p>
    <w:p w14:paraId="314E9B55" w14:textId="77777777" w:rsidR="00D92C64" w:rsidRPr="00236CAB" w:rsidRDefault="00647915">
      <w:pPr>
        <w:pBdr>
          <w:top w:val="nil"/>
          <w:left w:val="nil"/>
          <w:bottom w:val="nil"/>
          <w:right w:val="nil"/>
          <w:between w:val="nil"/>
        </w:pBdr>
        <w:spacing w:line="360" w:lineRule="auto"/>
        <w:ind w:right="34"/>
        <w:jc w:val="both"/>
        <w:rPr>
          <w:rFonts w:ascii="Palatino Linotype" w:eastAsia="Palatino Linotype" w:hAnsi="Palatino Linotype" w:cs="Palatino Linotype"/>
          <w:b/>
          <w:color w:val="000000"/>
          <w:sz w:val="22"/>
          <w:szCs w:val="22"/>
        </w:rPr>
      </w:pPr>
      <w:r w:rsidRPr="00236CAB">
        <w:rPr>
          <w:rFonts w:ascii="Palatino Linotype" w:eastAsia="Palatino Linotype" w:hAnsi="Palatino Linotype" w:cs="Palatino Linotype"/>
          <w:b/>
          <w:color w:val="000000"/>
          <w:sz w:val="22"/>
          <w:szCs w:val="22"/>
        </w:rPr>
        <w:t>00125/ATIZAPAN/IP/2023</w:t>
      </w:r>
    </w:p>
    <w:tbl>
      <w:tblPr>
        <w:tblStyle w:val="a"/>
        <w:tblW w:w="8262" w:type="dxa"/>
        <w:jc w:val="center"/>
        <w:tblInd w:w="0" w:type="dxa"/>
        <w:tblLayout w:type="fixed"/>
        <w:tblLook w:val="0400" w:firstRow="0" w:lastRow="0" w:firstColumn="0" w:lastColumn="0" w:noHBand="0" w:noVBand="1"/>
      </w:tblPr>
      <w:tblGrid>
        <w:gridCol w:w="8262"/>
      </w:tblGrid>
      <w:tr w:rsidR="00D92C64" w:rsidRPr="00236CAB" w14:paraId="1FAB85E3" w14:textId="77777777">
        <w:trPr>
          <w:trHeight w:val="324"/>
          <w:jc w:val="center"/>
        </w:trPr>
        <w:tc>
          <w:tcPr>
            <w:tcW w:w="8262" w:type="dxa"/>
            <w:vAlign w:val="center"/>
          </w:tcPr>
          <w:p w14:paraId="2FA9C9B2" w14:textId="77777777" w:rsidR="00D92C64" w:rsidRPr="00236CAB" w:rsidRDefault="00647915">
            <w:pPr>
              <w:jc w:val="right"/>
              <w:rPr>
                <w:rFonts w:ascii="Palatino Linotype" w:eastAsia="Palatino Linotype" w:hAnsi="Palatino Linotype" w:cs="Palatino Linotype"/>
                <w:i/>
                <w:sz w:val="22"/>
                <w:szCs w:val="22"/>
              </w:rPr>
            </w:pPr>
            <w:r w:rsidRPr="00236CAB">
              <w:rPr>
                <w:rFonts w:ascii="Palatino Linotype" w:eastAsia="Palatino Linotype" w:hAnsi="Palatino Linotype" w:cs="Palatino Linotype"/>
                <w:i/>
                <w:sz w:val="22"/>
                <w:szCs w:val="22"/>
              </w:rPr>
              <w:t>Atizapán, México a 25 de Octubre de 2023</w:t>
            </w:r>
          </w:p>
        </w:tc>
      </w:tr>
      <w:tr w:rsidR="00D92C64" w:rsidRPr="00236CAB" w14:paraId="25214C5C" w14:textId="77777777">
        <w:trPr>
          <w:trHeight w:val="324"/>
          <w:jc w:val="center"/>
        </w:trPr>
        <w:tc>
          <w:tcPr>
            <w:tcW w:w="8262" w:type="dxa"/>
            <w:vAlign w:val="center"/>
          </w:tcPr>
          <w:p w14:paraId="123C0F3D" w14:textId="77777777" w:rsidR="00D92C64" w:rsidRPr="00236CAB" w:rsidRDefault="00647915">
            <w:pPr>
              <w:jc w:val="right"/>
              <w:rPr>
                <w:rFonts w:ascii="Palatino Linotype" w:eastAsia="Palatino Linotype" w:hAnsi="Palatino Linotype" w:cs="Palatino Linotype"/>
                <w:i/>
                <w:sz w:val="22"/>
                <w:szCs w:val="22"/>
              </w:rPr>
            </w:pPr>
            <w:r w:rsidRPr="00236CAB">
              <w:rPr>
                <w:rFonts w:ascii="Palatino Linotype" w:eastAsia="Palatino Linotype" w:hAnsi="Palatino Linotype" w:cs="Palatino Linotype"/>
                <w:i/>
                <w:sz w:val="22"/>
                <w:szCs w:val="22"/>
              </w:rPr>
              <w:t>Nombre del solicitante: C. Solicitante</w:t>
            </w:r>
          </w:p>
        </w:tc>
      </w:tr>
      <w:tr w:rsidR="00D92C64" w:rsidRPr="00236CAB" w14:paraId="58030157" w14:textId="77777777">
        <w:trPr>
          <w:trHeight w:val="324"/>
          <w:jc w:val="center"/>
        </w:trPr>
        <w:tc>
          <w:tcPr>
            <w:tcW w:w="8262" w:type="dxa"/>
            <w:vAlign w:val="center"/>
          </w:tcPr>
          <w:p w14:paraId="097B3DEA" w14:textId="77777777" w:rsidR="00D92C64" w:rsidRPr="00236CAB" w:rsidRDefault="00647915">
            <w:pPr>
              <w:jc w:val="right"/>
              <w:rPr>
                <w:rFonts w:ascii="Palatino Linotype" w:eastAsia="Palatino Linotype" w:hAnsi="Palatino Linotype" w:cs="Palatino Linotype"/>
                <w:i/>
                <w:sz w:val="22"/>
                <w:szCs w:val="22"/>
              </w:rPr>
            </w:pPr>
            <w:r w:rsidRPr="00236CAB">
              <w:rPr>
                <w:rFonts w:ascii="Palatino Linotype" w:eastAsia="Palatino Linotype" w:hAnsi="Palatino Linotype" w:cs="Palatino Linotype"/>
                <w:i/>
                <w:sz w:val="22"/>
                <w:szCs w:val="22"/>
              </w:rPr>
              <w:t>Folio de la solicitud: 00125/ATIZAPAN/IP/2023</w:t>
            </w:r>
          </w:p>
        </w:tc>
      </w:tr>
      <w:tr w:rsidR="00D92C64" w:rsidRPr="00236CAB" w14:paraId="5BDD2C42" w14:textId="77777777">
        <w:trPr>
          <w:trHeight w:val="486"/>
          <w:jc w:val="center"/>
        </w:trPr>
        <w:tc>
          <w:tcPr>
            <w:tcW w:w="8262" w:type="dxa"/>
            <w:vAlign w:val="center"/>
          </w:tcPr>
          <w:p w14:paraId="06573D74" w14:textId="77777777" w:rsidR="00D92C64" w:rsidRPr="00236CAB" w:rsidRDefault="00D92C64">
            <w:pPr>
              <w:jc w:val="right"/>
              <w:rPr>
                <w:rFonts w:ascii="Palatino Linotype" w:eastAsia="Palatino Linotype" w:hAnsi="Palatino Linotype" w:cs="Palatino Linotype"/>
                <w:i/>
                <w:sz w:val="22"/>
                <w:szCs w:val="22"/>
              </w:rPr>
            </w:pPr>
          </w:p>
        </w:tc>
      </w:tr>
      <w:tr w:rsidR="00D92C64" w:rsidRPr="00236CAB" w14:paraId="124405B8" w14:textId="77777777">
        <w:trPr>
          <w:trHeight w:val="162"/>
          <w:jc w:val="center"/>
        </w:trPr>
        <w:tc>
          <w:tcPr>
            <w:tcW w:w="8262" w:type="dxa"/>
            <w:vAlign w:val="center"/>
          </w:tcPr>
          <w:p w14:paraId="4EF7C4C1" w14:textId="77777777" w:rsidR="00D92C64" w:rsidRPr="00236CAB" w:rsidRDefault="00647915">
            <w:pPr>
              <w:jc w:val="both"/>
              <w:rPr>
                <w:rFonts w:ascii="Palatino Linotype" w:eastAsia="Palatino Linotype" w:hAnsi="Palatino Linotype" w:cs="Palatino Linotype"/>
                <w:i/>
                <w:sz w:val="22"/>
                <w:szCs w:val="22"/>
              </w:rPr>
            </w:pPr>
            <w:r w:rsidRPr="00236CAB">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D92C64" w:rsidRPr="00236CAB" w14:paraId="3EF7E249" w14:textId="77777777">
        <w:trPr>
          <w:trHeight w:val="405"/>
          <w:jc w:val="center"/>
        </w:trPr>
        <w:tc>
          <w:tcPr>
            <w:tcW w:w="8262" w:type="dxa"/>
            <w:vAlign w:val="center"/>
          </w:tcPr>
          <w:p w14:paraId="569C2302" w14:textId="77777777" w:rsidR="00D92C64" w:rsidRPr="00236CAB" w:rsidRDefault="00D92C64">
            <w:pPr>
              <w:jc w:val="both"/>
              <w:rPr>
                <w:rFonts w:ascii="Palatino Linotype" w:eastAsia="Palatino Linotype" w:hAnsi="Palatino Linotype" w:cs="Palatino Linotype"/>
                <w:i/>
                <w:sz w:val="22"/>
                <w:szCs w:val="22"/>
              </w:rPr>
            </w:pPr>
          </w:p>
        </w:tc>
      </w:tr>
      <w:tr w:rsidR="00D92C64" w:rsidRPr="00236CAB" w14:paraId="0C889FD6" w14:textId="77777777">
        <w:trPr>
          <w:trHeight w:val="162"/>
          <w:jc w:val="center"/>
        </w:trPr>
        <w:tc>
          <w:tcPr>
            <w:tcW w:w="8262" w:type="dxa"/>
            <w:vAlign w:val="center"/>
          </w:tcPr>
          <w:p w14:paraId="46B0ED33" w14:textId="77777777" w:rsidR="00D92C64" w:rsidRPr="00236CAB" w:rsidRDefault="00647915">
            <w:pPr>
              <w:jc w:val="both"/>
              <w:rPr>
                <w:rFonts w:ascii="Palatino Linotype" w:eastAsia="Palatino Linotype" w:hAnsi="Palatino Linotype" w:cs="Palatino Linotype"/>
                <w:i/>
                <w:sz w:val="22"/>
                <w:szCs w:val="22"/>
              </w:rPr>
            </w:pPr>
            <w:r w:rsidRPr="00236CAB">
              <w:rPr>
                <w:rFonts w:ascii="Palatino Linotype" w:eastAsia="Palatino Linotype" w:hAnsi="Palatino Linotype" w:cs="Palatino Linotype"/>
                <w:i/>
                <w:sz w:val="22"/>
                <w:szCs w:val="22"/>
              </w:rPr>
              <w:t>En relación a la solicitud en cuestión, se hace entrega de la respuesta emitida por la Titular de la Unidad de Control y Bienestar Animal debidamente testados y fundamentados en articulo 140 fracción IV y 143 fracción I de la Ley de Transparencia y Acceso a la Información Pública del Estado de México y Municipios anexando oficio de contestación PMASC/CBA/079/2023, en donde especifica: Título Profesional, anexando Constancia de Titulo en trámite y testando el no. de matrícula, curriculum vitae, testando teléfono personal, recibos de nómina testando CURP, RFC y Código QR, Actividades realizadas y el Método de contrato. Todo en versión pdf.</w:t>
            </w:r>
          </w:p>
        </w:tc>
      </w:tr>
      <w:tr w:rsidR="00D92C64" w:rsidRPr="00236CAB" w14:paraId="770A8952" w14:textId="77777777">
        <w:trPr>
          <w:trHeight w:val="405"/>
          <w:jc w:val="center"/>
        </w:trPr>
        <w:tc>
          <w:tcPr>
            <w:tcW w:w="8262" w:type="dxa"/>
            <w:vAlign w:val="center"/>
          </w:tcPr>
          <w:p w14:paraId="70689434" w14:textId="77777777" w:rsidR="00D92C64" w:rsidRPr="00236CAB" w:rsidRDefault="00D92C64">
            <w:pPr>
              <w:rPr>
                <w:rFonts w:ascii="Palatino Linotype" w:eastAsia="Palatino Linotype" w:hAnsi="Palatino Linotype" w:cs="Palatino Linotype"/>
                <w:i/>
                <w:sz w:val="22"/>
                <w:szCs w:val="22"/>
              </w:rPr>
            </w:pPr>
          </w:p>
        </w:tc>
      </w:tr>
      <w:tr w:rsidR="00D92C64" w:rsidRPr="00236CAB" w14:paraId="288384F4" w14:textId="77777777">
        <w:trPr>
          <w:trHeight w:val="162"/>
          <w:jc w:val="center"/>
        </w:trPr>
        <w:tc>
          <w:tcPr>
            <w:tcW w:w="8262" w:type="dxa"/>
            <w:vAlign w:val="center"/>
          </w:tcPr>
          <w:p w14:paraId="6A43077F" w14:textId="77777777" w:rsidR="00D92C64" w:rsidRPr="00236CAB" w:rsidRDefault="00D92C64" w:rsidP="00600E17">
            <w:pPr>
              <w:rPr>
                <w:rFonts w:ascii="Palatino Linotype" w:eastAsia="Palatino Linotype" w:hAnsi="Palatino Linotype" w:cs="Palatino Linotype"/>
                <w:i/>
                <w:sz w:val="22"/>
                <w:szCs w:val="22"/>
              </w:rPr>
            </w:pPr>
          </w:p>
        </w:tc>
      </w:tr>
      <w:tr w:rsidR="00D92C64" w:rsidRPr="00236CAB" w14:paraId="35040C2D" w14:textId="77777777">
        <w:trPr>
          <w:trHeight w:val="162"/>
          <w:jc w:val="center"/>
        </w:trPr>
        <w:tc>
          <w:tcPr>
            <w:tcW w:w="8262" w:type="dxa"/>
            <w:vAlign w:val="center"/>
          </w:tcPr>
          <w:p w14:paraId="58905B1B" w14:textId="77777777" w:rsidR="00D92C64" w:rsidRPr="00236CAB" w:rsidRDefault="00D92C64">
            <w:pPr>
              <w:rPr>
                <w:rFonts w:ascii="Palatino Linotype" w:eastAsia="Palatino Linotype" w:hAnsi="Palatino Linotype" w:cs="Palatino Linotype"/>
                <w:i/>
                <w:sz w:val="22"/>
                <w:szCs w:val="22"/>
              </w:rPr>
            </w:pPr>
          </w:p>
        </w:tc>
      </w:tr>
      <w:tr w:rsidR="00D92C64" w:rsidRPr="00236CAB" w14:paraId="69C612E0" w14:textId="77777777">
        <w:trPr>
          <w:trHeight w:val="162"/>
          <w:jc w:val="center"/>
        </w:trPr>
        <w:tc>
          <w:tcPr>
            <w:tcW w:w="8262" w:type="dxa"/>
            <w:vAlign w:val="center"/>
          </w:tcPr>
          <w:p w14:paraId="7753ED5D" w14:textId="77777777" w:rsidR="00D92C64" w:rsidRPr="00236CAB" w:rsidRDefault="00647915">
            <w:pPr>
              <w:rPr>
                <w:rFonts w:ascii="Palatino Linotype" w:eastAsia="Palatino Linotype" w:hAnsi="Palatino Linotype" w:cs="Palatino Linotype"/>
                <w:i/>
                <w:sz w:val="22"/>
                <w:szCs w:val="22"/>
              </w:rPr>
            </w:pPr>
            <w:r w:rsidRPr="00236CAB">
              <w:rPr>
                <w:rFonts w:ascii="Palatino Linotype" w:eastAsia="Palatino Linotype" w:hAnsi="Palatino Linotype" w:cs="Palatino Linotype"/>
                <w:i/>
                <w:sz w:val="22"/>
                <w:szCs w:val="22"/>
              </w:rPr>
              <w:t>ATENTAMENTE</w:t>
            </w:r>
          </w:p>
        </w:tc>
      </w:tr>
      <w:tr w:rsidR="00D92C64" w:rsidRPr="00236CAB" w14:paraId="1908DDF6" w14:textId="77777777">
        <w:trPr>
          <w:trHeight w:val="243"/>
          <w:jc w:val="center"/>
        </w:trPr>
        <w:tc>
          <w:tcPr>
            <w:tcW w:w="8262" w:type="dxa"/>
            <w:vAlign w:val="center"/>
          </w:tcPr>
          <w:p w14:paraId="6ECF1295" w14:textId="77777777" w:rsidR="00D92C64" w:rsidRPr="00236CAB" w:rsidRDefault="00D92C64">
            <w:pPr>
              <w:rPr>
                <w:rFonts w:ascii="Palatino Linotype" w:eastAsia="Palatino Linotype" w:hAnsi="Palatino Linotype" w:cs="Palatino Linotype"/>
                <w:i/>
                <w:sz w:val="22"/>
                <w:szCs w:val="22"/>
              </w:rPr>
            </w:pPr>
          </w:p>
        </w:tc>
      </w:tr>
      <w:tr w:rsidR="00D92C64" w:rsidRPr="00236CAB" w14:paraId="6D008CE6" w14:textId="77777777">
        <w:trPr>
          <w:trHeight w:val="162"/>
          <w:jc w:val="center"/>
        </w:trPr>
        <w:tc>
          <w:tcPr>
            <w:tcW w:w="8262" w:type="dxa"/>
            <w:vAlign w:val="center"/>
          </w:tcPr>
          <w:p w14:paraId="0437D55A" w14:textId="77777777" w:rsidR="00D92C64" w:rsidRPr="00236CAB" w:rsidRDefault="00647915">
            <w:pPr>
              <w:rPr>
                <w:rFonts w:ascii="Palatino Linotype" w:eastAsia="Palatino Linotype" w:hAnsi="Palatino Linotype" w:cs="Palatino Linotype"/>
                <w:i/>
                <w:sz w:val="22"/>
                <w:szCs w:val="22"/>
              </w:rPr>
            </w:pPr>
            <w:r w:rsidRPr="00236CAB">
              <w:rPr>
                <w:rFonts w:ascii="Palatino Linotype" w:eastAsia="Palatino Linotype" w:hAnsi="Palatino Linotype" w:cs="Palatino Linotype"/>
                <w:i/>
                <w:sz w:val="22"/>
                <w:szCs w:val="22"/>
              </w:rPr>
              <w:t>L. P. Ralph Bastida Muñoz</w:t>
            </w:r>
          </w:p>
        </w:tc>
      </w:tr>
    </w:tbl>
    <w:p w14:paraId="492A3E07" w14:textId="77777777" w:rsidR="00D92C64" w:rsidRPr="00236CAB" w:rsidRDefault="00D92C64">
      <w:pPr>
        <w:pBdr>
          <w:top w:val="nil"/>
          <w:left w:val="nil"/>
          <w:bottom w:val="nil"/>
          <w:right w:val="nil"/>
          <w:between w:val="nil"/>
        </w:pBdr>
        <w:spacing w:line="360" w:lineRule="auto"/>
        <w:ind w:right="34"/>
        <w:jc w:val="both"/>
        <w:rPr>
          <w:rFonts w:ascii="Palatino Linotype" w:eastAsia="Palatino Linotype" w:hAnsi="Palatino Linotype" w:cs="Palatino Linotype"/>
          <w:b/>
          <w:color w:val="000000"/>
          <w:sz w:val="22"/>
          <w:szCs w:val="22"/>
        </w:rPr>
      </w:pPr>
    </w:p>
    <w:p w14:paraId="749A70BA" w14:textId="77777777" w:rsidR="00D92C64" w:rsidRPr="00236CAB" w:rsidRDefault="00647915">
      <w:pPr>
        <w:numPr>
          <w:ilvl w:val="0"/>
          <w:numId w:val="7"/>
        </w:numPr>
        <w:pBdr>
          <w:top w:val="nil"/>
          <w:left w:val="nil"/>
          <w:bottom w:val="nil"/>
          <w:right w:val="nil"/>
          <w:between w:val="nil"/>
        </w:pBdr>
        <w:spacing w:line="360" w:lineRule="auto"/>
        <w:ind w:right="34"/>
        <w:jc w:val="both"/>
        <w:rPr>
          <w:rFonts w:ascii="Palatino Linotype" w:eastAsia="Palatino Linotype" w:hAnsi="Palatino Linotype" w:cs="Palatino Linotype"/>
          <w:color w:val="000000"/>
          <w:sz w:val="22"/>
          <w:szCs w:val="22"/>
        </w:rPr>
      </w:pPr>
      <w:r w:rsidRPr="00236CAB">
        <w:rPr>
          <w:rFonts w:ascii="Palatino Linotype" w:eastAsia="Palatino Linotype" w:hAnsi="Palatino Linotype" w:cs="Palatino Linotype"/>
          <w:color w:val="000000"/>
          <w:sz w:val="22"/>
          <w:szCs w:val="22"/>
        </w:rPr>
        <w:t xml:space="preserve">A la respuesta se adjuntó el archivo </w:t>
      </w:r>
      <w:hyperlink r:id="rId8">
        <w:r w:rsidRPr="00236CAB">
          <w:rPr>
            <w:rFonts w:ascii="Arial" w:eastAsia="Arial" w:hAnsi="Arial" w:cs="Arial"/>
            <w:b/>
            <w:color w:val="67C19D"/>
            <w:sz w:val="22"/>
            <w:szCs w:val="22"/>
            <w:u w:val="single"/>
          </w:rPr>
          <w:t>Solicitud 125.pdf</w:t>
        </w:r>
      </w:hyperlink>
      <w:r w:rsidRPr="00236CAB">
        <w:rPr>
          <w:rFonts w:ascii="Century Gothic" w:eastAsia="Century Gothic" w:hAnsi="Century Gothic" w:cs="Century Gothic"/>
          <w:color w:val="000000"/>
          <w:sz w:val="22"/>
          <w:szCs w:val="22"/>
        </w:rPr>
        <w:t xml:space="preserve">, </w:t>
      </w:r>
      <w:r w:rsidRPr="00236CAB">
        <w:rPr>
          <w:rFonts w:ascii="Palatino Linotype" w:eastAsia="Palatino Linotype" w:hAnsi="Palatino Linotype" w:cs="Palatino Linotype"/>
          <w:color w:val="000000"/>
          <w:sz w:val="22"/>
          <w:szCs w:val="22"/>
        </w:rPr>
        <w:t xml:space="preserve"> se adjuntó oficio de la Titular de Control y Bienestar Animal, en el que manifestó adjuntar información solicitada, asimismo, se adjuntó constancia de Título en Trámite, currículum, nombramiento, seis constancias a nombre de la servidora pública, dos recibos de nómina pertenecientes a la primera segunda quincena de septiembre de dos mil veintitrés y el presupuesto basado en resultados (PbRM-01m, calendarización de metas mensuales por proyecto), del ejercicio fiscal 2023. </w:t>
      </w:r>
    </w:p>
    <w:p w14:paraId="63E375C5" w14:textId="77777777" w:rsidR="00D92C64" w:rsidRPr="00236CAB" w:rsidRDefault="00647915">
      <w:pPr>
        <w:pBdr>
          <w:top w:val="nil"/>
          <w:left w:val="nil"/>
          <w:bottom w:val="nil"/>
          <w:right w:val="nil"/>
          <w:between w:val="nil"/>
        </w:pBdr>
        <w:spacing w:line="360" w:lineRule="auto"/>
        <w:ind w:right="34"/>
        <w:jc w:val="both"/>
        <w:rPr>
          <w:rFonts w:ascii="Palatino Linotype" w:eastAsia="Palatino Linotype" w:hAnsi="Palatino Linotype" w:cs="Palatino Linotype"/>
          <w:color w:val="000000"/>
          <w:sz w:val="22"/>
          <w:szCs w:val="22"/>
        </w:rPr>
      </w:pPr>
      <w:r w:rsidRPr="00236CAB">
        <w:rPr>
          <w:rFonts w:ascii="Palatino Linotype" w:eastAsia="Palatino Linotype" w:hAnsi="Palatino Linotype" w:cs="Palatino Linotype"/>
          <w:color w:val="000000"/>
          <w:sz w:val="22"/>
          <w:szCs w:val="22"/>
        </w:rPr>
        <w:t xml:space="preserve"> </w:t>
      </w:r>
    </w:p>
    <w:p w14:paraId="2829FD7B" w14:textId="77777777" w:rsidR="00D92C64" w:rsidRPr="00236CAB" w:rsidRDefault="00647915">
      <w:pPr>
        <w:pBdr>
          <w:top w:val="nil"/>
          <w:left w:val="nil"/>
          <w:bottom w:val="nil"/>
          <w:right w:val="nil"/>
          <w:between w:val="nil"/>
        </w:pBdr>
        <w:spacing w:line="360" w:lineRule="auto"/>
        <w:ind w:right="34"/>
        <w:jc w:val="both"/>
        <w:rPr>
          <w:rFonts w:ascii="Palatino Linotype" w:eastAsia="Palatino Linotype" w:hAnsi="Palatino Linotype" w:cs="Palatino Linotype"/>
          <w:b/>
          <w:color w:val="000000"/>
          <w:sz w:val="22"/>
          <w:szCs w:val="22"/>
        </w:rPr>
      </w:pPr>
      <w:r w:rsidRPr="00236CAB">
        <w:rPr>
          <w:rFonts w:ascii="Palatino Linotype" w:eastAsia="Palatino Linotype" w:hAnsi="Palatino Linotype" w:cs="Palatino Linotype"/>
          <w:b/>
          <w:color w:val="000000"/>
          <w:sz w:val="22"/>
          <w:szCs w:val="22"/>
        </w:rPr>
        <w:t>00121/ATIZAPAN/IP/2023:</w:t>
      </w:r>
    </w:p>
    <w:tbl>
      <w:tblPr>
        <w:tblStyle w:val="a0"/>
        <w:tblW w:w="7405" w:type="dxa"/>
        <w:jc w:val="center"/>
        <w:tblInd w:w="0" w:type="dxa"/>
        <w:tblLayout w:type="fixed"/>
        <w:tblLook w:val="0400" w:firstRow="0" w:lastRow="0" w:firstColumn="0" w:lastColumn="0" w:noHBand="0" w:noVBand="1"/>
      </w:tblPr>
      <w:tblGrid>
        <w:gridCol w:w="7405"/>
      </w:tblGrid>
      <w:tr w:rsidR="00D92C64" w:rsidRPr="00236CAB" w14:paraId="61B3041B" w14:textId="77777777">
        <w:trPr>
          <w:trHeight w:val="294"/>
          <w:jc w:val="center"/>
        </w:trPr>
        <w:tc>
          <w:tcPr>
            <w:tcW w:w="7405" w:type="dxa"/>
            <w:vAlign w:val="center"/>
          </w:tcPr>
          <w:p w14:paraId="6DEE1546" w14:textId="77777777" w:rsidR="00D92C64" w:rsidRPr="00236CAB" w:rsidRDefault="00647915">
            <w:pPr>
              <w:jc w:val="right"/>
              <w:rPr>
                <w:rFonts w:ascii="Palatino Linotype" w:eastAsia="Palatino Linotype" w:hAnsi="Palatino Linotype" w:cs="Palatino Linotype"/>
                <w:i/>
                <w:sz w:val="22"/>
                <w:szCs w:val="22"/>
              </w:rPr>
            </w:pPr>
            <w:r w:rsidRPr="00236CAB">
              <w:rPr>
                <w:rFonts w:ascii="Palatino Linotype" w:eastAsia="Palatino Linotype" w:hAnsi="Palatino Linotype" w:cs="Palatino Linotype"/>
                <w:i/>
                <w:sz w:val="22"/>
                <w:szCs w:val="22"/>
              </w:rPr>
              <w:t>Atizapán, México a 24 de Octubre de 2023</w:t>
            </w:r>
          </w:p>
        </w:tc>
      </w:tr>
      <w:tr w:rsidR="00D92C64" w:rsidRPr="00236CAB" w14:paraId="5097A6A5" w14:textId="77777777">
        <w:trPr>
          <w:trHeight w:val="294"/>
          <w:jc w:val="center"/>
        </w:trPr>
        <w:tc>
          <w:tcPr>
            <w:tcW w:w="7405" w:type="dxa"/>
            <w:vAlign w:val="center"/>
          </w:tcPr>
          <w:p w14:paraId="2BB16C62" w14:textId="77777777" w:rsidR="00D92C64" w:rsidRPr="00236CAB" w:rsidRDefault="00647915">
            <w:pPr>
              <w:jc w:val="right"/>
              <w:rPr>
                <w:rFonts w:ascii="Palatino Linotype" w:eastAsia="Palatino Linotype" w:hAnsi="Palatino Linotype" w:cs="Palatino Linotype"/>
                <w:i/>
                <w:sz w:val="22"/>
                <w:szCs w:val="22"/>
              </w:rPr>
            </w:pPr>
            <w:r w:rsidRPr="00236CAB">
              <w:rPr>
                <w:rFonts w:ascii="Palatino Linotype" w:eastAsia="Palatino Linotype" w:hAnsi="Palatino Linotype" w:cs="Palatino Linotype"/>
                <w:i/>
                <w:sz w:val="22"/>
                <w:szCs w:val="22"/>
              </w:rPr>
              <w:t>Nombre del solicitante: C. Solicitante</w:t>
            </w:r>
          </w:p>
        </w:tc>
      </w:tr>
      <w:tr w:rsidR="00D92C64" w:rsidRPr="00236CAB" w14:paraId="2305FE89" w14:textId="77777777">
        <w:trPr>
          <w:trHeight w:val="294"/>
          <w:jc w:val="center"/>
        </w:trPr>
        <w:tc>
          <w:tcPr>
            <w:tcW w:w="7405" w:type="dxa"/>
            <w:vAlign w:val="center"/>
          </w:tcPr>
          <w:p w14:paraId="64E0E6E0" w14:textId="77777777" w:rsidR="00D92C64" w:rsidRPr="00236CAB" w:rsidRDefault="00647915">
            <w:pPr>
              <w:jc w:val="right"/>
              <w:rPr>
                <w:rFonts w:ascii="Palatino Linotype" w:eastAsia="Palatino Linotype" w:hAnsi="Palatino Linotype" w:cs="Palatino Linotype"/>
                <w:i/>
                <w:sz w:val="22"/>
                <w:szCs w:val="22"/>
              </w:rPr>
            </w:pPr>
            <w:r w:rsidRPr="00236CAB">
              <w:rPr>
                <w:rFonts w:ascii="Palatino Linotype" w:eastAsia="Palatino Linotype" w:hAnsi="Palatino Linotype" w:cs="Palatino Linotype"/>
                <w:i/>
                <w:sz w:val="22"/>
                <w:szCs w:val="22"/>
              </w:rPr>
              <w:t>Folio de la solicitud: 00121/ATIZAPAN/IP/2023</w:t>
            </w:r>
          </w:p>
        </w:tc>
      </w:tr>
      <w:tr w:rsidR="00D92C64" w:rsidRPr="00236CAB" w14:paraId="5713324B" w14:textId="77777777">
        <w:trPr>
          <w:trHeight w:val="441"/>
          <w:jc w:val="center"/>
        </w:trPr>
        <w:tc>
          <w:tcPr>
            <w:tcW w:w="7405" w:type="dxa"/>
            <w:vAlign w:val="center"/>
          </w:tcPr>
          <w:p w14:paraId="38029B79" w14:textId="77777777" w:rsidR="00D92C64" w:rsidRPr="00236CAB" w:rsidRDefault="00D92C64">
            <w:pPr>
              <w:jc w:val="right"/>
              <w:rPr>
                <w:rFonts w:ascii="Palatino Linotype" w:eastAsia="Palatino Linotype" w:hAnsi="Palatino Linotype" w:cs="Palatino Linotype"/>
                <w:i/>
                <w:sz w:val="22"/>
                <w:szCs w:val="22"/>
              </w:rPr>
            </w:pPr>
          </w:p>
        </w:tc>
      </w:tr>
      <w:tr w:rsidR="00D92C64" w:rsidRPr="00236CAB" w14:paraId="6075A0CC" w14:textId="77777777">
        <w:trPr>
          <w:trHeight w:val="147"/>
          <w:jc w:val="center"/>
        </w:trPr>
        <w:tc>
          <w:tcPr>
            <w:tcW w:w="7405" w:type="dxa"/>
            <w:vAlign w:val="center"/>
          </w:tcPr>
          <w:p w14:paraId="167D5013" w14:textId="77777777" w:rsidR="00D92C64" w:rsidRPr="00236CAB" w:rsidRDefault="00D92C64">
            <w:pPr>
              <w:jc w:val="center"/>
              <w:rPr>
                <w:rFonts w:ascii="Palatino Linotype" w:eastAsia="Palatino Linotype" w:hAnsi="Palatino Linotype" w:cs="Palatino Linotype"/>
                <w:i/>
                <w:sz w:val="22"/>
                <w:szCs w:val="22"/>
              </w:rPr>
            </w:pPr>
          </w:p>
        </w:tc>
      </w:tr>
      <w:tr w:rsidR="00D92C64" w:rsidRPr="00236CAB" w14:paraId="62395995" w14:textId="77777777">
        <w:trPr>
          <w:trHeight w:val="368"/>
          <w:jc w:val="center"/>
        </w:trPr>
        <w:tc>
          <w:tcPr>
            <w:tcW w:w="7405" w:type="dxa"/>
            <w:vAlign w:val="center"/>
          </w:tcPr>
          <w:p w14:paraId="1BA69F48" w14:textId="77777777" w:rsidR="00D92C64" w:rsidRPr="00236CAB" w:rsidRDefault="00D92C64">
            <w:pPr>
              <w:rPr>
                <w:rFonts w:ascii="Palatino Linotype" w:eastAsia="Palatino Linotype" w:hAnsi="Palatino Linotype" w:cs="Palatino Linotype"/>
                <w:i/>
                <w:sz w:val="22"/>
                <w:szCs w:val="22"/>
              </w:rPr>
            </w:pPr>
          </w:p>
        </w:tc>
      </w:tr>
      <w:tr w:rsidR="00D92C64" w:rsidRPr="00236CAB" w14:paraId="0DF5A3AA" w14:textId="77777777">
        <w:trPr>
          <w:trHeight w:val="147"/>
          <w:jc w:val="center"/>
        </w:trPr>
        <w:tc>
          <w:tcPr>
            <w:tcW w:w="7405" w:type="dxa"/>
            <w:vAlign w:val="center"/>
          </w:tcPr>
          <w:p w14:paraId="4D2E8D75" w14:textId="77777777" w:rsidR="00D92C64" w:rsidRPr="00236CAB" w:rsidRDefault="00647915">
            <w:pPr>
              <w:jc w:val="both"/>
              <w:rPr>
                <w:rFonts w:ascii="Palatino Linotype" w:eastAsia="Palatino Linotype" w:hAnsi="Palatino Linotype" w:cs="Palatino Linotype"/>
                <w:i/>
                <w:sz w:val="22"/>
                <w:szCs w:val="22"/>
              </w:rPr>
            </w:pPr>
            <w:r w:rsidRPr="00236CAB">
              <w:rPr>
                <w:rFonts w:ascii="Palatino Linotype" w:eastAsia="Palatino Linotype" w:hAnsi="Palatino Linotype" w:cs="Palatino Linotype"/>
                <w:i/>
                <w:sz w:val="22"/>
                <w:szCs w:val="22"/>
              </w:rPr>
              <w:t xml:space="preserve">En respuesta de la solicitud en cuestión, donde solicita "Del titular de transparencia Documento que de cuenta de las actividades que realiza el titular de transparencia Título profesional Currículo Certificado de competencia laboral vigente Recibos de nómina de septiembre Listas de asistencia" 1. de las actividades que se realizan en el área; remito en formato pdf formato PbRM-01m, formato donde se visualizan las actividades programáticas. 2. del título profesional: remito en versión pdf Título Profesional expedido por la Universidad Autónoma del estado de México. 3. de la certificación de competencia laboral: es necesario mencionar que su servidor entro en el mes de octubre del año pasado, cuando el proceso de certificación ya había pasado, más sin embargo en el tenor de cumplir con el requisito, subrayo que estoy INSCRITO en el proceso 2023, del cual remito en versión pdf, Del Consejo Nacional de Normalización y Certificación de competencias Laborales, las fechas donde inicia y el termino de las mismas. 4.Recibos de nómina del mes de septiembre: remito en versión publica pdf con fundamento en los artículos 140 y 143 de la ley de </w:t>
            </w:r>
            <w:r w:rsidRPr="00236CAB">
              <w:rPr>
                <w:rFonts w:ascii="Palatino Linotype" w:eastAsia="Palatino Linotype" w:hAnsi="Palatino Linotype" w:cs="Palatino Linotype"/>
                <w:i/>
                <w:sz w:val="22"/>
                <w:szCs w:val="22"/>
              </w:rPr>
              <w:lastRenderedPageBreak/>
              <w:t>Transparencia y Acceso a la Información Pública del Estado de México y Municipios, debidamente testados. 5. lista de asistencia: remito lista de asistencia en versión pdf de la Unidad de transparencia.</w:t>
            </w:r>
          </w:p>
        </w:tc>
      </w:tr>
      <w:tr w:rsidR="00D92C64" w:rsidRPr="00236CAB" w14:paraId="0E8B66D6" w14:textId="77777777">
        <w:trPr>
          <w:trHeight w:val="368"/>
          <w:jc w:val="center"/>
        </w:trPr>
        <w:tc>
          <w:tcPr>
            <w:tcW w:w="7405" w:type="dxa"/>
            <w:vAlign w:val="center"/>
          </w:tcPr>
          <w:p w14:paraId="2394624A" w14:textId="77777777" w:rsidR="00D92C64" w:rsidRPr="00236CAB" w:rsidRDefault="00D92C64">
            <w:pPr>
              <w:rPr>
                <w:rFonts w:ascii="Palatino Linotype" w:eastAsia="Palatino Linotype" w:hAnsi="Palatino Linotype" w:cs="Palatino Linotype"/>
                <w:i/>
                <w:sz w:val="22"/>
                <w:szCs w:val="22"/>
              </w:rPr>
            </w:pPr>
          </w:p>
        </w:tc>
      </w:tr>
      <w:tr w:rsidR="00D92C64" w:rsidRPr="00236CAB" w14:paraId="0E15EB81" w14:textId="77777777">
        <w:trPr>
          <w:trHeight w:val="147"/>
          <w:jc w:val="center"/>
        </w:trPr>
        <w:tc>
          <w:tcPr>
            <w:tcW w:w="7405" w:type="dxa"/>
            <w:vAlign w:val="center"/>
          </w:tcPr>
          <w:p w14:paraId="14F4CAD4" w14:textId="77777777" w:rsidR="00D92C64" w:rsidRPr="00236CAB" w:rsidRDefault="00D92C64">
            <w:pPr>
              <w:jc w:val="center"/>
              <w:rPr>
                <w:rFonts w:ascii="Palatino Linotype" w:eastAsia="Palatino Linotype" w:hAnsi="Palatino Linotype" w:cs="Palatino Linotype"/>
                <w:i/>
                <w:sz w:val="22"/>
                <w:szCs w:val="22"/>
              </w:rPr>
            </w:pPr>
          </w:p>
        </w:tc>
      </w:tr>
      <w:tr w:rsidR="00D92C64" w:rsidRPr="00236CAB" w14:paraId="49BE04FC" w14:textId="77777777">
        <w:trPr>
          <w:trHeight w:val="147"/>
          <w:jc w:val="center"/>
        </w:trPr>
        <w:tc>
          <w:tcPr>
            <w:tcW w:w="7405" w:type="dxa"/>
            <w:vAlign w:val="center"/>
          </w:tcPr>
          <w:p w14:paraId="79F86816" w14:textId="77777777" w:rsidR="00D92C64" w:rsidRPr="00236CAB" w:rsidRDefault="00D92C64">
            <w:pPr>
              <w:rPr>
                <w:rFonts w:ascii="Palatino Linotype" w:eastAsia="Palatino Linotype" w:hAnsi="Palatino Linotype" w:cs="Palatino Linotype"/>
                <w:i/>
                <w:sz w:val="22"/>
                <w:szCs w:val="22"/>
              </w:rPr>
            </w:pPr>
          </w:p>
        </w:tc>
      </w:tr>
      <w:tr w:rsidR="00D92C64" w:rsidRPr="00236CAB" w14:paraId="2A735A54" w14:textId="77777777">
        <w:trPr>
          <w:trHeight w:val="147"/>
          <w:jc w:val="center"/>
        </w:trPr>
        <w:tc>
          <w:tcPr>
            <w:tcW w:w="7405" w:type="dxa"/>
            <w:vAlign w:val="center"/>
          </w:tcPr>
          <w:p w14:paraId="19D20E17" w14:textId="77777777" w:rsidR="00D92C64" w:rsidRPr="00236CAB" w:rsidRDefault="00647915">
            <w:pPr>
              <w:rPr>
                <w:rFonts w:ascii="Palatino Linotype" w:eastAsia="Palatino Linotype" w:hAnsi="Palatino Linotype" w:cs="Palatino Linotype"/>
                <w:i/>
                <w:sz w:val="22"/>
                <w:szCs w:val="22"/>
              </w:rPr>
            </w:pPr>
            <w:r w:rsidRPr="00236CAB">
              <w:rPr>
                <w:rFonts w:ascii="Palatino Linotype" w:eastAsia="Palatino Linotype" w:hAnsi="Palatino Linotype" w:cs="Palatino Linotype"/>
                <w:i/>
                <w:sz w:val="22"/>
                <w:szCs w:val="22"/>
              </w:rPr>
              <w:t>ATENTAMENTE</w:t>
            </w:r>
          </w:p>
        </w:tc>
      </w:tr>
      <w:tr w:rsidR="00D92C64" w:rsidRPr="00236CAB" w14:paraId="5C58219C" w14:textId="77777777">
        <w:trPr>
          <w:trHeight w:val="220"/>
          <w:jc w:val="center"/>
        </w:trPr>
        <w:tc>
          <w:tcPr>
            <w:tcW w:w="7405" w:type="dxa"/>
            <w:vAlign w:val="center"/>
          </w:tcPr>
          <w:p w14:paraId="265D176B" w14:textId="77777777" w:rsidR="00D92C64" w:rsidRPr="00236CAB" w:rsidRDefault="00D92C64">
            <w:pPr>
              <w:rPr>
                <w:rFonts w:ascii="Palatino Linotype" w:eastAsia="Palatino Linotype" w:hAnsi="Palatino Linotype" w:cs="Palatino Linotype"/>
                <w:i/>
                <w:sz w:val="22"/>
                <w:szCs w:val="22"/>
              </w:rPr>
            </w:pPr>
          </w:p>
        </w:tc>
      </w:tr>
      <w:tr w:rsidR="00D92C64" w:rsidRPr="00236CAB" w14:paraId="0C5141C7" w14:textId="77777777">
        <w:trPr>
          <w:trHeight w:val="147"/>
          <w:jc w:val="center"/>
        </w:trPr>
        <w:tc>
          <w:tcPr>
            <w:tcW w:w="7405" w:type="dxa"/>
            <w:vAlign w:val="center"/>
          </w:tcPr>
          <w:p w14:paraId="3C0E5149" w14:textId="77777777" w:rsidR="00D92C64" w:rsidRPr="00236CAB" w:rsidRDefault="00647915">
            <w:pPr>
              <w:rPr>
                <w:rFonts w:ascii="Palatino Linotype" w:eastAsia="Palatino Linotype" w:hAnsi="Palatino Linotype" w:cs="Palatino Linotype"/>
                <w:i/>
                <w:sz w:val="22"/>
                <w:szCs w:val="22"/>
              </w:rPr>
            </w:pPr>
            <w:r w:rsidRPr="00236CAB">
              <w:rPr>
                <w:rFonts w:ascii="Palatino Linotype" w:eastAsia="Palatino Linotype" w:hAnsi="Palatino Linotype" w:cs="Palatino Linotype"/>
                <w:i/>
                <w:sz w:val="22"/>
                <w:szCs w:val="22"/>
              </w:rPr>
              <w:t>L. P. Ralph Bastida Muñoz</w:t>
            </w:r>
          </w:p>
        </w:tc>
      </w:tr>
    </w:tbl>
    <w:p w14:paraId="2455241F" w14:textId="77777777" w:rsidR="00D92C64" w:rsidRPr="00236CAB" w:rsidRDefault="00D92C64">
      <w:pPr>
        <w:pBdr>
          <w:top w:val="nil"/>
          <w:left w:val="nil"/>
          <w:bottom w:val="nil"/>
          <w:right w:val="nil"/>
          <w:between w:val="nil"/>
        </w:pBdr>
        <w:spacing w:line="360" w:lineRule="auto"/>
        <w:ind w:right="34"/>
        <w:jc w:val="both"/>
        <w:rPr>
          <w:rFonts w:ascii="Palatino Linotype" w:eastAsia="Palatino Linotype" w:hAnsi="Palatino Linotype" w:cs="Palatino Linotype"/>
          <w:b/>
          <w:color w:val="000000"/>
          <w:sz w:val="22"/>
          <w:szCs w:val="22"/>
        </w:rPr>
      </w:pPr>
    </w:p>
    <w:p w14:paraId="71576EE8" w14:textId="77777777" w:rsidR="00D92C64" w:rsidRPr="00236CAB" w:rsidRDefault="00D92C64">
      <w:pPr>
        <w:pBdr>
          <w:top w:val="nil"/>
          <w:left w:val="nil"/>
          <w:bottom w:val="nil"/>
          <w:right w:val="nil"/>
          <w:between w:val="nil"/>
        </w:pBdr>
        <w:spacing w:line="360" w:lineRule="auto"/>
        <w:ind w:right="34"/>
        <w:jc w:val="both"/>
        <w:rPr>
          <w:rFonts w:ascii="Palatino Linotype" w:eastAsia="Palatino Linotype" w:hAnsi="Palatino Linotype" w:cs="Palatino Linotype"/>
          <w:b/>
          <w:color w:val="000000"/>
          <w:sz w:val="22"/>
          <w:szCs w:val="22"/>
        </w:rPr>
      </w:pPr>
    </w:p>
    <w:p w14:paraId="4246BC95" w14:textId="77777777" w:rsidR="00D92C64" w:rsidRPr="00236CAB" w:rsidRDefault="00647915">
      <w:pPr>
        <w:pBdr>
          <w:top w:val="nil"/>
          <w:left w:val="nil"/>
          <w:bottom w:val="nil"/>
          <w:right w:val="nil"/>
          <w:between w:val="nil"/>
        </w:pBdr>
        <w:spacing w:line="360" w:lineRule="auto"/>
        <w:ind w:right="34"/>
        <w:jc w:val="both"/>
        <w:rPr>
          <w:rFonts w:ascii="Palatino Linotype" w:eastAsia="Palatino Linotype" w:hAnsi="Palatino Linotype" w:cs="Palatino Linotype"/>
          <w:color w:val="000000"/>
          <w:sz w:val="22"/>
          <w:szCs w:val="22"/>
        </w:rPr>
      </w:pPr>
      <w:r w:rsidRPr="00236CAB">
        <w:rPr>
          <w:rFonts w:ascii="Palatino Linotype" w:eastAsia="Palatino Linotype" w:hAnsi="Palatino Linotype" w:cs="Palatino Linotype"/>
          <w:color w:val="000000"/>
          <w:sz w:val="22"/>
          <w:szCs w:val="22"/>
        </w:rPr>
        <w:t>A la respuesta se adjuntaron los archivos que se describen enseguida:</w:t>
      </w:r>
    </w:p>
    <w:p w14:paraId="2EBD752D" w14:textId="77777777" w:rsidR="00D92C64" w:rsidRPr="00236CAB" w:rsidRDefault="004E1578">
      <w:pPr>
        <w:numPr>
          <w:ilvl w:val="0"/>
          <w:numId w:val="2"/>
        </w:numPr>
        <w:pBdr>
          <w:top w:val="nil"/>
          <w:left w:val="nil"/>
          <w:bottom w:val="nil"/>
          <w:right w:val="nil"/>
          <w:between w:val="nil"/>
        </w:pBdr>
        <w:spacing w:line="360" w:lineRule="auto"/>
        <w:ind w:right="34"/>
        <w:jc w:val="both"/>
        <w:rPr>
          <w:rFonts w:ascii="Palatino Linotype" w:eastAsia="Palatino Linotype" w:hAnsi="Palatino Linotype" w:cs="Palatino Linotype"/>
          <w:color w:val="000000"/>
          <w:sz w:val="22"/>
          <w:szCs w:val="22"/>
        </w:rPr>
      </w:pPr>
      <w:hyperlink r:id="rId9">
        <w:r w:rsidR="00647915" w:rsidRPr="00236CAB">
          <w:rPr>
            <w:rFonts w:ascii="Palatino Linotype" w:eastAsia="Palatino Linotype" w:hAnsi="Palatino Linotype" w:cs="Palatino Linotype"/>
            <w:b/>
            <w:color w:val="000000"/>
            <w:sz w:val="22"/>
            <w:szCs w:val="22"/>
            <w:u w:val="single"/>
          </w:rPr>
          <w:t>CamScanner 24-10-2023 14.27.pdf</w:t>
        </w:r>
      </w:hyperlink>
      <w:r w:rsidR="00647915" w:rsidRPr="00236CAB">
        <w:rPr>
          <w:rFonts w:ascii="Palatino Linotype" w:eastAsia="Palatino Linotype" w:hAnsi="Palatino Linotype" w:cs="Palatino Linotype"/>
          <w:b/>
          <w:color w:val="000000"/>
          <w:sz w:val="22"/>
          <w:szCs w:val="22"/>
        </w:rPr>
        <w:t xml:space="preserve">: </w:t>
      </w:r>
      <w:r w:rsidR="00647915" w:rsidRPr="00236CAB">
        <w:rPr>
          <w:rFonts w:ascii="Palatino Linotype" w:eastAsia="Palatino Linotype" w:hAnsi="Palatino Linotype" w:cs="Palatino Linotype"/>
          <w:color w:val="000000"/>
          <w:sz w:val="22"/>
          <w:szCs w:val="22"/>
        </w:rPr>
        <w:t xml:space="preserve">documentos en formato PDF que consta de dos fojas con las listas de asistencia del servidor público correspondientes al mes de septiembre </w:t>
      </w:r>
      <w:r w:rsidR="000C4DA0" w:rsidRPr="00236CAB">
        <w:rPr>
          <w:rFonts w:ascii="Palatino Linotype" w:eastAsia="Palatino Linotype" w:hAnsi="Palatino Linotype" w:cs="Palatino Linotype"/>
          <w:color w:val="000000"/>
          <w:sz w:val="22"/>
          <w:szCs w:val="22"/>
        </w:rPr>
        <w:t xml:space="preserve">y octubre </w:t>
      </w:r>
      <w:r w:rsidR="00647915" w:rsidRPr="00236CAB">
        <w:rPr>
          <w:rFonts w:ascii="Palatino Linotype" w:eastAsia="Palatino Linotype" w:hAnsi="Palatino Linotype" w:cs="Palatino Linotype"/>
          <w:color w:val="000000"/>
          <w:sz w:val="22"/>
          <w:szCs w:val="22"/>
        </w:rPr>
        <w:t>d</w:t>
      </w:r>
      <w:r w:rsidR="000C4DA0" w:rsidRPr="00236CAB">
        <w:rPr>
          <w:rFonts w:ascii="Palatino Linotype" w:eastAsia="Palatino Linotype" w:hAnsi="Palatino Linotype" w:cs="Palatino Linotype"/>
          <w:color w:val="000000"/>
          <w:sz w:val="22"/>
          <w:szCs w:val="22"/>
        </w:rPr>
        <w:t>e dos mil veintitrés</w:t>
      </w:r>
      <w:r w:rsidR="00647915" w:rsidRPr="00236CAB">
        <w:rPr>
          <w:rFonts w:ascii="Palatino Linotype" w:eastAsia="Palatino Linotype" w:hAnsi="Palatino Linotype" w:cs="Palatino Linotype"/>
          <w:color w:val="000000"/>
          <w:sz w:val="22"/>
          <w:szCs w:val="22"/>
        </w:rPr>
        <w:t>.</w:t>
      </w:r>
    </w:p>
    <w:p w14:paraId="3544F90B" w14:textId="77777777" w:rsidR="00D92C64" w:rsidRPr="00236CAB" w:rsidRDefault="004E1578">
      <w:pPr>
        <w:numPr>
          <w:ilvl w:val="0"/>
          <w:numId w:val="2"/>
        </w:numPr>
        <w:pBdr>
          <w:top w:val="nil"/>
          <w:left w:val="nil"/>
          <w:bottom w:val="nil"/>
          <w:right w:val="nil"/>
          <w:between w:val="nil"/>
        </w:pBdr>
        <w:spacing w:line="360" w:lineRule="auto"/>
        <w:ind w:right="34"/>
        <w:jc w:val="both"/>
        <w:rPr>
          <w:rFonts w:ascii="Palatino Linotype" w:eastAsia="Palatino Linotype" w:hAnsi="Palatino Linotype" w:cs="Palatino Linotype"/>
          <w:color w:val="000000"/>
          <w:sz w:val="22"/>
          <w:szCs w:val="22"/>
        </w:rPr>
      </w:pPr>
      <w:hyperlink r:id="rId10">
        <w:r w:rsidR="00647915" w:rsidRPr="00236CAB">
          <w:rPr>
            <w:rFonts w:ascii="Palatino Linotype" w:eastAsia="Palatino Linotype" w:hAnsi="Palatino Linotype" w:cs="Palatino Linotype"/>
            <w:b/>
            <w:color w:val="000000"/>
            <w:sz w:val="22"/>
            <w:szCs w:val="22"/>
            <w:u w:val="single"/>
          </w:rPr>
          <w:t>CamScanner 09-27-2022 13.21.pdf</w:t>
        </w:r>
      </w:hyperlink>
      <w:r w:rsidR="00647915" w:rsidRPr="00236CAB">
        <w:rPr>
          <w:rFonts w:ascii="Palatino Linotype" w:eastAsia="Palatino Linotype" w:hAnsi="Palatino Linotype" w:cs="Palatino Linotype"/>
          <w:b/>
          <w:color w:val="000000"/>
          <w:sz w:val="22"/>
          <w:szCs w:val="22"/>
        </w:rPr>
        <w:t xml:space="preserve">: </w:t>
      </w:r>
      <w:r w:rsidR="00647915" w:rsidRPr="00236CAB">
        <w:rPr>
          <w:rFonts w:ascii="Palatino Linotype" w:eastAsia="Palatino Linotype" w:hAnsi="Palatino Linotype" w:cs="Palatino Linotype"/>
          <w:color w:val="000000"/>
          <w:sz w:val="22"/>
          <w:szCs w:val="22"/>
        </w:rPr>
        <w:t>se advierte el Título Profesional del servidor público.</w:t>
      </w:r>
    </w:p>
    <w:p w14:paraId="3212EF97" w14:textId="77777777" w:rsidR="00D92C64" w:rsidRPr="00236CAB" w:rsidRDefault="004E1578">
      <w:pPr>
        <w:numPr>
          <w:ilvl w:val="0"/>
          <w:numId w:val="2"/>
        </w:numPr>
        <w:pBdr>
          <w:top w:val="nil"/>
          <w:left w:val="nil"/>
          <w:bottom w:val="nil"/>
          <w:right w:val="nil"/>
          <w:between w:val="nil"/>
        </w:pBdr>
        <w:spacing w:line="360" w:lineRule="auto"/>
        <w:ind w:right="34"/>
        <w:jc w:val="both"/>
        <w:rPr>
          <w:rFonts w:ascii="Palatino Linotype" w:eastAsia="Palatino Linotype" w:hAnsi="Palatino Linotype" w:cs="Palatino Linotype"/>
          <w:color w:val="000000"/>
          <w:sz w:val="22"/>
          <w:szCs w:val="22"/>
        </w:rPr>
      </w:pPr>
      <w:hyperlink r:id="rId11">
        <w:r w:rsidR="00647915" w:rsidRPr="00236CAB">
          <w:rPr>
            <w:rFonts w:ascii="Palatino Linotype" w:eastAsia="Palatino Linotype" w:hAnsi="Palatino Linotype" w:cs="Palatino Linotype"/>
            <w:b/>
            <w:color w:val="000000"/>
            <w:sz w:val="22"/>
            <w:szCs w:val="22"/>
            <w:u w:val="single"/>
          </w:rPr>
          <w:t>certificación Ralph.pdf</w:t>
        </w:r>
      </w:hyperlink>
      <w:r w:rsidR="00647915" w:rsidRPr="00236CAB">
        <w:rPr>
          <w:rFonts w:ascii="Palatino Linotype" w:eastAsia="Palatino Linotype" w:hAnsi="Palatino Linotype" w:cs="Palatino Linotype"/>
          <w:b/>
          <w:color w:val="000000"/>
          <w:sz w:val="22"/>
          <w:szCs w:val="22"/>
        </w:rPr>
        <w:t xml:space="preserve">: </w:t>
      </w:r>
      <w:r w:rsidR="00647915" w:rsidRPr="00236CAB">
        <w:rPr>
          <w:rFonts w:ascii="Palatino Linotype" w:eastAsia="Palatino Linotype" w:hAnsi="Palatino Linotype" w:cs="Palatino Linotype"/>
          <w:color w:val="000000"/>
          <w:sz w:val="22"/>
          <w:szCs w:val="22"/>
        </w:rPr>
        <w:t xml:space="preserve">certificado de competencia laboral. </w:t>
      </w:r>
    </w:p>
    <w:p w14:paraId="1B7E5078" w14:textId="77777777" w:rsidR="00D92C64" w:rsidRPr="00236CAB" w:rsidRDefault="004E1578">
      <w:pPr>
        <w:numPr>
          <w:ilvl w:val="0"/>
          <w:numId w:val="2"/>
        </w:numPr>
        <w:pBdr>
          <w:top w:val="nil"/>
          <w:left w:val="nil"/>
          <w:bottom w:val="nil"/>
          <w:right w:val="nil"/>
          <w:between w:val="nil"/>
        </w:pBdr>
        <w:spacing w:line="360" w:lineRule="auto"/>
        <w:ind w:right="34"/>
        <w:jc w:val="both"/>
        <w:rPr>
          <w:rFonts w:ascii="Palatino Linotype" w:eastAsia="Palatino Linotype" w:hAnsi="Palatino Linotype" w:cs="Palatino Linotype"/>
          <w:color w:val="000000"/>
          <w:sz w:val="22"/>
          <w:szCs w:val="22"/>
        </w:rPr>
      </w:pPr>
      <w:hyperlink r:id="rId12">
        <w:r w:rsidR="00647915" w:rsidRPr="00236CAB">
          <w:rPr>
            <w:rFonts w:ascii="Palatino Linotype" w:eastAsia="Palatino Linotype" w:hAnsi="Palatino Linotype" w:cs="Palatino Linotype"/>
            <w:b/>
            <w:color w:val="000000"/>
            <w:sz w:val="22"/>
            <w:szCs w:val="22"/>
            <w:u w:val="single"/>
          </w:rPr>
          <w:t>Documento 34.pdf</w:t>
        </w:r>
      </w:hyperlink>
      <w:r w:rsidR="00647915" w:rsidRPr="00236CAB">
        <w:rPr>
          <w:rFonts w:ascii="Palatino Linotype" w:eastAsia="Palatino Linotype" w:hAnsi="Palatino Linotype" w:cs="Palatino Linotype"/>
          <w:color w:val="000000"/>
          <w:sz w:val="22"/>
          <w:szCs w:val="22"/>
        </w:rPr>
        <w:t>: se adjuntó un documento con el PbRM-01m Calendarización de Metas Mensuales por Proyecto, currículum vitae del servidor público; y, dos recibos de nómina correspondientes a la primera y segunda quincena del mes de septiembre de dos mil veintitrés.</w:t>
      </w:r>
    </w:p>
    <w:p w14:paraId="57E1D28D" w14:textId="77777777" w:rsidR="00D92C64" w:rsidRPr="00236CAB" w:rsidRDefault="00D92C64">
      <w:pPr>
        <w:pBdr>
          <w:top w:val="nil"/>
          <w:left w:val="nil"/>
          <w:bottom w:val="nil"/>
          <w:right w:val="nil"/>
          <w:between w:val="nil"/>
        </w:pBdr>
        <w:spacing w:line="360" w:lineRule="auto"/>
        <w:ind w:right="34"/>
        <w:jc w:val="both"/>
        <w:rPr>
          <w:rFonts w:ascii="Palatino Linotype" w:eastAsia="Palatino Linotype" w:hAnsi="Palatino Linotype" w:cs="Palatino Linotype"/>
          <w:color w:val="000000"/>
        </w:rPr>
      </w:pPr>
    </w:p>
    <w:p w14:paraId="0D574597" w14:textId="77777777" w:rsidR="00D92C64" w:rsidRPr="00236CAB" w:rsidRDefault="00647915">
      <w:pPr>
        <w:numPr>
          <w:ilvl w:val="0"/>
          <w:numId w:val="6"/>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b/>
          <w:i/>
          <w:color w:val="000000"/>
        </w:rPr>
      </w:pPr>
      <w:r w:rsidRPr="00236CAB">
        <w:rPr>
          <w:rFonts w:ascii="Palatino Linotype" w:eastAsia="Palatino Linotype" w:hAnsi="Palatino Linotype" w:cs="Palatino Linotype"/>
          <w:color w:val="000000"/>
        </w:rPr>
        <w:t>Derivado de la respuesta, el treinta (30) de octubre de dos mil veintitrés, el particular interpuso  los recursos de revisión señalando:</w:t>
      </w:r>
    </w:p>
    <w:p w14:paraId="68156794" w14:textId="77777777" w:rsidR="00D92C64" w:rsidRPr="00236CAB" w:rsidRDefault="004E157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rPr>
      </w:pPr>
      <w:hyperlink r:id="rId13">
        <w:r w:rsidR="00647915" w:rsidRPr="00236CAB">
          <w:rPr>
            <w:rFonts w:ascii="Palatino Linotype" w:eastAsia="Palatino Linotype" w:hAnsi="Palatino Linotype" w:cs="Palatino Linotype"/>
            <w:b/>
            <w:color w:val="000000"/>
            <w:sz w:val="22"/>
            <w:shd w:val="clear" w:color="auto" w:fill="F7F7F8"/>
          </w:rPr>
          <w:t>07563/INFOEM/IP/RR/2023</w:t>
        </w:r>
      </w:hyperlink>
      <w:r w:rsidR="00647915" w:rsidRPr="00236CAB">
        <w:rPr>
          <w:rFonts w:ascii="Palatino Linotype" w:eastAsia="Palatino Linotype" w:hAnsi="Palatino Linotype" w:cs="Palatino Linotype"/>
          <w:color w:val="000000"/>
          <w:sz w:val="22"/>
        </w:rPr>
        <w:t>:</w:t>
      </w:r>
    </w:p>
    <w:p w14:paraId="18337BAC" w14:textId="77777777" w:rsidR="00D92C64" w:rsidRPr="00236CAB" w:rsidRDefault="00647915" w:rsidP="00600E17">
      <w:pPr>
        <w:pStyle w:val="Prrafodelista"/>
        <w:numPr>
          <w:ilvl w:val="1"/>
          <w:numId w:val="15"/>
        </w:numPr>
        <w:pBdr>
          <w:top w:val="nil"/>
          <w:left w:val="nil"/>
          <w:bottom w:val="nil"/>
          <w:right w:val="nil"/>
          <w:between w:val="nil"/>
        </w:pBdr>
        <w:tabs>
          <w:tab w:val="left" w:pos="426"/>
          <w:tab w:val="left" w:pos="993"/>
        </w:tabs>
        <w:spacing w:line="360" w:lineRule="auto"/>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b/>
          <w:color w:val="000000"/>
        </w:rPr>
        <w:t>Acto impugnado:</w:t>
      </w:r>
      <w:r w:rsidRPr="00236CAB">
        <w:rPr>
          <w:rFonts w:ascii="Palatino Linotype" w:eastAsia="Palatino Linotype" w:hAnsi="Palatino Linotype" w:cs="Palatino Linotype"/>
          <w:color w:val="000000"/>
        </w:rPr>
        <w:t xml:space="preserve"> “</w:t>
      </w:r>
      <w:r w:rsidRPr="00236CAB">
        <w:rPr>
          <w:rFonts w:ascii="Palatino Linotype" w:eastAsia="Palatino Linotype" w:hAnsi="Palatino Linotype" w:cs="Palatino Linotype"/>
          <w:i/>
          <w:color w:val="000000"/>
        </w:rPr>
        <w:t>La respuesta incompleta”</w:t>
      </w:r>
      <w:r w:rsidRPr="00236CAB">
        <w:rPr>
          <w:rFonts w:ascii="Palatino Linotype" w:eastAsia="Palatino Linotype" w:hAnsi="Palatino Linotype" w:cs="Palatino Linotype"/>
          <w:color w:val="000000"/>
        </w:rPr>
        <w:t xml:space="preserve"> (Sic).</w:t>
      </w:r>
    </w:p>
    <w:p w14:paraId="0A1C4656" w14:textId="77777777" w:rsidR="00D92C64" w:rsidRPr="00236CAB" w:rsidRDefault="00D92C64" w:rsidP="00600E17">
      <w:pPr>
        <w:pBdr>
          <w:top w:val="nil"/>
          <w:left w:val="nil"/>
          <w:bottom w:val="nil"/>
          <w:right w:val="nil"/>
          <w:between w:val="nil"/>
        </w:pBdr>
        <w:tabs>
          <w:tab w:val="left" w:pos="426"/>
          <w:tab w:val="left" w:pos="993"/>
        </w:tabs>
        <w:spacing w:line="360" w:lineRule="auto"/>
        <w:ind w:left="567"/>
        <w:jc w:val="both"/>
        <w:rPr>
          <w:rFonts w:ascii="Palatino Linotype" w:eastAsia="Palatino Linotype" w:hAnsi="Palatino Linotype" w:cs="Palatino Linotype"/>
          <w:color w:val="000000"/>
          <w:sz w:val="20"/>
        </w:rPr>
      </w:pPr>
    </w:p>
    <w:p w14:paraId="79C30457" w14:textId="77777777" w:rsidR="00D92C64" w:rsidRPr="00236CAB" w:rsidRDefault="00647915" w:rsidP="00600E17">
      <w:pPr>
        <w:pStyle w:val="Prrafodelista"/>
        <w:numPr>
          <w:ilvl w:val="1"/>
          <w:numId w:val="15"/>
        </w:numPr>
        <w:pBdr>
          <w:top w:val="nil"/>
          <w:left w:val="nil"/>
          <w:bottom w:val="nil"/>
          <w:right w:val="nil"/>
          <w:between w:val="nil"/>
        </w:pBdr>
        <w:tabs>
          <w:tab w:val="left" w:pos="426"/>
          <w:tab w:val="left" w:pos="993"/>
        </w:tabs>
        <w:spacing w:line="360" w:lineRule="auto"/>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b/>
          <w:color w:val="000000"/>
        </w:rPr>
        <w:t>Razones o motivos de inconformidad:</w:t>
      </w:r>
      <w:r w:rsidRPr="00236CAB">
        <w:rPr>
          <w:rFonts w:ascii="Palatino Linotype" w:eastAsia="Palatino Linotype" w:hAnsi="Palatino Linotype" w:cs="Palatino Linotype"/>
          <w:color w:val="000000"/>
        </w:rPr>
        <w:t xml:space="preserve"> “</w:t>
      </w:r>
      <w:r w:rsidRPr="00236CAB">
        <w:rPr>
          <w:rFonts w:ascii="Palatino Linotype" w:eastAsia="Palatino Linotype" w:hAnsi="Palatino Linotype" w:cs="Palatino Linotype"/>
          <w:i/>
          <w:color w:val="000000"/>
        </w:rPr>
        <w:t>La solicitud no se turno a los habilitados, es decir, administración y Tesorería. La respuesta que envían, es el supuesto de haber respondido el habilitado, no envían el acuerdo que sustente la eliminación de los datos. Parece que al titular se le olvida como hacer su trabajo. Pedí el método para contratarla, de acuerdo con la ley de transparencia los Sujetos Obligados deben documentar todo acto y el Ayuntamiento solo se limita a decir que por invitación directa”</w:t>
      </w:r>
      <w:r w:rsidRPr="00236CAB">
        <w:rPr>
          <w:rFonts w:ascii="Palatino Linotype" w:eastAsia="Palatino Linotype" w:hAnsi="Palatino Linotype" w:cs="Palatino Linotype"/>
          <w:color w:val="000000"/>
        </w:rPr>
        <w:t xml:space="preserve"> (Sic).</w:t>
      </w:r>
    </w:p>
    <w:p w14:paraId="498A7929" w14:textId="77777777" w:rsidR="00D92C64" w:rsidRPr="00236CAB" w:rsidRDefault="00D92C64">
      <w:pPr>
        <w:spacing w:line="276" w:lineRule="auto"/>
        <w:ind w:right="34"/>
        <w:jc w:val="both"/>
        <w:rPr>
          <w:rFonts w:ascii="Palatino Linotype" w:eastAsia="Palatino Linotype" w:hAnsi="Palatino Linotype" w:cs="Palatino Linotype"/>
          <w:b/>
          <w:color w:val="000000"/>
          <w:sz w:val="22"/>
        </w:rPr>
      </w:pPr>
    </w:p>
    <w:p w14:paraId="605707F6" w14:textId="77777777" w:rsidR="00D92C64" w:rsidRPr="00236CAB" w:rsidRDefault="004E1578">
      <w:pPr>
        <w:spacing w:line="276" w:lineRule="auto"/>
        <w:ind w:right="34"/>
        <w:jc w:val="both"/>
        <w:rPr>
          <w:rFonts w:ascii="Palatino Linotype" w:eastAsia="Palatino Linotype" w:hAnsi="Palatino Linotype" w:cs="Palatino Linotype"/>
          <w:sz w:val="22"/>
        </w:rPr>
      </w:pPr>
      <w:hyperlink r:id="rId14">
        <w:r w:rsidR="00647915" w:rsidRPr="00236CAB">
          <w:rPr>
            <w:rFonts w:ascii="Palatino Linotype" w:eastAsia="Palatino Linotype" w:hAnsi="Palatino Linotype" w:cs="Palatino Linotype"/>
            <w:b/>
            <w:color w:val="000000"/>
            <w:sz w:val="22"/>
            <w:shd w:val="clear" w:color="auto" w:fill="F7F7F8"/>
          </w:rPr>
          <w:t>07571/INFOEM/IP/RR/2023</w:t>
        </w:r>
      </w:hyperlink>
      <w:r w:rsidR="00647915" w:rsidRPr="00236CAB">
        <w:rPr>
          <w:rFonts w:ascii="Palatino Linotype" w:eastAsia="Palatino Linotype" w:hAnsi="Palatino Linotype" w:cs="Palatino Linotype"/>
          <w:sz w:val="22"/>
        </w:rPr>
        <w:t>:</w:t>
      </w:r>
    </w:p>
    <w:p w14:paraId="05D9620E" w14:textId="77777777" w:rsidR="00D92C64" w:rsidRPr="00236CAB" w:rsidRDefault="00647915" w:rsidP="00600E17">
      <w:pPr>
        <w:pStyle w:val="Prrafodelista"/>
        <w:numPr>
          <w:ilvl w:val="0"/>
          <w:numId w:val="16"/>
        </w:numPr>
        <w:pBdr>
          <w:top w:val="nil"/>
          <w:left w:val="nil"/>
          <w:bottom w:val="nil"/>
          <w:right w:val="nil"/>
          <w:between w:val="nil"/>
        </w:pBdr>
        <w:tabs>
          <w:tab w:val="left" w:pos="426"/>
          <w:tab w:val="left" w:pos="993"/>
        </w:tabs>
        <w:spacing w:line="360" w:lineRule="auto"/>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b/>
          <w:color w:val="000000"/>
        </w:rPr>
        <w:t>Acto impugnado:</w:t>
      </w:r>
      <w:r w:rsidRPr="00236CAB">
        <w:rPr>
          <w:rFonts w:ascii="Palatino Linotype" w:eastAsia="Palatino Linotype" w:hAnsi="Palatino Linotype" w:cs="Palatino Linotype"/>
          <w:color w:val="000000"/>
        </w:rPr>
        <w:t xml:space="preserve"> “</w:t>
      </w:r>
      <w:r w:rsidRPr="00236CAB">
        <w:rPr>
          <w:rFonts w:ascii="Palatino Linotype" w:eastAsia="Palatino Linotype" w:hAnsi="Palatino Linotype" w:cs="Palatino Linotype"/>
          <w:i/>
          <w:color w:val="000000"/>
        </w:rPr>
        <w:t>La respuesta”</w:t>
      </w:r>
      <w:r w:rsidRPr="00236CAB">
        <w:rPr>
          <w:rFonts w:ascii="Palatino Linotype" w:eastAsia="Palatino Linotype" w:hAnsi="Palatino Linotype" w:cs="Palatino Linotype"/>
          <w:color w:val="000000"/>
        </w:rPr>
        <w:t xml:space="preserve"> (Sic).</w:t>
      </w:r>
    </w:p>
    <w:p w14:paraId="7F9365F5" w14:textId="77777777" w:rsidR="00D92C64" w:rsidRPr="00236CAB" w:rsidRDefault="00647915" w:rsidP="00600E17">
      <w:pPr>
        <w:pStyle w:val="Prrafodelista"/>
        <w:numPr>
          <w:ilvl w:val="0"/>
          <w:numId w:val="16"/>
        </w:numPr>
        <w:pBdr>
          <w:top w:val="nil"/>
          <w:left w:val="nil"/>
          <w:bottom w:val="nil"/>
          <w:right w:val="nil"/>
          <w:between w:val="nil"/>
        </w:pBdr>
        <w:tabs>
          <w:tab w:val="left" w:pos="426"/>
          <w:tab w:val="left" w:pos="993"/>
        </w:tabs>
        <w:spacing w:line="360" w:lineRule="auto"/>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b/>
          <w:color w:val="000000"/>
        </w:rPr>
        <w:t>Razones o motivos de inconformidad:</w:t>
      </w:r>
      <w:r w:rsidRPr="00236CAB">
        <w:rPr>
          <w:rFonts w:ascii="Palatino Linotype" w:eastAsia="Palatino Linotype" w:hAnsi="Palatino Linotype" w:cs="Palatino Linotype"/>
          <w:color w:val="000000"/>
        </w:rPr>
        <w:t xml:space="preserve"> “</w:t>
      </w:r>
      <w:r w:rsidRPr="00236CAB">
        <w:rPr>
          <w:rFonts w:ascii="Palatino Linotype" w:eastAsia="Palatino Linotype" w:hAnsi="Palatino Linotype" w:cs="Palatino Linotype"/>
          <w:i/>
          <w:color w:val="000000"/>
        </w:rPr>
        <w:t>No envían el acuerdo que clasifica los datos Dejan datos visibles y yo quiero en versión pública”</w:t>
      </w:r>
      <w:r w:rsidRPr="00236CAB">
        <w:rPr>
          <w:rFonts w:ascii="Palatino Linotype" w:eastAsia="Palatino Linotype" w:hAnsi="Palatino Linotype" w:cs="Palatino Linotype"/>
          <w:color w:val="000000"/>
        </w:rPr>
        <w:t xml:space="preserve"> (Sic).</w:t>
      </w:r>
    </w:p>
    <w:p w14:paraId="54BB7505" w14:textId="77777777" w:rsidR="00D92C64" w:rsidRPr="00236CAB" w:rsidRDefault="00D92C64">
      <w:pPr>
        <w:spacing w:line="276" w:lineRule="auto"/>
        <w:ind w:right="34"/>
        <w:jc w:val="both"/>
        <w:rPr>
          <w:rFonts w:ascii="Palatino Linotype" w:eastAsia="Palatino Linotype" w:hAnsi="Palatino Linotype" w:cs="Palatino Linotype"/>
          <w:b/>
          <w:color w:val="000000"/>
        </w:rPr>
      </w:pPr>
    </w:p>
    <w:p w14:paraId="368514F6" w14:textId="77777777" w:rsidR="00D92C64" w:rsidRPr="00236CAB" w:rsidRDefault="00647915">
      <w:pPr>
        <w:numPr>
          <w:ilvl w:val="0"/>
          <w:numId w:val="6"/>
        </w:numPr>
        <w:pBdr>
          <w:top w:val="nil"/>
          <w:left w:val="nil"/>
          <w:bottom w:val="nil"/>
          <w:right w:val="nil"/>
          <w:between w:val="nil"/>
        </w:pBdr>
        <w:tabs>
          <w:tab w:val="left" w:pos="284"/>
        </w:tabs>
        <w:spacing w:before="240" w:line="360" w:lineRule="auto"/>
        <w:ind w:left="0"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236CAB">
        <w:rPr>
          <w:rFonts w:ascii="Palatino Linotype" w:eastAsia="Palatino Linotype" w:hAnsi="Palatino Linotype" w:cs="Palatino Linotype"/>
          <w:b/>
          <w:color w:val="000000"/>
        </w:rPr>
        <w:t>Ley de Transparencia y Acceso a la Información Pública del Estado de México y Municipios</w:t>
      </w:r>
      <w:r w:rsidRPr="00236CAB">
        <w:rPr>
          <w:rFonts w:ascii="Palatino Linotype" w:eastAsia="Palatino Linotype" w:hAnsi="Palatino Linotype" w:cs="Palatino Linotype"/>
          <w:color w:val="000000"/>
        </w:rPr>
        <w:t xml:space="preserve">, se turnó a la </w:t>
      </w:r>
      <w:r w:rsidRPr="00236CAB">
        <w:rPr>
          <w:rFonts w:ascii="Palatino Linotype" w:eastAsia="Palatino Linotype" w:hAnsi="Palatino Linotype" w:cs="Palatino Linotype"/>
          <w:b/>
          <w:color w:val="000000"/>
        </w:rPr>
        <w:t>Comisionada María del Rosario Mejía Ayala</w:t>
      </w:r>
      <w:r w:rsidRPr="00236CAB">
        <w:rPr>
          <w:rFonts w:ascii="Palatino Linotype" w:eastAsia="Palatino Linotype" w:hAnsi="Palatino Linotype" w:cs="Palatino Linotype"/>
          <w:color w:val="000000"/>
        </w:rPr>
        <w:t xml:space="preserve">, </w:t>
      </w:r>
      <w:r w:rsidR="00600E17" w:rsidRPr="00236CAB">
        <w:rPr>
          <w:rFonts w:ascii="Palatino Linotype" w:eastAsia="Palatino Linotype" w:hAnsi="Palatino Linotype" w:cs="Palatino Linotype"/>
          <w:color w:val="000000"/>
        </w:rPr>
        <w:t>para</w:t>
      </w:r>
      <w:r w:rsidRPr="00236CAB">
        <w:rPr>
          <w:rFonts w:ascii="Palatino Linotype" w:eastAsia="Palatino Linotype" w:hAnsi="Palatino Linotype" w:cs="Palatino Linotype"/>
          <w:color w:val="000000"/>
        </w:rPr>
        <w:t xml:space="preserve"> su análisis.</w:t>
      </w:r>
    </w:p>
    <w:p w14:paraId="2A81FA89" w14:textId="77777777" w:rsidR="00D92C64" w:rsidRPr="00236CAB" w:rsidRDefault="00D92C6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57751317" w14:textId="77777777" w:rsidR="00D92C64" w:rsidRPr="00236CAB" w:rsidRDefault="00647915">
      <w:pPr>
        <w:numPr>
          <w:ilvl w:val="0"/>
          <w:numId w:val="6"/>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lastRenderedPageBreak/>
        <w:t xml:space="preserve">La Comisionada Ponente, con fundamento en lo dispuesto por el artículo 185 fracción II de la ley de la materia, a través de los acuerdo de admisión del seis (06) y siete (07) de noviembre de dos mil veintitrés, puso a disposición de las partes el expediente electrónico vía Sistema de Acceso a la Información Mexiquense </w:t>
      </w:r>
      <w:r w:rsidRPr="00236CAB">
        <w:rPr>
          <w:rFonts w:ascii="Palatino Linotype" w:eastAsia="Palatino Linotype" w:hAnsi="Palatino Linotype" w:cs="Palatino Linotype"/>
          <w:b/>
          <w:color w:val="000000"/>
        </w:rPr>
        <w:t xml:space="preserve">SAIMEX </w:t>
      </w:r>
      <w:r w:rsidRPr="00236CAB">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correspondiera a los casos concretos, de esta forma para que el </w:t>
      </w:r>
      <w:r w:rsidRPr="00236CAB">
        <w:rPr>
          <w:rFonts w:ascii="Palatino Linotype" w:eastAsia="Palatino Linotype" w:hAnsi="Palatino Linotype" w:cs="Palatino Linotype"/>
          <w:b/>
          <w:color w:val="000000"/>
        </w:rPr>
        <w:t>SUJETO OBLIGADO</w:t>
      </w:r>
      <w:r w:rsidRPr="00236CAB">
        <w:rPr>
          <w:rFonts w:ascii="Palatino Linotype" w:eastAsia="Palatino Linotype" w:hAnsi="Palatino Linotype" w:cs="Palatino Linotype"/>
          <w:color w:val="000000"/>
        </w:rPr>
        <w:t xml:space="preserve"> presentara el Informe Justificado procedente. </w:t>
      </w:r>
    </w:p>
    <w:p w14:paraId="416A3179" w14:textId="77777777" w:rsidR="00D92C64" w:rsidRPr="00236CAB" w:rsidRDefault="00D92C6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21F8B9D0" w14:textId="77777777" w:rsidR="00D92C64" w:rsidRPr="00236CAB" w:rsidRDefault="00647915">
      <w:pPr>
        <w:numPr>
          <w:ilvl w:val="0"/>
          <w:numId w:val="6"/>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De las constancias del archivo electrónico SAIMEX, se advierte que el Recurrente no realizó manifestaciones; por su parte el Sujeto Obligado no remitió informe justificado.</w:t>
      </w:r>
    </w:p>
    <w:p w14:paraId="5DFD25A5" w14:textId="77777777" w:rsidR="00D92C64" w:rsidRPr="00236CAB" w:rsidRDefault="00D92C6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539A16EA" w14:textId="77777777" w:rsidR="00D92C64" w:rsidRPr="00236CAB" w:rsidRDefault="00647915">
      <w:pPr>
        <w:numPr>
          <w:ilvl w:val="0"/>
          <w:numId w:val="6"/>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 xml:space="preserve">El seis (06) de febrero de dos mil veinticuatro, se notificó en acuerdo mediante el cual se aprobó la ampliación de plazo para emitir resolución. </w:t>
      </w:r>
    </w:p>
    <w:p w14:paraId="596DDF08" w14:textId="77777777" w:rsidR="00D92C64" w:rsidRPr="00236CAB" w:rsidRDefault="00D92C64">
      <w:pPr>
        <w:pBdr>
          <w:top w:val="nil"/>
          <w:left w:val="nil"/>
          <w:bottom w:val="nil"/>
          <w:right w:val="nil"/>
          <w:between w:val="nil"/>
        </w:pBdr>
        <w:ind w:left="720"/>
        <w:rPr>
          <w:rFonts w:ascii="Palatino Linotype" w:eastAsia="Palatino Linotype" w:hAnsi="Palatino Linotype" w:cs="Palatino Linotype"/>
          <w:color w:val="000000"/>
        </w:rPr>
      </w:pPr>
    </w:p>
    <w:p w14:paraId="67120F72" w14:textId="77777777" w:rsidR="00D92C64" w:rsidRPr="00236CAB" w:rsidRDefault="00647915">
      <w:pPr>
        <w:numPr>
          <w:ilvl w:val="0"/>
          <w:numId w:val="6"/>
        </w:numPr>
        <w:spacing w:line="360" w:lineRule="auto"/>
        <w:ind w:left="0" w:firstLine="0"/>
        <w:jc w:val="both"/>
        <w:rPr>
          <w:rFonts w:ascii="Palatino Linotype" w:eastAsia="Palatino Linotype" w:hAnsi="Palatino Linotype" w:cs="Palatino Linotype"/>
          <w:b/>
        </w:rPr>
      </w:pPr>
      <w:r w:rsidRPr="00236CAB">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3AE76494" w14:textId="77777777" w:rsidR="00D92C64" w:rsidRPr="00236CAB" w:rsidRDefault="00D92C64">
      <w:pPr>
        <w:spacing w:line="360" w:lineRule="auto"/>
        <w:rPr>
          <w:rFonts w:ascii="Palatino Linotype" w:eastAsia="Palatino Linotype" w:hAnsi="Palatino Linotype" w:cs="Palatino Linotype"/>
        </w:rPr>
      </w:pPr>
    </w:p>
    <w:p w14:paraId="5A0A4546" w14:textId="77777777" w:rsidR="00D92C64" w:rsidRPr="00236CAB" w:rsidRDefault="00647915">
      <w:pPr>
        <w:numPr>
          <w:ilvl w:val="0"/>
          <w:numId w:val="6"/>
        </w:numPr>
        <w:spacing w:line="360" w:lineRule="auto"/>
        <w:ind w:left="0" w:firstLine="0"/>
        <w:jc w:val="both"/>
        <w:rPr>
          <w:rFonts w:ascii="Palatino Linotype" w:eastAsia="Palatino Linotype" w:hAnsi="Palatino Linotype" w:cs="Palatino Linotype"/>
          <w:b/>
        </w:rPr>
      </w:pPr>
      <w:r w:rsidRPr="00236CAB">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7108185" w14:textId="77777777" w:rsidR="00D92C64" w:rsidRPr="00236CAB" w:rsidRDefault="00D92C64">
      <w:pPr>
        <w:spacing w:line="360" w:lineRule="auto"/>
        <w:rPr>
          <w:rFonts w:ascii="Palatino Linotype" w:eastAsia="Palatino Linotype" w:hAnsi="Palatino Linotype" w:cs="Palatino Linotype"/>
        </w:rPr>
      </w:pPr>
    </w:p>
    <w:p w14:paraId="2F45A528" w14:textId="77777777" w:rsidR="00D92C64" w:rsidRPr="00236CAB" w:rsidRDefault="00647915">
      <w:pPr>
        <w:numPr>
          <w:ilvl w:val="0"/>
          <w:numId w:val="6"/>
        </w:numPr>
        <w:spacing w:line="360" w:lineRule="auto"/>
        <w:ind w:left="0" w:firstLine="0"/>
        <w:jc w:val="both"/>
        <w:rPr>
          <w:rFonts w:ascii="Palatino Linotype" w:eastAsia="Palatino Linotype" w:hAnsi="Palatino Linotype" w:cs="Palatino Linotype"/>
          <w:b/>
        </w:rPr>
      </w:pPr>
      <w:r w:rsidRPr="00236CAB">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DDDC135" w14:textId="77777777" w:rsidR="00D92C64" w:rsidRPr="00236CAB" w:rsidRDefault="00D92C64">
      <w:pPr>
        <w:spacing w:line="360" w:lineRule="auto"/>
        <w:rPr>
          <w:rFonts w:ascii="Palatino Linotype" w:eastAsia="Palatino Linotype" w:hAnsi="Palatino Linotype" w:cs="Palatino Linotype"/>
        </w:rPr>
      </w:pPr>
    </w:p>
    <w:p w14:paraId="5F49C147" w14:textId="77777777" w:rsidR="00D92C64" w:rsidRPr="00236CAB" w:rsidRDefault="00647915">
      <w:pPr>
        <w:numPr>
          <w:ilvl w:val="0"/>
          <w:numId w:val="6"/>
        </w:numPr>
        <w:spacing w:line="360" w:lineRule="auto"/>
        <w:ind w:left="0" w:firstLine="0"/>
        <w:jc w:val="both"/>
        <w:rPr>
          <w:rFonts w:ascii="Palatino Linotype" w:eastAsia="Palatino Linotype" w:hAnsi="Palatino Linotype" w:cs="Palatino Linotype"/>
          <w:b/>
        </w:rPr>
      </w:pPr>
      <w:r w:rsidRPr="00236CAB">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B88B562" w14:textId="77777777" w:rsidR="00D92C64" w:rsidRPr="00236CAB" w:rsidRDefault="00D92C64">
      <w:pPr>
        <w:spacing w:line="360" w:lineRule="auto"/>
        <w:rPr>
          <w:rFonts w:ascii="Palatino Linotype" w:eastAsia="Palatino Linotype" w:hAnsi="Palatino Linotype" w:cs="Palatino Linotype"/>
        </w:rPr>
      </w:pPr>
    </w:p>
    <w:p w14:paraId="36A33C5B" w14:textId="77777777" w:rsidR="00D92C64" w:rsidRPr="00236CAB" w:rsidRDefault="00647915">
      <w:pPr>
        <w:numPr>
          <w:ilvl w:val="0"/>
          <w:numId w:val="6"/>
        </w:numPr>
        <w:spacing w:line="360" w:lineRule="auto"/>
        <w:ind w:left="0" w:firstLine="0"/>
        <w:jc w:val="both"/>
        <w:rPr>
          <w:rFonts w:ascii="Palatino Linotype" w:eastAsia="Palatino Linotype" w:hAnsi="Palatino Linotype" w:cs="Palatino Linotype"/>
          <w:b/>
        </w:rPr>
      </w:pPr>
      <w:r w:rsidRPr="00236CAB">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2F4F3B0A" w14:textId="77777777" w:rsidR="00D92C64" w:rsidRPr="00236CAB" w:rsidRDefault="0064791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rPr>
      </w:pPr>
      <w:r w:rsidRPr="00236CAB">
        <w:rPr>
          <w:rFonts w:ascii="Palatino Linotype" w:eastAsia="Palatino Linotype" w:hAnsi="Palatino Linotype" w:cs="Palatino Linotype"/>
          <w:color w:val="000000"/>
          <w:sz w:val="22"/>
        </w:rPr>
        <w:t xml:space="preserve">Complejidad del Asunto: La complejidad de la prueba, la pluralidad de sujetos procesales, el tiempo transcurrido, las características y contexto del recurso. </w:t>
      </w:r>
    </w:p>
    <w:p w14:paraId="0D98A928" w14:textId="77777777" w:rsidR="00D92C64" w:rsidRPr="00236CAB" w:rsidRDefault="0064791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rPr>
      </w:pPr>
      <w:r w:rsidRPr="00236CAB">
        <w:rPr>
          <w:rFonts w:ascii="Palatino Linotype" w:eastAsia="Palatino Linotype" w:hAnsi="Palatino Linotype" w:cs="Palatino Linotype"/>
          <w:color w:val="000000"/>
          <w:sz w:val="22"/>
        </w:rPr>
        <w:t>Actividad Procesal del interesado. Acciones u omisiones del interesado.</w:t>
      </w:r>
    </w:p>
    <w:p w14:paraId="349E11B0" w14:textId="77777777" w:rsidR="00D92C64" w:rsidRPr="00236CAB" w:rsidRDefault="0064791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rPr>
      </w:pPr>
      <w:r w:rsidRPr="00236CAB">
        <w:rPr>
          <w:rFonts w:ascii="Palatino Linotype" w:eastAsia="Palatino Linotype" w:hAnsi="Palatino Linotype" w:cs="Palatino Linotype"/>
          <w:color w:val="000000"/>
          <w:sz w:val="22"/>
        </w:rPr>
        <w:lastRenderedPageBreak/>
        <w:t>Conducta de la Autoridad: Las Acciones u omisiones realizadas en el procedimiento. Así como si la autoridad actuó con la debida diligencia.</w:t>
      </w:r>
    </w:p>
    <w:p w14:paraId="2F196295" w14:textId="77777777" w:rsidR="00D92C64" w:rsidRPr="00236CAB" w:rsidRDefault="00647915">
      <w:pPr>
        <w:spacing w:line="360" w:lineRule="auto"/>
        <w:ind w:left="567"/>
        <w:jc w:val="both"/>
        <w:rPr>
          <w:rFonts w:ascii="Palatino Linotype" w:eastAsia="Palatino Linotype" w:hAnsi="Palatino Linotype" w:cs="Palatino Linotype"/>
          <w:sz w:val="22"/>
        </w:rPr>
      </w:pPr>
      <w:r w:rsidRPr="00236CAB">
        <w:rPr>
          <w:rFonts w:ascii="Palatino Linotype" w:eastAsia="Palatino Linotype" w:hAnsi="Palatino Linotype" w:cs="Palatino Linotype"/>
          <w:sz w:val="22"/>
        </w:rPr>
        <w:t>d) La afectación generada en la situación jurídica de la persona involucrada en el proceso: Violación a sus derechos humanos.</w:t>
      </w:r>
    </w:p>
    <w:p w14:paraId="7BE7B934" w14:textId="77777777" w:rsidR="00D92C64" w:rsidRPr="00236CAB" w:rsidRDefault="00D92C64">
      <w:pPr>
        <w:spacing w:line="360" w:lineRule="auto"/>
        <w:rPr>
          <w:rFonts w:ascii="Palatino Linotype" w:eastAsia="Palatino Linotype" w:hAnsi="Palatino Linotype" w:cs="Palatino Linotype"/>
        </w:rPr>
      </w:pPr>
    </w:p>
    <w:p w14:paraId="03B9003F" w14:textId="77777777" w:rsidR="00D92C64" w:rsidRPr="00236CAB" w:rsidRDefault="00647915">
      <w:pPr>
        <w:numPr>
          <w:ilvl w:val="0"/>
          <w:numId w:val="6"/>
        </w:numPr>
        <w:spacing w:line="360" w:lineRule="auto"/>
        <w:ind w:left="0" w:firstLine="0"/>
        <w:jc w:val="both"/>
        <w:rPr>
          <w:rFonts w:ascii="Palatino Linotype" w:eastAsia="Palatino Linotype" w:hAnsi="Palatino Linotype" w:cs="Palatino Linotype"/>
          <w:b/>
        </w:rPr>
      </w:pPr>
      <w:r w:rsidRPr="00236CAB">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B4B2A34" w14:textId="77777777" w:rsidR="00D92C64" w:rsidRPr="00236CAB" w:rsidRDefault="00D92C64">
      <w:pPr>
        <w:spacing w:line="360" w:lineRule="auto"/>
        <w:jc w:val="both"/>
        <w:rPr>
          <w:rFonts w:ascii="Palatino Linotype" w:eastAsia="Palatino Linotype" w:hAnsi="Palatino Linotype" w:cs="Palatino Linotype"/>
          <w:b/>
        </w:rPr>
      </w:pPr>
    </w:p>
    <w:p w14:paraId="3D9F0B5F" w14:textId="77777777" w:rsidR="00D92C64" w:rsidRPr="00236CAB" w:rsidRDefault="00647915">
      <w:pPr>
        <w:numPr>
          <w:ilvl w:val="0"/>
          <w:numId w:val="6"/>
        </w:numPr>
        <w:spacing w:line="360" w:lineRule="auto"/>
        <w:ind w:left="0" w:firstLine="0"/>
        <w:jc w:val="both"/>
        <w:rPr>
          <w:rFonts w:ascii="Palatino Linotype" w:eastAsia="Palatino Linotype" w:hAnsi="Palatino Linotype" w:cs="Palatino Linotype"/>
          <w:b/>
        </w:rPr>
      </w:pPr>
      <w:r w:rsidRPr="00236CAB">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236CAB">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236CAB">
        <w:rPr>
          <w:rFonts w:ascii="Palatino Linotype" w:eastAsia="Palatino Linotype" w:hAnsi="Palatino Linotype" w:cs="Palatino Linotype"/>
        </w:rPr>
        <w:t>, visible en la Gaceta del Seminario Judicial de la Federación con el registro digital 205635.</w:t>
      </w:r>
    </w:p>
    <w:p w14:paraId="1984065E" w14:textId="77777777" w:rsidR="00D92C64" w:rsidRPr="00236CAB" w:rsidRDefault="00D92C64">
      <w:pPr>
        <w:spacing w:line="360" w:lineRule="auto"/>
        <w:rPr>
          <w:rFonts w:ascii="Palatino Linotype" w:eastAsia="Palatino Linotype" w:hAnsi="Palatino Linotype" w:cs="Palatino Linotype"/>
        </w:rPr>
      </w:pPr>
    </w:p>
    <w:p w14:paraId="78F5093B" w14:textId="77777777" w:rsidR="00D92C64" w:rsidRPr="00236CAB" w:rsidRDefault="00647915">
      <w:pPr>
        <w:numPr>
          <w:ilvl w:val="0"/>
          <w:numId w:val="6"/>
        </w:numPr>
        <w:spacing w:line="360" w:lineRule="auto"/>
        <w:ind w:left="0" w:firstLine="0"/>
        <w:jc w:val="both"/>
        <w:rPr>
          <w:rFonts w:ascii="Palatino Linotype" w:eastAsia="Palatino Linotype" w:hAnsi="Palatino Linotype" w:cs="Palatino Linotype"/>
          <w:b/>
        </w:rPr>
      </w:pPr>
      <w:r w:rsidRPr="00236CAB">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w:t>
      </w:r>
      <w:r w:rsidRPr="00236CAB">
        <w:rPr>
          <w:rFonts w:ascii="Palatino Linotype" w:eastAsia="Palatino Linotype" w:hAnsi="Palatino Linotype" w:cs="Palatino Linotype"/>
        </w:rPr>
        <w:lastRenderedPageBreak/>
        <w:t>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B700867" w14:textId="77777777" w:rsidR="00D92C64" w:rsidRPr="00236CAB" w:rsidRDefault="00D92C64">
      <w:pPr>
        <w:spacing w:line="360" w:lineRule="auto"/>
        <w:rPr>
          <w:rFonts w:ascii="Palatino Linotype" w:eastAsia="Palatino Linotype" w:hAnsi="Palatino Linotype" w:cs="Palatino Linotype"/>
        </w:rPr>
      </w:pPr>
    </w:p>
    <w:p w14:paraId="43FF4DE1" w14:textId="77777777" w:rsidR="00D92C64" w:rsidRPr="00236CAB" w:rsidRDefault="00647915">
      <w:pPr>
        <w:numPr>
          <w:ilvl w:val="0"/>
          <w:numId w:val="6"/>
        </w:numPr>
        <w:spacing w:line="360" w:lineRule="auto"/>
        <w:ind w:left="0" w:firstLine="0"/>
        <w:jc w:val="both"/>
        <w:rPr>
          <w:rFonts w:ascii="Palatino Linotype" w:eastAsia="Palatino Linotype" w:hAnsi="Palatino Linotype" w:cs="Palatino Linotype"/>
          <w:b/>
        </w:rPr>
      </w:pPr>
      <w:r w:rsidRPr="00236CAB">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345B9152" w14:textId="77777777" w:rsidR="00D92C64" w:rsidRPr="00236CAB" w:rsidRDefault="00D92C64">
      <w:pPr>
        <w:spacing w:line="360" w:lineRule="auto"/>
        <w:rPr>
          <w:rFonts w:ascii="Palatino Linotype" w:eastAsia="Palatino Linotype" w:hAnsi="Palatino Linotype" w:cs="Palatino Linotype"/>
        </w:rPr>
      </w:pPr>
    </w:p>
    <w:p w14:paraId="37E2D5CD" w14:textId="77777777" w:rsidR="00D92C64" w:rsidRPr="00236CAB" w:rsidRDefault="00647915">
      <w:pPr>
        <w:numPr>
          <w:ilvl w:val="0"/>
          <w:numId w:val="6"/>
        </w:numPr>
        <w:spacing w:line="360" w:lineRule="auto"/>
        <w:ind w:left="0" w:firstLine="0"/>
        <w:jc w:val="both"/>
        <w:rPr>
          <w:rFonts w:ascii="Palatino Linotype" w:eastAsia="Palatino Linotype" w:hAnsi="Palatino Linotype" w:cs="Palatino Linotype"/>
          <w:b/>
        </w:rPr>
      </w:pPr>
      <w:r w:rsidRPr="00236CAB">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430D93D" w14:textId="77777777" w:rsidR="00D92C64" w:rsidRPr="00236CAB" w:rsidRDefault="00647915">
      <w:pPr>
        <w:spacing w:line="360" w:lineRule="auto"/>
        <w:ind w:left="851" w:right="822"/>
        <w:jc w:val="both"/>
        <w:rPr>
          <w:rFonts w:ascii="Palatino Linotype" w:eastAsia="Palatino Linotype" w:hAnsi="Palatino Linotype" w:cs="Palatino Linotype"/>
          <w:sz w:val="22"/>
        </w:rPr>
      </w:pPr>
      <w:r w:rsidRPr="00236CAB">
        <w:rPr>
          <w:rFonts w:ascii="Palatino Linotype" w:eastAsia="Palatino Linotype" w:hAnsi="Palatino Linotype" w:cs="Palatino Linotype"/>
          <w:sz w:val="22"/>
        </w:rPr>
        <w:t xml:space="preserve"> </w:t>
      </w:r>
      <w:r w:rsidRPr="00236CAB">
        <w:rPr>
          <w:rFonts w:ascii="Palatino Linotype" w:eastAsia="Palatino Linotype" w:hAnsi="Palatino Linotype" w:cs="Palatino Linotype"/>
          <w:i/>
          <w:sz w:val="22"/>
        </w:rPr>
        <w:t>“PLAZO RAZONABLE PARA RESOLVER. DIMENSIÓN Y EFECTOS DE ESTE CONCEPTO CUANDO SE ADUCE EXCESIVA CARGA DE TRABAJO.”</w:t>
      </w:r>
      <w:r w:rsidRPr="00236CAB">
        <w:rPr>
          <w:rFonts w:ascii="Palatino Linotype" w:eastAsia="Palatino Linotype" w:hAnsi="Palatino Linotype" w:cs="Palatino Linotype"/>
          <w:sz w:val="22"/>
        </w:rPr>
        <w:t xml:space="preserve"> consultable en el Seminario Judicial de la Federación y su gaceta, con el registro digital 2002351.</w:t>
      </w:r>
    </w:p>
    <w:p w14:paraId="310AC2BE" w14:textId="77777777" w:rsidR="00D92C64" w:rsidRPr="00236CAB" w:rsidRDefault="00D92C64">
      <w:pPr>
        <w:spacing w:line="360" w:lineRule="auto"/>
        <w:ind w:left="851" w:right="822"/>
        <w:jc w:val="both"/>
        <w:rPr>
          <w:rFonts w:ascii="Palatino Linotype" w:eastAsia="Palatino Linotype" w:hAnsi="Palatino Linotype" w:cs="Palatino Linotype"/>
          <w:b/>
          <w:sz w:val="22"/>
        </w:rPr>
      </w:pPr>
    </w:p>
    <w:p w14:paraId="04DDB4BD" w14:textId="77777777" w:rsidR="00D92C64" w:rsidRPr="00236CAB" w:rsidRDefault="00647915">
      <w:pPr>
        <w:spacing w:line="360" w:lineRule="auto"/>
        <w:ind w:left="851" w:right="822"/>
        <w:jc w:val="both"/>
        <w:rPr>
          <w:rFonts w:ascii="Palatino Linotype" w:eastAsia="Palatino Linotype" w:hAnsi="Palatino Linotype" w:cs="Palatino Linotype"/>
          <w:sz w:val="22"/>
        </w:rPr>
      </w:pPr>
      <w:r w:rsidRPr="00236CAB">
        <w:rPr>
          <w:rFonts w:ascii="Palatino Linotype" w:eastAsia="Palatino Linotype" w:hAnsi="Palatino Linotype" w:cs="Palatino Linotype"/>
          <w:i/>
          <w:sz w:val="22"/>
        </w:rPr>
        <w:t>“PLAZO RAZONABLE PARA RESOLVER. CONCEPTO Y ELEMENTOS QUE LO INTEGRAN A LA LUZ DEL DERECHO INTERNACIONAL DE LOS DERECHOS HUMANOS.”</w:t>
      </w:r>
      <w:r w:rsidRPr="00236CAB">
        <w:rPr>
          <w:rFonts w:ascii="Palatino Linotype" w:eastAsia="Palatino Linotype" w:hAnsi="Palatino Linotype" w:cs="Palatino Linotype"/>
          <w:sz w:val="22"/>
        </w:rPr>
        <w:t>, visible en el Seminario Judicial de la Federación y su gaceta, con el registro digital 2002350.</w:t>
      </w:r>
    </w:p>
    <w:p w14:paraId="486B759A" w14:textId="77777777" w:rsidR="00D92C64" w:rsidRPr="00236CAB" w:rsidRDefault="00D92C64">
      <w:pPr>
        <w:spacing w:line="360" w:lineRule="auto"/>
        <w:ind w:right="822"/>
        <w:jc w:val="both"/>
        <w:rPr>
          <w:rFonts w:ascii="Palatino Linotype" w:eastAsia="Palatino Linotype" w:hAnsi="Palatino Linotype" w:cs="Palatino Linotype"/>
          <w:i/>
        </w:rPr>
      </w:pPr>
    </w:p>
    <w:p w14:paraId="5D8B5E99" w14:textId="77777777" w:rsidR="00D92C64" w:rsidRPr="00236CAB" w:rsidRDefault="00647915">
      <w:pPr>
        <w:numPr>
          <w:ilvl w:val="0"/>
          <w:numId w:val="6"/>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lastRenderedPageBreak/>
        <w:t xml:space="preserve">Por ello, este Organismo Garante comprometido con la tutela de los derechos humanos confiados, señala que este exceso de plazo legal para resolver el presente asunto, resulta de carácter excepcional. </w:t>
      </w:r>
    </w:p>
    <w:p w14:paraId="46B902A0" w14:textId="77777777" w:rsidR="00D92C64" w:rsidRPr="00236CAB" w:rsidRDefault="00D92C64">
      <w:pPr>
        <w:pBdr>
          <w:top w:val="nil"/>
          <w:left w:val="nil"/>
          <w:bottom w:val="nil"/>
          <w:right w:val="nil"/>
          <w:between w:val="nil"/>
        </w:pBdr>
        <w:ind w:left="720"/>
        <w:rPr>
          <w:rFonts w:ascii="Palatino Linotype" w:eastAsia="Palatino Linotype" w:hAnsi="Palatino Linotype" w:cs="Palatino Linotype"/>
          <w:color w:val="000000"/>
        </w:rPr>
      </w:pPr>
    </w:p>
    <w:p w14:paraId="42A6954F" w14:textId="77777777" w:rsidR="00D92C64" w:rsidRPr="00236CAB" w:rsidRDefault="00647915">
      <w:pPr>
        <w:numPr>
          <w:ilvl w:val="0"/>
          <w:numId w:val="6"/>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 xml:space="preserve">El veintinueve (29) de febrero de dos mil veinticuatro, el Recurrente se desistió del recurso de revisión </w:t>
      </w:r>
      <w:r w:rsidRPr="00236CAB">
        <w:rPr>
          <w:rFonts w:ascii="Palatino Linotype" w:eastAsia="Palatino Linotype" w:hAnsi="Palatino Linotype" w:cs="Palatino Linotype"/>
          <w:b/>
          <w:color w:val="000000"/>
        </w:rPr>
        <w:t>07563/INFOEM/IP/RR/2023.</w:t>
      </w:r>
      <w:r w:rsidRPr="00236CAB">
        <w:rPr>
          <w:rFonts w:ascii="Palatino Linotype" w:eastAsia="Palatino Linotype" w:hAnsi="Palatino Linotype" w:cs="Palatino Linotype"/>
          <w:color w:val="000000"/>
        </w:rPr>
        <w:t xml:space="preserve"> </w:t>
      </w:r>
    </w:p>
    <w:p w14:paraId="0BBAC1BB" w14:textId="77777777" w:rsidR="00D92C64" w:rsidRPr="00236CAB" w:rsidRDefault="00D92C64">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bookmarkStart w:id="1" w:name="_heading=h.30j0zll" w:colFirst="0" w:colLast="0"/>
      <w:bookmarkEnd w:id="1"/>
    </w:p>
    <w:p w14:paraId="16A6E818" w14:textId="77777777" w:rsidR="00D92C64" w:rsidRPr="00236CAB" w:rsidRDefault="00647915">
      <w:pPr>
        <w:numPr>
          <w:ilvl w:val="0"/>
          <w:numId w:val="6"/>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 xml:space="preserve">El Comisionado Ponente notificó el acuerdo de cierre de instrucción el día cinco (05) y siete (07) de marzo de dos mil veinticuatro. </w:t>
      </w:r>
    </w:p>
    <w:p w14:paraId="1C22AD4C" w14:textId="77777777" w:rsidR="00D92C64" w:rsidRPr="00236CAB" w:rsidRDefault="00D92C64">
      <w:pPr>
        <w:pBdr>
          <w:top w:val="nil"/>
          <w:left w:val="nil"/>
          <w:bottom w:val="nil"/>
          <w:right w:val="nil"/>
          <w:between w:val="nil"/>
        </w:pBdr>
        <w:spacing w:line="360" w:lineRule="auto"/>
        <w:ind w:right="113"/>
        <w:jc w:val="both"/>
        <w:rPr>
          <w:rFonts w:ascii="Palatino Linotype" w:eastAsia="Palatino Linotype" w:hAnsi="Palatino Linotype" w:cs="Palatino Linotype"/>
          <w:color w:val="000000"/>
        </w:rPr>
      </w:pPr>
    </w:p>
    <w:p w14:paraId="795F0882" w14:textId="77777777" w:rsidR="00D92C64" w:rsidRPr="00236CAB" w:rsidRDefault="00647915">
      <w:pPr>
        <w:pStyle w:val="Ttulo2"/>
        <w:jc w:val="center"/>
        <w:rPr>
          <w:rFonts w:ascii="Palatino Linotype" w:eastAsia="Palatino Linotype" w:hAnsi="Palatino Linotype" w:cs="Palatino Linotype"/>
          <w:b/>
          <w:color w:val="000000"/>
          <w:sz w:val="24"/>
          <w:szCs w:val="24"/>
        </w:rPr>
      </w:pPr>
      <w:bookmarkStart w:id="2" w:name="_heading=h.1fob9te" w:colFirst="0" w:colLast="0"/>
      <w:bookmarkEnd w:id="2"/>
      <w:r w:rsidRPr="00236CAB">
        <w:rPr>
          <w:rFonts w:ascii="Palatino Linotype" w:eastAsia="Palatino Linotype" w:hAnsi="Palatino Linotype" w:cs="Palatino Linotype"/>
          <w:b/>
          <w:color w:val="000000"/>
          <w:sz w:val="24"/>
          <w:szCs w:val="24"/>
        </w:rPr>
        <w:t>CONSIDERANDO</w:t>
      </w:r>
    </w:p>
    <w:p w14:paraId="4DD66381" w14:textId="77777777" w:rsidR="00D92C64" w:rsidRPr="00236CAB" w:rsidRDefault="00D92C64"/>
    <w:p w14:paraId="34B42481" w14:textId="77777777" w:rsidR="00D92C64" w:rsidRPr="00236CAB" w:rsidRDefault="00647915">
      <w:pPr>
        <w:pStyle w:val="Ttulo2"/>
        <w:spacing w:line="360" w:lineRule="auto"/>
        <w:rPr>
          <w:rFonts w:ascii="Palatino Linotype" w:eastAsia="Palatino Linotype" w:hAnsi="Palatino Linotype" w:cs="Palatino Linotype"/>
          <w:b/>
          <w:color w:val="000000"/>
          <w:sz w:val="24"/>
          <w:szCs w:val="24"/>
        </w:rPr>
      </w:pPr>
      <w:bookmarkStart w:id="3" w:name="_heading=h.3znysh7" w:colFirst="0" w:colLast="0"/>
      <w:bookmarkEnd w:id="3"/>
      <w:r w:rsidRPr="00236CAB">
        <w:rPr>
          <w:rFonts w:ascii="Palatino Linotype" w:eastAsia="Palatino Linotype" w:hAnsi="Palatino Linotype" w:cs="Palatino Linotype"/>
          <w:b/>
          <w:color w:val="000000"/>
          <w:sz w:val="24"/>
          <w:szCs w:val="24"/>
        </w:rPr>
        <w:t>PRIMERO. De la competencia</w:t>
      </w:r>
    </w:p>
    <w:p w14:paraId="7DE93E21" w14:textId="77777777" w:rsidR="00D92C64" w:rsidRPr="00236CAB" w:rsidRDefault="00647915">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8016CF3" w14:textId="77777777" w:rsidR="00D92C64" w:rsidRPr="00236CAB" w:rsidRDefault="00D92C64">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b/>
          <w:color w:val="000000"/>
        </w:rPr>
      </w:pPr>
    </w:p>
    <w:p w14:paraId="69BD94F2" w14:textId="77777777" w:rsidR="00D92C64" w:rsidRPr="00236CAB" w:rsidRDefault="00647915">
      <w:pPr>
        <w:pStyle w:val="Ttulo2"/>
        <w:tabs>
          <w:tab w:val="left" w:pos="284"/>
          <w:tab w:val="left" w:pos="426"/>
        </w:tabs>
        <w:spacing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236CAB">
        <w:rPr>
          <w:rFonts w:ascii="Palatino Linotype" w:eastAsia="Palatino Linotype" w:hAnsi="Palatino Linotype" w:cs="Palatino Linotype"/>
          <w:b/>
          <w:color w:val="000000"/>
          <w:sz w:val="24"/>
          <w:szCs w:val="24"/>
        </w:rPr>
        <w:lastRenderedPageBreak/>
        <w:t>SEGUNDO. De la oportunidad y procedencia.</w:t>
      </w:r>
    </w:p>
    <w:p w14:paraId="2907ECB2" w14:textId="77777777" w:rsidR="00D92C64" w:rsidRPr="00236CAB" w:rsidRDefault="00647915">
      <w:pPr>
        <w:numPr>
          <w:ilvl w:val="0"/>
          <w:numId w:val="6"/>
        </w:numPr>
        <w:spacing w:line="360" w:lineRule="auto"/>
        <w:ind w:left="0" w:right="49" w:firstLine="0"/>
        <w:jc w:val="both"/>
        <w:rPr>
          <w:rFonts w:ascii="Palatino Linotype" w:eastAsia="Palatino Linotype" w:hAnsi="Palatino Linotype" w:cs="Palatino Linotype"/>
        </w:rPr>
      </w:pPr>
      <w:r w:rsidRPr="00236CAB">
        <w:rPr>
          <w:rFonts w:ascii="Palatino Linotype" w:eastAsia="Palatino Linotype" w:hAnsi="Palatino Linotype" w:cs="Palatino Linotype"/>
        </w:rPr>
        <w:t xml:space="preserve">El medio de impugnación fue presentado a través del </w:t>
      </w:r>
      <w:r w:rsidRPr="00236CAB">
        <w:rPr>
          <w:rFonts w:ascii="Palatino Linotype" w:eastAsia="Palatino Linotype" w:hAnsi="Palatino Linotype" w:cs="Palatino Linotype"/>
          <w:b/>
        </w:rPr>
        <w:t>SAIMEX,</w:t>
      </w:r>
      <w:r w:rsidRPr="00236CAB">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236CAB">
        <w:rPr>
          <w:rFonts w:ascii="Palatino Linotype" w:eastAsia="Palatino Linotype" w:hAnsi="Palatino Linotype" w:cs="Palatino Linotype"/>
          <w:b/>
        </w:rPr>
        <w:t>SUJETO OBLIGADO</w:t>
      </w:r>
      <w:r w:rsidRPr="00236CAB">
        <w:rPr>
          <w:rFonts w:ascii="Palatino Linotype" w:eastAsia="Palatino Linotype" w:hAnsi="Palatino Linotype" w:cs="Palatino Linotype"/>
        </w:rPr>
        <w:t xml:space="preserve"> entregó respuesta a la solicitud el día veinticuatro (24) y veinticinco (25) de octubre de dos mil veintitrés, de tal forma que el plazo para interponer el recurso de revisión transcurrió del veinticinco (25) y veintiséis (26) de octubre respectivamente  al quince (15) y dieciséis (16) de noviembre de dos mil veintitrés; en consecuencia, presentó su inconformidad el treinta (30) de octubre de dos mil veintitrés en ambos recursos, por lo que se encuentra dentro de los márgenes temporales previstos en el artículo 178 de la </w:t>
      </w:r>
      <w:r w:rsidRPr="00236CAB">
        <w:rPr>
          <w:rFonts w:ascii="Palatino Linotype" w:eastAsia="Palatino Linotype" w:hAnsi="Palatino Linotype" w:cs="Palatino Linotype"/>
          <w:b/>
        </w:rPr>
        <w:t xml:space="preserve">Ley de Transparencia y Acceso a la Información Pública del Estado de México y Municipios </w:t>
      </w:r>
      <w:r w:rsidRPr="00236CAB">
        <w:rPr>
          <w:rFonts w:ascii="Palatino Linotype" w:eastAsia="Palatino Linotype" w:hAnsi="Palatino Linotype" w:cs="Palatino Linotype"/>
        </w:rPr>
        <w:t>vigente.</w:t>
      </w:r>
    </w:p>
    <w:p w14:paraId="301027E8" w14:textId="77777777" w:rsidR="00D92C64" w:rsidRPr="00236CAB" w:rsidRDefault="00D92C64">
      <w:pPr>
        <w:spacing w:line="360" w:lineRule="auto"/>
        <w:ind w:right="49"/>
        <w:jc w:val="both"/>
        <w:rPr>
          <w:rFonts w:ascii="Palatino Linotype" w:eastAsia="Palatino Linotype" w:hAnsi="Palatino Linotype" w:cs="Palatino Linotype"/>
        </w:rPr>
      </w:pPr>
    </w:p>
    <w:p w14:paraId="76D7AE71" w14:textId="77777777" w:rsidR="00D92C64" w:rsidRPr="00236CAB" w:rsidRDefault="00647915">
      <w:pPr>
        <w:numPr>
          <w:ilvl w:val="0"/>
          <w:numId w:val="6"/>
        </w:numPr>
        <w:spacing w:line="360" w:lineRule="auto"/>
        <w:ind w:left="0" w:firstLine="0"/>
        <w:jc w:val="both"/>
        <w:rPr>
          <w:rFonts w:ascii="Palatino Linotype" w:eastAsia="Palatino Linotype" w:hAnsi="Palatino Linotype" w:cs="Palatino Linotype"/>
        </w:rPr>
      </w:pPr>
      <w:r w:rsidRPr="00236CAB">
        <w:rPr>
          <w:rFonts w:ascii="Palatino Linotype" w:eastAsia="Palatino Linotype" w:hAnsi="Palatino Linotype" w:cs="Palatino Linotype"/>
        </w:rPr>
        <w:t xml:space="preserve">Por otra parte, de la revisión al expediente electrónico del </w:t>
      </w:r>
      <w:r w:rsidRPr="00236CAB">
        <w:rPr>
          <w:rFonts w:ascii="Palatino Linotype" w:eastAsia="Palatino Linotype" w:hAnsi="Palatino Linotype" w:cs="Palatino Linotype"/>
          <w:b/>
        </w:rPr>
        <w:t>SAIMEX</w:t>
      </w:r>
      <w:r w:rsidRPr="00236CAB">
        <w:rPr>
          <w:rFonts w:ascii="Palatino Linotype" w:eastAsia="Palatino Linotype" w:hAnsi="Palatino Linotype" w:cs="Palatino Linotype"/>
        </w:rPr>
        <w:t xml:space="preserve"> se desprende que la parte solicitante en ejercicio de su derecho de acceso a la información pública en el expediente que se revisa, tanto en la solicitud de información como en el recurso de revisión no proporciona su nombre completo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14:paraId="4B4C29F9" w14:textId="77777777" w:rsidR="00D92C64" w:rsidRPr="00236CAB" w:rsidRDefault="00D92C64">
      <w:pPr>
        <w:pBdr>
          <w:top w:val="nil"/>
          <w:left w:val="nil"/>
          <w:bottom w:val="nil"/>
          <w:right w:val="nil"/>
          <w:between w:val="nil"/>
        </w:pBdr>
        <w:rPr>
          <w:rFonts w:ascii="Palatino Linotype" w:eastAsia="Palatino Linotype" w:hAnsi="Palatino Linotype" w:cs="Palatino Linotype"/>
          <w:color w:val="000000"/>
        </w:rPr>
      </w:pPr>
    </w:p>
    <w:p w14:paraId="43F3184A" w14:textId="77777777" w:rsidR="00D92C64" w:rsidRPr="00236CAB" w:rsidRDefault="00647915">
      <w:pPr>
        <w:numPr>
          <w:ilvl w:val="0"/>
          <w:numId w:val="6"/>
        </w:numPr>
        <w:spacing w:line="360" w:lineRule="auto"/>
        <w:ind w:left="0" w:firstLine="0"/>
        <w:jc w:val="both"/>
        <w:rPr>
          <w:rFonts w:ascii="Palatino Linotype" w:eastAsia="Palatino Linotype" w:hAnsi="Palatino Linotype" w:cs="Palatino Linotype"/>
        </w:rPr>
      </w:pPr>
      <w:r w:rsidRPr="00236CAB">
        <w:rPr>
          <w:rFonts w:ascii="Palatino Linotype" w:eastAsia="Palatino Linotype" w:hAnsi="Palatino Linotype" w:cs="Palatino Linotype"/>
        </w:rPr>
        <w:t xml:space="preserve">Esto es así, ya que de conformidad con los artículos 6, Apartado A, fracciones III y IV de la Constitución Política de los Estados Unidos Mexicanos y 5, </w:t>
      </w:r>
      <w:r w:rsidRPr="00236CAB">
        <w:rPr>
          <w:rFonts w:ascii="Palatino Linotype" w:eastAsia="Palatino Linotype" w:hAnsi="Palatino Linotype" w:cs="Palatino Linotype"/>
        </w:rPr>
        <w:lastRenderedPageBreak/>
        <w:t>párrafos vigésimo, vigésimo primero y vigésimo segundo fracciones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5FF798C3" w14:textId="77777777" w:rsidR="00D92C64" w:rsidRPr="00236CAB" w:rsidRDefault="00D92C64">
      <w:pPr>
        <w:pBdr>
          <w:top w:val="nil"/>
          <w:left w:val="nil"/>
          <w:bottom w:val="nil"/>
          <w:right w:val="nil"/>
          <w:between w:val="nil"/>
        </w:pBdr>
        <w:rPr>
          <w:rFonts w:ascii="Palatino Linotype" w:eastAsia="Palatino Linotype" w:hAnsi="Palatino Linotype" w:cs="Palatino Linotype"/>
          <w:color w:val="000000"/>
        </w:rPr>
      </w:pPr>
    </w:p>
    <w:p w14:paraId="38AC4E6D" w14:textId="77777777" w:rsidR="00D92C64" w:rsidRPr="00236CAB" w:rsidRDefault="00647915">
      <w:pPr>
        <w:numPr>
          <w:ilvl w:val="0"/>
          <w:numId w:val="6"/>
        </w:numPr>
        <w:spacing w:line="360" w:lineRule="auto"/>
        <w:ind w:left="0" w:firstLine="0"/>
        <w:jc w:val="both"/>
        <w:rPr>
          <w:rFonts w:ascii="Palatino Linotype" w:eastAsia="Palatino Linotype" w:hAnsi="Palatino Linotype" w:cs="Palatino Linotype"/>
        </w:rPr>
      </w:pPr>
      <w:r w:rsidRPr="00236CAB">
        <w:rPr>
          <w:rFonts w:ascii="Palatino Linotype" w:eastAsia="Palatino Linotype" w:hAnsi="Palatino Linotype" w:cs="Palatino Linotype"/>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4549806B" w14:textId="77777777" w:rsidR="00D92C64" w:rsidRPr="00236CAB" w:rsidRDefault="00D92C64">
      <w:pPr>
        <w:pBdr>
          <w:top w:val="nil"/>
          <w:left w:val="nil"/>
          <w:bottom w:val="nil"/>
          <w:right w:val="nil"/>
          <w:between w:val="nil"/>
        </w:pBdr>
        <w:rPr>
          <w:rFonts w:ascii="Palatino Linotype" w:eastAsia="Palatino Linotype" w:hAnsi="Palatino Linotype" w:cs="Palatino Linotype"/>
          <w:color w:val="000000"/>
        </w:rPr>
      </w:pPr>
    </w:p>
    <w:p w14:paraId="2FD05407" w14:textId="77777777" w:rsidR="00D92C64" w:rsidRPr="00236CAB" w:rsidRDefault="00647915">
      <w:pPr>
        <w:numPr>
          <w:ilvl w:val="0"/>
          <w:numId w:val="6"/>
        </w:numPr>
        <w:spacing w:line="360" w:lineRule="auto"/>
        <w:ind w:left="0" w:firstLine="0"/>
        <w:jc w:val="both"/>
        <w:rPr>
          <w:rFonts w:ascii="Palatino Linotype" w:eastAsia="Palatino Linotype" w:hAnsi="Palatino Linotype" w:cs="Palatino Linotype"/>
        </w:rPr>
      </w:pPr>
      <w:r w:rsidRPr="00236CAB">
        <w:rPr>
          <w:rFonts w:ascii="Palatino Linotype" w:eastAsia="Palatino Linotype" w:hAnsi="Palatino Linotype" w:cs="Palatino Linotype"/>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14:paraId="66344B23" w14:textId="77777777" w:rsidR="00D92C64" w:rsidRPr="00236CAB" w:rsidRDefault="00D92C64">
      <w:pPr>
        <w:pBdr>
          <w:top w:val="nil"/>
          <w:left w:val="nil"/>
          <w:bottom w:val="nil"/>
          <w:right w:val="nil"/>
          <w:between w:val="nil"/>
        </w:pBdr>
        <w:rPr>
          <w:rFonts w:ascii="Palatino Linotype" w:eastAsia="Palatino Linotype" w:hAnsi="Palatino Linotype" w:cs="Palatino Linotype"/>
          <w:color w:val="000000"/>
        </w:rPr>
      </w:pPr>
    </w:p>
    <w:p w14:paraId="7F335933" w14:textId="77777777" w:rsidR="00D92C64" w:rsidRPr="00236CAB" w:rsidRDefault="00647915">
      <w:pPr>
        <w:numPr>
          <w:ilvl w:val="0"/>
          <w:numId w:val="6"/>
        </w:numPr>
        <w:spacing w:line="360" w:lineRule="auto"/>
        <w:ind w:left="0" w:firstLine="0"/>
        <w:jc w:val="both"/>
        <w:rPr>
          <w:rFonts w:ascii="Palatino Linotype" w:eastAsia="Palatino Linotype" w:hAnsi="Palatino Linotype" w:cs="Palatino Linotype"/>
        </w:rPr>
      </w:pPr>
      <w:r w:rsidRPr="00236CAB">
        <w:rPr>
          <w:rFonts w:ascii="Palatino Linotype" w:eastAsia="Palatino Linotype" w:hAnsi="Palatino Linotype" w:cs="Palatino Linotype"/>
        </w:rPr>
        <w:t xml:space="preserve">Por lo que el nombre del solicitando y recurrente no puede ser considerado un requisito indispensable de procedibilidad del recurso de revisión que nos ocupa, ya </w:t>
      </w:r>
      <w:r w:rsidRPr="00236CAB">
        <w:rPr>
          <w:rFonts w:ascii="Palatino Linotype" w:eastAsia="Palatino Linotype" w:hAnsi="Palatino Linotype" w:cs="Palatino Linotype"/>
        </w:rPr>
        <w:lastRenderedPageBreak/>
        <w:t>que el acceso a la información no está condicionado a acreditar algún interés ya sea jurídico o legítimo, máxime que es un elemento subsanable por este Órgano Resolutor.</w:t>
      </w:r>
    </w:p>
    <w:p w14:paraId="6FF1F169" w14:textId="77777777" w:rsidR="00D92C64" w:rsidRPr="00236CAB" w:rsidRDefault="00647915">
      <w:pPr>
        <w:numPr>
          <w:ilvl w:val="0"/>
          <w:numId w:val="6"/>
        </w:numPr>
        <w:pBdr>
          <w:top w:val="nil"/>
          <w:left w:val="nil"/>
          <w:bottom w:val="nil"/>
          <w:right w:val="nil"/>
          <w:between w:val="nil"/>
        </w:pBdr>
        <w:tabs>
          <w:tab w:val="left" w:pos="284"/>
          <w:tab w:val="left" w:pos="426"/>
        </w:tabs>
        <w:spacing w:before="240" w:line="360" w:lineRule="auto"/>
        <w:ind w:left="0" w:right="49"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Consecuencia de lo anterior, esta Ponencia Resolutora reconoce que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FC73AF6" w14:textId="77777777" w:rsidR="00D92C64" w:rsidRPr="00236CAB" w:rsidRDefault="00D92C64">
      <w:pPr>
        <w:pBdr>
          <w:top w:val="nil"/>
          <w:left w:val="nil"/>
          <w:bottom w:val="nil"/>
          <w:right w:val="nil"/>
          <w:between w:val="nil"/>
        </w:pBdr>
        <w:tabs>
          <w:tab w:val="left" w:pos="284"/>
          <w:tab w:val="left" w:pos="426"/>
        </w:tabs>
        <w:rPr>
          <w:rFonts w:ascii="Palatino Linotype" w:eastAsia="Palatino Linotype" w:hAnsi="Palatino Linotype" w:cs="Palatino Linotype"/>
          <w:color w:val="000000"/>
        </w:rPr>
      </w:pPr>
    </w:p>
    <w:p w14:paraId="092DC5EA" w14:textId="77777777" w:rsidR="00600E17" w:rsidRPr="00236CAB" w:rsidRDefault="00600E17">
      <w:pPr>
        <w:pBdr>
          <w:top w:val="nil"/>
          <w:left w:val="nil"/>
          <w:bottom w:val="nil"/>
          <w:right w:val="nil"/>
          <w:between w:val="nil"/>
        </w:pBdr>
        <w:tabs>
          <w:tab w:val="left" w:pos="284"/>
          <w:tab w:val="left" w:pos="426"/>
        </w:tabs>
        <w:rPr>
          <w:rFonts w:ascii="Palatino Linotype" w:eastAsia="Palatino Linotype" w:hAnsi="Palatino Linotype" w:cs="Palatino Linotype"/>
          <w:color w:val="000000"/>
        </w:rPr>
      </w:pPr>
    </w:p>
    <w:p w14:paraId="3C0E4D9E" w14:textId="77777777" w:rsidR="00D92C64" w:rsidRPr="00236CAB" w:rsidRDefault="00647915">
      <w:pPr>
        <w:spacing w:line="360" w:lineRule="auto"/>
        <w:ind w:right="49"/>
        <w:jc w:val="both"/>
        <w:rPr>
          <w:rFonts w:ascii="Palatino Linotype" w:eastAsia="Palatino Linotype" w:hAnsi="Palatino Linotype" w:cs="Palatino Linotype"/>
          <w:b/>
        </w:rPr>
      </w:pPr>
      <w:bookmarkStart w:id="5" w:name="_heading=h.tyjcwt" w:colFirst="0" w:colLast="0"/>
      <w:bookmarkEnd w:id="5"/>
      <w:r w:rsidRPr="00236CAB">
        <w:rPr>
          <w:rFonts w:ascii="Palatino Linotype" w:eastAsia="Palatino Linotype" w:hAnsi="Palatino Linotype" w:cs="Palatino Linotype"/>
          <w:b/>
        </w:rPr>
        <w:t>TERCERO. Planteamiento de la Litis.</w:t>
      </w:r>
    </w:p>
    <w:p w14:paraId="0BC4754D" w14:textId="77777777" w:rsidR="00D92C64" w:rsidRPr="00236CAB" w:rsidRDefault="00647915">
      <w:pPr>
        <w:numPr>
          <w:ilvl w:val="0"/>
          <w:numId w:val="6"/>
        </w:numPr>
        <w:spacing w:line="360" w:lineRule="auto"/>
        <w:ind w:left="0" w:right="49" w:firstLine="0"/>
        <w:jc w:val="both"/>
        <w:rPr>
          <w:rFonts w:ascii="Palatino Linotype" w:eastAsia="Palatino Linotype" w:hAnsi="Palatino Linotype" w:cs="Palatino Linotype"/>
          <w:i/>
        </w:rPr>
      </w:pPr>
      <w:r w:rsidRPr="00236CAB">
        <w:rPr>
          <w:rFonts w:ascii="Palatino Linotype" w:eastAsia="Palatino Linotype" w:hAnsi="Palatino Linotype" w:cs="Palatino Linotype"/>
        </w:rPr>
        <w:t>El particular solicitó:</w:t>
      </w:r>
    </w:p>
    <w:p w14:paraId="0AD4C8B8" w14:textId="77777777" w:rsidR="00D92C64" w:rsidRPr="00236CAB" w:rsidRDefault="00647915">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rPr>
      </w:pPr>
      <w:r w:rsidRPr="00236CAB">
        <w:rPr>
          <w:rFonts w:ascii="Palatino Linotype" w:eastAsia="Palatino Linotype" w:hAnsi="Palatino Linotype" w:cs="Palatino Linotype"/>
          <w:color w:val="000000"/>
        </w:rPr>
        <w:t>De la titular de Control y Bienestar Animal, el perfil del puesto, título profesional, currículum, recibos de nómina de septiembre,  actividades que ha realizado y método para contratarla.</w:t>
      </w:r>
    </w:p>
    <w:p w14:paraId="2024E1BC" w14:textId="77777777" w:rsidR="00D92C64" w:rsidRPr="00236CAB" w:rsidRDefault="00647915">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i/>
          <w:color w:val="000000"/>
        </w:rPr>
        <w:t xml:space="preserve"> </w:t>
      </w:r>
      <w:r w:rsidRPr="00236CAB">
        <w:rPr>
          <w:rFonts w:ascii="Palatino Linotype" w:eastAsia="Palatino Linotype" w:hAnsi="Palatino Linotype" w:cs="Palatino Linotype"/>
          <w:color w:val="000000"/>
        </w:rPr>
        <w:t>Del Titular de Transparencia, documento que dé cuenta de las actividades que realiza, título profesional, currículum, certificado de competencia laboral vigente, recibos de nómina de septiembre y listas de asistencia.</w:t>
      </w:r>
    </w:p>
    <w:p w14:paraId="41F4A730" w14:textId="77777777" w:rsidR="00D92C64" w:rsidRPr="00236CAB" w:rsidRDefault="00D92C64">
      <w:pPr>
        <w:pBdr>
          <w:top w:val="nil"/>
          <w:left w:val="nil"/>
          <w:bottom w:val="nil"/>
          <w:right w:val="nil"/>
          <w:between w:val="nil"/>
        </w:pBdr>
        <w:spacing w:line="360" w:lineRule="auto"/>
        <w:ind w:left="720" w:right="49"/>
        <w:jc w:val="both"/>
        <w:rPr>
          <w:rFonts w:ascii="Palatino Linotype" w:eastAsia="Palatino Linotype" w:hAnsi="Palatino Linotype" w:cs="Palatino Linotype"/>
          <w:color w:val="000000"/>
        </w:rPr>
      </w:pPr>
    </w:p>
    <w:p w14:paraId="61BEB7A0" w14:textId="77777777" w:rsidR="00D92C64" w:rsidRPr="00236CAB" w:rsidRDefault="00647915" w:rsidP="000C4DA0">
      <w:pPr>
        <w:pBdr>
          <w:top w:val="nil"/>
          <w:left w:val="nil"/>
          <w:bottom w:val="nil"/>
          <w:right w:val="nil"/>
          <w:between w:val="nil"/>
        </w:pBdr>
        <w:spacing w:line="360" w:lineRule="auto"/>
        <w:ind w:right="34"/>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 xml:space="preserve">Posteriormente, en respuesta a la información de solicitada de la titular de Control y Bienestar Animal entregó adjuntó constancia de Título en Trámite, currículum, nombramiento, seis constancias a nombre de la servidora pública, dos recibos de nómina pertenecientes a la primera segunda quincena de septiembre de dos mil veintitrés y el presupuesto basado en resultados (PbRM-01m, calendarización de metas mensuales por proyecto), del ejercicio fiscal 2023; por lo que se refiere a la </w:t>
      </w:r>
      <w:r w:rsidRPr="00236CAB">
        <w:rPr>
          <w:rFonts w:ascii="Palatino Linotype" w:eastAsia="Palatino Linotype" w:hAnsi="Palatino Linotype" w:cs="Palatino Linotype"/>
          <w:color w:val="000000"/>
        </w:rPr>
        <w:lastRenderedPageBreak/>
        <w:t>información del Titular de la Unidad de Transparencia entregó listas de asistencia del servidor público correspondientes al mes de septiembre de dos mil veintidós, Título Profesional, certificado de competencia laboral, documento con el PbRM-01m Calendarización de Metas Mensuales por Proyecto, currículum vitae del servidor público y dos recibos de nómina correspondientes a la primera y segunda quincena del mes de septiembre de dos mil veintitrés.</w:t>
      </w:r>
    </w:p>
    <w:p w14:paraId="6C975122" w14:textId="77777777" w:rsidR="00D92C64" w:rsidRPr="00236CAB" w:rsidRDefault="00D92C64">
      <w:pPr>
        <w:spacing w:line="360" w:lineRule="auto"/>
        <w:ind w:right="49"/>
        <w:jc w:val="both"/>
        <w:rPr>
          <w:rFonts w:ascii="Palatino Linotype" w:eastAsia="Palatino Linotype" w:hAnsi="Palatino Linotype" w:cs="Palatino Linotype"/>
          <w:i/>
        </w:rPr>
      </w:pPr>
    </w:p>
    <w:p w14:paraId="041087A8" w14:textId="77777777" w:rsidR="00D92C64" w:rsidRPr="00236CAB" w:rsidRDefault="00647915">
      <w:pPr>
        <w:numPr>
          <w:ilvl w:val="0"/>
          <w:numId w:val="6"/>
        </w:numPr>
        <w:spacing w:line="360" w:lineRule="auto"/>
        <w:ind w:left="0" w:right="49" w:firstLine="0"/>
        <w:jc w:val="both"/>
        <w:rPr>
          <w:rFonts w:ascii="Palatino Linotype" w:eastAsia="Palatino Linotype" w:hAnsi="Palatino Linotype" w:cs="Palatino Linotype"/>
          <w:i/>
        </w:rPr>
      </w:pPr>
      <w:r w:rsidRPr="00236CAB">
        <w:rPr>
          <w:rFonts w:ascii="Palatino Linotype" w:eastAsia="Palatino Linotype" w:hAnsi="Palatino Linotype" w:cs="Palatino Linotype"/>
        </w:rPr>
        <w:t xml:space="preserve">Derivado de la respuesta, el recurrente manifestó su inconformidad por lo siguiente la entrega de información incompleta y la clasificación de la información. </w:t>
      </w:r>
    </w:p>
    <w:p w14:paraId="0930E6B7" w14:textId="77777777" w:rsidR="00D92C64" w:rsidRPr="00236CAB" w:rsidRDefault="00647915">
      <w:pPr>
        <w:numPr>
          <w:ilvl w:val="0"/>
          <w:numId w:val="6"/>
        </w:numPr>
        <w:spacing w:line="360" w:lineRule="auto"/>
        <w:ind w:left="0" w:right="49" w:firstLine="0"/>
        <w:jc w:val="both"/>
        <w:rPr>
          <w:rFonts w:ascii="Palatino Linotype" w:eastAsia="Palatino Linotype" w:hAnsi="Palatino Linotype" w:cs="Palatino Linotype"/>
          <w:b/>
        </w:rPr>
      </w:pPr>
      <w:r w:rsidRPr="00236CAB">
        <w:rPr>
          <w:rFonts w:ascii="Palatino Linotype" w:eastAsia="Palatino Linotype" w:hAnsi="Palatino Linotype" w:cs="Palatino Linotype"/>
        </w:rPr>
        <w:t>En consecuencia, la Litis a resolver en este recurso, se circunscribe a determinar si la respuesta colma con lo solicitado o si se actualiza la causal de procedencia prevista en el artículo 179, fracción I, II y V de la Ley de Transparencia y Acceso a la Información Pública del Estado de México y Municipios; que establece la negativa de la información, la clasificación y la entrega de información incompleta.</w:t>
      </w:r>
    </w:p>
    <w:p w14:paraId="340FB42D" w14:textId="77777777" w:rsidR="00D92C64" w:rsidRPr="00236CAB" w:rsidRDefault="00D92C64">
      <w:pPr>
        <w:spacing w:line="360" w:lineRule="auto"/>
        <w:ind w:right="49"/>
        <w:jc w:val="both"/>
        <w:rPr>
          <w:rFonts w:ascii="Palatino Linotype" w:eastAsia="Palatino Linotype" w:hAnsi="Palatino Linotype" w:cs="Palatino Linotype"/>
        </w:rPr>
      </w:pPr>
    </w:p>
    <w:p w14:paraId="597FF6F1" w14:textId="77777777" w:rsidR="00D92C64" w:rsidRPr="00236CAB" w:rsidRDefault="00647915">
      <w:pPr>
        <w:keepNext/>
        <w:keepLines/>
        <w:spacing w:line="360" w:lineRule="auto"/>
        <w:ind w:right="48"/>
        <w:rPr>
          <w:rFonts w:ascii="Palatino Linotype" w:eastAsia="Palatino Linotype" w:hAnsi="Palatino Linotype" w:cs="Palatino Linotype"/>
          <w:b/>
        </w:rPr>
      </w:pPr>
      <w:bookmarkStart w:id="6" w:name="_heading=h.3dy6vkm" w:colFirst="0" w:colLast="0"/>
      <w:bookmarkEnd w:id="6"/>
      <w:r w:rsidRPr="00236CAB">
        <w:rPr>
          <w:rFonts w:ascii="Palatino Linotype" w:eastAsia="Palatino Linotype" w:hAnsi="Palatino Linotype" w:cs="Palatino Linotype"/>
          <w:b/>
        </w:rPr>
        <w:t>CUARTO. Del estudio y resolución del recurso de revisión.</w:t>
      </w:r>
    </w:p>
    <w:p w14:paraId="1D31582A" w14:textId="77777777" w:rsidR="00D92C64" w:rsidRPr="00236CAB" w:rsidRDefault="00647915">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rPr>
      </w:pPr>
      <w:r w:rsidRPr="00236CAB">
        <w:rPr>
          <w:rFonts w:ascii="Palatino Linotype" w:eastAsia="Palatino Linotype" w:hAnsi="Palatino Linotype" w:cs="Palatino Linotype"/>
          <w:b/>
          <w:color w:val="000000"/>
        </w:rPr>
        <w:t>Del recurso de revisión 07571/INFOEM/IP/RR/2023</w:t>
      </w:r>
    </w:p>
    <w:p w14:paraId="09100A38" w14:textId="77777777" w:rsidR="00D92C64" w:rsidRPr="00236CAB" w:rsidRDefault="00647915">
      <w:pPr>
        <w:numPr>
          <w:ilvl w:val="0"/>
          <w:numId w:val="6"/>
        </w:numPr>
        <w:spacing w:line="360" w:lineRule="auto"/>
        <w:ind w:left="0" w:right="49" w:firstLine="0"/>
        <w:jc w:val="both"/>
        <w:rPr>
          <w:rFonts w:ascii="Palatino Linotype" w:eastAsia="Palatino Linotype" w:hAnsi="Palatino Linotype" w:cs="Palatino Linotype"/>
        </w:rPr>
      </w:pPr>
      <w:r w:rsidRPr="00236CAB">
        <w:rPr>
          <w:rFonts w:ascii="Palatino Linotype" w:eastAsia="Palatino Linotype" w:hAnsi="Palatino Linotype" w:cs="Palatino Linotype"/>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14:paraId="4764BA58" w14:textId="77777777" w:rsidR="00D92C64" w:rsidRPr="00236CAB" w:rsidRDefault="00D92C64">
      <w:pPr>
        <w:spacing w:line="360" w:lineRule="auto"/>
        <w:ind w:right="49"/>
        <w:jc w:val="both"/>
        <w:rPr>
          <w:rFonts w:ascii="Palatino Linotype" w:eastAsia="Palatino Linotype" w:hAnsi="Palatino Linotype" w:cs="Palatino Linotype"/>
        </w:rPr>
      </w:pPr>
    </w:p>
    <w:p w14:paraId="7E4D9E0D" w14:textId="77777777" w:rsidR="00D92C64" w:rsidRPr="00236CAB" w:rsidRDefault="00647915">
      <w:pPr>
        <w:numPr>
          <w:ilvl w:val="0"/>
          <w:numId w:val="6"/>
        </w:numPr>
        <w:spacing w:line="360" w:lineRule="auto"/>
        <w:ind w:left="0" w:right="49" w:firstLine="0"/>
        <w:jc w:val="both"/>
        <w:rPr>
          <w:rFonts w:ascii="Palatino Linotype" w:eastAsia="Palatino Linotype" w:hAnsi="Palatino Linotype" w:cs="Palatino Linotype"/>
        </w:rPr>
      </w:pPr>
      <w:r w:rsidRPr="00236CAB">
        <w:rPr>
          <w:rFonts w:ascii="Palatino Linotype" w:eastAsia="Palatino Linotype" w:hAnsi="Palatino Linotype" w:cs="Palatino Linotype"/>
        </w:rPr>
        <w:lastRenderedPageBreak/>
        <w:t xml:space="preserve">En este caso, el particular solicitó del Titular de Transparencia, documento que dé cuenta de las actividades que realiza, título profesional, currículum, certificado de competencia laboral vigente, recibos de nómina de septiembre y listas de asistencia. </w:t>
      </w:r>
    </w:p>
    <w:p w14:paraId="02B561FF" w14:textId="77777777" w:rsidR="00D92C64" w:rsidRPr="00236CAB" w:rsidRDefault="00D92C64">
      <w:pPr>
        <w:pBdr>
          <w:top w:val="nil"/>
          <w:left w:val="nil"/>
          <w:bottom w:val="nil"/>
          <w:right w:val="nil"/>
          <w:between w:val="nil"/>
        </w:pBdr>
        <w:ind w:left="720"/>
        <w:rPr>
          <w:rFonts w:ascii="Palatino Linotype" w:eastAsia="Palatino Linotype" w:hAnsi="Palatino Linotype" w:cs="Palatino Linotype"/>
          <w:color w:val="000000"/>
        </w:rPr>
      </w:pPr>
    </w:p>
    <w:p w14:paraId="037D1E20" w14:textId="77777777" w:rsidR="00D92C64" w:rsidRPr="00236CAB" w:rsidRDefault="00647915">
      <w:pPr>
        <w:numPr>
          <w:ilvl w:val="0"/>
          <w:numId w:val="6"/>
        </w:numPr>
        <w:spacing w:line="360" w:lineRule="auto"/>
        <w:ind w:left="0" w:right="49" w:firstLine="0"/>
        <w:jc w:val="both"/>
        <w:rPr>
          <w:rFonts w:ascii="Palatino Linotype" w:eastAsia="Palatino Linotype" w:hAnsi="Palatino Linotype" w:cs="Palatino Linotype"/>
        </w:rPr>
      </w:pPr>
      <w:r w:rsidRPr="00236CAB">
        <w:rPr>
          <w:rFonts w:ascii="Palatino Linotype" w:eastAsia="Palatino Linotype" w:hAnsi="Palatino Linotype" w:cs="Palatino Linotype"/>
        </w:rPr>
        <w:t xml:space="preserve">En respuesta, entregó las listas de asistencia del servidor público correspondientes al mes de septiembre de dos mil veintidós, Título Profesional, certificado de competencia laboral, documento con el PbRM-01m Calendarización de Metas Mensuales por Proyecto, currículum vitae del servidor público y dos recibos de nómina correspondientes a la primera y segunda quincena del mes de septiembre de dos mil veintitrés. Consecuentemente, el particular se inconformó por </w:t>
      </w:r>
      <w:r w:rsidRPr="00236CAB">
        <w:rPr>
          <w:rFonts w:ascii="Palatino Linotype" w:eastAsia="Palatino Linotype" w:hAnsi="Palatino Linotype" w:cs="Palatino Linotype"/>
          <w:i/>
        </w:rPr>
        <w:t>“</w:t>
      </w:r>
      <w:r w:rsidRPr="00236CAB">
        <w:rPr>
          <w:rFonts w:ascii="Palatino Linotype" w:eastAsia="Palatino Linotype" w:hAnsi="Palatino Linotype" w:cs="Palatino Linotype"/>
          <w:i/>
          <w:color w:val="000000"/>
        </w:rPr>
        <w:t>No envían el acuerdo que clasifica los datos Dejan datos visibles y yo quiero en versión pública”.</w:t>
      </w:r>
      <w:r w:rsidRPr="00236CAB">
        <w:rPr>
          <w:rFonts w:ascii="Verdana" w:eastAsia="Verdana" w:hAnsi="Verdana" w:cs="Verdana"/>
          <w:color w:val="000000"/>
        </w:rPr>
        <w:t xml:space="preserve"> </w:t>
      </w:r>
    </w:p>
    <w:p w14:paraId="71F964BA" w14:textId="77777777" w:rsidR="00D92C64" w:rsidRPr="00236CAB" w:rsidRDefault="00D92C64">
      <w:pPr>
        <w:pBdr>
          <w:top w:val="nil"/>
          <w:left w:val="nil"/>
          <w:bottom w:val="nil"/>
          <w:right w:val="nil"/>
          <w:between w:val="nil"/>
        </w:pBdr>
        <w:ind w:left="720"/>
        <w:rPr>
          <w:rFonts w:ascii="Palatino Linotype" w:eastAsia="Palatino Linotype" w:hAnsi="Palatino Linotype" w:cs="Palatino Linotype"/>
          <w:color w:val="000000"/>
        </w:rPr>
      </w:pPr>
    </w:p>
    <w:p w14:paraId="079A1FC3" w14:textId="77777777" w:rsidR="00D92C64" w:rsidRPr="00236CAB" w:rsidRDefault="00647915">
      <w:pPr>
        <w:numPr>
          <w:ilvl w:val="0"/>
          <w:numId w:val="6"/>
        </w:numPr>
        <w:spacing w:line="360" w:lineRule="auto"/>
        <w:ind w:left="0" w:right="49" w:firstLine="0"/>
        <w:jc w:val="both"/>
        <w:rPr>
          <w:rFonts w:ascii="Palatino Linotype" w:eastAsia="Palatino Linotype" w:hAnsi="Palatino Linotype" w:cs="Palatino Linotype"/>
        </w:rPr>
      </w:pPr>
      <w:r w:rsidRPr="00236CAB">
        <w:rPr>
          <w:rFonts w:ascii="Palatino Linotype" w:eastAsia="Palatino Linotype" w:hAnsi="Palatino Linotype" w:cs="Palatino Linotype"/>
        </w:rPr>
        <w:t xml:space="preserve">Ahora bien, la inconformidad del RECURRENTE radica en la falta del acuerdo de clasificación de la información y de los datos que se dejaron visibles, es decir, que el particular no se inconformó por las documentales emitidas en respuesta; en este caso, la parte de la respuesta que no fue impugnada debe declararse consentida, toda vez que al no realizar manifestaciones de inconformidad respecto de la respuesta proporcionada, no pueden producirse efectos jurídicos tendentes a revocar, confirmar o modificar el acto reclamado, ya que no realizó manifestación alguna al respecto. </w:t>
      </w:r>
    </w:p>
    <w:p w14:paraId="3EC12B45" w14:textId="77777777" w:rsidR="00D92C64" w:rsidRPr="00236CAB" w:rsidRDefault="00D92C64">
      <w:pPr>
        <w:pBdr>
          <w:top w:val="nil"/>
          <w:left w:val="nil"/>
          <w:bottom w:val="nil"/>
          <w:right w:val="nil"/>
          <w:between w:val="nil"/>
        </w:pBdr>
        <w:ind w:left="720"/>
        <w:rPr>
          <w:rFonts w:ascii="Palatino Linotype" w:eastAsia="Palatino Linotype" w:hAnsi="Palatino Linotype" w:cs="Palatino Linotype"/>
          <w:color w:val="000000"/>
        </w:rPr>
      </w:pPr>
    </w:p>
    <w:p w14:paraId="13A5CF16" w14:textId="77777777" w:rsidR="00D92C64" w:rsidRPr="00236CAB" w:rsidRDefault="00647915">
      <w:pPr>
        <w:numPr>
          <w:ilvl w:val="0"/>
          <w:numId w:val="6"/>
        </w:numPr>
        <w:spacing w:line="360" w:lineRule="auto"/>
        <w:ind w:left="0" w:right="49" w:firstLine="0"/>
        <w:jc w:val="both"/>
        <w:rPr>
          <w:rFonts w:ascii="Palatino Linotype" w:eastAsia="Palatino Linotype" w:hAnsi="Palatino Linotype" w:cs="Palatino Linotype"/>
        </w:rPr>
      </w:pPr>
      <w:r w:rsidRPr="00236CAB">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14:paraId="5B062A60" w14:textId="77777777" w:rsidR="00D92C64" w:rsidRPr="00236CAB" w:rsidRDefault="00647915">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rPr>
      </w:pPr>
      <w:r w:rsidRPr="00236CAB">
        <w:rPr>
          <w:rFonts w:ascii="Palatino Linotype" w:eastAsia="Palatino Linotype" w:hAnsi="Palatino Linotype" w:cs="Palatino Linotype"/>
          <w:i/>
          <w:color w:val="000000"/>
          <w:sz w:val="22"/>
        </w:rPr>
        <w:t xml:space="preserve">“ACTOS CONSENTIDOS. SON LOS QUE NO SE IMPUGNAN MEDIANTE EL RECURSO IDÓNEO. Debe reputarse como consentido el acto que no se </w:t>
      </w:r>
      <w:r w:rsidRPr="00236CAB">
        <w:rPr>
          <w:rFonts w:ascii="Palatino Linotype" w:eastAsia="Palatino Linotype" w:hAnsi="Palatino Linotype" w:cs="Palatino Linotype"/>
          <w:i/>
          <w:color w:val="000000"/>
          <w:sz w:val="22"/>
        </w:rPr>
        <w:lastRenderedPageBreak/>
        <w:t>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694853C" w14:textId="77777777" w:rsidR="00D92C64" w:rsidRPr="00236CAB" w:rsidRDefault="00D92C64">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rPr>
      </w:pPr>
    </w:p>
    <w:p w14:paraId="5AC818E6" w14:textId="77777777" w:rsidR="00D92C64" w:rsidRPr="00236CAB" w:rsidRDefault="00647915">
      <w:pPr>
        <w:numPr>
          <w:ilvl w:val="0"/>
          <w:numId w:val="6"/>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 xml:space="preserve">Lo anterior es así, debido a que cuando el particular impugnó la respuesta del SUJETO OBLIGADO, y no expresó razón o motivo de inconformidad en contra de lo que se le hizo entrega, si no de la clasificación, por tanto, estos deben declararse atendidos, pues se entiende que EL RECURRENTE está conforme con la respuesta proporcionada por El Sujeto Obligado, al no contravenir la misma. </w:t>
      </w:r>
    </w:p>
    <w:p w14:paraId="4970220B" w14:textId="77777777" w:rsidR="00D92C64" w:rsidRPr="00236CAB" w:rsidRDefault="00D92C64">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14:paraId="6DD6EED0" w14:textId="77777777" w:rsidR="00D92C64" w:rsidRPr="00236CAB" w:rsidRDefault="00647915">
      <w:pPr>
        <w:numPr>
          <w:ilvl w:val="0"/>
          <w:numId w:val="6"/>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Atento a ello, es importante traer a contexto la Tesis Jurisprudencial Número 3ª./J.7/91, Publicada en el Semanario Judicial de la Federación y su Gaceta bajo el número de registro 174,177, que establece lo siguiente:</w:t>
      </w:r>
    </w:p>
    <w:p w14:paraId="69949433" w14:textId="77777777" w:rsidR="00D92C64" w:rsidRPr="00236CAB" w:rsidRDefault="00647915">
      <w:pPr>
        <w:pBdr>
          <w:top w:val="nil"/>
          <w:left w:val="nil"/>
          <w:bottom w:val="nil"/>
          <w:right w:val="nil"/>
          <w:between w:val="nil"/>
        </w:pBdr>
        <w:spacing w:after="240" w:line="360" w:lineRule="auto"/>
        <w:ind w:left="851" w:right="822"/>
        <w:jc w:val="both"/>
        <w:rPr>
          <w:rFonts w:ascii="Palatino Linotype" w:eastAsia="Palatino Linotype" w:hAnsi="Palatino Linotype" w:cs="Palatino Linotype"/>
          <w:i/>
          <w:color w:val="000000"/>
          <w:sz w:val="22"/>
        </w:rPr>
      </w:pPr>
      <w:r w:rsidRPr="00236CAB">
        <w:rPr>
          <w:rFonts w:ascii="Palatino Linotype" w:eastAsia="Palatino Linotype" w:hAnsi="Palatino Linotype" w:cs="Palatino Linotype"/>
          <w:i/>
          <w:color w:val="000000"/>
          <w:sz w:val="22"/>
        </w:rPr>
        <w:t>“REVISIÓN EN AMPARO. LOS RESOLUTIVOS NO COMBATIDOS DEBEN DECLARARSE FIRMES.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4066570" w14:textId="77777777" w:rsidR="00D92C64" w:rsidRPr="00236CAB" w:rsidRDefault="00647915">
      <w:pPr>
        <w:numPr>
          <w:ilvl w:val="0"/>
          <w:numId w:val="6"/>
        </w:numPr>
        <w:spacing w:line="360" w:lineRule="auto"/>
        <w:ind w:left="0" w:right="49" w:firstLine="0"/>
        <w:jc w:val="both"/>
        <w:rPr>
          <w:rFonts w:ascii="Palatino Linotype" w:eastAsia="Palatino Linotype" w:hAnsi="Palatino Linotype" w:cs="Palatino Linotype"/>
        </w:rPr>
      </w:pPr>
      <w:r w:rsidRPr="00236CAB">
        <w:rPr>
          <w:rFonts w:ascii="Palatino Linotype" w:eastAsia="Palatino Linotype" w:hAnsi="Palatino Linotype" w:cs="Palatino Linotype"/>
        </w:rPr>
        <w:lastRenderedPageBreak/>
        <w:t xml:space="preserve">Conforme al Criterio establecido, es improcedente entrar al análisis de las partes de la respuesta del Sujeto Obligado que no fueron impugnadas por el Recurrente; por lo que, en el presente caso, se tiene por consentida parte de la información proporcionada por el Ente Recurrido, en respuesta. En este contexto, se hará pronunciamiento, únicamente por la clasificación de la información entregada en respuesta. </w:t>
      </w:r>
    </w:p>
    <w:p w14:paraId="046E254D" w14:textId="77777777" w:rsidR="00D92C64" w:rsidRPr="00236CAB" w:rsidRDefault="00D92C64">
      <w:pPr>
        <w:spacing w:line="360" w:lineRule="auto"/>
        <w:ind w:right="49"/>
        <w:jc w:val="both"/>
        <w:rPr>
          <w:rFonts w:ascii="Palatino Linotype" w:eastAsia="Palatino Linotype" w:hAnsi="Palatino Linotype" w:cs="Palatino Linotype"/>
        </w:rPr>
      </w:pPr>
    </w:p>
    <w:p w14:paraId="1099A383" w14:textId="77777777" w:rsidR="00D92C64" w:rsidRPr="00236CAB" w:rsidRDefault="00647915">
      <w:pPr>
        <w:numPr>
          <w:ilvl w:val="0"/>
          <w:numId w:val="6"/>
        </w:numPr>
        <w:spacing w:line="360" w:lineRule="auto"/>
        <w:ind w:left="0" w:right="49" w:firstLine="0"/>
        <w:jc w:val="both"/>
        <w:rPr>
          <w:rFonts w:ascii="Palatino Linotype" w:eastAsia="Palatino Linotype" w:hAnsi="Palatino Linotype" w:cs="Palatino Linotype"/>
        </w:rPr>
      </w:pPr>
      <w:r w:rsidRPr="00236CAB">
        <w:rPr>
          <w:rFonts w:ascii="Palatino Linotype" w:eastAsia="Palatino Linotype" w:hAnsi="Palatino Linotype" w:cs="Palatino Linotype"/>
          <w:color w:val="000000"/>
        </w:rPr>
        <w:t>En este caso, es importante señalar que para la clasificación de la información se debe atender a cierta formalidades establecidas en la Ley, a</w:t>
      </w:r>
      <w:r w:rsidRPr="00236CAB">
        <w:rPr>
          <w:rFonts w:ascii="Palatino Linotype" w:eastAsia="Palatino Linotype" w:hAnsi="Palatino Linotype" w:cs="Palatino Linotype"/>
        </w:rPr>
        <w:t>l respecto, los Lineamientos Generales en Materia de Clasificación y Desclasificación de la Información, así Como para la Elaboración de Versiones Públicas, por cuanto hace a la clasificación de la información, señalan lo siguiente:</w:t>
      </w:r>
    </w:p>
    <w:p w14:paraId="71229654" w14:textId="77777777" w:rsidR="00D92C64" w:rsidRPr="00236CAB" w:rsidRDefault="00647915">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rPr>
      </w:pPr>
      <w:r w:rsidRPr="00236CAB">
        <w:rPr>
          <w:rFonts w:ascii="Palatino Linotype" w:eastAsia="Palatino Linotype" w:hAnsi="Palatino Linotype" w:cs="Palatino Linotype"/>
          <w:i/>
          <w:color w:val="000000"/>
          <w:sz w:val="22"/>
        </w:rPr>
        <w:t>“</w:t>
      </w:r>
      <w:r w:rsidRPr="00236CAB">
        <w:rPr>
          <w:rFonts w:ascii="Palatino Linotype" w:eastAsia="Palatino Linotype" w:hAnsi="Palatino Linotype" w:cs="Palatino Linotype"/>
          <w:b/>
          <w:i/>
          <w:color w:val="000000"/>
          <w:sz w:val="22"/>
        </w:rPr>
        <w:t>Quincuagésimo.</w:t>
      </w:r>
      <w:r w:rsidRPr="00236CAB">
        <w:rPr>
          <w:rFonts w:ascii="Palatino Linotype" w:eastAsia="Palatino Linotype" w:hAnsi="Palatino Linotype" w:cs="Palatino Linotype"/>
          <w:i/>
          <w:color w:val="000000"/>
          <w:sz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56EE0821" w14:textId="77777777" w:rsidR="00D92C64" w:rsidRPr="00236CAB" w:rsidRDefault="00D92C64">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rPr>
      </w:pPr>
    </w:p>
    <w:p w14:paraId="04BABE52" w14:textId="77777777" w:rsidR="00D92C64" w:rsidRPr="00236CAB" w:rsidRDefault="00647915">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rPr>
      </w:pPr>
      <w:r w:rsidRPr="00236CAB">
        <w:rPr>
          <w:rFonts w:ascii="Palatino Linotype" w:eastAsia="Palatino Linotype" w:hAnsi="Palatino Linotype" w:cs="Palatino Linotype"/>
          <w:b/>
          <w:i/>
          <w:color w:val="000000"/>
          <w:sz w:val="22"/>
        </w:rPr>
        <w:t>Quincuagésimo primero.</w:t>
      </w:r>
      <w:r w:rsidRPr="00236CAB">
        <w:rPr>
          <w:rFonts w:ascii="Palatino Linotype" w:eastAsia="Palatino Linotype" w:hAnsi="Palatino Linotype" w:cs="Palatino Linotype"/>
          <w:i/>
          <w:color w:val="000000"/>
          <w:sz w:val="22"/>
        </w:rPr>
        <w:t xml:space="preserve"> La leyenda en los documentos clasificados indicará:</w:t>
      </w:r>
    </w:p>
    <w:p w14:paraId="0B240B96" w14:textId="77777777" w:rsidR="00D92C64" w:rsidRPr="00236CAB" w:rsidRDefault="00647915">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rPr>
      </w:pPr>
      <w:r w:rsidRPr="00236CAB">
        <w:rPr>
          <w:rFonts w:ascii="Palatino Linotype" w:eastAsia="Palatino Linotype" w:hAnsi="Palatino Linotype" w:cs="Palatino Linotype"/>
          <w:i/>
          <w:color w:val="000000"/>
          <w:sz w:val="22"/>
        </w:rPr>
        <w:t>I. La fecha de sesión del Comité de Transparencia en donde se confirmó la clasificación, en su caso;</w:t>
      </w:r>
    </w:p>
    <w:p w14:paraId="00DD2B06" w14:textId="77777777" w:rsidR="00D92C64" w:rsidRPr="00236CAB" w:rsidRDefault="00647915">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rPr>
      </w:pPr>
      <w:r w:rsidRPr="00236CAB">
        <w:rPr>
          <w:rFonts w:ascii="Palatino Linotype" w:eastAsia="Palatino Linotype" w:hAnsi="Palatino Linotype" w:cs="Palatino Linotype"/>
          <w:i/>
          <w:color w:val="000000"/>
          <w:sz w:val="22"/>
        </w:rPr>
        <w:t>II. El nombre del área;</w:t>
      </w:r>
    </w:p>
    <w:p w14:paraId="3FC83B21" w14:textId="77777777" w:rsidR="00D92C64" w:rsidRPr="00236CAB" w:rsidRDefault="00647915">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rPr>
      </w:pPr>
      <w:r w:rsidRPr="00236CAB">
        <w:rPr>
          <w:rFonts w:ascii="Palatino Linotype" w:eastAsia="Palatino Linotype" w:hAnsi="Palatino Linotype" w:cs="Palatino Linotype"/>
          <w:i/>
          <w:color w:val="000000"/>
          <w:sz w:val="22"/>
        </w:rPr>
        <w:t>III. La palabra reservado o confidencial;</w:t>
      </w:r>
    </w:p>
    <w:p w14:paraId="7F91326F" w14:textId="77777777" w:rsidR="00D92C64" w:rsidRPr="00236CAB" w:rsidRDefault="00647915">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rPr>
      </w:pPr>
      <w:r w:rsidRPr="00236CAB">
        <w:rPr>
          <w:rFonts w:ascii="Palatino Linotype" w:eastAsia="Palatino Linotype" w:hAnsi="Palatino Linotype" w:cs="Palatino Linotype"/>
          <w:i/>
          <w:color w:val="000000"/>
          <w:sz w:val="22"/>
        </w:rPr>
        <w:t>IV. Las partes o secciones reservadas o confidenciales, en su caso;</w:t>
      </w:r>
    </w:p>
    <w:p w14:paraId="0048C2A4" w14:textId="77777777" w:rsidR="00D92C64" w:rsidRPr="00236CAB" w:rsidRDefault="00647915">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rPr>
      </w:pPr>
      <w:r w:rsidRPr="00236CAB">
        <w:rPr>
          <w:rFonts w:ascii="Palatino Linotype" w:eastAsia="Palatino Linotype" w:hAnsi="Palatino Linotype" w:cs="Palatino Linotype"/>
          <w:i/>
          <w:color w:val="000000"/>
          <w:sz w:val="22"/>
        </w:rPr>
        <w:t>V. El fundamento legal;</w:t>
      </w:r>
    </w:p>
    <w:p w14:paraId="025FB9DD" w14:textId="77777777" w:rsidR="00D92C64" w:rsidRPr="00236CAB" w:rsidRDefault="00647915">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rPr>
      </w:pPr>
      <w:r w:rsidRPr="00236CAB">
        <w:rPr>
          <w:rFonts w:ascii="Palatino Linotype" w:eastAsia="Palatino Linotype" w:hAnsi="Palatino Linotype" w:cs="Palatino Linotype"/>
          <w:i/>
          <w:color w:val="000000"/>
          <w:sz w:val="22"/>
        </w:rPr>
        <w:t>VI. El periodo de reserva, y</w:t>
      </w:r>
    </w:p>
    <w:p w14:paraId="2D6A142D" w14:textId="77777777" w:rsidR="00D92C64" w:rsidRPr="00236CAB" w:rsidRDefault="00647915">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rPr>
      </w:pPr>
      <w:r w:rsidRPr="00236CAB">
        <w:rPr>
          <w:rFonts w:ascii="Palatino Linotype" w:eastAsia="Palatino Linotype" w:hAnsi="Palatino Linotype" w:cs="Palatino Linotype"/>
          <w:i/>
          <w:color w:val="000000"/>
          <w:sz w:val="22"/>
        </w:rPr>
        <w:lastRenderedPageBreak/>
        <w:t>VII. La rúbrica del titular del área.</w:t>
      </w:r>
    </w:p>
    <w:p w14:paraId="5994CFBC" w14:textId="77777777" w:rsidR="00D92C64" w:rsidRPr="00236CAB" w:rsidRDefault="00D92C64">
      <w:pPr>
        <w:tabs>
          <w:tab w:val="left" w:pos="142"/>
          <w:tab w:val="left" w:pos="284"/>
          <w:tab w:val="left" w:pos="426"/>
        </w:tabs>
        <w:spacing w:line="360" w:lineRule="auto"/>
        <w:ind w:right="567"/>
        <w:jc w:val="both"/>
        <w:rPr>
          <w:rFonts w:ascii="Palatino Linotype" w:eastAsia="Palatino Linotype" w:hAnsi="Palatino Linotype" w:cs="Palatino Linotype"/>
          <w:i/>
        </w:rPr>
      </w:pPr>
    </w:p>
    <w:p w14:paraId="3CF2519A" w14:textId="77777777" w:rsidR="00D92C64" w:rsidRPr="00236CAB" w:rsidRDefault="00647915">
      <w:pPr>
        <w:numPr>
          <w:ilvl w:val="0"/>
          <w:numId w:val="6"/>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Una vez hecho lo anterior, se remite la información al Titular de la Unidad de Transparencia, con el acuerdo de clasificación correspondiente, para que sea sometido al conocimiento del Comité de Transparencia.</w:t>
      </w:r>
    </w:p>
    <w:p w14:paraId="37314B20" w14:textId="77777777" w:rsidR="00D92C64" w:rsidRPr="00236CAB" w:rsidRDefault="00D92C64">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791BDDB8" w14:textId="77777777" w:rsidR="00D92C64" w:rsidRPr="00236CAB" w:rsidRDefault="00647915">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rPr>
      </w:pPr>
      <w:bookmarkStart w:id="7" w:name="_heading=h.1t3h5sf" w:colFirst="0" w:colLast="0"/>
      <w:bookmarkEnd w:id="7"/>
      <w:r w:rsidRPr="00236CAB">
        <w:rPr>
          <w:rFonts w:ascii="Palatino Linotype" w:eastAsia="Palatino Linotype" w:hAnsi="Palatino Linotype" w:cs="Palatino Linotype"/>
          <w:b/>
          <w:color w:val="000000"/>
        </w:rPr>
        <w:t>La intervención del Comité de Transparencia.</w:t>
      </w:r>
    </w:p>
    <w:p w14:paraId="3D15C68B" w14:textId="77777777" w:rsidR="00D92C64" w:rsidRPr="00236CAB" w:rsidRDefault="00647915">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rPr>
      </w:pPr>
      <w:r w:rsidRPr="00236CAB">
        <w:rPr>
          <w:rFonts w:ascii="Palatino Linotype" w:eastAsia="Palatino Linotype" w:hAnsi="Palatino Linotype" w:cs="Palatino Linotype"/>
          <w:b/>
          <w:color w:val="000000"/>
        </w:rPr>
        <w:t>a) Formalidades para emitir el Acuerdo de Clasificación.</w:t>
      </w:r>
    </w:p>
    <w:p w14:paraId="076E8F27" w14:textId="77777777" w:rsidR="00D92C64" w:rsidRPr="00236CAB" w:rsidRDefault="00647915">
      <w:pPr>
        <w:numPr>
          <w:ilvl w:val="0"/>
          <w:numId w:val="6"/>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 xml:space="preserve">El 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w:t>
      </w:r>
      <w:r w:rsidRPr="00236CAB">
        <w:rPr>
          <w:rFonts w:ascii="Palatino Linotype" w:eastAsia="Palatino Linotype" w:hAnsi="Palatino Linotype" w:cs="Palatino Linotype"/>
          <w:b/>
          <w:color w:val="000000"/>
          <w:u w:val="single"/>
        </w:rPr>
        <w:t>confirmar, modificar o revocar</w:t>
      </w:r>
      <w:r w:rsidRPr="00236CAB">
        <w:rPr>
          <w:rFonts w:ascii="Palatino Linotype" w:eastAsia="Palatino Linotype" w:hAnsi="Palatino Linotype" w:cs="Palatino Linotype"/>
          <w:color w:val="000000"/>
        </w:rPr>
        <w:t xml:space="preserve"> la clasificación de la información que ha hecho el titular del área que administra la información. Por lo tanto, el Comité </w:t>
      </w:r>
      <w:r w:rsidRPr="00236CAB">
        <w:rPr>
          <w:rFonts w:ascii="Palatino Linotype" w:eastAsia="Palatino Linotype" w:hAnsi="Palatino Linotype" w:cs="Palatino Linotype"/>
          <w:b/>
          <w:color w:val="000000"/>
          <w:u w:val="single"/>
        </w:rPr>
        <w:t>no aprueba</w:t>
      </w:r>
      <w:r w:rsidRPr="00236CAB">
        <w:rPr>
          <w:rFonts w:ascii="Palatino Linotype" w:eastAsia="Palatino Linotype" w:hAnsi="Palatino Linotype" w:cs="Palatino Linotype"/>
          <w:color w:val="000000"/>
        </w:rPr>
        <w:t xml:space="preserve"> la clasificación, sino que revisa lo que ha hecho el titular del área y confirma, modifica o revoca la decisión a través de un acuerdo.</w:t>
      </w:r>
    </w:p>
    <w:p w14:paraId="377677AD" w14:textId="77777777" w:rsidR="00D92C64" w:rsidRPr="00236CAB" w:rsidRDefault="00D92C64">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56D9FDA4" w14:textId="77777777" w:rsidR="00D92C64" w:rsidRPr="00236CAB" w:rsidRDefault="00647915">
      <w:pPr>
        <w:numPr>
          <w:ilvl w:val="0"/>
          <w:numId w:val="6"/>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 xml:space="preserve">Evidentemente, esta decisión implica una restricción a un derecho humano, por lo tanto, puede generar un agravio al particular y, en consecuencia, es necesario que </w:t>
      </w:r>
      <w:r w:rsidRPr="00236CAB">
        <w:rPr>
          <w:rFonts w:ascii="Palatino Linotype" w:eastAsia="Palatino Linotype" w:hAnsi="Palatino Linotype" w:cs="Palatino Linotype"/>
          <w:b/>
          <w:color w:val="000000"/>
          <w:u w:val="single"/>
        </w:rPr>
        <w:t>el acto reúna con los requisitos elementales</w:t>
      </w:r>
      <w:r w:rsidRPr="00236CAB">
        <w:rPr>
          <w:rFonts w:ascii="Palatino Linotype" w:eastAsia="Palatino Linotype" w:hAnsi="Palatino Linotype" w:cs="Palatino Linotype"/>
          <w:color w:val="000000"/>
        </w:rPr>
        <w:t xml:space="preserve">, entre ellos, que la autoridad que va a emitir el acto de autoridad sea la legalmente facultada para ello,  por lo que no está demás señalar que el artículo 45 de la Ley Estatal, claramente señala que el Comité de Transparencia, legalmente facultado para emitir el acuerdo de clasificación, se integra </w:t>
      </w:r>
      <w:r w:rsidRPr="00236CAB">
        <w:rPr>
          <w:rFonts w:ascii="Palatino Linotype" w:eastAsia="Palatino Linotype" w:hAnsi="Palatino Linotype" w:cs="Palatino Linotype"/>
          <w:color w:val="000000"/>
        </w:rPr>
        <w:lastRenderedPageBreak/>
        <w:t>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03E45599" w14:textId="77777777" w:rsidR="00D92C64" w:rsidRPr="00236CAB" w:rsidRDefault="00D92C64">
      <w:pPr>
        <w:pBdr>
          <w:top w:val="nil"/>
          <w:left w:val="nil"/>
          <w:bottom w:val="nil"/>
          <w:right w:val="nil"/>
          <w:between w:val="nil"/>
        </w:pBdr>
        <w:spacing w:line="360" w:lineRule="auto"/>
        <w:rPr>
          <w:rFonts w:ascii="Palatino Linotype" w:eastAsia="Palatino Linotype" w:hAnsi="Palatino Linotype" w:cs="Palatino Linotype"/>
          <w:color w:val="000000"/>
        </w:rPr>
      </w:pPr>
    </w:p>
    <w:p w14:paraId="69B479F7" w14:textId="77777777" w:rsidR="00D92C64" w:rsidRPr="00236CAB" w:rsidRDefault="00647915">
      <w:pPr>
        <w:numPr>
          <w:ilvl w:val="0"/>
          <w:numId w:val="6"/>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4BB7D916" w14:textId="77777777" w:rsidR="00D92C64" w:rsidRPr="00236CAB" w:rsidRDefault="00D92C64">
      <w:pPr>
        <w:spacing w:line="360" w:lineRule="auto"/>
        <w:ind w:right="49"/>
        <w:jc w:val="both"/>
        <w:rPr>
          <w:rFonts w:ascii="Palatino Linotype" w:eastAsia="Palatino Linotype" w:hAnsi="Palatino Linotype" w:cs="Palatino Linotype"/>
          <w:color w:val="000000"/>
        </w:rPr>
      </w:pPr>
    </w:p>
    <w:p w14:paraId="67101175" w14:textId="77777777" w:rsidR="00D92C64" w:rsidRPr="00236CAB" w:rsidRDefault="00647915">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rPr>
      </w:pPr>
      <w:r w:rsidRPr="00236CAB">
        <w:rPr>
          <w:rFonts w:ascii="Palatino Linotype" w:eastAsia="Palatino Linotype" w:hAnsi="Palatino Linotype" w:cs="Palatino Linotype"/>
          <w:b/>
          <w:color w:val="000000"/>
        </w:rPr>
        <w:t>b) Requisitos de fondo del Acuerdo de Clasificación.</w:t>
      </w:r>
    </w:p>
    <w:p w14:paraId="6E7AA7FE" w14:textId="77777777" w:rsidR="00D92C64" w:rsidRPr="00236CAB" w:rsidRDefault="00647915">
      <w:pPr>
        <w:numPr>
          <w:ilvl w:val="0"/>
          <w:numId w:val="6"/>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728BAA17" w14:textId="77777777" w:rsidR="00D92C64" w:rsidRPr="00236CAB" w:rsidRDefault="00D92C64">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73092711" w14:textId="77777777" w:rsidR="00D92C64" w:rsidRPr="00236CAB" w:rsidRDefault="00647915" w:rsidP="000C4DA0">
      <w:pPr>
        <w:numPr>
          <w:ilvl w:val="0"/>
          <w:numId w:val="6"/>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12CBAFA" w14:textId="77777777" w:rsidR="00D92C64" w:rsidRPr="00236CAB" w:rsidRDefault="00D92C64">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6C0DCFC6" w14:textId="77777777" w:rsidR="00D92C64" w:rsidRPr="00236CAB" w:rsidRDefault="00647915">
      <w:pPr>
        <w:numPr>
          <w:ilvl w:val="0"/>
          <w:numId w:val="6"/>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Por su parte, el intérprete judicial del país ha establecido una jurisprudencia respecto a qué debe entenderse por fundamentación y motivación, en los siguientes términos:</w:t>
      </w:r>
    </w:p>
    <w:p w14:paraId="68E8DFA8" w14:textId="77777777" w:rsidR="00D92C64" w:rsidRPr="00236CAB" w:rsidRDefault="00647915">
      <w:pPr>
        <w:spacing w:line="360" w:lineRule="auto"/>
        <w:ind w:left="851" w:right="618"/>
        <w:jc w:val="both"/>
        <w:rPr>
          <w:rFonts w:ascii="Palatino Linotype" w:eastAsia="Palatino Linotype" w:hAnsi="Palatino Linotype" w:cs="Palatino Linotype"/>
          <w:i/>
          <w:color w:val="000000"/>
          <w:sz w:val="22"/>
        </w:rPr>
      </w:pPr>
      <w:r w:rsidRPr="00236CAB">
        <w:rPr>
          <w:rFonts w:ascii="Palatino Linotype" w:eastAsia="Palatino Linotype" w:hAnsi="Palatino Linotype" w:cs="Palatino Linotype"/>
          <w:b/>
          <w:i/>
          <w:color w:val="000000"/>
          <w:sz w:val="22"/>
        </w:rPr>
        <w:t>FUNDAMENTACIÓN Y MOTIVACIÓN.</w:t>
      </w:r>
      <w:r w:rsidRPr="00236CAB">
        <w:rPr>
          <w:rFonts w:ascii="Palatino Linotype" w:eastAsia="Palatino Linotype" w:hAnsi="Palatino Linotype" w:cs="Palatino Linotype"/>
          <w:i/>
          <w:color w:val="000000"/>
          <w:sz w:val="22"/>
        </w:rPr>
        <w:t xml:space="preserve"> “La </w:t>
      </w:r>
      <w:r w:rsidRPr="00236CAB">
        <w:rPr>
          <w:rFonts w:ascii="Palatino Linotype" w:eastAsia="Palatino Linotype" w:hAnsi="Palatino Linotype" w:cs="Palatino Linotype"/>
          <w:i/>
          <w:color w:val="000000"/>
          <w:sz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236CAB">
        <w:rPr>
          <w:rFonts w:ascii="Palatino Linotype" w:eastAsia="Palatino Linotype" w:hAnsi="Palatino Linotype" w:cs="Palatino Linotype"/>
          <w:i/>
          <w:color w:val="000000"/>
          <w:sz w:val="22"/>
        </w:rPr>
        <w:t>.”</w:t>
      </w:r>
    </w:p>
    <w:p w14:paraId="48D90C45" w14:textId="77777777" w:rsidR="00D92C64" w:rsidRPr="00236CAB" w:rsidRDefault="00647915">
      <w:pPr>
        <w:spacing w:line="360" w:lineRule="auto"/>
        <w:ind w:left="851" w:right="618"/>
        <w:jc w:val="both"/>
        <w:rPr>
          <w:rFonts w:ascii="Palatino Linotype" w:eastAsia="Palatino Linotype" w:hAnsi="Palatino Linotype" w:cs="Palatino Linotype"/>
          <w:i/>
          <w:color w:val="000000"/>
          <w:sz w:val="22"/>
        </w:rPr>
      </w:pPr>
      <w:r w:rsidRPr="00236CAB">
        <w:rPr>
          <w:rFonts w:ascii="Palatino Linotype" w:eastAsia="Palatino Linotype" w:hAnsi="Palatino Linotype" w:cs="Palatino Linotype"/>
          <w:i/>
          <w:color w:val="000000"/>
          <w:sz w:val="22"/>
        </w:rPr>
        <w:t>SEGUNDO TRIBUNAL COLEGIADO DEL SEXTO CIRCUITO.</w:t>
      </w:r>
    </w:p>
    <w:p w14:paraId="49B87D8B" w14:textId="77777777" w:rsidR="00D92C64" w:rsidRPr="00236CAB" w:rsidRDefault="00647915">
      <w:pPr>
        <w:spacing w:line="360" w:lineRule="auto"/>
        <w:ind w:left="851" w:right="618"/>
        <w:jc w:val="both"/>
        <w:rPr>
          <w:rFonts w:ascii="Palatino Linotype" w:eastAsia="Palatino Linotype" w:hAnsi="Palatino Linotype" w:cs="Palatino Linotype"/>
          <w:i/>
          <w:color w:val="000000"/>
          <w:sz w:val="22"/>
        </w:rPr>
      </w:pPr>
      <w:r w:rsidRPr="00236CAB">
        <w:rPr>
          <w:rFonts w:ascii="Palatino Linotype" w:eastAsia="Palatino Linotype" w:hAnsi="Palatino Linotype" w:cs="Palatino Linotype"/>
          <w:i/>
          <w:color w:val="000000"/>
          <w:sz w:val="22"/>
        </w:rPr>
        <w:t>Amparo directo 194/88. Bufete Industrial Construcciones, S.A. de C.V. 28 de junio de 1988. Unanimidad de votos. Ponente: Gustavo Calvillo Rangel. Secretario: Jorge Alberto González Álvarez.</w:t>
      </w:r>
    </w:p>
    <w:p w14:paraId="45B52C77" w14:textId="77777777" w:rsidR="00D92C64" w:rsidRPr="00236CAB" w:rsidRDefault="00647915">
      <w:pPr>
        <w:spacing w:line="360" w:lineRule="auto"/>
        <w:ind w:left="851" w:right="618"/>
        <w:jc w:val="both"/>
        <w:rPr>
          <w:rFonts w:ascii="Palatino Linotype" w:eastAsia="Palatino Linotype" w:hAnsi="Palatino Linotype" w:cs="Palatino Linotype"/>
          <w:i/>
          <w:color w:val="000000"/>
          <w:sz w:val="22"/>
        </w:rPr>
      </w:pPr>
      <w:r w:rsidRPr="00236CAB">
        <w:rPr>
          <w:rFonts w:ascii="Palatino Linotype" w:eastAsia="Palatino Linotype" w:hAnsi="Palatino Linotype" w:cs="Palatino Linotype"/>
          <w:i/>
          <w:color w:val="000000"/>
          <w:sz w:val="22"/>
        </w:rPr>
        <w:t>Revisión fiscal 103/88. Instituto Mexicano del Seguro Social. 18 de octubre de 1988. Unanimidad de votos. Ponente: Arnoldo Nájera Virgen. Secretario: Alejandro Esponda Rincón.</w:t>
      </w:r>
    </w:p>
    <w:p w14:paraId="5277AB71" w14:textId="77777777" w:rsidR="00D92C64" w:rsidRPr="00236CAB" w:rsidRDefault="00647915">
      <w:pPr>
        <w:spacing w:line="360" w:lineRule="auto"/>
        <w:ind w:left="851" w:right="618"/>
        <w:jc w:val="both"/>
        <w:rPr>
          <w:rFonts w:ascii="Palatino Linotype" w:eastAsia="Palatino Linotype" w:hAnsi="Palatino Linotype" w:cs="Palatino Linotype"/>
          <w:i/>
          <w:color w:val="000000"/>
          <w:sz w:val="22"/>
        </w:rPr>
      </w:pPr>
      <w:r w:rsidRPr="00236CAB">
        <w:rPr>
          <w:rFonts w:ascii="Palatino Linotype" w:eastAsia="Palatino Linotype" w:hAnsi="Palatino Linotype" w:cs="Palatino Linotype"/>
          <w:i/>
          <w:color w:val="000000"/>
          <w:sz w:val="22"/>
        </w:rPr>
        <w:t>Amparo en revisión 333/88. Adilia Romero. 26 de octubre de 1988. Unanimidad de votos. Ponente: Arnoldo Nájera Virgen. Secretario: Enrique Crispín Campos Ramírez.</w:t>
      </w:r>
    </w:p>
    <w:p w14:paraId="53F90290" w14:textId="77777777" w:rsidR="00D92C64" w:rsidRPr="00236CAB" w:rsidRDefault="00647915">
      <w:pPr>
        <w:spacing w:line="360" w:lineRule="auto"/>
        <w:ind w:left="851" w:right="618"/>
        <w:jc w:val="both"/>
        <w:rPr>
          <w:rFonts w:ascii="Palatino Linotype" w:eastAsia="Palatino Linotype" w:hAnsi="Palatino Linotype" w:cs="Palatino Linotype"/>
          <w:i/>
          <w:color w:val="000000"/>
          <w:sz w:val="22"/>
        </w:rPr>
      </w:pPr>
      <w:r w:rsidRPr="00236CAB">
        <w:rPr>
          <w:rFonts w:ascii="Palatino Linotype" w:eastAsia="Palatino Linotype" w:hAnsi="Palatino Linotype" w:cs="Palatino Linotype"/>
          <w:i/>
          <w:color w:val="000000"/>
          <w:sz w:val="22"/>
        </w:rPr>
        <w:lastRenderedPageBreak/>
        <w:t>Amparo en revisión 597/95. Emilio Maurer Bretón. 15 de noviembre de 1995. Unanimidad de votos. Ponente: Clementina Ramírez Moguel Goyzueta. Secretario: Gonzalo Carrera Molina.</w:t>
      </w:r>
    </w:p>
    <w:p w14:paraId="12E43977" w14:textId="77777777" w:rsidR="00D92C64" w:rsidRPr="00236CAB" w:rsidRDefault="00647915">
      <w:pPr>
        <w:spacing w:line="360" w:lineRule="auto"/>
        <w:ind w:left="851" w:right="618"/>
        <w:jc w:val="both"/>
        <w:rPr>
          <w:rFonts w:ascii="Palatino Linotype" w:eastAsia="Palatino Linotype" w:hAnsi="Palatino Linotype" w:cs="Palatino Linotype"/>
          <w:i/>
          <w:color w:val="000000"/>
          <w:sz w:val="22"/>
        </w:rPr>
      </w:pPr>
      <w:r w:rsidRPr="00236CAB">
        <w:rPr>
          <w:rFonts w:ascii="Palatino Linotype" w:eastAsia="Palatino Linotype" w:hAnsi="Palatino Linotype" w:cs="Palatino Linotype"/>
          <w:i/>
          <w:color w:val="000000"/>
          <w:sz w:val="22"/>
        </w:rPr>
        <w:t>Amparo directo 7/96. Pedro Vicente López Miro. 21 de febrero de 1996. Unanimidad de votos. Ponente: María Eugenia Estela Martínez Cardiel. Secretario: Enrique Baigts Muñoz.</w:t>
      </w:r>
    </w:p>
    <w:p w14:paraId="587D33F7" w14:textId="77777777" w:rsidR="00D92C64" w:rsidRPr="00236CAB" w:rsidRDefault="00D92C6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563F6B3D" w14:textId="77777777" w:rsidR="00D92C64" w:rsidRPr="00236CAB" w:rsidRDefault="00647915">
      <w:pPr>
        <w:numPr>
          <w:ilvl w:val="0"/>
          <w:numId w:val="6"/>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5A01DB33" w14:textId="77777777" w:rsidR="00D92C64" w:rsidRPr="00236CAB" w:rsidRDefault="00D92C64">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14431DC7" w14:textId="77777777" w:rsidR="00D92C64" w:rsidRPr="00236CAB" w:rsidRDefault="00647915">
      <w:pPr>
        <w:numPr>
          <w:ilvl w:val="0"/>
          <w:numId w:val="6"/>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 En ese mismo sentido, el numeral trigésimo tercero fracción V de los Lineamientos Generales, precisa que para motivar la clasificación se deben acreditar las circunstancias de tiempo, modo y lugar.</w:t>
      </w:r>
    </w:p>
    <w:p w14:paraId="6DDA247F" w14:textId="77777777" w:rsidR="00D92C64" w:rsidRPr="00236CAB" w:rsidRDefault="00D92C64">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64B707BB" w14:textId="77777777" w:rsidR="009602CB" w:rsidRPr="00236CAB" w:rsidRDefault="00647915" w:rsidP="009602CB">
      <w:pPr>
        <w:numPr>
          <w:ilvl w:val="0"/>
          <w:numId w:val="6"/>
        </w:numPr>
        <w:spacing w:line="360" w:lineRule="auto"/>
        <w:ind w:left="0" w:right="49"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Ahora bien, como ya fue referido en párrafos anteriores, uno de los motivos de inconformidad del Recurrente es la falta del acuerdo de clasificación de la información que se entregó en respuesta, en ese contexto, podemos advertir que las documentales que se entregaron en versión pública son los recibos de nómina y el currículum vitae.</w:t>
      </w:r>
    </w:p>
    <w:p w14:paraId="5CB08AD7" w14:textId="77777777" w:rsidR="009602CB" w:rsidRPr="00236CAB" w:rsidRDefault="009602CB" w:rsidP="009602CB">
      <w:pPr>
        <w:pStyle w:val="Prrafodelista"/>
        <w:rPr>
          <w:rFonts w:ascii="Palatino Linotype" w:eastAsia="Palatino Linotype" w:hAnsi="Palatino Linotype" w:cs="Palatino Linotype"/>
          <w:color w:val="000000"/>
          <w:sz w:val="24"/>
        </w:rPr>
      </w:pPr>
    </w:p>
    <w:p w14:paraId="7BCB483F" w14:textId="77777777" w:rsidR="009602CB" w:rsidRPr="00236CAB" w:rsidRDefault="009602CB" w:rsidP="009602CB">
      <w:pPr>
        <w:numPr>
          <w:ilvl w:val="0"/>
          <w:numId w:val="6"/>
        </w:numPr>
        <w:spacing w:line="360" w:lineRule="auto"/>
        <w:ind w:left="0" w:right="49"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lastRenderedPageBreak/>
        <w:t>Por lo que se refiere a los recibos de nómina, se puede advertir que se realizó una versión pública y se testaron datos que de acuerdo a su naturaleza son clasificados como el Número de seguridad social del ISSEMYM, CURP, RFC y Código bidimensional o Qr.</w:t>
      </w:r>
    </w:p>
    <w:p w14:paraId="409F998A" w14:textId="77777777" w:rsidR="009602CB" w:rsidRPr="00236CAB" w:rsidRDefault="009602CB" w:rsidP="009602CB">
      <w:pPr>
        <w:spacing w:line="360" w:lineRule="auto"/>
        <w:contextualSpacing/>
        <w:jc w:val="both"/>
        <w:rPr>
          <w:rFonts w:ascii="Palatino Linotype" w:hAnsi="Palatino Linotype" w:cs="Tahoma"/>
          <w:b/>
          <w:bCs/>
          <w:iCs/>
        </w:rPr>
      </w:pPr>
    </w:p>
    <w:p w14:paraId="45D21854" w14:textId="77777777" w:rsidR="009602CB" w:rsidRPr="00236CAB" w:rsidRDefault="009602CB" w:rsidP="009602CB">
      <w:pPr>
        <w:pStyle w:val="Prrafodelista"/>
        <w:numPr>
          <w:ilvl w:val="0"/>
          <w:numId w:val="8"/>
        </w:numPr>
        <w:spacing w:line="360" w:lineRule="auto"/>
        <w:jc w:val="both"/>
        <w:rPr>
          <w:rFonts w:ascii="Palatino Linotype" w:hAnsi="Palatino Linotype" w:cs="Tahoma"/>
          <w:b/>
          <w:bCs/>
          <w:iCs/>
          <w:sz w:val="24"/>
        </w:rPr>
      </w:pPr>
      <w:r w:rsidRPr="00236CAB">
        <w:rPr>
          <w:rFonts w:ascii="Palatino Linotype" w:hAnsi="Palatino Linotype" w:cs="Tahoma"/>
          <w:b/>
          <w:bCs/>
          <w:iCs/>
          <w:sz w:val="24"/>
        </w:rPr>
        <w:t>Número de seguridad social del Instituto de Seguridad Social del Estado de México y Municipios.</w:t>
      </w:r>
    </w:p>
    <w:p w14:paraId="27FC1626" w14:textId="77777777" w:rsidR="009602CB" w:rsidRPr="00236CAB" w:rsidRDefault="009602CB" w:rsidP="009602CB">
      <w:pPr>
        <w:pStyle w:val="Prrafodelista"/>
        <w:numPr>
          <w:ilvl w:val="0"/>
          <w:numId w:val="6"/>
        </w:numPr>
        <w:spacing w:line="360" w:lineRule="auto"/>
        <w:ind w:left="0" w:firstLine="0"/>
        <w:jc w:val="both"/>
        <w:rPr>
          <w:rFonts w:ascii="Palatino Linotype" w:hAnsi="Palatino Linotype" w:cs="Tahoma"/>
          <w:bCs/>
          <w:iCs/>
          <w:sz w:val="24"/>
        </w:rPr>
      </w:pPr>
      <w:r w:rsidRPr="00236CAB">
        <w:rPr>
          <w:rFonts w:ascii="Palatino Linotype" w:hAnsi="Palatino Linotype" w:cs="Tahoma"/>
          <w:bCs/>
          <w:iCs/>
          <w:sz w:val="24"/>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0CEA7C29" w14:textId="77777777" w:rsidR="009602CB" w:rsidRPr="00236CAB" w:rsidRDefault="009602CB" w:rsidP="009602CB">
      <w:pPr>
        <w:pStyle w:val="Prrafodelista"/>
        <w:spacing w:line="360" w:lineRule="auto"/>
        <w:ind w:left="0"/>
        <w:jc w:val="both"/>
        <w:rPr>
          <w:rFonts w:ascii="Palatino Linotype" w:hAnsi="Palatino Linotype" w:cs="Tahoma"/>
          <w:bCs/>
          <w:iCs/>
          <w:sz w:val="24"/>
        </w:rPr>
      </w:pPr>
    </w:p>
    <w:p w14:paraId="1AA9E7E5" w14:textId="77777777" w:rsidR="009602CB" w:rsidRPr="00236CAB" w:rsidRDefault="009602CB" w:rsidP="009602CB">
      <w:pPr>
        <w:pStyle w:val="Prrafodelista"/>
        <w:numPr>
          <w:ilvl w:val="0"/>
          <w:numId w:val="6"/>
        </w:numPr>
        <w:spacing w:line="360" w:lineRule="auto"/>
        <w:ind w:left="0" w:firstLine="0"/>
        <w:jc w:val="both"/>
        <w:rPr>
          <w:rFonts w:ascii="Palatino Linotype" w:hAnsi="Palatino Linotype" w:cs="Tahoma"/>
          <w:bCs/>
          <w:iCs/>
          <w:sz w:val="24"/>
        </w:rPr>
      </w:pPr>
      <w:r w:rsidRPr="00236CAB">
        <w:rPr>
          <w:rFonts w:ascii="Palatino Linotype" w:hAnsi="Palatino Linotype" w:cs="Tahoma"/>
          <w:bCs/>
          <w:iCs/>
          <w:sz w:val="24"/>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w:t>
      </w:r>
      <w:r w:rsidRPr="00236CAB">
        <w:rPr>
          <w:rFonts w:ascii="Palatino Linotype" w:hAnsi="Palatino Linotype" w:cs="Tahoma"/>
          <w:b/>
          <w:bCs/>
          <w:iCs/>
          <w:sz w:val="24"/>
        </w:rPr>
        <w:t>y se le asigna una clave para hacer identificable al trabajador con el objetivo de poder proporcionar los servicios que brinda el Instituto de Seguridad Social del Estado de México y Municipios.</w:t>
      </w:r>
    </w:p>
    <w:p w14:paraId="0331FC1C" w14:textId="77777777" w:rsidR="009602CB" w:rsidRPr="00236CAB" w:rsidRDefault="009602CB" w:rsidP="009602CB">
      <w:pPr>
        <w:pStyle w:val="Prrafodelista"/>
        <w:spacing w:line="360" w:lineRule="auto"/>
        <w:ind w:left="0"/>
        <w:jc w:val="both"/>
        <w:rPr>
          <w:rFonts w:ascii="Palatino Linotype" w:hAnsi="Palatino Linotype" w:cs="Tahoma"/>
          <w:bCs/>
          <w:iCs/>
          <w:sz w:val="24"/>
        </w:rPr>
      </w:pPr>
    </w:p>
    <w:p w14:paraId="2FA16F53" w14:textId="77777777" w:rsidR="009602CB" w:rsidRPr="00236CAB" w:rsidRDefault="009602CB" w:rsidP="009602CB">
      <w:pPr>
        <w:pStyle w:val="Prrafodelista"/>
        <w:numPr>
          <w:ilvl w:val="0"/>
          <w:numId w:val="6"/>
        </w:numPr>
        <w:spacing w:line="360" w:lineRule="auto"/>
        <w:ind w:left="0" w:firstLine="0"/>
        <w:jc w:val="both"/>
        <w:rPr>
          <w:rFonts w:ascii="Palatino Linotype" w:hAnsi="Palatino Linotype" w:cs="Tahoma"/>
          <w:bCs/>
          <w:iCs/>
          <w:sz w:val="24"/>
        </w:rPr>
      </w:pPr>
      <w:r w:rsidRPr="00236CAB">
        <w:rPr>
          <w:rFonts w:ascii="Palatino Linotype" w:hAnsi="Palatino Linotype" w:cs="Tahoma"/>
          <w:bCs/>
          <w:iCs/>
          <w:sz w:val="24"/>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5F38A2FD" w14:textId="77777777" w:rsidR="009602CB" w:rsidRPr="00236CAB" w:rsidRDefault="009602CB" w:rsidP="009602CB">
      <w:pPr>
        <w:pStyle w:val="Prrafodelista"/>
        <w:spacing w:line="360" w:lineRule="auto"/>
        <w:ind w:left="0"/>
        <w:jc w:val="both"/>
        <w:rPr>
          <w:rFonts w:ascii="Palatino Linotype" w:hAnsi="Palatino Linotype" w:cs="Tahoma"/>
          <w:bCs/>
          <w:iCs/>
          <w:sz w:val="24"/>
        </w:rPr>
      </w:pPr>
    </w:p>
    <w:p w14:paraId="1AD19A9B" w14:textId="77777777" w:rsidR="009602CB" w:rsidRPr="00236CAB" w:rsidRDefault="009602CB" w:rsidP="009602CB">
      <w:pPr>
        <w:pStyle w:val="Prrafodelista"/>
        <w:numPr>
          <w:ilvl w:val="0"/>
          <w:numId w:val="6"/>
        </w:numPr>
        <w:spacing w:line="360" w:lineRule="auto"/>
        <w:ind w:left="0" w:firstLine="0"/>
        <w:jc w:val="both"/>
        <w:rPr>
          <w:rFonts w:ascii="Palatino Linotype" w:hAnsi="Palatino Linotype" w:cs="Tahoma"/>
          <w:bCs/>
          <w:iCs/>
          <w:sz w:val="24"/>
        </w:rPr>
      </w:pPr>
      <w:r w:rsidRPr="00236CAB">
        <w:rPr>
          <w:rFonts w:ascii="Palatino Linotype" w:hAnsi="Palatino Linotype" w:cs="Tahoma"/>
          <w:bCs/>
          <w:iCs/>
          <w:sz w:val="24"/>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7624E5DA" w14:textId="77777777" w:rsidR="009602CB" w:rsidRPr="00236CAB" w:rsidRDefault="009602CB" w:rsidP="009602CB">
      <w:pPr>
        <w:pStyle w:val="Prrafodelista"/>
        <w:spacing w:line="360" w:lineRule="auto"/>
        <w:jc w:val="both"/>
        <w:rPr>
          <w:rFonts w:ascii="Palatino Linotype" w:hAnsi="Palatino Linotype" w:cs="Tahoma"/>
          <w:bCs/>
          <w:iCs/>
          <w:sz w:val="24"/>
        </w:rPr>
      </w:pPr>
    </w:p>
    <w:p w14:paraId="0092C938" w14:textId="77777777" w:rsidR="009602CB" w:rsidRPr="00236CAB" w:rsidRDefault="009602CB" w:rsidP="009602CB">
      <w:pPr>
        <w:pStyle w:val="Prrafodelista"/>
        <w:numPr>
          <w:ilvl w:val="0"/>
          <w:numId w:val="8"/>
        </w:numPr>
        <w:spacing w:line="360" w:lineRule="auto"/>
        <w:jc w:val="both"/>
        <w:rPr>
          <w:rFonts w:ascii="Palatino Linotype" w:hAnsi="Palatino Linotype" w:cs="Tahoma"/>
          <w:b/>
          <w:bCs/>
          <w:iCs/>
          <w:sz w:val="24"/>
          <w:lang w:val="es-ES_tradnl"/>
        </w:rPr>
      </w:pPr>
      <w:r w:rsidRPr="00236CAB">
        <w:rPr>
          <w:rFonts w:ascii="Palatino Linotype" w:hAnsi="Palatino Linotype" w:cs="Tahoma"/>
          <w:b/>
          <w:bCs/>
          <w:iCs/>
          <w:sz w:val="24"/>
        </w:rPr>
        <w:t>C</w:t>
      </w:r>
      <w:r w:rsidRPr="00236CAB">
        <w:rPr>
          <w:rFonts w:ascii="Palatino Linotype" w:hAnsi="Palatino Linotype" w:cs="Tahoma"/>
          <w:b/>
          <w:bCs/>
          <w:iCs/>
          <w:sz w:val="24"/>
          <w:lang w:val="es-ES_tradnl"/>
        </w:rPr>
        <w:t>lave Única de Registro de Población (CURP).</w:t>
      </w:r>
    </w:p>
    <w:p w14:paraId="1A3E27E9" w14:textId="77777777" w:rsidR="009602CB" w:rsidRPr="00236CAB" w:rsidRDefault="009602CB" w:rsidP="009602CB">
      <w:pPr>
        <w:pStyle w:val="Prrafodelista"/>
        <w:numPr>
          <w:ilvl w:val="0"/>
          <w:numId w:val="6"/>
        </w:numPr>
        <w:spacing w:line="360" w:lineRule="auto"/>
        <w:ind w:left="0" w:firstLine="0"/>
        <w:jc w:val="both"/>
        <w:rPr>
          <w:rFonts w:ascii="Palatino Linotype" w:hAnsi="Palatino Linotype" w:cs="Tahoma"/>
          <w:bCs/>
          <w:iCs/>
          <w:sz w:val="24"/>
        </w:rPr>
      </w:pPr>
      <w:r w:rsidRPr="00236CAB">
        <w:rPr>
          <w:rFonts w:ascii="Palatino Linotype" w:hAnsi="Palatino Linotype" w:cs="Tahoma"/>
          <w:bCs/>
          <w:iCs/>
          <w:sz w:val="24"/>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5D8DE2D2" w14:textId="77777777" w:rsidR="009602CB" w:rsidRPr="00236CAB" w:rsidRDefault="009602CB" w:rsidP="009602CB">
      <w:pPr>
        <w:pStyle w:val="Prrafodelista"/>
        <w:spacing w:line="360" w:lineRule="auto"/>
        <w:ind w:left="0"/>
        <w:jc w:val="both"/>
        <w:rPr>
          <w:rFonts w:ascii="Palatino Linotype" w:hAnsi="Palatino Linotype" w:cs="Tahoma"/>
          <w:bCs/>
          <w:iCs/>
          <w:sz w:val="24"/>
        </w:rPr>
      </w:pPr>
    </w:p>
    <w:p w14:paraId="27437B14" w14:textId="77777777" w:rsidR="009602CB" w:rsidRPr="00236CAB" w:rsidRDefault="009602CB" w:rsidP="009602CB">
      <w:pPr>
        <w:pStyle w:val="Prrafodelista"/>
        <w:numPr>
          <w:ilvl w:val="0"/>
          <w:numId w:val="6"/>
        </w:numPr>
        <w:spacing w:line="360" w:lineRule="auto"/>
        <w:ind w:left="0" w:firstLine="0"/>
        <w:jc w:val="both"/>
        <w:rPr>
          <w:rFonts w:ascii="Palatino Linotype" w:hAnsi="Palatino Linotype" w:cs="Tahoma"/>
          <w:bCs/>
          <w:iCs/>
          <w:sz w:val="24"/>
        </w:rPr>
      </w:pPr>
      <w:r w:rsidRPr="00236CAB">
        <w:rPr>
          <w:rFonts w:ascii="Palatino Linotype" w:hAnsi="Palatino Linotype" w:cs="Tahoma"/>
          <w:bCs/>
          <w:iCs/>
          <w:sz w:val="24"/>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62D575E5" w14:textId="77777777" w:rsidR="009602CB" w:rsidRPr="00236CAB" w:rsidRDefault="009602CB" w:rsidP="009602CB">
      <w:pPr>
        <w:pStyle w:val="Prrafodelista"/>
        <w:numPr>
          <w:ilvl w:val="0"/>
          <w:numId w:val="6"/>
        </w:numPr>
        <w:spacing w:line="360" w:lineRule="auto"/>
        <w:ind w:left="0" w:firstLine="0"/>
        <w:jc w:val="both"/>
        <w:rPr>
          <w:rFonts w:ascii="Palatino Linotype" w:hAnsi="Palatino Linotype" w:cs="Tahoma"/>
          <w:bCs/>
          <w:iCs/>
          <w:sz w:val="24"/>
        </w:rPr>
      </w:pPr>
      <w:r w:rsidRPr="00236CAB">
        <w:rPr>
          <w:rFonts w:ascii="Palatino Linotype" w:hAnsi="Palatino Linotype" w:cs="Tahoma"/>
          <w:bCs/>
          <w:iCs/>
          <w:sz w:val="24"/>
        </w:rPr>
        <w:t xml:space="preserve">En ese orden de ideas, la Secretaría de Gobernación en las direcciones </w:t>
      </w:r>
      <w:hyperlink r:id="rId15" w:history="1">
        <w:r w:rsidRPr="00236CAB">
          <w:rPr>
            <w:rFonts w:ascii="Palatino Linotype" w:hAnsi="Palatino Linotype" w:cs="Tahoma"/>
            <w:bCs/>
            <w:iCs/>
            <w:color w:val="0000FF"/>
            <w:sz w:val="24"/>
            <w:u w:val="single"/>
          </w:rPr>
          <w:t>https://consultas.curp.gob.mx/CurpSP/html/informacionecurpPS.html</w:t>
        </w:r>
      </w:hyperlink>
      <w:r w:rsidRPr="00236CAB">
        <w:rPr>
          <w:rFonts w:ascii="Palatino Linotype" w:hAnsi="Palatino Linotype" w:cs="Tahoma"/>
          <w:bCs/>
          <w:iCs/>
          <w:sz w:val="24"/>
        </w:rPr>
        <w:t xml:space="preserve"> y </w:t>
      </w:r>
      <w:hyperlink r:id="rId16" w:history="1">
        <w:r w:rsidRPr="00236CAB">
          <w:rPr>
            <w:rFonts w:ascii="Palatino Linotype" w:hAnsi="Palatino Linotype" w:cs="Tahoma"/>
            <w:bCs/>
            <w:iCs/>
            <w:color w:val="0000FF"/>
            <w:sz w:val="24"/>
            <w:u w:val="single"/>
          </w:rPr>
          <w:t>https://www.gob.mx/segob/renapo/acciones-y-programas/clave-unica-de-registro-de-poblacion-curp-142226</w:t>
        </w:r>
      </w:hyperlink>
      <w:r w:rsidRPr="00236CAB">
        <w:rPr>
          <w:rFonts w:ascii="Palatino Linotype" w:hAnsi="Palatino Linotype" w:cs="Tahoma"/>
          <w:bCs/>
          <w:iCs/>
          <w:sz w:val="24"/>
        </w:rPr>
        <w:t xml:space="preserve"> (consultadas el diecisiete de agosto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236CAB">
        <w:rPr>
          <w:rFonts w:ascii="Palatino Linotype" w:hAnsi="Palatino Linotype" w:cs="Tahoma"/>
          <w:b/>
          <w:bCs/>
          <w:iCs/>
          <w:sz w:val="24"/>
        </w:rPr>
        <w:t>se generan a partir de los datos contenidos en el documento probatorio de la identidad</w:t>
      </w:r>
      <w:r w:rsidRPr="00236CAB">
        <w:rPr>
          <w:rFonts w:ascii="Palatino Linotype" w:hAnsi="Palatino Linotype" w:cs="Tahoma"/>
          <w:bCs/>
          <w:iCs/>
          <w:sz w:val="24"/>
        </w:rPr>
        <w:t xml:space="preserve"> </w:t>
      </w:r>
      <w:r w:rsidRPr="00236CAB">
        <w:rPr>
          <w:rFonts w:ascii="Palatino Linotype" w:hAnsi="Palatino Linotype" w:cs="Tahoma"/>
          <w:b/>
          <w:bCs/>
          <w:iCs/>
          <w:sz w:val="24"/>
        </w:rPr>
        <w:t xml:space="preserve">del interesado </w:t>
      </w:r>
      <w:r w:rsidRPr="00236CAB">
        <w:rPr>
          <w:rFonts w:ascii="Palatino Linotype" w:hAnsi="Palatino Linotype" w:cs="Tahoma"/>
          <w:bCs/>
          <w:iCs/>
          <w:sz w:val="24"/>
        </w:rPr>
        <w:t>(acta de nacimiento, carta de naturalización o documento migratorio) de la siguiente forma:</w:t>
      </w:r>
    </w:p>
    <w:p w14:paraId="3218C4E8" w14:textId="77777777" w:rsidR="009602CB" w:rsidRPr="00236CAB" w:rsidRDefault="009602CB" w:rsidP="009602CB">
      <w:pPr>
        <w:numPr>
          <w:ilvl w:val="0"/>
          <w:numId w:val="9"/>
        </w:numPr>
        <w:spacing w:line="360" w:lineRule="auto"/>
        <w:contextualSpacing/>
        <w:jc w:val="both"/>
        <w:rPr>
          <w:rFonts w:ascii="Palatino Linotype" w:hAnsi="Palatino Linotype" w:cs="Tahoma"/>
          <w:bCs/>
          <w:iCs/>
          <w:sz w:val="22"/>
        </w:rPr>
      </w:pPr>
      <w:r w:rsidRPr="00236CAB">
        <w:rPr>
          <w:rFonts w:ascii="Palatino Linotype" w:hAnsi="Palatino Linotype" w:cs="Tahoma"/>
          <w:bCs/>
          <w:iCs/>
          <w:sz w:val="22"/>
        </w:rPr>
        <w:t>El primero y segundo apellidos, así como al nombre de pila;</w:t>
      </w:r>
    </w:p>
    <w:p w14:paraId="7B46D5A3" w14:textId="77777777" w:rsidR="009602CB" w:rsidRPr="00236CAB" w:rsidRDefault="009602CB" w:rsidP="009602CB">
      <w:pPr>
        <w:numPr>
          <w:ilvl w:val="0"/>
          <w:numId w:val="9"/>
        </w:numPr>
        <w:spacing w:line="360" w:lineRule="auto"/>
        <w:contextualSpacing/>
        <w:jc w:val="both"/>
        <w:rPr>
          <w:rFonts w:ascii="Palatino Linotype" w:hAnsi="Palatino Linotype" w:cs="Tahoma"/>
          <w:bCs/>
          <w:iCs/>
          <w:sz w:val="22"/>
        </w:rPr>
      </w:pPr>
      <w:r w:rsidRPr="00236CAB">
        <w:rPr>
          <w:rFonts w:ascii="Palatino Linotype" w:hAnsi="Palatino Linotype" w:cs="Tahoma"/>
          <w:bCs/>
          <w:iCs/>
          <w:sz w:val="22"/>
        </w:rPr>
        <w:t>La fecha de nacimiento;</w:t>
      </w:r>
    </w:p>
    <w:p w14:paraId="677EDADA" w14:textId="77777777" w:rsidR="009602CB" w:rsidRPr="00236CAB" w:rsidRDefault="009602CB" w:rsidP="009602CB">
      <w:pPr>
        <w:numPr>
          <w:ilvl w:val="0"/>
          <w:numId w:val="9"/>
        </w:numPr>
        <w:spacing w:line="360" w:lineRule="auto"/>
        <w:contextualSpacing/>
        <w:jc w:val="both"/>
        <w:rPr>
          <w:rFonts w:ascii="Palatino Linotype" w:hAnsi="Palatino Linotype" w:cs="Tahoma"/>
          <w:bCs/>
          <w:iCs/>
          <w:sz w:val="22"/>
        </w:rPr>
      </w:pPr>
      <w:r w:rsidRPr="00236CAB">
        <w:rPr>
          <w:rFonts w:ascii="Palatino Linotype" w:hAnsi="Palatino Linotype" w:cs="Tahoma"/>
          <w:bCs/>
          <w:iCs/>
          <w:sz w:val="22"/>
        </w:rPr>
        <w:t>El sexo, y</w:t>
      </w:r>
    </w:p>
    <w:p w14:paraId="089EDB27" w14:textId="77777777" w:rsidR="009602CB" w:rsidRPr="00236CAB" w:rsidRDefault="009602CB" w:rsidP="009602CB">
      <w:pPr>
        <w:numPr>
          <w:ilvl w:val="0"/>
          <w:numId w:val="9"/>
        </w:numPr>
        <w:spacing w:line="360" w:lineRule="auto"/>
        <w:contextualSpacing/>
        <w:jc w:val="both"/>
        <w:rPr>
          <w:rFonts w:ascii="Palatino Linotype" w:hAnsi="Palatino Linotype" w:cs="Tahoma"/>
          <w:bCs/>
          <w:iCs/>
          <w:sz w:val="22"/>
        </w:rPr>
      </w:pPr>
      <w:r w:rsidRPr="00236CAB">
        <w:rPr>
          <w:rFonts w:ascii="Palatino Linotype" w:hAnsi="Palatino Linotype" w:cs="Tahoma"/>
          <w:bCs/>
          <w:iCs/>
          <w:sz w:val="22"/>
        </w:rPr>
        <w:t>La entidad federativa de nacimiento.</w:t>
      </w:r>
    </w:p>
    <w:p w14:paraId="514A279B" w14:textId="77777777" w:rsidR="009602CB" w:rsidRPr="00236CAB" w:rsidRDefault="009602CB" w:rsidP="009602CB">
      <w:pPr>
        <w:pStyle w:val="Prrafodelista"/>
        <w:spacing w:line="360" w:lineRule="auto"/>
        <w:jc w:val="both"/>
        <w:rPr>
          <w:rFonts w:ascii="Palatino Linotype" w:hAnsi="Palatino Linotype" w:cs="Tahoma"/>
          <w:bCs/>
          <w:iCs/>
          <w:sz w:val="24"/>
        </w:rPr>
      </w:pPr>
    </w:p>
    <w:p w14:paraId="24DE473E" w14:textId="77777777" w:rsidR="009602CB" w:rsidRPr="00236CAB" w:rsidRDefault="009602CB" w:rsidP="009602CB">
      <w:pPr>
        <w:pStyle w:val="Prrafodelista"/>
        <w:numPr>
          <w:ilvl w:val="0"/>
          <w:numId w:val="6"/>
        </w:numPr>
        <w:spacing w:line="360" w:lineRule="auto"/>
        <w:ind w:left="0" w:firstLine="0"/>
        <w:jc w:val="both"/>
        <w:rPr>
          <w:rFonts w:ascii="Palatino Linotype" w:hAnsi="Palatino Linotype" w:cs="Tahoma"/>
          <w:bCs/>
          <w:iCs/>
          <w:sz w:val="24"/>
        </w:rPr>
      </w:pPr>
      <w:r w:rsidRPr="00236CAB">
        <w:rPr>
          <w:rFonts w:ascii="Palatino Linotype" w:hAnsi="Palatino Linotype" w:cs="Tahoma"/>
          <w:bCs/>
          <w:iCs/>
          <w:sz w:val="24"/>
        </w:rPr>
        <w:t>Los dos últimos elementos de la Clave Única de Registro de Población evitan la duplicidad de la Clave y garantizan su correcta integración.</w:t>
      </w:r>
    </w:p>
    <w:p w14:paraId="7E5FD881" w14:textId="77777777" w:rsidR="009602CB" w:rsidRPr="00236CAB" w:rsidRDefault="009602CB" w:rsidP="009602CB">
      <w:pPr>
        <w:pStyle w:val="Prrafodelista"/>
        <w:spacing w:line="360" w:lineRule="auto"/>
        <w:ind w:left="0"/>
        <w:jc w:val="both"/>
        <w:rPr>
          <w:rFonts w:ascii="Palatino Linotype" w:hAnsi="Palatino Linotype" w:cs="Tahoma"/>
          <w:bCs/>
          <w:iCs/>
          <w:sz w:val="24"/>
        </w:rPr>
      </w:pPr>
    </w:p>
    <w:p w14:paraId="3E01DBE7" w14:textId="77777777" w:rsidR="009602CB" w:rsidRPr="00236CAB" w:rsidRDefault="009602CB" w:rsidP="009602CB">
      <w:pPr>
        <w:pStyle w:val="Prrafodelista"/>
        <w:numPr>
          <w:ilvl w:val="0"/>
          <w:numId w:val="6"/>
        </w:numPr>
        <w:spacing w:line="360" w:lineRule="auto"/>
        <w:ind w:left="0" w:firstLine="0"/>
        <w:jc w:val="both"/>
        <w:rPr>
          <w:rFonts w:ascii="Palatino Linotype" w:hAnsi="Palatino Linotype" w:cs="Tahoma"/>
          <w:bCs/>
          <w:iCs/>
          <w:sz w:val="24"/>
        </w:rPr>
      </w:pPr>
      <w:r w:rsidRPr="00236CAB">
        <w:rPr>
          <w:rFonts w:ascii="Palatino Linotype" w:hAnsi="Palatino Linotype" w:cs="Tahoma"/>
          <w:bCs/>
          <w:iCs/>
          <w:sz w:val="24"/>
        </w:rPr>
        <w:lastRenderedPageBreak/>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685DFD50" w14:textId="77777777" w:rsidR="009602CB" w:rsidRPr="00236CAB" w:rsidRDefault="009602CB" w:rsidP="009602CB">
      <w:pPr>
        <w:pStyle w:val="Prrafodelista"/>
        <w:spacing w:line="360" w:lineRule="auto"/>
        <w:jc w:val="both"/>
        <w:rPr>
          <w:rFonts w:ascii="Palatino Linotype" w:hAnsi="Palatino Linotype" w:cs="Tahoma"/>
          <w:bCs/>
          <w:iCs/>
          <w:sz w:val="24"/>
        </w:rPr>
      </w:pPr>
    </w:p>
    <w:p w14:paraId="78CBE271" w14:textId="77777777" w:rsidR="009602CB" w:rsidRPr="00236CAB" w:rsidRDefault="009602CB" w:rsidP="009602CB">
      <w:pPr>
        <w:pStyle w:val="Prrafodelista"/>
        <w:numPr>
          <w:ilvl w:val="0"/>
          <w:numId w:val="6"/>
        </w:numPr>
        <w:spacing w:line="360" w:lineRule="auto"/>
        <w:ind w:left="0" w:firstLine="0"/>
        <w:jc w:val="both"/>
        <w:rPr>
          <w:rFonts w:ascii="Palatino Linotype" w:hAnsi="Palatino Linotype" w:cs="Tahoma"/>
          <w:bCs/>
          <w:iCs/>
          <w:sz w:val="24"/>
        </w:rPr>
      </w:pPr>
      <w:r w:rsidRPr="00236CAB">
        <w:rPr>
          <w:rFonts w:ascii="Palatino Linotype" w:hAnsi="Palatino Linotype" w:cs="Tahoma"/>
          <w:bCs/>
          <w:iCs/>
          <w:sz w:val="24"/>
        </w:rPr>
        <w:t xml:space="preserve">Situación que se robustece, con el </w:t>
      </w:r>
      <w:r w:rsidRPr="00236CAB">
        <w:rPr>
          <w:rFonts w:ascii="Palatino Linotype" w:eastAsia="Calibri" w:hAnsi="Palatino Linotype" w:cs="Tahoma"/>
          <w:bCs/>
          <w:iCs/>
          <w:sz w:val="24"/>
          <w:lang w:val="es-ES"/>
        </w:rPr>
        <w:t xml:space="preserve">Criterio de Interpretación, de la Segunda Época, con número de registro </w:t>
      </w:r>
      <w:r w:rsidRPr="00236CAB">
        <w:rPr>
          <w:rFonts w:ascii="Palatino Linotype" w:eastAsia="Calibri" w:hAnsi="Palatino Linotype" w:cs="Tahoma"/>
          <w:bCs/>
          <w:iCs/>
          <w:sz w:val="24"/>
        </w:rPr>
        <w:t>SO/018/2017</w:t>
      </w:r>
      <w:r w:rsidRPr="00236CAB">
        <w:rPr>
          <w:rFonts w:ascii="Palatino Linotype" w:hAnsi="Palatino Linotype" w:cs="Tahoma"/>
          <w:bCs/>
          <w:iCs/>
          <w:sz w:val="24"/>
        </w:rPr>
        <w:t>, emitido por el Instituto Nacional de Transparencia, Acceso a la Información y Protección de Datos Personales, que establece lo siguiente:</w:t>
      </w:r>
    </w:p>
    <w:p w14:paraId="40BAF6F9" w14:textId="77777777" w:rsidR="009602CB" w:rsidRPr="00236CAB" w:rsidRDefault="009602CB" w:rsidP="009602CB">
      <w:pPr>
        <w:spacing w:line="360" w:lineRule="auto"/>
        <w:ind w:left="567" w:right="567"/>
        <w:contextualSpacing/>
        <w:jc w:val="both"/>
        <w:rPr>
          <w:rFonts w:ascii="Palatino Linotype" w:hAnsi="Palatino Linotype" w:cs="Tahoma"/>
          <w:bCs/>
          <w:i/>
          <w:iCs/>
          <w:sz w:val="22"/>
        </w:rPr>
      </w:pPr>
      <w:r w:rsidRPr="00236CAB">
        <w:rPr>
          <w:rFonts w:ascii="Palatino Linotype" w:hAnsi="Palatino Linotype" w:cs="Tahoma"/>
          <w:b/>
          <w:bCs/>
          <w:i/>
          <w:iCs/>
          <w:sz w:val="22"/>
        </w:rPr>
        <w:t xml:space="preserve">“Clave Única de Registro de Población (CURP). </w:t>
      </w:r>
      <w:r w:rsidRPr="00236CAB">
        <w:rPr>
          <w:rFonts w:ascii="Palatino Linotype" w:hAnsi="Palatino Linotype" w:cs="Tahoma"/>
          <w:bCs/>
          <w:i/>
          <w:iCs/>
          <w:sz w:val="22"/>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5FA173EA" w14:textId="77777777" w:rsidR="009602CB" w:rsidRPr="00236CAB" w:rsidRDefault="009602CB" w:rsidP="009602CB">
      <w:pPr>
        <w:pStyle w:val="Prrafodelista"/>
        <w:spacing w:line="360" w:lineRule="auto"/>
        <w:jc w:val="both"/>
        <w:rPr>
          <w:rFonts w:ascii="Palatino Linotype" w:hAnsi="Palatino Linotype" w:cs="Tahoma"/>
          <w:bCs/>
          <w:iCs/>
          <w:sz w:val="24"/>
        </w:rPr>
      </w:pPr>
    </w:p>
    <w:p w14:paraId="4FE8C075" w14:textId="77777777" w:rsidR="009602CB" w:rsidRPr="00236CAB" w:rsidRDefault="009602CB" w:rsidP="009602CB">
      <w:pPr>
        <w:pStyle w:val="Prrafodelista"/>
        <w:numPr>
          <w:ilvl w:val="0"/>
          <w:numId w:val="6"/>
        </w:numPr>
        <w:spacing w:line="360" w:lineRule="auto"/>
        <w:ind w:left="0" w:firstLine="0"/>
        <w:jc w:val="both"/>
        <w:rPr>
          <w:rFonts w:ascii="Palatino Linotype" w:hAnsi="Palatino Linotype" w:cs="Tahoma"/>
          <w:bCs/>
          <w:iCs/>
          <w:sz w:val="24"/>
        </w:rPr>
      </w:pPr>
      <w:r w:rsidRPr="00236CAB">
        <w:rPr>
          <w:rFonts w:ascii="Palatino Linotype" w:hAnsi="Palatino Linotype" w:cs="Tahoma"/>
          <w:bCs/>
          <w:iCs/>
          <w:sz w:val="24"/>
        </w:rPr>
        <w:t xml:space="preserve">De acuerdo con lo anterior, resulta procedente la clasificación de </w:t>
      </w:r>
      <w:r w:rsidRPr="00236CAB">
        <w:rPr>
          <w:rFonts w:ascii="Palatino Linotype" w:hAnsi="Palatino Linotype" w:cs="Tahoma"/>
          <w:b/>
          <w:bCs/>
          <w:iCs/>
          <w:sz w:val="24"/>
        </w:rPr>
        <w:t>la Clave Única de Registro de Población</w:t>
      </w:r>
      <w:r w:rsidRPr="00236CAB">
        <w:rPr>
          <w:rFonts w:ascii="Palatino Linotype" w:hAnsi="Palatino Linotype" w:cs="Tahoma"/>
          <w:bCs/>
          <w:iCs/>
          <w:sz w:val="24"/>
        </w:rPr>
        <w:t xml:space="preserve">, por tratarse de un dato personal confidencial, en términos del artículo 143, fracción I, de la Ley de Transparencia y Acceso a la Información Pública del Estado de México y Municipios. </w:t>
      </w:r>
    </w:p>
    <w:p w14:paraId="2F2C2A49" w14:textId="77777777" w:rsidR="009602CB" w:rsidRPr="00236CAB" w:rsidRDefault="009602CB" w:rsidP="009602CB">
      <w:pPr>
        <w:spacing w:line="360" w:lineRule="auto"/>
        <w:contextualSpacing/>
        <w:jc w:val="both"/>
        <w:rPr>
          <w:rFonts w:ascii="Palatino Linotype" w:hAnsi="Palatino Linotype" w:cs="Tahoma"/>
          <w:bCs/>
          <w:iCs/>
          <w:lang w:val="es-ES"/>
        </w:rPr>
      </w:pPr>
    </w:p>
    <w:p w14:paraId="4C5F0DEE" w14:textId="77777777" w:rsidR="009602CB" w:rsidRPr="00236CAB" w:rsidRDefault="009602CB" w:rsidP="009602CB">
      <w:pPr>
        <w:pStyle w:val="Prrafodelista"/>
        <w:numPr>
          <w:ilvl w:val="0"/>
          <w:numId w:val="10"/>
        </w:numPr>
        <w:spacing w:line="360" w:lineRule="auto"/>
        <w:jc w:val="both"/>
        <w:rPr>
          <w:rFonts w:ascii="Palatino Linotype" w:hAnsi="Palatino Linotype" w:cs="Tahoma"/>
          <w:b/>
          <w:bCs/>
          <w:iCs/>
          <w:sz w:val="24"/>
          <w:lang w:val="es-ES_tradnl"/>
        </w:rPr>
      </w:pPr>
      <w:r w:rsidRPr="00236CAB">
        <w:rPr>
          <w:rFonts w:ascii="Palatino Linotype" w:hAnsi="Palatino Linotype" w:cs="Tahoma"/>
          <w:b/>
          <w:bCs/>
          <w:iCs/>
          <w:sz w:val="24"/>
          <w:lang w:val="es-ES_tradnl"/>
        </w:rPr>
        <w:t>Registro Federal de Contribuyentes (RFC).</w:t>
      </w:r>
    </w:p>
    <w:p w14:paraId="75A65460" w14:textId="77777777" w:rsidR="009602CB" w:rsidRPr="00236CAB" w:rsidRDefault="009602CB" w:rsidP="009602CB">
      <w:pPr>
        <w:pStyle w:val="Prrafodelista"/>
        <w:numPr>
          <w:ilvl w:val="0"/>
          <w:numId w:val="6"/>
        </w:numPr>
        <w:spacing w:line="360" w:lineRule="auto"/>
        <w:ind w:left="0" w:firstLine="0"/>
        <w:jc w:val="both"/>
        <w:rPr>
          <w:rFonts w:ascii="Palatino Linotype" w:hAnsi="Palatino Linotype" w:cs="Tahoma"/>
          <w:bCs/>
          <w:iCs/>
          <w:sz w:val="24"/>
        </w:rPr>
      </w:pPr>
      <w:r w:rsidRPr="00236CAB">
        <w:rPr>
          <w:rFonts w:ascii="Palatino Linotype" w:hAnsi="Palatino Linotype" w:cs="Tahoma"/>
          <w:bCs/>
          <w:iCs/>
          <w:sz w:val="24"/>
        </w:rPr>
        <w:lastRenderedPageBreak/>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08FFDCD1" w14:textId="77777777" w:rsidR="009602CB" w:rsidRPr="00236CAB" w:rsidRDefault="009602CB" w:rsidP="009602CB">
      <w:pPr>
        <w:pStyle w:val="Prrafodelista"/>
        <w:spacing w:line="360" w:lineRule="auto"/>
        <w:ind w:left="0"/>
        <w:jc w:val="both"/>
        <w:rPr>
          <w:rFonts w:ascii="Palatino Linotype" w:hAnsi="Palatino Linotype" w:cs="Tahoma"/>
          <w:bCs/>
          <w:iCs/>
          <w:sz w:val="24"/>
        </w:rPr>
      </w:pPr>
    </w:p>
    <w:p w14:paraId="5AC6EDCE" w14:textId="77777777" w:rsidR="009602CB" w:rsidRPr="00236CAB" w:rsidRDefault="009602CB" w:rsidP="009602CB">
      <w:pPr>
        <w:pStyle w:val="Prrafodelista"/>
        <w:numPr>
          <w:ilvl w:val="0"/>
          <w:numId w:val="6"/>
        </w:numPr>
        <w:spacing w:line="360" w:lineRule="auto"/>
        <w:ind w:left="0" w:firstLine="0"/>
        <w:jc w:val="both"/>
        <w:rPr>
          <w:rFonts w:ascii="Palatino Linotype" w:hAnsi="Palatino Linotype" w:cs="Tahoma"/>
          <w:bCs/>
          <w:iCs/>
          <w:sz w:val="24"/>
        </w:rPr>
      </w:pPr>
      <w:r w:rsidRPr="00236CAB">
        <w:rPr>
          <w:rFonts w:ascii="Palatino Linotype" w:hAnsi="Palatino Linotype" w:cs="Tahoma"/>
          <w:bCs/>
          <w:iCs/>
          <w:sz w:val="24"/>
        </w:rPr>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14:paraId="1C9DD44D" w14:textId="77777777" w:rsidR="009602CB" w:rsidRPr="00236CAB" w:rsidRDefault="009602CB" w:rsidP="009602CB">
      <w:pPr>
        <w:pStyle w:val="Prrafodelista"/>
        <w:spacing w:line="360" w:lineRule="auto"/>
        <w:jc w:val="both"/>
        <w:rPr>
          <w:rFonts w:ascii="Palatino Linotype" w:hAnsi="Palatino Linotype" w:cs="Tahoma"/>
          <w:bCs/>
          <w:iCs/>
          <w:sz w:val="24"/>
        </w:rPr>
      </w:pPr>
    </w:p>
    <w:p w14:paraId="6DE646FE" w14:textId="77777777" w:rsidR="009602CB" w:rsidRPr="00236CAB" w:rsidRDefault="009602CB" w:rsidP="009602CB">
      <w:pPr>
        <w:pStyle w:val="Prrafodelista"/>
        <w:numPr>
          <w:ilvl w:val="0"/>
          <w:numId w:val="6"/>
        </w:numPr>
        <w:spacing w:line="360" w:lineRule="auto"/>
        <w:ind w:left="0" w:firstLine="0"/>
        <w:jc w:val="both"/>
        <w:rPr>
          <w:rFonts w:ascii="Palatino Linotype" w:hAnsi="Palatino Linotype" w:cs="Tahoma"/>
          <w:bCs/>
          <w:iCs/>
          <w:sz w:val="24"/>
        </w:rPr>
      </w:pPr>
      <w:r w:rsidRPr="00236CAB">
        <w:rPr>
          <w:rFonts w:ascii="Palatino Linotype" w:hAnsi="Palatino Linotype" w:cs="Tahoma"/>
          <w:bCs/>
          <w:iCs/>
          <w:sz w:val="24"/>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363E60E1" w14:textId="77777777" w:rsidR="009602CB" w:rsidRPr="00236CAB" w:rsidRDefault="009602CB" w:rsidP="009602CB">
      <w:pPr>
        <w:pStyle w:val="Prrafodelista"/>
        <w:spacing w:line="360" w:lineRule="auto"/>
        <w:jc w:val="both"/>
        <w:rPr>
          <w:rFonts w:ascii="Palatino Linotype" w:hAnsi="Palatino Linotype" w:cs="Tahoma"/>
          <w:bCs/>
          <w:iCs/>
          <w:sz w:val="24"/>
        </w:rPr>
      </w:pPr>
    </w:p>
    <w:p w14:paraId="12177314" w14:textId="77777777" w:rsidR="009602CB" w:rsidRPr="00236CAB" w:rsidRDefault="009602CB" w:rsidP="009602CB">
      <w:pPr>
        <w:pStyle w:val="Prrafodelista"/>
        <w:numPr>
          <w:ilvl w:val="0"/>
          <w:numId w:val="6"/>
        </w:numPr>
        <w:spacing w:line="360" w:lineRule="auto"/>
        <w:ind w:left="0" w:firstLine="0"/>
        <w:jc w:val="both"/>
        <w:rPr>
          <w:rFonts w:ascii="Palatino Linotype" w:hAnsi="Palatino Linotype" w:cs="Tahoma"/>
          <w:bCs/>
          <w:iCs/>
          <w:sz w:val="24"/>
        </w:rPr>
      </w:pPr>
      <w:r w:rsidRPr="00236CAB">
        <w:rPr>
          <w:rFonts w:ascii="Palatino Linotype" w:hAnsi="Palatino Linotype" w:cs="Tahoma"/>
          <w:bCs/>
          <w:iCs/>
          <w:sz w:val="24"/>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w:t>
      </w:r>
      <w:r w:rsidRPr="00236CAB">
        <w:rPr>
          <w:rFonts w:ascii="Palatino Linotype" w:hAnsi="Palatino Linotype" w:cs="Tahoma"/>
          <w:bCs/>
          <w:iCs/>
          <w:sz w:val="24"/>
        </w:rPr>
        <w:lastRenderedPageBreak/>
        <w:t xml:space="preserve">relevante únicamente para las personas involucrada, en el pago de estos, en el presente caso, del pago del Impuesto Sobre el Producto del Trabajo. </w:t>
      </w:r>
    </w:p>
    <w:p w14:paraId="28A689DA" w14:textId="77777777" w:rsidR="009602CB" w:rsidRPr="00236CAB" w:rsidRDefault="009602CB" w:rsidP="009602CB">
      <w:pPr>
        <w:pStyle w:val="Prrafodelista"/>
        <w:spacing w:line="360" w:lineRule="auto"/>
        <w:jc w:val="both"/>
        <w:rPr>
          <w:rFonts w:ascii="Palatino Linotype" w:hAnsi="Palatino Linotype" w:cs="Tahoma"/>
          <w:bCs/>
          <w:iCs/>
          <w:sz w:val="24"/>
        </w:rPr>
      </w:pPr>
    </w:p>
    <w:p w14:paraId="180343E5" w14:textId="77777777" w:rsidR="009602CB" w:rsidRPr="00236CAB" w:rsidRDefault="009602CB" w:rsidP="009602CB">
      <w:pPr>
        <w:pStyle w:val="Prrafodelista"/>
        <w:numPr>
          <w:ilvl w:val="0"/>
          <w:numId w:val="6"/>
        </w:numPr>
        <w:spacing w:line="360" w:lineRule="auto"/>
        <w:ind w:left="0" w:firstLine="0"/>
        <w:jc w:val="both"/>
        <w:rPr>
          <w:rFonts w:ascii="Palatino Linotype" w:hAnsi="Palatino Linotype" w:cs="Tahoma"/>
          <w:bCs/>
          <w:iCs/>
          <w:sz w:val="24"/>
        </w:rPr>
      </w:pPr>
      <w:r w:rsidRPr="00236CAB">
        <w:rPr>
          <w:rFonts w:ascii="Palatino Linotype" w:hAnsi="Palatino Linotype" w:cs="Tahoma"/>
          <w:bCs/>
          <w:iCs/>
          <w:sz w:val="24"/>
        </w:rPr>
        <w:t xml:space="preserve">Lo anterior, resulta congruente con el </w:t>
      </w:r>
      <w:r w:rsidRPr="00236CAB">
        <w:rPr>
          <w:rFonts w:ascii="Palatino Linotype" w:eastAsia="Calibri" w:hAnsi="Palatino Linotype" w:cs="Tahoma"/>
          <w:bCs/>
          <w:iCs/>
          <w:sz w:val="24"/>
          <w:lang w:val="es-ES"/>
        </w:rPr>
        <w:t xml:space="preserve">Criterio de Interpretación, de la Segunda Época, con número de registro </w:t>
      </w:r>
      <w:r w:rsidRPr="00236CAB">
        <w:rPr>
          <w:rFonts w:ascii="Palatino Linotype" w:eastAsia="Calibri" w:hAnsi="Palatino Linotype" w:cs="Tahoma"/>
          <w:bCs/>
          <w:iCs/>
          <w:sz w:val="24"/>
        </w:rPr>
        <w:t xml:space="preserve">SO/019/2017, </w:t>
      </w:r>
      <w:r w:rsidRPr="00236CAB">
        <w:rPr>
          <w:rFonts w:ascii="Palatino Linotype" w:hAnsi="Palatino Linotype" w:cs="Tahoma"/>
          <w:bCs/>
          <w:iCs/>
          <w:sz w:val="24"/>
        </w:rPr>
        <w:t>emitido por el Instituto Nacional de Transparencia, Acceso a la Información y Protección de Datos Personales, en el cual se señala lo siguiente:</w:t>
      </w:r>
    </w:p>
    <w:p w14:paraId="5050578C" w14:textId="77777777" w:rsidR="009602CB" w:rsidRPr="00236CAB" w:rsidRDefault="009602CB" w:rsidP="009602CB">
      <w:pPr>
        <w:spacing w:line="360" w:lineRule="auto"/>
        <w:ind w:left="567" w:right="567"/>
        <w:contextualSpacing/>
        <w:jc w:val="both"/>
        <w:rPr>
          <w:rFonts w:ascii="Palatino Linotype" w:hAnsi="Palatino Linotype" w:cs="Tahoma"/>
          <w:bCs/>
          <w:i/>
          <w:iCs/>
          <w:sz w:val="22"/>
        </w:rPr>
      </w:pPr>
      <w:r w:rsidRPr="00236CAB">
        <w:rPr>
          <w:rFonts w:ascii="Palatino Linotype" w:hAnsi="Palatino Linotype" w:cs="Tahoma"/>
          <w:b/>
          <w:bCs/>
          <w:i/>
          <w:iCs/>
          <w:sz w:val="22"/>
        </w:rPr>
        <w:t>“Registro Federal de Contribuyentes (RFC) de personas físicas.</w:t>
      </w:r>
      <w:r w:rsidRPr="00236CAB">
        <w:rPr>
          <w:rFonts w:ascii="Palatino Linotype" w:hAnsi="Palatino Linotype" w:cs="Tahoma"/>
          <w:bCs/>
          <w:i/>
          <w:iCs/>
          <w:sz w:val="22"/>
        </w:rPr>
        <w:t xml:space="preserve"> El RFC es una clave de carácter fiscal, única e irrepetible, que permite identificar al titular, su edad y fecha de nacimiento, por lo que es un dato personal de carácter confidencial.”</w:t>
      </w:r>
    </w:p>
    <w:p w14:paraId="353B67E8" w14:textId="77777777" w:rsidR="009602CB" w:rsidRPr="00236CAB" w:rsidRDefault="009602CB" w:rsidP="009602CB">
      <w:pPr>
        <w:pStyle w:val="Prrafodelista"/>
        <w:spacing w:line="360" w:lineRule="auto"/>
        <w:jc w:val="both"/>
        <w:rPr>
          <w:rFonts w:ascii="Palatino Linotype" w:hAnsi="Palatino Linotype" w:cs="Tahoma"/>
          <w:bCs/>
          <w:iCs/>
          <w:sz w:val="24"/>
        </w:rPr>
      </w:pPr>
    </w:p>
    <w:p w14:paraId="430E0526" w14:textId="77777777" w:rsidR="009602CB" w:rsidRPr="00236CAB" w:rsidRDefault="009602CB" w:rsidP="009602CB">
      <w:pPr>
        <w:pStyle w:val="Prrafodelista"/>
        <w:numPr>
          <w:ilvl w:val="0"/>
          <w:numId w:val="6"/>
        </w:numPr>
        <w:spacing w:line="360" w:lineRule="auto"/>
        <w:ind w:left="0" w:firstLine="0"/>
        <w:jc w:val="both"/>
        <w:rPr>
          <w:rFonts w:ascii="Palatino Linotype" w:hAnsi="Palatino Linotype" w:cs="Tahoma"/>
          <w:bCs/>
          <w:iCs/>
          <w:sz w:val="24"/>
        </w:rPr>
      </w:pPr>
      <w:r w:rsidRPr="00236CAB">
        <w:rPr>
          <w:rFonts w:ascii="Palatino Linotype" w:hAnsi="Palatino Linotype" w:cs="Tahoma"/>
          <w:bCs/>
          <w:iCs/>
          <w:sz w:val="24"/>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0BE862CB" w14:textId="77777777" w:rsidR="009602CB" w:rsidRPr="00236CAB" w:rsidRDefault="009602CB" w:rsidP="009602CB">
      <w:pPr>
        <w:pStyle w:val="Prrafodelista"/>
        <w:spacing w:line="360" w:lineRule="auto"/>
        <w:ind w:left="0"/>
        <w:jc w:val="both"/>
        <w:rPr>
          <w:rFonts w:ascii="Palatino Linotype" w:hAnsi="Palatino Linotype" w:cs="Tahoma"/>
          <w:bCs/>
          <w:iCs/>
          <w:sz w:val="24"/>
        </w:rPr>
      </w:pPr>
    </w:p>
    <w:p w14:paraId="6D22AD02" w14:textId="77777777" w:rsidR="009602CB" w:rsidRPr="00236CAB" w:rsidRDefault="009602CB" w:rsidP="009602CB">
      <w:pPr>
        <w:pStyle w:val="Prrafodelista"/>
        <w:numPr>
          <w:ilvl w:val="0"/>
          <w:numId w:val="10"/>
        </w:numPr>
        <w:spacing w:line="360" w:lineRule="auto"/>
        <w:jc w:val="both"/>
        <w:rPr>
          <w:rFonts w:ascii="Palatino Linotype" w:eastAsia="Calibri" w:hAnsi="Palatino Linotype" w:cs="Tahoma"/>
          <w:b/>
          <w:bCs/>
          <w:iCs/>
          <w:sz w:val="24"/>
        </w:rPr>
      </w:pPr>
      <w:r w:rsidRPr="00236CAB">
        <w:rPr>
          <w:rFonts w:ascii="Palatino Linotype" w:eastAsia="Calibri" w:hAnsi="Palatino Linotype" w:cs="Tahoma"/>
          <w:b/>
          <w:bCs/>
          <w:iCs/>
          <w:sz w:val="24"/>
        </w:rPr>
        <w:t>Código bidimensional o Qr.</w:t>
      </w:r>
    </w:p>
    <w:p w14:paraId="66540675" w14:textId="77777777" w:rsidR="009602CB" w:rsidRPr="00236CAB" w:rsidRDefault="009602CB" w:rsidP="009602CB">
      <w:pPr>
        <w:pStyle w:val="Prrafodelista"/>
        <w:numPr>
          <w:ilvl w:val="0"/>
          <w:numId w:val="6"/>
        </w:numPr>
        <w:spacing w:line="360" w:lineRule="auto"/>
        <w:ind w:left="0" w:firstLine="0"/>
        <w:jc w:val="both"/>
        <w:rPr>
          <w:rFonts w:ascii="Palatino Linotype" w:hAnsi="Palatino Linotype" w:cs="Tahoma"/>
          <w:bCs/>
          <w:iCs/>
          <w:sz w:val="24"/>
        </w:rPr>
      </w:pPr>
      <w:r w:rsidRPr="00236CAB">
        <w:rPr>
          <w:rFonts w:ascii="Palatino Linotype" w:eastAsia="Calibri" w:hAnsi="Palatino Linotype" w:cs="Tahoma"/>
          <w:bCs/>
          <w:sz w:val="24"/>
        </w:rPr>
        <w:t xml:space="preserve">En principio, resulta necesario señalar que los comprobantes fiscales digitales por Internet, deben de incluir un código bidimensional conforme al formato </w:t>
      </w:r>
      <w:r w:rsidRPr="00236CAB">
        <w:rPr>
          <w:rFonts w:ascii="Palatino Linotype" w:eastAsia="Calibri" w:hAnsi="Palatino Linotype" w:cs="Tahoma"/>
          <w:bCs/>
          <w:i/>
          <w:sz w:val="24"/>
        </w:rPr>
        <w:t>QR Code (Quick Response Code)</w:t>
      </w:r>
      <w:r w:rsidRPr="00236CAB">
        <w:rPr>
          <w:rFonts w:ascii="Palatino Linotype" w:eastAsia="Calibri" w:hAnsi="Palatino Linotype" w:cs="Tahoma"/>
          <w:bCs/>
          <w:sz w:val="24"/>
        </w:rPr>
        <w:t xml:space="preserve">, el cual contiene el Registro Federal de Contribuyentes del receptor, del emisor, o de ambos; lo anterior, conforme al Anexo 20 de la Segunda Resolución de modificación a la Resolución Miscelánea Fiscal para el 2017, localizada </w:t>
      </w:r>
      <w:r w:rsidRPr="00236CAB">
        <w:rPr>
          <w:rFonts w:ascii="Palatino Linotype" w:eastAsia="Calibri" w:hAnsi="Palatino Linotype" w:cs="Tahoma"/>
          <w:bCs/>
          <w:sz w:val="24"/>
        </w:rPr>
        <w:lastRenderedPageBreak/>
        <w:t xml:space="preserve">en la página electrónica  </w:t>
      </w:r>
      <w:hyperlink r:id="rId17" w:history="1">
        <w:r w:rsidRPr="00236CAB">
          <w:rPr>
            <w:rFonts w:ascii="Palatino Linotype" w:eastAsia="Calibri" w:hAnsi="Palatino Linotype" w:cs="Tahoma"/>
            <w:bCs/>
            <w:color w:val="0563C1"/>
            <w:sz w:val="24"/>
            <w:u w:val="single"/>
          </w:rPr>
          <w:t>http://dof.gob.mx/nota_detalle.php?codigo=5492254&amp;fecha=28/07/2017</w:t>
        </w:r>
      </w:hyperlink>
      <w:r w:rsidRPr="00236CAB">
        <w:rPr>
          <w:rFonts w:ascii="Palatino Linotype" w:eastAsia="Calibri" w:hAnsi="Palatino Linotype" w:cs="Tahoma"/>
          <w:bCs/>
          <w:sz w:val="24"/>
        </w:rPr>
        <w:t>. Incluso con la captura de dicho código, a través de la aplicación móvil del Servicio de Administración Tributaria, permite el acceso al Registro Federal de Contribuyentes, como del Sujeto Obligado, como de los servidores públicos.</w:t>
      </w:r>
    </w:p>
    <w:p w14:paraId="4088A386" w14:textId="77777777" w:rsidR="009602CB" w:rsidRPr="00236CAB" w:rsidRDefault="009602CB" w:rsidP="009602CB">
      <w:pPr>
        <w:pStyle w:val="Prrafodelista"/>
        <w:numPr>
          <w:ilvl w:val="0"/>
          <w:numId w:val="6"/>
        </w:numPr>
        <w:spacing w:line="360" w:lineRule="auto"/>
        <w:ind w:left="0" w:firstLine="0"/>
        <w:jc w:val="both"/>
        <w:rPr>
          <w:rFonts w:ascii="Palatino Linotype" w:hAnsi="Palatino Linotype" w:cs="Tahoma"/>
          <w:bCs/>
          <w:iCs/>
          <w:sz w:val="24"/>
        </w:rPr>
      </w:pPr>
      <w:r w:rsidRPr="00236CAB">
        <w:rPr>
          <w:rFonts w:ascii="Palatino Linotype" w:eastAsia="Calibri" w:hAnsi="Palatino Linotype" w:cs="Tahoma"/>
          <w:bCs/>
          <w:sz w:val="24"/>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54F63088" w14:textId="77777777" w:rsidR="00D92C64" w:rsidRPr="00236CAB" w:rsidRDefault="00D92C64" w:rsidP="009602CB">
      <w:pPr>
        <w:pBdr>
          <w:top w:val="nil"/>
          <w:left w:val="nil"/>
          <w:bottom w:val="nil"/>
          <w:right w:val="nil"/>
          <w:between w:val="nil"/>
        </w:pBdr>
        <w:rPr>
          <w:rFonts w:ascii="Palatino Linotype" w:eastAsia="Palatino Linotype" w:hAnsi="Palatino Linotype" w:cs="Palatino Linotype"/>
          <w:color w:val="000000"/>
        </w:rPr>
      </w:pPr>
    </w:p>
    <w:p w14:paraId="03B0BDFB" w14:textId="77777777" w:rsidR="009602CB" w:rsidRPr="00236CAB" w:rsidRDefault="00647915" w:rsidP="009602CB">
      <w:pPr>
        <w:pStyle w:val="Prrafodelista"/>
        <w:numPr>
          <w:ilvl w:val="0"/>
          <w:numId w:val="6"/>
        </w:numPr>
        <w:spacing w:line="360" w:lineRule="auto"/>
        <w:ind w:left="0" w:firstLine="0"/>
        <w:jc w:val="both"/>
        <w:rPr>
          <w:rFonts w:ascii="Palatino Linotype" w:hAnsi="Palatino Linotype" w:cs="Tahoma"/>
          <w:bCs/>
          <w:iCs/>
          <w:sz w:val="24"/>
        </w:rPr>
      </w:pPr>
      <w:r w:rsidRPr="00236CAB">
        <w:rPr>
          <w:rFonts w:ascii="Palatino Linotype" w:eastAsia="Palatino Linotype" w:hAnsi="Palatino Linotype" w:cs="Palatino Linotype"/>
          <w:color w:val="000000"/>
          <w:sz w:val="24"/>
        </w:rPr>
        <w:t xml:space="preserve"> </w:t>
      </w:r>
      <w:r w:rsidR="009602CB" w:rsidRPr="00236CAB">
        <w:rPr>
          <w:rFonts w:ascii="Palatino Linotype" w:eastAsia="Palatino Linotype" w:hAnsi="Palatino Linotype" w:cs="Palatino Linotype"/>
          <w:color w:val="000000"/>
          <w:sz w:val="24"/>
        </w:rPr>
        <w:t>En este caso, se advierte que los datos que se testaron son por su naturaleza clasificados, sin embargo, no se entregó el acuerdo de clasificación que sustenta la versión pública, motivo de inconformidad del Recurrente, por lo tanto, y derivado de todo lo anteriormente señalado, es dable ordenar la entrega del acuerdo emitido por el Comité de Transparencia que sustente la versión pública de la información en términos de los artículos 49 fracción VIII y 132 fracción II de la Ley de Transparencia y Acceso a la Información Pública del Estado de México y Municipios.</w:t>
      </w:r>
    </w:p>
    <w:p w14:paraId="2E75013A" w14:textId="77777777" w:rsidR="009602CB" w:rsidRPr="00236CAB" w:rsidRDefault="009602CB" w:rsidP="009602CB">
      <w:pPr>
        <w:spacing w:line="360" w:lineRule="auto"/>
        <w:ind w:right="49"/>
        <w:jc w:val="both"/>
        <w:rPr>
          <w:rFonts w:ascii="Palatino Linotype" w:eastAsia="Palatino Linotype" w:hAnsi="Palatino Linotype" w:cs="Palatino Linotype"/>
          <w:color w:val="000000"/>
        </w:rPr>
      </w:pPr>
    </w:p>
    <w:p w14:paraId="59BCED01" w14:textId="77777777" w:rsidR="00D92C64" w:rsidRPr="00236CAB" w:rsidRDefault="00647915">
      <w:pPr>
        <w:numPr>
          <w:ilvl w:val="0"/>
          <w:numId w:val="6"/>
        </w:numPr>
        <w:spacing w:line="360" w:lineRule="auto"/>
        <w:ind w:left="0" w:right="49"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 xml:space="preserve">Por otro lado, sobre el currículum vitae se advierte que también se entregó en versión pública, pero no se advierte que datos se testaron, porque de igual forma, no se adjuntó el acuerdo que sustente la clasificación de la información; asimismo, se advierte que se dejaron a la vista datos que por su naturaleza son clasificados como confidenciales, entre los </w:t>
      </w:r>
      <w:r w:rsidR="000C4DA0" w:rsidRPr="00236CAB">
        <w:rPr>
          <w:rFonts w:ascii="Palatino Linotype" w:eastAsia="Palatino Linotype" w:hAnsi="Palatino Linotype" w:cs="Palatino Linotype"/>
          <w:color w:val="000000"/>
        </w:rPr>
        <w:t xml:space="preserve">que se advierte su estado civil, edad </w:t>
      </w:r>
      <w:r w:rsidRPr="00236CAB">
        <w:rPr>
          <w:rFonts w:ascii="Palatino Linotype" w:eastAsia="Palatino Linotype" w:hAnsi="Palatino Linotype" w:cs="Palatino Linotype"/>
          <w:color w:val="000000"/>
        </w:rPr>
        <w:t xml:space="preserve">y número telefónico. </w:t>
      </w:r>
    </w:p>
    <w:p w14:paraId="3FDD1E86" w14:textId="77777777" w:rsidR="00D92C64" w:rsidRPr="00236CAB" w:rsidRDefault="00D92C64">
      <w:pPr>
        <w:rPr>
          <w:rFonts w:ascii="Palatino Linotype" w:eastAsia="Palatino Linotype" w:hAnsi="Palatino Linotype" w:cs="Palatino Linotype"/>
          <w:color w:val="000000"/>
        </w:rPr>
      </w:pPr>
    </w:p>
    <w:p w14:paraId="20E8C862" w14:textId="77777777" w:rsidR="00D92C64" w:rsidRPr="00236CAB" w:rsidRDefault="00647915">
      <w:pPr>
        <w:numPr>
          <w:ilvl w:val="0"/>
          <w:numId w:val="6"/>
        </w:numPr>
        <w:spacing w:line="360" w:lineRule="auto"/>
        <w:ind w:left="0" w:right="49" w:firstLine="0"/>
        <w:jc w:val="both"/>
        <w:rPr>
          <w:rFonts w:ascii="Palatino Linotype" w:eastAsia="Palatino Linotype" w:hAnsi="Palatino Linotype" w:cs="Palatino Linotype"/>
          <w:b/>
          <w:color w:val="000000"/>
        </w:rPr>
      </w:pPr>
      <w:r w:rsidRPr="00236CAB">
        <w:rPr>
          <w:rFonts w:ascii="Palatino Linotype" w:eastAsia="Palatino Linotype" w:hAnsi="Palatino Linotype" w:cs="Palatino Linotype"/>
          <w:color w:val="000000"/>
        </w:rPr>
        <w:lastRenderedPageBreak/>
        <w:t>En ese sentido</w:t>
      </w:r>
      <w:r w:rsidRPr="00236CAB">
        <w:rPr>
          <w:rFonts w:ascii="Palatino Linotype" w:eastAsia="Palatino Linotype" w:hAnsi="Palatino Linotype" w:cs="Palatino Linotype"/>
        </w:rPr>
        <w:t>, entendiéndose por información confidencial, aquellos datos personales, datos personales sensibles e información privada, cuyas acepciones legales las podemos encontrar en los artículos 3, fracciones IX, XX, XXI y XXIII de la Ley de Transparencia y Acceso a la Información Pública del Estado de México y Municipios y 4, fracciones XI y XII de la Ley de Protección de Datos Personales en Posesión de Sujetos Obligados del Estado de México y Municipios, los cuales se transcriben a continuación:</w:t>
      </w:r>
    </w:p>
    <w:p w14:paraId="1D5C18F1" w14:textId="77777777" w:rsidR="00D92C64" w:rsidRPr="00236CAB" w:rsidRDefault="00647915">
      <w:pPr>
        <w:ind w:left="567" w:right="616"/>
        <w:jc w:val="center"/>
        <w:rPr>
          <w:rFonts w:ascii="Palatino Linotype" w:eastAsia="Palatino Linotype" w:hAnsi="Palatino Linotype" w:cs="Palatino Linotype"/>
          <w:b/>
          <w:i/>
          <w:sz w:val="22"/>
        </w:rPr>
      </w:pPr>
      <w:r w:rsidRPr="00236CAB">
        <w:rPr>
          <w:rFonts w:ascii="Palatino Linotype" w:eastAsia="Palatino Linotype" w:hAnsi="Palatino Linotype" w:cs="Palatino Linotype"/>
          <w:b/>
          <w:i/>
          <w:sz w:val="22"/>
        </w:rPr>
        <w:t>“Ley de Transparencia y Acceso a la Información Pública del Estado de México y Municipios</w:t>
      </w:r>
    </w:p>
    <w:p w14:paraId="71359802" w14:textId="77777777" w:rsidR="00D92C64" w:rsidRPr="00236CAB" w:rsidRDefault="00D92C64">
      <w:pPr>
        <w:ind w:left="567" w:right="616"/>
        <w:jc w:val="center"/>
        <w:rPr>
          <w:rFonts w:ascii="Palatino Linotype" w:eastAsia="Palatino Linotype" w:hAnsi="Palatino Linotype" w:cs="Palatino Linotype"/>
          <w:i/>
          <w:sz w:val="22"/>
        </w:rPr>
      </w:pPr>
    </w:p>
    <w:p w14:paraId="3015895A" w14:textId="77777777" w:rsidR="00D92C64" w:rsidRPr="00236CAB" w:rsidRDefault="00647915">
      <w:pPr>
        <w:ind w:left="567" w:right="616"/>
        <w:jc w:val="both"/>
        <w:rPr>
          <w:rFonts w:ascii="Palatino Linotype" w:eastAsia="Palatino Linotype" w:hAnsi="Palatino Linotype" w:cs="Palatino Linotype"/>
          <w:i/>
          <w:sz w:val="22"/>
        </w:rPr>
      </w:pPr>
      <w:r w:rsidRPr="00236CAB">
        <w:rPr>
          <w:rFonts w:ascii="Palatino Linotype" w:eastAsia="Palatino Linotype" w:hAnsi="Palatino Linotype" w:cs="Palatino Linotype"/>
          <w:i/>
          <w:sz w:val="22"/>
        </w:rPr>
        <w:t>“</w:t>
      </w:r>
      <w:r w:rsidRPr="00236CAB">
        <w:rPr>
          <w:rFonts w:ascii="Palatino Linotype" w:eastAsia="Palatino Linotype" w:hAnsi="Palatino Linotype" w:cs="Palatino Linotype"/>
          <w:b/>
          <w:i/>
          <w:sz w:val="22"/>
        </w:rPr>
        <w:t>Artículo 3.</w:t>
      </w:r>
      <w:r w:rsidRPr="00236CAB">
        <w:rPr>
          <w:rFonts w:ascii="Palatino Linotype" w:eastAsia="Palatino Linotype" w:hAnsi="Palatino Linotype" w:cs="Palatino Linotype"/>
          <w:i/>
          <w:sz w:val="22"/>
        </w:rPr>
        <w:t xml:space="preserve"> Para los efectos de la presente Ley se entenderá por:</w:t>
      </w:r>
    </w:p>
    <w:p w14:paraId="454308A7" w14:textId="77777777" w:rsidR="00D92C64" w:rsidRPr="00236CAB" w:rsidRDefault="00647915">
      <w:pPr>
        <w:ind w:left="567" w:right="616"/>
        <w:jc w:val="both"/>
        <w:rPr>
          <w:rFonts w:ascii="Palatino Linotype" w:eastAsia="Palatino Linotype" w:hAnsi="Palatino Linotype" w:cs="Palatino Linotype"/>
          <w:i/>
          <w:sz w:val="22"/>
        </w:rPr>
      </w:pPr>
      <w:r w:rsidRPr="00236CAB">
        <w:rPr>
          <w:rFonts w:ascii="Palatino Linotype" w:eastAsia="Palatino Linotype" w:hAnsi="Palatino Linotype" w:cs="Palatino Linotype"/>
          <w:i/>
          <w:sz w:val="22"/>
        </w:rPr>
        <w:t>(…)</w:t>
      </w:r>
    </w:p>
    <w:p w14:paraId="37AFC908" w14:textId="77777777" w:rsidR="00D92C64" w:rsidRPr="00236CAB" w:rsidRDefault="00647915">
      <w:pPr>
        <w:ind w:left="567" w:right="616"/>
        <w:jc w:val="both"/>
        <w:rPr>
          <w:rFonts w:ascii="Palatino Linotype" w:eastAsia="Palatino Linotype" w:hAnsi="Palatino Linotype" w:cs="Palatino Linotype"/>
          <w:i/>
          <w:sz w:val="22"/>
        </w:rPr>
      </w:pPr>
      <w:r w:rsidRPr="00236CAB">
        <w:rPr>
          <w:rFonts w:ascii="Palatino Linotype" w:eastAsia="Palatino Linotype" w:hAnsi="Palatino Linotype" w:cs="Palatino Linotype"/>
          <w:b/>
          <w:i/>
          <w:sz w:val="22"/>
        </w:rPr>
        <w:t>IX.</w:t>
      </w:r>
      <w:r w:rsidRPr="00236CAB">
        <w:rPr>
          <w:rFonts w:ascii="Palatino Linotype" w:eastAsia="Palatino Linotype" w:hAnsi="Palatino Linotype" w:cs="Palatino Linotype"/>
          <w:i/>
          <w:sz w:val="22"/>
        </w:rPr>
        <w:t xml:space="preserve"> </w:t>
      </w:r>
      <w:r w:rsidRPr="00236CAB">
        <w:rPr>
          <w:rFonts w:ascii="Palatino Linotype" w:eastAsia="Palatino Linotype" w:hAnsi="Palatino Linotype" w:cs="Palatino Linotype"/>
          <w:b/>
          <w:i/>
          <w:sz w:val="22"/>
        </w:rPr>
        <w:t>Datos personales</w:t>
      </w:r>
      <w:r w:rsidRPr="00236CAB">
        <w:rPr>
          <w:rFonts w:ascii="Palatino Linotype" w:eastAsia="Palatino Linotype" w:hAnsi="Palatino Linotype" w:cs="Palatino Linotype"/>
          <w:i/>
          <w:sz w:val="22"/>
        </w:rPr>
        <w:t xml:space="preserve">: La información concerniente a una persona, identificada o identificable según lo dispuesto por la Ley de Protección de Datos Personales del Estado de México; </w:t>
      </w:r>
    </w:p>
    <w:p w14:paraId="6DC013FE" w14:textId="77777777" w:rsidR="00D92C64" w:rsidRPr="00236CAB" w:rsidRDefault="00647915">
      <w:pPr>
        <w:ind w:left="567" w:right="616"/>
        <w:jc w:val="both"/>
        <w:rPr>
          <w:rFonts w:ascii="Palatino Linotype" w:eastAsia="Palatino Linotype" w:hAnsi="Palatino Linotype" w:cs="Palatino Linotype"/>
          <w:i/>
          <w:sz w:val="22"/>
        </w:rPr>
      </w:pPr>
      <w:r w:rsidRPr="00236CAB">
        <w:rPr>
          <w:rFonts w:ascii="Palatino Linotype" w:eastAsia="Palatino Linotype" w:hAnsi="Palatino Linotype" w:cs="Palatino Linotype"/>
          <w:b/>
          <w:i/>
          <w:sz w:val="22"/>
        </w:rPr>
        <w:t>XX. Información clasificada</w:t>
      </w:r>
      <w:r w:rsidRPr="00236CAB">
        <w:rPr>
          <w:rFonts w:ascii="Palatino Linotype" w:eastAsia="Palatino Linotype" w:hAnsi="Palatino Linotype" w:cs="Palatino Linotype"/>
          <w:i/>
          <w:sz w:val="22"/>
        </w:rPr>
        <w:t>: Aquella considerada por la presente Ley como reservada o confidencial;</w:t>
      </w:r>
    </w:p>
    <w:p w14:paraId="7CCBDA2D" w14:textId="77777777" w:rsidR="00D92C64" w:rsidRPr="00236CAB" w:rsidRDefault="00647915">
      <w:pPr>
        <w:ind w:left="567" w:right="616"/>
        <w:jc w:val="both"/>
        <w:rPr>
          <w:rFonts w:ascii="Palatino Linotype" w:eastAsia="Palatino Linotype" w:hAnsi="Palatino Linotype" w:cs="Palatino Linotype"/>
          <w:i/>
          <w:sz w:val="22"/>
        </w:rPr>
      </w:pPr>
      <w:r w:rsidRPr="00236CAB">
        <w:rPr>
          <w:rFonts w:ascii="Palatino Linotype" w:eastAsia="Palatino Linotype" w:hAnsi="Palatino Linotype" w:cs="Palatino Linotype"/>
          <w:b/>
          <w:i/>
          <w:sz w:val="22"/>
        </w:rPr>
        <w:t>XXI. Información confidencial:</w:t>
      </w:r>
      <w:r w:rsidRPr="00236CAB">
        <w:rPr>
          <w:rFonts w:ascii="Palatino Linotype" w:eastAsia="Palatino Linotype" w:hAnsi="Palatino Linotype" w:cs="Palatino Linotype"/>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37DE78F" w14:textId="77777777" w:rsidR="00D92C64" w:rsidRPr="00236CAB" w:rsidRDefault="00647915">
      <w:pPr>
        <w:ind w:left="567" w:right="616"/>
        <w:jc w:val="both"/>
        <w:rPr>
          <w:rFonts w:ascii="Palatino Linotype" w:eastAsia="Palatino Linotype" w:hAnsi="Palatino Linotype" w:cs="Palatino Linotype"/>
          <w:i/>
          <w:sz w:val="22"/>
        </w:rPr>
      </w:pPr>
      <w:r w:rsidRPr="00236CAB">
        <w:rPr>
          <w:rFonts w:ascii="Palatino Linotype" w:eastAsia="Palatino Linotype" w:hAnsi="Palatino Linotype" w:cs="Palatino Linotype"/>
          <w:i/>
          <w:sz w:val="22"/>
        </w:rPr>
        <w:t>(…)</w:t>
      </w:r>
    </w:p>
    <w:p w14:paraId="0029327E" w14:textId="77777777" w:rsidR="00D92C64" w:rsidRPr="00236CAB" w:rsidRDefault="00647915">
      <w:pPr>
        <w:ind w:left="567" w:right="616"/>
        <w:jc w:val="both"/>
        <w:rPr>
          <w:rFonts w:ascii="Palatino Linotype" w:eastAsia="Palatino Linotype" w:hAnsi="Palatino Linotype" w:cs="Palatino Linotype"/>
          <w:i/>
          <w:sz w:val="22"/>
        </w:rPr>
      </w:pPr>
      <w:r w:rsidRPr="00236CAB">
        <w:rPr>
          <w:rFonts w:ascii="Palatino Linotype" w:eastAsia="Palatino Linotype" w:hAnsi="Palatino Linotype" w:cs="Palatino Linotype"/>
          <w:b/>
          <w:i/>
          <w:sz w:val="22"/>
        </w:rPr>
        <w:t>XXIII. Información privada</w:t>
      </w:r>
      <w:r w:rsidRPr="00236CAB">
        <w:rPr>
          <w:rFonts w:ascii="Palatino Linotype" w:eastAsia="Palatino Linotype" w:hAnsi="Palatino Linotype" w:cs="Palatino Linotype"/>
          <w:i/>
          <w:sz w:val="22"/>
        </w:rPr>
        <w:t>: La contenida en documentos públicos o privados que refiera a la vida privada y/o los datos personales, que no son de acceso público;</w:t>
      </w:r>
    </w:p>
    <w:p w14:paraId="4782C192" w14:textId="77777777" w:rsidR="00D92C64" w:rsidRPr="00236CAB" w:rsidRDefault="00647915">
      <w:pPr>
        <w:ind w:left="567" w:right="616"/>
        <w:jc w:val="both"/>
        <w:rPr>
          <w:rFonts w:ascii="Palatino Linotype" w:eastAsia="Palatino Linotype" w:hAnsi="Palatino Linotype" w:cs="Palatino Linotype"/>
          <w:i/>
          <w:sz w:val="22"/>
        </w:rPr>
      </w:pPr>
      <w:r w:rsidRPr="00236CAB">
        <w:rPr>
          <w:rFonts w:ascii="Palatino Linotype" w:eastAsia="Palatino Linotype" w:hAnsi="Palatino Linotype" w:cs="Palatino Linotype"/>
          <w:i/>
          <w:sz w:val="22"/>
        </w:rPr>
        <w:t>(…)”</w:t>
      </w:r>
    </w:p>
    <w:p w14:paraId="7E48E7E9" w14:textId="77777777" w:rsidR="00D92C64" w:rsidRPr="00236CAB" w:rsidRDefault="00D92C64">
      <w:pPr>
        <w:ind w:left="567" w:right="616"/>
        <w:jc w:val="both"/>
        <w:rPr>
          <w:rFonts w:ascii="Palatino Linotype" w:eastAsia="Palatino Linotype" w:hAnsi="Palatino Linotype" w:cs="Palatino Linotype"/>
          <w:i/>
          <w:sz w:val="22"/>
        </w:rPr>
      </w:pPr>
    </w:p>
    <w:p w14:paraId="4DF5D71F" w14:textId="77777777" w:rsidR="00D92C64" w:rsidRPr="00236CAB" w:rsidRDefault="00D92C64">
      <w:pPr>
        <w:ind w:left="567" w:right="616"/>
        <w:jc w:val="both"/>
        <w:rPr>
          <w:rFonts w:ascii="Palatino Linotype" w:eastAsia="Palatino Linotype" w:hAnsi="Palatino Linotype" w:cs="Palatino Linotype"/>
          <w:i/>
          <w:sz w:val="22"/>
        </w:rPr>
      </w:pPr>
    </w:p>
    <w:p w14:paraId="6B4A954E" w14:textId="77777777" w:rsidR="00D92C64" w:rsidRPr="00236CAB" w:rsidRDefault="00647915">
      <w:pPr>
        <w:ind w:left="567" w:right="616"/>
        <w:jc w:val="both"/>
        <w:rPr>
          <w:rFonts w:ascii="Palatino Linotype" w:eastAsia="Palatino Linotype" w:hAnsi="Palatino Linotype" w:cs="Palatino Linotype"/>
          <w:i/>
          <w:sz w:val="22"/>
        </w:rPr>
      </w:pPr>
      <w:r w:rsidRPr="00236CAB">
        <w:rPr>
          <w:rFonts w:ascii="Palatino Linotype" w:eastAsia="Palatino Linotype" w:hAnsi="Palatino Linotype" w:cs="Palatino Linotype"/>
          <w:b/>
          <w:i/>
          <w:sz w:val="22"/>
        </w:rPr>
        <w:t>Artículo 4.-</w:t>
      </w:r>
      <w:r w:rsidRPr="00236CAB">
        <w:rPr>
          <w:rFonts w:ascii="Palatino Linotype" w:eastAsia="Palatino Linotype" w:hAnsi="Palatino Linotype" w:cs="Palatino Linotype"/>
          <w:i/>
          <w:sz w:val="22"/>
        </w:rPr>
        <w:t xml:space="preserve"> Para los efectos de esta Ley se entenderá por:</w:t>
      </w:r>
    </w:p>
    <w:p w14:paraId="274EB165" w14:textId="77777777" w:rsidR="00D92C64" w:rsidRPr="00236CAB" w:rsidRDefault="00647915">
      <w:pPr>
        <w:ind w:left="567" w:right="616"/>
        <w:jc w:val="both"/>
        <w:rPr>
          <w:rFonts w:ascii="Palatino Linotype" w:eastAsia="Palatino Linotype" w:hAnsi="Palatino Linotype" w:cs="Palatino Linotype"/>
          <w:i/>
          <w:sz w:val="22"/>
        </w:rPr>
      </w:pPr>
      <w:r w:rsidRPr="00236CAB">
        <w:rPr>
          <w:rFonts w:ascii="Palatino Linotype" w:eastAsia="Palatino Linotype" w:hAnsi="Palatino Linotype" w:cs="Palatino Linotype"/>
          <w:i/>
          <w:sz w:val="22"/>
        </w:rPr>
        <w:t>(…)</w:t>
      </w:r>
    </w:p>
    <w:p w14:paraId="10F84470" w14:textId="77777777" w:rsidR="00D92C64" w:rsidRPr="00236CAB" w:rsidRDefault="00647915">
      <w:pPr>
        <w:ind w:left="567" w:right="616"/>
        <w:jc w:val="both"/>
        <w:rPr>
          <w:rFonts w:ascii="Palatino Linotype" w:eastAsia="Palatino Linotype" w:hAnsi="Palatino Linotype" w:cs="Palatino Linotype"/>
          <w:i/>
          <w:sz w:val="22"/>
        </w:rPr>
      </w:pPr>
      <w:r w:rsidRPr="00236CAB">
        <w:rPr>
          <w:rFonts w:ascii="Palatino Linotype" w:eastAsia="Palatino Linotype" w:hAnsi="Palatino Linotype" w:cs="Palatino Linotype"/>
          <w:b/>
          <w:i/>
          <w:sz w:val="22"/>
        </w:rPr>
        <w:t>XI. Datos personales</w:t>
      </w:r>
      <w:r w:rsidRPr="00236CAB">
        <w:rPr>
          <w:rFonts w:ascii="Palatino Linotype" w:eastAsia="Palatino Linotype" w:hAnsi="Palatino Linotype" w:cs="Palatino Linotype"/>
          <w:i/>
          <w:sz w:val="22"/>
        </w:rPr>
        <w:t xml:space="preserve">: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 </w:t>
      </w:r>
    </w:p>
    <w:p w14:paraId="1F6640E0" w14:textId="77777777" w:rsidR="00D92C64" w:rsidRPr="00236CAB" w:rsidRDefault="00647915">
      <w:pPr>
        <w:ind w:left="567" w:right="616"/>
        <w:jc w:val="both"/>
        <w:rPr>
          <w:rFonts w:ascii="Palatino Linotype" w:eastAsia="Palatino Linotype" w:hAnsi="Palatino Linotype" w:cs="Palatino Linotype"/>
          <w:i/>
          <w:sz w:val="22"/>
        </w:rPr>
      </w:pPr>
      <w:r w:rsidRPr="00236CAB">
        <w:rPr>
          <w:rFonts w:ascii="Palatino Linotype" w:eastAsia="Palatino Linotype" w:hAnsi="Palatino Linotype" w:cs="Palatino Linotype"/>
          <w:b/>
          <w:i/>
          <w:sz w:val="22"/>
        </w:rPr>
        <w:lastRenderedPageBreak/>
        <w:t>XII. Datos personales sensibles</w:t>
      </w:r>
      <w:r w:rsidRPr="00236CAB">
        <w:rPr>
          <w:rFonts w:ascii="Palatino Linotype" w:eastAsia="Palatino Linotype" w:hAnsi="Palatino Linotype" w:cs="Palatino Linotype"/>
          <w:i/>
          <w:sz w:val="22"/>
        </w:rPr>
        <w:t>: a las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w:t>
      </w:r>
    </w:p>
    <w:p w14:paraId="30D39017" w14:textId="77777777" w:rsidR="00D92C64" w:rsidRPr="00236CAB" w:rsidRDefault="00647915">
      <w:pPr>
        <w:ind w:left="567" w:right="616"/>
        <w:jc w:val="both"/>
        <w:rPr>
          <w:rFonts w:ascii="Palatino Linotype" w:eastAsia="Palatino Linotype" w:hAnsi="Palatino Linotype" w:cs="Palatino Linotype"/>
          <w:i/>
          <w:sz w:val="22"/>
        </w:rPr>
      </w:pPr>
      <w:r w:rsidRPr="00236CAB">
        <w:rPr>
          <w:rFonts w:ascii="Palatino Linotype" w:eastAsia="Palatino Linotype" w:hAnsi="Palatino Linotype" w:cs="Palatino Linotype"/>
          <w:i/>
          <w:sz w:val="22"/>
        </w:rPr>
        <w:t>(…)”</w:t>
      </w:r>
    </w:p>
    <w:p w14:paraId="3F4B9D78" w14:textId="77777777" w:rsidR="00D92C64" w:rsidRPr="00236CAB" w:rsidRDefault="00647915">
      <w:pPr>
        <w:ind w:left="567" w:right="616"/>
        <w:jc w:val="both"/>
        <w:rPr>
          <w:rFonts w:ascii="Palatino Linotype" w:eastAsia="Palatino Linotype" w:hAnsi="Palatino Linotype" w:cs="Palatino Linotype"/>
          <w:i/>
          <w:sz w:val="22"/>
        </w:rPr>
      </w:pPr>
      <w:r w:rsidRPr="00236CAB">
        <w:rPr>
          <w:rFonts w:ascii="Palatino Linotype" w:eastAsia="Palatino Linotype" w:hAnsi="Palatino Linotype" w:cs="Palatino Linotype"/>
          <w:i/>
          <w:sz w:val="22"/>
        </w:rPr>
        <w:t>Énfasis añadido</w:t>
      </w:r>
    </w:p>
    <w:p w14:paraId="52E4D9A3" w14:textId="77777777" w:rsidR="00D92C64" w:rsidRPr="00236CAB" w:rsidRDefault="00D92C64">
      <w:pPr>
        <w:ind w:right="616"/>
        <w:jc w:val="both"/>
        <w:rPr>
          <w:rFonts w:ascii="Palatino Linotype" w:eastAsia="Palatino Linotype" w:hAnsi="Palatino Linotype" w:cs="Palatino Linotype"/>
          <w:i/>
        </w:rPr>
      </w:pPr>
    </w:p>
    <w:p w14:paraId="307E2246" w14:textId="77777777" w:rsidR="00D92C64" w:rsidRPr="00236CAB" w:rsidRDefault="00647915">
      <w:pPr>
        <w:numPr>
          <w:ilvl w:val="0"/>
          <w:numId w:val="6"/>
        </w:numPr>
        <w:pBdr>
          <w:top w:val="nil"/>
          <w:left w:val="nil"/>
          <w:bottom w:val="nil"/>
          <w:right w:val="nil"/>
          <w:between w:val="nil"/>
        </w:pBdr>
        <w:tabs>
          <w:tab w:val="left" w:pos="426"/>
        </w:tabs>
        <w:spacing w:before="240" w:line="360" w:lineRule="auto"/>
        <w:ind w:left="0" w:right="51"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De una interpretación armónica y sistemática de dichos preceptos jurídicos, podemos advertir que la información privada es aquella contenida en documentos de orden público que se refiera a la vida privada o contenga datos personales, los cuales no serán de acceso público. En ese mismo sentido, los datos personales son aquellos que conciernen a una persona, ya sea física o jurídica colectiva, que la hacen identificada o identificable, lo anterior, siempre que no involucren el ejercicio de recursos públicos.</w:t>
      </w:r>
    </w:p>
    <w:p w14:paraId="71F5AC05" w14:textId="77777777" w:rsidR="00D92C64" w:rsidRPr="00236CAB" w:rsidRDefault="00D92C6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8D53ECA" w14:textId="77777777" w:rsidR="00D92C64" w:rsidRPr="00236CAB" w:rsidRDefault="00647915">
      <w:pPr>
        <w:numPr>
          <w:ilvl w:val="0"/>
          <w:numId w:val="6"/>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 xml:space="preserve">En ese tenor, existe información personal que tiene un grado de sensibilidad tal, que su revelación puede poner en riesgo a las personas, las cuales, sin oponerse a lo anterior, son susceptibles de clasificarse como confidenciales, como lo son origen étnico o racial; características físicas; características morales; características emocionales; </w:t>
      </w:r>
      <w:r w:rsidRPr="00236CAB">
        <w:rPr>
          <w:rFonts w:ascii="Palatino Linotype" w:eastAsia="Palatino Linotype" w:hAnsi="Palatino Linotype" w:cs="Palatino Linotype"/>
          <w:b/>
          <w:color w:val="000000"/>
        </w:rPr>
        <w:t>vida afectiva</w:t>
      </w:r>
      <w:r w:rsidRPr="00236CAB">
        <w:rPr>
          <w:rFonts w:ascii="Palatino Linotype" w:eastAsia="Palatino Linotype" w:hAnsi="Palatino Linotype" w:cs="Palatino Linotype"/>
          <w:color w:val="000000"/>
        </w:rPr>
        <w:t xml:space="preserve">; vida familiar; domicilio particular; </w:t>
      </w:r>
      <w:r w:rsidRPr="00236CAB">
        <w:rPr>
          <w:rFonts w:ascii="Palatino Linotype" w:eastAsia="Palatino Linotype" w:hAnsi="Palatino Linotype" w:cs="Palatino Linotype"/>
          <w:b/>
          <w:color w:val="000000"/>
        </w:rPr>
        <w:t>número telefónico particular</w:t>
      </w:r>
      <w:r w:rsidRPr="00236CAB">
        <w:rPr>
          <w:rFonts w:ascii="Palatino Linotype" w:eastAsia="Palatino Linotype" w:hAnsi="Palatino Linotype" w:cs="Palatino Linotype"/>
          <w:color w:val="000000"/>
        </w:rPr>
        <w:t xml:space="preserve">; patrimonio; ideología; opinión política; creencia o convicción religiosa; creencia o convicción filosófica; estado de salud física; estado de salud mental; </w:t>
      </w:r>
      <w:r w:rsidRPr="00236CAB">
        <w:rPr>
          <w:rFonts w:ascii="Palatino Linotype" w:eastAsia="Palatino Linotype" w:hAnsi="Palatino Linotype" w:cs="Palatino Linotype"/>
          <w:b/>
          <w:color w:val="000000"/>
        </w:rPr>
        <w:t>estado civil;</w:t>
      </w:r>
      <w:r w:rsidRPr="00236CAB">
        <w:rPr>
          <w:rFonts w:ascii="Palatino Linotype" w:eastAsia="Palatino Linotype" w:hAnsi="Palatino Linotype" w:cs="Palatino Linotype"/>
          <w:color w:val="000000"/>
        </w:rPr>
        <w:t xml:space="preserve"> preferencia sexual; y otras análogas que afecten su intimidad, que pongan en riesgo la vida, seguridad o salud de las mismas.</w:t>
      </w:r>
    </w:p>
    <w:p w14:paraId="27D6B8B4" w14:textId="77777777" w:rsidR="00D92C64" w:rsidRPr="00236CAB" w:rsidRDefault="00D92C64">
      <w:pPr>
        <w:pBdr>
          <w:top w:val="nil"/>
          <w:left w:val="nil"/>
          <w:bottom w:val="nil"/>
          <w:right w:val="nil"/>
          <w:between w:val="nil"/>
        </w:pBdr>
        <w:ind w:left="720"/>
        <w:rPr>
          <w:rFonts w:ascii="Palatino Linotype" w:eastAsia="Palatino Linotype" w:hAnsi="Palatino Linotype" w:cs="Palatino Linotype"/>
          <w:color w:val="000000"/>
        </w:rPr>
      </w:pPr>
    </w:p>
    <w:p w14:paraId="7378ABD4" w14:textId="77777777" w:rsidR="00D92C64" w:rsidRPr="00236CAB" w:rsidRDefault="00647915">
      <w:pPr>
        <w:numPr>
          <w:ilvl w:val="0"/>
          <w:numId w:val="6"/>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lastRenderedPageBreak/>
        <w:t>En ese sentido, es procedente ordenar la entrega del currículum vitae del Titular de la Unidad de Transparencia en correcta versión pública; asimismo, es procedente dar vista a la Dirección General de Datos Personales de este Instituto, por dejarse a la vista información considerada por su naturaleza como confidencial, para que resuelva lo conducente y determine, en su caso, el grado de responsabilidad del Sujeto Obligado; esto con fundamento en el artículo 82, fracción XXVII de la Ley de Protección de Datos Personales del Estado de México y Municipios.</w:t>
      </w:r>
    </w:p>
    <w:p w14:paraId="7764C711" w14:textId="77777777" w:rsidR="00D92C64" w:rsidRPr="00236CAB" w:rsidRDefault="00D92C6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035DC78" w14:textId="77777777" w:rsidR="00D92C64" w:rsidRPr="00236CAB" w:rsidRDefault="00647915">
      <w:pPr>
        <w:numPr>
          <w:ilvl w:val="0"/>
          <w:numId w:val="4"/>
        </w:num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b/>
          <w:color w:val="000000"/>
        </w:rPr>
      </w:pPr>
      <w:r w:rsidRPr="00236CAB">
        <w:rPr>
          <w:rFonts w:ascii="Palatino Linotype" w:eastAsia="Palatino Linotype" w:hAnsi="Palatino Linotype" w:cs="Palatino Linotype"/>
          <w:b/>
          <w:color w:val="000000"/>
        </w:rPr>
        <w:t>Del recurso de revisión 07563/INFOEM/IP/RR/2023</w:t>
      </w:r>
    </w:p>
    <w:p w14:paraId="5D57ED30" w14:textId="77777777" w:rsidR="00D92C64" w:rsidRPr="00236CAB" w:rsidRDefault="00647915">
      <w:pPr>
        <w:numPr>
          <w:ilvl w:val="0"/>
          <w:numId w:val="6"/>
        </w:numPr>
        <w:pBdr>
          <w:top w:val="nil"/>
          <w:left w:val="nil"/>
          <w:bottom w:val="nil"/>
          <w:right w:val="nil"/>
          <w:between w:val="nil"/>
        </w:pBdr>
        <w:tabs>
          <w:tab w:val="left" w:pos="284"/>
          <w:tab w:val="left" w:pos="426"/>
        </w:tabs>
        <w:spacing w:line="360" w:lineRule="auto"/>
        <w:ind w:left="0" w:right="49"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w:t>
      </w:r>
      <w:r w:rsidRPr="00236CAB">
        <w:rPr>
          <w:rFonts w:ascii="Palatino Linotype" w:eastAsia="Palatino Linotype" w:hAnsi="Palatino Linotype" w:cs="Palatino Linotype"/>
          <w:b/>
          <w:color w:val="000000"/>
          <w:u w:val="single"/>
        </w:rPr>
        <w:t>sobreseimiento</w:t>
      </w:r>
      <w:r w:rsidRPr="00236CAB">
        <w:rPr>
          <w:rFonts w:ascii="Palatino Linotype" w:eastAsia="Palatino Linotype" w:hAnsi="Palatino Linotype" w:cs="Palatino Linotype"/>
          <w:color w:val="000000"/>
        </w:rPr>
        <w:t xml:space="preserve">; y, en su caso, ordenar la entrega de la información respecto a la falta de respuesta por parte del </w:t>
      </w:r>
      <w:r w:rsidRPr="00236CAB">
        <w:rPr>
          <w:rFonts w:ascii="Palatino Linotype" w:eastAsia="Palatino Linotype" w:hAnsi="Palatino Linotype" w:cs="Palatino Linotype"/>
          <w:b/>
          <w:color w:val="000000"/>
        </w:rPr>
        <w:t>SUJETO</w:t>
      </w:r>
      <w:r w:rsidRPr="00236CAB">
        <w:rPr>
          <w:rFonts w:ascii="Palatino Linotype" w:eastAsia="Palatino Linotype" w:hAnsi="Palatino Linotype" w:cs="Palatino Linotype"/>
          <w:color w:val="000000"/>
        </w:rPr>
        <w:t xml:space="preserve"> </w:t>
      </w:r>
      <w:r w:rsidRPr="00236CAB">
        <w:rPr>
          <w:rFonts w:ascii="Palatino Linotype" w:eastAsia="Palatino Linotype" w:hAnsi="Palatino Linotype" w:cs="Palatino Linotype"/>
          <w:b/>
          <w:color w:val="000000"/>
        </w:rPr>
        <w:t>OBLIGADO</w:t>
      </w:r>
      <w:r w:rsidRPr="00236CAB">
        <w:rPr>
          <w:rFonts w:ascii="Palatino Linotype" w:eastAsia="Palatino Linotype" w:hAnsi="Palatino Linotype" w:cs="Palatino Linotype"/>
          <w:color w:val="000000"/>
        </w:rPr>
        <w:t>.</w:t>
      </w:r>
    </w:p>
    <w:p w14:paraId="1133458C" w14:textId="77777777" w:rsidR="00D92C64" w:rsidRPr="00236CAB" w:rsidRDefault="00D92C64">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14:paraId="76FFD00B" w14:textId="77777777" w:rsidR="00D92C64" w:rsidRPr="00236CAB" w:rsidRDefault="00647915">
      <w:pPr>
        <w:numPr>
          <w:ilvl w:val="0"/>
          <w:numId w:val="6"/>
        </w:numPr>
        <w:pBdr>
          <w:top w:val="nil"/>
          <w:left w:val="nil"/>
          <w:bottom w:val="nil"/>
          <w:right w:val="nil"/>
          <w:between w:val="nil"/>
        </w:pBdr>
        <w:tabs>
          <w:tab w:val="left" w:pos="284"/>
          <w:tab w:val="left" w:pos="426"/>
        </w:tabs>
        <w:spacing w:line="360" w:lineRule="auto"/>
        <w:ind w:left="0" w:right="49" w:firstLine="0"/>
        <w:jc w:val="both"/>
        <w:rPr>
          <w:rFonts w:ascii="Palatino Linotype" w:eastAsia="Palatino Linotype" w:hAnsi="Palatino Linotype" w:cs="Palatino Linotype"/>
          <w:color w:val="000000"/>
        </w:rPr>
      </w:pPr>
      <w:bookmarkStart w:id="8" w:name="_heading=h.4d34og8" w:colFirst="0" w:colLast="0"/>
      <w:bookmarkEnd w:id="8"/>
      <w:r w:rsidRPr="00236CAB">
        <w:rPr>
          <w:rFonts w:ascii="Palatino Linotype" w:eastAsia="Palatino Linotype" w:hAnsi="Palatino Linotype" w:cs="Palatino Linotype"/>
          <w:color w:val="000000"/>
        </w:rPr>
        <w:t xml:space="preserve">Cabe destacar que el motivo de inconformidad del RECURRENTE sobre la entrega de información incompleta, actualiza la causal e improcedencia contenida en la fracción V del artículo 179 de la Ley de Transparencia y Acceso a la Información Pública del Estado de México y Municipios, por lo que este Órgano Garante estaría en la posibilidad de analizar  el presente asunto; sin embargo, será inminentemente excusado el ingreso al estudio y análisis de la controversia en consecuencia de que, como quedara establecido, el particular, por propio derecho, </w:t>
      </w:r>
      <w:r w:rsidRPr="00236CAB">
        <w:rPr>
          <w:rFonts w:ascii="Palatino Linotype" w:eastAsia="Palatino Linotype" w:hAnsi="Palatino Linotype" w:cs="Palatino Linotype"/>
          <w:b/>
          <w:color w:val="000000"/>
        </w:rPr>
        <w:t xml:space="preserve">se desistió del recurso </w:t>
      </w:r>
      <w:r w:rsidRPr="00236CAB">
        <w:rPr>
          <w:rFonts w:ascii="Palatino Linotype" w:eastAsia="Palatino Linotype" w:hAnsi="Palatino Linotype" w:cs="Palatino Linotype"/>
          <w:b/>
          <w:color w:val="000000"/>
        </w:rPr>
        <w:lastRenderedPageBreak/>
        <w:t>de revisión</w:t>
      </w:r>
      <w:r w:rsidRPr="00236CAB">
        <w:rPr>
          <w:rFonts w:ascii="Palatino Linotype" w:eastAsia="Palatino Linotype" w:hAnsi="Palatino Linotype" w:cs="Palatino Linotype"/>
          <w:color w:val="000000"/>
        </w:rPr>
        <w:t xml:space="preserve"> que nos ocupa, vía </w:t>
      </w:r>
      <w:r w:rsidRPr="00236CAB">
        <w:rPr>
          <w:rFonts w:ascii="Palatino Linotype" w:eastAsia="Palatino Linotype" w:hAnsi="Palatino Linotype" w:cs="Palatino Linotype"/>
          <w:i/>
          <w:color w:val="000000"/>
        </w:rPr>
        <w:t>SAIMEX</w:t>
      </w:r>
      <w:r w:rsidRPr="00236CAB">
        <w:rPr>
          <w:rFonts w:ascii="Palatino Linotype" w:eastAsia="Palatino Linotype" w:hAnsi="Palatino Linotype" w:cs="Palatino Linotype"/>
          <w:color w:val="000000"/>
        </w:rPr>
        <w:t>, el veintinueve (29) de febrero de dos mil veinticuatro, como se ilustra a continuación:</w:t>
      </w:r>
    </w:p>
    <w:p w14:paraId="4EDD1B13" w14:textId="77777777" w:rsidR="00D92C64" w:rsidRPr="00236CAB" w:rsidRDefault="00D92C64">
      <w:pPr>
        <w:pBdr>
          <w:top w:val="nil"/>
          <w:left w:val="nil"/>
          <w:bottom w:val="nil"/>
          <w:right w:val="nil"/>
          <w:between w:val="nil"/>
        </w:pBdr>
        <w:ind w:left="720"/>
        <w:rPr>
          <w:rFonts w:ascii="Palatino Linotype" w:eastAsia="Palatino Linotype" w:hAnsi="Palatino Linotype" w:cs="Palatino Linotype"/>
          <w:color w:val="000000"/>
        </w:rPr>
      </w:pPr>
    </w:p>
    <w:p w14:paraId="13648318" w14:textId="77777777" w:rsidR="00D92C64" w:rsidRPr="00236CAB" w:rsidRDefault="00647915">
      <w:pPr>
        <w:pBdr>
          <w:top w:val="nil"/>
          <w:left w:val="nil"/>
          <w:bottom w:val="nil"/>
          <w:right w:val="nil"/>
          <w:between w:val="nil"/>
        </w:pBdr>
        <w:ind w:left="720"/>
        <w:rPr>
          <w:rFonts w:ascii="Palatino Linotype" w:eastAsia="Palatino Linotype" w:hAnsi="Palatino Linotype" w:cs="Palatino Linotype"/>
          <w:color w:val="000000"/>
        </w:rPr>
      </w:pPr>
      <w:r w:rsidRPr="00236CAB">
        <w:rPr>
          <w:rFonts w:ascii="Century Gothic" w:eastAsia="Century Gothic" w:hAnsi="Century Gothic" w:cs="Century Gothic"/>
          <w:noProof/>
          <w:color w:val="000000"/>
        </w:rPr>
        <w:drawing>
          <wp:inline distT="0" distB="0" distL="0" distR="0" wp14:anchorId="610AD3D3" wp14:editId="776D27A8">
            <wp:extent cx="4813590" cy="261703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4813590" cy="2617030"/>
                    </a:xfrm>
                    <a:prstGeom prst="rect">
                      <a:avLst/>
                    </a:prstGeom>
                    <a:ln/>
                  </pic:spPr>
                </pic:pic>
              </a:graphicData>
            </a:graphic>
          </wp:inline>
        </w:drawing>
      </w:r>
    </w:p>
    <w:p w14:paraId="1205E55F" w14:textId="77777777" w:rsidR="00D92C64" w:rsidRPr="00236CAB" w:rsidRDefault="00D92C64">
      <w:pPr>
        <w:pBdr>
          <w:top w:val="nil"/>
          <w:left w:val="nil"/>
          <w:bottom w:val="nil"/>
          <w:right w:val="nil"/>
          <w:between w:val="nil"/>
        </w:pBdr>
        <w:ind w:left="720"/>
        <w:jc w:val="center"/>
        <w:rPr>
          <w:rFonts w:ascii="Palatino Linotype" w:eastAsia="Palatino Linotype" w:hAnsi="Palatino Linotype" w:cs="Palatino Linotype"/>
          <w:color w:val="000000"/>
        </w:rPr>
      </w:pPr>
    </w:p>
    <w:p w14:paraId="073D2317" w14:textId="77777777" w:rsidR="00D92C64" w:rsidRPr="00236CAB" w:rsidRDefault="00647915">
      <w:pPr>
        <w:numPr>
          <w:ilvl w:val="0"/>
          <w:numId w:val="6"/>
        </w:numPr>
        <w:pBdr>
          <w:top w:val="nil"/>
          <w:left w:val="nil"/>
          <w:bottom w:val="nil"/>
          <w:right w:val="nil"/>
          <w:between w:val="nil"/>
        </w:pBdr>
        <w:tabs>
          <w:tab w:val="left" w:pos="284"/>
          <w:tab w:val="left" w:pos="426"/>
        </w:tabs>
        <w:spacing w:line="360" w:lineRule="auto"/>
        <w:ind w:left="0" w:right="49"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 xml:space="preserve">De las imágenes, se advierte que efectivamente el particular hizo uso de la opción </w:t>
      </w:r>
      <w:r w:rsidRPr="00236CAB">
        <w:rPr>
          <w:rFonts w:ascii="Palatino Linotype" w:eastAsia="Palatino Linotype" w:hAnsi="Palatino Linotype" w:cs="Palatino Linotype"/>
          <w:b/>
          <w:i/>
          <w:color w:val="000000"/>
        </w:rPr>
        <w:t>“Desistir”</w:t>
      </w:r>
      <w:r w:rsidRPr="00236CAB">
        <w:rPr>
          <w:rFonts w:ascii="Palatino Linotype" w:eastAsia="Palatino Linotype" w:hAnsi="Palatino Linotype" w:cs="Palatino Linotype"/>
          <w:color w:val="000000"/>
        </w:rPr>
        <w:t xml:space="preserve"> al recurso de revisión en el propio </w:t>
      </w:r>
      <w:r w:rsidRPr="00236CAB">
        <w:rPr>
          <w:rFonts w:ascii="Palatino Linotype" w:eastAsia="Palatino Linotype" w:hAnsi="Palatino Linotype" w:cs="Palatino Linotype"/>
          <w:i/>
          <w:color w:val="000000"/>
        </w:rPr>
        <w:t>SAIMEX</w:t>
      </w:r>
      <w:r w:rsidRPr="00236CAB">
        <w:rPr>
          <w:rFonts w:ascii="Palatino Linotype" w:eastAsia="Palatino Linotype" w:hAnsi="Palatino Linotype" w:cs="Palatino Linotype"/>
          <w:color w:val="000000"/>
        </w:rPr>
        <w:t xml:space="preserve">, opción que </w:t>
      </w:r>
      <w:r w:rsidRPr="00236CAB">
        <w:rPr>
          <w:rFonts w:ascii="Palatino Linotype" w:eastAsia="Palatino Linotype" w:hAnsi="Palatino Linotype" w:cs="Palatino Linotype"/>
          <w:b/>
          <w:color w:val="000000"/>
          <w:u w:val="single"/>
        </w:rPr>
        <w:t>ÚNICAMENTE</w:t>
      </w:r>
      <w:r w:rsidRPr="00236CAB">
        <w:rPr>
          <w:rFonts w:ascii="Palatino Linotype" w:eastAsia="Palatino Linotype" w:hAnsi="Palatino Linotype" w:cs="Palatino Linotype"/>
          <w:color w:val="000000"/>
        </w:rPr>
        <w:t xml:space="preserve"> puede hacer uso el usuario dueño de la cuenta, previo ingreso de su nombre de usuario y contraseña; así las cosas, cabe resaltar de igual manera que, al seleccionar la opción de </w:t>
      </w:r>
      <w:r w:rsidRPr="00236CAB">
        <w:rPr>
          <w:rFonts w:ascii="Palatino Linotype" w:eastAsia="Palatino Linotype" w:hAnsi="Palatino Linotype" w:cs="Palatino Linotype"/>
          <w:b/>
          <w:color w:val="000000"/>
        </w:rPr>
        <w:t>desistimiento</w:t>
      </w:r>
      <w:r w:rsidRPr="00236CAB">
        <w:rPr>
          <w:rFonts w:ascii="Palatino Linotype" w:eastAsia="Palatino Linotype" w:hAnsi="Palatino Linotype" w:cs="Palatino Linotype"/>
          <w:color w:val="000000"/>
        </w:rPr>
        <w:t xml:space="preserve">, aparece al usuario una ventana de alerta con el objeto de que confirme que efectivamente es su deseo </w:t>
      </w:r>
      <w:r w:rsidRPr="00236CAB">
        <w:rPr>
          <w:rFonts w:ascii="Palatino Linotype" w:eastAsia="Palatino Linotype" w:hAnsi="Palatino Linotype" w:cs="Palatino Linotype"/>
          <w:b/>
          <w:color w:val="000000"/>
        </w:rPr>
        <w:t>desistirse</w:t>
      </w:r>
      <w:r w:rsidRPr="00236CAB">
        <w:rPr>
          <w:rFonts w:ascii="Palatino Linotype" w:eastAsia="Palatino Linotype" w:hAnsi="Palatino Linotype" w:cs="Palatino Linotype"/>
          <w:color w:val="000000"/>
        </w:rPr>
        <w:t xml:space="preserve"> del recurso; </w:t>
      </w:r>
      <w:r w:rsidRPr="00236CAB">
        <w:rPr>
          <w:rFonts w:ascii="Palatino Linotype" w:eastAsia="Palatino Linotype" w:hAnsi="Palatino Linotype" w:cs="Palatino Linotype"/>
          <w:b/>
          <w:color w:val="000000"/>
        </w:rPr>
        <w:t>luego entonces no es hacedero suponer que fue por error involuntario, lo que se constituye como un desistimiento expreso</w:t>
      </w:r>
      <w:r w:rsidRPr="00236CAB">
        <w:rPr>
          <w:rFonts w:ascii="Palatino Linotype" w:eastAsia="Palatino Linotype" w:hAnsi="Palatino Linotype" w:cs="Palatino Linotype"/>
          <w:color w:val="000000"/>
        </w:rPr>
        <w:t>.</w:t>
      </w:r>
    </w:p>
    <w:p w14:paraId="4F77D7F6" w14:textId="77777777" w:rsidR="00D92C64" w:rsidRPr="00236CAB" w:rsidRDefault="00D92C64">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14:paraId="43A4D175" w14:textId="77777777" w:rsidR="00D92C64" w:rsidRPr="00236CAB" w:rsidRDefault="00647915">
      <w:pPr>
        <w:numPr>
          <w:ilvl w:val="0"/>
          <w:numId w:val="6"/>
        </w:numPr>
        <w:pBdr>
          <w:top w:val="nil"/>
          <w:left w:val="nil"/>
          <w:bottom w:val="nil"/>
          <w:right w:val="nil"/>
          <w:between w:val="nil"/>
        </w:pBdr>
        <w:tabs>
          <w:tab w:val="left" w:pos="284"/>
          <w:tab w:val="left" w:pos="426"/>
        </w:tabs>
        <w:spacing w:line="360" w:lineRule="auto"/>
        <w:ind w:left="0" w:right="49"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En ese orden de ideas el articulo 192</w:t>
      </w:r>
      <w:r w:rsidRPr="00236CAB">
        <w:rPr>
          <w:rFonts w:ascii="Century Gothic" w:eastAsia="Century Gothic" w:hAnsi="Century Gothic" w:cs="Century Gothic"/>
          <w:color w:val="000000"/>
        </w:rPr>
        <w:t xml:space="preserve"> </w:t>
      </w:r>
      <w:r w:rsidRPr="00236CAB">
        <w:rPr>
          <w:rFonts w:ascii="Palatino Linotype" w:eastAsia="Palatino Linotype" w:hAnsi="Palatino Linotype" w:cs="Palatino Linotype"/>
          <w:color w:val="000000"/>
        </w:rPr>
        <w:t>Ley de Transparencia y Acceso a la Información Pública del Estado de México y Municipios, establece lo siguiente:</w:t>
      </w:r>
    </w:p>
    <w:p w14:paraId="25044E39" w14:textId="77777777" w:rsidR="00D92C64" w:rsidRPr="00236CAB" w:rsidRDefault="00647915">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rPr>
      </w:pPr>
      <w:r w:rsidRPr="00236CAB">
        <w:rPr>
          <w:rFonts w:ascii="Palatino Linotype" w:eastAsia="Palatino Linotype" w:hAnsi="Palatino Linotype" w:cs="Palatino Linotype"/>
          <w:i/>
          <w:color w:val="000000"/>
          <w:sz w:val="22"/>
        </w:rPr>
        <w:lastRenderedPageBreak/>
        <w:t>“</w:t>
      </w:r>
      <w:r w:rsidRPr="00236CAB">
        <w:rPr>
          <w:rFonts w:ascii="Palatino Linotype" w:eastAsia="Palatino Linotype" w:hAnsi="Palatino Linotype" w:cs="Palatino Linotype"/>
          <w:b/>
          <w:i/>
          <w:color w:val="000000"/>
          <w:sz w:val="22"/>
        </w:rPr>
        <w:t>Artículo 192.</w:t>
      </w:r>
      <w:r w:rsidRPr="00236CAB">
        <w:rPr>
          <w:rFonts w:ascii="Palatino Linotype" w:eastAsia="Palatino Linotype" w:hAnsi="Palatino Linotype" w:cs="Palatino Linotype"/>
          <w:i/>
          <w:color w:val="000000"/>
          <w:sz w:val="22"/>
        </w:rPr>
        <w:t xml:space="preserve"> El recurso será sobreseído, en todo o en parte, cuando una vez admitido, se actualicen alguno de los siguientes supuestos:</w:t>
      </w:r>
    </w:p>
    <w:p w14:paraId="31399695" w14:textId="77777777" w:rsidR="00D92C64" w:rsidRPr="00236CAB" w:rsidRDefault="00647915">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rPr>
      </w:pPr>
      <w:r w:rsidRPr="00236CAB">
        <w:rPr>
          <w:rFonts w:ascii="Palatino Linotype" w:eastAsia="Palatino Linotype" w:hAnsi="Palatino Linotype" w:cs="Palatino Linotype"/>
          <w:b/>
          <w:i/>
          <w:color w:val="000000"/>
          <w:sz w:val="22"/>
        </w:rPr>
        <w:t>I.</w:t>
      </w:r>
      <w:r w:rsidRPr="00236CAB">
        <w:rPr>
          <w:rFonts w:ascii="Palatino Linotype" w:eastAsia="Palatino Linotype" w:hAnsi="Palatino Linotype" w:cs="Palatino Linotype"/>
          <w:i/>
          <w:color w:val="000000"/>
          <w:sz w:val="22"/>
        </w:rPr>
        <w:t xml:space="preserve"> El recurrente se desista expresamente del recurso;</w:t>
      </w:r>
    </w:p>
    <w:p w14:paraId="09529C9C" w14:textId="77777777" w:rsidR="00D92C64" w:rsidRPr="00236CAB" w:rsidRDefault="00647915">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rPr>
      </w:pPr>
      <w:r w:rsidRPr="00236CAB">
        <w:rPr>
          <w:rFonts w:ascii="Palatino Linotype" w:eastAsia="Palatino Linotype" w:hAnsi="Palatino Linotype" w:cs="Palatino Linotype"/>
          <w:i/>
          <w:color w:val="000000"/>
          <w:sz w:val="22"/>
        </w:rPr>
        <w:t>(…)”</w:t>
      </w:r>
    </w:p>
    <w:p w14:paraId="414ED547" w14:textId="77777777" w:rsidR="00D92C64" w:rsidRPr="00236CAB" w:rsidRDefault="00647915" w:rsidP="00486215">
      <w:pPr>
        <w:numPr>
          <w:ilvl w:val="0"/>
          <w:numId w:val="6"/>
        </w:numPr>
        <w:pBdr>
          <w:top w:val="nil"/>
          <w:left w:val="nil"/>
          <w:bottom w:val="nil"/>
          <w:right w:val="nil"/>
          <w:between w:val="nil"/>
        </w:pBdr>
        <w:tabs>
          <w:tab w:val="left" w:pos="284"/>
          <w:tab w:val="left" w:pos="426"/>
        </w:tabs>
        <w:spacing w:after="240" w:line="360" w:lineRule="auto"/>
        <w:ind w:left="0" w:right="49"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Robustece lo anterior la tesis aislada I.15o.T.2 K (10a.), del Décimo Quinto Tribunal Colegiado en Materia de Trabajo del Primer Circuito, misma que se anexa a continuación:</w:t>
      </w:r>
    </w:p>
    <w:p w14:paraId="0858DF03" w14:textId="77777777" w:rsidR="00D92C64" w:rsidRPr="00236CAB" w:rsidRDefault="00647915">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rPr>
      </w:pPr>
      <w:r w:rsidRPr="00236CAB">
        <w:rPr>
          <w:rFonts w:ascii="Palatino Linotype" w:eastAsia="Palatino Linotype" w:hAnsi="Palatino Linotype" w:cs="Palatino Linotype"/>
          <w:b/>
          <w:i/>
          <w:color w:val="000000"/>
          <w:sz w:val="22"/>
        </w:rPr>
        <w:t>DESISTIMIENTO DEL RECURSO DE REVISIÓN EN AMPARO INDIRECTO. ES INNECESARIO QUE SE RATIFIQUE EL ESCRITO CORRESPONDIENTE, CUANDO SU REQUERIMIENTO SE NOTIFICÓ PERSONALMENTE.</w:t>
      </w:r>
      <w:r w:rsidRPr="00236CAB">
        <w:rPr>
          <w:rFonts w:ascii="Palatino Linotype" w:eastAsia="Palatino Linotype" w:hAnsi="Palatino Linotype" w:cs="Palatino Linotype"/>
          <w:i/>
          <w:color w:val="000000"/>
          <w:sz w:val="22"/>
        </w:rPr>
        <w:t xml:space="preserve"> “Si el quejoso en un juicio de amparo indirecto interpone recurso de revisión contra la sentencia dictada por el Juez de Distrito y una vez que el asunto se encuentra radicado ante el Tribunal Colegiado de Circuito competente, se desiste de dicho medio de defensa, es innecesario que ratifique el escrito relativo ante el órgano revisor, siempre y cuando el requerimiento en que se solicitó su presencia a efecto de que lo ratifique, se haya notificado personalmente, pues con ello se cumplió el artículo 26, fracción I, inciso d), de la Ley de Amparo; por lo que si no acudió a ratificar el citado escrito, su voluntad de desistir del recurso interpuesto debe seguir prevaleciendo, pues sólo tiene como consecuencia la firmeza de la sentencia impugnada, máxime si se le apercibió con tenerlo por ratificado en caso de no acudir; además, esa circunstancia no soslaya el artículo 63, fracción I, de la citada ley, toda vez que esa disposición se refiere a la hipótesis en que el quejoso se desiste de la demanda de amparo, entendiéndose tal aspecto como el desistimiento de la acción que originó el juicio constitucional, lo cual conduce a decretar el sobreseimiento.”</w:t>
      </w:r>
    </w:p>
    <w:p w14:paraId="54701DE0" w14:textId="77777777" w:rsidR="00D92C64" w:rsidRPr="00236CAB" w:rsidRDefault="00647915">
      <w:pPr>
        <w:numPr>
          <w:ilvl w:val="0"/>
          <w:numId w:val="6"/>
        </w:numPr>
        <w:pBdr>
          <w:top w:val="nil"/>
          <w:left w:val="nil"/>
          <w:bottom w:val="nil"/>
          <w:right w:val="nil"/>
          <w:between w:val="nil"/>
        </w:pBdr>
        <w:tabs>
          <w:tab w:val="left" w:pos="284"/>
          <w:tab w:val="left" w:pos="426"/>
        </w:tabs>
        <w:spacing w:before="240" w:line="360" w:lineRule="auto"/>
        <w:ind w:left="0" w:right="49"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lastRenderedPageBreak/>
        <w:t xml:space="preserve">Por consiguiente, al existir un desistimiento expreso por parte del </w:t>
      </w:r>
      <w:r w:rsidRPr="00236CAB">
        <w:rPr>
          <w:rFonts w:ascii="Palatino Linotype" w:eastAsia="Palatino Linotype" w:hAnsi="Palatino Linotype" w:cs="Palatino Linotype"/>
          <w:b/>
          <w:color w:val="000000"/>
        </w:rPr>
        <w:t>RECURRENTE</w:t>
      </w:r>
      <w:r w:rsidRPr="00236CAB">
        <w:rPr>
          <w:rFonts w:ascii="Palatino Linotype" w:eastAsia="Palatino Linotype" w:hAnsi="Palatino Linotype" w:cs="Palatino Linotype"/>
          <w:color w:val="000000"/>
        </w:rPr>
        <w:t xml:space="preserve">, este Pleno determina el </w:t>
      </w:r>
      <w:r w:rsidRPr="00236CAB">
        <w:rPr>
          <w:rFonts w:ascii="Palatino Linotype" w:eastAsia="Palatino Linotype" w:hAnsi="Palatino Linotype" w:cs="Palatino Linotype"/>
          <w:b/>
          <w:color w:val="000000"/>
        </w:rPr>
        <w:t>SOBRESEIMIENTO</w:t>
      </w:r>
      <w:r w:rsidRPr="00236CAB">
        <w:rPr>
          <w:rFonts w:ascii="Palatino Linotype" w:eastAsia="Palatino Linotype" w:hAnsi="Palatino Linotype" w:cs="Palatino Linotype"/>
          <w:color w:val="000000"/>
        </w:rPr>
        <w:t xml:space="preserve"> de los recursos de revisión.</w:t>
      </w:r>
    </w:p>
    <w:p w14:paraId="6C370585" w14:textId="77777777" w:rsidR="00D92C64" w:rsidRPr="00236CAB" w:rsidRDefault="00D92C64">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14:paraId="15DBB5C8" w14:textId="77777777" w:rsidR="00D92C64" w:rsidRPr="00236CAB" w:rsidRDefault="00647915">
      <w:pPr>
        <w:numPr>
          <w:ilvl w:val="0"/>
          <w:numId w:val="6"/>
        </w:numPr>
        <w:pBdr>
          <w:top w:val="nil"/>
          <w:left w:val="nil"/>
          <w:bottom w:val="nil"/>
          <w:right w:val="nil"/>
          <w:between w:val="nil"/>
        </w:pBdr>
        <w:tabs>
          <w:tab w:val="left" w:pos="284"/>
          <w:tab w:val="left" w:pos="426"/>
        </w:tabs>
        <w:spacing w:line="360" w:lineRule="auto"/>
        <w:ind w:left="0" w:right="49"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 xml:space="preserve">Bajo ese tenor y, en términos del artículo 186, fracción I, de la Ley de Transparencia y Acceso a la Información Pública del Estado de México y Municipios, este Pleno determina el </w:t>
      </w:r>
      <w:r w:rsidRPr="00236CAB">
        <w:rPr>
          <w:rFonts w:ascii="Palatino Linotype" w:eastAsia="Palatino Linotype" w:hAnsi="Palatino Linotype" w:cs="Palatino Linotype"/>
          <w:b/>
          <w:color w:val="000000"/>
        </w:rPr>
        <w:t xml:space="preserve">SOBRESEIMIENTO </w:t>
      </w:r>
      <w:r w:rsidRPr="00236CAB">
        <w:rPr>
          <w:rFonts w:ascii="Palatino Linotype" w:eastAsia="Palatino Linotype" w:hAnsi="Palatino Linotype" w:cs="Palatino Linotype"/>
          <w:color w:val="000000"/>
        </w:rPr>
        <w:t>del presente recurso de revisión, por resultar improcedente, en términos de la fracción I, del artículo 192, de la Ley de Transparencia y Acceso a la Información Pública Estatal.</w:t>
      </w:r>
    </w:p>
    <w:p w14:paraId="28D973E1" w14:textId="77777777" w:rsidR="00D92C64" w:rsidRPr="00236CAB" w:rsidRDefault="00D92C64">
      <w:pPr>
        <w:pBdr>
          <w:top w:val="nil"/>
          <w:left w:val="nil"/>
          <w:bottom w:val="nil"/>
          <w:right w:val="nil"/>
          <w:between w:val="nil"/>
        </w:pBdr>
        <w:ind w:left="720"/>
        <w:rPr>
          <w:rFonts w:ascii="Palatino Linotype" w:eastAsia="Palatino Linotype" w:hAnsi="Palatino Linotype" w:cs="Palatino Linotype"/>
          <w:color w:val="000000"/>
        </w:rPr>
      </w:pPr>
    </w:p>
    <w:p w14:paraId="393F3763" w14:textId="77777777" w:rsidR="00D92C64" w:rsidRPr="00236CAB" w:rsidRDefault="00647915">
      <w:pPr>
        <w:numPr>
          <w:ilvl w:val="0"/>
          <w:numId w:val="6"/>
        </w:numPr>
        <w:pBdr>
          <w:top w:val="nil"/>
          <w:left w:val="nil"/>
          <w:bottom w:val="nil"/>
          <w:right w:val="nil"/>
          <w:between w:val="nil"/>
        </w:pBdr>
        <w:tabs>
          <w:tab w:val="left" w:pos="284"/>
          <w:tab w:val="left" w:pos="426"/>
        </w:tabs>
        <w:spacing w:line="360" w:lineRule="auto"/>
        <w:ind w:left="0" w:right="49"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Por otro lado, no pasa desapercibido a este Instituto que el Sujeto Obligado dejó visible, de manera enunciativa mas no limitativa,  el correo electrónico personal de la servidora pública en los documentos remitidos en respuesta a la solicitud de información; lo que puede considerarse como una transgresión al derecho de protección de datos personales; por lo que se ordena dar vista a la Dirección General de Protección de Datos Personales de este Instituto, para que resuelva lo conducente y determine, en su caso, el grado de responsabilidad del Sujeto Obligado; esto con fundamento en el artículo 82, fracción XXVII de la Ley de Protección de Datos Personales del Estado de México y Municipios.</w:t>
      </w:r>
    </w:p>
    <w:p w14:paraId="493C90BB" w14:textId="77777777" w:rsidR="00D92C64" w:rsidRPr="00236CAB" w:rsidRDefault="00D92C64">
      <w:pPr>
        <w:pBdr>
          <w:top w:val="nil"/>
          <w:left w:val="nil"/>
          <w:bottom w:val="nil"/>
          <w:right w:val="nil"/>
          <w:between w:val="nil"/>
        </w:pBdr>
        <w:ind w:left="720"/>
        <w:rPr>
          <w:rFonts w:ascii="Palatino Linotype" w:eastAsia="Palatino Linotype" w:hAnsi="Palatino Linotype" w:cs="Palatino Linotype"/>
          <w:color w:val="000000"/>
        </w:rPr>
      </w:pPr>
    </w:p>
    <w:p w14:paraId="33891F84" w14:textId="77777777" w:rsidR="00D92C64" w:rsidRPr="00236CAB" w:rsidRDefault="0064791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bookmarkStart w:id="9" w:name="_heading=h.2s8eyo1" w:colFirst="0" w:colLast="0"/>
      <w:bookmarkEnd w:id="9"/>
      <w:r w:rsidRPr="00236CAB">
        <w:rPr>
          <w:rFonts w:ascii="Palatino Linotype" w:eastAsia="Palatino Linotype" w:hAnsi="Palatino Linotype" w:cs="Palatino Linotype"/>
          <w:b/>
          <w:color w:val="000000"/>
        </w:rPr>
        <w:t>QUINTO. De la versión pública.</w:t>
      </w:r>
    </w:p>
    <w:p w14:paraId="2E8ACCAB" w14:textId="77777777" w:rsidR="00D92C64" w:rsidRPr="00236CAB" w:rsidRDefault="00647915">
      <w:pPr>
        <w:numPr>
          <w:ilvl w:val="0"/>
          <w:numId w:val="6"/>
        </w:numPr>
        <w:pBdr>
          <w:top w:val="nil"/>
          <w:left w:val="nil"/>
          <w:bottom w:val="nil"/>
          <w:right w:val="nil"/>
          <w:between w:val="nil"/>
        </w:pBdr>
        <w:tabs>
          <w:tab w:val="left" w:pos="284"/>
          <w:tab w:val="left" w:pos="426"/>
        </w:tabs>
        <w:spacing w:line="360" w:lineRule="auto"/>
        <w:ind w:left="0" w:right="49"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Debe destacarse que, debido a la naturaleza de la información solicitada</w:t>
      </w:r>
      <w:r w:rsidRPr="00236CAB">
        <w:rPr>
          <w:rFonts w:ascii="Palatino Linotype" w:eastAsia="Palatino Linotype" w:hAnsi="Palatino Linotype" w:cs="Palatino Linotype"/>
          <w:b/>
          <w:color w:val="000000"/>
        </w:rPr>
        <w:t xml:space="preserve"> </w:t>
      </w:r>
      <w:r w:rsidRPr="00236CAB">
        <w:rPr>
          <w:rFonts w:ascii="Palatino Linotype" w:eastAsia="Palatino Linotype" w:hAnsi="Palatino Linotype" w:cs="Palatino Linotype"/>
          <w:color w:val="000000"/>
        </w:rPr>
        <w:t xml:space="preserve">eventualmente pudieran obrar datos personales susceptibles de protegerse, y toda vez que este Instituto de Transparencia, Acceso a la Información Pública y Protección de Datos Personales del Estado de México tiene el deber de velar por la protección de los </w:t>
      </w:r>
      <w:r w:rsidRPr="00236CAB">
        <w:rPr>
          <w:rFonts w:ascii="Palatino Linotype" w:eastAsia="Palatino Linotype" w:hAnsi="Palatino Linotype" w:cs="Palatino Linotype"/>
          <w:color w:val="000000"/>
        </w:rPr>
        <w:lastRenderedPageBreak/>
        <w:t>datos personales aun tratándose de servidores públicos y en su caso generar la versión pública de los documentos por las consideraciones que se estimen pertinentes.</w:t>
      </w:r>
    </w:p>
    <w:p w14:paraId="1DDA7B10" w14:textId="77777777" w:rsidR="00D92C64" w:rsidRPr="00236CAB" w:rsidRDefault="00D92C64">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14:paraId="61AFDE77" w14:textId="77777777" w:rsidR="00D92C64" w:rsidRPr="00236CAB" w:rsidRDefault="00647915">
      <w:pPr>
        <w:numPr>
          <w:ilvl w:val="0"/>
          <w:numId w:val="6"/>
        </w:numPr>
        <w:pBdr>
          <w:top w:val="nil"/>
          <w:left w:val="nil"/>
          <w:bottom w:val="nil"/>
          <w:right w:val="nil"/>
          <w:between w:val="nil"/>
        </w:pBdr>
        <w:tabs>
          <w:tab w:val="left" w:pos="284"/>
          <w:tab w:val="left" w:pos="426"/>
        </w:tabs>
        <w:spacing w:line="360" w:lineRule="auto"/>
        <w:ind w:left="0" w:right="49"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La clasificación total o parcial de la información requerida, mediante solicitud de acceso a la información pública, constituye una restricción al derecho humano de acceso a la información, por lo que es menester reiterar los mismos:</w:t>
      </w:r>
    </w:p>
    <w:p w14:paraId="32F66A46" w14:textId="77777777" w:rsidR="00D92C64" w:rsidRPr="00236CAB" w:rsidRDefault="00D92C6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tbl>
      <w:tblPr>
        <w:tblStyle w:val="a1"/>
        <w:tblW w:w="8828"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838"/>
        <w:gridCol w:w="6990"/>
      </w:tblGrid>
      <w:tr w:rsidR="00D92C64" w:rsidRPr="00236CAB" w14:paraId="5390CC9B" w14:textId="77777777" w:rsidTr="00D92C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257E09D" w14:textId="77777777" w:rsidR="00D92C64" w:rsidRPr="00236CAB" w:rsidRDefault="00647915">
            <w:pPr>
              <w:spacing w:line="360" w:lineRule="auto"/>
              <w:rPr>
                <w:rFonts w:ascii="Palatino Linotype" w:eastAsia="Palatino Linotype" w:hAnsi="Palatino Linotype" w:cs="Palatino Linotype"/>
                <w:sz w:val="20"/>
              </w:rPr>
            </w:pPr>
            <w:r w:rsidRPr="00236CAB">
              <w:rPr>
                <w:rFonts w:ascii="Palatino Linotype" w:eastAsia="Palatino Linotype" w:hAnsi="Palatino Linotype" w:cs="Palatino Linotype"/>
                <w:b w:val="0"/>
                <w:sz w:val="20"/>
              </w:rPr>
              <w:t>a) Requisitos previos.</w:t>
            </w:r>
          </w:p>
        </w:tc>
        <w:tc>
          <w:tcPr>
            <w:tcW w:w="6990" w:type="dxa"/>
          </w:tcPr>
          <w:p w14:paraId="7050B110" w14:textId="77777777" w:rsidR="00D92C64" w:rsidRPr="00236CAB" w:rsidRDefault="00647915">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236CAB">
              <w:rPr>
                <w:rFonts w:ascii="Palatino Linotype" w:eastAsia="Palatino Linotype" w:hAnsi="Palatino Linotype" w:cs="Palatino Linotype"/>
                <w:sz w:val="20"/>
              </w:rPr>
              <w:t xml:space="preserve">Los artículos 100 y 122 de la Ley Estatal y de la Ley General, respectivamente, señalan que si los </w:t>
            </w:r>
            <w:r w:rsidRPr="00236CAB">
              <w:rPr>
                <w:rFonts w:ascii="Palatino Linotype" w:eastAsia="Palatino Linotype" w:hAnsi="Palatino Linotype" w:cs="Palatino Linotype"/>
                <w:b w:val="0"/>
                <w:sz w:val="20"/>
              </w:rPr>
              <w:t>Sujetos Obligados</w:t>
            </w:r>
            <w:r w:rsidRPr="00236CAB">
              <w:rPr>
                <w:rFonts w:ascii="Palatino Linotype" w:eastAsia="Palatino Linotype" w:hAnsi="Palatino Linotype" w:cs="Palatino Linotype"/>
                <w:sz w:val="20"/>
              </w:rPr>
              <w:t xml:space="preserve"> determinan que la información actualiza alguno de los supuestos de clasificación, es deber de los titulares de las áreas proponer su clasificación y no del Comité de Transparencia. </w:t>
            </w:r>
          </w:p>
          <w:p w14:paraId="62A59E55" w14:textId="77777777" w:rsidR="00D92C64" w:rsidRPr="00236CAB" w:rsidRDefault="00647915">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236CAB">
              <w:rPr>
                <w:rFonts w:ascii="Palatino Linotype" w:eastAsia="Palatino Linotype" w:hAnsi="Palatino Linotype" w:cs="Palatino Linotype"/>
                <w:sz w:val="20"/>
              </w:rPr>
              <w:t>Al hacerlo tienen que precisar de qué información se trata, señalando el supuesto de clasificación (confidencialidad o reserva).</w:t>
            </w:r>
          </w:p>
          <w:p w14:paraId="06B815E6" w14:textId="77777777" w:rsidR="00D92C64" w:rsidRPr="00236CAB" w:rsidRDefault="00647915">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236CAB">
              <w:rPr>
                <w:rFonts w:ascii="Palatino Linotype" w:eastAsia="Palatino Linotype" w:hAnsi="Palatino Linotype" w:cs="Palatino Linotype"/>
                <w:sz w:val="20"/>
              </w:rPr>
              <w:t>Además, se debe señalar el procedimiento, de los tres que establecen los artículos 132 y 106 de la Ley Estatal y General, respectivamente.</w:t>
            </w:r>
          </w:p>
          <w:p w14:paraId="5F2CC50F" w14:textId="77777777" w:rsidR="00D92C64" w:rsidRPr="00236CAB" w:rsidRDefault="00647915">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236CAB">
              <w:rPr>
                <w:rFonts w:ascii="Palatino Linotype" w:eastAsia="Palatino Linotype" w:hAnsi="Palatino Linotype" w:cs="Palatino Linotype"/>
                <w:sz w:val="20"/>
              </w:rPr>
              <w:t xml:space="preserve">El último de estos requisitos previos consiste en que no se pueden emitir acuerdos de carácter general ni particular, esto es, </w:t>
            </w:r>
            <w:r w:rsidRPr="00236CAB">
              <w:rPr>
                <w:rFonts w:ascii="Palatino Linotype" w:eastAsia="Palatino Linotype" w:hAnsi="Palatino Linotype" w:cs="Palatino Linotype"/>
                <w:b w:val="0"/>
                <w:sz w:val="20"/>
                <w:u w:val="single"/>
              </w:rPr>
              <w:t xml:space="preserve">no se puede hacer un acuerdo para clasificar de manera general todos los documentos de un expediente o área,  </w:t>
            </w:r>
            <w:r w:rsidRPr="00236CAB">
              <w:rPr>
                <w:rFonts w:ascii="Palatino Linotype" w:eastAsia="Palatino Linotype" w:hAnsi="Palatino Linotype" w:cs="Palatino Linotype"/>
                <w:sz w:val="20"/>
              </w:rPr>
              <w:t>sin individualizar su análisis y tampoco se puede hacer un acuerdo por cada dato que se vaya a clasificar dentro de un documento con diez datos, por ejemplo, susceptibles de ser clasificados.</w:t>
            </w:r>
          </w:p>
        </w:tc>
      </w:tr>
      <w:tr w:rsidR="00D92C64" w:rsidRPr="00236CAB" w14:paraId="74DE108D" w14:textId="77777777" w:rsidTr="00D92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5062F52" w14:textId="77777777" w:rsidR="00D92C64" w:rsidRPr="00236CAB" w:rsidRDefault="00647915">
            <w:pPr>
              <w:spacing w:line="360" w:lineRule="auto"/>
              <w:rPr>
                <w:rFonts w:ascii="Palatino Linotype" w:eastAsia="Palatino Linotype" w:hAnsi="Palatino Linotype" w:cs="Palatino Linotype"/>
                <w:sz w:val="20"/>
              </w:rPr>
            </w:pPr>
            <w:r w:rsidRPr="00236CAB">
              <w:rPr>
                <w:rFonts w:ascii="Palatino Linotype" w:eastAsia="Palatino Linotype" w:hAnsi="Palatino Linotype" w:cs="Palatino Linotype"/>
                <w:b w:val="0"/>
                <w:sz w:val="20"/>
              </w:rPr>
              <w:t>b) Supuestos de clasificación.</w:t>
            </w:r>
          </w:p>
        </w:tc>
        <w:tc>
          <w:tcPr>
            <w:tcW w:w="6990" w:type="dxa"/>
          </w:tcPr>
          <w:p w14:paraId="095254E7" w14:textId="77777777" w:rsidR="00D92C64" w:rsidRPr="00236CAB" w:rsidRDefault="00647915">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236CAB">
              <w:rPr>
                <w:rFonts w:ascii="Palatino Linotype" w:eastAsia="Palatino Linotype" w:hAnsi="Palatino Linotype" w:cs="Palatino Linotype"/>
                <w:sz w:val="20"/>
              </w:rPr>
              <w:t>Las disposiciones constitucionales y legales en la materia establecen los dos supuestos generales para clasificar la información: por reserva y por confidencialidad.</w:t>
            </w:r>
          </w:p>
          <w:p w14:paraId="368FDBFD" w14:textId="77777777" w:rsidR="00D92C64" w:rsidRPr="00236CAB" w:rsidRDefault="00647915">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236CAB">
              <w:rPr>
                <w:rFonts w:ascii="Palatino Linotype" w:eastAsia="Palatino Linotype" w:hAnsi="Palatino Linotype" w:cs="Palatino Linotype"/>
                <w:sz w:val="20"/>
              </w:rPr>
              <w:t xml:space="preserve">Los artículos 116 y 143 de la Ley Estatal y de la Ley General, respectivamente, señalan los supuestos para que la información pueda ser clasificada como </w:t>
            </w:r>
            <w:r w:rsidRPr="00236CAB">
              <w:rPr>
                <w:rFonts w:ascii="Palatino Linotype" w:eastAsia="Palatino Linotype" w:hAnsi="Palatino Linotype" w:cs="Palatino Linotype"/>
                <w:sz w:val="20"/>
              </w:rPr>
              <w:lastRenderedPageBreak/>
              <w:t>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7F749FB" w14:textId="77777777" w:rsidR="00D92C64" w:rsidRPr="00236CAB" w:rsidRDefault="00647915">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236CAB">
              <w:rPr>
                <w:rFonts w:ascii="Palatino Linotype" w:eastAsia="Palatino Linotype" w:hAnsi="Palatino Linotype" w:cs="Palatino Linotype"/>
                <w:sz w:val="20"/>
              </w:rPr>
              <w:t xml:space="preserve">El </w:t>
            </w:r>
            <w:r w:rsidRPr="00236CAB">
              <w:rPr>
                <w:rFonts w:ascii="Palatino Linotype" w:eastAsia="Palatino Linotype" w:hAnsi="Palatino Linotype" w:cs="Palatino Linotype"/>
                <w:b/>
                <w:sz w:val="20"/>
              </w:rPr>
              <w:t>SUJETO OBLIGADO</w:t>
            </w:r>
            <w:r w:rsidRPr="00236CAB">
              <w:rPr>
                <w:rFonts w:ascii="Palatino Linotype" w:eastAsia="Palatino Linotype" w:hAnsi="Palatino Linotype" w:cs="Palatino Linotype"/>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D92C64" w:rsidRPr="00236CAB" w14:paraId="637A4AEC" w14:textId="77777777" w:rsidTr="00D92C64">
        <w:tc>
          <w:tcPr>
            <w:cnfStyle w:val="001000000000" w:firstRow="0" w:lastRow="0" w:firstColumn="1" w:lastColumn="0" w:oddVBand="0" w:evenVBand="0" w:oddHBand="0" w:evenHBand="0" w:firstRowFirstColumn="0" w:firstRowLastColumn="0" w:lastRowFirstColumn="0" w:lastRowLastColumn="0"/>
            <w:tcW w:w="1838" w:type="dxa"/>
          </w:tcPr>
          <w:p w14:paraId="062DE06C" w14:textId="77777777" w:rsidR="00D92C64" w:rsidRPr="00236CAB" w:rsidRDefault="00647915">
            <w:pPr>
              <w:spacing w:line="360" w:lineRule="auto"/>
              <w:rPr>
                <w:rFonts w:ascii="Palatino Linotype" w:eastAsia="Palatino Linotype" w:hAnsi="Palatino Linotype" w:cs="Palatino Linotype"/>
                <w:sz w:val="20"/>
              </w:rPr>
            </w:pPr>
            <w:r w:rsidRPr="00236CAB">
              <w:rPr>
                <w:rFonts w:ascii="Palatino Linotype" w:eastAsia="Palatino Linotype" w:hAnsi="Palatino Linotype" w:cs="Palatino Linotype"/>
                <w:b w:val="0"/>
                <w:sz w:val="20"/>
              </w:rPr>
              <w:lastRenderedPageBreak/>
              <w:t>c) Formalidades para emitir el acuerdo de clasificación.</w:t>
            </w:r>
          </w:p>
        </w:tc>
        <w:tc>
          <w:tcPr>
            <w:tcW w:w="6990" w:type="dxa"/>
          </w:tcPr>
          <w:p w14:paraId="290731A1" w14:textId="77777777" w:rsidR="00D92C64" w:rsidRPr="00236CAB" w:rsidRDefault="00647915">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236CAB">
              <w:rPr>
                <w:rFonts w:ascii="Palatino Linotype" w:eastAsia="Palatino Linotype" w:hAnsi="Palatino Linotype" w:cs="Palatino Linotype"/>
                <w:sz w:val="20"/>
              </w:rPr>
              <w:t xml:space="preserve">El Comité de Transparencia, según lo dispuesto en los artículos cuenta con las facultades para aprobar, modificar o revocar la clasificación de la información que haya propuesto. </w:t>
            </w:r>
          </w:p>
          <w:p w14:paraId="1407AF47" w14:textId="77777777" w:rsidR="00D92C64" w:rsidRPr="00236CAB" w:rsidRDefault="00647915">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236CAB">
              <w:rPr>
                <w:rFonts w:ascii="Palatino Linotype" w:eastAsia="Palatino Linotype" w:hAnsi="Palatino Linotype" w:cs="Palatino Linotype"/>
                <w:sz w:val="20"/>
              </w:rPr>
              <w:t xml:space="preserve">Es necesario que </w:t>
            </w:r>
            <w:r w:rsidRPr="00236CAB">
              <w:rPr>
                <w:rFonts w:ascii="Palatino Linotype" w:eastAsia="Palatino Linotype" w:hAnsi="Palatino Linotype" w:cs="Palatino Linotype"/>
                <w:b/>
                <w:sz w:val="20"/>
                <w:u w:val="single"/>
              </w:rPr>
              <w:t>el acto reúna con los requisitos elementales</w:t>
            </w:r>
            <w:r w:rsidRPr="00236CAB">
              <w:rPr>
                <w:rFonts w:ascii="Palatino Linotype" w:eastAsia="Palatino Linotype" w:hAnsi="Palatino Linotype" w:cs="Palatino Linotype"/>
                <w:sz w:val="20"/>
              </w:rPr>
              <w:t>, entre ellos, que la autoridad que va a emitir el acto de autoridad sea la legalmente facultada para ello.</w:t>
            </w:r>
          </w:p>
          <w:p w14:paraId="05DBFCB4" w14:textId="77777777" w:rsidR="00D92C64" w:rsidRPr="00236CAB" w:rsidRDefault="00647915">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236CAB">
              <w:rPr>
                <w:rFonts w:ascii="Palatino Linotype" w:eastAsia="Palatino Linotype" w:hAnsi="Palatino Linotype" w:cs="Palatino Linotype"/>
                <w:sz w:val="20"/>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D92C64" w:rsidRPr="00236CAB" w14:paraId="34862D52" w14:textId="77777777" w:rsidTr="00D92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5992F27" w14:textId="77777777" w:rsidR="00D92C64" w:rsidRPr="00236CAB" w:rsidRDefault="00D92C64">
            <w:pPr>
              <w:spacing w:line="360" w:lineRule="auto"/>
              <w:rPr>
                <w:rFonts w:ascii="Palatino Linotype" w:eastAsia="Palatino Linotype" w:hAnsi="Palatino Linotype" w:cs="Palatino Linotype"/>
                <w:sz w:val="20"/>
              </w:rPr>
            </w:pPr>
          </w:p>
          <w:p w14:paraId="40B2C8D4" w14:textId="77777777" w:rsidR="00D92C64" w:rsidRPr="00236CAB" w:rsidRDefault="00647915">
            <w:pPr>
              <w:spacing w:line="360" w:lineRule="auto"/>
              <w:jc w:val="both"/>
              <w:rPr>
                <w:rFonts w:ascii="Palatino Linotype" w:eastAsia="Palatino Linotype" w:hAnsi="Palatino Linotype" w:cs="Palatino Linotype"/>
                <w:sz w:val="20"/>
              </w:rPr>
            </w:pPr>
            <w:r w:rsidRPr="00236CAB">
              <w:rPr>
                <w:rFonts w:ascii="Palatino Linotype" w:eastAsia="Palatino Linotype" w:hAnsi="Palatino Linotype" w:cs="Palatino Linotype"/>
                <w:b w:val="0"/>
                <w:sz w:val="20"/>
              </w:rPr>
              <w:t xml:space="preserve">d) Requisitos de fondo del acuerdo de clasificación. </w:t>
            </w:r>
          </w:p>
        </w:tc>
        <w:tc>
          <w:tcPr>
            <w:tcW w:w="6990" w:type="dxa"/>
          </w:tcPr>
          <w:p w14:paraId="25CF48CE" w14:textId="77777777" w:rsidR="00D92C64" w:rsidRPr="00236CAB" w:rsidRDefault="00647915">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236CAB">
              <w:rPr>
                <w:rFonts w:ascii="Palatino Linotype" w:eastAsia="Palatino Linotype" w:hAnsi="Palatino Linotype" w:cs="Palatino Linotype"/>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w:t>
            </w:r>
            <w:r w:rsidRPr="00236CAB">
              <w:rPr>
                <w:rFonts w:ascii="Palatino Linotype" w:eastAsia="Palatino Linotype" w:hAnsi="Palatino Linotype" w:cs="Palatino Linotype"/>
                <w:sz w:val="20"/>
              </w:rPr>
              <w:lastRenderedPageBreak/>
              <w:t xml:space="preserve">a los </w:t>
            </w:r>
            <w:r w:rsidRPr="00236CAB">
              <w:rPr>
                <w:rFonts w:ascii="Palatino Linotype" w:eastAsia="Palatino Linotype" w:hAnsi="Palatino Linotype" w:cs="Palatino Linotype"/>
                <w:b/>
                <w:sz w:val="20"/>
              </w:rPr>
              <w:t>Sujetos Obligados</w:t>
            </w:r>
            <w:r w:rsidRPr="00236CAB">
              <w:rPr>
                <w:rFonts w:ascii="Palatino Linotype" w:eastAsia="Palatino Linotype" w:hAnsi="Palatino Linotype" w:cs="Palatino Linotype"/>
                <w:sz w:val="20"/>
              </w:rPr>
              <w:t xml:space="preserve">, por lo que deberán fundar y motivar debidamente la clasificación. </w:t>
            </w:r>
          </w:p>
          <w:p w14:paraId="1C28CDDF" w14:textId="77777777" w:rsidR="00D92C64" w:rsidRPr="00236CAB" w:rsidRDefault="00647915">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236CAB">
              <w:rPr>
                <w:rFonts w:ascii="Palatino Linotype" w:eastAsia="Palatino Linotype" w:hAnsi="Palatino Linotype" w:cs="Palatino Linotype"/>
                <w:sz w:val="20"/>
              </w:rPr>
              <w:t xml:space="preserve">De lo anterior, se desprende que para una correcta </w:t>
            </w:r>
            <w:r w:rsidRPr="00236CAB">
              <w:rPr>
                <w:rFonts w:ascii="Palatino Linotype" w:eastAsia="Palatino Linotype" w:hAnsi="Palatino Linotype" w:cs="Palatino Linotype"/>
                <w:b/>
                <w:sz w:val="20"/>
              </w:rPr>
              <w:t>clasificación total o parcial</w:t>
            </w:r>
            <w:r w:rsidRPr="00236CAB">
              <w:rPr>
                <w:rFonts w:ascii="Palatino Linotype" w:eastAsia="Palatino Linotype" w:hAnsi="Palatino Linotype" w:cs="Palatino Linotype"/>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46E9EFA" w14:textId="77777777" w:rsidR="00D92C64" w:rsidRPr="00236CAB" w:rsidRDefault="00647915">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236CAB">
              <w:rPr>
                <w:rFonts w:ascii="Palatino Linotype" w:eastAsia="Palatino Linotype" w:hAnsi="Palatino Linotype" w:cs="Palatino Linotype"/>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2D5DB27" w14:textId="77777777" w:rsidR="00D92C64" w:rsidRPr="00236CAB" w:rsidRDefault="00647915">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236CAB">
              <w:rPr>
                <w:rFonts w:ascii="Palatino Linotype" w:eastAsia="Palatino Linotype" w:hAnsi="Palatino Linotype" w:cs="Palatino Linotype"/>
                <w:sz w:val="20"/>
              </w:rPr>
              <w:t>En ese mismo sentido, el numeral trigésimo tercero fracción V de los Lineamientos Generales, precisa que para motivar la clasificación se deben acreditar las circunstancias de tiempo, modo y lugar.</w:t>
            </w:r>
          </w:p>
          <w:p w14:paraId="61452415" w14:textId="77777777" w:rsidR="00D92C64" w:rsidRPr="00236CAB" w:rsidRDefault="00647915">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236CAB">
              <w:rPr>
                <w:rFonts w:ascii="Palatino Linotype" w:eastAsia="Palatino Linotype" w:hAnsi="Palatino Linotype" w:cs="Palatino Linotype"/>
                <w:sz w:val="20"/>
              </w:rPr>
              <w:t xml:space="preserve">Ahora bien, </w:t>
            </w:r>
            <w:r w:rsidRPr="00236CAB">
              <w:rPr>
                <w:rFonts w:ascii="Palatino Linotype" w:eastAsia="Palatino Linotype" w:hAnsi="Palatino Linotype" w:cs="Palatino Linotype"/>
                <w:b/>
                <w:sz w:val="20"/>
                <w:u w:val="single"/>
              </w:rPr>
              <w:t>para cada caso además de fundar y motivar</w:t>
            </w:r>
            <w:r w:rsidRPr="00236CAB">
              <w:rPr>
                <w:rFonts w:ascii="Palatino Linotype" w:eastAsia="Palatino Linotype" w:hAnsi="Palatino Linotype" w:cs="Palatino Linotype"/>
                <w:sz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D92C64" w:rsidRPr="00236CAB" w14:paraId="2BB08067" w14:textId="77777777" w:rsidTr="00D92C64">
        <w:tc>
          <w:tcPr>
            <w:cnfStyle w:val="001000000000" w:firstRow="0" w:lastRow="0" w:firstColumn="1" w:lastColumn="0" w:oddVBand="0" w:evenVBand="0" w:oddHBand="0" w:evenHBand="0" w:firstRowFirstColumn="0" w:firstRowLastColumn="0" w:lastRowFirstColumn="0" w:lastRowLastColumn="0"/>
            <w:tcW w:w="1838" w:type="dxa"/>
          </w:tcPr>
          <w:p w14:paraId="1A857EA7" w14:textId="77777777" w:rsidR="00D92C64" w:rsidRPr="00236CAB" w:rsidRDefault="00647915">
            <w:pPr>
              <w:spacing w:line="360" w:lineRule="auto"/>
              <w:ind w:right="49"/>
              <w:jc w:val="both"/>
              <w:rPr>
                <w:rFonts w:ascii="Palatino Linotype" w:eastAsia="Palatino Linotype" w:hAnsi="Palatino Linotype" w:cs="Palatino Linotype"/>
                <w:sz w:val="20"/>
              </w:rPr>
            </w:pPr>
            <w:r w:rsidRPr="00236CAB">
              <w:rPr>
                <w:rFonts w:ascii="Palatino Linotype" w:eastAsia="Palatino Linotype" w:hAnsi="Palatino Linotype" w:cs="Palatino Linotype"/>
                <w:b w:val="0"/>
                <w:sz w:val="20"/>
              </w:rPr>
              <w:lastRenderedPageBreak/>
              <w:t xml:space="preserve">e) Condiciones especiales de la clasificación de la información </w:t>
            </w:r>
            <w:r w:rsidRPr="00236CAB">
              <w:rPr>
                <w:rFonts w:ascii="Palatino Linotype" w:eastAsia="Palatino Linotype" w:hAnsi="Palatino Linotype" w:cs="Palatino Linotype"/>
                <w:b w:val="0"/>
                <w:sz w:val="20"/>
              </w:rPr>
              <w:lastRenderedPageBreak/>
              <w:t xml:space="preserve">como confidencial. </w:t>
            </w:r>
          </w:p>
          <w:p w14:paraId="0E589AAC" w14:textId="77777777" w:rsidR="00D92C64" w:rsidRPr="00236CAB" w:rsidRDefault="00D92C64">
            <w:pPr>
              <w:spacing w:line="360" w:lineRule="auto"/>
              <w:rPr>
                <w:rFonts w:ascii="Palatino Linotype" w:eastAsia="Palatino Linotype" w:hAnsi="Palatino Linotype" w:cs="Palatino Linotype"/>
                <w:sz w:val="20"/>
              </w:rPr>
            </w:pPr>
          </w:p>
        </w:tc>
        <w:tc>
          <w:tcPr>
            <w:tcW w:w="6990" w:type="dxa"/>
          </w:tcPr>
          <w:p w14:paraId="78326F54" w14:textId="77777777" w:rsidR="00D92C64" w:rsidRPr="00236CAB" w:rsidRDefault="00647915">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236CAB">
              <w:rPr>
                <w:rFonts w:ascii="Palatino Linotype" w:eastAsia="Palatino Linotype" w:hAnsi="Palatino Linotype" w:cs="Palatino Linotype"/>
                <w:sz w:val="20"/>
              </w:rPr>
              <w:lastRenderedPageBreak/>
              <w:t xml:space="preserve">Los artículos 148 y 120 de la Ley Estatal y de la Ley General, respectivamente, establecen que aun tratándose de datos personales, se podrán proporcionar, incluso sin solicitar el consentimiento de su titular. </w:t>
            </w:r>
          </w:p>
          <w:p w14:paraId="41E5E838" w14:textId="77777777" w:rsidR="00D92C64" w:rsidRPr="00236CAB" w:rsidRDefault="00647915">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236CAB">
              <w:rPr>
                <w:rFonts w:ascii="Palatino Linotype" w:eastAsia="Palatino Linotype" w:hAnsi="Palatino Linotype" w:cs="Palatino Linotype"/>
                <w:sz w:val="20"/>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C0A8C2E" w14:textId="77777777" w:rsidR="00D92C64" w:rsidRPr="00236CAB" w:rsidRDefault="00647915">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236CAB">
              <w:rPr>
                <w:rFonts w:ascii="Palatino Linotype" w:eastAsia="Palatino Linotype" w:hAnsi="Palatino Linotype" w:cs="Palatino Linotype"/>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D3AB208" w14:textId="77777777" w:rsidR="00D92C64" w:rsidRPr="00236CAB" w:rsidRDefault="00D92C64">
      <w:pPr>
        <w:pBdr>
          <w:top w:val="nil"/>
          <w:left w:val="nil"/>
          <w:bottom w:val="nil"/>
          <w:right w:val="nil"/>
          <w:between w:val="nil"/>
        </w:pBdr>
        <w:tabs>
          <w:tab w:val="left" w:pos="284"/>
          <w:tab w:val="left" w:pos="426"/>
        </w:tabs>
        <w:spacing w:before="240" w:line="360" w:lineRule="auto"/>
        <w:ind w:right="49"/>
        <w:jc w:val="both"/>
        <w:rPr>
          <w:rFonts w:ascii="Palatino Linotype" w:eastAsia="Palatino Linotype" w:hAnsi="Palatino Linotype" w:cs="Palatino Linotype"/>
          <w:color w:val="000000"/>
        </w:rPr>
      </w:pPr>
    </w:p>
    <w:p w14:paraId="3FCCA2BD" w14:textId="77777777" w:rsidR="00D92C64" w:rsidRPr="00236CAB" w:rsidRDefault="00D92C64">
      <w:pPr>
        <w:pBdr>
          <w:top w:val="nil"/>
          <w:left w:val="nil"/>
          <w:bottom w:val="nil"/>
          <w:right w:val="nil"/>
          <w:between w:val="nil"/>
        </w:pBdr>
        <w:ind w:left="720"/>
        <w:rPr>
          <w:rFonts w:ascii="Palatino Linotype" w:eastAsia="Palatino Linotype" w:hAnsi="Palatino Linotype" w:cs="Palatino Linotype"/>
          <w:color w:val="000000"/>
        </w:rPr>
      </w:pPr>
    </w:p>
    <w:p w14:paraId="288C1197" w14:textId="77777777" w:rsidR="00D92C64" w:rsidRPr="00236CAB" w:rsidRDefault="00647915">
      <w:pPr>
        <w:numPr>
          <w:ilvl w:val="0"/>
          <w:numId w:val="6"/>
        </w:numPr>
        <w:pBdr>
          <w:top w:val="nil"/>
          <w:left w:val="nil"/>
          <w:bottom w:val="nil"/>
          <w:right w:val="nil"/>
          <w:between w:val="nil"/>
        </w:pBdr>
        <w:tabs>
          <w:tab w:val="left" w:pos="284"/>
          <w:tab w:val="left" w:pos="426"/>
        </w:tabs>
        <w:spacing w:line="360" w:lineRule="auto"/>
        <w:ind w:left="0" w:right="49" w:firstLine="0"/>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color w:val="000000"/>
        </w:rPr>
        <w:t>Por lo anteriormente expuesto, este Órgano Garante emite los siguientes: --------------------------------------------------------------------------------------------------------------------------</w:t>
      </w:r>
    </w:p>
    <w:p w14:paraId="208B9B09" w14:textId="77777777" w:rsidR="00D92C64" w:rsidRPr="00236CAB" w:rsidRDefault="00D92C64">
      <w:pPr>
        <w:rPr>
          <w:rFonts w:ascii="Palatino Linotype" w:eastAsia="Palatino Linotype" w:hAnsi="Palatino Linotype" w:cs="Palatino Linotype"/>
        </w:rPr>
      </w:pPr>
    </w:p>
    <w:p w14:paraId="26C75F32" w14:textId="77777777" w:rsidR="00D92C64" w:rsidRPr="00236CAB" w:rsidRDefault="00647915">
      <w:pPr>
        <w:pStyle w:val="Ttulo1"/>
        <w:spacing w:line="360" w:lineRule="auto"/>
        <w:jc w:val="center"/>
        <w:rPr>
          <w:rFonts w:ascii="Palatino Linotype" w:eastAsia="Palatino Linotype" w:hAnsi="Palatino Linotype" w:cs="Palatino Linotype"/>
          <w:b/>
          <w:color w:val="000000"/>
          <w:sz w:val="24"/>
          <w:szCs w:val="24"/>
        </w:rPr>
      </w:pPr>
      <w:bookmarkStart w:id="10" w:name="_heading=h.17dp8vu" w:colFirst="0" w:colLast="0"/>
      <w:bookmarkEnd w:id="10"/>
      <w:r w:rsidRPr="00236CAB">
        <w:rPr>
          <w:rFonts w:ascii="Palatino Linotype" w:eastAsia="Palatino Linotype" w:hAnsi="Palatino Linotype" w:cs="Palatino Linotype"/>
          <w:b/>
          <w:color w:val="000000"/>
          <w:sz w:val="24"/>
          <w:szCs w:val="24"/>
        </w:rPr>
        <w:t>R E S O L U T I V O S</w:t>
      </w:r>
    </w:p>
    <w:p w14:paraId="499BBA1C" w14:textId="77777777" w:rsidR="00D92C64" w:rsidRPr="00236CAB" w:rsidRDefault="00D92C64"/>
    <w:p w14:paraId="763F9FCE" w14:textId="77777777" w:rsidR="00D92C64" w:rsidRPr="00236CAB" w:rsidRDefault="00647915">
      <w:pPr>
        <w:spacing w:after="240" w:line="360" w:lineRule="auto"/>
        <w:jc w:val="both"/>
        <w:rPr>
          <w:rFonts w:ascii="Palatino Linotype" w:eastAsia="Palatino Linotype" w:hAnsi="Palatino Linotype" w:cs="Palatino Linotype"/>
        </w:rPr>
      </w:pPr>
      <w:r w:rsidRPr="00236CAB">
        <w:rPr>
          <w:rFonts w:ascii="Palatino Linotype" w:eastAsia="Palatino Linotype" w:hAnsi="Palatino Linotype" w:cs="Palatino Linotype"/>
          <w:b/>
        </w:rPr>
        <w:t>PRIMERO.</w:t>
      </w:r>
      <w:r w:rsidRPr="00236CAB">
        <w:rPr>
          <w:rFonts w:ascii="Palatino Linotype" w:eastAsia="Palatino Linotype" w:hAnsi="Palatino Linotype" w:cs="Palatino Linotype"/>
        </w:rPr>
        <w:t xml:space="preserve"> Se </w:t>
      </w:r>
      <w:r w:rsidRPr="00236CAB">
        <w:rPr>
          <w:rFonts w:ascii="Palatino Linotype" w:eastAsia="Palatino Linotype" w:hAnsi="Palatino Linotype" w:cs="Palatino Linotype"/>
          <w:b/>
        </w:rPr>
        <w:t>SOBRESEE</w:t>
      </w:r>
      <w:r w:rsidRPr="00236CAB">
        <w:rPr>
          <w:rFonts w:ascii="Palatino Linotype" w:eastAsia="Palatino Linotype" w:hAnsi="Palatino Linotype" w:cs="Palatino Linotype"/>
        </w:rPr>
        <w:t xml:space="preserve"> el recurso de revisión número </w:t>
      </w:r>
      <w:r w:rsidRPr="00236CAB">
        <w:rPr>
          <w:rFonts w:ascii="Palatino Linotype" w:eastAsia="Palatino Linotype" w:hAnsi="Palatino Linotype" w:cs="Palatino Linotype"/>
          <w:b/>
        </w:rPr>
        <w:t xml:space="preserve">07563/INFOEM/IP/RR/2023, </w:t>
      </w:r>
      <w:r w:rsidRPr="00236CAB">
        <w:rPr>
          <w:rFonts w:ascii="Palatino Linotype" w:eastAsia="Palatino Linotype" w:hAnsi="Palatino Linotype" w:cs="Palatino Linotype"/>
        </w:rPr>
        <w:t xml:space="preserve">en términos de lo establecido en el artículo 192 fracción I de la Ley de Transparencia y Acceso a la Información Pública del Estado de México y Municipios, </w:t>
      </w:r>
      <w:r w:rsidRPr="00236CAB">
        <w:rPr>
          <w:rFonts w:ascii="Palatino Linotype" w:eastAsia="Palatino Linotype" w:hAnsi="Palatino Linotype" w:cs="Palatino Linotype"/>
          <w:b/>
        </w:rPr>
        <w:t>por haberse desistido expresamente el</w:t>
      </w:r>
      <w:r w:rsidRPr="00236CAB">
        <w:rPr>
          <w:rFonts w:ascii="Palatino Linotype" w:eastAsia="Palatino Linotype" w:hAnsi="Palatino Linotype" w:cs="Palatino Linotype"/>
        </w:rPr>
        <w:t xml:space="preserve"> </w:t>
      </w:r>
      <w:r w:rsidRPr="00236CAB">
        <w:rPr>
          <w:rFonts w:ascii="Palatino Linotype" w:eastAsia="Palatino Linotype" w:hAnsi="Palatino Linotype" w:cs="Palatino Linotype"/>
          <w:b/>
        </w:rPr>
        <w:t>RECURRENTE</w:t>
      </w:r>
      <w:r w:rsidRPr="00236CAB">
        <w:rPr>
          <w:rFonts w:ascii="Palatino Linotype" w:eastAsia="Palatino Linotype" w:hAnsi="Palatino Linotype" w:cs="Palatino Linotype"/>
        </w:rPr>
        <w:t xml:space="preserve">, en términos del </w:t>
      </w:r>
      <w:r w:rsidRPr="00236CAB">
        <w:rPr>
          <w:rFonts w:ascii="Palatino Linotype" w:eastAsia="Palatino Linotype" w:hAnsi="Palatino Linotype" w:cs="Palatino Linotype"/>
          <w:b/>
        </w:rPr>
        <w:t>Considerando CUARTO</w:t>
      </w:r>
      <w:r w:rsidRPr="00236CAB">
        <w:rPr>
          <w:rFonts w:ascii="Palatino Linotype" w:eastAsia="Palatino Linotype" w:hAnsi="Palatino Linotype" w:cs="Palatino Linotype"/>
        </w:rPr>
        <w:t xml:space="preserve"> de la presente resolución.</w:t>
      </w:r>
    </w:p>
    <w:p w14:paraId="01E2A7A9" w14:textId="77777777" w:rsidR="00D92C64" w:rsidRPr="00236CAB" w:rsidRDefault="00647915">
      <w:pPr>
        <w:spacing w:line="360" w:lineRule="auto"/>
        <w:ind w:right="48"/>
        <w:jc w:val="both"/>
        <w:rPr>
          <w:rFonts w:ascii="Palatino Linotype" w:eastAsia="Palatino Linotype" w:hAnsi="Palatino Linotype" w:cs="Palatino Linotype"/>
        </w:rPr>
      </w:pPr>
      <w:bookmarkStart w:id="11" w:name="_heading=h.3rdcrjn" w:colFirst="0" w:colLast="0"/>
      <w:bookmarkEnd w:id="11"/>
      <w:r w:rsidRPr="00236CAB">
        <w:rPr>
          <w:rFonts w:ascii="Palatino Linotype" w:eastAsia="Palatino Linotype" w:hAnsi="Palatino Linotype" w:cs="Palatino Linotype"/>
          <w:b/>
        </w:rPr>
        <w:t xml:space="preserve">SEGUNDO. </w:t>
      </w:r>
      <w:r w:rsidRPr="00236CAB">
        <w:rPr>
          <w:rFonts w:ascii="Palatino Linotype" w:eastAsia="Palatino Linotype" w:hAnsi="Palatino Linotype" w:cs="Palatino Linotype"/>
        </w:rPr>
        <w:t>Resultan fundadas las</w:t>
      </w:r>
      <w:r w:rsidRPr="00236CAB">
        <w:rPr>
          <w:rFonts w:ascii="Palatino Linotype" w:eastAsia="Palatino Linotype" w:hAnsi="Palatino Linotype" w:cs="Palatino Linotype"/>
          <w:b/>
        </w:rPr>
        <w:t xml:space="preserve"> </w:t>
      </w:r>
      <w:r w:rsidRPr="00236CAB">
        <w:rPr>
          <w:rFonts w:ascii="Palatino Linotype" w:eastAsia="Palatino Linotype" w:hAnsi="Palatino Linotype" w:cs="Palatino Linotype"/>
        </w:rPr>
        <w:t xml:space="preserve">razones o motivos de inconformidad hechos valer en el recurso de revisión </w:t>
      </w:r>
      <w:r w:rsidRPr="00236CAB">
        <w:rPr>
          <w:rFonts w:ascii="Palatino Linotype" w:eastAsia="Palatino Linotype" w:hAnsi="Palatino Linotype" w:cs="Palatino Linotype"/>
          <w:b/>
        </w:rPr>
        <w:t xml:space="preserve">07571/INFOEM/IP/RR/2023, </w:t>
      </w:r>
      <w:r w:rsidRPr="00236CAB">
        <w:rPr>
          <w:rFonts w:ascii="Palatino Linotype" w:eastAsia="Palatino Linotype" w:hAnsi="Palatino Linotype" w:cs="Palatino Linotype"/>
        </w:rPr>
        <w:t xml:space="preserve">en términos del </w:t>
      </w:r>
      <w:r w:rsidRPr="00236CAB">
        <w:rPr>
          <w:rFonts w:ascii="Palatino Linotype" w:eastAsia="Palatino Linotype" w:hAnsi="Palatino Linotype" w:cs="Palatino Linotype"/>
          <w:b/>
        </w:rPr>
        <w:t>Considerando</w:t>
      </w:r>
      <w:r w:rsidRPr="00236CAB">
        <w:rPr>
          <w:rFonts w:ascii="Palatino Linotype" w:eastAsia="Palatino Linotype" w:hAnsi="Palatino Linotype" w:cs="Palatino Linotype"/>
        </w:rPr>
        <w:t xml:space="preserve"> </w:t>
      </w:r>
      <w:r w:rsidRPr="00236CAB">
        <w:rPr>
          <w:rFonts w:ascii="Palatino Linotype" w:eastAsia="Palatino Linotype" w:hAnsi="Palatino Linotype" w:cs="Palatino Linotype"/>
          <w:b/>
        </w:rPr>
        <w:t xml:space="preserve">CUARTO y QUINTO </w:t>
      </w:r>
      <w:r w:rsidRPr="00236CAB">
        <w:rPr>
          <w:rFonts w:ascii="Palatino Linotype" w:eastAsia="Palatino Linotype" w:hAnsi="Palatino Linotype" w:cs="Palatino Linotype"/>
        </w:rPr>
        <w:t>de la presente resolución.</w:t>
      </w:r>
    </w:p>
    <w:p w14:paraId="6F46C1C1" w14:textId="77777777" w:rsidR="00D92C64" w:rsidRPr="00236CAB" w:rsidRDefault="00D92C64">
      <w:pPr>
        <w:spacing w:line="360" w:lineRule="auto"/>
        <w:ind w:right="48"/>
        <w:jc w:val="both"/>
        <w:rPr>
          <w:rFonts w:ascii="Palatino Linotype" w:eastAsia="Palatino Linotype" w:hAnsi="Palatino Linotype" w:cs="Palatino Linotype"/>
        </w:rPr>
      </w:pPr>
    </w:p>
    <w:p w14:paraId="0883EE46" w14:textId="77777777" w:rsidR="00D92C64" w:rsidRPr="00236CAB" w:rsidRDefault="00647915">
      <w:pPr>
        <w:spacing w:line="360" w:lineRule="auto"/>
        <w:ind w:right="48"/>
        <w:jc w:val="both"/>
        <w:rPr>
          <w:rFonts w:ascii="Palatino Linotype" w:eastAsia="Palatino Linotype" w:hAnsi="Palatino Linotype" w:cs="Palatino Linotype"/>
        </w:rPr>
      </w:pPr>
      <w:bookmarkStart w:id="12" w:name="_heading=h.26in1rg" w:colFirst="0" w:colLast="0"/>
      <w:bookmarkEnd w:id="12"/>
      <w:r w:rsidRPr="00236CAB">
        <w:rPr>
          <w:rFonts w:ascii="Palatino Linotype" w:eastAsia="Palatino Linotype" w:hAnsi="Palatino Linotype" w:cs="Palatino Linotype"/>
          <w:b/>
        </w:rPr>
        <w:lastRenderedPageBreak/>
        <w:t>TERCERO.</w:t>
      </w:r>
      <w:r w:rsidRPr="00236CAB">
        <w:rPr>
          <w:rFonts w:ascii="Palatino Linotype" w:eastAsia="Palatino Linotype" w:hAnsi="Palatino Linotype" w:cs="Palatino Linotype"/>
          <w:color w:val="2E75B5"/>
        </w:rPr>
        <w:t xml:space="preserve"> </w:t>
      </w:r>
      <w:r w:rsidRPr="00236CAB">
        <w:rPr>
          <w:rFonts w:ascii="Palatino Linotype" w:eastAsia="Palatino Linotype" w:hAnsi="Palatino Linotype" w:cs="Palatino Linotype"/>
        </w:rPr>
        <w:t>Se</w:t>
      </w:r>
      <w:r w:rsidRPr="00236CAB">
        <w:rPr>
          <w:rFonts w:ascii="Palatino Linotype" w:eastAsia="Palatino Linotype" w:hAnsi="Palatino Linotype" w:cs="Palatino Linotype"/>
          <w:b/>
        </w:rPr>
        <w:t xml:space="preserve"> MODIFICA </w:t>
      </w:r>
      <w:r w:rsidRPr="00236CAB">
        <w:rPr>
          <w:rFonts w:ascii="Palatino Linotype" w:eastAsia="Palatino Linotype" w:hAnsi="Palatino Linotype" w:cs="Palatino Linotype"/>
        </w:rPr>
        <w:t xml:space="preserve">la respuesta emitida por el </w:t>
      </w:r>
      <w:r w:rsidRPr="00236CAB">
        <w:rPr>
          <w:rFonts w:ascii="Palatino Linotype" w:eastAsia="Palatino Linotype" w:hAnsi="Palatino Linotype" w:cs="Palatino Linotype"/>
          <w:b/>
        </w:rPr>
        <w:t xml:space="preserve">Ayuntamiento de Atizapán </w:t>
      </w:r>
      <w:r w:rsidRPr="00236CAB">
        <w:rPr>
          <w:rFonts w:ascii="Palatino Linotype" w:eastAsia="Palatino Linotype" w:hAnsi="Palatino Linotype" w:cs="Palatino Linotype"/>
        </w:rPr>
        <w:t>y se</w:t>
      </w:r>
      <w:r w:rsidRPr="00236CAB">
        <w:rPr>
          <w:rFonts w:ascii="Palatino Linotype" w:eastAsia="Palatino Linotype" w:hAnsi="Palatino Linotype" w:cs="Palatino Linotype"/>
          <w:b/>
        </w:rPr>
        <w:t xml:space="preserve"> ORDENA </w:t>
      </w:r>
      <w:r w:rsidRPr="00236CAB">
        <w:rPr>
          <w:rFonts w:ascii="Palatino Linotype" w:eastAsia="Palatino Linotype" w:hAnsi="Palatino Linotype" w:cs="Palatino Linotype"/>
        </w:rPr>
        <w:t xml:space="preserve">entregar vía </w:t>
      </w:r>
      <w:r w:rsidRPr="00236CAB">
        <w:rPr>
          <w:rFonts w:ascii="Palatino Linotype" w:eastAsia="Palatino Linotype" w:hAnsi="Palatino Linotype" w:cs="Palatino Linotype"/>
          <w:b/>
        </w:rPr>
        <w:t>SAIMEX</w:t>
      </w:r>
      <w:r w:rsidRPr="00236CAB">
        <w:rPr>
          <w:rFonts w:ascii="Palatino Linotype" w:eastAsia="Palatino Linotype" w:hAnsi="Palatino Linotype" w:cs="Palatino Linotype"/>
        </w:rPr>
        <w:t>, versión pública, la siguiente información:</w:t>
      </w:r>
    </w:p>
    <w:p w14:paraId="48589FDD" w14:textId="77777777" w:rsidR="00D92C64" w:rsidRPr="00236CAB" w:rsidRDefault="00D92C64">
      <w:pPr>
        <w:spacing w:line="360" w:lineRule="auto"/>
        <w:ind w:right="48"/>
        <w:jc w:val="both"/>
        <w:rPr>
          <w:rFonts w:ascii="Palatino Linotype" w:eastAsia="Palatino Linotype" w:hAnsi="Palatino Linotype" w:cs="Palatino Linotype"/>
          <w:b/>
        </w:rPr>
      </w:pPr>
    </w:p>
    <w:p w14:paraId="0AF9B01D" w14:textId="77777777" w:rsidR="00D92C64" w:rsidRPr="00236CAB" w:rsidRDefault="00647915">
      <w:pPr>
        <w:numPr>
          <w:ilvl w:val="0"/>
          <w:numId w:val="5"/>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b/>
          <w:color w:val="000000"/>
        </w:rPr>
      </w:pPr>
      <w:bookmarkStart w:id="13" w:name="_heading=h.lnxbz9" w:colFirst="0" w:colLast="0"/>
      <w:bookmarkEnd w:id="13"/>
      <w:r w:rsidRPr="00236CAB">
        <w:rPr>
          <w:rFonts w:ascii="Palatino Linotype" w:eastAsia="Palatino Linotype" w:hAnsi="Palatino Linotype" w:cs="Palatino Linotype"/>
          <w:b/>
          <w:color w:val="000000"/>
        </w:rPr>
        <w:t xml:space="preserve">Acuerdo emitido por el Comité de Transparencia en términos de los artículos 49, fracción VIII y 132, fracción II de la Ley de Transparencia y Acceso a la Información Pública del Estado de México y Municipios que sustente la versión pública de los recibos de nómina emitidos en respuesta. </w:t>
      </w:r>
    </w:p>
    <w:p w14:paraId="27E5FF4F" w14:textId="77777777" w:rsidR="00D92C64" w:rsidRPr="00236CAB" w:rsidRDefault="00D92C64">
      <w:pPr>
        <w:pBdr>
          <w:top w:val="nil"/>
          <w:left w:val="nil"/>
          <w:bottom w:val="nil"/>
          <w:right w:val="nil"/>
          <w:between w:val="nil"/>
        </w:pBdr>
        <w:spacing w:line="360" w:lineRule="auto"/>
        <w:ind w:left="851" w:right="822"/>
        <w:jc w:val="both"/>
        <w:rPr>
          <w:rFonts w:ascii="Palatino Linotype" w:eastAsia="Palatino Linotype" w:hAnsi="Palatino Linotype" w:cs="Palatino Linotype"/>
          <w:b/>
          <w:color w:val="000000"/>
        </w:rPr>
      </w:pPr>
    </w:p>
    <w:p w14:paraId="3D804B12" w14:textId="77777777" w:rsidR="00D92C64" w:rsidRPr="00236CAB" w:rsidRDefault="00647915">
      <w:pPr>
        <w:numPr>
          <w:ilvl w:val="0"/>
          <w:numId w:val="5"/>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b/>
          <w:color w:val="000000"/>
        </w:rPr>
      </w:pPr>
      <w:r w:rsidRPr="00236CAB">
        <w:rPr>
          <w:rFonts w:ascii="Palatino Linotype" w:eastAsia="Palatino Linotype" w:hAnsi="Palatino Linotype" w:cs="Palatino Linotype"/>
          <w:b/>
          <w:color w:val="000000"/>
        </w:rPr>
        <w:t>Currículum vitae del Titular de la Unidad de Transparencia emitido en respuesta, en versión pública correcta.</w:t>
      </w:r>
    </w:p>
    <w:p w14:paraId="7DCCD56A" w14:textId="77777777" w:rsidR="00D92C64" w:rsidRPr="00236CAB" w:rsidRDefault="00D92C64">
      <w:pPr>
        <w:pBdr>
          <w:top w:val="nil"/>
          <w:left w:val="nil"/>
          <w:bottom w:val="nil"/>
          <w:right w:val="nil"/>
          <w:between w:val="nil"/>
        </w:pBdr>
        <w:spacing w:line="360" w:lineRule="auto"/>
        <w:ind w:left="786" w:right="822"/>
        <w:jc w:val="both"/>
        <w:rPr>
          <w:rFonts w:ascii="Palatino Linotype" w:eastAsia="Palatino Linotype" w:hAnsi="Palatino Linotype" w:cs="Palatino Linotype"/>
          <w:b/>
          <w:color w:val="000000"/>
        </w:rPr>
      </w:pPr>
    </w:p>
    <w:p w14:paraId="36244895" w14:textId="77777777" w:rsidR="00D92C64" w:rsidRPr="00236CAB" w:rsidRDefault="00647915">
      <w:pPr>
        <w:spacing w:line="360" w:lineRule="auto"/>
        <w:jc w:val="both"/>
        <w:rPr>
          <w:rFonts w:ascii="Palatino Linotype" w:eastAsia="Palatino Linotype" w:hAnsi="Palatino Linotype" w:cs="Palatino Linotype"/>
          <w:b/>
        </w:rPr>
      </w:pPr>
      <w:r w:rsidRPr="00236CAB">
        <w:rPr>
          <w:rFonts w:ascii="Palatino Linotype" w:eastAsia="Palatino Linotype" w:hAnsi="Palatino Linotype" w:cs="Palatino Linotype"/>
        </w:rPr>
        <w:t xml:space="preserve">Para efecto de la información que se ordena entregar en el punto B,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236CAB">
        <w:rPr>
          <w:rFonts w:ascii="Palatino Linotype" w:eastAsia="Palatino Linotype" w:hAnsi="Palatino Linotype" w:cs="Palatino Linotype"/>
          <w:b/>
        </w:rPr>
        <w:t>RECURRENTE.</w:t>
      </w:r>
    </w:p>
    <w:p w14:paraId="29014662" w14:textId="77777777" w:rsidR="00D92C64" w:rsidRPr="00236CAB" w:rsidRDefault="00D92C64">
      <w:pPr>
        <w:spacing w:line="360" w:lineRule="auto"/>
        <w:ind w:right="48"/>
        <w:jc w:val="both"/>
        <w:rPr>
          <w:rFonts w:ascii="Palatino Linotype" w:eastAsia="Palatino Linotype" w:hAnsi="Palatino Linotype" w:cs="Palatino Linotype"/>
          <w:b/>
        </w:rPr>
      </w:pPr>
    </w:p>
    <w:p w14:paraId="30F5F7AB" w14:textId="77777777" w:rsidR="00D92C64" w:rsidRPr="00236CAB" w:rsidRDefault="00647915">
      <w:pPr>
        <w:tabs>
          <w:tab w:val="left" w:pos="8080"/>
        </w:tabs>
        <w:spacing w:line="360" w:lineRule="auto"/>
        <w:ind w:right="48"/>
        <w:jc w:val="both"/>
        <w:rPr>
          <w:rFonts w:ascii="Palatino Linotype" w:eastAsia="Palatino Linotype" w:hAnsi="Palatino Linotype" w:cs="Palatino Linotype"/>
          <w:color w:val="222222"/>
        </w:rPr>
      </w:pPr>
      <w:r w:rsidRPr="00236CAB">
        <w:rPr>
          <w:rFonts w:ascii="Palatino Linotype" w:eastAsia="Palatino Linotype" w:hAnsi="Palatino Linotype" w:cs="Palatino Linotype"/>
          <w:b/>
        </w:rPr>
        <w:t xml:space="preserve">CUARTO. Notifíquese </w:t>
      </w:r>
      <w:r w:rsidRPr="00236CAB">
        <w:rPr>
          <w:rFonts w:ascii="Palatino Linotype" w:eastAsia="Palatino Linotype" w:hAnsi="Palatino Linotype" w:cs="Palatino Linotype"/>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w:t>
      </w:r>
      <w:r w:rsidRPr="00236CAB">
        <w:rPr>
          <w:rFonts w:ascii="Palatino Linotype" w:eastAsia="Palatino Linotype" w:hAnsi="Palatino Linotype" w:cs="Palatino Linotype"/>
        </w:rPr>
        <w:lastRenderedPageBreak/>
        <w:t>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72B1B55" w14:textId="77777777" w:rsidR="00D92C64" w:rsidRPr="00236CAB" w:rsidRDefault="00D92C64">
      <w:pPr>
        <w:tabs>
          <w:tab w:val="left" w:pos="8080"/>
        </w:tabs>
        <w:spacing w:line="360" w:lineRule="auto"/>
        <w:ind w:right="48"/>
        <w:jc w:val="both"/>
        <w:rPr>
          <w:rFonts w:ascii="Palatino Linotype" w:eastAsia="Palatino Linotype" w:hAnsi="Palatino Linotype" w:cs="Palatino Linotype"/>
          <w:color w:val="222222"/>
        </w:rPr>
      </w:pPr>
    </w:p>
    <w:p w14:paraId="7BC47F44" w14:textId="77777777" w:rsidR="00D92C64" w:rsidRPr="00236CAB" w:rsidRDefault="00647915">
      <w:pPr>
        <w:shd w:val="clear" w:color="auto" w:fill="FFFFFF"/>
        <w:spacing w:line="360" w:lineRule="auto"/>
        <w:ind w:right="48"/>
        <w:jc w:val="both"/>
        <w:rPr>
          <w:rFonts w:ascii="Palatino Linotype" w:eastAsia="Palatino Linotype" w:hAnsi="Palatino Linotype" w:cs="Palatino Linotype"/>
        </w:rPr>
      </w:pPr>
      <w:r w:rsidRPr="00236CAB">
        <w:rPr>
          <w:rFonts w:ascii="Palatino Linotype" w:eastAsia="Palatino Linotype" w:hAnsi="Palatino Linotype" w:cs="Palatino Linotype"/>
          <w:b/>
        </w:rPr>
        <w:t>QUINTO. Notifíquese al RECURRENTE</w:t>
      </w:r>
      <w:r w:rsidRPr="00236CAB">
        <w:rPr>
          <w:rFonts w:ascii="Palatino Linotype" w:eastAsia="Palatino Linotype" w:hAnsi="Palatino Linotype" w:cs="Palatino Linotype"/>
        </w:rPr>
        <w:t xml:space="preserve"> la presente resolución vía SAIMEX.</w:t>
      </w:r>
    </w:p>
    <w:p w14:paraId="3C53496B" w14:textId="77777777" w:rsidR="00D92C64" w:rsidRPr="00236CAB" w:rsidRDefault="00D92C64">
      <w:pPr>
        <w:shd w:val="clear" w:color="auto" w:fill="FFFFFF"/>
        <w:spacing w:line="360" w:lineRule="auto"/>
        <w:ind w:right="48"/>
        <w:jc w:val="both"/>
        <w:rPr>
          <w:rFonts w:ascii="Palatino Linotype" w:eastAsia="Palatino Linotype" w:hAnsi="Palatino Linotype" w:cs="Palatino Linotype"/>
          <w:b/>
          <w:color w:val="FF0000"/>
        </w:rPr>
      </w:pPr>
    </w:p>
    <w:p w14:paraId="62344F22" w14:textId="77777777" w:rsidR="00D92C64" w:rsidRPr="00236CAB" w:rsidRDefault="00647915">
      <w:pPr>
        <w:spacing w:line="360" w:lineRule="auto"/>
        <w:ind w:right="48"/>
        <w:jc w:val="both"/>
        <w:rPr>
          <w:rFonts w:ascii="Palatino Linotype" w:eastAsia="Palatino Linotype" w:hAnsi="Palatino Linotype" w:cs="Palatino Linotype"/>
        </w:rPr>
      </w:pPr>
      <w:r w:rsidRPr="00236CAB">
        <w:rPr>
          <w:rFonts w:ascii="Palatino Linotype" w:eastAsia="Palatino Linotype" w:hAnsi="Palatino Linotype" w:cs="Palatino Linotype"/>
          <w:b/>
        </w:rPr>
        <w:t>SEXTO.</w:t>
      </w:r>
      <w:r w:rsidRPr="00236CAB">
        <w:rPr>
          <w:rFonts w:ascii="Palatino Linotype" w:eastAsia="Palatino Linotype" w:hAnsi="Palatino Linotype" w:cs="Palatino Linotype"/>
        </w:rPr>
        <w:t xml:space="preserve"> Se hace del conocimiento del </w:t>
      </w:r>
      <w:r w:rsidRPr="00236CAB">
        <w:rPr>
          <w:rFonts w:ascii="Palatino Linotype" w:eastAsia="Palatino Linotype" w:hAnsi="Palatino Linotype" w:cs="Palatino Linotype"/>
          <w:b/>
        </w:rPr>
        <w:t>RECURRENTE</w:t>
      </w:r>
      <w:r w:rsidRPr="00236CAB">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0BCCAD36" w14:textId="77777777" w:rsidR="00D92C64" w:rsidRPr="00236CAB" w:rsidRDefault="00D92C64">
      <w:pPr>
        <w:spacing w:line="360" w:lineRule="auto"/>
        <w:ind w:right="48"/>
        <w:jc w:val="both"/>
        <w:rPr>
          <w:rFonts w:ascii="Palatino Linotype" w:eastAsia="Palatino Linotype" w:hAnsi="Palatino Linotype" w:cs="Palatino Linotype"/>
          <w:color w:val="000000"/>
        </w:rPr>
      </w:pPr>
    </w:p>
    <w:p w14:paraId="461DACA2" w14:textId="77777777" w:rsidR="00D92C64" w:rsidRPr="00236CAB" w:rsidRDefault="00647915">
      <w:pPr>
        <w:spacing w:line="360" w:lineRule="auto"/>
        <w:ind w:right="48"/>
        <w:jc w:val="both"/>
        <w:rPr>
          <w:rFonts w:ascii="Palatino Linotype" w:eastAsia="Palatino Linotype" w:hAnsi="Palatino Linotype" w:cs="Palatino Linotype"/>
        </w:rPr>
      </w:pPr>
      <w:r w:rsidRPr="00236CAB">
        <w:rPr>
          <w:rFonts w:ascii="Palatino Linotype" w:eastAsia="Palatino Linotype" w:hAnsi="Palatino Linotype" w:cs="Palatino Linotype"/>
          <w:b/>
          <w:color w:val="000000"/>
        </w:rPr>
        <w:t xml:space="preserve">SÉPTIMO. </w:t>
      </w:r>
      <w:r w:rsidRPr="00236CAB">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B74AFA5" w14:textId="77777777" w:rsidR="00D92C64" w:rsidRPr="00236CAB" w:rsidRDefault="00D92C64">
      <w:pPr>
        <w:spacing w:line="360" w:lineRule="auto"/>
        <w:ind w:right="48"/>
        <w:jc w:val="both"/>
        <w:rPr>
          <w:rFonts w:ascii="Palatino Linotype" w:eastAsia="Palatino Linotype" w:hAnsi="Palatino Linotype" w:cs="Palatino Linotype"/>
        </w:rPr>
      </w:pPr>
    </w:p>
    <w:p w14:paraId="46834341" w14:textId="77777777" w:rsidR="00D92C64" w:rsidRPr="00236CAB" w:rsidRDefault="00647915">
      <w:pPr>
        <w:spacing w:line="360" w:lineRule="auto"/>
        <w:jc w:val="both"/>
        <w:rPr>
          <w:rFonts w:ascii="Palatino Linotype" w:eastAsia="Palatino Linotype" w:hAnsi="Palatino Linotype" w:cs="Palatino Linotype"/>
          <w:color w:val="000000"/>
        </w:rPr>
      </w:pPr>
      <w:r w:rsidRPr="00236CAB">
        <w:rPr>
          <w:rFonts w:ascii="Palatino Linotype" w:eastAsia="Palatino Linotype" w:hAnsi="Palatino Linotype" w:cs="Palatino Linotype"/>
          <w:b/>
          <w:color w:val="000000"/>
        </w:rPr>
        <w:t>OCTAVO.</w:t>
      </w:r>
      <w:r w:rsidRPr="00236CAB">
        <w:rPr>
          <w:rFonts w:ascii="Palatino Linotype" w:eastAsia="Palatino Linotype" w:hAnsi="Palatino Linotype" w:cs="Palatino Linotype"/>
          <w:color w:val="000000"/>
        </w:rPr>
        <w:t xml:space="preserve"> </w:t>
      </w:r>
      <w:r w:rsidRPr="00236CAB">
        <w:rPr>
          <w:rFonts w:ascii="Palatino Linotype" w:eastAsia="Palatino Linotype" w:hAnsi="Palatino Linotype" w:cs="Palatino Linotype"/>
          <w:b/>
        </w:rPr>
        <w:t>Gírese</w:t>
      </w:r>
      <w:r w:rsidRPr="00236CAB">
        <w:rPr>
          <w:rFonts w:ascii="Palatino Linotype" w:eastAsia="Palatino Linotype" w:hAnsi="Palatino Linotype" w:cs="Palatino Linotype"/>
        </w:rPr>
        <w:t xml:space="preserve"> oficio al Titular de la Dirección General de Protección de Datos Personales, en atención al artículo 82, fracción XXVII de la Ley de Protección de Datos Personales del Estado de México y Municipios en términos de lo señalado en el </w:t>
      </w:r>
      <w:r w:rsidRPr="00236CAB">
        <w:rPr>
          <w:rFonts w:ascii="Palatino Linotype" w:eastAsia="Palatino Linotype" w:hAnsi="Palatino Linotype" w:cs="Palatino Linotype"/>
          <w:b/>
        </w:rPr>
        <w:t>Considerando CUARTO</w:t>
      </w:r>
      <w:r w:rsidRPr="00236CAB">
        <w:rPr>
          <w:rFonts w:ascii="Palatino Linotype" w:eastAsia="Palatino Linotype" w:hAnsi="Palatino Linotype" w:cs="Palatino Linotype"/>
        </w:rPr>
        <w:t xml:space="preserve"> de la presente resolución.</w:t>
      </w:r>
    </w:p>
    <w:p w14:paraId="34B7E743" w14:textId="77777777" w:rsidR="00D92C64" w:rsidRPr="00236CAB" w:rsidRDefault="00D92C6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E2FB63B" w14:textId="77777777" w:rsidR="00D92C64" w:rsidRPr="00236CAB" w:rsidRDefault="00D92C6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76EB472" w14:textId="77777777" w:rsidR="00486215" w:rsidRPr="00486215" w:rsidRDefault="00486215" w:rsidP="00486215">
      <w:pPr>
        <w:spacing w:before="240" w:after="240" w:line="360" w:lineRule="auto"/>
        <w:ind w:firstLine="1"/>
        <w:jc w:val="both"/>
        <w:rPr>
          <w:rStyle w:val="Referenciasutil"/>
          <w:rFonts w:ascii="Palatino Linotype" w:hAnsi="Palatino Linotype"/>
          <w:color w:val="auto"/>
        </w:rPr>
      </w:pPr>
      <w:bookmarkStart w:id="14" w:name="_Hlk129792997"/>
      <w:r w:rsidRPr="00236CAB">
        <w:rPr>
          <w:rStyle w:val="Referenciasutil"/>
          <w:rFonts w:ascii="Palatino Linotype"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TRES (03) DE ABRIL DE DOS MIL VEINTICUATRO, ANTE EL SECRETARIO TÉCNICO DEL PLENO ALEXIS TAPIA RAMÍREZ.</w:t>
      </w:r>
      <w:r w:rsidRPr="00486215">
        <w:rPr>
          <w:rStyle w:val="Referenciasutil"/>
          <w:rFonts w:ascii="Palatino Linotype" w:hAnsi="Palatino Linotype"/>
          <w:color w:val="auto"/>
        </w:rPr>
        <w:t xml:space="preserve"> </w:t>
      </w:r>
      <w:bookmarkEnd w:id="14"/>
    </w:p>
    <w:p w14:paraId="4D0D7066" w14:textId="77777777" w:rsidR="00D92C64" w:rsidRPr="00C7313B" w:rsidRDefault="00647915">
      <w:pPr>
        <w:rPr>
          <w:rFonts w:ascii="Palatino Linotype" w:eastAsia="Palatino Linotype" w:hAnsi="Palatino Linotype" w:cs="Palatino Linotype"/>
        </w:rPr>
      </w:pPr>
      <w:r w:rsidRPr="00C7313B">
        <w:br w:type="page"/>
      </w:r>
    </w:p>
    <w:p w14:paraId="179DE3FB" w14:textId="77777777" w:rsidR="00D92C64" w:rsidRPr="00C7313B" w:rsidRDefault="00D92C64">
      <w:pPr>
        <w:spacing w:before="240" w:after="240" w:line="360" w:lineRule="auto"/>
        <w:ind w:right="49"/>
        <w:jc w:val="both"/>
        <w:rPr>
          <w:rFonts w:ascii="Palatino Linotype" w:eastAsia="Palatino Linotype" w:hAnsi="Palatino Linotype" w:cs="Palatino Linotype"/>
        </w:rPr>
      </w:pPr>
    </w:p>
    <w:p w14:paraId="1F3FCF61" w14:textId="77777777" w:rsidR="00D92C64" w:rsidRPr="00C7313B" w:rsidRDefault="00D92C64">
      <w:pPr>
        <w:spacing w:before="240" w:after="240" w:line="360" w:lineRule="auto"/>
        <w:ind w:right="49"/>
        <w:jc w:val="both"/>
        <w:rPr>
          <w:rFonts w:ascii="Palatino Linotype" w:eastAsia="Palatino Linotype" w:hAnsi="Palatino Linotype" w:cs="Palatino Linotype"/>
        </w:rPr>
      </w:pPr>
    </w:p>
    <w:p w14:paraId="6E0382BE" w14:textId="77777777" w:rsidR="00D92C64" w:rsidRPr="00C7313B" w:rsidRDefault="00D92C64"/>
    <w:p w14:paraId="17BBB04E" w14:textId="77777777" w:rsidR="00D92C64" w:rsidRPr="00C7313B" w:rsidRDefault="00D92C64"/>
    <w:p w14:paraId="16676ECA" w14:textId="77777777" w:rsidR="00D92C64" w:rsidRPr="00C7313B" w:rsidRDefault="00D92C64"/>
    <w:p w14:paraId="1911F5AE" w14:textId="77777777" w:rsidR="00D92C64" w:rsidRPr="00C7313B" w:rsidRDefault="00D92C64"/>
    <w:sectPr w:rsidR="00D92C64" w:rsidRPr="00C7313B">
      <w:headerReference w:type="even" r:id="rId19"/>
      <w:headerReference w:type="default" r:id="rId20"/>
      <w:footerReference w:type="default" r:id="rId21"/>
      <w:headerReference w:type="first" r:id="rId22"/>
      <w:footerReference w:type="first" r:id="rId23"/>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BF9AC" w14:textId="77777777" w:rsidR="004E1578" w:rsidRDefault="004E1578">
      <w:r>
        <w:separator/>
      </w:r>
    </w:p>
  </w:endnote>
  <w:endnote w:type="continuationSeparator" w:id="0">
    <w:p w14:paraId="26F95511" w14:textId="77777777" w:rsidR="004E1578" w:rsidRDefault="004E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1BC2" w14:textId="77777777" w:rsidR="00D92C64" w:rsidRDefault="0064791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86215">
      <w:rPr>
        <w:b/>
        <w:noProof/>
        <w:color w:val="000000"/>
      </w:rPr>
      <w:t>38</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86215">
      <w:rPr>
        <w:b/>
        <w:noProof/>
        <w:color w:val="000000"/>
      </w:rPr>
      <w:t>42</w:t>
    </w:r>
    <w:r>
      <w:rPr>
        <w:b/>
        <w:color w:val="000000"/>
      </w:rPr>
      <w:fldChar w:fldCharType="end"/>
    </w:r>
  </w:p>
  <w:p w14:paraId="1742AA76" w14:textId="77777777" w:rsidR="00D92C64" w:rsidRDefault="00D92C6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367D" w14:textId="77777777" w:rsidR="00D92C64" w:rsidRDefault="0064791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86215">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86215">
      <w:rPr>
        <w:b/>
        <w:noProof/>
        <w:color w:val="000000"/>
      </w:rPr>
      <w:t>42</w:t>
    </w:r>
    <w:r>
      <w:rPr>
        <w:b/>
        <w:color w:val="000000"/>
      </w:rPr>
      <w:fldChar w:fldCharType="end"/>
    </w:r>
  </w:p>
  <w:p w14:paraId="0B9B29D0" w14:textId="77777777" w:rsidR="00D92C64" w:rsidRDefault="00D92C6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D024A" w14:textId="77777777" w:rsidR="004E1578" w:rsidRDefault="004E1578">
      <w:r>
        <w:separator/>
      </w:r>
    </w:p>
  </w:footnote>
  <w:footnote w:type="continuationSeparator" w:id="0">
    <w:p w14:paraId="656A4DF8" w14:textId="77777777" w:rsidR="004E1578" w:rsidRDefault="004E1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4204" w14:textId="77777777" w:rsidR="00D92C64" w:rsidRDefault="004E1578">
    <w:pPr>
      <w:pBdr>
        <w:top w:val="nil"/>
        <w:left w:val="nil"/>
        <w:bottom w:val="nil"/>
        <w:right w:val="nil"/>
        <w:between w:val="nil"/>
      </w:pBdr>
      <w:tabs>
        <w:tab w:val="center" w:pos="4419"/>
        <w:tab w:val="right" w:pos="8838"/>
      </w:tabs>
      <w:rPr>
        <w:color w:val="000000"/>
      </w:rPr>
    </w:pPr>
    <w:r>
      <w:rPr>
        <w:color w:val="000000"/>
      </w:rPr>
      <w:pict w14:anchorId="6E6FC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89.8pt;height:768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F083" w14:textId="77777777" w:rsidR="00D92C64" w:rsidRDefault="00D92C64">
    <w:pPr>
      <w:widowControl w:val="0"/>
      <w:pBdr>
        <w:top w:val="nil"/>
        <w:left w:val="nil"/>
        <w:bottom w:val="nil"/>
        <w:right w:val="nil"/>
        <w:between w:val="nil"/>
      </w:pBdr>
      <w:spacing w:line="276" w:lineRule="auto"/>
    </w:pPr>
  </w:p>
  <w:tbl>
    <w:tblPr>
      <w:tblStyle w:val="a2"/>
      <w:tblW w:w="9214" w:type="dxa"/>
      <w:tblInd w:w="0" w:type="dxa"/>
      <w:tblLayout w:type="fixed"/>
      <w:tblLook w:val="0400" w:firstRow="0" w:lastRow="0" w:firstColumn="0" w:lastColumn="0" w:noHBand="0" w:noVBand="1"/>
    </w:tblPr>
    <w:tblGrid>
      <w:gridCol w:w="2268"/>
      <w:gridCol w:w="6946"/>
    </w:tblGrid>
    <w:tr w:rsidR="00D92C64" w14:paraId="1FB65F50" w14:textId="77777777">
      <w:trPr>
        <w:trHeight w:val="1435"/>
      </w:trPr>
      <w:tc>
        <w:tcPr>
          <w:tcW w:w="2268" w:type="dxa"/>
          <w:shd w:val="clear" w:color="auto" w:fill="auto"/>
        </w:tcPr>
        <w:p w14:paraId="751E9A0B" w14:textId="77777777" w:rsidR="00D92C64" w:rsidRDefault="00D92C64">
          <w:pPr>
            <w:tabs>
              <w:tab w:val="right" w:pos="4273"/>
            </w:tabs>
            <w:rPr>
              <w:rFonts w:ascii="Garamond" w:eastAsia="Garamond" w:hAnsi="Garamond" w:cs="Garamond"/>
              <w:sz w:val="16"/>
              <w:szCs w:val="16"/>
            </w:rPr>
          </w:pPr>
        </w:p>
      </w:tc>
      <w:tc>
        <w:tcPr>
          <w:tcW w:w="6946" w:type="dxa"/>
          <w:shd w:val="clear" w:color="auto" w:fill="auto"/>
        </w:tcPr>
        <w:tbl>
          <w:tblPr>
            <w:tblStyle w:val="a3"/>
            <w:tblW w:w="7358" w:type="dxa"/>
            <w:tblInd w:w="40" w:type="dxa"/>
            <w:tblLayout w:type="fixed"/>
            <w:tblLook w:val="0400" w:firstRow="0" w:lastRow="0" w:firstColumn="0" w:lastColumn="0" w:noHBand="0" w:noVBand="1"/>
          </w:tblPr>
          <w:tblGrid>
            <w:gridCol w:w="2551"/>
            <w:gridCol w:w="4807"/>
          </w:tblGrid>
          <w:tr w:rsidR="00D92C64" w14:paraId="0C3B9574" w14:textId="77777777" w:rsidTr="00C7313B">
            <w:trPr>
              <w:trHeight w:val="150"/>
            </w:trPr>
            <w:tc>
              <w:tcPr>
                <w:tcW w:w="2551" w:type="dxa"/>
                <w:shd w:val="clear" w:color="auto" w:fill="auto"/>
              </w:tcPr>
              <w:p w14:paraId="32088AA3" w14:textId="77777777" w:rsidR="00D92C64" w:rsidRDefault="0064791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807" w:type="dxa"/>
                <w:shd w:val="clear" w:color="auto" w:fill="auto"/>
              </w:tcPr>
              <w:p w14:paraId="0CBB65C3" w14:textId="77777777" w:rsidR="00D92C64" w:rsidRDefault="00647915" w:rsidP="00C7313B">
                <w:pPr>
                  <w:tabs>
                    <w:tab w:val="right" w:pos="8838"/>
                  </w:tabs>
                  <w:ind w:right="-10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07563/INFOEM/IP/RR/2023 y Acumulado</w:t>
                </w:r>
              </w:p>
            </w:tc>
          </w:tr>
          <w:tr w:rsidR="00D92C64" w14:paraId="41B4B0E4" w14:textId="77777777" w:rsidTr="00C7313B">
            <w:trPr>
              <w:trHeight w:val="295"/>
            </w:trPr>
            <w:tc>
              <w:tcPr>
                <w:tcW w:w="2551" w:type="dxa"/>
                <w:shd w:val="clear" w:color="auto" w:fill="auto"/>
              </w:tcPr>
              <w:p w14:paraId="64E12BAD" w14:textId="77777777" w:rsidR="00D92C64" w:rsidRDefault="0064791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807" w:type="dxa"/>
                <w:shd w:val="clear" w:color="auto" w:fill="auto"/>
              </w:tcPr>
              <w:p w14:paraId="2D556FF4" w14:textId="77777777" w:rsidR="00D92C64" w:rsidRDefault="00647915" w:rsidP="00C7313B">
                <w:pPr>
                  <w:tabs>
                    <w:tab w:val="left" w:pos="2834"/>
                    <w:tab w:val="right" w:pos="8838"/>
                  </w:tabs>
                  <w:ind w:left="-108" w:right="-10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Ayuntamiento de Atizapán </w:t>
                </w:r>
              </w:p>
            </w:tc>
          </w:tr>
          <w:tr w:rsidR="00D92C64" w14:paraId="18722721" w14:textId="77777777" w:rsidTr="00C7313B">
            <w:trPr>
              <w:trHeight w:val="295"/>
            </w:trPr>
            <w:tc>
              <w:tcPr>
                <w:tcW w:w="2551" w:type="dxa"/>
                <w:shd w:val="clear" w:color="auto" w:fill="auto"/>
              </w:tcPr>
              <w:p w14:paraId="4BF2FF15" w14:textId="77777777" w:rsidR="00D92C64" w:rsidRDefault="0064791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807" w:type="dxa"/>
                <w:shd w:val="clear" w:color="auto" w:fill="auto"/>
              </w:tcPr>
              <w:p w14:paraId="4430A3D1" w14:textId="77777777" w:rsidR="00D92C64" w:rsidRDefault="00647915" w:rsidP="00C7313B">
                <w:pPr>
                  <w:tabs>
                    <w:tab w:val="right" w:pos="8838"/>
                  </w:tabs>
                  <w:ind w:left="-108" w:right="17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190964F1" w14:textId="77777777" w:rsidR="00D92C64" w:rsidRDefault="00D92C64" w:rsidP="00C7313B">
                <w:pPr>
                  <w:tabs>
                    <w:tab w:val="right" w:pos="8838"/>
                  </w:tabs>
                  <w:ind w:left="-108" w:right="171"/>
                  <w:rPr>
                    <w:rFonts w:ascii="Palatino Linotype" w:eastAsia="Palatino Linotype" w:hAnsi="Palatino Linotype" w:cs="Palatino Linotype"/>
                    <w:b/>
                    <w:sz w:val="22"/>
                    <w:szCs w:val="22"/>
                  </w:rPr>
                </w:pPr>
              </w:p>
            </w:tc>
          </w:tr>
        </w:tbl>
        <w:p w14:paraId="6E53CB97" w14:textId="77777777" w:rsidR="00D92C64" w:rsidRDefault="00D92C64">
          <w:pPr>
            <w:tabs>
              <w:tab w:val="right" w:pos="8838"/>
            </w:tabs>
            <w:ind w:left="-28"/>
            <w:jc w:val="both"/>
            <w:rPr>
              <w:rFonts w:ascii="Arial" w:eastAsia="Arial" w:hAnsi="Arial" w:cs="Arial"/>
              <w:b/>
              <w:sz w:val="22"/>
              <w:szCs w:val="22"/>
            </w:rPr>
          </w:pPr>
        </w:p>
      </w:tc>
    </w:tr>
  </w:tbl>
  <w:p w14:paraId="3273327E" w14:textId="77777777" w:rsidR="00D92C64" w:rsidRDefault="004E1578">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507DE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68.8pt;margin-top:-120.5pt;width:589.8pt;height:768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4"/>
      <w:tblW w:w="9072" w:type="dxa"/>
      <w:tblInd w:w="0" w:type="dxa"/>
      <w:tblLayout w:type="fixed"/>
      <w:tblLook w:val="0400" w:firstRow="0" w:lastRow="0" w:firstColumn="0" w:lastColumn="0" w:noHBand="0" w:noVBand="1"/>
    </w:tblPr>
    <w:tblGrid>
      <w:gridCol w:w="2268"/>
      <w:gridCol w:w="6804"/>
    </w:tblGrid>
    <w:tr w:rsidR="00D92C64" w14:paraId="6C7BAA9B" w14:textId="77777777">
      <w:trPr>
        <w:trHeight w:val="1435"/>
      </w:trPr>
      <w:tc>
        <w:tcPr>
          <w:tcW w:w="2268" w:type="dxa"/>
          <w:shd w:val="clear" w:color="auto" w:fill="auto"/>
        </w:tcPr>
        <w:p w14:paraId="48105B12" w14:textId="77777777" w:rsidR="00D92C64" w:rsidRDefault="00C7313B">
          <w:pPr>
            <w:tabs>
              <w:tab w:val="right" w:pos="4273"/>
            </w:tabs>
            <w:rPr>
              <w:rFonts w:ascii="Garamond" w:eastAsia="Garamond" w:hAnsi="Garamond" w:cs="Garamond"/>
              <w:sz w:val="22"/>
              <w:szCs w:val="22"/>
            </w:rPr>
          </w:pPr>
          <w:r>
            <w:rPr>
              <w:color w:val="000000"/>
            </w:rPr>
            <w:tab/>
          </w:r>
        </w:p>
      </w:tc>
      <w:tc>
        <w:tcPr>
          <w:tcW w:w="6804" w:type="dxa"/>
          <w:shd w:val="clear" w:color="auto" w:fill="auto"/>
        </w:tcPr>
        <w:tbl>
          <w:tblPr>
            <w:tblStyle w:val="a5"/>
            <w:tblW w:w="7655" w:type="dxa"/>
            <w:tblInd w:w="27" w:type="dxa"/>
            <w:tblLayout w:type="fixed"/>
            <w:tblLook w:val="0400" w:firstRow="0" w:lastRow="0" w:firstColumn="0" w:lastColumn="0" w:noHBand="0" w:noVBand="1"/>
          </w:tblPr>
          <w:tblGrid>
            <w:gridCol w:w="2444"/>
            <w:gridCol w:w="5211"/>
          </w:tblGrid>
          <w:tr w:rsidR="00D92C64" w14:paraId="27E00D0C" w14:textId="77777777" w:rsidTr="00C7313B">
            <w:trPr>
              <w:trHeight w:val="144"/>
            </w:trPr>
            <w:tc>
              <w:tcPr>
                <w:tcW w:w="2444" w:type="dxa"/>
                <w:shd w:val="clear" w:color="auto" w:fill="auto"/>
              </w:tcPr>
              <w:p w14:paraId="3682AE90" w14:textId="77777777" w:rsidR="00D92C64" w:rsidRDefault="00647915">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5211" w:type="dxa"/>
                <w:shd w:val="clear" w:color="auto" w:fill="auto"/>
              </w:tcPr>
              <w:p w14:paraId="4E6F88CD" w14:textId="77777777" w:rsidR="00D92C64" w:rsidRDefault="00647915" w:rsidP="00C7313B">
                <w:pPr>
                  <w:tabs>
                    <w:tab w:val="right" w:pos="8838"/>
                  </w:tabs>
                  <w:ind w:lef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07563/INFOEM/IP/RR/2023 y Acumulado</w:t>
                </w:r>
              </w:p>
            </w:tc>
          </w:tr>
          <w:tr w:rsidR="00D92C64" w14:paraId="6191F1DA" w14:textId="77777777" w:rsidTr="00C7313B">
            <w:trPr>
              <w:trHeight w:val="144"/>
            </w:trPr>
            <w:tc>
              <w:tcPr>
                <w:tcW w:w="2444" w:type="dxa"/>
                <w:shd w:val="clear" w:color="auto" w:fill="auto"/>
              </w:tcPr>
              <w:p w14:paraId="59614067" w14:textId="77777777" w:rsidR="00D92C64" w:rsidRDefault="0064791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5211" w:type="dxa"/>
                <w:shd w:val="clear" w:color="auto" w:fill="auto"/>
              </w:tcPr>
              <w:p w14:paraId="02F08E5B" w14:textId="77777777" w:rsidR="00D92C64" w:rsidRDefault="00D92C64">
                <w:pPr>
                  <w:tabs>
                    <w:tab w:val="left" w:pos="3122"/>
                    <w:tab w:val="right" w:pos="8838"/>
                  </w:tabs>
                  <w:ind w:left="-74" w:right="-105"/>
                  <w:jc w:val="both"/>
                  <w:rPr>
                    <w:rFonts w:ascii="Palatino Linotype" w:eastAsia="Palatino Linotype" w:hAnsi="Palatino Linotype" w:cs="Palatino Linotype"/>
                    <w:sz w:val="22"/>
                    <w:szCs w:val="22"/>
                  </w:rPr>
                </w:pPr>
              </w:p>
            </w:tc>
          </w:tr>
          <w:tr w:rsidR="00D92C64" w14:paraId="0D5998F9" w14:textId="77777777" w:rsidTr="00C7313B">
            <w:trPr>
              <w:trHeight w:val="283"/>
            </w:trPr>
            <w:tc>
              <w:tcPr>
                <w:tcW w:w="2444" w:type="dxa"/>
                <w:shd w:val="clear" w:color="auto" w:fill="auto"/>
              </w:tcPr>
              <w:p w14:paraId="36F82C43" w14:textId="77777777" w:rsidR="00D92C64" w:rsidRDefault="0064791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5211" w:type="dxa"/>
                <w:shd w:val="clear" w:color="auto" w:fill="auto"/>
              </w:tcPr>
              <w:p w14:paraId="69C6DEAE" w14:textId="77777777" w:rsidR="00D92C64" w:rsidRDefault="00647915">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Atizapán</w:t>
                </w:r>
              </w:p>
            </w:tc>
          </w:tr>
          <w:tr w:rsidR="00D92C64" w14:paraId="3C620D8A" w14:textId="77777777" w:rsidTr="00C7313B">
            <w:trPr>
              <w:trHeight w:val="283"/>
            </w:trPr>
            <w:tc>
              <w:tcPr>
                <w:tcW w:w="2444" w:type="dxa"/>
                <w:shd w:val="clear" w:color="auto" w:fill="auto"/>
              </w:tcPr>
              <w:p w14:paraId="414E412E" w14:textId="77777777" w:rsidR="00D92C64" w:rsidRDefault="0064791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5211" w:type="dxa"/>
                <w:shd w:val="clear" w:color="auto" w:fill="auto"/>
              </w:tcPr>
              <w:p w14:paraId="72274871" w14:textId="77777777" w:rsidR="00D92C64" w:rsidRDefault="00647915">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681302DF" w14:textId="77777777" w:rsidR="00D92C64" w:rsidRDefault="00D92C64">
                <w:pPr>
                  <w:tabs>
                    <w:tab w:val="right" w:pos="8838"/>
                  </w:tabs>
                  <w:ind w:left="-74" w:right="-105"/>
                  <w:jc w:val="both"/>
                  <w:rPr>
                    <w:rFonts w:ascii="Palatino Linotype" w:eastAsia="Palatino Linotype" w:hAnsi="Palatino Linotype" w:cs="Palatino Linotype"/>
                    <w:b/>
                    <w:sz w:val="22"/>
                    <w:szCs w:val="22"/>
                  </w:rPr>
                </w:pPr>
              </w:p>
            </w:tc>
          </w:tr>
        </w:tbl>
        <w:p w14:paraId="18AE2986" w14:textId="77777777" w:rsidR="00D92C64" w:rsidRDefault="00D92C64">
          <w:pPr>
            <w:tabs>
              <w:tab w:val="right" w:pos="8838"/>
            </w:tabs>
            <w:ind w:left="-28"/>
            <w:jc w:val="both"/>
            <w:rPr>
              <w:rFonts w:ascii="Arial" w:eastAsia="Arial" w:hAnsi="Arial" w:cs="Arial"/>
              <w:b/>
              <w:sz w:val="22"/>
              <w:szCs w:val="22"/>
            </w:rPr>
          </w:pPr>
        </w:p>
      </w:tc>
    </w:tr>
  </w:tbl>
  <w:p w14:paraId="5F4CED99" w14:textId="77777777" w:rsidR="00D92C64" w:rsidRDefault="004E1578">
    <w:pPr>
      <w:pBdr>
        <w:top w:val="nil"/>
        <w:left w:val="nil"/>
        <w:bottom w:val="nil"/>
        <w:right w:val="nil"/>
        <w:between w:val="nil"/>
      </w:pBdr>
      <w:tabs>
        <w:tab w:val="center" w:pos="4419"/>
        <w:tab w:val="right" w:pos="8838"/>
      </w:tabs>
      <w:rPr>
        <w:color w:val="000000"/>
        <w:sz w:val="2"/>
        <w:szCs w:val="2"/>
      </w:rPr>
    </w:pPr>
    <w:r>
      <w:rPr>
        <w:color w:val="000000"/>
        <w:sz w:val="2"/>
        <w:szCs w:val="2"/>
      </w:rPr>
      <w:pict w14:anchorId="08D87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68.8pt;margin-top:-117.6pt;width:589.8pt;height:768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1DA1835"/>
    <w:multiLevelType w:val="multilevel"/>
    <w:tmpl w:val="CAF01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D87B63"/>
    <w:multiLevelType w:val="hybridMultilevel"/>
    <w:tmpl w:val="C568B1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FE684A"/>
    <w:multiLevelType w:val="hybridMultilevel"/>
    <w:tmpl w:val="334C67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01342E"/>
    <w:multiLevelType w:val="hybridMultilevel"/>
    <w:tmpl w:val="0172E2FA"/>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5" w15:restartNumberingAfterBreak="0">
    <w:nsid w:val="3EC837DB"/>
    <w:multiLevelType w:val="hybridMultilevel"/>
    <w:tmpl w:val="CE6C8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545093"/>
    <w:multiLevelType w:val="multilevel"/>
    <w:tmpl w:val="B81EDBEA"/>
    <w:lvl w:ilvl="0">
      <w:start w:val="1"/>
      <w:numFmt w:val="upperLetter"/>
      <w:lvlText w:val="%1."/>
      <w:lvlJc w:val="left"/>
      <w:pPr>
        <w:ind w:left="720" w:hanging="360"/>
      </w:pPr>
      <w:rPr>
        <w:rFonts w:ascii="Palatino Linotype" w:eastAsia="Palatino Linotype" w:hAnsi="Palatino Linotype" w:cs="Palatino Linotype"/>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C70728"/>
    <w:multiLevelType w:val="hybridMultilevel"/>
    <w:tmpl w:val="78722B84"/>
    <w:lvl w:ilvl="0" w:tplc="080A0003">
      <w:start w:val="1"/>
      <w:numFmt w:val="bullet"/>
      <w:lvlText w:val="o"/>
      <w:lvlJc w:val="left"/>
      <w:pPr>
        <w:ind w:left="1724" w:hanging="360"/>
      </w:pPr>
      <w:rPr>
        <w:rFonts w:ascii="Courier New" w:hAnsi="Courier New" w:cs="Courier New"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8" w15:restartNumberingAfterBreak="0">
    <w:nsid w:val="54F34575"/>
    <w:multiLevelType w:val="hybridMultilevel"/>
    <w:tmpl w:val="A87C38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52A7529"/>
    <w:multiLevelType w:val="multilevel"/>
    <w:tmpl w:val="DB864260"/>
    <w:lvl w:ilvl="0">
      <w:start w:val="1"/>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5F963B2A"/>
    <w:multiLevelType w:val="multilevel"/>
    <w:tmpl w:val="0486FF8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602112C2"/>
    <w:multiLevelType w:val="multilevel"/>
    <w:tmpl w:val="89841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C5D6A5B"/>
    <w:multiLevelType w:val="hybridMultilevel"/>
    <w:tmpl w:val="39443E5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6E59146A"/>
    <w:multiLevelType w:val="multilevel"/>
    <w:tmpl w:val="AD982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16D2B55"/>
    <w:multiLevelType w:val="multilevel"/>
    <w:tmpl w:val="12CA2398"/>
    <w:lvl w:ilvl="0">
      <w:start w:val="1"/>
      <w:numFmt w:val="decimal"/>
      <w:lvlText w:val="%1."/>
      <w:lvlJc w:val="left"/>
      <w:pPr>
        <w:ind w:left="2204"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CA444E"/>
    <w:multiLevelType w:val="hybridMultilevel"/>
    <w:tmpl w:val="39F619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52600334">
    <w:abstractNumId w:val="10"/>
  </w:num>
  <w:num w:numId="2" w16cid:durableId="1570651103">
    <w:abstractNumId w:val="13"/>
  </w:num>
  <w:num w:numId="3" w16cid:durableId="1423839561">
    <w:abstractNumId w:val="6"/>
  </w:num>
  <w:num w:numId="4" w16cid:durableId="1756320278">
    <w:abstractNumId w:val="1"/>
  </w:num>
  <w:num w:numId="5" w16cid:durableId="1809474698">
    <w:abstractNumId w:val="9"/>
  </w:num>
  <w:num w:numId="6" w16cid:durableId="600769234">
    <w:abstractNumId w:val="14"/>
  </w:num>
  <w:num w:numId="7" w16cid:durableId="1706902940">
    <w:abstractNumId w:val="11"/>
  </w:num>
  <w:num w:numId="8" w16cid:durableId="1076174273">
    <w:abstractNumId w:val="5"/>
  </w:num>
  <w:num w:numId="9" w16cid:durableId="982075167">
    <w:abstractNumId w:val="0"/>
  </w:num>
  <w:num w:numId="10" w16cid:durableId="499001962">
    <w:abstractNumId w:val="12"/>
  </w:num>
  <w:num w:numId="11" w16cid:durableId="114370466">
    <w:abstractNumId w:val="4"/>
  </w:num>
  <w:num w:numId="12" w16cid:durableId="781806758">
    <w:abstractNumId w:val="2"/>
  </w:num>
  <w:num w:numId="13" w16cid:durableId="594359093">
    <w:abstractNumId w:val="8"/>
  </w:num>
  <w:num w:numId="14" w16cid:durableId="1625845520">
    <w:abstractNumId w:val="3"/>
  </w:num>
  <w:num w:numId="15" w16cid:durableId="1210141683">
    <w:abstractNumId w:val="15"/>
  </w:num>
  <w:num w:numId="16" w16cid:durableId="2348263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C64"/>
    <w:rsid w:val="000C4DA0"/>
    <w:rsid w:val="00236CAB"/>
    <w:rsid w:val="00486215"/>
    <w:rsid w:val="004E1578"/>
    <w:rsid w:val="00600E17"/>
    <w:rsid w:val="00647915"/>
    <w:rsid w:val="00872403"/>
    <w:rsid w:val="009602CB"/>
    <w:rsid w:val="00B345AA"/>
    <w:rsid w:val="00BC7795"/>
    <w:rsid w:val="00C7313B"/>
    <w:rsid w:val="00D92C64"/>
    <w:rsid w:val="00E02C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B6F3D"/>
  <w15:docId w15:val="{1EF79960-A1C3-4499-91AF-D15232D6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369"/>
  </w:style>
  <w:style w:type="paragraph" w:styleId="Ttulo1">
    <w:name w:val="heading 1"/>
    <w:basedOn w:val="Normal"/>
    <w:next w:val="Normal"/>
    <w:link w:val="Ttulo1Car"/>
    <w:uiPriority w:val="9"/>
    <w:qFormat/>
    <w:rsid w:val="006453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453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645369"/>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645369"/>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645369"/>
    <w:pPr>
      <w:tabs>
        <w:tab w:val="center" w:pos="4419"/>
        <w:tab w:val="right" w:pos="8838"/>
      </w:tabs>
    </w:pPr>
  </w:style>
  <w:style w:type="character" w:customStyle="1" w:styleId="EncabezadoCar">
    <w:name w:val="Encabezado Car"/>
    <w:basedOn w:val="Fuentedeprrafopredeter"/>
    <w:link w:val="Encabezado"/>
    <w:uiPriority w:val="99"/>
    <w:rsid w:val="00645369"/>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645369"/>
    <w:pPr>
      <w:tabs>
        <w:tab w:val="center" w:pos="4419"/>
        <w:tab w:val="right" w:pos="8838"/>
      </w:tabs>
    </w:pPr>
  </w:style>
  <w:style w:type="character" w:customStyle="1" w:styleId="PiedepginaCar">
    <w:name w:val="Pie de página Car"/>
    <w:basedOn w:val="Fuentedeprrafopredeter"/>
    <w:link w:val="Piedepgina"/>
    <w:uiPriority w:val="99"/>
    <w:rsid w:val="00645369"/>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45369"/>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645369"/>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645369"/>
    <w:rPr>
      <w:color w:val="0563C1"/>
      <w:u w:val="single"/>
    </w:rPr>
  </w:style>
  <w:style w:type="paragraph" w:styleId="Sinespaciado">
    <w:name w:val="No Spacing"/>
    <w:aliases w:val="Francesa"/>
    <w:link w:val="SinespaciadoCar"/>
    <w:uiPriority w:val="1"/>
    <w:qFormat/>
    <w:rsid w:val="00645369"/>
    <w:rPr>
      <w:rFonts w:eastAsiaTheme="minorEastAsia"/>
      <w:lang w:val="es-ES_tradnl" w:eastAsia="es-ES"/>
    </w:rPr>
  </w:style>
  <w:style w:type="character" w:customStyle="1" w:styleId="SinespaciadoCar">
    <w:name w:val="Sin espaciado Car"/>
    <w:aliases w:val="Francesa Car"/>
    <w:link w:val="Sinespaciado"/>
    <w:uiPriority w:val="1"/>
    <w:locked/>
    <w:rsid w:val="00645369"/>
    <w:rPr>
      <w:rFonts w:eastAsiaTheme="minorEastAsia"/>
      <w:sz w:val="24"/>
      <w:szCs w:val="24"/>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B67A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6B67A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B67A1"/>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6B67A1"/>
    <w:rPr>
      <w:rFonts w:ascii="Times New Roman" w:eastAsia="Times New Roman" w:hAnsi="Times New Roman" w:cs="Times New Roman"/>
      <w:sz w:val="20"/>
      <w:szCs w:val="20"/>
      <w:lang w:eastAsia="es-MX"/>
    </w:rPr>
  </w:style>
  <w:style w:type="table" w:styleId="Tablaconcuadrcula6concolores">
    <w:name w:val="Grid Table 6 Colorful"/>
    <w:basedOn w:val="Tablanormal"/>
    <w:uiPriority w:val="51"/>
    <w:rsid w:val="008F57F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rPr>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Referenciasutil">
    <w:name w:val="Subtle Reference"/>
    <w:basedOn w:val="Fuentedeprrafopredeter"/>
    <w:uiPriority w:val="31"/>
    <w:qFormat/>
    <w:rsid w:val="00486215"/>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35487.page" TargetMode="External"/><Relationship Id="rId13" Type="http://schemas.openxmlformats.org/officeDocument/2006/relationships/hyperlink" Target="https://saimex.org.mx/saimex/revision/acuse/557810/0/0.page"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aimex.org.mx/saimex/solicitud/downloadAttach/1934419.page" TargetMode="External"/><Relationship Id="rId17" Type="http://schemas.openxmlformats.org/officeDocument/2006/relationships/hyperlink" Target="http://dof.gob.mx/nota_detalle.php?codigo=5492254&amp;fecha=28/07/201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b.mx/segob/renapo/acciones-y-programas/clave-unica-de-registro-de-poblacion-curp-14222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934418.pag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nsultas.curp.gob.mx/CurpSP/html/informacionecurpPS.html" TargetMode="External"/><Relationship Id="rId23" Type="http://schemas.openxmlformats.org/officeDocument/2006/relationships/footer" Target="footer2.xml"/><Relationship Id="rId10" Type="http://schemas.openxmlformats.org/officeDocument/2006/relationships/hyperlink" Target="https://saimex.org.mx/saimex/solicitud/downloadAttach/1934417.pag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1934416.page" TargetMode="External"/><Relationship Id="rId14" Type="http://schemas.openxmlformats.org/officeDocument/2006/relationships/hyperlink" Target="https://saimex.org.mx/saimex/revision/acuse/557810/0/0.page"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o7YXoQ6LeQ8YOg0xJfAtXdYGw==">CgMxLjAyCGguZ2pkZ3hzMgloLjMwajB6bGwyCWguMWZvYjl0ZTIJaC4zem55c2g3MgloLjJldDkycDAyCGgudHlqY3d0MgloLjNkeTZ2a20yCWguMXQzaDVzZjIJaC40ZDM0b2c4MgloLjJzOGV5bzEyCWguMTdkcDh2dTIJaC4zcmRjcmpuMgloLjI2aW4xcmcyCGgubG54Yno5OAByITFSNmNUWDBxXy03UjJqTXFmek1vdm1sZnhGMWVkeXVnSg==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42</Pages>
  <Words>9712</Words>
  <Characters>53420</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inf03m612@outlook.com</cp:lastModifiedBy>
  <cp:revision>4</cp:revision>
  <dcterms:created xsi:type="dcterms:W3CDTF">2024-03-20T16:37:00Z</dcterms:created>
  <dcterms:modified xsi:type="dcterms:W3CDTF">2024-05-16T16:59:00Z</dcterms:modified>
</cp:coreProperties>
</file>