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58C3E" w14:textId="77777777" w:rsidR="00586F2F" w:rsidRPr="00937642" w:rsidRDefault="00586F2F" w:rsidP="0006366B">
      <w:pPr>
        <w:widowControl w:val="0"/>
        <w:pBdr>
          <w:top w:val="nil"/>
          <w:left w:val="nil"/>
          <w:bottom w:val="nil"/>
          <w:right w:val="nil"/>
          <w:between w:val="nil"/>
        </w:pBdr>
        <w:spacing w:line="276" w:lineRule="auto"/>
        <w:ind w:left="720" w:hanging="720"/>
        <w:rPr>
          <w:rFonts w:ascii="Palatino Linotype" w:hAnsi="Palatino Linotype"/>
        </w:rPr>
      </w:pPr>
    </w:p>
    <w:p w14:paraId="18D20755" w14:textId="11B285ED" w:rsidR="00586F2F" w:rsidRPr="0006366B" w:rsidRDefault="00DA7C20" w:rsidP="00937642">
      <w:pPr>
        <w:spacing w:line="360" w:lineRule="auto"/>
        <w:jc w:val="both"/>
        <w:rPr>
          <w:rFonts w:ascii="Palatino Linotype" w:eastAsia="Palatino Linotype" w:hAnsi="Palatino Linotype" w:cs="Palatino Linotype"/>
          <w:b/>
          <w:bCs/>
        </w:rPr>
      </w:pPr>
      <w:r w:rsidRPr="0093764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06366B">
        <w:rPr>
          <w:rFonts w:ascii="Palatino Linotype" w:eastAsia="Palatino Linotype" w:hAnsi="Palatino Linotype" w:cs="Palatino Linotype"/>
          <w:b/>
          <w:bCs/>
        </w:rPr>
        <w:t xml:space="preserve">el </w:t>
      </w:r>
      <w:r w:rsidR="007008E8" w:rsidRPr="0006366B">
        <w:rPr>
          <w:rFonts w:ascii="Palatino Linotype" w:eastAsia="Palatino Linotype" w:hAnsi="Palatino Linotype" w:cs="Palatino Linotype"/>
          <w:b/>
          <w:bCs/>
        </w:rPr>
        <w:t>trece</w:t>
      </w:r>
      <w:r w:rsidR="00DA56C7" w:rsidRPr="0006366B">
        <w:rPr>
          <w:rFonts w:ascii="Palatino Linotype" w:eastAsia="Palatino Linotype" w:hAnsi="Palatino Linotype" w:cs="Palatino Linotype"/>
          <w:b/>
          <w:bCs/>
        </w:rPr>
        <w:t xml:space="preserve"> </w:t>
      </w:r>
      <w:r w:rsidRPr="0006366B">
        <w:rPr>
          <w:rFonts w:ascii="Palatino Linotype" w:eastAsia="Palatino Linotype" w:hAnsi="Palatino Linotype" w:cs="Palatino Linotype"/>
          <w:b/>
          <w:bCs/>
        </w:rPr>
        <w:t xml:space="preserve">de </w:t>
      </w:r>
      <w:r w:rsidR="007008E8" w:rsidRPr="0006366B">
        <w:rPr>
          <w:rFonts w:ascii="Palatino Linotype" w:eastAsia="Palatino Linotype" w:hAnsi="Palatino Linotype" w:cs="Palatino Linotype"/>
          <w:b/>
          <w:bCs/>
        </w:rPr>
        <w:t>marzo</w:t>
      </w:r>
      <w:r w:rsidRPr="0006366B">
        <w:rPr>
          <w:rFonts w:ascii="Palatino Linotype" w:eastAsia="Palatino Linotype" w:hAnsi="Palatino Linotype" w:cs="Palatino Linotype"/>
          <w:b/>
          <w:bCs/>
        </w:rPr>
        <w:t xml:space="preserve"> de dos mil veinticuatro.</w:t>
      </w:r>
    </w:p>
    <w:p w14:paraId="4C70156E" w14:textId="77777777" w:rsidR="00586F2F" w:rsidRPr="0006366B" w:rsidRDefault="00586F2F" w:rsidP="00937642">
      <w:pPr>
        <w:spacing w:line="360" w:lineRule="auto"/>
        <w:jc w:val="both"/>
        <w:rPr>
          <w:rFonts w:ascii="Palatino Linotype" w:eastAsia="Palatino Linotype" w:hAnsi="Palatino Linotype" w:cs="Palatino Linotype"/>
          <w:b/>
          <w:bCs/>
        </w:rPr>
      </w:pPr>
    </w:p>
    <w:p w14:paraId="02F2F6BB" w14:textId="5EAE974C" w:rsidR="00586F2F" w:rsidRPr="00937642" w:rsidRDefault="00DA7C20" w:rsidP="00937642">
      <w:pP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VISTO</w:t>
      </w:r>
      <w:r w:rsidRPr="00937642">
        <w:rPr>
          <w:rFonts w:ascii="Palatino Linotype" w:eastAsia="Palatino Linotype" w:hAnsi="Palatino Linotype" w:cs="Palatino Linotype"/>
        </w:rPr>
        <w:t xml:space="preserve"> el expediente formado con motivo del Recurso Revisión </w:t>
      </w:r>
      <w:r w:rsidR="007008E8" w:rsidRPr="00937642">
        <w:rPr>
          <w:rFonts w:ascii="Palatino Linotype" w:eastAsia="Palatino Linotype" w:hAnsi="Palatino Linotype" w:cs="Palatino Linotype"/>
          <w:b/>
        </w:rPr>
        <w:t>00202</w:t>
      </w:r>
      <w:r w:rsidR="00C451D4" w:rsidRPr="00937642">
        <w:rPr>
          <w:rFonts w:ascii="Palatino Linotype" w:eastAsia="Palatino Linotype" w:hAnsi="Palatino Linotype" w:cs="Palatino Linotype"/>
          <w:b/>
        </w:rPr>
        <w:t>/INFOEM/IP/RR/2024</w:t>
      </w:r>
      <w:r w:rsidRPr="00937642">
        <w:rPr>
          <w:rFonts w:ascii="Palatino Linotype" w:eastAsia="Palatino Linotype" w:hAnsi="Palatino Linotype" w:cs="Palatino Linotype"/>
        </w:rPr>
        <w:t xml:space="preserve">, promovido por </w:t>
      </w:r>
      <w:bookmarkStart w:id="0" w:name="_GoBack"/>
      <w:r w:rsidR="00CC5EB2">
        <w:rPr>
          <w:rFonts w:ascii="Palatino Linotype" w:eastAsia="Palatino Linotype" w:hAnsi="Palatino Linotype" w:cs="Palatino Linotype"/>
          <w:b/>
        </w:rPr>
        <w:t>XXXXXXX</w:t>
      </w:r>
      <w:bookmarkEnd w:id="0"/>
      <w:r w:rsidRPr="00937642">
        <w:rPr>
          <w:rFonts w:ascii="Palatino Linotype" w:eastAsia="Palatino Linotype" w:hAnsi="Palatino Linotype" w:cs="Palatino Linotype"/>
        </w:rPr>
        <w:t>,</w:t>
      </w:r>
      <w:r w:rsidRPr="00937642">
        <w:rPr>
          <w:rFonts w:ascii="Palatino Linotype" w:eastAsia="Palatino Linotype" w:hAnsi="Palatino Linotype" w:cs="Palatino Linotype"/>
          <w:b/>
        </w:rPr>
        <w:t xml:space="preserve"> </w:t>
      </w:r>
      <w:r w:rsidRPr="00937642">
        <w:rPr>
          <w:rFonts w:ascii="Palatino Linotype" w:eastAsia="Palatino Linotype" w:hAnsi="Palatino Linotype" w:cs="Palatino Linotype"/>
        </w:rPr>
        <w:t>a quien</w:t>
      </w:r>
      <w:r w:rsidRPr="00937642">
        <w:rPr>
          <w:rFonts w:ascii="Palatino Linotype" w:eastAsia="Palatino Linotype" w:hAnsi="Palatino Linotype" w:cs="Palatino Linotype"/>
          <w:b/>
        </w:rPr>
        <w:t xml:space="preserve"> </w:t>
      </w:r>
      <w:r w:rsidRPr="00937642">
        <w:rPr>
          <w:rFonts w:ascii="Palatino Linotype" w:eastAsia="Palatino Linotype" w:hAnsi="Palatino Linotype" w:cs="Palatino Linotype"/>
        </w:rPr>
        <w:t xml:space="preserve">en lo sucesivo se le denominará </w:t>
      </w:r>
      <w:r w:rsidRPr="00937642">
        <w:rPr>
          <w:rFonts w:ascii="Palatino Linotype" w:eastAsia="Palatino Linotype" w:hAnsi="Palatino Linotype" w:cs="Palatino Linotype"/>
          <w:b/>
        </w:rPr>
        <w:t>EL RECURRENTE</w:t>
      </w:r>
      <w:r w:rsidRPr="00937642">
        <w:rPr>
          <w:rFonts w:ascii="Palatino Linotype" w:eastAsia="Palatino Linotype" w:hAnsi="Palatino Linotype" w:cs="Palatino Linotype"/>
        </w:rPr>
        <w:t>, en contra de la respuesta de</w:t>
      </w:r>
      <w:r w:rsidR="007008E8" w:rsidRPr="00937642">
        <w:rPr>
          <w:rFonts w:ascii="Palatino Linotype" w:eastAsia="Palatino Linotype" w:hAnsi="Palatino Linotype" w:cs="Palatino Linotype"/>
        </w:rPr>
        <w:t xml:space="preserve"> </w:t>
      </w:r>
      <w:r w:rsidRPr="00937642">
        <w:rPr>
          <w:rFonts w:ascii="Palatino Linotype" w:eastAsia="Palatino Linotype" w:hAnsi="Palatino Linotype" w:cs="Palatino Linotype"/>
        </w:rPr>
        <w:t>l</w:t>
      </w:r>
      <w:r w:rsidR="007008E8" w:rsidRPr="00937642">
        <w:rPr>
          <w:rFonts w:ascii="Palatino Linotype" w:eastAsia="Palatino Linotype" w:hAnsi="Palatino Linotype" w:cs="Palatino Linotype"/>
        </w:rPr>
        <w:t>a</w:t>
      </w:r>
      <w:r w:rsidRPr="00937642">
        <w:rPr>
          <w:rFonts w:ascii="Palatino Linotype" w:eastAsia="Palatino Linotype" w:hAnsi="Palatino Linotype" w:cs="Palatino Linotype"/>
        </w:rPr>
        <w:t xml:space="preserve"> </w:t>
      </w:r>
      <w:r w:rsidR="007008E8" w:rsidRPr="00937642">
        <w:rPr>
          <w:rFonts w:ascii="Palatino Linotype" w:eastAsia="Palatino Linotype" w:hAnsi="Palatino Linotype" w:cs="Palatino Linotype"/>
          <w:b/>
        </w:rPr>
        <w:t>Fiscalía General de Justicia del Estado de México</w:t>
      </w:r>
      <w:r w:rsidRPr="00937642">
        <w:rPr>
          <w:rFonts w:ascii="Palatino Linotype" w:eastAsia="Palatino Linotype" w:hAnsi="Palatino Linotype" w:cs="Palatino Linotype"/>
          <w:b/>
        </w:rPr>
        <w:t xml:space="preserve">, </w:t>
      </w:r>
      <w:r w:rsidRPr="00937642">
        <w:rPr>
          <w:rFonts w:ascii="Palatino Linotype" w:eastAsia="Palatino Linotype" w:hAnsi="Palatino Linotype" w:cs="Palatino Linotype"/>
        </w:rPr>
        <w:t xml:space="preserve">que en lo subsecuente </w:t>
      </w:r>
      <w:r w:rsidRPr="00937642">
        <w:rPr>
          <w:rFonts w:ascii="Palatino Linotype" w:eastAsia="Palatino Linotype" w:hAnsi="Palatino Linotype" w:cs="Palatino Linotype"/>
          <w:b/>
        </w:rPr>
        <w:t>EL SUJETO OBLIGADO</w:t>
      </w:r>
      <w:r w:rsidRPr="00937642">
        <w:rPr>
          <w:rFonts w:ascii="Palatino Linotype" w:eastAsia="Palatino Linotype" w:hAnsi="Palatino Linotype" w:cs="Palatino Linotype"/>
        </w:rPr>
        <w:t>, se procede a dictar la presente resolución con base en lo siguiente:</w:t>
      </w:r>
    </w:p>
    <w:p w14:paraId="3DF00846" w14:textId="77777777" w:rsidR="00586F2F" w:rsidRPr="00937642" w:rsidRDefault="00586F2F" w:rsidP="00937642">
      <w:pPr>
        <w:spacing w:line="360" w:lineRule="auto"/>
        <w:jc w:val="center"/>
        <w:rPr>
          <w:rFonts w:ascii="Palatino Linotype" w:eastAsia="Palatino Linotype" w:hAnsi="Palatino Linotype" w:cs="Palatino Linotype"/>
        </w:rPr>
      </w:pPr>
    </w:p>
    <w:p w14:paraId="3C7A42F1" w14:textId="77777777" w:rsidR="00586F2F" w:rsidRPr="00937642" w:rsidRDefault="00DA7C20" w:rsidP="00937642">
      <w:pPr>
        <w:spacing w:line="360" w:lineRule="auto"/>
        <w:jc w:val="center"/>
        <w:rPr>
          <w:rFonts w:ascii="Palatino Linotype" w:eastAsia="Palatino Linotype" w:hAnsi="Palatino Linotype" w:cs="Palatino Linotype"/>
          <w:b/>
        </w:rPr>
      </w:pPr>
      <w:r w:rsidRPr="00937642">
        <w:rPr>
          <w:rFonts w:ascii="Palatino Linotype" w:eastAsia="Palatino Linotype" w:hAnsi="Palatino Linotype" w:cs="Palatino Linotype"/>
          <w:b/>
        </w:rPr>
        <w:t>ANTECEDENTES</w:t>
      </w:r>
    </w:p>
    <w:p w14:paraId="3966FC68" w14:textId="77777777" w:rsidR="00586F2F" w:rsidRPr="00937642" w:rsidRDefault="00586F2F" w:rsidP="00937642">
      <w:pPr>
        <w:spacing w:line="360" w:lineRule="auto"/>
        <w:jc w:val="center"/>
        <w:rPr>
          <w:rFonts w:ascii="Palatino Linotype" w:eastAsia="Palatino Linotype" w:hAnsi="Palatino Linotype" w:cs="Palatino Linotype"/>
          <w:b/>
        </w:rPr>
      </w:pPr>
    </w:p>
    <w:p w14:paraId="3EEDE7FD" w14:textId="77777777" w:rsidR="00586F2F" w:rsidRPr="00937642" w:rsidRDefault="00DA7C20" w:rsidP="00937642">
      <w:pP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I. De la Solicitud de Información</w:t>
      </w:r>
      <w:r w:rsidR="00D23228" w:rsidRPr="00937642">
        <w:rPr>
          <w:rFonts w:ascii="Palatino Linotype" w:eastAsia="Palatino Linotype" w:hAnsi="Palatino Linotype" w:cs="Palatino Linotype"/>
          <w:b/>
        </w:rPr>
        <w:t>.</w:t>
      </w:r>
    </w:p>
    <w:p w14:paraId="47E9B651" w14:textId="3DA0F199" w:rsidR="00586F2F" w:rsidRPr="00937642" w:rsidRDefault="00DA7C20" w:rsidP="00937642">
      <w:pP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rPr>
        <w:t xml:space="preserve">El </w:t>
      </w:r>
      <w:r w:rsidR="007008E8" w:rsidRPr="00937642">
        <w:rPr>
          <w:rFonts w:ascii="Palatino Linotype" w:eastAsia="Palatino Linotype" w:hAnsi="Palatino Linotype" w:cs="Palatino Linotype"/>
          <w:b/>
        </w:rPr>
        <w:t>seis</w:t>
      </w:r>
      <w:r w:rsidR="00DA56C7" w:rsidRPr="00937642">
        <w:rPr>
          <w:rFonts w:ascii="Palatino Linotype" w:eastAsia="Palatino Linotype" w:hAnsi="Palatino Linotype" w:cs="Palatino Linotype"/>
          <w:b/>
        </w:rPr>
        <w:t xml:space="preserve"> </w:t>
      </w:r>
      <w:r w:rsidRPr="00937642">
        <w:rPr>
          <w:rFonts w:ascii="Palatino Linotype" w:eastAsia="Palatino Linotype" w:hAnsi="Palatino Linotype" w:cs="Palatino Linotype"/>
          <w:b/>
        </w:rPr>
        <w:t xml:space="preserve">de </w:t>
      </w:r>
      <w:r w:rsidR="007008E8" w:rsidRPr="00937642">
        <w:rPr>
          <w:rFonts w:ascii="Palatino Linotype" w:eastAsia="Palatino Linotype" w:hAnsi="Palatino Linotype" w:cs="Palatino Linotype"/>
          <w:b/>
        </w:rPr>
        <w:t>diciembre</w:t>
      </w:r>
      <w:r w:rsidRPr="00937642">
        <w:rPr>
          <w:rFonts w:ascii="Palatino Linotype" w:eastAsia="Palatino Linotype" w:hAnsi="Palatino Linotype" w:cs="Palatino Linotype"/>
          <w:b/>
        </w:rPr>
        <w:t xml:space="preserve"> de dos mil </w:t>
      </w:r>
      <w:r w:rsidR="00DA56C7" w:rsidRPr="00937642">
        <w:rPr>
          <w:rFonts w:ascii="Palatino Linotype" w:eastAsia="Palatino Linotype" w:hAnsi="Palatino Linotype" w:cs="Palatino Linotype"/>
          <w:b/>
        </w:rPr>
        <w:t>veinti</w:t>
      </w:r>
      <w:r w:rsidR="00773A3D" w:rsidRPr="00937642">
        <w:rPr>
          <w:rFonts w:ascii="Palatino Linotype" w:eastAsia="Palatino Linotype" w:hAnsi="Palatino Linotype" w:cs="Palatino Linotype"/>
          <w:b/>
        </w:rPr>
        <w:t>trés</w:t>
      </w:r>
      <w:r w:rsidRPr="00937642">
        <w:rPr>
          <w:rFonts w:ascii="Palatino Linotype" w:eastAsia="Palatino Linotype" w:hAnsi="Palatino Linotype" w:cs="Palatino Linotype"/>
        </w:rPr>
        <w:t xml:space="preserve">, </w:t>
      </w:r>
      <w:r w:rsidRPr="00937642">
        <w:rPr>
          <w:rFonts w:ascii="Palatino Linotype" w:eastAsia="Palatino Linotype" w:hAnsi="Palatino Linotype" w:cs="Palatino Linotype"/>
          <w:b/>
        </w:rPr>
        <w:t>EL RECURRENTE</w:t>
      </w:r>
      <w:r w:rsidR="007008E8" w:rsidRPr="00937642">
        <w:rPr>
          <w:rFonts w:ascii="Palatino Linotype" w:eastAsia="Palatino Linotype" w:hAnsi="Palatino Linotype" w:cs="Palatino Linotype"/>
        </w:rPr>
        <w:t xml:space="preserve"> presentó a través de la P</w:t>
      </w:r>
      <w:r w:rsidRPr="00937642">
        <w:rPr>
          <w:rFonts w:ascii="Palatino Linotype" w:eastAsia="Palatino Linotype" w:hAnsi="Palatino Linotype" w:cs="Palatino Linotype"/>
        </w:rPr>
        <w:t xml:space="preserve">lataforma </w:t>
      </w:r>
      <w:r w:rsidR="007008E8" w:rsidRPr="00937642">
        <w:rPr>
          <w:rFonts w:ascii="Palatino Linotype" w:eastAsia="Palatino Linotype" w:hAnsi="Palatino Linotype" w:cs="Palatino Linotype"/>
        </w:rPr>
        <w:t>Nacional de Transparencia (PNT), vinculada al</w:t>
      </w:r>
      <w:r w:rsidRPr="00937642">
        <w:rPr>
          <w:rFonts w:ascii="Palatino Linotype" w:eastAsia="Palatino Linotype" w:hAnsi="Palatino Linotype" w:cs="Palatino Linotype"/>
        </w:rPr>
        <w:t xml:space="preserve"> Sistema de Acceso a la Información Mexiquense, en lo subsecuente </w:t>
      </w:r>
      <w:r w:rsidRPr="00937642">
        <w:rPr>
          <w:rFonts w:ascii="Palatino Linotype" w:eastAsia="Palatino Linotype" w:hAnsi="Palatino Linotype" w:cs="Palatino Linotype"/>
          <w:b/>
        </w:rPr>
        <w:t>EL SAIMEX,</w:t>
      </w:r>
      <w:r w:rsidRPr="00937642">
        <w:rPr>
          <w:rFonts w:ascii="Palatino Linotype" w:eastAsia="Palatino Linotype" w:hAnsi="Palatino Linotype" w:cs="Palatino Linotype"/>
        </w:rPr>
        <w:t xml:space="preserve"> ante </w:t>
      </w:r>
      <w:r w:rsidRPr="00937642">
        <w:rPr>
          <w:rFonts w:ascii="Palatino Linotype" w:eastAsia="Palatino Linotype" w:hAnsi="Palatino Linotype" w:cs="Palatino Linotype"/>
          <w:b/>
        </w:rPr>
        <w:t>EL SUJETO OBLIGADO</w:t>
      </w:r>
      <w:r w:rsidRPr="00937642">
        <w:rPr>
          <w:rFonts w:ascii="Palatino Linotype" w:eastAsia="Palatino Linotype" w:hAnsi="Palatino Linotype" w:cs="Palatino Linotype"/>
        </w:rPr>
        <w:t>, la solicitud de acceso a la Información Pública, a la que se le asignó el número de expediente</w:t>
      </w:r>
      <w:r w:rsidRPr="00937642">
        <w:rPr>
          <w:rFonts w:ascii="Palatino Linotype" w:eastAsia="Palatino Linotype" w:hAnsi="Palatino Linotype" w:cs="Palatino Linotype"/>
          <w:b/>
        </w:rPr>
        <w:t xml:space="preserve"> </w:t>
      </w:r>
      <w:r w:rsidR="007008E8" w:rsidRPr="00937642">
        <w:rPr>
          <w:rFonts w:ascii="Palatino Linotype" w:eastAsia="Palatino Linotype" w:hAnsi="Palatino Linotype" w:cs="Palatino Linotype"/>
          <w:b/>
        </w:rPr>
        <w:t>01266/FGJ/IP/2023</w:t>
      </w:r>
      <w:r w:rsidRPr="00937642">
        <w:rPr>
          <w:rFonts w:ascii="Palatino Linotype" w:eastAsia="Palatino Linotype" w:hAnsi="Palatino Linotype" w:cs="Palatino Linotype"/>
        </w:rPr>
        <w:t>, mediante la cual solicitó:</w:t>
      </w:r>
    </w:p>
    <w:p w14:paraId="6C04205C" w14:textId="77777777" w:rsidR="00586F2F" w:rsidRPr="00937642" w:rsidRDefault="00586F2F" w:rsidP="00937642">
      <w:pPr>
        <w:spacing w:line="360" w:lineRule="auto"/>
        <w:jc w:val="both"/>
        <w:rPr>
          <w:rFonts w:ascii="Palatino Linotype" w:eastAsia="Palatino Linotype" w:hAnsi="Palatino Linotype" w:cs="Palatino Linotype"/>
          <w:b/>
        </w:rPr>
      </w:pPr>
    </w:p>
    <w:p w14:paraId="755A4894" w14:textId="77777777" w:rsidR="00586F2F" w:rsidRPr="00937642" w:rsidRDefault="00DA7C20" w:rsidP="00937642">
      <w:pPr>
        <w:spacing w:line="276" w:lineRule="auto"/>
        <w:ind w:left="851" w:right="850"/>
        <w:jc w:val="both"/>
        <w:rPr>
          <w:rFonts w:ascii="Palatino Linotype" w:eastAsia="Palatino Linotype" w:hAnsi="Palatino Linotype" w:cs="Palatino Linotype"/>
          <w:i/>
        </w:rPr>
      </w:pPr>
      <w:r w:rsidRPr="00937642">
        <w:rPr>
          <w:rFonts w:ascii="Palatino Linotype" w:eastAsia="Palatino Linotype" w:hAnsi="Palatino Linotype" w:cs="Palatino Linotype"/>
          <w:i/>
        </w:rPr>
        <w:t>“</w:t>
      </w:r>
      <w:r w:rsidR="007008E8" w:rsidRPr="00937642">
        <w:rPr>
          <w:rFonts w:ascii="Palatino Linotype" w:eastAsia="Palatino Linotype" w:hAnsi="Palatino Linotype" w:cs="Palatino Linotype"/>
          <w:i/>
        </w:rPr>
        <w:t>Indicar si la funcionaria publica Roció Contreras López adscrita a la coordinación general de servicios periciales de la Fiscalía del Estado de México: 1. Cuenta, cubre o sustenta el perfil académico del puesto que desempeña en la Fiscalía General de Justicia del Estado de México.</w:t>
      </w:r>
      <w:r w:rsidRPr="00937642">
        <w:rPr>
          <w:rFonts w:ascii="Palatino Linotype" w:eastAsia="Palatino Linotype" w:hAnsi="Palatino Linotype" w:cs="Palatino Linotype"/>
          <w:i/>
        </w:rPr>
        <w:t xml:space="preserve">” </w:t>
      </w:r>
      <w:r w:rsidRPr="00937642">
        <w:rPr>
          <w:rFonts w:ascii="Palatino Linotype" w:eastAsia="Palatino Linotype" w:hAnsi="Palatino Linotype" w:cs="Palatino Linotype"/>
        </w:rPr>
        <w:t>(</w:t>
      </w:r>
      <w:r w:rsidR="00C3159B" w:rsidRPr="00937642">
        <w:rPr>
          <w:rFonts w:ascii="Palatino Linotype" w:eastAsia="Palatino Linotype" w:hAnsi="Palatino Linotype" w:cs="Palatino Linotype"/>
        </w:rPr>
        <w:t>Sic</w:t>
      </w:r>
      <w:r w:rsidRPr="00937642">
        <w:rPr>
          <w:rFonts w:ascii="Palatino Linotype" w:eastAsia="Palatino Linotype" w:hAnsi="Palatino Linotype" w:cs="Palatino Linotype"/>
        </w:rPr>
        <w:t>).</w:t>
      </w:r>
    </w:p>
    <w:p w14:paraId="239F49FB" w14:textId="77777777" w:rsidR="00586F2F" w:rsidRPr="00937642" w:rsidRDefault="00586F2F" w:rsidP="00937642">
      <w:pPr>
        <w:spacing w:line="360" w:lineRule="auto"/>
        <w:jc w:val="both"/>
        <w:rPr>
          <w:rFonts w:ascii="Palatino Linotype" w:eastAsia="Palatino Linotype" w:hAnsi="Palatino Linotype" w:cs="Palatino Linotype"/>
          <w:b/>
        </w:rPr>
      </w:pPr>
    </w:p>
    <w:p w14:paraId="30E5F189" w14:textId="77777777" w:rsidR="00586F2F" w:rsidRPr="00937642" w:rsidRDefault="00DA7C20" w:rsidP="00937642">
      <w:pPr>
        <w:widowControl w:val="0"/>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b/>
        </w:rPr>
        <w:lastRenderedPageBreak/>
        <w:t>MODALIDAD DE ENTREGA:</w:t>
      </w:r>
      <w:r w:rsidRPr="00937642">
        <w:rPr>
          <w:rFonts w:ascii="Palatino Linotype" w:eastAsia="Palatino Linotype" w:hAnsi="Palatino Linotype" w:cs="Palatino Linotype"/>
        </w:rPr>
        <w:t xml:space="preserve"> vía </w:t>
      </w:r>
      <w:r w:rsidRPr="00937642">
        <w:rPr>
          <w:rFonts w:ascii="Palatino Linotype" w:eastAsia="Palatino Linotype" w:hAnsi="Palatino Linotype" w:cs="Palatino Linotype"/>
          <w:b/>
        </w:rPr>
        <w:t>SAIMEX</w:t>
      </w:r>
      <w:r w:rsidRPr="00937642">
        <w:rPr>
          <w:rFonts w:ascii="Palatino Linotype" w:eastAsia="Palatino Linotype" w:hAnsi="Palatino Linotype" w:cs="Palatino Linotype"/>
        </w:rPr>
        <w:t>.</w:t>
      </w:r>
    </w:p>
    <w:p w14:paraId="006FD5F6" w14:textId="77777777" w:rsidR="00586F2F" w:rsidRPr="00937642" w:rsidRDefault="00586F2F" w:rsidP="00937642">
      <w:pPr>
        <w:widowControl w:val="0"/>
        <w:spacing w:line="360" w:lineRule="auto"/>
        <w:jc w:val="both"/>
        <w:rPr>
          <w:rFonts w:ascii="Palatino Linotype" w:eastAsia="Palatino Linotype" w:hAnsi="Palatino Linotype" w:cs="Palatino Linotype"/>
        </w:rPr>
      </w:pPr>
    </w:p>
    <w:p w14:paraId="5D6FF2E4" w14:textId="77777777" w:rsidR="00586F2F" w:rsidRPr="00937642" w:rsidRDefault="00DA7C20" w:rsidP="00937642">
      <w:pP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II. Turno de la solicitud de información</w:t>
      </w:r>
      <w:r w:rsidR="00D23228" w:rsidRPr="00937642">
        <w:rPr>
          <w:rFonts w:ascii="Palatino Linotype" w:eastAsia="Palatino Linotype" w:hAnsi="Palatino Linotype" w:cs="Palatino Linotype"/>
          <w:b/>
        </w:rPr>
        <w:t>.</w:t>
      </w:r>
    </w:p>
    <w:p w14:paraId="2AC5FB55"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007008E8" w:rsidRPr="00937642">
        <w:rPr>
          <w:rFonts w:ascii="Palatino Linotype" w:eastAsia="Palatino Linotype" w:hAnsi="Palatino Linotype" w:cs="Palatino Linotype"/>
          <w:b/>
        </w:rPr>
        <w:t>diecisiete</w:t>
      </w:r>
      <w:r w:rsidRPr="00937642">
        <w:rPr>
          <w:rFonts w:ascii="Palatino Linotype" w:eastAsia="Palatino Linotype" w:hAnsi="Palatino Linotype" w:cs="Palatino Linotype"/>
          <w:b/>
        </w:rPr>
        <w:t xml:space="preserve"> de </w:t>
      </w:r>
      <w:r w:rsidR="00DA56C7" w:rsidRPr="00937642">
        <w:rPr>
          <w:rFonts w:ascii="Palatino Linotype" w:eastAsia="Palatino Linotype" w:hAnsi="Palatino Linotype" w:cs="Palatino Linotype"/>
          <w:b/>
        </w:rPr>
        <w:t>enero</w:t>
      </w:r>
      <w:r w:rsidRPr="00937642">
        <w:rPr>
          <w:rFonts w:ascii="Palatino Linotype" w:eastAsia="Palatino Linotype" w:hAnsi="Palatino Linotype" w:cs="Palatino Linotype"/>
          <w:b/>
        </w:rPr>
        <w:t xml:space="preserve"> de dos mil </w:t>
      </w:r>
      <w:r w:rsidR="00DA56C7" w:rsidRPr="00937642">
        <w:rPr>
          <w:rFonts w:ascii="Palatino Linotype" w:eastAsia="Palatino Linotype" w:hAnsi="Palatino Linotype" w:cs="Palatino Linotype"/>
          <w:b/>
        </w:rPr>
        <w:t>veinticuatro</w:t>
      </w:r>
      <w:r w:rsidRPr="00937642">
        <w:rPr>
          <w:rFonts w:ascii="Palatino Linotype" w:eastAsia="Palatino Linotype" w:hAnsi="Palatino Linotype" w:cs="Palatino Linotype"/>
        </w:rPr>
        <w:t>, el Titular de la Unidad de Transparencia del Sujeto Obligado, turnó el requerimiento de información a</w:t>
      </w:r>
      <w:r w:rsidR="00C451D4" w:rsidRPr="00937642">
        <w:rPr>
          <w:rFonts w:ascii="Palatino Linotype" w:eastAsia="Palatino Linotype" w:hAnsi="Palatino Linotype" w:cs="Palatino Linotype"/>
        </w:rPr>
        <w:t xml:space="preserve"> </w:t>
      </w:r>
      <w:r w:rsidRPr="00937642">
        <w:rPr>
          <w:rFonts w:ascii="Palatino Linotype" w:eastAsia="Palatino Linotype" w:hAnsi="Palatino Linotype" w:cs="Palatino Linotype"/>
        </w:rPr>
        <w:t>l</w:t>
      </w:r>
      <w:r w:rsidR="00C451D4" w:rsidRPr="00937642">
        <w:rPr>
          <w:rFonts w:ascii="Palatino Linotype" w:eastAsia="Palatino Linotype" w:hAnsi="Palatino Linotype" w:cs="Palatino Linotype"/>
        </w:rPr>
        <w:t>a</w:t>
      </w:r>
      <w:r w:rsidRPr="00937642">
        <w:rPr>
          <w:rFonts w:ascii="Palatino Linotype" w:eastAsia="Palatino Linotype" w:hAnsi="Palatino Linotype" w:cs="Palatino Linotype"/>
        </w:rPr>
        <w:t xml:space="preserve"> servidor</w:t>
      </w:r>
      <w:r w:rsidR="00C451D4" w:rsidRPr="00937642">
        <w:rPr>
          <w:rFonts w:ascii="Palatino Linotype" w:eastAsia="Palatino Linotype" w:hAnsi="Palatino Linotype" w:cs="Palatino Linotype"/>
        </w:rPr>
        <w:t>a pública habilitada</w:t>
      </w:r>
      <w:r w:rsidRPr="00937642">
        <w:rPr>
          <w:rFonts w:ascii="Palatino Linotype" w:eastAsia="Palatino Linotype" w:hAnsi="Palatino Linotype" w:cs="Palatino Linotype"/>
        </w:rPr>
        <w:t xml:space="preserve"> que estimó pertinente, a fin de colmar la solicitud de acceso a la información, tal y como obra en el expediente electrónico. </w:t>
      </w:r>
    </w:p>
    <w:p w14:paraId="0847BD68" w14:textId="77777777" w:rsidR="00586F2F" w:rsidRPr="00937642" w:rsidRDefault="00586F2F" w:rsidP="00937642">
      <w:pPr>
        <w:spacing w:line="360" w:lineRule="auto"/>
        <w:jc w:val="both"/>
        <w:rPr>
          <w:rFonts w:ascii="Palatino Linotype" w:eastAsia="Palatino Linotype" w:hAnsi="Palatino Linotype" w:cs="Palatino Linotype"/>
        </w:rPr>
      </w:pPr>
    </w:p>
    <w:p w14:paraId="4339E3DF" w14:textId="77777777" w:rsidR="00586F2F" w:rsidRPr="00937642" w:rsidRDefault="00DA7C20" w:rsidP="00937642">
      <w:pP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III. Respuesta del Sujeto Obligado</w:t>
      </w:r>
      <w:r w:rsidR="00D23228" w:rsidRPr="00937642">
        <w:rPr>
          <w:rFonts w:ascii="Palatino Linotype" w:eastAsia="Palatino Linotype" w:hAnsi="Palatino Linotype" w:cs="Palatino Linotype"/>
          <w:b/>
        </w:rPr>
        <w:t>.</w:t>
      </w:r>
    </w:p>
    <w:p w14:paraId="1EE7B87B"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De las constancias que obran en el </w:t>
      </w:r>
      <w:r w:rsidRPr="00937642">
        <w:rPr>
          <w:rFonts w:ascii="Palatino Linotype" w:eastAsia="Palatino Linotype" w:hAnsi="Palatino Linotype" w:cs="Palatino Linotype"/>
          <w:b/>
        </w:rPr>
        <w:t>SAIMEX,</w:t>
      </w:r>
      <w:r w:rsidRPr="00937642">
        <w:rPr>
          <w:rFonts w:ascii="Palatino Linotype" w:eastAsia="Palatino Linotype" w:hAnsi="Palatino Linotype" w:cs="Palatino Linotype"/>
        </w:rPr>
        <w:t xml:space="preserve"> del recurso de revisión materia del presente asunto, se advierte que el </w:t>
      </w:r>
      <w:r w:rsidR="007008E8" w:rsidRPr="00937642">
        <w:rPr>
          <w:rFonts w:ascii="Palatino Linotype" w:eastAsia="Palatino Linotype" w:hAnsi="Palatino Linotype" w:cs="Palatino Linotype"/>
          <w:b/>
        </w:rPr>
        <w:t xml:space="preserve">diecisiete </w:t>
      </w:r>
      <w:r w:rsidRPr="00937642">
        <w:rPr>
          <w:rFonts w:ascii="Palatino Linotype" w:eastAsia="Palatino Linotype" w:hAnsi="Palatino Linotype" w:cs="Palatino Linotype"/>
          <w:b/>
        </w:rPr>
        <w:t xml:space="preserve">de </w:t>
      </w:r>
      <w:r w:rsidR="00C451D4" w:rsidRPr="00937642">
        <w:rPr>
          <w:rFonts w:ascii="Palatino Linotype" w:eastAsia="Palatino Linotype" w:hAnsi="Palatino Linotype" w:cs="Palatino Linotype"/>
          <w:b/>
        </w:rPr>
        <w:t>enero</w:t>
      </w:r>
      <w:r w:rsidRPr="00937642">
        <w:rPr>
          <w:rFonts w:ascii="Palatino Linotype" w:eastAsia="Palatino Linotype" w:hAnsi="Palatino Linotype" w:cs="Palatino Linotype"/>
          <w:b/>
        </w:rPr>
        <w:t xml:space="preserve"> de dos mil </w:t>
      </w:r>
      <w:r w:rsidR="00C451D4" w:rsidRPr="00937642">
        <w:rPr>
          <w:rFonts w:ascii="Palatino Linotype" w:eastAsia="Palatino Linotype" w:hAnsi="Palatino Linotype" w:cs="Palatino Linotype"/>
          <w:b/>
        </w:rPr>
        <w:t>veinticuatro</w:t>
      </w:r>
      <w:r w:rsidRPr="00937642">
        <w:rPr>
          <w:rFonts w:ascii="Palatino Linotype" w:eastAsia="Palatino Linotype" w:hAnsi="Palatino Linotype" w:cs="Palatino Linotype"/>
        </w:rPr>
        <w:t xml:space="preserve">, </w:t>
      </w:r>
      <w:r w:rsidRPr="00937642">
        <w:rPr>
          <w:rFonts w:ascii="Palatino Linotype" w:eastAsia="Palatino Linotype" w:hAnsi="Palatino Linotype" w:cs="Palatino Linotype"/>
          <w:b/>
        </w:rPr>
        <w:t>EL SUJETO OBLIGADO</w:t>
      </w:r>
      <w:r w:rsidRPr="00937642">
        <w:rPr>
          <w:rFonts w:ascii="Palatino Linotype" w:eastAsia="Palatino Linotype" w:hAnsi="Palatino Linotype" w:cs="Palatino Linotype"/>
        </w:rPr>
        <w:t xml:space="preserve"> entregó la respuesta a la solicitud de Información Pública del particular en los siguientes términos:</w:t>
      </w:r>
    </w:p>
    <w:p w14:paraId="3A9D11B0" w14:textId="77777777" w:rsidR="00D23228" w:rsidRPr="00937642" w:rsidRDefault="00D23228" w:rsidP="00937642">
      <w:pPr>
        <w:spacing w:line="360" w:lineRule="auto"/>
        <w:jc w:val="both"/>
        <w:rPr>
          <w:rFonts w:ascii="Palatino Linotype" w:eastAsia="Palatino Linotype" w:hAnsi="Palatino Linotype" w:cs="Palatino Linotype"/>
        </w:rPr>
      </w:pPr>
    </w:p>
    <w:p w14:paraId="36BC5FF5" w14:textId="77777777" w:rsidR="007008E8" w:rsidRPr="00937642" w:rsidRDefault="00DA7C20" w:rsidP="00937642">
      <w:pPr>
        <w:spacing w:line="360" w:lineRule="auto"/>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i/>
        </w:rPr>
        <w:t>“</w:t>
      </w:r>
      <w:r w:rsidR="007008E8" w:rsidRPr="00937642">
        <w:rPr>
          <w:rFonts w:ascii="Palatino Linotype" w:eastAsia="Palatino Linotype" w:hAnsi="Palatino Linotype" w:cs="Palatino Linotype"/>
          <w:i/>
        </w:rPr>
        <w:t>Metepec, México a 17 de Enero de 2024</w:t>
      </w:r>
    </w:p>
    <w:p w14:paraId="73BA1DBB" w14:textId="77777777" w:rsidR="007008E8" w:rsidRPr="00937642" w:rsidRDefault="007008E8" w:rsidP="00937642">
      <w:pPr>
        <w:spacing w:line="360" w:lineRule="auto"/>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i/>
        </w:rPr>
        <w:t>Nombre del solicitante:</w:t>
      </w:r>
    </w:p>
    <w:p w14:paraId="46138612" w14:textId="77777777" w:rsidR="007008E8" w:rsidRPr="00937642" w:rsidRDefault="007008E8" w:rsidP="00937642">
      <w:pPr>
        <w:spacing w:line="360" w:lineRule="auto"/>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i/>
        </w:rPr>
        <w:t>Folio de la solicitud: 01266/FGJ/IP/2023</w:t>
      </w:r>
    </w:p>
    <w:p w14:paraId="760B332F" w14:textId="77777777" w:rsidR="007008E8" w:rsidRPr="00937642" w:rsidRDefault="007008E8" w:rsidP="00937642">
      <w:pPr>
        <w:spacing w:line="360" w:lineRule="auto"/>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6B77954" w14:textId="77777777" w:rsidR="007008E8" w:rsidRPr="00937642" w:rsidRDefault="007008E8" w:rsidP="00937642">
      <w:pPr>
        <w:spacing w:line="360" w:lineRule="auto"/>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i/>
        </w:rPr>
        <w:t>SE ANEXA RESPUESTA</w:t>
      </w:r>
    </w:p>
    <w:p w14:paraId="67B64AAE" w14:textId="77777777" w:rsidR="007008E8" w:rsidRPr="00937642" w:rsidRDefault="007008E8" w:rsidP="00937642">
      <w:pPr>
        <w:spacing w:line="360" w:lineRule="auto"/>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i/>
        </w:rPr>
        <w:lastRenderedPageBreak/>
        <w:t>ATENTAMENTE</w:t>
      </w:r>
    </w:p>
    <w:p w14:paraId="575BD3C5" w14:textId="77777777" w:rsidR="00586F2F" w:rsidRPr="00937642" w:rsidRDefault="007008E8" w:rsidP="00937642">
      <w:pPr>
        <w:spacing w:line="360" w:lineRule="auto"/>
        <w:ind w:left="851" w:right="899"/>
        <w:jc w:val="both"/>
        <w:rPr>
          <w:rFonts w:ascii="Palatino Linotype" w:eastAsia="Palatino Linotype" w:hAnsi="Palatino Linotype" w:cs="Palatino Linotype"/>
        </w:rPr>
      </w:pPr>
      <w:r w:rsidRPr="00937642">
        <w:rPr>
          <w:rFonts w:ascii="Palatino Linotype" w:eastAsia="Palatino Linotype" w:hAnsi="Palatino Linotype" w:cs="Palatino Linotype"/>
          <w:i/>
        </w:rPr>
        <w:t>LICENCIADA EN DERECHO NORMA ANGÉLICA ZETINA MARTÍNEZ</w:t>
      </w:r>
      <w:r w:rsidR="00DA7C20" w:rsidRPr="00937642">
        <w:rPr>
          <w:rFonts w:ascii="Palatino Linotype" w:eastAsia="Palatino Linotype" w:hAnsi="Palatino Linotype" w:cs="Palatino Linotype"/>
          <w:i/>
        </w:rPr>
        <w:t xml:space="preserve">” </w:t>
      </w:r>
      <w:r w:rsidR="00DA7C20" w:rsidRPr="00937642">
        <w:rPr>
          <w:rFonts w:ascii="Palatino Linotype" w:eastAsia="Palatino Linotype" w:hAnsi="Palatino Linotype" w:cs="Palatino Linotype"/>
        </w:rPr>
        <w:t>(sic).</w:t>
      </w:r>
    </w:p>
    <w:p w14:paraId="78D80F3E" w14:textId="77777777" w:rsidR="00586F2F" w:rsidRPr="00937642" w:rsidRDefault="00586F2F" w:rsidP="00937642">
      <w:pPr>
        <w:spacing w:line="360" w:lineRule="auto"/>
        <w:ind w:right="49"/>
        <w:jc w:val="both"/>
        <w:rPr>
          <w:rFonts w:ascii="Palatino Linotype" w:eastAsia="Palatino Linotype" w:hAnsi="Palatino Linotype" w:cs="Palatino Linotype"/>
          <w:b/>
        </w:rPr>
      </w:pPr>
    </w:p>
    <w:p w14:paraId="13CDC632" w14:textId="77777777" w:rsidR="00586F2F" w:rsidRPr="00937642" w:rsidRDefault="00DA7C20" w:rsidP="00937642">
      <w:pPr>
        <w:spacing w:line="360" w:lineRule="auto"/>
        <w:ind w:right="49"/>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Por otra parte, se anexó a la respuesta, el documento digital que a continuación se describe: </w:t>
      </w:r>
    </w:p>
    <w:p w14:paraId="58392BA1" w14:textId="77777777" w:rsidR="00586F2F" w:rsidRPr="00937642" w:rsidRDefault="00586F2F" w:rsidP="00937642">
      <w:pPr>
        <w:spacing w:line="360" w:lineRule="auto"/>
        <w:ind w:right="49"/>
        <w:jc w:val="both"/>
        <w:rPr>
          <w:rFonts w:ascii="Palatino Linotype" w:eastAsia="Palatino Linotype" w:hAnsi="Palatino Linotype" w:cs="Palatino Linotype"/>
        </w:rPr>
      </w:pPr>
    </w:p>
    <w:p w14:paraId="244B938F" w14:textId="77777777" w:rsidR="00586F2F" w:rsidRPr="00937642" w:rsidRDefault="00DA7C20" w:rsidP="00937642">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37642">
        <w:rPr>
          <w:rFonts w:ascii="Palatino Linotype" w:eastAsia="Palatino Linotype" w:hAnsi="Palatino Linotype" w:cs="Palatino Linotype"/>
          <w:b/>
          <w:i/>
        </w:rPr>
        <w:t>“</w:t>
      </w:r>
      <w:r w:rsidR="007008E8" w:rsidRPr="00937642">
        <w:rPr>
          <w:rFonts w:ascii="Palatino Linotype" w:eastAsia="Palatino Linotype" w:hAnsi="Palatino Linotype" w:cs="Palatino Linotype"/>
          <w:b/>
          <w:i/>
        </w:rPr>
        <w:t>RESPUESTA 01266_2024_01_17_18_53_02_472.pdf</w:t>
      </w:r>
      <w:r w:rsidRPr="00937642">
        <w:rPr>
          <w:rFonts w:ascii="Palatino Linotype" w:eastAsia="Palatino Linotype" w:hAnsi="Palatino Linotype" w:cs="Palatino Linotype"/>
          <w:b/>
          <w:i/>
        </w:rPr>
        <w:t>”</w:t>
      </w:r>
      <w:r w:rsidRPr="00937642">
        <w:rPr>
          <w:rFonts w:ascii="Palatino Linotype" w:eastAsia="Palatino Linotype" w:hAnsi="Palatino Linotype" w:cs="Palatino Linotype"/>
          <w:i/>
        </w:rPr>
        <w:t>:</w:t>
      </w:r>
      <w:r w:rsidRPr="00937642">
        <w:rPr>
          <w:rFonts w:ascii="Palatino Linotype" w:eastAsia="Palatino Linotype" w:hAnsi="Palatino Linotype" w:cs="Palatino Linotype"/>
        </w:rPr>
        <w:t xml:space="preserve"> documento constante de </w:t>
      </w:r>
      <w:r w:rsidR="007008E8" w:rsidRPr="00937642">
        <w:rPr>
          <w:rFonts w:ascii="Palatino Linotype" w:eastAsia="Palatino Linotype" w:hAnsi="Palatino Linotype" w:cs="Palatino Linotype"/>
        </w:rPr>
        <w:t>una</w:t>
      </w:r>
      <w:r w:rsidRPr="00937642">
        <w:rPr>
          <w:rFonts w:ascii="Palatino Linotype" w:eastAsia="Palatino Linotype" w:hAnsi="Palatino Linotype" w:cs="Palatino Linotype"/>
        </w:rPr>
        <w:t xml:space="preserve"> foja útil, d</w:t>
      </w:r>
      <w:r w:rsidR="00D23228" w:rsidRPr="00937642">
        <w:rPr>
          <w:rFonts w:ascii="Palatino Linotype" w:eastAsia="Palatino Linotype" w:hAnsi="Palatino Linotype" w:cs="Palatino Linotype"/>
        </w:rPr>
        <w:t>e cuyo contenido se advierte</w:t>
      </w:r>
      <w:r w:rsidR="00C451D4" w:rsidRPr="00937642">
        <w:rPr>
          <w:rFonts w:ascii="Palatino Linotype" w:eastAsia="Palatino Linotype" w:hAnsi="Palatino Linotype" w:cs="Palatino Linotype"/>
        </w:rPr>
        <w:t xml:space="preserve"> el oficio con número de registro </w:t>
      </w:r>
      <w:r w:rsidR="007008E8" w:rsidRPr="00937642">
        <w:rPr>
          <w:rFonts w:ascii="Palatino Linotype" w:eastAsia="Palatino Linotype" w:hAnsi="Palatino Linotype" w:cs="Palatino Linotype"/>
        </w:rPr>
        <w:t>0144/MAIP/FGJ/2024</w:t>
      </w:r>
      <w:r w:rsidR="00C451D4" w:rsidRPr="00937642">
        <w:rPr>
          <w:rFonts w:ascii="Palatino Linotype" w:eastAsia="Palatino Linotype" w:hAnsi="Palatino Linotype" w:cs="Palatino Linotype"/>
        </w:rPr>
        <w:t xml:space="preserve">, suscrito por la </w:t>
      </w:r>
      <w:r w:rsidR="007008E8" w:rsidRPr="00937642">
        <w:rPr>
          <w:rFonts w:ascii="Palatino Linotype" w:eastAsia="Palatino Linotype" w:hAnsi="Palatino Linotype" w:cs="Palatino Linotype"/>
        </w:rPr>
        <w:t>Titular de la Unidad de Transparencia, por medio del cual señaló que la Dirección de Administración solicitó la clasificaci</w:t>
      </w:r>
      <w:r w:rsidR="00D95BFA" w:rsidRPr="00937642">
        <w:rPr>
          <w:rFonts w:ascii="Palatino Linotype" w:eastAsia="Palatino Linotype" w:hAnsi="Palatino Linotype" w:cs="Palatino Linotype"/>
        </w:rPr>
        <w:t>ón del pronunciamiento respecto a la solicitud del particular.</w:t>
      </w:r>
    </w:p>
    <w:p w14:paraId="0268A726" w14:textId="77777777" w:rsidR="00D95BFA" w:rsidRPr="00937642" w:rsidRDefault="00D95BFA" w:rsidP="00937642">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i/>
        </w:rPr>
      </w:pPr>
      <w:r w:rsidRPr="00937642">
        <w:rPr>
          <w:rFonts w:ascii="Palatino Linotype" w:eastAsia="Palatino Linotype" w:hAnsi="Palatino Linotype" w:cs="Palatino Linotype"/>
          <w:b/>
          <w:i/>
        </w:rPr>
        <w:t>“ACUERDO DE CLASIFICACION 01266_2024_01_17_18_51_06_369.pdf”</w:t>
      </w:r>
      <w:r w:rsidRPr="00937642">
        <w:rPr>
          <w:rFonts w:ascii="Palatino Linotype" w:eastAsia="Palatino Linotype" w:hAnsi="Palatino Linotype" w:cs="Palatino Linotype"/>
        </w:rPr>
        <w:t>: documento constante de dieciséis fojas útiles, de cuyo contenido se advierte el acuerdo de clasificación como información reservada, respecto al pronunciamiento de la persona referida en la solicitud 01266/FGJ/IP/2023.</w:t>
      </w:r>
    </w:p>
    <w:p w14:paraId="03E11A40" w14:textId="77777777" w:rsidR="00DA56C7" w:rsidRPr="00937642" w:rsidRDefault="00DA56C7" w:rsidP="00937642">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6DB8BAA1" w14:textId="77777777" w:rsidR="00586F2F" w:rsidRPr="00937642" w:rsidRDefault="00DA7C20" w:rsidP="0093764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IV. Del Recurso Revisión</w:t>
      </w:r>
      <w:r w:rsidR="00D23228" w:rsidRPr="00937642">
        <w:rPr>
          <w:rFonts w:ascii="Palatino Linotype" w:eastAsia="Palatino Linotype" w:hAnsi="Palatino Linotype" w:cs="Palatino Linotype"/>
          <w:b/>
        </w:rPr>
        <w:t>.</w:t>
      </w:r>
    </w:p>
    <w:p w14:paraId="62DC97DB"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Inconforme con la respuesta, el </w:t>
      </w:r>
      <w:r w:rsidR="00D95BFA" w:rsidRPr="00937642">
        <w:rPr>
          <w:rFonts w:ascii="Palatino Linotype" w:eastAsia="Palatino Linotype" w:hAnsi="Palatino Linotype" w:cs="Palatino Linotype"/>
          <w:b/>
        </w:rPr>
        <w:t>veintidós</w:t>
      </w:r>
      <w:r w:rsidRPr="00937642">
        <w:rPr>
          <w:rFonts w:ascii="Palatino Linotype" w:eastAsia="Palatino Linotype" w:hAnsi="Palatino Linotype" w:cs="Palatino Linotype"/>
          <w:b/>
        </w:rPr>
        <w:t xml:space="preserve"> de </w:t>
      </w:r>
      <w:r w:rsidR="00D95BFA" w:rsidRPr="00937642">
        <w:rPr>
          <w:rFonts w:ascii="Palatino Linotype" w:eastAsia="Palatino Linotype" w:hAnsi="Palatino Linotype" w:cs="Palatino Linotype"/>
          <w:b/>
        </w:rPr>
        <w:t>enero</w:t>
      </w:r>
      <w:r w:rsidRPr="00937642">
        <w:rPr>
          <w:rFonts w:ascii="Palatino Linotype" w:eastAsia="Palatino Linotype" w:hAnsi="Palatino Linotype" w:cs="Palatino Linotype"/>
          <w:b/>
        </w:rPr>
        <w:t xml:space="preserve"> de dos mil </w:t>
      </w:r>
      <w:r w:rsidR="00C451D4" w:rsidRPr="00937642">
        <w:rPr>
          <w:rFonts w:ascii="Palatino Linotype" w:eastAsia="Palatino Linotype" w:hAnsi="Palatino Linotype" w:cs="Palatino Linotype"/>
          <w:b/>
        </w:rPr>
        <w:t>veinticuatro</w:t>
      </w:r>
      <w:r w:rsidRPr="00937642">
        <w:rPr>
          <w:rFonts w:ascii="Palatino Linotype" w:eastAsia="Palatino Linotype" w:hAnsi="Palatino Linotype" w:cs="Palatino Linotype"/>
        </w:rPr>
        <w:t xml:space="preserve">, </w:t>
      </w:r>
      <w:r w:rsidRPr="00937642">
        <w:rPr>
          <w:rFonts w:ascii="Palatino Linotype" w:eastAsia="Palatino Linotype" w:hAnsi="Palatino Linotype" w:cs="Palatino Linotype"/>
          <w:b/>
        </w:rPr>
        <w:t>EL RECURRENTE</w:t>
      </w:r>
      <w:r w:rsidRPr="00937642">
        <w:rPr>
          <w:rFonts w:ascii="Palatino Linotype" w:eastAsia="Palatino Linotype" w:hAnsi="Palatino Linotype" w:cs="Palatino Linotype"/>
        </w:rPr>
        <w:t xml:space="preserve"> interpuso el Recurso Revisión sujeto del presente estudio, al cual se le asignó el número de expediente </w:t>
      </w:r>
      <w:r w:rsidR="00D95BFA" w:rsidRPr="00937642">
        <w:rPr>
          <w:rFonts w:ascii="Palatino Linotype" w:eastAsia="Palatino Linotype" w:hAnsi="Palatino Linotype" w:cs="Palatino Linotype"/>
          <w:b/>
        </w:rPr>
        <w:t>00202</w:t>
      </w:r>
      <w:r w:rsidR="00C451D4" w:rsidRPr="00937642">
        <w:rPr>
          <w:rFonts w:ascii="Palatino Linotype" w:eastAsia="Palatino Linotype" w:hAnsi="Palatino Linotype" w:cs="Palatino Linotype"/>
          <w:b/>
        </w:rPr>
        <w:t>/INFOEM/IP/RR/2024</w:t>
      </w:r>
      <w:r w:rsidRPr="00937642">
        <w:rPr>
          <w:rFonts w:ascii="Palatino Linotype" w:eastAsia="Palatino Linotype" w:hAnsi="Palatino Linotype" w:cs="Palatino Linotype"/>
          <w:b/>
        </w:rPr>
        <w:t>,</w:t>
      </w:r>
      <w:r w:rsidRPr="00937642">
        <w:rPr>
          <w:rFonts w:ascii="Palatino Linotype" w:eastAsia="Palatino Linotype" w:hAnsi="Palatino Linotype" w:cs="Palatino Linotype"/>
        </w:rPr>
        <w:t xml:space="preserve"> en el que señaló como:</w:t>
      </w:r>
    </w:p>
    <w:p w14:paraId="43BA9456" w14:textId="77777777" w:rsidR="00586F2F" w:rsidRPr="00937642" w:rsidRDefault="00586F2F" w:rsidP="00937642">
      <w:pPr>
        <w:spacing w:line="360" w:lineRule="auto"/>
        <w:jc w:val="both"/>
        <w:rPr>
          <w:rFonts w:ascii="Palatino Linotype" w:eastAsia="Palatino Linotype" w:hAnsi="Palatino Linotype" w:cs="Palatino Linotype"/>
        </w:rPr>
      </w:pPr>
    </w:p>
    <w:p w14:paraId="1E2B1058" w14:textId="77777777" w:rsidR="00023171" w:rsidRPr="00937642" w:rsidRDefault="00023171" w:rsidP="00937642">
      <w:pPr>
        <w:spacing w:line="360" w:lineRule="auto"/>
        <w:jc w:val="both"/>
        <w:rPr>
          <w:rFonts w:ascii="Palatino Linotype" w:eastAsia="Palatino Linotype" w:hAnsi="Palatino Linotype" w:cs="Palatino Linotype"/>
        </w:rPr>
      </w:pPr>
    </w:p>
    <w:p w14:paraId="35BA2F61" w14:textId="77777777" w:rsidR="00023171" w:rsidRPr="00937642" w:rsidRDefault="00023171" w:rsidP="00937642">
      <w:pPr>
        <w:spacing w:line="360" w:lineRule="auto"/>
        <w:jc w:val="both"/>
        <w:rPr>
          <w:rFonts w:ascii="Palatino Linotype" w:eastAsia="Palatino Linotype" w:hAnsi="Palatino Linotype" w:cs="Palatino Linotype"/>
        </w:rPr>
      </w:pPr>
    </w:p>
    <w:p w14:paraId="67D970AB" w14:textId="77777777" w:rsidR="00586F2F" w:rsidRPr="00937642" w:rsidRDefault="00DA7C20" w:rsidP="00937642">
      <w:pP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lastRenderedPageBreak/>
        <w:t xml:space="preserve">Acto impugnado: </w:t>
      </w:r>
    </w:p>
    <w:p w14:paraId="1BC450A0" w14:textId="77777777" w:rsidR="00586F2F" w:rsidRPr="00937642" w:rsidRDefault="00586F2F" w:rsidP="00937642">
      <w:pPr>
        <w:spacing w:line="360" w:lineRule="auto"/>
        <w:jc w:val="both"/>
        <w:rPr>
          <w:rFonts w:ascii="Palatino Linotype" w:eastAsia="Palatino Linotype" w:hAnsi="Palatino Linotype" w:cs="Palatino Linotype"/>
          <w:b/>
        </w:rPr>
      </w:pPr>
    </w:p>
    <w:p w14:paraId="5555D14E" w14:textId="77777777" w:rsidR="00586F2F" w:rsidRPr="00937642" w:rsidRDefault="00DA7C20" w:rsidP="00937642">
      <w:pPr>
        <w:tabs>
          <w:tab w:val="left" w:pos="851"/>
        </w:tabs>
        <w:spacing w:line="276" w:lineRule="auto"/>
        <w:ind w:left="851" w:right="901"/>
        <w:jc w:val="both"/>
        <w:rPr>
          <w:rFonts w:ascii="Palatino Linotype" w:eastAsia="Palatino Linotype" w:hAnsi="Palatino Linotype" w:cs="Palatino Linotype"/>
        </w:rPr>
      </w:pPr>
      <w:r w:rsidRPr="00937642">
        <w:rPr>
          <w:rFonts w:ascii="Palatino Linotype" w:eastAsia="Palatino Linotype" w:hAnsi="Palatino Linotype" w:cs="Palatino Linotype"/>
          <w:i/>
        </w:rPr>
        <w:t>“</w:t>
      </w:r>
      <w:r w:rsidR="00D95BFA" w:rsidRPr="00937642">
        <w:rPr>
          <w:rFonts w:ascii="Palatino Linotype" w:eastAsia="Palatino Linotype" w:hAnsi="Palatino Linotype" w:cs="Palatino Linotype"/>
          <w:i/>
        </w:rPr>
        <w:t xml:space="preserve">la información solicitada, no se encuentra dentro las consideradas como susceptibles de información reservada, toda vez que involucran: 1. la no corrupción al poder verificar que un servidor público cubre con el perfil profesional del puesto para el cual brinda sus servicios a una institución de orden judicial. 2. la funcionaria ROCIO CONTRERAS LOPEZ SI labora en la unidad de servicios periciales de la </w:t>
      </w:r>
      <w:proofErr w:type="spellStart"/>
      <w:r w:rsidR="00D95BFA" w:rsidRPr="00937642">
        <w:rPr>
          <w:rFonts w:ascii="Palatino Linotype" w:eastAsia="Palatino Linotype" w:hAnsi="Palatino Linotype" w:cs="Palatino Linotype"/>
          <w:i/>
        </w:rPr>
        <w:t>fisalia</w:t>
      </w:r>
      <w:proofErr w:type="spellEnd"/>
      <w:r w:rsidR="00D95BFA" w:rsidRPr="00937642">
        <w:rPr>
          <w:rFonts w:ascii="Palatino Linotype" w:eastAsia="Palatino Linotype" w:hAnsi="Palatino Linotype" w:cs="Palatino Linotype"/>
          <w:i/>
        </w:rPr>
        <w:t xml:space="preserve"> de justicia del estado de </w:t>
      </w:r>
      <w:proofErr w:type="spellStart"/>
      <w:r w:rsidR="00D95BFA" w:rsidRPr="00937642">
        <w:rPr>
          <w:rFonts w:ascii="Palatino Linotype" w:eastAsia="Palatino Linotype" w:hAnsi="Palatino Linotype" w:cs="Palatino Linotype"/>
          <w:i/>
        </w:rPr>
        <w:t>Mexico</w:t>
      </w:r>
      <w:proofErr w:type="spellEnd"/>
      <w:r w:rsidR="00D95BFA" w:rsidRPr="00937642">
        <w:rPr>
          <w:rFonts w:ascii="Palatino Linotype" w:eastAsia="Palatino Linotype" w:hAnsi="Palatino Linotype" w:cs="Palatino Linotype"/>
          <w:i/>
        </w:rPr>
        <w:t>.</w:t>
      </w:r>
      <w:r w:rsidRPr="00937642">
        <w:rPr>
          <w:rFonts w:ascii="Palatino Linotype" w:eastAsia="Palatino Linotype" w:hAnsi="Palatino Linotype" w:cs="Palatino Linotype"/>
          <w:i/>
        </w:rPr>
        <w:t xml:space="preserve">” </w:t>
      </w:r>
      <w:r w:rsidRPr="00937642">
        <w:rPr>
          <w:rFonts w:ascii="Palatino Linotype" w:eastAsia="Palatino Linotype" w:hAnsi="Palatino Linotype" w:cs="Palatino Linotype"/>
        </w:rPr>
        <w:t>(</w:t>
      </w:r>
      <w:r w:rsidR="00D95BFA" w:rsidRPr="00937642">
        <w:rPr>
          <w:rFonts w:ascii="Palatino Linotype" w:eastAsia="Palatino Linotype" w:hAnsi="Palatino Linotype" w:cs="Palatino Linotype"/>
        </w:rPr>
        <w:t>Sic</w:t>
      </w:r>
      <w:r w:rsidRPr="00937642">
        <w:rPr>
          <w:rFonts w:ascii="Palatino Linotype" w:eastAsia="Palatino Linotype" w:hAnsi="Palatino Linotype" w:cs="Palatino Linotype"/>
        </w:rPr>
        <w:t>).</w:t>
      </w:r>
    </w:p>
    <w:p w14:paraId="584B8C9A" w14:textId="77777777" w:rsidR="00586F2F" w:rsidRPr="00937642" w:rsidRDefault="00586F2F" w:rsidP="00937642">
      <w:pPr>
        <w:spacing w:line="360" w:lineRule="auto"/>
        <w:jc w:val="both"/>
        <w:rPr>
          <w:rFonts w:ascii="Palatino Linotype" w:eastAsia="Palatino Linotype" w:hAnsi="Palatino Linotype" w:cs="Palatino Linotype"/>
          <w:b/>
        </w:rPr>
      </w:pPr>
    </w:p>
    <w:p w14:paraId="655DE608" w14:textId="77777777" w:rsidR="00586F2F" w:rsidRPr="00937642" w:rsidRDefault="00DA7C20" w:rsidP="00937642">
      <w:pP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V. Del turno del Recurso Revisión</w:t>
      </w:r>
      <w:r w:rsidR="00C451D4" w:rsidRPr="00937642">
        <w:rPr>
          <w:rFonts w:ascii="Palatino Linotype" w:eastAsia="Palatino Linotype" w:hAnsi="Palatino Linotype" w:cs="Palatino Linotype"/>
          <w:b/>
        </w:rPr>
        <w:t>.</w:t>
      </w:r>
    </w:p>
    <w:p w14:paraId="5E4EA4EF"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El </w:t>
      </w:r>
      <w:r w:rsidR="00D95BFA" w:rsidRPr="00937642">
        <w:rPr>
          <w:rFonts w:ascii="Palatino Linotype" w:eastAsia="Palatino Linotype" w:hAnsi="Palatino Linotype" w:cs="Palatino Linotype"/>
          <w:b/>
        </w:rPr>
        <w:t>veintidós</w:t>
      </w:r>
      <w:r w:rsidRPr="00937642">
        <w:rPr>
          <w:rFonts w:ascii="Palatino Linotype" w:eastAsia="Palatino Linotype" w:hAnsi="Palatino Linotype" w:cs="Palatino Linotype"/>
          <w:b/>
        </w:rPr>
        <w:t xml:space="preserve"> de </w:t>
      </w:r>
      <w:r w:rsidR="00C451D4" w:rsidRPr="00937642">
        <w:rPr>
          <w:rFonts w:ascii="Palatino Linotype" w:eastAsia="Palatino Linotype" w:hAnsi="Palatino Linotype" w:cs="Palatino Linotype"/>
          <w:b/>
        </w:rPr>
        <w:t>enero</w:t>
      </w:r>
      <w:r w:rsidRPr="00937642">
        <w:rPr>
          <w:rFonts w:ascii="Palatino Linotype" w:eastAsia="Palatino Linotype" w:hAnsi="Palatino Linotype" w:cs="Palatino Linotype"/>
          <w:b/>
        </w:rPr>
        <w:t xml:space="preserve"> de dos mil </w:t>
      </w:r>
      <w:r w:rsidR="00C451D4" w:rsidRPr="00937642">
        <w:rPr>
          <w:rFonts w:ascii="Palatino Linotype" w:eastAsia="Palatino Linotype" w:hAnsi="Palatino Linotype" w:cs="Palatino Linotype"/>
          <w:b/>
        </w:rPr>
        <w:t>veinticuatro</w:t>
      </w:r>
      <w:r w:rsidRPr="00937642">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937642">
        <w:rPr>
          <w:rFonts w:ascii="Palatino Linotype" w:eastAsia="Palatino Linotype" w:hAnsi="Palatino Linotype" w:cs="Palatino Linotype"/>
          <w:b/>
        </w:rPr>
        <w:t>EL SAIMEX</w:t>
      </w:r>
      <w:r w:rsidRPr="00937642">
        <w:rPr>
          <w:rFonts w:ascii="Palatino Linotype" w:eastAsia="Palatino Linotype" w:hAnsi="Palatino Linotype" w:cs="Palatino Linotype"/>
        </w:rPr>
        <w:t xml:space="preserve">, a la </w:t>
      </w:r>
      <w:r w:rsidRPr="00937642">
        <w:rPr>
          <w:rFonts w:ascii="Palatino Linotype" w:eastAsia="Palatino Linotype" w:hAnsi="Palatino Linotype" w:cs="Palatino Linotype"/>
          <w:b/>
        </w:rPr>
        <w:t>Comisionada</w:t>
      </w:r>
      <w:r w:rsidRPr="00937642">
        <w:rPr>
          <w:rFonts w:ascii="Palatino Linotype" w:eastAsia="Palatino Linotype" w:hAnsi="Palatino Linotype" w:cs="Palatino Linotype"/>
        </w:rPr>
        <w:t xml:space="preserve"> </w:t>
      </w:r>
      <w:r w:rsidRPr="00937642">
        <w:rPr>
          <w:rFonts w:ascii="Palatino Linotype" w:eastAsia="Palatino Linotype" w:hAnsi="Palatino Linotype" w:cs="Palatino Linotype"/>
          <w:b/>
        </w:rPr>
        <w:t>Sharon Cristina Morales Martínez</w:t>
      </w:r>
      <w:r w:rsidRPr="00937642">
        <w:rPr>
          <w:rFonts w:ascii="Palatino Linotype" w:eastAsia="Palatino Linotype" w:hAnsi="Palatino Linotype" w:cs="Palatino Linotype"/>
        </w:rPr>
        <w:t xml:space="preserve"> a efecto de decretar su admisión o </w:t>
      </w:r>
      <w:proofErr w:type="spellStart"/>
      <w:r w:rsidRPr="00937642">
        <w:rPr>
          <w:rFonts w:ascii="Palatino Linotype" w:eastAsia="Palatino Linotype" w:hAnsi="Palatino Linotype" w:cs="Palatino Linotype"/>
        </w:rPr>
        <w:t>desechamiento</w:t>
      </w:r>
      <w:proofErr w:type="spellEnd"/>
      <w:r w:rsidRPr="00937642">
        <w:rPr>
          <w:rFonts w:ascii="Palatino Linotype" w:eastAsia="Palatino Linotype" w:hAnsi="Palatino Linotype" w:cs="Palatino Linotype"/>
        </w:rPr>
        <w:t>.</w:t>
      </w:r>
    </w:p>
    <w:p w14:paraId="0A1A5179" w14:textId="77777777" w:rsidR="00586F2F" w:rsidRPr="00937642" w:rsidRDefault="00586F2F" w:rsidP="00937642">
      <w:pPr>
        <w:spacing w:line="360" w:lineRule="auto"/>
        <w:jc w:val="both"/>
        <w:rPr>
          <w:rFonts w:ascii="Palatino Linotype" w:eastAsia="Palatino Linotype" w:hAnsi="Palatino Linotype" w:cs="Palatino Linotype"/>
        </w:rPr>
      </w:pPr>
    </w:p>
    <w:p w14:paraId="2EB450F8" w14:textId="77777777" w:rsidR="00586F2F" w:rsidRPr="00937642" w:rsidRDefault="00DA7C20" w:rsidP="00937642">
      <w:pPr>
        <w:tabs>
          <w:tab w:val="center" w:pos="4252"/>
          <w:tab w:val="right" w:pos="8504"/>
        </w:tabs>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a) Admisión del Recurso Revisión</w:t>
      </w:r>
      <w:r w:rsidR="00C451D4" w:rsidRPr="00937642">
        <w:rPr>
          <w:rFonts w:ascii="Palatino Linotype" w:eastAsia="Palatino Linotype" w:hAnsi="Palatino Linotype" w:cs="Palatino Linotype"/>
          <w:b/>
        </w:rPr>
        <w:t>.</w:t>
      </w:r>
    </w:p>
    <w:p w14:paraId="569314E8" w14:textId="77777777" w:rsidR="00586F2F" w:rsidRPr="00937642" w:rsidRDefault="00DA7C20" w:rsidP="00937642">
      <w:pPr>
        <w:tabs>
          <w:tab w:val="center" w:pos="4252"/>
          <w:tab w:val="right" w:pos="8504"/>
        </w:tabs>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De las constancias del expediente electrónico del</w:t>
      </w:r>
      <w:r w:rsidRPr="00937642">
        <w:rPr>
          <w:rFonts w:ascii="Palatino Linotype" w:eastAsia="Palatino Linotype" w:hAnsi="Palatino Linotype" w:cs="Palatino Linotype"/>
          <w:b/>
        </w:rPr>
        <w:t xml:space="preserve"> SAIMEX</w:t>
      </w:r>
      <w:r w:rsidRPr="00937642">
        <w:rPr>
          <w:rFonts w:ascii="Palatino Linotype" w:eastAsia="Palatino Linotype" w:hAnsi="Palatino Linotype" w:cs="Palatino Linotype"/>
        </w:rPr>
        <w:t xml:space="preserve">, se advierte que el </w:t>
      </w:r>
      <w:r w:rsidR="00D95BFA" w:rsidRPr="00937642">
        <w:rPr>
          <w:rFonts w:ascii="Palatino Linotype" w:eastAsia="Palatino Linotype" w:hAnsi="Palatino Linotype" w:cs="Palatino Linotype"/>
          <w:b/>
        </w:rPr>
        <w:t>veinticinco</w:t>
      </w:r>
      <w:r w:rsidRPr="00937642">
        <w:rPr>
          <w:rFonts w:ascii="Palatino Linotype" w:eastAsia="Palatino Linotype" w:hAnsi="Palatino Linotype" w:cs="Palatino Linotype"/>
          <w:b/>
        </w:rPr>
        <w:t xml:space="preserve"> de </w:t>
      </w:r>
      <w:r w:rsidR="00D95BFA" w:rsidRPr="00937642">
        <w:rPr>
          <w:rFonts w:ascii="Palatino Linotype" w:eastAsia="Palatino Linotype" w:hAnsi="Palatino Linotype" w:cs="Palatino Linotype"/>
          <w:b/>
        </w:rPr>
        <w:t>enero</w:t>
      </w:r>
      <w:r w:rsidRPr="00937642">
        <w:rPr>
          <w:rFonts w:ascii="Palatino Linotype" w:eastAsia="Palatino Linotype" w:hAnsi="Palatino Linotype" w:cs="Palatino Linotype"/>
          <w:b/>
        </w:rPr>
        <w:t xml:space="preserve"> de dos mil </w:t>
      </w:r>
      <w:r w:rsidR="00C451D4" w:rsidRPr="00937642">
        <w:rPr>
          <w:rFonts w:ascii="Palatino Linotype" w:eastAsia="Palatino Linotype" w:hAnsi="Palatino Linotype" w:cs="Palatino Linotype"/>
          <w:b/>
        </w:rPr>
        <w:t>veinticuatro</w:t>
      </w:r>
      <w:r w:rsidRPr="00937642">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w:t>
      </w:r>
      <w:r w:rsidRPr="00937642">
        <w:rPr>
          <w:rFonts w:ascii="Palatino Linotype" w:eastAsia="Palatino Linotype" w:hAnsi="Palatino Linotype" w:cs="Palatino Linotype"/>
        </w:rPr>
        <w:lastRenderedPageBreak/>
        <w:t xml:space="preserve">Acceso a la Información Pública del Estado de México y Municipios; </w:t>
      </w:r>
      <w:r w:rsidRPr="00937642">
        <w:rPr>
          <w:rFonts w:ascii="Palatino Linotype" w:eastAsia="Palatino Linotype" w:hAnsi="Palatino Linotype" w:cs="Palatino Linotype"/>
          <w:b/>
        </w:rPr>
        <w:t xml:space="preserve">EL RECURRENTE </w:t>
      </w:r>
      <w:r w:rsidRPr="00937642">
        <w:rPr>
          <w:rFonts w:ascii="Palatino Linotype" w:eastAsia="Palatino Linotype" w:hAnsi="Palatino Linotype" w:cs="Palatino Linotype"/>
        </w:rPr>
        <w:t xml:space="preserve">manifestara lo que a su derecho conviniera, a efecto de presentar pruebas o alegatos y, en su caso, </w:t>
      </w:r>
      <w:r w:rsidRPr="00937642">
        <w:rPr>
          <w:rFonts w:ascii="Palatino Linotype" w:eastAsia="Palatino Linotype" w:hAnsi="Palatino Linotype" w:cs="Palatino Linotype"/>
          <w:b/>
        </w:rPr>
        <w:t xml:space="preserve">EL SUJETO OBLIGADO </w:t>
      </w:r>
      <w:r w:rsidRPr="00937642">
        <w:rPr>
          <w:rFonts w:ascii="Palatino Linotype" w:eastAsia="Palatino Linotype" w:hAnsi="Palatino Linotype" w:cs="Palatino Linotype"/>
        </w:rPr>
        <w:t>rindiera su correspondiente Informe Justificado.</w:t>
      </w:r>
    </w:p>
    <w:p w14:paraId="6395E7D0" w14:textId="77777777" w:rsidR="00586F2F" w:rsidRPr="00937642" w:rsidRDefault="00586F2F" w:rsidP="00937642">
      <w:pPr>
        <w:tabs>
          <w:tab w:val="center" w:pos="4252"/>
          <w:tab w:val="right" w:pos="8504"/>
        </w:tabs>
        <w:spacing w:line="360" w:lineRule="auto"/>
        <w:jc w:val="both"/>
        <w:rPr>
          <w:rFonts w:ascii="Palatino Linotype" w:eastAsia="Palatino Linotype" w:hAnsi="Palatino Linotype" w:cs="Palatino Linotype"/>
        </w:rPr>
      </w:pPr>
    </w:p>
    <w:p w14:paraId="08EB071C" w14:textId="77777777" w:rsidR="00586F2F" w:rsidRPr="00937642" w:rsidRDefault="00DA7C20" w:rsidP="00937642">
      <w:pP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b) Informe Justificado y manifestaciones</w:t>
      </w:r>
      <w:r w:rsidR="007F3DF4" w:rsidRPr="00937642">
        <w:rPr>
          <w:rFonts w:ascii="Palatino Linotype" w:eastAsia="Palatino Linotype" w:hAnsi="Palatino Linotype" w:cs="Palatino Linotype"/>
          <w:b/>
        </w:rPr>
        <w:t>.</w:t>
      </w:r>
    </w:p>
    <w:p w14:paraId="3B7C69E8" w14:textId="77777777" w:rsidR="00D23228"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De acuerdo a las constancias digitales que obran en </w:t>
      </w:r>
      <w:r w:rsidRPr="00937642">
        <w:rPr>
          <w:rFonts w:ascii="Palatino Linotype" w:eastAsia="Palatino Linotype" w:hAnsi="Palatino Linotype" w:cs="Palatino Linotype"/>
          <w:b/>
        </w:rPr>
        <w:t>EL</w:t>
      </w:r>
      <w:r w:rsidRPr="00937642">
        <w:rPr>
          <w:rFonts w:ascii="Palatino Linotype" w:eastAsia="Palatino Linotype" w:hAnsi="Palatino Linotype" w:cs="Palatino Linotype"/>
        </w:rPr>
        <w:t xml:space="preserve"> </w:t>
      </w:r>
      <w:r w:rsidRPr="00937642">
        <w:rPr>
          <w:rFonts w:ascii="Palatino Linotype" w:eastAsia="Palatino Linotype" w:hAnsi="Palatino Linotype" w:cs="Palatino Linotype"/>
          <w:b/>
        </w:rPr>
        <w:t>SAIMEX</w:t>
      </w:r>
      <w:r w:rsidR="00EC7C2C" w:rsidRPr="00937642">
        <w:rPr>
          <w:rFonts w:ascii="Palatino Linotype" w:eastAsia="Palatino Linotype" w:hAnsi="Palatino Linotype" w:cs="Palatino Linotype"/>
        </w:rPr>
        <w:t xml:space="preserve"> se desprende que </w:t>
      </w:r>
      <w:r w:rsidR="00EC7C2C" w:rsidRPr="00937642">
        <w:rPr>
          <w:rFonts w:ascii="Palatino Linotype" w:eastAsia="Palatino Linotype" w:hAnsi="Palatino Linotype" w:cs="Palatino Linotype"/>
          <w:b/>
        </w:rPr>
        <w:t xml:space="preserve">EL RECURRENTE </w:t>
      </w:r>
      <w:r w:rsidR="00EC7C2C" w:rsidRPr="00937642">
        <w:rPr>
          <w:rFonts w:ascii="Palatino Linotype" w:eastAsia="Palatino Linotype" w:hAnsi="Palatino Linotype" w:cs="Palatino Linotype"/>
        </w:rPr>
        <w:t xml:space="preserve">no realizó manifestación alguna; por su parte, </w:t>
      </w:r>
      <w:r w:rsidR="00EC7C2C" w:rsidRPr="00937642">
        <w:rPr>
          <w:rFonts w:ascii="Palatino Linotype" w:eastAsia="Palatino Linotype" w:hAnsi="Palatino Linotype" w:cs="Palatino Linotype"/>
          <w:b/>
        </w:rPr>
        <w:t xml:space="preserve">EL SUJETO OBLIGADO, </w:t>
      </w:r>
      <w:r w:rsidR="00EC7C2C" w:rsidRPr="00937642">
        <w:rPr>
          <w:rFonts w:ascii="Palatino Linotype" w:eastAsia="Palatino Linotype" w:hAnsi="Palatino Linotype" w:cs="Palatino Linotype"/>
        </w:rPr>
        <w:t>remitió el archivo digital que a continuación se describe:</w:t>
      </w:r>
    </w:p>
    <w:p w14:paraId="2EF7AD9E" w14:textId="77777777" w:rsidR="00EC7C2C" w:rsidRPr="00937642" w:rsidRDefault="00EC7C2C" w:rsidP="00937642">
      <w:pPr>
        <w:spacing w:line="360" w:lineRule="auto"/>
        <w:jc w:val="both"/>
        <w:rPr>
          <w:rFonts w:ascii="Palatino Linotype" w:eastAsia="Palatino Linotype" w:hAnsi="Palatino Linotype" w:cs="Palatino Linotype"/>
        </w:rPr>
      </w:pPr>
    </w:p>
    <w:p w14:paraId="6ECC530C" w14:textId="77777777" w:rsidR="00EC7C2C" w:rsidRPr="00937642" w:rsidRDefault="00EC7C2C" w:rsidP="00937642">
      <w:pPr>
        <w:pStyle w:val="Prrafodelista"/>
        <w:numPr>
          <w:ilvl w:val="0"/>
          <w:numId w:val="11"/>
        </w:numPr>
        <w:spacing w:line="360" w:lineRule="auto"/>
        <w:jc w:val="both"/>
        <w:rPr>
          <w:rFonts w:ascii="Palatino Linotype" w:eastAsia="Palatino Linotype" w:hAnsi="Palatino Linotype" w:cs="Palatino Linotype"/>
          <w:b/>
          <w:i/>
        </w:rPr>
      </w:pPr>
      <w:r w:rsidRPr="00937642">
        <w:rPr>
          <w:rFonts w:ascii="Palatino Linotype" w:eastAsia="Palatino Linotype" w:hAnsi="Palatino Linotype" w:cs="Palatino Linotype"/>
          <w:b/>
          <w:i/>
        </w:rPr>
        <w:t>“</w:t>
      </w:r>
      <w:r w:rsidR="00D95BFA" w:rsidRPr="00937642">
        <w:rPr>
          <w:rFonts w:ascii="Palatino Linotype" w:eastAsia="Palatino Linotype" w:hAnsi="Palatino Linotype" w:cs="Palatino Linotype"/>
          <w:b/>
          <w:i/>
        </w:rPr>
        <w:t xml:space="preserve">acta </w:t>
      </w:r>
      <w:proofErr w:type="spellStart"/>
      <w:r w:rsidR="00D95BFA" w:rsidRPr="00937642">
        <w:rPr>
          <w:rFonts w:ascii="Palatino Linotype" w:eastAsia="Palatino Linotype" w:hAnsi="Palatino Linotype" w:cs="Palatino Linotype"/>
          <w:b/>
          <w:i/>
        </w:rPr>
        <w:t>sesion</w:t>
      </w:r>
      <w:proofErr w:type="spellEnd"/>
      <w:r w:rsidR="00D95BFA" w:rsidRPr="00937642">
        <w:rPr>
          <w:rFonts w:ascii="Palatino Linotype" w:eastAsia="Palatino Linotype" w:hAnsi="Palatino Linotype" w:cs="Palatino Linotype"/>
          <w:b/>
          <w:i/>
        </w:rPr>
        <w:t xml:space="preserve"> 01.pdf</w:t>
      </w:r>
      <w:r w:rsidRPr="00937642">
        <w:rPr>
          <w:rFonts w:ascii="Palatino Linotype" w:eastAsia="Palatino Linotype" w:hAnsi="Palatino Linotype" w:cs="Palatino Linotype"/>
          <w:b/>
          <w:i/>
        </w:rPr>
        <w:t xml:space="preserve">”: </w:t>
      </w:r>
      <w:r w:rsidRPr="00937642">
        <w:rPr>
          <w:rFonts w:ascii="Palatino Linotype" w:eastAsia="Palatino Linotype" w:hAnsi="Palatino Linotype" w:cs="Palatino Linotype"/>
        </w:rPr>
        <w:t xml:space="preserve">documento constante de </w:t>
      </w:r>
      <w:r w:rsidR="00D95BFA" w:rsidRPr="00937642">
        <w:rPr>
          <w:rFonts w:ascii="Palatino Linotype" w:eastAsia="Palatino Linotype" w:hAnsi="Palatino Linotype" w:cs="Palatino Linotype"/>
        </w:rPr>
        <w:t>ochenta</w:t>
      </w:r>
      <w:r w:rsidRPr="00937642">
        <w:rPr>
          <w:rFonts w:ascii="Palatino Linotype" w:eastAsia="Palatino Linotype" w:hAnsi="Palatino Linotype" w:cs="Palatino Linotype"/>
        </w:rPr>
        <w:t xml:space="preserve"> fojas útiles, de cuyo contenido se advierte el</w:t>
      </w:r>
      <w:r w:rsidR="00D95BFA" w:rsidRPr="00937642">
        <w:rPr>
          <w:rFonts w:ascii="Palatino Linotype" w:eastAsia="Palatino Linotype" w:hAnsi="Palatino Linotype" w:cs="Palatino Linotype"/>
        </w:rPr>
        <w:t xml:space="preserve"> acta de la sesión ordinaria número 01/2024</w:t>
      </w:r>
      <w:r w:rsidR="00E0099B" w:rsidRPr="00937642">
        <w:rPr>
          <w:rFonts w:ascii="Palatino Linotype" w:eastAsia="Palatino Linotype" w:hAnsi="Palatino Linotype" w:cs="Palatino Linotype"/>
        </w:rPr>
        <w:t xml:space="preserve"> del Comité de Transparencia</w:t>
      </w:r>
      <w:r w:rsidR="00D95BFA" w:rsidRPr="00937642">
        <w:rPr>
          <w:rFonts w:ascii="Palatino Linotype" w:eastAsia="Palatino Linotype" w:hAnsi="Palatino Linotype" w:cs="Palatino Linotype"/>
        </w:rPr>
        <w:t xml:space="preserve">, por medio del cual se aprueba </w:t>
      </w:r>
      <w:r w:rsidR="00E0099B" w:rsidRPr="00937642">
        <w:rPr>
          <w:rFonts w:ascii="Palatino Linotype" w:eastAsia="Palatino Linotype" w:hAnsi="Palatino Linotype" w:cs="Palatino Linotype"/>
        </w:rPr>
        <w:t>la clasificación del pronunciamiento de la persona referida en la solicitud 10266/FGJ/IP/2023, como reservada por un periodo de cinco años.</w:t>
      </w:r>
    </w:p>
    <w:p w14:paraId="2F9AEC98" w14:textId="77777777" w:rsidR="00E0099B" w:rsidRPr="00937642" w:rsidRDefault="00E0099B" w:rsidP="00937642">
      <w:pPr>
        <w:pStyle w:val="Prrafodelista"/>
        <w:numPr>
          <w:ilvl w:val="0"/>
          <w:numId w:val="11"/>
        </w:numPr>
        <w:spacing w:line="360" w:lineRule="auto"/>
        <w:jc w:val="both"/>
        <w:rPr>
          <w:rFonts w:ascii="Palatino Linotype" w:eastAsia="Palatino Linotype" w:hAnsi="Palatino Linotype" w:cs="Palatino Linotype"/>
          <w:b/>
          <w:i/>
        </w:rPr>
      </w:pPr>
      <w:r w:rsidRPr="00937642">
        <w:rPr>
          <w:rFonts w:ascii="Palatino Linotype" w:eastAsia="Palatino Linotype" w:hAnsi="Palatino Linotype" w:cs="Palatino Linotype"/>
          <w:b/>
          <w:i/>
        </w:rPr>
        <w:t xml:space="preserve">“. OFICIO INFORME JUSTIFICADO RR 202-2024 OF. 375.pdf”: </w:t>
      </w:r>
      <w:r w:rsidRPr="00937642">
        <w:rPr>
          <w:rFonts w:ascii="Palatino Linotype" w:eastAsia="Palatino Linotype" w:hAnsi="Palatino Linotype" w:cs="Palatino Linotype"/>
        </w:rPr>
        <w:t>documento constante de una foja útil, de cuyo contenido se advierte el oficio con número de registro 0375/MAIP/FGJ/2024, suscrito por la Titular de la Unidad de Transparencia, por medio del cual indica que se adjunta el informe justificado de mérito.</w:t>
      </w:r>
    </w:p>
    <w:p w14:paraId="65735929" w14:textId="77777777" w:rsidR="00E0099B" w:rsidRPr="00937642" w:rsidRDefault="00E0099B" w:rsidP="00937642">
      <w:pPr>
        <w:pStyle w:val="Prrafodelista"/>
        <w:numPr>
          <w:ilvl w:val="0"/>
          <w:numId w:val="11"/>
        </w:numPr>
        <w:spacing w:line="360" w:lineRule="auto"/>
        <w:jc w:val="both"/>
        <w:rPr>
          <w:rFonts w:ascii="Palatino Linotype" w:eastAsia="Palatino Linotype" w:hAnsi="Palatino Linotype" w:cs="Palatino Linotype"/>
          <w:b/>
          <w:i/>
        </w:rPr>
      </w:pPr>
      <w:r w:rsidRPr="00937642">
        <w:rPr>
          <w:rFonts w:ascii="Palatino Linotype" w:eastAsia="Palatino Linotype" w:hAnsi="Palatino Linotype" w:cs="Palatino Linotype"/>
          <w:b/>
          <w:i/>
        </w:rPr>
        <w:t xml:space="preserve">“. INFORME JUSTIFICADO RR 202-2024 OF. 374_2024.pdf”: </w:t>
      </w:r>
      <w:r w:rsidRPr="00937642">
        <w:rPr>
          <w:rFonts w:ascii="Palatino Linotype" w:eastAsia="Palatino Linotype" w:hAnsi="Palatino Linotype" w:cs="Palatino Linotype"/>
        </w:rPr>
        <w:t>documento constante de seis fojas útiles, de cuyo contenido se advierte</w:t>
      </w:r>
      <w:r w:rsidR="00AC0C65" w:rsidRPr="00937642">
        <w:rPr>
          <w:rFonts w:ascii="Palatino Linotype" w:eastAsia="Palatino Linotype" w:hAnsi="Palatino Linotype" w:cs="Palatino Linotype"/>
        </w:rPr>
        <w:t xml:space="preserve"> el informe justificado, a través del </w:t>
      </w:r>
      <w:r w:rsidRPr="00937642">
        <w:rPr>
          <w:rFonts w:ascii="Palatino Linotype" w:eastAsia="Palatino Linotype" w:hAnsi="Palatino Linotype" w:cs="Palatino Linotype"/>
        </w:rPr>
        <w:t>oficio con número de registro 0374/MAIP/FGJ/2024, suscrito por la Titular de la Unidad de Tr</w:t>
      </w:r>
      <w:r w:rsidR="00AC0C65" w:rsidRPr="00937642">
        <w:rPr>
          <w:rFonts w:ascii="Palatino Linotype" w:eastAsia="Palatino Linotype" w:hAnsi="Palatino Linotype" w:cs="Palatino Linotype"/>
        </w:rPr>
        <w:t xml:space="preserve">ansparencia, por el que se reitera la </w:t>
      </w:r>
      <w:r w:rsidR="00AC0C65" w:rsidRPr="00937642">
        <w:rPr>
          <w:rFonts w:ascii="Palatino Linotype" w:eastAsia="Palatino Linotype" w:hAnsi="Palatino Linotype" w:cs="Palatino Linotype"/>
        </w:rPr>
        <w:lastRenderedPageBreak/>
        <w:t>clasificación del pronunciamiento respecto a la solicitud realizada por el particular.</w:t>
      </w:r>
    </w:p>
    <w:p w14:paraId="153060D9" w14:textId="77777777" w:rsidR="00586F2F" w:rsidRPr="00937642" w:rsidRDefault="00586F2F" w:rsidP="00937642">
      <w:pPr>
        <w:spacing w:line="360" w:lineRule="auto"/>
        <w:jc w:val="both"/>
        <w:rPr>
          <w:rFonts w:ascii="Palatino Linotype" w:eastAsia="Palatino Linotype" w:hAnsi="Palatino Linotype" w:cs="Palatino Linotype"/>
        </w:rPr>
      </w:pPr>
    </w:p>
    <w:p w14:paraId="7C002E55" w14:textId="77777777" w:rsidR="00586F2F" w:rsidRPr="00937642" w:rsidRDefault="007F3DF4" w:rsidP="00937642">
      <w:pPr>
        <w:pBdr>
          <w:top w:val="nil"/>
          <w:left w:val="nil"/>
          <w:bottom w:val="nil"/>
          <w:right w:val="nil"/>
          <w:between w:val="nil"/>
        </w:pBd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c</w:t>
      </w:r>
      <w:r w:rsidR="00DA7C20" w:rsidRPr="00937642">
        <w:rPr>
          <w:rFonts w:ascii="Palatino Linotype" w:eastAsia="Palatino Linotype" w:hAnsi="Palatino Linotype" w:cs="Palatino Linotype"/>
          <w:b/>
        </w:rPr>
        <w:t>) Cierre de Instrucción.</w:t>
      </w:r>
    </w:p>
    <w:p w14:paraId="2DFE7A5A"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Una vez analizado el estado procesal que guarda el expediente, el </w:t>
      </w:r>
      <w:r w:rsidR="00AC0C65" w:rsidRPr="00937642">
        <w:rPr>
          <w:rFonts w:ascii="Palatino Linotype" w:eastAsia="Palatino Linotype" w:hAnsi="Palatino Linotype" w:cs="Palatino Linotype"/>
          <w:b/>
        </w:rPr>
        <w:t>doce</w:t>
      </w:r>
      <w:r w:rsidRPr="00937642">
        <w:rPr>
          <w:rFonts w:ascii="Palatino Linotype" w:eastAsia="Palatino Linotype" w:hAnsi="Palatino Linotype" w:cs="Palatino Linotype"/>
          <w:b/>
        </w:rPr>
        <w:t xml:space="preserve"> de </w:t>
      </w:r>
      <w:r w:rsidR="00AC0C65" w:rsidRPr="00937642">
        <w:rPr>
          <w:rFonts w:ascii="Palatino Linotype" w:eastAsia="Palatino Linotype" w:hAnsi="Palatino Linotype" w:cs="Palatino Linotype"/>
          <w:b/>
        </w:rPr>
        <w:t>marzo</w:t>
      </w:r>
      <w:r w:rsidRPr="00937642">
        <w:rPr>
          <w:rFonts w:ascii="Palatino Linotype" w:eastAsia="Palatino Linotype" w:hAnsi="Palatino Linotype" w:cs="Palatino Linotype"/>
          <w:b/>
        </w:rPr>
        <w:t xml:space="preserve"> de dos mil veinticuatro</w:t>
      </w:r>
      <w:r w:rsidRPr="00937642">
        <w:rPr>
          <w:rFonts w:ascii="Palatino Linotype" w:eastAsia="Palatino Linotype" w:hAnsi="Palatino Linotype" w:cs="Palatino Linotype"/>
        </w:rPr>
        <w:t xml:space="preserve">, la </w:t>
      </w:r>
      <w:r w:rsidRPr="00937642">
        <w:rPr>
          <w:rFonts w:ascii="Palatino Linotype" w:eastAsia="Palatino Linotype" w:hAnsi="Palatino Linotype" w:cs="Palatino Linotype"/>
          <w:b/>
        </w:rPr>
        <w:t>Comisionada Sharon Cristina Morales Martínez</w:t>
      </w:r>
      <w:r w:rsidRPr="00937642">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16A891C2" w14:textId="77777777" w:rsidR="00586F2F" w:rsidRPr="00937642" w:rsidRDefault="00586F2F" w:rsidP="00937642">
      <w:pPr>
        <w:spacing w:line="360" w:lineRule="auto"/>
        <w:jc w:val="both"/>
        <w:rPr>
          <w:rFonts w:ascii="Palatino Linotype" w:eastAsia="Palatino Linotype" w:hAnsi="Palatino Linotype" w:cs="Palatino Linotype"/>
        </w:rPr>
      </w:pPr>
    </w:p>
    <w:p w14:paraId="5BEC88C1" w14:textId="77777777" w:rsidR="00586F2F" w:rsidRPr="00937642" w:rsidRDefault="00DA7C20" w:rsidP="00937642">
      <w:pPr>
        <w:spacing w:line="360" w:lineRule="auto"/>
        <w:jc w:val="center"/>
        <w:rPr>
          <w:rFonts w:ascii="Palatino Linotype" w:eastAsia="Palatino Linotype" w:hAnsi="Palatino Linotype" w:cs="Palatino Linotype"/>
          <w:b/>
        </w:rPr>
      </w:pPr>
      <w:r w:rsidRPr="00937642">
        <w:rPr>
          <w:rFonts w:ascii="Palatino Linotype" w:eastAsia="Palatino Linotype" w:hAnsi="Palatino Linotype" w:cs="Palatino Linotype"/>
          <w:b/>
        </w:rPr>
        <w:t>CONSIDERANDOS</w:t>
      </w:r>
    </w:p>
    <w:p w14:paraId="1C4746AE" w14:textId="77777777" w:rsidR="00586F2F" w:rsidRPr="00937642" w:rsidRDefault="00586F2F" w:rsidP="00937642">
      <w:pPr>
        <w:spacing w:line="360" w:lineRule="auto"/>
        <w:jc w:val="center"/>
        <w:rPr>
          <w:rFonts w:ascii="Palatino Linotype" w:eastAsia="Palatino Linotype" w:hAnsi="Palatino Linotype" w:cs="Palatino Linotype"/>
          <w:b/>
        </w:rPr>
      </w:pPr>
    </w:p>
    <w:p w14:paraId="756F50A2" w14:textId="77777777" w:rsidR="00586F2F" w:rsidRPr="00937642" w:rsidRDefault="00DA7C20" w:rsidP="00937642">
      <w:pPr>
        <w:spacing w:line="360" w:lineRule="auto"/>
        <w:ind w:right="50"/>
        <w:jc w:val="both"/>
        <w:rPr>
          <w:rFonts w:ascii="Palatino Linotype" w:eastAsia="Palatino Linotype" w:hAnsi="Palatino Linotype" w:cs="Palatino Linotype"/>
          <w:b/>
        </w:rPr>
      </w:pPr>
      <w:r w:rsidRPr="00937642">
        <w:rPr>
          <w:rFonts w:ascii="Palatino Linotype" w:eastAsia="Palatino Linotype" w:hAnsi="Palatino Linotype" w:cs="Palatino Linotype"/>
          <w:b/>
        </w:rPr>
        <w:t>PRIMERO.</w:t>
      </w:r>
      <w:r w:rsidRPr="00937642">
        <w:rPr>
          <w:rFonts w:ascii="Palatino Linotype" w:eastAsia="Palatino Linotype" w:hAnsi="Palatino Linotype" w:cs="Palatino Linotype"/>
        </w:rPr>
        <w:t xml:space="preserve"> </w:t>
      </w:r>
      <w:r w:rsidRPr="00937642">
        <w:rPr>
          <w:rFonts w:ascii="Palatino Linotype" w:eastAsia="Palatino Linotype" w:hAnsi="Palatino Linotype" w:cs="Palatino Linotype"/>
          <w:b/>
        </w:rPr>
        <w:t>Competencia</w:t>
      </w:r>
      <w:r w:rsidRPr="00937642">
        <w:rPr>
          <w:rFonts w:ascii="Palatino Linotype" w:eastAsia="Palatino Linotype" w:hAnsi="Palatino Linotype" w:cs="Palatino Linotype"/>
        </w:rPr>
        <w:t>.</w:t>
      </w:r>
    </w:p>
    <w:p w14:paraId="4A75455F" w14:textId="77777777" w:rsidR="00586F2F" w:rsidRPr="00937642" w:rsidRDefault="00DA7C20" w:rsidP="00937642">
      <w:pPr>
        <w:spacing w:line="360" w:lineRule="auto"/>
        <w:ind w:right="50"/>
        <w:jc w:val="both"/>
        <w:rPr>
          <w:rFonts w:ascii="Palatino Linotype" w:eastAsia="Palatino Linotype" w:hAnsi="Palatino Linotype" w:cs="Palatino Linotype"/>
        </w:rPr>
      </w:pPr>
      <w:r w:rsidRPr="00937642">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FF3245B" w14:textId="77777777" w:rsidR="00586F2F" w:rsidRPr="00937642" w:rsidRDefault="00586F2F" w:rsidP="00937642">
      <w:pPr>
        <w:spacing w:line="360" w:lineRule="auto"/>
        <w:ind w:right="50"/>
        <w:jc w:val="both"/>
        <w:rPr>
          <w:rFonts w:ascii="Palatino Linotype" w:eastAsia="Palatino Linotype" w:hAnsi="Palatino Linotype" w:cs="Palatino Linotype"/>
        </w:rPr>
      </w:pPr>
    </w:p>
    <w:p w14:paraId="7DC67E89" w14:textId="77777777" w:rsidR="00586F2F" w:rsidRPr="00937642" w:rsidRDefault="00DA7C20" w:rsidP="00937642">
      <w:pP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SEGUNDO. Interés.</w:t>
      </w:r>
    </w:p>
    <w:p w14:paraId="42F158E9"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El Recurso Revisión fue interpuesto por parte legítima, en atención a que se presentó por </w:t>
      </w:r>
      <w:r w:rsidRPr="00937642">
        <w:rPr>
          <w:rFonts w:ascii="Palatino Linotype" w:eastAsia="Palatino Linotype" w:hAnsi="Palatino Linotype" w:cs="Palatino Linotype"/>
          <w:b/>
        </w:rPr>
        <w:t>EL RECURRENTE,</w:t>
      </w:r>
      <w:r w:rsidRPr="00937642">
        <w:rPr>
          <w:rFonts w:ascii="Palatino Linotype" w:eastAsia="Palatino Linotype" w:hAnsi="Palatino Linotype" w:cs="Palatino Linotype"/>
        </w:rPr>
        <w:t xml:space="preserve"> quien es la misma persona que formuló la solicitud de acceso a la Información Pública al </w:t>
      </w:r>
      <w:r w:rsidRPr="00937642">
        <w:rPr>
          <w:rFonts w:ascii="Palatino Linotype" w:eastAsia="Palatino Linotype" w:hAnsi="Palatino Linotype" w:cs="Palatino Linotype"/>
          <w:b/>
        </w:rPr>
        <w:t xml:space="preserve">SUJETO OBLIGADO, </w:t>
      </w:r>
      <w:r w:rsidRPr="00937642">
        <w:rPr>
          <w:rFonts w:ascii="Palatino Linotype" w:eastAsia="Palatino Linotype" w:hAnsi="Palatino Linotype" w:cs="Palatino Linotype"/>
        </w:rPr>
        <w:t xml:space="preserve">pues para ello, es necesario que el particular ingrese al </w:t>
      </w:r>
      <w:r w:rsidRPr="00937642">
        <w:rPr>
          <w:rFonts w:ascii="Palatino Linotype" w:eastAsia="Palatino Linotype" w:hAnsi="Palatino Linotype" w:cs="Palatino Linotype"/>
          <w:b/>
        </w:rPr>
        <w:t xml:space="preserve">SAIMEX </w:t>
      </w:r>
      <w:r w:rsidRPr="00937642">
        <w:rPr>
          <w:rFonts w:ascii="Palatino Linotype" w:eastAsia="Palatino Linotype" w:hAnsi="Palatino Linotype" w:cs="Palatino Linotype"/>
        </w:rPr>
        <w:t>mediante la utilización de su clave de usuario y contraseña.</w:t>
      </w:r>
    </w:p>
    <w:p w14:paraId="3FECC853" w14:textId="77777777" w:rsidR="00586F2F" w:rsidRPr="00937642" w:rsidRDefault="00586F2F" w:rsidP="00937642">
      <w:pPr>
        <w:spacing w:line="360" w:lineRule="auto"/>
        <w:jc w:val="both"/>
        <w:rPr>
          <w:rFonts w:ascii="Palatino Linotype" w:eastAsia="Palatino Linotype" w:hAnsi="Palatino Linotype" w:cs="Palatino Linotype"/>
        </w:rPr>
      </w:pPr>
    </w:p>
    <w:p w14:paraId="79CDDE48" w14:textId="77777777" w:rsidR="00586F2F" w:rsidRPr="00937642" w:rsidRDefault="00DA7C20" w:rsidP="00937642">
      <w:pPr>
        <w:spacing w:line="360" w:lineRule="auto"/>
        <w:ind w:right="49"/>
        <w:jc w:val="both"/>
        <w:rPr>
          <w:rFonts w:ascii="Palatino Linotype" w:eastAsia="Palatino Linotype" w:hAnsi="Palatino Linotype" w:cs="Palatino Linotype"/>
          <w:b/>
        </w:rPr>
      </w:pPr>
      <w:r w:rsidRPr="00937642">
        <w:rPr>
          <w:rFonts w:ascii="Palatino Linotype" w:eastAsia="Palatino Linotype" w:hAnsi="Palatino Linotype" w:cs="Palatino Linotype"/>
          <w:b/>
        </w:rPr>
        <w:t xml:space="preserve">TERCERO. Oportunidad. </w:t>
      </w:r>
    </w:p>
    <w:p w14:paraId="69D570F5"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937642">
        <w:rPr>
          <w:rFonts w:ascii="Palatino Linotype" w:eastAsia="Palatino Linotype" w:hAnsi="Palatino Linotype" w:cs="Palatino Linotype"/>
          <w:b/>
        </w:rPr>
        <w:t>EL RECURRENTE</w:t>
      </w:r>
      <w:r w:rsidRPr="00937642">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3C5B4A22" w14:textId="77777777" w:rsidR="007F3DF4" w:rsidRPr="00937642" w:rsidRDefault="007F3DF4" w:rsidP="00937642">
      <w:pPr>
        <w:spacing w:line="360" w:lineRule="auto"/>
        <w:jc w:val="both"/>
        <w:rPr>
          <w:rFonts w:ascii="Palatino Linotype" w:eastAsia="Palatino Linotype" w:hAnsi="Palatino Linotype" w:cs="Palatino Linotype"/>
        </w:rPr>
      </w:pPr>
    </w:p>
    <w:p w14:paraId="1537E01B" w14:textId="77777777" w:rsidR="00586F2F" w:rsidRPr="00937642" w:rsidRDefault="00DA7C20" w:rsidP="00937642">
      <w:pPr>
        <w:spacing w:line="360" w:lineRule="auto"/>
        <w:ind w:left="851" w:right="850"/>
        <w:jc w:val="both"/>
        <w:rPr>
          <w:rFonts w:ascii="Palatino Linotype" w:eastAsia="Palatino Linotype" w:hAnsi="Palatino Linotype" w:cs="Palatino Linotype"/>
          <w:i/>
        </w:rPr>
      </w:pPr>
      <w:r w:rsidRPr="00937642">
        <w:rPr>
          <w:rFonts w:ascii="Palatino Linotype" w:eastAsia="Palatino Linotype" w:hAnsi="Palatino Linotype" w:cs="Palatino Linotype"/>
          <w:b/>
          <w:i/>
        </w:rPr>
        <w:t>“Artículo 178</w:t>
      </w:r>
      <w:r w:rsidRPr="00937642">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B9D38EA" w14:textId="77777777" w:rsidR="00586F2F" w:rsidRPr="00937642" w:rsidRDefault="00DA7C20" w:rsidP="00937642">
      <w:pPr>
        <w:spacing w:line="360" w:lineRule="auto"/>
        <w:ind w:left="851" w:right="850"/>
        <w:jc w:val="both"/>
        <w:rPr>
          <w:rFonts w:ascii="Palatino Linotype" w:eastAsia="Palatino Linotype" w:hAnsi="Palatino Linotype" w:cs="Palatino Linotype"/>
          <w:i/>
        </w:rPr>
      </w:pPr>
      <w:r w:rsidRPr="00937642">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99D18F5" w14:textId="77777777" w:rsidR="00586F2F" w:rsidRPr="00937642" w:rsidRDefault="00DA7C20" w:rsidP="00937642">
      <w:pPr>
        <w:spacing w:line="360" w:lineRule="auto"/>
        <w:ind w:left="851" w:right="850"/>
        <w:jc w:val="both"/>
        <w:rPr>
          <w:rFonts w:ascii="Palatino Linotype" w:eastAsia="Palatino Linotype" w:hAnsi="Palatino Linotype" w:cs="Palatino Linotype"/>
          <w:i/>
        </w:rPr>
      </w:pPr>
      <w:r w:rsidRPr="00937642">
        <w:rPr>
          <w:rFonts w:ascii="Palatino Linotype" w:eastAsia="Palatino Linotype" w:hAnsi="Palatino Linotype" w:cs="Palatino Linotype"/>
          <w:i/>
        </w:rPr>
        <w:lastRenderedPageBreak/>
        <w:t xml:space="preserve">En el caso de que se interponga ante la Unidad de Transparencia, ésta deberá remitir el Recurso de Revisión al Instituto a más tardar al día siguiente de haberlo recibido.” </w:t>
      </w:r>
      <w:r w:rsidRPr="00937642">
        <w:rPr>
          <w:rFonts w:ascii="Palatino Linotype" w:eastAsia="Palatino Linotype" w:hAnsi="Palatino Linotype" w:cs="Palatino Linotype"/>
        </w:rPr>
        <w:t>(Sic).</w:t>
      </w:r>
    </w:p>
    <w:p w14:paraId="1AD378CD" w14:textId="77777777" w:rsidR="00586F2F" w:rsidRPr="00937642" w:rsidRDefault="00586F2F" w:rsidP="00937642">
      <w:pPr>
        <w:spacing w:line="360" w:lineRule="auto"/>
        <w:ind w:left="851" w:right="616"/>
        <w:jc w:val="both"/>
        <w:rPr>
          <w:rFonts w:ascii="Palatino Linotype" w:eastAsia="Palatino Linotype" w:hAnsi="Palatino Linotype" w:cs="Palatino Linotype"/>
          <w:i/>
        </w:rPr>
      </w:pPr>
    </w:p>
    <w:p w14:paraId="3DCE0573"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En esa tesitura, atendiendo a que </w:t>
      </w:r>
      <w:r w:rsidRPr="00937642">
        <w:rPr>
          <w:rFonts w:ascii="Palatino Linotype" w:eastAsia="Palatino Linotype" w:hAnsi="Palatino Linotype" w:cs="Palatino Linotype"/>
          <w:b/>
        </w:rPr>
        <w:t>EL SUJETO OBLIGADO</w:t>
      </w:r>
      <w:r w:rsidRPr="00937642">
        <w:rPr>
          <w:rFonts w:ascii="Palatino Linotype" w:eastAsia="Palatino Linotype" w:hAnsi="Palatino Linotype" w:cs="Palatino Linotype"/>
        </w:rPr>
        <w:t xml:space="preserve"> notificó la respuesta a la solicitud de Acceso a la Información Pública el </w:t>
      </w:r>
      <w:r w:rsidR="00AC0C65" w:rsidRPr="00937642">
        <w:rPr>
          <w:rFonts w:ascii="Palatino Linotype" w:eastAsia="Palatino Linotype" w:hAnsi="Palatino Linotype" w:cs="Palatino Linotype"/>
          <w:b/>
        </w:rPr>
        <w:t xml:space="preserve">diecisiete </w:t>
      </w:r>
      <w:r w:rsidRPr="00937642">
        <w:rPr>
          <w:rFonts w:ascii="Palatino Linotype" w:eastAsia="Palatino Linotype" w:hAnsi="Palatino Linotype" w:cs="Palatino Linotype"/>
          <w:b/>
        </w:rPr>
        <w:t xml:space="preserve">de </w:t>
      </w:r>
      <w:r w:rsidR="007F3DF4" w:rsidRPr="00937642">
        <w:rPr>
          <w:rFonts w:ascii="Palatino Linotype" w:eastAsia="Palatino Linotype" w:hAnsi="Palatino Linotype" w:cs="Palatino Linotype"/>
          <w:b/>
        </w:rPr>
        <w:t>enero</w:t>
      </w:r>
      <w:r w:rsidRPr="00937642">
        <w:rPr>
          <w:rFonts w:ascii="Palatino Linotype" w:eastAsia="Palatino Linotype" w:hAnsi="Palatino Linotype" w:cs="Palatino Linotype"/>
          <w:b/>
        </w:rPr>
        <w:t xml:space="preserve"> de dos mil </w:t>
      </w:r>
      <w:r w:rsidR="007F3DF4" w:rsidRPr="00937642">
        <w:rPr>
          <w:rFonts w:ascii="Palatino Linotype" w:eastAsia="Palatino Linotype" w:hAnsi="Palatino Linotype" w:cs="Palatino Linotype"/>
          <w:b/>
        </w:rPr>
        <w:t>veinticuatro</w:t>
      </w:r>
      <w:r w:rsidRPr="00937642">
        <w:rPr>
          <w:rFonts w:ascii="Palatino Linotype" w:eastAsia="Palatino Linotype" w:hAnsi="Palatino Linotype" w:cs="Palatino Linotype"/>
        </w:rPr>
        <w:t xml:space="preserve">, así, el plazo de quince días hábiles que el artículo 178 de la Ley de la materia otorga a la hoy </w:t>
      </w:r>
      <w:r w:rsidRPr="00937642">
        <w:rPr>
          <w:rFonts w:ascii="Palatino Linotype" w:eastAsia="Palatino Linotype" w:hAnsi="Palatino Linotype" w:cs="Palatino Linotype"/>
          <w:b/>
        </w:rPr>
        <w:t>RECURRENTE</w:t>
      </w:r>
      <w:r w:rsidRPr="00937642">
        <w:rPr>
          <w:rFonts w:ascii="Palatino Linotype" w:eastAsia="Palatino Linotype" w:hAnsi="Palatino Linotype" w:cs="Palatino Linotype"/>
        </w:rPr>
        <w:t xml:space="preserve"> para presentar el respectivo Recurso de Revisión, transcurrió del </w:t>
      </w:r>
      <w:r w:rsidR="00AC0C65" w:rsidRPr="00937642">
        <w:rPr>
          <w:rFonts w:ascii="Palatino Linotype" w:eastAsia="Palatino Linotype" w:hAnsi="Palatino Linotype" w:cs="Palatino Linotype"/>
          <w:b/>
        </w:rPr>
        <w:t>dieciocho de enero</w:t>
      </w:r>
      <w:r w:rsidR="008151D0" w:rsidRPr="00937642">
        <w:rPr>
          <w:rFonts w:ascii="Palatino Linotype" w:eastAsia="Palatino Linotype" w:hAnsi="Palatino Linotype" w:cs="Palatino Linotype"/>
          <w:b/>
        </w:rPr>
        <w:t xml:space="preserve"> al </w:t>
      </w:r>
      <w:r w:rsidR="00AC0C65" w:rsidRPr="00937642">
        <w:rPr>
          <w:rFonts w:ascii="Palatino Linotype" w:eastAsia="Palatino Linotype" w:hAnsi="Palatino Linotype" w:cs="Palatino Linotype"/>
          <w:b/>
        </w:rPr>
        <w:t>ocho</w:t>
      </w:r>
      <w:r w:rsidR="008151D0" w:rsidRPr="00937642">
        <w:rPr>
          <w:rFonts w:ascii="Palatino Linotype" w:eastAsia="Palatino Linotype" w:hAnsi="Palatino Linotype" w:cs="Palatino Linotype"/>
          <w:b/>
        </w:rPr>
        <w:t xml:space="preserve"> de febrero de dos</w:t>
      </w:r>
      <w:r w:rsidR="007F3DF4" w:rsidRPr="00937642">
        <w:rPr>
          <w:rFonts w:ascii="Palatino Linotype" w:eastAsia="Palatino Linotype" w:hAnsi="Palatino Linotype" w:cs="Palatino Linotype"/>
          <w:b/>
        </w:rPr>
        <w:t xml:space="preserve"> mil veinticuatro</w:t>
      </w:r>
      <w:r w:rsidRPr="00937642">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w:t>
      </w:r>
      <w:r w:rsidR="007F3DF4" w:rsidRPr="00937642">
        <w:rPr>
          <w:rFonts w:ascii="Palatino Linotype" w:eastAsia="Palatino Linotype" w:hAnsi="Palatino Linotype" w:cs="Palatino Linotype"/>
        </w:rPr>
        <w:t>l Estado de México y Municipios, así como aquellos contemplados como días de suspensión de actividades, de conformidad con lo previsto en el calendario oficial de este Instituto.</w:t>
      </w:r>
    </w:p>
    <w:p w14:paraId="23B3D05D" w14:textId="77777777" w:rsidR="00586F2F" w:rsidRPr="00937642" w:rsidRDefault="00586F2F" w:rsidP="00937642">
      <w:pPr>
        <w:spacing w:line="360" w:lineRule="auto"/>
        <w:jc w:val="both"/>
        <w:rPr>
          <w:rFonts w:ascii="Palatino Linotype" w:eastAsia="Palatino Linotype" w:hAnsi="Palatino Linotype" w:cs="Palatino Linotype"/>
        </w:rPr>
      </w:pPr>
    </w:p>
    <w:p w14:paraId="444D537B"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Por tanto, si el Recurso de Revisión que nos ocupa, se tuvo por interpuesto el</w:t>
      </w:r>
      <w:r w:rsidRPr="00937642">
        <w:rPr>
          <w:rFonts w:ascii="Palatino Linotype" w:eastAsia="Palatino Linotype" w:hAnsi="Palatino Linotype" w:cs="Palatino Linotype"/>
          <w:b/>
        </w:rPr>
        <w:t xml:space="preserve"> </w:t>
      </w:r>
      <w:r w:rsidR="00AC0C65" w:rsidRPr="00937642">
        <w:rPr>
          <w:rFonts w:ascii="Palatino Linotype" w:eastAsia="Palatino Linotype" w:hAnsi="Palatino Linotype" w:cs="Palatino Linotype"/>
          <w:b/>
        </w:rPr>
        <w:t>veintidós</w:t>
      </w:r>
      <w:r w:rsidRPr="00937642">
        <w:rPr>
          <w:rFonts w:ascii="Palatino Linotype" w:eastAsia="Palatino Linotype" w:hAnsi="Palatino Linotype" w:cs="Palatino Linotype"/>
          <w:b/>
        </w:rPr>
        <w:t xml:space="preserve"> de </w:t>
      </w:r>
      <w:r w:rsidR="00AC0C65" w:rsidRPr="00937642">
        <w:rPr>
          <w:rFonts w:ascii="Palatino Linotype" w:eastAsia="Palatino Linotype" w:hAnsi="Palatino Linotype" w:cs="Palatino Linotype"/>
          <w:b/>
        </w:rPr>
        <w:t>enero</w:t>
      </w:r>
      <w:r w:rsidRPr="00937642">
        <w:rPr>
          <w:rFonts w:ascii="Palatino Linotype" w:eastAsia="Palatino Linotype" w:hAnsi="Palatino Linotype" w:cs="Palatino Linotype"/>
          <w:b/>
        </w:rPr>
        <w:t xml:space="preserve"> de dos mil </w:t>
      </w:r>
      <w:r w:rsidR="007F3DF4" w:rsidRPr="00937642">
        <w:rPr>
          <w:rFonts w:ascii="Palatino Linotype" w:eastAsia="Palatino Linotype" w:hAnsi="Palatino Linotype" w:cs="Palatino Linotype"/>
          <w:b/>
        </w:rPr>
        <w:t>veinticuatro</w:t>
      </w:r>
      <w:r w:rsidRPr="00937642">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65886B66" w14:textId="77777777" w:rsidR="00586F2F" w:rsidRPr="00937642" w:rsidRDefault="00586F2F" w:rsidP="00937642">
      <w:pPr>
        <w:spacing w:line="360" w:lineRule="auto"/>
        <w:jc w:val="both"/>
        <w:rPr>
          <w:rFonts w:ascii="Palatino Linotype" w:eastAsia="Palatino Linotype" w:hAnsi="Palatino Linotype" w:cs="Palatino Linotype"/>
        </w:rPr>
      </w:pPr>
    </w:p>
    <w:p w14:paraId="3D8D2077" w14:textId="77777777" w:rsidR="00586F2F" w:rsidRPr="00937642" w:rsidRDefault="00DA7C20" w:rsidP="00937642">
      <w:pPr>
        <w:spacing w:line="360" w:lineRule="auto"/>
        <w:ind w:right="49"/>
        <w:jc w:val="both"/>
        <w:rPr>
          <w:rFonts w:ascii="Palatino Linotype" w:eastAsia="Palatino Linotype" w:hAnsi="Palatino Linotype" w:cs="Palatino Linotype"/>
          <w:b/>
        </w:rPr>
      </w:pPr>
      <w:r w:rsidRPr="00937642">
        <w:rPr>
          <w:rFonts w:ascii="Palatino Linotype" w:eastAsia="Palatino Linotype" w:hAnsi="Palatino Linotype" w:cs="Palatino Linotype"/>
          <w:b/>
        </w:rPr>
        <w:t>CUARTO. Procedibilidad.</w:t>
      </w:r>
    </w:p>
    <w:p w14:paraId="6A234B19" w14:textId="77777777" w:rsidR="00AC0C65" w:rsidRPr="00937642" w:rsidRDefault="00AC0C65"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w:t>
      </w:r>
      <w:r w:rsidRPr="00937642">
        <w:rPr>
          <w:rFonts w:ascii="Palatino Linotype" w:eastAsia="Palatino Linotype" w:hAnsi="Palatino Linotype" w:cs="Palatino Linotype"/>
        </w:rPr>
        <w:lastRenderedPageBreak/>
        <w:t>exigidos por el artículo 180 de la Ley de Transparencia y Acceso a la Información Pública del Estado de México y Municipios, que a la letra señala:</w:t>
      </w:r>
    </w:p>
    <w:p w14:paraId="6704DE10" w14:textId="77777777" w:rsidR="00AC0C65" w:rsidRPr="00937642" w:rsidRDefault="00AC0C65" w:rsidP="00937642">
      <w:pPr>
        <w:jc w:val="both"/>
        <w:rPr>
          <w:rFonts w:ascii="Palatino Linotype" w:eastAsia="Palatino Linotype" w:hAnsi="Palatino Linotype" w:cs="Palatino Linotype"/>
        </w:rPr>
      </w:pPr>
    </w:p>
    <w:p w14:paraId="40C7FFCD"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i/>
        </w:rPr>
        <w:t>“</w:t>
      </w:r>
      <w:r w:rsidRPr="00937642">
        <w:rPr>
          <w:rFonts w:ascii="Palatino Linotype" w:eastAsia="Palatino Linotype" w:hAnsi="Palatino Linotype" w:cs="Palatino Linotype"/>
          <w:b/>
          <w:i/>
        </w:rPr>
        <w:t>Artículo 180</w:t>
      </w:r>
      <w:r w:rsidRPr="00937642">
        <w:rPr>
          <w:rFonts w:ascii="Palatino Linotype" w:eastAsia="Palatino Linotype" w:hAnsi="Palatino Linotype" w:cs="Palatino Linotype"/>
          <w:i/>
        </w:rPr>
        <w:t>. El recurso de revisión contendrá:</w:t>
      </w:r>
    </w:p>
    <w:p w14:paraId="53AD3C34" w14:textId="77777777" w:rsidR="00AC0C65" w:rsidRPr="00937642" w:rsidRDefault="00AC0C65" w:rsidP="00937642">
      <w:pPr>
        <w:ind w:left="851" w:right="899"/>
        <w:jc w:val="both"/>
        <w:rPr>
          <w:rFonts w:ascii="Palatino Linotype" w:eastAsia="Palatino Linotype" w:hAnsi="Palatino Linotype" w:cs="Palatino Linotype"/>
          <w:i/>
        </w:rPr>
      </w:pPr>
    </w:p>
    <w:p w14:paraId="37EB83D6"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b/>
          <w:i/>
        </w:rPr>
        <w:t>I</w:t>
      </w:r>
      <w:r w:rsidRPr="00937642">
        <w:rPr>
          <w:rFonts w:ascii="Palatino Linotype" w:eastAsia="Palatino Linotype" w:hAnsi="Palatino Linotype" w:cs="Palatino Linotype"/>
          <w:i/>
        </w:rPr>
        <w:t>. El sujeto obligado ante la cual se presentó la solicitud;</w:t>
      </w:r>
    </w:p>
    <w:p w14:paraId="612D86A0"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b/>
          <w:i/>
        </w:rPr>
        <w:t>II</w:t>
      </w:r>
      <w:r w:rsidRPr="00937642">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2A9298D2"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b/>
          <w:i/>
        </w:rPr>
        <w:t>III</w:t>
      </w:r>
      <w:r w:rsidRPr="00937642">
        <w:rPr>
          <w:rFonts w:ascii="Palatino Linotype" w:eastAsia="Palatino Linotype" w:hAnsi="Palatino Linotype" w:cs="Palatino Linotype"/>
          <w:i/>
        </w:rPr>
        <w:t>. El número de folio de respuesta de la solicitud de acceso;</w:t>
      </w:r>
    </w:p>
    <w:p w14:paraId="54FD6AF5"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b/>
          <w:i/>
        </w:rPr>
        <w:t>IV</w:t>
      </w:r>
      <w:r w:rsidRPr="00937642">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18FD1B76"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b/>
          <w:i/>
        </w:rPr>
        <w:t>V</w:t>
      </w:r>
      <w:r w:rsidRPr="00937642">
        <w:rPr>
          <w:rFonts w:ascii="Palatino Linotype" w:eastAsia="Palatino Linotype" w:hAnsi="Palatino Linotype" w:cs="Palatino Linotype"/>
          <w:i/>
        </w:rPr>
        <w:t>. El acto que se recurre;</w:t>
      </w:r>
    </w:p>
    <w:p w14:paraId="41134B45"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b/>
          <w:i/>
        </w:rPr>
        <w:t>VI</w:t>
      </w:r>
      <w:r w:rsidRPr="00937642">
        <w:rPr>
          <w:rFonts w:ascii="Palatino Linotype" w:eastAsia="Palatino Linotype" w:hAnsi="Palatino Linotype" w:cs="Palatino Linotype"/>
          <w:i/>
        </w:rPr>
        <w:t>. Las razones o motivos de inconformidad;</w:t>
      </w:r>
    </w:p>
    <w:p w14:paraId="1C3B61E5"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b/>
          <w:i/>
        </w:rPr>
        <w:t>VII</w:t>
      </w:r>
      <w:r w:rsidRPr="00937642">
        <w:rPr>
          <w:rFonts w:ascii="Palatino Linotype" w:eastAsia="Palatino Linotype" w:hAnsi="Palatino Linotype" w:cs="Palatino Linotype"/>
          <w:i/>
        </w:rPr>
        <w:t>. La copia de la respuesta que se impugna y, en su caso, de la notificación correspondiente, en el caso de respuesta de la solicitud; y</w:t>
      </w:r>
    </w:p>
    <w:p w14:paraId="2D276123"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b/>
          <w:i/>
        </w:rPr>
        <w:t>VIII.</w:t>
      </w:r>
      <w:r w:rsidRPr="00937642">
        <w:rPr>
          <w:rFonts w:ascii="Palatino Linotype" w:eastAsia="Palatino Linotype" w:hAnsi="Palatino Linotype" w:cs="Palatino Linotype"/>
          <w:i/>
        </w:rPr>
        <w:t xml:space="preserve"> Firma del recurrente, en su caso, cuando se presente por escrito, requisito sin el cual se dará trámite al recurso.</w:t>
      </w:r>
    </w:p>
    <w:p w14:paraId="5AC6587A"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i/>
        </w:rPr>
        <w:t>Adicionalmente, se podrán anexar las pruebas y demás elementos que considere procedentes someter a juicio del Instituto.</w:t>
      </w:r>
    </w:p>
    <w:p w14:paraId="063D1538" w14:textId="77777777" w:rsidR="00AC0C65" w:rsidRPr="00937642" w:rsidRDefault="00AC0C65" w:rsidP="00937642">
      <w:pPr>
        <w:ind w:left="851" w:right="899"/>
        <w:jc w:val="both"/>
        <w:rPr>
          <w:rFonts w:ascii="Palatino Linotype" w:eastAsia="Palatino Linotype" w:hAnsi="Palatino Linotype" w:cs="Palatino Linotype"/>
          <w:i/>
        </w:rPr>
      </w:pPr>
      <w:r w:rsidRPr="00937642">
        <w:rPr>
          <w:rFonts w:ascii="Palatino Linotype" w:eastAsia="Palatino Linotype" w:hAnsi="Palatino Linotype" w:cs="Palatino Linotype"/>
          <w:i/>
        </w:rPr>
        <w:t>En ningún caso será necesario que el particular ratifique el recurso de revisión interpuesto.</w:t>
      </w:r>
    </w:p>
    <w:p w14:paraId="7063B119" w14:textId="77777777" w:rsidR="00AC0C65" w:rsidRPr="00937642" w:rsidRDefault="00AC0C65" w:rsidP="00937642">
      <w:pPr>
        <w:ind w:left="851" w:right="616"/>
        <w:jc w:val="both"/>
        <w:rPr>
          <w:rFonts w:ascii="Palatino Linotype" w:eastAsia="Palatino Linotype" w:hAnsi="Palatino Linotype" w:cs="Palatino Linotype"/>
          <w:i/>
        </w:rPr>
      </w:pPr>
      <w:r w:rsidRPr="00937642">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3B8E0F48" w14:textId="77777777" w:rsidR="00586F2F" w:rsidRPr="00937642" w:rsidRDefault="00586F2F" w:rsidP="00937642">
      <w:pPr>
        <w:spacing w:line="360" w:lineRule="auto"/>
        <w:ind w:right="899"/>
        <w:jc w:val="both"/>
        <w:rPr>
          <w:rFonts w:ascii="Palatino Linotype" w:eastAsia="Palatino Linotype" w:hAnsi="Palatino Linotype" w:cs="Palatino Linotype"/>
          <w:i/>
        </w:rPr>
      </w:pPr>
    </w:p>
    <w:p w14:paraId="53ED1918" w14:textId="77777777" w:rsidR="00586F2F" w:rsidRPr="00937642" w:rsidRDefault="00DA7C20" w:rsidP="00937642">
      <w:pPr>
        <w:spacing w:line="360" w:lineRule="auto"/>
        <w:jc w:val="both"/>
        <w:rPr>
          <w:rFonts w:ascii="Palatino Linotype" w:eastAsia="Palatino Linotype" w:hAnsi="Palatino Linotype" w:cs="Palatino Linotype"/>
          <w:b/>
        </w:rPr>
      </w:pPr>
      <w:r w:rsidRPr="00937642">
        <w:rPr>
          <w:rFonts w:ascii="Palatino Linotype" w:eastAsia="Palatino Linotype" w:hAnsi="Palatino Linotype" w:cs="Palatino Linotype"/>
          <w:b/>
        </w:rPr>
        <w:t>QUINTO. Análisis y estudio de la resolución.</w:t>
      </w:r>
    </w:p>
    <w:p w14:paraId="49E882B0" w14:textId="77777777" w:rsidR="00586F2F" w:rsidRPr="00937642" w:rsidRDefault="00DA7C20" w:rsidP="00937642">
      <w:pPr>
        <w:spacing w:line="360" w:lineRule="auto"/>
        <w:jc w:val="both"/>
        <w:rPr>
          <w:rFonts w:ascii="Palatino Linotype" w:eastAsia="Palatino Linotype" w:hAnsi="Palatino Linotype" w:cs="Palatino Linotype"/>
        </w:rPr>
      </w:pPr>
      <w:bookmarkStart w:id="1" w:name="_heading=h.gjdgxs" w:colFirst="0" w:colLast="0"/>
      <w:bookmarkEnd w:id="1"/>
      <w:r w:rsidRPr="00937642">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784BAC41"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lastRenderedPageBreak/>
        <w:t>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al conjunto de datos que posee cualquier autoridad, obtenidos en virtud del ejercicio de sus funciones de derecho público, criterio que ha sostenido la Suprema Corte de Justicia de la Nación</w:t>
      </w:r>
      <w:r w:rsidRPr="00937642">
        <w:rPr>
          <w:rFonts w:ascii="Palatino Linotype" w:eastAsia="Palatino Linotype" w:hAnsi="Palatino Linotype" w:cs="Palatino Linotype"/>
          <w:vertAlign w:val="superscript"/>
        </w:rPr>
        <w:footnoteReference w:id="1"/>
      </w:r>
      <w:r w:rsidRPr="00937642">
        <w:rPr>
          <w:rFonts w:ascii="Palatino Linotype" w:eastAsia="Palatino Linotype" w:hAnsi="Palatino Linotype" w:cs="Palatino Linotype"/>
        </w:rPr>
        <w:t>.</w:t>
      </w:r>
    </w:p>
    <w:p w14:paraId="0A1C3C38" w14:textId="77777777" w:rsidR="00586F2F" w:rsidRPr="00937642" w:rsidRDefault="00586F2F" w:rsidP="00937642">
      <w:pPr>
        <w:spacing w:line="360" w:lineRule="auto"/>
        <w:jc w:val="both"/>
        <w:rPr>
          <w:rFonts w:ascii="Palatino Linotype" w:eastAsia="Palatino Linotype" w:hAnsi="Palatino Linotype" w:cs="Palatino Linotype"/>
        </w:rPr>
      </w:pPr>
    </w:p>
    <w:p w14:paraId="783ED488" w14:textId="7130EAEA"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Por lo tanto, conforme a lo que establece el artículo 24 de la Ley en cita, el cual dispone que los Sujetos Obligados sólo proporcionarán la información pública que generen, administren o posean en el ejercicio de sus atribuciones; la información pública se encuentra a disposición de cualquier persona, lo que implica que es deber de los </w:t>
      </w:r>
      <w:r w:rsidRPr="00937642">
        <w:rPr>
          <w:rFonts w:ascii="Palatino Linotype" w:eastAsia="Palatino Linotype" w:hAnsi="Palatino Linotype" w:cs="Palatino Linotype"/>
        </w:rPr>
        <w:lastRenderedPageBreak/>
        <w:t>Sujetos Obligados, garantizar a toda persona el derecho de acceso a la información pública.</w:t>
      </w:r>
    </w:p>
    <w:p w14:paraId="1D6C5B59" w14:textId="77777777" w:rsidR="00586F2F" w:rsidRPr="00937642" w:rsidRDefault="00586F2F" w:rsidP="00937642">
      <w:pPr>
        <w:spacing w:line="360" w:lineRule="auto"/>
        <w:jc w:val="both"/>
        <w:rPr>
          <w:rFonts w:ascii="Palatino Linotype" w:eastAsia="Palatino Linotype" w:hAnsi="Palatino Linotype" w:cs="Palatino Linotype"/>
        </w:rPr>
      </w:pPr>
    </w:p>
    <w:p w14:paraId="60F91536"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4EAF9514" w14:textId="77777777" w:rsidR="00586F2F" w:rsidRPr="00937642" w:rsidRDefault="00586F2F" w:rsidP="00937642">
      <w:pPr>
        <w:spacing w:line="360" w:lineRule="auto"/>
        <w:jc w:val="both"/>
        <w:rPr>
          <w:rFonts w:ascii="Palatino Linotype" w:eastAsia="Palatino Linotype" w:hAnsi="Palatino Linotype" w:cs="Palatino Linotype"/>
        </w:rPr>
      </w:pPr>
    </w:p>
    <w:p w14:paraId="40F6FFA6" w14:textId="77777777" w:rsidR="00586F2F" w:rsidRPr="00937642" w:rsidRDefault="00DA7C20" w:rsidP="00937642">
      <w:pPr>
        <w:spacing w:line="360" w:lineRule="auto"/>
        <w:ind w:right="49"/>
        <w:jc w:val="both"/>
        <w:rPr>
          <w:rFonts w:ascii="Palatino Linotype" w:eastAsia="Palatino Linotype" w:hAnsi="Palatino Linotype" w:cs="Palatino Linotype"/>
          <w:b/>
        </w:rPr>
      </w:pPr>
      <w:r w:rsidRPr="00937642">
        <w:rPr>
          <w:rFonts w:ascii="Palatino Linotype" w:eastAsia="Palatino Linotype" w:hAnsi="Palatino Linotype" w:cs="Palatino Linotype"/>
        </w:rPr>
        <w:t xml:space="preserve">Por consiguiente, una vez fijado el marco constitucional y legal, procederemos al análisis del caso en concreto. Por lo que, con la finalidad de estar en posibilidad de dictar el fallo correspondiente conforme a derecho, el presente estudio se basará en el contenido íntegro de las actuaciones que del expediente electrónico que obra en </w:t>
      </w:r>
      <w:r w:rsidRPr="00937642">
        <w:rPr>
          <w:rFonts w:ascii="Palatino Linotype" w:eastAsia="Palatino Linotype" w:hAnsi="Palatino Linotype" w:cs="Palatino Linotype"/>
          <w:b/>
        </w:rPr>
        <w:t>EL SAIMEX.</w:t>
      </w:r>
    </w:p>
    <w:p w14:paraId="5EBA65E9" w14:textId="77777777" w:rsidR="00586F2F" w:rsidRPr="00937642" w:rsidRDefault="00586F2F" w:rsidP="00937642">
      <w:pPr>
        <w:spacing w:line="360" w:lineRule="auto"/>
        <w:ind w:right="49"/>
        <w:jc w:val="both"/>
        <w:rPr>
          <w:rFonts w:ascii="Palatino Linotype" w:eastAsia="Palatino Linotype" w:hAnsi="Palatino Linotype" w:cs="Palatino Linotype"/>
        </w:rPr>
      </w:pPr>
    </w:p>
    <w:p w14:paraId="2FE476FC" w14:textId="2C63BC98" w:rsidR="008151D0" w:rsidRPr="00937642" w:rsidRDefault="00DA7C20" w:rsidP="00937642">
      <w:pPr>
        <w:spacing w:line="360" w:lineRule="auto"/>
        <w:ind w:right="49"/>
        <w:jc w:val="both"/>
        <w:rPr>
          <w:rFonts w:ascii="Palatino Linotype" w:eastAsia="Palatino Linotype" w:hAnsi="Palatino Linotype" w:cs="Palatino Linotype"/>
        </w:rPr>
      </w:pPr>
      <w:r w:rsidRPr="00937642">
        <w:rPr>
          <w:rFonts w:ascii="Palatino Linotype" w:eastAsia="Palatino Linotype" w:hAnsi="Palatino Linotype" w:cs="Palatino Linotype"/>
        </w:rPr>
        <w:t>A</w:t>
      </w:r>
      <w:r w:rsidR="00FE38C7" w:rsidRPr="00937642">
        <w:rPr>
          <w:rFonts w:ascii="Palatino Linotype" w:eastAsia="Palatino Linotype" w:hAnsi="Palatino Linotype" w:cs="Palatino Linotype"/>
        </w:rPr>
        <w:t>sí las cosas, es indispensable recordar que el particular</w:t>
      </w:r>
      <w:r w:rsidR="005C6D7F" w:rsidRPr="00937642">
        <w:rPr>
          <w:rFonts w:ascii="Palatino Linotype" w:eastAsia="Palatino Linotype" w:hAnsi="Palatino Linotype" w:cs="Palatino Linotype"/>
        </w:rPr>
        <w:t>,</w:t>
      </w:r>
      <w:r w:rsidR="00FE38C7" w:rsidRPr="00937642">
        <w:rPr>
          <w:rFonts w:ascii="Palatino Linotype" w:eastAsia="Palatino Linotype" w:hAnsi="Palatino Linotype" w:cs="Palatino Linotype"/>
        </w:rPr>
        <w:t xml:space="preserve"> en uso de su derecho de acces</w:t>
      </w:r>
      <w:r w:rsidR="00AE1408" w:rsidRPr="00937642">
        <w:rPr>
          <w:rFonts w:ascii="Palatino Linotype" w:eastAsia="Palatino Linotype" w:hAnsi="Palatino Linotype" w:cs="Palatino Linotype"/>
        </w:rPr>
        <w:t>o a la información, requirió saber si la servidora pública Rocío Contreras López cuenta, cubre o sustenta el perfil académico del puesto que desempeña en la Fiscalía General de Justicia del Estado de México.</w:t>
      </w:r>
    </w:p>
    <w:p w14:paraId="6AB56521" w14:textId="77777777" w:rsidR="00AE1408" w:rsidRPr="00937642" w:rsidRDefault="00AE1408" w:rsidP="00937642">
      <w:pPr>
        <w:spacing w:line="360" w:lineRule="auto"/>
        <w:ind w:right="49"/>
        <w:jc w:val="both"/>
        <w:rPr>
          <w:rFonts w:ascii="Palatino Linotype" w:eastAsia="Palatino Linotype" w:hAnsi="Palatino Linotype" w:cs="Palatino Linotype"/>
        </w:rPr>
      </w:pPr>
    </w:p>
    <w:p w14:paraId="4BF59D0C" w14:textId="77777777" w:rsidR="00586F2F" w:rsidRPr="00937642" w:rsidRDefault="00DA7C20"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Derivado de lo anterior, </w:t>
      </w:r>
      <w:r w:rsidRPr="00937642">
        <w:rPr>
          <w:rFonts w:ascii="Palatino Linotype" w:eastAsia="Palatino Linotype" w:hAnsi="Palatino Linotype" w:cs="Palatino Linotype"/>
          <w:b/>
        </w:rPr>
        <w:t>EL SUJETO OBLIGADO</w:t>
      </w:r>
      <w:r w:rsidRPr="00937642">
        <w:rPr>
          <w:rFonts w:ascii="Palatino Linotype" w:eastAsia="Palatino Linotype" w:hAnsi="Palatino Linotype" w:cs="Palatino Linotype"/>
        </w:rPr>
        <w:t xml:space="preserve"> re</w:t>
      </w:r>
      <w:r w:rsidR="007F3DF4" w:rsidRPr="00937642">
        <w:rPr>
          <w:rFonts w:ascii="Palatino Linotype" w:eastAsia="Palatino Linotype" w:hAnsi="Palatino Linotype" w:cs="Palatino Linotype"/>
        </w:rPr>
        <w:t>mitió su re</w:t>
      </w:r>
      <w:r w:rsidR="00AE1408" w:rsidRPr="00937642">
        <w:rPr>
          <w:rFonts w:ascii="Palatino Linotype" w:eastAsia="Palatino Linotype" w:hAnsi="Palatino Linotype" w:cs="Palatino Linotype"/>
        </w:rPr>
        <w:t xml:space="preserve">spuesta a través de la Titular de la Unida de Transparencia, proporcionando el acuerdo </w:t>
      </w:r>
      <w:r w:rsidR="00250657" w:rsidRPr="00937642">
        <w:rPr>
          <w:rFonts w:ascii="Palatino Linotype" w:eastAsia="Palatino Linotype" w:hAnsi="Palatino Linotype" w:cs="Palatino Linotype"/>
        </w:rPr>
        <w:t>número SO/01/2024/11, por el que el Comité de Transparencia aprobó la clasificación relativa al pronunciamiento de la persona referida en la solicitud de acceso a la información 01/266/FGJ/IP/2023.</w:t>
      </w:r>
    </w:p>
    <w:p w14:paraId="2896AB14" w14:textId="77777777" w:rsidR="00586F2F" w:rsidRPr="00937642" w:rsidRDefault="00586F2F" w:rsidP="00937642">
      <w:pPr>
        <w:spacing w:line="360" w:lineRule="auto"/>
        <w:jc w:val="both"/>
        <w:rPr>
          <w:rFonts w:ascii="Palatino Linotype" w:eastAsia="Palatino Linotype" w:hAnsi="Palatino Linotype" w:cs="Palatino Linotype"/>
        </w:rPr>
      </w:pPr>
    </w:p>
    <w:p w14:paraId="372DF050" w14:textId="77777777" w:rsidR="00586F2F" w:rsidRPr="00937642" w:rsidRDefault="00FE38C7" w:rsidP="00937642">
      <w:pPr>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lastRenderedPageBreak/>
        <w:t>Posterior a la respuesta,</w:t>
      </w:r>
      <w:r w:rsidR="00DA7C20" w:rsidRPr="00937642">
        <w:rPr>
          <w:rFonts w:ascii="Palatino Linotype" w:eastAsia="Palatino Linotype" w:hAnsi="Palatino Linotype" w:cs="Palatino Linotype"/>
        </w:rPr>
        <w:t xml:space="preserve"> el </w:t>
      </w:r>
      <w:r w:rsidRPr="00937642">
        <w:rPr>
          <w:rFonts w:ascii="Palatino Linotype" w:eastAsia="Palatino Linotype" w:hAnsi="Palatino Linotype" w:cs="Palatino Linotype"/>
        </w:rPr>
        <w:t>particular</w:t>
      </w:r>
      <w:r w:rsidR="00DA7C20" w:rsidRPr="00937642">
        <w:rPr>
          <w:rFonts w:ascii="Palatino Linotype" w:eastAsia="Palatino Linotype" w:hAnsi="Palatino Linotype" w:cs="Palatino Linotype"/>
        </w:rPr>
        <w:t xml:space="preserve"> se inconformó </w:t>
      </w:r>
      <w:r w:rsidR="00250657" w:rsidRPr="00937642">
        <w:rPr>
          <w:rFonts w:ascii="Palatino Linotype" w:eastAsia="Palatino Linotype" w:hAnsi="Palatino Linotype" w:cs="Palatino Linotype"/>
        </w:rPr>
        <w:t>sobre</w:t>
      </w:r>
      <w:r w:rsidRPr="00937642">
        <w:rPr>
          <w:rFonts w:ascii="Palatino Linotype" w:eastAsia="Palatino Linotype" w:hAnsi="Palatino Linotype" w:cs="Palatino Linotype"/>
        </w:rPr>
        <w:t xml:space="preserve"> </w:t>
      </w:r>
      <w:r w:rsidR="007F3DF4" w:rsidRPr="00937642">
        <w:rPr>
          <w:rFonts w:ascii="Palatino Linotype" w:eastAsia="Palatino Linotype" w:hAnsi="Palatino Linotype" w:cs="Palatino Linotype"/>
        </w:rPr>
        <w:t xml:space="preserve">la </w:t>
      </w:r>
      <w:r w:rsidR="00250657" w:rsidRPr="00937642">
        <w:rPr>
          <w:rFonts w:ascii="Palatino Linotype" w:eastAsia="Palatino Linotype" w:hAnsi="Palatino Linotype" w:cs="Palatino Linotype"/>
        </w:rPr>
        <w:t>clasificación de la información</w:t>
      </w:r>
      <w:r w:rsidRPr="00937642">
        <w:rPr>
          <w:rFonts w:ascii="Palatino Linotype" w:eastAsia="Palatino Linotype" w:hAnsi="Palatino Linotype" w:cs="Palatino Linotype"/>
        </w:rPr>
        <w:t xml:space="preserve">, actualizándose </w:t>
      </w:r>
      <w:r w:rsidR="00DA7C20" w:rsidRPr="00937642">
        <w:rPr>
          <w:rFonts w:ascii="Palatino Linotype" w:eastAsia="Palatino Linotype" w:hAnsi="Palatino Linotype" w:cs="Palatino Linotype"/>
        </w:rPr>
        <w:t>la causal de procedencia establecid</w:t>
      </w:r>
      <w:r w:rsidR="007F3DF4" w:rsidRPr="00937642">
        <w:rPr>
          <w:rFonts w:ascii="Palatino Linotype" w:eastAsia="Palatino Linotype" w:hAnsi="Palatino Linotype" w:cs="Palatino Linotype"/>
        </w:rPr>
        <w:t>a en el artículo 179, fracción I</w:t>
      </w:r>
      <w:r w:rsidR="00250657" w:rsidRPr="00937642">
        <w:rPr>
          <w:rFonts w:ascii="Palatino Linotype" w:eastAsia="Palatino Linotype" w:hAnsi="Palatino Linotype" w:cs="Palatino Linotype"/>
        </w:rPr>
        <w:t>I</w:t>
      </w:r>
      <w:r w:rsidR="00DA7C20" w:rsidRPr="00937642">
        <w:rPr>
          <w:rFonts w:ascii="Palatino Linotype" w:eastAsia="Palatino Linotype" w:hAnsi="Palatino Linotype" w:cs="Palatino Linotype"/>
        </w:rPr>
        <w:t xml:space="preserve"> de la Ley de Transparencia local.</w:t>
      </w:r>
    </w:p>
    <w:p w14:paraId="786902ED" w14:textId="77777777" w:rsidR="00586F2F" w:rsidRPr="00937642" w:rsidRDefault="00586F2F" w:rsidP="00937642">
      <w:pPr>
        <w:spacing w:line="360" w:lineRule="auto"/>
        <w:ind w:right="49"/>
        <w:jc w:val="both"/>
        <w:rPr>
          <w:rFonts w:ascii="Palatino Linotype" w:eastAsia="Palatino Linotype" w:hAnsi="Palatino Linotype" w:cs="Palatino Linotype"/>
        </w:rPr>
      </w:pPr>
    </w:p>
    <w:p w14:paraId="6FA24471" w14:textId="1A27236A" w:rsidR="008F3F91" w:rsidRPr="00937642" w:rsidRDefault="00FE38C7" w:rsidP="00937642">
      <w:pPr>
        <w:spacing w:line="360" w:lineRule="auto"/>
        <w:ind w:right="49"/>
        <w:jc w:val="both"/>
        <w:rPr>
          <w:rFonts w:ascii="Palatino Linotype" w:eastAsia="Palatino Linotype" w:hAnsi="Palatino Linotype" w:cs="Palatino Linotype"/>
          <w:b/>
        </w:rPr>
      </w:pPr>
      <w:r w:rsidRPr="00937642">
        <w:rPr>
          <w:rFonts w:ascii="Palatino Linotype" w:eastAsia="Palatino Linotype" w:hAnsi="Palatino Linotype" w:cs="Palatino Linotype"/>
        </w:rPr>
        <w:t xml:space="preserve">Por otra parte, se reitera que </w:t>
      </w:r>
      <w:r w:rsidR="00E50688" w:rsidRPr="00937642">
        <w:rPr>
          <w:rFonts w:ascii="Palatino Linotype" w:eastAsia="Palatino Linotype" w:hAnsi="Palatino Linotype" w:cs="Palatino Linotype"/>
          <w:b/>
        </w:rPr>
        <w:t xml:space="preserve">EL RECURRENTE </w:t>
      </w:r>
      <w:r w:rsidR="00E50688" w:rsidRPr="00937642">
        <w:rPr>
          <w:rFonts w:ascii="Palatino Linotype" w:eastAsia="Palatino Linotype" w:hAnsi="Palatino Linotype" w:cs="Palatino Linotype"/>
        </w:rPr>
        <w:t xml:space="preserve">omitió realizar manifestación alguna en la etapa procesal oportuna; por su parte, el </w:t>
      </w:r>
      <w:r w:rsidR="00E50688" w:rsidRPr="00937642">
        <w:rPr>
          <w:rFonts w:ascii="Palatino Linotype" w:eastAsia="Palatino Linotype" w:hAnsi="Palatino Linotype" w:cs="Palatino Linotype"/>
          <w:b/>
        </w:rPr>
        <w:t>SUJETO O</w:t>
      </w:r>
      <w:r w:rsidR="00E525FA" w:rsidRPr="00937642">
        <w:rPr>
          <w:rFonts w:ascii="Palatino Linotype" w:eastAsia="Palatino Linotype" w:hAnsi="Palatino Linotype" w:cs="Palatino Linotype"/>
          <w:b/>
        </w:rPr>
        <w:t>B</w:t>
      </w:r>
      <w:r w:rsidR="00E50688" w:rsidRPr="00937642">
        <w:rPr>
          <w:rFonts w:ascii="Palatino Linotype" w:eastAsia="Palatino Linotype" w:hAnsi="Palatino Linotype" w:cs="Palatino Linotype"/>
          <w:b/>
        </w:rPr>
        <w:t xml:space="preserve">LIGADO, </w:t>
      </w:r>
      <w:r w:rsidR="00E50688" w:rsidRPr="00937642">
        <w:rPr>
          <w:rFonts w:ascii="Palatino Linotype" w:eastAsia="Palatino Linotype" w:hAnsi="Palatino Linotype" w:cs="Palatino Linotype"/>
        </w:rPr>
        <w:t xml:space="preserve">a través de su informe justificado </w:t>
      </w:r>
      <w:r w:rsidR="00552BDE" w:rsidRPr="00937642">
        <w:rPr>
          <w:rFonts w:ascii="Palatino Linotype" w:eastAsia="Palatino Linotype" w:hAnsi="Palatino Linotype" w:cs="Palatino Linotype"/>
        </w:rPr>
        <w:t>ratificó su respuesta primigenia.</w:t>
      </w:r>
    </w:p>
    <w:p w14:paraId="3F28971D" w14:textId="77777777" w:rsidR="00586F2F" w:rsidRPr="00937642" w:rsidRDefault="00586F2F" w:rsidP="00937642">
      <w:pPr>
        <w:spacing w:line="360" w:lineRule="auto"/>
        <w:ind w:right="49"/>
        <w:jc w:val="both"/>
        <w:rPr>
          <w:rFonts w:ascii="Palatino Linotype" w:eastAsia="Palatino Linotype" w:hAnsi="Palatino Linotype" w:cs="Palatino Linotype"/>
        </w:rPr>
      </w:pPr>
    </w:p>
    <w:p w14:paraId="133A1B50" w14:textId="3F1B9C02" w:rsidR="000254AE" w:rsidRPr="00937642" w:rsidRDefault="000254AE" w:rsidP="00937642">
      <w:pPr>
        <w:spacing w:line="360" w:lineRule="auto"/>
        <w:jc w:val="both"/>
        <w:rPr>
          <w:rFonts w:ascii="Palatino Linotype" w:hAnsi="Palatino Linotype" w:cs="Arial"/>
        </w:rPr>
      </w:pPr>
      <w:r w:rsidRPr="00937642">
        <w:rPr>
          <w:rFonts w:ascii="Palatino Linotype" w:hAnsi="Palatino Linotype"/>
          <w:lang w:val="es-ES"/>
        </w:rPr>
        <w:t xml:space="preserve">Retomando el estudio, </w:t>
      </w:r>
      <w:r w:rsidRPr="00937642">
        <w:rPr>
          <w:rFonts w:ascii="Palatino Linotype" w:hAnsi="Palatino Linotype"/>
          <w:b/>
          <w:lang w:val="es-ES"/>
        </w:rPr>
        <w:t xml:space="preserve">EL SUJETO OBLIGADO </w:t>
      </w:r>
      <w:r w:rsidRPr="00937642">
        <w:rPr>
          <w:rFonts w:ascii="Palatino Linotype" w:hAnsi="Palatino Linotype"/>
          <w:lang w:val="es-ES"/>
        </w:rPr>
        <w:t>en respuesta</w:t>
      </w:r>
      <w:r w:rsidRPr="00937642">
        <w:rPr>
          <w:rFonts w:ascii="Palatino Linotype" w:hAnsi="Palatino Linotype"/>
          <w:b/>
          <w:lang w:val="es-ES"/>
        </w:rPr>
        <w:t xml:space="preserve"> </w:t>
      </w:r>
      <w:r w:rsidRPr="00937642">
        <w:rPr>
          <w:rFonts w:ascii="Palatino Linotype" w:hAnsi="Palatino Linotype" w:cs="Arial"/>
        </w:rPr>
        <w:t>refirió</w:t>
      </w:r>
      <w:r w:rsidR="00E525FA" w:rsidRPr="00937642">
        <w:rPr>
          <w:rFonts w:ascii="Palatino Linotype" w:hAnsi="Palatino Linotype" w:cs="Arial"/>
        </w:rPr>
        <w:t>,</w:t>
      </w:r>
      <w:r w:rsidRPr="00937642">
        <w:rPr>
          <w:rFonts w:ascii="Palatino Linotype" w:hAnsi="Palatino Linotype" w:cs="Arial"/>
        </w:rPr>
        <w:t xml:space="preserve"> </w:t>
      </w:r>
      <w:r w:rsidR="00B349AD" w:rsidRPr="00937642">
        <w:rPr>
          <w:rFonts w:ascii="Palatino Linotype" w:hAnsi="Palatino Linotype" w:cs="Arial"/>
        </w:rPr>
        <w:t>a trav</w:t>
      </w:r>
      <w:r w:rsidR="00E9114E" w:rsidRPr="00937642">
        <w:rPr>
          <w:rFonts w:ascii="Palatino Linotype" w:hAnsi="Palatino Linotype" w:cs="Arial"/>
        </w:rPr>
        <w:t xml:space="preserve">és del </w:t>
      </w:r>
      <w:r w:rsidR="00B349AD" w:rsidRPr="00937642">
        <w:rPr>
          <w:rFonts w:ascii="Palatino Linotype" w:hAnsi="Palatino Linotype" w:cs="Arial"/>
        </w:rPr>
        <w:t xml:space="preserve">acuerdo </w:t>
      </w:r>
      <w:r w:rsidR="00E9114E" w:rsidRPr="00937642">
        <w:rPr>
          <w:rFonts w:ascii="Palatino Linotype" w:hAnsi="Palatino Linotype" w:cs="Arial"/>
        </w:rPr>
        <w:t xml:space="preserve">SO/01/2024/11, </w:t>
      </w:r>
      <w:r w:rsidR="00B349AD" w:rsidRPr="00937642">
        <w:rPr>
          <w:rFonts w:ascii="Palatino Linotype" w:hAnsi="Palatino Linotype" w:cs="Arial"/>
        </w:rPr>
        <w:t xml:space="preserve">las razones por las que no es posible otorgar al solicitante la información requerida, clasificando el pronunciamiento </w:t>
      </w:r>
      <w:r w:rsidR="00FE79D9" w:rsidRPr="00937642">
        <w:rPr>
          <w:rFonts w:ascii="Palatino Linotype" w:hAnsi="Palatino Linotype" w:cs="Arial"/>
        </w:rPr>
        <w:t>relativo a</w:t>
      </w:r>
      <w:r w:rsidR="00B349AD" w:rsidRPr="00937642">
        <w:rPr>
          <w:rFonts w:ascii="Palatino Linotype" w:hAnsi="Palatino Linotype" w:cs="Arial"/>
        </w:rPr>
        <w:t xml:space="preserve"> cualquier documental </w:t>
      </w:r>
      <w:r w:rsidR="00FE79D9" w:rsidRPr="00937642">
        <w:rPr>
          <w:rFonts w:ascii="Palatino Linotype" w:hAnsi="Palatino Linotype" w:cs="Arial"/>
        </w:rPr>
        <w:t>en la que se advierta el perfil académico de la servidora pública referida</w:t>
      </w:r>
      <w:r w:rsidR="00E9114E" w:rsidRPr="00937642">
        <w:rPr>
          <w:rFonts w:ascii="Palatino Linotype" w:hAnsi="Palatino Linotype" w:cs="Arial"/>
        </w:rPr>
        <w:t xml:space="preserve"> en la solicitud del particular, precisando que </w:t>
      </w:r>
      <w:r w:rsidRPr="00937642">
        <w:rPr>
          <w:rFonts w:ascii="Palatino Linotype" w:hAnsi="Palatino Linotype" w:cs="Arial"/>
        </w:rPr>
        <w:t xml:space="preserve">la Dirección de Administración de Personal y Nómina, señaló que </w:t>
      </w:r>
      <w:r w:rsidR="00E9114E" w:rsidRPr="00937642">
        <w:rPr>
          <w:rFonts w:ascii="Palatino Linotype" w:hAnsi="Palatino Linotype" w:cs="Arial"/>
        </w:rPr>
        <w:t>para el caso en concreto, se actualiza la causal de reserva prevista en el artículo 140, fracción XI d</w:t>
      </w:r>
      <w:r w:rsidRPr="00937642">
        <w:rPr>
          <w:rFonts w:ascii="Palatino Linotype" w:hAnsi="Palatino Linotype" w:cs="Arial"/>
        </w:rPr>
        <w:t xml:space="preserve">e la Ley de Transparencia Local, </w:t>
      </w:r>
      <w:r w:rsidR="00E9114E" w:rsidRPr="00937642">
        <w:rPr>
          <w:rFonts w:ascii="Palatino Linotype" w:hAnsi="Palatino Linotype" w:cs="Arial"/>
        </w:rPr>
        <w:t>motivo por el cual fue presentado el proyecto de clasificación</w:t>
      </w:r>
      <w:r w:rsidRPr="00937642">
        <w:rPr>
          <w:rFonts w:ascii="Palatino Linotype" w:hAnsi="Palatino Linotype" w:cs="Arial"/>
        </w:rPr>
        <w:t xml:space="preserve"> al Comité de Transparencia</w:t>
      </w:r>
      <w:r w:rsidR="00E9114E" w:rsidRPr="00937642">
        <w:rPr>
          <w:rFonts w:ascii="Palatino Linotype" w:hAnsi="Palatino Linotype" w:cs="Arial"/>
        </w:rPr>
        <w:t>.</w:t>
      </w:r>
    </w:p>
    <w:p w14:paraId="3736957E" w14:textId="77777777" w:rsidR="000254AE" w:rsidRPr="00937642" w:rsidRDefault="000254AE" w:rsidP="00937642">
      <w:pPr>
        <w:spacing w:line="360" w:lineRule="auto"/>
        <w:jc w:val="both"/>
        <w:rPr>
          <w:rFonts w:ascii="Palatino Linotype" w:hAnsi="Palatino Linotype"/>
          <w:bCs/>
        </w:rPr>
      </w:pPr>
    </w:p>
    <w:p w14:paraId="4411DCEA" w14:textId="77777777" w:rsidR="000254AE" w:rsidRPr="00937642" w:rsidRDefault="003F24AF" w:rsidP="00937642">
      <w:pPr>
        <w:spacing w:line="360" w:lineRule="auto"/>
        <w:jc w:val="both"/>
        <w:rPr>
          <w:rFonts w:ascii="Palatino Linotype" w:hAnsi="Palatino Linotype"/>
          <w:bCs/>
        </w:rPr>
      </w:pPr>
      <w:r w:rsidRPr="00937642">
        <w:rPr>
          <w:rFonts w:ascii="Palatino Linotype" w:hAnsi="Palatino Linotype"/>
          <w:bCs/>
        </w:rPr>
        <w:t>Es así que p</w:t>
      </w:r>
      <w:r w:rsidR="000254AE" w:rsidRPr="00937642">
        <w:rPr>
          <w:rFonts w:ascii="Palatino Linotype" w:hAnsi="Palatino Linotype"/>
          <w:bCs/>
        </w:rPr>
        <w:t>ara acreditar lo anterior, se desarrolla el siguiente análisis.</w:t>
      </w:r>
    </w:p>
    <w:p w14:paraId="7C54C430" w14:textId="77777777" w:rsidR="000254AE" w:rsidRPr="00937642" w:rsidRDefault="000254AE" w:rsidP="00937642">
      <w:pPr>
        <w:spacing w:line="360" w:lineRule="auto"/>
        <w:jc w:val="both"/>
        <w:rPr>
          <w:rFonts w:ascii="Palatino Linotype" w:hAnsi="Palatino Linotype"/>
          <w:bCs/>
        </w:rPr>
      </w:pPr>
    </w:p>
    <w:p w14:paraId="5AF754B4" w14:textId="77777777" w:rsidR="000254AE" w:rsidRPr="00937642" w:rsidRDefault="000254AE" w:rsidP="00937642">
      <w:pPr>
        <w:spacing w:after="100" w:afterAutospacing="1" w:line="360" w:lineRule="auto"/>
        <w:jc w:val="both"/>
        <w:rPr>
          <w:rFonts w:ascii="Palatino Linotype" w:hAnsi="Palatino Linotype"/>
          <w:bCs/>
        </w:rPr>
      </w:pPr>
      <w:r w:rsidRPr="00937642">
        <w:rPr>
          <w:rFonts w:ascii="Palatino Linotype" w:hAnsi="Palatino Linotype"/>
          <w:bCs/>
        </w:rPr>
        <w:t>En principi</w:t>
      </w:r>
      <w:r w:rsidR="003F24AF" w:rsidRPr="00937642">
        <w:rPr>
          <w:rFonts w:ascii="Palatino Linotype" w:hAnsi="Palatino Linotype"/>
          <w:bCs/>
        </w:rPr>
        <w:t>o, el artículo 140, fracciones XI d</w:t>
      </w:r>
      <w:r w:rsidRPr="00937642">
        <w:rPr>
          <w:rFonts w:ascii="Palatino Linotype" w:hAnsi="Palatino Linotype"/>
          <w:bCs/>
        </w:rPr>
        <w:t>e la Ley de Transparencia y Acceso a la Información Pública del Estado de México y Municipios</w:t>
      </w:r>
      <w:r w:rsidR="00F57B9E" w:rsidRPr="00937642">
        <w:rPr>
          <w:rFonts w:ascii="Palatino Linotype" w:hAnsi="Palatino Linotype"/>
          <w:bCs/>
        </w:rPr>
        <w:t>, homólogo al 113, fracción XIII de la Ley General de Transparencia y Acceso a la Información Pública,</w:t>
      </w:r>
      <w:r w:rsidRPr="00937642">
        <w:rPr>
          <w:rFonts w:ascii="Palatino Linotype" w:hAnsi="Palatino Linotype"/>
          <w:bCs/>
        </w:rPr>
        <w:t xml:space="preserve"> precisa</w:t>
      </w:r>
      <w:r w:rsidR="00DD2376" w:rsidRPr="00937642">
        <w:rPr>
          <w:rFonts w:ascii="Palatino Linotype" w:hAnsi="Palatino Linotype"/>
          <w:bCs/>
        </w:rPr>
        <w:t xml:space="preserve"> como una de las excepciones del acceso a la información pública, señalando lo siguiente</w:t>
      </w:r>
      <w:r w:rsidRPr="00937642">
        <w:rPr>
          <w:rFonts w:ascii="Palatino Linotype" w:hAnsi="Palatino Linotype"/>
          <w:bCs/>
        </w:rPr>
        <w:t>:</w:t>
      </w:r>
    </w:p>
    <w:p w14:paraId="5D79738D" w14:textId="77777777" w:rsidR="000254AE" w:rsidRPr="00937642" w:rsidRDefault="000254AE" w:rsidP="00937642">
      <w:pPr>
        <w:spacing w:line="276" w:lineRule="auto"/>
        <w:ind w:left="567" w:right="567"/>
        <w:jc w:val="both"/>
        <w:rPr>
          <w:rFonts w:ascii="Palatino Linotype" w:hAnsi="Palatino Linotype" w:cs="Tahoma"/>
          <w:bCs/>
          <w:i/>
        </w:rPr>
      </w:pPr>
      <w:r w:rsidRPr="00937642">
        <w:rPr>
          <w:rFonts w:ascii="Palatino Linotype" w:hAnsi="Palatino Linotype" w:cs="Tahoma"/>
          <w:b/>
          <w:bCs/>
          <w:i/>
        </w:rPr>
        <w:lastRenderedPageBreak/>
        <w:t>“Artículo 140.</w:t>
      </w:r>
      <w:r w:rsidRPr="00937642">
        <w:rPr>
          <w:rFonts w:ascii="Palatino Linotype" w:hAnsi="Palatino Linotype" w:cs="Tahoma"/>
          <w:bCs/>
          <w:i/>
        </w:rPr>
        <w:t xml:space="preserve"> El acceso a la información pública será restringido excepcionalmente, cuando por razones de interés público, ésta sea clasificada como reservada, conforme a los criterios siguientes:</w:t>
      </w:r>
    </w:p>
    <w:p w14:paraId="1752D339" w14:textId="77777777" w:rsidR="00DD2376" w:rsidRPr="00937642" w:rsidRDefault="00DD2376" w:rsidP="00937642">
      <w:pPr>
        <w:spacing w:line="276" w:lineRule="auto"/>
        <w:ind w:left="567" w:right="567"/>
        <w:jc w:val="both"/>
        <w:rPr>
          <w:rFonts w:ascii="Palatino Linotype" w:hAnsi="Palatino Linotype" w:cs="Tahoma"/>
          <w:bCs/>
          <w:i/>
        </w:rPr>
      </w:pPr>
      <w:r w:rsidRPr="00937642">
        <w:rPr>
          <w:rFonts w:ascii="Palatino Linotype" w:hAnsi="Palatino Linotype" w:cs="Tahoma"/>
          <w:b/>
          <w:bCs/>
          <w:i/>
        </w:rPr>
        <w:t>(…</w:t>
      </w:r>
      <w:r w:rsidRPr="00937642">
        <w:rPr>
          <w:rFonts w:ascii="Palatino Linotype" w:hAnsi="Palatino Linotype" w:cs="Tahoma"/>
          <w:bCs/>
          <w:i/>
        </w:rPr>
        <w:t>)</w:t>
      </w:r>
    </w:p>
    <w:p w14:paraId="5F7DF3DE" w14:textId="77777777" w:rsidR="000254AE" w:rsidRPr="00937642" w:rsidRDefault="00DD2376" w:rsidP="00937642">
      <w:pPr>
        <w:spacing w:line="276" w:lineRule="auto"/>
        <w:ind w:left="567" w:right="567"/>
        <w:jc w:val="both"/>
        <w:rPr>
          <w:rFonts w:ascii="Palatino Linotype" w:hAnsi="Palatino Linotype" w:cs="Tahoma"/>
          <w:bCs/>
          <w:i/>
        </w:rPr>
      </w:pPr>
      <w:r w:rsidRPr="00937642">
        <w:rPr>
          <w:rFonts w:ascii="Palatino Linotype" w:hAnsi="Palatino Linotype" w:cs="Tahoma"/>
          <w:b/>
          <w:bCs/>
          <w:i/>
        </w:rPr>
        <w:t>XI</w:t>
      </w:r>
      <w:r w:rsidRPr="00937642">
        <w:rPr>
          <w:rFonts w:ascii="Palatino Linotype" w:hAnsi="Palatino Linotype" w:cs="Tahoma"/>
          <w:bCs/>
          <w:i/>
        </w:rPr>
        <w:t>. Las que por disposición expresa de una ley tengan tal carácter, siempre que sean acordes con las bases, principios y disposiciones establecidos en esta Ley y no la contravengan; así como las previstas en tratados internacionales.</w:t>
      </w:r>
      <w:r w:rsidR="000254AE" w:rsidRPr="00937642">
        <w:rPr>
          <w:rFonts w:ascii="Palatino Linotype" w:hAnsi="Palatino Linotype" w:cs="Tahoma"/>
          <w:bCs/>
          <w:i/>
        </w:rPr>
        <w:t xml:space="preserve">” </w:t>
      </w:r>
    </w:p>
    <w:p w14:paraId="7E017465" w14:textId="77777777" w:rsidR="000254AE" w:rsidRPr="00937642" w:rsidRDefault="000254AE" w:rsidP="00937642">
      <w:pPr>
        <w:ind w:left="567" w:right="567"/>
        <w:jc w:val="both"/>
        <w:rPr>
          <w:rFonts w:ascii="Palatino Linotype" w:hAnsi="Palatino Linotype" w:cs="Tahoma"/>
          <w:bCs/>
          <w:i/>
          <w:sz w:val="22"/>
          <w:szCs w:val="20"/>
        </w:rPr>
      </w:pPr>
    </w:p>
    <w:p w14:paraId="18DB4459" w14:textId="77777777" w:rsidR="000254AE" w:rsidRPr="00937642" w:rsidRDefault="000254AE" w:rsidP="00937642">
      <w:pPr>
        <w:spacing w:line="360" w:lineRule="auto"/>
        <w:jc w:val="both"/>
        <w:rPr>
          <w:rFonts w:ascii="Palatino Linotype" w:hAnsi="Palatino Linotype"/>
          <w:bCs/>
        </w:rPr>
      </w:pPr>
      <w:r w:rsidRPr="00937642">
        <w:rPr>
          <w:rFonts w:ascii="Palatino Linotype" w:hAnsi="Palatino Linotype"/>
          <w:bCs/>
        </w:rPr>
        <w:t xml:space="preserve">Por su parte, </w:t>
      </w:r>
      <w:r w:rsidRPr="00937642">
        <w:rPr>
          <w:rFonts w:ascii="Palatino Linotype" w:hAnsi="Palatino Linotype"/>
        </w:rPr>
        <w:t>en</w:t>
      </w:r>
      <w:r w:rsidRPr="00937642">
        <w:rPr>
          <w:rFonts w:ascii="Palatino Linotype" w:hAnsi="Palatino Linotype"/>
          <w:bCs/>
        </w:rPr>
        <w:t xml:space="preserve"> los Lineamientos Generales en materia de clasificación y desclasificación de la información, así como para la elaboración de versiones públicas, se prevé lo siguiente:</w:t>
      </w:r>
    </w:p>
    <w:p w14:paraId="2ED9D556" w14:textId="77777777" w:rsidR="000254AE" w:rsidRPr="00937642" w:rsidRDefault="000254AE" w:rsidP="00937642">
      <w:pPr>
        <w:tabs>
          <w:tab w:val="left" w:pos="8222"/>
        </w:tabs>
        <w:ind w:right="539"/>
        <w:jc w:val="both"/>
        <w:rPr>
          <w:rFonts w:ascii="Palatino Linotype" w:hAnsi="Palatino Linotype"/>
          <w:bCs/>
        </w:rPr>
      </w:pPr>
    </w:p>
    <w:p w14:paraId="75DA1743" w14:textId="77777777" w:rsidR="00F57B9E" w:rsidRPr="00937642" w:rsidRDefault="000254AE" w:rsidP="00937642">
      <w:pPr>
        <w:tabs>
          <w:tab w:val="left" w:pos="8222"/>
        </w:tabs>
        <w:spacing w:line="276" w:lineRule="auto"/>
        <w:ind w:left="851" w:right="539"/>
        <w:jc w:val="both"/>
        <w:rPr>
          <w:rFonts w:ascii="Palatino Linotype" w:hAnsi="Palatino Linotype" w:cs="Tahoma"/>
          <w:bCs/>
          <w:i/>
        </w:rPr>
      </w:pPr>
      <w:r w:rsidRPr="00937642">
        <w:rPr>
          <w:rFonts w:ascii="Palatino Linotype" w:hAnsi="Palatino Linotype" w:cs="Tahoma"/>
          <w:b/>
          <w:bCs/>
          <w:i/>
        </w:rPr>
        <w:t>“</w:t>
      </w:r>
      <w:r w:rsidR="00F57B9E" w:rsidRPr="00937642">
        <w:rPr>
          <w:rFonts w:ascii="Palatino Linotype" w:hAnsi="Palatino Linotype" w:cs="Tahoma"/>
          <w:b/>
          <w:bCs/>
          <w:i/>
        </w:rPr>
        <w:t xml:space="preserve">Trigésimo segundo. </w:t>
      </w:r>
      <w:r w:rsidR="00F57B9E" w:rsidRPr="00937642">
        <w:rPr>
          <w:rFonts w:ascii="Palatino Linotype" w:hAnsi="Palatino Linotype" w:cs="Tahoma"/>
          <w:bCs/>
          <w:i/>
        </w:rPr>
        <w:t>De conformidad con el artículo 113, fracción XIII de la Ley General, podrá considerarse como información reservada, aquella que por disposición expresa de una ley o de un Tratado Internacional del que el Estado mexicano sea parte, le otorgue tal carácter siempre que no se contravenga lo establecido en la Ley General.</w:t>
      </w:r>
    </w:p>
    <w:p w14:paraId="4ABB4912" w14:textId="77777777" w:rsidR="00F57B9E" w:rsidRPr="00937642" w:rsidRDefault="00F57B9E" w:rsidP="00937642">
      <w:pPr>
        <w:tabs>
          <w:tab w:val="left" w:pos="8222"/>
        </w:tabs>
        <w:spacing w:line="276" w:lineRule="auto"/>
        <w:ind w:left="851" w:right="539"/>
        <w:jc w:val="both"/>
        <w:rPr>
          <w:rFonts w:ascii="Palatino Linotype" w:hAnsi="Palatino Linotype" w:cs="Tahoma"/>
          <w:bCs/>
          <w:i/>
        </w:rPr>
      </w:pPr>
    </w:p>
    <w:p w14:paraId="0DEF0864" w14:textId="77777777" w:rsidR="000254AE" w:rsidRPr="00937642" w:rsidRDefault="00F57B9E" w:rsidP="00937642">
      <w:pPr>
        <w:tabs>
          <w:tab w:val="left" w:pos="8222"/>
        </w:tabs>
        <w:spacing w:line="276" w:lineRule="auto"/>
        <w:ind w:left="851" w:right="539"/>
        <w:jc w:val="both"/>
        <w:rPr>
          <w:rFonts w:ascii="Palatino Linotype" w:hAnsi="Palatino Linotype" w:cs="Tahoma"/>
          <w:bCs/>
          <w:i/>
        </w:rPr>
      </w:pPr>
      <w:r w:rsidRPr="00937642">
        <w:rPr>
          <w:rFonts w:ascii="Palatino Linotype" w:hAnsi="Palatino Linotype" w:cs="Tahoma"/>
          <w:bCs/>
          <w:i/>
        </w:rPr>
        <w:t>Para que se actualice este supuesto de reserva, los sujetos obligados deberán fundar y motivar la clasificación de la información, señalando de manera específica el supuesto normativo que expresamente le otorga ese carácter</w:t>
      </w:r>
      <w:r w:rsidRPr="00937642">
        <w:rPr>
          <w:rFonts w:ascii="Palatino Linotype" w:hAnsi="Palatino Linotype" w:cs="Tahoma"/>
          <w:b/>
          <w:bCs/>
          <w:i/>
        </w:rPr>
        <w:t>.</w:t>
      </w:r>
      <w:r w:rsidR="000254AE" w:rsidRPr="00937642">
        <w:rPr>
          <w:rFonts w:ascii="Palatino Linotype" w:hAnsi="Palatino Linotype" w:cs="Tahoma"/>
          <w:bCs/>
          <w:i/>
        </w:rPr>
        <w:t>”</w:t>
      </w:r>
    </w:p>
    <w:p w14:paraId="2621976E" w14:textId="77777777" w:rsidR="000254AE" w:rsidRPr="00937642" w:rsidRDefault="000254AE" w:rsidP="00937642">
      <w:pPr>
        <w:spacing w:line="360" w:lineRule="auto"/>
        <w:jc w:val="both"/>
        <w:rPr>
          <w:rFonts w:ascii="Palatino Linotype" w:hAnsi="Palatino Linotype"/>
          <w:bCs/>
          <w:lang w:val="es-ES"/>
        </w:rPr>
      </w:pPr>
    </w:p>
    <w:p w14:paraId="09BA919D" w14:textId="5B2BE657" w:rsidR="000254AE" w:rsidRPr="00937642" w:rsidRDefault="00BB4701" w:rsidP="00937642">
      <w:pPr>
        <w:autoSpaceDE w:val="0"/>
        <w:autoSpaceDN w:val="0"/>
        <w:adjustRightInd w:val="0"/>
        <w:spacing w:line="360" w:lineRule="auto"/>
        <w:ind w:right="49"/>
        <w:contextualSpacing/>
        <w:jc w:val="both"/>
        <w:rPr>
          <w:rFonts w:ascii="Palatino Linotype" w:hAnsi="Palatino Linotype"/>
        </w:rPr>
      </w:pPr>
      <w:r w:rsidRPr="00937642">
        <w:rPr>
          <w:rFonts w:ascii="Palatino Linotype" w:hAnsi="Palatino Linotype"/>
          <w:w w:val="105"/>
        </w:rPr>
        <w:t xml:space="preserve">Asimismo, la </w:t>
      </w:r>
      <w:r w:rsidR="000254AE" w:rsidRPr="00937642">
        <w:rPr>
          <w:rFonts w:ascii="Palatino Linotype" w:hAnsi="Palatino Linotype"/>
        </w:rPr>
        <w:t>Suprema Corte de Justicia de la Nación se ha pronunciado, estableciendo que es jurídicamente correcto realizar restricciones al derecho de Acceso a la Información, cuando estas persiguen un fin constitucionalmente válido, como se puede apreciar en las siguientes tesis:</w:t>
      </w:r>
    </w:p>
    <w:p w14:paraId="5570EB08" w14:textId="77777777" w:rsidR="000254AE" w:rsidRPr="00937642" w:rsidRDefault="000254AE" w:rsidP="00937642">
      <w:pPr>
        <w:spacing w:before="100" w:beforeAutospacing="1" w:after="100" w:afterAutospacing="1" w:line="360" w:lineRule="auto"/>
        <w:jc w:val="both"/>
        <w:rPr>
          <w:rFonts w:ascii="Palatino Linotype" w:eastAsia="Calibri" w:hAnsi="Palatino Linotype"/>
          <w:bCs/>
          <w:i/>
          <w:iCs/>
          <w:u w:val="single"/>
          <w:lang w:val="es-ES"/>
        </w:rPr>
      </w:pPr>
      <w:r w:rsidRPr="00937642">
        <w:rPr>
          <w:rFonts w:ascii="Palatino Linotype" w:eastAsia="Calibri" w:hAnsi="Palatino Linotype"/>
          <w:bCs/>
          <w:lang w:val="es-ES"/>
        </w:rPr>
        <w:t>Semanario Judicial de la Federación y su Gaceta, Novena Época, Tomo 1, página 656, con rubro: “</w:t>
      </w:r>
      <w:r w:rsidRPr="00937642">
        <w:rPr>
          <w:rFonts w:ascii="Palatino Linotype" w:eastAsia="Calibri" w:hAnsi="Palatino Linotype"/>
          <w:b/>
          <w:i/>
          <w:iCs/>
          <w:u w:val="single"/>
          <w:lang w:val="es-ES"/>
        </w:rPr>
        <w:t xml:space="preserve">INFORMACIÓN RESERVADA. LÍMITE AL DERECHO DE ACCESO A </w:t>
      </w:r>
      <w:r w:rsidRPr="00937642">
        <w:rPr>
          <w:rFonts w:ascii="Palatino Linotype" w:eastAsia="Calibri" w:hAnsi="Palatino Linotype"/>
          <w:b/>
          <w:i/>
          <w:iCs/>
          <w:u w:val="single"/>
          <w:lang w:val="es-ES"/>
        </w:rPr>
        <w:lastRenderedPageBreak/>
        <w:t>LA INFORMACIÓN (LEY FEDERAL DE TRANSPARENCIA Y ACCESO A LA INFORMACIÓN PÚBLICA GUBERNAMENTAL”.</w:t>
      </w:r>
    </w:p>
    <w:p w14:paraId="67F5782E" w14:textId="77777777" w:rsidR="000254AE" w:rsidRPr="00937642" w:rsidRDefault="000254AE" w:rsidP="00937642">
      <w:pPr>
        <w:autoSpaceDE w:val="0"/>
        <w:autoSpaceDN w:val="0"/>
        <w:adjustRightInd w:val="0"/>
        <w:spacing w:line="276" w:lineRule="auto"/>
        <w:ind w:left="1417" w:right="1468"/>
        <w:contextualSpacing/>
        <w:jc w:val="both"/>
        <w:rPr>
          <w:rFonts w:ascii="Palatino Linotype" w:hAnsi="Palatino Linotype"/>
          <w:i/>
        </w:rPr>
      </w:pPr>
      <w:r w:rsidRPr="00937642">
        <w:rPr>
          <w:rFonts w:ascii="Palatino Linotype" w:hAnsi="Palatino Linotype"/>
          <w:i/>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protección del interés público, los artículos 13 y 14 de la ley establecieron como criterio de clasificación el de información reservada. El primero de los artículos citados establece un catálogo genérico de lineamientos bajo los cuales deberá reservarse la información, lo cual procederá cuando la difusión de la información pueda: 1) comprometer la seguridad nacional, la seguridad pública o la defensa nacional; 2) menoscabar negociaciones o relaciones internacionales; 3) dañar la estabilidad financiera, económica o monetaria del país; </w:t>
      </w:r>
      <w:r w:rsidRPr="00937642">
        <w:rPr>
          <w:rFonts w:ascii="Palatino Linotype" w:hAnsi="Palatino Linotype"/>
          <w:b/>
          <w:bCs/>
          <w:i/>
        </w:rPr>
        <w:t>4</w:t>
      </w:r>
      <w:bookmarkStart w:id="2" w:name="_Hlk105064892"/>
      <w:r w:rsidRPr="00937642">
        <w:rPr>
          <w:rFonts w:ascii="Palatino Linotype" w:hAnsi="Palatino Linotype"/>
          <w:b/>
          <w:bCs/>
          <w:i/>
        </w:rPr>
        <w:t>) poner en riesgo la vida, seguridad o salud de alguna persona</w:t>
      </w:r>
      <w:r w:rsidRPr="00937642">
        <w:rPr>
          <w:rFonts w:ascii="Palatino Linotype" w:hAnsi="Palatino Linotype"/>
          <w:i/>
        </w:rPr>
        <w:t xml:space="preserve">; o </w:t>
      </w:r>
      <w:r w:rsidRPr="00937642">
        <w:rPr>
          <w:rFonts w:ascii="Palatino Linotype" w:hAnsi="Palatino Linotype"/>
          <w:b/>
          <w:bCs/>
          <w:i/>
        </w:rPr>
        <w:t xml:space="preserve">5) causar perjuicio al </w:t>
      </w:r>
      <w:r w:rsidRPr="00937642">
        <w:rPr>
          <w:rFonts w:ascii="Palatino Linotype" w:hAnsi="Palatino Linotype"/>
          <w:b/>
          <w:bCs/>
          <w:i/>
        </w:rPr>
        <w:lastRenderedPageBreak/>
        <w:t>cumplimiento de las leyes, prevención o verificación de delitos</w:t>
      </w:r>
      <w:bookmarkEnd w:id="2"/>
      <w:r w:rsidRPr="00937642">
        <w:rPr>
          <w:rFonts w:ascii="Palatino Linotype" w:hAnsi="Palatino Linotype"/>
          <w:i/>
        </w:rPr>
        <w:t xml:space="preserve">, impartición de justicia, recaudación de contribuciones, control migratorio o a las estrategias procesales en procedimientos jurisdiccionales, mientras las resoluciones no causen estado. Por otro lado, con un enfoque más preciso que descriptivo, el artículo 14 de la Ley Federal de Transparencia y Acceso a la Información Pública Gubernamental contiene un catálogo ya no genérico, sino específico, de supuestos en los cuales la información también se considerará reservada: 1) la que expresamente se clasifique como confidencial, reservada, comercial reservada o gubernamental reservada; 2) secretos comercial, industrial, fiscal, bancario, fiduciario u otros; </w:t>
      </w:r>
      <w:r w:rsidRPr="00937642">
        <w:rPr>
          <w:rFonts w:ascii="Palatino Linotype" w:hAnsi="Palatino Linotype"/>
          <w:bCs/>
          <w:i/>
        </w:rPr>
        <w:t>3) averiguaciones previas</w:t>
      </w:r>
      <w:r w:rsidRPr="00937642">
        <w:rPr>
          <w:rFonts w:ascii="Palatino Linotype" w:hAnsi="Palatino Linotype"/>
          <w:i/>
        </w:rPr>
        <w:t>; 4) expedientes jurisdiccionales que no hayan causado estado; 5) procedimientos de responsabilidad administrativa sin resolución definitiva; o 6) la que contenga opiniones, recomendaciones o puntos de vista de servidores públicos y que formen parte de un proceso deliberativo en el cual aún no se hubiese adoptado una decisión definitiva. Como evidencia el listado anterior, la ley enunció en su artículo 14 supuestos que, si bien pueden clasificarse dentro de los lineamientos genéricos establecidos en el artículo 13, el legislador quiso destacar de modo que no se presentasen dudas respecto a la necesidad de considerarlos como información reservada.</w:t>
      </w:r>
    </w:p>
    <w:p w14:paraId="4F107A97" w14:textId="77777777" w:rsidR="000254AE" w:rsidRPr="00937642" w:rsidRDefault="000254AE" w:rsidP="00937642">
      <w:pPr>
        <w:autoSpaceDE w:val="0"/>
        <w:autoSpaceDN w:val="0"/>
        <w:adjustRightInd w:val="0"/>
        <w:spacing w:line="360" w:lineRule="auto"/>
        <w:ind w:right="49"/>
        <w:contextualSpacing/>
        <w:jc w:val="both"/>
        <w:rPr>
          <w:rFonts w:ascii="Palatino Linotype" w:hAnsi="Palatino Linotype"/>
        </w:rPr>
      </w:pPr>
    </w:p>
    <w:p w14:paraId="463BD2B0" w14:textId="77777777" w:rsidR="000254AE" w:rsidRPr="00937642" w:rsidRDefault="000254AE" w:rsidP="00937642">
      <w:pPr>
        <w:autoSpaceDE w:val="0"/>
        <w:autoSpaceDN w:val="0"/>
        <w:adjustRightInd w:val="0"/>
        <w:spacing w:line="360" w:lineRule="auto"/>
        <w:ind w:right="49"/>
        <w:contextualSpacing/>
        <w:jc w:val="both"/>
        <w:rPr>
          <w:rFonts w:ascii="Palatino Linotype" w:hAnsi="Palatino Linotype"/>
        </w:rPr>
      </w:pPr>
      <w:r w:rsidRPr="00937642">
        <w:rPr>
          <w:rFonts w:ascii="Palatino Linotype" w:hAnsi="Palatino Linotype"/>
        </w:rPr>
        <w:t xml:space="preserve">Semanario Judicial de la Federación y su Gaceta, Novena Época, Tomo XI, abril de 2000, página 74; con rubro: </w:t>
      </w:r>
      <w:r w:rsidRPr="00937642">
        <w:rPr>
          <w:rFonts w:ascii="Palatino Linotype" w:hAnsi="Palatino Linotype"/>
          <w:b/>
          <w:i/>
          <w:u w:val="single"/>
        </w:rPr>
        <w:t>“DERECHO A LA INFORMACIÓN. SU EJERCICIO SE ENCUENTRA LIMITADO TANTO POR LOS INTERESES NACIONALES Y DE LA SOCIEDAD, COMO POR LOS DERECHOS DE TERCEROS</w:t>
      </w:r>
      <w:r w:rsidRPr="00937642">
        <w:rPr>
          <w:rFonts w:ascii="Palatino Linotype" w:hAnsi="Palatino Linotype"/>
        </w:rPr>
        <w:t xml:space="preserve">, la cual señala: </w:t>
      </w:r>
    </w:p>
    <w:p w14:paraId="000E8FFE" w14:textId="77777777" w:rsidR="000254AE" w:rsidRPr="00937642" w:rsidRDefault="000254AE" w:rsidP="00937642">
      <w:pPr>
        <w:autoSpaceDE w:val="0"/>
        <w:autoSpaceDN w:val="0"/>
        <w:adjustRightInd w:val="0"/>
        <w:spacing w:line="360" w:lineRule="auto"/>
        <w:ind w:right="49"/>
        <w:contextualSpacing/>
        <w:jc w:val="both"/>
        <w:rPr>
          <w:rFonts w:ascii="Palatino Linotype" w:hAnsi="Palatino Linotype"/>
          <w:sz w:val="22"/>
          <w:szCs w:val="22"/>
        </w:rPr>
      </w:pPr>
    </w:p>
    <w:p w14:paraId="49B6C5E2" w14:textId="77777777" w:rsidR="000254AE" w:rsidRPr="00937642" w:rsidRDefault="000254AE" w:rsidP="00937642">
      <w:pPr>
        <w:autoSpaceDE w:val="0"/>
        <w:autoSpaceDN w:val="0"/>
        <w:adjustRightInd w:val="0"/>
        <w:spacing w:line="276" w:lineRule="auto"/>
        <w:ind w:left="1417" w:right="1468"/>
        <w:contextualSpacing/>
        <w:jc w:val="both"/>
        <w:rPr>
          <w:rFonts w:ascii="Palatino Linotype" w:hAnsi="Palatino Linotype"/>
        </w:rPr>
      </w:pPr>
      <w:r w:rsidRPr="00937642">
        <w:rPr>
          <w:rFonts w:ascii="Palatino Linotype" w:hAnsi="Palatino Linotype"/>
          <w:b/>
          <w:i/>
        </w:rPr>
        <w:lastRenderedPageBreak/>
        <w:t>El ejercicio del derecho a la información no es irrestricto, sino que tiene límites que se sustentan en la protección de la seguridad nacional y en el respeto a los intereses de la sociedad y a los derechos de los gobernados, en atención a la materia de que se trat</w:t>
      </w:r>
      <w:r w:rsidRPr="00937642">
        <w:rPr>
          <w:rFonts w:ascii="Palatino Linotype" w:hAnsi="Palatino Linotype"/>
          <w:i/>
        </w:rPr>
        <w:t xml:space="preserve">e. En ese sentido, el citado precepto, al remitir a diversas normas ordinarias que establezcan restricciones a la información, no viola la garantía de acceso a la información contenida en el artículo 6o. de la Constitución Política de los Estados Unidos Mexicanos, porque </w:t>
      </w:r>
      <w:r w:rsidRPr="00937642">
        <w:rPr>
          <w:rFonts w:ascii="Palatino Linotype" w:hAnsi="Palatino Linotype"/>
          <w:b/>
          <w:i/>
        </w:rPr>
        <w:t>es jurídicamente adecuado que en las leyes reguladoras de cada materia, 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w:t>
      </w:r>
      <w:r w:rsidRPr="00937642">
        <w:rPr>
          <w:rFonts w:ascii="Palatino Linotype" w:hAnsi="Palatino Linotype"/>
          <w:i/>
        </w:rPr>
        <w:t>, es decir, que exista proporcionalidad y congruencia entre el derecho fundamental de que se trata y la razón que motive la restricción legislativa correspondiente, la cual debe ser adecuada y necesaria para alcanzar el fin perseguido, de manera que las ventajas obtenidas con la reserva compensen el sacrificio que ésta implique para los titulares de la garantía individual mencionada o para la sociedad en general</w:t>
      </w:r>
      <w:r w:rsidRPr="00937642">
        <w:rPr>
          <w:rFonts w:ascii="Palatino Linotype" w:hAnsi="Palatino Linotype"/>
        </w:rPr>
        <w:t>.”</w:t>
      </w:r>
    </w:p>
    <w:p w14:paraId="03D25B4E" w14:textId="77777777" w:rsidR="000254AE" w:rsidRPr="00937642" w:rsidRDefault="000254AE" w:rsidP="00937642">
      <w:pPr>
        <w:autoSpaceDE w:val="0"/>
        <w:autoSpaceDN w:val="0"/>
        <w:adjustRightInd w:val="0"/>
        <w:spacing w:line="360" w:lineRule="auto"/>
        <w:ind w:right="49"/>
        <w:contextualSpacing/>
        <w:jc w:val="both"/>
        <w:rPr>
          <w:rFonts w:ascii="Palatino Linotype" w:hAnsi="Palatino Linotype"/>
          <w:sz w:val="20"/>
          <w:szCs w:val="20"/>
        </w:rPr>
      </w:pPr>
    </w:p>
    <w:p w14:paraId="3805652D" w14:textId="77777777" w:rsidR="00AE02FF" w:rsidRPr="00937642" w:rsidRDefault="00AE02FF" w:rsidP="00937642">
      <w:pPr>
        <w:autoSpaceDE w:val="0"/>
        <w:autoSpaceDN w:val="0"/>
        <w:adjustRightInd w:val="0"/>
        <w:spacing w:line="360" w:lineRule="auto"/>
        <w:ind w:right="49"/>
        <w:contextualSpacing/>
        <w:jc w:val="both"/>
        <w:rPr>
          <w:rFonts w:ascii="Palatino Linotype" w:hAnsi="Palatino Linotype"/>
          <w:szCs w:val="20"/>
        </w:rPr>
      </w:pPr>
      <w:r w:rsidRPr="00937642">
        <w:rPr>
          <w:rFonts w:ascii="Palatino Linotype" w:hAnsi="Palatino Linotype"/>
          <w:szCs w:val="20"/>
        </w:rPr>
        <w:t xml:space="preserve">Asimismo, </w:t>
      </w:r>
      <w:r w:rsidR="000D7DB7" w:rsidRPr="00937642">
        <w:rPr>
          <w:rFonts w:ascii="Palatino Linotype" w:hAnsi="Palatino Linotype"/>
          <w:szCs w:val="20"/>
        </w:rPr>
        <w:t xml:space="preserve">110, penúltimo párrafo de la Ley General del Sistema Nacional de Seguridad </w:t>
      </w:r>
      <w:r w:rsidR="00CB211D" w:rsidRPr="00937642">
        <w:rPr>
          <w:rFonts w:ascii="Palatino Linotype" w:hAnsi="Palatino Linotype"/>
          <w:szCs w:val="20"/>
        </w:rPr>
        <w:t>prevé como un supuesto de clasificación como información reservada, aquella cuya materia sea relativa a detenciones, información criminal, personal de seguridad, entre otras necesarias para a operación del Sistema, como a continuación se puede observar:</w:t>
      </w:r>
    </w:p>
    <w:p w14:paraId="42073EC6" w14:textId="77777777" w:rsidR="00CB211D" w:rsidRPr="00937642" w:rsidRDefault="00CB211D" w:rsidP="00937642">
      <w:pPr>
        <w:autoSpaceDE w:val="0"/>
        <w:autoSpaceDN w:val="0"/>
        <w:adjustRightInd w:val="0"/>
        <w:spacing w:line="360" w:lineRule="auto"/>
        <w:ind w:right="49"/>
        <w:contextualSpacing/>
        <w:jc w:val="both"/>
        <w:rPr>
          <w:rFonts w:ascii="Palatino Linotype" w:hAnsi="Palatino Linotype"/>
          <w:szCs w:val="20"/>
        </w:rPr>
      </w:pPr>
    </w:p>
    <w:p w14:paraId="2AFFFA16" w14:textId="77777777" w:rsidR="00FE7275" w:rsidRPr="00937642" w:rsidRDefault="00FE7275" w:rsidP="00937642">
      <w:pPr>
        <w:autoSpaceDE w:val="0"/>
        <w:autoSpaceDN w:val="0"/>
        <w:adjustRightInd w:val="0"/>
        <w:spacing w:line="276" w:lineRule="auto"/>
        <w:ind w:left="851" w:right="850"/>
        <w:contextualSpacing/>
        <w:jc w:val="both"/>
        <w:rPr>
          <w:rFonts w:ascii="Palatino Linotype" w:hAnsi="Palatino Linotype"/>
          <w:i/>
          <w:szCs w:val="20"/>
        </w:rPr>
      </w:pPr>
      <w:r w:rsidRPr="00937642">
        <w:rPr>
          <w:rFonts w:ascii="Palatino Linotype" w:hAnsi="Palatino Linotype"/>
          <w:i/>
          <w:szCs w:val="20"/>
        </w:rPr>
        <w:t>“</w:t>
      </w:r>
      <w:r w:rsidRPr="00937642">
        <w:rPr>
          <w:rFonts w:ascii="Palatino Linotype" w:hAnsi="Palatino Linotype"/>
          <w:b/>
          <w:i/>
          <w:szCs w:val="20"/>
        </w:rPr>
        <w:t>Artículo 110</w:t>
      </w:r>
      <w:r w:rsidRPr="00937642">
        <w:rPr>
          <w:rFonts w:ascii="Palatino Linotype" w:hAnsi="Palatino Linotype"/>
          <w:i/>
          <w:szCs w:val="20"/>
        </w:rPr>
        <w:t xml:space="preserve">. … </w:t>
      </w:r>
    </w:p>
    <w:p w14:paraId="3929F4C3" w14:textId="77777777" w:rsidR="00CB211D" w:rsidRPr="00937642" w:rsidRDefault="00CB211D" w:rsidP="00937642">
      <w:pPr>
        <w:autoSpaceDE w:val="0"/>
        <w:autoSpaceDN w:val="0"/>
        <w:adjustRightInd w:val="0"/>
        <w:spacing w:line="276" w:lineRule="auto"/>
        <w:ind w:left="851" w:right="850"/>
        <w:contextualSpacing/>
        <w:jc w:val="both"/>
        <w:rPr>
          <w:rFonts w:ascii="Palatino Linotype" w:hAnsi="Palatino Linotype"/>
          <w:i/>
          <w:szCs w:val="20"/>
        </w:rPr>
      </w:pPr>
      <w:r w:rsidRPr="00937642">
        <w:rPr>
          <w:rFonts w:ascii="Palatino Linotype" w:hAnsi="Palatino Linotype"/>
          <w:i/>
          <w:szCs w:val="20"/>
        </w:rPr>
        <w:t>Se clasifica como reservada la información contenida en todas y cada una de las Bases de Datos del Sistema Nacional de Información, así como los Registros Nacionales y la información contenida en ellos, en materia de detenciones, información criminal, personal de seguridad pública, personal y equipo de los servicios de seguridad privada, armamento y equipo, vehículos, huellas dactilares, teléfonos celulares, medidas cautelares, soluciones alternas y formas de terminación anticipada, sentenciados y las demás necesarias para la operación del Sistema</w:t>
      </w:r>
      <w:r w:rsidR="00FE7275" w:rsidRPr="00937642">
        <w:rPr>
          <w:rFonts w:ascii="Palatino Linotype" w:hAnsi="Palatino Linotype"/>
          <w:i/>
          <w:szCs w:val="20"/>
        </w:rPr>
        <w:t>”</w:t>
      </w:r>
    </w:p>
    <w:p w14:paraId="199F9D5B" w14:textId="77777777" w:rsidR="000254AE" w:rsidRPr="00937642" w:rsidRDefault="000254AE" w:rsidP="00937642">
      <w:pPr>
        <w:tabs>
          <w:tab w:val="left" w:pos="8222"/>
        </w:tabs>
        <w:spacing w:line="360" w:lineRule="auto"/>
        <w:ind w:right="-28"/>
        <w:jc w:val="both"/>
        <w:rPr>
          <w:rFonts w:ascii="Palatino Linotype" w:hAnsi="Palatino Linotype"/>
          <w:i/>
          <w:iCs/>
          <w:sz w:val="22"/>
          <w:szCs w:val="22"/>
        </w:rPr>
      </w:pPr>
    </w:p>
    <w:p w14:paraId="1B646E99" w14:textId="1E42FA10" w:rsidR="000254AE" w:rsidRPr="00937642" w:rsidRDefault="000254AE" w:rsidP="00937642">
      <w:pPr>
        <w:tabs>
          <w:tab w:val="left" w:pos="8222"/>
        </w:tabs>
        <w:spacing w:line="360" w:lineRule="auto"/>
        <w:ind w:right="-28"/>
        <w:jc w:val="both"/>
        <w:rPr>
          <w:rFonts w:ascii="Palatino Linotype" w:hAnsi="Palatino Linotype" w:cs="Tahoma"/>
          <w:bCs/>
        </w:rPr>
      </w:pPr>
      <w:r w:rsidRPr="00937642">
        <w:rPr>
          <w:rFonts w:ascii="Palatino Linotype" w:hAnsi="Palatino Linotype" w:cs="Tahoma"/>
          <w:bCs/>
        </w:rPr>
        <w:t xml:space="preserve">Así, se considera que la información relativa al </w:t>
      </w:r>
      <w:r w:rsidR="00FE7275" w:rsidRPr="00937642">
        <w:rPr>
          <w:rFonts w:ascii="Palatino Linotype" w:hAnsi="Palatino Linotype" w:cs="Tahoma"/>
          <w:bCs/>
        </w:rPr>
        <w:t>perfil académico</w:t>
      </w:r>
      <w:r w:rsidRPr="00937642">
        <w:rPr>
          <w:rFonts w:ascii="Palatino Linotype" w:hAnsi="Palatino Linotype" w:cs="Tahoma"/>
          <w:bCs/>
        </w:rPr>
        <w:t xml:space="preserve"> de la servidora pública instada por el particular actualiza un supuesto de reserva de la información, en términos del artículo 140, fracciones </w:t>
      </w:r>
      <w:r w:rsidR="00FE7275" w:rsidRPr="00937642">
        <w:rPr>
          <w:rFonts w:ascii="Palatino Linotype" w:hAnsi="Palatino Linotype" w:cs="Tahoma"/>
          <w:bCs/>
        </w:rPr>
        <w:t>X</w:t>
      </w:r>
      <w:r w:rsidRPr="00937642">
        <w:rPr>
          <w:rFonts w:ascii="Palatino Linotype" w:hAnsi="Palatino Linotype" w:cs="Tahoma"/>
          <w:bCs/>
        </w:rPr>
        <w:t>I</w:t>
      </w:r>
      <w:r w:rsidR="00717D12" w:rsidRPr="00937642">
        <w:rPr>
          <w:rFonts w:ascii="Palatino Linotype" w:hAnsi="Palatino Linotype" w:cs="Tahoma"/>
          <w:bCs/>
        </w:rPr>
        <w:t xml:space="preserve"> y</w:t>
      </w:r>
      <w:r w:rsidRPr="00937642">
        <w:rPr>
          <w:rFonts w:ascii="Palatino Linotype" w:hAnsi="Palatino Linotype" w:cs="Tahoma"/>
          <w:bCs/>
        </w:rPr>
        <w:t xml:space="preserve"> VI de la Ley de Transparencia y Acceso a la Información del Estado de México y Municipios.</w:t>
      </w:r>
    </w:p>
    <w:p w14:paraId="76F3A272" w14:textId="77777777" w:rsidR="000254AE" w:rsidRPr="00937642" w:rsidRDefault="000254AE" w:rsidP="00937642">
      <w:pPr>
        <w:tabs>
          <w:tab w:val="left" w:pos="8222"/>
        </w:tabs>
        <w:spacing w:line="360" w:lineRule="auto"/>
        <w:ind w:right="-28"/>
        <w:jc w:val="both"/>
        <w:rPr>
          <w:rFonts w:ascii="Palatino Linotype" w:hAnsi="Palatino Linotype" w:cs="Tahoma"/>
          <w:bCs/>
        </w:rPr>
      </w:pPr>
    </w:p>
    <w:p w14:paraId="7BABD876" w14:textId="77777777" w:rsidR="000254AE" w:rsidRPr="00937642" w:rsidRDefault="000254AE" w:rsidP="00937642">
      <w:pPr>
        <w:tabs>
          <w:tab w:val="left" w:pos="8222"/>
        </w:tabs>
        <w:spacing w:after="100" w:afterAutospacing="1" w:line="360" w:lineRule="auto"/>
        <w:ind w:right="-28"/>
        <w:jc w:val="both"/>
        <w:rPr>
          <w:rFonts w:ascii="Palatino Linotype" w:hAnsi="Palatino Linotype" w:cs="Tahoma"/>
          <w:bCs/>
          <w:szCs w:val="22"/>
        </w:rPr>
      </w:pPr>
      <w:r w:rsidRPr="00937642">
        <w:rPr>
          <w:rFonts w:ascii="Palatino Linotype" w:hAnsi="Palatino Linotype" w:cs="Tahoma"/>
          <w:bCs/>
          <w:szCs w:val="22"/>
        </w:rPr>
        <w:t>Sobre el particular, cabe traer a colación el artículo 141 de la Ley de la materia, que establece que las causales de reserva se deberán fundar y motivar, a través de la aplicación de la prueba de daño establecida en el artículo 129 de dicho ordenamiento, que se debe justificar de la siguiente manera:</w:t>
      </w:r>
    </w:p>
    <w:p w14:paraId="0A9C1A2F" w14:textId="77777777" w:rsidR="000254AE" w:rsidRPr="00937642" w:rsidRDefault="000254AE" w:rsidP="00937642">
      <w:pPr>
        <w:pStyle w:val="Prrafodelista"/>
        <w:numPr>
          <w:ilvl w:val="0"/>
          <w:numId w:val="12"/>
        </w:numPr>
        <w:tabs>
          <w:tab w:val="left" w:pos="8222"/>
        </w:tabs>
        <w:spacing w:line="360" w:lineRule="auto"/>
        <w:ind w:right="-28"/>
        <w:contextualSpacing/>
        <w:jc w:val="both"/>
        <w:rPr>
          <w:rFonts w:ascii="Palatino Linotype" w:hAnsi="Palatino Linotype" w:cs="Tahoma"/>
          <w:bCs/>
          <w:szCs w:val="22"/>
        </w:rPr>
      </w:pPr>
      <w:r w:rsidRPr="00937642">
        <w:rPr>
          <w:rFonts w:ascii="Palatino Linotype" w:hAnsi="Palatino Linotype" w:cs="Tahoma"/>
          <w:bCs/>
          <w:szCs w:val="22"/>
        </w:rPr>
        <w:t>La divulgación de la información representa un riesgo real, demostrable e identificable de perjuicio significativo al interés público o a la seguridad nacional.</w:t>
      </w:r>
    </w:p>
    <w:p w14:paraId="21A54588" w14:textId="77777777" w:rsidR="000254AE" w:rsidRPr="00937642" w:rsidRDefault="000254AE" w:rsidP="00937642">
      <w:pPr>
        <w:pStyle w:val="Prrafodelista"/>
        <w:numPr>
          <w:ilvl w:val="0"/>
          <w:numId w:val="12"/>
        </w:numPr>
        <w:tabs>
          <w:tab w:val="left" w:pos="8222"/>
        </w:tabs>
        <w:spacing w:line="360" w:lineRule="auto"/>
        <w:ind w:right="-28"/>
        <w:contextualSpacing/>
        <w:jc w:val="both"/>
        <w:rPr>
          <w:rFonts w:ascii="Palatino Linotype" w:hAnsi="Palatino Linotype" w:cs="Tahoma"/>
          <w:bCs/>
          <w:szCs w:val="22"/>
        </w:rPr>
      </w:pPr>
      <w:r w:rsidRPr="00937642">
        <w:rPr>
          <w:rFonts w:ascii="Palatino Linotype" w:hAnsi="Palatino Linotype" w:cs="Tahoma"/>
          <w:bCs/>
          <w:szCs w:val="22"/>
        </w:rPr>
        <w:t>El riesgo de perjuicio supera el interés público general de que se difunda.</w:t>
      </w:r>
    </w:p>
    <w:p w14:paraId="5C693EAF" w14:textId="77777777" w:rsidR="000254AE" w:rsidRPr="00937642" w:rsidRDefault="000254AE" w:rsidP="00937642">
      <w:pPr>
        <w:pStyle w:val="Prrafodelista"/>
        <w:numPr>
          <w:ilvl w:val="0"/>
          <w:numId w:val="12"/>
        </w:numPr>
        <w:tabs>
          <w:tab w:val="left" w:pos="8222"/>
        </w:tabs>
        <w:spacing w:line="360" w:lineRule="auto"/>
        <w:ind w:right="-28"/>
        <w:contextualSpacing/>
        <w:jc w:val="both"/>
        <w:rPr>
          <w:rFonts w:ascii="Palatino Linotype" w:hAnsi="Palatino Linotype" w:cs="Tahoma"/>
          <w:bCs/>
          <w:szCs w:val="22"/>
        </w:rPr>
      </w:pPr>
      <w:r w:rsidRPr="00937642">
        <w:rPr>
          <w:rFonts w:ascii="Palatino Linotype" w:hAnsi="Palatino Linotype" w:cs="Tahoma"/>
          <w:bCs/>
          <w:szCs w:val="22"/>
        </w:rPr>
        <w:lastRenderedPageBreak/>
        <w:t>Que la limitación se adecua al principio de proporcionalidad y representa el medio menos restrictivo disponible para evitar el perjuicio.</w:t>
      </w:r>
    </w:p>
    <w:p w14:paraId="4C9695F7" w14:textId="7471E936" w:rsidR="000254AE" w:rsidRPr="00937642" w:rsidRDefault="000254AE" w:rsidP="00937642">
      <w:pPr>
        <w:tabs>
          <w:tab w:val="left" w:pos="8222"/>
        </w:tabs>
        <w:spacing w:before="100" w:beforeAutospacing="1" w:after="100" w:afterAutospacing="1" w:line="360" w:lineRule="auto"/>
        <w:ind w:right="-28"/>
        <w:jc w:val="both"/>
        <w:rPr>
          <w:rFonts w:ascii="Palatino Linotype" w:eastAsia="Palatino Linotype" w:hAnsi="Palatino Linotype" w:cs="Palatino Linotype"/>
          <w:lang w:val="es-ES"/>
        </w:rPr>
      </w:pPr>
      <w:r w:rsidRPr="00937642">
        <w:rPr>
          <w:rFonts w:ascii="Palatino Linotype" w:hAnsi="Palatino Linotype" w:cs="Tahoma"/>
          <w:bCs/>
          <w:szCs w:val="22"/>
        </w:rPr>
        <w:t xml:space="preserve">Es así que, al tenor de lo hasta aquí expuesto y una vez analizado por este Órgano Garante el Acuerdo de Reserva de la Información que </w:t>
      </w:r>
      <w:r w:rsidR="00717D12" w:rsidRPr="00937642">
        <w:rPr>
          <w:rFonts w:ascii="Palatino Linotype" w:hAnsi="Palatino Linotype" w:cs="Tahoma"/>
          <w:bCs/>
          <w:szCs w:val="22"/>
        </w:rPr>
        <w:t xml:space="preserve">emitió </w:t>
      </w:r>
      <w:r w:rsidRPr="00937642">
        <w:rPr>
          <w:rFonts w:ascii="Palatino Linotype" w:hAnsi="Palatino Linotype" w:cs="Tahoma"/>
          <w:bCs/>
          <w:szCs w:val="22"/>
        </w:rPr>
        <w:t xml:space="preserve"> </w:t>
      </w:r>
      <w:r w:rsidRPr="00937642">
        <w:rPr>
          <w:rFonts w:ascii="Palatino Linotype" w:hAnsi="Palatino Linotype" w:cs="Tahoma"/>
          <w:b/>
          <w:bCs/>
          <w:szCs w:val="22"/>
        </w:rPr>
        <w:t>EL SUJETO OBLIGADO</w:t>
      </w:r>
      <w:r w:rsidR="00717D12" w:rsidRPr="00937642">
        <w:rPr>
          <w:rFonts w:ascii="Palatino Linotype" w:hAnsi="Palatino Linotype" w:cs="Tahoma"/>
          <w:bCs/>
          <w:szCs w:val="22"/>
        </w:rPr>
        <w:t>,</w:t>
      </w:r>
      <w:r w:rsidRPr="00937642">
        <w:rPr>
          <w:rFonts w:ascii="Palatino Linotype" w:hAnsi="Palatino Linotype" w:cs="Tahoma"/>
          <w:bCs/>
          <w:szCs w:val="22"/>
        </w:rPr>
        <w:t xml:space="preserve"> y con la finalidad de </w:t>
      </w:r>
      <w:r w:rsidRPr="00937642">
        <w:rPr>
          <w:rFonts w:ascii="Palatino Linotype" w:eastAsia="Palatino Linotype" w:hAnsi="Palatino Linotype" w:cs="Palatino Linotype"/>
          <w:lang w:val="es-ES"/>
        </w:rPr>
        <w:t xml:space="preserve">establecer si el Comité de Transparencia cumplió cabalmente con las formalidades exigidas por con el artículo 113, fracción </w:t>
      </w:r>
      <w:r w:rsidR="00FE7275" w:rsidRPr="00937642">
        <w:rPr>
          <w:rFonts w:ascii="Palatino Linotype" w:eastAsia="Palatino Linotype" w:hAnsi="Palatino Linotype" w:cs="Palatino Linotype"/>
          <w:lang w:val="es-ES"/>
        </w:rPr>
        <w:t>XIII</w:t>
      </w:r>
      <w:r w:rsidRPr="00937642">
        <w:rPr>
          <w:rFonts w:ascii="Palatino Linotype" w:eastAsia="Palatino Linotype" w:hAnsi="Palatino Linotype" w:cs="Palatino Linotype"/>
          <w:lang w:val="es-ES"/>
        </w:rPr>
        <w:t xml:space="preserve">, de la Ley General de Transparencia y Acceso a la Información Pública, numeral </w:t>
      </w:r>
      <w:r w:rsidR="00FE7275" w:rsidRPr="00937642">
        <w:rPr>
          <w:rFonts w:ascii="Palatino Linotype" w:hAnsi="Palatino Linotype" w:cs="Tahoma"/>
          <w:bCs/>
          <w:szCs w:val="22"/>
        </w:rPr>
        <w:t>Trigésimo Segundo</w:t>
      </w:r>
      <w:r w:rsidRPr="00937642">
        <w:rPr>
          <w:rFonts w:ascii="Palatino Linotype" w:eastAsia="Palatino Linotype" w:hAnsi="Palatino Linotype" w:cs="Palatino Linotype"/>
          <w:lang w:val="es-ES"/>
        </w:rPr>
        <w:t>, de los Lineamientos Generales en Materia de Clasificación y Desclasificación de la Información, así como para la Elaboración de Versiones Públicas, los artículos</w:t>
      </w:r>
      <w:r w:rsidR="00FE7275" w:rsidRPr="00937642">
        <w:rPr>
          <w:rFonts w:ascii="Palatino Linotype" w:eastAsia="Palatino Linotype" w:hAnsi="Palatino Linotype" w:cs="Palatino Linotype"/>
          <w:lang w:val="es-ES"/>
        </w:rPr>
        <w:t xml:space="preserve"> 91, 128, 129, 140, fracción XI</w:t>
      </w:r>
      <w:r w:rsidRPr="00937642">
        <w:rPr>
          <w:rFonts w:ascii="Palatino Linotype" w:hAnsi="Palatino Linotype" w:cs="Tahoma"/>
          <w:bCs/>
        </w:rPr>
        <w:t xml:space="preserve"> y</w:t>
      </w:r>
      <w:r w:rsidRPr="00937642">
        <w:rPr>
          <w:rFonts w:ascii="Palatino Linotype" w:eastAsia="Palatino Linotype" w:hAnsi="Palatino Linotype" w:cs="Palatino Linotype"/>
          <w:lang w:val="es-ES"/>
        </w:rPr>
        <w:t xml:space="preserve"> 141, de la Ley de Transparencia y Acceso a la Información Pública del Estado de México y Municipios, es que se procede a realizar el siguiente análisis, tomando en cuenta las documentales facilitadas por el Sujeto Obligado:</w:t>
      </w:r>
    </w:p>
    <w:tbl>
      <w:tblPr>
        <w:tblW w:w="932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696"/>
        <w:gridCol w:w="6095"/>
      </w:tblGrid>
      <w:tr w:rsidR="00937642" w:rsidRPr="00937642" w14:paraId="605A8143" w14:textId="77777777" w:rsidTr="00AC0559">
        <w:tc>
          <w:tcPr>
            <w:tcW w:w="1535" w:type="dxa"/>
            <w:tcBorders>
              <w:top w:val="nil"/>
              <w:left w:val="nil"/>
            </w:tcBorders>
          </w:tcPr>
          <w:p w14:paraId="48040F21" w14:textId="77777777" w:rsidR="000254AE" w:rsidRPr="00937642" w:rsidRDefault="000254AE" w:rsidP="00937642">
            <w:pPr>
              <w:pBdr>
                <w:top w:val="nil"/>
                <w:left w:val="nil"/>
                <w:bottom w:val="nil"/>
                <w:right w:val="nil"/>
                <w:between w:val="nil"/>
              </w:pBdr>
              <w:spacing w:after="120"/>
              <w:ind w:left="47"/>
              <w:jc w:val="both"/>
              <w:rPr>
                <w:rFonts w:ascii="Palatino Linotype" w:eastAsia="Palatino Linotype" w:hAnsi="Palatino Linotype" w:cs="Palatino Linotype"/>
                <w:b/>
                <w:sz w:val="20"/>
                <w:szCs w:val="20"/>
              </w:rPr>
            </w:pPr>
          </w:p>
        </w:tc>
        <w:tc>
          <w:tcPr>
            <w:tcW w:w="1696" w:type="dxa"/>
            <w:tcBorders>
              <w:bottom w:val="single" w:sz="4" w:space="0" w:color="000000"/>
            </w:tcBorders>
            <w:shd w:val="clear" w:color="auto" w:fill="BFBFBF"/>
            <w:vAlign w:val="bottom"/>
          </w:tcPr>
          <w:p w14:paraId="5EC53C21" w14:textId="77777777" w:rsidR="000254AE" w:rsidRPr="00937642" w:rsidRDefault="000254AE" w:rsidP="00937642">
            <w:pPr>
              <w:pBdr>
                <w:top w:val="nil"/>
                <w:left w:val="nil"/>
                <w:bottom w:val="nil"/>
                <w:right w:val="nil"/>
                <w:between w:val="nil"/>
              </w:pBdr>
              <w:spacing w:after="120"/>
              <w:ind w:left="47"/>
              <w:jc w:val="center"/>
              <w:rPr>
                <w:rFonts w:ascii="Palatino Linotype" w:eastAsia="Palatino Linotype" w:hAnsi="Palatino Linotype" w:cs="Palatino Linotype"/>
                <w:b/>
                <w:sz w:val="20"/>
                <w:szCs w:val="20"/>
              </w:rPr>
            </w:pPr>
            <w:r w:rsidRPr="00937642">
              <w:rPr>
                <w:rFonts w:ascii="Palatino Linotype" w:eastAsia="Palatino Linotype" w:hAnsi="Palatino Linotype" w:cs="Palatino Linotype"/>
                <w:b/>
              </w:rPr>
              <w:t>Cumplió:</w:t>
            </w:r>
          </w:p>
        </w:tc>
        <w:tc>
          <w:tcPr>
            <w:tcW w:w="6095" w:type="dxa"/>
            <w:tcBorders>
              <w:bottom w:val="single" w:sz="4" w:space="0" w:color="000000"/>
            </w:tcBorders>
            <w:shd w:val="clear" w:color="auto" w:fill="BFBFBF"/>
            <w:vAlign w:val="bottom"/>
          </w:tcPr>
          <w:p w14:paraId="4FA0A158" w14:textId="77777777" w:rsidR="000254AE" w:rsidRPr="00937642" w:rsidRDefault="000254AE" w:rsidP="00937642">
            <w:pPr>
              <w:pBdr>
                <w:top w:val="nil"/>
                <w:left w:val="nil"/>
                <w:bottom w:val="nil"/>
                <w:right w:val="nil"/>
                <w:between w:val="nil"/>
              </w:pBdr>
              <w:spacing w:after="120"/>
              <w:ind w:left="47"/>
              <w:jc w:val="center"/>
              <w:rPr>
                <w:rFonts w:ascii="Palatino Linotype" w:eastAsia="Palatino Linotype" w:hAnsi="Palatino Linotype" w:cs="Palatino Linotype"/>
                <w:b/>
              </w:rPr>
            </w:pPr>
            <w:r w:rsidRPr="00937642">
              <w:rPr>
                <w:rFonts w:ascii="Palatino Linotype" w:eastAsia="Palatino Linotype" w:hAnsi="Palatino Linotype" w:cs="Palatino Linotype"/>
                <w:b/>
              </w:rPr>
              <w:t>Contenido</w:t>
            </w:r>
          </w:p>
        </w:tc>
      </w:tr>
      <w:tr w:rsidR="00937642" w:rsidRPr="00937642" w14:paraId="755B6563" w14:textId="77777777" w:rsidTr="00AC0559">
        <w:tc>
          <w:tcPr>
            <w:tcW w:w="1535" w:type="dxa"/>
            <w:vAlign w:val="center"/>
          </w:tcPr>
          <w:p w14:paraId="0B1DCE72" w14:textId="77777777" w:rsidR="000254AE" w:rsidRPr="00937642" w:rsidRDefault="000254AE" w:rsidP="00937642">
            <w:pPr>
              <w:spacing w:after="120"/>
              <w:jc w:val="center"/>
              <w:rPr>
                <w:rFonts w:ascii="Palatino Linotype" w:eastAsia="Palatino Linotype" w:hAnsi="Palatino Linotype" w:cs="Palatino Linotype"/>
                <w:b/>
                <w:sz w:val="16"/>
                <w:szCs w:val="16"/>
              </w:rPr>
            </w:pPr>
            <w:r w:rsidRPr="00937642">
              <w:rPr>
                <w:rFonts w:ascii="Palatino Linotype" w:eastAsia="Palatino Linotype" w:hAnsi="Palatino Linotype" w:cs="Palatino Linotype"/>
                <w:b/>
                <w:sz w:val="16"/>
                <w:szCs w:val="16"/>
              </w:rPr>
              <w:t>Número de folio de la solicitud</w:t>
            </w:r>
          </w:p>
        </w:tc>
        <w:tc>
          <w:tcPr>
            <w:tcW w:w="1696" w:type="dxa"/>
            <w:tcBorders>
              <w:top w:val="single" w:sz="4" w:space="0" w:color="000000"/>
            </w:tcBorders>
            <w:vAlign w:val="center"/>
          </w:tcPr>
          <w:p w14:paraId="11859C7F" w14:textId="77777777" w:rsidR="000254AE" w:rsidRPr="00937642" w:rsidRDefault="000254AE" w:rsidP="00937642">
            <w:pPr>
              <w:spacing w:after="120"/>
              <w:ind w:left="47"/>
              <w:jc w:val="center"/>
              <w:rPr>
                <w:rFonts w:ascii="Palatino Linotype" w:eastAsia="Palatino Linotype" w:hAnsi="Palatino Linotype" w:cs="Palatino Linotype"/>
                <w:b/>
              </w:rPr>
            </w:pPr>
            <w:r w:rsidRPr="00937642">
              <w:rPr>
                <w:rFonts w:ascii="Palatino Linotype" w:eastAsia="Palatino Linotype" w:hAnsi="Palatino Linotype" w:cs="Palatino Linotype"/>
                <w:b/>
              </w:rPr>
              <w:t>Sí</w:t>
            </w:r>
          </w:p>
        </w:tc>
        <w:tc>
          <w:tcPr>
            <w:tcW w:w="6095" w:type="dxa"/>
            <w:tcBorders>
              <w:top w:val="single" w:sz="4" w:space="0" w:color="000000"/>
            </w:tcBorders>
            <w:vAlign w:val="center"/>
          </w:tcPr>
          <w:p w14:paraId="4DD166A3" w14:textId="77777777" w:rsidR="000254AE" w:rsidRPr="00937642" w:rsidRDefault="000254AE" w:rsidP="00937642">
            <w:pPr>
              <w:spacing w:after="120"/>
              <w:ind w:left="-115"/>
              <w:jc w:val="center"/>
              <w:rPr>
                <w:rFonts w:ascii="Palatino Linotype" w:eastAsia="Palatino Linotype" w:hAnsi="Palatino Linotype" w:cs="Palatino Linotype"/>
              </w:rPr>
            </w:pPr>
            <w:r w:rsidRPr="00937642">
              <w:rPr>
                <w:noProof/>
              </w:rPr>
              <mc:AlternateContent>
                <mc:Choice Requires="wps">
                  <w:drawing>
                    <wp:anchor distT="0" distB="0" distL="114300" distR="114300" simplePos="0" relativeHeight="251659264" behindDoc="0" locked="0" layoutInCell="1" allowOverlap="1" wp14:anchorId="75AA53B7" wp14:editId="225A97CE">
                      <wp:simplePos x="0" y="0"/>
                      <wp:positionH relativeFrom="column">
                        <wp:posOffset>6985</wp:posOffset>
                      </wp:positionH>
                      <wp:positionV relativeFrom="paragraph">
                        <wp:posOffset>499110</wp:posOffset>
                      </wp:positionV>
                      <wp:extent cx="866775" cy="142875"/>
                      <wp:effectExtent l="57150" t="19050" r="66675" b="104775"/>
                      <wp:wrapNone/>
                      <wp:docPr id="4" name="Rectángulo redondeado 4"/>
                      <wp:cNvGraphicFramePr/>
                      <a:graphic xmlns:a="http://schemas.openxmlformats.org/drawingml/2006/main">
                        <a:graphicData uri="http://schemas.microsoft.com/office/word/2010/wordprocessingShape">
                          <wps:wsp>
                            <wps:cNvSpPr/>
                            <wps:spPr>
                              <a:xfrm>
                                <a:off x="0" y="0"/>
                                <a:ext cx="866775" cy="142875"/>
                              </a:xfrm>
                              <a:prstGeom prst="round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73E8174" id="Rectángulo redondeado 4" o:spid="_x0000_s1026" style="position:absolute;margin-left:.55pt;margin-top:39.3pt;width:68.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" filled="f" strokecolor="red" strokeweight="1.5pt">
                      <v:shadow on="t" color="black" opacity="22937f" origin=",.5" offset="0,.63889mm"/>
                    </v:roundrect>
                  </w:pict>
                </mc:Fallback>
              </mc:AlternateContent>
            </w:r>
            <w:r w:rsidRPr="00937642">
              <w:rPr>
                <w:noProof/>
              </w:rPr>
              <w:t xml:space="preserve"> </w:t>
            </w:r>
            <w:r w:rsidR="00FE7275" w:rsidRPr="00937642">
              <w:rPr>
                <w:noProof/>
              </w:rPr>
              <w:drawing>
                <wp:inline distT="0" distB="0" distL="0" distR="0" wp14:anchorId="087E8B49" wp14:editId="79B23400">
                  <wp:extent cx="3733165" cy="6477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3165" cy="647700"/>
                          </a:xfrm>
                          <a:prstGeom prst="rect">
                            <a:avLst/>
                          </a:prstGeom>
                        </pic:spPr>
                      </pic:pic>
                    </a:graphicData>
                  </a:graphic>
                </wp:inline>
              </w:drawing>
            </w:r>
          </w:p>
        </w:tc>
      </w:tr>
      <w:tr w:rsidR="00937642" w:rsidRPr="00937642" w14:paraId="4CD4C791" w14:textId="77777777" w:rsidTr="00AC0559">
        <w:tc>
          <w:tcPr>
            <w:tcW w:w="1535" w:type="dxa"/>
            <w:vAlign w:val="center"/>
          </w:tcPr>
          <w:p w14:paraId="4E4D6F90" w14:textId="77777777" w:rsidR="000254AE" w:rsidRPr="00937642" w:rsidRDefault="000254AE" w:rsidP="00937642">
            <w:pPr>
              <w:spacing w:after="120"/>
              <w:jc w:val="center"/>
              <w:rPr>
                <w:rFonts w:ascii="Palatino Linotype" w:eastAsia="Palatino Linotype" w:hAnsi="Palatino Linotype" w:cs="Palatino Linotype"/>
                <w:b/>
                <w:sz w:val="16"/>
                <w:szCs w:val="16"/>
              </w:rPr>
            </w:pPr>
            <w:r w:rsidRPr="00937642">
              <w:rPr>
                <w:rFonts w:ascii="Palatino Linotype" w:eastAsia="Palatino Linotype" w:hAnsi="Palatino Linotype" w:cs="Palatino Linotype"/>
                <w:b/>
                <w:sz w:val="16"/>
                <w:szCs w:val="16"/>
              </w:rPr>
              <w:t xml:space="preserve">Causal aplicable del artículo 113 de la Ley General, vinculándola con el Lineamiento específico del presente ordenamiento y, cuando corresponda, el supuesto normativo que expresamente le otorga el carácter </w:t>
            </w:r>
            <w:r w:rsidRPr="00937642">
              <w:rPr>
                <w:rFonts w:ascii="Palatino Linotype" w:eastAsia="Palatino Linotype" w:hAnsi="Palatino Linotype" w:cs="Palatino Linotype"/>
                <w:b/>
                <w:sz w:val="16"/>
                <w:szCs w:val="16"/>
              </w:rPr>
              <w:lastRenderedPageBreak/>
              <w:t>de información reservada</w:t>
            </w:r>
          </w:p>
        </w:tc>
        <w:tc>
          <w:tcPr>
            <w:tcW w:w="1696" w:type="dxa"/>
            <w:vAlign w:val="center"/>
          </w:tcPr>
          <w:p w14:paraId="0BBDD709" w14:textId="77777777" w:rsidR="000254AE" w:rsidRPr="00937642" w:rsidRDefault="000254AE" w:rsidP="00937642">
            <w:pPr>
              <w:spacing w:after="120"/>
              <w:ind w:left="47"/>
              <w:jc w:val="center"/>
              <w:rPr>
                <w:rFonts w:ascii="Palatino Linotype" w:eastAsia="Palatino Linotype" w:hAnsi="Palatino Linotype" w:cs="Palatino Linotype"/>
                <w:sz w:val="18"/>
              </w:rPr>
            </w:pPr>
            <w:r w:rsidRPr="00937642">
              <w:rPr>
                <w:rFonts w:ascii="Palatino Linotype" w:eastAsia="Palatino Linotype" w:hAnsi="Palatino Linotype" w:cs="Palatino Linotype"/>
                <w:b/>
              </w:rPr>
              <w:lastRenderedPageBreak/>
              <w:t>Sí</w:t>
            </w:r>
          </w:p>
        </w:tc>
        <w:tc>
          <w:tcPr>
            <w:tcW w:w="6095" w:type="dxa"/>
            <w:vAlign w:val="center"/>
          </w:tcPr>
          <w:p w14:paraId="0CEF2115" w14:textId="31DFC1F1" w:rsidR="000254AE" w:rsidRPr="00937642" w:rsidRDefault="001F7B0F" w:rsidP="00937642">
            <w:pPr>
              <w:spacing w:after="120"/>
              <w:jc w:val="center"/>
              <w:rPr>
                <w:rFonts w:ascii="Palatino Linotype" w:eastAsia="Palatino Linotype" w:hAnsi="Palatino Linotype" w:cs="Palatino Linotype"/>
                <w:b/>
              </w:rPr>
            </w:pPr>
            <w:r w:rsidRPr="00937642">
              <w:rPr>
                <w:noProof/>
              </w:rPr>
              <w:drawing>
                <wp:inline distT="0" distB="0" distL="0" distR="0" wp14:anchorId="4481E4F4" wp14:editId="46392F58">
                  <wp:extent cx="3733165" cy="147256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33165" cy="1472565"/>
                          </a:xfrm>
                          <a:prstGeom prst="rect">
                            <a:avLst/>
                          </a:prstGeom>
                        </pic:spPr>
                      </pic:pic>
                    </a:graphicData>
                  </a:graphic>
                </wp:inline>
              </w:drawing>
            </w:r>
          </w:p>
        </w:tc>
      </w:tr>
      <w:tr w:rsidR="00937642" w:rsidRPr="00937642" w14:paraId="716C16B2" w14:textId="77777777" w:rsidTr="00AC0559">
        <w:tc>
          <w:tcPr>
            <w:tcW w:w="1535" w:type="dxa"/>
            <w:vAlign w:val="center"/>
          </w:tcPr>
          <w:p w14:paraId="19F8F493" w14:textId="77777777" w:rsidR="000254AE" w:rsidRPr="00937642" w:rsidRDefault="000254AE" w:rsidP="00937642">
            <w:pPr>
              <w:tabs>
                <w:tab w:val="left" w:pos="317"/>
              </w:tabs>
              <w:spacing w:after="120"/>
              <w:jc w:val="center"/>
              <w:rPr>
                <w:rFonts w:ascii="Palatino Linotype" w:eastAsia="Palatino Linotype" w:hAnsi="Palatino Linotype" w:cs="Palatino Linotype"/>
                <w:b/>
                <w:sz w:val="16"/>
                <w:szCs w:val="16"/>
              </w:rPr>
            </w:pPr>
            <w:r w:rsidRPr="00937642">
              <w:rPr>
                <w:rFonts w:ascii="Palatino Linotype" w:eastAsia="Palatino Linotype" w:hAnsi="Palatino Linotype" w:cs="Palatino Linotype"/>
                <w:b/>
                <w:sz w:val="16"/>
                <w:szCs w:val="16"/>
              </w:rPr>
              <w:t>Fundamento y Motivación Legal</w:t>
            </w:r>
          </w:p>
        </w:tc>
        <w:tc>
          <w:tcPr>
            <w:tcW w:w="1696" w:type="dxa"/>
            <w:vAlign w:val="center"/>
          </w:tcPr>
          <w:p w14:paraId="7ECB5848" w14:textId="77777777" w:rsidR="000254AE" w:rsidRPr="00937642" w:rsidRDefault="000254AE" w:rsidP="00937642">
            <w:pPr>
              <w:spacing w:after="120"/>
              <w:ind w:left="47"/>
              <w:jc w:val="center"/>
              <w:rPr>
                <w:rFonts w:ascii="Palatino Linotype" w:eastAsia="Palatino Linotype" w:hAnsi="Palatino Linotype" w:cs="Palatino Linotype"/>
                <w:b/>
              </w:rPr>
            </w:pPr>
            <w:r w:rsidRPr="00937642">
              <w:rPr>
                <w:rFonts w:ascii="Palatino Linotype" w:eastAsia="Palatino Linotype" w:hAnsi="Palatino Linotype" w:cs="Palatino Linotype"/>
                <w:b/>
              </w:rPr>
              <w:t>Sí</w:t>
            </w:r>
          </w:p>
        </w:tc>
        <w:tc>
          <w:tcPr>
            <w:tcW w:w="6095" w:type="dxa"/>
            <w:vAlign w:val="center"/>
          </w:tcPr>
          <w:p w14:paraId="5A06BACA" w14:textId="77777777" w:rsidR="000254AE" w:rsidRPr="00937642" w:rsidRDefault="000254AE" w:rsidP="00937642">
            <w:pPr>
              <w:spacing w:after="120"/>
              <w:jc w:val="center"/>
              <w:rPr>
                <w:rFonts w:ascii="Palatino Linotype" w:eastAsia="Palatino Linotype" w:hAnsi="Palatino Linotype" w:cs="Palatino Linotype"/>
                <w:b/>
                <w:sz w:val="2"/>
                <w:szCs w:val="2"/>
              </w:rPr>
            </w:pPr>
          </w:p>
          <w:p w14:paraId="4F38C24E" w14:textId="77777777" w:rsidR="000254AE" w:rsidRPr="00937642" w:rsidRDefault="001F7B0F" w:rsidP="00937642">
            <w:pPr>
              <w:spacing w:after="120"/>
              <w:ind w:left="47"/>
              <w:jc w:val="center"/>
              <w:rPr>
                <w:rFonts w:ascii="Palatino Linotype" w:eastAsia="Palatino Linotype" w:hAnsi="Palatino Linotype" w:cs="Palatino Linotype"/>
                <w:b/>
              </w:rPr>
            </w:pPr>
            <w:r w:rsidRPr="00937642">
              <w:rPr>
                <w:rFonts w:ascii="Palatino Linotype" w:eastAsia="Palatino Linotype" w:hAnsi="Palatino Linotype" w:cs="Palatino Linotype"/>
                <w:b/>
                <w:noProof/>
              </w:rPr>
              <w:drawing>
                <wp:inline distT="0" distB="0" distL="0" distR="0" wp14:anchorId="1ADA207B" wp14:editId="3D1CDC89">
                  <wp:extent cx="3733165" cy="1766570"/>
                  <wp:effectExtent l="0" t="0" r="63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3165" cy="1766570"/>
                          </a:xfrm>
                          <a:prstGeom prst="rect">
                            <a:avLst/>
                          </a:prstGeom>
                        </pic:spPr>
                      </pic:pic>
                    </a:graphicData>
                  </a:graphic>
                </wp:inline>
              </w:drawing>
            </w:r>
          </w:p>
          <w:p w14:paraId="4F830BE4" w14:textId="77777777" w:rsidR="000254AE" w:rsidRPr="00937642" w:rsidRDefault="001F7B0F" w:rsidP="00937642">
            <w:pPr>
              <w:spacing w:after="120"/>
              <w:ind w:left="47"/>
              <w:jc w:val="center"/>
              <w:rPr>
                <w:rFonts w:ascii="Palatino Linotype" w:eastAsia="Palatino Linotype" w:hAnsi="Palatino Linotype" w:cs="Palatino Linotype"/>
                <w:b/>
              </w:rPr>
            </w:pPr>
            <w:r w:rsidRPr="00937642">
              <w:rPr>
                <w:rFonts w:ascii="Palatino Linotype" w:eastAsia="Palatino Linotype" w:hAnsi="Palatino Linotype" w:cs="Palatino Linotype"/>
                <w:b/>
                <w:noProof/>
              </w:rPr>
              <w:drawing>
                <wp:inline distT="0" distB="0" distL="0" distR="0" wp14:anchorId="1745430C" wp14:editId="5729DD94">
                  <wp:extent cx="3733165" cy="243840"/>
                  <wp:effectExtent l="0" t="0" r="635"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33165" cy="243840"/>
                          </a:xfrm>
                          <a:prstGeom prst="rect">
                            <a:avLst/>
                          </a:prstGeom>
                        </pic:spPr>
                      </pic:pic>
                    </a:graphicData>
                  </a:graphic>
                </wp:inline>
              </w:drawing>
            </w:r>
          </w:p>
        </w:tc>
      </w:tr>
      <w:tr w:rsidR="00937642" w:rsidRPr="00937642" w14:paraId="6FBD508C" w14:textId="77777777" w:rsidTr="00AC0559">
        <w:tc>
          <w:tcPr>
            <w:tcW w:w="1535" w:type="dxa"/>
            <w:vAlign w:val="center"/>
          </w:tcPr>
          <w:p w14:paraId="5AAFA7F1" w14:textId="77777777" w:rsidR="000254AE" w:rsidRPr="00937642" w:rsidRDefault="000254AE" w:rsidP="00937642">
            <w:pPr>
              <w:spacing w:after="120"/>
              <w:jc w:val="center"/>
              <w:rPr>
                <w:rFonts w:ascii="Palatino Linotype" w:eastAsia="Palatino Linotype" w:hAnsi="Palatino Linotype" w:cs="Palatino Linotype"/>
                <w:b/>
                <w:sz w:val="16"/>
                <w:szCs w:val="16"/>
              </w:rPr>
            </w:pPr>
            <w:r w:rsidRPr="00937642">
              <w:rPr>
                <w:rFonts w:ascii="Palatino Linotype" w:eastAsia="Palatino Linotype" w:hAnsi="Palatino Linotype" w:cs="Palatino Linotype"/>
                <w:b/>
                <w:sz w:val="16"/>
                <w:szCs w:val="16"/>
              </w:rPr>
              <w:t>Conexión entre los fundamentos y motivos que dieron origen a la Reserva de la información</w:t>
            </w:r>
          </w:p>
        </w:tc>
        <w:tc>
          <w:tcPr>
            <w:tcW w:w="1696" w:type="dxa"/>
            <w:vAlign w:val="center"/>
          </w:tcPr>
          <w:p w14:paraId="1FCABD5E" w14:textId="77777777" w:rsidR="000254AE" w:rsidRPr="00937642" w:rsidRDefault="000254AE" w:rsidP="00937642">
            <w:pPr>
              <w:spacing w:after="120"/>
              <w:ind w:left="47"/>
              <w:jc w:val="center"/>
              <w:rPr>
                <w:rFonts w:ascii="Palatino Linotype" w:eastAsia="Palatino Linotype" w:hAnsi="Palatino Linotype" w:cs="Palatino Linotype"/>
                <w:b/>
              </w:rPr>
            </w:pPr>
            <w:r w:rsidRPr="00937642">
              <w:rPr>
                <w:rFonts w:ascii="Palatino Linotype" w:eastAsia="Palatino Linotype" w:hAnsi="Palatino Linotype" w:cs="Palatino Linotype"/>
                <w:b/>
              </w:rPr>
              <w:t>Sí</w:t>
            </w:r>
          </w:p>
        </w:tc>
        <w:tc>
          <w:tcPr>
            <w:tcW w:w="6095" w:type="dxa"/>
            <w:vAlign w:val="center"/>
          </w:tcPr>
          <w:p w14:paraId="3FCF7971" w14:textId="77777777" w:rsidR="000254AE" w:rsidRPr="00937642" w:rsidRDefault="001F7B0F" w:rsidP="00937642">
            <w:pPr>
              <w:pBdr>
                <w:top w:val="nil"/>
                <w:left w:val="nil"/>
                <w:bottom w:val="nil"/>
                <w:right w:val="nil"/>
                <w:between w:val="nil"/>
              </w:pBdr>
              <w:spacing w:after="120"/>
              <w:ind w:left="29" w:firstLine="18"/>
              <w:jc w:val="center"/>
            </w:pPr>
            <w:r w:rsidRPr="00937642">
              <w:rPr>
                <w:rFonts w:ascii="Palatino Linotype" w:eastAsia="Palatino Linotype" w:hAnsi="Palatino Linotype" w:cs="Palatino Linotype"/>
                <w:b/>
                <w:noProof/>
              </w:rPr>
              <w:drawing>
                <wp:inline distT="0" distB="0" distL="0" distR="0" wp14:anchorId="7C2655C5" wp14:editId="65B5730E">
                  <wp:extent cx="3733165" cy="342900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33165" cy="3429000"/>
                          </a:xfrm>
                          <a:prstGeom prst="rect">
                            <a:avLst/>
                          </a:prstGeom>
                        </pic:spPr>
                      </pic:pic>
                    </a:graphicData>
                  </a:graphic>
                </wp:inline>
              </w:drawing>
            </w:r>
          </w:p>
          <w:p w14:paraId="63E46F6E" w14:textId="77777777" w:rsidR="000254AE" w:rsidRPr="00937642" w:rsidRDefault="000254AE" w:rsidP="00937642">
            <w:pPr>
              <w:pBdr>
                <w:top w:val="nil"/>
                <w:left w:val="nil"/>
                <w:bottom w:val="nil"/>
                <w:right w:val="nil"/>
                <w:between w:val="nil"/>
              </w:pBdr>
              <w:spacing w:after="120"/>
            </w:pPr>
          </w:p>
          <w:p w14:paraId="3571CA21" w14:textId="77777777" w:rsidR="00BB4701" w:rsidRPr="00937642" w:rsidRDefault="00BB4701" w:rsidP="00937642">
            <w:pPr>
              <w:pBdr>
                <w:top w:val="nil"/>
                <w:left w:val="nil"/>
                <w:bottom w:val="nil"/>
                <w:right w:val="nil"/>
                <w:between w:val="nil"/>
              </w:pBdr>
              <w:spacing w:after="120"/>
            </w:pPr>
          </w:p>
          <w:p w14:paraId="3F621C2D" w14:textId="77777777" w:rsidR="00BB4701" w:rsidRPr="00937642" w:rsidRDefault="00BB4701" w:rsidP="00937642">
            <w:pPr>
              <w:pBdr>
                <w:top w:val="nil"/>
                <w:left w:val="nil"/>
                <w:bottom w:val="nil"/>
                <w:right w:val="nil"/>
                <w:between w:val="nil"/>
              </w:pBdr>
              <w:spacing w:after="120"/>
            </w:pPr>
          </w:p>
          <w:p w14:paraId="1572CA08" w14:textId="77777777" w:rsidR="00BB4701" w:rsidRPr="00937642" w:rsidRDefault="00BB4701" w:rsidP="00937642">
            <w:pPr>
              <w:pBdr>
                <w:top w:val="nil"/>
                <w:left w:val="nil"/>
                <w:bottom w:val="nil"/>
                <w:right w:val="nil"/>
                <w:between w:val="nil"/>
              </w:pBdr>
              <w:spacing w:after="120"/>
            </w:pPr>
          </w:p>
        </w:tc>
      </w:tr>
      <w:tr w:rsidR="00937642" w:rsidRPr="00937642" w14:paraId="2EFBD1FA" w14:textId="77777777" w:rsidTr="00AC0559">
        <w:tc>
          <w:tcPr>
            <w:tcW w:w="9326" w:type="dxa"/>
            <w:gridSpan w:val="3"/>
            <w:shd w:val="clear" w:color="auto" w:fill="D9D9D9"/>
            <w:vAlign w:val="center"/>
          </w:tcPr>
          <w:p w14:paraId="4CC7FB2D" w14:textId="77777777" w:rsidR="000254AE" w:rsidRPr="00937642" w:rsidRDefault="000254AE" w:rsidP="00937642">
            <w:pPr>
              <w:pBdr>
                <w:top w:val="nil"/>
                <w:left w:val="nil"/>
                <w:bottom w:val="nil"/>
                <w:right w:val="nil"/>
                <w:between w:val="nil"/>
              </w:pBdr>
              <w:spacing w:after="120"/>
              <w:ind w:left="29" w:firstLine="18"/>
              <w:jc w:val="center"/>
              <w:rPr>
                <w:rFonts w:ascii="Palatino Linotype" w:eastAsia="Palatino Linotype" w:hAnsi="Palatino Linotype" w:cs="Palatino Linotype"/>
              </w:rPr>
            </w:pPr>
            <w:r w:rsidRPr="00937642">
              <w:rPr>
                <w:rFonts w:ascii="Palatino Linotype" w:eastAsia="Palatino Linotype" w:hAnsi="Palatino Linotype" w:cs="Palatino Linotype"/>
                <w:b/>
              </w:rPr>
              <w:lastRenderedPageBreak/>
              <w:t>Prueba de Daño</w:t>
            </w:r>
          </w:p>
        </w:tc>
      </w:tr>
      <w:tr w:rsidR="00937642" w:rsidRPr="00937642" w14:paraId="301E089D" w14:textId="77777777" w:rsidTr="00AC0559">
        <w:trPr>
          <w:trHeight w:val="1985"/>
        </w:trPr>
        <w:tc>
          <w:tcPr>
            <w:tcW w:w="1535" w:type="dxa"/>
            <w:vAlign w:val="center"/>
          </w:tcPr>
          <w:p w14:paraId="0DB33B7D" w14:textId="77777777" w:rsidR="000254AE" w:rsidRPr="00937642" w:rsidRDefault="000254AE" w:rsidP="00937642">
            <w:pPr>
              <w:spacing w:after="120"/>
              <w:jc w:val="center"/>
              <w:rPr>
                <w:rFonts w:ascii="Palatino Linotype" w:eastAsia="Palatino Linotype" w:hAnsi="Palatino Linotype" w:cs="Palatino Linotype"/>
                <w:b/>
                <w:sz w:val="16"/>
                <w:szCs w:val="16"/>
              </w:rPr>
            </w:pPr>
            <w:r w:rsidRPr="00937642">
              <w:rPr>
                <w:rFonts w:ascii="Palatino Linotype" w:eastAsia="Palatino Linotype" w:hAnsi="Palatino Linotype" w:cs="Palatino Linotype"/>
                <w:b/>
                <w:sz w:val="16"/>
                <w:szCs w:val="16"/>
              </w:rPr>
              <w:t>Riesgo Real, Demostrable e Identificable</w:t>
            </w:r>
          </w:p>
          <w:p w14:paraId="2FFDF1D1" w14:textId="77777777" w:rsidR="000254AE" w:rsidRPr="00937642" w:rsidRDefault="000254AE" w:rsidP="00937642">
            <w:pPr>
              <w:spacing w:after="120"/>
              <w:jc w:val="center"/>
              <w:rPr>
                <w:rFonts w:ascii="Palatino Linotype" w:eastAsia="Palatino Linotype" w:hAnsi="Palatino Linotype" w:cs="Palatino Linotype"/>
                <w:b/>
                <w:sz w:val="16"/>
                <w:szCs w:val="16"/>
              </w:rPr>
            </w:pPr>
            <w:r w:rsidRPr="00937642">
              <w:rPr>
                <w:rFonts w:ascii="Palatino Linotype" w:eastAsia="Palatino Linotype" w:hAnsi="Palatino Linotype" w:cs="Palatino Linotype"/>
                <w:b/>
                <w:sz w:val="16"/>
                <w:szCs w:val="16"/>
              </w:rPr>
              <w:t>(Modo, Tiempo y Lugar)</w:t>
            </w:r>
          </w:p>
        </w:tc>
        <w:tc>
          <w:tcPr>
            <w:tcW w:w="1696" w:type="dxa"/>
            <w:vAlign w:val="center"/>
          </w:tcPr>
          <w:p w14:paraId="3C32BCBD" w14:textId="77777777" w:rsidR="000254AE" w:rsidRPr="00937642" w:rsidRDefault="000254AE" w:rsidP="00937642">
            <w:pPr>
              <w:pBdr>
                <w:top w:val="nil"/>
                <w:left w:val="nil"/>
                <w:bottom w:val="nil"/>
                <w:right w:val="nil"/>
                <w:between w:val="nil"/>
              </w:pBdr>
              <w:spacing w:after="120"/>
              <w:ind w:left="29" w:firstLine="18"/>
              <w:jc w:val="center"/>
              <w:rPr>
                <w:rFonts w:ascii="Palatino Linotype" w:eastAsia="Palatino Linotype" w:hAnsi="Palatino Linotype" w:cs="Palatino Linotype"/>
                <w:b/>
              </w:rPr>
            </w:pPr>
            <w:r w:rsidRPr="00937642">
              <w:rPr>
                <w:rFonts w:ascii="Palatino Linotype" w:eastAsia="Palatino Linotype" w:hAnsi="Palatino Linotype" w:cs="Palatino Linotype"/>
                <w:b/>
              </w:rPr>
              <w:t>Sí</w:t>
            </w:r>
          </w:p>
        </w:tc>
        <w:tc>
          <w:tcPr>
            <w:tcW w:w="6095" w:type="dxa"/>
            <w:vAlign w:val="center"/>
          </w:tcPr>
          <w:p w14:paraId="017F6206" w14:textId="77777777" w:rsidR="000254AE" w:rsidRPr="00937642" w:rsidRDefault="001F7B0F" w:rsidP="00937642">
            <w:pPr>
              <w:pBdr>
                <w:top w:val="nil"/>
                <w:left w:val="nil"/>
                <w:bottom w:val="nil"/>
                <w:right w:val="nil"/>
                <w:between w:val="nil"/>
              </w:pBdr>
              <w:spacing w:after="120"/>
              <w:ind w:left="29" w:firstLine="18"/>
              <w:jc w:val="center"/>
              <w:rPr>
                <w:rFonts w:ascii="Palatino Linotype" w:eastAsia="Palatino Linotype" w:hAnsi="Palatino Linotype" w:cs="Palatino Linotype"/>
              </w:rPr>
            </w:pPr>
            <w:r w:rsidRPr="00937642">
              <w:rPr>
                <w:rFonts w:ascii="Palatino Linotype" w:eastAsia="Palatino Linotype" w:hAnsi="Palatino Linotype" w:cs="Palatino Linotype"/>
                <w:noProof/>
              </w:rPr>
              <w:drawing>
                <wp:inline distT="0" distB="0" distL="0" distR="0" wp14:anchorId="7D0BD01A" wp14:editId="493B647D">
                  <wp:extent cx="3733165" cy="2379980"/>
                  <wp:effectExtent l="0" t="0" r="63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3165" cy="2379980"/>
                          </a:xfrm>
                          <a:prstGeom prst="rect">
                            <a:avLst/>
                          </a:prstGeom>
                        </pic:spPr>
                      </pic:pic>
                    </a:graphicData>
                  </a:graphic>
                </wp:inline>
              </w:drawing>
            </w:r>
          </w:p>
          <w:p w14:paraId="0EE03EF9" w14:textId="77777777" w:rsidR="000254AE" w:rsidRPr="00937642" w:rsidRDefault="001F7B0F" w:rsidP="00937642">
            <w:pPr>
              <w:rPr>
                <w:rFonts w:ascii="Palatino Linotype" w:eastAsia="Palatino Linotype" w:hAnsi="Palatino Linotype" w:cs="Palatino Linotype"/>
              </w:rPr>
            </w:pPr>
            <w:r w:rsidRPr="00937642">
              <w:rPr>
                <w:rFonts w:ascii="Palatino Linotype" w:eastAsia="Palatino Linotype" w:hAnsi="Palatino Linotype" w:cs="Palatino Linotype"/>
                <w:noProof/>
              </w:rPr>
              <w:drawing>
                <wp:inline distT="0" distB="0" distL="0" distR="0" wp14:anchorId="068AF0BF" wp14:editId="1B4280FE">
                  <wp:extent cx="3733165" cy="4545965"/>
                  <wp:effectExtent l="0" t="0" r="63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33165" cy="4545965"/>
                          </a:xfrm>
                          <a:prstGeom prst="rect">
                            <a:avLst/>
                          </a:prstGeom>
                        </pic:spPr>
                      </pic:pic>
                    </a:graphicData>
                  </a:graphic>
                </wp:inline>
              </w:drawing>
            </w:r>
          </w:p>
          <w:p w14:paraId="4BDC922D" w14:textId="77777777" w:rsidR="001F7B0F" w:rsidRPr="00937642" w:rsidRDefault="001F7B0F" w:rsidP="00937642">
            <w:pPr>
              <w:rPr>
                <w:rFonts w:ascii="Palatino Linotype" w:eastAsia="Palatino Linotype" w:hAnsi="Palatino Linotype" w:cs="Palatino Linotype"/>
              </w:rPr>
            </w:pPr>
            <w:r w:rsidRPr="00937642">
              <w:rPr>
                <w:rFonts w:ascii="Palatino Linotype" w:eastAsia="Palatino Linotype" w:hAnsi="Palatino Linotype" w:cs="Palatino Linotype"/>
                <w:noProof/>
              </w:rPr>
              <w:lastRenderedPageBreak/>
              <w:drawing>
                <wp:inline distT="0" distB="0" distL="0" distR="0" wp14:anchorId="615B4D30" wp14:editId="06AD1E21">
                  <wp:extent cx="3733165" cy="1248410"/>
                  <wp:effectExtent l="0" t="0" r="635"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3165" cy="1248410"/>
                          </a:xfrm>
                          <a:prstGeom prst="rect">
                            <a:avLst/>
                          </a:prstGeom>
                        </pic:spPr>
                      </pic:pic>
                    </a:graphicData>
                  </a:graphic>
                </wp:inline>
              </w:drawing>
            </w:r>
          </w:p>
          <w:p w14:paraId="67E0A4C5" w14:textId="77777777" w:rsidR="000254AE" w:rsidRPr="00937642" w:rsidRDefault="001F7B0F" w:rsidP="00937642">
            <w:pPr>
              <w:rPr>
                <w:rFonts w:ascii="Palatino Linotype" w:eastAsia="Palatino Linotype" w:hAnsi="Palatino Linotype" w:cs="Palatino Linotype"/>
              </w:rPr>
            </w:pPr>
            <w:r w:rsidRPr="00937642">
              <w:rPr>
                <w:rFonts w:ascii="Palatino Linotype" w:eastAsia="Palatino Linotype" w:hAnsi="Palatino Linotype" w:cs="Palatino Linotype"/>
                <w:noProof/>
              </w:rPr>
              <w:drawing>
                <wp:inline distT="0" distB="0" distL="0" distR="0" wp14:anchorId="3A699CD9" wp14:editId="00B307E7">
                  <wp:extent cx="3733165" cy="1661795"/>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3165" cy="1661795"/>
                          </a:xfrm>
                          <a:prstGeom prst="rect">
                            <a:avLst/>
                          </a:prstGeom>
                        </pic:spPr>
                      </pic:pic>
                    </a:graphicData>
                  </a:graphic>
                </wp:inline>
              </w:drawing>
            </w:r>
          </w:p>
        </w:tc>
      </w:tr>
      <w:tr w:rsidR="00937642" w:rsidRPr="00937642" w14:paraId="2A84F408" w14:textId="77777777" w:rsidTr="00AC0559">
        <w:trPr>
          <w:trHeight w:val="1308"/>
        </w:trPr>
        <w:tc>
          <w:tcPr>
            <w:tcW w:w="1535" w:type="dxa"/>
            <w:vAlign w:val="center"/>
          </w:tcPr>
          <w:p w14:paraId="0B3D29DB" w14:textId="77777777" w:rsidR="000254AE" w:rsidRPr="00937642" w:rsidRDefault="000254AE" w:rsidP="00937642">
            <w:pPr>
              <w:spacing w:after="120"/>
              <w:jc w:val="center"/>
              <w:rPr>
                <w:rFonts w:ascii="Palatino Linotype" w:eastAsia="Palatino Linotype" w:hAnsi="Palatino Linotype" w:cs="Palatino Linotype"/>
                <w:b/>
                <w:sz w:val="16"/>
                <w:szCs w:val="16"/>
              </w:rPr>
            </w:pPr>
            <w:r w:rsidRPr="00937642">
              <w:rPr>
                <w:rFonts w:ascii="Palatino Linotype" w:eastAsia="Palatino Linotype" w:hAnsi="Palatino Linotype" w:cs="Palatino Linotype"/>
                <w:b/>
                <w:sz w:val="16"/>
                <w:szCs w:val="16"/>
              </w:rPr>
              <w:lastRenderedPageBreak/>
              <w:t>Temporalidad de la Reserva de la información</w:t>
            </w:r>
          </w:p>
        </w:tc>
        <w:tc>
          <w:tcPr>
            <w:tcW w:w="1696" w:type="dxa"/>
            <w:shd w:val="clear" w:color="auto" w:fill="auto"/>
            <w:vAlign w:val="center"/>
          </w:tcPr>
          <w:p w14:paraId="447B8096" w14:textId="77777777" w:rsidR="000254AE" w:rsidRPr="00937642" w:rsidRDefault="000254AE" w:rsidP="00937642">
            <w:pPr>
              <w:pBdr>
                <w:top w:val="nil"/>
                <w:left w:val="nil"/>
                <w:bottom w:val="nil"/>
                <w:right w:val="nil"/>
                <w:between w:val="nil"/>
              </w:pBdr>
              <w:spacing w:after="120"/>
              <w:ind w:left="29" w:firstLine="18"/>
              <w:jc w:val="center"/>
              <w:rPr>
                <w:rFonts w:ascii="Palatino Linotype" w:eastAsia="Palatino Linotype" w:hAnsi="Palatino Linotype" w:cs="Palatino Linotype"/>
                <w:b/>
              </w:rPr>
            </w:pPr>
            <w:r w:rsidRPr="00937642">
              <w:rPr>
                <w:rFonts w:ascii="Palatino Linotype" w:eastAsia="Palatino Linotype" w:hAnsi="Palatino Linotype" w:cs="Palatino Linotype"/>
                <w:b/>
              </w:rPr>
              <w:t>Sí</w:t>
            </w:r>
          </w:p>
        </w:tc>
        <w:tc>
          <w:tcPr>
            <w:tcW w:w="6095" w:type="dxa"/>
            <w:vAlign w:val="center"/>
          </w:tcPr>
          <w:p w14:paraId="5100E603" w14:textId="77777777" w:rsidR="000254AE" w:rsidRPr="00937642" w:rsidRDefault="00527E50" w:rsidP="00937642">
            <w:r w:rsidRPr="00937642">
              <w:rPr>
                <w:noProof/>
              </w:rPr>
              <w:drawing>
                <wp:inline distT="0" distB="0" distL="0" distR="0" wp14:anchorId="6F42DEF0" wp14:editId="736F9BF7">
                  <wp:extent cx="3733165" cy="411480"/>
                  <wp:effectExtent l="0" t="0" r="635"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33165" cy="411480"/>
                          </a:xfrm>
                          <a:prstGeom prst="rect">
                            <a:avLst/>
                          </a:prstGeom>
                        </pic:spPr>
                      </pic:pic>
                    </a:graphicData>
                  </a:graphic>
                </wp:inline>
              </w:drawing>
            </w:r>
          </w:p>
        </w:tc>
      </w:tr>
      <w:tr w:rsidR="00937642" w:rsidRPr="00937642" w14:paraId="1C1AA19E" w14:textId="77777777" w:rsidTr="00AC0559">
        <w:trPr>
          <w:trHeight w:val="3517"/>
        </w:trPr>
        <w:tc>
          <w:tcPr>
            <w:tcW w:w="1535" w:type="dxa"/>
            <w:vAlign w:val="center"/>
          </w:tcPr>
          <w:p w14:paraId="4992A2CF" w14:textId="77777777" w:rsidR="000254AE" w:rsidRPr="00937642" w:rsidRDefault="000254AE" w:rsidP="00937642">
            <w:pPr>
              <w:tabs>
                <w:tab w:val="left" w:pos="317"/>
              </w:tabs>
              <w:spacing w:after="120"/>
              <w:jc w:val="center"/>
              <w:rPr>
                <w:rFonts w:ascii="Palatino Linotype" w:eastAsia="Palatino Linotype" w:hAnsi="Palatino Linotype" w:cs="Palatino Linotype"/>
                <w:b/>
                <w:sz w:val="16"/>
                <w:szCs w:val="16"/>
              </w:rPr>
            </w:pPr>
            <w:r w:rsidRPr="00937642">
              <w:rPr>
                <w:rFonts w:ascii="Palatino Linotype" w:eastAsia="Palatino Linotype" w:hAnsi="Palatino Linotype" w:cs="Palatino Linotype"/>
                <w:b/>
                <w:sz w:val="16"/>
                <w:szCs w:val="16"/>
              </w:rPr>
              <w:t>Autoridades competentes.</w:t>
            </w:r>
          </w:p>
        </w:tc>
        <w:tc>
          <w:tcPr>
            <w:tcW w:w="1696" w:type="dxa"/>
            <w:vAlign w:val="center"/>
          </w:tcPr>
          <w:p w14:paraId="197CB91E" w14:textId="77777777" w:rsidR="000254AE" w:rsidRPr="00937642" w:rsidRDefault="000254AE" w:rsidP="00937642">
            <w:pPr>
              <w:pBdr>
                <w:top w:val="nil"/>
                <w:left w:val="nil"/>
                <w:bottom w:val="nil"/>
                <w:right w:val="nil"/>
                <w:between w:val="nil"/>
              </w:pBdr>
              <w:spacing w:after="120"/>
              <w:ind w:left="29" w:firstLine="18"/>
              <w:jc w:val="center"/>
              <w:rPr>
                <w:rFonts w:ascii="Palatino Linotype" w:eastAsia="Palatino Linotype" w:hAnsi="Palatino Linotype" w:cs="Palatino Linotype"/>
                <w:b/>
              </w:rPr>
            </w:pPr>
            <w:r w:rsidRPr="00937642">
              <w:rPr>
                <w:rFonts w:ascii="Palatino Linotype" w:eastAsia="Palatino Linotype" w:hAnsi="Palatino Linotype" w:cs="Palatino Linotype"/>
                <w:b/>
              </w:rPr>
              <w:t>Sí</w:t>
            </w:r>
          </w:p>
        </w:tc>
        <w:tc>
          <w:tcPr>
            <w:tcW w:w="6095" w:type="dxa"/>
          </w:tcPr>
          <w:p w14:paraId="60D6662C" w14:textId="77777777" w:rsidR="000254AE" w:rsidRPr="00937642" w:rsidRDefault="00527E50" w:rsidP="00937642">
            <w:pPr>
              <w:tabs>
                <w:tab w:val="left" w:pos="1140"/>
              </w:tabs>
            </w:pPr>
            <w:r w:rsidRPr="00937642">
              <w:rPr>
                <w:noProof/>
              </w:rPr>
              <w:drawing>
                <wp:inline distT="0" distB="0" distL="0" distR="0" wp14:anchorId="1BBF4500" wp14:editId="13C6C4A1">
                  <wp:extent cx="3733165" cy="3308350"/>
                  <wp:effectExtent l="0" t="0" r="635"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33165" cy="3308350"/>
                          </a:xfrm>
                          <a:prstGeom prst="rect">
                            <a:avLst/>
                          </a:prstGeom>
                        </pic:spPr>
                      </pic:pic>
                    </a:graphicData>
                  </a:graphic>
                </wp:inline>
              </w:drawing>
            </w:r>
          </w:p>
        </w:tc>
      </w:tr>
    </w:tbl>
    <w:p w14:paraId="3A7B3D3B" w14:textId="77777777" w:rsidR="000254AE" w:rsidRPr="00937642" w:rsidRDefault="00527E50" w:rsidP="00937642">
      <w:pPr>
        <w:tabs>
          <w:tab w:val="left" w:pos="8222"/>
        </w:tabs>
        <w:spacing w:line="360" w:lineRule="auto"/>
        <w:ind w:right="-28"/>
        <w:jc w:val="both"/>
        <w:rPr>
          <w:rFonts w:ascii="Palatino Linotype" w:hAnsi="Palatino Linotype" w:cs="Tahoma"/>
          <w:bCs/>
          <w:szCs w:val="22"/>
        </w:rPr>
      </w:pPr>
      <w:r w:rsidRPr="00937642">
        <w:rPr>
          <w:rFonts w:ascii="Palatino Linotype" w:hAnsi="Palatino Linotype" w:cs="Tahoma"/>
          <w:bCs/>
          <w:szCs w:val="22"/>
        </w:rPr>
        <w:lastRenderedPageBreak/>
        <w:t>Conforme a lo anterior,</w:t>
      </w:r>
      <w:r w:rsidR="000254AE" w:rsidRPr="00937642">
        <w:rPr>
          <w:rFonts w:ascii="Palatino Linotype" w:hAnsi="Palatino Linotype" w:cs="Tahoma"/>
          <w:bCs/>
          <w:szCs w:val="22"/>
        </w:rPr>
        <w:t xml:space="preserve"> resulta procedente la reserva invocada por el ente recurrido</w:t>
      </w:r>
      <w:r w:rsidRPr="00937642">
        <w:rPr>
          <w:rFonts w:ascii="Palatino Linotype" w:hAnsi="Palatino Linotype" w:cs="Tahoma"/>
          <w:bCs/>
          <w:szCs w:val="22"/>
        </w:rPr>
        <w:t xml:space="preserve"> </w:t>
      </w:r>
      <w:r w:rsidR="000254AE" w:rsidRPr="00937642">
        <w:rPr>
          <w:rFonts w:ascii="Palatino Linotype" w:hAnsi="Palatino Linotype" w:cs="Tahoma"/>
          <w:bCs/>
          <w:szCs w:val="22"/>
        </w:rPr>
        <w:t xml:space="preserve">es procedente </w:t>
      </w:r>
      <w:r w:rsidRPr="00937642">
        <w:rPr>
          <w:rFonts w:ascii="Palatino Linotype" w:hAnsi="Palatino Linotype" w:cs="Tahoma"/>
          <w:bCs/>
          <w:szCs w:val="22"/>
        </w:rPr>
        <w:t>y resulta válida</w:t>
      </w:r>
      <w:r w:rsidR="000254AE" w:rsidRPr="00937642">
        <w:rPr>
          <w:rFonts w:ascii="Palatino Linotype" w:hAnsi="Palatino Linotype" w:cs="Tahoma"/>
          <w:bCs/>
          <w:szCs w:val="22"/>
        </w:rPr>
        <w:t xml:space="preserve"> la prueba de daño realizada al cumplir con la totalidad de los requisitos referidos en el cuadro insertado anteriormente</w:t>
      </w:r>
      <w:r w:rsidRPr="00937642">
        <w:rPr>
          <w:rFonts w:ascii="Palatino Linotype" w:hAnsi="Palatino Linotype" w:cs="Tahoma"/>
          <w:bCs/>
          <w:szCs w:val="22"/>
        </w:rPr>
        <w:t>.</w:t>
      </w:r>
    </w:p>
    <w:p w14:paraId="149FFA61" w14:textId="77777777" w:rsidR="000254AE" w:rsidRPr="00937642" w:rsidRDefault="000254AE" w:rsidP="00937642">
      <w:pPr>
        <w:tabs>
          <w:tab w:val="left" w:pos="8222"/>
        </w:tabs>
        <w:spacing w:line="360" w:lineRule="auto"/>
        <w:ind w:right="-28"/>
        <w:jc w:val="both"/>
        <w:rPr>
          <w:rFonts w:ascii="Palatino Linotype" w:hAnsi="Palatino Linotype" w:cs="Tahoma"/>
          <w:bCs/>
          <w:szCs w:val="22"/>
        </w:rPr>
      </w:pPr>
      <w:r w:rsidRPr="00937642">
        <w:rPr>
          <w:rFonts w:ascii="Palatino Linotype" w:hAnsi="Palatino Linotype" w:cs="Tahoma"/>
          <w:bCs/>
          <w:szCs w:val="22"/>
        </w:rPr>
        <w:t>Por otra parte, se precisa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w:t>
      </w:r>
    </w:p>
    <w:p w14:paraId="58551E26" w14:textId="77777777" w:rsidR="000254AE" w:rsidRPr="00937642" w:rsidRDefault="000254AE" w:rsidP="00937642">
      <w:pPr>
        <w:tabs>
          <w:tab w:val="left" w:pos="8222"/>
        </w:tabs>
        <w:spacing w:line="360" w:lineRule="auto"/>
        <w:ind w:right="-28"/>
        <w:jc w:val="both"/>
        <w:rPr>
          <w:rFonts w:ascii="Palatino Linotype" w:hAnsi="Palatino Linotype" w:cs="Tahoma"/>
          <w:bCs/>
          <w:szCs w:val="22"/>
        </w:rPr>
      </w:pPr>
    </w:p>
    <w:p w14:paraId="54727983" w14:textId="77777777" w:rsidR="00527E50" w:rsidRPr="00937642" w:rsidRDefault="00C9673E" w:rsidP="00937642">
      <w:pPr>
        <w:spacing w:line="360" w:lineRule="auto"/>
        <w:jc w:val="both"/>
        <w:rPr>
          <w:rFonts w:ascii="Palatino Linotype" w:hAnsi="Palatino Linotype" w:cs="Arial"/>
        </w:rPr>
      </w:pPr>
      <w:r w:rsidRPr="00937642">
        <w:rPr>
          <w:rFonts w:ascii="Palatino Linotype" w:hAnsi="Palatino Linotype" w:cs="Arial"/>
          <w:noProof/>
        </w:rPr>
        <w:t xml:space="preserve">Una vez expuesto lo anterior, es importante </w:t>
      </w:r>
      <w:r w:rsidR="009F039F" w:rsidRPr="00937642">
        <w:rPr>
          <w:rFonts w:ascii="Palatino Linotype" w:hAnsi="Palatino Linotype" w:cs="Arial"/>
          <w:noProof/>
        </w:rPr>
        <w:t xml:space="preserve">mencionar que </w:t>
      </w:r>
      <w:r w:rsidR="00527E50" w:rsidRPr="00937642">
        <w:rPr>
          <w:rFonts w:ascii="Palatino Linotype" w:hAnsi="Palatino Linotype" w:cs="Arial"/>
          <w:noProof/>
        </w:rPr>
        <w:t xml:space="preserve">el acuerdo de clasificación remitido </w:t>
      </w:r>
      <w:r w:rsidR="009F039F" w:rsidRPr="00937642">
        <w:rPr>
          <w:rFonts w:ascii="Palatino Linotype" w:hAnsi="Palatino Linotype" w:cs="Arial"/>
          <w:noProof/>
        </w:rPr>
        <w:t xml:space="preserve">en respuesta, </w:t>
      </w:r>
      <w:r w:rsidR="00527E50" w:rsidRPr="00937642">
        <w:rPr>
          <w:rFonts w:ascii="Palatino Linotype" w:hAnsi="Palatino Linotype" w:cs="Arial"/>
          <w:noProof/>
        </w:rPr>
        <w:t xml:space="preserve">no cumple con la pauta metodologica prevista en los </w:t>
      </w:r>
      <w:r w:rsidR="00527E50" w:rsidRPr="00937642">
        <w:rPr>
          <w:rFonts w:ascii="Palatino Linotype" w:hAnsi="Palatino Linotype" w:cs="Arial"/>
        </w:rPr>
        <w:t>Lineamientos Generales en Materia de Clasificación y Desclasificación de la Información, así como para la Ela</w:t>
      </w:r>
      <w:r w:rsidR="009F039F" w:rsidRPr="00937642">
        <w:rPr>
          <w:rFonts w:ascii="Palatino Linotype" w:hAnsi="Palatino Linotype" w:cs="Arial"/>
        </w:rPr>
        <w:t>boración de Versiones Públicas</w:t>
      </w:r>
      <w:r w:rsidR="00527E50" w:rsidRPr="00937642">
        <w:rPr>
          <w:rFonts w:ascii="Palatino Linotype" w:hAnsi="Palatino Linotype" w:cs="Arial"/>
        </w:rPr>
        <w:t xml:space="preserve">, </w:t>
      </w:r>
      <w:r w:rsidR="009F039F" w:rsidRPr="00937642">
        <w:rPr>
          <w:rFonts w:ascii="Palatino Linotype" w:hAnsi="Palatino Linotype" w:cs="Arial"/>
        </w:rPr>
        <w:t>toda vez que no se adjuntó al mismo tiempo</w:t>
      </w:r>
      <w:r w:rsidR="00527E50" w:rsidRPr="00937642">
        <w:rPr>
          <w:rFonts w:ascii="Palatino Linotype" w:hAnsi="Palatino Linotype" w:cs="Arial"/>
        </w:rPr>
        <w:t xml:space="preserve"> el Acta de la Sesión de su Comité de Transparencia en el cual se aprobó la clasificación de la inform</w:t>
      </w:r>
      <w:r w:rsidR="009F039F" w:rsidRPr="00937642">
        <w:rPr>
          <w:rFonts w:ascii="Palatino Linotype" w:hAnsi="Palatino Linotype" w:cs="Arial"/>
        </w:rPr>
        <w:t xml:space="preserve">ación como reservada, es decir que el Sujeto Obligado inobservó </w:t>
      </w:r>
      <w:r w:rsidR="00527E50" w:rsidRPr="00937642">
        <w:rPr>
          <w:rFonts w:ascii="Palatino Linotype" w:hAnsi="Palatino Linotype" w:cs="Arial"/>
        </w:rPr>
        <w:t>lo establecido en el artículo 49 fracción VIII de la multicitada Ley de Transparencia Estatal, que señala:</w:t>
      </w:r>
    </w:p>
    <w:p w14:paraId="46AC6B09" w14:textId="77777777" w:rsidR="00527E50" w:rsidRPr="00937642" w:rsidRDefault="00527E50" w:rsidP="00937642">
      <w:pPr>
        <w:spacing w:line="360" w:lineRule="auto"/>
        <w:jc w:val="both"/>
        <w:rPr>
          <w:rFonts w:ascii="Palatino Linotype" w:hAnsi="Palatino Linotype" w:cs="Arial"/>
        </w:rPr>
      </w:pPr>
    </w:p>
    <w:p w14:paraId="5F9306F1" w14:textId="77777777" w:rsidR="00527E50" w:rsidRPr="00937642" w:rsidRDefault="00527E50" w:rsidP="00937642">
      <w:pPr>
        <w:ind w:left="567" w:right="567"/>
        <w:jc w:val="both"/>
        <w:rPr>
          <w:rFonts w:ascii="Palatino Linotype" w:hAnsi="Palatino Linotype" w:cs="Arial"/>
          <w:i/>
          <w:lang w:val="es-ES"/>
        </w:rPr>
      </w:pPr>
      <w:r w:rsidRPr="00937642">
        <w:rPr>
          <w:rFonts w:ascii="Palatino Linotype" w:hAnsi="Palatino Linotype" w:cs="Arial"/>
          <w:i/>
        </w:rPr>
        <w:t>“</w:t>
      </w:r>
      <w:r w:rsidRPr="00937642">
        <w:rPr>
          <w:rFonts w:ascii="Palatino Linotype" w:hAnsi="Palatino Linotype" w:cs="Arial"/>
          <w:b/>
          <w:i/>
          <w:lang w:val="es-ES"/>
        </w:rPr>
        <w:t>Artículo 49</w:t>
      </w:r>
      <w:r w:rsidRPr="00937642">
        <w:rPr>
          <w:rFonts w:ascii="Palatino Linotype" w:hAnsi="Palatino Linotype" w:cs="Arial"/>
          <w:i/>
          <w:lang w:val="es-ES"/>
        </w:rPr>
        <w:t xml:space="preserve">. Los Comités de Transparencia tendrán las siguientes atribuciones: </w:t>
      </w:r>
    </w:p>
    <w:p w14:paraId="267E411D" w14:textId="77777777" w:rsidR="00527E50" w:rsidRPr="00937642" w:rsidRDefault="00527E50" w:rsidP="00937642">
      <w:pPr>
        <w:ind w:left="567" w:right="567"/>
        <w:jc w:val="both"/>
        <w:rPr>
          <w:rFonts w:ascii="Palatino Linotype" w:hAnsi="Palatino Linotype" w:cs="Arial"/>
          <w:i/>
          <w:lang w:val="es-ES"/>
        </w:rPr>
      </w:pPr>
      <w:r w:rsidRPr="00937642">
        <w:rPr>
          <w:rFonts w:ascii="Palatino Linotype" w:hAnsi="Palatino Linotype" w:cs="Arial"/>
          <w:i/>
          <w:lang w:val="es-ES"/>
        </w:rPr>
        <w:t xml:space="preserve">(…) </w:t>
      </w:r>
    </w:p>
    <w:p w14:paraId="5494CF26" w14:textId="77777777" w:rsidR="00527E50" w:rsidRPr="00937642" w:rsidRDefault="00527E50" w:rsidP="00937642">
      <w:pPr>
        <w:ind w:left="567" w:right="567"/>
        <w:jc w:val="both"/>
        <w:rPr>
          <w:rFonts w:ascii="Palatino Linotype" w:hAnsi="Palatino Linotype" w:cs="Arial"/>
          <w:i/>
          <w:lang w:val="es-ES"/>
        </w:rPr>
      </w:pPr>
      <w:r w:rsidRPr="00937642">
        <w:rPr>
          <w:rFonts w:ascii="Palatino Linotype" w:hAnsi="Palatino Linotype" w:cs="Arial"/>
          <w:b/>
          <w:i/>
          <w:lang w:val="es-ES"/>
        </w:rPr>
        <w:t>VIII</w:t>
      </w:r>
      <w:r w:rsidR="00C9673E" w:rsidRPr="00937642">
        <w:rPr>
          <w:rFonts w:ascii="Palatino Linotype" w:hAnsi="Palatino Linotype" w:cs="Arial"/>
          <w:i/>
          <w:lang w:val="es-ES"/>
        </w:rPr>
        <w:t xml:space="preserve">. </w:t>
      </w:r>
      <w:r w:rsidRPr="00937642">
        <w:rPr>
          <w:rFonts w:ascii="Palatino Linotype" w:hAnsi="Palatino Linotype" w:cs="Arial"/>
          <w:i/>
          <w:lang w:val="es-ES"/>
        </w:rPr>
        <w:t xml:space="preserve">Aprobar, modificar o revocar la clasificación de la información </w:t>
      </w:r>
    </w:p>
    <w:p w14:paraId="6BDBC7EF" w14:textId="77777777" w:rsidR="00527E50" w:rsidRPr="00937642" w:rsidRDefault="00527E50" w:rsidP="00937642">
      <w:pPr>
        <w:spacing w:line="360" w:lineRule="auto"/>
        <w:jc w:val="both"/>
        <w:rPr>
          <w:rFonts w:ascii="Palatino Linotype" w:hAnsi="Palatino Linotype" w:cs="Arial"/>
        </w:rPr>
      </w:pPr>
    </w:p>
    <w:p w14:paraId="69920193" w14:textId="1474E56A" w:rsidR="000254AE" w:rsidRPr="00937642" w:rsidRDefault="009F039F" w:rsidP="00937642">
      <w:pPr>
        <w:tabs>
          <w:tab w:val="left" w:pos="8222"/>
        </w:tabs>
        <w:spacing w:line="360" w:lineRule="auto"/>
        <w:ind w:right="-28"/>
        <w:jc w:val="both"/>
        <w:rPr>
          <w:rFonts w:ascii="Palatino Linotype" w:hAnsi="Palatino Linotype" w:cs="Tahoma"/>
          <w:bCs/>
          <w:szCs w:val="22"/>
        </w:rPr>
      </w:pPr>
      <w:r w:rsidRPr="00937642">
        <w:rPr>
          <w:rFonts w:ascii="Palatino Linotype" w:hAnsi="Palatino Linotype" w:cs="Tahoma"/>
          <w:bCs/>
          <w:szCs w:val="22"/>
        </w:rPr>
        <w:lastRenderedPageBreak/>
        <w:t>No obstante</w:t>
      </w:r>
      <w:r w:rsidR="000254AE" w:rsidRPr="00937642">
        <w:rPr>
          <w:rFonts w:ascii="Palatino Linotype" w:hAnsi="Palatino Linotype" w:cs="Tahoma"/>
          <w:bCs/>
          <w:szCs w:val="22"/>
        </w:rPr>
        <w:t>, se advierte que el derecho de acceso a la Información Pública del particular quedó colmado, toda vez que</w:t>
      </w:r>
      <w:r w:rsidR="00BB4701" w:rsidRPr="00937642">
        <w:rPr>
          <w:rFonts w:ascii="Palatino Linotype" w:hAnsi="Palatino Linotype" w:cs="Tahoma"/>
          <w:bCs/>
          <w:szCs w:val="22"/>
        </w:rPr>
        <w:t xml:space="preserve"> </w:t>
      </w:r>
      <w:r w:rsidR="000254AE" w:rsidRPr="00937642">
        <w:rPr>
          <w:rFonts w:ascii="Palatino Linotype" w:hAnsi="Palatino Linotype" w:cs="Tahoma"/>
          <w:bCs/>
          <w:szCs w:val="22"/>
        </w:rPr>
        <w:t xml:space="preserve">en la etapa de manifestaciones, el Sujeto Obligado remitió en alcance el </w:t>
      </w:r>
      <w:r w:rsidR="00527E50" w:rsidRPr="00937642">
        <w:rPr>
          <w:rFonts w:ascii="Palatino Linotype" w:hAnsi="Palatino Linotype" w:cs="Tahoma"/>
          <w:bCs/>
          <w:szCs w:val="22"/>
        </w:rPr>
        <w:t>acta</w:t>
      </w:r>
      <w:r w:rsidR="000254AE" w:rsidRPr="00937642">
        <w:rPr>
          <w:rFonts w:ascii="Palatino Linotype" w:hAnsi="Palatino Linotype" w:cs="Tahoma"/>
          <w:bCs/>
          <w:szCs w:val="22"/>
        </w:rPr>
        <w:t xml:space="preserve"> </w:t>
      </w:r>
      <w:r w:rsidR="00527E50" w:rsidRPr="00937642">
        <w:rPr>
          <w:rFonts w:ascii="Palatino Linotype" w:hAnsi="Palatino Linotype" w:cs="Tahoma"/>
          <w:bCs/>
          <w:szCs w:val="22"/>
        </w:rPr>
        <w:t>de la sesión en la que el Comité de Transparencia confirma la clasificación como información reservada del pronunciamiento respecto al perfil académico de la servidora pública referida en la solicitud del particular.</w:t>
      </w:r>
    </w:p>
    <w:p w14:paraId="21535805" w14:textId="77777777" w:rsidR="00527E50" w:rsidRPr="00937642" w:rsidRDefault="00527E50" w:rsidP="00937642">
      <w:pPr>
        <w:tabs>
          <w:tab w:val="left" w:pos="8222"/>
        </w:tabs>
        <w:spacing w:line="360" w:lineRule="auto"/>
        <w:ind w:right="-28"/>
        <w:jc w:val="both"/>
        <w:rPr>
          <w:rFonts w:ascii="Palatino Linotype" w:hAnsi="Palatino Linotype" w:cs="Tahoma"/>
          <w:bCs/>
          <w:szCs w:val="22"/>
        </w:rPr>
      </w:pPr>
    </w:p>
    <w:p w14:paraId="156475B6" w14:textId="77777777" w:rsidR="000254AE" w:rsidRPr="00937642" w:rsidRDefault="000254AE" w:rsidP="00937642">
      <w:pPr>
        <w:pStyle w:val="Prrafodelista"/>
        <w:widowControl w:val="0"/>
        <w:autoSpaceDE w:val="0"/>
        <w:autoSpaceDN w:val="0"/>
        <w:adjustRightInd w:val="0"/>
        <w:spacing w:line="360" w:lineRule="auto"/>
        <w:ind w:left="0"/>
        <w:jc w:val="both"/>
        <w:rPr>
          <w:rFonts w:ascii="Palatino Linotype" w:hAnsi="Palatino Linotype" w:cs="Arial"/>
        </w:rPr>
      </w:pPr>
      <w:r w:rsidRPr="00937642">
        <w:rPr>
          <w:rFonts w:ascii="Palatino Linotype" w:hAnsi="Palatino Linotype" w:cs="Arial"/>
        </w:rPr>
        <w:t xml:space="preserve">Como consecuencia de lo relatado anteriormente, se reitera que se actualizó causal de sobreseimiento prevista en el artículo 192, fracción </w:t>
      </w:r>
      <w:r w:rsidR="00CB116A" w:rsidRPr="00937642">
        <w:rPr>
          <w:rFonts w:ascii="Palatino Linotype" w:hAnsi="Palatino Linotype" w:cs="Arial"/>
        </w:rPr>
        <w:t>III</w:t>
      </w:r>
      <w:r w:rsidRPr="00937642">
        <w:rPr>
          <w:rFonts w:ascii="Palatino Linotype" w:hAnsi="Palatino Linotype" w:cs="Arial"/>
        </w:rPr>
        <w:t xml:space="preserve"> de la Ley de Transparencia y Acceso a la Información Pública del Estado de México y Municipios que a la letra apunta lo siguiente:</w:t>
      </w:r>
    </w:p>
    <w:p w14:paraId="4A047BF1" w14:textId="77777777" w:rsidR="000254AE" w:rsidRPr="00937642" w:rsidRDefault="000254AE" w:rsidP="00937642">
      <w:pPr>
        <w:pStyle w:val="Prrafodelista"/>
        <w:widowControl w:val="0"/>
        <w:autoSpaceDE w:val="0"/>
        <w:autoSpaceDN w:val="0"/>
        <w:adjustRightInd w:val="0"/>
        <w:spacing w:line="360" w:lineRule="auto"/>
        <w:ind w:left="0"/>
        <w:jc w:val="both"/>
        <w:rPr>
          <w:rFonts w:ascii="Palatino Linotype" w:hAnsi="Palatino Linotype" w:cs="Arial"/>
        </w:rPr>
      </w:pPr>
    </w:p>
    <w:p w14:paraId="2913A890" w14:textId="77777777" w:rsidR="000254AE" w:rsidRPr="00937642" w:rsidRDefault="000254AE" w:rsidP="00937642">
      <w:pPr>
        <w:pStyle w:val="Prrafodelista"/>
        <w:widowControl w:val="0"/>
        <w:autoSpaceDE w:val="0"/>
        <w:autoSpaceDN w:val="0"/>
        <w:adjustRightInd w:val="0"/>
        <w:ind w:left="851" w:right="899"/>
        <w:jc w:val="both"/>
        <w:rPr>
          <w:rFonts w:ascii="Palatino Linotype" w:hAnsi="Palatino Linotype" w:cs="Arial"/>
          <w:i/>
        </w:rPr>
      </w:pPr>
      <w:r w:rsidRPr="00937642">
        <w:rPr>
          <w:rFonts w:ascii="Palatino Linotype" w:hAnsi="Palatino Linotype" w:cs="Arial"/>
          <w:b/>
          <w:i/>
        </w:rPr>
        <w:t>Artículo 192.</w:t>
      </w:r>
      <w:r w:rsidRPr="00937642">
        <w:rPr>
          <w:rFonts w:ascii="Palatino Linotype" w:hAnsi="Palatino Linotype" w:cs="Arial"/>
          <w:i/>
        </w:rPr>
        <w:t xml:space="preserve"> El recurso será sobreseído, en todo o en parte, cuando una vez admitido, se actualicen alguno de los siguientes supuestos:</w:t>
      </w:r>
    </w:p>
    <w:p w14:paraId="7236783F" w14:textId="77777777" w:rsidR="000254AE" w:rsidRPr="00937642" w:rsidRDefault="000254AE" w:rsidP="00937642">
      <w:pPr>
        <w:pStyle w:val="Prrafodelista"/>
        <w:widowControl w:val="0"/>
        <w:autoSpaceDE w:val="0"/>
        <w:autoSpaceDN w:val="0"/>
        <w:adjustRightInd w:val="0"/>
        <w:ind w:left="851" w:right="899"/>
        <w:jc w:val="both"/>
        <w:rPr>
          <w:rFonts w:ascii="Palatino Linotype" w:hAnsi="Palatino Linotype" w:cs="Arial"/>
          <w:i/>
        </w:rPr>
      </w:pPr>
      <w:r w:rsidRPr="00937642">
        <w:rPr>
          <w:rFonts w:ascii="Palatino Linotype" w:hAnsi="Palatino Linotype" w:cs="Arial"/>
          <w:i/>
        </w:rPr>
        <w:t>(…)</w:t>
      </w:r>
    </w:p>
    <w:p w14:paraId="2EB00438" w14:textId="77777777" w:rsidR="00CB116A" w:rsidRPr="00937642" w:rsidRDefault="00CB116A" w:rsidP="00937642">
      <w:pPr>
        <w:autoSpaceDE w:val="0"/>
        <w:autoSpaceDN w:val="0"/>
        <w:adjustRightInd w:val="0"/>
        <w:ind w:left="851" w:right="567"/>
        <w:jc w:val="both"/>
        <w:rPr>
          <w:rFonts w:ascii="Palatino Linotype" w:eastAsiaTheme="minorEastAsia" w:hAnsi="Palatino Linotype" w:cs="Arial"/>
          <w:i/>
          <w:lang w:val="es-ES" w:eastAsia="es-ES"/>
        </w:rPr>
      </w:pPr>
      <w:r w:rsidRPr="00937642">
        <w:rPr>
          <w:rFonts w:ascii="Palatino Linotype" w:eastAsiaTheme="minorEastAsia" w:hAnsi="Palatino Linotype" w:cs="Arial"/>
          <w:b/>
          <w:i/>
          <w:lang w:val="es-ES" w:eastAsia="es-ES"/>
        </w:rPr>
        <w:t xml:space="preserve">III. </w:t>
      </w:r>
      <w:r w:rsidRPr="00937642">
        <w:rPr>
          <w:rFonts w:ascii="Palatino Linotype" w:eastAsiaTheme="minorEastAsia" w:hAnsi="Palatino Linotype" w:cs="Arial"/>
          <w:i/>
          <w:lang w:val="es-ES" w:eastAsia="es-ES"/>
        </w:rPr>
        <w:t>El sujeto obligado responsable del acto lo modifique o revoque de tal manera que el recurso de revisión quede sin materia;</w:t>
      </w:r>
    </w:p>
    <w:p w14:paraId="319EB196" w14:textId="77777777" w:rsidR="000254AE" w:rsidRPr="00937642" w:rsidRDefault="000254AE" w:rsidP="00937642">
      <w:pPr>
        <w:suppressAutoHyphens/>
        <w:spacing w:line="360" w:lineRule="auto"/>
        <w:jc w:val="both"/>
        <w:rPr>
          <w:rFonts w:ascii="Palatino Linotype" w:hAnsi="Palatino Linotype" w:cs="Arial"/>
        </w:rPr>
      </w:pPr>
    </w:p>
    <w:p w14:paraId="300F87C8" w14:textId="6391D90A" w:rsidR="000254AE" w:rsidRPr="00937642" w:rsidRDefault="000254AE" w:rsidP="00937642">
      <w:pPr>
        <w:suppressAutoHyphens/>
        <w:spacing w:line="360" w:lineRule="auto"/>
        <w:jc w:val="both"/>
        <w:rPr>
          <w:rFonts w:ascii="Palatino Linotype" w:eastAsia="Batang" w:hAnsi="Palatino Linotype" w:cs="Arial"/>
          <w:lang w:val="es-AR"/>
        </w:rPr>
      </w:pPr>
      <w:r w:rsidRPr="00937642">
        <w:rPr>
          <w:rFonts w:ascii="Palatino Linotype" w:eastAsia="Batang" w:hAnsi="Palatino Linotype" w:cs="Arial"/>
        </w:rPr>
        <w:t xml:space="preserve">Sirve de sustento, la Tesis aislada I.7o.C.54 K, emitida por el </w:t>
      </w:r>
      <w:r w:rsidRPr="00937642">
        <w:rPr>
          <w:rFonts w:ascii="Palatino Linotype" w:eastAsia="Batang" w:hAnsi="Palatino Linotype" w:cs="Arial"/>
          <w:lang w:val="es-AR"/>
        </w:rPr>
        <w:t>Séptimo Tribunal Colegiado en Materia Civil del Primer Circuito, publicado en el Semanario Judicial de la Federación y su Gaceta, tomo XXIX, Enero de 2009, página 2837, con número de registro digital 168019, que establece lo siguiente:</w:t>
      </w:r>
    </w:p>
    <w:p w14:paraId="5ED8D7A6" w14:textId="77777777" w:rsidR="000254AE" w:rsidRPr="00937642" w:rsidRDefault="000254AE" w:rsidP="00937642">
      <w:pPr>
        <w:suppressAutoHyphens/>
        <w:jc w:val="both"/>
        <w:rPr>
          <w:rFonts w:ascii="Palatino Linotype" w:eastAsia="Calibri" w:hAnsi="Palatino Linotype"/>
        </w:rPr>
      </w:pPr>
    </w:p>
    <w:p w14:paraId="3FD5ECE5" w14:textId="77777777" w:rsidR="000254AE" w:rsidRPr="00937642" w:rsidRDefault="000254AE" w:rsidP="00937642">
      <w:pPr>
        <w:suppressAutoHyphens/>
        <w:spacing w:line="276" w:lineRule="auto"/>
        <w:ind w:left="850" w:right="901"/>
        <w:jc w:val="both"/>
        <w:rPr>
          <w:rFonts w:ascii="Palatino Linotype" w:eastAsia="Batang" w:hAnsi="Palatino Linotype" w:cs="Arial"/>
          <w:i/>
          <w:sz w:val="22"/>
          <w:lang w:val="es-AR"/>
        </w:rPr>
      </w:pPr>
      <w:r w:rsidRPr="00937642">
        <w:rPr>
          <w:rFonts w:ascii="Palatino Linotype" w:eastAsia="Batang" w:hAnsi="Palatino Linotype" w:cs="Arial"/>
          <w:b/>
          <w:i/>
          <w:sz w:val="22"/>
          <w:lang w:val="es-AR"/>
        </w:rPr>
        <w:t xml:space="preserve">“SOBRESEIMIENTO EN EL JUICIO DE AMPARO DIRECTO. IMPIDE EL ESTUDIO DE LAS VIOLACIONES PROCESALES PLANTEADAS EN LOS CONCEPTOS DE VIOLACIÓN. </w:t>
      </w:r>
      <w:r w:rsidRPr="00937642">
        <w:rPr>
          <w:rFonts w:ascii="Palatino Linotype" w:eastAsia="Batang" w:hAnsi="Palatino Linotype" w:cs="Arial"/>
          <w:i/>
          <w:sz w:val="22"/>
          <w:lang w:val="es-AR"/>
        </w:rPr>
        <w:t xml:space="preserve">El sobreseimiento en el juicio de amparo directo provoca la terminación de la controversia planteada por el quejoso en la demanda de amparo, sin hacer un pronunciamiento de fondo sobre la legalidad o ilegalidad de la </w:t>
      </w:r>
      <w:r w:rsidRPr="00937642">
        <w:rPr>
          <w:rFonts w:ascii="Palatino Linotype" w:eastAsia="Batang" w:hAnsi="Palatino Linotype" w:cs="Arial"/>
          <w:i/>
          <w:sz w:val="22"/>
          <w:lang w:val="es-AR"/>
        </w:rPr>
        <w:lastRenderedPageBreak/>
        <w:t>sentencia reclamada. Por consiguiente, si al sobreseerse en el juicio de amparo no se pueden estudiar los planteamientos que se hacen valer en contra del fallo reclamado, tampoco s</w:t>
      </w:r>
      <w:r w:rsidRPr="00937642">
        <w:rPr>
          <w:rFonts w:ascii="Palatino Linotype" w:eastAsia="Batang" w:hAnsi="Palatino Linotype" w:cs="Arial"/>
          <w:b/>
          <w:i/>
          <w:sz w:val="22"/>
          <w:lang w:val="es-AR"/>
        </w:rPr>
        <w:t xml:space="preserve">e </w:t>
      </w:r>
      <w:r w:rsidRPr="00937642">
        <w:rPr>
          <w:rFonts w:ascii="Palatino Linotype" w:eastAsia="Batang" w:hAnsi="Palatino Linotype" w:cs="Arial"/>
          <w:i/>
          <w:sz w:val="22"/>
          <w:lang w:val="es-AR"/>
        </w:rPr>
        <w:t>deben analizar las violaciones procesales propuestas en los conceptos de violación, dado que, la principal consecuencia del sobreseimiento es poner fin al juicio de amparo sin resolver la controversia en sus méritos.”</w:t>
      </w:r>
    </w:p>
    <w:p w14:paraId="0CEDF51F" w14:textId="77777777" w:rsidR="000254AE" w:rsidRPr="00937642" w:rsidRDefault="000254AE" w:rsidP="00937642">
      <w:pPr>
        <w:autoSpaceDE w:val="0"/>
        <w:autoSpaceDN w:val="0"/>
        <w:adjustRightInd w:val="0"/>
        <w:spacing w:line="360" w:lineRule="auto"/>
        <w:jc w:val="both"/>
        <w:rPr>
          <w:rFonts w:ascii="Palatino Linotype" w:hAnsi="Palatino Linotype" w:cs="Arial"/>
        </w:rPr>
      </w:pPr>
    </w:p>
    <w:p w14:paraId="1FE15744" w14:textId="77777777" w:rsidR="000254AE" w:rsidRPr="00937642" w:rsidRDefault="000254AE" w:rsidP="00937642">
      <w:pPr>
        <w:spacing w:line="360" w:lineRule="auto"/>
        <w:jc w:val="both"/>
        <w:rPr>
          <w:rFonts w:ascii="Palatino Linotype" w:eastAsia="Calibri" w:hAnsi="Palatino Linotype"/>
          <w:lang w:val="es-ES"/>
        </w:rPr>
      </w:pPr>
      <w:r w:rsidRPr="00937642">
        <w:rPr>
          <w:rFonts w:ascii="Palatino Linotype" w:eastAsia="Calibri" w:hAnsi="Palatino Linotype"/>
          <w:lang w:val="es-ES"/>
        </w:rPr>
        <w:t xml:space="preserve">Finalmente, este Órgano Garante determina </w:t>
      </w:r>
      <w:r w:rsidRPr="00937642">
        <w:rPr>
          <w:rFonts w:ascii="Palatino Linotype" w:eastAsia="Calibri" w:hAnsi="Palatino Linotype"/>
          <w:b/>
          <w:lang w:val="es-ES"/>
        </w:rPr>
        <w:t xml:space="preserve">SOBRESEER </w:t>
      </w:r>
      <w:r w:rsidRPr="00937642">
        <w:rPr>
          <w:rFonts w:ascii="Palatino Linotype" w:eastAsia="Calibri" w:hAnsi="Palatino Linotype"/>
          <w:lang w:val="es-ES"/>
        </w:rPr>
        <w:t>por haber quedado sin materia el Recurso de Revisión objeto de estudio en términos del presente considerando.</w:t>
      </w:r>
    </w:p>
    <w:p w14:paraId="22DD9D9A" w14:textId="77777777" w:rsidR="000254AE" w:rsidRPr="00937642" w:rsidRDefault="000254AE" w:rsidP="00937642">
      <w:pPr>
        <w:spacing w:line="360" w:lineRule="auto"/>
        <w:jc w:val="both"/>
        <w:rPr>
          <w:rFonts w:ascii="Palatino Linotype" w:eastAsia="Calibri" w:hAnsi="Palatino Linotype"/>
          <w:lang w:val="es-ES"/>
        </w:rPr>
      </w:pPr>
    </w:p>
    <w:p w14:paraId="2AF3E4E1" w14:textId="77777777" w:rsidR="000254AE" w:rsidRPr="00937642" w:rsidRDefault="000254AE" w:rsidP="00937642">
      <w:pPr>
        <w:spacing w:line="360" w:lineRule="auto"/>
        <w:jc w:val="both"/>
        <w:rPr>
          <w:rFonts w:ascii="Palatino Linotype" w:eastAsia="Calibri" w:hAnsi="Palatino Linotype"/>
          <w:lang w:val="es-ES"/>
        </w:rPr>
      </w:pPr>
      <w:r w:rsidRPr="00937642">
        <w:rPr>
          <w:rFonts w:ascii="Palatino Linotype" w:eastAsia="Calibri" w:hAnsi="Palatino Linotype"/>
          <w:lang w:val="es-ES"/>
        </w:rPr>
        <w:t xml:space="preserve">Sirva de apoyo la Tesis Aislada III.6o.A.30 A (10a.), con número de registro 2022131, publicada en Gaceta del Semanario Judicial de la Federación, Libro 78, Septiembre de 2020, Tomo II, página 982: </w:t>
      </w:r>
    </w:p>
    <w:p w14:paraId="69A04D99" w14:textId="77777777" w:rsidR="000254AE" w:rsidRPr="00937642" w:rsidRDefault="000254AE" w:rsidP="00937642">
      <w:pPr>
        <w:spacing w:line="360" w:lineRule="auto"/>
        <w:jc w:val="both"/>
        <w:rPr>
          <w:rFonts w:ascii="Palatino Linotype" w:eastAsia="Calibri" w:hAnsi="Palatino Linotype"/>
          <w:lang w:val="es-ES"/>
        </w:rPr>
      </w:pPr>
    </w:p>
    <w:p w14:paraId="45CDD9D2" w14:textId="77777777" w:rsidR="000254AE" w:rsidRPr="00937642" w:rsidRDefault="000254AE" w:rsidP="00937642">
      <w:pPr>
        <w:pStyle w:val="Prrafodelista"/>
        <w:widowControl w:val="0"/>
        <w:autoSpaceDE w:val="0"/>
        <w:autoSpaceDN w:val="0"/>
        <w:adjustRightInd w:val="0"/>
        <w:ind w:left="851" w:right="899"/>
        <w:jc w:val="both"/>
        <w:rPr>
          <w:rFonts w:ascii="Palatino Linotype" w:eastAsia="Calibri" w:hAnsi="Palatino Linotype" w:cs="Tahoma"/>
          <w:b/>
          <w:bCs/>
          <w:i/>
          <w:lang w:eastAsia="en-US"/>
        </w:rPr>
      </w:pPr>
      <w:r w:rsidRPr="00937642">
        <w:rPr>
          <w:rFonts w:ascii="Palatino Linotype" w:eastAsia="Calibri" w:hAnsi="Palatino Linotype" w:cs="Tahoma"/>
          <w:b/>
          <w:bCs/>
          <w:i/>
          <w:lang w:eastAsia="en-US"/>
        </w:rPr>
        <w:t>“SOBRESEIMIENTO EN EL JUICIO CONTENCIOSO ADMINISTRATIVO FEDERAL. SU NATURALEZA JURÍDICA.</w:t>
      </w:r>
    </w:p>
    <w:p w14:paraId="052A3512" w14:textId="77777777" w:rsidR="000254AE" w:rsidRPr="00937642" w:rsidRDefault="000254AE" w:rsidP="00937642">
      <w:pPr>
        <w:pStyle w:val="Prrafodelista"/>
        <w:widowControl w:val="0"/>
        <w:autoSpaceDE w:val="0"/>
        <w:autoSpaceDN w:val="0"/>
        <w:adjustRightInd w:val="0"/>
        <w:ind w:left="851" w:right="899"/>
        <w:jc w:val="both"/>
        <w:rPr>
          <w:rFonts w:ascii="Palatino Linotype" w:eastAsia="Calibri" w:hAnsi="Palatino Linotype" w:cs="Tahoma"/>
          <w:bCs/>
          <w:i/>
          <w:sz w:val="10"/>
          <w:szCs w:val="10"/>
          <w:lang w:eastAsia="en-US"/>
        </w:rPr>
      </w:pPr>
    </w:p>
    <w:p w14:paraId="3F42969B" w14:textId="77777777" w:rsidR="000254AE" w:rsidRPr="00937642" w:rsidRDefault="000254AE" w:rsidP="00937642">
      <w:pPr>
        <w:pStyle w:val="Prrafodelista"/>
        <w:widowControl w:val="0"/>
        <w:autoSpaceDE w:val="0"/>
        <w:autoSpaceDN w:val="0"/>
        <w:adjustRightInd w:val="0"/>
        <w:ind w:left="851" w:right="899"/>
        <w:jc w:val="both"/>
        <w:rPr>
          <w:rFonts w:ascii="Palatino Linotype" w:eastAsia="Calibri" w:hAnsi="Palatino Linotype" w:cs="Tahoma"/>
          <w:bCs/>
          <w:i/>
          <w:lang w:eastAsia="en-US"/>
        </w:rPr>
      </w:pPr>
      <w:r w:rsidRPr="00937642">
        <w:rPr>
          <w:rFonts w:ascii="Palatino Linotype" w:eastAsia="Calibri" w:hAnsi="Palatino Linotype" w:cs="Tahoma"/>
          <w:bCs/>
          <w:i/>
          <w:lang w:eastAsia="en-US"/>
        </w:rPr>
        <w:t xml:space="preserve">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Administrativo y, dada su naturaleza jurídica, se reafirmó su estudio de oficio debido a las consecuencias generadas en caso de estar acreditada, pues se instituye como el supuesto jurídico por superar, razón por la cual, de </w:t>
      </w:r>
      <w:r w:rsidRPr="00937642">
        <w:rPr>
          <w:rFonts w:ascii="Palatino Linotype" w:eastAsia="Calibri" w:hAnsi="Palatino Linotype" w:cs="Tahoma"/>
          <w:bCs/>
          <w:i/>
          <w:lang w:eastAsia="en-US"/>
        </w:rPr>
        <w:lastRenderedPageBreak/>
        <w:t xml:space="preserve">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937642">
        <w:rPr>
          <w:rFonts w:ascii="Palatino Linotype" w:eastAsia="Calibri" w:hAnsi="Palatino Linotype" w:cs="Tahoma"/>
          <w:bCs/>
          <w:i/>
          <w:lang w:eastAsia="en-US"/>
        </w:rPr>
        <w:t>supercedere</w:t>
      </w:r>
      <w:proofErr w:type="spellEnd"/>
      <w:r w:rsidRPr="00937642">
        <w:rPr>
          <w:rFonts w:ascii="Palatino Linotype" w:eastAsia="Calibri" w:hAnsi="Palatino Linotype" w:cs="Tahoma"/>
          <w:bCs/>
          <w:i/>
          <w:lang w:eastAsia="en-US"/>
        </w:rPr>
        <w:t>;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w:t>
      </w:r>
    </w:p>
    <w:p w14:paraId="78989272" w14:textId="77777777" w:rsidR="000254AE" w:rsidRPr="00937642" w:rsidRDefault="000254AE" w:rsidP="00937642">
      <w:pPr>
        <w:widowControl w:val="0"/>
        <w:autoSpaceDE w:val="0"/>
        <w:autoSpaceDN w:val="0"/>
        <w:adjustRightInd w:val="0"/>
        <w:spacing w:line="360" w:lineRule="auto"/>
        <w:jc w:val="both"/>
        <w:rPr>
          <w:rFonts w:ascii="Palatino Linotype" w:eastAsia="Calibri" w:hAnsi="Palatino Linotype" w:cs="Arial"/>
        </w:rPr>
      </w:pPr>
    </w:p>
    <w:p w14:paraId="10370CF6" w14:textId="77777777" w:rsidR="000254AE" w:rsidRPr="00937642" w:rsidRDefault="000254AE" w:rsidP="00937642">
      <w:pPr>
        <w:widowControl w:val="0"/>
        <w:autoSpaceDE w:val="0"/>
        <w:autoSpaceDN w:val="0"/>
        <w:adjustRightInd w:val="0"/>
        <w:spacing w:line="360" w:lineRule="auto"/>
        <w:jc w:val="both"/>
        <w:rPr>
          <w:rFonts w:ascii="Palatino Linotype" w:eastAsia="Calibri" w:hAnsi="Palatino Linotype" w:cs="Arial"/>
        </w:rPr>
      </w:pPr>
      <w:r w:rsidRPr="00937642">
        <w:rPr>
          <w:rFonts w:ascii="Palatino Linotype" w:eastAsia="Calibri" w:hAnsi="Palatino Linotype" w:cs="Arial"/>
        </w:rPr>
        <w:t xml:space="preserve">Así, con </w:t>
      </w:r>
      <w:r w:rsidRPr="00937642">
        <w:rPr>
          <w:rFonts w:ascii="Palatino Linotype" w:hAnsi="Palatino Linotype" w:cs="Arial"/>
        </w:rPr>
        <w:t>fundamento</w:t>
      </w:r>
      <w:r w:rsidRPr="00937642">
        <w:rPr>
          <w:rFonts w:ascii="Palatino Linotype" w:eastAsia="Calibri" w:hAnsi="Palatino Linotype" w:cs="Arial"/>
        </w:rPr>
        <w:t xml:space="preserve"> en lo señalado en los artículos 5, párrafos</w:t>
      </w:r>
      <w:r w:rsidRPr="00937642">
        <w:rPr>
          <w:rFonts w:ascii="Palatino Linotype" w:hAnsi="Palatino Linotype"/>
        </w:rPr>
        <w:t xml:space="preserve"> trigésimo, trigésimo primero</w:t>
      </w:r>
      <w:r w:rsidRPr="00937642">
        <w:rPr>
          <w:rFonts w:ascii="Palatino Linotype" w:hAnsi="Palatino Linotype" w:cs="Arial"/>
        </w:rPr>
        <w:t xml:space="preserve"> y trigésimo segundo, </w:t>
      </w:r>
      <w:r w:rsidRPr="00937642">
        <w:rPr>
          <w:rFonts w:ascii="Palatino Linotype" w:hAnsi="Palatino Linotype"/>
        </w:rPr>
        <w:t>fracciones IV y V,</w:t>
      </w:r>
      <w:r w:rsidRPr="00937642">
        <w:rPr>
          <w:rFonts w:ascii="Palatino Linotype" w:eastAsia="Calibri" w:hAnsi="Palatino Linotype" w:cs="Arial"/>
        </w:rPr>
        <w:t xml:space="preserve"> de la Constitución Política del Estado Libre y Soberano de </w:t>
      </w:r>
      <w:r w:rsidRPr="00937642">
        <w:rPr>
          <w:rFonts w:ascii="Palatino Linotype" w:hAnsi="Palatino Linotype" w:cs="Arial"/>
          <w:lang w:val="es-ES_tradnl"/>
        </w:rPr>
        <w:t>México</w:t>
      </w:r>
      <w:r w:rsidRPr="00937642">
        <w:rPr>
          <w:rFonts w:ascii="Palatino Linotype" w:eastAsia="Calibri" w:hAnsi="Palatino Linotype" w:cs="Arial"/>
        </w:rPr>
        <w:t xml:space="preserve">; así como los artículos </w:t>
      </w:r>
      <w:r w:rsidRPr="00937642">
        <w:rPr>
          <w:rFonts w:ascii="Palatino Linotype" w:hAnsi="Palatino Linotype"/>
        </w:rPr>
        <w:t xml:space="preserve">2, </w:t>
      </w:r>
      <w:r w:rsidRPr="00937642">
        <w:rPr>
          <w:rFonts w:ascii="Palatino Linotype" w:hAnsi="Palatino Linotype" w:cs="Arial"/>
        </w:rPr>
        <w:t>fracción</w:t>
      </w:r>
      <w:r w:rsidRPr="00937642">
        <w:rPr>
          <w:rFonts w:ascii="Palatino Linotype" w:hAnsi="Palatino Linotype"/>
        </w:rPr>
        <w:t xml:space="preserve"> II, 9, </w:t>
      </w:r>
      <w:r w:rsidRPr="00937642">
        <w:rPr>
          <w:rFonts w:ascii="Palatino Linotype" w:hAnsi="Palatino Linotype" w:cs="Arial"/>
          <w:lang w:val="es-ES_tradnl"/>
        </w:rPr>
        <w:t>29</w:t>
      </w:r>
      <w:r w:rsidRPr="00937642">
        <w:rPr>
          <w:rFonts w:ascii="Palatino Linotype" w:hAnsi="Palatino Linotype"/>
        </w:rPr>
        <w:t>, 36, fracciones I y II, 176, 178, 179, 181, 185, fracción I, 186 y 188,</w:t>
      </w:r>
      <w:r w:rsidRPr="00937642">
        <w:rPr>
          <w:rFonts w:ascii="Palatino Linotype" w:eastAsia="Calibri" w:hAnsi="Palatino Linotype" w:cs="Arial"/>
        </w:rPr>
        <w:t xml:space="preserve"> de la Ley de Transparencia y Acceso a la Información Pública del Estado de México y </w:t>
      </w:r>
      <w:r w:rsidRPr="00937642">
        <w:rPr>
          <w:rFonts w:ascii="Palatino Linotype" w:hAnsi="Palatino Linotype" w:cs="Arial"/>
        </w:rPr>
        <w:t>Municipios</w:t>
      </w:r>
      <w:r w:rsidRPr="00937642">
        <w:rPr>
          <w:rFonts w:ascii="Palatino Linotype" w:eastAsia="Calibri" w:hAnsi="Palatino Linotype" w:cs="Arial"/>
        </w:rPr>
        <w:t xml:space="preserve">, </w:t>
      </w:r>
      <w:r w:rsidRPr="00937642">
        <w:rPr>
          <w:rFonts w:ascii="Palatino Linotype" w:hAnsi="Palatino Linotype"/>
        </w:rPr>
        <w:t>este</w:t>
      </w:r>
      <w:r w:rsidRPr="00937642">
        <w:rPr>
          <w:rFonts w:ascii="Palatino Linotype" w:eastAsia="Calibri" w:hAnsi="Palatino Linotype" w:cs="Arial"/>
        </w:rPr>
        <w:t xml:space="preserve"> Instituto:</w:t>
      </w:r>
    </w:p>
    <w:p w14:paraId="2AF9026D" w14:textId="77777777" w:rsidR="000254AE" w:rsidRPr="00937642" w:rsidRDefault="000254AE" w:rsidP="00937642">
      <w:pPr>
        <w:jc w:val="both"/>
        <w:rPr>
          <w:rFonts w:ascii="Palatino Linotype" w:eastAsia="Calibri" w:hAnsi="Palatino Linotype" w:cs="Arial"/>
        </w:rPr>
      </w:pPr>
    </w:p>
    <w:p w14:paraId="2DDEC6E5" w14:textId="77777777" w:rsidR="000254AE" w:rsidRPr="00937642" w:rsidRDefault="000254AE" w:rsidP="00937642">
      <w:pPr>
        <w:jc w:val="center"/>
        <w:rPr>
          <w:rFonts w:ascii="Palatino Linotype" w:hAnsi="Palatino Linotype"/>
          <w:b/>
          <w:spacing w:val="60"/>
          <w:sz w:val="28"/>
          <w:szCs w:val="28"/>
        </w:rPr>
      </w:pPr>
      <w:r w:rsidRPr="00937642">
        <w:rPr>
          <w:rFonts w:ascii="Palatino Linotype" w:hAnsi="Palatino Linotype"/>
          <w:b/>
          <w:spacing w:val="60"/>
          <w:sz w:val="28"/>
          <w:szCs w:val="28"/>
        </w:rPr>
        <w:t>RESUELVE</w:t>
      </w:r>
    </w:p>
    <w:p w14:paraId="56811AFA" w14:textId="77777777" w:rsidR="000254AE" w:rsidRPr="00937642" w:rsidRDefault="000254AE" w:rsidP="00937642">
      <w:pPr>
        <w:jc w:val="center"/>
        <w:rPr>
          <w:rFonts w:ascii="Palatino Linotype" w:hAnsi="Palatino Linotype"/>
          <w:b/>
          <w:spacing w:val="60"/>
          <w:sz w:val="28"/>
          <w:szCs w:val="28"/>
        </w:rPr>
      </w:pPr>
    </w:p>
    <w:p w14:paraId="31F4D638" w14:textId="77777777" w:rsidR="000254AE" w:rsidRPr="00937642" w:rsidRDefault="000254AE" w:rsidP="00937642">
      <w:pPr>
        <w:widowControl w:val="0"/>
        <w:tabs>
          <w:tab w:val="left" w:pos="1701"/>
        </w:tabs>
        <w:autoSpaceDE w:val="0"/>
        <w:autoSpaceDN w:val="0"/>
        <w:adjustRightInd w:val="0"/>
        <w:spacing w:line="360" w:lineRule="auto"/>
        <w:jc w:val="both"/>
        <w:rPr>
          <w:rFonts w:ascii="Palatino Linotype" w:hAnsi="Palatino Linotype" w:cs="Arial"/>
        </w:rPr>
      </w:pPr>
      <w:r w:rsidRPr="00937642">
        <w:rPr>
          <w:rFonts w:ascii="Palatino Linotype" w:hAnsi="Palatino Linotype" w:cs="Arial"/>
          <w:b/>
          <w:sz w:val="28"/>
        </w:rPr>
        <w:t>PRIMERO</w:t>
      </w:r>
      <w:r w:rsidRPr="00937642">
        <w:rPr>
          <w:rFonts w:ascii="Palatino Linotype" w:hAnsi="Palatino Linotype" w:cs="Arial"/>
          <w:b/>
        </w:rPr>
        <w:t xml:space="preserve">. </w:t>
      </w:r>
      <w:r w:rsidRPr="00937642">
        <w:rPr>
          <w:rFonts w:ascii="Palatino Linotype" w:hAnsi="Palatino Linotype" w:cs="Arial"/>
        </w:rPr>
        <w:t>Se</w:t>
      </w:r>
      <w:r w:rsidRPr="00937642">
        <w:rPr>
          <w:rFonts w:ascii="Palatino Linotype" w:hAnsi="Palatino Linotype" w:cs="Arial"/>
          <w:b/>
        </w:rPr>
        <w:t xml:space="preserve"> SOBRESEE </w:t>
      </w:r>
      <w:r w:rsidRPr="00937642">
        <w:rPr>
          <w:rFonts w:ascii="Palatino Linotype" w:hAnsi="Palatino Linotype" w:cs="Arial"/>
        </w:rPr>
        <w:t xml:space="preserve">el </w:t>
      </w:r>
      <w:r w:rsidRPr="00937642">
        <w:rPr>
          <w:rFonts w:ascii="Palatino Linotype" w:hAnsi="Palatino Linotype" w:cs="Arial"/>
          <w:shd w:val="clear" w:color="auto" w:fill="FFFFFF"/>
        </w:rPr>
        <w:t>Recurso</w:t>
      </w:r>
      <w:r w:rsidRPr="00937642">
        <w:rPr>
          <w:rFonts w:ascii="Palatino Linotype" w:hAnsi="Palatino Linotype" w:cs="Arial"/>
        </w:rPr>
        <w:t xml:space="preserve"> de </w:t>
      </w:r>
      <w:r w:rsidRPr="00937642">
        <w:rPr>
          <w:rFonts w:ascii="Palatino Linotype" w:hAnsi="Palatino Linotype"/>
          <w:lang w:eastAsia="es-ES_tradnl"/>
        </w:rPr>
        <w:t>Revisión</w:t>
      </w:r>
      <w:r w:rsidRPr="00937642">
        <w:rPr>
          <w:rFonts w:ascii="Palatino Linotype" w:hAnsi="Palatino Linotype" w:cs="Arial"/>
        </w:rPr>
        <w:t xml:space="preserve"> </w:t>
      </w:r>
      <w:r w:rsidR="00CB116A" w:rsidRPr="00937642">
        <w:rPr>
          <w:rFonts w:ascii="Palatino Linotype" w:hAnsi="Palatino Linotype"/>
          <w:b/>
        </w:rPr>
        <w:t>00202/INFOEM/IP/RR/2024</w:t>
      </w:r>
      <w:r w:rsidRPr="00937642">
        <w:rPr>
          <w:rFonts w:ascii="Palatino Linotype" w:hAnsi="Palatino Linotype" w:cs="Arial"/>
        </w:rPr>
        <w:t xml:space="preserve">, </w:t>
      </w:r>
      <w:r w:rsidRPr="00937642">
        <w:rPr>
          <w:rFonts w:ascii="Palatino Linotype" w:hAnsi="Palatino Linotype"/>
        </w:rPr>
        <w:t>por actualizarse el supuesto establecido en el numeral</w:t>
      </w:r>
      <w:r w:rsidRPr="00937642">
        <w:rPr>
          <w:rFonts w:ascii="Palatino Linotype" w:hAnsi="Palatino Linotype" w:cs="Arial"/>
        </w:rPr>
        <w:t xml:space="preserve"> 192, fracción </w:t>
      </w:r>
      <w:r w:rsidR="00CB116A" w:rsidRPr="00937642">
        <w:rPr>
          <w:rFonts w:ascii="Palatino Linotype" w:hAnsi="Palatino Linotype" w:cs="Arial"/>
        </w:rPr>
        <w:t xml:space="preserve">III </w:t>
      </w:r>
      <w:r w:rsidRPr="00937642">
        <w:rPr>
          <w:rFonts w:ascii="Palatino Linotype" w:hAnsi="Palatino Linotype" w:cs="Arial"/>
        </w:rPr>
        <w:t xml:space="preserve">de la Ley de </w:t>
      </w:r>
      <w:r w:rsidRPr="00937642">
        <w:rPr>
          <w:rFonts w:ascii="Palatino Linotype" w:hAnsi="Palatino Linotype" w:cs="Arial"/>
        </w:rPr>
        <w:lastRenderedPageBreak/>
        <w:t>Transparencia y Acceso a la Información Pública del Estado de México y Municipios</w:t>
      </w:r>
      <w:r w:rsidRPr="00937642">
        <w:rPr>
          <w:rFonts w:ascii="Palatino Linotype" w:hAnsi="Palatino Linotype"/>
        </w:rPr>
        <w:t>,</w:t>
      </w:r>
      <w:r w:rsidRPr="00937642">
        <w:rPr>
          <w:rFonts w:ascii="Palatino Linotype" w:hAnsi="Palatino Linotype" w:cs="Arial"/>
        </w:rPr>
        <w:t xml:space="preserve"> en </w:t>
      </w:r>
      <w:r w:rsidRPr="00937642">
        <w:rPr>
          <w:rFonts w:ascii="Palatino Linotype" w:hAnsi="Palatino Linotype"/>
          <w:lang w:eastAsia="es-ES_tradnl"/>
        </w:rPr>
        <w:t>términos</w:t>
      </w:r>
      <w:r w:rsidRPr="00937642">
        <w:rPr>
          <w:rFonts w:ascii="Palatino Linotype" w:hAnsi="Palatino Linotype" w:cs="Arial"/>
        </w:rPr>
        <w:t xml:space="preserve"> del Considerando</w:t>
      </w:r>
      <w:r w:rsidRPr="00937642">
        <w:rPr>
          <w:rFonts w:ascii="Palatino Linotype" w:hAnsi="Palatino Linotype" w:cs="Arial"/>
          <w:b/>
        </w:rPr>
        <w:t xml:space="preserve"> QUINTO </w:t>
      </w:r>
      <w:r w:rsidRPr="00937642">
        <w:rPr>
          <w:rFonts w:ascii="Palatino Linotype" w:hAnsi="Palatino Linotype" w:cs="Arial"/>
        </w:rPr>
        <w:t>de la presente resolución.</w:t>
      </w:r>
    </w:p>
    <w:p w14:paraId="18CADD51" w14:textId="77777777" w:rsidR="000254AE" w:rsidRPr="00937642" w:rsidRDefault="000254AE" w:rsidP="00937642">
      <w:pPr>
        <w:widowControl w:val="0"/>
        <w:tabs>
          <w:tab w:val="left" w:pos="1701"/>
        </w:tabs>
        <w:autoSpaceDE w:val="0"/>
        <w:autoSpaceDN w:val="0"/>
        <w:adjustRightInd w:val="0"/>
        <w:spacing w:line="360" w:lineRule="auto"/>
        <w:jc w:val="both"/>
        <w:rPr>
          <w:rFonts w:ascii="Palatino Linotype" w:hAnsi="Palatino Linotype" w:cs="Arial"/>
        </w:rPr>
      </w:pPr>
    </w:p>
    <w:p w14:paraId="39991E07" w14:textId="77777777" w:rsidR="000254AE" w:rsidRPr="00937642" w:rsidRDefault="000254AE" w:rsidP="00937642">
      <w:pPr>
        <w:widowControl w:val="0"/>
        <w:tabs>
          <w:tab w:val="left" w:pos="1701"/>
        </w:tabs>
        <w:autoSpaceDE w:val="0"/>
        <w:autoSpaceDN w:val="0"/>
        <w:adjustRightInd w:val="0"/>
        <w:spacing w:line="360" w:lineRule="auto"/>
        <w:jc w:val="both"/>
        <w:rPr>
          <w:rFonts w:ascii="Palatino Linotype" w:hAnsi="Palatino Linotype" w:cs="Arial"/>
          <w:shd w:val="clear" w:color="auto" w:fill="FFFFFF"/>
        </w:rPr>
      </w:pPr>
      <w:r w:rsidRPr="00937642">
        <w:rPr>
          <w:rFonts w:ascii="Palatino Linotype" w:hAnsi="Palatino Linotype" w:cs="Arial"/>
          <w:b/>
          <w:sz w:val="28"/>
        </w:rPr>
        <w:t>SEGUNDO</w:t>
      </w:r>
      <w:r w:rsidRPr="00937642">
        <w:rPr>
          <w:rFonts w:ascii="Palatino Linotype" w:hAnsi="Palatino Linotype" w:cs="Arial"/>
          <w:b/>
          <w:shd w:val="clear" w:color="auto" w:fill="FFFFFF"/>
        </w:rPr>
        <w:t xml:space="preserve">. Notifíquese </w:t>
      </w:r>
      <w:r w:rsidRPr="00937642">
        <w:rPr>
          <w:rFonts w:ascii="Palatino Linotype" w:hAnsi="Palatino Linotype" w:cs="Arial"/>
          <w:shd w:val="clear" w:color="auto" w:fill="FFFFFF"/>
        </w:rPr>
        <w:t xml:space="preserve">a la </w:t>
      </w:r>
      <w:r w:rsidRPr="00937642">
        <w:rPr>
          <w:rFonts w:ascii="Palatino Linotype" w:hAnsi="Palatino Linotype"/>
          <w:lang w:eastAsia="es-ES_tradnl"/>
        </w:rPr>
        <w:t>Titular</w:t>
      </w:r>
      <w:r w:rsidRPr="00937642">
        <w:rPr>
          <w:rFonts w:ascii="Palatino Linotype" w:hAnsi="Palatino Linotype" w:cs="Arial"/>
          <w:shd w:val="clear" w:color="auto" w:fill="FFFFFF"/>
        </w:rPr>
        <w:t xml:space="preserve"> de la Unidad de Transparencia del </w:t>
      </w:r>
      <w:r w:rsidRPr="00937642">
        <w:rPr>
          <w:rFonts w:ascii="Palatino Linotype" w:hAnsi="Palatino Linotype" w:cs="Arial"/>
          <w:b/>
          <w:shd w:val="clear" w:color="auto" w:fill="FFFFFF"/>
        </w:rPr>
        <w:t>SUJETO OBLIGADO</w:t>
      </w:r>
      <w:r w:rsidRPr="00937642">
        <w:rPr>
          <w:rFonts w:ascii="Palatino Linotype" w:hAnsi="Palatino Linotype" w:cs="Arial"/>
          <w:shd w:val="clear" w:color="auto" w:fill="FFFFFF"/>
        </w:rPr>
        <w:t xml:space="preserve"> para su conocimiento. </w:t>
      </w:r>
    </w:p>
    <w:p w14:paraId="4221D5D3" w14:textId="77777777" w:rsidR="000254AE" w:rsidRPr="00937642" w:rsidRDefault="000254AE" w:rsidP="00937642">
      <w:pPr>
        <w:widowControl w:val="0"/>
        <w:tabs>
          <w:tab w:val="left" w:pos="1701"/>
        </w:tabs>
        <w:autoSpaceDE w:val="0"/>
        <w:autoSpaceDN w:val="0"/>
        <w:adjustRightInd w:val="0"/>
        <w:spacing w:line="360" w:lineRule="auto"/>
        <w:jc w:val="both"/>
        <w:rPr>
          <w:rFonts w:ascii="Palatino Linotype" w:hAnsi="Palatino Linotype" w:cs="Arial"/>
          <w:shd w:val="clear" w:color="auto" w:fill="FFFFFF"/>
        </w:rPr>
      </w:pPr>
    </w:p>
    <w:p w14:paraId="2714CCFB" w14:textId="77777777" w:rsidR="000254AE" w:rsidRPr="00937642" w:rsidRDefault="000254AE" w:rsidP="00937642">
      <w:pPr>
        <w:widowControl w:val="0"/>
        <w:tabs>
          <w:tab w:val="left" w:pos="1701"/>
        </w:tabs>
        <w:autoSpaceDE w:val="0"/>
        <w:autoSpaceDN w:val="0"/>
        <w:adjustRightInd w:val="0"/>
        <w:spacing w:line="360" w:lineRule="auto"/>
        <w:jc w:val="both"/>
        <w:rPr>
          <w:rFonts w:ascii="Palatino Linotype" w:eastAsiaTheme="minorEastAsia" w:hAnsi="Palatino Linotype"/>
          <w:b/>
          <w:lang w:eastAsia="es-ES_tradnl"/>
        </w:rPr>
      </w:pPr>
      <w:r w:rsidRPr="00937642">
        <w:rPr>
          <w:rFonts w:ascii="Palatino Linotype" w:hAnsi="Palatino Linotype" w:cs="Arial"/>
          <w:b/>
          <w:sz w:val="28"/>
        </w:rPr>
        <w:t>TERCERO</w:t>
      </w:r>
      <w:r w:rsidRPr="00937642">
        <w:rPr>
          <w:rFonts w:ascii="Palatino Linotype" w:eastAsiaTheme="minorEastAsia" w:hAnsi="Palatino Linotype"/>
          <w:lang w:eastAsia="es-ES_tradnl"/>
        </w:rPr>
        <w:t xml:space="preserve">. </w:t>
      </w:r>
      <w:r w:rsidRPr="00937642">
        <w:rPr>
          <w:rFonts w:ascii="Palatino Linotype" w:eastAsiaTheme="minorEastAsia" w:hAnsi="Palatino Linotype"/>
          <w:b/>
          <w:lang w:eastAsia="es-ES_tradnl"/>
        </w:rPr>
        <w:t>Notifíquese</w:t>
      </w:r>
      <w:r w:rsidRPr="00937642">
        <w:rPr>
          <w:rFonts w:ascii="Palatino Linotype" w:eastAsiaTheme="minorEastAsia" w:hAnsi="Palatino Linotype"/>
          <w:lang w:eastAsia="es-ES_tradnl"/>
        </w:rPr>
        <w:t xml:space="preserve"> a la </w:t>
      </w:r>
      <w:r w:rsidRPr="00937642">
        <w:rPr>
          <w:rFonts w:ascii="Palatino Linotype" w:hAnsi="Palatino Linotype"/>
          <w:b/>
        </w:rPr>
        <w:t>RECURRENTE</w:t>
      </w:r>
      <w:r w:rsidRPr="00937642">
        <w:rPr>
          <w:rFonts w:ascii="Palatino Linotype" w:eastAsiaTheme="minorEastAsia" w:hAnsi="Palatino Linotype"/>
          <w:lang w:eastAsia="es-ES_tradnl"/>
        </w:rPr>
        <w:t xml:space="preserve"> la </w:t>
      </w:r>
      <w:r w:rsidRPr="00937642">
        <w:rPr>
          <w:rFonts w:ascii="Palatino Linotype" w:hAnsi="Palatino Linotype"/>
          <w:lang w:eastAsia="es-ES_tradnl"/>
        </w:rPr>
        <w:t>presente</w:t>
      </w:r>
      <w:r w:rsidRPr="00937642">
        <w:rPr>
          <w:rFonts w:ascii="Palatino Linotype" w:eastAsiaTheme="minorEastAsia" w:hAnsi="Palatino Linotype"/>
          <w:lang w:eastAsia="es-ES_tradnl"/>
        </w:rPr>
        <w:t xml:space="preserve"> resolución vía Sistema de Acceso a la Información Mexiquense </w:t>
      </w:r>
      <w:r w:rsidRPr="00937642">
        <w:rPr>
          <w:rFonts w:ascii="Palatino Linotype" w:eastAsiaTheme="minorEastAsia" w:hAnsi="Palatino Linotype"/>
          <w:b/>
          <w:lang w:eastAsia="es-ES_tradnl"/>
        </w:rPr>
        <w:t xml:space="preserve">SAIMEX </w:t>
      </w:r>
      <w:r w:rsidRPr="00937642">
        <w:rPr>
          <w:rFonts w:ascii="Palatino Linotype" w:eastAsiaTheme="minorEastAsia" w:hAnsi="Palatino Linotype"/>
          <w:lang w:eastAsia="es-ES_tradnl"/>
        </w:rPr>
        <w:t xml:space="preserve">y hágase de su conocimiento que de </w:t>
      </w:r>
      <w:r w:rsidRPr="00937642">
        <w:rPr>
          <w:rFonts w:ascii="Palatino Linotype" w:hAnsi="Palatino Linotype"/>
          <w:lang w:eastAsia="es-ES_tradnl"/>
        </w:rPr>
        <w:t>conformidad</w:t>
      </w:r>
      <w:r w:rsidRPr="00937642">
        <w:rPr>
          <w:rFonts w:ascii="Palatino Linotype" w:eastAsiaTheme="minorEastAsia" w:hAnsi="Palatino Linotype"/>
          <w:lang w:eastAsia="es-ES_tradnl"/>
        </w:rPr>
        <w:t xml:space="preserve"> con lo establecido en el artículo 196 de la Ley de Transparencia y Acceso a la Información Pública del Estado de México y Municipios, podrá impugnarla vía Juicio de Amparo en los términos de las leyes aplicables.</w:t>
      </w:r>
    </w:p>
    <w:p w14:paraId="64087E0A" w14:textId="77777777" w:rsidR="00586F2F" w:rsidRPr="00937642" w:rsidRDefault="00586F2F" w:rsidP="00937642">
      <w:pPr>
        <w:spacing w:line="360" w:lineRule="auto"/>
        <w:ind w:right="49"/>
        <w:jc w:val="both"/>
        <w:rPr>
          <w:rFonts w:ascii="Palatino Linotype" w:eastAsia="Palatino Linotype" w:hAnsi="Palatino Linotype" w:cs="Palatino Linotype"/>
        </w:rPr>
      </w:pPr>
    </w:p>
    <w:p w14:paraId="34D84310" w14:textId="77777777" w:rsidR="00586F2F" w:rsidRPr="00937642" w:rsidRDefault="00DA7C20" w:rsidP="00937642">
      <w:pPr>
        <w:widowControl w:val="0"/>
        <w:spacing w:line="360" w:lineRule="auto"/>
        <w:jc w:val="both"/>
        <w:rPr>
          <w:rFonts w:ascii="Palatino Linotype" w:eastAsia="Palatino Linotype" w:hAnsi="Palatino Linotype" w:cs="Palatino Linotype"/>
        </w:rPr>
      </w:pPr>
      <w:r w:rsidRPr="0093764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B116A" w:rsidRPr="00937642">
        <w:rPr>
          <w:rFonts w:ascii="Palatino Linotype" w:eastAsia="Palatino Linotype" w:hAnsi="Palatino Linotype" w:cs="Palatino Linotype"/>
        </w:rPr>
        <w:t>NOVENA</w:t>
      </w:r>
      <w:r w:rsidRPr="00937642">
        <w:rPr>
          <w:rFonts w:ascii="Palatino Linotype" w:eastAsia="Palatino Linotype" w:hAnsi="Palatino Linotype" w:cs="Palatino Linotype"/>
        </w:rPr>
        <w:t xml:space="preserve"> SESIÓN ORDINARIA CELEBRADA EL </w:t>
      </w:r>
      <w:r w:rsidR="00CB116A" w:rsidRPr="00937642">
        <w:rPr>
          <w:rFonts w:ascii="Palatino Linotype" w:eastAsia="Palatino Linotype" w:hAnsi="Palatino Linotype" w:cs="Palatino Linotype"/>
        </w:rPr>
        <w:t>TRECE</w:t>
      </w:r>
      <w:r w:rsidRPr="00937642">
        <w:rPr>
          <w:rFonts w:ascii="Palatino Linotype" w:eastAsia="Palatino Linotype" w:hAnsi="Palatino Linotype" w:cs="Palatino Linotype"/>
        </w:rPr>
        <w:t xml:space="preserve"> DE </w:t>
      </w:r>
      <w:r w:rsidR="00CB116A" w:rsidRPr="00937642">
        <w:rPr>
          <w:rFonts w:ascii="Palatino Linotype" w:eastAsia="Palatino Linotype" w:hAnsi="Palatino Linotype" w:cs="Palatino Linotype"/>
        </w:rPr>
        <w:t>MARZO</w:t>
      </w:r>
      <w:r w:rsidRPr="00937642">
        <w:rPr>
          <w:rFonts w:ascii="Palatino Linotype" w:eastAsia="Palatino Linotype" w:hAnsi="Palatino Linotype" w:cs="Palatino Linotype"/>
        </w:rPr>
        <w:t xml:space="preserve"> DE DOS MIL VEINTICUATRO, ANTE EL SECRETARIO TÉCNICO DEL PLENO, ALEXIS TAPIA RAMÍREZ.</w:t>
      </w:r>
    </w:p>
    <w:p w14:paraId="67919932" w14:textId="77777777" w:rsidR="00586F2F" w:rsidRPr="00937642" w:rsidRDefault="00DA7C20" w:rsidP="00937642">
      <w:pPr>
        <w:tabs>
          <w:tab w:val="left" w:pos="2325"/>
        </w:tabs>
        <w:spacing w:line="360" w:lineRule="auto"/>
        <w:jc w:val="both"/>
        <w:rPr>
          <w:rFonts w:ascii="Palatino Linotype" w:eastAsia="Palatino Linotype" w:hAnsi="Palatino Linotype" w:cs="Palatino Linotype"/>
          <w:sz w:val="16"/>
        </w:rPr>
      </w:pPr>
      <w:r w:rsidRPr="00937642">
        <w:rPr>
          <w:rFonts w:ascii="Palatino Linotype" w:eastAsia="Palatino Linotype" w:hAnsi="Palatino Linotype" w:cs="Palatino Linotype"/>
          <w:sz w:val="16"/>
        </w:rPr>
        <w:t>SCMM/AGZ/DEMF/DLM</w:t>
      </w:r>
    </w:p>
    <w:p w14:paraId="57AF11F1" w14:textId="77777777" w:rsidR="00586F2F" w:rsidRPr="00937642" w:rsidRDefault="00586F2F" w:rsidP="00937642">
      <w:pPr>
        <w:spacing w:line="360" w:lineRule="auto"/>
        <w:rPr>
          <w:rFonts w:ascii="Palatino Linotype" w:eastAsia="Palatino Linotype" w:hAnsi="Palatino Linotype" w:cs="Palatino Linotype"/>
          <w:b/>
        </w:rPr>
      </w:pPr>
    </w:p>
    <w:p w14:paraId="72503146" w14:textId="77777777" w:rsidR="00586F2F" w:rsidRPr="00937642" w:rsidRDefault="00586F2F" w:rsidP="00937642">
      <w:pPr>
        <w:spacing w:line="360" w:lineRule="auto"/>
        <w:rPr>
          <w:rFonts w:ascii="Palatino Linotype" w:eastAsia="Palatino Linotype" w:hAnsi="Palatino Linotype" w:cs="Palatino Linotype"/>
          <w:b/>
        </w:rPr>
      </w:pPr>
    </w:p>
    <w:p w14:paraId="097F4BC2" w14:textId="77777777" w:rsidR="00586F2F" w:rsidRPr="00937642" w:rsidRDefault="00586F2F" w:rsidP="00937642">
      <w:pPr>
        <w:spacing w:line="360" w:lineRule="auto"/>
        <w:rPr>
          <w:rFonts w:ascii="Palatino Linotype" w:eastAsia="Palatino Linotype" w:hAnsi="Palatino Linotype" w:cs="Palatino Linotype"/>
          <w:b/>
        </w:rPr>
      </w:pPr>
    </w:p>
    <w:p w14:paraId="738A18BB" w14:textId="77777777" w:rsidR="00586F2F" w:rsidRPr="00937642" w:rsidRDefault="00586F2F" w:rsidP="00937642">
      <w:pPr>
        <w:spacing w:line="360" w:lineRule="auto"/>
        <w:rPr>
          <w:rFonts w:ascii="Palatino Linotype" w:eastAsia="Palatino Linotype" w:hAnsi="Palatino Linotype" w:cs="Palatino Linotype"/>
          <w:b/>
        </w:rPr>
      </w:pPr>
    </w:p>
    <w:p w14:paraId="13E3B42C" w14:textId="77777777" w:rsidR="00586F2F" w:rsidRPr="00937642" w:rsidRDefault="00586F2F" w:rsidP="00937642">
      <w:pPr>
        <w:spacing w:line="360" w:lineRule="auto"/>
        <w:rPr>
          <w:rFonts w:ascii="Palatino Linotype" w:eastAsia="Palatino Linotype" w:hAnsi="Palatino Linotype" w:cs="Palatino Linotype"/>
          <w:b/>
        </w:rPr>
      </w:pPr>
    </w:p>
    <w:p w14:paraId="2183C7BD" w14:textId="77777777" w:rsidR="00586F2F" w:rsidRPr="00937642" w:rsidRDefault="00586F2F" w:rsidP="00937642">
      <w:pPr>
        <w:spacing w:line="360" w:lineRule="auto"/>
        <w:rPr>
          <w:rFonts w:ascii="Palatino Linotype" w:eastAsia="Palatino Linotype" w:hAnsi="Palatino Linotype" w:cs="Palatino Linotype"/>
          <w:b/>
        </w:rPr>
      </w:pPr>
    </w:p>
    <w:p w14:paraId="579269A3" w14:textId="77777777" w:rsidR="00586F2F" w:rsidRPr="00937642" w:rsidRDefault="00586F2F" w:rsidP="00937642">
      <w:pPr>
        <w:spacing w:line="360" w:lineRule="auto"/>
        <w:rPr>
          <w:rFonts w:ascii="Palatino Linotype" w:eastAsia="Palatino Linotype" w:hAnsi="Palatino Linotype" w:cs="Palatino Linotype"/>
          <w:b/>
        </w:rPr>
      </w:pPr>
    </w:p>
    <w:p w14:paraId="26EB7319" w14:textId="77777777" w:rsidR="00586F2F" w:rsidRPr="00937642" w:rsidRDefault="00586F2F" w:rsidP="00937642">
      <w:pPr>
        <w:spacing w:line="360" w:lineRule="auto"/>
        <w:rPr>
          <w:rFonts w:ascii="Palatino Linotype" w:eastAsia="Palatino Linotype" w:hAnsi="Palatino Linotype" w:cs="Palatino Linotype"/>
          <w:b/>
        </w:rPr>
      </w:pPr>
    </w:p>
    <w:p w14:paraId="31AB5A9A" w14:textId="77777777" w:rsidR="00586F2F" w:rsidRPr="00937642" w:rsidRDefault="00586F2F" w:rsidP="00937642">
      <w:pPr>
        <w:spacing w:line="360" w:lineRule="auto"/>
        <w:rPr>
          <w:rFonts w:ascii="Palatino Linotype" w:eastAsia="Palatino Linotype" w:hAnsi="Palatino Linotype" w:cs="Palatino Linotype"/>
          <w:b/>
        </w:rPr>
      </w:pPr>
    </w:p>
    <w:p w14:paraId="15BF9B97" w14:textId="77777777" w:rsidR="00586F2F" w:rsidRPr="00937642" w:rsidRDefault="00586F2F" w:rsidP="00937642">
      <w:pPr>
        <w:spacing w:line="360" w:lineRule="auto"/>
        <w:rPr>
          <w:rFonts w:ascii="Palatino Linotype" w:eastAsia="Palatino Linotype" w:hAnsi="Palatino Linotype" w:cs="Palatino Linotype"/>
          <w:b/>
        </w:rPr>
      </w:pPr>
    </w:p>
    <w:p w14:paraId="72C0BAEE" w14:textId="77777777" w:rsidR="00586F2F" w:rsidRPr="00937642" w:rsidRDefault="00586F2F" w:rsidP="00937642">
      <w:pPr>
        <w:spacing w:line="360" w:lineRule="auto"/>
        <w:rPr>
          <w:rFonts w:ascii="Palatino Linotype" w:eastAsia="Palatino Linotype" w:hAnsi="Palatino Linotype" w:cs="Palatino Linotype"/>
          <w:b/>
        </w:rPr>
      </w:pPr>
    </w:p>
    <w:p w14:paraId="66D03CD0" w14:textId="77777777" w:rsidR="00586F2F" w:rsidRPr="00937642" w:rsidRDefault="00586F2F" w:rsidP="00937642">
      <w:pPr>
        <w:spacing w:line="360" w:lineRule="auto"/>
        <w:rPr>
          <w:rFonts w:ascii="Palatino Linotype" w:eastAsia="Palatino Linotype" w:hAnsi="Palatino Linotype" w:cs="Palatino Linotype"/>
          <w:b/>
        </w:rPr>
      </w:pPr>
    </w:p>
    <w:p w14:paraId="5DB9D73F" w14:textId="77777777" w:rsidR="00586F2F" w:rsidRPr="00937642" w:rsidRDefault="00586F2F" w:rsidP="00937642">
      <w:pPr>
        <w:spacing w:line="360" w:lineRule="auto"/>
        <w:rPr>
          <w:rFonts w:ascii="Palatino Linotype" w:eastAsia="Palatino Linotype" w:hAnsi="Palatino Linotype" w:cs="Palatino Linotype"/>
          <w:b/>
        </w:rPr>
      </w:pPr>
    </w:p>
    <w:p w14:paraId="3D836401" w14:textId="77777777" w:rsidR="00586F2F" w:rsidRPr="00937642" w:rsidRDefault="00586F2F" w:rsidP="00937642">
      <w:pPr>
        <w:spacing w:line="360" w:lineRule="auto"/>
        <w:rPr>
          <w:rFonts w:ascii="Palatino Linotype" w:eastAsia="Palatino Linotype" w:hAnsi="Palatino Linotype" w:cs="Palatino Linotype"/>
          <w:b/>
        </w:rPr>
      </w:pPr>
    </w:p>
    <w:p w14:paraId="74A04537" w14:textId="77777777" w:rsidR="00586F2F" w:rsidRPr="00937642" w:rsidRDefault="00586F2F" w:rsidP="00937642">
      <w:pPr>
        <w:spacing w:line="360" w:lineRule="auto"/>
        <w:rPr>
          <w:rFonts w:ascii="Palatino Linotype" w:eastAsia="Palatino Linotype" w:hAnsi="Palatino Linotype" w:cs="Palatino Linotype"/>
          <w:b/>
        </w:rPr>
      </w:pPr>
    </w:p>
    <w:p w14:paraId="438C3A6E" w14:textId="77777777" w:rsidR="00586F2F" w:rsidRPr="00937642" w:rsidRDefault="00586F2F" w:rsidP="00937642">
      <w:pPr>
        <w:spacing w:line="360" w:lineRule="auto"/>
        <w:rPr>
          <w:rFonts w:ascii="Palatino Linotype" w:eastAsia="Palatino Linotype" w:hAnsi="Palatino Linotype" w:cs="Palatino Linotype"/>
          <w:b/>
        </w:rPr>
      </w:pPr>
    </w:p>
    <w:sectPr w:rsidR="00586F2F" w:rsidRPr="00937642">
      <w:headerReference w:type="even" r:id="rId20"/>
      <w:headerReference w:type="default" r:id="rId21"/>
      <w:footerReference w:type="default" r:id="rId22"/>
      <w:headerReference w:type="first" r:id="rId23"/>
      <w:footerReference w:type="first" r:id="rId24"/>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DF4FC" w14:textId="77777777" w:rsidR="004D01D1" w:rsidRDefault="004D01D1">
      <w:r>
        <w:separator/>
      </w:r>
    </w:p>
  </w:endnote>
  <w:endnote w:type="continuationSeparator" w:id="0">
    <w:p w14:paraId="03795F7C" w14:textId="77777777" w:rsidR="004D01D1" w:rsidRDefault="004D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27F5F" w14:textId="77777777" w:rsidR="00DA7C20" w:rsidRDefault="00DA7C2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C5EB2">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C5EB2">
      <w:rPr>
        <w:rFonts w:ascii="Palatino Linotype" w:eastAsia="Palatino Linotype" w:hAnsi="Palatino Linotype" w:cs="Palatino Linotype"/>
        <w:noProof/>
        <w:color w:val="000000"/>
        <w:sz w:val="22"/>
        <w:szCs w:val="22"/>
      </w:rPr>
      <w:t>27</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63B85" w14:textId="77777777" w:rsidR="00DA7C20" w:rsidRDefault="00DA7C2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C5EB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C5EB2">
      <w:rPr>
        <w:rFonts w:ascii="Palatino Linotype" w:eastAsia="Palatino Linotype" w:hAnsi="Palatino Linotype" w:cs="Palatino Linotype"/>
        <w:noProof/>
        <w:color w:val="000000"/>
        <w:sz w:val="22"/>
        <w:szCs w:val="22"/>
      </w:rPr>
      <w:t>27</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C3E91" w14:textId="77777777" w:rsidR="004D01D1" w:rsidRDefault="004D01D1">
      <w:r>
        <w:separator/>
      </w:r>
    </w:p>
  </w:footnote>
  <w:footnote w:type="continuationSeparator" w:id="0">
    <w:p w14:paraId="58FA3EAD" w14:textId="77777777" w:rsidR="004D01D1" w:rsidRDefault="004D01D1">
      <w:r>
        <w:continuationSeparator/>
      </w:r>
    </w:p>
  </w:footnote>
  <w:footnote w:id="1">
    <w:p w14:paraId="14690BAB" w14:textId="77777777" w:rsidR="00DA7C20" w:rsidRPr="00AE1408" w:rsidRDefault="00DA7C20">
      <w:pPr>
        <w:pBdr>
          <w:top w:val="nil"/>
          <w:left w:val="nil"/>
          <w:bottom w:val="nil"/>
          <w:right w:val="nil"/>
          <w:between w:val="nil"/>
        </w:pBdr>
        <w:jc w:val="both"/>
        <w:rPr>
          <w:rFonts w:ascii="Palatino Linotype" w:eastAsia="Cambria" w:hAnsi="Palatino Linotype" w:cs="Cambria"/>
          <w:i/>
          <w:color w:val="000000"/>
          <w:sz w:val="20"/>
          <w:szCs w:val="20"/>
        </w:rPr>
      </w:pPr>
      <w:r w:rsidRPr="00AE1408">
        <w:rPr>
          <w:rFonts w:ascii="Palatino Linotype" w:hAnsi="Palatino Linotype"/>
          <w:i/>
          <w:sz w:val="20"/>
          <w:szCs w:val="20"/>
          <w:vertAlign w:val="superscript"/>
        </w:rPr>
        <w:footnoteRef/>
      </w:r>
      <w:r w:rsidRPr="00AE1408">
        <w:rPr>
          <w:rFonts w:ascii="Palatino Linotype" w:eastAsia="Calibri" w:hAnsi="Palatino Linotype" w:cs="Calibri"/>
          <w:i/>
          <w:color w:val="000000"/>
          <w:sz w:val="20"/>
          <w:szCs w:val="20"/>
        </w:rPr>
        <w:t xml:space="preserve"> </w:t>
      </w:r>
      <w:r w:rsidR="00AE1408">
        <w:rPr>
          <w:rFonts w:ascii="Palatino Linotype" w:eastAsia="Calibri" w:hAnsi="Palatino Linotype" w:cs="Calibri"/>
          <w:i/>
          <w:color w:val="000000"/>
          <w:sz w:val="20"/>
          <w:szCs w:val="20"/>
        </w:rPr>
        <w:t>“</w:t>
      </w:r>
      <w:r w:rsidRPr="00AE1408">
        <w:rPr>
          <w:rFonts w:ascii="Palatino Linotype" w:eastAsia="Calibri" w:hAnsi="Palatino Linotype" w:cs="Calibri"/>
          <w:i/>
          <w:color w:val="000000"/>
          <w:sz w:val="20"/>
          <w:szCs w:val="20"/>
        </w:rPr>
        <w:t>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9E132" w14:textId="77777777" w:rsidR="00DA7C20" w:rsidRDefault="004D01D1">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B099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A6013" w14:textId="77777777" w:rsidR="00DA7C20" w:rsidRDefault="004D01D1">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3A3A3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DA7C20" w14:paraId="0AFF93E1" w14:textId="77777777">
      <w:tc>
        <w:tcPr>
          <w:tcW w:w="3261" w:type="dxa"/>
          <w:vMerge w:val="restart"/>
        </w:tcPr>
        <w:p w14:paraId="04B49C90" w14:textId="77777777" w:rsidR="00DA7C20" w:rsidRDefault="00DA7C2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67B39228" wp14:editId="6EFAFCAB">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FE6E3C2" w14:textId="77777777" w:rsidR="00DA7C20" w:rsidRDefault="00DA7C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7BC39BA" w14:textId="77777777" w:rsidR="00DA7C20" w:rsidRDefault="00AC0C6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00202</w:t>
          </w:r>
          <w:r w:rsidR="00C451D4">
            <w:rPr>
              <w:rFonts w:ascii="Palatino Linotype" w:eastAsia="Palatino Linotype" w:hAnsi="Palatino Linotype" w:cs="Palatino Linotype"/>
              <w:b/>
            </w:rPr>
            <w:t>/INFOEM/IP/RR/2024</w:t>
          </w:r>
        </w:p>
      </w:tc>
    </w:tr>
    <w:tr w:rsidR="00DA7C20" w14:paraId="2F5AA61F" w14:textId="77777777">
      <w:tc>
        <w:tcPr>
          <w:tcW w:w="3261" w:type="dxa"/>
          <w:vMerge/>
        </w:tcPr>
        <w:p w14:paraId="09D8C33B" w14:textId="77777777" w:rsidR="00DA7C20" w:rsidRDefault="00DA7C2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BC67384" w14:textId="77777777" w:rsidR="00DA7C20" w:rsidRDefault="00DA7C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674A7AEC" w14:textId="77777777" w:rsidR="00DA7C20" w:rsidRDefault="00AC0C65" w:rsidP="00C451D4">
          <w:pPr>
            <w:jc w:val="both"/>
            <w:rPr>
              <w:rFonts w:ascii="Palatino Linotype" w:eastAsia="Palatino Linotype" w:hAnsi="Palatino Linotype" w:cs="Palatino Linotype"/>
              <w:b/>
              <w:sz w:val="22"/>
              <w:szCs w:val="22"/>
            </w:rPr>
          </w:pPr>
          <w:r w:rsidRPr="00AC0C65">
            <w:rPr>
              <w:rFonts w:ascii="Palatino Linotype" w:eastAsia="Palatino Linotype" w:hAnsi="Palatino Linotype" w:cs="Palatino Linotype"/>
              <w:b/>
              <w:sz w:val="22"/>
              <w:szCs w:val="22"/>
            </w:rPr>
            <w:t>Fiscalía General de Justicia del Estado de México</w:t>
          </w:r>
        </w:p>
      </w:tc>
    </w:tr>
    <w:tr w:rsidR="00DA7C20" w14:paraId="57D94C5F" w14:textId="77777777">
      <w:trPr>
        <w:trHeight w:val="228"/>
      </w:trPr>
      <w:tc>
        <w:tcPr>
          <w:tcW w:w="3261" w:type="dxa"/>
          <w:vMerge/>
        </w:tcPr>
        <w:p w14:paraId="43A3CCCD" w14:textId="77777777" w:rsidR="00DA7C20" w:rsidRDefault="00DA7C2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DF4B0A2" w14:textId="77777777" w:rsidR="00DA7C20" w:rsidRDefault="00DA7C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2F2920BA" w14:textId="77777777" w:rsidR="00DA7C20" w:rsidRDefault="00DA7C2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653B952" w14:textId="77777777" w:rsidR="00DA7C20" w:rsidRDefault="00DA7C2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95D7F" w14:textId="77777777" w:rsidR="00DA7C20" w:rsidRDefault="004D01D1">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DBC1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DA7C20" w14:paraId="08335A3A" w14:textId="77777777">
      <w:tc>
        <w:tcPr>
          <w:tcW w:w="4253" w:type="dxa"/>
          <w:vMerge w:val="restart"/>
          <w:shd w:val="clear" w:color="auto" w:fill="auto"/>
        </w:tcPr>
        <w:p w14:paraId="502478A0" w14:textId="77777777" w:rsidR="00DA7C20" w:rsidRDefault="00DA7C20">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45C9C2A" wp14:editId="0FDFB680">
                <wp:extent cx="1692162" cy="85267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2346167" w14:textId="77777777" w:rsidR="00DA7C20" w:rsidRDefault="00DA7C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4E8966A3" w14:textId="77777777" w:rsidR="00DA7C20" w:rsidRDefault="007008E8" w:rsidP="00C451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00202</w:t>
          </w:r>
          <w:r w:rsidR="00C451D4">
            <w:rPr>
              <w:rFonts w:ascii="Palatino Linotype" w:eastAsia="Palatino Linotype" w:hAnsi="Palatino Linotype" w:cs="Palatino Linotype"/>
              <w:b/>
              <w:sz w:val="22"/>
              <w:szCs w:val="22"/>
            </w:rPr>
            <w:t>/INFOEM/IP/RR/2024</w:t>
          </w:r>
        </w:p>
      </w:tc>
    </w:tr>
    <w:tr w:rsidR="00DA7C20" w14:paraId="3B8F6D97" w14:textId="77777777">
      <w:tc>
        <w:tcPr>
          <w:tcW w:w="4253" w:type="dxa"/>
          <w:vMerge/>
          <w:shd w:val="clear" w:color="auto" w:fill="auto"/>
        </w:tcPr>
        <w:p w14:paraId="351922D6" w14:textId="77777777" w:rsidR="00DA7C20" w:rsidRDefault="00DA7C2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05A3553" w14:textId="77777777" w:rsidR="00DA7C20" w:rsidRDefault="00DA7C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3FBC72DD" w14:textId="34A21D3E" w:rsidR="00DA7C20" w:rsidRDefault="00CC5EB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DA7C20" w14:paraId="3AFF0248" w14:textId="77777777">
      <w:trPr>
        <w:trHeight w:val="228"/>
      </w:trPr>
      <w:tc>
        <w:tcPr>
          <w:tcW w:w="4253" w:type="dxa"/>
          <w:vMerge/>
          <w:shd w:val="clear" w:color="auto" w:fill="auto"/>
        </w:tcPr>
        <w:p w14:paraId="086C0384" w14:textId="77777777" w:rsidR="00DA7C20" w:rsidRDefault="00DA7C2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2CF8145" w14:textId="77777777" w:rsidR="00DA7C20" w:rsidRDefault="00DA7C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5D9F153F" w14:textId="77777777" w:rsidR="00DA7C20" w:rsidRDefault="007008E8" w:rsidP="00C451D4">
          <w:pPr>
            <w:jc w:val="both"/>
          </w:pPr>
          <w:r w:rsidRPr="007008E8">
            <w:rPr>
              <w:rFonts w:ascii="Palatino Linotype" w:eastAsia="Palatino Linotype" w:hAnsi="Palatino Linotype" w:cs="Palatino Linotype"/>
              <w:b/>
              <w:sz w:val="22"/>
              <w:szCs w:val="22"/>
            </w:rPr>
            <w:t>Fiscalía General de Justicia del Estado de México</w:t>
          </w:r>
        </w:p>
      </w:tc>
    </w:tr>
    <w:tr w:rsidR="00DA7C20" w14:paraId="6AA7D19D" w14:textId="77777777">
      <w:tc>
        <w:tcPr>
          <w:tcW w:w="4253" w:type="dxa"/>
          <w:vMerge/>
          <w:shd w:val="clear" w:color="auto" w:fill="auto"/>
        </w:tcPr>
        <w:p w14:paraId="64074950" w14:textId="77777777" w:rsidR="00DA7C20" w:rsidRDefault="00DA7C20">
          <w:pPr>
            <w:widowControl w:val="0"/>
            <w:pBdr>
              <w:top w:val="nil"/>
              <w:left w:val="nil"/>
              <w:bottom w:val="nil"/>
              <w:right w:val="nil"/>
              <w:between w:val="nil"/>
            </w:pBdr>
            <w:spacing w:line="276" w:lineRule="auto"/>
          </w:pPr>
        </w:p>
      </w:tc>
      <w:tc>
        <w:tcPr>
          <w:tcW w:w="2552" w:type="dxa"/>
          <w:shd w:val="clear" w:color="auto" w:fill="auto"/>
        </w:tcPr>
        <w:p w14:paraId="06947502" w14:textId="77777777" w:rsidR="00DA7C20" w:rsidRDefault="00DA7C2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08597345" w14:textId="77777777" w:rsidR="00DA7C20" w:rsidRDefault="00DA7C2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321730A" w14:textId="77777777" w:rsidR="00DA7C20" w:rsidRDefault="00DA7C20">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AE3"/>
    <w:multiLevelType w:val="hybridMultilevel"/>
    <w:tmpl w:val="3514A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E18B3"/>
    <w:multiLevelType w:val="hybridMultilevel"/>
    <w:tmpl w:val="4E06B9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014891"/>
    <w:multiLevelType w:val="hybridMultilevel"/>
    <w:tmpl w:val="FC247AB8"/>
    <w:lvl w:ilvl="0" w:tplc="0150DC68">
      <w:start w:val="18"/>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8A03782"/>
    <w:multiLevelType w:val="hybridMultilevel"/>
    <w:tmpl w:val="581A5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1331BBC"/>
    <w:multiLevelType w:val="hybridMultilevel"/>
    <w:tmpl w:val="4FEED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3D5F72"/>
    <w:multiLevelType w:val="multilevel"/>
    <w:tmpl w:val="A79CA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092C4F"/>
    <w:multiLevelType w:val="hybridMultilevel"/>
    <w:tmpl w:val="FD4E4FB0"/>
    <w:lvl w:ilvl="0" w:tplc="520871B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64DB61B5"/>
    <w:multiLevelType w:val="hybridMultilevel"/>
    <w:tmpl w:val="827EAA30"/>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FF348F"/>
    <w:multiLevelType w:val="multilevel"/>
    <w:tmpl w:val="01463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F"/>
    <w:rsid w:val="00023171"/>
    <w:rsid w:val="000254AE"/>
    <w:rsid w:val="0006366B"/>
    <w:rsid w:val="000839F4"/>
    <w:rsid w:val="00084349"/>
    <w:rsid w:val="000D7DB7"/>
    <w:rsid w:val="000E6F93"/>
    <w:rsid w:val="00145522"/>
    <w:rsid w:val="00195ABE"/>
    <w:rsid w:val="001F7B0F"/>
    <w:rsid w:val="00250657"/>
    <w:rsid w:val="00276BD1"/>
    <w:rsid w:val="00295C01"/>
    <w:rsid w:val="00315502"/>
    <w:rsid w:val="00366E4F"/>
    <w:rsid w:val="003F24AF"/>
    <w:rsid w:val="004208DB"/>
    <w:rsid w:val="00447AA8"/>
    <w:rsid w:val="004C5038"/>
    <w:rsid w:val="004D01D1"/>
    <w:rsid w:val="00525F8E"/>
    <w:rsid w:val="005275A1"/>
    <w:rsid w:val="00527E50"/>
    <w:rsid w:val="00552BDE"/>
    <w:rsid w:val="0057659F"/>
    <w:rsid w:val="00586F2F"/>
    <w:rsid w:val="005C62E1"/>
    <w:rsid w:val="005C6D7F"/>
    <w:rsid w:val="006D0902"/>
    <w:rsid w:val="007008E8"/>
    <w:rsid w:val="00701F51"/>
    <w:rsid w:val="00717D12"/>
    <w:rsid w:val="00745A29"/>
    <w:rsid w:val="00773A3D"/>
    <w:rsid w:val="007F3DF4"/>
    <w:rsid w:val="0080568B"/>
    <w:rsid w:val="008151D0"/>
    <w:rsid w:val="008D12F3"/>
    <w:rsid w:val="008F3F91"/>
    <w:rsid w:val="0092030A"/>
    <w:rsid w:val="00937642"/>
    <w:rsid w:val="00953001"/>
    <w:rsid w:val="0095589B"/>
    <w:rsid w:val="009C3893"/>
    <w:rsid w:val="009F039F"/>
    <w:rsid w:val="00A51E96"/>
    <w:rsid w:val="00A61DFD"/>
    <w:rsid w:val="00AC0C65"/>
    <w:rsid w:val="00AE02FF"/>
    <w:rsid w:val="00AE1408"/>
    <w:rsid w:val="00AE2B20"/>
    <w:rsid w:val="00B349AD"/>
    <w:rsid w:val="00B36C2B"/>
    <w:rsid w:val="00B92CA0"/>
    <w:rsid w:val="00B9580B"/>
    <w:rsid w:val="00BB4701"/>
    <w:rsid w:val="00BC00B7"/>
    <w:rsid w:val="00BD53A8"/>
    <w:rsid w:val="00C3159B"/>
    <w:rsid w:val="00C451D4"/>
    <w:rsid w:val="00C9673E"/>
    <w:rsid w:val="00CB116A"/>
    <w:rsid w:val="00CB211D"/>
    <w:rsid w:val="00CC5EB2"/>
    <w:rsid w:val="00D22D56"/>
    <w:rsid w:val="00D23228"/>
    <w:rsid w:val="00D95BFA"/>
    <w:rsid w:val="00DA56C7"/>
    <w:rsid w:val="00DA7C20"/>
    <w:rsid w:val="00DD2376"/>
    <w:rsid w:val="00E0099B"/>
    <w:rsid w:val="00E27497"/>
    <w:rsid w:val="00E50688"/>
    <w:rsid w:val="00E525FA"/>
    <w:rsid w:val="00E56C4A"/>
    <w:rsid w:val="00E9114E"/>
    <w:rsid w:val="00EC7C2C"/>
    <w:rsid w:val="00F06ADC"/>
    <w:rsid w:val="00F57B9E"/>
    <w:rsid w:val="00F91E6C"/>
    <w:rsid w:val="00FB1FFC"/>
    <w:rsid w:val="00FE38C7"/>
    <w:rsid w:val="00FE7275"/>
    <w:rsid w:val="00FE7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46B1C"/>
  <w15:docId w15:val="{D00C7D52-EBC4-431D-BE22-9211D0D8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0045">
      <w:bodyDiv w:val="1"/>
      <w:marLeft w:val="0"/>
      <w:marRight w:val="0"/>
      <w:marTop w:val="0"/>
      <w:marBottom w:val="0"/>
      <w:divBdr>
        <w:top w:val="none" w:sz="0" w:space="0" w:color="auto"/>
        <w:left w:val="none" w:sz="0" w:space="0" w:color="auto"/>
        <w:bottom w:val="none" w:sz="0" w:space="0" w:color="auto"/>
        <w:right w:val="none" w:sz="0" w:space="0" w:color="auto"/>
      </w:divBdr>
    </w:div>
    <w:div w:id="582420899">
      <w:bodyDiv w:val="1"/>
      <w:marLeft w:val="0"/>
      <w:marRight w:val="0"/>
      <w:marTop w:val="0"/>
      <w:marBottom w:val="0"/>
      <w:divBdr>
        <w:top w:val="none" w:sz="0" w:space="0" w:color="auto"/>
        <w:left w:val="none" w:sz="0" w:space="0" w:color="auto"/>
        <w:bottom w:val="none" w:sz="0" w:space="0" w:color="auto"/>
        <w:right w:val="none" w:sz="0" w:space="0" w:color="auto"/>
      </w:divBdr>
    </w:div>
    <w:div w:id="662978383">
      <w:bodyDiv w:val="1"/>
      <w:marLeft w:val="0"/>
      <w:marRight w:val="0"/>
      <w:marTop w:val="0"/>
      <w:marBottom w:val="0"/>
      <w:divBdr>
        <w:top w:val="none" w:sz="0" w:space="0" w:color="auto"/>
        <w:left w:val="none" w:sz="0" w:space="0" w:color="auto"/>
        <w:bottom w:val="none" w:sz="0" w:space="0" w:color="auto"/>
        <w:right w:val="none" w:sz="0" w:space="0" w:color="auto"/>
      </w:divBdr>
    </w:div>
    <w:div w:id="856626386">
      <w:bodyDiv w:val="1"/>
      <w:marLeft w:val="0"/>
      <w:marRight w:val="0"/>
      <w:marTop w:val="0"/>
      <w:marBottom w:val="0"/>
      <w:divBdr>
        <w:top w:val="none" w:sz="0" w:space="0" w:color="auto"/>
        <w:left w:val="none" w:sz="0" w:space="0" w:color="auto"/>
        <w:bottom w:val="none" w:sz="0" w:space="0" w:color="auto"/>
        <w:right w:val="none" w:sz="0" w:space="0" w:color="auto"/>
      </w:divBdr>
    </w:div>
    <w:div w:id="1308439811">
      <w:bodyDiv w:val="1"/>
      <w:marLeft w:val="0"/>
      <w:marRight w:val="0"/>
      <w:marTop w:val="0"/>
      <w:marBottom w:val="0"/>
      <w:divBdr>
        <w:top w:val="none" w:sz="0" w:space="0" w:color="auto"/>
        <w:left w:val="none" w:sz="0" w:space="0" w:color="auto"/>
        <w:bottom w:val="none" w:sz="0" w:space="0" w:color="auto"/>
        <w:right w:val="none" w:sz="0" w:space="0" w:color="auto"/>
      </w:divBdr>
      <w:divsChild>
        <w:div w:id="1364137349">
          <w:marLeft w:val="0"/>
          <w:marRight w:val="0"/>
          <w:marTop w:val="0"/>
          <w:marBottom w:val="101"/>
          <w:divBdr>
            <w:top w:val="none" w:sz="0" w:space="0" w:color="auto"/>
            <w:left w:val="none" w:sz="0" w:space="0" w:color="auto"/>
            <w:bottom w:val="none" w:sz="0" w:space="0" w:color="auto"/>
            <w:right w:val="none" w:sz="0" w:space="0" w:color="auto"/>
          </w:divBdr>
        </w:div>
        <w:div w:id="467017899">
          <w:marLeft w:val="0"/>
          <w:marRight w:val="0"/>
          <w:marTop w:val="0"/>
          <w:marBottom w:val="8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25Q2eknJfr0fNuiHHldx30IQA==">CgMxLjAyCGguZ2pkZ3hzMgloLjMwajB6bGwyCWguMWZvYjl0ZTgAciExSDhrNV9Pa2FhUDdrZUNKNm1JbzBjTFU2QTMzZ3pyLUw=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BEE5DD-1EFD-41F1-9602-6864F1EF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5289</Words>
  <Characters>29094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8</cp:revision>
  <cp:lastPrinted>2024-03-15T16:49:00Z</cp:lastPrinted>
  <dcterms:created xsi:type="dcterms:W3CDTF">2024-03-06T01:07:00Z</dcterms:created>
  <dcterms:modified xsi:type="dcterms:W3CDTF">2024-04-10T23:42:00Z</dcterms:modified>
</cp:coreProperties>
</file>