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EC4B" w14:textId="77777777" w:rsidR="00393E7E" w:rsidRPr="00823F54" w:rsidRDefault="00393E7E" w:rsidP="00393E7E">
      <w:pPr>
        <w:widowControl w:val="0"/>
        <w:pBdr>
          <w:top w:val="nil"/>
          <w:left w:val="nil"/>
          <w:bottom w:val="nil"/>
          <w:right w:val="nil"/>
          <w:between w:val="nil"/>
        </w:pBdr>
        <w:spacing w:line="276" w:lineRule="auto"/>
        <w:rPr>
          <w:sz w:val="22"/>
          <w:szCs w:val="22"/>
        </w:rPr>
      </w:pPr>
    </w:p>
    <w:p w14:paraId="611BE571" w14:textId="77777777" w:rsidR="00393E7E" w:rsidRPr="00823F54" w:rsidRDefault="00393E7E" w:rsidP="00393E7E">
      <w:pPr>
        <w:tabs>
          <w:tab w:val="left" w:pos="0"/>
        </w:tabs>
        <w:spacing w:line="360" w:lineRule="auto"/>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trece (13) de noviembre de dos mil  veinticuatro. </w:t>
      </w:r>
    </w:p>
    <w:p w14:paraId="063E04FC" w14:textId="77777777" w:rsidR="00393E7E" w:rsidRPr="00823F54" w:rsidRDefault="00393E7E" w:rsidP="00393E7E">
      <w:pPr>
        <w:tabs>
          <w:tab w:val="left" w:pos="0"/>
        </w:tabs>
        <w:spacing w:line="360" w:lineRule="auto"/>
        <w:jc w:val="both"/>
        <w:rPr>
          <w:rFonts w:ascii="Palatino Linotype" w:eastAsia="Palatino Linotype" w:hAnsi="Palatino Linotype" w:cs="Palatino Linotype"/>
          <w:sz w:val="22"/>
          <w:szCs w:val="22"/>
        </w:rPr>
      </w:pPr>
    </w:p>
    <w:p w14:paraId="1451DE5D" w14:textId="2F699C24" w:rsidR="00393E7E" w:rsidRPr="00823F54" w:rsidRDefault="00393E7E" w:rsidP="00393E7E">
      <w:pPr>
        <w:spacing w:line="360" w:lineRule="auto"/>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b/>
          <w:sz w:val="22"/>
          <w:szCs w:val="22"/>
        </w:rPr>
        <w:t>VISTO</w:t>
      </w:r>
      <w:r w:rsidRPr="00823F54">
        <w:rPr>
          <w:rFonts w:ascii="Palatino Linotype" w:eastAsia="Palatino Linotype" w:hAnsi="Palatino Linotype" w:cs="Palatino Linotype"/>
          <w:sz w:val="22"/>
          <w:szCs w:val="22"/>
        </w:rPr>
        <w:t xml:space="preserve"> el expediente electrónico formado con motivo del recurso de revisión </w:t>
      </w:r>
      <w:r w:rsidRPr="00823F54">
        <w:rPr>
          <w:rFonts w:ascii="Palatino Linotype" w:eastAsia="Palatino Linotype" w:hAnsi="Palatino Linotype" w:cs="Palatino Linotype"/>
          <w:b/>
          <w:sz w:val="22"/>
          <w:szCs w:val="22"/>
        </w:rPr>
        <w:t xml:space="preserve">03178/INFOEM/IP/RR/2024, </w:t>
      </w:r>
      <w:r w:rsidRPr="00823F54">
        <w:rPr>
          <w:rFonts w:ascii="Palatino Linotype" w:eastAsia="Palatino Linotype" w:hAnsi="Palatino Linotype" w:cs="Palatino Linotype"/>
          <w:sz w:val="22"/>
          <w:szCs w:val="22"/>
        </w:rPr>
        <w:t>promovido por</w:t>
      </w:r>
      <w:r w:rsidRPr="00823F54">
        <w:rPr>
          <w:rFonts w:ascii="Palatino Linotype" w:eastAsia="Palatino Linotype" w:hAnsi="Palatino Linotype" w:cs="Palatino Linotype"/>
          <w:b/>
          <w:sz w:val="22"/>
          <w:szCs w:val="22"/>
        </w:rPr>
        <w:t> </w:t>
      </w:r>
      <w:r w:rsidR="00C91E22">
        <w:rPr>
          <w:rFonts w:ascii="Palatino Linotype" w:eastAsia="Palatino Linotype" w:hAnsi="Palatino Linotype" w:cs="Palatino Linotype"/>
          <w:b/>
          <w:bCs/>
          <w:sz w:val="22"/>
          <w:szCs w:val="22"/>
        </w:rPr>
        <w:t>XXX XXX</w:t>
      </w:r>
      <w:r w:rsidRPr="00823F54">
        <w:rPr>
          <w:rFonts w:ascii="Palatino Linotype" w:eastAsia="Palatino Linotype" w:hAnsi="Palatino Linotype" w:cs="Palatino Linotype"/>
          <w:sz w:val="22"/>
          <w:szCs w:val="22"/>
        </w:rPr>
        <w:t xml:space="preserve">, quien en lo sucesivo se le identificara como </w:t>
      </w:r>
      <w:r w:rsidRPr="00823F54">
        <w:rPr>
          <w:rFonts w:ascii="Palatino Linotype" w:eastAsia="Palatino Linotype" w:hAnsi="Palatino Linotype" w:cs="Palatino Linotype"/>
          <w:b/>
          <w:sz w:val="22"/>
          <w:szCs w:val="22"/>
        </w:rPr>
        <w:t>RECURRENTE</w:t>
      </w:r>
      <w:r w:rsidRPr="00823F54">
        <w:rPr>
          <w:rFonts w:ascii="Palatino Linotype" w:eastAsia="Palatino Linotype" w:hAnsi="Palatino Linotype" w:cs="Palatino Linotype"/>
          <w:sz w:val="22"/>
          <w:szCs w:val="22"/>
        </w:rPr>
        <w:t xml:space="preserve">, en contra de la respuesta del </w:t>
      </w:r>
      <w:r w:rsidRPr="00823F54">
        <w:rPr>
          <w:rFonts w:ascii="Palatino Linotype" w:eastAsia="Palatino Linotype" w:hAnsi="Palatino Linotype" w:cs="Palatino Linotype"/>
          <w:b/>
          <w:sz w:val="22"/>
          <w:szCs w:val="22"/>
        </w:rPr>
        <w:t xml:space="preserve">Ayuntamiento de Toluca, </w:t>
      </w:r>
      <w:r w:rsidRPr="00823F54">
        <w:rPr>
          <w:rFonts w:ascii="Palatino Linotype" w:eastAsia="Palatino Linotype" w:hAnsi="Palatino Linotype" w:cs="Palatino Linotype"/>
          <w:sz w:val="22"/>
          <w:szCs w:val="22"/>
        </w:rPr>
        <w:t>en lo sucesivo el</w:t>
      </w:r>
      <w:r w:rsidRPr="00823F54">
        <w:rPr>
          <w:rFonts w:ascii="Palatino Linotype" w:eastAsia="Palatino Linotype" w:hAnsi="Palatino Linotype" w:cs="Palatino Linotype"/>
          <w:b/>
          <w:sz w:val="22"/>
          <w:szCs w:val="22"/>
        </w:rPr>
        <w:t xml:space="preserve"> SUJETO OBLIGADO, </w:t>
      </w:r>
      <w:r w:rsidRPr="00823F54">
        <w:rPr>
          <w:rFonts w:ascii="Palatino Linotype" w:eastAsia="Palatino Linotype" w:hAnsi="Palatino Linotype" w:cs="Palatino Linotype"/>
          <w:sz w:val="22"/>
          <w:szCs w:val="22"/>
        </w:rPr>
        <w:t xml:space="preserve">se procede a dictar la presente resolución, con base en los siguientes: </w:t>
      </w:r>
    </w:p>
    <w:p w14:paraId="23CC4CB6" w14:textId="77777777" w:rsidR="00393E7E" w:rsidRPr="00823F54" w:rsidRDefault="00393E7E" w:rsidP="00393E7E">
      <w:pPr>
        <w:spacing w:line="360" w:lineRule="auto"/>
        <w:jc w:val="both"/>
        <w:rPr>
          <w:rFonts w:ascii="Palatino Linotype" w:eastAsia="Palatino Linotype" w:hAnsi="Palatino Linotype" w:cs="Palatino Linotype"/>
          <w:sz w:val="22"/>
          <w:szCs w:val="22"/>
        </w:rPr>
      </w:pPr>
    </w:p>
    <w:p w14:paraId="6FA79B0F" w14:textId="77777777" w:rsidR="00393E7E" w:rsidRPr="00823F54" w:rsidRDefault="00393E7E" w:rsidP="00393E7E">
      <w:pPr>
        <w:keepNext/>
        <w:keepLines/>
        <w:tabs>
          <w:tab w:val="left" w:pos="0"/>
        </w:tab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823F54">
        <w:rPr>
          <w:rFonts w:ascii="Palatino Linotype" w:eastAsia="Palatino Linotype" w:hAnsi="Palatino Linotype" w:cs="Palatino Linotype"/>
          <w:b/>
          <w:sz w:val="22"/>
          <w:szCs w:val="22"/>
        </w:rPr>
        <w:t>ANTECEDENTES</w:t>
      </w:r>
    </w:p>
    <w:p w14:paraId="0BF49074" w14:textId="77777777" w:rsidR="00393E7E" w:rsidRPr="00823F54" w:rsidRDefault="00393E7E" w:rsidP="00393E7E">
      <w:pPr>
        <w:keepNext/>
        <w:keepLines/>
        <w:tabs>
          <w:tab w:val="left" w:pos="0"/>
        </w:tabs>
        <w:spacing w:line="360" w:lineRule="auto"/>
        <w:jc w:val="center"/>
        <w:rPr>
          <w:rFonts w:ascii="Palatino Linotype" w:eastAsia="Palatino Linotype" w:hAnsi="Palatino Linotype" w:cs="Palatino Linotype"/>
          <w:b/>
          <w:sz w:val="22"/>
          <w:szCs w:val="22"/>
        </w:rPr>
      </w:pPr>
    </w:p>
    <w:p w14:paraId="40566B50" w14:textId="77777777" w:rsidR="00393E7E" w:rsidRPr="00823F54" w:rsidRDefault="00393E7E" w:rsidP="00393E7E">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El  quince (15) de abril de dos mil veinticuatro, el</w:t>
      </w:r>
      <w:r w:rsidRPr="00823F54">
        <w:rPr>
          <w:rFonts w:ascii="Palatino Linotype" w:eastAsia="Palatino Linotype" w:hAnsi="Palatino Linotype" w:cs="Palatino Linotype"/>
          <w:b/>
          <w:sz w:val="22"/>
          <w:szCs w:val="22"/>
        </w:rPr>
        <w:t xml:space="preserve"> </w:t>
      </w:r>
      <w:r w:rsidRPr="00823F54">
        <w:rPr>
          <w:rFonts w:ascii="Palatino Linotype" w:eastAsia="Palatino Linotype" w:hAnsi="Palatino Linotype" w:cs="Palatino Linotype"/>
          <w:sz w:val="22"/>
          <w:szCs w:val="22"/>
        </w:rPr>
        <w:t>solicitante</w:t>
      </w:r>
      <w:r w:rsidRPr="00823F54">
        <w:rPr>
          <w:rFonts w:ascii="Palatino Linotype" w:eastAsia="Palatino Linotype" w:hAnsi="Palatino Linotype" w:cs="Palatino Linotype"/>
          <w:b/>
          <w:sz w:val="22"/>
          <w:szCs w:val="22"/>
        </w:rPr>
        <w:t xml:space="preserve">  </w:t>
      </w:r>
      <w:r w:rsidRPr="00823F54">
        <w:rPr>
          <w:rFonts w:ascii="Palatino Linotype" w:eastAsia="Palatino Linotype" w:hAnsi="Palatino Linotype" w:cs="Palatino Linotype"/>
          <w:sz w:val="22"/>
          <w:szCs w:val="22"/>
        </w:rPr>
        <w:t>presentó</w:t>
      </w:r>
      <w:r w:rsidRPr="00823F54">
        <w:rPr>
          <w:rFonts w:ascii="Palatino Linotype" w:eastAsia="Palatino Linotype" w:hAnsi="Palatino Linotype" w:cs="Palatino Linotype"/>
          <w:b/>
          <w:sz w:val="22"/>
          <w:szCs w:val="22"/>
        </w:rPr>
        <w:t xml:space="preserve"> </w:t>
      </w:r>
      <w:r w:rsidRPr="00823F54">
        <w:rPr>
          <w:rFonts w:ascii="Palatino Linotype" w:eastAsia="Palatino Linotype" w:hAnsi="Palatino Linotype" w:cs="Palatino Linotype"/>
          <w:sz w:val="22"/>
          <w:szCs w:val="22"/>
        </w:rPr>
        <w:t xml:space="preserve">ante el </w:t>
      </w:r>
      <w:r w:rsidRPr="00823F54">
        <w:rPr>
          <w:rFonts w:ascii="Palatino Linotype" w:eastAsia="Palatino Linotype" w:hAnsi="Palatino Linotype" w:cs="Palatino Linotype"/>
          <w:b/>
          <w:sz w:val="22"/>
          <w:szCs w:val="22"/>
        </w:rPr>
        <w:t>SUJETO OBLIGADO,</w:t>
      </w:r>
      <w:r w:rsidRPr="00823F54">
        <w:rPr>
          <w:rFonts w:ascii="Palatino Linotype" w:eastAsia="Palatino Linotype" w:hAnsi="Palatino Linotype" w:cs="Palatino Linotype"/>
          <w:sz w:val="22"/>
          <w:szCs w:val="22"/>
        </w:rPr>
        <w:t xml:space="preserve"> a través del Sistema de Acceso a la Información Mexiquense (SAIMEX), la solicitud de información pública registrada con el número </w:t>
      </w:r>
      <w:r w:rsidRPr="00823F54">
        <w:rPr>
          <w:rFonts w:ascii="Palatino Linotype" w:eastAsia="Palatino Linotype" w:hAnsi="Palatino Linotype" w:cs="Palatino Linotype"/>
          <w:b/>
          <w:sz w:val="22"/>
          <w:szCs w:val="22"/>
        </w:rPr>
        <w:t> </w:t>
      </w:r>
      <w:r w:rsidRPr="00823F54">
        <w:rPr>
          <w:rFonts w:ascii="Palatino Linotype" w:eastAsia="Palatino Linotype" w:hAnsi="Palatino Linotype" w:cs="Palatino Linotype"/>
          <w:b/>
          <w:bCs/>
          <w:sz w:val="22"/>
          <w:szCs w:val="22"/>
        </w:rPr>
        <w:t>00853/TOLUCA/IP/2024</w:t>
      </w:r>
      <w:r w:rsidRPr="00823F54">
        <w:rPr>
          <w:rFonts w:ascii="Palatino Linotype" w:eastAsia="Palatino Linotype" w:hAnsi="Palatino Linotype" w:cs="Palatino Linotype"/>
          <w:sz w:val="22"/>
          <w:szCs w:val="22"/>
        </w:rPr>
        <w:t>, mediante la cual se solicitó:</w:t>
      </w:r>
    </w:p>
    <w:p w14:paraId="4E5FA63E" w14:textId="77777777" w:rsidR="00393E7E" w:rsidRPr="00823F54" w:rsidRDefault="00393E7E" w:rsidP="00393E7E">
      <w:pPr>
        <w:tabs>
          <w:tab w:val="left" w:pos="0"/>
        </w:tabs>
        <w:spacing w:line="360" w:lineRule="auto"/>
        <w:ind w:left="360"/>
        <w:jc w:val="both"/>
        <w:rPr>
          <w:rFonts w:ascii="Palatino Linotype" w:eastAsia="Palatino Linotype" w:hAnsi="Palatino Linotype" w:cs="Palatino Linotype"/>
          <w:sz w:val="22"/>
          <w:szCs w:val="22"/>
        </w:rPr>
      </w:pPr>
    </w:p>
    <w:p w14:paraId="46796B9E" w14:textId="77777777" w:rsidR="00393E7E" w:rsidRPr="00823F54" w:rsidRDefault="00393E7E" w:rsidP="00C871FE">
      <w:pPr>
        <w:tabs>
          <w:tab w:val="left" w:pos="0"/>
        </w:tabs>
        <w:spacing w:line="360" w:lineRule="auto"/>
        <w:ind w:left="567" w:right="822"/>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w:t>
      </w:r>
      <w:r w:rsidRPr="00823F54">
        <w:rPr>
          <w:rFonts w:ascii="Palatino Linotype" w:eastAsia="Palatino Linotype" w:hAnsi="Palatino Linotype" w:cs="Palatino Linotype"/>
          <w:i/>
          <w:color w:val="000000"/>
          <w:sz w:val="22"/>
          <w:szCs w:val="22"/>
        </w:rPr>
        <w:t>Reporte de Mandos Medios y Superiores de los ejercicios 2020, 2021, 2022, 2023, 2024</w:t>
      </w:r>
      <w:r w:rsidRPr="00823F54">
        <w:rPr>
          <w:rFonts w:ascii="Palatino Linotype" w:eastAsia="Palatino Linotype" w:hAnsi="Palatino Linotype" w:cs="Palatino Linotype"/>
          <w:i/>
          <w:sz w:val="22"/>
          <w:szCs w:val="22"/>
        </w:rPr>
        <w:t>” (Sic)</w:t>
      </w:r>
    </w:p>
    <w:p w14:paraId="3B227719" w14:textId="77777777" w:rsidR="00393E7E" w:rsidRPr="00823F54" w:rsidRDefault="00393E7E" w:rsidP="00393E7E">
      <w:pPr>
        <w:tabs>
          <w:tab w:val="left" w:pos="0"/>
        </w:tabs>
        <w:spacing w:line="360" w:lineRule="auto"/>
        <w:ind w:left="567" w:right="49"/>
        <w:jc w:val="both"/>
        <w:rPr>
          <w:rFonts w:ascii="Palatino Linotype" w:eastAsia="Palatino Linotype" w:hAnsi="Palatino Linotype" w:cs="Palatino Linotype"/>
          <w:i/>
          <w:sz w:val="22"/>
          <w:szCs w:val="22"/>
        </w:rPr>
      </w:pPr>
    </w:p>
    <w:p w14:paraId="343FC6BC" w14:textId="77777777" w:rsidR="00393E7E" w:rsidRPr="00823F54" w:rsidRDefault="00393E7E" w:rsidP="00393E7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823F54">
        <w:rPr>
          <w:rFonts w:ascii="Palatino Linotype" w:eastAsia="Palatino Linotype" w:hAnsi="Palatino Linotype" w:cs="Palatino Linotype"/>
          <w:color w:val="000000"/>
          <w:sz w:val="22"/>
          <w:szCs w:val="22"/>
        </w:rPr>
        <w:t xml:space="preserve">Se hace constar que el particular no señaló modalidad de entrega de la información, </w:t>
      </w:r>
      <w:r w:rsidRPr="00823F54">
        <w:rPr>
          <w:rFonts w:ascii="Palatino Linotype" w:hAnsi="Palatino Linotype" w:cs="Arial"/>
          <w:color w:val="202124"/>
          <w:sz w:val="22"/>
          <w:szCs w:val="22"/>
        </w:rPr>
        <w:t>por lo que</w:t>
      </w:r>
      <w:r w:rsidR="008E5786" w:rsidRPr="00823F54">
        <w:rPr>
          <w:rFonts w:ascii="Palatino Linotype" w:hAnsi="Palatino Linotype" w:cs="Arial"/>
          <w:color w:val="202124"/>
          <w:sz w:val="22"/>
          <w:szCs w:val="22"/>
        </w:rPr>
        <w:t>,</w:t>
      </w:r>
      <w:r w:rsidRPr="00823F54">
        <w:rPr>
          <w:rFonts w:ascii="Palatino Linotype" w:hAnsi="Palatino Linotype" w:cs="Arial"/>
          <w:color w:val="202124"/>
          <w:sz w:val="22"/>
          <w:szCs w:val="22"/>
        </w:rPr>
        <w:t xml:space="preserve"> de conformidad con el artículo 156</w:t>
      </w:r>
      <w:r w:rsidRPr="00823F54">
        <w:rPr>
          <w:rStyle w:val="Refdenotaalpie"/>
          <w:rFonts w:ascii="Palatino Linotype" w:eastAsiaTheme="majorEastAsia" w:hAnsi="Palatino Linotype" w:cs="Arial"/>
          <w:color w:val="202124"/>
          <w:sz w:val="22"/>
          <w:szCs w:val="22"/>
        </w:rPr>
        <w:footnoteReference w:id="1"/>
      </w:r>
      <w:r w:rsidRPr="00823F54">
        <w:rPr>
          <w:rFonts w:ascii="Palatino Linotype" w:hAnsi="Palatino Linotype" w:cs="Arial"/>
          <w:color w:val="202124"/>
          <w:sz w:val="22"/>
          <w:szCs w:val="22"/>
        </w:rPr>
        <w:t xml:space="preserve"> de la Ley de Transparencia Estatal se entenderá como medio de notificación a través del </w:t>
      </w:r>
      <w:r w:rsidRPr="00823F54">
        <w:rPr>
          <w:rFonts w:ascii="Palatino Linotype" w:hAnsi="Palatino Linotype" w:cs="Arial"/>
          <w:b/>
          <w:color w:val="202124"/>
          <w:sz w:val="22"/>
          <w:szCs w:val="22"/>
        </w:rPr>
        <w:t>SAIMEX</w:t>
      </w:r>
      <w:r w:rsidRPr="00823F54">
        <w:rPr>
          <w:rFonts w:ascii="Palatino Linotype" w:eastAsia="Palatino Linotype" w:hAnsi="Palatino Linotype" w:cs="Palatino Linotype"/>
          <w:b/>
          <w:color w:val="000000"/>
          <w:sz w:val="22"/>
          <w:szCs w:val="22"/>
        </w:rPr>
        <w:t>.</w:t>
      </w:r>
    </w:p>
    <w:p w14:paraId="0DB7ED2C" w14:textId="77777777" w:rsidR="00393E7E" w:rsidRPr="00823F54" w:rsidRDefault="00393E7E" w:rsidP="00393E7E">
      <w:pPr>
        <w:tabs>
          <w:tab w:val="left" w:pos="0"/>
        </w:tabs>
        <w:spacing w:line="360" w:lineRule="auto"/>
        <w:ind w:right="34"/>
        <w:jc w:val="both"/>
        <w:rPr>
          <w:rFonts w:ascii="Palatino Linotype" w:eastAsia="Palatino Linotype" w:hAnsi="Palatino Linotype" w:cs="Palatino Linotype"/>
          <w:b/>
          <w:sz w:val="22"/>
          <w:szCs w:val="22"/>
        </w:rPr>
      </w:pPr>
    </w:p>
    <w:p w14:paraId="6412606A" w14:textId="77777777" w:rsidR="008E5786" w:rsidRPr="00823F54" w:rsidRDefault="008E5786" w:rsidP="00393E7E">
      <w:pPr>
        <w:numPr>
          <w:ilvl w:val="0"/>
          <w:numId w:val="1"/>
        </w:numPr>
        <w:tabs>
          <w:tab w:val="left" w:pos="0"/>
        </w:tabs>
        <w:spacing w:line="360" w:lineRule="auto"/>
        <w:ind w:left="0" w:right="34" w:firstLine="0"/>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El dieciocho (18) de abril de dos mil veinticuatro, el Sujeto Obligado realizó una solicitud de aclaración en el siguiente sentido:</w:t>
      </w:r>
    </w:p>
    <w:p w14:paraId="30099B86" w14:textId="77777777" w:rsidR="008E5786" w:rsidRPr="00823F54" w:rsidRDefault="008E5786" w:rsidP="008E5786">
      <w:pPr>
        <w:pStyle w:val="Prrafodelista"/>
        <w:rPr>
          <w:rFonts w:ascii="Palatino Linotype" w:eastAsia="Palatino Linotype" w:hAnsi="Palatino Linotype" w:cs="Palatino Linotype"/>
          <w:b/>
          <w:szCs w:val="22"/>
        </w:rPr>
      </w:pPr>
    </w:p>
    <w:tbl>
      <w:tblPr>
        <w:tblW w:w="7837" w:type="dxa"/>
        <w:jc w:val="center"/>
        <w:tblCellSpacing w:w="0" w:type="dxa"/>
        <w:tblCellMar>
          <w:left w:w="0" w:type="dxa"/>
          <w:right w:w="0" w:type="dxa"/>
        </w:tblCellMar>
        <w:tblLook w:val="04A0" w:firstRow="1" w:lastRow="0" w:firstColumn="1" w:lastColumn="0" w:noHBand="0" w:noVBand="1"/>
      </w:tblPr>
      <w:tblGrid>
        <w:gridCol w:w="7837"/>
      </w:tblGrid>
      <w:tr w:rsidR="008E5786" w:rsidRPr="00823F54" w14:paraId="4C2E76F4" w14:textId="77777777" w:rsidTr="008E5786">
        <w:trPr>
          <w:trHeight w:val="312"/>
          <w:tblCellSpacing w:w="0" w:type="dxa"/>
          <w:jc w:val="center"/>
        </w:trPr>
        <w:tc>
          <w:tcPr>
            <w:tcW w:w="0" w:type="auto"/>
            <w:vAlign w:val="center"/>
            <w:hideMark/>
          </w:tcPr>
          <w:p w14:paraId="7BA0356C" w14:textId="77777777" w:rsidR="008E5786" w:rsidRPr="00823F54" w:rsidRDefault="008E5786" w:rsidP="008E5786">
            <w:pPr>
              <w:jc w:val="right"/>
              <w:rPr>
                <w:rFonts w:ascii="Palatino Linotype" w:hAnsi="Palatino Linotype"/>
                <w:i/>
                <w:sz w:val="22"/>
                <w:szCs w:val="22"/>
              </w:rPr>
            </w:pPr>
            <w:r w:rsidRPr="00823F54">
              <w:rPr>
                <w:rFonts w:ascii="Palatino Linotype" w:hAnsi="Palatino Linotype"/>
                <w:i/>
                <w:sz w:val="22"/>
                <w:szCs w:val="22"/>
              </w:rPr>
              <w:t>Toluca, México a 18 de Abril de 2024</w:t>
            </w:r>
          </w:p>
        </w:tc>
      </w:tr>
      <w:tr w:rsidR="008E5786" w:rsidRPr="00823F54" w14:paraId="7CD14109" w14:textId="77777777" w:rsidTr="008E5786">
        <w:trPr>
          <w:trHeight w:val="312"/>
          <w:tblCellSpacing w:w="0" w:type="dxa"/>
          <w:jc w:val="center"/>
        </w:trPr>
        <w:tc>
          <w:tcPr>
            <w:tcW w:w="0" w:type="auto"/>
            <w:vAlign w:val="center"/>
            <w:hideMark/>
          </w:tcPr>
          <w:p w14:paraId="2D965F42" w14:textId="77777777" w:rsidR="008E5786" w:rsidRPr="00823F54" w:rsidRDefault="008E5786" w:rsidP="008E5786">
            <w:pPr>
              <w:jc w:val="right"/>
              <w:rPr>
                <w:rFonts w:ascii="Palatino Linotype" w:hAnsi="Palatino Linotype"/>
                <w:i/>
                <w:sz w:val="22"/>
                <w:szCs w:val="22"/>
              </w:rPr>
            </w:pPr>
            <w:r w:rsidRPr="00823F54">
              <w:rPr>
                <w:rFonts w:ascii="Palatino Linotype" w:hAnsi="Palatino Linotype"/>
                <w:i/>
                <w:sz w:val="22"/>
                <w:szCs w:val="22"/>
              </w:rPr>
              <w:t>Nombre del solicitante: C. Solicitante</w:t>
            </w:r>
          </w:p>
        </w:tc>
      </w:tr>
      <w:tr w:rsidR="008E5786" w:rsidRPr="00823F54" w14:paraId="0EBCFBB9" w14:textId="77777777" w:rsidTr="008E5786">
        <w:trPr>
          <w:trHeight w:val="312"/>
          <w:tblCellSpacing w:w="0" w:type="dxa"/>
          <w:jc w:val="center"/>
        </w:trPr>
        <w:tc>
          <w:tcPr>
            <w:tcW w:w="0" w:type="auto"/>
            <w:vAlign w:val="center"/>
            <w:hideMark/>
          </w:tcPr>
          <w:p w14:paraId="02B90337" w14:textId="77777777" w:rsidR="008E5786" w:rsidRPr="00823F54" w:rsidRDefault="008E5786" w:rsidP="008E5786">
            <w:pPr>
              <w:jc w:val="right"/>
              <w:rPr>
                <w:rFonts w:ascii="Palatino Linotype" w:hAnsi="Palatino Linotype"/>
                <w:i/>
                <w:sz w:val="22"/>
                <w:szCs w:val="22"/>
              </w:rPr>
            </w:pPr>
            <w:r w:rsidRPr="00823F54">
              <w:rPr>
                <w:rFonts w:ascii="Palatino Linotype" w:hAnsi="Palatino Linotype"/>
                <w:i/>
                <w:sz w:val="22"/>
                <w:szCs w:val="22"/>
              </w:rPr>
              <w:t>Folio de la solicitud: 00853/TOLUCA/IP/2024</w:t>
            </w:r>
          </w:p>
        </w:tc>
      </w:tr>
      <w:tr w:rsidR="008E5786" w:rsidRPr="00823F54" w14:paraId="55075754" w14:textId="77777777" w:rsidTr="008E5786">
        <w:trPr>
          <w:trHeight w:val="468"/>
          <w:tblCellSpacing w:w="0" w:type="dxa"/>
          <w:jc w:val="center"/>
        </w:trPr>
        <w:tc>
          <w:tcPr>
            <w:tcW w:w="0" w:type="auto"/>
            <w:vAlign w:val="center"/>
            <w:hideMark/>
          </w:tcPr>
          <w:p w14:paraId="0311982B" w14:textId="77777777" w:rsidR="008E5786" w:rsidRPr="00823F54" w:rsidRDefault="008E5786" w:rsidP="008E5786">
            <w:pPr>
              <w:jc w:val="right"/>
              <w:rPr>
                <w:rFonts w:ascii="Palatino Linotype" w:hAnsi="Palatino Linotype"/>
                <w:i/>
                <w:sz w:val="22"/>
                <w:szCs w:val="22"/>
              </w:rPr>
            </w:pPr>
          </w:p>
        </w:tc>
      </w:tr>
      <w:tr w:rsidR="008E5786" w:rsidRPr="00823F54" w14:paraId="4FD157ED" w14:textId="77777777" w:rsidTr="008E5786">
        <w:trPr>
          <w:trHeight w:val="156"/>
          <w:tblCellSpacing w:w="0" w:type="dxa"/>
          <w:jc w:val="center"/>
        </w:trPr>
        <w:tc>
          <w:tcPr>
            <w:tcW w:w="0" w:type="auto"/>
            <w:vAlign w:val="center"/>
            <w:hideMark/>
          </w:tcPr>
          <w:p w14:paraId="15AE03B8" w14:textId="77777777" w:rsidR="008E5786" w:rsidRPr="00823F54" w:rsidRDefault="008E5786" w:rsidP="008E5786">
            <w:pPr>
              <w:rPr>
                <w:rFonts w:ascii="Palatino Linotype" w:hAnsi="Palatino Linotype"/>
                <w:i/>
                <w:sz w:val="22"/>
                <w:szCs w:val="22"/>
              </w:rPr>
            </w:pPr>
            <w:r w:rsidRPr="00823F54">
              <w:rPr>
                <w:rFonts w:ascii="Palatino Linotype" w:hAnsi="Palatino Linotype"/>
                <w:i/>
                <w:sz w:val="22"/>
                <w:szCs w:val="22"/>
              </w:rPr>
              <w:t>Con fundamento en el articulo 159 de la Ley de Transparencia y Acceso a la Información Pública del Estado de México y Municipios, se le requiere para que dentro del plazo de diez días hábiles realice lo siguiente:</w:t>
            </w:r>
          </w:p>
        </w:tc>
      </w:tr>
      <w:tr w:rsidR="008E5786" w:rsidRPr="00823F54" w14:paraId="497C9421" w14:textId="77777777" w:rsidTr="008E5786">
        <w:trPr>
          <w:trHeight w:val="390"/>
          <w:tblCellSpacing w:w="0" w:type="dxa"/>
          <w:jc w:val="center"/>
        </w:trPr>
        <w:tc>
          <w:tcPr>
            <w:tcW w:w="0" w:type="auto"/>
            <w:vAlign w:val="center"/>
            <w:hideMark/>
          </w:tcPr>
          <w:p w14:paraId="2D26EDC6" w14:textId="77777777" w:rsidR="008E5786" w:rsidRPr="00823F54" w:rsidRDefault="008E5786" w:rsidP="008E5786">
            <w:pPr>
              <w:rPr>
                <w:rFonts w:ascii="Palatino Linotype" w:hAnsi="Palatino Linotype"/>
                <w:i/>
                <w:sz w:val="22"/>
                <w:szCs w:val="22"/>
              </w:rPr>
            </w:pPr>
          </w:p>
        </w:tc>
      </w:tr>
      <w:tr w:rsidR="008E5786" w:rsidRPr="00823F54" w14:paraId="2CD0EA14" w14:textId="77777777" w:rsidTr="008E5786">
        <w:trPr>
          <w:trHeight w:val="156"/>
          <w:tblCellSpacing w:w="0" w:type="dxa"/>
          <w:jc w:val="center"/>
        </w:trPr>
        <w:tc>
          <w:tcPr>
            <w:tcW w:w="0" w:type="auto"/>
            <w:vAlign w:val="center"/>
            <w:hideMark/>
          </w:tcPr>
          <w:p w14:paraId="4B4B8F9A" w14:textId="77777777" w:rsidR="008E5786" w:rsidRPr="00823F54" w:rsidRDefault="008E5786" w:rsidP="008E5786">
            <w:pPr>
              <w:rPr>
                <w:rFonts w:ascii="Palatino Linotype" w:hAnsi="Palatino Linotype"/>
                <w:i/>
                <w:sz w:val="22"/>
                <w:szCs w:val="22"/>
              </w:rPr>
            </w:pPr>
            <w:r w:rsidRPr="00823F54">
              <w:rPr>
                <w:rFonts w:ascii="Palatino Linotype" w:hAnsi="Palatino Linotype"/>
                <w:i/>
                <w:sz w:val="22"/>
                <w:szCs w:val="22"/>
              </w:rPr>
              <w:t>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00853/TOLUCA/IP/2024.</w:t>
            </w:r>
          </w:p>
        </w:tc>
      </w:tr>
      <w:tr w:rsidR="008E5786" w:rsidRPr="00823F54" w14:paraId="48DBBA22" w14:textId="77777777" w:rsidTr="008E5786">
        <w:trPr>
          <w:trHeight w:val="390"/>
          <w:tblCellSpacing w:w="0" w:type="dxa"/>
          <w:jc w:val="center"/>
        </w:trPr>
        <w:tc>
          <w:tcPr>
            <w:tcW w:w="0" w:type="auto"/>
            <w:vAlign w:val="center"/>
            <w:hideMark/>
          </w:tcPr>
          <w:p w14:paraId="65B0C0A7" w14:textId="77777777" w:rsidR="008E5786" w:rsidRPr="00823F54" w:rsidRDefault="008E5786" w:rsidP="008E5786">
            <w:pPr>
              <w:rPr>
                <w:rFonts w:ascii="Palatino Linotype" w:hAnsi="Palatino Linotype"/>
                <w:i/>
                <w:sz w:val="22"/>
                <w:szCs w:val="22"/>
              </w:rPr>
            </w:pPr>
          </w:p>
        </w:tc>
      </w:tr>
      <w:tr w:rsidR="008E5786" w:rsidRPr="00823F54" w14:paraId="4CD5038D" w14:textId="77777777" w:rsidTr="008E5786">
        <w:trPr>
          <w:trHeight w:val="156"/>
          <w:tblCellSpacing w:w="0" w:type="dxa"/>
          <w:jc w:val="center"/>
        </w:trPr>
        <w:tc>
          <w:tcPr>
            <w:tcW w:w="0" w:type="auto"/>
            <w:vAlign w:val="center"/>
            <w:hideMark/>
          </w:tcPr>
          <w:p w14:paraId="308080AC" w14:textId="77777777" w:rsidR="008E5786" w:rsidRPr="00823F54" w:rsidRDefault="008E5786" w:rsidP="008E5786">
            <w:pPr>
              <w:rPr>
                <w:rFonts w:ascii="Palatino Linotype" w:hAnsi="Palatino Linotype"/>
                <w:i/>
                <w:sz w:val="22"/>
                <w:szCs w:val="22"/>
              </w:rPr>
            </w:pPr>
            <w:r w:rsidRPr="00823F54">
              <w:rPr>
                <w:rFonts w:ascii="Palatino Linotype" w:hAnsi="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8E5786" w:rsidRPr="00823F54" w14:paraId="55565F07" w14:textId="77777777" w:rsidTr="008E5786">
        <w:trPr>
          <w:trHeight w:val="156"/>
          <w:tblCellSpacing w:w="0" w:type="dxa"/>
          <w:jc w:val="center"/>
        </w:trPr>
        <w:tc>
          <w:tcPr>
            <w:tcW w:w="0" w:type="auto"/>
            <w:vAlign w:val="center"/>
            <w:hideMark/>
          </w:tcPr>
          <w:p w14:paraId="22F6137D" w14:textId="77777777" w:rsidR="008E5786" w:rsidRPr="00823F54" w:rsidRDefault="008E5786" w:rsidP="008E5786">
            <w:pPr>
              <w:rPr>
                <w:rFonts w:ascii="Palatino Linotype" w:hAnsi="Palatino Linotype"/>
                <w:i/>
                <w:sz w:val="22"/>
                <w:szCs w:val="22"/>
              </w:rPr>
            </w:pPr>
          </w:p>
        </w:tc>
      </w:tr>
      <w:tr w:rsidR="008E5786" w:rsidRPr="00823F54" w14:paraId="24F209C4" w14:textId="77777777" w:rsidTr="008E5786">
        <w:trPr>
          <w:trHeight w:val="156"/>
          <w:tblCellSpacing w:w="0" w:type="dxa"/>
          <w:jc w:val="center"/>
        </w:trPr>
        <w:tc>
          <w:tcPr>
            <w:tcW w:w="0" w:type="auto"/>
            <w:vAlign w:val="center"/>
            <w:hideMark/>
          </w:tcPr>
          <w:p w14:paraId="6D88675B" w14:textId="77777777" w:rsidR="008E5786" w:rsidRPr="00823F54" w:rsidRDefault="008E5786" w:rsidP="008E5786">
            <w:pPr>
              <w:rPr>
                <w:rFonts w:ascii="Palatino Linotype" w:hAnsi="Palatino Linotype"/>
                <w:i/>
                <w:sz w:val="22"/>
                <w:szCs w:val="22"/>
              </w:rPr>
            </w:pPr>
            <w:r w:rsidRPr="00823F54">
              <w:rPr>
                <w:rFonts w:ascii="Palatino Linotype" w:hAnsi="Palatino Linotype"/>
                <w:i/>
                <w:sz w:val="22"/>
                <w:szCs w:val="22"/>
              </w:rPr>
              <w:t>ATENTAMENTE</w:t>
            </w:r>
          </w:p>
        </w:tc>
      </w:tr>
      <w:tr w:rsidR="008E5786" w:rsidRPr="00823F54" w14:paraId="26E844E9" w14:textId="77777777" w:rsidTr="008E5786">
        <w:trPr>
          <w:trHeight w:val="234"/>
          <w:tblCellSpacing w:w="0" w:type="dxa"/>
          <w:jc w:val="center"/>
        </w:trPr>
        <w:tc>
          <w:tcPr>
            <w:tcW w:w="0" w:type="auto"/>
            <w:vAlign w:val="center"/>
            <w:hideMark/>
          </w:tcPr>
          <w:p w14:paraId="746D79D8" w14:textId="77777777" w:rsidR="008E5786" w:rsidRPr="00823F54" w:rsidRDefault="008E5786" w:rsidP="008E5786">
            <w:pPr>
              <w:rPr>
                <w:rFonts w:ascii="Palatino Linotype" w:hAnsi="Palatino Linotype"/>
                <w:i/>
                <w:sz w:val="22"/>
                <w:szCs w:val="22"/>
              </w:rPr>
            </w:pPr>
          </w:p>
        </w:tc>
      </w:tr>
      <w:tr w:rsidR="008E5786" w:rsidRPr="00823F54" w14:paraId="552E7E33" w14:textId="77777777" w:rsidTr="008E5786">
        <w:trPr>
          <w:trHeight w:val="156"/>
          <w:tblCellSpacing w:w="0" w:type="dxa"/>
          <w:jc w:val="center"/>
        </w:trPr>
        <w:tc>
          <w:tcPr>
            <w:tcW w:w="0" w:type="auto"/>
            <w:vAlign w:val="center"/>
            <w:hideMark/>
          </w:tcPr>
          <w:p w14:paraId="37A878C9" w14:textId="77777777" w:rsidR="008E5786" w:rsidRPr="00823F54" w:rsidRDefault="008E5786" w:rsidP="008E5786">
            <w:pPr>
              <w:rPr>
                <w:rFonts w:ascii="Palatino Linotype" w:hAnsi="Palatino Linotype"/>
                <w:i/>
                <w:sz w:val="22"/>
                <w:szCs w:val="22"/>
              </w:rPr>
            </w:pPr>
            <w:r w:rsidRPr="00823F54">
              <w:rPr>
                <w:rFonts w:ascii="Palatino Linotype" w:hAnsi="Palatino Linotype"/>
                <w:i/>
                <w:sz w:val="22"/>
                <w:szCs w:val="22"/>
              </w:rPr>
              <w:t>Lic. Norma Sofía Pérez Martínez</w:t>
            </w:r>
          </w:p>
        </w:tc>
      </w:tr>
    </w:tbl>
    <w:p w14:paraId="73AC59CB" w14:textId="77777777" w:rsidR="008E5786" w:rsidRPr="00823F54" w:rsidRDefault="008E5786" w:rsidP="008E5786">
      <w:pPr>
        <w:tabs>
          <w:tab w:val="left" w:pos="0"/>
        </w:tabs>
        <w:spacing w:line="360" w:lineRule="auto"/>
        <w:ind w:right="34"/>
        <w:jc w:val="both"/>
        <w:rPr>
          <w:rFonts w:ascii="Palatino Linotype" w:eastAsia="Palatino Linotype" w:hAnsi="Palatino Linotype" w:cs="Palatino Linotype"/>
          <w:b/>
          <w:sz w:val="22"/>
          <w:szCs w:val="22"/>
        </w:rPr>
      </w:pPr>
    </w:p>
    <w:p w14:paraId="35FDB6D6" w14:textId="77777777" w:rsidR="008E5786" w:rsidRPr="00823F54" w:rsidRDefault="008E5786" w:rsidP="008E5786">
      <w:pPr>
        <w:pStyle w:val="Prrafodelista"/>
        <w:numPr>
          <w:ilvl w:val="0"/>
          <w:numId w:val="10"/>
        </w:numPr>
        <w:tabs>
          <w:tab w:val="left" w:pos="0"/>
        </w:tabs>
        <w:spacing w:line="360" w:lineRule="auto"/>
        <w:ind w:right="34"/>
        <w:jc w:val="both"/>
        <w:rPr>
          <w:rFonts w:ascii="Palatino Linotype" w:eastAsia="Palatino Linotype" w:hAnsi="Palatino Linotype" w:cs="Palatino Linotype"/>
          <w:szCs w:val="22"/>
        </w:rPr>
      </w:pPr>
      <w:r w:rsidRPr="00823F54">
        <w:rPr>
          <w:rFonts w:ascii="Palatino Linotype" w:eastAsia="Palatino Linotype" w:hAnsi="Palatino Linotype" w:cs="Palatino Linotype"/>
          <w:szCs w:val="22"/>
        </w:rPr>
        <w:t xml:space="preserve">A la solicitud de aclaración adjuntó el archivo denominado </w:t>
      </w:r>
      <w:r w:rsidRPr="00823F54">
        <w:rPr>
          <w:rFonts w:ascii="Palatino Linotype" w:eastAsia="Palatino Linotype" w:hAnsi="Palatino Linotype" w:cs="Palatino Linotype"/>
          <w:b/>
          <w:szCs w:val="22"/>
          <w:u w:val="single"/>
        </w:rPr>
        <w:t>Aclración_Total_00853_24.pdf</w:t>
      </w:r>
      <w:r w:rsidRPr="00823F54">
        <w:rPr>
          <w:rFonts w:ascii="Palatino Linotype" w:eastAsia="Palatino Linotype" w:hAnsi="Palatino Linotype" w:cs="Palatino Linotype"/>
          <w:szCs w:val="22"/>
        </w:rPr>
        <w:t>, en el que se advierte un acuerdo emitido por la Titular de la Unidad de Transparencia</w:t>
      </w:r>
      <w:r w:rsidR="007D6DB5" w:rsidRPr="00823F54">
        <w:rPr>
          <w:rFonts w:ascii="Palatino Linotype" w:eastAsia="Palatino Linotype" w:hAnsi="Palatino Linotype" w:cs="Palatino Linotype"/>
          <w:szCs w:val="22"/>
        </w:rPr>
        <w:t xml:space="preserve">, en el que de forma medular, pide al Recurrente informar a qué tipo de reporte se refiere. </w:t>
      </w:r>
    </w:p>
    <w:p w14:paraId="615BED68" w14:textId="77777777" w:rsidR="008E5786" w:rsidRPr="00823F54" w:rsidRDefault="008E5786" w:rsidP="008E5786">
      <w:pPr>
        <w:pStyle w:val="Prrafodelista"/>
        <w:rPr>
          <w:rFonts w:ascii="Palatino Linotype" w:eastAsia="Palatino Linotype" w:hAnsi="Palatino Linotype" w:cs="Palatino Linotype"/>
          <w:szCs w:val="22"/>
        </w:rPr>
      </w:pPr>
    </w:p>
    <w:p w14:paraId="1EAF9B6E" w14:textId="77777777" w:rsidR="008E5786" w:rsidRPr="00823F54" w:rsidRDefault="007D6DB5" w:rsidP="00393E7E">
      <w:pPr>
        <w:numPr>
          <w:ilvl w:val="0"/>
          <w:numId w:val="1"/>
        </w:numPr>
        <w:tabs>
          <w:tab w:val="left" w:pos="0"/>
        </w:tabs>
        <w:spacing w:line="360" w:lineRule="auto"/>
        <w:ind w:left="0" w:right="34" w:firstLine="0"/>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lastRenderedPageBreak/>
        <w:t>El veinticuatro (24) de abril de dos mil veinticuatro, el Recurrente desahogo la aclaración en el siguiente sentido:</w:t>
      </w:r>
    </w:p>
    <w:p w14:paraId="51EA8CF9" w14:textId="77777777" w:rsidR="007D6DB5" w:rsidRPr="00823F54" w:rsidRDefault="007D6DB5" w:rsidP="007D6DB5">
      <w:pPr>
        <w:tabs>
          <w:tab w:val="left" w:pos="0"/>
        </w:tabs>
        <w:spacing w:line="360" w:lineRule="auto"/>
        <w:ind w:right="34"/>
        <w:jc w:val="both"/>
        <w:rPr>
          <w:rFonts w:ascii="Palatino Linotype" w:eastAsia="Palatino Linotype" w:hAnsi="Palatino Linotype" w:cs="Palatino Linotype"/>
          <w:b/>
          <w:sz w:val="22"/>
          <w:szCs w:val="22"/>
        </w:rPr>
      </w:pPr>
    </w:p>
    <w:p w14:paraId="2E2F0746" w14:textId="77777777" w:rsidR="007D6DB5" w:rsidRPr="00823F54" w:rsidRDefault="007D6DB5" w:rsidP="007D6DB5">
      <w:pPr>
        <w:tabs>
          <w:tab w:val="left" w:pos="851"/>
        </w:tabs>
        <w:spacing w:line="360" w:lineRule="auto"/>
        <w:ind w:left="851" w:right="822"/>
        <w:jc w:val="both"/>
        <w:rPr>
          <w:rFonts w:ascii="Palatino Linotype" w:hAnsi="Palatino Linotype"/>
          <w:i/>
          <w:color w:val="000000"/>
          <w:sz w:val="22"/>
          <w:szCs w:val="22"/>
        </w:rPr>
      </w:pPr>
      <w:r w:rsidRPr="00823F54">
        <w:rPr>
          <w:rFonts w:ascii="Palatino Linotype" w:hAnsi="Palatino Linotype"/>
          <w:i/>
          <w:color w:val="000000"/>
          <w:sz w:val="22"/>
          <w:szCs w:val="22"/>
        </w:rPr>
        <w:t>“Solicito el reporte de Remuneraciones a Mandos Medios y Superiores del Municipio de Toluca, de los meses de enero a diciembre para los ejercicios 2020,2021,2022,2023.”</w:t>
      </w:r>
    </w:p>
    <w:p w14:paraId="5D36C199" w14:textId="77777777" w:rsidR="008E5786" w:rsidRPr="00823F54" w:rsidRDefault="008E5786" w:rsidP="007D6DB5">
      <w:pPr>
        <w:tabs>
          <w:tab w:val="left" w:pos="0"/>
        </w:tabs>
        <w:spacing w:line="360" w:lineRule="auto"/>
        <w:ind w:right="34"/>
        <w:jc w:val="both"/>
        <w:rPr>
          <w:rFonts w:ascii="Palatino Linotype" w:eastAsia="Palatino Linotype" w:hAnsi="Palatino Linotype" w:cs="Palatino Linotype"/>
          <w:b/>
          <w:sz w:val="22"/>
          <w:szCs w:val="22"/>
        </w:rPr>
      </w:pPr>
    </w:p>
    <w:p w14:paraId="18ADFB21" w14:textId="77777777" w:rsidR="00393E7E" w:rsidRPr="00823F54" w:rsidRDefault="007D6DB5" w:rsidP="00393E7E">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El veinticinco (25</w:t>
      </w:r>
      <w:r w:rsidR="00393E7E" w:rsidRPr="00823F54">
        <w:rPr>
          <w:rFonts w:ascii="Palatino Linotype" w:eastAsia="Palatino Linotype" w:hAnsi="Palatino Linotype" w:cs="Palatino Linotype"/>
          <w:sz w:val="22"/>
          <w:szCs w:val="22"/>
        </w:rPr>
        <w:t>) de abril de dos mil veinticuatro, se realizó un requerimiento al servidor público habilitado</w:t>
      </w:r>
      <w:r w:rsidR="00393E7E" w:rsidRPr="00823F54">
        <w:rPr>
          <w:rFonts w:ascii="Palatino Linotype" w:eastAsia="Palatino Linotype" w:hAnsi="Palatino Linotype" w:cs="Palatino Linotype"/>
          <w:b/>
          <w:sz w:val="22"/>
          <w:szCs w:val="22"/>
        </w:rPr>
        <w:t xml:space="preserve">. </w:t>
      </w:r>
    </w:p>
    <w:p w14:paraId="6587CDB8" w14:textId="77777777" w:rsidR="00393E7E" w:rsidRPr="00823F54" w:rsidRDefault="00393E7E" w:rsidP="00393E7E">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5EBF68B" w14:textId="77777777" w:rsidR="00393E7E" w:rsidRPr="00823F54" w:rsidRDefault="007D6DB5" w:rsidP="007D6DB5">
      <w:pPr>
        <w:numPr>
          <w:ilvl w:val="0"/>
          <w:numId w:val="1"/>
        </w:numPr>
        <w:tabs>
          <w:tab w:val="left" w:pos="0"/>
        </w:tabs>
        <w:spacing w:line="360" w:lineRule="auto"/>
        <w:ind w:left="0" w:right="34" w:firstLine="0"/>
        <w:jc w:val="both"/>
        <w:rPr>
          <w:rFonts w:ascii="Palatino Linotype" w:eastAsia="Palatino Linotype" w:hAnsi="Palatino Linotype" w:cs="Palatino Linotype"/>
          <w:sz w:val="22"/>
          <w:szCs w:val="22"/>
        </w:rPr>
      </w:pPr>
      <w:bookmarkStart w:id="1" w:name="_heading=h.30j0zll" w:colFirst="0" w:colLast="0"/>
      <w:bookmarkEnd w:id="1"/>
      <w:r w:rsidRPr="00823F54">
        <w:rPr>
          <w:rFonts w:ascii="Palatino Linotype" w:eastAsia="Palatino Linotype" w:hAnsi="Palatino Linotype" w:cs="Palatino Linotype"/>
          <w:sz w:val="22"/>
          <w:szCs w:val="22"/>
        </w:rPr>
        <w:t>El diecisiete (17</w:t>
      </w:r>
      <w:r w:rsidR="00393E7E" w:rsidRPr="00823F54">
        <w:rPr>
          <w:rFonts w:ascii="Palatino Linotype" w:eastAsia="Palatino Linotype" w:hAnsi="Palatino Linotype" w:cs="Palatino Linotype"/>
          <w:sz w:val="22"/>
          <w:szCs w:val="22"/>
        </w:rPr>
        <w:t>) de mayo de dos mil v</w:t>
      </w:r>
      <w:r w:rsidRPr="00823F54">
        <w:rPr>
          <w:rFonts w:ascii="Palatino Linotype" w:eastAsia="Palatino Linotype" w:hAnsi="Palatino Linotype" w:cs="Palatino Linotype"/>
          <w:sz w:val="22"/>
          <w:szCs w:val="22"/>
        </w:rPr>
        <w:t xml:space="preserve">einticuatro, el Sujeto Obligado </w:t>
      </w:r>
      <w:r w:rsidR="00393E7E" w:rsidRPr="00823F54">
        <w:rPr>
          <w:rFonts w:ascii="Palatino Linotype" w:eastAsia="Palatino Linotype" w:hAnsi="Palatino Linotype" w:cs="Palatino Linotype"/>
          <w:sz w:val="22"/>
          <w:szCs w:val="22"/>
        </w:rPr>
        <w:t>dio respuesta a la solicitud en el siguiente sentido:</w:t>
      </w:r>
    </w:p>
    <w:p w14:paraId="685DFF25" w14:textId="77777777" w:rsidR="007D6DB5" w:rsidRPr="00823F54" w:rsidRDefault="007D6DB5" w:rsidP="007D6DB5">
      <w:pPr>
        <w:pStyle w:val="Prrafodelista"/>
        <w:rPr>
          <w:rFonts w:ascii="Palatino Linotype" w:eastAsia="Palatino Linotype" w:hAnsi="Palatino Linotype" w:cs="Palatino Linotype"/>
          <w:szCs w:val="22"/>
        </w:rPr>
      </w:pPr>
    </w:p>
    <w:tbl>
      <w:tblPr>
        <w:tblW w:w="7800" w:type="dxa"/>
        <w:jc w:val="center"/>
        <w:tblCellSpacing w:w="0" w:type="dxa"/>
        <w:tblCellMar>
          <w:left w:w="0" w:type="dxa"/>
          <w:right w:w="0" w:type="dxa"/>
        </w:tblCellMar>
        <w:tblLook w:val="04A0" w:firstRow="1" w:lastRow="0" w:firstColumn="1" w:lastColumn="0" w:noHBand="0" w:noVBand="1"/>
      </w:tblPr>
      <w:tblGrid>
        <w:gridCol w:w="7800"/>
      </w:tblGrid>
      <w:tr w:rsidR="007D6DB5" w:rsidRPr="00823F54" w14:paraId="4888EDA4" w14:textId="77777777" w:rsidTr="007D6DB5">
        <w:trPr>
          <w:trHeight w:val="324"/>
          <w:tblCellSpacing w:w="0" w:type="dxa"/>
          <w:jc w:val="center"/>
        </w:trPr>
        <w:tc>
          <w:tcPr>
            <w:tcW w:w="0" w:type="auto"/>
            <w:vAlign w:val="center"/>
            <w:hideMark/>
          </w:tcPr>
          <w:p w14:paraId="791227AC" w14:textId="77777777" w:rsidR="007D6DB5" w:rsidRPr="00823F54" w:rsidRDefault="007D6DB5" w:rsidP="007D6DB5">
            <w:pPr>
              <w:jc w:val="right"/>
              <w:rPr>
                <w:rFonts w:ascii="Palatino Linotype" w:hAnsi="Palatino Linotype"/>
                <w:i/>
                <w:sz w:val="22"/>
                <w:szCs w:val="22"/>
              </w:rPr>
            </w:pPr>
            <w:r w:rsidRPr="00823F54">
              <w:rPr>
                <w:rFonts w:ascii="Palatino Linotype" w:hAnsi="Palatino Linotype"/>
                <w:i/>
                <w:sz w:val="22"/>
                <w:szCs w:val="22"/>
              </w:rPr>
              <w:t>“Toluca, México a 17 de Mayo de 2024</w:t>
            </w:r>
          </w:p>
        </w:tc>
      </w:tr>
      <w:tr w:rsidR="007D6DB5" w:rsidRPr="00823F54" w14:paraId="6341C9D6" w14:textId="77777777" w:rsidTr="007D6DB5">
        <w:trPr>
          <w:trHeight w:val="324"/>
          <w:tblCellSpacing w:w="0" w:type="dxa"/>
          <w:jc w:val="center"/>
        </w:trPr>
        <w:tc>
          <w:tcPr>
            <w:tcW w:w="0" w:type="auto"/>
            <w:vAlign w:val="center"/>
            <w:hideMark/>
          </w:tcPr>
          <w:p w14:paraId="481185AB" w14:textId="77777777" w:rsidR="007D6DB5" w:rsidRPr="00823F54" w:rsidRDefault="007D6DB5" w:rsidP="007D6DB5">
            <w:pPr>
              <w:jc w:val="right"/>
              <w:rPr>
                <w:rFonts w:ascii="Palatino Linotype" w:hAnsi="Palatino Linotype"/>
                <w:i/>
                <w:sz w:val="22"/>
                <w:szCs w:val="22"/>
              </w:rPr>
            </w:pPr>
            <w:r w:rsidRPr="00823F54">
              <w:rPr>
                <w:rFonts w:ascii="Palatino Linotype" w:hAnsi="Palatino Linotype"/>
                <w:i/>
                <w:sz w:val="22"/>
                <w:szCs w:val="22"/>
              </w:rPr>
              <w:t>Nombre del solicitante: C. Solicitante</w:t>
            </w:r>
          </w:p>
        </w:tc>
      </w:tr>
      <w:tr w:rsidR="007D6DB5" w:rsidRPr="00823F54" w14:paraId="1CBE51AA" w14:textId="77777777" w:rsidTr="007D6DB5">
        <w:trPr>
          <w:trHeight w:val="324"/>
          <w:tblCellSpacing w:w="0" w:type="dxa"/>
          <w:jc w:val="center"/>
        </w:trPr>
        <w:tc>
          <w:tcPr>
            <w:tcW w:w="0" w:type="auto"/>
            <w:vAlign w:val="center"/>
            <w:hideMark/>
          </w:tcPr>
          <w:p w14:paraId="6DE8F2FA" w14:textId="77777777" w:rsidR="007D6DB5" w:rsidRPr="00823F54" w:rsidRDefault="007D6DB5" w:rsidP="007D6DB5">
            <w:pPr>
              <w:jc w:val="right"/>
              <w:rPr>
                <w:rFonts w:ascii="Palatino Linotype" w:hAnsi="Palatino Linotype"/>
                <w:i/>
                <w:sz w:val="22"/>
                <w:szCs w:val="22"/>
              </w:rPr>
            </w:pPr>
            <w:r w:rsidRPr="00823F54">
              <w:rPr>
                <w:rFonts w:ascii="Palatino Linotype" w:hAnsi="Palatino Linotype"/>
                <w:i/>
                <w:sz w:val="22"/>
                <w:szCs w:val="22"/>
              </w:rPr>
              <w:t>Folio de la solicitud: 00853/TOLUCA/IP/2024</w:t>
            </w:r>
          </w:p>
        </w:tc>
      </w:tr>
      <w:tr w:rsidR="007D6DB5" w:rsidRPr="00823F54" w14:paraId="280D1CBE" w14:textId="77777777" w:rsidTr="007D6DB5">
        <w:trPr>
          <w:trHeight w:val="486"/>
          <w:tblCellSpacing w:w="0" w:type="dxa"/>
          <w:jc w:val="center"/>
        </w:trPr>
        <w:tc>
          <w:tcPr>
            <w:tcW w:w="0" w:type="auto"/>
            <w:vAlign w:val="center"/>
            <w:hideMark/>
          </w:tcPr>
          <w:p w14:paraId="4C4FAF83" w14:textId="77777777" w:rsidR="007D6DB5" w:rsidRPr="00823F54" w:rsidRDefault="007D6DB5" w:rsidP="007D6DB5">
            <w:pPr>
              <w:jc w:val="right"/>
              <w:rPr>
                <w:rFonts w:ascii="Palatino Linotype" w:hAnsi="Palatino Linotype"/>
                <w:i/>
                <w:sz w:val="22"/>
                <w:szCs w:val="22"/>
              </w:rPr>
            </w:pPr>
          </w:p>
        </w:tc>
      </w:tr>
      <w:tr w:rsidR="007D6DB5" w:rsidRPr="00823F54" w14:paraId="1C57185C" w14:textId="77777777" w:rsidTr="007D6DB5">
        <w:trPr>
          <w:trHeight w:val="162"/>
          <w:tblCellSpacing w:w="0" w:type="dxa"/>
          <w:jc w:val="center"/>
        </w:trPr>
        <w:tc>
          <w:tcPr>
            <w:tcW w:w="0" w:type="auto"/>
            <w:vAlign w:val="center"/>
            <w:hideMark/>
          </w:tcPr>
          <w:p w14:paraId="1A146AEF" w14:textId="77777777" w:rsidR="007D6DB5" w:rsidRPr="00823F54" w:rsidRDefault="007D6DB5" w:rsidP="007D6DB5">
            <w:pPr>
              <w:rPr>
                <w:rFonts w:ascii="Palatino Linotype" w:hAnsi="Palatino Linotype"/>
                <w:i/>
                <w:sz w:val="22"/>
                <w:szCs w:val="22"/>
              </w:rPr>
            </w:pPr>
            <w:r w:rsidRPr="00823F54">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7D6DB5" w:rsidRPr="00823F54" w14:paraId="5A8C07FB" w14:textId="77777777" w:rsidTr="007D6DB5">
        <w:trPr>
          <w:trHeight w:val="405"/>
          <w:tblCellSpacing w:w="0" w:type="dxa"/>
          <w:jc w:val="center"/>
        </w:trPr>
        <w:tc>
          <w:tcPr>
            <w:tcW w:w="0" w:type="auto"/>
            <w:vAlign w:val="center"/>
            <w:hideMark/>
          </w:tcPr>
          <w:p w14:paraId="544E4A7A" w14:textId="77777777" w:rsidR="007D6DB5" w:rsidRPr="00823F54" w:rsidRDefault="007D6DB5" w:rsidP="007D6DB5">
            <w:pPr>
              <w:rPr>
                <w:rFonts w:ascii="Palatino Linotype" w:hAnsi="Palatino Linotype"/>
                <w:i/>
                <w:sz w:val="22"/>
                <w:szCs w:val="22"/>
              </w:rPr>
            </w:pPr>
          </w:p>
        </w:tc>
      </w:tr>
      <w:tr w:rsidR="007D6DB5" w:rsidRPr="00823F54" w14:paraId="2C742E7E" w14:textId="77777777" w:rsidTr="007D6DB5">
        <w:trPr>
          <w:trHeight w:val="162"/>
          <w:tblCellSpacing w:w="0" w:type="dxa"/>
          <w:jc w:val="center"/>
        </w:trPr>
        <w:tc>
          <w:tcPr>
            <w:tcW w:w="0" w:type="auto"/>
            <w:vAlign w:val="center"/>
            <w:hideMark/>
          </w:tcPr>
          <w:p w14:paraId="491B03F8" w14:textId="77777777" w:rsidR="007D6DB5" w:rsidRPr="00823F54" w:rsidRDefault="007D6DB5" w:rsidP="007D6DB5">
            <w:pPr>
              <w:rPr>
                <w:rFonts w:ascii="Palatino Linotype" w:hAnsi="Palatino Linotype"/>
                <w:i/>
                <w:sz w:val="22"/>
                <w:szCs w:val="22"/>
              </w:rPr>
            </w:pPr>
            <w:r w:rsidRPr="00823F54">
              <w:rPr>
                <w:rFonts w:ascii="Palatino Linotype" w:hAnsi="Palatino Linotype"/>
                <w:i/>
                <w:sz w:val="22"/>
                <w:szCs w:val="22"/>
              </w:rPr>
              <w:t>En atención a la solicitud con folio 00853/TOLUCA/IP/2024, me permito adjuntar al presente la respuesta correspondiente. Sin más por el momento, reciba un saludo.</w:t>
            </w:r>
          </w:p>
        </w:tc>
      </w:tr>
      <w:tr w:rsidR="007D6DB5" w:rsidRPr="00823F54" w14:paraId="25FB1AFE" w14:textId="77777777" w:rsidTr="007D6DB5">
        <w:trPr>
          <w:trHeight w:val="405"/>
          <w:tblCellSpacing w:w="0" w:type="dxa"/>
          <w:jc w:val="center"/>
        </w:trPr>
        <w:tc>
          <w:tcPr>
            <w:tcW w:w="0" w:type="auto"/>
            <w:vAlign w:val="center"/>
            <w:hideMark/>
          </w:tcPr>
          <w:p w14:paraId="002852BF" w14:textId="77777777" w:rsidR="007D6DB5" w:rsidRPr="00823F54" w:rsidRDefault="007D6DB5" w:rsidP="007D6DB5">
            <w:pPr>
              <w:rPr>
                <w:rFonts w:ascii="Palatino Linotype" w:hAnsi="Palatino Linotype"/>
                <w:i/>
                <w:sz w:val="22"/>
                <w:szCs w:val="22"/>
              </w:rPr>
            </w:pPr>
          </w:p>
        </w:tc>
      </w:tr>
      <w:tr w:rsidR="007D6DB5" w:rsidRPr="00823F54" w14:paraId="21501684" w14:textId="77777777" w:rsidTr="007D6DB5">
        <w:trPr>
          <w:trHeight w:val="162"/>
          <w:tblCellSpacing w:w="0" w:type="dxa"/>
          <w:jc w:val="center"/>
        </w:trPr>
        <w:tc>
          <w:tcPr>
            <w:tcW w:w="0" w:type="auto"/>
            <w:vAlign w:val="center"/>
            <w:hideMark/>
          </w:tcPr>
          <w:p w14:paraId="2D473F31" w14:textId="77777777" w:rsidR="007D6DB5" w:rsidRPr="00823F54" w:rsidRDefault="007D6DB5" w:rsidP="007D6DB5">
            <w:pPr>
              <w:jc w:val="center"/>
              <w:rPr>
                <w:rFonts w:ascii="Palatino Linotype" w:hAnsi="Palatino Linotype"/>
                <w:i/>
                <w:sz w:val="22"/>
                <w:szCs w:val="22"/>
              </w:rPr>
            </w:pPr>
          </w:p>
        </w:tc>
      </w:tr>
      <w:tr w:rsidR="007D6DB5" w:rsidRPr="00823F54" w14:paraId="7C2E2CE7" w14:textId="77777777" w:rsidTr="007D6DB5">
        <w:trPr>
          <w:trHeight w:val="162"/>
          <w:tblCellSpacing w:w="0" w:type="dxa"/>
          <w:jc w:val="center"/>
        </w:trPr>
        <w:tc>
          <w:tcPr>
            <w:tcW w:w="0" w:type="auto"/>
            <w:vAlign w:val="center"/>
            <w:hideMark/>
          </w:tcPr>
          <w:p w14:paraId="187C8605" w14:textId="77777777" w:rsidR="007D6DB5" w:rsidRPr="00823F54" w:rsidRDefault="007D6DB5" w:rsidP="007D6DB5">
            <w:pPr>
              <w:rPr>
                <w:rFonts w:ascii="Palatino Linotype" w:hAnsi="Palatino Linotype"/>
                <w:i/>
                <w:sz w:val="22"/>
                <w:szCs w:val="22"/>
              </w:rPr>
            </w:pPr>
          </w:p>
        </w:tc>
      </w:tr>
      <w:tr w:rsidR="007D6DB5" w:rsidRPr="00823F54" w14:paraId="77382CE3" w14:textId="77777777" w:rsidTr="007D6DB5">
        <w:trPr>
          <w:trHeight w:val="162"/>
          <w:tblCellSpacing w:w="0" w:type="dxa"/>
          <w:jc w:val="center"/>
        </w:trPr>
        <w:tc>
          <w:tcPr>
            <w:tcW w:w="0" w:type="auto"/>
            <w:vAlign w:val="center"/>
            <w:hideMark/>
          </w:tcPr>
          <w:p w14:paraId="127D97E0" w14:textId="77777777" w:rsidR="007D6DB5" w:rsidRPr="00823F54" w:rsidRDefault="007D6DB5" w:rsidP="007D6DB5">
            <w:pPr>
              <w:rPr>
                <w:rFonts w:ascii="Palatino Linotype" w:hAnsi="Palatino Linotype"/>
                <w:i/>
                <w:sz w:val="22"/>
                <w:szCs w:val="22"/>
              </w:rPr>
            </w:pPr>
            <w:r w:rsidRPr="00823F54">
              <w:rPr>
                <w:rFonts w:ascii="Palatino Linotype" w:hAnsi="Palatino Linotype"/>
                <w:i/>
                <w:sz w:val="22"/>
                <w:szCs w:val="22"/>
              </w:rPr>
              <w:t>ATENTAMENTE</w:t>
            </w:r>
          </w:p>
        </w:tc>
      </w:tr>
      <w:tr w:rsidR="007D6DB5" w:rsidRPr="00823F54" w14:paraId="59EB7A03" w14:textId="77777777" w:rsidTr="007D6DB5">
        <w:trPr>
          <w:trHeight w:val="243"/>
          <w:tblCellSpacing w:w="0" w:type="dxa"/>
          <w:jc w:val="center"/>
        </w:trPr>
        <w:tc>
          <w:tcPr>
            <w:tcW w:w="0" w:type="auto"/>
            <w:vAlign w:val="center"/>
            <w:hideMark/>
          </w:tcPr>
          <w:p w14:paraId="411EE95D" w14:textId="77777777" w:rsidR="007D6DB5" w:rsidRPr="00823F54" w:rsidRDefault="007D6DB5" w:rsidP="007D6DB5">
            <w:pPr>
              <w:rPr>
                <w:rFonts w:ascii="Palatino Linotype" w:hAnsi="Palatino Linotype"/>
                <w:i/>
                <w:sz w:val="22"/>
                <w:szCs w:val="22"/>
              </w:rPr>
            </w:pPr>
          </w:p>
        </w:tc>
      </w:tr>
      <w:tr w:rsidR="007D6DB5" w:rsidRPr="00823F54" w14:paraId="638967E1" w14:textId="77777777" w:rsidTr="007D6DB5">
        <w:trPr>
          <w:trHeight w:val="162"/>
          <w:tblCellSpacing w:w="0" w:type="dxa"/>
          <w:jc w:val="center"/>
        </w:trPr>
        <w:tc>
          <w:tcPr>
            <w:tcW w:w="0" w:type="auto"/>
            <w:vAlign w:val="center"/>
            <w:hideMark/>
          </w:tcPr>
          <w:p w14:paraId="39B4AE24" w14:textId="77777777" w:rsidR="007D6DB5" w:rsidRPr="00823F54" w:rsidRDefault="007D6DB5" w:rsidP="007D6DB5">
            <w:pPr>
              <w:rPr>
                <w:rFonts w:ascii="Palatino Linotype" w:hAnsi="Palatino Linotype"/>
                <w:i/>
                <w:sz w:val="22"/>
                <w:szCs w:val="22"/>
              </w:rPr>
            </w:pPr>
            <w:r w:rsidRPr="00823F54">
              <w:rPr>
                <w:rFonts w:ascii="Palatino Linotype" w:hAnsi="Palatino Linotype"/>
                <w:i/>
                <w:sz w:val="22"/>
                <w:szCs w:val="22"/>
              </w:rPr>
              <w:t>Lic. Norma Sofía Pérez Martínez”</w:t>
            </w:r>
          </w:p>
        </w:tc>
      </w:tr>
    </w:tbl>
    <w:p w14:paraId="2963038C" w14:textId="77777777" w:rsidR="007D6DB5" w:rsidRPr="00823F54" w:rsidRDefault="007D6DB5" w:rsidP="007D6DB5">
      <w:pPr>
        <w:tabs>
          <w:tab w:val="left" w:pos="0"/>
        </w:tabs>
        <w:spacing w:line="360" w:lineRule="auto"/>
        <w:ind w:right="34"/>
        <w:jc w:val="both"/>
        <w:rPr>
          <w:rFonts w:ascii="Palatino Linotype" w:eastAsia="Palatino Linotype" w:hAnsi="Palatino Linotype" w:cs="Palatino Linotype"/>
          <w:sz w:val="22"/>
          <w:szCs w:val="22"/>
        </w:rPr>
      </w:pPr>
    </w:p>
    <w:p w14:paraId="568BDF69" w14:textId="77777777" w:rsidR="00393E7E" w:rsidRPr="00823F54" w:rsidRDefault="00393E7E" w:rsidP="00393E7E">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color w:val="000000"/>
          <w:sz w:val="22"/>
          <w:szCs w:val="22"/>
        </w:rPr>
      </w:pPr>
    </w:p>
    <w:p w14:paraId="4F0698E8" w14:textId="77777777" w:rsidR="00393E7E" w:rsidRPr="00823F54" w:rsidRDefault="007D6DB5" w:rsidP="007D6DB5">
      <w:p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A la respuesta se adjuntaron los archivos que se describen enseguida:</w:t>
      </w:r>
    </w:p>
    <w:p w14:paraId="4B24ED59" w14:textId="77777777" w:rsidR="007D6DB5" w:rsidRPr="00823F54" w:rsidRDefault="00852AC5" w:rsidP="00981785">
      <w:pPr>
        <w:pStyle w:val="Prrafodelista"/>
        <w:numPr>
          <w:ilvl w:val="0"/>
          <w:numId w:val="11"/>
        </w:numPr>
        <w:pBdr>
          <w:top w:val="nil"/>
          <w:left w:val="nil"/>
          <w:bottom w:val="nil"/>
          <w:right w:val="nil"/>
          <w:between w:val="nil"/>
        </w:pBdr>
        <w:tabs>
          <w:tab w:val="left" w:pos="0"/>
        </w:tabs>
        <w:spacing w:line="360" w:lineRule="auto"/>
        <w:ind w:right="34"/>
        <w:rPr>
          <w:rFonts w:ascii="Palatino Linotype" w:hAnsi="Palatino Linotype"/>
          <w:szCs w:val="22"/>
        </w:rPr>
      </w:pPr>
      <w:hyperlink r:id="rId7" w:tgtFrame="_blank" w:history="1">
        <w:r w:rsidR="007D6DB5" w:rsidRPr="00823F54">
          <w:rPr>
            <w:rStyle w:val="Hipervnculo"/>
            <w:rFonts w:ascii="Palatino Linotype" w:eastAsiaTheme="majorEastAsia" w:hAnsi="Palatino Linotype" w:cs="Arial"/>
            <w:b/>
            <w:bCs/>
            <w:color w:val="auto"/>
            <w:szCs w:val="22"/>
          </w:rPr>
          <w:t>2023.pdf</w:t>
        </w:r>
      </w:hyperlink>
      <w:r w:rsidR="007D6DB5" w:rsidRPr="00823F54">
        <w:rPr>
          <w:rFonts w:ascii="Palatino Linotype" w:hAnsi="Palatino Linotype"/>
          <w:szCs w:val="22"/>
        </w:rPr>
        <w:t>: documentos en formato pdf, que consta de 83 fojas con el nombre</w:t>
      </w:r>
      <w:r w:rsidR="00981785" w:rsidRPr="00823F54">
        <w:rPr>
          <w:rFonts w:ascii="Palatino Linotype" w:hAnsi="Palatino Linotype"/>
          <w:szCs w:val="22"/>
        </w:rPr>
        <w:t xml:space="preserve">, tipo de empleado, adscripción, percepciones, deducciones y sueldo neto. </w:t>
      </w:r>
    </w:p>
    <w:p w14:paraId="62B24CD7" w14:textId="77777777" w:rsidR="007D6DB5" w:rsidRPr="00823F54" w:rsidRDefault="00852AC5" w:rsidP="007D6DB5">
      <w:pPr>
        <w:pStyle w:val="Prrafodelista"/>
        <w:numPr>
          <w:ilvl w:val="0"/>
          <w:numId w:val="11"/>
        </w:numPr>
        <w:pBdr>
          <w:top w:val="nil"/>
          <w:left w:val="nil"/>
          <w:bottom w:val="nil"/>
          <w:right w:val="nil"/>
          <w:between w:val="nil"/>
        </w:pBdr>
        <w:tabs>
          <w:tab w:val="left" w:pos="0"/>
        </w:tabs>
        <w:spacing w:line="360" w:lineRule="auto"/>
        <w:ind w:right="34"/>
        <w:rPr>
          <w:rFonts w:ascii="Palatino Linotype" w:hAnsi="Palatino Linotype"/>
          <w:szCs w:val="22"/>
        </w:rPr>
      </w:pPr>
      <w:hyperlink r:id="rId8" w:tgtFrame="_blank" w:history="1">
        <w:r w:rsidR="007D6DB5" w:rsidRPr="00823F54">
          <w:rPr>
            <w:rStyle w:val="Hipervnculo"/>
            <w:rFonts w:ascii="Palatino Linotype" w:eastAsiaTheme="majorEastAsia" w:hAnsi="Palatino Linotype" w:cs="Arial"/>
            <w:b/>
            <w:bCs/>
            <w:color w:val="auto"/>
            <w:szCs w:val="22"/>
          </w:rPr>
          <w:t>2021.pdf</w:t>
        </w:r>
      </w:hyperlink>
      <w:r w:rsidR="007D6DB5" w:rsidRPr="00823F54">
        <w:rPr>
          <w:rFonts w:ascii="Palatino Linotype" w:hAnsi="Palatino Linotype"/>
          <w:szCs w:val="22"/>
        </w:rPr>
        <w:t>:</w:t>
      </w:r>
      <w:r w:rsidR="00981785" w:rsidRPr="00823F54">
        <w:rPr>
          <w:rFonts w:ascii="Palatino Linotype" w:hAnsi="Palatino Linotype"/>
          <w:szCs w:val="22"/>
        </w:rPr>
        <w:t xml:space="preserve"> documentos en formato pdf, que consta de 70 fojas con el nombre, tipo de empleado, adscripción, percepciones, deducciones y sueldo neto.</w:t>
      </w:r>
    </w:p>
    <w:p w14:paraId="6D3AC851" w14:textId="77777777" w:rsidR="007D6DB5" w:rsidRPr="00823F54" w:rsidRDefault="00852AC5" w:rsidP="007D6DB5">
      <w:pPr>
        <w:pStyle w:val="Prrafodelista"/>
        <w:numPr>
          <w:ilvl w:val="0"/>
          <w:numId w:val="11"/>
        </w:numPr>
        <w:pBdr>
          <w:top w:val="nil"/>
          <w:left w:val="nil"/>
          <w:bottom w:val="nil"/>
          <w:right w:val="nil"/>
          <w:between w:val="nil"/>
        </w:pBdr>
        <w:tabs>
          <w:tab w:val="left" w:pos="0"/>
        </w:tabs>
        <w:spacing w:line="360" w:lineRule="auto"/>
        <w:ind w:right="34"/>
        <w:rPr>
          <w:rFonts w:ascii="Palatino Linotype" w:hAnsi="Palatino Linotype"/>
          <w:szCs w:val="22"/>
        </w:rPr>
      </w:pPr>
      <w:hyperlink r:id="rId9" w:tgtFrame="_blank" w:history="1">
        <w:r w:rsidR="007D6DB5" w:rsidRPr="00823F54">
          <w:rPr>
            <w:rStyle w:val="Hipervnculo"/>
            <w:rFonts w:ascii="Palatino Linotype" w:eastAsiaTheme="majorEastAsia" w:hAnsi="Palatino Linotype" w:cs="Arial"/>
            <w:b/>
            <w:bCs/>
            <w:color w:val="auto"/>
            <w:szCs w:val="22"/>
          </w:rPr>
          <w:t>2020.pdf</w:t>
        </w:r>
      </w:hyperlink>
      <w:r w:rsidR="007D6DB5" w:rsidRPr="00823F54">
        <w:rPr>
          <w:rFonts w:ascii="Palatino Linotype" w:hAnsi="Palatino Linotype"/>
          <w:szCs w:val="22"/>
        </w:rPr>
        <w:t>:</w:t>
      </w:r>
      <w:r w:rsidR="00981785" w:rsidRPr="00823F54">
        <w:rPr>
          <w:rFonts w:ascii="Palatino Linotype" w:hAnsi="Palatino Linotype"/>
          <w:szCs w:val="22"/>
        </w:rPr>
        <w:t xml:space="preserve"> documentos en formato pdf, que consta de 82 fojas con el nombre, tipo de empleado, adscripción, percepciones, deducciones y sueldo neto.</w:t>
      </w:r>
    </w:p>
    <w:p w14:paraId="0323C111" w14:textId="77777777" w:rsidR="007D6DB5" w:rsidRPr="00823F54" w:rsidRDefault="00852AC5" w:rsidP="007D6DB5">
      <w:pPr>
        <w:pStyle w:val="Prrafodelista"/>
        <w:numPr>
          <w:ilvl w:val="0"/>
          <w:numId w:val="11"/>
        </w:numPr>
        <w:pBdr>
          <w:top w:val="nil"/>
          <w:left w:val="nil"/>
          <w:bottom w:val="nil"/>
          <w:right w:val="nil"/>
          <w:between w:val="nil"/>
        </w:pBdr>
        <w:tabs>
          <w:tab w:val="left" w:pos="0"/>
        </w:tabs>
        <w:spacing w:line="360" w:lineRule="auto"/>
        <w:ind w:right="34"/>
        <w:rPr>
          <w:rFonts w:ascii="Palatino Linotype" w:hAnsi="Palatino Linotype"/>
          <w:szCs w:val="22"/>
        </w:rPr>
      </w:pPr>
      <w:hyperlink r:id="rId10" w:tgtFrame="_blank" w:history="1">
        <w:r w:rsidR="007D6DB5" w:rsidRPr="00823F54">
          <w:rPr>
            <w:rStyle w:val="Hipervnculo"/>
            <w:rFonts w:ascii="Palatino Linotype" w:eastAsiaTheme="majorEastAsia" w:hAnsi="Palatino Linotype" w:cs="Arial"/>
            <w:b/>
            <w:bCs/>
            <w:color w:val="auto"/>
            <w:szCs w:val="22"/>
          </w:rPr>
          <w:t>2022.pdf</w:t>
        </w:r>
      </w:hyperlink>
      <w:r w:rsidR="007D6DB5" w:rsidRPr="00823F54">
        <w:rPr>
          <w:rFonts w:ascii="Palatino Linotype" w:hAnsi="Palatino Linotype"/>
          <w:szCs w:val="22"/>
        </w:rPr>
        <w:t>:</w:t>
      </w:r>
      <w:r w:rsidR="00981785" w:rsidRPr="00823F54">
        <w:rPr>
          <w:rFonts w:ascii="Palatino Linotype" w:hAnsi="Palatino Linotype"/>
          <w:szCs w:val="22"/>
        </w:rPr>
        <w:t xml:space="preserve"> documentos en formato pdf, que consta de 75 fojas con el nombre, tipo de empleado, adscripción, percepciones, deducciones y sueldo neto.</w:t>
      </w:r>
    </w:p>
    <w:p w14:paraId="0DB2638C" w14:textId="77777777" w:rsidR="007D6DB5" w:rsidRPr="00823F54" w:rsidRDefault="00852AC5" w:rsidP="007D6DB5">
      <w:pPr>
        <w:pStyle w:val="Prrafodelista"/>
        <w:numPr>
          <w:ilvl w:val="0"/>
          <w:numId w:val="11"/>
        </w:numPr>
        <w:pBdr>
          <w:top w:val="nil"/>
          <w:left w:val="nil"/>
          <w:bottom w:val="nil"/>
          <w:right w:val="nil"/>
          <w:between w:val="nil"/>
        </w:pBdr>
        <w:tabs>
          <w:tab w:val="left" w:pos="0"/>
        </w:tabs>
        <w:spacing w:line="360" w:lineRule="auto"/>
        <w:ind w:right="34"/>
        <w:rPr>
          <w:rFonts w:ascii="Palatino Linotype" w:hAnsi="Palatino Linotype"/>
          <w:szCs w:val="22"/>
        </w:rPr>
      </w:pPr>
      <w:hyperlink r:id="rId11" w:tgtFrame="_blank" w:history="1">
        <w:r w:rsidR="007D6DB5" w:rsidRPr="00823F54">
          <w:rPr>
            <w:rStyle w:val="Hipervnculo"/>
            <w:rFonts w:ascii="Palatino Linotype" w:eastAsiaTheme="majorEastAsia" w:hAnsi="Palatino Linotype" w:cs="Arial"/>
            <w:b/>
            <w:bCs/>
            <w:color w:val="auto"/>
            <w:szCs w:val="22"/>
          </w:rPr>
          <w:t>IMMT_RSIP_853.pdf</w:t>
        </w:r>
      </w:hyperlink>
      <w:r w:rsidR="007D6DB5" w:rsidRPr="00823F54">
        <w:rPr>
          <w:rFonts w:ascii="Palatino Linotype" w:hAnsi="Palatino Linotype"/>
          <w:szCs w:val="22"/>
        </w:rPr>
        <w:t>:</w:t>
      </w:r>
      <w:r w:rsidR="00981785" w:rsidRPr="00823F54">
        <w:rPr>
          <w:rFonts w:ascii="Palatino Linotype" w:hAnsi="Palatino Linotype"/>
          <w:szCs w:val="22"/>
        </w:rPr>
        <w:t xml:space="preserve"> documento en formato pdf, que consta de 8 fojas referentes a las remuneraciones mandos superiores y medios del Instituto Municipal de la Mujer, correspondiente al ejercicio 2020, 2021, 2022 y 2023, en el que se advierte el mes. Mando, sueldo neto primera y segunda quincena y total. </w:t>
      </w:r>
    </w:p>
    <w:p w14:paraId="0FA1B873" w14:textId="77777777" w:rsidR="007D6DB5" w:rsidRPr="00823F54" w:rsidRDefault="00852AC5" w:rsidP="007D6DB5">
      <w:pPr>
        <w:pStyle w:val="Prrafodelista"/>
        <w:numPr>
          <w:ilvl w:val="0"/>
          <w:numId w:val="11"/>
        </w:numPr>
        <w:pBdr>
          <w:top w:val="nil"/>
          <w:left w:val="nil"/>
          <w:bottom w:val="nil"/>
          <w:right w:val="nil"/>
          <w:between w:val="nil"/>
        </w:pBdr>
        <w:tabs>
          <w:tab w:val="left" w:pos="0"/>
        </w:tabs>
        <w:spacing w:line="360" w:lineRule="auto"/>
        <w:ind w:right="34"/>
        <w:rPr>
          <w:rFonts w:ascii="Palatino Linotype" w:hAnsi="Palatino Linotype"/>
          <w:szCs w:val="22"/>
        </w:rPr>
      </w:pPr>
      <w:hyperlink r:id="rId12" w:tgtFrame="_blank" w:history="1">
        <w:r w:rsidR="007D6DB5" w:rsidRPr="00823F54">
          <w:rPr>
            <w:rStyle w:val="Hipervnculo"/>
            <w:rFonts w:ascii="Palatino Linotype" w:eastAsiaTheme="majorEastAsia" w:hAnsi="Palatino Linotype" w:cs="Arial"/>
            <w:b/>
            <w:bCs/>
            <w:color w:val="auto"/>
            <w:szCs w:val="22"/>
          </w:rPr>
          <w:t>IMCUFIDE 0853.pdf</w:t>
        </w:r>
      </w:hyperlink>
      <w:r w:rsidR="007D6DB5" w:rsidRPr="00823F54">
        <w:rPr>
          <w:rFonts w:ascii="Palatino Linotype" w:hAnsi="Palatino Linotype"/>
          <w:szCs w:val="22"/>
        </w:rPr>
        <w:t>:</w:t>
      </w:r>
      <w:r w:rsidR="00981785" w:rsidRPr="00823F54">
        <w:rPr>
          <w:rFonts w:ascii="Palatino Linotype" w:hAnsi="Palatino Linotype"/>
          <w:szCs w:val="22"/>
        </w:rPr>
        <w:t xml:space="preserve"> documento en formato pdf, del Instituto Municipal de Cultura Física y Deporte de Toluca de la Coordinación de Administración y Finanzas, correspondientes al año 2020, 2021, 2022 y 2023.</w:t>
      </w:r>
    </w:p>
    <w:p w14:paraId="4A2DBBF0" w14:textId="77777777" w:rsidR="007D6DB5" w:rsidRPr="00823F54" w:rsidRDefault="00852AC5" w:rsidP="007D6DB5">
      <w:pPr>
        <w:pStyle w:val="Prrafodelista"/>
        <w:numPr>
          <w:ilvl w:val="0"/>
          <w:numId w:val="11"/>
        </w:numPr>
        <w:pBdr>
          <w:top w:val="nil"/>
          <w:left w:val="nil"/>
          <w:bottom w:val="nil"/>
          <w:right w:val="nil"/>
          <w:between w:val="nil"/>
        </w:pBdr>
        <w:tabs>
          <w:tab w:val="left" w:pos="0"/>
        </w:tabs>
        <w:spacing w:line="360" w:lineRule="auto"/>
        <w:ind w:right="34"/>
        <w:rPr>
          <w:rFonts w:ascii="Palatino Linotype" w:hAnsi="Palatino Linotype"/>
          <w:szCs w:val="22"/>
        </w:rPr>
      </w:pPr>
      <w:hyperlink r:id="rId13" w:tgtFrame="_blank" w:history="1">
        <w:r w:rsidR="007D6DB5" w:rsidRPr="00823F54">
          <w:rPr>
            <w:rStyle w:val="Hipervnculo"/>
            <w:rFonts w:ascii="Palatino Linotype" w:eastAsiaTheme="majorEastAsia" w:hAnsi="Palatino Linotype" w:cs="Arial"/>
            <w:b/>
            <w:bCs/>
            <w:color w:val="auto"/>
            <w:szCs w:val="22"/>
          </w:rPr>
          <w:t>Respuesta 00853_24.pdf</w:t>
        </w:r>
      </w:hyperlink>
      <w:r w:rsidR="007D6DB5" w:rsidRPr="00823F54">
        <w:rPr>
          <w:rFonts w:ascii="Palatino Linotype" w:hAnsi="Palatino Linotype"/>
          <w:szCs w:val="22"/>
        </w:rPr>
        <w:t>:</w:t>
      </w:r>
      <w:r w:rsidR="00981785" w:rsidRPr="00823F54">
        <w:rPr>
          <w:rFonts w:ascii="Palatino Linotype" w:hAnsi="Palatino Linotype"/>
          <w:szCs w:val="22"/>
        </w:rPr>
        <w:t xml:space="preserve"> respuesta del Titular de la Unidad de Transparencia, </w:t>
      </w:r>
      <w:r w:rsidR="00D17BF7" w:rsidRPr="00823F54">
        <w:rPr>
          <w:rFonts w:ascii="Palatino Linotype" w:hAnsi="Palatino Linotype"/>
          <w:szCs w:val="22"/>
        </w:rPr>
        <w:t xml:space="preserve">en el que señaló que se hace entrega de la respuestas emitidas por los servidores públicos habilitados de la Dirección General de Administración, Instituto Municipal de la Mujer y Dirección General del Instituto Municipal de Cultura Física y Deporte. </w:t>
      </w:r>
    </w:p>
    <w:p w14:paraId="578FCDD0" w14:textId="77777777" w:rsidR="007D6DB5" w:rsidRPr="00823F54" w:rsidRDefault="007D6DB5" w:rsidP="007D6DB5">
      <w:p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sz w:val="22"/>
          <w:szCs w:val="22"/>
        </w:rPr>
      </w:pPr>
    </w:p>
    <w:p w14:paraId="42D7866B" w14:textId="77777777" w:rsidR="00393E7E" w:rsidRPr="00823F54" w:rsidRDefault="00D17BF7" w:rsidP="00393E7E">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color w:val="000000"/>
          <w:sz w:val="22"/>
          <w:szCs w:val="22"/>
        </w:rPr>
        <w:t>En el veinte (20)</w:t>
      </w:r>
      <w:r w:rsidR="00393E7E" w:rsidRPr="00823F54">
        <w:rPr>
          <w:rFonts w:ascii="Palatino Linotype" w:eastAsia="Palatino Linotype" w:hAnsi="Palatino Linotype" w:cs="Palatino Linotype"/>
          <w:color w:val="000000"/>
          <w:sz w:val="22"/>
          <w:szCs w:val="22"/>
        </w:rPr>
        <w:t>) de mayo de dos mil veinticuatro</w:t>
      </w:r>
      <w:r w:rsidR="00393E7E" w:rsidRPr="00823F54">
        <w:rPr>
          <w:rFonts w:ascii="Palatino Linotype" w:eastAsia="Palatino Linotype" w:hAnsi="Palatino Linotype" w:cs="Palatino Linotype"/>
          <w:b/>
          <w:color w:val="000000"/>
          <w:sz w:val="22"/>
          <w:szCs w:val="22"/>
        </w:rPr>
        <w:t>,</w:t>
      </w:r>
      <w:r w:rsidR="00393E7E" w:rsidRPr="00823F54">
        <w:rPr>
          <w:rFonts w:ascii="Palatino Linotype" w:eastAsia="Palatino Linotype" w:hAnsi="Palatino Linotype" w:cs="Palatino Linotype"/>
          <w:color w:val="000000"/>
          <w:sz w:val="22"/>
          <w:szCs w:val="22"/>
        </w:rPr>
        <w:t xml:space="preserve"> </w:t>
      </w:r>
      <w:r w:rsidR="00393E7E" w:rsidRPr="00823F54">
        <w:rPr>
          <w:rFonts w:ascii="Palatino Linotype" w:eastAsia="Palatino Linotype" w:hAnsi="Palatino Linotype" w:cs="Palatino Linotype"/>
          <w:b/>
          <w:color w:val="000000"/>
          <w:sz w:val="22"/>
          <w:szCs w:val="22"/>
        </w:rPr>
        <w:t xml:space="preserve"> </w:t>
      </w:r>
      <w:r w:rsidR="00393E7E" w:rsidRPr="00823F54">
        <w:rPr>
          <w:rFonts w:ascii="Palatino Linotype" w:eastAsia="Palatino Linotype" w:hAnsi="Palatino Linotype" w:cs="Palatino Linotype"/>
          <w:color w:val="000000"/>
          <w:sz w:val="22"/>
          <w:szCs w:val="22"/>
        </w:rPr>
        <w:t>el solicitante interpuso el recurso de revisión, señalando como:</w:t>
      </w:r>
    </w:p>
    <w:p w14:paraId="614C9940" w14:textId="77777777" w:rsidR="00393E7E" w:rsidRPr="00823F54" w:rsidRDefault="00393E7E" w:rsidP="00393E7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14:paraId="52A0190C" w14:textId="77777777" w:rsidR="00393E7E" w:rsidRPr="00823F54" w:rsidRDefault="00393E7E" w:rsidP="00393E7E">
      <w:pPr>
        <w:tabs>
          <w:tab w:val="left" w:pos="851"/>
          <w:tab w:val="left" w:pos="8222"/>
        </w:tabs>
        <w:spacing w:line="360" w:lineRule="auto"/>
        <w:ind w:left="851" w:right="567"/>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b/>
          <w:sz w:val="22"/>
          <w:szCs w:val="22"/>
        </w:rPr>
        <w:t>Acto impugnado:</w:t>
      </w:r>
      <w:r w:rsidRPr="00823F54">
        <w:rPr>
          <w:rFonts w:ascii="Palatino Linotype" w:eastAsia="Palatino Linotype" w:hAnsi="Palatino Linotype" w:cs="Palatino Linotype"/>
          <w:i/>
          <w:sz w:val="22"/>
          <w:szCs w:val="22"/>
        </w:rPr>
        <w:t xml:space="preserve"> </w:t>
      </w:r>
      <w:r w:rsidRPr="00823F54">
        <w:rPr>
          <w:rFonts w:ascii="Palatino Linotype" w:eastAsia="Palatino Linotype" w:hAnsi="Palatino Linotype" w:cs="Palatino Linotype"/>
          <w:sz w:val="22"/>
          <w:szCs w:val="22"/>
        </w:rPr>
        <w:t>“</w:t>
      </w:r>
      <w:r w:rsidR="00D17BF7" w:rsidRPr="00823F54">
        <w:rPr>
          <w:rFonts w:ascii="Palatino Linotype" w:eastAsia="Palatino Linotype" w:hAnsi="Palatino Linotype" w:cs="Palatino Linotype"/>
          <w:i/>
          <w:color w:val="000000"/>
          <w:sz w:val="22"/>
          <w:szCs w:val="22"/>
        </w:rPr>
        <w:t>La información entregada, no esta completa, en virtud que no mandan el detalle de cada una de las persepciones y deducciones de Ley.</w:t>
      </w:r>
      <w:r w:rsidRPr="00823F54">
        <w:rPr>
          <w:rFonts w:ascii="Palatino Linotype" w:eastAsia="Palatino Linotype" w:hAnsi="Palatino Linotype" w:cs="Palatino Linotype"/>
          <w:i/>
          <w:color w:val="000000"/>
          <w:sz w:val="22"/>
          <w:szCs w:val="22"/>
        </w:rPr>
        <w:t>”</w:t>
      </w:r>
      <w:r w:rsidRPr="00823F54">
        <w:rPr>
          <w:rFonts w:ascii="Palatino Linotype" w:eastAsia="Palatino Linotype" w:hAnsi="Palatino Linotype" w:cs="Palatino Linotype"/>
          <w:i/>
          <w:sz w:val="22"/>
          <w:szCs w:val="22"/>
        </w:rPr>
        <w:t xml:space="preserve"> (Sic) </w:t>
      </w:r>
    </w:p>
    <w:p w14:paraId="62EDB14E" w14:textId="77777777" w:rsidR="00393E7E" w:rsidRPr="00823F54" w:rsidRDefault="00393E7E" w:rsidP="00393E7E">
      <w:pPr>
        <w:tabs>
          <w:tab w:val="left" w:pos="0"/>
        </w:tabs>
        <w:spacing w:line="360" w:lineRule="auto"/>
        <w:ind w:left="567" w:hanging="141"/>
        <w:rPr>
          <w:rFonts w:ascii="Palatino Linotype" w:eastAsia="Palatino Linotype" w:hAnsi="Palatino Linotype" w:cs="Palatino Linotype"/>
          <w:i/>
          <w:sz w:val="22"/>
          <w:szCs w:val="22"/>
        </w:rPr>
      </w:pPr>
    </w:p>
    <w:p w14:paraId="53B7F645" w14:textId="77777777" w:rsidR="00393E7E" w:rsidRPr="00823F54" w:rsidRDefault="00393E7E" w:rsidP="00393E7E">
      <w:pPr>
        <w:tabs>
          <w:tab w:val="left" w:pos="851"/>
        </w:tabs>
        <w:spacing w:line="360" w:lineRule="auto"/>
        <w:ind w:left="851" w:right="567"/>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b/>
          <w:sz w:val="22"/>
          <w:szCs w:val="22"/>
        </w:rPr>
        <w:t>Razones o Motivos de inconformidad: “</w:t>
      </w:r>
      <w:r w:rsidR="00D17BF7" w:rsidRPr="00823F54">
        <w:rPr>
          <w:rFonts w:ascii="Palatino Linotype" w:eastAsia="Palatino Linotype" w:hAnsi="Palatino Linotype" w:cs="Palatino Linotype"/>
          <w:i/>
          <w:sz w:val="22"/>
          <w:szCs w:val="22"/>
        </w:rPr>
        <w:t>La información requerida de la solicitud número 00853/TOLUCA/IP/2024, en donde se solicita el reporte de Remuneraciones a Mandos Medios y Superiores del Municipio de Toluca, de los mese de enero a diciembre para los ejercicios 2020, 2021, 2022 y 2023 adolece de los requisitos que establecidos para supresentación de acurdo a los Lineamientos para la Entrega de los Informes Trimestrales , emitidos por el Órgano Superior de Fiscalización del Estado de México (OSFEM), y al artículo 92 fracción VIII de la Ley de Transparencia y Acceso a la Información Pública para el Estado de Mexico y sus Municipios; motivo por el cual se infiere que, el sujeto obligado atesora en sus archivos la información solicitada con las características y cada uno de los conceptos requeridos</w:t>
      </w:r>
      <w:r w:rsidRPr="00823F54">
        <w:rPr>
          <w:rFonts w:ascii="Palatino Linotype" w:eastAsia="Palatino Linotype" w:hAnsi="Palatino Linotype" w:cs="Palatino Linotype"/>
          <w:i/>
          <w:sz w:val="22"/>
          <w:szCs w:val="22"/>
        </w:rPr>
        <w:t>.” (sic)</w:t>
      </w:r>
    </w:p>
    <w:p w14:paraId="536F9559" w14:textId="77777777" w:rsidR="00393E7E" w:rsidRPr="00823F54" w:rsidRDefault="00393E7E" w:rsidP="00393E7E">
      <w:pPr>
        <w:tabs>
          <w:tab w:val="left" w:pos="851"/>
        </w:tabs>
        <w:spacing w:line="360" w:lineRule="auto"/>
        <w:ind w:right="567"/>
        <w:jc w:val="both"/>
        <w:rPr>
          <w:rFonts w:ascii="Palatino Linotype" w:eastAsia="Palatino Linotype" w:hAnsi="Palatino Linotype" w:cs="Palatino Linotype"/>
          <w:i/>
          <w:sz w:val="22"/>
          <w:szCs w:val="22"/>
        </w:rPr>
      </w:pPr>
    </w:p>
    <w:p w14:paraId="7AC160D4" w14:textId="77777777" w:rsidR="00D17BF7" w:rsidRPr="00823F54" w:rsidRDefault="00D17BF7" w:rsidP="00831835">
      <w:pPr>
        <w:numPr>
          <w:ilvl w:val="0"/>
          <w:numId w:val="13"/>
        </w:numPr>
        <w:spacing w:before="100" w:beforeAutospacing="1" w:after="100" w:afterAutospacing="1" w:line="360" w:lineRule="auto"/>
        <w:jc w:val="both"/>
        <w:rPr>
          <w:rFonts w:ascii="Palatino Linotype" w:hAnsi="Palatino Linotype" w:cs="Arial"/>
          <w:color w:val="333333"/>
          <w:sz w:val="22"/>
          <w:szCs w:val="22"/>
        </w:rPr>
      </w:pPr>
      <w:r w:rsidRPr="00823F54">
        <w:rPr>
          <w:rFonts w:ascii="Palatino Linotype" w:eastAsia="Palatino Linotype" w:hAnsi="Palatino Linotype" w:cs="Palatino Linotype"/>
          <w:sz w:val="22"/>
          <w:szCs w:val="22"/>
        </w:rPr>
        <w:t xml:space="preserve">Al recurso de revisión se adjuntó el archivo </w:t>
      </w:r>
      <w:hyperlink r:id="rId14" w:tgtFrame="_blank" w:history="1">
        <w:r w:rsidRPr="00823F54">
          <w:rPr>
            <w:rStyle w:val="Hipervnculo"/>
            <w:rFonts w:ascii="Palatino Linotype" w:eastAsiaTheme="majorEastAsia" w:hAnsi="Palatino Linotype" w:cs="Arial"/>
            <w:b/>
            <w:bCs/>
            <w:color w:val="auto"/>
            <w:sz w:val="22"/>
            <w:szCs w:val="22"/>
          </w:rPr>
          <w:t>RRMMS.pdf</w:t>
        </w:r>
      </w:hyperlink>
      <w:r w:rsidRPr="00823F54">
        <w:rPr>
          <w:rFonts w:ascii="Palatino Linotype" w:hAnsi="Palatino Linotype" w:cs="Arial"/>
          <w:sz w:val="22"/>
          <w:szCs w:val="22"/>
        </w:rPr>
        <w:t xml:space="preserve">, </w:t>
      </w:r>
      <w:r w:rsidRPr="00823F54">
        <w:rPr>
          <w:rFonts w:ascii="Palatino Linotype" w:hAnsi="Palatino Linotype" w:cs="Arial"/>
          <w:color w:val="333333"/>
          <w:sz w:val="22"/>
          <w:szCs w:val="22"/>
        </w:rPr>
        <w:lastRenderedPageBreak/>
        <w:t xml:space="preserve">en el que se advierte </w:t>
      </w:r>
      <w:r w:rsidR="00831835" w:rsidRPr="00823F54">
        <w:rPr>
          <w:rFonts w:ascii="Palatino Linotype" w:hAnsi="Palatino Linotype" w:cs="Arial"/>
          <w:color w:val="333333"/>
          <w:sz w:val="22"/>
          <w:szCs w:val="22"/>
        </w:rPr>
        <w:t xml:space="preserve">el formato del Reporte de Remuneraciones de mandos medios y superiores que se entrega al Órgano Superior de Fiscalización del Estado de México. </w:t>
      </w:r>
    </w:p>
    <w:p w14:paraId="67AC9BA0"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823F54">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823F54">
        <w:rPr>
          <w:rFonts w:ascii="Palatino Linotype" w:eastAsia="Palatino Linotype" w:hAnsi="Palatino Linotype" w:cs="Palatino Linotype"/>
          <w:b/>
          <w:sz w:val="22"/>
          <w:szCs w:val="22"/>
        </w:rPr>
        <w:t>Comisionada María del Rosario Mejía Ayala</w:t>
      </w:r>
      <w:r w:rsidRPr="00823F54">
        <w:rPr>
          <w:rFonts w:ascii="Palatino Linotype" w:eastAsia="Palatino Linotype" w:hAnsi="Palatino Linotype" w:cs="Palatino Linotype"/>
          <w:sz w:val="22"/>
          <w:szCs w:val="22"/>
        </w:rPr>
        <w:t xml:space="preserve"> con el objeto de su análisis.</w:t>
      </w:r>
    </w:p>
    <w:p w14:paraId="63DB37A4" w14:textId="77777777" w:rsidR="00393E7E" w:rsidRPr="00823F54" w:rsidRDefault="00393E7E" w:rsidP="00393E7E">
      <w:pPr>
        <w:spacing w:line="360" w:lineRule="auto"/>
        <w:jc w:val="both"/>
        <w:rPr>
          <w:rFonts w:ascii="Palatino Linotype" w:eastAsia="Palatino Linotype" w:hAnsi="Palatino Linotype" w:cs="Palatino Linotype"/>
          <w:i/>
          <w:color w:val="000000"/>
          <w:sz w:val="22"/>
          <w:szCs w:val="22"/>
        </w:rPr>
      </w:pPr>
    </w:p>
    <w:p w14:paraId="6BF28BB5"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823F54">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831835" w:rsidRPr="00823F54">
        <w:rPr>
          <w:rFonts w:ascii="Palatino Linotype" w:eastAsia="Palatino Linotype" w:hAnsi="Palatino Linotype" w:cs="Palatino Linotype"/>
          <w:sz w:val="22"/>
          <w:szCs w:val="22"/>
        </w:rPr>
        <w:t>veintidós (22</w:t>
      </w:r>
      <w:r w:rsidRPr="00823F54">
        <w:rPr>
          <w:rFonts w:ascii="Palatino Linotype" w:eastAsia="Palatino Linotype" w:hAnsi="Palatino Linotype" w:cs="Palatino Linotype"/>
          <w:sz w:val="22"/>
          <w:szCs w:val="22"/>
        </w:rPr>
        <w:t xml:space="preserve">) de mayo de dos mil veinticuatro, puso a disposición de las partes el expediente electrónico vía Sistema de Acceso a la Información Mexiquense </w:t>
      </w:r>
      <w:r w:rsidRPr="00823F54">
        <w:rPr>
          <w:rFonts w:ascii="Palatino Linotype" w:eastAsia="Palatino Linotype" w:hAnsi="Palatino Linotype" w:cs="Palatino Linotype"/>
          <w:b/>
          <w:sz w:val="22"/>
          <w:szCs w:val="22"/>
        </w:rPr>
        <w:t xml:space="preserve">(SAIMEX) </w:t>
      </w:r>
      <w:r w:rsidRPr="00823F54">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sidRPr="00823F54">
        <w:rPr>
          <w:rFonts w:ascii="Palatino Linotype" w:eastAsia="Palatino Linotype" w:hAnsi="Palatino Linotype" w:cs="Palatino Linotype"/>
          <w:b/>
          <w:sz w:val="22"/>
          <w:szCs w:val="22"/>
        </w:rPr>
        <w:t>SUJETO OBLIGADO</w:t>
      </w:r>
      <w:r w:rsidRPr="00823F54">
        <w:rPr>
          <w:rFonts w:ascii="Palatino Linotype" w:eastAsia="Palatino Linotype" w:hAnsi="Palatino Linotype" w:cs="Palatino Linotype"/>
          <w:sz w:val="22"/>
          <w:szCs w:val="22"/>
        </w:rPr>
        <w:t xml:space="preserve"> presentara el Informe Justificado procedente.  </w:t>
      </w:r>
    </w:p>
    <w:p w14:paraId="52E685A1" w14:textId="77777777" w:rsidR="00393E7E" w:rsidRPr="00823F54" w:rsidRDefault="00393E7E" w:rsidP="00393E7E">
      <w:pPr>
        <w:spacing w:line="360" w:lineRule="auto"/>
        <w:jc w:val="both"/>
        <w:rPr>
          <w:rFonts w:ascii="Palatino Linotype" w:eastAsia="Palatino Linotype" w:hAnsi="Palatino Linotype" w:cs="Palatino Linotype"/>
          <w:i/>
          <w:color w:val="000000"/>
          <w:sz w:val="22"/>
          <w:szCs w:val="22"/>
        </w:rPr>
      </w:pPr>
    </w:p>
    <w:p w14:paraId="70A15A76" w14:textId="77777777" w:rsidR="004A2500" w:rsidRPr="00823F54" w:rsidRDefault="00393E7E" w:rsidP="00831835">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 xml:space="preserve">De las constancias que obran en el expediente electrónico SAIMEX, se advierte que el particular no realizó manifestaciones, ni ofreció pruebas o alegatos que a su derecho conviniera; por su parte, el Sujeto Obligado  remitió informe justificado el </w:t>
      </w:r>
      <w:r w:rsidR="00831835" w:rsidRPr="00823F54">
        <w:rPr>
          <w:rFonts w:ascii="Palatino Linotype" w:eastAsia="Palatino Linotype" w:hAnsi="Palatino Linotype" w:cs="Palatino Linotype"/>
          <w:sz w:val="22"/>
          <w:szCs w:val="22"/>
        </w:rPr>
        <w:t>treinta y uno (31) de mayo</w:t>
      </w:r>
      <w:r w:rsidRPr="00823F54">
        <w:rPr>
          <w:rFonts w:ascii="Palatino Linotype" w:eastAsia="Palatino Linotype" w:hAnsi="Palatino Linotype" w:cs="Palatino Linotype"/>
          <w:sz w:val="22"/>
          <w:szCs w:val="22"/>
        </w:rPr>
        <w:t xml:space="preserve"> de dos mil veinticuatro, el cual fue puesto a la vista del particular el </w:t>
      </w:r>
      <w:r w:rsidR="00831835" w:rsidRPr="00823F54">
        <w:rPr>
          <w:rFonts w:ascii="Palatino Linotype" w:eastAsia="Palatino Linotype" w:hAnsi="Palatino Linotype" w:cs="Palatino Linotype"/>
          <w:sz w:val="22"/>
          <w:szCs w:val="22"/>
        </w:rPr>
        <w:t>cinco (05) de noviembre</w:t>
      </w:r>
      <w:r w:rsidRPr="00823F54">
        <w:rPr>
          <w:rFonts w:ascii="Palatino Linotype" w:eastAsia="Palatino Linotype" w:hAnsi="Palatino Linotype" w:cs="Palatino Linotype"/>
          <w:sz w:val="22"/>
          <w:szCs w:val="22"/>
        </w:rPr>
        <w:t xml:space="preserve"> de dos mil veinticuatro</w:t>
      </w:r>
      <w:r w:rsidR="00831835" w:rsidRPr="00823F54">
        <w:rPr>
          <w:rFonts w:ascii="Palatino Linotype" w:eastAsia="Palatino Linotype" w:hAnsi="Palatino Linotype" w:cs="Palatino Linotype"/>
          <w:sz w:val="22"/>
          <w:szCs w:val="22"/>
        </w:rPr>
        <w:t>, a través d</w:t>
      </w:r>
      <w:r w:rsidR="004A2500" w:rsidRPr="00823F54">
        <w:rPr>
          <w:rFonts w:ascii="Palatino Linotype" w:eastAsia="Palatino Linotype" w:hAnsi="Palatino Linotype" w:cs="Palatino Linotype"/>
          <w:sz w:val="22"/>
          <w:szCs w:val="22"/>
        </w:rPr>
        <w:t xml:space="preserve">el </w:t>
      </w:r>
      <w:r w:rsidR="00831835" w:rsidRPr="00823F54">
        <w:rPr>
          <w:rFonts w:ascii="Palatino Linotype" w:eastAsia="Palatino Linotype" w:hAnsi="Palatino Linotype" w:cs="Palatino Linotype"/>
          <w:sz w:val="22"/>
          <w:szCs w:val="22"/>
        </w:rPr>
        <w:t xml:space="preserve">archivo </w:t>
      </w:r>
      <w:r w:rsidR="004A2500" w:rsidRPr="00823F54">
        <w:rPr>
          <w:rFonts w:ascii="Palatino Linotype" w:eastAsia="Palatino Linotype" w:hAnsi="Palatino Linotype" w:cs="Palatino Linotype"/>
          <w:sz w:val="22"/>
          <w:szCs w:val="22"/>
        </w:rPr>
        <w:t>que se describe enseguida:</w:t>
      </w:r>
    </w:p>
    <w:p w14:paraId="79184D0F" w14:textId="77777777" w:rsidR="004A2500" w:rsidRPr="00823F54" w:rsidRDefault="004A2500" w:rsidP="004A2500">
      <w:pPr>
        <w:pStyle w:val="Prrafodelista"/>
        <w:rPr>
          <w:rFonts w:ascii="Palatino Linotype" w:eastAsia="Palatino Linotype" w:hAnsi="Palatino Linotype" w:cs="Palatino Linotype"/>
          <w:szCs w:val="22"/>
        </w:rPr>
      </w:pPr>
    </w:p>
    <w:p w14:paraId="345143BE" w14:textId="77777777" w:rsidR="00393E7E" w:rsidRPr="00823F54" w:rsidRDefault="00852AC5" w:rsidP="004A2500">
      <w:pPr>
        <w:pStyle w:val="Prrafodelista"/>
        <w:numPr>
          <w:ilvl w:val="0"/>
          <w:numId w:val="14"/>
        </w:numPr>
        <w:spacing w:line="360" w:lineRule="auto"/>
        <w:jc w:val="both"/>
        <w:rPr>
          <w:rFonts w:ascii="Palatino Linotype" w:eastAsia="Palatino Linotype" w:hAnsi="Palatino Linotype" w:cs="Palatino Linotype"/>
          <w:b/>
          <w:szCs w:val="22"/>
        </w:rPr>
      </w:pPr>
      <w:hyperlink r:id="rId15" w:history="1">
        <w:r w:rsidR="00831835" w:rsidRPr="00823F54">
          <w:rPr>
            <w:rStyle w:val="Hipervnculo"/>
            <w:rFonts w:ascii="Palatino Linotype" w:eastAsia="Palatino Linotype" w:hAnsi="Palatino Linotype" w:cs="Palatino Linotype"/>
            <w:b/>
            <w:bCs/>
            <w:color w:val="auto"/>
            <w:szCs w:val="22"/>
          </w:rPr>
          <w:t>3178.pdf</w:t>
        </w:r>
      </w:hyperlink>
      <w:r w:rsidR="00831835" w:rsidRPr="00823F54">
        <w:rPr>
          <w:rFonts w:ascii="Palatino Linotype" w:eastAsia="Palatino Linotype" w:hAnsi="Palatino Linotype" w:cs="Palatino Linotype"/>
          <w:szCs w:val="22"/>
        </w:rPr>
        <w:t xml:space="preserve">, </w:t>
      </w:r>
      <w:r w:rsidR="004A2500" w:rsidRPr="00823F54">
        <w:rPr>
          <w:rFonts w:ascii="Palatino Linotype" w:eastAsia="Palatino Linotype" w:hAnsi="Palatino Linotype" w:cs="Palatino Linotype"/>
          <w:szCs w:val="22"/>
        </w:rPr>
        <w:t xml:space="preserve">contiene el oficio 2010ª4000/UT/RR/0334/2024 de fecha treinta y uno de mayo de dos mil veinticuatro, suscrito por el Titular de la Unidad de Transparencia en el que ratificó su respuesta. </w:t>
      </w:r>
    </w:p>
    <w:p w14:paraId="2CA09D47" w14:textId="77777777" w:rsidR="00393E7E" w:rsidRPr="00823F54" w:rsidRDefault="00393E7E" w:rsidP="00393E7E">
      <w:pPr>
        <w:pStyle w:val="Prrafodelista"/>
        <w:rPr>
          <w:rFonts w:ascii="Palatino Linotype" w:eastAsia="Palatino Linotype" w:hAnsi="Palatino Linotype" w:cs="Palatino Linotype"/>
          <w:b/>
          <w:szCs w:val="22"/>
        </w:rPr>
      </w:pPr>
    </w:p>
    <w:p w14:paraId="28BE6AAF"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El catorce (14) de agosto de dos mil veinticuatro, se notificó el acuerdo a través del cual se aprobó la ampliación de plazo para emitir resolución. </w:t>
      </w:r>
    </w:p>
    <w:p w14:paraId="2C0F96C3" w14:textId="77777777" w:rsidR="00393E7E" w:rsidRPr="00823F54" w:rsidRDefault="00393E7E" w:rsidP="00393E7E">
      <w:pPr>
        <w:spacing w:line="360" w:lineRule="auto"/>
        <w:jc w:val="both"/>
        <w:rPr>
          <w:rFonts w:ascii="Palatino Linotype" w:eastAsia="Palatino Linotype" w:hAnsi="Palatino Linotype" w:cs="Palatino Linotype"/>
          <w:sz w:val="22"/>
          <w:szCs w:val="22"/>
        </w:rPr>
      </w:pPr>
    </w:p>
    <w:p w14:paraId="6D1792D9" w14:textId="77777777" w:rsidR="00393E7E" w:rsidRPr="00823F54" w:rsidRDefault="00393E7E" w:rsidP="00393E7E">
      <w:pPr>
        <w:pStyle w:val="Prrafodelista"/>
        <w:numPr>
          <w:ilvl w:val="0"/>
          <w:numId w:val="1"/>
        </w:numPr>
        <w:spacing w:line="360" w:lineRule="auto"/>
        <w:ind w:left="0" w:firstLine="0"/>
        <w:jc w:val="both"/>
        <w:rPr>
          <w:rFonts w:ascii="Palatino Linotype" w:eastAsia="Palatino Linotype" w:hAnsi="Palatino Linotype" w:cs="Palatino Linotype"/>
          <w:b/>
          <w:szCs w:val="22"/>
        </w:rPr>
      </w:pPr>
      <w:r w:rsidRPr="00823F54">
        <w:rPr>
          <w:rFonts w:ascii="Palatino Linotype" w:eastAsia="Palatino Linotype" w:hAnsi="Palatino Linotype" w:cs="Palatino Linotype"/>
          <w:szCs w:val="22"/>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3C699122"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38F19A65"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7BCF4C0"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17063E59"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5929294"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430E2516"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B1975C" w14:textId="77777777" w:rsidR="00393E7E" w:rsidRPr="00823F54" w:rsidRDefault="00393E7E" w:rsidP="00393E7E">
      <w:pPr>
        <w:spacing w:line="360" w:lineRule="auto"/>
        <w:jc w:val="both"/>
        <w:rPr>
          <w:rFonts w:ascii="Palatino Linotype" w:eastAsia="Palatino Linotype" w:hAnsi="Palatino Linotype" w:cs="Palatino Linotype"/>
          <w:b/>
          <w:sz w:val="22"/>
          <w:szCs w:val="22"/>
        </w:rPr>
      </w:pPr>
    </w:p>
    <w:p w14:paraId="08085A26"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lastRenderedPageBreak/>
        <w:t xml:space="preserve">Por ello, excepcionalmente, si un asunto es resuelto con posterioridad a los plazos señalados por la norma debe analizarse la razonabilidad de dicha dilación atendiendo a los siguientes criterios:   </w:t>
      </w:r>
    </w:p>
    <w:p w14:paraId="43772059" w14:textId="77777777" w:rsidR="00393E7E" w:rsidRPr="00823F54" w:rsidRDefault="00393E7E" w:rsidP="00393E7E">
      <w:pPr>
        <w:spacing w:line="360" w:lineRule="auto"/>
        <w:jc w:val="both"/>
        <w:rPr>
          <w:rFonts w:ascii="Palatino Linotype" w:eastAsia="Palatino Linotype" w:hAnsi="Palatino Linotype" w:cs="Palatino Linotype"/>
          <w:b/>
          <w:sz w:val="22"/>
          <w:szCs w:val="22"/>
        </w:rPr>
      </w:pPr>
    </w:p>
    <w:p w14:paraId="4C20C72E" w14:textId="77777777" w:rsidR="00393E7E" w:rsidRPr="00823F54" w:rsidRDefault="00393E7E" w:rsidP="00393E7E">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 xml:space="preserve">Complejidad del </w:t>
      </w:r>
      <w:r w:rsidRPr="00823F54">
        <w:rPr>
          <w:rFonts w:ascii="Palatino Linotype" w:eastAsia="Palatino Linotype" w:hAnsi="Palatino Linotype" w:cs="Palatino Linotype"/>
          <w:sz w:val="22"/>
          <w:szCs w:val="22"/>
        </w:rPr>
        <w:t>asunto</w:t>
      </w:r>
      <w:r w:rsidRPr="00823F54">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086092D" w14:textId="77777777" w:rsidR="00393E7E" w:rsidRPr="00823F54" w:rsidRDefault="00393E7E" w:rsidP="00393E7E">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Actividad Procesal del interesado. Acciones u omisiones del interesado.</w:t>
      </w:r>
    </w:p>
    <w:p w14:paraId="511AD88A" w14:textId="77777777" w:rsidR="00393E7E" w:rsidRPr="00823F54" w:rsidRDefault="00393E7E" w:rsidP="00393E7E">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0DF21422" w14:textId="77777777" w:rsidR="00393E7E" w:rsidRPr="00823F54" w:rsidRDefault="00393E7E" w:rsidP="00393E7E">
      <w:pPr>
        <w:spacing w:line="360" w:lineRule="auto"/>
        <w:ind w:left="567"/>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1AFB0258"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2A95A0F8"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4D0A02" w14:textId="77777777" w:rsidR="00393E7E" w:rsidRPr="00823F54" w:rsidRDefault="00393E7E" w:rsidP="00393E7E">
      <w:pPr>
        <w:spacing w:line="360" w:lineRule="auto"/>
        <w:jc w:val="both"/>
        <w:rPr>
          <w:rFonts w:ascii="Palatino Linotype" w:eastAsia="Palatino Linotype" w:hAnsi="Palatino Linotype" w:cs="Palatino Linotype"/>
          <w:b/>
          <w:sz w:val="22"/>
          <w:szCs w:val="22"/>
        </w:rPr>
      </w:pPr>
    </w:p>
    <w:p w14:paraId="2B85C63F"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823F54">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823F54">
        <w:rPr>
          <w:rFonts w:ascii="Palatino Linotype" w:eastAsia="Palatino Linotype" w:hAnsi="Palatino Linotype" w:cs="Palatino Linotype"/>
          <w:sz w:val="22"/>
          <w:szCs w:val="22"/>
        </w:rPr>
        <w:t>, visible en la Gaceta del Seminario Judicial de la Federación con el registro digital 205635.</w:t>
      </w:r>
    </w:p>
    <w:p w14:paraId="4613185B"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659A411C"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9C0B825"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21654FA4"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6AD0525"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76AB299D"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1F686FB0" w14:textId="77777777" w:rsidR="00393E7E" w:rsidRPr="00823F54" w:rsidRDefault="00393E7E" w:rsidP="00393E7E">
      <w:pPr>
        <w:spacing w:line="360" w:lineRule="auto"/>
        <w:jc w:val="both"/>
        <w:rPr>
          <w:rFonts w:ascii="Palatino Linotype" w:eastAsia="Palatino Linotype" w:hAnsi="Palatino Linotype" w:cs="Palatino Linotype"/>
          <w:b/>
          <w:sz w:val="22"/>
          <w:szCs w:val="22"/>
        </w:rPr>
      </w:pPr>
    </w:p>
    <w:p w14:paraId="04916BF6" w14:textId="77777777" w:rsidR="00393E7E" w:rsidRPr="00823F54" w:rsidRDefault="00393E7E" w:rsidP="00393E7E">
      <w:pPr>
        <w:spacing w:line="360" w:lineRule="auto"/>
        <w:ind w:left="851" w:right="822"/>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 </w:t>
      </w:r>
      <w:r w:rsidRPr="00823F54">
        <w:rPr>
          <w:rFonts w:ascii="Palatino Linotype" w:eastAsia="Palatino Linotype" w:hAnsi="Palatino Linotype" w:cs="Palatino Linotype"/>
          <w:i/>
          <w:sz w:val="22"/>
          <w:szCs w:val="22"/>
        </w:rPr>
        <w:t>“PLAZO RAZONABLE PARA RESOLVER. DIMENSIÓN Y EFECTOS DE ESTE CONCEPTO CUANDO SE ADUCE EXCESIVA CARGA DE TRABAJO.”</w:t>
      </w:r>
      <w:r w:rsidRPr="00823F54">
        <w:rPr>
          <w:rFonts w:ascii="Palatino Linotype" w:eastAsia="Palatino Linotype" w:hAnsi="Palatino Linotype" w:cs="Palatino Linotype"/>
          <w:sz w:val="22"/>
          <w:szCs w:val="22"/>
        </w:rPr>
        <w:t xml:space="preserve"> consultable en el Seminario Judicial de la Federación y su gaceta, con el registro digital 2002351.</w:t>
      </w:r>
    </w:p>
    <w:p w14:paraId="59E7789C" w14:textId="77777777" w:rsidR="00393E7E" w:rsidRPr="00823F54" w:rsidRDefault="00393E7E" w:rsidP="00393E7E">
      <w:pPr>
        <w:spacing w:line="360" w:lineRule="auto"/>
        <w:ind w:left="851" w:right="822"/>
        <w:jc w:val="both"/>
        <w:rPr>
          <w:rFonts w:ascii="Palatino Linotype" w:eastAsia="Palatino Linotype" w:hAnsi="Palatino Linotype" w:cs="Palatino Linotype"/>
          <w:b/>
          <w:sz w:val="22"/>
          <w:szCs w:val="22"/>
        </w:rPr>
      </w:pPr>
    </w:p>
    <w:p w14:paraId="200AD403" w14:textId="77777777" w:rsidR="00393E7E" w:rsidRPr="00823F54" w:rsidRDefault="00393E7E" w:rsidP="00393E7E">
      <w:pPr>
        <w:spacing w:line="360" w:lineRule="auto"/>
        <w:ind w:left="851" w:right="822"/>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i/>
          <w:sz w:val="22"/>
          <w:szCs w:val="22"/>
        </w:rPr>
        <w:t xml:space="preserve">“PLAZO RAZONABLE PARA RESOLVER. CONCEPTO Y ELEMENTOS QUE LO INTEGRAN A LA LUZ DEL DERECHO INTERNACIONAL DE LOS </w:t>
      </w:r>
      <w:r w:rsidRPr="00823F54">
        <w:rPr>
          <w:rFonts w:ascii="Palatino Linotype" w:eastAsia="Palatino Linotype" w:hAnsi="Palatino Linotype" w:cs="Palatino Linotype"/>
          <w:i/>
          <w:sz w:val="22"/>
          <w:szCs w:val="22"/>
        </w:rPr>
        <w:lastRenderedPageBreak/>
        <w:t>DERECHOS HUMANOS.”</w:t>
      </w:r>
      <w:r w:rsidRPr="00823F54">
        <w:rPr>
          <w:rFonts w:ascii="Palatino Linotype" w:eastAsia="Palatino Linotype" w:hAnsi="Palatino Linotype" w:cs="Palatino Linotype"/>
          <w:sz w:val="22"/>
          <w:szCs w:val="22"/>
        </w:rPr>
        <w:t>, visible en el Seminario Judicial de la Federación y su gaceta, con el registro digital 2002350.</w:t>
      </w:r>
    </w:p>
    <w:p w14:paraId="5A743AAD" w14:textId="77777777" w:rsidR="00393E7E" w:rsidRPr="00823F54" w:rsidRDefault="00393E7E" w:rsidP="00393E7E">
      <w:pPr>
        <w:spacing w:line="360" w:lineRule="auto"/>
        <w:ind w:right="822"/>
        <w:jc w:val="both"/>
        <w:rPr>
          <w:rFonts w:ascii="Palatino Linotype" w:eastAsia="Palatino Linotype" w:hAnsi="Palatino Linotype" w:cs="Palatino Linotype"/>
          <w:i/>
          <w:sz w:val="22"/>
          <w:szCs w:val="22"/>
        </w:rPr>
      </w:pPr>
    </w:p>
    <w:p w14:paraId="37FBD28B" w14:textId="77777777" w:rsidR="00393E7E" w:rsidRPr="00823F54" w:rsidRDefault="00393E7E" w:rsidP="00393E7E">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14:paraId="52C8F437" w14:textId="77777777" w:rsidR="00393E7E" w:rsidRPr="00823F54" w:rsidRDefault="00393E7E" w:rsidP="00393E7E">
      <w:pPr>
        <w:spacing w:line="360" w:lineRule="auto"/>
        <w:jc w:val="both"/>
        <w:rPr>
          <w:rFonts w:ascii="Palatino Linotype" w:eastAsia="Palatino Linotype" w:hAnsi="Palatino Linotype" w:cs="Palatino Linotype"/>
          <w:i/>
          <w:color w:val="000000"/>
          <w:sz w:val="22"/>
          <w:szCs w:val="22"/>
        </w:rPr>
      </w:pPr>
    </w:p>
    <w:p w14:paraId="024DB408" w14:textId="77777777" w:rsidR="00393E7E" w:rsidRPr="00823F54" w:rsidRDefault="00393E7E" w:rsidP="00393E7E">
      <w:pPr>
        <w:numPr>
          <w:ilvl w:val="0"/>
          <w:numId w:val="1"/>
        </w:numPr>
        <w:spacing w:line="360" w:lineRule="auto"/>
        <w:ind w:left="0"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La Comisionada Ponente decretó el cierre de instrucción mediante acuerd</w:t>
      </w:r>
      <w:r w:rsidR="004A2500" w:rsidRPr="00823F54">
        <w:rPr>
          <w:rFonts w:ascii="Palatino Linotype" w:eastAsia="Palatino Linotype" w:hAnsi="Palatino Linotype" w:cs="Palatino Linotype"/>
          <w:sz w:val="22"/>
          <w:szCs w:val="22"/>
        </w:rPr>
        <w:t>o del once (11)</w:t>
      </w:r>
      <w:r w:rsidRPr="00823F54">
        <w:rPr>
          <w:rFonts w:ascii="Palatino Linotype" w:eastAsia="Palatino Linotype" w:hAnsi="Palatino Linotype" w:cs="Palatino Linotype"/>
          <w:sz w:val="22"/>
          <w:szCs w:val="22"/>
        </w:rPr>
        <w:t xml:space="preserve"> de noviembre de dos mil veinticuatro, por lo que, ordenó turnar el expediente a resolución, misma que a continuación se pronuncia.</w:t>
      </w:r>
    </w:p>
    <w:p w14:paraId="7A004668" w14:textId="77777777" w:rsidR="00393E7E" w:rsidRPr="00823F54" w:rsidRDefault="00393E7E" w:rsidP="00393E7E">
      <w:pPr>
        <w:spacing w:line="360" w:lineRule="auto"/>
        <w:jc w:val="both"/>
        <w:rPr>
          <w:rFonts w:ascii="Palatino Linotype" w:eastAsia="Palatino Linotype" w:hAnsi="Palatino Linotype" w:cs="Palatino Linotype"/>
          <w:b/>
          <w:sz w:val="22"/>
          <w:szCs w:val="22"/>
        </w:rPr>
      </w:pPr>
    </w:p>
    <w:p w14:paraId="779A0A20" w14:textId="77777777" w:rsidR="00393E7E" w:rsidRPr="00823F54" w:rsidRDefault="00393E7E" w:rsidP="00393E7E">
      <w:pPr>
        <w:keepNext/>
        <w:keepLines/>
        <w:spacing w:line="360" w:lineRule="auto"/>
        <w:jc w:val="center"/>
        <w:rPr>
          <w:rFonts w:ascii="Palatino Linotype" w:eastAsia="Palatino Linotype" w:hAnsi="Palatino Linotype" w:cs="Palatino Linotype"/>
          <w:b/>
          <w:sz w:val="22"/>
          <w:szCs w:val="22"/>
        </w:rPr>
      </w:pPr>
      <w:bookmarkStart w:id="2" w:name="_heading=h.1fob9te" w:colFirst="0" w:colLast="0"/>
      <w:bookmarkEnd w:id="2"/>
      <w:r w:rsidRPr="00823F54">
        <w:rPr>
          <w:rFonts w:ascii="Palatino Linotype" w:eastAsia="Palatino Linotype" w:hAnsi="Palatino Linotype" w:cs="Palatino Linotype"/>
          <w:b/>
          <w:sz w:val="22"/>
          <w:szCs w:val="22"/>
        </w:rPr>
        <w:t>CONSIDERANDO</w:t>
      </w:r>
    </w:p>
    <w:p w14:paraId="6B83789D" w14:textId="77777777" w:rsidR="00393E7E" w:rsidRPr="00823F54" w:rsidRDefault="00393E7E" w:rsidP="00393E7E">
      <w:pPr>
        <w:keepNext/>
        <w:keepLines/>
        <w:spacing w:line="360" w:lineRule="auto"/>
        <w:jc w:val="center"/>
        <w:rPr>
          <w:rFonts w:ascii="Palatino Linotype" w:eastAsia="Palatino Linotype" w:hAnsi="Palatino Linotype" w:cs="Palatino Linotype"/>
          <w:b/>
          <w:sz w:val="22"/>
          <w:szCs w:val="22"/>
        </w:rPr>
      </w:pPr>
    </w:p>
    <w:p w14:paraId="2DB71D24" w14:textId="77777777" w:rsidR="00393E7E" w:rsidRPr="00823F54" w:rsidRDefault="00393E7E" w:rsidP="00393E7E">
      <w:pPr>
        <w:keepNext/>
        <w:keepLines/>
        <w:spacing w:line="360" w:lineRule="auto"/>
        <w:rPr>
          <w:rFonts w:ascii="Palatino Linotype" w:eastAsia="Palatino Linotype" w:hAnsi="Palatino Linotype" w:cs="Palatino Linotype"/>
          <w:b/>
          <w:sz w:val="22"/>
          <w:szCs w:val="22"/>
        </w:rPr>
      </w:pPr>
      <w:bookmarkStart w:id="3" w:name="_heading=h.3znysh7" w:colFirst="0" w:colLast="0"/>
      <w:bookmarkEnd w:id="3"/>
      <w:r w:rsidRPr="00823F54">
        <w:rPr>
          <w:rFonts w:ascii="Palatino Linotype" w:eastAsia="Palatino Linotype" w:hAnsi="Palatino Linotype" w:cs="Palatino Linotype"/>
          <w:b/>
          <w:sz w:val="22"/>
          <w:szCs w:val="22"/>
        </w:rPr>
        <w:t>PRIMERO. De la competencia.</w:t>
      </w:r>
    </w:p>
    <w:p w14:paraId="64E5BC87" w14:textId="77777777" w:rsidR="00393E7E" w:rsidRPr="00823F54" w:rsidRDefault="00393E7E" w:rsidP="00393E7E">
      <w:pPr>
        <w:spacing w:line="360" w:lineRule="auto"/>
        <w:jc w:val="both"/>
        <w:rPr>
          <w:rFonts w:ascii="Palatino Linotype" w:eastAsia="Palatino Linotype" w:hAnsi="Palatino Linotype" w:cs="Palatino Linotype"/>
          <w:b/>
          <w:sz w:val="22"/>
          <w:szCs w:val="22"/>
        </w:rPr>
      </w:pPr>
    </w:p>
    <w:p w14:paraId="5C7E67B3" w14:textId="77777777" w:rsidR="00393E7E" w:rsidRPr="00823F54" w:rsidRDefault="00393E7E" w:rsidP="00393E7E">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23F54">
        <w:rPr>
          <w:rFonts w:ascii="Palatino Linotype" w:eastAsia="Palatino Linotype" w:hAnsi="Palatino Linotype" w:cs="Palatino Linotype"/>
          <w:b/>
          <w:color w:val="000000"/>
          <w:sz w:val="22"/>
          <w:szCs w:val="22"/>
        </w:rPr>
        <w:t>Constitución Política de los Estados Unidos Mexicanos</w:t>
      </w:r>
      <w:r w:rsidRPr="00823F54">
        <w:rPr>
          <w:rFonts w:ascii="Palatino Linotype" w:eastAsia="Palatino Linotype" w:hAnsi="Palatino Linotype" w:cs="Palatino Linotype"/>
          <w:color w:val="000000"/>
          <w:sz w:val="22"/>
          <w:szCs w:val="22"/>
        </w:rPr>
        <w:t xml:space="preserve">; 5, párrafos trigésimo segundo y trigésimo tercero, fracciones IV y V, de la </w:t>
      </w:r>
      <w:r w:rsidRPr="00823F54">
        <w:rPr>
          <w:rFonts w:ascii="Palatino Linotype" w:eastAsia="Palatino Linotype" w:hAnsi="Palatino Linotype" w:cs="Palatino Linotype"/>
          <w:b/>
          <w:color w:val="000000"/>
          <w:sz w:val="22"/>
          <w:szCs w:val="22"/>
        </w:rPr>
        <w:t>Constitución Política del Estado Libre y Soberano de México</w:t>
      </w:r>
      <w:r w:rsidRPr="00823F54">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823F54">
        <w:rPr>
          <w:rFonts w:ascii="Palatino Linotype" w:eastAsia="Palatino Linotype" w:hAnsi="Palatino Linotype" w:cs="Palatino Linotype"/>
          <w:b/>
          <w:color w:val="000000"/>
          <w:sz w:val="22"/>
          <w:szCs w:val="22"/>
        </w:rPr>
        <w:t>Ley de Transparencia y Acceso a la Información Pública del Estado de México y Municipios</w:t>
      </w:r>
      <w:r w:rsidRPr="00823F54">
        <w:rPr>
          <w:rFonts w:ascii="Palatino Linotype" w:eastAsia="Palatino Linotype" w:hAnsi="Palatino Linotype" w:cs="Palatino Linotype"/>
          <w:color w:val="000000"/>
          <w:sz w:val="22"/>
          <w:szCs w:val="22"/>
        </w:rPr>
        <w:t xml:space="preserve">; y 7, 9 fracciones I y XXIII, y 11 del </w:t>
      </w:r>
      <w:r w:rsidRPr="00823F54">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14:paraId="785D2400" w14:textId="77777777" w:rsidR="00393E7E" w:rsidRPr="00823F54" w:rsidRDefault="00393E7E" w:rsidP="00393E7E">
      <w:pPr>
        <w:keepNext/>
        <w:keepLines/>
        <w:spacing w:line="360" w:lineRule="auto"/>
        <w:rPr>
          <w:rFonts w:ascii="Palatino Linotype" w:eastAsia="Palatino Linotype" w:hAnsi="Palatino Linotype" w:cs="Palatino Linotype"/>
          <w:b/>
          <w:sz w:val="22"/>
          <w:szCs w:val="22"/>
        </w:rPr>
      </w:pPr>
      <w:bookmarkStart w:id="4" w:name="_heading=h.2et92p0" w:colFirst="0" w:colLast="0"/>
      <w:bookmarkEnd w:id="4"/>
      <w:r w:rsidRPr="00823F54">
        <w:rPr>
          <w:rFonts w:ascii="Palatino Linotype" w:eastAsia="Palatino Linotype" w:hAnsi="Palatino Linotype" w:cs="Palatino Linotype"/>
          <w:b/>
          <w:sz w:val="22"/>
          <w:szCs w:val="22"/>
        </w:rPr>
        <w:lastRenderedPageBreak/>
        <w:t>SEGUNDO. De la oportunidad y procedencia.</w:t>
      </w:r>
    </w:p>
    <w:p w14:paraId="283B1C5F" w14:textId="77777777" w:rsidR="00393E7E" w:rsidRPr="00823F54" w:rsidRDefault="00393E7E" w:rsidP="00393E7E">
      <w:pPr>
        <w:keepNext/>
        <w:keepLines/>
        <w:spacing w:line="360" w:lineRule="auto"/>
        <w:rPr>
          <w:rFonts w:ascii="Palatino Linotype" w:eastAsia="Palatino Linotype" w:hAnsi="Palatino Linotype" w:cs="Palatino Linotype"/>
          <w:b/>
          <w:sz w:val="22"/>
          <w:szCs w:val="22"/>
        </w:rPr>
      </w:pPr>
    </w:p>
    <w:p w14:paraId="7EBC3276" w14:textId="77777777" w:rsidR="00393E7E" w:rsidRPr="00823F54" w:rsidRDefault="00393E7E" w:rsidP="00393E7E">
      <w:pPr>
        <w:numPr>
          <w:ilvl w:val="0"/>
          <w:numId w:val="1"/>
        </w:numPr>
        <w:spacing w:line="360" w:lineRule="auto"/>
        <w:ind w:left="0" w:right="48" w:firstLine="0"/>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El medio de impugnación fue presentado a través del </w:t>
      </w:r>
      <w:r w:rsidRPr="00823F54">
        <w:rPr>
          <w:rFonts w:ascii="Palatino Linotype" w:eastAsia="Palatino Linotype" w:hAnsi="Palatino Linotype" w:cs="Palatino Linotype"/>
          <w:b/>
          <w:sz w:val="22"/>
          <w:szCs w:val="22"/>
        </w:rPr>
        <w:t>SAIMEX,</w:t>
      </w:r>
      <w:r w:rsidRPr="00823F54">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823F54">
        <w:rPr>
          <w:rFonts w:ascii="Palatino Linotype" w:eastAsia="Palatino Linotype" w:hAnsi="Palatino Linotype" w:cs="Palatino Linotype"/>
          <w:b/>
          <w:sz w:val="22"/>
          <w:szCs w:val="22"/>
        </w:rPr>
        <w:t>SUJETO OBLIGADO</w:t>
      </w:r>
      <w:r w:rsidRPr="00823F54">
        <w:rPr>
          <w:rFonts w:ascii="Palatino Linotype" w:eastAsia="Palatino Linotype" w:hAnsi="Palatino Linotype" w:cs="Palatino Linotype"/>
          <w:sz w:val="22"/>
          <w:szCs w:val="22"/>
        </w:rPr>
        <w:t xml:space="preserve"> entregó respuesta el día </w:t>
      </w:r>
      <w:r w:rsidR="00025ED1" w:rsidRPr="00823F54">
        <w:rPr>
          <w:rFonts w:ascii="Palatino Linotype" w:eastAsia="Palatino Linotype" w:hAnsi="Palatino Linotype" w:cs="Palatino Linotype"/>
          <w:sz w:val="22"/>
          <w:szCs w:val="22"/>
        </w:rPr>
        <w:t>diecisiete (17</w:t>
      </w:r>
      <w:r w:rsidRPr="00823F54">
        <w:rPr>
          <w:rFonts w:ascii="Palatino Linotype" w:eastAsia="Palatino Linotype" w:hAnsi="Palatino Linotype" w:cs="Palatino Linotype"/>
          <w:sz w:val="22"/>
          <w:szCs w:val="22"/>
        </w:rPr>
        <w:t xml:space="preserve">) de mayo de dos mil veinticuatro, de tal forma que el plazo para interponer el recurso transcurrió del </w:t>
      </w:r>
      <w:r w:rsidR="00025ED1" w:rsidRPr="00823F54">
        <w:rPr>
          <w:rFonts w:ascii="Palatino Linotype" w:eastAsia="Palatino Linotype" w:hAnsi="Palatino Linotype" w:cs="Palatino Linotype"/>
          <w:sz w:val="22"/>
          <w:szCs w:val="22"/>
        </w:rPr>
        <w:t>veinte (20) de mayo al siete (07) de junio</w:t>
      </w:r>
      <w:r w:rsidRPr="00823F54">
        <w:rPr>
          <w:rFonts w:ascii="Palatino Linotype" w:eastAsia="Palatino Linotype" w:hAnsi="Palatino Linotype" w:cs="Palatino Linotype"/>
          <w:sz w:val="22"/>
          <w:szCs w:val="22"/>
        </w:rPr>
        <w:t xml:space="preserve"> de dos mil veinticuatro, de acuerdo al calendario oficial del Instituto de Transparencia del Estado de México y Municipios; en consecuencia, si el particular presentó su inconformidad el día </w:t>
      </w:r>
      <w:r w:rsidR="008011FB" w:rsidRPr="00823F54">
        <w:rPr>
          <w:rFonts w:ascii="Palatino Linotype" w:eastAsia="Palatino Linotype" w:hAnsi="Palatino Linotype" w:cs="Palatino Linotype"/>
          <w:sz w:val="22"/>
          <w:szCs w:val="22"/>
        </w:rPr>
        <w:t>veinte (20</w:t>
      </w:r>
      <w:r w:rsidRPr="00823F54">
        <w:rPr>
          <w:rFonts w:ascii="Palatino Linotype" w:eastAsia="Palatino Linotype" w:hAnsi="Palatino Linotype" w:cs="Palatino Linotype"/>
          <w:sz w:val="22"/>
          <w:szCs w:val="22"/>
        </w:rPr>
        <w:t xml:space="preserve">) de mayo de dos mil veinticuatro, se encuentra dentro de los márgenes temporales previstos en el artículo 178 de la </w:t>
      </w:r>
      <w:r w:rsidRPr="00823F54">
        <w:rPr>
          <w:rFonts w:ascii="Palatino Linotype" w:eastAsia="Palatino Linotype" w:hAnsi="Palatino Linotype" w:cs="Palatino Linotype"/>
          <w:b/>
          <w:sz w:val="22"/>
          <w:szCs w:val="22"/>
        </w:rPr>
        <w:t xml:space="preserve">Ley de Transparencia y Acceso a la Información Pública del Estado de México y Municipios </w:t>
      </w:r>
      <w:r w:rsidRPr="00823F54">
        <w:rPr>
          <w:rFonts w:ascii="Palatino Linotype" w:eastAsia="Palatino Linotype" w:hAnsi="Palatino Linotype" w:cs="Palatino Linotype"/>
          <w:sz w:val="22"/>
          <w:szCs w:val="22"/>
        </w:rPr>
        <w:t xml:space="preserve">vigente. </w:t>
      </w:r>
    </w:p>
    <w:p w14:paraId="14E8E3CA" w14:textId="77777777" w:rsidR="00393E7E" w:rsidRPr="00823F54" w:rsidRDefault="00393E7E" w:rsidP="00393E7E">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57766DE" w14:textId="77777777" w:rsidR="00393E7E" w:rsidRPr="00823F54" w:rsidRDefault="00393E7E" w:rsidP="00393E7E">
      <w:pPr>
        <w:numPr>
          <w:ilvl w:val="0"/>
          <w:numId w:val="1"/>
        </w:numPr>
        <w:spacing w:line="360" w:lineRule="auto"/>
        <w:ind w:left="0" w:right="49" w:firstLine="0"/>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0B22C1E" w14:textId="77777777" w:rsidR="00393E7E" w:rsidRPr="00823F54" w:rsidRDefault="00393E7E" w:rsidP="00393E7E">
      <w:pPr>
        <w:spacing w:line="360" w:lineRule="auto"/>
        <w:ind w:right="49"/>
        <w:jc w:val="both"/>
        <w:rPr>
          <w:rFonts w:ascii="Palatino Linotype" w:eastAsia="Palatino Linotype" w:hAnsi="Palatino Linotype" w:cs="Palatino Linotype"/>
          <w:b/>
          <w:sz w:val="22"/>
          <w:szCs w:val="22"/>
        </w:rPr>
      </w:pPr>
    </w:p>
    <w:p w14:paraId="1E5329BB" w14:textId="77777777" w:rsidR="00393E7E" w:rsidRPr="00823F54" w:rsidRDefault="00393E7E" w:rsidP="00393E7E">
      <w:pPr>
        <w:keepNext/>
        <w:keepLines/>
        <w:spacing w:line="360" w:lineRule="auto"/>
        <w:ind w:right="48"/>
        <w:rPr>
          <w:rFonts w:ascii="Palatino Linotype" w:eastAsia="Palatino Linotype" w:hAnsi="Palatino Linotype" w:cs="Palatino Linotype"/>
          <w:b/>
          <w:sz w:val="22"/>
          <w:szCs w:val="22"/>
        </w:rPr>
      </w:pPr>
      <w:bookmarkStart w:id="5" w:name="_heading=h.tyjcwt" w:colFirst="0" w:colLast="0"/>
      <w:bookmarkEnd w:id="5"/>
      <w:r w:rsidRPr="00823F54">
        <w:rPr>
          <w:rFonts w:ascii="Palatino Linotype" w:eastAsia="Palatino Linotype" w:hAnsi="Palatino Linotype" w:cs="Palatino Linotype"/>
          <w:b/>
          <w:sz w:val="22"/>
          <w:szCs w:val="22"/>
        </w:rPr>
        <w:t>TERCERO. Planteamiento de la Litis.</w:t>
      </w:r>
    </w:p>
    <w:p w14:paraId="7774B290" w14:textId="77777777" w:rsidR="00393E7E" w:rsidRPr="00823F54" w:rsidRDefault="00393E7E" w:rsidP="00393E7E">
      <w:pPr>
        <w:keepNext/>
        <w:keepLines/>
        <w:spacing w:line="360" w:lineRule="auto"/>
        <w:ind w:right="48"/>
        <w:rPr>
          <w:rFonts w:ascii="Palatino Linotype" w:eastAsia="Palatino Linotype" w:hAnsi="Palatino Linotype" w:cs="Palatino Linotype"/>
          <w:b/>
          <w:sz w:val="22"/>
          <w:szCs w:val="22"/>
        </w:rPr>
      </w:pPr>
    </w:p>
    <w:p w14:paraId="52F33107" w14:textId="77777777" w:rsidR="00393E7E" w:rsidRPr="00823F54" w:rsidRDefault="00393E7E" w:rsidP="00393E7E">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823F54">
        <w:rPr>
          <w:rFonts w:ascii="Palatino Linotype" w:eastAsia="Palatino Linotype" w:hAnsi="Palatino Linotype" w:cs="Palatino Linotype"/>
          <w:color w:val="000000"/>
          <w:sz w:val="22"/>
          <w:szCs w:val="22"/>
        </w:rPr>
        <w:t>El</w:t>
      </w:r>
      <w:r w:rsidR="008011FB" w:rsidRPr="00823F54">
        <w:rPr>
          <w:rFonts w:ascii="Palatino Linotype" w:eastAsia="Palatino Linotype" w:hAnsi="Palatino Linotype" w:cs="Palatino Linotype"/>
          <w:color w:val="000000"/>
          <w:sz w:val="22"/>
          <w:szCs w:val="22"/>
        </w:rPr>
        <w:t xml:space="preserve"> particular solicitó el reporte de remuneraciones de mandos medios y superiores de los ejercicios fiscales 2020, 2021, 2022, 2023 y 2024. </w:t>
      </w:r>
    </w:p>
    <w:p w14:paraId="56ACB6FA" w14:textId="77777777" w:rsidR="00393E7E" w:rsidRPr="00823F54" w:rsidRDefault="00393E7E" w:rsidP="00393E7E">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sz w:val="22"/>
          <w:szCs w:val="22"/>
        </w:rPr>
      </w:pPr>
    </w:p>
    <w:p w14:paraId="3AF48211" w14:textId="77777777" w:rsidR="00393E7E" w:rsidRPr="00823F54" w:rsidRDefault="00393E7E" w:rsidP="00393E7E">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823F54">
        <w:rPr>
          <w:rFonts w:ascii="Palatino Linotype" w:eastAsia="Palatino Linotype" w:hAnsi="Palatino Linotype" w:cs="Palatino Linotype"/>
          <w:color w:val="000000"/>
          <w:sz w:val="22"/>
          <w:szCs w:val="22"/>
        </w:rPr>
        <w:t xml:space="preserve">En respuesta, el Sujeto Obligado entregó </w:t>
      </w:r>
      <w:r w:rsidR="008011FB" w:rsidRPr="00823F54">
        <w:rPr>
          <w:rFonts w:ascii="Palatino Linotype" w:eastAsia="Palatino Linotype" w:hAnsi="Palatino Linotype" w:cs="Palatino Linotype"/>
          <w:color w:val="000000"/>
          <w:sz w:val="22"/>
          <w:szCs w:val="22"/>
        </w:rPr>
        <w:t xml:space="preserve">unas listas emitidas por la </w:t>
      </w:r>
      <w:r w:rsidR="008011FB" w:rsidRPr="00823F54">
        <w:rPr>
          <w:rFonts w:ascii="Palatino Linotype" w:hAnsi="Palatino Linotype"/>
          <w:sz w:val="22"/>
          <w:szCs w:val="22"/>
        </w:rPr>
        <w:t xml:space="preserve">Dirección General de Administración, Instituto Municipal de la Mujer y Dirección General del Instituto </w:t>
      </w:r>
      <w:r w:rsidR="008011FB" w:rsidRPr="00823F54">
        <w:rPr>
          <w:rFonts w:ascii="Palatino Linotype" w:hAnsi="Palatino Linotype"/>
          <w:sz w:val="22"/>
          <w:szCs w:val="22"/>
        </w:rPr>
        <w:lastRenderedPageBreak/>
        <w:t xml:space="preserve">Municipal de Cultura Física y Deporte en el que se advierten datos como el nombre, áreas de adscripción, percepciones, deducciones y sueldos netos de los servidores públicos. </w:t>
      </w:r>
    </w:p>
    <w:p w14:paraId="512E9992" w14:textId="77777777" w:rsidR="008011FB" w:rsidRPr="00823F54" w:rsidRDefault="008011FB" w:rsidP="008011FB">
      <w:pPr>
        <w:pStyle w:val="Prrafodelista"/>
        <w:rPr>
          <w:rFonts w:ascii="Palatino Linotype" w:eastAsia="Palatino Linotype" w:hAnsi="Palatino Linotype" w:cs="Palatino Linotype"/>
          <w:i/>
          <w:color w:val="000000"/>
          <w:szCs w:val="22"/>
        </w:rPr>
      </w:pPr>
    </w:p>
    <w:p w14:paraId="03C65640" w14:textId="77777777" w:rsidR="008011FB" w:rsidRPr="00823F54" w:rsidRDefault="008011FB" w:rsidP="00393E7E">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 xml:space="preserve">Posteriormente, el Recurrente interpuso recurso de revisión en el que señaló su inconformidad, de forma medular, por la entrega de información incompleta. </w:t>
      </w:r>
    </w:p>
    <w:p w14:paraId="6AE7916A" w14:textId="77777777" w:rsidR="00393E7E" w:rsidRPr="00823F54" w:rsidRDefault="00393E7E" w:rsidP="00393E7E">
      <w:pPr>
        <w:tabs>
          <w:tab w:val="left" w:pos="0"/>
        </w:tabs>
        <w:spacing w:line="360" w:lineRule="auto"/>
        <w:ind w:right="34"/>
        <w:jc w:val="both"/>
        <w:rPr>
          <w:rFonts w:ascii="Palatino Linotype" w:eastAsia="Palatino Linotype" w:hAnsi="Palatino Linotype" w:cs="Palatino Linotype"/>
          <w:i/>
          <w:sz w:val="22"/>
          <w:szCs w:val="22"/>
        </w:rPr>
      </w:pPr>
    </w:p>
    <w:p w14:paraId="50C28A3D" w14:textId="77777777" w:rsidR="00393E7E" w:rsidRPr="00823F54" w:rsidRDefault="00393E7E" w:rsidP="00393E7E">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 la causal de procedencia prevista en el artículo 179, fracción I </w:t>
      </w:r>
      <w:r w:rsidR="008011FB" w:rsidRPr="00823F54">
        <w:rPr>
          <w:rFonts w:ascii="Palatino Linotype" w:eastAsia="Palatino Linotype" w:hAnsi="Palatino Linotype" w:cs="Palatino Linotype"/>
          <w:color w:val="000000"/>
          <w:sz w:val="22"/>
          <w:szCs w:val="22"/>
        </w:rPr>
        <w:t xml:space="preserve">y V </w:t>
      </w:r>
      <w:r w:rsidRPr="00823F54">
        <w:rPr>
          <w:rFonts w:ascii="Palatino Linotype" w:eastAsia="Palatino Linotype" w:hAnsi="Palatino Linotype" w:cs="Palatino Linotype"/>
          <w:color w:val="000000"/>
          <w:sz w:val="22"/>
          <w:szCs w:val="22"/>
        </w:rPr>
        <w:t>de la Ley de Transparencia y Acceso a la Información Pública del Estado de México y Municipios; que establec</w:t>
      </w:r>
      <w:r w:rsidR="008011FB" w:rsidRPr="00823F54">
        <w:rPr>
          <w:rFonts w:ascii="Palatino Linotype" w:eastAsia="Palatino Linotype" w:hAnsi="Palatino Linotype" w:cs="Palatino Linotype"/>
          <w:color w:val="000000"/>
          <w:sz w:val="22"/>
          <w:szCs w:val="22"/>
        </w:rPr>
        <w:t xml:space="preserve">e la negativa de la información y la entrega de información incompleta. </w:t>
      </w:r>
    </w:p>
    <w:p w14:paraId="523E3461" w14:textId="77777777" w:rsidR="00393E7E" w:rsidRPr="00823F54" w:rsidRDefault="00393E7E" w:rsidP="00393E7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376C4E7F" w14:textId="77777777" w:rsidR="00393E7E" w:rsidRPr="00823F54" w:rsidRDefault="00393E7E" w:rsidP="00393E7E">
      <w:pPr>
        <w:pStyle w:val="Ttulo1"/>
        <w:spacing w:before="0" w:line="360" w:lineRule="auto"/>
        <w:rPr>
          <w:rFonts w:ascii="Palatino Linotype" w:eastAsia="Palatino Linotype" w:hAnsi="Palatino Linotype" w:cs="Palatino Linotype"/>
          <w:b/>
          <w:color w:val="000000"/>
          <w:sz w:val="22"/>
          <w:szCs w:val="22"/>
        </w:rPr>
      </w:pPr>
      <w:bookmarkStart w:id="6" w:name="_heading=h.3dy6vkm" w:colFirst="0" w:colLast="0"/>
      <w:bookmarkEnd w:id="6"/>
      <w:r w:rsidRPr="00823F54">
        <w:rPr>
          <w:rFonts w:ascii="Palatino Linotype" w:eastAsia="Palatino Linotype" w:hAnsi="Palatino Linotype" w:cs="Palatino Linotype"/>
          <w:b/>
          <w:color w:val="000000"/>
          <w:sz w:val="22"/>
          <w:szCs w:val="22"/>
        </w:rPr>
        <w:t>CUARTO. Del estudio y resolución del recurso de revisión.</w:t>
      </w:r>
    </w:p>
    <w:p w14:paraId="510C2F22"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bookmarkStart w:id="7" w:name="_heading=h.1t3h5sf" w:colFirst="0" w:colLast="0"/>
      <w:bookmarkEnd w:id="7"/>
    </w:p>
    <w:p w14:paraId="5B7912C0" w14:textId="77777777" w:rsidR="00393E7E" w:rsidRPr="00823F54" w:rsidRDefault="00393E7E" w:rsidP="00393E7E">
      <w:pPr>
        <w:pStyle w:val="Ttulo1"/>
        <w:spacing w:before="0" w:line="360" w:lineRule="auto"/>
        <w:rPr>
          <w:rFonts w:ascii="Palatino Linotype" w:eastAsia="Palatino Linotype" w:hAnsi="Palatino Linotype" w:cs="Palatino Linotype"/>
          <w:b/>
          <w:color w:val="000000"/>
          <w:sz w:val="22"/>
          <w:szCs w:val="22"/>
        </w:rPr>
      </w:pPr>
      <w:bookmarkStart w:id="8" w:name="_heading=h.4d34og8" w:colFirst="0" w:colLast="0"/>
      <w:bookmarkEnd w:id="8"/>
      <w:r w:rsidRPr="00823F54">
        <w:rPr>
          <w:rFonts w:ascii="Palatino Linotype" w:eastAsia="Palatino Linotype" w:hAnsi="Palatino Linotype" w:cs="Palatino Linotype"/>
          <w:b/>
          <w:color w:val="000000"/>
          <w:sz w:val="22"/>
          <w:szCs w:val="22"/>
        </w:rPr>
        <w:t>De la información solicitada y la respuesta del Sujeto Obligado</w:t>
      </w:r>
    </w:p>
    <w:p w14:paraId="4ED14310" w14:textId="77777777" w:rsidR="00393E7E" w:rsidRPr="00823F54" w:rsidRDefault="00393E7E" w:rsidP="00393E7E">
      <w:pPr>
        <w:rPr>
          <w:sz w:val="22"/>
          <w:szCs w:val="22"/>
        </w:rPr>
      </w:pPr>
    </w:p>
    <w:p w14:paraId="4D06AB8E" w14:textId="77777777" w:rsidR="00393E7E" w:rsidRPr="00823F54" w:rsidRDefault="00393E7E" w:rsidP="00393E7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13F05243" w14:textId="77777777" w:rsidR="00393E7E" w:rsidRPr="00823F54" w:rsidRDefault="00393E7E" w:rsidP="00393E7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590887E" w14:textId="77777777" w:rsidR="00393E7E" w:rsidRPr="00823F54" w:rsidRDefault="00393E7E" w:rsidP="00393E7E">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 xml:space="preserve">Primeramente, debemos recapitular que el particular </w:t>
      </w:r>
      <w:r w:rsidR="004D20D7" w:rsidRPr="00823F54">
        <w:rPr>
          <w:rFonts w:ascii="Palatino Linotype" w:eastAsia="Palatino Linotype" w:hAnsi="Palatino Linotype" w:cs="Palatino Linotype"/>
          <w:color w:val="000000"/>
          <w:sz w:val="22"/>
          <w:szCs w:val="22"/>
        </w:rPr>
        <w:t xml:space="preserve">solicitó el reporte de remuneraciones de mandos medios y superiores de los ejercicios fiscales 2020, 2021, 2022, 2023 y 2024. </w:t>
      </w:r>
    </w:p>
    <w:p w14:paraId="14D10D70" w14:textId="77777777" w:rsidR="00393E7E" w:rsidRPr="00823F54" w:rsidRDefault="00393E7E" w:rsidP="00393E7E">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sz w:val="22"/>
          <w:szCs w:val="22"/>
        </w:rPr>
      </w:pPr>
    </w:p>
    <w:p w14:paraId="32FD35FD" w14:textId="77777777" w:rsidR="004D20D7" w:rsidRPr="00823F54" w:rsidRDefault="004D20D7" w:rsidP="004D20D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823F54">
        <w:rPr>
          <w:rFonts w:ascii="Palatino Linotype" w:eastAsia="Palatino Linotype" w:hAnsi="Palatino Linotype" w:cs="Palatino Linotype"/>
          <w:color w:val="000000"/>
          <w:sz w:val="22"/>
          <w:szCs w:val="22"/>
        </w:rPr>
        <w:lastRenderedPageBreak/>
        <w:t xml:space="preserve">En respuesta, el Sujeto Obligado entregó unas listas emitidas por la </w:t>
      </w:r>
      <w:r w:rsidRPr="00823F54">
        <w:rPr>
          <w:rFonts w:ascii="Palatino Linotype" w:hAnsi="Palatino Linotype"/>
          <w:sz w:val="22"/>
          <w:szCs w:val="22"/>
        </w:rPr>
        <w:t xml:space="preserve">Dirección General de Administración, Instituto Municipal de la Mujer y Dirección General del Instituto Municipal de Cultura Física y Deporte en el que se advierten datos como el nombre, áreas de adscripción, percepciones, deducciones y sueldos netos de los servidores públicos. </w:t>
      </w:r>
    </w:p>
    <w:p w14:paraId="370CFC82" w14:textId="77777777" w:rsidR="004D20D7" w:rsidRPr="00823F54" w:rsidRDefault="004D20D7" w:rsidP="004D20D7">
      <w:pPr>
        <w:pStyle w:val="Prrafodelista"/>
        <w:rPr>
          <w:rFonts w:ascii="Palatino Linotype" w:eastAsia="Palatino Linotype" w:hAnsi="Palatino Linotype" w:cs="Palatino Linotype"/>
          <w:i/>
          <w:color w:val="000000"/>
          <w:szCs w:val="22"/>
        </w:rPr>
      </w:pPr>
    </w:p>
    <w:p w14:paraId="083FD9A7" w14:textId="77777777" w:rsidR="00393E7E" w:rsidRPr="00823F54" w:rsidRDefault="004D20D7" w:rsidP="004D20D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823F54">
        <w:rPr>
          <w:rFonts w:ascii="Palatino Linotype" w:eastAsia="Palatino Linotype" w:hAnsi="Palatino Linotype" w:cs="Palatino Linotype"/>
          <w:color w:val="000000"/>
          <w:sz w:val="22"/>
          <w:szCs w:val="22"/>
        </w:rPr>
        <w:t>Posteriormente, el Recurrente interpuso recurso de revisión en el que señaló su inconformidad por las siguientes razones:</w:t>
      </w:r>
    </w:p>
    <w:p w14:paraId="148D87A7" w14:textId="77777777" w:rsidR="004D20D7" w:rsidRPr="00823F54" w:rsidRDefault="004D20D7" w:rsidP="004D20D7">
      <w:pPr>
        <w:pStyle w:val="Prrafodelista"/>
        <w:rPr>
          <w:rFonts w:ascii="Palatino Linotype" w:eastAsia="Palatino Linotype" w:hAnsi="Palatino Linotype" w:cs="Palatino Linotype"/>
          <w:i/>
          <w:color w:val="000000"/>
          <w:szCs w:val="22"/>
        </w:rPr>
      </w:pPr>
    </w:p>
    <w:p w14:paraId="1499DD0C" w14:textId="77777777" w:rsidR="004D20D7" w:rsidRPr="00823F54" w:rsidRDefault="004D20D7" w:rsidP="004D20D7">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823F54">
        <w:rPr>
          <w:rFonts w:ascii="Palatino Linotype" w:hAnsi="Palatino Linotype"/>
          <w:i/>
          <w:color w:val="000000"/>
          <w:sz w:val="22"/>
          <w:szCs w:val="22"/>
        </w:rPr>
        <w:t>“La información requerida de la solicitud número 00853/TOLUCA/IP/2024, en donde se solicita el reporte de Remuneraciones a Mandos Medios y Superiores del Municipio de Toluca, de los mese de enero a diciembre para los ejercicios 2020, 2021, 2022 y 2023 adolece de los requisitos que establecidos para supresentación de acurdo a los Lineamientos para la Entrega de los Informes Trimestrales , emitidos por el Órgano Superior de Fiscalización del Estado de México (OSFEM), y al artículo 92 fracción VIII de la Ley de Transparencia y Acceso a la Información Pública para el Estado de Mexico y sus Municipios; motivo por el cual se infiere que, el sujeto obligado atesora en sus archivos la información solicitada con las características y cada uno de los conceptos requeridos.” (Sic)</w:t>
      </w:r>
    </w:p>
    <w:p w14:paraId="6DC1E4DB" w14:textId="77777777" w:rsidR="00393E7E" w:rsidRPr="00823F54" w:rsidRDefault="00393E7E" w:rsidP="00393E7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2759B0C" w14:textId="77777777" w:rsidR="004D20D7" w:rsidRPr="00823F54" w:rsidRDefault="004D20D7" w:rsidP="00393E7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A su inconformidad anexó lo siguiente:</w:t>
      </w:r>
    </w:p>
    <w:p w14:paraId="34C9EE02" w14:textId="77777777" w:rsidR="004D20D7" w:rsidRPr="00823F54" w:rsidRDefault="004D20D7" w:rsidP="004D20D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1BC839D" w14:textId="77777777" w:rsidR="004D20D7" w:rsidRPr="00823F54" w:rsidRDefault="004D20D7" w:rsidP="004D20D7">
      <w:pPr>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noProof/>
          <w:color w:val="000000"/>
          <w:sz w:val="22"/>
          <w:szCs w:val="22"/>
        </w:rPr>
        <w:lastRenderedPageBreak/>
        <w:drawing>
          <wp:inline distT="0" distB="0" distL="0" distR="0" wp14:anchorId="2E2D90FF" wp14:editId="25204D72">
            <wp:extent cx="4690753" cy="19945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0905" cy="2011608"/>
                    </a:xfrm>
                    <a:prstGeom prst="rect">
                      <a:avLst/>
                    </a:prstGeom>
                  </pic:spPr>
                </pic:pic>
              </a:graphicData>
            </a:graphic>
          </wp:inline>
        </w:drawing>
      </w:r>
    </w:p>
    <w:p w14:paraId="78120369" w14:textId="77777777" w:rsidR="00F85399" w:rsidRPr="00823F54" w:rsidRDefault="004D20D7" w:rsidP="00F85399">
      <w:pPr>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noProof/>
          <w:color w:val="000000"/>
          <w:sz w:val="22"/>
          <w:szCs w:val="22"/>
        </w:rPr>
        <w:drawing>
          <wp:inline distT="0" distB="0" distL="0" distR="0" wp14:anchorId="6347DAD7" wp14:editId="56A34E6F">
            <wp:extent cx="5438775" cy="38119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66258" cy="3831241"/>
                    </a:xfrm>
                    <a:prstGeom prst="rect">
                      <a:avLst/>
                    </a:prstGeom>
                  </pic:spPr>
                </pic:pic>
              </a:graphicData>
            </a:graphic>
          </wp:inline>
        </w:drawing>
      </w:r>
    </w:p>
    <w:p w14:paraId="6619CA21" w14:textId="77777777" w:rsidR="004D20D7" w:rsidRPr="00823F54" w:rsidRDefault="00F85399" w:rsidP="004D20D7">
      <w:pPr>
        <w:pStyle w:val="Prrafodelista"/>
        <w:numPr>
          <w:ilvl w:val="0"/>
          <w:numId w:val="1"/>
        </w:numPr>
        <w:spacing w:line="360" w:lineRule="auto"/>
        <w:ind w:left="0" w:firstLine="0"/>
        <w:jc w:val="both"/>
        <w:rPr>
          <w:szCs w:val="22"/>
          <w:lang w:eastAsia="en-US"/>
        </w:rPr>
      </w:pPr>
      <w:r w:rsidRPr="00823F54">
        <w:rPr>
          <w:rFonts w:ascii="Palatino Linotype" w:hAnsi="Palatino Linotype"/>
          <w:szCs w:val="22"/>
          <w:lang w:val="es-ES"/>
        </w:rPr>
        <w:t>Bajo este concepto, e</w:t>
      </w:r>
      <w:r w:rsidR="004D20D7" w:rsidRPr="00823F54">
        <w:rPr>
          <w:rFonts w:ascii="Palatino Linotype" w:hAnsi="Palatino Linotype"/>
          <w:szCs w:val="22"/>
          <w:lang w:val="es-ES"/>
        </w:rPr>
        <w:t xml:space="preserve">s necesario enfatizar que, para el ejercicio del derecho de acceso a la información pública, a diferencia de otros derechos, permite que los propios particulares actúen sin la necesidad de contar con un representante legal tal y como lo señala el artículo 152 y 178 de la </w:t>
      </w:r>
      <w:r w:rsidR="004D20D7" w:rsidRPr="00823F54">
        <w:rPr>
          <w:rFonts w:ascii="Palatino Linotype" w:hAnsi="Palatino Linotype" w:cs="Arial"/>
          <w:szCs w:val="22"/>
        </w:rPr>
        <w:t>Ley de Transparencia y Acceso a la Información Pública del Estado de México y Municipios:</w:t>
      </w:r>
    </w:p>
    <w:p w14:paraId="066C3EEA" w14:textId="77777777" w:rsidR="004D20D7" w:rsidRPr="00823F54" w:rsidRDefault="004D20D7" w:rsidP="004D20D7">
      <w:pPr>
        <w:pStyle w:val="Prrafodelista"/>
        <w:rPr>
          <w:rFonts w:ascii="Palatino Linotype" w:hAnsi="Palatino Linotype" w:cs="Arial"/>
          <w:szCs w:val="22"/>
        </w:rPr>
      </w:pPr>
    </w:p>
    <w:p w14:paraId="01B65235" w14:textId="77777777" w:rsidR="004D20D7" w:rsidRPr="00823F54" w:rsidRDefault="004D20D7" w:rsidP="004D20D7">
      <w:pPr>
        <w:autoSpaceDE w:val="0"/>
        <w:autoSpaceDN w:val="0"/>
        <w:adjustRightInd w:val="0"/>
        <w:spacing w:line="360" w:lineRule="auto"/>
        <w:ind w:left="851" w:right="822"/>
        <w:jc w:val="both"/>
        <w:rPr>
          <w:rFonts w:ascii="Palatino Linotype" w:hAnsi="Palatino Linotype" w:cs="Bookman Old Style"/>
          <w:i/>
          <w:sz w:val="22"/>
          <w:szCs w:val="22"/>
        </w:rPr>
      </w:pPr>
      <w:r w:rsidRPr="00823F54">
        <w:rPr>
          <w:rFonts w:ascii="Palatino Linotype" w:hAnsi="Palatino Linotype" w:cs="Bookman Old Style,Bold"/>
          <w:b/>
          <w:bCs/>
          <w:i/>
          <w:sz w:val="22"/>
          <w:szCs w:val="22"/>
        </w:rPr>
        <w:t xml:space="preserve">Artículo 152. </w:t>
      </w:r>
      <w:r w:rsidRPr="00823F54">
        <w:rPr>
          <w:rFonts w:ascii="Palatino Linotype" w:hAnsi="Palatino Linotype" w:cs="Bookman Old Style"/>
          <w:b/>
          <w:i/>
          <w:sz w:val="22"/>
          <w:szCs w:val="22"/>
          <w:u w:val="single"/>
        </w:rPr>
        <w:t>Cualquier persona por sí misma o a través de su representante, podrá presentar solicitud de acceso a información</w:t>
      </w:r>
      <w:r w:rsidRPr="00823F54">
        <w:rPr>
          <w:rFonts w:ascii="Palatino Linotype" w:hAnsi="Palatino Linotype" w:cs="Bookman Old Style"/>
          <w:i/>
          <w:sz w:val="22"/>
          <w:szCs w:val="22"/>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4A7C5B66" w14:textId="77777777" w:rsidR="004D20D7" w:rsidRPr="00823F54" w:rsidRDefault="004D20D7" w:rsidP="004D20D7">
      <w:pPr>
        <w:autoSpaceDE w:val="0"/>
        <w:autoSpaceDN w:val="0"/>
        <w:adjustRightInd w:val="0"/>
        <w:spacing w:line="360" w:lineRule="auto"/>
        <w:ind w:left="851" w:right="822"/>
        <w:jc w:val="both"/>
        <w:rPr>
          <w:rFonts w:ascii="Palatino Linotype" w:hAnsi="Palatino Linotype" w:cs="Arial"/>
          <w:i/>
          <w:sz w:val="22"/>
          <w:szCs w:val="22"/>
        </w:rPr>
      </w:pPr>
      <w:r w:rsidRPr="00823F54">
        <w:rPr>
          <w:rFonts w:ascii="Palatino Linotype" w:hAnsi="Palatino Linotype" w:cs="Bookman Old Style,Bold"/>
          <w:b/>
          <w:bCs/>
          <w:i/>
          <w:sz w:val="22"/>
          <w:szCs w:val="22"/>
        </w:rPr>
        <w:t>…</w:t>
      </w:r>
    </w:p>
    <w:p w14:paraId="1FCB2EFA" w14:textId="77777777" w:rsidR="004D20D7" w:rsidRPr="00823F54" w:rsidRDefault="004D20D7" w:rsidP="004D20D7">
      <w:pPr>
        <w:pStyle w:val="Prrafodelista"/>
        <w:spacing w:line="360" w:lineRule="auto"/>
        <w:ind w:left="851" w:right="822"/>
        <w:jc w:val="both"/>
        <w:rPr>
          <w:rFonts w:ascii="Palatino Linotype" w:hAnsi="Palatino Linotype" w:cs="Arial"/>
          <w:i/>
          <w:color w:val="000000" w:themeColor="text1"/>
          <w:szCs w:val="22"/>
          <w:lang w:val="es-ES"/>
        </w:rPr>
      </w:pPr>
      <w:r w:rsidRPr="00823F54">
        <w:rPr>
          <w:rFonts w:ascii="Palatino Linotype" w:hAnsi="Palatino Linotype"/>
          <w:i/>
          <w:szCs w:val="22"/>
        </w:rPr>
        <w:t>Artículo 178.</w:t>
      </w:r>
      <w:r w:rsidRPr="00823F54">
        <w:rPr>
          <w:rFonts w:ascii="Palatino Linotype" w:hAnsi="Palatino Linotype"/>
          <w:b/>
          <w:i/>
          <w:szCs w:val="22"/>
        </w:rPr>
        <w:t xml:space="preserve"> </w:t>
      </w:r>
      <w:r w:rsidRPr="00823F54">
        <w:rPr>
          <w:rFonts w:ascii="Palatino Linotype" w:hAnsi="Palatino Linotype"/>
          <w:b/>
          <w:i/>
          <w:szCs w:val="22"/>
          <w:u w:val="single"/>
        </w:rPr>
        <w:t>El solicitante podrá interponer, por sí mismo</w:t>
      </w:r>
      <w:r w:rsidRPr="00823F54">
        <w:rPr>
          <w:rFonts w:ascii="Palatino Linotype" w:hAnsi="Palatino Linotype"/>
          <w:i/>
          <w:szCs w:val="22"/>
          <w:u w:val="single"/>
        </w:rPr>
        <w:t xml:space="preserve"> </w:t>
      </w:r>
      <w:r w:rsidRPr="00823F54">
        <w:rPr>
          <w:rFonts w:ascii="Palatino Linotype" w:hAnsi="Palatino Linotype"/>
          <w:b/>
          <w:i/>
          <w:szCs w:val="22"/>
          <w:u w:val="single"/>
        </w:rPr>
        <w:t>o a través de su representante, de manera directa o por medios electrónicos, recurso de revisión</w:t>
      </w:r>
      <w:r w:rsidRPr="00823F54">
        <w:rPr>
          <w:rFonts w:ascii="Palatino Linotype" w:hAnsi="Palatino Linotype"/>
          <w:i/>
          <w:szCs w:val="22"/>
        </w:rPr>
        <w:t xml:space="preserve"> ante el Instituto o ante la Unidad de Transparencia que haya conocido de la solicitud dentro de los quince días hábiles, siguientes a la fecha de la notificación de la respuesta.</w:t>
      </w:r>
    </w:p>
    <w:p w14:paraId="50D5EBE9" w14:textId="77777777" w:rsidR="004D20D7" w:rsidRPr="00823F54" w:rsidRDefault="004D20D7" w:rsidP="004D20D7">
      <w:pPr>
        <w:pStyle w:val="Prrafodelista"/>
        <w:tabs>
          <w:tab w:val="left" w:pos="426"/>
          <w:tab w:val="left" w:pos="851"/>
        </w:tabs>
        <w:spacing w:line="360" w:lineRule="auto"/>
        <w:ind w:left="426" w:right="49"/>
        <w:jc w:val="both"/>
        <w:rPr>
          <w:rFonts w:ascii="Palatino Linotype" w:hAnsi="Palatino Linotype"/>
          <w:szCs w:val="22"/>
          <w:lang w:val="es-ES"/>
        </w:rPr>
      </w:pPr>
    </w:p>
    <w:p w14:paraId="39C8213D" w14:textId="77777777" w:rsidR="004D20D7" w:rsidRPr="00823F54" w:rsidRDefault="004D20D7" w:rsidP="004D20D7">
      <w:pPr>
        <w:pStyle w:val="Prrafodelista"/>
        <w:numPr>
          <w:ilvl w:val="0"/>
          <w:numId w:val="1"/>
        </w:numPr>
        <w:spacing w:line="360" w:lineRule="auto"/>
        <w:ind w:left="0" w:firstLine="0"/>
        <w:jc w:val="both"/>
        <w:rPr>
          <w:rFonts w:ascii="Palatino Linotype" w:hAnsi="Palatino Linotype"/>
          <w:szCs w:val="22"/>
        </w:rPr>
      </w:pPr>
      <w:r w:rsidRPr="00823F54">
        <w:rPr>
          <w:rFonts w:ascii="Palatino Linotype" w:hAnsi="Palatino Linotype" w:cs="Arial"/>
          <w:szCs w:val="22"/>
        </w:rPr>
        <w:t xml:space="preserve">De la interpretación de los preceptos legales en cito, se determina que los particulares pueden interponer la solicitud y posteriormente recurso de revisión </w:t>
      </w:r>
      <w:r w:rsidRPr="00823F54">
        <w:rPr>
          <w:rFonts w:ascii="Palatino Linotype" w:hAnsi="Palatino Linotype" w:cs="Arial"/>
          <w:b/>
          <w:szCs w:val="22"/>
        </w:rPr>
        <w:t xml:space="preserve">por sí mismos o a través de un representante; </w:t>
      </w:r>
      <w:r w:rsidRPr="00823F54">
        <w:rPr>
          <w:rFonts w:ascii="Palatino Linotype" w:hAnsi="Palatino Linotype" w:cs="Arial"/>
          <w:szCs w:val="22"/>
        </w:rPr>
        <w:t xml:space="preserve">ante dicha aseveración,  se desconoce si el particular formuló su solicitud por medio de un representante experto en la materia, a falta de dicho elemento, se presume que los particulares presentan su solicitud por sí mismos y que éstos, pueden no ser expertos en la materia y desconocen </w:t>
      </w:r>
      <w:r w:rsidRPr="00823F54">
        <w:rPr>
          <w:rFonts w:ascii="Palatino Linotype" w:hAnsi="Palatino Linotype" w:cs="Arial"/>
          <w:color w:val="000000" w:themeColor="text1"/>
          <w:szCs w:val="22"/>
          <w:lang w:val="es-ES"/>
        </w:rPr>
        <w:t>los derechos que les asisten.</w:t>
      </w:r>
    </w:p>
    <w:p w14:paraId="4DAFE199" w14:textId="77777777" w:rsidR="004D20D7" w:rsidRPr="00823F54" w:rsidRDefault="004D20D7" w:rsidP="004D20D7">
      <w:pPr>
        <w:pStyle w:val="Prrafodelista"/>
        <w:spacing w:line="360" w:lineRule="auto"/>
        <w:ind w:left="0"/>
        <w:jc w:val="both"/>
        <w:rPr>
          <w:rFonts w:ascii="Palatino Linotype" w:hAnsi="Palatino Linotype"/>
          <w:szCs w:val="22"/>
        </w:rPr>
      </w:pPr>
    </w:p>
    <w:p w14:paraId="6F6E8C83" w14:textId="77777777" w:rsidR="004D20D7" w:rsidRPr="00823F54" w:rsidRDefault="004D20D7" w:rsidP="004D20D7">
      <w:pPr>
        <w:pStyle w:val="Prrafodelista"/>
        <w:numPr>
          <w:ilvl w:val="0"/>
          <w:numId w:val="1"/>
        </w:numPr>
        <w:autoSpaceDE w:val="0"/>
        <w:autoSpaceDN w:val="0"/>
        <w:adjustRightInd w:val="0"/>
        <w:spacing w:line="360" w:lineRule="auto"/>
        <w:ind w:left="0" w:firstLine="0"/>
        <w:jc w:val="both"/>
        <w:rPr>
          <w:rFonts w:ascii="Palatino Linotype" w:hAnsi="Palatino Linotype" w:cs="Arial"/>
          <w:szCs w:val="22"/>
        </w:rPr>
      </w:pPr>
      <w:r w:rsidRPr="00823F54">
        <w:rPr>
          <w:rFonts w:ascii="Palatino Linotype" w:hAnsi="Palatino Linotype"/>
          <w:szCs w:val="22"/>
          <w:lang w:val="es-ES"/>
        </w:rPr>
        <w:t xml:space="preserve">Es por ello que, no se tiene certeza de que los particulares realicen sus actuaciones mediante un representante, y, cabe la posibilidad de que los recurrentes no sean expertos en la materia. Entonces, bajo un estricto apego al principio de eficacia y con fundamento en los </w:t>
      </w:r>
      <w:r w:rsidRPr="00823F54">
        <w:rPr>
          <w:rFonts w:ascii="Palatino Linotype" w:hAnsi="Palatino Linotype"/>
          <w:szCs w:val="22"/>
          <w:lang w:val="es-ES"/>
        </w:rPr>
        <w:lastRenderedPageBreak/>
        <w:t>artículos 13</w:t>
      </w:r>
      <w:r w:rsidRPr="00823F54">
        <w:rPr>
          <w:rStyle w:val="Refdenotaalpie"/>
          <w:rFonts w:ascii="Palatino Linotype" w:hAnsi="Palatino Linotype"/>
          <w:szCs w:val="22"/>
          <w:lang w:val="es-ES"/>
        </w:rPr>
        <w:footnoteReference w:id="2"/>
      </w:r>
      <w:r w:rsidRPr="00823F54">
        <w:rPr>
          <w:rFonts w:ascii="Palatino Linotype" w:hAnsi="Palatino Linotype"/>
          <w:szCs w:val="22"/>
          <w:lang w:val="es-ES"/>
        </w:rPr>
        <w:t xml:space="preserve"> y 181</w:t>
      </w:r>
      <w:r w:rsidRPr="00823F54">
        <w:rPr>
          <w:rStyle w:val="Refdenotaalpie"/>
          <w:rFonts w:ascii="Palatino Linotype" w:hAnsi="Palatino Linotype"/>
          <w:szCs w:val="22"/>
          <w:lang w:val="es-ES"/>
        </w:rPr>
        <w:footnoteReference w:id="3"/>
      </w:r>
      <w:r w:rsidRPr="00823F54">
        <w:rPr>
          <w:rFonts w:ascii="Palatino Linotype" w:hAnsi="Palatino Linotype"/>
          <w:szCs w:val="22"/>
          <w:lang w:val="es-ES"/>
        </w:rPr>
        <w:t xml:space="preserve"> penúltimo párrafo de la Ley de Transparencia y Acceso a la Información Pública del Estado de México y Municipios deberá suplir dicha deficiencia </w:t>
      </w:r>
      <w:r w:rsidRPr="00823F54">
        <w:rPr>
          <w:rFonts w:ascii="Palatino Linotype" w:hAnsi="Palatino Linotype"/>
          <w:b/>
          <w:szCs w:val="22"/>
          <w:lang w:val="es-ES"/>
        </w:rPr>
        <w:t>a favor del recurrente</w:t>
      </w:r>
      <w:r w:rsidR="00F85399" w:rsidRPr="00823F54">
        <w:rPr>
          <w:rFonts w:ascii="Palatino Linotype" w:hAnsi="Palatino Linotype"/>
          <w:szCs w:val="22"/>
          <w:lang w:val="es-ES"/>
        </w:rPr>
        <w:t>.</w:t>
      </w:r>
    </w:p>
    <w:p w14:paraId="7F1166EF" w14:textId="77777777" w:rsidR="004D20D7" w:rsidRPr="00823F54" w:rsidRDefault="004D20D7" w:rsidP="004D20D7">
      <w:pPr>
        <w:pStyle w:val="Prrafodelista"/>
        <w:ind w:left="0"/>
        <w:rPr>
          <w:rFonts w:ascii="Palatino Linotype" w:hAnsi="Palatino Linotype" w:cs="Arial"/>
          <w:szCs w:val="22"/>
        </w:rPr>
      </w:pPr>
    </w:p>
    <w:p w14:paraId="59A6EE03" w14:textId="77777777" w:rsidR="00F85399" w:rsidRPr="00823F54" w:rsidRDefault="00F85399" w:rsidP="004D20D7">
      <w:pPr>
        <w:pStyle w:val="Prrafodelista"/>
        <w:numPr>
          <w:ilvl w:val="0"/>
          <w:numId w:val="1"/>
        </w:numPr>
        <w:autoSpaceDE w:val="0"/>
        <w:autoSpaceDN w:val="0"/>
        <w:adjustRightInd w:val="0"/>
        <w:spacing w:line="360" w:lineRule="auto"/>
        <w:ind w:left="0" w:firstLine="0"/>
        <w:jc w:val="both"/>
        <w:rPr>
          <w:rFonts w:ascii="Palatino Linotype" w:hAnsi="Palatino Linotype" w:cs="Arial"/>
          <w:szCs w:val="22"/>
        </w:rPr>
      </w:pPr>
      <w:r w:rsidRPr="00823F54">
        <w:rPr>
          <w:rFonts w:ascii="Palatino Linotype" w:hAnsi="Palatino Linotype" w:cs="Arial"/>
          <w:szCs w:val="22"/>
        </w:rPr>
        <w:t>Así,</w:t>
      </w:r>
      <w:r w:rsidR="004D20D7" w:rsidRPr="00823F54">
        <w:rPr>
          <w:rFonts w:ascii="Palatino Linotype" w:hAnsi="Palatino Linotype" w:cs="Arial"/>
          <w:szCs w:val="22"/>
        </w:rPr>
        <w:t xml:space="preserve"> </w:t>
      </w:r>
      <w:r w:rsidR="00AA6C3E" w:rsidRPr="00823F54">
        <w:rPr>
          <w:rFonts w:ascii="Palatino Linotype" w:hAnsi="Palatino Linotype" w:cs="Arial"/>
          <w:szCs w:val="22"/>
        </w:rPr>
        <w:t xml:space="preserve">en este caso </w:t>
      </w:r>
      <w:r w:rsidR="004D20D7" w:rsidRPr="00823F54">
        <w:rPr>
          <w:rFonts w:ascii="Palatino Linotype" w:hAnsi="Palatino Linotype" w:cs="Arial"/>
          <w:szCs w:val="22"/>
        </w:rPr>
        <w:t xml:space="preserve">es necesario realizar la suplencia de la deficiencia de la queja a favor del Recurrente, </w:t>
      </w:r>
      <w:r w:rsidRPr="00823F54">
        <w:rPr>
          <w:rFonts w:ascii="Palatino Linotype" w:hAnsi="Palatino Linotype" w:cs="Arial"/>
          <w:szCs w:val="22"/>
        </w:rPr>
        <w:t>ya que el reporte de mandos medios y superiores que solicitó, es parte de los Informes Trimestrales Estatales, aplicable para el Poder Legislativo, Poder Judicial, Órganos Autónomos y Organismos Auxiliares</w:t>
      </w:r>
      <w:r w:rsidR="00AA6C3E" w:rsidRPr="00823F54">
        <w:rPr>
          <w:rFonts w:ascii="Palatino Linotype" w:hAnsi="Palatino Linotype" w:cs="Arial"/>
          <w:szCs w:val="22"/>
        </w:rPr>
        <w:t xml:space="preserve"> y no aplica para el Ayuntamiento de Toluca. </w:t>
      </w:r>
    </w:p>
    <w:p w14:paraId="7405C76C" w14:textId="77777777" w:rsidR="00AA6C3E" w:rsidRPr="00823F54" w:rsidRDefault="00AA6C3E" w:rsidP="00BF7162">
      <w:pPr>
        <w:rPr>
          <w:rFonts w:ascii="Palatino Linotype" w:hAnsi="Palatino Linotype" w:cs="Arial"/>
          <w:sz w:val="22"/>
          <w:szCs w:val="22"/>
        </w:rPr>
      </w:pPr>
    </w:p>
    <w:p w14:paraId="1CC06E60" w14:textId="77777777" w:rsidR="00BF7162" w:rsidRPr="00823F54" w:rsidRDefault="00AA6C3E" w:rsidP="004D20D7">
      <w:pPr>
        <w:pStyle w:val="Prrafodelista"/>
        <w:numPr>
          <w:ilvl w:val="0"/>
          <w:numId w:val="1"/>
        </w:numPr>
        <w:autoSpaceDE w:val="0"/>
        <w:autoSpaceDN w:val="0"/>
        <w:adjustRightInd w:val="0"/>
        <w:spacing w:line="360" w:lineRule="auto"/>
        <w:ind w:left="0" w:firstLine="0"/>
        <w:jc w:val="both"/>
        <w:rPr>
          <w:rFonts w:ascii="Palatino Linotype" w:hAnsi="Palatino Linotype" w:cs="Arial"/>
          <w:szCs w:val="22"/>
        </w:rPr>
      </w:pPr>
      <w:r w:rsidRPr="00823F54">
        <w:rPr>
          <w:rFonts w:ascii="Palatino Linotype" w:hAnsi="Palatino Linotype" w:cs="Arial"/>
          <w:szCs w:val="22"/>
        </w:rPr>
        <w:t>Ahora bien, es necesario destacar que el reporte de mandos medios y superiores que requiere el particular, puede colmarse de manera enunciativa, más no limitativa con la conciliación de nómina, que forma parte de los Informes Trimestrales Municipales que entrega el Sujeto Obligado al OSFEM</w:t>
      </w:r>
      <w:r w:rsidR="00BF7162" w:rsidRPr="00823F54">
        <w:rPr>
          <w:rFonts w:ascii="Palatino Linotype" w:hAnsi="Palatino Linotype" w:cs="Arial"/>
          <w:szCs w:val="22"/>
        </w:rPr>
        <w:t>, por contener los siguientes datos:</w:t>
      </w:r>
    </w:p>
    <w:p w14:paraId="1D572155" w14:textId="77777777" w:rsidR="00BF7162" w:rsidRPr="00823F54" w:rsidRDefault="00BF7162" w:rsidP="00BF7162">
      <w:pPr>
        <w:pStyle w:val="Prrafodelista"/>
        <w:rPr>
          <w:rFonts w:ascii="Palatino Linotype" w:hAnsi="Palatino Linotype" w:cs="Arial"/>
          <w:szCs w:val="22"/>
        </w:rPr>
      </w:pPr>
    </w:p>
    <w:p w14:paraId="32A68628" w14:textId="77777777" w:rsidR="00BF7162" w:rsidRPr="00823F54" w:rsidRDefault="00BF7162" w:rsidP="00BF7162">
      <w:pPr>
        <w:pStyle w:val="Prrafodelista"/>
        <w:numPr>
          <w:ilvl w:val="0"/>
          <w:numId w:val="14"/>
        </w:numPr>
        <w:autoSpaceDE w:val="0"/>
        <w:autoSpaceDN w:val="0"/>
        <w:adjustRightInd w:val="0"/>
        <w:spacing w:line="360" w:lineRule="auto"/>
        <w:jc w:val="both"/>
        <w:rPr>
          <w:rFonts w:ascii="Palatino Linotype" w:hAnsi="Palatino Linotype" w:cs="Arial"/>
          <w:b/>
          <w:szCs w:val="22"/>
        </w:rPr>
      </w:pPr>
      <w:r w:rsidRPr="00823F54">
        <w:rPr>
          <w:rFonts w:ascii="Palatino Linotype" w:hAnsi="Palatino Linotype" w:cs="Arial"/>
          <w:b/>
          <w:szCs w:val="22"/>
        </w:rPr>
        <w:t xml:space="preserve">Reporte de Mandos Medios y Superiores: </w:t>
      </w:r>
      <w:r w:rsidRPr="00823F54">
        <w:rPr>
          <w:rFonts w:ascii="Palatino Linotype" w:hAnsi="Palatino Linotype" w:cs="Arial"/>
          <w:szCs w:val="22"/>
        </w:rPr>
        <w:t>nombre, cargo, sueldo, dieta, gratificaciones, compensaciones, bono de desempeño, total bruto, ISR, ISSEMYM, total deducciones, percepción neta.</w:t>
      </w:r>
    </w:p>
    <w:p w14:paraId="397582ED" w14:textId="77777777" w:rsidR="00BF7162" w:rsidRPr="00823F54" w:rsidRDefault="00BF7162" w:rsidP="00BF7162">
      <w:pPr>
        <w:pStyle w:val="Prrafodelista"/>
        <w:autoSpaceDE w:val="0"/>
        <w:autoSpaceDN w:val="0"/>
        <w:adjustRightInd w:val="0"/>
        <w:spacing w:line="360" w:lineRule="auto"/>
        <w:jc w:val="both"/>
        <w:rPr>
          <w:rFonts w:ascii="Palatino Linotype" w:hAnsi="Palatino Linotype" w:cs="Arial"/>
          <w:b/>
          <w:szCs w:val="22"/>
        </w:rPr>
      </w:pPr>
    </w:p>
    <w:p w14:paraId="6C2C8221" w14:textId="77777777" w:rsidR="00AA6C3E" w:rsidRPr="00823F54" w:rsidRDefault="00BF7162" w:rsidP="00BF7162">
      <w:pPr>
        <w:pStyle w:val="Prrafodelista"/>
        <w:numPr>
          <w:ilvl w:val="0"/>
          <w:numId w:val="14"/>
        </w:numPr>
        <w:autoSpaceDE w:val="0"/>
        <w:autoSpaceDN w:val="0"/>
        <w:adjustRightInd w:val="0"/>
        <w:spacing w:line="360" w:lineRule="auto"/>
        <w:jc w:val="both"/>
        <w:rPr>
          <w:rFonts w:ascii="Palatino Linotype" w:hAnsi="Palatino Linotype" w:cs="Arial"/>
          <w:b/>
          <w:szCs w:val="22"/>
        </w:rPr>
      </w:pPr>
      <w:r w:rsidRPr="00823F54">
        <w:rPr>
          <w:rFonts w:ascii="Palatino Linotype" w:hAnsi="Palatino Linotype" w:cs="Arial"/>
          <w:b/>
          <w:szCs w:val="22"/>
        </w:rPr>
        <w:t xml:space="preserve">Conciliación de Nómina:  </w:t>
      </w:r>
      <w:r w:rsidRPr="00823F54">
        <w:rPr>
          <w:rFonts w:ascii="Palatino Linotype" w:hAnsi="Palatino Linotype" w:cs="Arial"/>
          <w:szCs w:val="22"/>
        </w:rPr>
        <w:t>número consecutivo, numero de quincena, número de empleado, RFC, CURP, número de seguridad social</w:t>
      </w:r>
      <w:r w:rsidRPr="00823F54">
        <w:rPr>
          <w:rFonts w:ascii="Palatino Linotype" w:hAnsi="Palatino Linotype" w:cs="Arial"/>
          <w:b/>
          <w:szCs w:val="22"/>
        </w:rPr>
        <w:t xml:space="preserve">, </w:t>
      </w:r>
      <w:r w:rsidRPr="00823F54">
        <w:rPr>
          <w:rFonts w:ascii="Palatino Linotype" w:hAnsi="Palatino Linotype" w:cs="Arial"/>
          <w:szCs w:val="22"/>
        </w:rPr>
        <w:t xml:space="preserve">nombre, fecha de alta, fecha de baja, puesto funcional, nivel y/o rango, número de horas laboradas, adscripción, categoría, percepciones ordinarias (dietas, Sueldo base, Sueldo base para personal </w:t>
      </w:r>
      <w:r w:rsidRPr="00823F54">
        <w:rPr>
          <w:rFonts w:ascii="Palatino Linotype" w:hAnsi="Palatino Linotype" w:cs="Arial"/>
          <w:szCs w:val="22"/>
        </w:rPr>
        <w:lastRenderedPageBreak/>
        <w:t>eventual, Compensación, Gratificación, Otras percepciones, Aguinaldo, Aguinaldo de eventuales, Prima vacacional), Percepciones extraordinarias, Total de percepciones brutas, Deducciones (</w:t>
      </w:r>
      <w:r w:rsidR="00832C78" w:rsidRPr="00823F54">
        <w:rPr>
          <w:rFonts w:ascii="Palatino Linotype" w:hAnsi="Palatino Linotype" w:cs="Arial"/>
          <w:szCs w:val="22"/>
        </w:rPr>
        <w:t xml:space="preserve">I.S .R, Seguridad social, Préstamos, Otras deducciones), Total de deducciones, Total neto, Días pagados, Nombre de la fuente de financiamiento, Póliza. </w:t>
      </w:r>
    </w:p>
    <w:p w14:paraId="0289297F" w14:textId="77777777" w:rsidR="004D20D7" w:rsidRPr="00823F54" w:rsidRDefault="004D20D7" w:rsidP="00832C78">
      <w:pPr>
        <w:rPr>
          <w:rFonts w:ascii="Palatino Linotype" w:hAnsi="Palatino Linotype" w:cs="Arial"/>
          <w:sz w:val="22"/>
          <w:szCs w:val="22"/>
        </w:rPr>
      </w:pPr>
    </w:p>
    <w:p w14:paraId="6309AA34" w14:textId="77777777" w:rsidR="00393E7E" w:rsidRPr="00823F54" w:rsidRDefault="00393E7E" w:rsidP="00832C7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Asimismo,</w:t>
      </w:r>
      <w:r w:rsidRPr="00823F54">
        <w:rPr>
          <w:rFonts w:ascii="Palatino Linotype" w:eastAsia="Palatino Linotype" w:hAnsi="Palatino Linotype" w:cs="Palatino Linotype"/>
          <w:b/>
          <w:i/>
          <w:color w:val="000000"/>
          <w:sz w:val="22"/>
          <w:szCs w:val="22"/>
        </w:rPr>
        <w:t xml:space="preserve"> </w:t>
      </w:r>
      <w:r w:rsidRPr="00823F54">
        <w:rPr>
          <w:rFonts w:ascii="Palatino Linotype" w:eastAsia="Palatino Linotype" w:hAnsi="Palatino Linotype" w:cs="Palatino Linotype"/>
          <w:color w:val="000000"/>
          <w:sz w:val="22"/>
          <w:szCs w:val="22"/>
        </w:rPr>
        <w:t>es necesario señalar que, el Órgano Superior de Fiscalización emite anualmente los Lineamientos para la elaboración y presentación de los Informe Mensuales, los cuales tienen como objetivo establecer las especificaciones necesarias que las entidades fiscalizables deben cumplir para la elaboración y presentación de los informes. Estos Lineamientos son de observancia general para todos los servidores públicos de las entidades fiscalizables que desempeñen un empleo, cargo o comisión, de cualquier naturaleza en la administración pública y que manejen recursos públicos; en atención a ello, el informe mensual deberá ser presentado al Órgano Superior de Fiscalización.</w:t>
      </w:r>
    </w:p>
    <w:p w14:paraId="04D36829" w14:textId="77777777" w:rsidR="00393E7E" w:rsidRPr="00823F54" w:rsidRDefault="00393E7E" w:rsidP="00832C78">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14:paraId="3D4F9A27" w14:textId="77777777" w:rsidR="00393E7E" w:rsidRPr="00823F54" w:rsidRDefault="00393E7E" w:rsidP="00832C78">
      <w:pPr>
        <w:numPr>
          <w:ilvl w:val="0"/>
          <w:numId w:val="1"/>
        </w:numPr>
        <w:pBdr>
          <w:top w:val="nil"/>
          <w:left w:val="nil"/>
          <w:bottom w:val="nil"/>
          <w:right w:val="nil"/>
          <w:between w:val="nil"/>
        </w:pBdr>
        <w:spacing w:line="360" w:lineRule="auto"/>
        <w:ind w:left="0" w:right="113" w:firstLine="0"/>
        <w:jc w:val="both"/>
        <w:rPr>
          <w:color w:val="000000"/>
          <w:sz w:val="22"/>
          <w:szCs w:val="22"/>
        </w:rPr>
      </w:pPr>
      <w:r w:rsidRPr="00823F54">
        <w:rPr>
          <w:rFonts w:ascii="Palatino Linotype" w:eastAsia="Palatino Linotype" w:hAnsi="Palatino Linotype" w:cs="Palatino Linotype"/>
          <w:color w:val="000000"/>
          <w:sz w:val="22"/>
          <w:szCs w:val="22"/>
        </w:rPr>
        <w:t xml:space="preserve">Además, de que la información </w:t>
      </w:r>
      <w:r w:rsidR="00832C78" w:rsidRPr="00823F54">
        <w:rPr>
          <w:rFonts w:ascii="Palatino Linotype" w:eastAsia="Palatino Linotype" w:hAnsi="Palatino Linotype" w:cs="Palatino Linotype"/>
          <w:color w:val="000000"/>
          <w:sz w:val="22"/>
          <w:szCs w:val="22"/>
        </w:rPr>
        <w:t>solicitada</w:t>
      </w:r>
      <w:r w:rsidRPr="00823F54">
        <w:rPr>
          <w:rFonts w:ascii="Palatino Linotype" w:eastAsia="Palatino Linotype" w:hAnsi="Palatino Linotype" w:cs="Palatino Linotype"/>
          <w:color w:val="000000"/>
          <w:sz w:val="22"/>
          <w:szCs w:val="22"/>
        </w:rPr>
        <w:t>,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31D998EB" w14:textId="77777777" w:rsidR="00393E7E" w:rsidRPr="00823F54" w:rsidRDefault="00393E7E" w:rsidP="00832C78">
      <w:pPr>
        <w:pBdr>
          <w:top w:val="nil"/>
          <w:left w:val="nil"/>
          <w:bottom w:val="nil"/>
          <w:right w:val="nil"/>
          <w:between w:val="nil"/>
        </w:pBdr>
        <w:spacing w:line="360" w:lineRule="auto"/>
        <w:ind w:right="113"/>
        <w:jc w:val="both"/>
        <w:rPr>
          <w:color w:val="000000"/>
          <w:sz w:val="22"/>
          <w:szCs w:val="22"/>
        </w:rPr>
      </w:pPr>
    </w:p>
    <w:p w14:paraId="03CC458B" w14:textId="77777777" w:rsidR="00393E7E" w:rsidRPr="00823F54" w:rsidRDefault="00393E7E" w:rsidP="00832C78">
      <w:pPr>
        <w:ind w:left="851" w:right="113"/>
        <w:jc w:val="both"/>
        <w:rPr>
          <w:rFonts w:ascii="Palatino Linotype" w:eastAsia="Palatino Linotype" w:hAnsi="Palatino Linotype" w:cs="Palatino Linotype"/>
          <w:i/>
          <w:sz w:val="22"/>
          <w:szCs w:val="22"/>
          <w:u w:val="single"/>
        </w:rPr>
      </w:pPr>
      <w:r w:rsidRPr="00823F54">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823F54">
        <w:rPr>
          <w:rFonts w:ascii="Palatino Linotype" w:eastAsia="Palatino Linotype" w:hAnsi="Palatino Linotype" w:cs="Palatino Linotype"/>
          <w:i/>
          <w:sz w:val="22"/>
          <w:szCs w:val="22"/>
        </w:rPr>
        <w:t xml:space="preserve"> autoridad, órgano y organismo de los </w:t>
      </w:r>
      <w:r w:rsidRPr="00823F54">
        <w:rPr>
          <w:rFonts w:ascii="Palatino Linotype" w:eastAsia="Palatino Linotype" w:hAnsi="Palatino Linotype" w:cs="Palatino Linotype"/>
          <w:i/>
          <w:sz w:val="22"/>
          <w:szCs w:val="22"/>
        </w:rPr>
        <w:lastRenderedPageBreak/>
        <w:t xml:space="preserve">poderes Ejecutivo, Legislativo y Judicial, órganos autónomos, partidos políticos, fideicomisos y fondos públicos, así como de cualquier persona física, jurídico colectiva o sindicato </w:t>
      </w:r>
      <w:r w:rsidRPr="00823F54">
        <w:rPr>
          <w:rFonts w:ascii="Palatino Linotype" w:eastAsia="Palatino Linotype" w:hAnsi="Palatino Linotype" w:cs="Palatino Linotype"/>
          <w:b/>
          <w:i/>
          <w:sz w:val="22"/>
          <w:szCs w:val="22"/>
          <w:u w:val="single"/>
        </w:rPr>
        <w:t>que reciba y ejerza recursos públicos</w:t>
      </w:r>
      <w:r w:rsidRPr="00823F54">
        <w:rPr>
          <w:rFonts w:ascii="Palatino Linotype" w:eastAsia="Palatino Linotype" w:hAnsi="Palatino Linotype" w:cs="Palatino Linotype"/>
          <w:i/>
          <w:sz w:val="22"/>
          <w:szCs w:val="22"/>
        </w:rPr>
        <w:t xml:space="preserve"> o realice actos de autoridad </w:t>
      </w:r>
      <w:r w:rsidRPr="00823F54">
        <w:rPr>
          <w:rFonts w:ascii="Palatino Linotype" w:eastAsia="Palatino Linotype" w:hAnsi="Palatino Linotype" w:cs="Palatino Linotype"/>
          <w:b/>
          <w:i/>
          <w:sz w:val="22"/>
          <w:szCs w:val="22"/>
          <w:u w:val="single"/>
        </w:rPr>
        <w:t>en el ámbito de competencia del Estado de México y sus municipios</w:t>
      </w:r>
      <w:r w:rsidRPr="00823F54">
        <w:rPr>
          <w:rFonts w:ascii="Palatino Linotype" w:eastAsia="Palatino Linotype" w:hAnsi="Palatino Linotype" w:cs="Palatino Linotype"/>
          <w:i/>
          <w:sz w:val="22"/>
          <w:szCs w:val="22"/>
          <w:u w:val="single"/>
        </w:rPr>
        <w:t>.</w:t>
      </w:r>
    </w:p>
    <w:p w14:paraId="4E9494A0" w14:textId="77777777" w:rsidR="00393E7E" w:rsidRPr="00823F54" w:rsidRDefault="00393E7E" w:rsidP="00832C78">
      <w:pPr>
        <w:ind w:left="851" w:right="113"/>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3516A1A1" w14:textId="77777777" w:rsidR="00393E7E" w:rsidRPr="00823F54" w:rsidRDefault="00393E7E" w:rsidP="00832C78">
      <w:pPr>
        <w:ind w:left="851" w:right="113"/>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w:t>
      </w:r>
    </w:p>
    <w:p w14:paraId="40437FB8" w14:textId="77777777" w:rsidR="00393E7E" w:rsidRPr="00823F54" w:rsidRDefault="00393E7E" w:rsidP="00832C78">
      <w:pPr>
        <w:ind w:left="851" w:right="113"/>
        <w:jc w:val="both"/>
        <w:rPr>
          <w:rFonts w:ascii="Palatino Linotype" w:eastAsia="Palatino Linotype" w:hAnsi="Palatino Linotype" w:cs="Palatino Linotype"/>
          <w:b/>
          <w:i/>
          <w:sz w:val="22"/>
          <w:szCs w:val="22"/>
          <w:u w:val="single"/>
        </w:rPr>
      </w:pPr>
      <w:r w:rsidRPr="00823F54">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788794B3" w14:textId="77777777" w:rsidR="00393E7E" w:rsidRPr="00823F54" w:rsidRDefault="00393E7E" w:rsidP="00832C78">
      <w:pPr>
        <w:ind w:left="851" w:right="113"/>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w:t>
      </w:r>
    </w:p>
    <w:p w14:paraId="04609596" w14:textId="77777777" w:rsidR="00393E7E" w:rsidRPr="00823F54" w:rsidRDefault="00393E7E" w:rsidP="00832C78">
      <w:pPr>
        <w:ind w:left="851" w:right="113"/>
        <w:jc w:val="both"/>
        <w:rPr>
          <w:rFonts w:ascii="Palatino Linotype" w:eastAsia="Palatino Linotype" w:hAnsi="Palatino Linotype" w:cs="Palatino Linotype"/>
          <w:b/>
          <w:i/>
          <w:sz w:val="22"/>
          <w:szCs w:val="22"/>
          <w:u w:val="single"/>
        </w:rPr>
      </w:pPr>
      <w:r w:rsidRPr="00823F54">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8574707" w14:textId="77777777" w:rsidR="00393E7E" w:rsidRPr="00823F54" w:rsidRDefault="00393E7E" w:rsidP="00832C78">
      <w:pPr>
        <w:ind w:left="851" w:right="113"/>
        <w:jc w:val="both"/>
        <w:rPr>
          <w:rFonts w:ascii="Palatino Linotype" w:eastAsia="Palatino Linotype" w:hAnsi="Palatino Linotype" w:cs="Palatino Linotype"/>
          <w:b/>
          <w:i/>
          <w:sz w:val="22"/>
          <w:szCs w:val="22"/>
        </w:rPr>
      </w:pPr>
      <w:r w:rsidRPr="00823F54">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823F54">
        <w:rPr>
          <w:rFonts w:ascii="Palatino Linotype" w:eastAsia="Palatino Linotype" w:hAnsi="Palatino Linotype" w:cs="Palatino Linotype"/>
          <w:b/>
          <w:i/>
          <w:sz w:val="22"/>
          <w:szCs w:val="22"/>
        </w:rPr>
        <w:t xml:space="preserve"> [Sic]</w:t>
      </w:r>
    </w:p>
    <w:p w14:paraId="174C9F7A" w14:textId="77777777" w:rsidR="00393E7E" w:rsidRPr="00823F54" w:rsidRDefault="00393E7E" w:rsidP="00832C78">
      <w:pPr>
        <w:spacing w:line="360" w:lineRule="auto"/>
        <w:ind w:right="113"/>
        <w:jc w:val="both"/>
        <w:rPr>
          <w:rFonts w:ascii="Palatino Linotype" w:eastAsia="Palatino Linotype" w:hAnsi="Palatino Linotype" w:cs="Palatino Linotype"/>
          <w:sz w:val="22"/>
          <w:szCs w:val="22"/>
        </w:rPr>
      </w:pPr>
    </w:p>
    <w:p w14:paraId="718ECD2E" w14:textId="77777777" w:rsidR="00393E7E" w:rsidRPr="00823F54" w:rsidRDefault="00393E7E" w:rsidP="00832C78">
      <w:pPr>
        <w:numPr>
          <w:ilvl w:val="0"/>
          <w:numId w:val="1"/>
        </w:numPr>
        <w:pBdr>
          <w:top w:val="nil"/>
          <w:left w:val="nil"/>
          <w:bottom w:val="nil"/>
          <w:right w:val="nil"/>
          <w:between w:val="nil"/>
        </w:pBdr>
        <w:spacing w:line="360" w:lineRule="auto"/>
        <w:ind w:left="0" w:right="113" w:firstLine="0"/>
        <w:jc w:val="both"/>
        <w:rPr>
          <w:color w:val="000000"/>
          <w:sz w:val="22"/>
          <w:szCs w:val="22"/>
        </w:rPr>
      </w:pPr>
      <w:r w:rsidRPr="00823F54">
        <w:rPr>
          <w:rFonts w:ascii="Palatino Linotype" w:eastAsia="Palatino Linotype" w:hAnsi="Palatino Linotype" w:cs="Palatino Linotype"/>
          <w:color w:val="000000"/>
          <w:sz w:val="22"/>
          <w:szCs w:val="22"/>
        </w:rPr>
        <w:t xml:space="preserve">Sirve de sustento por analogía, para justificar la publicidad sobre los datos relativos a los montos por concepto de pago de las remuneraciones, los criterios </w:t>
      </w:r>
      <w:r w:rsidRPr="00823F54">
        <w:rPr>
          <w:rFonts w:ascii="Palatino Linotype" w:eastAsia="Palatino Linotype" w:hAnsi="Palatino Linotype" w:cs="Palatino Linotype"/>
          <w:b/>
          <w:color w:val="000000"/>
          <w:sz w:val="22"/>
          <w:szCs w:val="22"/>
        </w:rPr>
        <w:t>01/2003</w:t>
      </w:r>
      <w:r w:rsidRPr="00823F54">
        <w:rPr>
          <w:rFonts w:ascii="Palatino Linotype" w:eastAsia="Palatino Linotype" w:hAnsi="Palatino Linotype" w:cs="Palatino Linotype"/>
          <w:color w:val="000000"/>
          <w:sz w:val="22"/>
          <w:szCs w:val="22"/>
        </w:rPr>
        <w:t xml:space="preserve"> y </w:t>
      </w:r>
      <w:r w:rsidRPr="00823F54">
        <w:rPr>
          <w:rFonts w:ascii="Palatino Linotype" w:eastAsia="Palatino Linotype" w:hAnsi="Palatino Linotype" w:cs="Palatino Linotype"/>
          <w:b/>
          <w:color w:val="000000"/>
          <w:sz w:val="22"/>
          <w:szCs w:val="22"/>
        </w:rPr>
        <w:t>02/2003</w:t>
      </w:r>
      <w:r w:rsidRPr="00823F54">
        <w:rPr>
          <w:rFonts w:ascii="Palatino Linotype" w:eastAsia="Palatino Linotype" w:hAnsi="Palatino Linotype" w:cs="Palatino Linotype"/>
          <w:color w:val="000000"/>
          <w:sz w:val="22"/>
          <w:szCs w:val="22"/>
        </w:rPr>
        <w:t xml:space="preserve"> emitidos por el Comité de Acceso a la Información Pública y Protección de Datos Personales de la Suprema Corte de Justicia de la Nación que a continuación se citan: </w:t>
      </w:r>
    </w:p>
    <w:p w14:paraId="0E6250F4" w14:textId="77777777" w:rsidR="00393E7E" w:rsidRPr="00823F54" w:rsidRDefault="00393E7E" w:rsidP="00832C78">
      <w:pPr>
        <w:pBdr>
          <w:top w:val="nil"/>
          <w:left w:val="nil"/>
          <w:bottom w:val="nil"/>
          <w:right w:val="nil"/>
          <w:between w:val="nil"/>
        </w:pBdr>
        <w:spacing w:line="360" w:lineRule="auto"/>
        <w:ind w:right="113"/>
        <w:jc w:val="both"/>
        <w:rPr>
          <w:color w:val="000000"/>
          <w:sz w:val="22"/>
          <w:szCs w:val="22"/>
        </w:rPr>
      </w:pPr>
    </w:p>
    <w:p w14:paraId="6CC86233" w14:textId="77777777" w:rsidR="00393E7E" w:rsidRPr="00823F54" w:rsidRDefault="00393E7E" w:rsidP="00832C78">
      <w:pPr>
        <w:spacing w:line="276" w:lineRule="auto"/>
        <w:ind w:left="851" w:right="113"/>
        <w:rPr>
          <w:rFonts w:ascii="Palatino Linotype" w:eastAsia="Palatino Linotype" w:hAnsi="Palatino Linotype" w:cs="Palatino Linotype"/>
          <w:b/>
          <w:i/>
          <w:sz w:val="22"/>
          <w:szCs w:val="22"/>
        </w:rPr>
      </w:pPr>
      <w:r w:rsidRPr="00823F54">
        <w:rPr>
          <w:rFonts w:ascii="Palatino Linotype" w:eastAsia="Palatino Linotype" w:hAnsi="Palatino Linotype" w:cs="Palatino Linotype"/>
          <w:b/>
          <w:i/>
          <w:sz w:val="22"/>
          <w:szCs w:val="22"/>
        </w:rPr>
        <w:t>“Criterio 01/2003.</w:t>
      </w:r>
    </w:p>
    <w:p w14:paraId="5E6C3C41" w14:textId="77777777" w:rsidR="00393E7E" w:rsidRPr="00823F54" w:rsidRDefault="00393E7E" w:rsidP="00832C78">
      <w:pPr>
        <w:spacing w:line="276" w:lineRule="auto"/>
        <w:ind w:left="851" w:right="113"/>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823F54">
        <w:rPr>
          <w:rFonts w:ascii="Palatino Linotype" w:eastAsia="Palatino Linotype" w:hAnsi="Palatino Linotype" w:cs="Palatino Linotype"/>
          <w:i/>
          <w:sz w:val="22"/>
          <w:szCs w:val="22"/>
        </w:rPr>
        <w:t xml:space="preserve"> </w:t>
      </w:r>
    </w:p>
    <w:p w14:paraId="79508205" w14:textId="77777777" w:rsidR="00393E7E" w:rsidRPr="00823F54" w:rsidRDefault="00393E7E" w:rsidP="00832C78">
      <w:pPr>
        <w:spacing w:line="276" w:lineRule="auto"/>
        <w:ind w:left="851" w:right="113"/>
        <w:jc w:val="both"/>
        <w:rPr>
          <w:rFonts w:ascii="Palatino Linotype" w:eastAsia="Palatino Linotype" w:hAnsi="Palatino Linotype" w:cs="Palatino Linotype"/>
          <w:i/>
          <w:sz w:val="22"/>
          <w:szCs w:val="22"/>
          <w:u w:val="single"/>
        </w:rPr>
      </w:pPr>
      <w:r w:rsidRPr="00823F54">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823F54">
        <w:rPr>
          <w:rFonts w:ascii="Palatino Linotype" w:eastAsia="Palatino Linotype" w:hAnsi="Palatino Linotype" w:cs="Palatino Linotype"/>
          <w:b/>
          <w:i/>
          <w:sz w:val="22"/>
          <w:szCs w:val="22"/>
          <w:u w:val="single"/>
        </w:rPr>
        <w:t xml:space="preserve">deben publicarse en medios remotos o locales de </w:t>
      </w:r>
      <w:r w:rsidRPr="00823F54">
        <w:rPr>
          <w:rFonts w:ascii="Palatino Linotype" w:eastAsia="Palatino Linotype" w:hAnsi="Palatino Linotype" w:cs="Palatino Linotype"/>
          <w:b/>
          <w:i/>
          <w:sz w:val="22"/>
          <w:szCs w:val="22"/>
          <w:u w:val="single"/>
        </w:rPr>
        <w:lastRenderedPageBreak/>
        <w:t>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823F54">
        <w:rPr>
          <w:rFonts w:ascii="Palatino Linotype" w:eastAsia="Palatino Linotype" w:hAnsi="Palatino Linotype" w:cs="Palatino Linotype"/>
          <w:i/>
          <w:sz w:val="22"/>
          <w:szCs w:val="22"/>
          <w:u w:val="single"/>
        </w:rPr>
        <w:t>…”</w:t>
      </w:r>
    </w:p>
    <w:p w14:paraId="2098F60D" w14:textId="77777777" w:rsidR="00393E7E" w:rsidRPr="00823F54" w:rsidRDefault="00393E7E" w:rsidP="00832C78">
      <w:pPr>
        <w:spacing w:line="276" w:lineRule="auto"/>
        <w:ind w:left="851" w:right="113"/>
        <w:jc w:val="both"/>
        <w:rPr>
          <w:rFonts w:ascii="Palatino Linotype" w:eastAsia="Palatino Linotype" w:hAnsi="Palatino Linotype" w:cs="Palatino Linotype"/>
          <w:i/>
          <w:sz w:val="22"/>
          <w:szCs w:val="22"/>
        </w:rPr>
      </w:pPr>
    </w:p>
    <w:p w14:paraId="27240A7F" w14:textId="77777777" w:rsidR="00393E7E" w:rsidRPr="00823F54" w:rsidRDefault="00393E7E" w:rsidP="00832C78">
      <w:pPr>
        <w:spacing w:line="276" w:lineRule="auto"/>
        <w:ind w:left="851" w:right="113"/>
        <w:rPr>
          <w:rFonts w:ascii="Palatino Linotype" w:eastAsia="Palatino Linotype" w:hAnsi="Palatino Linotype" w:cs="Palatino Linotype"/>
          <w:b/>
          <w:i/>
          <w:sz w:val="22"/>
          <w:szCs w:val="22"/>
        </w:rPr>
      </w:pPr>
      <w:r w:rsidRPr="00823F54">
        <w:rPr>
          <w:rFonts w:ascii="Palatino Linotype" w:eastAsia="Palatino Linotype" w:hAnsi="Palatino Linotype" w:cs="Palatino Linotype"/>
          <w:b/>
          <w:i/>
          <w:sz w:val="22"/>
          <w:szCs w:val="22"/>
        </w:rPr>
        <w:t>“Criterio 02/2003.</w:t>
      </w:r>
    </w:p>
    <w:p w14:paraId="2CB35F56" w14:textId="77777777" w:rsidR="00393E7E" w:rsidRPr="00823F54" w:rsidRDefault="00393E7E" w:rsidP="00832C78">
      <w:pPr>
        <w:spacing w:line="276" w:lineRule="auto"/>
        <w:ind w:left="851" w:right="113"/>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823F54">
        <w:rPr>
          <w:rFonts w:ascii="Palatino Linotype" w:eastAsia="Palatino Linotype" w:hAnsi="Palatino Linotype" w:cs="Palatino Linotype"/>
          <w:i/>
          <w:sz w:val="22"/>
          <w:szCs w:val="22"/>
        </w:rPr>
        <w:t xml:space="preserve"> </w:t>
      </w:r>
    </w:p>
    <w:p w14:paraId="785D3EBB" w14:textId="77777777" w:rsidR="00393E7E" w:rsidRPr="00823F54" w:rsidRDefault="00393E7E" w:rsidP="00832C78">
      <w:pPr>
        <w:spacing w:line="276" w:lineRule="auto"/>
        <w:ind w:left="851" w:right="113"/>
        <w:jc w:val="both"/>
        <w:rPr>
          <w:rFonts w:ascii="Palatino Linotype" w:eastAsia="Palatino Linotype" w:hAnsi="Palatino Linotype" w:cs="Palatino Linotype"/>
          <w:b/>
          <w:i/>
          <w:sz w:val="22"/>
          <w:szCs w:val="22"/>
        </w:rPr>
      </w:pPr>
      <w:r w:rsidRPr="00823F54">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823F54">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823F54">
        <w:rPr>
          <w:rFonts w:ascii="Palatino Linotype" w:eastAsia="Palatino Linotype" w:hAnsi="Palatino Linotype" w:cs="Palatino Linotype"/>
          <w:i/>
          <w:sz w:val="22"/>
          <w:szCs w:val="22"/>
        </w:rPr>
        <w:t xml:space="preserve"> el sistema de compensación…” </w:t>
      </w:r>
      <w:r w:rsidRPr="00823F54">
        <w:rPr>
          <w:rFonts w:ascii="Palatino Linotype" w:eastAsia="Palatino Linotype" w:hAnsi="Palatino Linotype" w:cs="Palatino Linotype"/>
          <w:b/>
          <w:i/>
          <w:sz w:val="22"/>
          <w:szCs w:val="22"/>
        </w:rPr>
        <w:t>[Sic]</w:t>
      </w:r>
    </w:p>
    <w:p w14:paraId="2C3C79A1" w14:textId="77777777" w:rsidR="00393E7E" w:rsidRPr="00823F54" w:rsidRDefault="00393E7E" w:rsidP="00832C78">
      <w:pPr>
        <w:spacing w:line="276" w:lineRule="auto"/>
        <w:ind w:left="851" w:right="113"/>
        <w:jc w:val="both"/>
        <w:rPr>
          <w:rFonts w:ascii="Palatino Linotype" w:eastAsia="Palatino Linotype" w:hAnsi="Palatino Linotype" w:cs="Palatino Linotype"/>
          <w:b/>
          <w:i/>
          <w:sz w:val="22"/>
          <w:szCs w:val="22"/>
        </w:rPr>
      </w:pPr>
    </w:p>
    <w:p w14:paraId="2712EC55" w14:textId="77777777" w:rsidR="00393E7E" w:rsidRPr="00823F54" w:rsidRDefault="00393E7E" w:rsidP="00832C78">
      <w:pPr>
        <w:numPr>
          <w:ilvl w:val="0"/>
          <w:numId w:val="1"/>
        </w:numPr>
        <w:pBdr>
          <w:top w:val="nil"/>
          <w:left w:val="nil"/>
          <w:bottom w:val="nil"/>
          <w:right w:val="nil"/>
          <w:between w:val="nil"/>
        </w:pBdr>
        <w:tabs>
          <w:tab w:val="left" w:pos="0"/>
        </w:tabs>
        <w:spacing w:line="360" w:lineRule="auto"/>
        <w:ind w:left="0" w:right="113" w:firstLine="0"/>
        <w:jc w:val="both"/>
        <w:rPr>
          <w:color w:val="000000"/>
          <w:sz w:val="22"/>
          <w:szCs w:val="22"/>
        </w:rPr>
      </w:pPr>
      <w:r w:rsidRPr="00823F54">
        <w:rPr>
          <w:rFonts w:ascii="Palatino Linotype" w:eastAsia="Palatino Linotype" w:hAnsi="Palatino Linotype" w:cs="Palatino Linotype"/>
          <w:color w:val="000000"/>
          <w:sz w:val="22"/>
          <w:szCs w:val="22"/>
        </w:rPr>
        <w:t>Máxime, que se trata de una obligación de transparencia en términos de lo señalado por el artículo 92 fracción  de la Ley de Transparencia y Acceso a la Información Pública del Estado de México y Municipios vigente, que señala:</w:t>
      </w:r>
    </w:p>
    <w:p w14:paraId="1C01405D" w14:textId="77777777" w:rsidR="00832C78" w:rsidRPr="00823F54" w:rsidRDefault="00832C78" w:rsidP="00832C78">
      <w:pPr>
        <w:pBdr>
          <w:top w:val="nil"/>
          <w:left w:val="nil"/>
          <w:bottom w:val="nil"/>
          <w:right w:val="nil"/>
          <w:between w:val="nil"/>
        </w:pBdr>
        <w:tabs>
          <w:tab w:val="left" w:pos="0"/>
        </w:tabs>
        <w:spacing w:line="360" w:lineRule="auto"/>
        <w:ind w:right="113"/>
        <w:jc w:val="both"/>
        <w:rPr>
          <w:color w:val="000000"/>
          <w:sz w:val="22"/>
          <w:szCs w:val="22"/>
        </w:rPr>
      </w:pPr>
    </w:p>
    <w:p w14:paraId="770EEE33" w14:textId="77777777" w:rsidR="00393E7E" w:rsidRPr="00823F54" w:rsidRDefault="00393E7E" w:rsidP="00832C78">
      <w:pPr>
        <w:spacing w:line="276" w:lineRule="auto"/>
        <w:ind w:left="851" w:right="822"/>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2D50022" w14:textId="77777777" w:rsidR="00393E7E" w:rsidRPr="00823F54" w:rsidRDefault="00393E7E" w:rsidP="00832C78">
      <w:pPr>
        <w:spacing w:line="276" w:lineRule="auto"/>
        <w:ind w:left="851" w:right="822"/>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w:t>
      </w:r>
    </w:p>
    <w:p w14:paraId="1072D785" w14:textId="77777777" w:rsidR="00393E7E" w:rsidRPr="00823F54" w:rsidRDefault="00393E7E" w:rsidP="00832C78">
      <w:pPr>
        <w:spacing w:line="276" w:lineRule="auto"/>
        <w:ind w:left="851" w:right="822"/>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 xml:space="preserve">VIII. </w:t>
      </w:r>
      <w:r w:rsidRPr="00823F54">
        <w:rPr>
          <w:rFonts w:ascii="Palatino Linotype" w:eastAsia="Palatino Linotype" w:hAnsi="Palatino Linotype" w:cs="Palatino Linotype"/>
          <w:i/>
          <w:sz w:val="22"/>
          <w:szCs w:val="22"/>
          <w:u w:val="single"/>
        </w:rPr>
        <w:t xml:space="preserve">La remuneración bruta y neta de todos los servidores públicos de base o de confianza, de todas las percepciones, incluyendo sueldos, prestaciones, </w:t>
      </w:r>
      <w:r w:rsidRPr="00823F54">
        <w:rPr>
          <w:rFonts w:ascii="Palatino Linotype" w:eastAsia="Palatino Linotype" w:hAnsi="Palatino Linotype" w:cs="Palatino Linotype"/>
          <w:i/>
          <w:sz w:val="22"/>
          <w:szCs w:val="22"/>
          <w:u w:val="single"/>
        </w:rPr>
        <w:lastRenderedPageBreak/>
        <w:t>gratificaciones, primas, comisiones, dietas, bonos, estímulos, ingresos y sistemas de compensación</w:t>
      </w:r>
      <w:r w:rsidRPr="00823F54">
        <w:rPr>
          <w:rFonts w:ascii="Palatino Linotype" w:eastAsia="Palatino Linotype" w:hAnsi="Palatino Linotype" w:cs="Palatino Linotype"/>
          <w:i/>
          <w:sz w:val="22"/>
          <w:szCs w:val="22"/>
        </w:rPr>
        <w:t>, señalando la periodicidad de dicha remuneración;</w:t>
      </w:r>
    </w:p>
    <w:p w14:paraId="20C2C184" w14:textId="77777777" w:rsidR="00393E7E" w:rsidRPr="00823F54" w:rsidRDefault="00393E7E" w:rsidP="00393E7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A86A145" w14:textId="77777777" w:rsidR="00393E7E" w:rsidRPr="00823F54" w:rsidRDefault="00393E7E" w:rsidP="00393E7E">
      <w:pPr>
        <w:numPr>
          <w:ilvl w:val="0"/>
          <w:numId w:val="1"/>
        </w:numPr>
        <w:spacing w:line="360" w:lineRule="auto"/>
        <w:ind w:left="0" w:right="49" w:firstLine="0"/>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En consecuencia, una vez analizadas las constancias que integran el expediente electrónico, y en mérito de lo expuesto en líneas anteriores, resultan </w:t>
      </w:r>
      <w:r w:rsidR="00832C78" w:rsidRPr="00823F54">
        <w:rPr>
          <w:rFonts w:ascii="Palatino Linotype" w:eastAsia="Palatino Linotype" w:hAnsi="Palatino Linotype" w:cs="Palatino Linotype"/>
          <w:sz w:val="22"/>
          <w:szCs w:val="22"/>
        </w:rPr>
        <w:t xml:space="preserve">parcialmente </w:t>
      </w:r>
      <w:r w:rsidRPr="00823F54">
        <w:rPr>
          <w:rFonts w:ascii="Palatino Linotype" w:eastAsia="Palatino Linotype" w:hAnsi="Palatino Linotype" w:cs="Palatino Linotype"/>
          <w:sz w:val="22"/>
          <w:szCs w:val="22"/>
        </w:rPr>
        <w:t xml:space="preserve">fundadas las razones o motivos de inconformidad hechos valer por el </w:t>
      </w:r>
      <w:r w:rsidRPr="00823F54">
        <w:rPr>
          <w:rFonts w:ascii="Palatino Linotype" w:eastAsia="Palatino Linotype" w:hAnsi="Palatino Linotype" w:cs="Palatino Linotype"/>
          <w:b/>
          <w:sz w:val="22"/>
          <w:szCs w:val="22"/>
        </w:rPr>
        <w:t>RECURRENTE</w:t>
      </w:r>
      <w:r w:rsidRPr="00823F54">
        <w:rPr>
          <w:rFonts w:ascii="Palatino Linotype" w:eastAsia="Palatino Linotype" w:hAnsi="Palatino Linotype" w:cs="Palatino Linotype"/>
          <w:sz w:val="22"/>
          <w:szCs w:val="22"/>
        </w:rPr>
        <w:t xml:space="preserve"> dentro del recurso de revisión </w:t>
      </w:r>
      <w:r w:rsidR="00832C78" w:rsidRPr="00823F54">
        <w:rPr>
          <w:rFonts w:ascii="Palatino Linotype" w:eastAsia="Palatino Linotype" w:hAnsi="Palatino Linotype" w:cs="Palatino Linotype"/>
          <w:b/>
          <w:sz w:val="22"/>
          <w:szCs w:val="22"/>
        </w:rPr>
        <w:t>03178</w:t>
      </w:r>
      <w:r w:rsidRPr="00823F54">
        <w:rPr>
          <w:rFonts w:ascii="Palatino Linotype" w:eastAsia="Palatino Linotype" w:hAnsi="Palatino Linotype" w:cs="Palatino Linotype"/>
          <w:b/>
          <w:sz w:val="22"/>
          <w:szCs w:val="22"/>
        </w:rPr>
        <w:t>/INFOEM/IP/RR/2024</w:t>
      </w:r>
      <w:r w:rsidRPr="00823F54">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Pr="00823F54">
        <w:rPr>
          <w:rFonts w:ascii="Palatino Linotype" w:eastAsia="Palatino Linotype" w:hAnsi="Palatino Linotype" w:cs="Palatino Linotype"/>
          <w:b/>
          <w:sz w:val="22"/>
          <w:szCs w:val="22"/>
        </w:rPr>
        <w:t>MODIFICA</w:t>
      </w:r>
      <w:r w:rsidRPr="00823F54">
        <w:rPr>
          <w:rFonts w:ascii="Palatino Linotype" w:eastAsia="Palatino Linotype" w:hAnsi="Palatino Linotype" w:cs="Palatino Linotype"/>
          <w:sz w:val="22"/>
          <w:szCs w:val="22"/>
        </w:rPr>
        <w:t xml:space="preserve"> la respuesta del Sujeto Obligado. </w:t>
      </w:r>
    </w:p>
    <w:p w14:paraId="49E5B65F" w14:textId="77777777" w:rsidR="00393E7E" w:rsidRPr="00823F54" w:rsidRDefault="00393E7E" w:rsidP="00393E7E">
      <w:pPr>
        <w:spacing w:line="360" w:lineRule="auto"/>
        <w:jc w:val="both"/>
        <w:rPr>
          <w:rFonts w:ascii="Palatino Linotype" w:eastAsia="Palatino Linotype" w:hAnsi="Palatino Linotype" w:cs="Palatino Linotype"/>
          <w:b/>
          <w:sz w:val="22"/>
          <w:szCs w:val="22"/>
        </w:rPr>
      </w:pPr>
    </w:p>
    <w:p w14:paraId="0C924058" w14:textId="77777777" w:rsidR="00393E7E" w:rsidRPr="00823F54" w:rsidRDefault="00393E7E" w:rsidP="00393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bookmarkStart w:id="9" w:name="_heading=h.2s8eyo1" w:colFirst="0" w:colLast="0"/>
      <w:bookmarkEnd w:id="9"/>
      <w:r w:rsidRPr="00823F54">
        <w:rPr>
          <w:rFonts w:ascii="Palatino Linotype" w:eastAsia="Palatino Linotype" w:hAnsi="Palatino Linotype" w:cs="Palatino Linotype"/>
          <w:b/>
          <w:color w:val="000000"/>
          <w:sz w:val="22"/>
          <w:szCs w:val="22"/>
        </w:rPr>
        <w:t>QUINTO. De la versión pública.</w:t>
      </w:r>
    </w:p>
    <w:p w14:paraId="61BB1DAC" w14:textId="77777777" w:rsidR="00393E7E" w:rsidRPr="00823F54" w:rsidRDefault="00393E7E" w:rsidP="00393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626E480B" w14:textId="77777777" w:rsidR="00393E7E" w:rsidRPr="00823F54" w:rsidRDefault="00393E7E" w:rsidP="00393E7E">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Debe destacarse que, debido a la naturaleza de la información solicitada</w:t>
      </w:r>
      <w:r w:rsidRPr="00823F54">
        <w:rPr>
          <w:rFonts w:ascii="Palatino Linotype" w:eastAsia="Palatino Linotype" w:hAnsi="Palatino Linotype" w:cs="Palatino Linotype"/>
          <w:b/>
          <w:color w:val="000000"/>
          <w:sz w:val="22"/>
          <w:szCs w:val="22"/>
        </w:rPr>
        <w:t xml:space="preserve"> </w:t>
      </w:r>
      <w:r w:rsidRPr="00823F54">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BCEB1CD" w14:textId="77777777" w:rsidR="00393E7E" w:rsidRPr="00823F54" w:rsidRDefault="00393E7E" w:rsidP="00393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0387DD38" w14:textId="77777777" w:rsidR="00393E7E" w:rsidRPr="00823F54" w:rsidRDefault="00393E7E" w:rsidP="00393E7E">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0E3E555C" w14:textId="77777777" w:rsidR="00393E7E" w:rsidRPr="00823F54" w:rsidRDefault="00393E7E" w:rsidP="00393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W w:w="88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838"/>
        <w:gridCol w:w="6990"/>
      </w:tblGrid>
      <w:tr w:rsidR="00393E7E" w:rsidRPr="00823F54" w14:paraId="56015348" w14:textId="77777777" w:rsidTr="00393E7E">
        <w:tc>
          <w:tcPr>
            <w:tcW w:w="1838" w:type="dxa"/>
          </w:tcPr>
          <w:p w14:paraId="085D5DC0" w14:textId="77777777" w:rsidR="00393E7E" w:rsidRPr="00823F54" w:rsidRDefault="00393E7E" w:rsidP="00393E7E">
            <w:pPr>
              <w:spacing w:line="360" w:lineRule="auto"/>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a) Requisitos previos.</w:t>
            </w:r>
          </w:p>
        </w:tc>
        <w:tc>
          <w:tcPr>
            <w:tcW w:w="6990" w:type="dxa"/>
          </w:tcPr>
          <w:p w14:paraId="00E2527D"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w:t>
            </w:r>
            <w:r w:rsidRPr="00823F54">
              <w:rPr>
                <w:rFonts w:ascii="Palatino Linotype" w:eastAsia="Palatino Linotype" w:hAnsi="Palatino Linotype" w:cs="Palatino Linotype"/>
                <w:sz w:val="22"/>
                <w:szCs w:val="22"/>
              </w:rPr>
              <w:lastRenderedPageBreak/>
              <w:t xml:space="preserve">deber de los titulares de las áreas proponer su clasificación y no del Comité de Transparencia. </w:t>
            </w:r>
          </w:p>
          <w:p w14:paraId="058340AF"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175520B1"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37D3DE3B" w14:textId="77777777" w:rsidR="00393E7E" w:rsidRPr="00823F54" w:rsidRDefault="00393E7E" w:rsidP="00393E7E">
            <w:pPr>
              <w:spacing w:line="360" w:lineRule="auto"/>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823F54">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823F54">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393E7E" w:rsidRPr="00823F54" w14:paraId="02A7F3E3" w14:textId="77777777" w:rsidTr="00393E7E">
        <w:tc>
          <w:tcPr>
            <w:tcW w:w="1838" w:type="dxa"/>
          </w:tcPr>
          <w:p w14:paraId="0BE4D903" w14:textId="77777777" w:rsidR="00393E7E" w:rsidRPr="00823F54" w:rsidRDefault="00393E7E" w:rsidP="00393E7E">
            <w:pPr>
              <w:spacing w:line="360" w:lineRule="auto"/>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lastRenderedPageBreak/>
              <w:t>b) Supuestos de clasificación.</w:t>
            </w:r>
          </w:p>
        </w:tc>
        <w:tc>
          <w:tcPr>
            <w:tcW w:w="6990" w:type="dxa"/>
          </w:tcPr>
          <w:p w14:paraId="6565F21F"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13068BA5"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D28007F" w14:textId="77777777" w:rsidR="00393E7E" w:rsidRPr="00823F54" w:rsidRDefault="00393E7E" w:rsidP="00393E7E">
            <w:pPr>
              <w:spacing w:line="360" w:lineRule="auto"/>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El </w:t>
            </w:r>
            <w:r w:rsidRPr="00823F54">
              <w:rPr>
                <w:rFonts w:ascii="Palatino Linotype" w:eastAsia="Palatino Linotype" w:hAnsi="Palatino Linotype" w:cs="Palatino Linotype"/>
                <w:b/>
                <w:sz w:val="22"/>
                <w:szCs w:val="22"/>
              </w:rPr>
              <w:t>SUJETO OBLIGADO</w:t>
            </w:r>
            <w:r w:rsidRPr="00823F54">
              <w:rPr>
                <w:rFonts w:ascii="Palatino Linotype" w:eastAsia="Palatino Linotype" w:hAnsi="Palatino Linotype" w:cs="Palatino Linotype"/>
                <w:sz w:val="22"/>
                <w:szCs w:val="22"/>
              </w:rPr>
              <w:t xml:space="preserve"> debe identificar claramente el tipo de información y hacer un juicio de subsunción o encaje para acreditar </w:t>
            </w:r>
            <w:r w:rsidRPr="00823F54">
              <w:rPr>
                <w:rFonts w:ascii="Palatino Linotype" w:eastAsia="Palatino Linotype" w:hAnsi="Palatino Linotype" w:cs="Palatino Linotype"/>
                <w:sz w:val="22"/>
                <w:szCs w:val="22"/>
              </w:rPr>
              <w:lastRenderedPageBreak/>
              <w:t>que el supuesto de hecho corresponde estrictamente con la hipótesis jurídica. Esto también lo debe de realizar el servidor público habilitado y el titular del área que administra la información.</w:t>
            </w:r>
          </w:p>
        </w:tc>
      </w:tr>
      <w:tr w:rsidR="00393E7E" w:rsidRPr="00823F54" w14:paraId="09A361B1" w14:textId="77777777" w:rsidTr="00393E7E">
        <w:tc>
          <w:tcPr>
            <w:tcW w:w="1838" w:type="dxa"/>
          </w:tcPr>
          <w:p w14:paraId="004406BD" w14:textId="77777777" w:rsidR="00393E7E" w:rsidRPr="00823F54" w:rsidRDefault="00393E7E" w:rsidP="00393E7E">
            <w:pPr>
              <w:spacing w:line="360" w:lineRule="auto"/>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lastRenderedPageBreak/>
              <w:t>c) Formalidades para emitir el acuerdo de clasificación.</w:t>
            </w:r>
          </w:p>
        </w:tc>
        <w:tc>
          <w:tcPr>
            <w:tcW w:w="6990" w:type="dxa"/>
          </w:tcPr>
          <w:p w14:paraId="4CC327C6"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75D9C0B8"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Es necesario que </w:t>
            </w:r>
            <w:r w:rsidRPr="00823F54">
              <w:rPr>
                <w:rFonts w:ascii="Palatino Linotype" w:eastAsia="Palatino Linotype" w:hAnsi="Palatino Linotype" w:cs="Palatino Linotype"/>
                <w:b/>
                <w:sz w:val="22"/>
                <w:szCs w:val="22"/>
                <w:u w:val="single"/>
              </w:rPr>
              <w:t>el acto reúna con los requisitos elementales</w:t>
            </w:r>
            <w:r w:rsidRPr="00823F54">
              <w:rPr>
                <w:rFonts w:ascii="Palatino Linotype" w:eastAsia="Palatino Linotype" w:hAnsi="Palatino Linotype" w:cs="Palatino Linotype"/>
                <w:sz w:val="22"/>
                <w:szCs w:val="22"/>
              </w:rPr>
              <w:t>, entre ellos, que la autoridad que va a emitir el acto de autoridad sea la legalmente facultada para ello.</w:t>
            </w:r>
          </w:p>
          <w:p w14:paraId="3DC35512" w14:textId="77777777" w:rsidR="00393E7E" w:rsidRPr="00823F54" w:rsidRDefault="00393E7E" w:rsidP="00393E7E">
            <w:pPr>
              <w:spacing w:line="360" w:lineRule="auto"/>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93E7E" w:rsidRPr="00823F54" w14:paraId="4F395DF7" w14:textId="77777777" w:rsidTr="00393E7E">
        <w:tc>
          <w:tcPr>
            <w:tcW w:w="1838" w:type="dxa"/>
          </w:tcPr>
          <w:p w14:paraId="5BE78815" w14:textId="77777777" w:rsidR="00393E7E" w:rsidRPr="00823F54" w:rsidRDefault="00393E7E" w:rsidP="00393E7E">
            <w:pPr>
              <w:spacing w:line="360" w:lineRule="auto"/>
              <w:rPr>
                <w:rFonts w:ascii="Palatino Linotype" w:eastAsia="Palatino Linotype" w:hAnsi="Palatino Linotype" w:cs="Palatino Linotype"/>
                <w:sz w:val="22"/>
                <w:szCs w:val="22"/>
              </w:rPr>
            </w:pPr>
          </w:p>
          <w:p w14:paraId="5C5C8417" w14:textId="77777777" w:rsidR="00393E7E" w:rsidRPr="00823F54" w:rsidRDefault="00393E7E" w:rsidP="00393E7E">
            <w:pPr>
              <w:spacing w:line="360" w:lineRule="auto"/>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d) Requisitos de fondo del acuerdo de clasificación. </w:t>
            </w:r>
          </w:p>
        </w:tc>
        <w:tc>
          <w:tcPr>
            <w:tcW w:w="6990" w:type="dxa"/>
          </w:tcPr>
          <w:p w14:paraId="644446DC"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23F54">
              <w:rPr>
                <w:rFonts w:ascii="Palatino Linotype" w:eastAsia="Palatino Linotype" w:hAnsi="Palatino Linotype" w:cs="Palatino Linotype"/>
                <w:b/>
                <w:sz w:val="22"/>
                <w:szCs w:val="22"/>
              </w:rPr>
              <w:t>Sujetos Obligados</w:t>
            </w:r>
            <w:r w:rsidRPr="00823F54">
              <w:rPr>
                <w:rFonts w:ascii="Palatino Linotype" w:eastAsia="Palatino Linotype" w:hAnsi="Palatino Linotype" w:cs="Palatino Linotype"/>
                <w:sz w:val="22"/>
                <w:szCs w:val="22"/>
              </w:rPr>
              <w:t xml:space="preserve">, por lo que deberán fundar y motivar debidamente la clasificación. </w:t>
            </w:r>
          </w:p>
          <w:p w14:paraId="2A5F6454"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De lo anterior, se desprende que para una correcta </w:t>
            </w:r>
            <w:r w:rsidRPr="00823F54">
              <w:rPr>
                <w:rFonts w:ascii="Palatino Linotype" w:eastAsia="Palatino Linotype" w:hAnsi="Palatino Linotype" w:cs="Palatino Linotype"/>
                <w:b/>
                <w:sz w:val="22"/>
                <w:szCs w:val="22"/>
              </w:rPr>
              <w:t>clasificación total o parcial</w:t>
            </w:r>
            <w:r w:rsidRPr="00823F54">
              <w:rPr>
                <w:rFonts w:ascii="Palatino Linotype" w:eastAsia="Palatino Linotype" w:hAnsi="Palatino Linotype" w:cs="Palatino Linotype"/>
                <w:sz w:val="22"/>
                <w:szCs w:val="22"/>
              </w:rPr>
              <w:t xml:space="preserve">, esto es determinar los datos que se suprimen en las </w:t>
            </w:r>
            <w:r w:rsidRPr="00823F54">
              <w:rPr>
                <w:rFonts w:ascii="Palatino Linotype" w:eastAsia="Palatino Linotype" w:hAnsi="Palatino Linotype" w:cs="Palatino Linotype"/>
                <w:sz w:val="22"/>
                <w:szCs w:val="22"/>
              </w:rPr>
              <w:lastRenderedPageBreak/>
              <w:t>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898AE67"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4676EA0"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0F0BB55D"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 xml:space="preserve">Ahora bien, </w:t>
            </w:r>
            <w:r w:rsidRPr="00823F54">
              <w:rPr>
                <w:rFonts w:ascii="Palatino Linotype" w:eastAsia="Palatino Linotype" w:hAnsi="Palatino Linotype" w:cs="Palatino Linotype"/>
                <w:b/>
                <w:sz w:val="22"/>
                <w:szCs w:val="22"/>
                <w:u w:val="single"/>
              </w:rPr>
              <w:t>para cada caso además de fundar y motivar</w:t>
            </w:r>
            <w:r w:rsidRPr="00823F54">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93E7E" w:rsidRPr="00823F54" w14:paraId="21E715B0" w14:textId="77777777" w:rsidTr="00393E7E">
        <w:tc>
          <w:tcPr>
            <w:tcW w:w="1838" w:type="dxa"/>
          </w:tcPr>
          <w:p w14:paraId="66D6BADF"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lastRenderedPageBreak/>
              <w:t xml:space="preserve">e) Condiciones especiales de la clasificación de la información </w:t>
            </w:r>
            <w:r w:rsidRPr="00823F54">
              <w:rPr>
                <w:rFonts w:ascii="Palatino Linotype" w:eastAsia="Palatino Linotype" w:hAnsi="Palatino Linotype" w:cs="Palatino Linotype"/>
                <w:sz w:val="22"/>
                <w:szCs w:val="22"/>
              </w:rPr>
              <w:lastRenderedPageBreak/>
              <w:t xml:space="preserve">como confidencial. </w:t>
            </w:r>
          </w:p>
          <w:p w14:paraId="56CBFDAA" w14:textId="77777777" w:rsidR="00393E7E" w:rsidRPr="00823F54" w:rsidRDefault="00393E7E" w:rsidP="00393E7E">
            <w:pPr>
              <w:spacing w:line="360" w:lineRule="auto"/>
              <w:rPr>
                <w:rFonts w:ascii="Palatino Linotype" w:eastAsia="Palatino Linotype" w:hAnsi="Palatino Linotype" w:cs="Palatino Linotype"/>
                <w:sz w:val="22"/>
                <w:szCs w:val="22"/>
              </w:rPr>
            </w:pPr>
          </w:p>
        </w:tc>
        <w:tc>
          <w:tcPr>
            <w:tcW w:w="6990" w:type="dxa"/>
          </w:tcPr>
          <w:p w14:paraId="6ACF37E0"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lastRenderedPageBreak/>
              <w:t xml:space="preserve">Los artículos 148 y 120 de la Ley Estatal y de la Ley General, respectivamente, establecen que aun tratándose de datos personales, se podrán proporcionar, incluso sin solicitar el consentimiento de su titular. </w:t>
            </w:r>
          </w:p>
          <w:p w14:paraId="2A9F7367" w14:textId="77777777" w:rsidR="00393E7E" w:rsidRPr="00823F54" w:rsidRDefault="00393E7E" w:rsidP="00393E7E">
            <w:pPr>
              <w:spacing w:line="360" w:lineRule="auto"/>
              <w:ind w:right="49"/>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21B06F7" w14:textId="77777777" w:rsidR="00393E7E" w:rsidRPr="00823F54" w:rsidRDefault="00393E7E" w:rsidP="00393E7E">
            <w:pPr>
              <w:spacing w:line="360" w:lineRule="auto"/>
              <w:rPr>
                <w:rFonts w:ascii="Palatino Linotype" w:eastAsia="Palatino Linotype" w:hAnsi="Palatino Linotype" w:cs="Palatino Linotype"/>
                <w:sz w:val="22"/>
                <w:szCs w:val="22"/>
              </w:rPr>
            </w:pPr>
            <w:r w:rsidRPr="00823F54">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937C041" w14:textId="77777777" w:rsidR="00393E7E" w:rsidRPr="00823F54" w:rsidRDefault="00393E7E" w:rsidP="00393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AD743BF" w14:textId="77777777" w:rsidR="00393E7E" w:rsidRPr="00823F54" w:rsidRDefault="00393E7E" w:rsidP="00393E7E">
      <w:pPr>
        <w:pStyle w:val="Prrafodelista"/>
        <w:numPr>
          <w:ilvl w:val="0"/>
          <w:numId w:val="1"/>
        </w:numPr>
        <w:shd w:val="clear" w:color="auto" w:fill="FFFFFF"/>
        <w:spacing w:before="240" w:after="240" w:line="360" w:lineRule="auto"/>
        <w:ind w:left="0" w:firstLine="0"/>
        <w:jc w:val="both"/>
        <w:rPr>
          <w:rFonts w:ascii="Palatino Linotype" w:hAnsi="Palatino Linotype"/>
          <w:color w:val="222222"/>
          <w:szCs w:val="22"/>
        </w:rPr>
      </w:pPr>
      <w:r w:rsidRPr="00823F54">
        <w:rPr>
          <w:rFonts w:ascii="Palatino Linotype" w:hAnsi="Palatino Linotype"/>
          <w:color w:val="222222"/>
          <w:szCs w:val="22"/>
        </w:rPr>
        <w:t>Por otro lado, de manera enunciativa mas no limitativas, dentro de los elementos que integran los recibos de nómina se pueden encontrar los siguientes:</w:t>
      </w:r>
    </w:p>
    <w:p w14:paraId="1F4ED0D4" w14:textId="77777777" w:rsidR="00393E7E" w:rsidRPr="00823F54" w:rsidRDefault="00393E7E" w:rsidP="00393E7E">
      <w:pPr>
        <w:pStyle w:val="Prrafodelista"/>
        <w:shd w:val="clear" w:color="auto" w:fill="FFFFFF"/>
        <w:spacing w:before="240" w:after="240" w:line="360" w:lineRule="auto"/>
        <w:ind w:left="0"/>
        <w:jc w:val="both"/>
        <w:rPr>
          <w:rFonts w:ascii="Palatino Linotype" w:hAnsi="Palatino Linotype"/>
          <w:color w:val="222222"/>
          <w:szCs w:val="22"/>
        </w:rPr>
      </w:pPr>
    </w:p>
    <w:p w14:paraId="2DAE11B6"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Clave Única de Registro de Población (CURP);</w:t>
      </w:r>
    </w:p>
    <w:p w14:paraId="09EA2B8B"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Número de ISSEMyM;</w:t>
      </w:r>
    </w:p>
    <w:p w14:paraId="77951E5A"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Número de empleado;</w:t>
      </w:r>
    </w:p>
    <w:p w14:paraId="2EBA5F01"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Registro Federal de Contribuyentes (RFC);</w:t>
      </w:r>
    </w:p>
    <w:p w14:paraId="3EDB6A07"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Número de Serie del CSD del SAT;</w:t>
      </w:r>
    </w:p>
    <w:p w14:paraId="027F5F05"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Número de Serie del CDS del emisor;</w:t>
      </w:r>
    </w:p>
    <w:p w14:paraId="6B6CF970"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Serie y folio;</w:t>
      </w:r>
    </w:p>
    <w:p w14:paraId="4EAA277D"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Firma;</w:t>
      </w:r>
    </w:p>
    <w:p w14:paraId="70B9C33E"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Código QR;</w:t>
      </w:r>
    </w:p>
    <w:p w14:paraId="218423C0"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Sello Digital del Contribuyente; y</w:t>
      </w:r>
    </w:p>
    <w:p w14:paraId="655C4AE6" w14:textId="77777777" w:rsidR="00393E7E" w:rsidRPr="00823F54" w:rsidRDefault="00393E7E" w:rsidP="00393E7E">
      <w:pPr>
        <w:pStyle w:val="Prrafodelista"/>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Sello Digital del SAT.</w:t>
      </w:r>
    </w:p>
    <w:p w14:paraId="20B244B4" w14:textId="77777777" w:rsidR="00393E7E" w:rsidRPr="00823F54" w:rsidRDefault="00393E7E" w:rsidP="00393E7E">
      <w:pPr>
        <w:pStyle w:val="Prrafodelista"/>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p>
    <w:p w14:paraId="72027D7C" w14:textId="77777777" w:rsidR="00393E7E" w:rsidRPr="00823F54" w:rsidRDefault="00393E7E" w:rsidP="00393E7E">
      <w:pPr>
        <w:pStyle w:val="Ttulo3"/>
        <w:numPr>
          <w:ilvl w:val="0"/>
          <w:numId w:val="4"/>
        </w:numPr>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b/>
          <w:color w:val="000000"/>
          <w:sz w:val="22"/>
          <w:szCs w:val="22"/>
        </w:rPr>
        <w:lastRenderedPageBreak/>
        <w:t>Clave Única de Registro de Población (CURP).</w:t>
      </w:r>
    </w:p>
    <w:p w14:paraId="649504EA" w14:textId="77777777" w:rsidR="00393E7E" w:rsidRPr="00823F54" w:rsidRDefault="00393E7E" w:rsidP="00393E7E">
      <w:pPr>
        <w:rPr>
          <w:sz w:val="22"/>
          <w:szCs w:val="22"/>
          <w:lang w:val="es-ES_tradnl" w:eastAsia="es-ES"/>
        </w:rPr>
      </w:pPr>
    </w:p>
    <w:p w14:paraId="43EA8369"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16C03D65" w14:textId="77777777" w:rsidR="00393E7E" w:rsidRPr="00823F54" w:rsidRDefault="00393E7E" w:rsidP="00393E7E">
      <w:pPr>
        <w:shd w:val="clear" w:color="auto" w:fill="FFFFFF"/>
        <w:spacing w:before="240" w:after="240" w:line="360" w:lineRule="auto"/>
        <w:jc w:val="center"/>
        <w:rPr>
          <w:rFonts w:ascii="Palatino Linotype" w:hAnsi="Palatino Linotype"/>
          <w:color w:val="222222"/>
          <w:sz w:val="22"/>
          <w:szCs w:val="22"/>
        </w:rPr>
      </w:pPr>
      <w:r w:rsidRPr="00823F54">
        <w:rPr>
          <w:noProof/>
          <w:sz w:val="22"/>
          <w:szCs w:val="22"/>
        </w:rPr>
        <w:drawing>
          <wp:inline distT="0" distB="0" distL="0" distR="0" wp14:anchorId="5204DA7B" wp14:editId="1F3E7894">
            <wp:extent cx="5304638" cy="3788228"/>
            <wp:effectExtent l="0" t="0" r="0" b="317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l="25748" t="8269" r="41254" b="18081"/>
                    <a:stretch>
                      <a:fillRect/>
                    </a:stretch>
                  </pic:blipFill>
                  <pic:spPr>
                    <a:xfrm>
                      <a:off x="0" y="0"/>
                      <a:ext cx="5326795" cy="3804051"/>
                    </a:xfrm>
                    <a:prstGeom prst="rect">
                      <a:avLst/>
                    </a:prstGeom>
                    <a:ln/>
                  </pic:spPr>
                </pic:pic>
              </a:graphicData>
            </a:graphic>
          </wp:inline>
        </w:drawing>
      </w:r>
    </w:p>
    <w:p w14:paraId="680014E5"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14:paraId="662E80C9" w14:textId="77777777" w:rsidR="00393E7E" w:rsidRPr="00823F54" w:rsidRDefault="00393E7E" w:rsidP="00393E7E">
      <w:pPr>
        <w:numPr>
          <w:ilvl w:val="0"/>
          <w:numId w:val="1"/>
        </w:numPr>
        <w:shd w:val="clear" w:color="auto" w:fill="FFFFFF"/>
        <w:spacing w:before="240" w:after="240" w:line="360" w:lineRule="auto"/>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lastRenderedPageBreak/>
        <w:t xml:space="preserve">Entre las características de la CURP, se encuentra: </w:t>
      </w:r>
    </w:p>
    <w:p w14:paraId="210F98EE" w14:textId="77777777" w:rsidR="00393E7E" w:rsidRPr="00823F54" w:rsidRDefault="00393E7E" w:rsidP="00393E7E">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823F54">
        <w:rPr>
          <w:rFonts w:ascii="Palatino Linotype" w:eastAsia="Palatino Linotype" w:hAnsi="Palatino Linotype" w:cs="Palatino Linotype"/>
          <w:b/>
          <w:szCs w:val="22"/>
        </w:rPr>
        <w:t xml:space="preserve">Composición. </w:t>
      </w:r>
      <w:r w:rsidRPr="00823F54">
        <w:rPr>
          <w:rFonts w:ascii="Palatino Linotype" w:eastAsia="Palatino Linotype" w:hAnsi="Palatino Linotype" w:cs="Palatino Linotype"/>
          <w:szCs w:val="22"/>
        </w:rPr>
        <w:t>Alfanumérica.</w:t>
      </w:r>
    </w:p>
    <w:p w14:paraId="6E6AAA3D" w14:textId="77777777" w:rsidR="00393E7E" w:rsidRPr="00823F54" w:rsidRDefault="00393E7E" w:rsidP="00393E7E">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823F54">
        <w:rPr>
          <w:rFonts w:ascii="Palatino Linotype" w:eastAsia="Palatino Linotype" w:hAnsi="Palatino Linotype" w:cs="Palatino Linotype"/>
          <w:b/>
          <w:szCs w:val="22"/>
        </w:rPr>
        <w:t xml:space="preserve">Longitud. </w:t>
      </w:r>
      <w:r w:rsidRPr="00823F54">
        <w:rPr>
          <w:rFonts w:ascii="Palatino Linotype" w:eastAsia="Palatino Linotype" w:hAnsi="Palatino Linotype" w:cs="Palatino Linotype"/>
          <w:szCs w:val="22"/>
        </w:rPr>
        <w:t xml:space="preserve"> 18 caracteres.</w:t>
      </w:r>
    </w:p>
    <w:p w14:paraId="0D11E6D1" w14:textId="77777777" w:rsidR="00393E7E" w:rsidRPr="00823F54" w:rsidRDefault="00393E7E" w:rsidP="00393E7E">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823F54">
        <w:rPr>
          <w:rFonts w:ascii="Palatino Linotype" w:eastAsia="Palatino Linotype" w:hAnsi="Palatino Linotype" w:cs="Palatino Linotype"/>
          <w:b/>
          <w:szCs w:val="22"/>
        </w:rPr>
        <w:t xml:space="preserve">Naturaleza. </w:t>
      </w:r>
      <w:r w:rsidRPr="00823F54">
        <w:rPr>
          <w:rFonts w:ascii="Palatino Linotype" w:eastAsia="Palatino Linotype" w:hAnsi="Palatino Linotype" w:cs="Palatino Linotype"/>
          <w:szCs w:val="22"/>
        </w:rPr>
        <w:t>Biunívoca.</w:t>
      </w:r>
    </w:p>
    <w:p w14:paraId="02D08EC3" w14:textId="77777777" w:rsidR="00393E7E" w:rsidRPr="00823F54" w:rsidRDefault="00393E7E" w:rsidP="00393E7E">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823F54">
        <w:rPr>
          <w:rFonts w:ascii="Palatino Linotype" w:eastAsia="Palatino Linotype" w:hAnsi="Palatino Linotype" w:cs="Palatino Linotype"/>
          <w:b/>
          <w:szCs w:val="22"/>
        </w:rPr>
        <w:t xml:space="preserve">Universalidad. </w:t>
      </w:r>
      <w:r w:rsidRPr="00823F54">
        <w:rPr>
          <w:rFonts w:ascii="Palatino Linotype" w:eastAsia="Palatino Linotype" w:hAnsi="Palatino Linotype" w:cs="Palatino Linotype"/>
          <w:szCs w:val="22"/>
        </w:rPr>
        <w:t>Se asigna a todas las personas que conforman la población.</w:t>
      </w:r>
    </w:p>
    <w:p w14:paraId="1601701C" w14:textId="77777777" w:rsidR="00393E7E" w:rsidRPr="00823F54" w:rsidRDefault="00393E7E" w:rsidP="00393E7E">
      <w:pPr>
        <w:pStyle w:val="Prrafodelista"/>
        <w:tabs>
          <w:tab w:val="left" w:pos="426"/>
          <w:tab w:val="left" w:pos="567"/>
        </w:tabs>
        <w:spacing w:line="360" w:lineRule="auto"/>
        <w:ind w:left="851" w:right="567"/>
        <w:jc w:val="both"/>
        <w:rPr>
          <w:rFonts w:ascii="Palatino Linotype" w:eastAsia="Palatino Linotype" w:hAnsi="Palatino Linotype" w:cs="Palatino Linotype"/>
          <w:b/>
          <w:szCs w:val="22"/>
        </w:rPr>
      </w:pPr>
      <w:r w:rsidRPr="00823F54">
        <w:rPr>
          <w:rFonts w:ascii="Palatino Linotype" w:eastAsia="Palatino Linotype" w:hAnsi="Palatino Linotype" w:cs="Palatino Linotype"/>
          <w:b/>
          <w:szCs w:val="22"/>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14:paraId="5036AE87"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5CD23F0B"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08C96636"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Ante ello, resulta aplicable el Criterio 18/17 emitido por el Instituto Nacional de Transparencia, Acceso a la Información y Protección de Datos Personales, que a la literalidad señala: </w:t>
      </w:r>
    </w:p>
    <w:p w14:paraId="3162D798" w14:textId="77777777" w:rsidR="00393E7E" w:rsidRPr="00823F54" w:rsidRDefault="00393E7E" w:rsidP="00393E7E">
      <w:pPr>
        <w:pStyle w:val="Prrafodelista"/>
        <w:pBdr>
          <w:top w:val="nil"/>
          <w:left w:val="nil"/>
          <w:bottom w:val="nil"/>
          <w:right w:val="nil"/>
          <w:between w:val="nil"/>
        </w:pBdr>
        <w:tabs>
          <w:tab w:val="left" w:pos="567"/>
        </w:tabs>
        <w:spacing w:line="360" w:lineRule="auto"/>
        <w:ind w:left="360" w:right="822"/>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i/>
          <w:color w:val="000000"/>
          <w:szCs w:val="22"/>
        </w:rPr>
        <w:lastRenderedPageBreak/>
        <w:t>“</w:t>
      </w:r>
      <w:r w:rsidRPr="00823F54">
        <w:rPr>
          <w:rFonts w:ascii="Palatino Linotype" w:eastAsia="Palatino Linotype" w:hAnsi="Palatino Linotype" w:cs="Palatino Linotype"/>
          <w:b/>
          <w:i/>
          <w:color w:val="000000"/>
          <w:szCs w:val="22"/>
        </w:rPr>
        <w:t xml:space="preserve">Clave Única de Registro de Población (CURP). </w:t>
      </w:r>
      <w:r w:rsidRPr="00823F54">
        <w:rPr>
          <w:rFonts w:ascii="Palatino Linotype" w:eastAsia="Palatino Linotype" w:hAnsi="Palatino Linotype" w:cs="Palatino Linotype"/>
          <w:i/>
          <w:color w:val="000000"/>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14:paraId="37F5C1FA" w14:textId="77777777" w:rsidR="00393E7E" w:rsidRPr="00823F54" w:rsidRDefault="00393E7E" w:rsidP="00393E7E">
      <w:pPr>
        <w:pStyle w:val="Prrafodelista"/>
        <w:pBdr>
          <w:top w:val="nil"/>
          <w:left w:val="nil"/>
          <w:bottom w:val="nil"/>
          <w:right w:val="nil"/>
          <w:between w:val="nil"/>
        </w:pBdr>
        <w:tabs>
          <w:tab w:val="left" w:pos="567"/>
        </w:tabs>
        <w:spacing w:line="360" w:lineRule="auto"/>
        <w:ind w:left="0"/>
        <w:jc w:val="both"/>
        <w:rPr>
          <w:rFonts w:ascii="Palatino Linotype" w:eastAsia="Palatino Linotype" w:hAnsi="Palatino Linotype" w:cs="Palatino Linotype"/>
          <w:color w:val="000000"/>
          <w:szCs w:val="22"/>
        </w:rPr>
      </w:pPr>
    </w:p>
    <w:p w14:paraId="6A1F72E7" w14:textId="77777777" w:rsidR="00393E7E" w:rsidRPr="00823F54" w:rsidRDefault="00393E7E" w:rsidP="00393E7E">
      <w:pPr>
        <w:pStyle w:val="Ttulo3"/>
        <w:numPr>
          <w:ilvl w:val="0"/>
          <w:numId w:val="6"/>
        </w:numPr>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b/>
          <w:color w:val="000000"/>
          <w:sz w:val="22"/>
          <w:szCs w:val="22"/>
        </w:rPr>
        <w:t>Clave ISSEMyM</w:t>
      </w:r>
    </w:p>
    <w:p w14:paraId="5387F503" w14:textId="77777777" w:rsidR="00393E7E" w:rsidRPr="00823F54" w:rsidRDefault="00393E7E" w:rsidP="00393E7E">
      <w:pPr>
        <w:rPr>
          <w:sz w:val="22"/>
          <w:szCs w:val="22"/>
          <w:lang w:val="es-ES_tradnl" w:eastAsia="es-ES"/>
        </w:rPr>
      </w:pPr>
    </w:p>
    <w:p w14:paraId="21CF5FEA"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2B9F5619"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1AB6B881"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Como se advierte, el número del Instituto de Seguridad y Servicios Sociales del Estado de México y Municipios, es un dato personal que permite identificar que una persona que trabajó o trabaja en alguna institución pública del Estado de México, por la que tiene o tuvo </w:t>
      </w:r>
      <w:r w:rsidRPr="00823F54">
        <w:rPr>
          <w:rFonts w:ascii="Palatino Linotype" w:eastAsia="Palatino Linotype" w:hAnsi="Palatino Linotype" w:cs="Palatino Linotype"/>
          <w:color w:val="000000"/>
          <w:sz w:val="22"/>
          <w:szCs w:val="22"/>
        </w:rPr>
        <w:lastRenderedPageBreak/>
        <w:t>derecho a esta prestación de seguridad social; además, es de destacar que dicho dato no cambia, aunque el trabajador se dé de baja y alta en diversas ocasiones, con motivo de haber trabajado en diferentes instituciones gubernamentales de la Entidad.</w:t>
      </w:r>
    </w:p>
    <w:p w14:paraId="6ED0E1E9" w14:textId="77777777" w:rsidR="00393E7E" w:rsidRPr="00823F54" w:rsidRDefault="00393E7E" w:rsidP="00393E7E">
      <w:pPr>
        <w:pStyle w:val="Ttulo3"/>
        <w:numPr>
          <w:ilvl w:val="0"/>
          <w:numId w:val="6"/>
        </w:numPr>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b/>
          <w:color w:val="000000"/>
          <w:sz w:val="22"/>
          <w:szCs w:val="22"/>
        </w:rPr>
        <w:t>Número de empleado.</w:t>
      </w:r>
    </w:p>
    <w:p w14:paraId="5E77988F"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14:paraId="2D249BF6"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14:paraId="7080096D" w14:textId="77777777" w:rsidR="00393E7E" w:rsidRPr="00823F54" w:rsidRDefault="00393E7E" w:rsidP="00393E7E">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Cs w:val="22"/>
        </w:rPr>
      </w:pPr>
      <w:r w:rsidRPr="00823F54">
        <w:rPr>
          <w:rFonts w:ascii="Palatino Linotype" w:eastAsia="Palatino Linotype" w:hAnsi="Palatino Linotype" w:cs="Palatino Linotype"/>
          <w:b/>
          <w:i/>
          <w:color w:val="000000"/>
          <w:szCs w:val="22"/>
        </w:rPr>
        <w:t>Número de empleado.</w:t>
      </w:r>
      <w:r w:rsidRPr="00823F54">
        <w:rPr>
          <w:rFonts w:ascii="Palatino Linotype" w:eastAsia="Palatino Linotype" w:hAnsi="Palatino Linotype" w:cs="Palatino Linotype"/>
          <w:i/>
          <w:color w:val="000000"/>
          <w:szCs w:val="22"/>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14:paraId="7AF68B5D"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14:paraId="5F4D56DC" w14:textId="77777777" w:rsidR="00393E7E" w:rsidRPr="00823F54" w:rsidRDefault="00393E7E" w:rsidP="00393E7E">
      <w:pPr>
        <w:pStyle w:val="Prrafodelista"/>
        <w:numPr>
          <w:ilvl w:val="0"/>
          <w:numId w:val="6"/>
        </w:numPr>
        <w:shd w:val="clear" w:color="auto" w:fill="FFFFFF"/>
        <w:spacing w:before="240" w:after="240" w:line="360" w:lineRule="auto"/>
        <w:jc w:val="both"/>
        <w:rPr>
          <w:rFonts w:ascii="Palatino Linotype" w:hAnsi="Palatino Linotype"/>
          <w:color w:val="222222"/>
          <w:szCs w:val="22"/>
        </w:rPr>
      </w:pPr>
      <w:r w:rsidRPr="00823F54">
        <w:rPr>
          <w:rFonts w:ascii="Palatino Linotype" w:eastAsia="Palatino Linotype" w:hAnsi="Palatino Linotype" w:cs="Palatino Linotype"/>
          <w:b/>
          <w:color w:val="000000"/>
          <w:szCs w:val="22"/>
        </w:rPr>
        <w:t>Registro Federal de Contribuyentes (RFC)</w:t>
      </w:r>
    </w:p>
    <w:p w14:paraId="350A1B4D"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lastRenderedPageBreak/>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FC62998"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50369724"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95121A2"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188430BA"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Lo anterior, resulta congruente con el Criterio 19/17 emitido por el Instituto Nacional de Transparencia, Acceso a la Información y Protección de Datos Personales, en el cual se señala lo siguiente:</w:t>
      </w:r>
    </w:p>
    <w:p w14:paraId="224E0020" w14:textId="77777777" w:rsidR="00393E7E" w:rsidRPr="00823F54" w:rsidRDefault="00393E7E" w:rsidP="00393E7E">
      <w:pPr>
        <w:pStyle w:val="Prrafodelista"/>
        <w:spacing w:line="360" w:lineRule="auto"/>
        <w:ind w:left="851"/>
        <w:jc w:val="both"/>
        <w:rPr>
          <w:rFonts w:ascii="Palatino Linotype" w:eastAsia="Palatino Linotype" w:hAnsi="Palatino Linotype" w:cs="Palatino Linotype"/>
          <w:b/>
          <w:i/>
          <w:szCs w:val="22"/>
        </w:rPr>
      </w:pPr>
      <w:r w:rsidRPr="00823F54">
        <w:rPr>
          <w:rFonts w:ascii="Palatino Linotype" w:eastAsia="Palatino Linotype" w:hAnsi="Palatino Linotype" w:cs="Palatino Linotype"/>
          <w:b/>
          <w:i/>
          <w:szCs w:val="22"/>
        </w:rPr>
        <w:t xml:space="preserve">Registro Federal de Contribuyentes (RFC) de personas físicas. </w:t>
      </w:r>
    </w:p>
    <w:p w14:paraId="25679A14" w14:textId="77777777" w:rsidR="00393E7E" w:rsidRPr="00823F54" w:rsidRDefault="00393E7E" w:rsidP="00393E7E">
      <w:pPr>
        <w:pStyle w:val="Prrafodelista"/>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Cs w:val="22"/>
        </w:rPr>
      </w:pPr>
      <w:r w:rsidRPr="00823F54">
        <w:rPr>
          <w:rFonts w:ascii="Palatino Linotype" w:eastAsia="Palatino Linotype" w:hAnsi="Palatino Linotype" w:cs="Palatino Linotype"/>
          <w:i/>
          <w:color w:val="000000"/>
          <w:szCs w:val="22"/>
        </w:rPr>
        <w:lastRenderedPageBreak/>
        <w:t>El RFC es una clave de carácter fiscal, única e irrepetible, que permite identificar al titular, su edad y fecha de nacimiento, por lo que es un dato personal de carácter confidencial.</w:t>
      </w:r>
    </w:p>
    <w:p w14:paraId="128EAB90" w14:textId="77777777" w:rsidR="00393E7E" w:rsidRPr="00823F54" w:rsidRDefault="00393E7E" w:rsidP="00393E7E">
      <w:pPr>
        <w:shd w:val="clear" w:color="auto" w:fill="FFFFFF"/>
        <w:spacing w:before="240" w:after="240" w:line="360" w:lineRule="auto"/>
        <w:jc w:val="both"/>
        <w:rPr>
          <w:rFonts w:ascii="Palatino Linotype" w:hAnsi="Palatino Linotype"/>
          <w:color w:val="222222"/>
          <w:sz w:val="22"/>
          <w:szCs w:val="22"/>
        </w:rPr>
      </w:pPr>
    </w:p>
    <w:p w14:paraId="065872EE"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b/>
          <w:color w:val="000000"/>
          <w:sz w:val="22"/>
          <w:szCs w:val="22"/>
        </w:rPr>
        <w:t>De tal suerte, el Registro Federal de Contribuyentes de las personas físicas no guarda relación con la transparencia de los recursos públicos</w:t>
      </w:r>
      <w:r w:rsidRPr="00823F54">
        <w:rPr>
          <w:rFonts w:ascii="Palatino Linotype" w:eastAsia="Palatino Linotype" w:hAnsi="Palatino Linotype" w:cs="Palatino Linotype"/>
          <w:color w:val="000000"/>
          <w:sz w:val="22"/>
          <w:szCs w:val="22"/>
        </w:rPr>
        <w:t>, así como tampoco con el desempeño laboral que pueda tener una persona.</w:t>
      </w:r>
      <w:bookmarkStart w:id="10" w:name="_heading=h.35nkun2" w:colFirst="0" w:colLast="0"/>
      <w:bookmarkEnd w:id="10"/>
    </w:p>
    <w:p w14:paraId="0A3DD01C" w14:textId="77777777" w:rsidR="00393E7E" w:rsidRPr="00823F54" w:rsidRDefault="00393E7E" w:rsidP="00393E7E">
      <w:pPr>
        <w:pStyle w:val="Ttulo3"/>
        <w:numPr>
          <w:ilvl w:val="0"/>
          <w:numId w:val="6"/>
        </w:numPr>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b/>
          <w:color w:val="000000"/>
          <w:sz w:val="22"/>
          <w:szCs w:val="22"/>
        </w:rPr>
        <w:t>Deducciones personales</w:t>
      </w:r>
    </w:p>
    <w:p w14:paraId="006565C4"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Es necesario precisar que existen deducciones que se generan con motivo de una decisión libre y voluntaria de los servidores públicos, como son: créditos personales, </w:t>
      </w:r>
      <w:r w:rsidRPr="00823F54">
        <w:rPr>
          <w:rFonts w:ascii="Palatino Linotype" w:eastAsia="Palatino Linotype" w:hAnsi="Palatino Linotype" w:cs="Palatino Linotype"/>
          <w:b/>
          <w:color w:val="000000"/>
          <w:sz w:val="22"/>
          <w:szCs w:val="22"/>
          <w:u w:val="single"/>
        </w:rPr>
        <w:t>cuotas sindicales y fondo de resistencia del Sindicato Único de Trabajadores de los Poderes, Municipios e Institución Descentralizadas del Estado de México</w:t>
      </w:r>
      <w:r w:rsidRPr="00823F54">
        <w:rPr>
          <w:rFonts w:ascii="Palatino Linotype" w:eastAsia="Palatino Linotype" w:hAnsi="Palatino Linotype" w:cs="Palatino Linotype"/>
          <w:color w:val="000000"/>
          <w:sz w:val="22"/>
          <w:szCs w:val="22"/>
        </w:rPr>
        <w:t>, seguro de vida, accidentes y enfermedades.</w:t>
      </w:r>
    </w:p>
    <w:p w14:paraId="4CFDCE65"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Asimismo, hay otras que se generan con motivo de una sentencia judicial, como es la pensión alimenticia que periódicamente se retira de la cuenta de un empleado, a efecto de que sea entregado a un tercero.  </w:t>
      </w:r>
    </w:p>
    <w:p w14:paraId="3FE3C964"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0B1DB3F"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lastRenderedPageBreak/>
        <w:t>Así, dichas deducciones reflejan el destino que un servidor público da a su patrimonio, lo que se aleja de la transparencia y rendición de cuentas.</w:t>
      </w:r>
      <w:bookmarkStart w:id="11" w:name="_heading=h.1ksv4uv" w:colFirst="0" w:colLast="0"/>
      <w:bookmarkEnd w:id="11"/>
    </w:p>
    <w:p w14:paraId="6234B229" w14:textId="77777777" w:rsidR="00393E7E" w:rsidRPr="00823F54" w:rsidRDefault="00393E7E" w:rsidP="00393E7E">
      <w:pPr>
        <w:pStyle w:val="Ttulo3"/>
        <w:numPr>
          <w:ilvl w:val="0"/>
          <w:numId w:val="6"/>
        </w:numPr>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b/>
          <w:color w:val="000000"/>
          <w:sz w:val="22"/>
          <w:szCs w:val="22"/>
        </w:rPr>
        <w:t>CÓDIGO QR</w:t>
      </w:r>
    </w:p>
    <w:p w14:paraId="1AA3CA87"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sidRPr="00823F54">
        <w:rPr>
          <w:rFonts w:ascii="Palatino Linotype" w:eastAsia="Palatino Linotype" w:hAnsi="Palatino Linotype" w:cs="Palatino Linotype"/>
          <w:i/>
          <w:color w:val="000000"/>
          <w:sz w:val="22"/>
          <w:szCs w:val="22"/>
        </w:rPr>
        <w:t>QR Code (Quick Response Code)</w:t>
      </w:r>
      <w:r w:rsidRPr="00823F54">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9">
        <w:r w:rsidRPr="00823F54">
          <w:rPr>
            <w:rFonts w:ascii="Palatino Linotype" w:eastAsia="Palatino Linotype" w:hAnsi="Palatino Linotype" w:cs="Palatino Linotype"/>
            <w:color w:val="0563C1"/>
            <w:sz w:val="22"/>
            <w:szCs w:val="22"/>
            <w:u w:val="single"/>
          </w:rPr>
          <w:t>http://dof.gob.mx/nota_detalle.php?codigo=5492254&amp;fecha=28/07/2017</w:t>
        </w:r>
      </w:hyperlink>
      <w:r w:rsidRPr="00823F54">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189D6BA5"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6A37612C"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Hasta este punto, se considera que la información relacionada con los siguientes puntos actualiza una causal de confidencialidad, toda vez que identifica o hace identificable a su titular.</w:t>
      </w:r>
    </w:p>
    <w:p w14:paraId="6997B2B8" w14:textId="77777777" w:rsidR="00393E7E" w:rsidRPr="00823F54" w:rsidRDefault="00393E7E" w:rsidP="00393E7E">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Clave Única de Registro de Población (CURP)</w:t>
      </w:r>
    </w:p>
    <w:p w14:paraId="7BB01F99" w14:textId="77777777" w:rsidR="00393E7E" w:rsidRPr="00823F54" w:rsidRDefault="00393E7E" w:rsidP="00393E7E">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Clave ISSEMyM</w:t>
      </w:r>
    </w:p>
    <w:p w14:paraId="2EB919DC" w14:textId="77777777" w:rsidR="00393E7E" w:rsidRPr="00823F54" w:rsidRDefault="00393E7E" w:rsidP="00393E7E">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 xml:space="preserve">Número de empleado </w:t>
      </w:r>
      <w:r w:rsidRPr="00823F54">
        <w:rPr>
          <w:rFonts w:ascii="Palatino Linotype" w:eastAsia="Palatino Linotype" w:hAnsi="Palatino Linotype" w:cs="Palatino Linotype"/>
          <w:b/>
          <w:color w:val="000000"/>
          <w:szCs w:val="22"/>
        </w:rPr>
        <w:t>(sólo en el caso de que contenga datos personales o se relacione con los mismos, de lo contrario es información pública)</w:t>
      </w:r>
    </w:p>
    <w:p w14:paraId="0E21C858" w14:textId="77777777" w:rsidR="00393E7E" w:rsidRPr="00823F54" w:rsidRDefault="00393E7E" w:rsidP="00393E7E">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t>Registro Federal de Contribuyentes (RFC)</w:t>
      </w:r>
    </w:p>
    <w:p w14:paraId="410F8D05" w14:textId="77777777" w:rsidR="00393E7E" w:rsidRPr="00823F54" w:rsidRDefault="00393E7E" w:rsidP="00393E7E">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823F54">
        <w:rPr>
          <w:rFonts w:ascii="Palatino Linotype" w:eastAsia="Palatino Linotype" w:hAnsi="Palatino Linotype" w:cs="Palatino Linotype"/>
          <w:color w:val="000000"/>
          <w:szCs w:val="22"/>
        </w:rPr>
        <w:lastRenderedPageBreak/>
        <w:t>Deducciones personales</w:t>
      </w:r>
    </w:p>
    <w:p w14:paraId="0CA1C360" w14:textId="77777777" w:rsidR="00393E7E" w:rsidRPr="00823F54" w:rsidRDefault="00393E7E" w:rsidP="00393E7E">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823F54">
        <w:rPr>
          <w:rFonts w:ascii="Palatino Linotype" w:eastAsia="Palatino Linotype" w:hAnsi="Palatino Linotype" w:cs="Palatino Linotype"/>
          <w:b/>
          <w:color w:val="000000"/>
          <w:szCs w:val="22"/>
        </w:rPr>
        <w:t>Código QR</w:t>
      </w:r>
    </w:p>
    <w:p w14:paraId="34D0E316"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Es decir, los datos personales enlistados constituyen datos personales confidenciales al actualizar el supuesto normativo del artículo 143, fracción I de la Ley de Transparencia y Acceso a la Información Pública del Estado de México y Municipios.</w:t>
      </w:r>
    </w:p>
    <w:p w14:paraId="4CA49916"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14:paraId="6191AF84"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Ahora bien, siguiendo con el análisis de los datos que contienen los recibos remitidos, siguen los siguientes:</w:t>
      </w:r>
      <w:bookmarkStart w:id="12" w:name="_heading=h.44sinio" w:colFirst="0" w:colLast="0"/>
      <w:bookmarkEnd w:id="12"/>
    </w:p>
    <w:p w14:paraId="2D074295" w14:textId="77777777" w:rsidR="00393E7E" w:rsidRPr="00823F54" w:rsidRDefault="00393E7E" w:rsidP="00393E7E">
      <w:pPr>
        <w:pStyle w:val="Ttulo3"/>
        <w:numPr>
          <w:ilvl w:val="0"/>
          <w:numId w:val="7"/>
        </w:numPr>
        <w:spacing w:line="360" w:lineRule="auto"/>
        <w:ind w:right="397"/>
        <w:jc w:val="both"/>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órgano previamente señalado; así como folio fiscal. (PUBLICOS)</w:t>
      </w:r>
    </w:p>
    <w:p w14:paraId="0A9209A0"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w:t>
      </w:r>
      <w:r w:rsidRPr="00823F54">
        <w:rPr>
          <w:rFonts w:ascii="Palatino Linotype" w:eastAsia="Palatino Linotype" w:hAnsi="Palatino Linotype" w:cs="Palatino Linotype"/>
          <w:color w:val="000000"/>
          <w:sz w:val="22"/>
          <w:szCs w:val="22"/>
        </w:rPr>
        <w:lastRenderedPageBreak/>
        <w:t>información personal de los contribuyentes, esta se encuentra encriptada como se verá a continuación.</w:t>
      </w:r>
    </w:p>
    <w:p w14:paraId="1F87FB25"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Las cadenas originales y sellos que se agregan a las facturas</w:t>
      </w:r>
      <w:r w:rsidRPr="00823F54">
        <w:rPr>
          <w:rFonts w:ascii="Palatino Linotype" w:eastAsia="Palatino Linotype" w:hAnsi="Palatino Linotype" w:cs="Palatino Linotype"/>
          <w:b/>
          <w:color w:val="000000"/>
          <w:sz w:val="22"/>
          <w:szCs w:val="22"/>
        </w:rPr>
        <w:t>,</w:t>
      </w:r>
      <w:r w:rsidRPr="00823F54">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3EBA80E0" w14:textId="77777777" w:rsidR="00393E7E" w:rsidRPr="00823F54" w:rsidRDefault="00393E7E" w:rsidP="00393E7E">
      <w:pPr>
        <w:pStyle w:val="Prrafodelista"/>
        <w:spacing w:line="360" w:lineRule="auto"/>
        <w:ind w:left="851" w:right="539"/>
        <w:jc w:val="both"/>
        <w:rPr>
          <w:rFonts w:ascii="Palatino Linotype" w:eastAsia="Palatino Linotype" w:hAnsi="Palatino Linotype" w:cs="Palatino Linotype"/>
          <w:i/>
          <w:szCs w:val="22"/>
        </w:rPr>
      </w:pPr>
      <w:r w:rsidRPr="00823F54">
        <w:rPr>
          <w:rFonts w:ascii="Palatino Linotype" w:eastAsia="Palatino Linotype" w:hAnsi="Palatino Linotype" w:cs="Palatino Linotype"/>
          <w:i/>
          <w:szCs w:val="22"/>
        </w:rPr>
        <w:t>“Elementos utilizados en la generación de Sellos Digitales:</w:t>
      </w:r>
    </w:p>
    <w:p w14:paraId="13EEE154" w14:textId="77777777" w:rsidR="00393E7E" w:rsidRPr="00823F54" w:rsidRDefault="00393E7E" w:rsidP="00393E7E">
      <w:pPr>
        <w:pStyle w:val="Prrafodelista"/>
        <w:spacing w:line="360" w:lineRule="auto"/>
        <w:ind w:left="851" w:right="539"/>
        <w:jc w:val="both"/>
        <w:rPr>
          <w:rFonts w:ascii="Palatino Linotype" w:eastAsia="Palatino Linotype" w:hAnsi="Palatino Linotype" w:cs="Palatino Linotype"/>
          <w:i/>
          <w:szCs w:val="22"/>
        </w:rPr>
      </w:pPr>
      <w:r w:rsidRPr="00823F54">
        <w:rPr>
          <w:rFonts w:ascii="Palatino Linotype" w:eastAsia="Palatino Linotype" w:hAnsi="Palatino Linotype" w:cs="Palatino Linotype"/>
          <w:i/>
          <w:szCs w:val="22"/>
        </w:rPr>
        <w:t>•Cadena Original, el elemento a sellar, en este caso de un comprobante fiscal digital a través de Internet.</w:t>
      </w:r>
    </w:p>
    <w:p w14:paraId="4E46FFB9" w14:textId="77777777" w:rsidR="00393E7E" w:rsidRPr="00823F54" w:rsidRDefault="00393E7E" w:rsidP="00393E7E">
      <w:pPr>
        <w:pStyle w:val="Prrafodelista"/>
        <w:spacing w:line="360" w:lineRule="auto"/>
        <w:ind w:left="851" w:right="539"/>
        <w:jc w:val="both"/>
        <w:rPr>
          <w:rFonts w:ascii="Palatino Linotype" w:eastAsia="Palatino Linotype" w:hAnsi="Palatino Linotype" w:cs="Palatino Linotype"/>
          <w:i/>
          <w:szCs w:val="22"/>
        </w:rPr>
      </w:pPr>
      <w:r w:rsidRPr="00823F54">
        <w:rPr>
          <w:rFonts w:ascii="Palatino Linotype" w:eastAsia="Palatino Linotype" w:hAnsi="Palatino Linotype" w:cs="Palatino Linotype"/>
          <w:i/>
          <w:szCs w:val="22"/>
        </w:rPr>
        <w:t>•Certificado de Sello Digital y su correspondiente clave privada.</w:t>
      </w:r>
    </w:p>
    <w:p w14:paraId="14CD3C7E" w14:textId="77777777" w:rsidR="00393E7E" w:rsidRPr="00823F54" w:rsidRDefault="00393E7E" w:rsidP="00393E7E">
      <w:pPr>
        <w:pStyle w:val="Prrafodelista"/>
        <w:spacing w:line="360" w:lineRule="auto"/>
        <w:ind w:left="851" w:right="539"/>
        <w:jc w:val="both"/>
        <w:rPr>
          <w:rFonts w:ascii="Palatino Linotype" w:eastAsia="Palatino Linotype" w:hAnsi="Palatino Linotype" w:cs="Palatino Linotype"/>
          <w:i/>
          <w:szCs w:val="22"/>
        </w:rPr>
      </w:pPr>
      <w:r w:rsidRPr="00823F54">
        <w:rPr>
          <w:rFonts w:ascii="Palatino Linotype" w:eastAsia="Palatino Linotype" w:hAnsi="Palatino Linotype" w:cs="Palatino Linotype"/>
          <w:i/>
          <w:szCs w:val="22"/>
        </w:rPr>
        <w:t>•Algoritmos de criptografía de clave pública para firma electrónica avanzada.</w:t>
      </w:r>
    </w:p>
    <w:p w14:paraId="209670E9" w14:textId="77777777" w:rsidR="00393E7E" w:rsidRPr="00823F54" w:rsidRDefault="00393E7E" w:rsidP="00393E7E">
      <w:pPr>
        <w:pStyle w:val="Prrafodelista"/>
        <w:spacing w:line="360" w:lineRule="auto"/>
        <w:ind w:left="851" w:right="539"/>
        <w:jc w:val="both"/>
        <w:rPr>
          <w:rFonts w:ascii="Palatino Linotype" w:eastAsia="Palatino Linotype" w:hAnsi="Palatino Linotype" w:cs="Palatino Linotype"/>
          <w:i/>
          <w:szCs w:val="22"/>
        </w:rPr>
      </w:pPr>
      <w:r w:rsidRPr="00823F54">
        <w:rPr>
          <w:rFonts w:ascii="Palatino Linotype" w:eastAsia="Palatino Linotype" w:hAnsi="Palatino Linotype" w:cs="Palatino Linotype"/>
          <w:i/>
          <w:szCs w:val="22"/>
        </w:rPr>
        <w:t>•Especificaciones de conversión de la firma electrónica avanzada a Base 64.</w:t>
      </w:r>
    </w:p>
    <w:p w14:paraId="46766AE5" w14:textId="77777777" w:rsidR="00393E7E" w:rsidRPr="00823F54" w:rsidRDefault="00393E7E" w:rsidP="00393E7E">
      <w:pPr>
        <w:spacing w:line="360" w:lineRule="auto"/>
        <w:ind w:left="851" w:right="539"/>
        <w:jc w:val="both"/>
        <w:rPr>
          <w:rFonts w:ascii="Palatino Linotype" w:eastAsia="Palatino Linotype" w:hAnsi="Palatino Linotype" w:cs="Palatino Linotype"/>
          <w:i/>
          <w:sz w:val="22"/>
          <w:szCs w:val="22"/>
        </w:rPr>
      </w:pPr>
      <w:r w:rsidRPr="00823F54">
        <w:rPr>
          <w:rFonts w:ascii="Palatino Linotype" w:eastAsia="Palatino Linotype" w:hAnsi="Palatino Linotype" w:cs="Palatino Linotype"/>
          <w:i/>
          <w:sz w:val="22"/>
          <w:szCs w:val="22"/>
        </w:rPr>
        <w:t>Para la generación de sellos digitales se utiliza criptografía de clave pública aplicada a una cadena original.</w:t>
      </w:r>
    </w:p>
    <w:p w14:paraId="47EF9B46" w14:textId="77777777" w:rsidR="00393E7E" w:rsidRPr="00823F54" w:rsidRDefault="00393E7E" w:rsidP="00393E7E">
      <w:pPr>
        <w:spacing w:line="360" w:lineRule="auto"/>
        <w:ind w:left="851" w:right="539"/>
        <w:jc w:val="both"/>
        <w:rPr>
          <w:rFonts w:ascii="Palatino Linotype" w:eastAsia="Palatino Linotype" w:hAnsi="Palatino Linotype" w:cs="Palatino Linotype"/>
          <w:i/>
          <w:sz w:val="22"/>
          <w:szCs w:val="22"/>
        </w:rPr>
      </w:pPr>
    </w:p>
    <w:p w14:paraId="4E249C3A" w14:textId="77777777" w:rsidR="00393E7E" w:rsidRPr="00823F54" w:rsidRDefault="00393E7E" w:rsidP="00393E7E">
      <w:pPr>
        <w:pStyle w:val="Prrafodelista"/>
        <w:spacing w:line="360" w:lineRule="auto"/>
        <w:ind w:left="851" w:right="539"/>
        <w:jc w:val="both"/>
        <w:rPr>
          <w:rFonts w:ascii="Palatino Linotype" w:eastAsia="Palatino Linotype" w:hAnsi="Palatino Linotype" w:cs="Palatino Linotype"/>
          <w:i/>
          <w:szCs w:val="22"/>
        </w:rPr>
      </w:pPr>
      <w:r w:rsidRPr="00823F54">
        <w:rPr>
          <w:rFonts w:ascii="Palatino Linotype" w:eastAsia="Palatino Linotype" w:hAnsi="Palatino Linotype" w:cs="Palatino Linotype"/>
          <w:i/>
          <w:szCs w:val="22"/>
        </w:rPr>
        <w:t>Criptografía de la Clave Pública</w:t>
      </w:r>
    </w:p>
    <w:p w14:paraId="6D8A4811" w14:textId="77777777" w:rsidR="00393E7E" w:rsidRPr="00823F54" w:rsidRDefault="00393E7E" w:rsidP="00393E7E">
      <w:pPr>
        <w:pStyle w:val="Prrafodelista"/>
        <w:spacing w:line="360" w:lineRule="auto"/>
        <w:ind w:left="851" w:right="539"/>
        <w:jc w:val="both"/>
        <w:rPr>
          <w:rFonts w:ascii="Palatino Linotype" w:eastAsia="Palatino Linotype" w:hAnsi="Palatino Linotype" w:cs="Palatino Linotype"/>
          <w:i/>
          <w:szCs w:val="22"/>
        </w:rPr>
      </w:pPr>
      <w:r w:rsidRPr="00823F54">
        <w:rPr>
          <w:rFonts w:ascii="Palatino Linotype" w:eastAsia="Palatino Linotype" w:hAnsi="Palatino Linotype" w:cs="Palatino Linotype"/>
          <w:i/>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6CFB9CB3"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lastRenderedPageBreak/>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0BB767DB"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1617F488" w14:textId="77777777" w:rsidR="00393E7E" w:rsidRPr="00823F54" w:rsidRDefault="00393E7E" w:rsidP="00393E7E">
      <w:pPr>
        <w:shd w:val="clear" w:color="auto" w:fill="FFFFFF"/>
        <w:spacing w:before="240" w:after="240" w:line="360" w:lineRule="auto"/>
        <w:jc w:val="both"/>
        <w:rPr>
          <w:rFonts w:ascii="Palatino Linotype" w:hAnsi="Palatino Linotype"/>
          <w:color w:val="222222"/>
          <w:sz w:val="22"/>
          <w:szCs w:val="22"/>
        </w:rPr>
      </w:pPr>
      <w:r w:rsidRPr="00823F54">
        <w:rPr>
          <w:rFonts w:ascii="Palatino Linotype" w:eastAsia="Palatino Linotype" w:hAnsi="Palatino Linotype" w:cs="Palatino Linotype"/>
          <w:noProof/>
          <w:sz w:val="22"/>
          <w:szCs w:val="22"/>
        </w:rPr>
        <w:drawing>
          <wp:inline distT="0" distB="0" distL="0" distR="0" wp14:anchorId="3AA47BB7" wp14:editId="532AECED">
            <wp:extent cx="5612130" cy="42473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t="40505" r="32588" b="47482"/>
                    <a:stretch>
                      <a:fillRect/>
                    </a:stretch>
                  </pic:blipFill>
                  <pic:spPr>
                    <a:xfrm>
                      <a:off x="0" y="0"/>
                      <a:ext cx="5612130" cy="424735"/>
                    </a:xfrm>
                    <a:prstGeom prst="rect">
                      <a:avLst/>
                    </a:prstGeom>
                    <a:ln/>
                  </pic:spPr>
                </pic:pic>
              </a:graphicData>
            </a:graphic>
          </wp:inline>
        </w:drawing>
      </w:r>
    </w:p>
    <w:p w14:paraId="300CD32F"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70E7A61"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eastAsia="Palatino Linotype" w:hAnsi="Palatino Linotype" w:cs="Palatino Linotype"/>
          <w:color w:val="000000"/>
          <w:sz w:val="22"/>
          <w:szCs w:val="22"/>
        </w:rPr>
        <w:lastRenderedPageBreak/>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14:paraId="0179BFF2" w14:textId="77777777" w:rsidR="00393E7E" w:rsidRPr="00823F54" w:rsidRDefault="00393E7E" w:rsidP="00393E7E">
      <w:pPr>
        <w:pStyle w:val="Prrafodelista"/>
        <w:numPr>
          <w:ilvl w:val="0"/>
          <w:numId w:val="7"/>
        </w:numPr>
        <w:spacing w:line="360" w:lineRule="auto"/>
        <w:jc w:val="both"/>
        <w:rPr>
          <w:rFonts w:ascii="Palatino Linotype" w:hAnsi="Palatino Linotype" w:cs="Arial"/>
          <w:b/>
          <w:szCs w:val="22"/>
        </w:rPr>
      </w:pPr>
      <w:r w:rsidRPr="00823F54">
        <w:rPr>
          <w:rFonts w:ascii="Palatino Linotype" w:hAnsi="Palatino Linotype" w:cs="Arial"/>
          <w:b/>
          <w:szCs w:val="22"/>
        </w:rPr>
        <w:t>Deducciones que no son personales.</w:t>
      </w:r>
    </w:p>
    <w:p w14:paraId="36C55F30"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hAnsi="Palatino Linotype" w:cs="Arial"/>
          <w:sz w:val="22"/>
          <w:szCs w:val="22"/>
        </w:rPr>
        <w:t>La Ley del Trabajo de los Servidores Públicos del Estado y Municipios</w:t>
      </w:r>
      <w:r w:rsidRPr="00823F54">
        <w:rPr>
          <w:rStyle w:val="Refdenotaalpie"/>
          <w:rFonts w:ascii="Palatino Linotype" w:hAnsi="Palatino Linotype" w:cs="Arial"/>
          <w:sz w:val="22"/>
          <w:szCs w:val="22"/>
        </w:rPr>
        <w:footnoteReference w:id="4"/>
      </w:r>
      <w:r w:rsidRPr="00823F54">
        <w:rPr>
          <w:rFonts w:ascii="Palatino Linotype" w:hAnsi="Palatino Linotype" w:cs="Arial"/>
          <w:sz w:val="22"/>
          <w:szCs w:val="22"/>
        </w:rPr>
        <w:t xml:space="preserve"> en el artículo 84 establece lo siguiente:</w:t>
      </w:r>
    </w:p>
    <w:p w14:paraId="4CE177B9" w14:textId="77777777" w:rsidR="00393E7E" w:rsidRPr="00823F54" w:rsidRDefault="00393E7E" w:rsidP="00393E7E">
      <w:pPr>
        <w:pStyle w:val="Prrafodelista"/>
        <w:spacing w:line="360" w:lineRule="auto"/>
        <w:ind w:left="851" w:right="822"/>
        <w:jc w:val="both"/>
        <w:rPr>
          <w:rFonts w:ascii="Palatino Linotype" w:hAnsi="Palatino Linotype"/>
          <w:i/>
          <w:szCs w:val="22"/>
        </w:rPr>
      </w:pPr>
      <w:r w:rsidRPr="00823F54">
        <w:rPr>
          <w:rFonts w:ascii="Palatino Linotype" w:hAnsi="Palatino Linotype"/>
          <w:i/>
          <w:szCs w:val="22"/>
        </w:rPr>
        <w:t xml:space="preserve">ARTÍCULO 84. Sólo podrán hacerse retenciones, descuentos o deducciones al sueldo de los servidores públicos por concepto de: </w:t>
      </w:r>
    </w:p>
    <w:p w14:paraId="00BADDDC" w14:textId="77777777" w:rsidR="00393E7E" w:rsidRPr="00823F54" w:rsidRDefault="00393E7E" w:rsidP="00393E7E">
      <w:pPr>
        <w:pStyle w:val="Prrafodelista"/>
        <w:spacing w:line="360" w:lineRule="auto"/>
        <w:ind w:left="851" w:right="822"/>
        <w:jc w:val="both"/>
        <w:rPr>
          <w:rFonts w:ascii="Palatino Linotype" w:hAnsi="Palatino Linotype"/>
          <w:b/>
          <w:i/>
          <w:szCs w:val="22"/>
        </w:rPr>
      </w:pPr>
      <w:r w:rsidRPr="00823F54">
        <w:rPr>
          <w:rFonts w:ascii="Palatino Linotype" w:hAnsi="Palatino Linotype"/>
          <w:b/>
          <w:i/>
          <w:szCs w:val="22"/>
        </w:rPr>
        <w:t>I. Gravámenes fiscales relacionados con el sueldo;</w:t>
      </w:r>
    </w:p>
    <w:p w14:paraId="1BDDF8BF" w14:textId="77777777" w:rsidR="00393E7E" w:rsidRPr="00823F54" w:rsidRDefault="00393E7E" w:rsidP="00393E7E">
      <w:pPr>
        <w:pStyle w:val="Prrafodelista"/>
        <w:spacing w:line="360" w:lineRule="auto"/>
        <w:ind w:left="851" w:right="822"/>
        <w:jc w:val="both"/>
        <w:rPr>
          <w:rFonts w:ascii="Palatino Linotype" w:hAnsi="Palatino Linotype"/>
          <w:i/>
          <w:szCs w:val="22"/>
        </w:rPr>
      </w:pPr>
      <w:r w:rsidRPr="00823F54">
        <w:rPr>
          <w:rFonts w:ascii="Palatino Linotype" w:hAnsi="Palatino Linotype"/>
          <w:i/>
          <w:szCs w:val="22"/>
        </w:rPr>
        <w:t xml:space="preserve">II. Deudas contraídas con las instituciones públicas o dependencias por concepto de anticipos de sueldo, pagos hechos con exceso, errores o pérdidas debidamente comprobados; </w:t>
      </w:r>
    </w:p>
    <w:p w14:paraId="2D9C773A" w14:textId="77777777" w:rsidR="00393E7E" w:rsidRPr="00823F54" w:rsidRDefault="00393E7E" w:rsidP="00393E7E">
      <w:pPr>
        <w:pStyle w:val="Prrafodelista"/>
        <w:spacing w:line="360" w:lineRule="auto"/>
        <w:ind w:left="851" w:right="822"/>
        <w:jc w:val="both"/>
        <w:rPr>
          <w:rFonts w:ascii="Palatino Linotype" w:hAnsi="Palatino Linotype"/>
          <w:i/>
          <w:szCs w:val="22"/>
        </w:rPr>
      </w:pPr>
      <w:r w:rsidRPr="00823F54">
        <w:rPr>
          <w:rFonts w:ascii="Palatino Linotype" w:hAnsi="Palatino Linotype"/>
          <w:i/>
          <w:szCs w:val="22"/>
        </w:rPr>
        <w:t xml:space="preserve">III. Cuotas sindicales; </w:t>
      </w:r>
    </w:p>
    <w:p w14:paraId="6696C81E" w14:textId="77777777" w:rsidR="00393E7E" w:rsidRPr="00823F54" w:rsidRDefault="00393E7E" w:rsidP="00393E7E">
      <w:pPr>
        <w:pStyle w:val="Prrafodelista"/>
        <w:spacing w:line="360" w:lineRule="auto"/>
        <w:ind w:left="851" w:right="822"/>
        <w:jc w:val="both"/>
        <w:rPr>
          <w:rFonts w:ascii="Palatino Linotype" w:hAnsi="Palatino Linotype"/>
          <w:b/>
          <w:i/>
          <w:szCs w:val="22"/>
        </w:rPr>
      </w:pPr>
      <w:r w:rsidRPr="00823F54">
        <w:rPr>
          <w:rFonts w:ascii="Palatino Linotype" w:hAnsi="Palatino Linotype"/>
          <w:b/>
          <w:i/>
          <w:szCs w:val="22"/>
        </w:rPr>
        <w:t xml:space="preserve">IV. Cuotas de aportación a fondos para la constitución de cooperativas y de cajas de ahorro, siempre que el servidor público hubiese manifestado previamente, de manera expresa, su conformidad; </w:t>
      </w:r>
    </w:p>
    <w:p w14:paraId="41881980" w14:textId="77777777" w:rsidR="00393E7E" w:rsidRPr="00823F54" w:rsidRDefault="00393E7E" w:rsidP="00393E7E">
      <w:pPr>
        <w:pStyle w:val="Prrafodelista"/>
        <w:spacing w:line="360" w:lineRule="auto"/>
        <w:ind w:left="851" w:right="822"/>
        <w:jc w:val="both"/>
        <w:rPr>
          <w:rFonts w:ascii="Palatino Linotype" w:hAnsi="Palatino Linotype"/>
          <w:b/>
          <w:i/>
          <w:szCs w:val="22"/>
        </w:rPr>
      </w:pPr>
      <w:r w:rsidRPr="00823F54">
        <w:rPr>
          <w:rFonts w:ascii="Palatino Linotype" w:hAnsi="Palatino Linotype"/>
          <w:b/>
          <w:i/>
          <w:szCs w:val="22"/>
        </w:rPr>
        <w:lastRenderedPageBreak/>
        <w:t xml:space="preserve">V. Descuentos ordenados por el Instituto de Seguridad Social del Estado de México y Municipios, con motivo de cuotas y obligaciones contraídas con éste por los servidores públicos; </w:t>
      </w:r>
    </w:p>
    <w:p w14:paraId="1D47298E" w14:textId="77777777" w:rsidR="00393E7E" w:rsidRPr="00823F54" w:rsidRDefault="00393E7E" w:rsidP="00393E7E">
      <w:pPr>
        <w:pStyle w:val="Prrafodelista"/>
        <w:spacing w:line="360" w:lineRule="auto"/>
        <w:ind w:left="851" w:right="822"/>
        <w:jc w:val="both"/>
        <w:rPr>
          <w:rFonts w:ascii="Palatino Linotype" w:hAnsi="Palatino Linotype"/>
          <w:i/>
          <w:szCs w:val="22"/>
        </w:rPr>
      </w:pPr>
      <w:r w:rsidRPr="00823F54">
        <w:rPr>
          <w:rFonts w:ascii="Palatino Linotype" w:hAnsi="Palatino Linotype"/>
          <w:i/>
          <w:szCs w:val="22"/>
        </w:rPr>
        <w:t xml:space="preserve">VI. Obligaciones a cargo del servidor público con las que haya consentido, derivadas de la adquisición o del uso de habitaciones consideradas como de interés social; </w:t>
      </w:r>
    </w:p>
    <w:p w14:paraId="4E11EF32" w14:textId="77777777" w:rsidR="00393E7E" w:rsidRPr="00823F54" w:rsidRDefault="00393E7E" w:rsidP="00393E7E">
      <w:pPr>
        <w:pStyle w:val="Prrafodelista"/>
        <w:spacing w:line="360" w:lineRule="auto"/>
        <w:ind w:left="851" w:right="822"/>
        <w:jc w:val="both"/>
        <w:rPr>
          <w:rFonts w:ascii="Palatino Linotype" w:hAnsi="Palatino Linotype"/>
          <w:i/>
          <w:szCs w:val="22"/>
        </w:rPr>
      </w:pPr>
      <w:r w:rsidRPr="00823F54">
        <w:rPr>
          <w:rFonts w:ascii="Palatino Linotype" w:hAnsi="Palatino Linotype"/>
          <w:i/>
          <w:szCs w:val="22"/>
        </w:rPr>
        <w:t xml:space="preserve">VII. Faltas de puntualidad o de asistencia injustificadas; </w:t>
      </w:r>
    </w:p>
    <w:p w14:paraId="21123D5D" w14:textId="77777777" w:rsidR="00393E7E" w:rsidRPr="00823F54" w:rsidRDefault="00393E7E" w:rsidP="00393E7E">
      <w:pPr>
        <w:pStyle w:val="Prrafodelista"/>
        <w:spacing w:line="360" w:lineRule="auto"/>
        <w:ind w:left="851" w:right="822"/>
        <w:jc w:val="both"/>
        <w:rPr>
          <w:rFonts w:ascii="Palatino Linotype" w:hAnsi="Palatino Linotype"/>
          <w:i/>
          <w:szCs w:val="22"/>
        </w:rPr>
      </w:pPr>
      <w:r w:rsidRPr="00823F54">
        <w:rPr>
          <w:rFonts w:ascii="Palatino Linotype" w:hAnsi="Palatino Linotype"/>
          <w:i/>
          <w:szCs w:val="22"/>
        </w:rPr>
        <w:t xml:space="preserve">VIII. Pensiones alimenticias ordenadas por la autoridad judicial; o </w:t>
      </w:r>
    </w:p>
    <w:p w14:paraId="53C8D759" w14:textId="77777777" w:rsidR="00393E7E" w:rsidRPr="00823F54" w:rsidRDefault="00393E7E" w:rsidP="00393E7E">
      <w:pPr>
        <w:pStyle w:val="Prrafodelista"/>
        <w:spacing w:line="360" w:lineRule="auto"/>
        <w:ind w:left="851" w:right="822"/>
        <w:jc w:val="both"/>
        <w:rPr>
          <w:rFonts w:ascii="Palatino Linotype" w:hAnsi="Palatino Linotype"/>
          <w:i/>
          <w:szCs w:val="22"/>
        </w:rPr>
      </w:pPr>
      <w:r w:rsidRPr="00823F54">
        <w:rPr>
          <w:rFonts w:ascii="Palatino Linotype" w:hAnsi="Palatino Linotype"/>
          <w:i/>
          <w:szCs w:val="22"/>
        </w:rPr>
        <w:t>IX. Cualquier otro convenido con instituciones de servicios y aceptado por el servidor público.</w:t>
      </w:r>
    </w:p>
    <w:p w14:paraId="5AFA64DF"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hAnsi="Palatino Linotype" w:cs="Arial"/>
          <w:sz w:val="22"/>
          <w:szCs w:val="22"/>
        </w:rPr>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14:paraId="52FC9C4C" w14:textId="77777777" w:rsidR="00393E7E" w:rsidRPr="00823F54" w:rsidRDefault="00393E7E" w:rsidP="00393E7E">
      <w:pPr>
        <w:pStyle w:val="Prrafodelista"/>
        <w:numPr>
          <w:ilvl w:val="0"/>
          <w:numId w:val="7"/>
        </w:numPr>
        <w:spacing w:line="360" w:lineRule="auto"/>
        <w:jc w:val="both"/>
        <w:rPr>
          <w:rFonts w:ascii="Palatino Linotype" w:hAnsi="Palatino Linotype" w:cs="Arial"/>
          <w:szCs w:val="22"/>
        </w:rPr>
      </w:pPr>
      <w:r w:rsidRPr="00823F54">
        <w:rPr>
          <w:rFonts w:ascii="Palatino Linotype" w:hAnsi="Palatino Linotype" w:cs="Arial"/>
          <w:b/>
          <w:szCs w:val="22"/>
        </w:rPr>
        <w:t>Seguro de Capitalización Individualizado.</w:t>
      </w:r>
    </w:p>
    <w:p w14:paraId="4004EEEB" w14:textId="77777777" w:rsidR="00393E7E" w:rsidRPr="00823F54" w:rsidRDefault="00393E7E" w:rsidP="00393E7E">
      <w:pPr>
        <w:numPr>
          <w:ilvl w:val="0"/>
          <w:numId w:val="1"/>
        </w:numPr>
        <w:shd w:val="clear" w:color="auto" w:fill="FFFFFF"/>
        <w:spacing w:before="240" w:after="240" w:line="360" w:lineRule="auto"/>
        <w:jc w:val="both"/>
        <w:rPr>
          <w:rFonts w:ascii="Palatino Linotype" w:hAnsi="Palatino Linotype"/>
          <w:color w:val="222222"/>
          <w:sz w:val="22"/>
          <w:szCs w:val="22"/>
        </w:rPr>
      </w:pPr>
      <w:r w:rsidRPr="00823F54">
        <w:rPr>
          <w:rFonts w:ascii="Palatino Linotype" w:hAnsi="Palatino Linotype" w:cs="Arial"/>
          <w:sz w:val="22"/>
          <w:szCs w:val="22"/>
        </w:rPr>
        <w:t>El Sistema de Capitalización Individualizado es el mecanismo mediante el cual, un servidor público y la Institución en la que labora, acumulan recursos, adicionales a su pensión; mismo que se integra hasta por tres rubros, los cuales son los siguientes:</w:t>
      </w:r>
    </w:p>
    <w:p w14:paraId="184E8903" w14:textId="77777777" w:rsidR="00393E7E" w:rsidRPr="00823F54" w:rsidRDefault="00393E7E" w:rsidP="00393E7E">
      <w:pPr>
        <w:pStyle w:val="Prrafodelista"/>
        <w:spacing w:line="360" w:lineRule="auto"/>
        <w:jc w:val="both"/>
        <w:rPr>
          <w:rFonts w:ascii="Palatino Linotype" w:hAnsi="Palatino Linotype" w:cs="Arial"/>
          <w:szCs w:val="22"/>
        </w:rPr>
      </w:pPr>
      <w:r w:rsidRPr="00823F54">
        <w:rPr>
          <w:rFonts w:ascii="Palatino Linotype" w:hAnsi="Palatino Linotype" w:cs="Arial"/>
          <w:szCs w:val="22"/>
        </w:rPr>
        <w:t>•</w:t>
      </w:r>
      <w:r w:rsidRPr="00823F54">
        <w:rPr>
          <w:rFonts w:ascii="Palatino Linotype" w:hAnsi="Palatino Linotype" w:cs="Arial"/>
          <w:szCs w:val="22"/>
        </w:rPr>
        <w:tab/>
        <w:t>Subcuenta de cuota obligatoria; que corresponde a un porcentaje del sueldo sujeto a cotización, que se descuenta al servir público de manera automática.</w:t>
      </w:r>
    </w:p>
    <w:p w14:paraId="17EAF130" w14:textId="77777777" w:rsidR="00393E7E" w:rsidRPr="00823F54" w:rsidRDefault="00393E7E" w:rsidP="00393E7E">
      <w:pPr>
        <w:pStyle w:val="Prrafodelista"/>
        <w:spacing w:line="360" w:lineRule="auto"/>
        <w:jc w:val="both"/>
        <w:rPr>
          <w:rFonts w:ascii="Palatino Linotype" w:hAnsi="Palatino Linotype" w:cs="Arial"/>
          <w:szCs w:val="22"/>
        </w:rPr>
      </w:pPr>
      <w:r w:rsidRPr="00823F54">
        <w:rPr>
          <w:rFonts w:ascii="Palatino Linotype" w:hAnsi="Palatino Linotype" w:cs="Arial"/>
          <w:szCs w:val="22"/>
        </w:rPr>
        <w:lastRenderedPageBreak/>
        <w:t>•</w:t>
      </w:r>
      <w:r w:rsidRPr="00823F54">
        <w:rPr>
          <w:rFonts w:ascii="Palatino Linotype" w:hAnsi="Palatino Linotype" w:cs="Arial"/>
          <w:szCs w:val="22"/>
        </w:rPr>
        <w:tab/>
        <w:t>Subcuenta de aportación obligatoria: que es la aportación que realiza la Institución a favor del servidor público, el cual equivale a un porcentaje del sueldo sujeto a cotización.</w:t>
      </w:r>
    </w:p>
    <w:p w14:paraId="2B3381A6" w14:textId="77777777" w:rsidR="00393E7E" w:rsidRPr="00823F54" w:rsidRDefault="00393E7E" w:rsidP="00393E7E">
      <w:pPr>
        <w:pStyle w:val="Prrafodelista"/>
        <w:spacing w:line="360" w:lineRule="auto"/>
        <w:jc w:val="both"/>
        <w:rPr>
          <w:rFonts w:ascii="Palatino Linotype" w:hAnsi="Palatino Linotype" w:cs="Arial"/>
          <w:szCs w:val="22"/>
        </w:rPr>
      </w:pPr>
      <w:r w:rsidRPr="00823F54">
        <w:rPr>
          <w:rFonts w:ascii="Palatino Linotype" w:hAnsi="Palatino Linotype" w:cs="Arial"/>
          <w:szCs w:val="22"/>
        </w:rPr>
        <w:t>•</w:t>
      </w:r>
      <w:r w:rsidRPr="00823F54">
        <w:rPr>
          <w:rFonts w:ascii="Palatino Linotype" w:hAnsi="Palatino Linotype" w:cs="Arial"/>
          <w:szCs w:val="22"/>
        </w:rPr>
        <w:tab/>
        <w:t xml:space="preserve">Subcuenta voluntaria: que es la cantidad que cada servidor público decide ahorrar de acuerdo con sus aportaciones, permitiendo acumular mayores ingresos para su retiro. </w:t>
      </w:r>
    </w:p>
    <w:p w14:paraId="72019485"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hAnsi="Palatino Linotype" w:cs="Arial"/>
          <w:sz w:val="22"/>
          <w:szCs w:val="22"/>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41AB9CA4" w14:textId="77777777" w:rsidR="00393E7E" w:rsidRPr="00823F54" w:rsidRDefault="00393E7E" w:rsidP="00393E7E">
      <w:pPr>
        <w:pStyle w:val="Prrafodelista"/>
        <w:spacing w:line="360" w:lineRule="auto"/>
        <w:ind w:left="567" w:right="822"/>
        <w:jc w:val="both"/>
        <w:rPr>
          <w:rFonts w:ascii="Palatino Linotype" w:hAnsi="Palatino Linotype" w:cs="Arial"/>
          <w:i/>
          <w:szCs w:val="22"/>
        </w:rPr>
      </w:pPr>
      <w:r w:rsidRPr="00823F54">
        <w:rPr>
          <w:rFonts w:ascii="Palatino Linotype" w:hAnsi="Palatino Linotype" w:cs="Arial"/>
          <w:i/>
          <w:szCs w:val="22"/>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w:t>
      </w:r>
      <w:r w:rsidRPr="00823F54">
        <w:rPr>
          <w:rFonts w:ascii="Palatino Linotype" w:hAnsi="Palatino Linotype" w:cs="Arial"/>
          <w:i/>
          <w:szCs w:val="22"/>
        </w:rPr>
        <w:lastRenderedPageBreak/>
        <w:t>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823F54">
        <w:rPr>
          <w:rFonts w:ascii="Palatino Linotype" w:hAnsi="Palatino Linotype" w:cs="Arial"/>
          <w:szCs w:val="22"/>
        </w:rPr>
        <w:t xml:space="preserve"> </w:t>
      </w:r>
    </w:p>
    <w:p w14:paraId="6FA50FD3" w14:textId="77777777" w:rsidR="00393E7E" w:rsidRPr="00823F54" w:rsidRDefault="00393E7E" w:rsidP="00393E7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823F54">
        <w:rPr>
          <w:rFonts w:ascii="Palatino Linotype" w:hAnsi="Palatino Linotype" w:cs="Arial"/>
          <w:sz w:val="22"/>
          <w:szCs w:val="22"/>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14:paraId="2A5D0019" w14:textId="77777777" w:rsidR="00393E7E" w:rsidRPr="00823F54" w:rsidRDefault="00393E7E" w:rsidP="00393E7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823F54">
        <w:rPr>
          <w:rFonts w:ascii="Palatino Linotype" w:eastAsia="Palatino Linotype" w:hAnsi="Palatino Linotype" w:cs="Palatino Linotype"/>
          <w:color w:val="000000"/>
          <w:sz w:val="22"/>
          <w:szCs w:val="22"/>
        </w:rPr>
        <w:t xml:space="preserve">Por lo anteriormente expuesto y fundado, este </w:t>
      </w:r>
      <w:r w:rsidRPr="00823F54">
        <w:rPr>
          <w:rFonts w:ascii="Palatino Linotype" w:eastAsia="Palatino Linotype" w:hAnsi="Palatino Linotype" w:cs="Palatino Linotype"/>
          <w:b/>
          <w:color w:val="000000"/>
          <w:sz w:val="22"/>
          <w:szCs w:val="22"/>
        </w:rPr>
        <w:t>ÓRGANO GARANTE</w:t>
      </w:r>
      <w:r w:rsidRPr="00823F54">
        <w:rPr>
          <w:rFonts w:ascii="Palatino Linotype" w:eastAsia="Palatino Linotype" w:hAnsi="Palatino Linotype" w:cs="Palatino Linotype"/>
          <w:color w:val="000000"/>
          <w:sz w:val="22"/>
          <w:szCs w:val="22"/>
        </w:rPr>
        <w:t xml:space="preserve"> emite los siguientes:</w:t>
      </w:r>
    </w:p>
    <w:p w14:paraId="4CD98F08" w14:textId="77777777" w:rsidR="00393E7E" w:rsidRPr="00823F54" w:rsidRDefault="00393E7E" w:rsidP="00393E7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150F87A" w14:textId="77777777" w:rsidR="00393E7E" w:rsidRPr="00823F54" w:rsidRDefault="00393E7E" w:rsidP="00393E7E">
      <w:pPr>
        <w:keepNext/>
        <w:keepLines/>
        <w:spacing w:line="360" w:lineRule="auto"/>
        <w:jc w:val="center"/>
        <w:rPr>
          <w:rFonts w:ascii="Palatino Linotype" w:eastAsia="Palatino Linotype" w:hAnsi="Palatino Linotype" w:cs="Palatino Linotype"/>
          <w:b/>
          <w:color w:val="000000"/>
          <w:sz w:val="22"/>
          <w:szCs w:val="22"/>
        </w:rPr>
      </w:pPr>
      <w:bookmarkStart w:id="13" w:name="_heading=h.17dp8vu" w:colFirst="0" w:colLast="0"/>
      <w:bookmarkEnd w:id="13"/>
      <w:r w:rsidRPr="00823F54">
        <w:rPr>
          <w:rFonts w:ascii="Palatino Linotype" w:eastAsia="Palatino Linotype" w:hAnsi="Palatino Linotype" w:cs="Palatino Linotype"/>
          <w:b/>
          <w:color w:val="000000"/>
          <w:sz w:val="22"/>
          <w:szCs w:val="22"/>
        </w:rPr>
        <w:lastRenderedPageBreak/>
        <w:t>R E S O L U T I V O S</w:t>
      </w:r>
    </w:p>
    <w:p w14:paraId="2A59409B" w14:textId="77777777" w:rsidR="00393E7E" w:rsidRPr="00823F54" w:rsidRDefault="00393E7E" w:rsidP="00393E7E">
      <w:pPr>
        <w:keepNext/>
        <w:keepLines/>
        <w:spacing w:line="360" w:lineRule="auto"/>
        <w:jc w:val="center"/>
        <w:rPr>
          <w:rFonts w:ascii="Palatino Linotype" w:eastAsia="Palatino Linotype" w:hAnsi="Palatino Linotype" w:cs="Palatino Linotype"/>
          <w:b/>
          <w:color w:val="000000"/>
          <w:sz w:val="22"/>
          <w:szCs w:val="22"/>
        </w:rPr>
      </w:pPr>
    </w:p>
    <w:p w14:paraId="3D103D72" w14:textId="77777777" w:rsidR="00393E7E" w:rsidRPr="00823F54" w:rsidRDefault="00393E7E" w:rsidP="00393E7E">
      <w:pPr>
        <w:spacing w:line="360" w:lineRule="auto"/>
        <w:ind w:right="48"/>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b/>
          <w:sz w:val="22"/>
          <w:szCs w:val="22"/>
        </w:rPr>
        <w:t xml:space="preserve">PRIMERO. </w:t>
      </w:r>
      <w:r w:rsidRPr="00823F54">
        <w:rPr>
          <w:rFonts w:ascii="Palatino Linotype" w:eastAsia="Palatino Linotype" w:hAnsi="Palatino Linotype" w:cs="Palatino Linotype"/>
          <w:sz w:val="22"/>
          <w:szCs w:val="22"/>
        </w:rPr>
        <w:t>Resultan fundadas las</w:t>
      </w:r>
      <w:r w:rsidRPr="00823F54">
        <w:rPr>
          <w:rFonts w:ascii="Palatino Linotype" w:eastAsia="Palatino Linotype" w:hAnsi="Palatino Linotype" w:cs="Palatino Linotype"/>
          <w:b/>
          <w:sz w:val="22"/>
          <w:szCs w:val="22"/>
        </w:rPr>
        <w:t xml:space="preserve"> </w:t>
      </w:r>
      <w:r w:rsidRPr="00823F54">
        <w:rPr>
          <w:rFonts w:ascii="Palatino Linotype" w:eastAsia="Palatino Linotype" w:hAnsi="Palatino Linotype" w:cs="Palatino Linotype"/>
          <w:sz w:val="22"/>
          <w:szCs w:val="22"/>
        </w:rPr>
        <w:t xml:space="preserve">razones o motivos de inconformidad hechos valer en el recurso de revisión </w:t>
      </w:r>
      <w:r w:rsidR="00832C78" w:rsidRPr="00823F54">
        <w:rPr>
          <w:rFonts w:ascii="Palatino Linotype" w:eastAsia="Palatino Linotype" w:hAnsi="Palatino Linotype" w:cs="Palatino Linotype"/>
          <w:b/>
          <w:sz w:val="22"/>
          <w:szCs w:val="22"/>
        </w:rPr>
        <w:t>03178</w:t>
      </w:r>
      <w:r w:rsidRPr="00823F54">
        <w:rPr>
          <w:rFonts w:ascii="Palatino Linotype" w:eastAsia="Palatino Linotype" w:hAnsi="Palatino Linotype" w:cs="Palatino Linotype"/>
          <w:b/>
          <w:sz w:val="22"/>
          <w:szCs w:val="22"/>
        </w:rPr>
        <w:t xml:space="preserve">/INFOEM/IP/RR/2024, </w:t>
      </w:r>
      <w:r w:rsidRPr="00823F54">
        <w:rPr>
          <w:rFonts w:ascii="Palatino Linotype" w:eastAsia="Palatino Linotype" w:hAnsi="Palatino Linotype" w:cs="Palatino Linotype"/>
          <w:sz w:val="22"/>
          <w:szCs w:val="22"/>
        </w:rPr>
        <w:t xml:space="preserve">en términos del </w:t>
      </w:r>
      <w:r w:rsidRPr="00823F54">
        <w:rPr>
          <w:rFonts w:ascii="Palatino Linotype" w:eastAsia="Palatino Linotype" w:hAnsi="Palatino Linotype" w:cs="Palatino Linotype"/>
          <w:b/>
          <w:sz w:val="22"/>
          <w:szCs w:val="22"/>
        </w:rPr>
        <w:t>Considerando</w:t>
      </w:r>
      <w:r w:rsidRPr="00823F54">
        <w:rPr>
          <w:rFonts w:ascii="Palatino Linotype" w:eastAsia="Palatino Linotype" w:hAnsi="Palatino Linotype" w:cs="Palatino Linotype"/>
          <w:sz w:val="22"/>
          <w:szCs w:val="22"/>
        </w:rPr>
        <w:t xml:space="preserve"> </w:t>
      </w:r>
      <w:r w:rsidRPr="00823F54">
        <w:rPr>
          <w:rFonts w:ascii="Palatino Linotype" w:eastAsia="Palatino Linotype" w:hAnsi="Palatino Linotype" w:cs="Palatino Linotype"/>
          <w:b/>
          <w:sz w:val="22"/>
          <w:szCs w:val="22"/>
        </w:rPr>
        <w:t>CUARTO y QUINTO de</w:t>
      </w:r>
      <w:r w:rsidRPr="00823F54">
        <w:rPr>
          <w:rFonts w:ascii="Palatino Linotype" w:eastAsia="Palatino Linotype" w:hAnsi="Palatino Linotype" w:cs="Palatino Linotype"/>
          <w:sz w:val="22"/>
          <w:szCs w:val="22"/>
        </w:rPr>
        <w:t xml:space="preserve"> la presente resolución.</w:t>
      </w:r>
    </w:p>
    <w:p w14:paraId="33120EAA" w14:textId="77777777" w:rsidR="00393E7E" w:rsidRPr="00823F54" w:rsidRDefault="00393E7E" w:rsidP="00393E7E">
      <w:pPr>
        <w:spacing w:line="360" w:lineRule="auto"/>
        <w:ind w:right="48"/>
        <w:jc w:val="both"/>
        <w:rPr>
          <w:rFonts w:ascii="Palatino Linotype" w:eastAsia="Palatino Linotype" w:hAnsi="Palatino Linotype" w:cs="Palatino Linotype"/>
          <w:sz w:val="22"/>
          <w:szCs w:val="22"/>
        </w:rPr>
      </w:pPr>
    </w:p>
    <w:p w14:paraId="56C957D6" w14:textId="77777777" w:rsidR="00393E7E" w:rsidRPr="00823F54" w:rsidRDefault="00393E7E" w:rsidP="00393E7E">
      <w:pPr>
        <w:spacing w:line="360" w:lineRule="auto"/>
        <w:ind w:right="48"/>
        <w:jc w:val="both"/>
        <w:rPr>
          <w:rFonts w:ascii="Palatino Linotype" w:eastAsia="Palatino Linotype" w:hAnsi="Palatino Linotype" w:cs="Palatino Linotype"/>
          <w:sz w:val="22"/>
          <w:szCs w:val="22"/>
        </w:rPr>
      </w:pPr>
      <w:bookmarkStart w:id="14" w:name="_heading=h.3rdcrjn" w:colFirst="0" w:colLast="0"/>
      <w:bookmarkEnd w:id="14"/>
      <w:r w:rsidRPr="00823F54">
        <w:rPr>
          <w:rFonts w:ascii="Palatino Linotype" w:eastAsia="Palatino Linotype" w:hAnsi="Palatino Linotype" w:cs="Palatino Linotype"/>
          <w:b/>
          <w:sz w:val="22"/>
          <w:szCs w:val="22"/>
        </w:rPr>
        <w:t>SEGUNDO.</w:t>
      </w:r>
      <w:r w:rsidRPr="00823F54">
        <w:rPr>
          <w:rFonts w:ascii="Palatino Linotype" w:eastAsia="Palatino Linotype" w:hAnsi="Palatino Linotype" w:cs="Palatino Linotype"/>
          <w:color w:val="2F5496"/>
          <w:sz w:val="22"/>
          <w:szCs w:val="22"/>
        </w:rPr>
        <w:t xml:space="preserve"> </w:t>
      </w:r>
      <w:r w:rsidRPr="00823F54">
        <w:rPr>
          <w:rFonts w:ascii="Palatino Linotype" w:eastAsia="Palatino Linotype" w:hAnsi="Palatino Linotype" w:cs="Palatino Linotype"/>
          <w:sz w:val="22"/>
          <w:szCs w:val="22"/>
        </w:rPr>
        <w:t>Se</w:t>
      </w:r>
      <w:r w:rsidRPr="00823F54">
        <w:rPr>
          <w:rFonts w:ascii="Palatino Linotype" w:eastAsia="Palatino Linotype" w:hAnsi="Palatino Linotype" w:cs="Palatino Linotype"/>
          <w:b/>
          <w:sz w:val="22"/>
          <w:szCs w:val="22"/>
        </w:rPr>
        <w:t xml:space="preserve"> MODIFICA </w:t>
      </w:r>
      <w:r w:rsidRPr="00823F54">
        <w:rPr>
          <w:rFonts w:ascii="Palatino Linotype" w:eastAsia="Palatino Linotype" w:hAnsi="Palatino Linotype" w:cs="Palatino Linotype"/>
          <w:sz w:val="22"/>
          <w:szCs w:val="22"/>
        </w:rPr>
        <w:t xml:space="preserve">la respuesta emitida por el </w:t>
      </w:r>
      <w:r w:rsidR="00832C78" w:rsidRPr="00823F54">
        <w:rPr>
          <w:rFonts w:ascii="Palatino Linotype" w:eastAsia="Palatino Linotype" w:hAnsi="Palatino Linotype" w:cs="Palatino Linotype"/>
          <w:b/>
          <w:sz w:val="22"/>
          <w:szCs w:val="22"/>
        </w:rPr>
        <w:t>Ayuntamiento de Toluca</w:t>
      </w:r>
      <w:r w:rsidRPr="00823F54">
        <w:rPr>
          <w:rFonts w:ascii="Palatino Linotype" w:eastAsia="Palatino Linotype" w:hAnsi="Palatino Linotype" w:cs="Palatino Linotype"/>
          <w:b/>
          <w:sz w:val="22"/>
          <w:szCs w:val="22"/>
        </w:rPr>
        <w:t xml:space="preserve"> </w:t>
      </w:r>
      <w:r w:rsidRPr="00823F54">
        <w:rPr>
          <w:rFonts w:ascii="Palatino Linotype" w:eastAsia="Palatino Linotype" w:hAnsi="Palatino Linotype" w:cs="Palatino Linotype"/>
          <w:sz w:val="22"/>
          <w:szCs w:val="22"/>
        </w:rPr>
        <w:t>y se</w:t>
      </w:r>
      <w:r w:rsidRPr="00823F54">
        <w:rPr>
          <w:rFonts w:ascii="Palatino Linotype" w:eastAsia="Palatino Linotype" w:hAnsi="Palatino Linotype" w:cs="Palatino Linotype"/>
          <w:b/>
          <w:sz w:val="22"/>
          <w:szCs w:val="22"/>
        </w:rPr>
        <w:t xml:space="preserve"> ORDENA </w:t>
      </w:r>
      <w:r w:rsidRPr="00823F54">
        <w:rPr>
          <w:rFonts w:ascii="Palatino Linotype" w:eastAsia="Palatino Linotype" w:hAnsi="Palatino Linotype" w:cs="Palatino Linotype"/>
          <w:sz w:val="22"/>
          <w:szCs w:val="22"/>
        </w:rPr>
        <w:t>entregar vía Sistema de Accesos a la Información Mexiquense (SAIMEX), de ser procedente en versión pública, la siguiente información:</w:t>
      </w:r>
    </w:p>
    <w:p w14:paraId="053BA2E8" w14:textId="77777777" w:rsidR="00393E7E" w:rsidRPr="00823F54" w:rsidRDefault="00393E7E" w:rsidP="00393E7E">
      <w:pPr>
        <w:spacing w:line="360" w:lineRule="auto"/>
        <w:ind w:right="48"/>
        <w:jc w:val="both"/>
        <w:rPr>
          <w:rFonts w:ascii="Palatino Linotype" w:eastAsia="Palatino Linotype" w:hAnsi="Palatino Linotype" w:cs="Palatino Linotype"/>
          <w:sz w:val="22"/>
          <w:szCs w:val="22"/>
        </w:rPr>
      </w:pPr>
    </w:p>
    <w:p w14:paraId="5BE562EA" w14:textId="77777777" w:rsidR="00393E7E" w:rsidRDefault="00393E7E" w:rsidP="00823F54">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823F54">
        <w:rPr>
          <w:rFonts w:ascii="Palatino Linotype" w:eastAsia="Palatino Linotype" w:hAnsi="Palatino Linotype" w:cs="Palatino Linotype"/>
          <w:b/>
          <w:color w:val="000000"/>
          <w:sz w:val="22"/>
          <w:szCs w:val="22"/>
        </w:rPr>
        <w:t xml:space="preserve">Soporte documental donde consten las </w:t>
      </w:r>
      <w:r w:rsidR="00823F54" w:rsidRPr="00823F54">
        <w:rPr>
          <w:rFonts w:ascii="Palatino Linotype" w:eastAsia="Palatino Linotype" w:hAnsi="Palatino Linotype" w:cs="Palatino Linotype"/>
          <w:b/>
          <w:color w:val="000000"/>
          <w:sz w:val="22"/>
          <w:szCs w:val="22"/>
        </w:rPr>
        <w:t>remuneraciones de los mandos medios y superiores del Ayuntamiento de Toluca, correspondientes al ej</w:t>
      </w:r>
      <w:r w:rsidR="00835F99">
        <w:rPr>
          <w:rFonts w:ascii="Palatino Linotype" w:eastAsia="Palatino Linotype" w:hAnsi="Palatino Linotype" w:cs="Palatino Linotype"/>
          <w:b/>
          <w:color w:val="000000"/>
          <w:sz w:val="22"/>
          <w:szCs w:val="22"/>
        </w:rPr>
        <w:t>ercicio fiscal 2020, 2021, 2022 y 2023.</w:t>
      </w:r>
    </w:p>
    <w:p w14:paraId="0A109389" w14:textId="77777777" w:rsidR="00393E7E" w:rsidRPr="00823F54" w:rsidRDefault="00393E7E" w:rsidP="00393E7E">
      <w:pPr>
        <w:spacing w:line="360" w:lineRule="auto"/>
        <w:ind w:right="567"/>
        <w:jc w:val="both"/>
        <w:rPr>
          <w:rFonts w:ascii="Palatino Linotype" w:eastAsia="Palatino Linotype" w:hAnsi="Palatino Linotype" w:cs="Palatino Linotype"/>
          <w:b/>
          <w:color w:val="000000"/>
          <w:sz w:val="22"/>
          <w:szCs w:val="22"/>
        </w:rPr>
      </w:pPr>
      <w:bookmarkStart w:id="15" w:name="_heading=h.26in1rg" w:colFirst="0" w:colLast="0"/>
      <w:bookmarkEnd w:id="15"/>
    </w:p>
    <w:p w14:paraId="38F8B128" w14:textId="77777777" w:rsidR="00393E7E" w:rsidRPr="00823F54" w:rsidRDefault="00393E7E" w:rsidP="00393E7E">
      <w:pPr>
        <w:tabs>
          <w:tab w:val="left" w:pos="8080"/>
        </w:tabs>
        <w:spacing w:line="360" w:lineRule="auto"/>
        <w:ind w:right="48"/>
        <w:jc w:val="both"/>
        <w:rPr>
          <w:rFonts w:ascii="Palatino Linotype" w:eastAsia="Palatino Linotype" w:hAnsi="Palatino Linotype" w:cs="Palatino Linotype"/>
          <w:b/>
          <w:sz w:val="22"/>
          <w:szCs w:val="22"/>
        </w:rPr>
      </w:pPr>
      <w:r w:rsidRPr="00823F54">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823F54">
        <w:rPr>
          <w:rFonts w:ascii="Palatino Linotype" w:eastAsia="Palatino Linotype" w:hAnsi="Palatino Linotype" w:cs="Palatino Linotype"/>
          <w:b/>
          <w:sz w:val="22"/>
          <w:szCs w:val="22"/>
        </w:rPr>
        <w:t>EL RECURRENTE.</w:t>
      </w:r>
    </w:p>
    <w:p w14:paraId="37B122D3" w14:textId="77777777" w:rsidR="00393E7E" w:rsidRPr="00823F54" w:rsidRDefault="00393E7E" w:rsidP="00393E7E">
      <w:pPr>
        <w:tabs>
          <w:tab w:val="left" w:pos="8080"/>
        </w:tabs>
        <w:spacing w:line="360" w:lineRule="auto"/>
        <w:ind w:right="48"/>
        <w:jc w:val="both"/>
        <w:rPr>
          <w:rFonts w:ascii="Palatino Linotype" w:eastAsia="Palatino Linotype" w:hAnsi="Palatino Linotype" w:cs="Palatino Linotype"/>
          <w:b/>
          <w:sz w:val="22"/>
          <w:szCs w:val="22"/>
        </w:rPr>
      </w:pPr>
    </w:p>
    <w:p w14:paraId="2191C395" w14:textId="77777777" w:rsidR="00393E7E" w:rsidRPr="00823F54" w:rsidRDefault="00393E7E" w:rsidP="00393E7E">
      <w:pPr>
        <w:tabs>
          <w:tab w:val="left" w:pos="8080"/>
        </w:tabs>
        <w:spacing w:line="360" w:lineRule="auto"/>
        <w:ind w:right="48"/>
        <w:jc w:val="both"/>
        <w:rPr>
          <w:rFonts w:ascii="Palatino Linotype" w:eastAsia="Palatino Linotype" w:hAnsi="Palatino Linotype" w:cs="Palatino Linotype"/>
          <w:color w:val="222222"/>
          <w:sz w:val="22"/>
          <w:szCs w:val="22"/>
        </w:rPr>
      </w:pPr>
      <w:r w:rsidRPr="00823F54">
        <w:rPr>
          <w:rFonts w:ascii="Palatino Linotype" w:eastAsia="Palatino Linotype" w:hAnsi="Palatino Linotype" w:cs="Palatino Linotype"/>
          <w:b/>
          <w:sz w:val="22"/>
          <w:szCs w:val="22"/>
        </w:rPr>
        <w:t xml:space="preserve">TERCERO. Notifíquese </w:t>
      </w:r>
      <w:r w:rsidRPr="00823F54">
        <w:rPr>
          <w:rFonts w:ascii="Palatino Linotype" w:eastAsia="Palatino Linotype" w:hAnsi="Palatino Linotype" w:cs="Palatino Linotype"/>
          <w:sz w:val="22"/>
          <w:szCs w:val="22"/>
        </w:rPr>
        <w:t xml:space="preserve">vía </w:t>
      </w:r>
      <w:r w:rsidRPr="00823F54">
        <w:rPr>
          <w:rFonts w:ascii="Palatino Linotype" w:eastAsia="Palatino Linotype" w:hAnsi="Palatino Linotype" w:cs="Palatino Linotype"/>
          <w:b/>
          <w:sz w:val="22"/>
          <w:szCs w:val="22"/>
        </w:rPr>
        <w:t xml:space="preserve">SAIMEX </w:t>
      </w:r>
      <w:r w:rsidRPr="00823F54">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823F54">
        <w:rPr>
          <w:rFonts w:ascii="Palatino Linotype" w:eastAsia="Palatino Linotype" w:hAnsi="Palatino Linotype" w:cs="Palatino Linotype"/>
          <w:sz w:val="22"/>
          <w:szCs w:val="22"/>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08F72E" w14:textId="77777777" w:rsidR="00393E7E" w:rsidRPr="00823F54" w:rsidRDefault="00393E7E" w:rsidP="00393E7E">
      <w:pPr>
        <w:tabs>
          <w:tab w:val="left" w:pos="8080"/>
        </w:tabs>
        <w:spacing w:line="360" w:lineRule="auto"/>
        <w:ind w:right="48"/>
        <w:jc w:val="both"/>
        <w:rPr>
          <w:rFonts w:ascii="Palatino Linotype" w:eastAsia="Palatino Linotype" w:hAnsi="Palatino Linotype" w:cs="Palatino Linotype"/>
          <w:color w:val="222222"/>
          <w:sz w:val="22"/>
          <w:szCs w:val="22"/>
        </w:rPr>
      </w:pPr>
    </w:p>
    <w:p w14:paraId="22FF8790" w14:textId="77777777" w:rsidR="00393E7E" w:rsidRPr="00823F54" w:rsidRDefault="00393E7E" w:rsidP="00393E7E">
      <w:pPr>
        <w:shd w:val="clear" w:color="auto" w:fill="FFFFFF"/>
        <w:spacing w:line="360" w:lineRule="auto"/>
        <w:ind w:right="48"/>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b/>
          <w:sz w:val="22"/>
          <w:szCs w:val="22"/>
        </w:rPr>
        <w:t>CUARTO. Notifíquese al RECURRENTE</w:t>
      </w:r>
      <w:r w:rsidRPr="00823F54">
        <w:rPr>
          <w:rFonts w:ascii="Palatino Linotype" w:eastAsia="Palatino Linotype" w:hAnsi="Palatino Linotype" w:cs="Palatino Linotype"/>
          <w:sz w:val="22"/>
          <w:szCs w:val="22"/>
        </w:rPr>
        <w:t xml:space="preserve"> la presente resolución vía SAIMEX.</w:t>
      </w:r>
    </w:p>
    <w:p w14:paraId="40006FDC" w14:textId="77777777" w:rsidR="00393E7E" w:rsidRPr="00823F54" w:rsidRDefault="00393E7E" w:rsidP="00393E7E">
      <w:pPr>
        <w:shd w:val="clear" w:color="auto" w:fill="FFFFFF"/>
        <w:spacing w:line="360" w:lineRule="auto"/>
        <w:ind w:right="48"/>
        <w:jc w:val="both"/>
        <w:rPr>
          <w:rFonts w:ascii="Palatino Linotype" w:eastAsia="Palatino Linotype" w:hAnsi="Palatino Linotype" w:cs="Palatino Linotype"/>
          <w:b/>
          <w:color w:val="FF0000"/>
          <w:sz w:val="22"/>
          <w:szCs w:val="22"/>
        </w:rPr>
      </w:pPr>
    </w:p>
    <w:p w14:paraId="6BD02EE0" w14:textId="77777777" w:rsidR="00393E7E" w:rsidRPr="00823F54" w:rsidRDefault="00393E7E" w:rsidP="00393E7E">
      <w:pPr>
        <w:spacing w:line="360" w:lineRule="auto"/>
        <w:ind w:right="48"/>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b/>
          <w:sz w:val="22"/>
          <w:szCs w:val="22"/>
        </w:rPr>
        <w:t>QUINTO.</w:t>
      </w:r>
      <w:r w:rsidRPr="00823F54">
        <w:rPr>
          <w:rFonts w:ascii="Palatino Linotype" w:eastAsia="Palatino Linotype" w:hAnsi="Palatino Linotype" w:cs="Palatino Linotype"/>
          <w:sz w:val="22"/>
          <w:szCs w:val="22"/>
        </w:rPr>
        <w:t xml:space="preserve"> Se hace del conocimiento del </w:t>
      </w:r>
      <w:r w:rsidRPr="00823F54">
        <w:rPr>
          <w:rFonts w:ascii="Palatino Linotype" w:eastAsia="Palatino Linotype" w:hAnsi="Palatino Linotype" w:cs="Palatino Linotype"/>
          <w:b/>
          <w:sz w:val="22"/>
          <w:szCs w:val="22"/>
        </w:rPr>
        <w:t>RECURRENTE</w:t>
      </w:r>
      <w:r w:rsidRPr="00823F54">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CA32D0E" w14:textId="77777777" w:rsidR="00393E7E" w:rsidRPr="00823F54" w:rsidRDefault="00393E7E" w:rsidP="00393E7E">
      <w:pPr>
        <w:spacing w:line="360" w:lineRule="auto"/>
        <w:ind w:right="48"/>
        <w:jc w:val="both"/>
        <w:rPr>
          <w:rFonts w:ascii="Palatino Linotype" w:eastAsia="Palatino Linotype" w:hAnsi="Palatino Linotype" w:cs="Palatino Linotype"/>
          <w:color w:val="000000"/>
          <w:sz w:val="22"/>
          <w:szCs w:val="22"/>
        </w:rPr>
      </w:pPr>
    </w:p>
    <w:p w14:paraId="0B04384C" w14:textId="77777777" w:rsidR="00393E7E" w:rsidRPr="00823F54" w:rsidRDefault="00393E7E" w:rsidP="00393E7E">
      <w:pPr>
        <w:spacing w:line="360" w:lineRule="auto"/>
        <w:ind w:right="48"/>
        <w:jc w:val="both"/>
        <w:rPr>
          <w:rFonts w:ascii="Palatino Linotype" w:eastAsia="Palatino Linotype" w:hAnsi="Palatino Linotype" w:cs="Palatino Linotype"/>
          <w:sz w:val="22"/>
          <w:szCs w:val="22"/>
        </w:rPr>
      </w:pPr>
      <w:r w:rsidRPr="00823F54">
        <w:rPr>
          <w:rFonts w:ascii="Palatino Linotype" w:eastAsia="Palatino Linotype" w:hAnsi="Palatino Linotype" w:cs="Palatino Linotype"/>
          <w:b/>
          <w:color w:val="000000"/>
          <w:sz w:val="22"/>
          <w:szCs w:val="22"/>
        </w:rPr>
        <w:t xml:space="preserve">SEXTO. </w:t>
      </w:r>
      <w:r w:rsidRPr="00823F54">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BF076A7" w14:textId="77777777" w:rsidR="00393E7E" w:rsidRPr="00823F54" w:rsidRDefault="00393E7E" w:rsidP="00393E7E">
      <w:pPr>
        <w:shd w:val="clear" w:color="auto" w:fill="FFFFFF"/>
        <w:spacing w:line="360" w:lineRule="auto"/>
        <w:jc w:val="both"/>
        <w:rPr>
          <w:rFonts w:ascii="Palatino Linotype" w:eastAsia="Palatino Linotype" w:hAnsi="Palatino Linotype" w:cs="Palatino Linotype"/>
          <w:sz w:val="22"/>
          <w:szCs w:val="22"/>
        </w:rPr>
      </w:pPr>
    </w:p>
    <w:p w14:paraId="1304C39B" w14:textId="77777777" w:rsidR="00B83C8E" w:rsidRDefault="00435C2D" w:rsidP="00435C2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31A74">
        <w:rPr>
          <w:rFonts w:ascii="Palatino Linotype" w:hAnsi="Palatino Linotype"/>
        </w:rPr>
        <w:t xml:space="preserve"> EMITIENDO VOTO PARTICULAR</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 xml:space="preserve">(13) DE </w:t>
      </w:r>
      <w:r>
        <w:rPr>
          <w:rFonts w:ascii="Palatino Linotype" w:hAnsi="Palatino Linotype"/>
        </w:rPr>
        <w:lastRenderedPageBreak/>
        <w:t>NOVIEMBRE</w:t>
      </w:r>
      <w:r w:rsidRPr="003C7186">
        <w:rPr>
          <w:rFonts w:ascii="Palatino Linotype" w:hAnsi="Palatino Linotype"/>
        </w:rPr>
        <w:t xml:space="preserve"> DE DOS MIL VEINTICUATRO, ANTE EL SECRETARIO TÉCNICO DEL PLENO ALEXIS TAPIA RAMÍREZ. </w:t>
      </w:r>
    </w:p>
    <w:p w14:paraId="38D0CA1B" w14:textId="77777777" w:rsidR="00B83C8E" w:rsidRDefault="00B83C8E">
      <w:pPr>
        <w:spacing w:after="160" w:line="259" w:lineRule="auto"/>
        <w:rPr>
          <w:rFonts w:ascii="Palatino Linotype" w:hAnsi="Palatino Linotype"/>
        </w:rPr>
      </w:pPr>
      <w:r>
        <w:rPr>
          <w:rFonts w:ascii="Palatino Linotype" w:hAnsi="Palatino Linotype"/>
        </w:rPr>
        <w:br w:type="page"/>
      </w:r>
    </w:p>
    <w:p w14:paraId="3CE63B82" w14:textId="77777777" w:rsidR="00435C2D" w:rsidRPr="003C7186" w:rsidRDefault="00435C2D" w:rsidP="00435C2D">
      <w:pPr>
        <w:spacing w:line="360" w:lineRule="auto"/>
        <w:ind w:left="-142" w:right="-234" w:firstLine="1"/>
        <w:jc w:val="both"/>
        <w:rPr>
          <w:rFonts w:ascii="Palatino Linotype" w:hAnsi="Palatino Linotype"/>
        </w:rPr>
      </w:pPr>
    </w:p>
    <w:p w14:paraId="6785D1ED" w14:textId="77777777" w:rsidR="00435C2D" w:rsidRPr="00902BA4" w:rsidRDefault="00435C2D" w:rsidP="00435C2D">
      <w:pPr>
        <w:widowControl w:val="0"/>
        <w:autoSpaceDE w:val="0"/>
        <w:autoSpaceDN w:val="0"/>
        <w:adjustRightInd w:val="0"/>
        <w:spacing w:after="200" w:line="276" w:lineRule="auto"/>
        <w:ind w:left="-142" w:right="-234"/>
        <w:rPr>
          <w:rFonts w:ascii="Calibri" w:hAnsi="Calibri" w:cs="Calibri"/>
        </w:rPr>
      </w:pPr>
    </w:p>
    <w:p w14:paraId="13D359ED" w14:textId="77777777" w:rsidR="004F715A" w:rsidRPr="00823F54" w:rsidRDefault="004F715A">
      <w:pPr>
        <w:rPr>
          <w:sz w:val="22"/>
          <w:szCs w:val="22"/>
        </w:rPr>
      </w:pPr>
    </w:p>
    <w:sectPr w:rsidR="004F715A" w:rsidRPr="00823F54">
      <w:headerReference w:type="even" r:id="rId21"/>
      <w:headerReference w:type="default" r:id="rId22"/>
      <w:footerReference w:type="default" r:id="rId23"/>
      <w:headerReference w:type="first" r:id="rId24"/>
      <w:footerReference w:type="first" r:id="rId2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8638" w14:textId="77777777" w:rsidR="00852AC5" w:rsidRDefault="00852AC5" w:rsidP="00393E7E">
      <w:r>
        <w:separator/>
      </w:r>
    </w:p>
  </w:endnote>
  <w:endnote w:type="continuationSeparator" w:id="0">
    <w:p w14:paraId="5EAE13FA" w14:textId="77777777" w:rsidR="00852AC5" w:rsidRDefault="00852AC5" w:rsidP="0039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3CD" w14:textId="77777777" w:rsidR="00BF7162" w:rsidRDefault="00BF716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34A17">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34A17">
      <w:rPr>
        <w:b/>
        <w:noProof/>
        <w:color w:val="000000"/>
      </w:rPr>
      <w:t>41</w:t>
    </w:r>
    <w:r>
      <w:rPr>
        <w:b/>
        <w:color w:val="000000"/>
      </w:rPr>
      <w:fldChar w:fldCharType="end"/>
    </w:r>
  </w:p>
  <w:p w14:paraId="6810A395" w14:textId="77777777" w:rsidR="00BF7162" w:rsidRDefault="00BF716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3C68" w14:textId="77777777" w:rsidR="00BF7162" w:rsidRDefault="00BF716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34A1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34A17">
      <w:rPr>
        <w:b/>
        <w:noProof/>
        <w:color w:val="000000"/>
      </w:rPr>
      <w:t>41</w:t>
    </w:r>
    <w:r>
      <w:rPr>
        <w:b/>
        <w:color w:val="000000"/>
      </w:rPr>
      <w:fldChar w:fldCharType="end"/>
    </w:r>
  </w:p>
  <w:p w14:paraId="72872E81" w14:textId="77777777" w:rsidR="00BF7162" w:rsidRDefault="00BF716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E335" w14:textId="77777777" w:rsidR="00852AC5" w:rsidRDefault="00852AC5" w:rsidP="00393E7E">
      <w:r>
        <w:separator/>
      </w:r>
    </w:p>
  </w:footnote>
  <w:footnote w:type="continuationSeparator" w:id="0">
    <w:p w14:paraId="067D8BA7" w14:textId="77777777" w:rsidR="00852AC5" w:rsidRDefault="00852AC5" w:rsidP="00393E7E">
      <w:r>
        <w:continuationSeparator/>
      </w:r>
    </w:p>
  </w:footnote>
  <w:footnote w:id="1">
    <w:p w14:paraId="4C85871D" w14:textId="77777777" w:rsidR="00BF7162" w:rsidRDefault="00BF7162" w:rsidP="00393E7E">
      <w:pPr>
        <w:pStyle w:val="Textonotapie"/>
        <w:jc w:val="both"/>
      </w:pPr>
      <w:r>
        <w:rPr>
          <w:rStyle w:val="Refdenotaalpie"/>
        </w:rPr>
        <w:footnoteRef/>
      </w:r>
      <w:r>
        <w:t xml:space="preserve"> Artículo 156. Ley de Transparencia y Acceso a la Información Pública del Estado de México y Municipios. Cuando el particular presente su solicitud por medios electrónicos a través de la Plataforma Nacional o la plataforma que para tales efectos habilite el Instituto, se entenderá que acepta que las notificaciones le sean efectuadas por dicho sistema, salvo que señale un medio distinto para efectos de las notificaciones. 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w:t>
      </w:r>
    </w:p>
  </w:footnote>
  <w:footnote w:id="2">
    <w:p w14:paraId="399D2FD0" w14:textId="77777777" w:rsidR="00BF7162" w:rsidRPr="00547FFB" w:rsidRDefault="00BF7162" w:rsidP="004D20D7">
      <w:pPr>
        <w:autoSpaceDE w:val="0"/>
        <w:autoSpaceDN w:val="0"/>
        <w:adjustRightInd w:val="0"/>
        <w:jc w:val="both"/>
        <w:rPr>
          <w:sz w:val="20"/>
          <w:szCs w:val="20"/>
        </w:rPr>
      </w:pPr>
      <w:r>
        <w:rPr>
          <w:rStyle w:val="Refdenotaalpie"/>
        </w:rPr>
        <w:footnoteRef/>
      </w:r>
      <w:r>
        <w:t xml:space="preserve"> </w:t>
      </w:r>
      <w:r w:rsidRPr="00547FFB">
        <w:rPr>
          <w:rFonts w:cs="Bookman Old Style,Bold"/>
          <w:b/>
          <w:bCs/>
          <w:sz w:val="20"/>
          <w:szCs w:val="20"/>
        </w:rPr>
        <w:t xml:space="preserve">Artículo 13. </w:t>
      </w:r>
      <w:r w:rsidRPr="00547FFB">
        <w:rPr>
          <w:rFonts w:cs="Bookman Old Style"/>
          <w:sz w:val="20"/>
          <w:szCs w:val="20"/>
        </w:rPr>
        <w:t>El Instituto, en el ámbito de sus atribuciones, deberá suplir cualquier deficiencia para garantizar el ejercicio del derecho de acceso a la información.</w:t>
      </w:r>
    </w:p>
  </w:footnote>
  <w:footnote w:id="3">
    <w:p w14:paraId="5E4014F4" w14:textId="77777777" w:rsidR="00BF7162" w:rsidRPr="00547FFB" w:rsidRDefault="00BF7162" w:rsidP="004D20D7">
      <w:pPr>
        <w:autoSpaceDE w:val="0"/>
        <w:autoSpaceDN w:val="0"/>
        <w:adjustRightInd w:val="0"/>
        <w:jc w:val="both"/>
        <w:rPr>
          <w:sz w:val="20"/>
          <w:szCs w:val="20"/>
        </w:rPr>
      </w:pPr>
      <w:r w:rsidRPr="00547FFB">
        <w:rPr>
          <w:rStyle w:val="Refdenotaalpie"/>
          <w:b/>
          <w:sz w:val="20"/>
          <w:szCs w:val="20"/>
        </w:rPr>
        <w:footnoteRef/>
      </w:r>
      <w:r w:rsidRPr="00547FFB">
        <w:rPr>
          <w:b/>
          <w:sz w:val="20"/>
          <w:szCs w:val="20"/>
        </w:rPr>
        <w:t xml:space="preserve"> Artículo 181</w:t>
      </w:r>
      <w:r w:rsidRPr="00547FFB">
        <w:rPr>
          <w:sz w:val="20"/>
          <w:szCs w:val="20"/>
        </w:rPr>
        <w:t>. …</w:t>
      </w:r>
    </w:p>
    <w:p w14:paraId="5B70BF0A" w14:textId="77777777" w:rsidR="00BF7162" w:rsidRPr="00547FFB" w:rsidRDefault="00BF7162" w:rsidP="004D20D7">
      <w:pPr>
        <w:autoSpaceDE w:val="0"/>
        <w:autoSpaceDN w:val="0"/>
        <w:adjustRightInd w:val="0"/>
        <w:jc w:val="both"/>
        <w:rPr>
          <w:sz w:val="20"/>
          <w:szCs w:val="20"/>
        </w:rPr>
      </w:pPr>
      <w:r w:rsidRPr="00547FFB">
        <w:rPr>
          <w:sz w:val="20"/>
          <w:szCs w:val="20"/>
        </w:rPr>
        <w:t>…</w:t>
      </w:r>
    </w:p>
    <w:p w14:paraId="0F5DB9C7" w14:textId="77777777" w:rsidR="00BF7162" w:rsidRDefault="00BF7162" w:rsidP="004D20D7">
      <w:pPr>
        <w:autoSpaceDE w:val="0"/>
        <w:autoSpaceDN w:val="0"/>
        <w:adjustRightInd w:val="0"/>
        <w:jc w:val="both"/>
      </w:pPr>
      <w:r w:rsidRPr="00547FFB">
        <w:rPr>
          <w:rFonts w:cs="Bookman Old Style"/>
          <w:sz w:val="20"/>
          <w:szCs w:val="20"/>
        </w:rPr>
        <w:t>Durante el procedimiento deberá aplicarse la suplencia de la queja a favor del recurrente, sin cambiar los hechos expuestos, asegurándose de que las partes puedan presentar, de manera oral o escrita, los argumentos que funden y motiven sus pretensiones.</w:t>
      </w:r>
    </w:p>
  </w:footnote>
  <w:footnote w:id="4">
    <w:p w14:paraId="19ACC44A" w14:textId="77777777" w:rsidR="00BF7162" w:rsidRDefault="00BF7162" w:rsidP="00393E7E">
      <w:pPr>
        <w:pStyle w:val="Textonotapie"/>
      </w:pPr>
      <w:r>
        <w:rPr>
          <w:rStyle w:val="Refdenotaalpie"/>
        </w:rPr>
        <w:footnoteRef/>
      </w:r>
      <w:r>
        <w:t xml:space="preserve"> </w:t>
      </w:r>
      <w:hyperlink r:id="rId1" w:history="1">
        <w:r w:rsidRPr="008A46CF">
          <w:rPr>
            <w:rStyle w:val="Hipervnculo"/>
          </w:rPr>
          <w:t>https://legislacion.edomex.gob.mx/sites/legislacion.edomex.gob.mx/files/files/pdf/ley/vig/leyvig083.pdf</w:t>
        </w:r>
      </w:hyperlink>
    </w:p>
    <w:p w14:paraId="13F2F8D1" w14:textId="77777777" w:rsidR="00BF7162" w:rsidRDefault="00BF7162" w:rsidP="00393E7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F8DF" w14:textId="77777777" w:rsidR="00BF7162" w:rsidRDefault="00852AC5">
    <w:pPr>
      <w:pBdr>
        <w:top w:val="nil"/>
        <w:left w:val="nil"/>
        <w:bottom w:val="nil"/>
        <w:right w:val="nil"/>
        <w:between w:val="nil"/>
      </w:pBdr>
      <w:tabs>
        <w:tab w:val="center" w:pos="4419"/>
        <w:tab w:val="right" w:pos="8838"/>
      </w:tabs>
      <w:rPr>
        <w:color w:val="000000"/>
      </w:rPr>
    </w:pPr>
    <w:r>
      <w:rPr>
        <w:color w:val="000000"/>
      </w:rPr>
      <w:pict w14:anchorId="104AA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89.8pt;height:768pt;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308F" w14:textId="77777777" w:rsidR="00BF7162" w:rsidRDefault="00BF7162">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BF7162" w14:paraId="7DB470C3" w14:textId="77777777">
      <w:trPr>
        <w:trHeight w:val="1435"/>
      </w:trPr>
      <w:tc>
        <w:tcPr>
          <w:tcW w:w="2268" w:type="dxa"/>
          <w:shd w:val="clear" w:color="auto" w:fill="auto"/>
        </w:tcPr>
        <w:p w14:paraId="75609E4F" w14:textId="77777777" w:rsidR="00BF7162" w:rsidRDefault="00BF7162">
          <w:pPr>
            <w:tabs>
              <w:tab w:val="right" w:pos="4273"/>
            </w:tabs>
            <w:rPr>
              <w:rFonts w:ascii="Garamond" w:eastAsia="Garamond" w:hAnsi="Garamond" w:cs="Garamond"/>
              <w:sz w:val="16"/>
              <w:szCs w:val="16"/>
            </w:rPr>
          </w:pPr>
        </w:p>
      </w:tc>
      <w:tc>
        <w:tcPr>
          <w:tcW w:w="6946" w:type="dxa"/>
          <w:shd w:val="clear" w:color="auto" w:fill="auto"/>
        </w:tcPr>
        <w:p w14:paraId="16A63E07" w14:textId="77777777" w:rsidR="00BF7162" w:rsidRDefault="00BF7162"/>
        <w:tbl>
          <w:tblPr>
            <w:tblW w:w="6662" w:type="dxa"/>
            <w:tblInd w:w="40" w:type="dxa"/>
            <w:tblLayout w:type="fixed"/>
            <w:tblLook w:val="0400" w:firstRow="0" w:lastRow="0" w:firstColumn="0" w:lastColumn="0" w:noHBand="0" w:noVBand="1"/>
          </w:tblPr>
          <w:tblGrid>
            <w:gridCol w:w="2551"/>
            <w:gridCol w:w="4111"/>
          </w:tblGrid>
          <w:tr w:rsidR="00BF7162" w14:paraId="3B6B6AF0" w14:textId="77777777">
            <w:trPr>
              <w:trHeight w:val="150"/>
            </w:trPr>
            <w:tc>
              <w:tcPr>
                <w:tcW w:w="2551" w:type="dxa"/>
                <w:shd w:val="clear" w:color="auto" w:fill="auto"/>
              </w:tcPr>
              <w:p w14:paraId="02A659CE" w14:textId="77777777" w:rsidR="00BF7162" w:rsidRDefault="00BF716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42CFDD59" w14:textId="77777777" w:rsidR="00BF7162" w:rsidRDefault="00BF7162">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03178/INFOEM/IP/RR/2024</w:t>
                </w:r>
              </w:p>
            </w:tc>
          </w:tr>
          <w:tr w:rsidR="00BF7162" w14:paraId="31026F5E" w14:textId="77777777">
            <w:trPr>
              <w:trHeight w:val="295"/>
            </w:trPr>
            <w:tc>
              <w:tcPr>
                <w:tcW w:w="2551" w:type="dxa"/>
                <w:shd w:val="clear" w:color="auto" w:fill="auto"/>
              </w:tcPr>
              <w:p w14:paraId="22F24E3C" w14:textId="77777777" w:rsidR="00BF7162" w:rsidRDefault="00BF716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44B00D7E" w14:textId="77777777" w:rsidR="00BF7162" w:rsidRDefault="00BF7162">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BF7162" w14:paraId="6A65CA0B" w14:textId="77777777">
            <w:trPr>
              <w:trHeight w:val="295"/>
            </w:trPr>
            <w:tc>
              <w:tcPr>
                <w:tcW w:w="2551" w:type="dxa"/>
                <w:shd w:val="clear" w:color="auto" w:fill="auto"/>
              </w:tcPr>
              <w:p w14:paraId="457745C3" w14:textId="77777777" w:rsidR="00BF7162" w:rsidRDefault="00BF716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0BBC10CD" w14:textId="77777777" w:rsidR="00BF7162" w:rsidRDefault="00BF7162">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8DD3C79" w14:textId="77777777" w:rsidR="00BF7162" w:rsidRDefault="00BF7162">
                <w:pPr>
                  <w:tabs>
                    <w:tab w:val="right" w:pos="8838"/>
                  </w:tabs>
                  <w:ind w:left="-108" w:right="171"/>
                  <w:jc w:val="both"/>
                  <w:rPr>
                    <w:rFonts w:ascii="Palatino Linotype" w:eastAsia="Palatino Linotype" w:hAnsi="Palatino Linotype" w:cs="Palatino Linotype"/>
                    <w:b/>
                    <w:sz w:val="22"/>
                    <w:szCs w:val="22"/>
                  </w:rPr>
                </w:pPr>
              </w:p>
            </w:tc>
          </w:tr>
        </w:tbl>
        <w:p w14:paraId="5E04EAE6" w14:textId="77777777" w:rsidR="00BF7162" w:rsidRDefault="00BF7162">
          <w:pPr>
            <w:tabs>
              <w:tab w:val="right" w:pos="8838"/>
            </w:tabs>
            <w:ind w:left="-28"/>
            <w:jc w:val="both"/>
            <w:rPr>
              <w:rFonts w:ascii="Arial" w:eastAsia="Arial" w:hAnsi="Arial" w:cs="Arial"/>
              <w:b/>
              <w:sz w:val="22"/>
              <w:szCs w:val="22"/>
            </w:rPr>
          </w:pPr>
        </w:p>
      </w:tc>
    </w:tr>
  </w:tbl>
  <w:p w14:paraId="0E56E8AC" w14:textId="77777777" w:rsidR="00BF7162" w:rsidRDefault="00852AC5">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B6C2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68.8pt;margin-top:-120.5pt;width:589.8pt;height:768pt;z-index:-25165875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2865" w14:textId="77777777" w:rsidR="00BF7162" w:rsidRDefault="00BF7162">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BF7162" w14:paraId="2BD80875" w14:textId="77777777">
      <w:trPr>
        <w:trHeight w:val="1435"/>
      </w:trPr>
      <w:tc>
        <w:tcPr>
          <w:tcW w:w="2268" w:type="dxa"/>
          <w:shd w:val="clear" w:color="auto" w:fill="auto"/>
        </w:tcPr>
        <w:p w14:paraId="2FC47F5D" w14:textId="77777777" w:rsidR="00BF7162" w:rsidRDefault="00BF7162">
          <w:pPr>
            <w:tabs>
              <w:tab w:val="right" w:pos="4273"/>
            </w:tabs>
            <w:rPr>
              <w:rFonts w:ascii="Garamond" w:eastAsia="Garamond" w:hAnsi="Garamond" w:cs="Garamond"/>
              <w:sz w:val="22"/>
              <w:szCs w:val="22"/>
            </w:rPr>
          </w:pPr>
        </w:p>
      </w:tc>
      <w:tc>
        <w:tcPr>
          <w:tcW w:w="6804" w:type="dxa"/>
          <w:shd w:val="clear" w:color="auto" w:fill="auto"/>
        </w:tcPr>
        <w:p w14:paraId="2056D001" w14:textId="77777777" w:rsidR="00BF7162" w:rsidRDefault="00BF7162">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BF7162" w14:paraId="7CBD2D44" w14:textId="77777777">
            <w:trPr>
              <w:trHeight w:val="144"/>
            </w:trPr>
            <w:tc>
              <w:tcPr>
                <w:tcW w:w="2444" w:type="dxa"/>
                <w:shd w:val="clear" w:color="auto" w:fill="auto"/>
              </w:tcPr>
              <w:p w14:paraId="3D767933" w14:textId="77777777" w:rsidR="00BF7162" w:rsidRDefault="00BF7162">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05147445" w14:textId="77777777" w:rsidR="00BF7162" w:rsidRDefault="00BF7162">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03178/INFOEM/IP/RR/2024</w:t>
                </w:r>
              </w:p>
            </w:tc>
          </w:tr>
          <w:tr w:rsidR="00BF7162" w14:paraId="3ABE48BE" w14:textId="77777777">
            <w:trPr>
              <w:trHeight w:val="144"/>
            </w:trPr>
            <w:tc>
              <w:tcPr>
                <w:tcW w:w="2444" w:type="dxa"/>
                <w:shd w:val="clear" w:color="auto" w:fill="auto"/>
              </w:tcPr>
              <w:p w14:paraId="007E7E5F" w14:textId="77777777" w:rsidR="00BF7162" w:rsidRDefault="00BF716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0FC2AEF3" w14:textId="1C5E8137" w:rsidR="00BF7162" w:rsidRPr="00393E7E" w:rsidRDefault="00C91E22">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 XXX</w:t>
                </w:r>
              </w:p>
            </w:tc>
          </w:tr>
          <w:tr w:rsidR="00BF7162" w14:paraId="7BCE86B6" w14:textId="77777777">
            <w:trPr>
              <w:trHeight w:val="283"/>
            </w:trPr>
            <w:tc>
              <w:tcPr>
                <w:tcW w:w="2444" w:type="dxa"/>
                <w:shd w:val="clear" w:color="auto" w:fill="auto"/>
              </w:tcPr>
              <w:p w14:paraId="30F9634C" w14:textId="77777777" w:rsidR="00BF7162" w:rsidRDefault="00BF716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6A633AAA" w14:textId="77777777" w:rsidR="00BF7162" w:rsidRPr="00005320" w:rsidRDefault="00BF7162">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BF7162" w14:paraId="0809A8B5" w14:textId="77777777">
            <w:trPr>
              <w:trHeight w:val="283"/>
            </w:trPr>
            <w:tc>
              <w:tcPr>
                <w:tcW w:w="2444" w:type="dxa"/>
                <w:shd w:val="clear" w:color="auto" w:fill="auto"/>
              </w:tcPr>
              <w:p w14:paraId="3D12F718" w14:textId="77777777" w:rsidR="00BF7162" w:rsidRDefault="00BF716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1B9E1AAE" w14:textId="77777777" w:rsidR="00BF7162" w:rsidRDefault="00BF7162">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B723937" w14:textId="77777777" w:rsidR="00BF7162" w:rsidRDefault="00BF7162">
                <w:pPr>
                  <w:tabs>
                    <w:tab w:val="right" w:pos="8838"/>
                  </w:tabs>
                  <w:ind w:left="-74" w:right="-105"/>
                  <w:jc w:val="both"/>
                  <w:rPr>
                    <w:rFonts w:ascii="Palatino Linotype" w:eastAsia="Palatino Linotype" w:hAnsi="Palatino Linotype" w:cs="Palatino Linotype"/>
                    <w:b/>
                    <w:sz w:val="22"/>
                    <w:szCs w:val="22"/>
                  </w:rPr>
                </w:pPr>
              </w:p>
            </w:tc>
          </w:tr>
        </w:tbl>
        <w:p w14:paraId="7599E44B" w14:textId="77777777" w:rsidR="00BF7162" w:rsidRDefault="00BF7162">
          <w:pPr>
            <w:tabs>
              <w:tab w:val="right" w:pos="8838"/>
            </w:tabs>
            <w:ind w:left="-28"/>
            <w:jc w:val="both"/>
            <w:rPr>
              <w:rFonts w:ascii="Arial" w:eastAsia="Arial" w:hAnsi="Arial" w:cs="Arial"/>
              <w:b/>
              <w:sz w:val="22"/>
              <w:szCs w:val="22"/>
            </w:rPr>
          </w:pPr>
        </w:p>
      </w:tc>
    </w:tr>
  </w:tbl>
  <w:p w14:paraId="19C94A0C" w14:textId="77777777" w:rsidR="00BF7162" w:rsidRDefault="00852AC5">
    <w:pPr>
      <w:pBdr>
        <w:top w:val="nil"/>
        <w:left w:val="nil"/>
        <w:bottom w:val="nil"/>
        <w:right w:val="nil"/>
        <w:between w:val="nil"/>
      </w:pBdr>
      <w:tabs>
        <w:tab w:val="center" w:pos="4419"/>
        <w:tab w:val="right" w:pos="8838"/>
      </w:tabs>
      <w:rPr>
        <w:color w:val="000000"/>
        <w:sz w:val="2"/>
        <w:szCs w:val="2"/>
      </w:rPr>
    </w:pPr>
    <w:r>
      <w:rPr>
        <w:color w:val="000000"/>
        <w:sz w:val="2"/>
        <w:szCs w:val="2"/>
      </w:rPr>
      <w:pict w14:anchorId="1ECD7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410"/>
    <w:multiLevelType w:val="hybridMultilevel"/>
    <w:tmpl w:val="36EAF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C41E9"/>
    <w:multiLevelType w:val="multilevel"/>
    <w:tmpl w:val="AB0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2297F"/>
    <w:multiLevelType w:val="multilevel"/>
    <w:tmpl w:val="671C1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D6F45"/>
    <w:multiLevelType w:val="hybridMultilevel"/>
    <w:tmpl w:val="9D3C8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B20654"/>
    <w:multiLevelType w:val="hybridMultilevel"/>
    <w:tmpl w:val="6200E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C44780"/>
    <w:multiLevelType w:val="hybridMultilevel"/>
    <w:tmpl w:val="1F927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6D07D2"/>
    <w:multiLevelType w:val="hybridMultilevel"/>
    <w:tmpl w:val="7166D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487C85"/>
    <w:multiLevelType w:val="multilevel"/>
    <w:tmpl w:val="8D7EB0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FF29AB"/>
    <w:multiLevelType w:val="hybridMultilevel"/>
    <w:tmpl w:val="9E780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E62FC2"/>
    <w:multiLevelType w:val="hybridMultilevel"/>
    <w:tmpl w:val="BF84D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8532306">
    <w:abstractNumId w:val="13"/>
  </w:num>
  <w:num w:numId="2" w16cid:durableId="40442972">
    <w:abstractNumId w:val="2"/>
  </w:num>
  <w:num w:numId="3" w16cid:durableId="1711103905">
    <w:abstractNumId w:val="9"/>
  </w:num>
  <w:num w:numId="4" w16cid:durableId="1621184485">
    <w:abstractNumId w:val="8"/>
  </w:num>
  <w:num w:numId="5" w16cid:durableId="1443303067">
    <w:abstractNumId w:val="11"/>
  </w:num>
  <w:num w:numId="6" w16cid:durableId="554508889">
    <w:abstractNumId w:val="3"/>
  </w:num>
  <w:num w:numId="7" w16cid:durableId="372509065">
    <w:abstractNumId w:val="4"/>
  </w:num>
  <w:num w:numId="8" w16cid:durableId="826436832">
    <w:abstractNumId w:val="6"/>
  </w:num>
  <w:num w:numId="9" w16cid:durableId="2023242973">
    <w:abstractNumId w:val="12"/>
  </w:num>
  <w:num w:numId="10" w16cid:durableId="433092165">
    <w:abstractNumId w:val="0"/>
  </w:num>
  <w:num w:numId="11" w16cid:durableId="1376612666">
    <w:abstractNumId w:val="14"/>
  </w:num>
  <w:num w:numId="12" w16cid:durableId="1508208820">
    <w:abstractNumId w:val="10"/>
  </w:num>
  <w:num w:numId="13" w16cid:durableId="232155927">
    <w:abstractNumId w:val="1"/>
  </w:num>
  <w:num w:numId="14" w16cid:durableId="1423725414">
    <w:abstractNumId w:val="5"/>
  </w:num>
  <w:num w:numId="15" w16cid:durableId="1593199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7E"/>
    <w:rsid w:val="00025ED1"/>
    <w:rsid w:val="00097910"/>
    <w:rsid w:val="00134A17"/>
    <w:rsid w:val="00393E7E"/>
    <w:rsid w:val="00435C2D"/>
    <w:rsid w:val="004A2500"/>
    <w:rsid w:val="004D20D7"/>
    <w:rsid w:val="004F715A"/>
    <w:rsid w:val="00606BEC"/>
    <w:rsid w:val="00637989"/>
    <w:rsid w:val="007D6DB5"/>
    <w:rsid w:val="008011FB"/>
    <w:rsid w:val="00823F54"/>
    <w:rsid w:val="00831835"/>
    <w:rsid w:val="00832C78"/>
    <w:rsid w:val="00835F99"/>
    <w:rsid w:val="00852AC5"/>
    <w:rsid w:val="008E5786"/>
    <w:rsid w:val="00962B78"/>
    <w:rsid w:val="00981785"/>
    <w:rsid w:val="00AA6C3E"/>
    <w:rsid w:val="00B31A74"/>
    <w:rsid w:val="00B83C8E"/>
    <w:rsid w:val="00BC7AA0"/>
    <w:rsid w:val="00BF7162"/>
    <w:rsid w:val="00C57458"/>
    <w:rsid w:val="00C871FE"/>
    <w:rsid w:val="00C91E22"/>
    <w:rsid w:val="00D01A94"/>
    <w:rsid w:val="00D17BF7"/>
    <w:rsid w:val="00D2522B"/>
    <w:rsid w:val="00F85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E478"/>
  <w15:chartTrackingRefBased/>
  <w15:docId w15:val="{845C3D93-63E6-4218-9EE0-B5A8FB22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E7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93E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93E7E"/>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3E7E"/>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393E7E"/>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93E7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93E7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93E7E"/>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93E7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93E7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93E7E"/>
    <w:rPr>
      <w:vertAlign w:val="superscript"/>
    </w:rPr>
  </w:style>
  <w:style w:type="paragraph" w:styleId="Piedepgina">
    <w:name w:val="footer"/>
    <w:basedOn w:val="Normal"/>
    <w:link w:val="PiedepginaCar"/>
    <w:uiPriority w:val="99"/>
    <w:unhideWhenUsed/>
    <w:rsid w:val="00393E7E"/>
    <w:pPr>
      <w:tabs>
        <w:tab w:val="center" w:pos="4419"/>
        <w:tab w:val="right" w:pos="8838"/>
      </w:tabs>
    </w:pPr>
  </w:style>
  <w:style w:type="character" w:customStyle="1" w:styleId="PiedepginaCar">
    <w:name w:val="Pie de página Car"/>
    <w:basedOn w:val="Fuentedeprrafopredeter"/>
    <w:link w:val="Piedepgina"/>
    <w:uiPriority w:val="99"/>
    <w:rsid w:val="00393E7E"/>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465">
      <w:bodyDiv w:val="1"/>
      <w:marLeft w:val="0"/>
      <w:marRight w:val="0"/>
      <w:marTop w:val="0"/>
      <w:marBottom w:val="0"/>
      <w:divBdr>
        <w:top w:val="none" w:sz="0" w:space="0" w:color="auto"/>
        <w:left w:val="none" w:sz="0" w:space="0" w:color="auto"/>
        <w:bottom w:val="none" w:sz="0" w:space="0" w:color="auto"/>
        <w:right w:val="none" w:sz="0" w:space="0" w:color="auto"/>
      </w:divBdr>
    </w:div>
    <w:div w:id="646713321">
      <w:bodyDiv w:val="1"/>
      <w:marLeft w:val="0"/>
      <w:marRight w:val="0"/>
      <w:marTop w:val="0"/>
      <w:marBottom w:val="0"/>
      <w:divBdr>
        <w:top w:val="none" w:sz="0" w:space="0" w:color="auto"/>
        <w:left w:val="none" w:sz="0" w:space="0" w:color="auto"/>
        <w:bottom w:val="none" w:sz="0" w:space="0" w:color="auto"/>
        <w:right w:val="none" w:sz="0" w:space="0" w:color="auto"/>
      </w:divBdr>
    </w:div>
    <w:div w:id="14725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87499.page" TargetMode="External"/><Relationship Id="rId13" Type="http://schemas.openxmlformats.org/officeDocument/2006/relationships/hyperlink" Target="https://saimex.org.mx/saimex/solicitud/downloadAttach/2106917.page"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aimex.org.mx/saimex/solicitud/downloadAttach/2087498.page" TargetMode="External"/><Relationship Id="rId12" Type="http://schemas.openxmlformats.org/officeDocument/2006/relationships/hyperlink" Target="https://saimex.org.mx/saimex/solicitud/downloadAttach/2106916.page"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106915.pag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aimex.org.mx/saimex/solicitud/downloadAttach/2122585.page" TargetMode="External"/><Relationship Id="rId23" Type="http://schemas.openxmlformats.org/officeDocument/2006/relationships/footer" Target="footer1.xml"/><Relationship Id="rId10" Type="http://schemas.openxmlformats.org/officeDocument/2006/relationships/hyperlink" Target="https://saimex.org.mx/saimex/solicitud/downloadAttach/2087501.page" TargetMode="External"/><Relationship Id="rId19" Type="http://schemas.openxmlformats.org/officeDocument/2006/relationships/hyperlink" Target="http://dof.gob.mx/nota_detalle.php?codigo=5492254&amp;fecha=28/07/2017" TargetMode="External"/><Relationship Id="rId4" Type="http://schemas.openxmlformats.org/officeDocument/2006/relationships/webSettings" Target="webSettings.xml"/><Relationship Id="rId9" Type="http://schemas.openxmlformats.org/officeDocument/2006/relationships/hyperlink" Target="https://saimex.org.mx/saimex/solicitud/downloadAttach/2087500.page" TargetMode="External"/><Relationship Id="rId14" Type="http://schemas.openxmlformats.org/officeDocument/2006/relationships/hyperlink" Target="https://saimex.org.mx/saimex/solicitud/downloadAttach/2108363.page"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42</Pages>
  <Words>9637</Words>
  <Characters>53009</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12</cp:revision>
  <cp:lastPrinted>2024-11-14T23:29:00Z</cp:lastPrinted>
  <dcterms:created xsi:type="dcterms:W3CDTF">2024-11-05T22:56:00Z</dcterms:created>
  <dcterms:modified xsi:type="dcterms:W3CDTF">2024-11-27T20:20:00Z</dcterms:modified>
</cp:coreProperties>
</file>