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seis de noviembre de dos mil veinticuatro. </w:t>
      </w:r>
    </w:p>
    <w:p w:rsidR="00000000" w:rsidDel="00000000" w:rsidP="00000000" w:rsidRDefault="00000000" w:rsidRPr="00000000" w14:paraId="00000003">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VISTOS </w:t>
      </w:r>
      <w:r w:rsidDel="00000000" w:rsidR="00000000" w:rsidRPr="00000000">
        <w:rPr>
          <w:rFonts w:ascii="Palatino Linotype" w:cs="Palatino Linotype" w:eastAsia="Palatino Linotype" w:hAnsi="Palatino Linotype"/>
          <w:rtl w:val="0"/>
        </w:rPr>
        <w:t xml:space="preserve">los expedientes relativos a los recursos de revisión </w:t>
      </w:r>
      <w:r w:rsidDel="00000000" w:rsidR="00000000" w:rsidRPr="00000000">
        <w:rPr>
          <w:rFonts w:ascii="Palatino Linotype" w:cs="Palatino Linotype" w:eastAsia="Palatino Linotype" w:hAnsi="Palatino Linotype"/>
          <w:b w:val="1"/>
          <w:rtl w:val="0"/>
        </w:rPr>
        <w:t xml:space="preserve">05874/INFOEM/IP/RR/2024</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y 05875/INFOEM/IP/RR/2024 acumulados, </w:t>
      </w:r>
      <w:r w:rsidDel="00000000" w:rsidR="00000000" w:rsidRPr="00000000">
        <w:rPr>
          <w:rFonts w:ascii="Palatino Linotype" w:cs="Palatino Linotype" w:eastAsia="Palatino Linotype" w:hAnsi="Palatino Linotype"/>
          <w:rtl w:val="0"/>
        </w:rPr>
        <w:t xml:space="preserve">interpuestos por </w:t>
      </w:r>
      <w:r w:rsidDel="00000000" w:rsidR="00000000" w:rsidRPr="00000000">
        <w:rPr>
          <w:rFonts w:ascii="Palatino Linotype" w:cs="Palatino Linotype" w:eastAsia="Palatino Linotype" w:hAnsi="Palatino Linotype"/>
          <w:b w:val="1"/>
          <w:rtl w:val="0"/>
        </w:rPr>
        <w:t xml:space="preserve">una persona usuaria del Sistema de Acceso a la Información Mexiquense</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sus solicitudes de información por parte del </w:t>
      </w:r>
      <w:r w:rsidDel="00000000" w:rsidR="00000000" w:rsidRPr="00000000">
        <w:rPr>
          <w:rFonts w:ascii="Palatino Linotype" w:cs="Palatino Linotype" w:eastAsia="Palatino Linotype" w:hAnsi="Palatino Linotype"/>
          <w:b w:val="1"/>
          <w:rtl w:val="0"/>
        </w:rPr>
        <w:t xml:space="preserve">Ayuntamiento de Tezoyuca</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w:t>
      </w:r>
    </w:p>
    <w:p w:rsidR="00000000" w:rsidDel="00000000" w:rsidP="00000000" w:rsidRDefault="00000000" w:rsidRPr="00000000" w14:paraId="0000000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6">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Solicitudes de Acceso a la Información.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diecisiete de septiembre de dos mil veinticuatro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solicitudes de acceso a información pública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las que requirió lo siguiente:</w:t>
      </w:r>
    </w:p>
    <w:p w:rsidR="00000000" w:rsidDel="00000000" w:rsidP="00000000" w:rsidRDefault="00000000" w:rsidRPr="00000000" w14:paraId="00000009">
      <w:pPr>
        <w:spacing w:after="0" w:line="360" w:lineRule="auto"/>
        <w:jc w:val="both"/>
        <w:rPr>
          <w:rFonts w:ascii="Palatino Linotype" w:cs="Palatino Linotype" w:eastAsia="Palatino Linotype" w:hAnsi="Palatino Linotype"/>
        </w:rPr>
      </w:pPr>
      <w:r w:rsidDel="00000000" w:rsidR="00000000" w:rsidRPr="00000000">
        <w:rPr>
          <w:rtl w:val="0"/>
        </w:rPr>
      </w:r>
    </w:p>
    <w:tbl>
      <w:tblPr>
        <w:tblStyle w:val="Table1"/>
        <w:tblW w:w="892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670"/>
        <w:tblGridChange w:id="0">
          <w:tblGrid>
            <w:gridCol w:w="3256"/>
            <w:gridCol w:w="5670"/>
          </w:tblGrid>
        </w:tblGridChange>
      </w:tblGrid>
      <w:tr>
        <w:trPr>
          <w:cantSplit w:val="0"/>
          <w:tblHeader w:val="0"/>
        </w:trPr>
        <w:tc>
          <w:tcPr>
            <w:shd w:fill="d9d9d9" w:val="clear"/>
          </w:tcPr>
          <w:p w:rsidR="00000000" w:rsidDel="00000000" w:rsidP="00000000" w:rsidRDefault="00000000" w:rsidRPr="00000000" w14:paraId="0000000A">
            <w:pPr>
              <w:jc w:val="both"/>
              <w:rPr>
                <w:rFonts w:ascii="Palatino Linotype" w:cs="Palatino Linotype" w:eastAsia="Palatino Linotype" w:hAnsi="Palatino Linotype"/>
                <w:b w:val="1"/>
                <w:i w:val="1"/>
                <w:sz w:val="20"/>
                <w:szCs w:val="20"/>
              </w:rPr>
            </w:pPr>
            <w:bookmarkStart w:colFirst="0" w:colLast="0" w:name="_heading=h.1fob9te" w:id="0"/>
            <w:bookmarkEnd w:id="0"/>
            <w:r w:rsidDel="00000000" w:rsidR="00000000" w:rsidRPr="00000000">
              <w:rPr>
                <w:rFonts w:ascii="Palatino Linotype" w:cs="Palatino Linotype" w:eastAsia="Palatino Linotype" w:hAnsi="Palatino Linotype"/>
                <w:b w:val="1"/>
                <w:i w:val="1"/>
                <w:sz w:val="20"/>
                <w:szCs w:val="20"/>
                <w:rtl w:val="0"/>
              </w:rPr>
              <w:t xml:space="preserve">Número de solicitud</w:t>
            </w:r>
          </w:p>
        </w:tc>
        <w:tc>
          <w:tcPr>
            <w:shd w:fill="d9d9d9" w:val="clear"/>
          </w:tcPr>
          <w:p w:rsidR="00000000" w:rsidDel="00000000" w:rsidP="00000000" w:rsidRDefault="00000000" w:rsidRPr="00000000" w14:paraId="0000000B">
            <w:pPr>
              <w:jc w:val="cente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Información requerida.</w:t>
            </w:r>
          </w:p>
        </w:tc>
      </w:tr>
      <w:tr>
        <w:trPr>
          <w:cantSplit w:val="0"/>
          <w:trHeight w:val="564" w:hRule="atLeast"/>
          <w:tblHeader w:val="0"/>
        </w:trPr>
        <w:tc>
          <w:tcPr/>
          <w:p w:rsidR="00000000" w:rsidDel="00000000" w:rsidP="00000000" w:rsidRDefault="00000000" w:rsidRPr="00000000" w14:paraId="0000000C">
            <w:pPr>
              <w:jc w:val="both"/>
              <w:rPr>
                <w:rFonts w:ascii="Palatino Linotype" w:cs="Palatino Linotype" w:eastAsia="Palatino Linotype" w:hAnsi="Palatino Linotype"/>
                <w:b w:val="1"/>
                <w:i w:val="1"/>
                <w:sz w:val="20"/>
                <w:szCs w:val="20"/>
              </w:rPr>
            </w:pPr>
            <w:bookmarkStart w:colFirst="0" w:colLast="0" w:name="_heading=h.3znysh7" w:id="1"/>
            <w:bookmarkEnd w:id="1"/>
            <w:r w:rsidDel="00000000" w:rsidR="00000000" w:rsidRPr="00000000">
              <w:rPr>
                <w:rFonts w:ascii="Palatino Linotype" w:cs="Palatino Linotype" w:eastAsia="Palatino Linotype" w:hAnsi="Palatino Linotype"/>
                <w:b w:val="1"/>
                <w:sz w:val="20"/>
                <w:szCs w:val="20"/>
                <w:rtl w:val="0"/>
              </w:rPr>
              <w:t xml:space="preserve">00114/TEZOYUCA/IP/2024</w:t>
            </w:r>
            <w:r w:rsidDel="00000000" w:rsidR="00000000" w:rsidRPr="00000000">
              <w:rPr>
                <w:rtl w:val="0"/>
              </w:rPr>
            </w:r>
          </w:p>
        </w:tc>
        <w:tc>
          <w:tcPr/>
          <w:p w:rsidR="00000000" w:rsidDel="00000000" w:rsidP="00000000" w:rsidRDefault="00000000" w:rsidRPr="00000000" w14:paraId="0000000D">
            <w:pPr>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“Solicito todos y cada uno de los registros de fallecimiento del registro civil en los años 2015,2016,2017,2018,2019,2020,2021,2022,2023,2024” (sic)</w:t>
            </w:r>
          </w:p>
        </w:tc>
      </w:tr>
      <w:tr>
        <w:trPr>
          <w:cantSplit w:val="0"/>
          <w:tblHeader w:val="0"/>
        </w:trPr>
        <w:tc>
          <w:tcPr/>
          <w:p w:rsidR="00000000" w:rsidDel="00000000" w:rsidP="00000000" w:rsidRDefault="00000000" w:rsidRPr="00000000" w14:paraId="0000000E">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00113/TEZUYUCA/IP/2024</w:t>
            </w:r>
          </w:p>
        </w:tc>
        <w:tc>
          <w:tcPr/>
          <w:p w:rsidR="00000000" w:rsidDel="00000000" w:rsidP="00000000" w:rsidRDefault="00000000" w:rsidRPr="00000000" w14:paraId="0000000F">
            <w:pPr>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“Solicito todos los registros de actas de nacimiento del área de registro civil de los años2019,2020, 2021,2022,2023,2024”</w:t>
            </w:r>
            <w:r w:rsidDel="00000000" w:rsidR="00000000" w:rsidRPr="00000000">
              <w:rPr>
                <w:sz w:val="20"/>
                <w:szCs w:val="20"/>
                <w:rtl w:val="0"/>
              </w:rPr>
              <w:t xml:space="preserve"> </w:t>
            </w:r>
            <w:r w:rsidDel="00000000" w:rsidR="00000000" w:rsidRPr="00000000">
              <w:rPr>
                <w:rFonts w:ascii="Palatino Linotype" w:cs="Palatino Linotype" w:eastAsia="Palatino Linotype" w:hAnsi="Palatino Linotype"/>
                <w:i w:val="1"/>
                <w:sz w:val="20"/>
                <w:szCs w:val="20"/>
                <w:rtl w:val="0"/>
              </w:rPr>
              <w:t xml:space="preserve">(sic)</w:t>
            </w:r>
          </w:p>
        </w:tc>
      </w:tr>
    </w:tbl>
    <w:p w:rsidR="00000000" w:rsidDel="00000000" w:rsidP="00000000" w:rsidRDefault="00000000" w:rsidRPr="00000000" w14:paraId="00000010">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12">
      <w:pPr>
        <w:widowControl w:val="0"/>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3">
      <w:pPr>
        <w:widowControl w:val="0"/>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Respuestas.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veintiuno de septiembre de dos mil veinticuatro</w:t>
      </w:r>
      <w:r w:rsidDel="00000000" w:rsidR="00000000" w:rsidRPr="00000000">
        <w:rPr>
          <w:rFonts w:ascii="Palatino Linotype" w:cs="Palatino Linotype" w:eastAsia="Palatino Linotype" w:hAnsi="Palatino Linotype"/>
          <w:rtl w:val="0"/>
        </w:rPr>
        <w:t xml:space="preserve">, el Sujeto Obligado notificó a la parte Recurrente, en la totalidad de los expedientes, las respuestas a sus solicitudes de información, en los términos siguientes:</w:t>
      </w:r>
      <w:r w:rsidDel="00000000" w:rsidR="00000000" w:rsidRPr="00000000">
        <w:rPr>
          <w:rtl w:val="0"/>
        </w:rPr>
      </w:r>
    </w:p>
    <w:p w:rsidR="00000000" w:rsidDel="00000000" w:rsidP="00000000" w:rsidRDefault="00000000" w:rsidRPr="00000000" w14:paraId="00000014">
      <w:pPr>
        <w:widowControl w:val="0"/>
        <w:spacing w:after="0" w:line="360" w:lineRule="auto"/>
        <w:jc w:val="both"/>
        <w:rPr>
          <w:rFonts w:ascii="Palatino Linotype" w:cs="Palatino Linotype" w:eastAsia="Palatino Linotype" w:hAnsi="Palatino Linotype"/>
        </w:rPr>
      </w:pPr>
      <w:r w:rsidDel="00000000" w:rsidR="00000000" w:rsidRPr="00000000">
        <w:rPr>
          <w:rtl w:val="0"/>
        </w:rPr>
      </w:r>
    </w:p>
    <w:tbl>
      <w:tblPr>
        <w:tblStyle w:val="Table2"/>
        <w:tblW w:w="8926.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670"/>
        <w:tblGridChange w:id="0">
          <w:tblGrid>
            <w:gridCol w:w="3256"/>
            <w:gridCol w:w="5670"/>
          </w:tblGrid>
        </w:tblGridChange>
      </w:tblGrid>
      <w:tr>
        <w:trPr>
          <w:cantSplit w:val="0"/>
          <w:tblHeader w:val="0"/>
        </w:trPr>
        <w:tc>
          <w:tcPr>
            <w:shd w:fill="d9d9d9" w:val="clear"/>
          </w:tcPr>
          <w:p w:rsidR="00000000" w:rsidDel="00000000" w:rsidP="00000000" w:rsidRDefault="00000000" w:rsidRPr="00000000" w14:paraId="00000015">
            <w:pPr>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Número de solicitud</w:t>
            </w:r>
          </w:p>
        </w:tc>
        <w:tc>
          <w:tcPr>
            <w:shd w:fill="d9d9d9" w:val="clear"/>
          </w:tcPr>
          <w:p w:rsidR="00000000" w:rsidDel="00000000" w:rsidP="00000000" w:rsidRDefault="00000000" w:rsidRPr="00000000" w14:paraId="00000016">
            <w:pPr>
              <w:jc w:val="cente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respuesta</w:t>
            </w:r>
          </w:p>
        </w:tc>
      </w:tr>
      <w:tr>
        <w:trPr>
          <w:cantSplit w:val="0"/>
          <w:trHeight w:val="564" w:hRule="atLeast"/>
          <w:tblHeader w:val="0"/>
        </w:trPr>
        <w:tc>
          <w:tcPr/>
          <w:p w:rsidR="00000000" w:rsidDel="00000000" w:rsidP="00000000" w:rsidRDefault="00000000" w:rsidRPr="00000000" w14:paraId="00000017">
            <w:pPr>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sz w:val="20"/>
                <w:szCs w:val="20"/>
                <w:rtl w:val="0"/>
              </w:rPr>
              <w:t xml:space="preserve">00114/TEZOYUCA/IP/2024</w:t>
            </w:r>
            <w:r w:rsidDel="00000000" w:rsidR="00000000" w:rsidRPr="00000000">
              <w:rPr>
                <w:rtl w:val="0"/>
              </w:rPr>
            </w:r>
          </w:p>
        </w:tc>
        <w:tc>
          <w:tcPr/>
          <w:p w:rsidR="00000000" w:rsidDel="00000000" w:rsidP="00000000" w:rsidRDefault="00000000" w:rsidRPr="00000000" w14:paraId="0000001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veinte de septiembre de dos mil veinticuatro, signado por la Oficial 01 del Registro Civil de Tezoyuca, mediante el cual informa que, el solicitante no especifica la forma en que lo requiere por lo que se brinda en link del INEGI en el cual se encuentran todos los datos estadísticos con respecto a los registros de defunción realizados en el Registro Civil 01de Tezoyuca, por otro lado, informa que se ponen a disposición las oficinas del Sujeto Obligado.</w:t>
            </w:r>
          </w:p>
        </w:tc>
      </w:tr>
      <w:tr>
        <w:trPr>
          <w:cantSplit w:val="0"/>
          <w:tblHeader w:val="0"/>
        </w:trPr>
        <w:tc>
          <w:tcPr/>
          <w:p w:rsidR="00000000" w:rsidDel="00000000" w:rsidP="00000000" w:rsidRDefault="00000000" w:rsidRPr="00000000" w14:paraId="00000019">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00113/TEZUYUCA/IP/2024</w:t>
            </w:r>
          </w:p>
        </w:tc>
        <w:tc>
          <w:tcPr/>
          <w:p w:rsidR="00000000" w:rsidDel="00000000" w:rsidP="00000000" w:rsidRDefault="00000000" w:rsidRPr="00000000" w14:paraId="0000001A">
            <w:pPr>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Oficio de fecha veinte de septiembre de dos mil veinticuatro, signado por la Oficial 01 del Registro Civil de Tezoyuca, mediante el cual informa que, el solicitante no especifica la forma en que lo requiere por lo que se brinda en link del INEGI en el cual se encuentran todos los datos estadísticos con respecto a los registros de defunción realizados en el Registro Civil 01de Tezoyuca, por otro lado, informa que se ponen a disposición las oficinas del Sujeto Obligado.</w:t>
            </w:r>
            <w:r w:rsidDel="00000000" w:rsidR="00000000" w:rsidRPr="00000000">
              <w:rPr>
                <w:rtl w:val="0"/>
              </w:rPr>
            </w:r>
          </w:p>
        </w:tc>
      </w:tr>
    </w:tbl>
    <w:p w:rsidR="00000000" w:rsidDel="00000000" w:rsidP="00000000" w:rsidRDefault="00000000" w:rsidRPr="00000000" w14:paraId="0000001B">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Del Recurso de Revisión. </w:t>
      </w:r>
      <w:r w:rsidDel="00000000" w:rsidR="00000000" w:rsidRPr="00000000">
        <w:rPr>
          <w:rFonts w:ascii="Palatino Linotype" w:cs="Palatino Linotype" w:eastAsia="Palatino Linotype" w:hAnsi="Palatino Linotype"/>
          <w:rtl w:val="0"/>
        </w:rPr>
        <w:t xml:space="preserve">Inconforme con las respuestas del</w:t>
      </w:r>
      <w:r w:rsidDel="00000000" w:rsidR="00000000" w:rsidRPr="00000000">
        <w:rPr>
          <w:rFonts w:ascii="Palatino Linotype" w:cs="Palatino Linotype" w:eastAsia="Palatino Linotype" w:hAnsi="Palatino Linotype"/>
          <w:b w:val="1"/>
          <w:rtl w:val="0"/>
        </w:rPr>
        <w:t xml:space="preserve"> SUJETO OBLIGADO,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veintiséis de septiembre de dos mil veinticuatro, LA PARTE RECURRENTE </w:t>
      </w:r>
      <w:r w:rsidDel="00000000" w:rsidR="00000000" w:rsidRPr="00000000">
        <w:rPr>
          <w:rFonts w:ascii="Palatino Linotype" w:cs="Palatino Linotype" w:eastAsia="Palatino Linotype" w:hAnsi="Palatino Linotype"/>
          <w:rtl w:val="0"/>
        </w:rPr>
        <w:t xml:space="preserve">interpuso los recursos de revisión, en los cuales manifiesta, lo siguiente: </w:t>
      </w:r>
    </w:p>
    <w:p w:rsidR="00000000" w:rsidDel="00000000" w:rsidP="00000000" w:rsidRDefault="00000000" w:rsidRPr="00000000" w14:paraId="0000001D">
      <w:pPr>
        <w:spacing w:after="0" w:line="360" w:lineRule="auto"/>
        <w:jc w:val="both"/>
        <w:rPr>
          <w:rFonts w:ascii="Palatino Linotype" w:cs="Palatino Linotype" w:eastAsia="Palatino Linotype" w:hAnsi="Palatino Linotype"/>
          <w:b w:val="1"/>
          <w:sz w:val="20"/>
          <w:szCs w:val="20"/>
        </w:rPr>
      </w:pPr>
      <w:r w:rsidDel="00000000" w:rsidR="00000000" w:rsidRPr="00000000">
        <w:rPr>
          <w:rtl w:val="0"/>
        </w:rPr>
      </w:r>
    </w:p>
    <w:tbl>
      <w:tblPr>
        <w:tblStyle w:val="Table3"/>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2"/>
        <w:gridCol w:w="3413"/>
        <w:gridCol w:w="2960"/>
        <w:tblGridChange w:id="0">
          <w:tblGrid>
            <w:gridCol w:w="2682"/>
            <w:gridCol w:w="3413"/>
            <w:gridCol w:w="2960"/>
          </w:tblGrid>
        </w:tblGridChange>
      </w:tblGrid>
      <w:tr>
        <w:trPr>
          <w:cantSplit w:val="0"/>
          <w:tblHeader w:val="0"/>
        </w:trPr>
        <w:tc>
          <w:tcPr/>
          <w:p w:rsidR="00000000" w:rsidDel="00000000" w:rsidP="00000000" w:rsidRDefault="00000000" w:rsidRPr="00000000" w14:paraId="0000001E">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r>
          </w:p>
        </w:tc>
        <w:tc>
          <w:tcPr/>
          <w:p w:rsidR="00000000" w:rsidDel="00000000" w:rsidP="00000000" w:rsidRDefault="00000000" w:rsidRPr="00000000" w14:paraId="0000001F">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Acto Impugnado</w:t>
            </w:r>
          </w:p>
        </w:tc>
        <w:tc>
          <w:tcPr/>
          <w:p w:rsidR="00000000" w:rsidDel="00000000" w:rsidP="00000000" w:rsidRDefault="00000000" w:rsidRPr="00000000" w14:paraId="00000020">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Motivos de Informidad</w:t>
            </w:r>
          </w:p>
        </w:tc>
      </w:tr>
      <w:tr>
        <w:trPr>
          <w:cantSplit w:val="0"/>
          <w:tblHeader w:val="0"/>
        </w:trPr>
        <w:tc>
          <w:tcPr/>
          <w:p w:rsidR="00000000" w:rsidDel="00000000" w:rsidP="00000000" w:rsidRDefault="00000000" w:rsidRPr="00000000" w14:paraId="0000002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05874/INFOEM/IP/RR/2024</w:t>
            </w:r>
            <w:r w:rsidDel="00000000" w:rsidR="00000000" w:rsidRPr="00000000">
              <w:rPr>
                <w:rtl w:val="0"/>
              </w:rPr>
            </w:r>
          </w:p>
        </w:tc>
        <w:tc>
          <w:tcPr/>
          <w:p w:rsidR="00000000" w:rsidDel="00000000" w:rsidP="00000000" w:rsidRDefault="00000000" w:rsidRPr="00000000" w14:paraId="00000022">
            <w:pPr>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El titular de transparencia por lo visto no sabe leer, ya que se solicitó la información. Que la entregué vía saimex omite la entrega de la información solicitada</w:t>
            </w:r>
          </w:p>
        </w:tc>
        <w:tc>
          <w:tcPr/>
          <w:p w:rsidR="00000000" w:rsidDel="00000000" w:rsidP="00000000" w:rsidRDefault="00000000" w:rsidRPr="00000000" w14:paraId="00000023">
            <w:pPr>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El titular de transparencia por lo visto no sabe leer, ya que se solicitó la información. Que la entregué vía saimex omite la entrega de la información solicitada</w:t>
            </w:r>
          </w:p>
        </w:tc>
      </w:tr>
      <w:tr>
        <w:trPr>
          <w:cantSplit w:val="0"/>
          <w:trHeight w:val="617" w:hRule="atLeast"/>
          <w:tblHeader w:val="0"/>
        </w:trPr>
        <w:tc>
          <w:tcPr/>
          <w:p w:rsidR="00000000" w:rsidDel="00000000" w:rsidP="00000000" w:rsidRDefault="00000000" w:rsidRPr="00000000" w14:paraId="00000024">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05875/INFOEM/IP/RR/2024</w:t>
            </w:r>
            <w:r w:rsidDel="00000000" w:rsidR="00000000" w:rsidRPr="00000000">
              <w:rPr>
                <w:rtl w:val="0"/>
              </w:rPr>
            </w:r>
          </w:p>
        </w:tc>
        <w:tc>
          <w:tcPr/>
          <w:p w:rsidR="00000000" w:rsidDel="00000000" w:rsidP="00000000" w:rsidRDefault="00000000" w:rsidRPr="00000000" w14:paraId="00000025">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El titular de transparencia por lo visto no sabe leer, ya que se solicitó la información. Que la entregué vía saimex omite la entrega de la información solicitada</w:t>
            </w:r>
          </w:p>
        </w:tc>
        <w:tc>
          <w:tcPr/>
          <w:p w:rsidR="00000000" w:rsidDel="00000000" w:rsidP="00000000" w:rsidRDefault="00000000" w:rsidRPr="00000000" w14:paraId="00000026">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0"/>
                <w:szCs w:val="20"/>
                <w:rtl w:val="0"/>
              </w:rPr>
              <w:t xml:space="preserve">El titular de transparencia por lo visto no sabe leer, ya que se solicitó la información. Que la entregué vía saimex omite la entrega de la información solicitada</w:t>
            </w:r>
            <w:r w:rsidDel="00000000" w:rsidR="00000000" w:rsidRPr="00000000">
              <w:rPr>
                <w:rtl w:val="0"/>
              </w:rPr>
            </w:r>
          </w:p>
        </w:tc>
      </w:tr>
    </w:tbl>
    <w:p w:rsidR="00000000" w:rsidDel="00000000" w:rsidP="00000000" w:rsidRDefault="00000000" w:rsidRPr="00000000" w14:paraId="0000002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Transparencia y Acceso a la Información Pública, el recurso de revisión número </w:t>
      </w:r>
      <w:r w:rsidDel="00000000" w:rsidR="00000000" w:rsidRPr="00000000">
        <w:rPr>
          <w:rFonts w:ascii="Palatino Linotype" w:cs="Palatino Linotype" w:eastAsia="Palatino Linotype" w:hAnsi="Palatino Linotype"/>
          <w:b w:val="1"/>
          <w:rtl w:val="0"/>
        </w:rPr>
        <w:t xml:space="preserve">05874/INFOEM/IP/RR/2024</w:t>
      </w:r>
      <w:r w:rsidDel="00000000" w:rsidR="00000000" w:rsidRPr="00000000">
        <w:rPr>
          <w:rFonts w:ascii="Palatino Linotype" w:cs="Palatino Linotype" w:eastAsia="Palatino Linotype" w:hAnsi="Palatino Linotype"/>
          <w:rtl w:val="0"/>
        </w:rPr>
        <w:t xml:space="preserve">, fue turnado a la Comisionada Guadalupe Ramírez Peña; el recurso </w:t>
      </w:r>
      <w:r w:rsidDel="00000000" w:rsidR="00000000" w:rsidRPr="00000000">
        <w:rPr>
          <w:rFonts w:ascii="Palatino Linotype" w:cs="Palatino Linotype" w:eastAsia="Palatino Linotype" w:hAnsi="Palatino Linotype"/>
          <w:b w:val="1"/>
          <w:rtl w:val="0"/>
        </w:rPr>
        <w:t xml:space="preserve">05875/INFOEM/IP/RR/2024 </w:t>
      </w:r>
      <w:r w:rsidDel="00000000" w:rsidR="00000000" w:rsidRPr="00000000">
        <w:rPr>
          <w:rFonts w:ascii="Palatino Linotype" w:cs="Palatino Linotype" w:eastAsia="Palatino Linotype" w:hAnsi="Palatino Linotype"/>
          <w:rtl w:val="0"/>
        </w:rPr>
        <w:t xml:space="preserve">al Comisionado Presidente José Martínez Vilchis.</w:t>
      </w:r>
    </w:p>
    <w:p w:rsidR="00000000" w:rsidDel="00000000" w:rsidP="00000000" w:rsidRDefault="00000000" w:rsidRPr="00000000" w14:paraId="00000029">
      <w:pPr>
        <w:spacing w:after="0" w:line="360" w:lineRule="auto"/>
        <w:rPr/>
      </w:pPr>
      <w:r w:rsidDel="00000000" w:rsidR="00000000" w:rsidRPr="00000000">
        <w:rPr>
          <w:rtl w:val="0"/>
        </w:rPr>
      </w:r>
    </w:p>
    <w:p w:rsidR="00000000" w:rsidDel="00000000" w:rsidP="00000000" w:rsidRDefault="00000000" w:rsidRPr="00000000" w14:paraId="0000002A">
      <w:pPr>
        <w:spacing w:after="0" w:line="360" w:lineRule="auto"/>
        <w:ind w:right="5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Admisión de los Recursos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dos de octubre de dos mil veinticuatro</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admitieron a trámite el recurso de revisión </w:t>
      </w:r>
      <w:r w:rsidDel="00000000" w:rsidR="00000000" w:rsidRPr="00000000">
        <w:rPr>
          <w:rFonts w:ascii="Palatino Linotype" w:cs="Palatino Linotype" w:eastAsia="Palatino Linotype" w:hAnsi="Palatino Linotype"/>
          <w:b w:val="1"/>
          <w:rtl w:val="0"/>
        </w:rPr>
        <w:t xml:space="preserve">05874/INFOEM/IP/RR/2024 y 05875/INFOEM/IP/RR/2024.</w:t>
      </w:r>
    </w:p>
    <w:p w:rsidR="00000000" w:rsidDel="00000000" w:rsidP="00000000" w:rsidRDefault="00000000" w:rsidRPr="00000000" w14:paraId="0000002B">
      <w:pPr>
        <w:spacing w:after="0" w:line="360" w:lineRule="auto"/>
        <w:ind w:right="51"/>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 </w:t>
      </w:r>
      <w:r w:rsidDel="00000000" w:rsidR="00000000" w:rsidRPr="00000000">
        <w:rPr>
          <w:rFonts w:ascii="Palatino Linotype" w:cs="Palatino Linotype" w:eastAsia="Palatino Linotype" w:hAnsi="Palatino Linotype"/>
          <w:rtl w:val="0"/>
        </w:rPr>
        <w:t xml:space="preserve">En fechas </w:t>
      </w:r>
      <w:r w:rsidDel="00000000" w:rsidR="00000000" w:rsidRPr="00000000">
        <w:rPr>
          <w:rFonts w:ascii="Palatino Linotype" w:cs="Palatino Linotype" w:eastAsia="Palatino Linotype" w:hAnsi="Palatino Linotype"/>
          <w:b w:val="1"/>
          <w:rtl w:val="0"/>
        </w:rPr>
        <w:t xml:space="preserve">once de octubre de dos mil veinticuatro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rindió su informe justificado en todos los casos, de la siguiente forma:</w:t>
      </w:r>
    </w:p>
    <w:p w:rsidR="00000000" w:rsidDel="00000000" w:rsidP="00000000" w:rsidRDefault="00000000" w:rsidRPr="00000000" w14:paraId="0000002D">
      <w:pPr>
        <w:spacing w:after="0" w:line="360" w:lineRule="auto"/>
        <w:jc w:val="both"/>
        <w:rPr>
          <w:rFonts w:ascii="Palatino Linotype" w:cs="Palatino Linotype" w:eastAsia="Palatino Linotype" w:hAnsi="Palatino Linotype"/>
        </w:rPr>
      </w:pPr>
      <w:r w:rsidDel="00000000" w:rsidR="00000000" w:rsidRPr="00000000">
        <w:rPr>
          <w:rtl w:val="0"/>
        </w:rPr>
      </w:r>
    </w:p>
    <w:tbl>
      <w:tblPr>
        <w:tblStyle w:val="Table4"/>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5658"/>
        <w:tblGridChange w:id="0">
          <w:tblGrid>
            <w:gridCol w:w="3397"/>
            <w:gridCol w:w="5658"/>
          </w:tblGrid>
        </w:tblGridChange>
      </w:tblGrid>
      <w:tr>
        <w:trPr>
          <w:cantSplit w:val="0"/>
          <w:tblHeader w:val="0"/>
        </w:trPr>
        <w:tc>
          <w:tcPr/>
          <w:p w:rsidR="00000000" w:rsidDel="00000000" w:rsidP="00000000" w:rsidRDefault="00000000" w:rsidRPr="00000000" w14:paraId="0000002E">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r>
          </w:p>
        </w:tc>
        <w:tc>
          <w:tcPr/>
          <w:p w:rsidR="00000000" w:rsidDel="00000000" w:rsidP="00000000" w:rsidRDefault="00000000" w:rsidRPr="00000000" w14:paraId="0000002F">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Informe Justificado</w:t>
            </w:r>
          </w:p>
        </w:tc>
      </w:tr>
      <w:tr>
        <w:trPr>
          <w:cantSplit w:val="0"/>
          <w:trHeight w:val="557" w:hRule="atLeast"/>
          <w:tblHeader w:val="0"/>
        </w:trPr>
        <w:tc>
          <w:tcPr/>
          <w:p w:rsidR="00000000" w:rsidDel="00000000" w:rsidP="00000000" w:rsidRDefault="00000000" w:rsidRPr="00000000" w14:paraId="0000003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05874/INFOEM/IP/RR/2024</w:t>
            </w:r>
            <w:r w:rsidDel="00000000" w:rsidR="00000000" w:rsidRPr="00000000">
              <w:rPr>
                <w:rtl w:val="0"/>
              </w:rPr>
            </w:r>
          </w:p>
        </w:tc>
        <w:tc>
          <w:tcPr/>
          <w:p w:rsidR="00000000" w:rsidDel="00000000" w:rsidP="00000000" w:rsidRDefault="00000000" w:rsidRPr="00000000" w14:paraId="0000003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Oficio de fecha once de octubre de dos mil veinticuatro, signado por la Titular de la Unidad de Transparencia, mediante el cual informa medularmente ratificó su respuesta inicial. </w:t>
            </w:r>
          </w:p>
        </w:tc>
      </w:tr>
      <w:tr>
        <w:trPr>
          <w:cantSplit w:val="0"/>
          <w:tblHeader w:val="0"/>
        </w:trPr>
        <w:tc>
          <w:tcPr/>
          <w:p w:rsidR="00000000" w:rsidDel="00000000" w:rsidP="00000000" w:rsidRDefault="00000000" w:rsidRPr="00000000" w14:paraId="00000032">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05875/INFOEM/IP/RR/2024</w:t>
            </w:r>
            <w:r w:rsidDel="00000000" w:rsidR="00000000" w:rsidRPr="00000000">
              <w:rPr>
                <w:rtl w:val="0"/>
              </w:rPr>
            </w:r>
          </w:p>
        </w:tc>
        <w:tc>
          <w:tcPr/>
          <w:p w:rsidR="00000000" w:rsidDel="00000000" w:rsidP="00000000" w:rsidRDefault="00000000" w:rsidRPr="00000000" w14:paraId="00000033">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 de fecha once de octubre de dos mil veinticuatro, signado por la Titular de la Unidad de Transparencia, mediante el cual informa medularmente ratificó su respuesta inicial.</w:t>
            </w:r>
          </w:p>
        </w:tc>
      </w:tr>
    </w:tbl>
    <w:p w:rsidR="00000000" w:rsidDel="00000000" w:rsidP="00000000" w:rsidRDefault="00000000" w:rsidRPr="00000000" w14:paraId="0000003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Documentos que se hicieron del conocimiento de la parte Recurrente en fecha </w:t>
      </w:r>
      <w:r w:rsidDel="00000000" w:rsidR="00000000" w:rsidRPr="00000000">
        <w:rPr>
          <w:rFonts w:ascii="Palatino Linotype" w:cs="Palatino Linotype" w:eastAsia="Palatino Linotype" w:hAnsi="Palatino Linotype"/>
          <w:b w:val="1"/>
          <w:rtl w:val="0"/>
        </w:rPr>
        <w:t xml:space="preserve">treinta de octubre de dos mil veinticuatro. </w:t>
      </w:r>
    </w:p>
    <w:p w:rsidR="00000000" w:rsidDel="00000000" w:rsidP="00000000" w:rsidRDefault="00000000" w:rsidRPr="00000000" w14:paraId="00000036">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omitió realizar manifestaciones.</w:t>
      </w:r>
    </w:p>
    <w:p w:rsidR="00000000" w:rsidDel="00000000" w:rsidP="00000000" w:rsidRDefault="00000000" w:rsidRPr="00000000" w14:paraId="0000003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 Acumulación. En la Trigésima Sexta Sesión Ordinaria </w:t>
      </w:r>
      <w:r w:rsidDel="00000000" w:rsidR="00000000" w:rsidRPr="00000000">
        <w:rPr>
          <w:rFonts w:ascii="Palatino Linotype" w:cs="Palatino Linotype" w:eastAsia="Palatino Linotype" w:hAnsi="Palatino Linotype"/>
          <w:rtl w:val="0"/>
        </w:rPr>
        <w:t xml:space="preserve">celebrada el</w:t>
      </w:r>
      <w:r w:rsidDel="00000000" w:rsidR="00000000" w:rsidRPr="00000000">
        <w:rPr>
          <w:rFonts w:ascii="Palatino Linotype" w:cs="Palatino Linotype" w:eastAsia="Palatino Linotype" w:hAnsi="Palatino Linotype"/>
          <w:b w:val="1"/>
          <w:rtl w:val="0"/>
        </w:rPr>
        <w:t xml:space="preserve"> nueve de octubre de dos mil veinticuatro, </w:t>
      </w:r>
      <w:r w:rsidDel="00000000" w:rsidR="00000000" w:rsidRPr="00000000">
        <w:rPr>
          <w:rFonts w:ascii="Palatino Linotype" w:cs="Palatino Linotype" w:eastAsia="Palatino Linotype" w:hAnsi="Palatino Linotype"/>
          <w:rtl w:val="0"/>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w:t>
      </w:r>
      <w:r w:rsidDel="00000000" w:rsidR="00000000" w:rsidRPr="00000000">
        <w:rPr>
          <w:rFonts w:ascii="Palatino Linotype" w:cs="Palatino Linotype" w:eastAsia="Palatino Linotype" w:hAnsi="Palatino Linotype"/>
          <w:b w:val="1"/>
          <w:rtl w:val="0"/>
        </w:rPr>
        <w:t xml:space="preserve"> Comisionada Guadalupe Ramírez Peña </w:t>
      </w:r>
      <w:r w:rsidDel="00000000" w:rsidR="00000000" w:rsidRPr="00000000">
        <w:rPr>
          <w:rFonts w:ascii="Palatino Linotype" w:cs="Palatino Linotype" w:eastAsia="Palatino Linotype" w:hAnsi="Palatino Linotype"/>
          <w:rtl w:val="0"/>
        </w:rPr>
        <w:t xml:space="preserve">quien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r w:rsidDel="00000000" w:rsidR="00000000" w:rsidRPr="00000000">
        <w:rPr>
          <w:rtl w:val="0"/>
        </w:rPr>
      </w:r>
    </w:p>
    <w:p w:rsidR="00000000" w:rsidDel="00000000" w:rsidP="00000000" w:rsidRDefault="00000000" w:rsidRPr="00000000" w14:paraId="0000003A">
      <w:pPr>
        <w:spacing w:after="0" w:line="360" w:lineRule="auto"/>
        <w:jc w:val="both"/>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Código de Procedimientos Administrativos del Estado de México</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“Artículo 18.-</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i w:val="1"/>
          <w:rtl w:val="0"/>
        </w:rPr>
        <w:t xml:space="preserve"> o a petición de parte, </w:t>
      </w:r>
      <w:r w:rsidDel="00000000" w:rsidR="00000000" w:rsidRPr="00000000">
        <w:rPr>
          <w:rFonts w:ascii="Palatino Linotype" w:cs="Palatino Linotype" w:eastAsia="Palatino Linotype" w:hAnsi="Palatino Linotype"/>
          <w:b w:val="1"/>
          <w:i w:val="1"/>
          <w:rtl w:val="0"/>
        </w:rPr>
        <w:t xml:space="preserve">cuando las partes</w:t>
      </w:r>
      <w:r w:rsidDel="00000000" w:rsidR="00000000" w:rsidRPr="00000000">
        <w:rPr>
          <w:rFonts w:ascii="Palatino Linotype" w:cs="Palatino Linotype" w:eastAsia="Palatino Linotype" w:hAnsi="Palatino Linotype"/>
          <w:i w:val="1"/>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i w:val="1"/>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i w:val="1"/>
          <w:rtl w:val="0"/>
        </w:rPr>
        <w:t xml:space="preserve">. La misma regla se aplicará, en lo conducente, para la separación de los expedientes.”</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“Artículo 195.-</w:t>
      </w:r>
      <w:r w:rsidDel="00000000" w:rsidR="00000000" w:rsidRPr="00000000">
        <w:rPr>
          <w:rFonts w:ascii="Palatino Linotype" w:cs="Palatino Linotype" w:eastAsia="Palatino Linotype" w:hAnsi="Palatino Linotype"/>
          <w:i w:val="1"/>
          <w:rtl w:val="0"/>
        </w:rPr>
        <w:t xml:space="preserve"> En la tramitación del recurso de revisión se aplicará supletoriamente las disposiciones contenidas en el Código de Procedimientos Administrativos del Estado de México.”</w:t>
      </w:r>
      <w:r w:rsidDel="00000000" w:rsidR="00000000" w:rsidRPr="00000000">
        <w:rPr>
          <w:rtl w:val="0"/>
        </w:rPr>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la sustanciación de los medios de impugnación citados se advirtió que los mismos fueron interpuestos por la misma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ante el mismo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razón por la cual, se consideró que resultaba conveniente su acumulación a efecto de que formulara y presentara el proyecto de resolución correspondiente.</w:t>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seis de noviembre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4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4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de revisión fueron interpuestos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las respuestas a las solicitudes de información y los recursos de revisión fueron interpuestos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los siguientes días:</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numPr>
          <w:ilvl w:val="0"/>
          <w:numId w:val="4"/>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emitió respuestas el </w:t>
      </w:r>
      <w:r w:rsidDel="00000000" w:rsidR="00000000" w:rsidRPr="00000000">
        <w:rPr>
          <w:rFonts w:ascii="Palatino Linotype" w:cs="Palatino Linotype" w:eastAsia="Palatino Linotype" w:hAnsi="Palatino Linotype"/>
          <w:b w:val="1"/>
          <w:rtl w:val="0"/>
        </w:rPr>
        <w:t xml:space="preserve">veintiuno de septiembre de dos mil veinticuatro </w:t>
      </w:r>
      <w:r w:rsidDel="00000000" w:rsidR="00000000" w:rsidRPr="00000000">
        <w:rPr>
          <w:rFonts w:ascii="Palatino Linotype" w:cs="Palatino Linotype" w:eastAsia="Palatino Linotype" w:hAnsi="Palatino Linotype"/>
          <w:rtl w:val="0"/>
        </w:rPr>
        <w:t xml:space="preserve">y la parte Recurrente interpuso su recurso de revisión el </w:t>
      </w:r>
      <w:r w:rsidDel="00000000" w:rsidR="00000000" w:rsidRPr="00000000">
        <w:rPr>
          <w:rFonts w:ascii="Palatino Linotype" w:cs="Palatino Linotype" w:eastAsia="Palatino Linotype" w:hAnsi="Palatino Linotype"/>
          <w:b w:val="1"/>
          <w:rtl w:val="0"/>
        </w:rPr>
        <w:t xml:space="preserve">veintiséis de septiembre de dos mil veinticuatro</w:t>
      </w:r>
      <w:r w:rsidDel="00000000" w:rsidR="00000000" w:rsidRPr="00000000">
        <w:rPr>
          <w:rFonts w:ascii="Palatino Linotype" w:cs="Palatino Linotype" w:eastAsia="Palatino Linotype" w:hAnsi="Palatino Linotype"/>
          <w:rtl w:val="0"/>
        </w:rPr>
        <w:t xml:space="preserve">, esto es al cuarto día hábil en que tuvo conocimiento de la respuesta.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 los recursos de revisión al rubro anotado, toda vez que se actualizan las hipótesis de procedencia previstas en el artículo 179, fracciones I y II de la Ley de la materia, que a la letra dice:</w:t>
      </w:r>
    </w:p>
    <w:p w:rsidR="00000000" w:rsidDel="00000000" w:rsidP="00000000" w:rsidRDefault="00000000" w:rsidRPr="00000000" w14:paraId="00000051">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2">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3">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negativa de entrega a la información;</w:t>
      </w:r>
    </w:p>
    <w:p w:rsidR="00000000" w:rsidDel="00000000" w:rsidP="00000000" w:rsidRDefault="00000000" w:rsidRPr="00000000" w14:paraId="00000054">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5">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La notificación, entrega o puesta a disposición de información en una modalidad o formato distinto al solicitado;</w:t>
        <w:br w:type="textWrapping"/>
        <w:t xml:space="preserve">…</w:t>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los expedientes electrónicos se advierte, que el tema sobre el que este Organismo Garante de Transparencia y Acceso a la Información se pronunciará será  determinar, si se actualiza la hipótesis prevista en las fracciones I y VIII del artículo 179 de la Ley en la materia. </w:t>
      </w:r>
    </w:p>
    <w:p w:rsidR="00000000" w:rsidDel="00000000" w:rsidP="00000000" w:rsidRDefault="00000000" w:rsidRPr="00000000" w14:paraId="0000005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Antes de entrar al análisis de los pronunciamientos del Sujeto Obligado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A">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B">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1o.</w:t>
      </w:r>
      <w:r w:rsidDel="00000000" w:rsidR="00000000" w:rsidRPr="00000000">
        <w:rPr>
          <w:rFonts w:ascii="Palatino Linotype" w:cs="Palatino Linotype" w:eastAsia="Palatino Linotype" w:hAnsi="Palatino Linotype"/>
          <w:i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C">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D">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00000" w:rsidDel="00000000" w:rsidP="00000000" w:rsidRDefault="00000000" w:rsidRPr="00000000" w14:paraId="0000005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F">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6o.</w:t>
      </w:r>
    </w:p>
    <w:p w:rsidR="00000000" w:rsidDel="00000000" w:rsidP="00000000" w:rsidRDefault="00000000" w:rsidRPr="00000000" w14:paraId="0000006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1">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62">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3">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 La información que se refiere a la vida privada y los datos personales será protegida en los términos y con las excepciones que fijen las leyes.</w:t>
      </w:r>
    </w:p>
    <w:p w:rsidR="00000000" w:rsidDel="00000000" w:rsidP="00000000" w:rsidRDefault="00000000" w:rsidRPr="00000000" w14:paraId="00000064">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65">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IV. 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66">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7">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 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8">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VII. La inobservancia a las disposiciones en materia de acceso a la información pública será sancionada en los términos que dispongan las leyes. [...]</w:t>
      </w:r>
    </w:p>
    <w:p w:rsidR="00000000" w:rsidDel="00000000" w:rsidP="00000000" w:rsidRDefault="00000000" w:rsidRPr="00000000" w14:paraId="0000006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D">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6F">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7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3">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7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rsidR="00000000" w:rsidDel="00000000" w:rsidP="00000000" w:rsidRDefault="00000000" w:rsidRPr="00000000" w14:paraId="00000076">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03/17. “NO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Del="00000000" w:rsidR="00000000" w:rsidRPr="00000000">
        <w:rPr>
          <w:rtl w:val="0"/>
        </w:rPr>
      </w:r>
    </w:p>
    <w:p w:rsidR="00000000" w:rsidDel="00000000" w:rsidP="00000000" w:rsidRDefault="00000000" w:rsidRPr="00000000" w14:paraId="00000077">
      <w:pPr>
        <w:spacing w:after="0" w:line="36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7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7F">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8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85">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86">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87">
      <w:pPr>
        <w:spacing w:after="0" w:lineRule="auto"/>
        <w:ind w:left="567" w:right="560" w:firstLine="0"/>
        <w:jc w:val="both"/>
        <w:rPr>
          <w:rFonts w:ascii="Palatino Linotype" w:cs="Palatino Linotype" w:eastAsia="Palatino Linotype" w:hAnsi="Palatino Linotype"/>
          <w:i w:val="1"/>
        </w:rPr>
      </w:pPr>
      <w:bookmarkStart w:colFirst="0" w:colLast="0" w:name="_heading=h.30j0zll" w:id="2"/>
      <w:bookmarkEnd w:id="2"/>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88">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89">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8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000000" w:rsidDel="00000000" w:rsidP="00000000" w:rsidRDefault="00000000" w:rsidRPr="00000000" w14:paraId="0000008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preciso mencionar que la parte Recurrente requirió la siguiente información:</w:t>
      </w:r>
    </w:p>
    <w:p w:rsidR="00000000" w:rsidDel="00000000" w:rsidP="00000000" w:rsidRDefault="00000000" w:rsidRPr="00000000" w14:paraId="0000008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numPr>
          <w:ilvl w:val="0"/>
          <w:numId w:val="4"/>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Solicito </w:t>
      </w:r>
      <w:r w:rsidDel="00000000" w:rsidR="00000000" w:rsidRPr="00000000">
        <w:rPr>
          <w:rFonts w:ascii="Palatino Linotype" w:cs="Palatino Linotype" w:eastAsia="Palatino Linotype" w:hAnsi="Palatino Linotype"/>
          <w:b w:val="1"/>
          <w:u w:val="single"/>
          <w:rtl w:val="0"/>
        </w:rPr>
        <w:t xml:space="preserve">todos y cada uno de los registros de fallecimiento</w:t>
      </w:r>
      <w:r w:rsidDel="00000000" w:rsidR="00000000" w:rsidRPr="00000000">
        <w:rPr>
          <w:rFonts w:ascii="Palatino Linotype" w:cs="Palatino Linotype" w:eastAsia="Palatino Linotype" w:hAnsi="Palatino Linotype"/>
          <w:b w:val="1"/>
          <w:rtl w:val="0"/>
        </w:rPr>
        <w:t xml:space="preserve"> del registro civil en los años 2015,2016,2017,2018,2019,2020,2021,2022,2023, al diecisiete de septiembre 2024.</w:t>
      </w:r>
    </w:p>
    <w:p w:rsidR="00000000" w:rsidDel="00000000" w:rsidP="00000000" w:rsidRDefault="00000000" w:rsidRPr="00000000" w14:paraId="00000090">
      <w:pPr>
        <w:numPr>
          <w:ilvl w:val="0"/>
          <w:numId w:val="4"/>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Solicito </w:t>
      </w:r>
      <w:r w:rsidDel="00000000" w:rsidR="00000000" w:rsidRPr="00000000">
        <w:rPr>
          <w:rFonts w:ascii="Palatino Linotype" w:cs="Palatino Linotype" w:eastAsia="Palatino Linotype" w:hAnsi="Palatino Linotype"/>
          <w:b w:val="1"/>
          <w:u w:val="single"/>
          <w:rtl w:val="0"/>
        </w:rPr>
        <w:t xml:space="preserve">todos los registros de actas de nacimiento</w:t>
      </w:r>
      <w:r w:rsidDel="00000000" w:rsidR="00000000" w:rsidRPr="00000000">
        <w:rPr>
          <w:rFonts w:ascii="Palatino Linotype" w:cs="Palatino Linotype" w:eastAsia="Palatino Linotype" w:hAnsi="Palatino Linotype"/>
          <w:b w:val="1"/>
          <w:rtl w:val="0"/>
        </w:rPr>
        <w:t xml:space="preserve"> del área de registro civil de los años 2019, 2020, 2021, 2022, 2023, al diecisiete de septiembre de 2024.</w:t>
      </w:r>
    </w:p>
    <w:p w:rsidR="00000000" w:rsidDel="00000000" w:rsidP="00000000" w:rsidRDefault="00000000" w:rsidRPr="00000000" w14:paraId="0000009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Sujeto Obligado, a través de la Oficial 01 del Registro Civil de Tezoyuca, informa que, el solicitante no especifica la forma en que lo requiere, por lo que, se brinda en link del INEGI en el cual se encuentran todos los datos estadísticos con respecto a los registros de defunción realizados en el Registro Civil 01de Tezoyuca, por otro lado, informa que se ponen a disposición las oficinas del Sujeto Obligado.</w:t>
      </w:r>
    </w:p>
    <w:p w:rsidR="00000000" w:rsidDel="00000000" w:rsidP="00000000" w:rsidRDefault="00000000" w:rsidRPr="00000000" w14:paraId="0000009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ello, la parte Recurrente se inconformó en todos los medios de impugnación arguyendo que, el Sujeto Obligado omite la entrega de la información solicitada.</w:t>
      </w:r>
      <w:r w:rsidDel="00000000" w:rsidR="00000000" w:rsidRPr="00000000">
        <w:rPr>
          <w:rtl w:val="0"/>
        </w:rPr>
      </w:r>
    </w:p>
    <w:p w:rsidR="00000000" w:rsidDel="00000000" w:rsidP="00000000" w:rsidRDefault="00000000" w:rsidRPr="00000000" w14:paraId="00000095">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mediante informe justificado, el Sujeto Obligado ratificó su respuesta inicial en cada uno de los medios de impugnación. </w:t>
      </w:r>
    </w:p>
    <w:p w:rsidR="00000000" w:rsidDel="00000000" w:rsidP="00000000" w:rsidRDefault="00000000" w:rsidRPr="00000000" w14:paraId="0000009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en primer momento es de referir que, se colige que los registros de fallecidos y los de actas de nacimiento obran en los libros del registro civil, los cuales de conformidad con  el Reglamento Interior del Registro Civil del Estado de México, </w:t>
      </w:r>
      <w:r w:rsidDel="00000000" w:rsidR="00000000" w:rsidRPr="00000000">
        <w:rPr>
          <w:rFonts w:ascii="Palatino Linotype" w:cs="Palatino Linotype" w:eastAsia="Palatino Linotype" w:hAnsi="Palatino Linotype"/>
          <w:b w:val="1"/>
          <w:rtl w:val="0"/>
        </w:rPr>
        <w:t xml:space="preserve">estarán integrados por </w:t>
      </w:r>
      <w:r w:rsidDel="00000000" w:rsidR="00000000" w:rsidRPr="00000000">
        <w:rPr>
          <w:rFonts w:ascii="Palatino Linotype" w:cs="Palatino Linotype" w:eastAsia="Palatino Linotype" w:hAnsi="Palatino Linotype"/>
          <w:b w:val="1"/>
          <w:u w:val="single"/>
          <w:rtl w:val="0"/>
        </w:rPr>
        <w:t xml:space="preserve">el conjunto de actas de los hechos y actos del estado civil </w:t>
      </w:r>
      <w:r w:rsidDel="00000000" w:rsidR="00000000" w:rsidRPr="00000000">
        <w:rPr>
          <w:rFonts w:ascii="Palatino Linotype" w:cs="Palatino Linotype" w:eastAsia="Palatino Linotype" w:hAnsi="Palatino Linotype"/>
          <w:b w:val="1"/>
          <w:rtl w:val="0"/>
        </w:rPr>
        <w:t xml:space="preserve">que inscribe el Registro Civil, debidamente autorizadas por el/la Director/a General</w:t>
      </w:r>
      <w:r w:rsidDel="00000000" w:rsidR="00000000" w:rsidRPr="00000000">
        <w:rPr>
          <w:rFonts w:ascii="Palatino Linotype" w:cs="Palatino Linotype" w:eastAsia="Palatino Linotype" w:hAnsi="Palatino Linotype"/>
          <w:rtl w:val="0"/>
        </w:rPr>
        <w:t xml:space="preserve"> en papel o cualquier medio electrónico que se determine, los que deberán contener: número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 acta, número de libro, hecho o acto, fecha de registro, municipio, localidad y número de Oficialía,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que constarán de un máximo de doscientas actas, índice correspondiente indicando el total de actas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asentadas, incluyendo las canceladas, razón del cierre del libro, nombre, firma autógrafa o digital el/la Oficial y sello impreso o digital de la Oficialía.</w:t>
      </w:r>
    </w:p>
    <w:p w:rsidR="00000000" w:rsidDel="00000000" w:rsidP="00000000" w:rsidRDefault="00000000" w:rsidRPr="00000000" w14:paraId="0000009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esto, es menester referir que, de acuerdo con el Reglamento Interior del Registro Civil del Estado de México, el registro civil es la institución de carácter público y de interés social, mediante la cual el Estado, a través de su persona titular y sus oficiales investidos de fe pública, inscribe, registra, certifica, da publicidad y solemnidad a las actas relativas al nacimiento, reconocimiento de hijas e hijos, adaptación, matrimonio, divorcio y defunción, y expedición de acta por rectificación para el reconocimiento de identidad de género, asimismo, inscribe las resoluciones que la Ley autoriza. </w:t>
      </w:r>
    </w:p>
    <w:p w:rsidR="00000000" w:rsidDel="00000000" w:rsidP="00000000" w:rsidRDefault="00000000" w:rsidRPr="00000000" w14:paraId="0000009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son obligaciones del oficial del registro civil, las siguientes:</w:t>
      </w:r>
    </w:p>
    <w:p w:rsidR="00000000" w:rsidDel="00000000" w:rsidP="00000000" w:rsidRDefault="00000000" w:rsidRPr="00000000" w14:paraId="0000009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20</w:t>
      </w:r>
      <w:r w:rsidDel="00000000" w:rsidR="00000000" w:rsidRPr="00000000">
        <w:rPr>
          <w:rFonts w:ascii="Palatino Linotype" w:cs="Palatino Linotype" w:eastAsia="Palatino Linotype" w:hAnsi="Palatino Linotype"/>
          <w:i w:val="1"/>
          <w:rtl w:val="0"/>
        </w:rPr>
        <w:t xml:space="preserve">. Son obligaciones del/de la Oficial del Registro Civil:</w:t>
        <w:br w:type="textWrapping"/>
        <w:t xml:space="preserve">…</w:t>
      </w:r>
    </w:p>
    <w:p w:rsidR="00000000" w:rsidDel="00000000" w:rsidP="00000000" w:rsidRDefault="00000000" w:rsidRPr="00000000" w14:paraId="0000009F">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Tener bajo su custodia y responsabilidad los formatos para el asentamiento de hechos y actos del estado civil y las hojas de papel seguridad para copias certificadas, órdenes de inhumación o cremación, apéndices y demás documentos necesarios para el ejercicio de sus atribuciones, así como el equipo y herramientas necesarias para el procedimiento de automatización.</w:t>
      </w:r>
    </w:p>
    <w:p w:rsidR="00000000" w:rsidDel="00000000" w:rsidP="00000000" w:rsidRDefault="00000000" w:rsidRPr="00000000" w14:paraId="000000A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1">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XVIII. Mantener actualizado el inventario de libros e índices de la Oficialía a su cargo.</w:t>
      </w:r>
    </w:p>
    <w:p w:rsidR="00000000" w:rsidDel="00000000" w:rsidP="00000000" w:rsidRDefault="00000000" w:rsidRPr="00000000" w14:paraId="000000A2">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3">
      <w:pPr>
        <w:spacing w:after="0" w:lineRule="auto"/>
        <w:ind w:right="56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4">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es de mencionar que, </w:t>
      </w:r>
      <w:r w:rsidDel="00000000" w:rsidR="00000000" w:rsidRPr="00000000">
        <w:rPr>
          <w:rFonts w:ascii="Palatino Linotype" w:cs="Palatino Linotype" w:eastAsia="Palatino Linotype" w:hAnsi="Palatino Linotype"/>
          <w:b w:val="1"/>
          <w:rtl w:val="0"/>
        </w:rPr>
        <w:t xml:space="preserve">los libros del Registro Civil </w:t>
      </w:r>
      <w:r w:rsidDel="00000000" w:rsidR="00000000" w:rsidRPr="00000000">
        <w:rPr>
          <w:rFonts w:ascii="Palatino Linotype" w:cs="Palatino Linotype" w:eastAsia="Palatino Linotype" w:hAnsi="Palatino Linotype"/>
          <w:rtl w:val="0"/>
        </w:rPr>
        <w:t xml:space="preserve">se integrarán con las actas asentadas en los formatos autorizados por la Dirección General y deberán ser almacenados en un sistema informático, además, en ellas, </w:t>
      </w:r>
      <w:r w:rsidDel="00000000" w:rsidR="00000000" w:rsidRPr="00000000">
        <w:rPr>
          <w:rFonts w:ascii="Palatino Linotype" w:cs="Palatino Linotype" w:eastAsia="Palatino Linotype" w:hAnsi="Palatino Linotype"/>
          <w:b w:val="1"/>
          <w:rtl w:val="0"/>
        </w:rPr>
        <w:t xml:space="preserve">se asentarán los hechos y actos del estado civil </w:t>
      </w:r>
      <w:r w:rsidDel="00000000" w:rsidR="00000000" w:rsidRPr="00000000">
        <w:rPr>
          <w:rFonts w:ascii="Palatino Linotype" w:cs="Palatino Linotype" w:eastAsia="Palatino Linotype" w:hAnsi="Palatino Linotype"/>
          <w:rtl w:val="0"/>
        </w:rPr>
        <w:t xml:space="preserve">y deberán ser firmados con la rúbrica del Director General en forma autógrafa, tal como se advierte a continuación:</w:t>
      </w:r>
    </w:p>
    <w:p w:rsidR="00000000" w:rsidDel="00000000" w:rsidP="00000000" w:rsidRDefault="00000000" w:rsidRPr="00000000" w14:paraId="000000A5">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48.</w:t>
      </w:r>
      <w:r w:rsidDel="00000000" w:rsidR="00000000" w:rsidRPr="00000000">
        <w:rPr>
          <w:rFonts w:ascii="Palatino Linotype" w:cs="Palatino Linotype" w:eastAsia="Palatino Linotype" w:hAnsi="Palatino Linotype"/>
          <w:i w:val="1"/>
          <w:rtl w:val="0"/>
        </w:rPr>
        <w:t xml:space="preserve"> Los libros del Registro Civil </w:t>
      </w:r>
      <w:r w:rsidDel="00000000" w:rsidR="00000000" w:rsidRPr="00000000">
        <w:rPr>
          <w:rFonts w:ascii="Palatino Linotype" w:cs="Palatino Linotype" w:eastAsia="Palatino Linotype" w:hAnsi="Palatino Linotype"/>
          <w:i w:val="1"/>
          <w:u w:val="single"/>
          <w:rtl w:val="0"/>
        </w:rPr>
        <w:t xml:space="preserve">se integrarán con las actas asentadas</w:t>
      </w:r>
      <w:r w:rsidDel="00000000" w:rsidR="00000000" w:rsidRPr="00000000">
        <w:rPr>
          <w:rFonts w:ascii="Palatino Linotype" w:cs="Palatino Linotype" w:eastAsia="Palatino Linotype" w:hAnsi="Palatino Linotype"/>
          <w:i w:val="1"/>
          <w:rtl w:val="0"/>
        </w:rPr>
        <w:t xml:space="preserve"> en los formatos autorizados por la Dirección General y deberán ser almacenados en un sistema informático central establecido por la Dirección. </w:t>
      </w:r>
    </w:p>
    <w:p w:rsidR="00000000" w:rsidDel="00000000" w:rsidP="00000000" w:rsidRDefault="00000000" w:rsidRPr="00000000" w14:paraId="000000A7">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8">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Los/las Oficiales asentarán en las actas los hechos y actos del estado civil integrando los libros de: nacimiento, reconocimiento de hijo/a, matrimonio, divorcio, defunción e inscripción de sentencias.</w:t>
      </w:r>
    </w:p>
    <w:p w:rsidR="00000000" w:rsidDel="00000000" w:rsidP="00000000" w:rsidRDefault="00000000" w:rsidRPr="00000000" w14:paraId="000000A9">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A">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50.</w:t>
      </w:r>
      <w:r w:rsidDel="00000000" w:rsidR="00000000" w:rsidRPr="00000000">
        <w:rPr>
          <w:rFonts w:ascii="Palatino Linotype" w:cs="Palatino Linotype" w:eastAsia="Palatino Linotype" w:hAnsi="Palatino Linotype"/>
          <w:i w:val="1"/>
          <w:rtl w:val="0"/>
        </w:rPr>
        <w:t xml:space="preserve"> Todos los libros del Registro Civil serán firmados con la rúbrica del/de la Director/a General en forma autógrafa, digitalizada o cualquier otro medio, en el transcurso del siguiente año al ejercicio de que se trate.</w:t>
      </w:r>
    </w:p>
    <w:p w:rsidR="00000000" w:rsidDel="00000000" w:rsidP="00000000" w:rsidRDefault="00000000" w:rsidRPr="00000000" w14:paraId="000000AB">
      <w:pPr>
        <w:tabs>
          <w:tab w:val="left" w:leader="none" w:pos="8222"/>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tabs>
          <w:tab w:val="left" w:leader="none" w:pos="8222"/>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el tema que ahora nos ocupa, en cuanto hace a las actas de nacimiento, en su asentamiento deberá contener el nombre del presentado con los apellidos que correspondan, su nacionalidad y la filiación, por su parte, en las actas de defunción se asentará, el lugar donde ocurrió el deceso y se transcribirá textualmente los datos contenidos en el certificado médico de defunción:</w:t>
      </w:r>
    </w:p>
    <w:p w:rsidR="00000000" w:rsidDel="00000000" w:rsidP="00000000" w:rsidRDefault="00000000" w:rsidRPr="00000000" w14:paraId="000000AD">
      <w:pPr>
        <w:tabs>
          <w:tab w:val="left" w:leader="none" w:pos="8222"/>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En el asentamiento de todo registro de nacimiento, el/la Oficial cuidará que la filiación respecto de los padres del/de la registrado/a, únicamente se haga constar cuando se acredite fehacientemente en términos de Ley, preservando el derecho superior a tener un nombre y nacionalidad, asentándose el nombre del/de la presentado/a con los apellidos que le correspondan, de acuerdo con lo estipulado en el Código Civil vigente en la Entidad.</w:t>
      </w:r>
    </w:p>
    <w:p w:rsidR="00000000" w:rsidDel="00000000" w:rsidP="00000000" w:rsidRDefault="00000000" w:rsidRPr="00000000" w14:paraId="000000AF">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B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88.</w:t>
      </w:r>
      <w:r w:rsidDel="00000000" w:rsidR="00000000" w:rsidRPr="00000000">
        <w:rPr>
          <w:rFonts w:ascii="Palatino Linotype" w:cs="Palatino Linotype" w:eastAsia="Palatino Linotype" w:hAnsi="Palatino Linotype"/>
          <w:i w:val="1"/>
          <w:rtl w:val="0"/>
        </w:rPr>
        <w:t xml:space="preserve"> El acta de defunción se asentará en el lugar en que ocurrió el deceso, transcribiéndose textualmente los datos contenidos en el certificado médico de defunción.</w:t>
      </w:r>
    </w:p>
    <w:p w:rsidR="00000000" w:rsidDel="00000000" w:rsidP="00000000" w:rsidRDefault="00000000" w:rsidRPr="00000000" w14:paraId="000000B1">
      <w:pPr>
        <w:spacing w:after="0" w:lineRule="auto"/>
        <w:ind w:right="56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2">
      <w:pPr>
        <w:spacing w:after="0" w:line="360" w:lineRule="auto"/>
        <w:ind w:right="5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hace al Sujeto Obligado que nos ocupa, el Bando Municipal del Ayuntamiento, establece en su artículo 66 que:</w:t>
      </w:r>
    </w:p>
    <w:p w:rsidR="00000000" w:rsidDel="00000000" w:rsidP="00000000" w:rsidRDefault="00000000" w:rsidRPr="00000000" w14:paraId="000000B3">
      <w:pPr>
        <w:spacing w:after="0" w:line="360" w:lineRule="auto"/>
        <w:ind w:right="5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4">
      <w:pPr>
        <w:spacing w:after="0" w:line="360" w:lineRule="auto"/>
        <w:ind w:right="5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1270000"/>
            <wp:effectExtent b="0" l="0" r="0" t="0"/>
            <wp:docPr id="4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56275"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0" w:line="360" w:lineRule="auto"/>
        <w:ind w:right="5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728980"/>
            <wp:effectExtent b="0" l="0" r="0" t="0"/>
            <wp:docPr id="5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56275" cy="72898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0" w:line="360" w:lineRule="auto"/>
        <w:ind w:right="5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after="0" w:line="360" w:lineRule="auto"/>
        <w:ind w:right="5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3552190"/>
            <wp:effectExtent b="0" l="0" r="0" t="0"/>
            <wp:docPr id="5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56275" cy="355219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after="0" w:line="360" w:lineRule="auto"/>
        <w:ind w:left="284"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78068" cy="3082380"/>
            <wp:effectExtent b="0" l="0" r="0" t="0"/>
            <wp:docPr id="5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678068" cy="308238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0" w:line="360" w:lineRule="auto"/>
        <w:ind w:right="5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A">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que, el Sujeto Obligado cuenta con atribuciones, facultades y competencia, para poseer y administrar la información solicitada, asimismo, se advierte que, quien dio atención a la solicitud de información fue la Unidad Administrativa Competente, a saber la Oficialía del Registro Civil de Tezoyuca.</w:t>
      </w:r>
    </w:p>
    <w:p w:rsidR="00000000" w:rsidDel="00000000" w:rsidP="00000000" w:rsidRDefault="00000000" w:rsidRPr="00000000" w14:paraId="000000BB">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esto, es de recordar que, la pretensión de la parte Recurrente se puede tener por colmada con la entrega de los libros del registro civil, en el cual como se precisó </w:t>
      </w:r>
      <w:r w:rsidDel="00000000" w:rsidR="00000000" w:rsidRPr="00000000">
        <w:rPr>
          <w:rFonts w:ascii="Palatino Linotype" w:cs="Palatino Linotype" w:eastAsia="Palatino Linotype" w:hAnsi="Palatino Linotype"/>
          <w:b w:val="1"/>
          <w:rtl w:val="0"/>
        </w:rPr>
        <w:t xml:space="preserve">estarán integrados por </w:t>
      </w:r>
      <w:r w:rsidDel="00000000" w:rsidR="00000000" w:rsidRPr="00000000">
        <w:rPr>
          <w:rFonts w:ascii="Palatino Linotype" w:cs="Palatino Linotype" w:eastAsia="Palatino Linotype" w:hAnsi="Palatino Linotype"/>
          <w:b w:val="1"/>
          <w:u w:val="single"/>
          <w:rtl w:val="0"/>
        </w:rPr>
        <w:t xml:space="preserve">el conjunto de actas de los hechos y actos del estado civil </w:t>
      </w:r>
      <w:r w:rsidDel="00000000" w:rsidR="00000000" w:rsidRPr="00000000">
        <w:rPr>
          <w:rFonts w:ascii="Palatino Linotype" w:cs="Palatino Linotype" w:eastAsia="Palatino Linotype" w:hAnsi="Palatino Linotype"/>
          <w:b w:val="1"/>
          <w:rtl w:val="0"/>
        </w:rPr>
        <w:t xml:space="preserve">que inscribe el Registro Civil, debidamente autorizadas por el/la Director/a General</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B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relevante señalar que la protección de los datos personales se encuentra prevista desde la Constitución Política de los Estados Unidos Mexicanos, que establece lo siguiente:</w:t>
      </w:r>
    </w:p>
    <w:p w:rsidR="00000000" w:rsidDel="00000000" w:rsidP="00000000" w:rsidRDefault="00000000" w:rsidRPr="00000000" w14:paraId="000000BF">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6.</w:t>
      </w:r>
      <w:r w:rsidDel="00000000" w:rsidR="00000000" w:rsidRPr="00000000">
        <w:rPr>
          <w:rFonts w:ascii="Palatino Linotype" w:cs="Palatino Linotype" w:eastAsia="Palatino Linotype" w:hAnsi="Palatino Linotype"/>
          <w:i w:val="1"/>
          <w:rtl w:val="0"/>
        </w:rPr>
        <w:t xml:space="preserve"> La manifestación de las ideas no será objeto de ninguna inquisición judicial o administrativa, sino en el caso de que ataque a la moral, los derechos de tercero, provoque algún delito, o perturbe el orden público; el derecho de réplica será ejercido en los términos dispuestos por la ley. El derecho a la información será garantizado por el Estado.</w:t>
      </w:r>
    </w:p>
    <w:p w:rsidR="00000000" w:rsidDel="00000000" w:rsidP="00000000" w:rsidRDefault="00000000" w:rsidRPr="00000000" w14:paraId="000000C0">
      <w:pPr>
        <w:spacing w:after="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1">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w:t>
      </w:r>
      <w:r w:rsidDel="00000000" w:rsidR="00000000" w:rsidRPr="00000000">
        <w:rPr>
          <w:rFonts w:ascii="Palatino Linotype" w:cs="Palatino Linotype" w:eastAsia="Palatino Linotype" w:hAnsi="Palatino Linotype"/>
          <w:i w:val="1"/>
          <w:rtl w:val="0"/>
        </w:rPr>
        <w:t xml:space="preserve"> Para el ejercicio del derecho de acceso a la información, la Federación, los Estados y el Distrito Federal, en el ámbito de sus respectivas competencias, se regirán por los siguientes principios y bases:</w:t>
      </w:r>
    </w:p>
    <w:p w:rsidR="00000000" w:rsidDel="00000000" w:rsidP="00000000" w:rsidRDefault="00000000" w:rsidRPr="00000000" w14:paraId="000000C2">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3">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 La información que se refiere a la vida privada y los datos personales será protegida en los términos y con las excepciones que fijen las leyes.</w:t>
      </w:r>
      <w:r w:rsidDel="00000000" w:rsidR="00000000" w:rsidRPr="00000000">
        <w:rPr>
          <w:rtl w:val="0"/>
        </w:rPr>
      </w:r>
    </w:p>
    <w:p w:rsidR="00000000" w:rsidDel="00000000" w:rsidP="00000000" w:rsidRDefault="00000000" w:rsidRPr="00000000" w14:paraId="000000C4">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5">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C6">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persona tiene derecho a la protección de sus datos personales</w:t>
      </w:r>
      <w:r w:rsidDel="00000000" w:rsidR="00000000" w:rsidRPr="00000000">
        <w:rPr>
          <w:rFonts w:ascii="Palatino Linotype" w:cs="Palatino Linotype" w:eastAsia="Palatino Linotype" w:hAnsi="Palatino Linotype"/>
          <w:i w:val="1"/>
          <w:rtl w:val="0"/>
        </w:rPr>
        <w:t xml:space="preserve">,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000000" w:rsidDel="00000000" w:rsidP="00000000" w:rsidRDefault="00000000" w:rsidRPr="00000000" w14:paraId="000000C7">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8">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el artículo 5° párrafo primero, vigésimo tercero, vigésimo noveno y trigésimo, de la Constitución Política del Estado Libre y Soberano de México, precisa lo siguiente:</w:t>
      </w:r>
    </w:p>
    <w:p w:rsidR="00000000" w:rsidDel="00000000" w:rsidP="00000000" w:rsidRDefault="00000000" w:rsidRPr="00000000" w14:paraId="000000CA">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000000" w:rsidDel="00000000" w:rsidP="00000000" w:rsidRDefault="00000000" w:rsidRPr="00000000" w14:paraId="000000CC">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D">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manifestación de las ideas no será objeto de ninguna inquisición judicial o administrativa, sino en el caso de que ataque a la moral, la vida privada o los derechos de tercero, provoque algún delito, o perturbe el orden público; el derecho de réplica será ejercido en los términos dispuestos por la ley.</w:t>
      </w:r>
    </w:p>
    <w:p w:rsidR="00000000" w:rsidDel="00000000" w:rsidP="00000000" w:rsidRDefault="00000000" w:rsidRPr="00000000" w14:paraId="000000CE">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F">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00000" w:rsidDel="00000000" w:rsidP="00000000" w:rsidRDefault="00000000" w:rsidRPr="00000000" w14:paraId="000000D0">
      <w:pPr>
        <w:spacing w:after="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1">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Este derecho se regirá por los principios y bases siguientes:</w:t>
      </w:r>
    </w:p>
    <w:p w:rsidR="00000000" w:rsidDel="00000000" w:rsidP="00000000" w:rsidRDefault="00000000" w:rsidRPr="00000000" w14:paraId="000000D2">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3">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000000" w:rsidDel="00000000" w:rsidP="00000000" w:rsidRDefault="00000000" w:rsidRPr="00000000" w14:paraId="000000D4">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5">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normas transcritas, se desprende que la información que se refiere al ámbito privado de las personas, así como los datos personales, debe estar protegida, en los términos y con las excepciones a los principios de tratamiento de datos que por razones de orden público fije la ley, por lo que, toda persona tiene derecho a la protección de sus datos personales.</w:t>
      </w:r>
    </w:p>
    <w:p w:rsidR="00000000" w:rsidDel="00000000" w:rsidP="00000000" w:rsidRDefault="00000000" w:rsidRPr="00000000" w14:paraId="000000D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en el artículo 24, fracción VI, de la Ley General de Transparencia y Acceso a la Información Pública, relacionado con el 24, fracción XIV, de la Ley de Transparencia y Acceso a la Información Pública del Estado de México y Municipios, se señala que los sujetos obligados serán los responsables de proteger, resguardar y asegurar los datos personales en su posesión.</w:t>
      </w:r>
    </w:p>
    <w:p w:rsidR="00000000" w:rsidDel="00000000" w:rsidP="00000000" w:rsidRDefault="00000000" w:rsidRPr="00000000" w14:paraId="000000D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concordancia de lo anterior, el artículo 116 y 120 de la Ley General de Transparencia, prevé:</w:t>
      </w:r>
    </w:p>
    <w:p w:rsidR="00000000" w:rsidDel="00000000" w:rsidP="00000000" w:rsidRDefault="00000000" w:rsidRPr="00000000" w14:paraId="000000D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C">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116.</w:t>
      </w:r>
      <w:r w:rsidDel="00000000" w:rsidR="00000000" w:rsidRPr="00000000">
        <w:rPr>
          <w:rFonts w:ascii="Palatino Linotype" w:cs="Palatino Linotype" w:eastAsia="Palatino Linotype" w:hAnsi="Palatino Linotype"/>
          <w:i w:val="1"/>
          <w:rtl w:val="0"/>
        </w:rPr>
        <w:t xml:space="preserve"> Se considera información confidencial la que contiene datos personales concernientes a una persona identificada o identificable.</w:t>
      </w:r>
    </w:p>
    <w:p w:rsidR="00000000" w:rsidDel="00000000" w:rsidP="00000000" w:rsidRDefault="00000000" w:rsidRPr="00000000" w14:paraId="000000DD">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E">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120.</w:t>
      </w:r>
      <w:r w:rsidDel="00000000" w:rsidR="00000000" w:rsidRPr="00000000">
        <w:rPr>
          <w:rFonts w:ascii="Palatino Linotype" w:cs="Palatino Linotype" w:eastAsia="Palatino Linotype" w:hAnsi="Palatino Linotype"/>
          <w:i w:val="1"/>
          <w:rtl w:val="0"/>
        </w:rPr>
        <w:t xml:space="preserve"> Para que los sujetos obligados puedan permitir el acceso a información confidencial requieren obtener el consentimiento de los particulares titulares de la información. </w:t>
      </w:r>
    </w:p>
    <w:p w:rsidR="00000000" w:rsidDel="00000000" w:rsidP="00000000" w:rsidRDefault="00000000" w:rsidRPr="00000000" w14:paraId="000000DF">
      <w:pPr>
        <w:spacing w:after="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0">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requerirá el consentimiento del titular de la información confidencial cuando: </w:t>
      </w:r>
    </w:p>
    <w:p w:rsidR="00000000" w:rsidDel="00000000" w:rsidP="00000000" w:rsidRDefault="00000000" w:rsidRPr="00000000" w14:paraId="000000E1">
      <w:pPr>
        <w:spacing w:after="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2">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información se encuentre en registros públicos o fuentes de acceso público; </w:t>
      </w:r>
    </w:p>
    <w:p w:rsidR="00000000" w:rsidDel="00000000" w:rsidP="00000000" w:rsidRDefault="00000000" w:rsidRPr="00000000" w14:paraId="000000E3">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Por ley tenga el carácter de pública; </w:t>
      </w:r>
    </w:p>
    <w:p w:rsidR="00000000" w:rsidDel="00000000" w:rsidP="00000000" w:rsidRDefault="00000000" w:rsidRPr="00000000" w14:paraId="000000E4">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Exista una orden judicial; </w:t>
      </w:r>
    </w:p>
    <w:p w:rsidR="00000000" w:rsidDel="00000000" w:rsidP="00000000" w:rsidRDefault="00000000" w:rsidRPr="00000000" w14:paraId="000000E5">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Por razones de seguridad nacional y salubridad general, o para proteger los derechos de terceros, se requiera su publicación, o </w:t>
      </w:r>
    </w:p>
    <w:p w:rsidR="00000000" w:rsidDel="00000000" w:rsidP="00000000" w:rsidRDefault="00000000" w:rsidRPr="00000000" w14:paraId="000000E6">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000000" w:rsidDel="00000000" w:rsidP="00000000" w:rsidRDefault="00000000" w:rsidRPr="00000000" w14:paraId="000000E7">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retoma de manera similar la Ley Estatal de Transparencia, en los artículos 143, fracción I, 147 y 148, que señalan:</w:t>
      </w:r>
    </w:p>
    <w:p w:rsidR="00000000" w:rsidDel="00000000" w:rsidP="00000000" w:rsidRDefault="00000000" w:rsidRPr="00000000" w14:paraId="000000EA">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spacing w:after="0" w:lineRule="auto"/>
        <w:ind w:left="567" w:right="567" w:firstLine="0"/>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143. </w:t>
      </w:r>
      <w:r w:rsidDel="00000000" w:rsidR="00000000" w:rsidRPr="00000000">
        <w:rPr>
          <w:rFonts w:ascii="Palatino Linotype" w:cs="Palatino Linotype" w:eastAsia="Palatino Linotype" w:hAnsi="Palatino Linotype"/>
          <w:i w:val="1"/>
          <w:rtl w:val="0"/>
        </w:rPr>
        <w:t xml:space="preserve">Para los efectos de esta Ley se considera información confidencial, la clasificada como tal, de manera permanente, por su naturaleza, cuando:</w:t>
      </w:r>
      <w:r w:rsidDel="00000000" w:rsidR="00000000" w:rsidRPr="00000000">
        <w:rPr>
          <w:rFonts w:ascii="Palatino Linotype" w:cs="Palatino Linotype" w:eastAsia="Palatino Linotype" w:hAnsi="Palatino Linotype"/>
          <w:b w:val="1"/>
          <w:i w:val="1"/>
          <w:rtl w:val="0"/>
        </w:rPr>
        <w:t xml:space="preserve"> </w:t>
      </w:r>
    </w:p>
    <w:p w:rsidR="00000000" w:rsidDel="00000000" w:rsidP="00000000" w:rsidRDefault="00000000" w:rsidRPr="00000000" w14:paraId="000000EC">
      <w:pPr>
        <w:spacing w:after="0" w:lineRule="auto"/>
        <w:ind w:left="567" w:right="567" w:firstLine="0"/>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ED">
      <w:pPr>
        <w:spacing w:after="0" w:lineRule="auto"/>
        <w:ind w:left="567" w:right="567"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jurídica colectiva identificada o identificable;</w:t>
      </w:r>
    </w:p>
    <w:p w:rsidR="00000000" w:rsidDel="00000000" w:rsidP="00000000" w:rsidRDefault="00000000" w:rsidRPr="00000000" w14:paraId="000000EE">
      <w:pPr>
        <w:spacing w:after="0" w:lineRule="auto"/>
        <w:ind w:left="567" w:right="567"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F">
      <w:pPr>
        <w:spacing w:after="0" w:lineRule="auto"/>
        <w:ind w:left="567" w:right="567"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147.</w:t>
      </w:r>
      <w:r w:rsidDel="00000000" w:rsidR="00000000" w:rsidRPr="00000000">
        <w:rPr>
          <w:rFonts w:ascii="Palatino Linotype" w:cs="Palatino Linotype" w:eastAsia="Palatino Linotype" w:hAnsi="Palatino Linotype"/>
          <w:i w:val="1"/>
          <w:rtl w:val="0"/>
        </w:rPr>
        <w:t xml:space="preserve"> Para que los sujetos obligados puedan permitir el acceso a información confidencial requieren obtener el consentimiento de los particulares titulares de la información. </w:t>
      </w:r>
    </w:p>
    <w:p w:rsidR="00000000" w:rsidDel="00000000" w:rsidP="00000000" w:rsidRDefault="00000000" w:rsidRPr="00000000" w14:paraId="000000F0">
      <w:pPr>
        <w:spacing w:after="0" w:lineRule="auto"/>
        <w:ind w:left="567" w:right="567" w:firstLine="0"/>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1">
      <w:pPr>
        <w:spacing w:after="0" w:lineRule="auto"/>
        <w:ind w:left="567" w:right="567"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148. </w:t>
      </w:r>
      <w:r w:rsidDel="00000000" w:rsidR="00000000" w:rsidRPr="00000000">
        <w:rPr>
          <w:rFonts w:ascii="Palatino Linotype" w:cs="Palatino Linotype" w:eastAsia="Palatino Linotype" w:hAnsi="Palatino Linotype"/>
          <w:i w:val="1"/>
          <w:rtl w:val="0"/>
        </w:rPr>
        <w:t xml:space="preserve">No se requerirá el consentimiento del titular de la información confidencial cuando: </w:t>
      </w:r>
    </w:p>
    <w:p w:rsidR="00000000" w:rsidDel="00000000" w:rsidP="00000000" w:rsidRDefault="00000000" w:rsidRPr="00000000" w14:paraId="000000F2">
      <w:pPr>
        <w:spacing w:after="0" w:lineRule="auto"/>
        <w:ind w:left="567" w:right="567" w:firstLine="0"/>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3">
      <w:pPr>
        <w:spacing w:after="0" w:lineRule="auto"/>
        <w:ind w:left="567" w:right="567"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información se encuentre en registros públicos o fuentes de acceso público; </w:t>
      </w:r>
    </w:p>
    <w:p w:rsidR="00000000" w:rsidDel="00000000" w:rsidP="00000000" w:rsidRDefault="00000000" w:rsidRPr="00000000" w14:paraId="000000F4">
      <w:pPr>
        <w:spacing w:after="0" w:lineRule="auto"/>
        <w:ind w:left="567" w:right="567"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Por Ley tenga el carácter de pública; </w:t>
      </w:r>
    </w:p>
    <w:p w:rsidR="00000000" w:rsidDel="00000000" w:rsidP="00000000" w:rsidRDefault="00000000" w:rsidRPr="00000000" w14:paraId="000000F5">
      <w:pPr>
        <w:spacing w:after="0" w:lineRule="auto"/>
        <w:ind w:left="567" w:right="567"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Exista una orden judicial; </w:t>
      </w:r>
    </w:p>
    <w:p w:rsidR="00000000" w:rsidDel="00000000" w:rsidP="00000000" w:rsidRDefault="00000000" w:rsidRPr="00000000" w14:paraId="000000F6">
      <w:pPr>
        <w:spacing w:after="0" w:lineRule="auto"/>
        <w:ind w:left="567" w:right="567"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Por razones de seguridad pública, o para proteger los derechos de terceros, se requiera su publicación; o </w:t>
      </w:r>
    </w:p>
    <w:p w:rsidR="00000000" w:rsidDel="00000000" w:rsidP="00000000" w:rsidRDefault="00000000" w:rsidRPr="00000000" w14:paraId="000000F7">
      <w:pPr>
        <w:spacing w:after="0" w:lineRule="auto"/>
        <w:ind w:left="567" w:right="567"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000000" w:rsidDel="00000000" w:rsidP="00000000" w:rsidRDefault="00000000" w:rsidRPr="00000000" w14:paraId="000000F8">
      <w:pPr>
        <w:spacing w:after="0" w:lineRule="auto"/>
        <w:ind w:left="567" w:right="567"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9">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advierte que la información confidencial, es aquella que refiera a información de la vida privada o que contenga datos personales concernientes a una persona identificada o identificable, misma que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FB">
      <w:pPr>
        <w:spacing w:after="0" w:line="36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F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términos de lo expuesto, la documentación y aquellos datos que se consideren confidenciales conforme a lo dispuesto en la fracción I, del artículo 143 de la Ley de Transparencia y Acceso a la Información Pública del Estado de México y Municipios, serán una limitante del derecho de acceso a la información, siempre y cuando:</w:t>
      </w:r>
    </w:p>
    <w:p w:rsidR="00000000" w:rsidDel="00000000" w:rsidP="00000000" w:rsidRDefault="00000000" w:rsidRPr="00000000" w14:paraId="000000FD">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E">
      <w:pPr>
        <w:numPr>
          <w:ilvl w:val="0"/>
          <w:numId w:val="1"/>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trate de datos personales, esto es, información concerniente a una persona física y que ésta sea identificada o identificable o bien, sea aquella que refiera aspectos de la vida privada o íntima de las personas. </w:t>
      </w:r>
    </w:p>
    <w:p w:rsidR="00000000" w:rsidDel="00000000" w:rsidP="00000000" w:rsidRDefault="00000000" w:rsidRPr="00000000" w14:paraId="000000FF">
      <w:pPr>
        <w:numPr>
          <w:ilvl w:val="0"/>
          <w:numId w:val="1"/>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la difusión de los datos, se requiera el consentimiento del titular. </w:t>
      </w:r>
    </w:p>
    <w:p w:rsidR="00000000" w:rsidDel="00000000" w:rsidP="00000000" w:rsidRDefault="00000000" w:rsidRPr="00000000" w14:paraId="00000100">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el artículo 4°, fracción IX, de la Ley General de Protección de Datos Personales en Posesión de Sujetos Obligados y 4°, fracción XI, de la Ley de Protección de Datos Personales en Posesión de Sujetos Obligados del Estado de México y Municipios, establece que los </w:t>
      </w:r>
      <w:r w:rsidDel="00000000" w:rsidR="00000000" w:rsidRPr="00000000">
        <w:rPr>
          <w:rFonts w:ascii="Palatino Linotype" w:cs="Palatino Linotype" w:eastAsia="Palatino Linotype" w:hAnsi="Palatino Linotype"/>
          <w:b w:val="1"/>
          <w:rtl w:val="0"/>
        </w:rPr>
        <w:t xml:space="preserve">datos personales corresponden a la información concerniente a una persona física identificada o identificable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02">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la definición de un dato personal, en palabras de Davara, Isabel; Barco, Gregorio, Barco; y Cervantes, Alexis (2019), en el “</w:t>
      </w:r>
      <w:r w:rsidDel="00000000" w:rsidR="00000000" w:rsidRPr="00000000">
        <w:rPr>
          <w:rFonts w:ascii="Palatino Linotype" w:cs="Palatino Linotype" w:eastAsia="Palatino Linotype" w:hAnsi="Palatino Linotype"/>
          <w:i w:val="1"/>
          <w:rtl w:val="0"/>
        </w:rPr>
        <w:t xml:space="preserve">Diccionario de Protección de Datos Personales Conceptos Fundamentales”</w:t>
      </w:r>
      <w:r w:rsidDel="00000000" w:rsidR="00000000" w:rsidRPr="00000000">
        <w:rPr>
          <w:rFonts w:ascii="Palatino Linotype" w:cs="Palatino Linotype" w:eastAsia="Palatino Linotype" w:hAnsi="Palatino Linotype"/>
          <w:rtl w:val="0"/>
        </w:rPr>
        <w:t xml:space="preserve"> (p. 211), consta de cuatro elementos, a saber: a) que se refiera a cualquier tipo de información, b) que concierna a una persona, c) que se refiera a una persona física y d) que toda esta información lo haga identificada o identificable. </w:t>
      </w:r>
    </w:p>
    <w:p w:rsidR="00000000" w:rsidDel="00000000" w:rsidP="00000000" w:rsidRDefault="00000000" w:rsidRPr="00000000" w14:paraId="00000104">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5">
      <w:pPr>
        <w:spacing w:after="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Así, se puede desprender que los libros del Registro Civil están integrados por documentos que atañen netamente a la esfera privada de los particulares, por lo que, se colige que, la parte Recurrente pretende acceder a información de índole privada, pues la información de su interés se refiere a la vida íntima de particulares.</w:t>
      </w:r>
    </w:p>
    <w:p w:rsidR="00000000" w:rsidDel="00000000" w:rsidP="00000000" w:rsidRDefault="00000000" w:rsidRPr="00000000" w14:paraId="0000010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7">
      <w:pPr>
        <w:spacing w:after="0"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el tema, el artículo 12 de la Declaración Universal de los Derechos Humanos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prevé que nadie será objeto de injerencias arbitrarias en su vida privada, su familia, su domicilio o su correspondencia, ni de ataques a su honra o a su reputación. Toda persona tiene derecho a la protección de la ley contra tales injerencias o ataques.</w:t>
      </w:r>
    </w:p>
    <w:p w:rsidR="00000000" w:rsidDel="00000000" w:rsidP="00000000" w:rsidRDefault="00000000" w:rsidRPr="00000000" w14:paraId="00000108">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000000" w:rsidDel="00000000" w:rsidP="00000000" w:rsidRDefault="00000000" w:rsidRPr="00000000" w14:paraId="0000010A">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000000" w:rsidDel="00000000" w:rsidP="00000000" w:rsidRDefault="00000000" w:rsidRPr="00000000" w14:paraId="0000010C">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Abona a lo anterior,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rsidR="00000000" w:rsidDel="00000000" w:rsidP="00000000" w:rsidRDefault="00000000" w:rsidRPr="00000000" w14:paraId="0000010E">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F">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DERECHO A LA VIDA PRIVADA. SU CONTENIDO GENERAL Y LA IMPORTANCIA DE NO DESCONTEXTUALIZAR LAS REFERENCIAS A LA MISMA. </w:t>
      </w:r>
      <w:r w:rsidDel="00000000" w:rsidR="00000000" w:rsidRPr="00000000">
        <w:rPr>
          <w:rFonts w:ascii="Palatino Linotype" w:cs="Palatino Linotype" w:eastAsia="Palatino Linotype" w:hAnsi="Palatino Linotype"/>
          <w:i w:val="1"/>
          <w:rtl w:val="0"/>
        </w:rPr>
        <w:t xml:space="preserve">La Suprema Corte de Justicia de la Nación se ha referido en varias tesis a los </w:t>
      </w:r>
      <w:r w:rsidDel="00000000" w:rsidR="00000000" w:rsidRPr="00000000">
        <w:rPr>
          <w:rFonts w:ascii="Palatino Linotype" w:cs="Palatino Linotype" w:eastAsia="Palatino Linotype" w:hAnsi="Palatino Linotype"/>
          <w:i w:val="1"/>
          <w:u w:val="single"/>
          <w:rtl w:val="0"/>
        </w:rPr>
        <w:t xml:space="preserve">rasgos característicos de la noción de lo ‘privado’</w:t>
      </w:r>
      <w:r w:rsidDel="00000000" w:rsidR="00000000" w:rsidRPr="00000000">
        <w:rPr>
          <w:rFonts w:ascii="Palatino Linotype" w:cs="Palatino Linotype" w:eastAsia="Palatino Linotype" w:hAnsi="Palatino Linotype"/>
          <w:i w:val="1"/>
          <w:rtl w:val="0"/>
        </w:rPr>
        <w:t xml:space="preserve">. Así, lo ha relacionado con: lo que no constituye vida pública; </w:t>
      </w:r>
      <w:r w:rsidDel="00000000" w:rsidR="00000000" w:rsidRPr="00000000">
        <w:rPr>
          <w:rFonts w:ascii="Palatino Linotype" w:cs="Palatino Linotype" w:eastAsia="Palatino Linotype" w:hAnsi="Palatino Linotype"/>
          <w:i w:val="1"/>
          <w:u w:val="single"/>
          <w:rtl w:val="0"/>
        </w:rPr>
        <w:t xml:space="preserve">el ámbito reservado frente a la acción y el conocimiento de los demás</w:t>
      </w:r>
      <w:r w:rsidDel="00000000" w:rsidR="00000000" w:rsidRPr="00000000">
        <w:rPr>
          <w:rFonts w:ascii="Palatino Linotype" w:cs="Palatino Linotype" w:eastAsia="Palatino Linotype" w:hAnsi="Palatino Linotype"/>
          <w:i w:val="1"/>
          <w:rtl w:val="0"/>
        </w:rPr>
        <w:t xml:space="preserve">;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Del="00000000" w:rsidR="00000000" w:rsidRPr="00000000">
        <w:rPr>
          <w:rFonts w:ascii="Palatino Linotype" w:cs="Palatino Linotype" w:eastAsia="Palatino Linotype" w:hAnsi="Palatino Linotype"/>
          <w:b w:val="1"/>
          <w:i w:val="1"/>
          <w:rtl w:val="0"/>
        </w:rPr>
        <w:t xml:space="preserve">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Del="00000000" w:rsidR="00000000" w:rsidRPr="00000000">
        <w:rPr>
          <w:rFonts w:ascii="Palatino Linotype" w:cs="Palatino Linotype" w:eastAsia="Palatino Linotype" w:hAnsi="Palatino Linotype"/>
          <w:i w:val="1"/>
          <w:rtl w:val="0"/>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Del="00000000" w:rsidR="00000000" w:rsidRPr="00000000">
        <w:rPr>
          <w:rFonts w:ascii="Palatino Linotype" w:cs="Palatino Linotype" w:eastAsia="Palatino Linotype" w:hAnsi="Palatino Linotype"/>
          <w:b w:val="1"/>
          <w:i w:val="1"/>
          <w:rtl w:val="0"/>
        </w:rPr>
        <w:t xml:space="preserve">En un sentido amplio, entonces, la protección constitucional de la vida privada implica poder conducir parte de la vida de uno protegido de la mirada y las injerencias de los demás</w:t>
      </w:r>
      <w:r w:rsidDel="00000000" w:rsidR="00000000" w:rsidRPr="00000000">
        <w:rPr>
          <w:rFonts w:ascii="Palatino Linotype" w:cs="Palatino Linotype" w:eastAsia="Palatino Linotype" w:hAnsi="Palatino Linotype"/>
          <w:i w:val="1"/>
          <w:rtl w:val="0"/>
        </w:rPr>
        <w:t xml:space="preserve">,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rsidR="00000000" w:rsidDel="00000000" w:rsidP="00000000" w:rsidRDefault="00000000" w:rsidRPr="00000000" w14:paraId="00000110">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conformidad con lo señalado, se colige que </w:t>
      </w:r>
      <w:r w:rsidDel="00000000" w:rsidR="00000000" w:rsidRPr="00000000">
        <w:rPr>
          <w:rFonts w:ascii="Palatino Linotype" w:cs="Palatino Linotype" w:eastAsia="Palatino Linotype" w:hAnsi="Palatino Linotype"/>
          <w:b w:val="1"/>
          <w:rtl w:val="0"/>
        </w:rPr>
        <w:t xml:space="preserve">las actividades que realicen los particulares, dentro del ámbito privado, o dentro de la esfera particular, como lo es la inscripción de nacimientos o de defunciones, es información que debe protegerse. </w:t>
      </w:r>
    </w:p>
    <w:p w:rsidR="00000000" w:rsidDel="00000000" w:rsidP="00000000" w:rsidRDefault="00000000" w:rsidRPr="00000000" w14:paraId="00000112">
      <w:pPr>
        <w:spacing w:after="0" w:line="36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w:t>
      </w:r>
    </w:p>
    <w:p w:rsidR="00000000" w:rsidDel="00000000" w:rsidP="00000000" w:rsidRDefault="00000000" w:rsidRPr="00000000" w14:paraId="00000114">
      <w:pPr>
        <w:spacing w:after="0" w:line="36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5">
      <w:pPr>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“DERECHO A LA PRIVACIDAD O INTIMIDAD. ESTÁ PROTEGIDO POR EL ARTÍCULO 16, PRIMER PÁRRAFO, DE LA CONSTITUCIÓN POLÍTICA DE LOS ESTADOS UNIDOS MEXICANOS. </w:t>
      </w:r>
      <w:r w:rsidDel="00000000" w:rsidR="00000000" w:rsidRPr="00000000">
        <w:rPr>
          <w:rFonts w:ascii="Palatino Linotype" w:cs="Palatino Linotype" w:eastAsia="Palatino Linotype" w:hAnsi="Palatino Linotype"/>
          <w:i w:val="1"/>
          <w:rtl w:val="0"/>
        </w:rPr>
        <w:t xml:space="preserve">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rsidR="00000000" w:rsidDel="00000000" w:rsidP="00000000" w:rsidRDefault="00000000" w:rsidRPr="00000000" w14:paraId="00000116">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dicha tesis aislada,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 </w:t>
      </w:r>
    </w:p>
    <w:p w:rsidR="00000000" w:rsidDel="00000000" w:rsidP="00000000" w:rsidRDefault="00000000" w:rsidRPr="00000000" w14:paraId="00000118">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un sentido amplio, dicha garantía puede extenderse a una protección más allá del aseguramiento del domicilio como espacio físico en que se desenvuelve normalmente la privacidad o la intimidad, por lo que en el artículo 16, primer párrafo, constitucional, se da el reconocimiento de un derecho a la privacidad de las personas que implica no ser sujeto de intromisiones o molestias en el ámbito reservado de su vida o intimidad. </w:t>
      </w:r>
    </w:p>
    <w:p w:rsidR="00000000" w:rsidDel="00000000" w:rsidP="00000000" w:rsidRDefault="00000000" w:rsidRPr="00000000" w14:paraId="0000011A">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se considera que entregar el documento que dé cuenta de los registros de nacimiento y defunción, en el presente asunto, proporcionar el Libro de Registros, implicaría revelar un aspecto de la vida privada que vincula a las actuaciones de los particulares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lo cual, constituye información confidencial que afecta su esfera privada, dado que vulneraría la protección de su intimidad. </w:t>
      </w:r>
    </w:p>
    <w:p w:rsidR="00000000" w:rsidDel="00000000" w:rsidP="00000000" w:rsidRDefault="00000000" w:rsidRPr="00000000" w14:paraId="0000011C">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D">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Razón por la cual, se considera que el Sujeto Obligado debe de clasificar el documento que dé cuenta de la información requerida, en términos de lo previsto en el artículo 143, fracción I,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1E">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esto, debe traerse a colación lo dispuesto en el artículo 168 de la Ley de Transparencia y Acceso a la Información Pública del Estado de México y Municipios, que precisa que 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rsidR="00000000" w:rsidDel="00000000" w:rsidP="00000000" w:rsidRDefault="00000000" w:rsidRPr="00000000" w14:paraId="0000012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numPr>
          <w:ilvl w:val="0"/>
          <w:numId w:val="2"/>
        </w:numPr>
        <w:spacing w:after="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Confirmar la clasificación;</w:t>
      </w:r>
    </w:p>
    <w:p w:rsidR="00000000" w:rsidDel="00000000" w:rsidP="00000000" w:rsidRDefault="00000000" w:rsidRPr="00000000" w14:paraId="00000122">
      <w:pPr>
        <w:numPr>
          <w:ilvl w:val="0"/>
          <w:numId w:val="2"/>
        </w:numPr>
        <w:spacing w:after="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Modificar la clasificación y, otorgar total o parcialmente el acceso a la información, o</w:t>
      </w:r>
    </w:p>
    <w:p w:rsidR="00000000" w:rsidDel="00000000" w:rsidP="00000000" w:rsidRDefault="00000000" w:rsidRPr="00000000" w14:paraId="00000123">
      <w:pPr>
        <w:numPr>
          <w:ilvl w:val="0"/>
          <w:numId w:val="2"/>
        </w:numPr>
        <w:spacing w:after="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Revocar la clasificación y conceder el acceso a la información.</w:t>
      </w:r>
    </w:p>
    <w:p w:rsidR="00000000" w:rsidDel="00000000" w:rsidP="00000000" w:rsidRDefault="00000000" w:rsidRPr="00000000" w14:paraId="0000012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lo que en el presente caso sucedió. </w:t>
      </w:r>
    </w:p>
    <w:p w:rsidR="00000000" w:rsidDel="00000000" w:rsidP="00000000" w:rsidRDefault="00000000" w:rsidRPr="00000000" w14:paraId="00000126">
      <w:pPr>
        <w:spacing w:after="0" w:line="360" w:lineRule="auto"/>
        <w:jc w:val="both"/>
        <w:rPr>
          <w:rFonts w:ascii="Palatino Linotype" w:cs="Palatino Linotype" w:eastAsia="Palatino Linotype" w:hAnsi="Palatino Linotype"/>
          <w:strike w:val="1"/>
        </w:rPr>
      </w:pPr>
      <w:r w:rsidDel="00000000" w:rsidR="00000000" w:rsidRPr="00000000">
        <w:rPr>
          <w:rtl w:val="0"/>
        </w:rPr>
      </w:r>
    </w:p>
    <w:p w:rsidR="00000000" w:rsidDel="00000000" w:rsidP="00000000" w:rsidRDefault="00000000" w:rsidRPr="00000000" w14:paraId="00000127">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Dicho lo anterior, se considera que, para atender el requerimiento de información, el Sujeto Obligado deberá seguir el procedimiento establecido en el artículo 168 de la Ley de Transparencia y Acceso a la Información Pública del Estado de México y Municipios y, proporcionar el </w:t>
      </w:r>
      <w:r w:rsidDel="00000000" w:rsidR="00000000" w:rsidRPr="00000000">
        <w:rPr>
          <w:rFonts w:ascii="Palatino Linotype" w:cs="Palatino Linotype" w:eastAsia="Palatino Linotype" w:hAnsi="Palatino Linotype"/>
          <w:b w:val="1"/>
          <w:rtl w:val="0"/>
        </w:rPr>
        <w:t xml:space="preserve">Acuerdo emitido por el Comité de Transparencia, donde clasifique como información confidencial el documento que da cuenta de los registros de nacimiento de los años 2019, 2020, 2021, 2022, 2023 y del uno de enero al diecisiete de septiembre de 2024, así como el documento que dé cuenta de los registros de defunción de los años 2015, 2016, 2017, 2018, 2019, 2020, 2021, 2022, 2023 y del uno de enero al diecisiete de septiembre de 2024, en términos de los artículos 49, fracción VIII y 132 de la Ley de Transparencia del Estado de México y Municipios. </w:t>
      </w:r>
    </w:p>
    <w:p w:rsidR="00000000" w:rsidDel="00000000" w:rsidP="00000000" w:rsidRDefault="00000000" w:rsidRPr="00000000" w14:paraId="0000012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p w:rsidR="00000000" w:rsidDel="00000000" w:rsidP="00000000" w:rsidRDefault="00000000" w:rsidRPr="00000000" w14:paraId="00000129">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no está por demás mencionar que en caso de requerir la búsqueda de algún acta de nacimiento o defunción específica, existe un trámite denominado “búsqueda de las actas de los actos y hechos del estado civil”, cuyo costo está contemplado en el artículo 104 del Código Financiero del Estado de México y Municipios, por ende, se dejan a salvo los derechos de la parte Recurrente para, en caso de requerirlo, realice el trámite respectivo. </w:t>
      </w:r>
    </w:p>
    <w:p w:rsidR="00000000" w:rsidDel="00000000" w:rsidP="00000000" w:rsidRDefault="00000000" w:rsidRPr="00000000" w14:paraId="0000012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2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PARCIALMENTE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los Recursos de Revisión</w:t>
      </w:r>
      <w:r w:rsidDel="00000000" w:rsidR="00000000" w:rsidRPr="00000000">
        <w:rPr>
          <w:rFonts w:ascii="Palatino Linotype" w:cs="Palatino Linotype" w:eastAsia="Palatino Linotype" w:hAnsi="Palatino Linotype"/>
          <w:b w:val="1"/>
          <w:rtl w:val="0"/>
        </w:rPr>
        <w:t xml:space="preserve"> 05874/INFOEM/IP/RR/2024</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y 05875/INFOEM/IP/RR/2024 acumulados</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REVOCAN </w:t>
      </w:r>
      <w:r w:rsidDel="00000000" w:rsidR="00000000" w:rsidRPr="00000000">
        <w:rPr>
          <w:rFonts w:ascii="Palatino Linotype" w:cs="Palatino Linotype" w:eastAsia="Palatino Linotype" w:hAnsi="Palatino Linotype"/>
          <w:rtl w:val="0"/>
        </w:rPr>
        <w:t xml:space="preserve">las respuestas emitidas por 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2E">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2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Cuarto haga entrega, vía Sistema de Acceso a la Información Mexiquense, de lo siguiente: </w:t>
      </w:r>
    </w:p>
    <w:p w:rsidR="00000000" w:rsidDel="00000000" w:rsidP="00000000" w:rsidRDefault="00000000" w:rsidRPr="00000000" w14:paraId="0000013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Acuerdo emitido por el Comité de Transparencia, donde clasifique como información confidencial el documento que da cuenta de todos y cada uno de los registros de nacimiento de los años 2019, 2020, 2021, 2022, 2023 y del uno de enero al diecisiete de septiembre de 2024, así como el documento que dé cuenta de los registros de defunción de los años 2015, 2016, 2017, 2018, 2019, 2020, 2021, 2022, 2023 y del uno de enero al diecisiete de septiembre de 2024, en términos del artículo 143, fracción I, de la Ley de Transparencia y Acceso a la Información Pública del Estado de México y Municipios.</w:t>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left" w:leader="none" w:pos="993"/>
        </w:tabs>
        <w:spacing w:after="0" w:line="360" w:lineRule="auto"/>
        <w:ind w:right="616"/>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3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vía SAIMEX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promover Recurso de Inconformidad, en términos de los artículos 159 y 160 de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Ley General de Transparencia y Acceso a la Información Pública.</w:t>
      </w:r>
    </w:p>
    <w:p w:rsidR="00000000" w:rsidDel="00000000" w:rsidP="00000000" w:rsidRDefault="00000000" w:rsidRPr="00000000" w14:paraId="0000013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3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SEIS DE NOVIEMBRE DE DOS MIL VEINTICUATRO, ANTE EL SECRETARIO TÉCNICO DEL PLENO ALEXIS TAPIA RAMÍREZ. </w:t>
      </w:r>
    </w:p>
    <w:p w:rsidR="00000000" w:rsidDel="00000000" w:rsidP="00000000" w:rsidRDefault="00000000" w:rsidRPr="00000000" w14:paraId="0000013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sectPr>
      <w:headerReference r:id="rId11" w:type="default"/>
      <w:headerReference r:id="rId12" w:type="first"/>
      <w:footerReference r:id="rId13" w:type="default"/>
      <w:footerReference r:id="rId14"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-717544</wp:posOffset>
          </wp:positionH>
          <wp:positionV relativeFrom="paragraph">
            <wp:posOffset>-250184</wp:posOffset>
          </wp:positionV>
          <wp:extent cx="7809876" cy="10165823"/>
          <wp:effectExtent b="0" l="0" r="0" t="0"/>
          <wp:wrapNone/>
          <wp:docPr id="4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5"/>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05874/INFOEM/IP/RR/2024 y acumulado</w:t>
          </w:r>
        </w:p>
      </w:tc>
    </w:tr>
    <w:tr>
      <w:trPr>
        <w:cantSplit w:val="0"/>
        <w:trHeight w:val="217" w:hRule="atLeast"/>
        <w:tblHeader w:val="0"/>
      </w:trPr>
      <w:tc>
        <w:tcPr>
          <w:vAlign w:val="center"/>
        </w:tcPr>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center" w:leader="none" w:pos="4419"/>
              <w:tab w:val="right" w:leader="none" w:pos="8838"/>
            </w:tabs>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Tezoyuca</w:t>
          </w:r>
        </w:p>
      </w:tc>
    </w:tr>
    <w:tr>
      <w:trPr>
        <w:cantSplit w:val="0"/>
        <w:tblHeader w:val="0"/>
      </w:trPr>
      <w:tc>
        <w:tcPr>
          <w:vAlign w:val="center"/>
        </w:tcPr>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-725799</wp:posOffset>
          </wp:positionH>
          <wp:positionV relativeFrom="paragraph">
            <wp:posOffset>-29837</wp:posOffset>
          </wp:positionV>
          <wp:extent cx="7809865" cy="10165715"/>
          <wp:effectExtent b="0" l="0" r="0" t="0"/>
          <wp:wrapNone/>
          <wp:docPr id="4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6"/>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05874/INFOEM/IP/RR/2024 y acumulado</w:t>
          </w:r>
        </w:p>
      </w:tc>
    </w:tr>
    <w:tr>
      <w:trPr>
        <w:cantSplit w:val="0"/>
        <w:tblHeader w:val="0"/>
      </w:trPr>
      <w:tc>
        <w:tcPr>
          <w:vAlign w:val="center"/>
        </w:tcPr>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tl w:val="0"/>
            </w:rPr>
          </w:r>
        </w:p>
      </w:tc>
    </w:tr>
    <w:tr>
      <w:trPr>
        <w:cantSplit w:val="0"/>
        <w:trHeight w:val="152" w:hRule="atLeast"/>
        <w:tblHeader w:val="0"/>
      </w:trPr>
      <w:tc>
        <w:tcPr>
          <w:vAlign w:val="center"/>
        </w:tcPr>
        <w:p w:rsidR="00000000" w:rsidDel="00000000" w:rsidP="00000000" w:rsidRDefault="00000000" w:rsidRPr="00000000" w14:paraId="00000174">
          <w:pP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color w:val="000000"/>
            </w:rPr>
          </w:pPr>
          <w:bookmarkStart w:colFirst="0" w:colLast="0" w:name="_heading=h.tyjcwt" w:id="3"/>
          <w:bookmarkEnd w:id="3"/>
          <w:r w:rsidDel="00000000" w:rsidR="00000000" w:rsidRPr="00000000">
            <w:rPr>
              <w:rFonts w:ascii="Palatino Linotype" w:cs="Palatino Linotype" w:eastAsia="Palatino Linotype" w:hAnsi="Palatino Linotype"/>
              <w:b w:val="1"/>
              <w:color w:val="000000"/>
              <w:rtl w:val="0"/>
            </w:rPr>
            <w:t xml:space="preserve">Ayuntamiento de Tezoyuca</w:t>
          </w:r>
        </w:p>
      </w:tc>
    </w:tr>
    <w:tr>
      <w:trPr>
        <w:cantSplit w:val="0"/>
        <w:tblHeader w:val="0"/>
      </w:trPr>
      <w:tc>
        <w:tcPr>
          <w:vAlign w:val="center"/>
        </w:tcPr>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78">
    <w:pPr>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A4237"/>
    <w:rPr>
      <w:rFonts w:cs="Times New Roman" w:eastAsia="Times New Roman"/>
      <w:lang w:eastAsia="en-U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6" w:customStyle="1">
    <w:name w:val="6"/>
    <w:basedOn w:val="TableNormal10"/>
    <w:tblPr>
      <w:tblStyleRowBandSize w:val="1"/>
      <w:tblStyleColBandSize w:val="1"/>
      <w:tblCellMar>
        <w:top w:w="15.0" w:type="dxa"/>
        <w:left w:w="15.0" w:type="dxa"/>
        <w:bottom w:w="15.0" w:type="dxa"/>
        <w:right w:w="15.0" w:type="dxa"/>
      </w:tblCellMar>
    </w:tblPr>
  </w:style>
  <w:style w:type="table" w:styleId="5" w:customStyle="1">
    <w:name w:val="5"/>
    <w:basedOn w:val="TableNormal10"/>
    <w:tblPr>
      <w:tblStyleRowBandSize w:val="1"/>
      <w:tblStyleColBandSize w:val="1"/>
      <w:tblCellMar>
        <w:left w:w="115.0" w:type="dxa"/>
        <w:right w:w="115.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top w:w="15.0" w:type="dxa"/>
        <w:left w:w="115.0" w:type="dxa"/>
        <w:bottom w:w="15.0" w:type="dxa"/>
        <w:right w:w="115.0" w:type="dxa"/>
      </w:tblCellMar>
    </w:tblPr>
  </w:style>
  <w:style w:type="table" w:styleId="2" w:customStyle="1">
    <w:name w:val="2"/>
    <w:basedOn w:val="TableNormal10"/>
    <w:tblPr>
      <w:tblStyleRowBandSize w:val="1"/>
      <w:tblStyleColBandSize w:val="1"/>
      <w:tblCellMar>
        <w:top w:w="15.0" w:type="dxa"/>
        <w:left w:w="115.0" w:type="dxa"/>
        <w:bottom w:w="15.0" w:type="dxa"/>
        <w:right w:w="115.0" w:type="dxa"/>
      </w:tblCellMar>
    </w:tblPr>
  </w:style>
  <w:style w:type="table" w:styleId="1" w:customStyle="1">
    <w:name w:val="1"/>
    <w:basedOn w:val="TableNormal1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spacing w:after="0" w:line="240" w:lineRule="auto"/>
    </w:pPr>
    <w:rPr>
      <w:rFonts w:ascii="Arial" w:cs="Arial" w:hAnsi="Arial"/>
      <w:color w:val="000000"/>
      <w:sz w:val="24"/>
      <w:szCs w:val="24"/>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pPr>
      <w:spacing w:after="0" w:line="240" w:lineRule="auto"/>
    </w:pPr>
    <w:rPr>
      <w:rFonts w:ascii="Times New Roman" w:cs="Times New Roman" w:eastAsia="Times New Roman" w:hAnsi="Times New Roman"/>
      <w:sz w:val="24"/>
      <w:szCs w:val="24"/>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table" w:styleId="9" w:customStyle="1">
    <w:name w:val="9"/>
    <w:basedOn w:val="TableNormal20"/>
    <w:pPr>
      <w:spacing w:after="0" w:line="240" w:lineRule="auto"/>
    </w:pPr>
    <w:tblPr>
      <w:tblStyleRowBandSize w:val="1"/>
      <w:tblStyleColBandSize w:val="1"/>
      <w:tblCellMar>
        <w:left w:w="108.0" w:type="dxa"/>
        <w:right w:w="108.0" w:type="dxa"/>
      </w:tblCellMar>
    </w:tblPr>
  </w:style>
  <w:style w:type="table" w:styleId="8" w:customStyle="1">
    <w:name w:val="8"/>
    <w:basedOn w:val="TableNormal20"/>
    <w:tblPr>
      <w:tblStyleRowBandSize w:val="1"/>
      <w:tblStyleColBandSize w:val="1"/>
      <w:tblCellMar>
        <w:top w:w="15.0" w:type="dxa"/>
        <w:left w:w="115.0" w:type="dxa"/>
        <w:bottom w:w="15.0" w:type="dxa"/>
        <w:right w:w="115.0" w:type="dxa"/>
      </w:tblCellMar>
    </w:tblPr>
  </w:style>
  <w:style w:type="table" w:styleId="7" w:customStyle="1">
    <w:name w:val="7"/>
    <w:basedOn w:val="TableNormal20"/>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91EC4"/>
    <w:rPr>
      <w:color w:val="605e5c"/>
      <w:shd w:color="auto" w:fill="e1dfdd" w:val="clear"/>
    </w:rPr>
  </w:style>
  <w:style w:type="character" w:styleId="Refdecomentario">
    <w:name w:val="annotation reference"/>
    <w:basedOn w:val="Fuentedeprrafopredeter"/>
    <w:uiPriority w:val="99"/>
    <w:semiHidden w:val="1"/>
    <w:unhideWhenUsed w:val="1"/>
    <w:rsid w:val="007266CA"/>
    <w:rPr>
      <w:sz w:val="16"/>
      <w:szCs w:val="16"/>
    </w:rPr>
  </w:style>
  <w:style w:type="paragraph" w:styleId="Textocomentario">
    <w:name w:val="annotation text"/>
    <w:basedOn w:val="Normal"/>
    <w:link w:val="TextocomentarioCar"/>
    <w:uiPriority w:val="99"/>
    <w:semiHidden w:val="1"/>
    <w:unhideWhenUsed w:val="1"/>
    <w:rsid w:val="007266CA"/>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7266CA"/>
    <w:rPr>
      <w:rFonts w:cs="Times New Roman" w:eastAsia="Times New Roman"/>
      <w:sz w:val="20"/>
      <w:szCs w:val="20"/>
      <w:lang w:eastAsia="en-US"/>
    </w:rPr>
  </w:style>
  <w:style w:type="paragraph" w:styleId="Asuntodelcomentario">
    <w:name w:val="annotation subject"/>
    <w:basedOn w:val="Textocomentario"/>
    <w:next w:val="Textocomentario"/>
    <w:link w:val="AsuntodelcomentarioCar"/>
    <w:uiPriority w:val="99"/>
    <w:semiHidden w:val="1"/>
    <w:unhideWhenUsed w:val="1"/>
    <w:rsid w:val="007266CA"/>
    <w:rPr>
      <w:b w:val="1"/>
      <w:bCs w:val="1"/>
    </w:rPr>
  </w:style>
  <w:style w:type="character" w:styleId="AsuntodelcomentarioCar" w:customStyle="1">
    <w:name w:val="Asunto del comentario Car"/>
    <w:basedOn w:val="TextocomentarioCar"/>
    <w:link w:val="Asuntodelcomentario"/>
    <w:uiPriority w:val="99"/>
    <w:semiHidden w:val="1"/>
    <w:rsid w:val="007266CA"/>
    <w:rPr>
      <w:rFonts w:cs="Times New Roman" w:eastAsia="Times New Roman"/>
      <w:b w:val="1"/>
      <w:bCs w:val="1"/>
      <w:sz w:val="20"/>
      <w:szCs w:val="20"/>
      <w:lang w:eastAsia="en-US"/>
    </w:rPr>
  </w:style>
  <w:style w:type="character" w:styleId="Textodelmarcadordeposicin">
    <w:name w:val="Placeholder Text"/>
    <w:basedOn w:val="Fuentedeprrafopredeter"/>
    <w:uiPriority w:val="99"/>
    <w:semiHidden w:val="1"/>
    <w:rsid w:val="007266CA"/>
    <w:rPr>
      <w:color w:val="808080"/>
    </w:r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115.0" w:type="dxa"/>
        <w:right w:w="115.0" w:type="dxa"/>
      </w:tblCellMar>
    </w:tblPr>
  </w:style>
  <w:style w:type="table" w:styleId="a3" w:customStyle="1">
    <w:basedOn w:val="TableNormal2"/>
    <w:tblPr>
      <w:tblStyleRowBandSize w:val="1"/>
      <w:tblStyleColBandSize w:val="1"/>
      <w:tblCellMar>
        <w:top w:w="15.0" w:type="dxa"/>
        <w:left w:w="15.0" w:type="dxa"/>
        <w:bottom w:w="15.0" w:type="dxa"/>
        <w:right w:w="15.0" w:type="dxa"/>
      </w:tblCellMar>
    </w:tblPr>
  </w:style>
  <w:style w:type="table" w:styleId="a4" w:customStyle="1">
    <w:basedOn w:val="TableNormal2"/>
    <w:pPr>
      <w:spacing w:after="0" w:line="240" w:lineRule="auto"/>
    </w:pPr>
    <w:tblPr>
      <w:tblStyleRowBandSize w:val="1"/>
      <w:tblStyleColBandSize w:val="1"/>
      <w:tblCellMar>
        <w:left w:w="108.0" w:type="dxa"/>
        <w:right w:w="108.0" w:type="dxa"/>
      </w:tblCellMar>
    </w:tblPr>
  </w:style>
  <w:style w:type="table" w:styleId="a5" w:customStyle="1">
    <w:basedOn w:val="TableNormal2"/>
    <w:pPr>
      <w:spacing w:after="0" w:line="240" w:lineRule="auto"/>
    </w:pPr>
    <w:tblPr>
      <w:tblStyleRowBandSize w:val="1"/>
      <w:tblStyleColBandSize w:val="1"/>
      <w:tblCellMar>
        <w:left w:w="108.0" w:type="dxa"/>
        <w:right w:w="108.0" w:type="dxa"/>
      </w:tblCellMar>
    </w:tblPr>
  </w:style>
  <w:style w:type="table" w:styleId="a6"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7" w:customStyle="1">
    <w:basedOn w:val="TableNormal2"/>
    <w:pPr>
      <w:spacing w:after="0" w:line="240" w:lineRule="auto"/>
    </w:pPr>
    <w:tblPr>
      <w:tblStyleRowBandSize w:val="1"/>
      <w:tblStyleColBandSize w:val="1"/>
      <w:tblCellMar>
        <w:top w:w="15.0" w:type="dxa"/>
        <w:left w:w="115.0" w:type="dxa"/>
        <w:bottom w:w="15.0" w:type="dxa"/>
        <w:right w:w="115.0" w:type="dxa"/>
      </w:tblCellMar>
    </w:tblPr>
  </w:style>
  <w:style w:type="table" w:styleId="a8"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9"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a"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b"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c"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d"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e"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f0"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paragraph" w:styleId="Textoindependiente">
    <w:name w:val="Body Text"/>
    <w:basedOn w:val="Normal"/>
    <w:link w:val="TextoindependienteCar"/>
    <w:uiPriority w:val="1"/>
    <w:qFormat w:val="1"/>
    <w:rsid w:val="00E01890"/>
    <w:pPr>
      <w:autoSpaceDE w:val="0"/>
      <w:autoSpaceDN w:val="0"/>
      <w:adjustRightInd w:val="0"/>
      <w:spacing w:after="0" w:line="240" w:lineRule="auto"/>
      <w:ind w:left="93"/>
    </w:pPr>
    <w:rPr>
      <w:rFonts w:ascii="Times New Roman" w:hAnsi="Times New Roman" w:eastAsiaTheme="minorHAnsi"/>
      <w:sz w:val="23"/>
      <w:szCs w:val="23"/>
    </w:rPr>
  </w:style>
  <w:style w:type="character" w:styleId="TextoindependienteCar" w:customStyle="1">
    <w:name w:val="Texto independiente Car"/>
    <w:basedOn w:val="Fuentedeprrafopredeter"/>
    <w:link w:val="Textoindependiente"/>
    <w:uiPriority w:val="1"/>
    <w:rsid w:val="00E01890"/>
    <w:rPr>
      <w:rFonts w:ascii="Times New Roman" w:cs="Times New Roman" w:hAnsi="Times New Roman" w:eastAsiaTheme="minorHAnsi"/>
      <w:sz w:val="23"/>
      <w:szCs w:val="23"/>
      <w:lang w:eastAsia="en-US"/>
    </w:rPr>
  </w:style>
  <w:style w:type="paragraph" w:styleId="Textodeglobo">
    <w:name w:val="Balloon Text"/>
    <w:basedOn w:val="Normal"/>
    <w:link w:val="TextodegloboCar"/>
    <w:uiPriority w:val="99"/>
    <w:semiHidden w:val="1"/>
    <w:unhideWhenUsed w:val="1"/>
    <w:rsid w:val="00F93A89"/>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F93A89"/>
    <w:rPr>
      <w:rFonts w:ascii="Segoe UI" w:cs="Segoe UI" w:eastAsia="Times New Roman" w:hAnsi="Segoe UI"/>
      <w:sz w:val="18"/>
      <w:szCs w:val="18"/>
      <w:lang w:eastAsia="en-US"/>
    </w:rPr>
  </w:style>
  <w:style w:type="table" w:styleId="af1"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table" w:styleId="af2"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table" w:styleId="af3" w:customStyle="1">
    <w:basedOn w:val="TableNormal0"/>
    <w:pPr>
      <w:spacing w:after="0" w:line="240" w:lineRule="auto"/>
    </w:pPr>
    <w:tblPr>
      <w:tblStyleRowBandSize w:val="1"/>
      <w:tblStyleColBandSize w:val="1"/>
      <w:tblCellMar>
        <w:left w:w="108.0" w:type="dxa"/>
        <w:right w:w="108.0" w:type="dxa"/>
      </w:tblCellMar>
    </w:tblPr>
  </w:style>
  <w:style w:type="table" w:styleId="af4" w:customStyle="1">
    <w:basedOn w:val="TableNormal0"/>
    <w:pPr>
      <w:spacing w:after="0" w:line="240" w:lineRule="auto"/>
    </w:pPr>
    <w:tblPr>
      <w:tblStyleRowBandSize w:val="1"/>
      <w:tblStyleColBandSize w:val="1"/>
      <w:tblCellMar>
        <w:left w:w="108.0" w:type="dxa"/>
        <w:right w:w="108.0" w:type="dxa"/>
      </w:tblCellMar>
    </w:tblPr>
  </w:style>
  <w:style w:type="table" w:styleId="af5"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table" w:styleId="af6"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6">
    <w:basedOn w:val="TableNormal"/>
    <w:pPr>
      <w:spacing w:after="0"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anbGRBjqCdAGQY9F9LM1BxSmsw==">CgMxLjAyCWguMWZvYjl0ZTIJaC4zem55c2g3MgloLjMwajB6bGwyCGgudHlqY3d0OAByITE0OTlPbDZHaGtnS0xBeVY3Nmc2QjdMY1AxUUhBc0YzNQ==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2024-12-02T22:00:00Z</dcterms:created>
  <dc:creator>Cuenta Microsoft</dc:creator>
</cp:coreProperties>
</file>