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seis de noviembre de dos mil veinticuatro.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05679/INFOEM/IP/RR/2024</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un particular que no proporcionó nombre o seudónimo, </w:t>
      </w:r>
      <w:r w:rsidDel="00000000" w:rsidR="00000000" w:rsidRPr="00000000">
        <w:rPr>
          <w:rFonts w:ascii="Palatino Linotype" w:cs="Palatino Linotype" w:eastAsia="Palatino Linotype" w:hAnsi="Palatino Linotype"/>
          <w:sz w:val="22"/>
          <w:szCs w:val="22"/>
          <w:rtl w:val="0"/>
        </w:rPr>
        <w:t xml:space="preserve">en lo sucesivo se le denominará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00009/DIFMATEOAT/IP/2024</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San Mateo Atenco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p>
    <w:p w:rsidR="00000000" w:rsidDel="00000000" w:rsidP="00000000" w:rsidRDefault="00000000" w:rsidRPr="00000000" w14:paraId="000000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numPr>
          <w:ilvl w:val="0"/>
          <w:numId w:val="5"/>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7">
      <w:pPr>
        <w:numPr>
          <w:ilvl w:val="1"/>
          <w:numId w:val="9"/>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veintidós de agosto de 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requiriéndole lo siguiente: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“conciliación de nómina de la primer quincena de agosto 2024”</w:t>
      </w:r>
    </w:p>
    <w:p w:rsidR="00000000" w:rsidDel="00000000" w:rsidP="00000000" w:rsidRDefault="00000000" w:rsidRPr="00000000" w14:paraId="0000000A">
      <w:pPr>
        <w:spacing w:line="360" w:lineRule="auto"/>
        <w:ind w:left="709"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D">
      <w:pPr>
        <w:numPr>
          <w:ilvl w:val="0"/>
          <w:numId w:val="9"/>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doce de septiembre de dos mil veinticuatro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envió su respuesta a la solicitud de acceso a la información a través del SAIMEX, la cual versa como sigue: </w:t>
      </w:r>
    </w:p>
    <w:p w:rsidR="00000000" w:rsidDel="00000000" w:rsidP="00000000" w:rsidRDefault="00000000" w:rsidRPr="00000000" w14:paraId="0000000E">
      <w:pPr>
        <w:tabs>
          <w:tab w:val="left" w:leader="none" w:pos="7371"/>
        </w:tabs>
        <w:spacing w:line="360" w:lineRule="auto"/>
        <w:ind w:left="567" w:right="616" w:firstLine="0"/>
        <w:jc w:val="both"/>
        <w:rPr>
          <w:rFonts w:ascii="Palatino Linotype" w:cs="Palatino Linotype" w:eastAsia="Palatino Linotype" w:hAnsi="Palatino Linotype"/>
          <w:i w:val="1"/>
          <w:sz w:val="22"/>
          <w:szCs w:val="22"/>
        </w:rPr>
      </w:pPr>
      <w:bookmarkStart w:colFirst="0" w:colLast="0" w:name="_heading=h.3znysh7" w:id="0"/>
      <w:bookmarkEnd w:id="0"/>
      <w:r w:rsidDel="00000000" w:rsidR="00000000" w:rsidRPr="00000000">
        <w:rPr>
          <w:rtl w:val="0"/>
        </w:rPr>
      </w:r>
    </w:p>
    <w:p w:rsidR="00000000" w:rsidDel="00000000" w:rsidP="00000000" w:rsidRDefault="00000000" w:rsidRPr="00000000" w14:paraId="0000000F">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0">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SOLICITANTE P R E S E N T E En atención a su solicitud de información pública con número de folio 00009/DIFMATEOAT/IP/2024, de fecha 22 de agosto del año en curso, en la cual requiere lo siguiente: “conciliación de nómina de la primer quincena de agosto 2024.”. (sic) Con fundamento en lo dispuesto por los artículos 12 párrafo segundo, 19 párrafo primero, 23 fracción I, 24 párrafo tercero, 155, 162 y 163 de la Ley de Transparencia y Acceso a la Información Pública del Estado de México y Municipios, y de acuerdo con la información proporcionada por la Dirección de Administración y Tesorería, adscrita al Sistema Municipal para el Desarrollo Integral de la Familia de San Mateo Atenco, me permito informarle lo siguiente: Referente a su requerimiento, </w:t>
      </w:r>
      <w:r w:rsidDel="00000000" w:rsidR="00000000" w:rsidRPr="00000000">
        <w:rPr>
          <w:rFonts w:ascii="Palatino Linotype" w:cs="Palatino Linotype" w:eastAsia="Palatino Linotype" w:hAnsi="Palatino Linotype"/>
          <w:b w:val="1"/>
          <w:i w:val="1"/>
          <w:sz w:val="22"/>
          <w:szCs w:val="22"/>
          <w:rtl w:val="0"/>
        </w:rPr>
        <w:t xml:space="preserve">me permito adjuntar al presente: “Formato de Conciliación de nómina correspondiente a la primera quincena del mes de agosto del año 2024</w:t>
      </w:r>
      <w:r w:rsidDel="00000000" w:rsidR="00000000" w:rsidRPr="00000000">
        <w:rPr>
          <w:rFonts w:ascii="Palatino Linotype" w:cs="Palatino Linotype" w:eastAsia="Palatino Linotype" w:hAnsi="Palatino Linotype"/>
          <w:i w:val="1"/>
          <w:sz w:val="22"/>
          <w:szCs w:val="22"/>
          <w:rtl w:val="0"/>
        </w:rPr>
        <w:t xml:space="preserve">”, el cual contiene datos personales consistentes en: Registro Federal de Contribuyentes (RFC), Clave Única de Registro de Población (CURP), número de seguridad social (ISSEMYM), número de cuenta bancaria, número de cheque y/o número de referencia, préstamos personales y otras deducciones. Lo anterior, conforme al Acuerdo del Comité de Transparencia CT/SMDIFSMA/ACTA/EXT/004/2024, por medio del cual, se aprueba la elaboración de la versión pública de dicho Formato. Por lo que, de conformidad con lo establecido en los artículos 12 y 24 de la Ley de Transparencia y Acceso a la Información Pública del Estado de México y Municipios, mismos que a la letra dicen: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requiere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 Los sujetos obligados solo proporcionarán la información pública que generen, administren o posean en el ejercicio de sus atribuciones.” Derivado de lo anterior, el Pleno del Instituto de Transparencia y Acceso a la Información Pública del Estado de México y Municipios, aprobó el Criterio de Interpretación en el Orden Administrativo número 0002-11, el cual se describe a continuación: “CRITERIO 0002-11 INFORMACIÓN PÚBLICA, CONCEPTO DE, EN MATERIA DE TRANSPARENCIA, INTERPRETACIÓN 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dé información registrada en cualquier soporte documental, que en ejercicio de las atribuciones conferidas, se encuentre en posesión de los Sujetos Obligados”. Sin otro particular, le envío un cordial saludo. A T E N T A M E N T E LIC. MARI CARMEN PIÑA HERRERA TITULAR DE LA UNIDAD DE INFORMACIÓN, PLANEACIÓN, PROGRAMACIÓN, EVALUACIÓN Y TRANSPARENCIA”</w:t>
      </w:r>
    </w:p>
    <w:p w:rsidR="00000000" w:rsidDel="00000000" w:rsidP="00000000" w:rsidRDefault="00000000" w:rsidRPr="00000000" w14:paraId="00000011">
      <w:pPr>
        <w:tabs>
          <w:tab w:val="left" w:leader="none" w:pos="7371"/>
        </w:tabs>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mismo modo, el Sujeto Obligado adjuntó a su respuesta lo siguiente: </w:t>
      </w:r>
    </w:p>
    <w:p w:rsidR="00000000" w:rsidDel="00000000" w:rsidP="00000000" w:rsidRDefault="00000000" w:rsidRPr="00000000" w14:paraId="0000001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SM DIF SMA - 009 - Solicitante - Unidad de Transparencia - 9.pdf</w:t>
      </w:r>
      <w:r w:rsidDel="00000000" w:rsidR="00000000" w:rsidRPr="00000000">
        <w:rPr>
          <w:rFonts w:ascii="Palatino Linotype" w:cs="Palatino Linotype" w:eastAsia="Palatino Linotype" w:hAnsi="Palatino Linotype"/>
          <w:sz w:val="22"/>
          <w:szCs w:val="22"/>
          <w:rtl w:val="0"/>
        </w:rPr>
        <w:t xml:space="preserve">: Oficio número SMDIF/SMA/UIPPET/068/2024 de fecha doce de septiembre de dos mil veinticuatro, mediante el cual la Titular de la Unidad de Información, Planeación, Programación, Evaluación y Transparencia, informó la entrega del Formato de Conciliación de Nómina correspondiente a la primera quincena del mes de agosto de dos mil veinticuatro, el cual contiene datos personales consistentes en: Registro Federal de Contribuyentes (RFC), Clave Única de Registro de Población (CURP), número de seguridad (ISESEMYM), número de cuenta bancaria, número de cheque y/o número de referencia, préstamos personales u otras, lo anterior, conforme al Acuerdo del Comité de Transparencia CT/SMDIFSMACXTEX/004/2024 por medio del cual se aprueba la elaboración de la versión pública de dicho formato. </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ACUERDO CT_SMDIFSMA_ACTA_EXT_004_2024.pdf</w:t>
      </w:r>
      <w:r w:rsidDel="00000000" w:rsidR="00000000" w:rsidRPr="00000000">
        <w:rPr>
          <w:rFonts w:ascii="Palatino Linotype" w:cs="Palatino Linotype" w:eastAsia="Palatino Linotype" w:hAnsi="Palatino Linotype"/>
          <w:sz w:val="22"/>
          <w:szCs w:val="22"/>
          <w:rtl w:val="0"/>
        </w:rPr>
        <w:t xml:space="preserve"> : Acuerdo del Comité de Transparencia del Sistema Municipal DIF de San Mateo Atenco, CT/SMDIFSMA/ACTA/EXT/004/2024 de fecha seis de septiembre de dos mil veinticuatro, mediante el cual se aprobó la versión pública de la Conciliación de Nómina correspondiente a la primera quincena del mes de agosto de dos mil veinticuatro, por contener datos personales consistentes en: Registro Federal de Contribuyentes (RFC), Clave Única de Registro de Población (CURP), número de seguridad social (ISESEMYM), número de cuenta bancaria, número de cheque y/o número de referencia, préstamos personales y otras deducciones para dar atención a la solicitud de información con número de folio 00009/DIFMATEOAT/IP/2024. </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Versión Pública CN13041202408.pdf</w:t>
      </w:r>
      <w:r w:rsidDel="00000000" w:rsidR="00000000" w:rsidRPr="00000000">
        <w:rPr>
          <w:rFonts w:ascii="Palatino Linotype" w:cs="Palatino Linotype" w:eastAsia="Palatino Linotype" w:hAnsi="Palatino Linotype"/>
          <w:sz w:val="22"/>
          <w:szCs w:val="22"/>
          <w:rtl w:val="0"/>
        </w:rPr>
        <w:t xml:space="preserve">: Contiene la Conciliación de Nómina de la primera quincena de agosto de dos mil veinticuatro en versión pública. </w:t>
      </w:r>
    </w:p>
    <w:p w:rsidR="00000000" w:rsidDel="00000000" w:rsidP="00000000" w:rsidRDefault="00000000" w:rsidRPr="00000000" w14:paraId="00000018">
      <w:pPr>
        <w:numPr>
          <w:ilvl w:val="0"/>
          <w:numId w:val="9"/>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sz w:val="22"/>
          <w:szCs w:val="22"/>
          <w:rtl w:val="0"/>
        </w:rPr>
        <w:t xml:space="preserve">diecisiete de septiembre de dos mil veinticuatro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A">
      <w:pPr>
        <w:spacing w:line="3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r w:rsidDel="00000000" w:rsidR="00000000" w:rsidRPr="00000000">
        <w:rPr>
          <w:rFonts w:ascii="Palatino Linotype" w:cs="Palatino Linotype" w:eastAsia="Palatino Linotype" w:hAnsi="Palatino Linotype"/>
          <w:i w:val="1"/>
          <w:sz w:val="22"/>
          <w:szCs w:val="22"/>
          <w:rtl w:val="0"/>
        </w:rPr>
        <w:t xml:space="preserve">“no entregan todo lo solicitado” </w:t>
      </w:r>
    </w:p>
    <w:p w:rsidR="00000000" w:rsidDel="00000000" w:rsidP="00000000" w:rsidRDefault="00000000" w:rsidRPr="00000000" w14:paraId="0000001B">
      <w:pPr>
        <w:spacing w:line="360" w:lineRule="auto"/>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sz w:val="22"/>
          <w:szCs w:val="22"/>
          <w:rtl w:val="0"/>
        </w:rPr>
        <w:t xml:space="preserve">Motivos de inconformidad. </w:t>
      </w:r>
      <w:r w:rsidDel="00000000" w:rsidR="00000000" w:rsidRPr="00000000">
        <w:rPr>
          <w:rFonts w:ascii="Palatino Linotype" w:cs="Palatino Linotype" w:eastAsia="Palatino Linotype" w:hAnsi="Palatino Linotype"/>
          <w:i w:val="1"/>
          <w:sz w:val="22"/>
          <w:szCs w:val="22"/>
          <w:rtl w:val="0"/>
        </w:rPr>
        <w:t xml:space="preserve">“no entregan todo lo solicitado”</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E">
      <w:pPr>
        <w:numPr>
          <w:ilvl w:val="0"/>
          <w:numId w:val="9"/>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05679/INFOEM/IP/RR/2024</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0">
      <w:pPr>
        <w:numPr>
          <w:ilvl w:val="0"/>
          <w:numId w:val="9"/>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1"/>
      <w:bookmarkEnd w:id="1"/>
      <w:r w:rsidDel="00000000" w:rsidR="00000000" w:rsidRPr="00000000">
        <w:rPr>
          <w:rFonts w:ascii="Palatino Linotype" w:cs="Palatino Linotype" w:eastAsia="Palatino Linotype" w:hAnsi="Palatino Linotype"/>
          <w:b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veinte de septiembre de dos mil veinticuatro</w:t>
      </w:r>
      <w:r w:rsidDel="00000000" w:rsidR="00000000" w:rsidRPr="00000000">
        <w:rPr>
          <w:rFonts w:ascii="Palatino Linotype" w:cs="Palatino Linotype" w:eastAsia="Palatino Linotype" w:hAnsi="Palatino Linotype"/>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2">
      <w:pPr>
        <w:numPr>
          <w:ilvl w:val="0"/>
          <w:numId w:val="9"/>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SAIMEX se desprende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rindió su informe justificado en fecha </w:t>
      </w:r>
      <w:r w:rsidDel="00000000" w:rsidR="00000000" w:rsidRPr="00000000">
        <w:rPr>
          <w:rFonts w:ascii="Palatino Linotype" w:cs="Palatino Linotype" w:eastAsia="Palatino Linotype" w:hAnsi="Palatino Linotype"/>
          <w:b w:val="1"/>
          <w:sz w:val="22"/>
          <w:szCs w:val="22"/>
          <w:rtl w:val="0"/>
        </w:rPr>
        <w:t xml:space="preserve">veintisiete de septiembre de dos mil veinticuatro</w:t>
      </w:r>
      <w:r w:rsidDel="00000000" w:rsidR="00000000" w:rsidRPr="00000000">
        <w:rPr>
          <w:rFonts w:ascii="Palatino Linotype" w:cs="Palatino Linotype" w:eastAsia="Palatino Linotype" w:hAnsi="Palatino Linotype"/>
          <w:sz w:val="22"/>
          <w:szCs w:val="22"/>
          <w:rtl w:val="0"/>
        </w:rPr>
        <w:t xml:space="preserve">, a través del archivo electrónico denominado </w:t>
      </w:r>
      <w:r w:rsidDel="00000000" w:rsidR="00000000" w:rsidRPr="00000000">
        <w:rPr>
          <w:rFonts w:ascii="Palatino Linotype" w:cs="Palatino Linotype" w:eastAsia="Palatino Linotype" w:hAnsi="Palatino Linotype"/>
          <w:b w:val="1"/>
          <w:i w:val="1"/>
          <w:sz w:val="22"/>
          <w:szCs w:val="22"/>
          <w:rtl w:val="0"/>
        </w:rPr>
        <w:t xml:space="preserve">“INFORME_JUSTIFICADO_RR_09_05679_INFOEM_IP_RR_2024.pdf”</w:t>
      </w:r>
      <w:r w:rsidDel="00000000" w:rsidR="00000000" w:rsidRPr="00000000">
        <w:rPr>
          <w:rFonts w:ascii="Palatino Linotype" w:cs="Palatino Linotype" w:eastAsia="Palatino Linotype" w:hAnsi="Palatino Linotype"/>
          <w:sz w:val="22"/>
          <w:szCs w:val="22"/>
          <w:rtl w:val="0"/>
        </w:rPr>
        <w:t xml:space="preserve">, en el que medularmente ratificó su respuesta, precisando que el documento se entregó de acuerdo a lo establecido en los documentos de apoyo del Módulo 4, el cual se encuentra en la página web oficial del Órgano Superior de Fiscalización del Estado de México (OSFEM) en la pestaña: Documentos de apoyo y se requisita conforme al Periódico Oficial Gaceta del Gobierno del Estado de México del 20 de marzo de 2024, en su Acuerdo 04/2024, donde se emiten lineamientos, fechas de capacitación y calendarización para la integración, presentación y envió de los informes trimestrales del ejercicio fiscal 2024, de las entidades fiscalizables del Estado de México. </w:t>
      </w:r>
    </w:p>
    <w:p w:rsidR="00000000" w:rsidDel="00000000" w:rsidP="00000000" w:rsidRDefault="00000000" w:rsidRPr="00000000" w14:paraId="0000002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Documento que fue hecho del conocimiento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dos de octubre de dos mil veinticuatro</w:t>
      </w:r>
      <w:r w:rsidDel="00000000" w:rsidR="00000000" w:rsidRPr="00000000">
        <w:rPr>
          <w:rFonts w:ascii="Palatino Linotype" w:cs="Palatino Linotype" w:eastAsia="Palatino Linotype" w:hAnsi="Palatino Linotype"/>
          <w:sz w:val="22"/>
          <w:szCs w:val="22"/>
          <w:rtl w:val="0"/>
        </w:rPr>
        <w:t xml:space="preserve">; sin embargo,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fue omisa en emitir pronunciamiento alguno que a su derecho convenga, por lo tanto, se tiene por precluido su derecho para tal efecto</w:t>
      </w:r>
    </w:p>
    <w:p w:rsidR="00000000" w:rsidDel="00000000" w:rsidP="00000000" w:rsidRDefault="00000000" w:rsidRPr="00000000" w14:paraId="0000002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6">
      <w:pPr>
        <w:widowControl w:val="0"/>
        <w:numPr>
          <w:ilvl w:val="0"/>
          <w:numId w:val="3"/>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Ampliación del plazo.</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diecisiete de octubre de dos mil veinticuatro</w:t>
      </w:r>
      <w:r w:rsidDel="00000000" w:rsidR="00000000" w:rsidRPr="00000000">
        <w:rPr>
          <w:rFonts w:ascii="Palatino Linotype" w:cs="Palatino Linotype" w:eastAsia="Palatino Linotype" w:hAnsi="Palatino Linotype"/>
          <w:sz w:val="22"/>
          <w:szCs w:val="22"/>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2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Cierre de instrucción.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diecisiete de octubre de dos mil veinticuatro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B">
      <w:pPr>
        <w:numPr>
          <w:ilvl w:val="0"/>
          <w:numId w:val="5"/>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sz w:val="22"/>
          <w:szCs w:val="22"/>
          <w:rtl w:val="0"/>
        </w:rPr>
        <w:t xml:space="preserve">C O N S I D E R A N D O:</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E">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doce de septiembre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dos mil veinticuatro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diecisiete de septiembre de dos mil veinticuatro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esto es al segundo día hábil siguiente en que tuvo conocimiento de la respuesta. </w:t>
      </w:r>
    </w:p>
    <w:p w:rsidR="00000000" w:rsidDel="00000000" w:rsidP="00000000" w:rsidRDefault="00000000" w:rsidRPr="00000000" w14:paraId="00000032">
      <w:pPr>
        <w:spacing w:line="360" w:lineRule="auto"/>
        <w:ind w:right="843"/>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suma importancia mencionar que, si bien la parte no proporcionó algún nombre para ser identificado como se advierte en el detalle de seguimiento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solicitudes </w:t>
      </w:r>
      <w:r w:rsidDel="00000000" w:rsidR="00000000" w:rsidRPr="00000000">
        <w:rPr>
          <w:rFonts w:ascii="Palatino Linotype" w:cs="Palatino Linotype" w:eastAsia="Palatino Linotype" w:hAnsi="Palatino Linotype"/>
          <w:b w:val="1"/>
          <w:i w:val="1"/>
          <w:sz w:val="22"/>
          <w:szCs w:val="22"/>
          <w:u w:val="single"/>
          <w:rtl w:val="0"/>
        </w:rPr>
        <w:t xml:space="preserve">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3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7">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Del="00000000" w:rsidR="00000000" w:rsidRPr="00000000">
        <w:rPr>
          <w:rFonts w:ascii="Palatino Linotype" w:cs="Palatino Linotype" w:eastAsia="Palatino Linotype" w:hAnsi="Palatino Linotype"/>
          <w:b w:val="1"/>
          <w:sz w:val="22"/>
          <w:szCs w:val="22"/>
          <w:rtl w:val="0"/>
        </w:rPr>
        <w:t xml:space="preserve">SAIMEX.</w:t>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V de la ley de la materia, que a la letra dice:</w:t>
      </w:r>
    </w:p>
    <w:p w:rsidR="00000000" w:rsidDel="00000000" w:rsidP="00000000" w:rsidRDefault="00000000" w:rsidRPr="00000000" w14:paraId="0000003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entrega de información incompleta;</w:t>
      </w:r>
    </w:p>
    <w:p w:rsidR="00000000" w:rsidDel="00000000" w:rsidP="00000000" w:rsidRDefault="00000000" w:rsidRPr="00000000" w14:paraId="0000003E">
      <w:pPr>
        <w:spacing w:line="3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3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Revisión</w:t>
      </w:r>
      <w:r w:rsidDel="00000000" w:rsidR="00000000" w:rsidRPr="00000000">
        <w:rPr>
          <w:rFonts w:ascii="Palatino Linotype" w:cs="Palatino Linotype" w:eastAsia="Palatino Linotype" w:hAnsi="Palatino Linotype"/>
          <w:sz w:val="22"/>
          <w:szCs w:val="22"/>
          <w:rtl w:val="0"/>
        </w:rPr>
        <w:t xml:space="preserve">: 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rsidR="00000000" w:rsidDel="00000000" w:rsidP="00000000" w:rsidRDefault="00000000" w:rsidRPr="00000000" w14:paraId="0000004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respuesta del Sujeto Obligado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4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3">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44">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45">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4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48">
      <w:pP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4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C">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D">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4E">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F">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50">
      <w:pP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52">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5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5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5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5A">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5C">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D">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5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5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60">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61">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6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66">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le proporcione, información consistente en lo siguiente:</w:t>
      </w:r>
    </w:p>
    <w:p w:rsidR="00000000" w:rsidDel="00000000" w:rsidP="00000000" w:rsidRDefault="00000000" w:rsidRPr="00000000" w14:paraId="00000067">
      <w:pPr>
        <w:numPr>
          <w:ilvl w:val="0"/>
          <w:numId w:val="6"/>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Conciliación de nómina de la primera quincena de agosto 2024. </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ind w:left="720" w:right="49"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6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sentido,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la Dirección de Administración y Tesorería informó la entrega de la Conciliación de Nómina de la primera quincena de agosto de dos mil veinticuatro en versión pública; así como el acta del Comité de Transparencia, mediante el cual se aprobó la clasificación de la información. </w:t>
      </w:r>
    </w:p>
    <w:p w:rsidR="00000000" w:rsidDel="00000000" w:rsidP="00000000" w:rsidRDefault="00000000" w:rsidRPr="00000000" w14:paraId="0000006A">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embargo, el particular en sus motivos de inconformidad señaló que no le fue entregado todo lo solicitado. </w:t>
      </w:r>
    </w:p>
    <w:p w:rsidR="00000000" w:rsidDel="00000000" w:rsidP="00000000" w:rsidRDefault="00000000" w:rsidRPr="00000000" w14:paraId="0000006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notificado el recurso de revisión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este mediante informe justificado ratificó su respuesta, mientras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fue omisa en pronunciarse, por lo que se tiene por precluido su derecho para tal efecto y se procede a emitir la resolución que conforme a derecho corresponda.</w:t>
      </w:r>
    </w:p>
    <w:p w:rsidR="00000000" w:rsidDel="00000000" w:rsidP="00000000" w:rsidRDefault="00000000" w:rsidRPr="00000000" w14:paraId="0000006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Expuesto lo anterior, resulta importante señalar que quien se pronunció desde la respuesta fue la Dirección General de Administración y Tesorería, la cual de conformidad con el Reglamento Interno del Sistema Municipal para el Desarrollo Integral de la Familia de San Mateo Atenco, tiene como atribuciones las siguientes: </w:t>
      </w:r>
    </w:p>
    <w:p w:rsidR="00000000" w:rsidDel="00000000" w:rsidP="00000000" w:rsidRDefault="00000000" w:rsidRPr="00000000" w14:paraId="0000006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24.-</w:t>
      </w:r>
      <w:r w:rsidDel="00000000" w:rsidR="00000000" w:rsidRPr="00000000">
        <w:rPr>
          <w:rFonts w:ascii="Palatino Linotype" w:cs="Palatino Linotype" w:eastAsia="Palatino Linotype" w:hAnsi="Palatino Linotype"/>
          <w:i w:val="1"/>
          <w:sz w:val="22"/>
          <w:szCs w:val="22"/>
          <w:rtl w:val="0"/>
        </w:rPr>
        <w:t xml:space="preserve"> Corresponde a </w:t>
      </w:r>
      <w:r w:rsidDel="00000000" w:rsidR="00000000" w:rsidRPr="00000000">
        <w:rPr>
          <w:rFonts w:ascii="Palatino Linotype" w:cs="Palatino Linotype" w:eastAsia="Palatino Linotype" w:hAnsi="Palatino Linotype"/>
          <w:b w:val="1"/>
          <w:i w:val="1"/>
          <w:sz w:val="22"/>
          <w:szCs w:val="22"/>
          <w:rtl w:val="0"/>
        </w:rPr>
        <w:t xml:space="preserve">la Dirección de Administración y Tesorería</w:t>
      </w:r>
      <w:r w:rsidDel="00000000" w:rsidR="00000000" w:rsidRPr="00000000">
        <w:rPr>
          <w:rFonts w:ascii="Palatino Linotype" w:cs="Palatino Linotype" w:eastAsia="Palatino Linotype" w:hAnsi="Palatino Linotype"/>
          <w:i w:val="1"/>
          <w:sz w:val="22"/>
          <w:szCs w:val="22"/>
          <w:rtl w:val="0"/>
        </w:rPr>
        <w:t xml:space="preserve">, además de las atribuciones señaladas en el artículo 15 de la Ley, el cumplimiento de las siguientes atribuciones:</w:t>
      </w:r>
    </w:p>
    <w:p w:rsidR="00000000" w:rsidDel="00000000" w:rsidP="00000000" w:rsidRDefault="00000000" w:rsidRPr="00000000" w14:paraId="0000007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Elaborar el presupuesto anual del SMDIF de San Mateo Atenco bajo la coordinación de sus diferentes Unidades Administrativas;</w:t>
      </w:r>
    </w:p>
    <w:p w:rsidR="00000000" w:rsidDel="00000000" w:rsidP="00000000" w:rsidRDefault="00000000" w:rsidRPr="00000000" w14:paraId="0000007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Supervisar y controlar la integración del presupuesto general optimizando los recursos financieros;</w:t>
      </w:r>
    </w:p>
    <w:p w:rsidR="00000000" w:rsidDel="00000000" w:rsidP="00000000" w:rsidRDefault="00000000" w:rsidRPr="00000000" w14:paraId="0000007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Administrar de manera eficiente los recursos del SMDIF de San Mateo Atenco;</w:t>
      </w:r>
    </w:p>
    <w:p w:rsidR="00000000" w:rsidDel="00000000" w:rsidP="00000000" w:rsidRDefault="00000000" w:rsidRPr="00000000" w14:paraId="0000007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Coordinar el ejercicio del presupuesto asignado al SMDIF de San Mateo Atenco, cuidando que su aplicación se realice con base en los principios de racionalidad, austeridad y disciplina financiera;</w:t>
      </w:r>
    </w:p>
    <w:p w:rsidR="00000000" w:rsidDel="00000000" w:rsidP="00000000" w:rsidRDefault="00000000" w:rsidRPr="00000000" w14:paraId="00000074">
      <w:pP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V. Validar </w:t>
      </w:r>
      <w:r w:rsidDel="00000000" w:rsidR="00000000" w:rsidRPr="00000000">
        <w:rPr>
          <w:rFonts w:ascii="Palatino Linotype" w:cs="Palatino Linotype" w:eastAsia="Palatino Linotype" w:hAnsi="Palatino Linotype"/>
          <w:i w:val="1"/>
          <w:sz w:val="22"/>
          <w:szCs w:val="22"/>
          <w:rtl w:val="0"/>
        </w:rPr>
        <w:t xml:space="preserve">las pólizas-cheque generadas para efectuar </w:t>
      </w:r>
      <w:r w:rsidDel="00000000" w:rsidR="00000000" w:rsidRPr="00000000">
        <w:rPr>
          <w:rFonts w:ascii="Palatino Linotype" w:cs="Palatino Linotype" w:eastAsia="Palatino Linotype" w:hAnsi="Palatino Linotype"/>
          <w:b w:val="1"/>
          <w:i w:val="1"/>
          <w:sz w:val="22"/>
          <w:szCs w:val="22"/>
          <w:rtl w:val="0"/>
        </w:rPr>
        <w:t xml:space="preserve">los pagos</w:t>
      </w:r>
      <w:r w:rsidDel="00000000" w:rsidR="00000000" w:rsidRPr="00000000">
        <w:rPr>
          <w:rFonts w:ascii="Palatino Linotype" w:cs="Palatino Linotype" w:eastAsia="Palatino Linotype" w:hAnsi="Palatino Linotype"/>
          <w:i w:val="1"/>
          <w:sz w:val="22"/>
          <w:szCs w:val="22"/>
          <w:rtl w:val="0"/>
        </w:rPr>
        <w:t xml:space="preserve"> a proveedores de bienes y servicios otorgados al SMDIF de San Mateo Atenco,</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los </w:t>
      </w:r>
      <w:r w:rsidDel="00000000" w:rsidR="00000000" w:rsidRPr="00000000">
        <w:rPr>
          <w:rFonts w:ascii="Palatino Linotype" w:cs="Palatino Linotype" w:eastAsia="Palatino Linotype" w:hAnsi="Palatino Linotype"/>
          <w:b w:val="1"/>
          <w:i w:val="1"/>
          <w:sz w:val="22"/>
          <w:szCs w:val="22"/>
          <w:u w:val="single"/>
          <w:rtl w:val="0"/>
        </w:rPr>
        <w:t xml:space="preserve">correspondientes al pago de nómina y de obligaciones fiscales, laborales, de seguridad social sindical y administrativas, así como verificar que las mismas cumplan con las políticas y normas aplicables;</w:t>
      </w:r>
    </w:p>
    <w:p w:rsidR="00000000" w:rsidDel="00000000" w:rsidP="00000000" w:rsidRDefault="00000000" w:rsidRPr="00000000" w14:paraId="0000007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Alimentar, actualizar y controlar los resultados del Sistema de Control Patrimonial con la finalidad de establecer políticas para la toma de decisiones en materia de bienes muebles e inmuebles, uso y destino de los mismos;</w:t>
      </w:r>
    </w:p>
    <w:p w:rsidR="00000000" w:rsidDel="00000000" w:rsidP="00000000" w:rsidRDefault="00000000" w:rsidRPr="00000000" w14:paraId="0000007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Presentar a la Junta de Gobierno, los estados financieros mensuales, para su revisión y aprobación;</w:t>
      </w:r>
    </w:p>
    <w:p w:rsidR="00000000" w:rsidDel="00000000" w:rsidP="00000000" w:rsidRDefault="00000000" w:rsidRPr="00000000" w14:paraId="0000007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Establecer el plan y las estrategias financieras de contingencia del SMDIF de San Mateo Atenco;</w:t>
      </w:r>
    </w:p>
    <w:p w:rsidR="00000000" w:rsidDel="00000000" w:rsidP="00000000" w:rsidRDefault="00000000" w:rsidRPr="00000000" w14:paraId="0000007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Fungir como Tesorero/a de la Junta de Gobierno del SMDIF de San Mateo Atenco;</w:t>
      </w:r>
    </w:p>
    <w:p w:rsidR="00000000" w:rsidDel="00000000" w:rsidP="00000000" w:rsidRDefault="00000000" w:rsidRPr="00000000" w14:paraId="0000007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w:t>
      </w:r>
      <w:r w:rsidDel="00000000" w:rsidR="00000000" w:rsidRPr="00000000">
        <w:rPr>
          <w:rFonts w:ascii="Palatino Linotype" w:cs="Palatino Linotype" w:eastAsia="Palatino Linotype" w:hAnsi="Palatino Linotype"/>
          <w:b w:val="1"/>
          <w:i w:val="1"/>
          <w:sz w:val="22"/>
          <w:szCs w:val="22"/>
          <w:rtl w:val="0"/>
        </w:rPr>
        <w:t xml:space="preserve">Proveer a las Unidades Administrativas de los recursos humanos y materiales necesarios para su buen funcionamiento</w:t>
      </w:r>
      <w:r w:rsidDel="00000000" w:rsidR="00000000" w:rsidRPr="00000000">
        <w:rPr>
          <w:rFonts w:ascii="Palatino Linotype" w:cs="Palatino Linotype" w:eastAsia="Palatino Linotype" w:hAnsi="Palatino Linotype"/>
          <w:i w:val="1"/>
          <w:sz w:val="22"/>
          <w:szCs w:val="22"/>
          <w:rtl w:val="0"/>
        </w:rPr>
        <w:t xml:space="preserve">, así como de servicios de mantenimiento de inmuebles, parque vehicular y apoyo para la realización de eventos cuando así sea requerido;</w:t>
      </w:r>
    </w:p>
    <w:p w:rsidR="00000000" w:rsidDel="00000000" w:rsidP="00000000" w:rsidRDefault="00000000" w:rsidRPr="00000000" w14:paraId="0000007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Fungir como Vocal Financiero en el Comité de Adquisiciones, Enajenaciones, Arrendamientos y Servicios; </w:t>
      </w:r>
    </w:p>
    <w:p w:rsidR="00000000" w:rsidDel="00000000" w:rsidP="00000000" w:rsidRDefault="00000000" w:rsidRPr="00000000" w14:paraId="0000007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Suscribir contratos de bienes y servicios en términos de la legislación aplicable;</w:t>
      </w:r>
    </w:p>
    <w:p w:rsidR="00000000" w:rsidDel="00000000" w:rsidP="00000000" w:rsidRDefault="00000000" w:rsidRPr="00000000" w14:paraId="0000007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XIII. Evaluar de manera periódica el avance del Programa Anual para cada una de las áreas a su cargo generando acciones correctivas en caso de ser necesario, garantizando su cumplimiento;</w:t>
      </w:r>
    </w:p>
    <w:p w:rsidR="00000000" w:rsidDel="00000000" w:rsidP="00000000" w:rsidRDefault="00000000" w:rsidRPr="00000000" w14:paraId="0000007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XIV. Participar en el Comité Interno de Mejora Regulatoria como vocal, de acuerdo a lo previsto reglamentariamente;</w:t>
      </w:r>
    </w:p>
    <w:p w:rsidR="00000000" w:rsidDel="00000000" w:rsidP="00000000" w:rsidRDefault="00000000" w:rsidRPr="00000000" w14:paraId="0000007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 Cumplir con las tareas en materia de Transparencia y Protección de Datos Personales, de acuerdo con la normatividad vigente;</w:t>
      </w:r>
    </w:p>
    <w:p w:rsidR="00000000" w:rsidDel="00000000" w:rsidP="00000000" w:rsidRDefault="00000000" w:rsidRPr="00000000" w14:paraId="0000007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 Atender de manera directa toda instrucción del superior jerárquico del SMDIF de San Mateo Atenco; y</w:t>
      </w:r>
    </w:p>
    <w:p w:rsidR="00000000" w:rsidDel="00000000" w:rsidP="00000000" w:rsidRDefault="00000000" w:rsidRPr="00000000" w14:paraId="00000080">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XVII. Las demás que le confieren otras disposiciones jurídicas aplicables y las que le encomiende el o la Titular de la Dirección General.”</w:t>
      </w:r>
      <w:r w:rsidDel="00000000" w:rsidR="00000000" w:rsidRPr="00000000">
        <w:rPr>
          <w:rtl w:val="0"/>
        </w:rPr>
      </w:r>
    </w:p>
    <w:p w:rsidR="00000000" w:rsidDel="00000000" w:rsidP="00000000" w:rsidRDefault="00000000" w:rsidRPr="00000000" w14:paraId="0000008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suerte que como se desprende de la cita previamente realizada, la Dirección de Administración y Tesorería es la unidad administrativa competente para efectuar los pagos correspondientes de nómina y de obligaciones fiscales, laborales, de seguridad social sindical y administrativas, así como verificar que las mismas cumplan con las políticas y normas aplicables; por ende, se determina que la respuesta fue proporcionada por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rsidR="00000000" w:rsidDel="00000000" w:rsidP="00000000" w:rsidRDefault="00000000" w:rsidRPr="00000000" w14:paraId="00000083">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ind w:left="864"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XXXIX. Servidor público habilitado:</w:t>
      </w:r>
      <w:r w:rsidDel="00000000" w:rsidR="00000000" w:rsidRPr="00000000">
        <w:rPr>
          <w:rFonts w:ascii="Palatino Linotype" w:cs="Palatino Linotype" w:eastAsia="Palatino Linotype" w:hAnsi="Palatino Linotype"/>
          <w:i w:val="1"/>
          <w:sz w:val="22"/>
          <w:szCs w:val="22"/>
          <w:rtl w:val="0"/>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r w:rsidDel="00000000" w:rsidR="00000000" w:rsidRPr="00000000">
        <w:rPr>
          <w:rtl w:val="0"/>
        </w:rPr>
      </w:r>
    </w:p>
    <w:p w:rsidR="00000000" w:rsidDel="00000000" w:rsidP="00000000" w:rsidRDefault="00000000" w:rsidRPr="00000000" w14:paraId="00000085">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ffffff" w:val="clea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se advierte que efectivamente la Unidad de Transparencia cumplió con lo expresado en el artículo 162 de la Ley de Transparencia y Acceso a la Información Pública del Estado de México y Municipios, el cual menciona lo siguiente:</w:t>
      </w:r>
    </w:p>
    <w:p w:rsidR="00000000" w:rsidDel="00000000" w:rsidP="00000000" w:rsidRDefault="00000000" w:rsidRPr="00000000" w14:paraId="00000087">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ind w:left="864"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162.</w:t>
      </w:r>
      <w:r w:rsidDel="00000000" w:rsidR="00000000" w:rsidRPr="00000000">
        <w:rPr>
          <w:rFonts w:ascii="Palatino Linotype" w:cs="Palatino Linotype" w:eastAsia="Palatino Linotype" w:hAnsi="Palatino Linotype"/>
          <w:i w:val="1"/>
          <w:sz w:val="22"/>
          <w:szCs w:val="22"/>
          <w:rtl w:val="0"/>
        </w:rPr>
        <w:t xml:space="preserve"> Las unidades de transparencia deberán garantizar que las solicitudes </w:t>
      </w:r>
      <w:r w:rsidDel="00000000" w:rsidR="00000000" w:rsidRPr="00000000">
        <w:rPr>
          <w:rFonts w:ascii="Palatino Linotype" w:cs="Palatino Linotype" w:eastAsia="Palatino Linotype" w:hAnsi="Palatino Linotype"/>
          <w:b w:val="1"/>
          <w:i w:val="1"/>
          <w:sz w:val="22"/>
          <w:szCs w:val="22"/>
          <w:rtl w:val="0"/>
        </w:rPr>
        <w:t xml:space="preserve">se turnen a todas las Áreas competentes </w:t>
      </w:r>
      <w:r w:rsidDel="00000000" w:rsidR="00000000" w:rsidRPr="00000000">
        <w:rPr>
          <w:rFonts w:ascii="Palatino Linotype" w:cs="Palatino Linotype" w:eastAsia="Palatino Linotype" w:hAnsi="Palatino Linotype"/>
          <w:i w:val="1"/>
          <w:sz w:val="22"/>
          <w:szCs w:val="22"/>
          <w:rtl w:val="0"/>
        </w:rPr>
        <w:t xml:space="preserve">que cuenten con la información o deban tenerla de acuerdo a sus facultades, competencias y funciones, con el objeto de que realicen una búsqueda exhaustiva y razonable de la información solicitada.”</w:t>
      </w:r>
      <w:r w:rsidDel="00000000" w:rsidR="00000000" w:rsidRPr="00000000">
        <w:rPr>
          <w:rtl w:val="0"/>
        </w:rPr>
      </w:r>
    </w:p>
    <w:p w:rsidR="00000000" w:rsidDel="00000000" w:rsidP="00000000" w:rsidRDefault="00000000" w:rsidRPr="00000000" w14:paraId="0000008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A">
      <w:pPr>
        <w:spacing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Acotado lo anterior, se procede al análisis del requerimiento formulado por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para ello debemos recordar que solicitó la conciliación de nómina de la primera quincena del mes de agosto de dos mil veinticuatro, por lo que en cuanto a la naturaleza de la información, si bien el término “</w:t>
      </w:r>
      <w:r w:rsidDel="00000000" w:rsidR="00000000" w:rsidRPr="00000000">
        <w:rPr>
          <w:rFonts w:ascii="Palatino Linotype" w:cs="Palatino Linotype" w:eastAsia="Palatino Linotype" w:hAnsi="Palatino Linotype"/>
          <w:i w:val="1"/>
          <w:sz w:val="22"/>
          <w:szCs w:val="22"/>
          <w:rtl w:val="0"/>
        </w:rPr>
        <w:t xml:space="preserve">nómina” </w:t>
      </w:r>
      <w:r w:rsidDel="00000000" w:rsidR="00000000" w:rsidRPr="00000000">
        <w:rPr>
          <w:rFonts w:ascii="Palatino Linotype" w:cs="Palatino Linotype" w:eastAsia="Palatino Linotype" w:hAnsi="Palatino Linotype"/>
          <w:sz w:val="22"/>
          <w:szCs w:val="22"/>
          <w:rtl w:val="0"/>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Del="00000000" w:rsidR="00000000" w:rsidRPr="00000000">
        <w:rPr>
          <w:rFonts w:ascii="Palatino Linotype" w:cs="Palatino Linotype" w:eastAsia="Palatino Linotype" w:hAnsi="Palatino Linotype"/>
          <w:i w:val="1"/>
          <w:sz w:val="22"/>
          <w:szCs w:val="22"/>
          <w:rtl w:val="0"/>
        </w:rPr>
        <w:t xml:space="preserve">listado general de los trabajadores de una institución, en</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el cual se </w:t>
      </w:r>
      <w:r w:rsidDel="00000000" w:rsidR="00000000" w:rsidRPr="00000000">
        <w:rPr>
          <w:rFonts w:ascii="Palatino Linotype" w:cs="Palatino Linotype" w:eastAsia="Palatino Linotype" w:hAnsi="Palatino Linotype"/>
          <w:b w:val="1"/>
          <w:i w:val="1"/>
          <w:sz w:val="22"/>
          <w:szCs w:val="22"/>
          <w:rtl w:val="0"/>
        </w:rPr>
        <w:t xml:space="preserve">asientan las </w:t>
      </w:r>
      <w:r w:rsidDel="00000000" w:rsidR="00000000" w:rsidRPr="00000000">
        <w:rPr>
          <w:rFonts w:ascii="Palatino Linotype" w:cs="Palatino Linotype" w:eastAsia="Palatino Linotype" w:hAnsi="Palatino Linotype"/>
          <w:b w:val="1"/>
          <w:i w:val="1"/>
          <w:sz w:val="22"/>
          <w:szCs w:val="22"/>
          <w:u w:val="single"/>
          <w:rtl w:val="0"/>
        </w:rPr>
        <w:t xml:space="preserve">percepciones brutas, deducciones y alcance neto de las mismas</w:t>
      </w:r>
      <w:r w:rsidDel="00000000" w:rsidR="00000000" w:rsidRPr="00000000">
        <w:rPr>
          <w:rFonts w:ascii="Palatino Linotype" w:cs="Palatino Linotype" w:eastAsia="Palatino Linotype" w:hAnsi="Palatino Linotype"/>
          <w:i w:val="1"/>
          <w:sz w:val="22"/>
          <w:szCs w:val="22"/>
          <w:rtl w:val="0"/>
        </w:rPr>
        <w:t xml:space="preserve">; la nómina es utilizada para</w:t>
      </w:r>
      <w:r w:rsidDel="00000000" w:rsidR="00000000" w:rsidRPr="00000000">
        <w:rPr>
          <w:rFonts w:ascii="Palatino Linotype" w:cs="Palatino Linotype" w:eastAsia="Palatino Linotype" w:hAnsi="Palatino Linotype"/>
          <w:b w:val="1"/>
          <w:i w:val="1"/>
          <w:sz w:val="22"/>
          <w:szCs w:val="22"/>
          <w:rtl w:val="0"/>
        </w:rPr>
        <w:t xml:space="preserve"> efectuar los pagos periódicos</w:t>
      </w:r>
      <w:r w:rsidDel="00000000" w:rsidR="00000000" w:rsidRPr="00000000">
        <w:rPr>
          <w:rFonts w:ascii="Palatino Linotype" w:cs="Palatino Linotype" w:eastAsia="Palatino Linotype" w:hAnsi="Palatino Linotype"/>
          <w:i w:val="1"/>
          <w:sz w:val="22"/>
          <w:szCs w:val="22"/>
          <w:rtl w:val="0"/>
        </w:rPr>
        <w:t xml:space="preserve"> (semanales, quincenales o</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mensuales) a los trabajadores por concepto de </w:t>
      </w:r>
      <w:r w:rsidDel="00000000" w:rsidR="00000000" w:rsidRPr="00000000">
        <w:rPr>
          <w:rFonts w:ascii="Palatino Linotype" w:cs="Palatino Linotype" w:eastAsia="Palatino Linotype" w:hAnsi="Palatino Linotype"/>
          <w:b w:val="1"/>
          <w:i w:val="1"/>
          <w:sz w:val="22"/>
          <w:szCs w:val="22"/>
          <w:rtl w:val="0"/>
        </w:rPr>
        <w:t xml:space="preserve">sueldos y salarios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B">
      <w:pPr>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sentido, es oportuno traer a colación el contenido del artículo 350 del Código Financiero del Estado de México y Municipios, en el que se establece la obligación a cargo de las entidades fiscalizables, -como lo es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comunicar al Órgano Superior de Fiscalización del Estado de México, todo lo relacionado con la información contable, presupuestal y financiera, en los términos siguientes:</w:t>
      </w:r>
    </w:p>
    <w:p w:rsidR="00000000" w:rsidDel="00000000" w:rsidP="00000000" w:rsidRDefault="00000000" w:rsidRPr="00000000" w14:paraId="0000008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350.-</w:t>
      </w:r>
      <w:r w:rsidDel="00000000" w:rsidR="00000000" w:rsidRPr="00000000">
        <w:rPr>
          <w:rFonts w:ascii="Palatino Linotype" w:cs="Palatino Linotype" w:eastAsia="Palatino Linotype" w:hAnsi="Palatino Linotype"/>
          <w:i w:val="1"/>
          <w:sz w:val="22"/>
          <w:szCs w:val="22"/>
          <w:rtl w:val="0"/>
        </w:rPr>
        <w:t xml:space="preserve"> La Secretaría y </w:t>
      </w:r>
      <w:r w:rsidDel="00000000" w:rsidR="00000000" w:rsidRPr="00000000">
        <w:rPr>
          <w:rFonts w:ascii="Palatino Linotype" w:cs="Palatino Linotype" w:eastAsia="Palatino Linotype" w:hAnsi="Palatino Linotype"/>
          <w:b w:val="1"/>
          <w:i w:val="1"/>
          <w:sz w:val="22"/>
          <w:szCs w:val="22"/>
          <w:rtl w:val="0"/>
        </w:rPr>
        <w:t xml:space="preserve">las tesorerías</w:t>
      </w:r>
      <w:r w:rsidDel="00000000" w:rsidR="00000000" w:rsidRPr="00000000">
        <w:rPr>
          <w:rFonts w:ascii="Palatino Linotype" w:cs="Palatino Linotype" w:eastAsia="Palatino Linotype" w:hAnsi="Palatino Linotype"/>
          <w:i w:val="1"/>
          <w:sz w:val="22"/>
          <w:szCs w:val="22"/>
          <w:rtl w:val="0"/>
        </w:rPr>
        <w:t xml:space="preserve"> enviarán al Órgano Superior, de manera trimestral, dentro de los primeros veinte días hábiles posteriores al término del trimestre que se informa, para su análisis, la siguiente información:</w:t>
      </w:r>
    </w:p>
    <w:p w:rsidR="00000000" w:rsidDel="00000000" w:rsidP="00000000" w:rsidRDefault="00000000" w:rsidRPr="00000000" w14:paraId="0000008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Patrimonial. </w:t>
      </w:r>
    </w:p>
    <w:p w:rsidR="00000000" w:rsidDel="00000000" w:rsidP="00000000" w:rsidRDefault="00000000" w:rsidRPr="00000000" w14:paraId="0000009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Presupuestal. </w:t>
      </w:r>
    </w:p>
    <w:p w:rsidR="00000000" w:rsidDel="00000000" w:rsidP="00000000" w:rsidRDefault="00000000" w:rsidRPr="00000000" w14:paraId="0000009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De la obra pública.</w:t>
      </w:r>
    </w:p>
    <w:p w:rsidR="00000000" w:rsidDel="00000000" w:rsidP="00000000" w:rsidRDefault="00000000" w:rsidRPr="00000000" w14:paraId="00000092">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De nómina.</w:t>
      </w:r>
    </w:p>
    <w:p w:rsidR="00000000" w:rsidDel="00000000" w:rsidP="00000000" w:rsidRDefault="00000000" w:rsidRPr="00000000" w14:paraId="0000009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Avance del cumplimiento del Plan de Desarrollo del Estado de México. </w:t>
      </w:r>
    </w:p>
    <w:p w:rsidR="00000000" w:rsidDel="00000000" w:rsidP="00000000" w:rsidRDefault="00000000" w:rsidRPr="00000000" w14:paraId="0000009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informes trimestrales deberán contener la evolución de las finanzas públicas integradas con los comentarios correspondientes y los estados financieros consolidados, así como un reporte de los ingresos y egresos de los organismos auxiliares.</w:t>
      </w:r>
    </w:p>
    <w:p w:rsidR="00000000" w:rsidDel="00000000" w:rsidP="00000000" w:rsidRDefault="00000000" w:rsidRPr="00000000" w14:paraId="00000095">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El informe trimestral correspondiente al cuarto trimestre se entregará junto con las Cuentas Públicas del ejercicio fiscal de que se trate</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96">
      <w:pPr>
        <w:spacing w:line="360" w:lineRule="auto"/>
        <w:ind w:left="851" w:right="8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la Ley del Trabajo de los Servidores Públicos del Estado y Municipios, en su artículo 220-K fracciones II y IV y último párrafo, establecen lo siguiente:</w:t>
      </w:r>
    </w:p>
    <w:p w:rsidR="00000000" w:rsidDel="00000000" w:rsidP="00000000" w:rsidRDefault="00000000" w:rsidRPr="00000000" w14:paraId="0000009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9">
      <w:pPr>
        <w:tabs>
          <w:tab w:val="left" w:leader="none" w:pos="907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220 K.-</w:t>
      </w:r>
      <w:r w:rsidDel="00000000" w:rsidR="00000000" w:rsidRPr="00000000">
        <w:rPr>
          <w:rFonts w:ascii="Palatino Linotype" w:cs="Palatino Linotype" w:eastAsia="Palatino Linotype" w:hAnsi="Palatino Linotype"/>
          <w:i w:val="1"/>
          <w:sz w:val="22"/>
          <w:szCs w:val="22"/>
          <w:rtl w:val="0"/>
        </w:rPr>
        <w:t xml:space="preserve"> La institución o dependencia pública tiene la obligación de conservar y exhibir en el proceso los documentos que a continuación se precisan:</w:t>
      </w:r>
    </w:p>
    <w:p w:rsidR="00000000" w:rsidDel="00000000" w:rsidP="00000000" w:rsidRDefault="00000000" w:rsidRPr="00000000" w14:paraId="0000009A">
      <w:pPr>
        <w:tabs>
          <w:tab w:val="left" w:leader="none" w:pos="907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B">
      <w:pPr>
        <w:tabs>
          <w:tab w:val="left" w:leader="none" w:pos="907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w:t>
      </w:r>
      <w:r w:rsidDel="00000000" w:rsidR="00000000" w:rsidRPr="00000000">
        <w:rPr>
          <w:rFonts w:ascii="Palatino Linotype" w:cs="Palatino Linotype" w:eastAsia="Palatino Linotype" w:hAnsi="Palatino Linotype"/>
          <w:b w:val="1"/>
          <w:i w:val="1"/>
          <w:sz w:val="22"/>
          <w:szCs w:val="22"/>
          <w:rtl w:val="0"/>
        </w:rPr>
        <w:t xml:space="preserve">Recibos de pagos de salarios</w:t>
      </w:r>
      <w:r w:rsidDel="00000000" w:rsidR="00000000" w:rsidRPr="00000000">
        <w:rPr>
          <w:rFonts w:ascii="Palatino Linotype" w:cs="Palatino Linotype" w:eastAsia="Palatino Linotype" w:hAnsi="Palatino Linotype"/>
          <w:i w:val="1"/>
          <w:sz w:val="22"/>
          <w:szCs w:val="22"/>
          <w:rtl w:val="0"/>
        </w:rPr>
        <w:t xml:space="preserve"> o las constancias documentales del pago de salario cuando sea por depósito o mediante información electrónica;</w:t>
      </w:r>
    </w:p>
    <w:p w:rsidR="00000000" w:rsidDel="00000000" w:rsidP="00000000" w:rsidRDefault="00000000" w:rsidRPr="00000000" w14:paraId="0000009C">
      <w:pPr>
        <w:tabs>
          <w:tab w:val="left" w:leader="none" w:pos="907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D">
      <w:pPr>
        <w:tabs>
          <w:tab w:val="left" w:leader="none" w:pos="907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Recibos o las constancias de depósito o del medio de información magnética o electrónica que sean utilizadas para el pago de salarios, prima vacacional, aguinaldo y demás prestaciones establecidas en la presente ley; y…</w:t>
      </w:r>
    </w:p>
    <w:p w:rsidR="00000000" w:rsidDel="00000000" w:rsidP="00000000" w:rsidRDefault="00000000" w:rsidRPr="00000000" w14:paraId="0000009E">
      <w:pPr>
        <w:tabs>
          <w:tab w:val="left" w:leader="none" w:pos="907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000000" w:rsidDel="00000000" w:rsidP="00000000" w:rsidRDefault="00000000" w:rsidRPr="00000000" w14:paraId="0000009F">
      <w:pPr>
        <w:tabs>
          <w:tab w:val="left" w:leader="none" w:pos="907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000000" w:rsidDel="00000000" w:rsidP="00000000" w:rsidRDefault="00000000" w:rsidRPr="00000000" w14:paraId="000000A0">
      <w:pPr>
        <w:tabs>
          <w:tab w:val="left" w:leader="none" w:pos="907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incumplimiento por lo dispuesto por este artículo, establecerá la presunción de ser ciertos los hechos que el actor exprese en su demanda, en relación con tales documentos, salvo prueba en contrario.”</w:t>
      </w:r>
    </w:p>
    <w:p w:rsidR="00000000" w:rsidDel="00000000" w:rsidP="00000000" w:rsidRDefault="00000000" w:rsidRPr="00000000" w14:paraId="000000A1">
      <w:pPr>
        <w:spacing w:line="360" w:lineRule="auto"/>
        <w:ind w:left="851"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000000" w:rsidDel="00000000" w:rsidP="00000000" w:rsidRDefault="00000000" w:rsidRPr="00000000" w14:paraId="000000A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rsidR="00000000" w:rsidDel="00000000" w:rsidP="00000000" w:rsidRDefault="00000000" w:rsidRPr="00000000" w14:paraId="000000A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Órgano Superior</w:t>
      </w:r>
      <w:r w:rsidDel="00000000" w:rsidR="00000000" w:rsidRPr="00000000">
        <w:rPr>
          <w:rFonts w:ascii="Palatino Linotype" w:cs="Palatino Linotype" w:eastAsia="Palatino Linotype" w:hAnsi="Palatino Linotype"/>
          <w:i w:val="1"/>
          <w:sz w:val="22"/>
          <w:szCs w:val="22"/>
          <w:rtl w:val="0"/>
        </w:rPr>
        <w:t xml:space="preserve"> tendrá las siguientes atribuciones:</w:t>
      </w:r>
    </w:p>
    <w:p w:rsidR="00000000" w:rsidDel="00000000" w:rsidP="00000000" w:rsidRDefault="00000000" w:rsidRPr="00000000" w14:paraId="000000A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Establecer los lineamientos, criterios, procedimientos, métodos y sistemas, así como todas aquellas disposiciones de carácter general para las acciones de control y evaluación, necesarios para la fiscalización de las cuentas públicas y los informes trimestrales;”</w:t>
      </w:r>
    </w:p>
    <w:p w:rsidR="00000000" w:rsidDel="00000000" w:rsidP="00000000" w:rsidRDefault="00000000" w:rsidRPr="00000000" w14:paraId="000000A9">
      <w:pPr>
        <w:spacing w:line="360" w:lineRule="auto"/>
        <w:ind w:left="1134"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organismos descentralizados;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rsidR="00000000" w:rsidDel="00000000" w:rsidP="00000000" w:rsidRDefault="00000000" w:rsidRPr="00000000" w14:paraId="000000A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información documental comprobatoria de los informes trimestrales presentados debe conservarse en los archivos de la entidad fiscalizada -organismo descentralizado- en original y debidamente integrada en términos de los lineamientos de referencia, pues son susceptibles de revisión directa por el Órgano Superior de Fiscalización del Estado de México.</w:t>
      </w:r>
    </w:p>
    <w:p w:rsidR="00000000" w:rsidDel="00000000" w:rsidP="00000000" w:rsidRDefault="00000000" w:rsidRPr="00000000" w14:paraId="000000A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contexto, el Órgano Superior de Fiscalización del Estado de México, emite en cada ejercicio fiscal los Lineamientos para la integración y entrega del Informe Trimestral Municipal, para el ejercicio 2024 y los Instructivos de llenado correspondientes, mismos que se encuentran disponibles en su sitio de internet</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con la finalidad de definir los criterios, los formatos y la documentación necesaria para presentar los informes trimestrales, que deben ser entregados a través de cuatro módulos.</w:t>
      </w:r>
    </w:p>
    <w:p w:rsidR="00000000" w:rsidDel="00000000" w:rsidP="00000000" w:rsidRDefault="00000000" w:rsidRPr="00000000" w14:paraId="000000A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0">
      <w:pPr>
        <w:spacing w:after="8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información que con motivo de la nómina que genera el</w:t>
      </w:r>
      <w:r w:rsidDel="00000000" w:rsidR="00000000" w:rsidRPr="00000000">
        <w:rPr>
          <w:rFonts w:ascii="Palatino Linotype" w:cs="Palatino Linotype" w:eastAsia="Palatino Linotype" w:hAnsi="Palatino Linotype"/>
          <w:b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se encuentra contenida en el Módulo 4 Información administrativa, Submódulo Nómina, como se muestra a continuación:</w:t>
      </w:r>
    </w:p>
    <w:p w:rsidR="00000000" w:rsidDel="00000000" w:rsidP="00000000" w:rsidRDefault="00000000" w:rsidRPr="00000000" w14:paraId="000000B1">
      <w:pPr>
        <w:spacing w:before="80"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594686" cy="4521220"/>
            <wp:effectExtent b="0" l="0" r="0" t="0"/>
            <wp:docPr id="14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594686" cy="452122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1079500</wp:posOffset>
                </wp:positionV>
                <wp:extent cx="3239921" cy="367067"/>
                <wp:effectExtent b="0" l="0" r="0" t="0"/>
                <wp:wrapNone/>
                <wp:docPr id="143" name=""/>
                <a:graphic>
                  <a:graphicData uri="http://schemas.microsoft.com/office/word/2010/wordprocessingShape">
                    <wps:wsp>
                      <wps:cNvSpPr/>
                      <wps:cNvPr id="2" name="Shape 2"/>
                      <wps:spPr>
                        <a:xfrm>
                          <a:off x="3735565" y="3605992"/>
                          <a:ext cx="3220871" cy="348017"/>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1079500</wp:posOffset>
                </wp:positionV>
                <wp:extent cx="3239921" cy="367067"/>
                <wp:effectExtent b="0" l="0" r="0" t="0"/>
                <wp:wrapNone/>
                <wp:docPr id="14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3239921" cy="367067"/>
                        </a:xfrm>
                        <a:prstGeom prst="rect"/>
                        <a:ln/>
                      </pic:spPr>
                    </pic:pic>
                  </a:graphicData>
                </a:graphic>
              </wp:anchor>
            </w:drawing>
          </mc:Fallback>
        </mc:AlternateConten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Atentos a lo anterior, se visualiza que la conciliación de nómina que el</w:t>
      </w:r>
      <w:r w:rsidDel="00000000" w:rsidR="00000000" w:rsidRPr="00000000">
        <w:rPr>
          <w:rFonts w:ascii="Palatino Linotype" w:cs="Palatino Linotype" w:eastAsia="Palatino Linotype" w:hAnsi="Palatino Linotype"/>
          <w:b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genera es de manera quincenal. Para mayor referencia a continuación se inserta el formato mediante el cual dicha información se presenta, así como el instructivo de llenado: </w:t>
      </w:r>
    </w:p>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470519" cy="6129453"/>
            <wp:effectExtent b="0" l="0" r="0" t="0"/>
            <wp:docPr descr="https://lh7-us.googleusercontent.com/NpaMQ0145pYF2tYhqzLAeaJs9PwHuR6YBhohswGaGO6rPDvkiFI2pX6oleDYWy9B4r0o_Ag4FUgbKiOJhGvKGvnThpLM44nddDogX8K6B6hFG2_aMM2gl0vhSkGZ_7gdaiTK1xbBGxWaHjP7qxM2" id="148" name="image4.png"/>
            <a:graphic>
              <a:graphicData uri="http://schemas.openxmlformats.org/drawingml/2006/picture">
                <pic:pic>
                  <pic:nvPicPr>
                    <pic:cNvPr descr="https://lh7-us.googleusercontent.com/NpaMQ0145pYF2tYhqzLAeaJs9PwHuR6YBhohswGaGO6rPDvkiFI2pX6oleDYWy9B4r0o_Ag4FUgbKiOJhGvKGvnThpLM44nddDogX8K6B6hFG2_aMM2gl0vhSkGZ_7gdaiTK1xbBGxWaHjP7qxM2" id="0" name="image4.png"/>
                    <pic:cNvPicPr preferRelativeResize="0"/>
                  </pic:nvPicPr>
                  <pic:blipFill>
                    <a:blip r:embed="rId10"/>
                    <a:srcRect b="0" l="0" r="0" t="0"/>
                    <a:stretch>
                      <a:fillRect/>
                    </a:stretch>
                  </pic:blipFill>
                  <pic:spPr>
                    <a:xfrm>
                      <a:off x="0" y="0"/>
                      <a:ext cx="5470519" cy="6129453"/>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172080" cy="6512670"/>
            <wp:effectExtent b="0" l="0" r="0" t="0"/>
            <wp:docPr descr="https://lh7-us.googleusercontent.com/hkj6oW72zkAAhI_Eh7-XiuH1KAgP3vENFE1nY145d2P8gHSTt__l9zrRDvAK46I4MMmaK4rO6wrDTZlAZwb-ZCl4T7xNK6KB1-G7wXDYSjSWnI6AW---diUYtJk0_qDSc9TURvZAcJ304cOI2aPH" id="147" name="image2.png"/>
            <a:graphic>
              <a:graphicData uri="http://schemas.openxmlformats.org/drawingml/2006/picture">
                <pic:pic>
                  <pic:nvPicPr>
                    <pic:cNvPr descr="https://lh7-us.googleusercontent.com/hkj6oW72zkAAhI_Eh7-XiuH1KAgP3vENFE1nY145d2P8gHSTt__l9zrRDvAK46I4MMmaK4rO6wrDTZlAZwb-ZCl4T7xNK6KB1-G7wXDYSjSWnI6AW---diUYtJk0_qDSc9TURvZAcJ304cOI2aPH" id="0" name="image2.png"/>
                    <pic:cNvPicPr preferRelativeResize="0"/>
                  </pic:nvPicPr>
                  <pic:blipFill>
                    <a:blip r:embed="rId11"/>
                    <a:srcRect b="0" l="0" r="0" t="0"/>
                    <a:stretch>
                      <a:fillRect/>
                    </a:stretch>
                  </pic:blipFill>
                  <pic:spPr>
                    <a:xfrm>
                      <a:off x="0" y="0"/>
                      <a:ext cx="5172080" cy="651267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067300" cy="3400425"/>
            <wp:effectExtent b="0" l="0" r="0" t="0"/>
            <wp:docPr descr="https://lh7-us.googleusercontent.com/agO0HTDyvXGudyeIvTZmRPVxjfD5b3CN0LUZukTiXcJLGjVq1cVW_TKHOl0bsPH0tE19emOW_Klw6uJdr596zv3NfkCEmZgp8gku7HZInHz-yJNi9Y79Pi0G9hsFgQMnP0-gVaHaLJ6PKF1jDOOZ" id="149" name="image3.png"/>
            <a:graphic>
              <a:graphicData uri="http://schemas.openxmlformats.org/drawingml/2006/picture">
                <pic:pic>
                  <pic:nvPicPr>
                    <pic:cNvPr descr="https://lh7-us.googleusercontent.com/agO0HTDyvXGudyeIvTZmRPVxjfD5b3CN0LUZukTiXcJLGjVq1cVW_TKHOl0bsPH0tE19emOW_Klw6uJdr596zv3NfkCEmZgp8gku7HZInHz-yJNi9Y79Pi0G9hsFgQMnP0-gVaHaLJ6PKF1jDOOZ" id="0" name="image3.png"/>
                    <pic:cNvPicPr preferRelativeResize="0"/>
                  </pic:nvPicPr>
                  <pic:blipFill>
                    <a:blip r:embed="rId12"/>
                    <a:srcRect b="0" l="0" r="0" t="0"/>
                    <a:stretch>
                      <a:fillRect/>
                    </a:stretch>
                  </pic:blipFill>
                  <pic:spPr>
                    <a:xfrm>
                      <a:off x="0" y="0"/>
                      <a:ext cx="5067300" cy="3400425"/>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se advierte que, el documento entregado en respuesta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corresponde a la Conciliación de Nómina solicitada, de acuerdo con el formato establecido por el Órgano Superior de Fiscalización, lo que se robustece con el pronunciamiento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informe justificado, al hacer del conocimiento de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que, el formato entregado corresponde al elaborado y establecido por el Órgano Superior de Fiscalización (OSFEM). </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es de señalar que la información solicitada,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000000" w:rsidDel="00000000" w:rsidP="00000000" w:rsidRDefault="00000000" w:rsidRPr="00000000" w14:paraId="000000B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B">
      <w:pPr>
        <w:spacing w:line="276" w:lineRule="auto"/>
        <w:ind w:left="851" w:right="616"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u w:val="single"/>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Artículo 7. El Estado de México garantizará el efectivo acceso de toda persona a la información en posesión de cualquier entidad,</w:t>
      </w:r>
      <w:r w:rsidDel="00000000" w:rsidR="00000000" w:rsidRPr="00000000">
        <w:rPr>
          <w:rFonts w:ascii="Palatino Linotype" w:cs="Palatino Linotype" w:eastAsia="Palatino Linotype" w:hAnsi="Palatino Linotype"/>
          <w:i w:val="1"/>
          <w:sz w:val="22"/>
          <w:szCs w:val="22"/>
          <w:rtl w:val="0"/>
        </w:rPr>
        <w:t xml:space="preserve"> autoridad, órgano y organismo de los poderes Ejecutivo, Legislativo y Judicial, órganos autónomos, partidos políticos, fideicomisos y fondos públicos, así como de cualquier persona física, jurídico colectiva o sindicato </w:t>
      </w:r>
      <w:r w:rsidDel="00000000" w:rsidR="00000000" w:rsidRPr="00000000">
        <w:rPr>
          <w:rFonts w:ascii="Palatino Linotype" w:cs="Palatino Linotype" w:eastAsia="Palatino Linotype" w:hAnsi="Palatino Linotype"/>
          <w:b w:val="1"/>
          <w:i w:val="1"/>
          <w:sz w:val="22"/>
          <w:szCs w:val="22"/>
          <w:u w:val="single"/>
          <w:rtl w:val="0"/>
        </w:rPr>
        <w:t xml:space="preserve">que reciba y ejerza recursos públicos</w:t>
      </w:r>
      <w:r w:rsidDel="00000000" w:rsidR="00000000" w:rsidRPr="00000000">
        <w:rPr>
          <w:rFonts w:ascii="Palatino Linotype" w:cs="Palatino Linotype" w:eastAsia="Palatino Linotype" w:hAnsi="Palatino Linotype"/>
          <w:i w:val="1"/>
          <w:sz w:val="22"/>
          <w:szCs w:val="22"/>
          <w:rtl w:val="0"/>
        </w:rPr>
        <w:t xml:space="preserve"> o realice actos de autoridad </w:t>
      </w:r>
      <w:r w:rsidDel="00000000" w:rsidR="00000000" w:rsidRPr="00000000">
        <w:rPr>
          <w:rFonts w:ascii="Palatino Linotype" w:cs="Palatino Linotype" w:eastAsia="Palatino Linotype" w:hAnsi="Palatino Linotype"/>
          <w:b w:val="1"/>
          <w:i w:val="1"/>
          <w:sz w:val="22"/>
          <w:szCs w:val="22"/>
          <w:u w:val="single"/>
          <w:rtl w:val="0"/>
        </w:rPr>
        <w:t xml:space="preserve">en el ámbito de competencia del Estado de México y sus municipios</w:t>
      </w:r>
      <w:r w:rsidDel="00000000" w:rsidR="00000000" w:rsidRPr="00000000">
        <w:rPr>
          <w:rFonts w:ascii="Palatino Linotype" w:cs="Palatino Linotype" w:eastAsia="Palatino Linotype" w:hAnsi="Palatino Linotype"/>
          <w:i w:val="1"/>
          <w:sz w:val="22"/>
          <w:szCs w:val="22"/>
          <w:u w:val="single"/>
          <w:rtl w:val="0"/>
        </w:rPr>
        <w:t xml:space="preserve">.</w:t>
      </w:r>
    </w:p>
    <w:p w:rsidR="00000000" w:rsidDel="00000000" w:rsidP="00000000" w:rsidRDefault="00000000" w:rsidRPr="00000000" w14:paraId="000000B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23. Son sujetos obligados a transparentar y permitir el acceso a su información y proteger los datos personales que obren en su poder:</w:t>
      </w:r>
    </w:p>
    <w:p w:rsidR="00000000" w:rsidDel="00000000" w:rsidP="00000000" w:rsidRDefault="00000000" w:rsidRPr="00000000" w14:paraId="000000B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E">
      <w:pP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IV. Los ayuntamientos y las dependencias, organismos, órganos y entidades de la administración municipal;</w:t>
      </w:r>
    </w:p>
    <w:p w:rsidR="00000000" w:rsidDel="00000000" w:rsidP="00000000" w:rsidRDefault="00000000" w:rsidRPr="00000000" w14:paraId="000000B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0">
      <w:pP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0C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servidores públicos deberán transparentar sus acciones así como garantizar y respetar el derecho de acceso a la información pública.” [Sic]</w:t>
      </w:r>
    </w:p>
    <w:p w:rsidR="00000000" w:rsidDel="00000000" w:rsidP="00000000" w:rsidRDefault="00000000" w:rsidRPr="00000000" w14:paraId="000000C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sustento por analogía, para justificar la publicidad sobre los datos relativos a los montos por concepto de pago de las remuneraciones, los criterios </w:t>
      </w:r>
      <w:r w:rsidDel="00000000" w:rsidR="00000000" w:rsidRPr="00000000">
        <w:rPr>
          <w:rFonts w:ascii="Palatino Linotype" w:cs="Palatino Linotype" w:eastAsia="Palatino Linotype" w:hAnsi="Palatino Linotype"/>
          <w:b w:val="1"/>
          <w:sz w:val="22"/>
          <w:szCs w:val="22"/>
          <w:rtl w:val="0"/>
        </w:rPr>
        <w:t xml:space="preserve">01/2003</w:t>
      </w:r>
      <w:r w:rsidDel="00000000" w:rsidR="00000000" w:rsidRPr="00000000">
        <w:rPr>
          <w:rFonts w:ascii="Palatino Linotype" w:cs="Palatino Linotype" w:eastAsia="Palatino Linotype" w:hAnsi="Palatino Linotype"/>
          <w:sz w:val="22"/>
          <w:szCs w:val="22"/>
          <w:rtl w:val="0"/>
        </w:rPr>
        <w:t xml:space="preserve"> y </w:t>
      </w:r>
      <w:r w:rsidDel="00000000" w:rsidR="00000000" w:rsidRPr="00000000">
        <w:rPr>
          <w:rFonts w:ascii="Palatino Linotype" w:cs="Palatino Linotype" w:eastAsia="Palatino Linotype" w:hAnsi="Palatino Linotype"/>
          <w:b w:val="1"/>
          <w:sz w:val="22"/>
          <w:szCs w:val="22"/>
          <w:rtl w:val="0"/>
        </w:rPr>
        <w:t xml:space="preserve">02/2003</w:t>
      </w:r>
      <w:r w:rsidDel="00000000" w:rsidR="00000000" w:rsidRPr="00000000">
        <w:rPr>
          <w:rFonts w:ascii="Palatino Linotype" w:cs="Palatino Linotype" w:eastAsia="Palatino Linotype" w:hAnsi="Palatino Linotype"/>
          <w:sz w:val="22"/>
          <w:szCs w:val="22"/>
          <w:rtl w:val="0"/>
        </w:rPr>
        <w:t xml:space="preserve"> emitidos por el Comité de Acceso a la Información Pública y Protección de Datos Personales de la Suprema Corte de Justicia de la Nación que a continuación se citan: </w:t>
      </w:r>
    </w:p>
    <w:p w:rsidR="00000000" w:rsidDel="00000000" w:rsidP="00000000" w:rsidRDefault="00000000" w:rsidRPr="00000000" w14:paraId="000000C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5">
      <w:pPr>
        <w:spacing w:line="276" w:lineRule="auto"/>
        <w:ind w:left="851" w:right="616" w:firstLine="0"/>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01/2003.</w:t>
      </w:r>
    </w:p>
    <w:p w:rsidR="00000000" w:rsidDel="00000000" w:rsidP="00000000" w:rsidRDefault="00000000" w:rsidRPr="00000000" w14:paraId="000000C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INGRESOS DE LOS SERVIDORES PÚBLICOS. CONSTITUYEN INFORMACIÓN PÚBLICA AÚN Y CUANDO SU DIFUSIÓN PUEDE AFECTAR LA VIDA O LA SEGURIDAD DE AQUELLOS.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C7">
      <w:pPr>
        <w:spacing w:line="276" w:lineRule="auto"/>
        <w:ind w:left="851" w:right="616"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Del="00000000" w:rsidR="00000000" w:rsidRPr="00000000">
        <w:rPr>
          <w:rFonts w:ascii="Palatino Linotype" w:cs="Palatino Linotype" w:eastAsia="Palatino Linotype" w:hAnsi="Palatino Linotype"/>
          <w:b w:val="1"/>
          <w:i w:val="1"/>
          <w:sz w:val="22"/>
          <w:szCs w:val="22"/>
          <w:u w:val="single"/>
          <w:rtl w:val="0"/>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Del="00000000" w:rsidR="00000000" w:rsidRPr="00000000">
        <w:rPr>
          <w:rFonts w:ascii="Palatino Linotype" w:cs="Palatino Linotype" w:eastAsia="Palatino Linotype" w:hAnsi="Palatino Linotype"/>
          <w:i w:val="1"/>
          <w:sz w:val="22"/>
          <w:szCs w:val="22"/>
          <w:u w:val="single"/>
          <w:rtl w:val="0"/>
        </w:rPr>
        <w:t xml:space="preserve">…”</w:t>
      </w:r>
    </w:p>
    <w:p w:rsidR="00000000" w:rsidDel="00000000" w:rsidP="00000000" w:rsidRDefault="00000000" w:rsidRPr="00000000" w14:paraId="000000C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9">
      <w:pPr>
        <w:spacing w:line="276" w:lineRule="auto"/>
        <w:ind w:left="851" w:right="616" w:firstLine="0"/>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02/2003.</w:t>
      </w:r>
    </w:p>
    <w:p w:rsidR="00000000" w:rsidDel="00000000" w:rsidP="00000000" w:rsidRDefault="00000000" w:rsidRPr="00000000" w14:paraId="000000C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INGRESOS DE LOS SERVIDORES PÚBLICOS, SON INFORMACIÓN PÚBLICA AÚN Y CUANDO CONSTITUYEN DATOS PERSONALES QUE SE REFIEREN AL PATRIMONIO DE AQUÉLLOS.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CB">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Del="00000000" w:rsidR="00000000" w:rsidRPr="00000000">
        <w:rPr>
          <w:rFonts w:ascii="Palatino Linotype" w:cs="Palatino Linotype" w:eastAsia="Palatino Linotype" w:hAnsi="Palatino Linotype"/>
          <w:b w:val="1"/>
          <w:i w:val="1"/>
          <w:sz w:val="22"/>
          <w:szCs w:val="22"/>
          <w:u w:val="single"/>
          <w:rtl w:val="0"/>
        </w:rPr>
        <w:t xml:space="preserve">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Del="00000000" w:rsidR="00000000" w:rsidRPr="00000000">
        <w:rPr>
          <w:rFonts w:ascii="Palatino Linotype" w:cs="Palatino Linotype" w:eastAsia="Palatino Linotype" w:hAnsi="Palatino Linotype"/>
          <w:i w:val="1"/>
          <w:sz w:val="22"/>
          <w:szCs w:val="22"/>
          <w:rtl w:val="0"/>
        </w:rPr>
        <w:t xml:space="preserve"> el sistema de compensación…” </w:t>
      </w:r>
      <w:r w:rsidDel="00000000" w:rsidR="00000000" w:rsidRPr="00000000">
        <w:rPr>
          <w:rFonts w:ascii="Palatino Linotype" w:cs="Palatino Linotype" w:eastAsia="Palatino Linotype" w:hAnsi="Palatino Linotype"/>
          <w:b w:val="1"/>
          <w:i w:val="1"/>
          <w:sz w:val="22"/>
          <w:szCs w:val="22"/>
          <w:rtl w:val="0"/>
        </w:rPr>
        <w:t xml:space="preserve">[Sic]</w:t>
      </w:r>
    </w:p>
    <w:p w:rsidR="00000000" w:rsidDel="00000000" w:rsidP="00000000" w:rsidRDefault="00000000" w:rsidRPr="00000000" w14:paraId="000000C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el artículo 70 de la Ley General de Transparencia y Acceso a la Información Pública dispone lo siguiente: </w:t>
      </w:r>
    </w:p>
    <w:p w:rsidR="00000000" w:rsidDel="00000000" w:rsidP="00000000" w:rsidRDefault="00000000" w:rsidRPr="00000000" w14:paraId="000000C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70.</w:t>
      </w:r>
      <w:r w:rsidDel="00000000" w:rsidR="00000000" w:rsidRPr="00000000">
        <w:rPr>
          <w:rFonts w:ascii="Palatino Linotype" w:cs="Palatino Linotype" w:eastAsia="Palatino Linotype" w:hAnsi="Palatino Linotype"/>
          <w:i w:val="1"/>
          <w:sz w:val="22"/>
          <w:szCs w:val="22"/>
          <w:rtl w:val="0"/>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rsidR="00000000" w:rsidDel="00000000" w:rsidP="00000000" w:rsidRDefault="00000000" w:rsidRPr="00000000" w14:paraId="000000D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D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000000" w:rsidDel="00000000" w:rsidP="00000000" w:rsidRDefault="00000000" w:rsidRPr="00000000" w14:paraId="000000D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D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Robustece lo anterior, el artículo 92, fracción VIII de la Ley de Transparencia y Acceso a la Información Pública del Estado de México y Municipios, señala: </w:t>
      </w:r>
    </w:p>
    <w:p w:rsidR="00000000" w:rsidDel="00000000" w:rsidP="00000000" w:rsidRDefault="00000000" w:rsidRPr="00000000" w14:paraId="000000D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000000" w:rsidDel="00000000" w:rsidP="00000000" w:rsidRDefault="00000000" w:rsidRPr="00000000" w14:paraId="000000D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000000" w:rsidDel="00000000" w:rsidP="00000000" w:rsidRDefault="00000000" w:rsidRPr="00000000" w14:paraId="000000D9">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A">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de la revisión a la Conciliación de Nómina remitida en respuesta se advierte que testó información que considero es clasificada como confidencial, remitiendo el acta del Comité de Transparencia en el que se aprobó la versión pública, y en el que únicamente se mencionó que los datos que se clasificaban eran los siguientes: Registro Federal de Contribuyentes (RFC), Clave Única de Registro de Población (CURP), número de seguridad (ISESEMYM), número de cuenta bancaria, número de cheque y/o número de referencia, préstamos personales u otras; por lo que se procede a analizar si procede o no la clasificación de la información. </w:t>
      </w:r>
    </w:p>
    <w:p w:rsidR="00000000" w:rsidDel="00000000" w:rsidP="00000000" w:rsidRDefault="00000000" w:rsidRPr="00000000" w14:paraId="000000DB">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Registro Federal de Contribuyentes (RFC)</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al Registro Federal de Contribuyentes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0E1">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compartido por el Instituto Nacional de Transparencia, Acceso a la Información y Protección de Datos Personales, INAI, a través del Criterio 19/17, el cual es del tenor literal siguiente:</w:t>
      </w:r>
    </w:p>
    <w:p w:rsidR="00000000" w:rsidDel="00000000" w:rsidP="00000000" w:rsidRDefault="00000000" w:rsidRPr="00000000" w14:paraId="000000E3">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ind w:left="864"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Registro Federal de Contribuyentes (RFC) de personas físicas</w:t>
      </w:r>
      <w:r w:rsidDel="00000000" w:rsidR="00000000" w:rsidRPr="00000000">
        <w:rPr>
          <w:rFonts w:ascii="Palatino Linotype" w:cs="Palatino Linotype" w:eastAsia="Palatino Linotype" w:hAnsi="Palatino Linotype"/>
          <w:i w:val="1"/>
          <w:sz w:val="22"/>
          <w:szCs w:val="22"/>
          <w:rtl w:val="0"/>
        </w:rPr>
        <w:t xml:space="preserve">. El RFC es una clave de carácter fiscal, única e irrepetible, que permite identificar al titular, su edad y fecha de nacimiento, por lo que es un dato personal de carácter confidencial.”</w:t>
      </w:r>
      <w:r w:rsidDel="00000000" w:rsidR="00000000" w:rsidRPr="00000000">
        <w:rPr>
          <w:rtl w:val="0"/>
        </w:rPr>
      </w:r>
    </w:p>
    <w:p w:rsidR="00000000" w:rsidDel="00000000" w:rsidP="00000000" w:rsidRDefault="00000000" w:rsidRPr="00000000" w14:paraId="000000E5">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Clave Única de Registro de Población (CURP)</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000000" w:rsidDel="00000000" w:rsidP="00000000" w:rsidRDefault="00000000" w:rsidRPr="00000000" w14:paraId="000000EB">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es compartido por el Instituto Nacional de Transparencia, Acceso a la Información y Protección de Datos Personales, INAI, conforme al criterio 18/17, el cual refiere:</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line="360" w:lineRule="auto"/>
        <w:ind w:left="864" w:right="86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line="276" w:lineRule="auto"/>
        <w:ind w:left="862"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Del="00000000" w:rsidR="00000000" w:rsidRPr="00000000">
        <w:rPr>
          <w:rtl w:val="0"/>
        </w:rPr>
      </w:r>
    </w:p>
    <w:p w:rsidR="00000000" w:rsidDel="00000000" w:rsidP="00000000" w:rsidRDefault="00000000" w:rsidRPr="00000000" w14:paraId="000000EF">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Número de seguridad (ISSEMYM)</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 por lo que debe ser clasificado como confidencial con fundamento en la fracción I del artículo 143 de la Ley de la Materia vigente en la Entidad.</w:t>
      </w:r>
    </w:p>
    <w:p w:rsidR="00000000" w:rsidDel="00000000" w:rsidP="00000000" w:rsidRDefault="00000000" w:rsidRPr="00000000" w14:paraId="000000F3">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Número de cuenta bancaria</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000000" w:rsidDel="00000000" w:rsidP="00000000" w:rsidRDefault="00000000" w:rsidRPr="00000000" w14:paraId="000000F7">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000000" w:rsidDel="00000000" w:rsidP="00000000" w:rsidRDefault="00000000" w:rsidRPr="00000000" w14:paraId="000000F9">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000000" w:rsidDel="00000000" w:rsidP="00000000" w:rsidRDefault="00000000" w:rsidRPr="00000000" w14:paraId="000000FB">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virtud, este Pleno determina que dicha información no puede ser del dominio público, toda vez que se podría dar un uso inadecuado a la misma o cometer algún ilícito o fraude como ya ha sido expuesto. </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no es así tratándose de las cuentas bancarias o claves interbancarias de los Sujetos Obligados ya que su publicidad cede a la rendición de cuentas al transparentar la forma en que son administrados los recursos públicos.</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argumentado encuentra sustento en los criterios 10/17 y 11/17 emitidos por el Instituto Nacional de Transparencia, Acceso a la Información y Protección de Datos Personales, INAI, que llevan por rubro y texto los siguientes:</w:t>
      </w:r>
    </w:p>
    <w:p w:rsidR="00000000" w:rsidDel="00000000" w:rsidP="00000000" w:rsidRDefault="00000000" w:rsidRPr="00000000" w14:paraId="00000101">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line="276" w:lineRule="auto"/>
        <w:ind w:left="864"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sz w:val="22"/>
          <w:szCs w:val="22"/>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Del="00000000" w:rsidR="00000000" w:rsidRPr="00000000">
        <w:rPr>
          <w:rtl w:val="0"/>
        </w:rPr>
      </w:r>
    </w:p>
    <w:p w:rsidR="00000000" w:rsidDel="00000000" w:rsidP="00000000" w:rsidRDefault="00000000" w:rsidRPr="00000000" w14:paraId="00000103">
      <w:pPr>
        <w:spacing w:line="276" w:lineRule="auto"/>
        <w:ind w:left="864"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line="276" w:lineRule="auto"/>
        <w:ind w:left="864"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sz w:val="22"/>
          <w:szCs w:val="22"/>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r w:rsidDel="00000000" w:rsidR="00000000" w:rsidRPr="00000000">
        <w:rPr>
          <w:rtl w:val="0"/>
        </w:rPr>
      </w:r>
    </w:p>
    <w:p w:rsidR="00000000" w:rsidDel="00000000" w:rsidP="00000000" w:rsidRDefault="00000000" w:rsidRPr="00000000" w14:paraId="00000105">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Número de cheque y/o número de referencia.</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respecta a los datos relativos al número de referencia y/o cheque, no revelarían dato personal alguno, toda vez que el número de cheque es el grupo de números cuya finalidad es llevar un registro del cheque, y por lo general es el último grupo de números en el cheque personal; mientras que el número de referencia es un conjunto de números que se asigna a cada operación bancaria y que sirve para identificar únicamente la transacción. Se puede obtener de distintas formas, según el caso: </w:t>
      </w:r>
    </w:p>
    <w:p w:rsidR="00000000" w:rsidDel="00000000" w:rsidP="00000000" w:rsidRDefault="00000000" w:rsidRPr="00000000" w14:paraId="0000010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una transferencia bancaria, se puede consultar en la app o plataforma del banco, o se puede anotar al momento de realizar la operación. </w:t>
      </w:r>
    </w:p>
    <w:p w:rsidR="00000000" w:rsidDel="00000000" w:rsidP="00000000" w:rsidRDefault="00000000" w:rsidRPr="00000000" w14:paraId="0000010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el caso de la Agencia Tributaria, se puede obtener a través de la app o la web, comunicando el Número de Identificación Fiscal, la fecha de caducidad del certificado electrónico o el número de soporte del Número de Identidad de Extranjero. </w:t>
      </w:r>
    </w:p>
    <w:p w:rsidR="00000000" w:rsidDel="00000000" w:rsidP="00000000" w:rsidRDefault="00000000" w:rsidRPr="00000000" w14:paraId="0000010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el caso de una factura, se comunica al cliente en el documento de factura y se notifica en el documento de pago.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advierte que el número de referencia únicamente permite identificar cada transacción y rastrear su estado, es decir si este ha sido liquidado o no, por lo que no se advierte que el proporcionar dicha información por sí solo, transgreda la vida privada e intimidad de la persona, por lo que debe dejarse visible al momento de dar cumplimiento a la presente resolución.</w:t>
      </w:r>
    </w:p>
    <w:p w:rsidR="00000000" w:rsidDel="00000000" w:rsidP="00000000" w:rsidRDefault="00000000" w:rsidRPr="00000000" w14:paraId="0000010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fundo y motivo las razones por las cuales consideró la procedencia de la clasificación de dicha información, dentro del Acta del Comité de Transparencia remitido. </w:t>
      </w:r>
    </w:p>
    <w:p w:rsidR="00000000" w:rsidDel="00000000" w:rsidP="00000000" w:rsidRDefault="00000000" w:rsidRPr="00000000" w14:paraId="00000111">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Préstamos o descuentos de carácter personal.</w:t>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los </w:t>
      </w:r>
      <w:r w:rsidDel="00000000" w:rsidR="00000000" w:rsidRPr="00000000">
        <w:rPr>
          <w:rFonts w:ascii="Palatino Linotype" w:cs="Palatino Linotype" w:eastAsia="Palatino Linotype" w:hAnsi="Palatino Linotype"/>
          <w:b w:val="1"/>
          <w:sz w:val="22"/>
          <w:szCs w:val="22"/>
          <w:rtl w:val="0"/>
        </w:rPr>
        <w:t xml:space="preserve">préstamos o descuentos de carácter personal</w:t>
      </w:r>
      <w:r w:rsidDel="00000000" w:rsidR="00000000" w:rsidRPr="00000000">
        <w:rPr>
          <w:rFonts w:ascii="Palatino Linotype" w:cs="Palatino Linotype" w:eastAsia="Palatino Linotype" w:hAnsi="Palatino Linotype"/>
          <w:sz w:val="22"/>
          <w:szCs w:val="22"/>
          <w:rtl w:val="0"/>
        </w:rPr>
        <w:t xml:space="preserve">, en virtud de no tener relación con la prestación del servicio y al no involucrar instituciones públicas, se consideran datos confidenciales.</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entender los límites y alcances de esta restricción, es oportuno recurrir al artículo 84 de la Ley del Trabajo de los Servidores Públicos del Estado y Municipios:</w:t>
      </w:r>
    </w:p>
    <w:p w:rsidR="00000000" w:rsidDel="00000000" w:rsidP="00000000" w:rsidRDefault="00000000" w:rsidRPr="00000000" w14:paraId="00000117">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276" w:lineRule="auto"/>
        <w:ind w:left="862"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84. </w:t>
      </w:r>
      <w:r w:rsidDel="00000000" w:rsidR="00000000" w:rsidRPr="00000000">
        <w:rPr>
          <w:rFonts w:ascii="Palatino Linotype" w:cs="Palatino Linotype" w:eastAsia="Palatino Linotype" w:hAnsi="Palatino Linotype"/>
          <w:i w:val="1"/>
          <w:sz w:val="22"/>
          <w:szCs w:val="22"/>
          <w:rtl w:val="0"/>
        </w:rPr>
        <w:t xml:space="preserve">Sólo podrán hacerse retenciones, descuentos o deducciones al sueldo de los servidores públicos por concepto de:</w:t>
      </w: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line="276" w:lineRule="auto"/>
        <w:ind w:left="862"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 Gravámenes fiscales relacionados con el sueldo;</w:t>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line="276" w:lineRule="auto"/>
        <w:ind w:left="862"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 Deudas contraídas con las instituciones públicas o dependencias por concepto de anticipos de sueldo, pagos hechos con exceso, errores o pérdidas debidamente comprobados;</w:t>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276" w:lineRule="auto"/>
        <w:ind w:left="862"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III. Cuotas sindicales;</w:t>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line="276" w:lineRule="auto"/>
        <w:ind w:left="862"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IV. Cuotas de aportación a fondos para la constitución de cooperativas y de cajas de ahorro, siempre que el servidor público hubiese manifestado previamente, de manera expresa, su conformidad;</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line="276" w:lineRule="auto"/>
        <w:ind w:left="862"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 Descuentos ordenados por el Instituto de Seguridad Social del Estado de México y Municipios, con motivo de cuotas y obligaciones contraídas con éste por los servidores públicos;</w:t>
      </w: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line="276" w:lineRule="auto"/>
        <w:ind w:left="862"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VI. Obligaciones a cargo del servidor público con las que haya consentido, derivadas de la adquisición o del uso de habitaciones consideradas como de interés social;</w:t>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line="276" w:lineRule="auto"/>
        <w:ind w:left="862"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VII. Faltas de puntualidad o de asistencia injustificadas;</w:t>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line="276" w:lineRule="auto"/>
        <w:ind w:left="862"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VIII. Pensiones alimenticias ordenadas por la autoridad judicial;</w:t>
      </w:r>
      <w:r w:rsidDel="00000000" w:rsidR="00000000" w:rsidRPr="00000000">
        <w:rPr>
          <w:rFonts w:ascii="Palatino Linotype" w:cs="Palatino Linotype" w:eastAsia="Palatino Linotype" w:hAnsi="Palatino Linotype"/>
          <w:i w:val="1"/>
          <w:sz w:val="22"/>
          <w:szCs w:val="22"/>
          <w:rtl w:val="0"/>
        </w:rPr>
        <w:t xml:space="preserve"> o</w:t>
      </w: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line="276" w:lineRule="auto"/>
        <w:ind w:left="862"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IX. Cualquier otro convenido con instituciones de servicios y aceptado por el servidor público.</w:t>
      </w: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line="276" w:lineRule="auto"/>
        <w:ind w:left="862"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r w:rsidDel="00000000" w:rsidR="00000000" w:rsidRPr="00000000">
        <w:rPr>
          <w:rtl w:val="0"/>
        </w:rPr>
      </w:r>
    </w:p>
    <w:p w:rsidR="00000000" w:rsidDel="00000000" w:rsidP="00000000" w:rsidRDefault="00000000" w:rsidRPr="00000000" w14:paraId="00000123">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respecto a “</w:t>
      </w:r>
      <w:r w:rsidDel="00000000" w:rsidR="00000000" w:rsidRPr="00000000">
        <w:rPr>
          <w:rFonts w:ascii="Palatino Linotype" w:cs="Palatino Linotype" w:eastAsia="Palatino Linotype" w:hAnsi="Palatino Linotype"/>
          <w:b w:val="1"/>
          <w:sz w:val="22"/>
          <w:szCs w:val="22"/>
          <w:rtl w:val="0"/>
        </w:rPr>
        <w:t xml:space="preserve">otras deducciones ausencias”</w:t>
      </w:r>
      <w:r w:rsidDel="00000000" w:rsidR="00000000" w:rsidRPr="00000000">
        <w:rPr>
          <w:rFonts w:ascii="Palatino Linotype" w:cs="Palatino Linotype" w:eastAsia="Palatino Linotype" w:hAnsi="Palatino Linotype"/>
          <w:sz w:val="22"/>
          <w:szCs w:val="22"/>
          <w:rtl w:val="0"/>
        </w:rPr>
        <w:t xml:space="preserve"> que clasificó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dentro de la Conciliación de Nómina, resulta importante señalar que el artículo 84 fracción VII de la Ley del Trabajo de los Servidores Públicos del Estado y Municipios, refiere que sólo podrán hacerse retenciones, descuentos o deducciones al sueldo de los servidores públicos por concepto de faltas de puntualidad o de asistencia injustificadas, por lo que para el caso de que dichas deducciones correspondan al incumplimiento de su jornada laboral, dicha información es pública. </w:t>
      </w:r>
    </w:p>
    <w:p w:rsidR="00000000" w:rsidDel="00000000" w:rsidP="00000000" w:rsidRDefault="00000000" w:rsidRPr="00000000" w14:paraId="00000127">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8">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ese orden de ideas, se tiene que la clasificación de los datos previamente analizados y realizada por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es parcialmente correcta, toda vez que si bien clasificó correctamente la información consistente en el Registro Federal de Contribuyentes, Clave Única de Registro de Población, número de seguridad (ISESEMYM), número de cuenta bancaria y préstamos personales, por actualizarse el supuesto de confidencialidad, establecido en el artículo 143, fracción I, de la Ley de Transparencia y Acceso a la Información Pública del Estado de México y Municipios; lo cierto es que, también clasificó información que es pública, es decir, el número de cheque y/o número de referencia; así como las deducciones por incumplimiento a su jornada laboral, toda vez que se considera que la publicidad de dichos datos no revelarían dato personal alguno; por lo que, lo procedente es </w:t>
      </w:r>
      <w:r w:rsidDel="00000000" w:rsidR="00000000" w:rsidRPr="00000000">
        <w:rPr>
          <w:rFonts w:ascii="Palatino Linotype" w:cs="Palatino Linotype" w:eastAsia="Palatino Linotype" w:hAnsi="Palatino Linotype"/>
          <w:b w:val="1"/>
          <w:sz w:val="22"/>
          <w:szCs w:val="22"/>
          <w:rtl w:val="0"/>
        </w:rPr>
        <w:t xml:space="preserve">Modificar </w:t>
      </w:r>
      <w:r w:rsidDel="00000000" w:rsidR="00000000" w:rsidRPr="00000000">
        <w:rPr>
          <w:rFonts w:ascii="Palatino Linotype" w:cs="Palatino Linotype" w:eastAsia="Palatino Linotype" w:hAnsi="Palatino Linotype"/>
          <w:sz w:val="22"/>
          <w:szCs w:val="22"/>
          <w:rtl w:val="0"/>
        </w:rPr>
        <w:t xml:space="preserve">la respuesta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y ordenar, la entrega de la conciliación de nómina remitida en respuesta del Sistema Municipal para el Desarrollo Integral de la Familia de San Mateo Atenco, de la primera quincena de agosto de dos mil veinticuatro, en una correcta versión pública. </w:t>
      </w:r>
    </w:p>
    <w:p w:rsidR="00000000" w:rsidDel="00000000" w:rsidP="00000000" w:rsidRDefault="00000000" w:rsidRPr="00000000" w14:paraId="00000129">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A">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000000" w:rsidDel="00000000" w:rsidP="00000000" w:rsidRDefault="00000000" w:rsidRPr="00000000" w14:paraId="0000012B">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a lo que señalan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12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2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12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3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w:t>
      </w:r>
      <w:r w:rsidDel="00000000" w:rsidR="00000000" w:rsidRPr="00000000">
        <w:rPr>
          <w:rFonts w:ascii="Palatino Linotype" w:cs="Palatino Linotype" w:eastAsia="Palatino Linotype" w:hAnsi="Palatino Linotype"/>
          <w:i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3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3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13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 </w:t>
      </w:r>
      <w:r w:rsidDel="00000000" w:rsidR="00000000" w:rsidRPr="00000000">
        <w:rPr>
          <w:rFonts w:ascii="Palatino Linotype" w:cs="Palatino Linotype" w:eastAsia="Palatino Linotype" w:hAnsi="Palatino Linotype"/>
          <w:i w:val="1"/>
          <w:sz w:val="22"/>
          <w:szCs w:val="22"/>
          <w:rtl w:val="0"/>
        </w:rPr>
        <w:t xml:space="preserve">La clasificación de la información se llevará a cabo en el momento en que:</w:t>
      </w:r>
    </w:p>
    <w:p w:rsidR="00000000" w:rsidDel="00000000" w:rsidP="00000000" w:rsidRDefault="00000000" w:rsidRPr="00000000" w14:paraId="0000013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13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13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13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3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3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3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13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3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3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4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siendo estas las siguientes:</w:t>
      </w:r>
    </w:p>
    <w:p w:rsidR="00000000" w:rsidDel="00000000" w:rsidP="00000000" w:rsidRDefault="00000000" w:rsidRPr="00000000" w14:paraId="0000014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“CAPÍTULO VIII </w:t>
      </w:r>
    </w:p>
    <w:p w:rsidR="00000000" w:rsidDel="00000000" w:rsidP="00000000" w:rsidRDefault="00000000" w:rsidRPr="00000000" w14:paraId="0000014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LOS ELEMENTOS PARA LA CLASIFICACIÓN </w:t>
      </w:r>
    </w:p>
    <w:p w:rsidR="00000000" w:rsidDel="00000000" w:rsidP="00000000" w:rsidRDefault="00000000" w:rsidRPr="00000000" w14:paraId="0000014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4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 </w:t>
      </w:r>
    </w:p>
    <w:p w:rsidR="00000000" w:rsidDel="00000000" w:rsidP="00000000" w:rsidRDefault="00000000" w:rsidRPr="00000000" w14:paraId="00000146">
      <w:pPr>
        <w:numPr>
          <w:ilvl w:val="1"/>
          <w:numId w:val="2"/>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número de sesión y fecha; </w:t>
      </w:r>
    </w:p>
    <w:p w:rsidR="00000000" w:rsidDel="00000000" w:rsidP="00000000" w:rsidRDefault="00000000" w:rsidRPr="00000000" w14:paraId="00000147">
      <w:pPr>
        <w:numPr>
          <w:ilvl w:val="1"/>
          <w:numId w:val="2"/>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nombre del área que solicitó la clasificación de información; </w:t>
      </w:r>
    </w:p>
    <w:p w:rsidR="00000000" w:rsidDel="00000000" w:rsidP="00000000" w:rsidRDefault="00000000" w:rsidRPr="00000000" w14:paraId="00000148">
      <w:pPr>
        <w:numPr>
          <w:ilvl w:val="1"/>
          <w:numId w:val="2"/>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fundamentación legal y motivación correspondiente; </w:t>
      </w:r>
    </w:p>
    <w:p w:rsidR="00000000" w:rsidDel="00000000" w:rsidP="00000000" w:rsidRDefault="00000000" w:rsidRPr="00000000" w14:paraId="00000149">
      <w:pPr>
        <w:numPr>
          <w:ilvl w:val="1"/>
          <w:numId w:val="2"/>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resolución o resoluciones aprobadas; y </w:t>
      </w:r>
    </w:p>
    <w:p w:rsidR="00000000" w:rsidDel="00000000" w:rsidP="00000000" w:rsidRDefault="00000000" w:rsidRPr="00000000" w14:paraId="0000014A">
      <w:pPr>
        <w:numPr>
          <w:ilvl w:val="1"/>
          <w:numId w:val="2"/>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rúbrica o firma digital de cada integrante del Comité de Transparencia. </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 </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 </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 </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 </w:t>
      </w:r>
      <w:r w:rsidDel="00000000" w:rsidR="00000000" w:rsidRPr="00000000">
        <w:rPr>
          <w:rFonts w:ascii="Palatino Linotype" w:cs="Palatino Linotype" w:eastAsia="Palatino Linotype" w:hAnsi="Palatino Linotype"/>
          <w:i w:val="1"/>
          <w:sz w:val="22"/>
          <w:szCs w:val="22"/>
          <w:rtl w:val="0"/>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 </w:t>
      </w:r>
      <w:r w:rsidDel="00000000" w:rsidR="00000000" w:rsidRPr="00000000">
        <w:rPr>
          <w:rFonts w:ascii="Palatino Linotype" w:cs="Palatino Linotype" w:eastAsia="Palatino Linotype" w:hAnsi="Palatino Linotype"/>
          <w:i w:val="1"/>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w:t>
      </w:r>
    </w:p>
    <w:p w:rsidR="00000000" w:rsidDel="00000000" w:rsidP="00000000" w:rsidRDefault="00000000" w:rsidRPr="00000000" w14:paraId="0000015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5B">
      <w:pPr>
        <w:numPr>
          <w:ilvl w:val="0"/>
          <w:numId w:val="7"/>
        </w:numPr>
        <w:spacing w:line="360" w:lineRule="auto"/>
        <w:ind w:left="567" w:hanging="72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15C">
      <w:pPr>
        <w:spacing w:line="360" w:lineRule="auto"/>
        <w:ind w:left="1080" w:firstLine="0"/>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5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w:t>
      </w:r>
      <w:r w:rsidDel="00000000" w:rsidR="00000000" w:rsidRPr="00000000">
        <w:rPr>
          <w:rFonts w:ascii="Palatino Linotype" w:cs="Palatino Linotype" w:eastAsia="Palatino Linotype" w:hAnsi="Palatino Linotype"/>
          <w:sz w:val="22"/>
          <w:szCs w:val="22"/>
          <w:rtl w:val="0"/>
        </w:rPr>
        <w:t xml:space="preserve"> Resultan </w:t>
      </w:r>
      <w:r w:rsidDel="00000000" w:rsidR="00000000" w:rsidRPr="00000000">
        <w:rPr>
          <w:rFonts w:ascii="Palatino Linotype" w:cs="Palatino Linotype" w:eastAsia="Palatino Linotype" w:hAnsi="Palatino Linotype"/>
          <w:b w:val="1"/>
          <w:sz w:val="22"/>
          <w:szCs w:val="22"/>
          <w:rtl w:val="0"/>
        </w:rPr>
        <w:t xml:space="preserve">parcialmente fundados</w:t>
      </w:r>
      <w:r w:rsidDel="00000000" w:rsidR="00000000" w:rsidRPr="00000000">
        <w:rPr>
          <w:rFonts w:ascii="Palatino Linotype" w:cs="Palatino Linotype" w:eastAsia="Palatino Linotype" w:hAnsi="Palatino Linotype"/>
          <w:sz w:val="22"/>
          <w:szCs w:val="22"/>
          <w:rtl w:val="0"/>
        </w:rPr>
        <w:t xml:space="preserve"> los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05679/INFOEM/IP/RR/2024</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sz w:val="22"/>
          <w:szCs w:val="22"/>
          <w:rtl w:val="0"/>
        </w:rPr>
        <w:t xml:space="preserve">Considerando Cuarto</w:t>
      </w:r>
      <w:r w:rsidDel="00000000" w:rsidR="00000000" w:rsidRPr="00000000">
        <w:rPr>
          <w:rFonts w:ascii="Palatino Linotype" w:cs="Palatino Linotype" w:eastAsia="Palatino Linotype" w:hAnsi="Palatino Linotype"/>
          <w:sz w:val="22"/>
          <w:szCs w:val="22"/>
          <w:rtl w:val="0"/>
        </w:rPr>
        <w:t xml:space="preserve"> de esta resolución, se </w:t>
      </w:r>
      <w:r w:rsidDel="00000000" w:rsidR="00000000" w:rsidRPr="00000000">
        <w:rPr>
          <w:rFonts w:ascii="Palatino Linotype" w:cs="Palatino Linotype" w:eastAsia="Palatino Linotype" w:hAnsi="Palatino Linotype"/>
          <w:b w:val="1"/>
          <w:sz w:val="22"/>
          <w:szCs w:val="22"/>
          <w:rtl w:val="0"/>
        </w:rPr>
        <w:t xml:space="preserve">Modifica</w:t>
      </w:r>
      <w:r w:rsidDel="00000000" w:rsidR="00000000" w:rsidRPr="00000000">
        <w:rPr>
          <w:rFonts w:ascii="Palatino Linotype" w:cs="Palatino Linotype" w:eastAsia="Palatino Linotype" w:hAnsi="Palatino Linotype"/>
          <w:sz w:val="22"/>
          <w:szCs w:val="22"/>
          <w:rtl w:val="0"/>
        </w:rPr>
        <w:t xml:space="preserve"> la respuesta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5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w:t>
      </w:r>
      <w:r w:rsidDel="00000000" w:rsidR="00000000" w:rsidRPr="00000000">
        <w:rPr>
          <w:rFonts w:ascii="Palatino Linotype" w:cs="Palatino Linotype" w:eastAsia="Palatino Linotype" w:hAnsi="Palatino Linotype"/>
          <w:sz w:val="22"/>
          <w:szCs w:val="22"/>
          <w:rtl w:val="0"/>
        </w:rPr>
        <w:t xml:space="preserve">. Se </w:t>
      </w:r>
      <w:r w:rsidDel="00000000" w:rsidR="00000000" w:rsidRPr="00000000">
        <w:rPr>
          <w:rFonts w:ascii="Palatino Linotype" w:cs="Palatino Linotype" w:eastAsia="Palatino Linotype" w:hAnsi="Palatino Linotype"/>
          <w:b w:val="1"/>
          <w:sz w:val="22"/>
          <w:szCs w:val="22"/>
          <w:rtl w:val="0"/>
        </w:rPr>
        <w:t xml:space="preserve">ordena</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en términos del </w:t>
      </w:r>
      <w:r w:rsidDel="00000000" w:rsidR="00000000" w:rsidRPr="00000000">
        <w:rPr>
          <w:rFonts w:ascii="Palatino Linotype" w:cs="Palatino Linotype" w:eastAsia="Palatino Linotype" w:hAnsi="Palatino Linotype"/>
          <w:b w:val="1"/>
          <w:sz w:val="22"/>
          <w:szCs w:val="22"/>
          <w:rtl w:val="0"/>
        </w:rPr>
        <w:t xml:space="preserve">Considerando Cuarto y Quinto</w:t>
      </w:r>
      <w:r w:rsidDel="00000000" w:rsidR="00000000" w:rsidRPr="00000000">
        <w:rPr>
          <w:rFonts w:ascii="Palatino Linotype" w:cs="Palatino Linotype" w:eastAsia="Palatino Linotype" w:hAnsi="Palatino Linotype"/>
          <w:sz w:val="22"/>
          <w:szCs w:val="22"/>
          <w:rtl w:val="0"/>
        </w:rPr>
        <w:t xml:space="preserve">, haga entrega vía Sistema de Acceso a la Información Mexiquense, de lo siguiente: </w:t>
      </w:r>
    </w:p>
    <w:p w:rsidR="00000000" w:rsidDel="00000000" w:rsidP="00000000" w:rsidRDefault="00000000" w:rsidRPr="00000000" w14:paraId="0000016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1">
      <w:pPr>
        <w:numPr>
          <w:ilvl w:val="0"/>
          <w:numId w:val="8"/>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La conciliación de nómina remitida en respuesta del Sistema Municipal para el Desarrollo Integral de la Familia de San Mateo Atenco, correspondiente a la primera quincena de agosto de dos mil veinticuatro, en una correcta versión pública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63">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mismo que igualmente hará de su conocimiento. </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line="360" w:lineRule="auto"/>
        <w:ind w:left="720" w:firstLine="0"/>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65">
      <w:pP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 </w:t>
      </w:r>
      <w:r w:rsidDel="00000000" w:rsidR="00000000" w:rsidRPr="00000000">
        <w:rPr>
          <w:rFonts w:ascii="Palatino Linotype" w:cs="Palatino Linotype" w:eastAsia="Palatino Linotype" w:hAnsi="Palatino Linotype"/>
          <w:sz w:val="22"/>
          <w:szCs w:val="22"/>
          <w:rtl w:val="0"/>
        </w:rPr>
        <w:t xml:space="preserve">la presente resolución al T</w:t>
      </w:r>
      <w:r w:rsidDel="00000000" w:rsidR="00000000" w:rsidRPr="00000000">
        <w:rPr>
          <w:rFonts w:ascii="Palatino Linotype" w:cs="Palatino Linotype" w:eastAsia="Palatino Linotype" w:hAnsi="Palatino Linotype"/>
          <w:b w:val="1"/>
          <w:sz w:val="22"/>
          <w:szCs w:val="22"/>
          <w:rtl w:val="0"/>
        </w:rPr>
        <w:t xml:space="preserve">itular de la Unidad de Transparencia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16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 </w:t>
      </w:r>
      <w:r w:rsidDel="00000000" w:rsidR="00000000" w:rsidRPr="00000000">
        <w:rPr>
          <w:rFonts w:ascii="Palatino Linotype" w:cs="Palatino Linotype" w:eastAsia="Palatino Linotype" w:hAnsi="Palatino Linotype"/>
          <w:sz w:val="22"/>
          <w:szCs w:val="22"/>
          <w:rtl w:val="0"/>
        </w:rPr>
        <w:t xml:space="preserve">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rsidR="00000000" w:rsidDel="00000000" w:rsidP="00000000" w:rsidRDefault="00000000" w:rsidRPr="00000000" w14:paraId="0000016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w:t>
      </w:r>
      <w:r w:rsidDel="00000000" w:rsidR="00000000" w:rsidRPr="00000000">
        <w:rPr>
          <w:rFonts w:ascii="Palatino Linotype" w:cs="Palatino Linotype" w:eastAsia="Palatino Linotype" w:hAnsi="Palatino Linotype"/>
          <w:sz w:val="22"/>
          <w:szCs w:val="22"/>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16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B">
      <w:pPr>
        <w:spacing w:line="360" w:lineRule="auto"/>
        <w:jc w:val="both"/>
        <w:rPr>
          <w:rFonts w:ascii="Palatino Linotype" w:cs="Palatino Linotype" w:eastAsia="Palatino Linotype" w:hAnsi="Palatino Linotype"/>
          <w:sz w:val="22"/>
          <w:szCs w:val="22"/>
        </w:rPr>
        <w:sectPr>
          <w:headerReference r:id="rId13" w:type="default"/>
          <w:headerReference r:id="rId14" w:type="first"/>
          <w:footerReference r:id="rId15" w:type="default"/>
          <w:footerReference r:id="rId16" w:type="first"/>
          <w:pgSz w:h="15840" w:w="12240" w:orient="portrait"/>
          <w:pgMar w:bottom="1701" w:top="2041" w:left="1701" w:right="1701" w:header="709" w:footer="709"/>
          <w:pgNumType w:start="1"/>
          <w:titlePg w:val="1"/>
        </w:sectPr>
      </w:pPr>
      <w:bookmarkStart w:colFirst="0" w:colLast="0" w:name="_heading=h.1fob9te" w:id="3"/>
      <w:bookmarkEnd w:id="3"/>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SEIS DE NOVIEMBRE DE DOS MIL VEINTICUATRO, ANTE EL SECRETARIO TÉCNICO DEL PLENO ALEXIS TAPIA RAMÍREZ.                              </w:t>
      </w:r>
    </w:p>
    <w:p w:rsidR="00000000" w:rsidDel="00000000" w:rsidP="00000000" w:rsidRDefault="00000000" w:rsidRPr="00000000" w14:paraId="0000016C">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7"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6D">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hyperlink r:id="rId1">
        <w:r w:rsidDel="00000000" w:rsidR="00000000" w:rsidRPr="00000000">
          <w:rPr>
            <w:color w:val="0563c1"/>
            <w:u w:val="single"/>
            <w:rtl w:val="0"/>
          </w:rPr>
          <w:t xml:space="preserve">https://www.osfem.gob.mx/entidades/documentos_apoyo.html#trimestral_mpal24</w:t>
        </w:r>
      </w:hyperlink>
      <w:r w:rsidDel="00000000" w:rsidR="00000000" w:rsidRPr="00000000">
        <w:rPr>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-638173</wp:posOffset>
          </wp:positionH>
          <wp:positionV relativeFrom="paragraph">
            <wp:posOffset>-450213</wp:posOffset>
          </wp:positionV>
          <wp:extent cx="7809876" cy="10165823"/>
          <wp:effectExtent b="0" l="0" r="0" t="0"/>
          <wp:wrapNone/>
          <wp:docPr id="14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16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70">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05679/INFOEM/IP/RR/2024</w:t>
          </w:r>
        </w:p>
      </w:tc>
    </w:tr>
    <w:tr>
      <w:trPr>
        <w:cantSplit w:val="0"/>
        <w:trHeight w:val="228" w:hRule="atLeast"/>
        <w:tblHeader w:val="0"/>
      </w:trPr>
      <w:tc>
        <w:tcPr>
          <w:vAlign w:val="center"/>
        </w:tcPr>
        <w:p w:rsidR="00000000" w:rsidDel="00000000" w:rsidP="00000000" w:rsidRDefault="00000000" w:rsidRPr="00000000" w14:paraId="0000017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72">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San Mateo Atenco</w:t>
          </w:r>
        </w:p>
      </w:tc>
    </w:tr>
    <w:tr>
      <w:trPr>
        <w:cantSplit w:val="0"/>
        <w:tblHeader w:val="0"/>
      </w:trPr>
      <w:tc>
        <w:tcPr>
          <w:vAlign w:val="center"/>
        </w:tcPr>
        <w:p w:rsidR="00000000" w:rsidDel="00000000" w:rsidP="00000000" w:rsidRDefault="00000000" w:rsidRPr="00000000" w14:paraId="0000017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74">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6">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-798191</wp:posOffset>
          </wp:positionH>
          <wp:positionV relativeFrom="paragraph">
            <wp:posOffset>-399411</wp:posOffset>
          </wp:positionV>
          <wp:extent cx="7809876" cy="10165823"/>
          <wp:effectExtent b="0" l="0" r="0" t="0"/>
          <wp:wrapNone/>
          <wp:docPr id="14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7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78">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05679/INFOEM/IP/RR/2024 </w:t>
          </w:r>
        </w:p>
      </w:tc>
    </w:tr>
    <w:tr>
      <w:trPr>
        <w:cantSplit w:val="0"/>
        <w:tblHeader w:val="0"/>
      </w:trPr>
      <w:tc>
        <w:tcPr>
          <w:vAlign w:val="center"/>
        </w:tcPr>
        <w:p w:rsidR="00000000" w:rsidDel="00000000" w:rsidP="00000000" w:rsidRDefault="00000000" w:rsidRPr="00000000" w14:paraId="00000179">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7A">
          <w:pPr>
            <w:ind w:right="-533"/>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7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7C">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San Mateo Atenco</w:t>
          </w:r>
        </w:p>
      </w:tc>
    </w:tr>
    <w:tr>
      <w:trPr>
        <w:cantSplit w:val="0"/>
        <w:tblHeader w:val="0"/>
      </w:trPr>
      <w:tc>
        <w:tcPr>
          <w:vAlign w:val="center"/>
        </w:tcPr>
        <w:p w:rsidR="00000000" w:rsidDel="00000000" w:rsidP="00000000" w:rsidRDefault="00000000" w:rsidRPr="00000000" w14:paraId="0000017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7E">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0" w:firstLine="0"/>
      </w:pPr>
      <w:rPr>
        <w:rFonts w:ascii="Palatino Linotype" w:cs="Palatino Linotype" w:eastAsia="Palatino Linotype" w:hAnsi="Palatino Linotype"/>
        <w:b w:val="1"/>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cs="Palatino Linotype" w:eastAsia="Palatino Linotype" w:hAnsi="Palatino Linotype"/>
      </w:rPr>
    </w:lvl>
    <w:lvl w:ilvl="3">
      <w:start w:val="8"/>
      <w:numFmt w:val="bullet"/>
      <w:lvlText w:val="-"/>
      <w:lvlJc w:val="left"/>
      <w:pPr>
        <w:ind w:left="2880" w:hanging="360"/>
      </w:pPr>
      <w:rPr>
        <w:rFonts w:ascii="Palatino Linotype" w:cs="Palatino Linotype" w:eastAsia="Palatino Linotype" w:hAnsi="Palatino Linotype"/>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7"/>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8"/>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3"/>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06F49"/>
    <w:rPr>
      <w:lang w:eastAsia="es-E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link w:val="Ttulo3Car"/>
    <w:uiPriority w:val="9"/>
    <w:qFormat w:val="1"/>
    <w:rsid w:val="002D2EAC"/>
    <w:pPr>
      <w:spacing w:after="100" w:afterAutospacing="1" w:before="100" w:beforeAutospacing="1"/>
      <w:outlineLvl w:val="2"/>
    </w:pPr>
    <w:rPr>
      <w:b w:val="1"/>
      <w:bCs w:val="1"/>
      <w:sz w:val="27"/>
      <w:szCs w:val="27"/>
      <w:lang w:eastAsia="es-MX" w:val="es-MX"/>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left w:w="108.0" w:type="dxa"/>
        <w:right w:w="108.0" w:type="dxa"/>
      </w:tblCellMar>
    </w:tblPr>
  </w:style>
  <w:style w:type="table" w:styleId="a0" w:customStyle="1">
    <w:basedOn w:val="TableNormal3"/>
    <w:tblPr>
      <w:tblStyleRowBandSize w:val="1"/>
      <w:tblStyleColBandSize w:val="1"/>
      <w:tblCellMar>
        <w:left w:w="115.0" w:type="dxa"/>
        <w:right w:w="115.0" w:type="dxa"/>
      </w:tblCellMar>
    </w:tblPr>
  </w:style>
  <w:style w:type="table" w:styleId="a1" w:customStyle="1">
    <w:basedOn w:val="TableNormal3"/>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3"/>
    <w:tblPr>
      <w:tblStyleRowBandSize w:val="1"/>
      <w:tblStyleColBandSize w:val="1"/>
      <w:tblCellMar>
        <w:left w:w="108.0" w:type="dxa"/>
        <w:right w:w="108.0" w:type="dxa"/>
      </w:tblCellMar>
    </w:tblPr>
  </w:style>
  <w:style w:type="table" w:styleId="a3" w:customStyle="1">
    <w:basedOn w:val="TableNormal3"/>
    <w:tblPr>
      <w:tblStyleRowBandSize w:val="1"/>
      <w:tblStyleColBandSize w:val="1"/>
      <w:tblCellMar>
        <w:left w:w="108.0" w:type="dxa"/>
        <w:right w:w="108.0" w:type="dxa"/>
      </w:tblCellMar>
    </w:tblPr>
  </w:style>
  <w:style w:type="table" w:styleId="a4" w:customStyle="1">
    <w:basedOn w:val="TableNormal3"/>
    <w:tblPr>
      <w:tblStyleRowBandSize w:val="1"/>
      <w:tblStyleColBandSize w:val="1"/>
      <w:tblCellMar>
        <w:left w:w="108.0" w:type="dxa"/>
        <w:right w:w="108.0" w:type="dxa"/>
      </w:tblCellMar>
    </w:tblPr>
  </w:style>
  <w:style w:type="table" w:styleId="a5" w:customStyle="1">
    <w:basedOn w:val="TableNormal3"/>
    <w:tblPr>
      <w:tblStyleRowBandSize w:val="1"/>
      <w:tblStyleColBandSize w:val="1"/>
      <w:tblCellMar>
        <w:left w:w="108.0" w:type="dxa"/>
        <w:right w:w="108.0" w:type="dxa"/>
      </w:tblCellMar>
    </w:tblPr>
  </w:style>
  <w:style w:type="table" w:styleId="a6" w:customStyle="1">
    <w:basedOn w:val="TableNormal3"/>
    <w:tblPr>
      <w:tblStyleRowBandSize w:val="1"/>
      <w:tblStyleColBandSize w:val="1"/>
      <w:tblCellMar>
        <w:left w:w="108.0" w:type="dxa"/>
        <w:right w:w="108.0" w:type="dxa"/>
      </w:tblCellMar>
    </w:tblPr>
  </w:style>
  <w:style w:type="table" w:styleId="a7" w:customStyle="1">
    <w:basedOn w:val="TableNormal3"/>
    <w:tblPr>
      <w:tblStyleRowBandSize w:val="1"/>
      <w:tblStyleColBandSize w:val="1"/>
      <w:tblCellMar>
        <w:left w:w="108.0" w:type="dxa"/>
        <w:right w:w="108.0" w:type="dxa"/>
      </w:tblCellMar>
    </w:tblPr>
  </w:style>
  <w:style w:type="table" w:styleId="a8" w:customStyle="1">
    <w:basedOn w:val="TableNormal3"/>
    <w:tblPr>
      <w:tblStyleRowBandSize w:val="1"/>
      <w:tblStyleColBandSize w:val="1"/>
      <w:tblCellMar>
        <w:left w:w="108.0" w:type="dxa"/>
        <w:right w:w="108.0" w:type="dxa"/>
      </w:tblCellMar>
    </w:tblPr>
  </w:style>
  <w:style w:type="table" w:styleId="a9" w:customStyle="1">
    <w:basedOn w:val="TableNormal3"/>
    <w:tblPr>
      <w:tblStyleRowBandSize w:val="1"/>
      <w:tblStyleColBandSize w:val="1"/>
      <w:tblCellMar>
        <w:left w:w="115.0" w:type="dxa"/>
        <w:right w:w="115.0" w:type="dxa"/>
      </w:tblCellMar>
    </w:tblPr>
  </w:style>
  <w:style w:type="table" w:styleId="aa" w:customStyle="1">
    <w:basedOn w:val="TableNormal3"/>
    <w:tblPr>
      <w:tblStyleRowBandSize w:val="1"/>
      <w:tblStyleColBandSize w:val="1"/>
      <w:tblCellMar>
        <w:left w:w="115.0" w:type="dxa"/>
        <w:right w:w="115.0" w:type="dxa"/>
      </w:tblCellMar>
    </w:tblPr>
  </w:style>
  <w:style w:type="table" w:styleId="ab" w:customStyle="1">
    <w:basedOn w:val="TableNormal3"/>
    <w:tblPr>
      <w:tblStyleRowBandSize w:val="1"/>
      <w:tblStyleColBandSize w:val="1"/>
      <w:tblCellMar>
        <w:left w:w="115.0" w:type="dxa"/>
        <w:right w:w="115.0" w:type="dxa"/>
      </w:tblCellMar>
    </w:tblPr>
  </w:style>
  <w:style w:type="table" w:styleId="ac" w:customStyle="1">
    <w:basedOn w:val="TableNormal2"/>
    <w:tblPr>
      <w:tblStyleRowBandSize w:val="1"/>
      <w:tblStyleColBandSize w:val="1"/>
      <w:tblCellMar>
        <w:left w:w="115.0" w:type="dxa"/>
        <w:right w:w="115.0" w:type="dxa"/>
      </w:tblCellMar>
    </w:tblPr>
  </w:style>
  <w:style w:type="table" w:styleId="ad" w:customStyle="1">
    <w:basedOn w:val="TableNormal2"/>
    <w:tblPr>
      <w:tblStyleRowBandSize w:val="1"/>
      <w:tblStyleColBandSize w:val="1"/>
      <w:tblCellMar>
        <w:left w:w="115.0" w:type="dxa"/>
        <w:right w:w="115.0" w:type="dxa"/>
      </w:tblCellMar>
    </w:tblPr>
  </w:style>
  <w:style w:type="table" w:styleId="ae" w:customStyle="1">
    <w:basedOn w:val="TableNormal2"/>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7"/>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af" w:customStyle="1">
    <w:basedOn w:val="TableNormal1"/>
    <w:tblPr>
      <w:tblStyleRowBandSize w:val="1"/>
      <w:tblStyleColBandSize w:val="1"/>
      <w:tblCellMar>
        <w:left w:w="115.0" w:type="dxa"/>
        <w:right w:w="115.0" w:type="dxa"/>
      </w:tblCellMar>
    </w:tblPr>
  </w:style>
  <w:style w:type="table" w:styleId="af0" w:customStyle="1">
    <w:basedOn w:val="TableNormal1"/>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table" w:styleId="af1" w:customStyle="1">
    <w:basedOn w:val="TableNormal0"/>
    <w:tblPr>
      <w:tblStyleRowBandSize w:val="1"/>
      <w:tblStyleColBandSize w:val="1"/>
      <w:tblCellMar>
        <w:left w:w="115.0" w:type="dxa"/>
        <w:right w:w="115.0" w:type="dxa"/>
      </w:tblCellMar>
    </w:tblPr>
  </w:style>
  <w:style w:type="table" w:styleId="af2"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15" Type="http://schemas.openxmlformats.org/officeDocument/2006/relationships/footer" Target="footer1.xml"/><Relationship Id="rId14" Type="http://schemas.openxmlformats.org/officeDocument/2006/relationships/header" Target="header2.xml"/><Relationship Id="rId17" Type="http://schemas.openxmlformats.org/officeDocument/2006/relationships/header" Target="header3.xml"/><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entidades/documentos_apoyo.html#trimestral_mpal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EEjU0soLeZPCb5tkWZJWXRcUGw==">CgMxLjAyCWguM3pueXNoNzIIaC5namRneHMyCWguMzBqMHpsbDIJaC4xZm9iOXRlOAByITFLT2tlTHgwUWVpMHBodkgtTEpXVVpCQ2ljNWNEM2h5UA==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2024-11-21T19:10:00Z</dcterms:created>
  <dc:creator>USER</dc:creator>
</cp:coreProperties>
</file>