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6841"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BE5DC7">
        <w:rPr>
          <w:rFonts w:ascii="Palatino Linotype" w:eastAsia="Palatino Linotype" w:hAnsi="Palatino Linotype" w:cs="Palatino Linotype"/>
          <w:b/>
        </w:rPr>
        <w:t>el tres de abril de dos mil veinticuatro.</w:t>
      </w:r>
    </w:p>
    <w:p w14:paraId="58275C74"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 </w:t>
      </w:r>
    </w:p>
    <w:p w14:paraId="7912BBFB" w14:textId="7C811BA9"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t>VISTO</w:t>
      </w:r>
      <w:r w:rsidRPr="00BE5DC7">
        <w:rPr>
          <w:rFonts w:ascii="Palatino Linotype" w:eastAsia="Palatino Linotype" w:hAnsi="Palatino Linotype" w:cs="Palatino Linotype"/>
        </w:rPr>
        <w:t xml:space="preserve"> el expediente formado con motivo del Recurso Revisión </w:t>
      </w:r>
      <w:r w:rsidRPr="00BE5DC7">
        <w:rPr>
          <w:rFonts w:ascii="Palatino Linotype" w:eastAsia="Palatino Linotype" w:hAnsi="Palatino Linotype" w:cs="Palatino Linotype"/>
          <w:b/>
        </w:rPr>
        <w:t>01162/INFOEM/IP/RR/2024</w:t>
      </w:r>
      <w:r w:rsidRPr="00BE5DC7">
        <w:rPr>
          <w:rFonts w:ascii="Palatino Linotype" w:eastAsia="Palatino Linotype" w:hAnsi="Palatino Linotype" w:cs="Palatino Linotype"/>
        </w:rPr>
        <w:t xml:space="preserve">, promovido por </w:t>
      </w:r>
      <w:r w:rsidR="0026000E">
        <w:rPr>
          <w:rFonts w:ascii="Palatino Linotype" w:eastAsia="Palatino Linotype" w:hAnsi="Palatino Linotype" w:cs="Palatino Linotype"/>
          <w:b/>
        </w:rPr>
        <w:t xml:space="preserve">XXXXXX XXXXX </w:t>
      </w:r>
      <w:proofErr w:type="spellStart"/>
      <w:r w:rsidR="0026000E">
        <w:rPr>
          <w:rFonts w:ascii="Palatino Linotype" w:eastAsia="Palatino Linotype" w:hAnsi="Palatino Linotype" w:cs="Palatino Linotype"/>
          <w:b/>
        </w:rPr>
        <w:t>XXXXX</w:t>
      </w:r>
      <w:proofErr w:type="spellEnd"/>
      <w:r w:rsidRPr="00BE5DC7">
        <w:rPr>
          <w:rFonts w:ascii="Palatino Linotype" w:eastAsia="Palatino Linotype" w:hAnsi="Palatino Linotype" w:cs="Palatino Linotype"/>
        </w:rPr>
        <w:t>,</w:t>
      </w:r>
      <w:r w:rsidRPr="00BE5DC7">
        <w:rPr>
          <w:rFonts w:ascii="Palatino Linotype" w:eastAsia="Palatino Linotype" w:hAnsi="Palatino Linotype" w:cs="Palatino Linotype"/>
          <w:b/>
        </w:rPr>
        <w:t xml:space="preserve"> </w:t>
      </w:r>
      <w:r w:rsidRPr="00BE5DC7">
        <w:rPr>
          <w:rFonts w:ascii="Palatino Linotype" w:eastAsia="Palatino Linotype" w:hAnsi="Palatino Linotype" w:cs="Palatino Linotype"/>
        </w:rPr>
        <w:t>a quien</w:t>
      </w:r>
      <w:r w:rsidRPr="00BE5DC7">
        <w:rPr>
          <w:rFonts w:ascii="Palatino Linotype" w:eastAsia="Palatino Linotype" w:hAnsi="Palatino Linotype" w:cs="Palatino Linotype"/>
          <w:b/>
        </w:rPr>
        <w:t xml:space="preserve"> </w:t>
      </w:r>
      <w:r w:rsidRPr="00BE5DC7">
        <w:rPr>
          <w:rFonts w:ascii="Palatino Linotype" w:eastAsia="Palatino Linotype" w:hAnsi="Palatino Linotype" w:cs="Palatino Linotype"/>
        </w:rPr>
        <w:t xml:space="preserve">en lo sucesivo se denominará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en contra de la respuesta emitida por </w:t>
      </w:r>
      <w:r w:rsidRPr="00BE5DC7">
        <w:rPr>
          <w:rFonts w:ascii="Palatino Linotype" w:eastAsia="Palatino Linotype" w:hAnsi="Palatino Linotype" w:cs="Palatino Linotype"/>
          <w:b/>
        </w:rPr>
        <w:t xml:space="preserve">Ayuntamiento de Ocuilan, </w:t>
      </w:r>
      <w:r w:rsidRPr="00BE5DC7">
        <w:rPr>
          <w:rFonts w:ascii="Palatino Linotype" w:eastAsia="Palatino Linotype" w:hAnsi="Palatino Linotype" w:cs="Palatino Linotype"/>
        </w:rPr>
        <w:t>que</w:t>
      </w:r>
      <w:r w:rsidRPr="00BE5DC7">
        <w:rPr>
          <w:rFonts w:ascii="Palatino Linotype" w:eastAsia="Palatino Linotype" w:hAnsi="Palatino Linotype" w:cs="Palatino Linotype"/>
          <w:b/>
        </w:rPr>
        <w:t xml:space="preserve"> </w:t>
      </w:r>
      <w:r w:rsidRPr="00BE5DC7">
        <w:rPr>
          <w:rFonts w:ascii="Palatino Linotype" w:eastAsia="Palatino Linotype" w:hAnsi="Palatino Linotype" w:cs="Palatino Linotype"/>
        </w:rPr>
        <w:t xml:space="preserve">en lo sucesivo se denominará </w:t>
      </w:r>
      <w:r w:rsidRPr="00BE5DC7">
        <w:rPr>
          <w:rFonts w:ascii="Palatino Linotype" w:eastAsia="Palatino Linotype" w:hAnsi="Palatino Linotype" w:cs="Palatino Linotype"/>
          <w:b/>
        </w:rPr>
        <w:t>EL SUJETO OBLIGADO</w:t>
      </w:r>
      <w:r w:rsidRPr="00BE5DC7">
        <w:rPr>
          <w:rFonts w:ascii="Palatino Linotype" w:eastAsia="Palatino Linotype" w:hAnsi="Palatino Linotype" w:cs="Palatino Linotype"/>
        </w:rPr>
        <w:t xml:space="preserve">, se procede a dictar la presente resolución con base en lo siguiente: </w:t>
      </w:r>
    </w:p>
    <w:p w14:paraId="5EC29753" w14:textId="77777777" w:rsidR="00B32C8B" w:rsidRPr="00BE5DC7" w:rsidRDefault="00B32C8B" w:rsidP="00BE5DC7">
      <w:pPr>
        <w:jc w:val="center"/>
        <w:rPr>
          <w:rFonts w:ascii="Palatino Linotype" w:eastAsia="Palatino Linotype" w:hAnsi="Palatino Linotype" w:cs="Palatino Linotype"/>
        </w:rPr>
      </w:pPr>
    </w:p>
    <w:p w14:paraId="6A3430D4" w14:textId="77777777" w:rsidR="00B32C8B" w:rsidRPr="00BE5DC7" w:rsidRDefault="008817ED" w:rsidP="00BE5DC7">
      <w:pPr>
        <w:jc w:val="center"/>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t>ANTECEDENTES</w:t>
      </w:r>
    </w:p>
    <w:p w14:paraId="6F422182" w14:textId="77777777" w:rsidR="00B32C8B" w:rsidRPr="00BE5DC7" w:rsidRDefault="00B32C8B" w:rsidP="00BE5DC7">
      <w:pPr>
        <w:jc w:val="center"/>
        <w:rPr>
          <w:rFonts w:ascii="Palatino Linotype" w:eastAsia="Palatino Linotype" w:hAnsi="Palatino Linotype" w:cs="Palatino Linotype"/>
          <w:b/>
          <w:sz w:val="28"/>
          <w:szCs w:val="28"/>
        </w:rPr>
      </w:pPr>
    </w:p>
    <w:p w14:paraId="570C7907" w14:textId="77777777" w:rsidR="00B32C8B" w:rsidRPr="00BE5DC7" w:rsidRDefault="008817ED" w:rsidP="00BE5DC7">
      <w:pPr>
        <w:spacing w:line="360" w:lineRule="auto"/>
        <w:jc w:val="both"/>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t>I. De la Solicitud de Información</w:t>
      </w:r>
    </w:p>
    <w:p w14:paraId="148BE4AD" w14:textId="77777777" w:rsidR="00B32C8B" w:rsidRPr="00BE5DC7" w:rsidRDefault="008817ED" w:rsidP="00BE5DC7">
      <w:pPr>
        <w:spacing w:line="360" w:lineRule="auto"/>
        <w:jc w:val="both"/>
        <w:rPr>
          <w:rFonts w:ascii="Palatino Linotype" w:eastAsia="Palatino Linotype" w:hAnsi="Palatino Linotype" w:cs="Palatino Linotype"/>
          <w:b/>
        </w:rPr>
      </w:pPr>
      <w:bookmarkStart w:id="0" w:name="_heading=h.gjdgxs" w:colFirst="0" w:colLast="0"/>
      <w:bookmarkEnd w:id="0"/>
      <w:r w:rsidRPr="00BE5DC7">
        <w:rPr>
          <w:rFonts w:ascii="Palatino Linotype" w:eastAsia="Palatino Linotype" w:hAnsi="Palatino Linotype" w:cs="Palatino Linotype"/>
        </w:rPr>
        <w:t xml:space="preserve">El </w:t>
      </w:r>
      <w:r w:rsidRPr="00BE5DC7">
        <w:rPr>
          <w:rFonts w:ascii="Palatino Linotype" w:eastAsia="Palatino Linotype" w:hAnsi="Palatino Linotype" w:cs="Palatino Linotype"/>
          <w:b/>
        </w:rPr>
        <w:t>ocho de febrero de dos mil veinticuatro</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 xml:space="preserve">LA RECURRENTE </w:t>
      </w:r>
      <w:r w:rsidRPr="00BE5DC7">
        <w:rPr>
          <w:rFonts w:ascii="Palatino Linotype" w:eastAsia="Palatino Linotype" w:hAnsi="Palatino Linotype" w:cs="Palatino Linotype"/>
        </w:rPr>
        <w:t xml:space="preserve">presentó a través del Sistema de Acceso a la Información Mexiquense, que en lo subsecuente se denominara </w:t>
      </w:r>
      <w:r w:rsidRPr="00BE5DC7">
        <w:rPr>
          <w:rFonts w:ascii="Palatino Linotype" w:eastAsia="Palatino Linotype" w:hAnsi="Palatino Linotype" w:cs="Palatino Linotype"/>
          <w:b/>
        </w:rPr>
        <w:t>EL SAIMEX</w:t>
      </w:r>
      <w:r w:rsidRPr="00BE5DC7">
        <w:rPr>
          <w:rFonts w:ascii="Palatino Linotype" w:eastAsia="Palatino Linotype" w:hAnsi="Palatino Linotype" w:cs="Palatino Linotype"/>
        </w:rPr>
        <w:t xml:space="preserve"> ante </w:t>
      </w:r>
      <w:r w:rsidRPr="00BE5DC7">
        <w:rPr>
          <w:rFonts w:ascii="Palatino Linotype" w:eastAsia="Palatino Linotype" w:hAnsi="Palatino Linotype" w:cs="Palatino Linotype"/>
          <w:b/>
        </w:rPr>
        <w:t>EL SUJETO OBLIGADO</w:t>
      </w:r>
      <w:r w:rsidRPr="00BE5DC7">
        <w:rPr>
          <w:rFonts w:ascii="Palatino Linotype" w:eastAsia="Palatino Linotype" w:hAnsi="Palatino Linotype" w:cs="Palatino Linotype"/>
        </w:rPr>
        <w:t>, misma a la que se le asignó el número de expediente</w:t>
      </w:r>
      <w:r w:rsidRPr="00BE5DC7">
        <w:rPr>
          <w:rFonts w:ascii="Palatino Linotype" w:eastAsia="Palatino Linotype" w:hAnsi="Palatino Linotype" w:cs="Palatino Linotype"/>
          <w:b/>
        </w:rPr>
        <w:t xml:space="preserve"> 00016/OCUILAN/IP/2024</w:t>
      </w:r>
      <w:r w:rsidRPr="00BE5DC7">
        <w:rPr>
          <w:rFonts w:ascii="Palatino Linotype" w:eastAsia="Palatino Linotype" w:hAnsi="Palatino Linotype" w:cs="Palatino Linotype"/>
        </w:rPr>
        <w:t>, mediante la cual requirió:</w:t>
      </w:r>
    </w:p>
    <w:p w14:paraId="55D0803C" w14:textId="77777777" w:rsidR="00B32C8B" w:rsidRPr="00BE5DC7" w:rsidRDefault="00B32C8B" w:rsidP="00BE5DC7">
      <w:pPr>
        <w:tabs>
          <w:tab w:val="left" w:pos="851"/>
        </w:tabs>
        <w:ind w:left="851" w:right="901"/>
        <w:jc w:val="both"/>
        <w:rPr>
          <w:rFonts w:ascii="Palatino Linotype" w:eastAsia="Palatino Linotype" w:hAnsi="Palatino Linotype" w:cs="Palatino Linotype"/>
          <w:i/>
          <w:sz w:val="22"/>
          <w:szCs w:val="22"/>
        </w:rPr>
      </w:pPr>
    </w:p>
    <w:p w14:paraId="3AD47143" w14:textId="77777777" w:rsidR="00B32C8B" w:rsidRPr="00BE5DC7" w:rsidRDefault="008817ED" w:rsidP="00BE5DC7">
      <w:pPr>
        <w:ind w:left="851" w:right="899"/>
        <w:jc w:val="both"/>
        <w:rPr>
          <w:rFonts w:ascii="Palatino Linotype" w:eastAsia="Palatino Linotype" w:hAnsi="Palatino Linotype" w:cs="Palatino Linotype"/>
          <w:b/>
        </w:rPr>
      </w:pPr>
      <w:r w:rsidRPr="00BE5DC7">
        <w:rPr>
          <w:rFonts w:ascii="Palatino Linotype" w:eastAsia="Palatino Linotype" w:hAnsi="Palatino Linotype" w:cs="Palatino Linotype"/>
          <w:i/>
          <w:sz w:val="22"/>
          <w:szCs w:val="22"/>
        </w:rPr>
        <w:t xml:space="preserve">“Lista de asistencia, con la hora de entrada y salida de los servidores públicos siguientes; Mary Carmen Castañeda Peña y </w:t>
      </w:r>
      <w:proofErr w:type="spellStart"/>
      <w:r w:rsidRPr="00BE5DC7">
        <w:rPr>
          <w:rFonts w:ascii="Palatino Linotype" w:eastAsia="Palatino Linotype" w:hAnsi="Palatino Linotype" w:cs="Palatino Linotype"/>
          <w:i/>
          <w:sz w:val="22"/>
          <w:szCs w:val="22"/>
        </w:rPr>
        <w:t>Jose</w:t>
      </w:r>
      <w:proofErr w:type="spellEnd"/>
      <w:r w:rsidRPr="00BE5DC7">
        <w:rPr>
          <w:rFonts w:ascii="Palatino Linotype" w:eastAsia="Palatino Linotype" w:hAnsi="Palatino Linotype" w:cs="Palatino Linotype"/>
          <w:i/>
          <w:sz w:val="22"/>
          <w:szCs w:val="22"/>
        </w:rPr>
        <w:t xml:space="preserve"> Edwin </w:t>
      </w:r>
      <w:proofErr w:type="spellStart"/>
      <w:r w:rsidRPr="00BE5DC7">
        <w:rPr>
          <w:rFonts w:ascii="Palatino Linotype" w:eastAsia="Palatino Linotype" w:hAnsi="Palatino Linotype" w:cs="Palatino Linotype"/>
          <w:i/>
          <w:sz w:val="22"/>
          <w:szCs w:val="22"/>
        </w:rPr>
        <w:t>Hernandez</w:t>
      </w:r>
      <w:proofErr w:type="spellEnd"/>
      <w:r w:rsidRPr="00BE5DC7">
        <w:rPr>
          <w:rFonts w:ascii="Palatino Linotype" w:eastAsia="Palatino Linotype" w:hAnsi="Palatino Linotype" w:cs="Palatino Linotype"/>
          <w:i/>
          <w:sz w:val="22"/>
          <w:szCs w:val="22"/>
        </w:rPr>
        <w:t xml:space="preserve"> Quijano. Durante el periodo del 15 de enero de 2024 al 8 de febrero del 2024. Así mismo, los recibos de nómina de ambos servidores públicos. </w:t>
      </w:r>
      <w:proofErr w:type="spellStart"/>
      <w:r w:rsidRPr="00BE5DC7">
        <w:rPr>
          <w:rFonts w:ascii="Palatino Linotype" w:eastAsia="Palatino Linotype" w:hAnsi="Palatino Linotype" w:cs="Palatino Linotype"/>
          <w:i/>
          <w:sz w:val="22"/>
          <w:szCs w:val="22"/>
        </w:rPr>
        <w:t>Ademas</w:t>
      </w:r>
      <w:proofErr w:type="spellEnd"/>
      <w:r w:rsidRPr="00BE5DC7">
        <w:rPr>
          <w:rFonts w:ascii="Palatino Linotype" w:eastAsia="Palatino Linotype" w:hAnsi="Palatino Linotype" w:cs="Palatino Linotype"/>
          <w:i/>
          <w:sz w:val="22"/>
          <w:szCs w:val="22"/>
        </w:rPr>
        <w:t xml:space="preserve"> de su registro dactilar en el aparato </w:t>
      </w:r>
      <w:proofErr w:type="spellStart"/>
      <w:r w:rsidRPr="00BE5DC7">
        <w:rPr>
          <w:rFonts w:ascii="Palatino Linotype" w:eastAsia="Palatino Linotype" w:hAnsi="Palatino Linotype" w:cs="Palatino Linotype"/>
          <w:i/>
          <w:sz w:val="22"/>
          <w:szCs w:val="22"/>
        </w:rPr>
        <w:t>biometrico</w:t>
      </w:r>
      <w:proofErr w:type="spellEnd"/>
      <w:r w:rsidRPr="00BE5DC7">
        <w:rPr>
          <w:rFonts w:ascii="Palatino Linotype" w:eastAsia="Palatino Linotype" w:hAnsi="Palatino Linotype" w:cs="Palatino Linotype"/>
          <w:i/>
          <w:sz w:val="22"/>
          <w:szCs w:val="22"/>
        </w:rPr>
        <w:t xml:space="preserve"> para su registro.”</w:t>
      </w:r>
    </w:p>
    <w:p w14:paraId="0309EDA9" w14:textId="77777777" w:rsidR="00B32C8B" w:rsidRDefault="00B32C8B" w:rsidP="00BE5DC7">
      <w:pPr>
        <w:pBdr>
          <w:top w:val="nil"/>
          <w:left w:val="nil"/>
          <w:bottom w:val="nil"/>
          <w:right w:val="nil"/>
          <w:between w:val="nil"/>
        </w:pBdr>
        <w:ind w:left="720"/>
        <w:rPr>
          <w:rFonts w:ascii="Palatino Linotype" w:eastAsia="Palatino Linotype" w:hAnsi="Palatino Linotype" w:cs="Palatino Linotype"/>
          <w:b/>
        </w:rPr>
      </w:pPr>
    </w:p>
    <w:p w14:paraId="2EEF2976" w14:textId="77777777" w:rsidR="00BE5DC7" w:rsidRPr="00BE5DC7" w:rsidRDefault="00BE5DC7" w:rsidP="00BE5DC7">
      <w:pPr>
        <w:pBdr>
          <w:top w:val="nil"/>
          <w:left w:val="nil"/>
          <w:bottom w:val="nil"/>
          <w:right w:val="nil"/>
          <w:between w:val="nil"/>
        </w:pBdr>
        <w:ind w:left="720"/>
        <w:rPr>
          <w:rFonts w:ascii="Palatino Linotype" w:eastAsia="Palatino Linotype" w:hAnsi="Palatino Linotype" w:cs="Palatino Linotype"/>
          <w:b/>
        </w:rPr>
      </w:pPr>
    </w:p>
    <w:p w14:paraId="28166F22"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t>MODALIDAD DE ENTREGA:</w:t>
      </w:r>
      <w:r w:rsidRPr="00BE5DC7">
        <w:rPr>
          <w:rFonts w:ascii="Palatino Linotype" w:eastAsia="Palatino Linotype" w:hAnsi="Palatino Linotype" w:cs="Palatino Linotype"/>
        </w:rPr>
        <w:t xml:space="preserve"> Vía </w:t>
      </w:r>
      <w:r w:rsidRPr="00BE5DC7">
        <w:rPr>
          <w:rFonts w:ascii="Palatino Linotype" w:eastAsia="Palatino Linotype" w:hAnsi="Palatino Linotype" w:cs="Palatino Linotype"/>
          <w:b/>
        </w:rPr>
        <w:t>SAIMEX.</w:t>
      </w:r>
    </w:p>
    <w:p w14:paraId="7FB23EF8" w14:textId="77777777" w:rsidR="00B32C8B" w:rsidRPr="00BE5DC7" w:rsidRDefault="00B32C8B" w:rsidP="00BE5DC7">
      <w:pPr>
        <w:spacing w:line="360" w:lineRule="auto"/>
        <w:jc w:val="both"/>
        <w:rPr>
          <w:rFonts w:ascii="Palatino Linotype" w:eastAsia="Palatino Linotype" w:hAnsi="Palatino Linotype" w:cs="Palatino Linotype"/>
          <w:b/>
        </w:rPr>
      </w:pPr>
    </w:p>
    <w:p w14:paraId="7426A534"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lastRenderedPageBreak/>
        <w:t>II. Turno de la solicitud de información.</w:t>
      </w:r>
    </w:p>
    <w:p w14:paraId="099CB880"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El </w:t>
      </w:r>
      <w:r w:rsidRPr="00BE5DC7">
        <w:rPr>
          <w:rFonts w:ascii="Palatino Linotype" w:eastAsia="Palatino Linotype" w:hAnsi="Palatino Linotype" w:cs="Palatino Linotype"/>
          <w:b/>
        </w:rPr>
        <w:t>ocho de febrero de dos mil veinticuatro</w:t>
      </w:r>
      <w:r w:rsidRPr="00BE5DC7">
        <w:rPr>
          <w:rFonts w:ascii="Palatino Linotype" w:eastAsia="Palatino Linotype" w:hAnsi="Palatino Linotype" w:cs="Palatino Linotype"/>
        </w:rPr>
        <w:t>, la Titular de la Unidad de Transparencia del Sujeto Obligado, turnó los requerimientos de información al servidor público habilitado que estimó pertinente, a fin de colmar las solicitudes de acceso a la información</w:t>
      </w:r>
    </w:p>
    <w:p w14:paraId="5C5EBCAC" w14:textId="77777777" w:rsidR="00B32C8B" w:rsidRPr="00BE5DC7" w:rsidRDefault="00B32C8B" w:rsidP="00BE5DC7">
      <w:pPr>
        <w:spacing w:line="360" w:lineRule="auto"/>
        <w:jc w:val="both"/>
        <w:rPr>
          <w:rFonts w:ascii="Palatino Linotype" w:eastAsia="Palatino Linotype" w:hAnsi="Palatino Linotype" w:cs="Palatino Linotype"/>
          <w:b/>
          <w:sz w:val="28"/>
          <w:szCs w:val="28"/>
        </w:rPr>
      </w:pPr>
    </w:p>
    <w:p w14:paraId="3978F8D6" w14:textId="77777777" w:rsidR="00B32C8B" w:rsidRPr="00BE5DC7" w:rsidRDefault="008817ED" w:rsidP="00BE5DC7">
      <w:pPr>
        <w:spacing w:line="360" w:lineRule="auto"/>
        <w:jc w:val="both"/>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t>III. Respuesta del Sujeto Obligado</w:t>
      </w:r>
    </w:p>
    <w:p w14:paraId="70EF0839"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Del expediente electrónico conformado en el </w:t>
      </w:r>
      <w:r w:rsidRPr="00BE5DC7">
        <w:rPr>
          <w:rFonts w:ascii="Palatino Linotype" w:eastAsia="Palatino Linotype" w:hAnsi="Palatino Linotype" w:cs="Palatino Linotype"/>
          <w:b/>
        </w:rPr>
        <w:t>SAIMEX</w:t>
      </w:r>
      <w:r w:rsidRPr="00BE5DC7">
        <w:rPr>
          <w:rFonts w:ascii="Palatino Linotype" w:eastAsia="Palatino Linotype" w:hAnsi="Palatino Linotype" w:cs="Palatino Linotype"/>
        </w:rPr>
        <w:t xml:space="preserve">, del Recurso de Revisión materia del presente estudio, se advierte el </w:t>
      </w:r>
      <w:r w:rsidRPr="00BE5DC7">
        <w:rPr>
          <w:rFonts w:ascii="Palatino Linotype" w:eastAsia="Palatino Linotype" w:hAnsi="Palatino Linotype" w:cs="Palatino Linotype"/>
          <w:b/>
        </w:rPr>
        <w:t>veintinueve de febrero de dos mil veinticuatro</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 xml:space="preserve">EL SUJETO OBLIGADO </w:t>
      </w:r>
      <w:r w:rsidRPr="00BE5DC7">
        <w:rPr>
          <w:rFonts w:ascii="Palatino Linotype" w:eastAsia="Palatino Linotype" w:hAnsi="Palatino Linotype" w:cs="Palatino Linotype"/>
        </w:rPr>
        <w:t>dio respuesta en los siguientes términos:</w:t>
      </w:r>
    </w:p>
    <w:p w14:paraId="1D1B74C9" w14:textId="77777777" w:rsidR="00B32C8B" w:rsidRPr="00BE5DC7" w:rsidRDefault="00B32C8B" w:rsidP="00BE5DC7">
      <w:pPr>
        <w:jc w:val="both"/>
        <w:rPr>
          <w:rFonts w:ascii="Palatino Linotype" w:eastAsia="Palatino Linotype" w:hAnsi="Palatino Linotype" w:cs="Palatino Linotype"/>
          <w:sz w:val="16"/>
          <w:szCs w:val="16"/>
        </w:rPr>
      </w:pPr>
    </w:p>
    <w:p w14:paraId="415C0315" w14:textId="77777777" w:rsidR="00B32C8B" w:rsidRPr="00BE5DC7" w:rsidRDefault="008817ED" w:rsidP="00BE5DC7">
      <w:pPr>
        <w:ind w:left="851" w:right="899"/>
        <w:jc w:val="right"/>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“Ocuilan, México a 29 de Febrero de 2024</w:t>
      </w:r>
    </w:p>
    <w:p w14:paraId="01EF2216" w14:textId="77777777" w:rsidR="00B32C8B" w:rsidRPr="00BE5DC7" w:rsidRDefault="008817ED" w:rsidP="00BE5DC7">
      <w:pPr>
        <w:ind w:left="851" w:right="899"/>
        <w:jc w:val="right"/>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Nombre del solicitante: C. Solicitante</w:t>
      </w:r>
    </w:p>
    <w:p w14:paraId="4DFB5738" w14:textId="77777777" w:rsidR="00B32C8B" w:rsidRPr="00BE5DC7" w:rsidRDefault="008817ED" w:rsidP="00BE5DC7">
      <w:pPr>
        <w:ind w:left="851" w:right="899"/>
        <w:jc w:val="right"/>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Folio de la solicitud: 00016/OCUILAN/IP/2024</w:t>
      </w:r>
    </w:p>
    <w:p w14:paraId="3E4DE626" w14:textId="77777777" w:rsidR="00B32C8B" w:rsidRPr="00BE5DC7" w:rsidRDefault="008817ED" w:rsidP="00BE5DC7">
      <w:pPr>
        <w:ind w:left="851" w:right="899"/>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831260" w14:textId="77777777" w:rsidR="00B32C8B" w:rsidRPr="00BE5DC7" w:rsidRDefault="00B32C8B" w:rsidP="00BE5DC7">
      <w:pPr>
        <w:ind w:left="851" w:right="899"/>
        <w:jc w:val="both"/>
        <w:rPr>
          <w:rFonts w:ascii="Palatino Linotype" w:eastAsia="Palatino Linotype" w:hAnsi="Palatino Linotype" w:cs="Palatino Linotype"/>
          <w:i/>
          <w:sz w:val="22"/>
          <w:szCs w:val="22"/>
        </w:rPr>
      </w:pPr>
    </w:p>
    <w:p w14:paraId="3864CD29" w14:textId="77777777" w:rsidR="00B32C8B" w:rsidRPr="00BE5DC7" w:rsidRDefault="008817ED" w:rsidP="00BE5DC7">
      <w:pPr>
        <w:ind w:left="851" w:right="899"/>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Estimado solicitante envío respuesta a través del oficio OINY/AO/SRH//97/2024, espero sea la información que requieres, Excelente tarde.”</w:t>
      </w:r>
    </w:p>
    <w:p w14:paraId="0E1F6109" w14:textId="77777777" w:rsidR="00B32C8B" w:rsidRPr="00BE5DC7" w:rsidRDefault="00B32C8B" w:rsidP="00BE5DC7">
      <w:pPr>
        <w:ind w:left="851" w:right="899"/>
        <w:jc w:val="both"/>
        <w:rPr>
          <w:rFonts w:ascii="Palatino Linotype" w:eastAsia="Palatino Linotype" w:hAnsi="Palatino Linotype" w:cs="Palatino Linotype"/>
          <w:sz w:val="28"/>
          <w:szCs w:val="28"/>
        </w:rPr>
      </w:pPr>
    </w:p>
    <w:p w14:paraId="64DA4027"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IV. Del Recurso Revisión</w:t>
      </w:r>
    </w:p>
    <w:p w14:paraId="23DC069D"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El veintinueve de febrero de dos mil veinticuatro, </w:t>
      </w:r>
      <w:r w:rsidRPr="00BE5DC7">
        <w:rPr>
          <w:rFonts w:ascii="Palatino Linotype" w:eastAsia="Palatino Linotype" w:hAnsi="Palatino Linotype" w:cs="Palatino Linotype"/>
          <w:b/>
        </w:rPr>
        <w:t xml:space="preserve">LA RECURRENTE </w:t>
      </w:r>
      <w:r w:rsidRPr="00BE5DC7">
        <w:rPr>
          <w:rFonts w:ascii="Palatino Linotype" w:eastAsia="Palatino Linotype" w:hAnsi="Palatino Linotype" w:cs="Palatino Linotype"/>
        </w:rPr>
        <w:t xml:space="preserve">interpuso el Recurso Revisión sujeto del presente estudio, el cual fue registrado en </w:t>
      </w:r>
      <w:r w:rsidRPr="00BE5DC7">
        <w:rPr>
          <w:rFonts w:ascii="Palatino Linotype" w:eastAsia="Palatino Linotype" w:hAnsi="Palatino Linotype" w:cs="Palatino Linotype"/>
          <w:b/>
        </w:rPr>
        <w:t xml:space="preserve">EL SAIMEX, </w:t>
      </w:r>
      <w:r w:rsidRPr="00BE5DC7">
        <w:rPr>
          <w:rFonts w:ascii="Palatino Linotype" w:eastAsia="Palatino Linotype" w:hAnsi="Palatino Linotype" w:cs="Palatino Linotype"/>
        </w:rPr>
        <w:t xml:space="preserve">y se le asignó el número de expediente </w:t>
      </w:r>
      <w:r w:rsidRPr="00BE5DC7">
        <w:rPr>
          <w:rFonts w:ascii="Palatino Linotype" w:eastAsia="Palatino Linotype" w:hAnsi="Palatino Linotype" w:cs="Palatino Linotype"/>
          <w:b/>
        </w:rPr>
        <w:t xml:space="preserve">01162/INFOEM/IP/RR/2024, </w:t>
      </w:r>
      <w:r w:rsidRPr="00BE5DC7">
        <w:rPr>
          <w:rFonts w:ascii="Palatino Linotype" w:eastAsia="Palatino Linotype" w:hAnsi="Palatino Linotype" w:cs="Palatino Linotype"/>
        </w:rPr>
        <w:t>en el que señaló como:</w:t>
      </w:r>
    </w:p>
    <w:p w14:paraId="4AF684D5"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p>
    <w:p w14:paraId="6E52CA60"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lastRenderedPageBreak/>
        <w:t xml:space="preserve">Acto Impugnado: </w:t>
      </w:r>
    </w:p>
    <w:p w14:paraId="792AAD66" w14:textId="77777777" w:rsidR="00B32C8B" w:rsidRPr="00BE5DC7" w:rsidRDefault="00B32C8B" w:rsidP="00BE5DC7">
      <w:pPr>
        <w:pBdr>
          <w:top w:val="nil"/>
          <w:left w:val="nil"/>
          <w:bottom w:val="nil"/>
          <w:right w:val="nil"/>
          <w:between w:val="nil"/>
        </w:pBdr>
        <w:tabs>
          <w:tab w:val="left" w:pos="709"/>
        </w:tabs>
        <w:jc w:val="both"/>
        <w:rPr>
          <w:rFonts w:ascii="Palatino Linotype" w:eastAsia="Palatino Linotype" w:hAnsi="Palatino Linotype" w:cs="Palatino Linotype"/>
          <w:b/>
        </w:rPr>
      </w:pPr>
    </w:p>
    <w:p w14:paraId="754B0AE0" w14:textId="77777777" w:rsidR="00B32C8B" w:rsidRPr="00BE5DC7" w:rsidRDefault="008817ED" w:rsidP="00BE5DC7">
      <w:pPr>
        <w:tabs>
          <w:tab w:val="left" w:pos="7936"/>
        </w:tabs>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“No se adjunta contestación alguna, y se es omiso en presentar la información. Se solicita, Lista de asistencia, con la hora de entrada y salida de los servidores públicos siguientes; Mary Carmen Castañeda Peña y </w:t>
      </w:r>
      <w:proofErr w:type="spellStart"/>
      <w:r w:rsidRPr="00BE5DC7">
        <w:rPr>
          <w:rFonts w:ascii="Palatino Linotype" w:eastAsia="Palatino Linotype" w:hAnsi="Palatino Linotype" w:cs="Palatino Linotype"/>
          <w:i/>
          <w:sz w:val="22"/>
          <w:szCs w:val="22"/>
        </w:rPr>
        <w:t>Jose</w:t>
      </w:r>
      <w:proofErr w:type="spellEnd"/>
      <w:r w:rsidRPr="00BE5DC7">
        <w:rPr>
          <w:rFonts w:ascii="Palatino Linotype" w:eastAsia="Palatino Linotype" w:hAnsi="Palatino Linotype" w:cs="Palatino Linotype"/>
          <w:i/>
          <w:sz w:val="22"/>
          <w:szCs w:val="22"/>
        </w:rPr>
        <w:t xml:space="preserve"> Edwin </w:t>
      </w:r>
      <w:proofErr w:type="spellStart"/>
      <w:r w:rsidRPr="00BE5DC7">
        <w:rPr>
          <w:rFonts w:ascii="Palatino Linotype" w:eastAsia="Palatino Linotype" w:hAnsi="Palatino Linotype" w:cs="Palatino Linotype"/>
          <w:i/>
          <w:sz w:val="22"/>
          <w:szCs w:val="22"/>
        </w:rPr>
        <w:t>Hernandez</w:t>
      </w:r>
      <w:proofErr w:type="spellEnd"/>
      <w:r w:rsidRPr="00BE5DC7">
        <w:rPr>
          <w:rFonts w:ascii="Palatino Linotype" w:eastAsia="Palatino Linotype" w:hAnsi="Palatino Linotype" w:cs="Palatino Linotype"/>
          <w:i/>
          <w:sz w:val="22"/>
          <w:szCs w:val="22"/>
        </w:rPr>
        <w:t xml:space="preserve"> Quijano. Durante el periodo del 15 de enero de 2024 al 8 de febrero del 2024. Así mismo, los recibos de nómina de ambos servidores públicos. </w:t>
      </w:r>
      <w:proofErr w:type="spellStart"/>
      <w:r w:rsidRPr="00BE5DC7">
        <w:rPr>
          <w:rFonts w:ascii="Palatino Linotype" w:eastAsia="Palatino Linotype" w:hAnsi="Palatino Linotype" w:cs="Palatino Linotype"/>
          <w:i/>
          <w:sz w:val="22"/>
          <w:szCs w:val="22"/>
        </w:rPr>
        <w:t>Ademas</w:t>
      </w:r>
      <w:proofErr w:type="spellEnd"/>
      <w:r w:rsidRPr="00BE5DC7">
        <w:rPr>
          <w:rFonts w:ascii="Palatino Linotype" w:eastAsia="Palatino Linotype" w:hAnsi="Palatino Linotype" w:cs="Palatino Linotype"/>
          <w:i/>
          <w:sz w:val="22"/>
          <w:szCs w:val="22"/>
        </w:rPr>
        <w:t xml:space="preserve"> de su registro dactilar en el aparato </w:t>
      </w:r>
      <w:proofErr w:type="spellStart"/>
      <w:r w:rsidRPr="00BE5DC7">
        <w:rPr>
          <w:rFonts w:ascii="Palatino Linotype" w:eastAsia="Palatino Linotype" w:hAnsi="Palatino Linotype" w:cs="Palatino Linotype"/>
          <w:i/>
          <w:sz w:val="22"/>
          <w:szCs w:val="22"/>
        </w:rPr>
        <w:t>biometrico</w:t>
      </w:r>
      <w:proofErr w:type="spellEnd"/>
      <w:r w:rsidRPr="00BE5DC7">
        <w:rPr>
          <w:rFonts w:ascii="Palatino Linotype" w:eastAsia="Palatino Linotype" w:hAnsi="Palatino Linotype" w:cs="Palatino Linotype"/>
          <w:i/>
          <w:sz w:val="22"/>
          <w:szCs w:val="22"/>
        </w:rPr>
        <w:t xml:space="preserve"> para su registro.” (Sic)</w:t>
      </w:r>
    </w:p>
    <w:p w14:paraId="5AED3812" w14:textId="77777777" w:rsidR="00B32C8B" w:rsidRPr="00BE5DC7" w:rsidRDefault="00B32C8B" w:rsidP="00BE5DC7">
      <w:pPr>
        <w:tabs>
          <w:tab w:val="left" w:pos="7936"/>
        </w:tabs>
        <w:ind w:left="851" w:right="902"/>
        <w:jc w:val="both"/>
        <w:rPr>
          <w:rFonts w:ascii="Palatino Linotype" w:eastAsia="Palatino Linotype" w:hAnsi="Palatino Linotype" w:cs="Palatino Linotype"/>
          <w:i/>
          <w:sz w:val="22"/>
          <w:szCs w:val="22"/>
        </w:rPr>
      </w:pPr>
    </w:p>
    <w:p w14:paraId="598CFEC0"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t>Así como Razones o Motivos de Inconformidad:</w:t>
      </w:r>
    </w:p>
    <w:p w14:paraId="11160164" w14:textId="77777777" w:rsidR="00B32C8B" w:rsidRPr="00BE5DC7" w:rsidRDefault="00B32C8B" w:rsidP="00BE5DC7">
      <w:pPr>
        <w:pBdr>
          <w:top w:val="nil"/>
          <w:left w:val="nil"/>
          <w:bottom w:val="nil"/>
          <w:right w:val="nil"/>
          <w:between w:val="nil"/>
        </w:pBdr>
        <w:jc w:val="both"/>
        <w:rPr>
          <w:rFonts w:ascii="Palatino Linotype" w:eastAsia="Palatino Linotype" w:hAnsi="Palatino Linotype" w:cs="Palatino Linotype"/>
        </w:rPr>
      </w:pPr>
    </w:p>
    <w:p w14:paraId="1440138D" w14:textId="77777777" w:rsidR="00B32C8B" w:rsidRPr="00BE5DC7" w:rsidRDefault="008817ED" w:rsidP="00BE5DC7">
      <w:pPr>
        <w:ind w:left="851" w:right="899"/>
        <w:jc w:val="both"/>
        <w:rPr>
          <w:rFonts w:ascii="Palatino Linotype" w:eastAsia="Palatino Linotype" w:hAnsi="Palatino Linotype" w:cs="Palatino Linotype"/>
        </w:rPr>
      </w:pPr>
      <w:r w:rsidRPr="00BE5DC7">
        <w:rPr>
          <w:rFonts w:ascii="Palatino Linotype" w:eastAsia="Palatino Linotype" w:hAnsi="Palatino Linotype" w:cs="Palatino Linotype"/>
          <w:i/>
          <w:sz w:val="22"/>
          <w:szCs w:val="22"/>
        </w:rPr>
        <w:t>“En la descripción se menciona que se hace llegar la respuesta, sin embargo no existe documento adjunto que sea evidencia de lo solicitado.” (Sic)</w:t>
      </w:r>
    </w:p>
    <w:p w14:paraId="793AC0DE" w14:textId="77777777" w:rsidR="00B32C8B" w:rsidRPr="00BE5DC7" w:rsidRDefault="00B32C8B" w:rsidP="00BE5DC7">
      <w:pPr>
        <w:spacing w:line="360" w:lineRule="auto"/>
        <w:jc w:val="both"/>
        <w:rPr>
          <w:rFonts w:ascii="Palatino Linotype" w:eastAsia="Palatino Linotype" w:hAnsi="Palatino Linotype" w:cs="Palatino Linotype"/>
          <w:b/>
          <w:sz w:val="28"/>
          <w:szCs w:val="28"/>
        </w:rPr>
      </w:pPr>
    </w:p>
    <w:p w14:paraId="5E05EAC6" w14:textId="77777777" w:rsidR="00B32C8B" w:rsidRPr="00BE5DC7" w:rsidRDefault="008817ED" w:rsidP="00BE5DC7">
      <w:pPr>
        <w:spacing w:line="360" w:lineRule="auto"/>
        <w:jc w:val="both"/>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t>V. Del turno del Recurso Revisión</w:t>
      </w:r>
    </w:p>
    <w:p w14:paraId="240C9DF3"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El veintinueve de febrero de dos mil </w:t>
      </w:r>
      <w:r w:rsidR="004B08B7" w:rsidRPr="00BE5DC7">
        <w:rPr>
          <w:rFonts w:ascii="Palatino Linotype" w:eastAsia="Palatino Linotype" w:hAnsi="Palatino Linotype" w:cs="Palatino Linotype"/>
        </w:rPr>
        <w:t>veinticuatro</w:t>
      </w:r>
      <w:r w:rsidRPr="00BE5DC7">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BE5DC7">
        <w:rPr>
          <w:rFonts w:ascii="Palatino Linotype" w:eastAsia="Palatino Linotype" w:hAnsi="Palatino Linotype" w:cs="Palatino Linotype"/>
          <w:b/>
        </w:rPr>
        <w:t>EL SAIMEX</w:t>
      </w:r>
      <w:r w:rsidRPr="00BE5DC7">
        <w:rPr>
          <w:rFonts w:ascii="Palatino Linotype" w:eastAsia="Palatino Linotype" w:hAnsi="Palatino Linotype" w:cs="Palatino Linotype"/>
        </w:rPr>
        <w:t xml:space="preserve">, a la </w:t>
      </w:r>
      <w:r w:rsidRPr="00BE5DC7">
        <w:rPr>
          <w:rFonts w:ascii="Palatino Linotype" w:eastAsia="Palatino Linotype" w:hAnsi="Palatino Linotype" w:cs="Palatino Linotype"/>
          <w:b/>
        </w:rPr>
        <w:t xml:space="preserve">Comisionada Sharon Cristina Morales Martínez </w:t>
      </w:r>
      <w:r w:rsidRPr="00BE5DC7">
        <w:rPr>
          <w:rFonts w:ascii="Palatino Linotype" w:eastAsia="Palatino Linotype" w:hAnsi="Palatino Linotype" w:cs="Palatino Linotype"/>
        </w:rPr>
        <w:t xml:space="preserve">a efecto de decretar su admisión o </w:t>
      </w:r>
      <w:proofErr w:type="spellStart"/>
      <w:r w:rsidRPr="00BE5DC7">
        <w:rPr>
          <w:rFonts w:ascii="Palatino Linotype" w:eastAsia="Palatino Linotype" w:hAnsi="Palatino Linotype" w:cs="Palatino Linotype"/>
        </w:rPr>
        <w:t>desechamiento</w:t>
      </w:r>
      <w:proofErr w:type="spellEnd"/>
      <w:r w:rsidRPr="00BE5DC7">
        <w:rPr>
          <w:rFonts w:ascii="Palatino Linotype" w:eastAsia="Palatino Linotype" w:hAnsi="Palatino Linotype" w:cs="Palatino Linotype"/>
        </w:rPr>
        <w:t>.</w:t>
      </w:r>
    </w:p>
    <w:p w14:paraId="13143BF6" w14:textId="77777777" w:rsidR="00B32C8B" w:rsidRPr="00BE5DC7" w:rsidRDefault="00B32C8B" w:rsidP="00BE5DC7">
      <w:pPr>
        <w:spacing w:line="360" w:lineRule="auto"/>
        <w:jc w:val="both"/>
        <w:rPr>
          <w:rFonts w:ascii="Palatino Linotype" w:eastAsia="Palatino Linotype" w:hAnsi="Palatino Linotype" w:cs="Palatino Linotype"/>
        </w:rPr>
      </w:pPr>
    </w:p>
    <w:p w14:paraId="0A4D0731" w14:textId="77777777" w:rsidR="00B32C8B" w:rsidRPr="00BE5DC7" w:rsidRDefault="008817ED" w:rsidP="00BE5DC7">
      <w:pPr>
        <w:tabs>
          <w:tab w:val="center" w:pos="4252"/>
          <w:tab w:val="right" w:pos="8504"/>
        </w:tabs>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t>a) Admisión del Recurso Revisión</w:t>
      </w:r>
    </w:p>
    <w:p w14:paraId="48198677" w14:textId="77777777" w:rsidR="00B32C8B" w:rsidRPr="00BE5DC7" w:rsidRDefault="008817ED" w:rsidP="00BE5DC7">
      <w:pPr>
        <w:tabs>
          <w:tab w:val="center" w:pos="4252"/>
          <w:tab w:val="right" w:pos="8504"/>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De las constancias del expediente electrónico del</w:t>
      </w:r>
      <w:r w:rsidRPr="00BE5DC7">
        <w:rPr>
          <w:rFonts w:ascii="Palatino Linotype" w:eastAsia="Palatino Linotype" w:hAnsi="Palatino Linotype" w:cs="Palatino Linotype"/>
          <w:b/>
        </w:rPr>
        <w:t xml:space="preserve"> SAIMEX</w:t>
      </w:r>
      <w:r w:rsidRPr="00BE5DC7">
        <w:rPr>
          <w:rFonts w:ascii="Palatino Linotype" w:eastAsia="Palatino Linotype" w:hAnsi="Palatino Linotype" w:cs="Palatino Linotype"/>
        </w:rPr>
        <w:t xml:space="preserve">, se advierte que el </w:t>
      </w:r>
      <w:r w:rsidRPr="00BE5DC7">
        <w:rPr>
          <w:rFonts w:ascii="Palatino Linotype" w:eastAsia="Palatino Linotype" w:hAnsi="Palatino Linotype" w:cs="Palatino Linotype"/>
          <w:b/>
        </w:rPr>
        <w:t>cuatro de marzo de dos mil veinticuatro</w:t>
      </w:r>
      <w:r w:rsidRPr="00BE5DC7">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w:t>
      </w:r>
      <w:r w:rsidRPr="00BE5DC7">
        <w:rPr>
          <w:rFonts w:ascii="Palatino Linotype" w:eastAsia="Palatino Linotype" w:hAnsi="Palatino Linotype" w:cs="Palatino Linotype"/>
        </w:rPr>
        <w:lastRenderedPageBreak/>
        <w:t xml:space="preserve">a lo dispuesto por el artículo 185 de la Ley de Transparencia y Acceso a la Información Pública del Estado de México y Municipios; </w:t>
      </w:r>
      <w:r w:rsidRPr="00BE5DC7">
        <w:rPr>
          <w:rFonts w:ascii="Palatino Linotype" w:eastAsia="Palatino Linotype" w:hAnsi="Palatino Linotype" w:cs="Palatino Linotype"/>
          <w:b/>
        </w:rPr>
        <w:t xml:space="preserve">LA RECURRENTE </w:t>
      </w:r>
      <w:r w:rsidRPr="00BE5DC7">
        <w:rPr>
          <w:rFonts w:ascii="Palatino Linotype" w:eastAsia="Palatino Linotype" w:hAnsi="Palatino Linotype" w:cs="Palatino Linotype"/>
        </w:rPr>
        <w:t xml:space="preserve">manifestara lo que a su derecho conviniera, a efecto de presentar pruebas o alegatos y, en su caso, </w:t>
      </w:r>
      <w:r w:rsidRPr="00BE5DC7">
        <w:rPr>
          <w:rFonts w:ascii="Palatino Linotype" w:eastAsia="Palatino Linotype" w:hAnsi="Palatino Linotype" w:cs="Palatino Linotype"/>
          <w:b/>
        </w:rPr>
        <w:t xml:space="preserve">EL SUJETO OBLIGADO </w:t>
      </w:r>
      <w:r w:rsidRPr="00BE5DC7">
        <w:rPr>
          <w:rFonts w:ascii="Palatino Linotype" w:eastAsia="Palatino Linotype" w:hAnsi="Palatino Linotype" w:cs="Palatino Linotype"/>
        </w:rPr>
        <w:t>rindiera su correspondiente Informe Justificado.</w:t>
      </w:r>
    </w:p>
    <w:p w14:paraId="16486EC1" w14:textId="77777777" w:rsidR="00B32C8B" w:rsidRPr="00BE5DC7" w:rsidRDefault="00B32C8B" w:rsidP="00BE5DC7">
      <w:pPr>
        <w:spacing w:line="360" w:lineRule="auto"/>
        <w:jc w:val="both"/>
        <w:rPr>
          <w:rFonts w:ascii="Palatino Linotype" w:eastAsia="Palatino Linotype" w:hAnsi="Palatino Linotype" w:cs="Palatino Linotype"/>
          <w:b/>
        </w:rPr>
      </w:pPr>
    </w:p>
    <w:p w14:paraId="73CDAEB0"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rPr>
        <w:t xml:space="preserve">b) Manifestaciones </w:t>
      </w:r>
    </w:p>
    <w:p w14:paraId="34B38834"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De acuerdo a las constancias digitales que obran en </w:t>
      </w:r>
      <w:r w:rsidRPr="00BE5DC7">
        <w:rPr>
          <w:rFonts w:ascii="Palatino Linotype" w:eastAsia="Palatino Linotype" w:hAnsi="Palatino Linotype" w:cs="Palatino Linotype"/>
          <w:b/>
        </w:rPr>
        <w:t>EL</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SAIMEX</w:t>
      </w:r>
      <w:r w:rsidRPr="00BE5DC7">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BE5DC7">
        <w:rPr>
          <w:rFonts w:ascii="Palatino Linotype" w:eastAsia="Palatino Linotype" w:hAnsi="Palatino Linotype" w:cs="Palatino Linotype"/>
          <w:b/>
        </w:rPr>
        <w:t xml:space="preserve">LA RECURRENTE, </w:t>
      </w:r>
      <w:r w:rsidRPr="00BE5DC7">
        <w:rPr>
          <w:rFonts w:ascii="Palatino Linotype" w:eastAsia="Palatino Linotype" w:hAnsi="Palatino Linotype" w:cs="Palatino Linotype"/>
        </w:rPr>
        <w:t xml:space="preserve">este no realizó manifestaciones; por su parte el </w:t>
      </w:r>
      <w:r w:rsidRPr="00BE5DC7">
        <w:rPr>
          <w:rFonts w:ascii="Palatino Linotype" w:eastAsia="Palatino Linotype" w:hAnsi="Palatino Linotype" w:cs="Palatino Linotype"/>
          <w:b/>
        </w:rPr>
        <w:t>SUJETO OBLIGADO</w:t>
      </w:r>
      <w:r w:rsidRPr="00BE5DC7">
        <w:rPr>
          <w:rFonts w:ascii="Palatino Linotype" w:eastAsia="Palatino Linotype" w:hAnsi="Palatino Linotype" w:cs="Palatino Linotype"/>
        </w:rPr>
        <w:t xml:space="preserve"> tampoco remitió informe justificado.</w:t>
      </w:r>
    </w:p>
    <w:p w14:paraId="667D0CE1"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b/>
        </w:rPr>
      </w:pPr>
    </w:p>
    <w:p w14:paraId="6663F358" w14:textId="77777777" w:rsidR="00B32C8B" w:rsidRPr="00BE5DC7" w:rsidRDefault="00BE5DC7" w:rsidP="00BE5DC7">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w:t>
      </w:r>
      <w:r w:rsidR="008817ED" w:rsidRPr="00BE5DC7">
        <w:rPr>
          <w:rFonts w:ascii="Palatino Linotype" w:eastAsia="Palatino Linotype" w:hAnsi="Palatino Linotype" w:cs="Palatino Linotype"/>
          <w:b/>
        </w:rPr>
        <w:t>) Cierre de Instrucción</w:t>
      </w:r>
    </w:p>
    <w:p w14:paraId="237B6E7B"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Una vez analizado el estado procesal que guarda el expediente, el </w:t>
      </w:r>
      <w:r w:rsidRPr="00BE5DC7">
        <w:rPr>
          <w:rFonts w:ascii="Palatino Linotype" w:eastAsia="Palatino Linotype" w:hAnsi="Palatino Linotype" w:cs="Palatino Linotype"/>
          <w:b/>
        </w:rPr>
        <w:t>veinte de marzo de dos mil veinticuatro</w:t>
      </w:r>
      <w:r w:rsidRPr="00BE5DC7">
        <w:rPr>
          <w:rFonts w:ascii="Palatino Linotype" w:eastAsia="Palatino Linotype" w:hAnsi="Palatino Linotype" w:cs="Palatino Linotype"/>
        </w:rPr>
        <w:t xml:space="preserve">, la </w:t>
      </w:r>
      <w:r w:rsidRPr="00BE5DC7">
        <w:rPr>
          <w:rFonts w:ascii="Palatino Linotype" w:eastAsia="Palatino Linotype" w:hAnsi="Palatino Linotype" w:cs="Palatino Linotype"/>
          <w:b/>
        </w:rPr>
        <w:t>Comisionada Sharon Cristina Morales Martínez</w:t>
      </w:r>
      <w:r w:rsidRPr="00BE5DC7">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14A33A8" w14:textId="77777777" w:rsidR="00B32C8B" w:rsidRPr="00BE5DC7" w:rsidRDefault="00B32C8B" w:rsidP="00BE5DC7">
      <w:pPr>
        <w:widowControl w:val="0"/>
        <w:tabs>
          <w:tab w:val="left" w:pos="0"/>
        </w:tabs>
        <w:spacing w:line="360" w:lineRule="auto"/>
        <w:jc w:val="both"/>
        <w:rPr>
          <w:rFonts w:ascii="Palatino Linotype" w:eastAsia="Palatino Linotype" w:hAnsi="Palatino Linotype" w:cs="Palatino Linotype"/>
        </w:rPr>
      </w:pPr>
    </w:p>
    <w:p w14:paraId="26AC9F1B" w14:textId="77777777" w:rsidR="00B32C8B" w:rsidRPr="00BE5DC7" w:rsidRDefault="008817ED" w:rsidP="00BE5DC7">
      <w:pPr>
        <w:jc w:val="center"/>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t>CONSIDERANDOS</w:t>
      </w:r>
    </w:p>
    <w:p w14:paraId="476097F0" w14:textId="77777777" w:rsidR="00B32C8B" w:rsidRPr="00BE5DC7" w:rsidRDefault="00B32C8B" w:rsidP="00BE5DC7">
      <w:pPr>
        <w:ind w:right="50"/>
        <w:jc w:val="both"/>
        <w:rPr>
          <w:rFonts w:ascii="Palatino Linotype" w:eastAsia="Palatino Linotype" w:hAnsi="Palatino Linotype" w:cs="Palatino Linotype"/>
          <w:b/>
          <w:sz w:val="28"/>
          <w:szCs w:val="28"/>
        </w:rPr>
      </w:pPr>
    </w:p>
    <w:p w14:paraId="5FB1B6D1" w14:textId="77777777" w:rsidR="00B32C8B" w:rsidRPr="00BE5DC7" w:rsidRDefault="008817ED" w:rsidP="00BE5DC7">
      <w:pPr>
        <w:spacing w:line="360" w:lineRule="auto"/>
        <w:ind w:right="50"/>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PRIMERO</w:t>
      </w:r>
      <w:r w:rsidRPr="00BE5DC7">
        <w:rPr>
          <w:rFonts w:ascii="Palatino Linotype" w:eastAsia="Palatino Linotype" w:hAnsi="Palatino Linotype" w:cs="Palatino Linotype"/>
          <w:b/>
        </w:rPr>
        <w:t>.</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Competencia</w:t>
      </w:r>
      <w:r w:rsidRPr="00BE5DC7">
        <w:rPr>
          <w:rFonts w:ascii="Palatino Linotype" w:eastAsia="Palatino Linotype" w:hAnsi="Palatino Linotype" w:cs="Palatino Linotype"/>
        </w:rPr>
        <w:t>.</w:t>
      </w:r>
      <w:r w:rsidRPr="00BE5DC7">
        <w:rPr>
          <w:rFonts w:ascii="Palatino Linotype" w:eastAsia="Palatino Linotype" w:hAnsi="Palatino Linotype" w:cs="Palatino Linotype"/>
          <w:b/>
        </w:rPr>
        <w:t xml:space="preserve"> </w:t>
      </w:r>
    </w:p>
    <w:p w14:paraId="3FBF4798" w14:textId="77777777" w:rsidR="00B32C8B" w:rsidRPr="00BE5DC7" w:rsidRDefault="008817ED" w:rsidP="00BE5DC7">
      <w:pPr>
        <w:spacing w:line="360" w:lineRule="auto"/>
        <w:ind w:right="50"/>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BE5DC7">
        <w:rPr>
          <w:rFonts w:ascii="Palatino Linotype" w:eastAsia="Palatino Linotype" w:hAnsi="Palatino Linotype" w:cs="Palatino Linotype"/>
        </w:rPr>
        <w:lastRenderedPageBreak/>
        <w:t>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82A59A1" w14:textId="77777777" w:rsidR="00B32C8B" w:rsidRPr="00BE5DC7" w:rsidRDefault="00B32C8B" w:rsidP="00BE5DC7">
      <w:pPr>
        <w:spacing w:line="360" w:lineRule="auto"/>
        <w:ind w:right="50"/>
        <w:jc w:val="both"/>
        <w:rPr>
          <w:rFonts w:ascii="Palatino Linotype" w:eastAsia="Palatino Linotype" w:hAnsi="Palatino Linotype" w:cs="Palatino Linotype"/>
        </w:rPr>
      </w:pPr>
    </w:p>
    <w:p w14:paraId="7BBD2CEF"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SEGUNDO</w:t>
      </w:r>
      <w:r w:rsidRPr="00BE5DC7">
        <w:rPr>
          <w:rFonts w:ascii="Palatino Linotype" w:eastAsia="Palatino Linotype" w:hAnsi="Palatino Linotype" w:cs="Palatino Linotype"/>
          <w:b/>
        </w:rPr>
        <w:t xml:space="preserve">. Interés. </w:t>
      </w:r>
    </w:p>
    <w:p w14:paraId="2371B68D"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rPr>
        <w:t xml:space="preserve">El Recurso Revisión fue interpuesto por parte legítima, en atención a que se presentó por </w:t>
      </w:r>
      <w:r w:rsidRPr="00BE5DC7">
        <w:rPr>
          <w:rFonts w:ascii="Palatino Linotype" w:eastAsia="Palatino Linotype" w:hAnsi="Palatino Linotype" w:cs="Palatino Linotype"/>
          <w:b/>
        </w:rPr>
        <w:t>EL RECURENTE,</w:t>
      </w:r>
      <w:r w:rsidRPr="00BE5DC7">
        <w:rPr>
          <w:rFonts w:ascii="Palatino Linotype" w:eastAsia="Palatino Linotype" w:hAnsi="Palatino Linotype" w:cs="Palatino Linotype"/>
        </w:rPr>
        <w:t xml:space="preserve"> quien es la misma persona que formuló la solicitud de acceso a la Información Pública al </w:t>
      </w:r>
      <w:r w:rsidRPr="00BE5DC7">
        <w:rPr>
          <w:rFonts w:ascii="Palatino Linotype" w:eastAsia="Palatino Linotype" w:hAnsi="Palatino Linotype" w:cs="Palatino Linotype"/>
          <w:b/>
        </w:rPr>
        <w:t xml:space="preserve">SUJETO OBLIGADO, </w:t>
      </w:r>
      <w:r w:rsidRPr="00BE5DC7">
        <w:rPr>
          <w:rFonts w:ascii="Palatino Linotype" w:eastAsia="Palatino Linotype" w:hAnsi="Palatino Linotype" w:cs="Palatino Linotype"/>
        </w:rPr>
        <w:t xml:space="preserve">pues para ello, es necesario que el particular ingrese al </w:t>
      </w:r>
      <w:r w:rsidRPr="00BE5DC7">
        <w:rPr>
          <w:rFonts w:ascii="Palatino Linotype" w:eastAsia="Palatino Linotype" w:hAnsi="Palatino Linotype" w:cs="Palatino Linotype"/>
          <w:b/>
        </w:rPr>
        <w:t xml:space="preserve">SAIMEX </w:t>
      </w:r>
      <w:r w:rsidRPr="00BE5DC7">
        <w:rPr>
          <w:rFonts w:ascii="Palatino Linotype" w:eastAsia="Palatino Linotype" w:hAnsi="Palatino Linotype" w:cs="Palatino Linotype"/>
        </w:rPr>
        <w:t>mediante la utilización de su clave de usuario y contraseña.</w:t>
      </w:r>
    </w:p>
    <w:p w14:paraId="5C74FE16" w14:textId="77777777" w:rsidR="00B32C8B" w:rsidRPr="00BE5DC7" w:rsidRDefault="00B32C8B" w:rsidP="00BE5DC7">
      <w:pPr>
        <w:spacing w:line="360" w:lineRule="auto"/>
        <w:jc w:val="both"/>
        <w:rPr>
          <w:rFonts w:ascii="Palatino Linotype" w:eastAsia="Palatino Linotype" w:hAnsi="Palatino Linotype" w:cs="Palatino Linotype"/>
          <w:b/>
        </w:rPr>
      </w:pPr>
    </w:p>
    <w:p w14:paraId="0F447B0C" w14:textId="77777777" w:rsidR="00B32C8B" w:rsidRPr="00BE5DC7" w:rsidRDefault="008817ED" w:rsidP="00BE5DC7">
      <w:pPr>
        <w:spacing w:line="360" w:lineRule="auto"/>
        <w:ind w:right="49"/>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 xml:space="preserve">TERCERO. </w:t>
      </w:r>
      <w:r w:rsidRPr="00BE5DC7">
        <w:rPr>
          <w:rFonts w:ascii="Palatino Linotype" w:eastAsia="Palatino Linotype" w:hAnsi="Palatino Linotype" w:cs="Palatino Linotype"/>
          <w:b/>
        </w:rPr>
        <w:t xml:space="preserve">Oportunidad. </w:t>
      </w:r>
    </w:p>
    <w:p w14:paraId="513121CC" w14:textId="77777777" w:rsidR="00B32C8B" w:rsidRPr="00BE5DC7" w:rsidRDefault="008817ED" w:rsidP="00BE5DC7">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BE5DC7">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BE5DC7">
        <w:rPr>
          <w:rFonts w:ascii="Palatino Linotype" w:eastAsia="Palatino Linotype" w:hAnsi="Palatino Linotype" w:cs="Palatino Linotype"/>
          <w:b/>
        </w:rPr>
        <w:t xml:space="preserve">EL RECURENTE </w:t>
      </w:r>
      <w:r w:rsidRPr="00BE5DC7">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64EA6FEA" w14:textId="77777777" w:rsidR="00B32C8B" w:rsidRPr="00BE5DC7" w:rsidRDefault="00B32C8B" w:rsidP="00BE5DC7">
      <w:pPr>
        <w:ind w:left="720" w:right="709"/>
        <w:jc w:val="both"/>
        <w:rPr>
          <w:rFonts w:ascii="Palatino Linotype" w:eastAsia="Palatino Linotype" w:hAnsi="Palatino Linotype" w:cs="Palatino Linotype"/>
          <w:i/>
          <w:sz w:val="22"/>
          <w:szCs w:val="22"/>
        </w:rPr>
      </w:pPr>
    </w:p>
    <w:p w14:paraId="10D457ED" w14:textId="77777777" w:rsidR="00B32C8B" w:rsidRPr="00BE5DC7" w:rsidRDefault="008817ED" w:rsidP="00BE5DC7">
      <w:pPr>
        <w:ind w:left="851" w:right="899"/>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lastRenderedPageBreak/>
        <w:t>“</w:t>
      </w:r>
      <w:r w:rsidRPr="00BE5DC7">
        <w:rPr>
          <w:rFonts w:ascii="Palatino Linotype" w:eastAsia="Palatino Linotype" w:hAnsi="Palatino Linotype" w:cs="Palatino Linotype"/>
          <w:b/>
          <w:i/>
          <w:sz w:val="22"/>
          <w:szCs w:val="22"/>
        </w:rPr>
        <w:t>Artículo 178.</w:t>
      </w:r>
      <w:r w:rsidRPr="00BE5DC7">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D3DD280" w14:textId="77777777" w:rsidR="00B32C8B" w:rsidRPr="00BE5DC7" w:rsidRDefault="00B32C8B" w:rsidP="00BE5DC7">
      <w:pPr>
        <w:ind w:left="851" w:right="899"/>
        <w:jc w:val="both"/>
        <w:rPr>
          <w:rFonts w:ascii="Palatino Linotype" w:eastAsia="Palatino Linotype" w:hAnsi="Palatino Linotype" w:cs="Palatino Linotype"/>
          <w:i/>
          <w:sz w:val="22"/>
          <w:szCs w:val="22"/>
        </w:rPr>
      </w:pPr>
    </w:p>
    <w:p w14:paraId="07C14335" w14:textId="77777777" w:rsidR="00B32C8B" w:rsidRPr="00BE5DC7" w:rsidRDefault="008817ED" w:rsidP="00BE5DC7">
      <w:pPr>
        <w:ind w:left="851" w:right="899"/>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C3BFF67" w14:textId="77777777" w:rsidR="00B32C8B" w:rsidRPr="00BE5DC7" w:rsidRDefault="00B32C8B" w:rsidP="00BE5DC7">
      <w:pPr>
        <w:ind w:left="851" w:right="899"/>
        <w:jc w:val="both"/>
        <w:rPr>
          <w:rFonts w:ascii="Palatino Linotype" w:eastAsia="Palatino Linotype" w:hAnsi="Palatino Linotype" w:cs="Palatino Linotype"/>
          <w:i/>
          <w:sz w:val="22"/>
          <w:szCs w:val="22"/>
        </w:rPr>
      </w:pPr>
    </w:p>
    <w:p w14:paraId="44C1E045" w14:textId="77777777" w:rsidR="00B32C8B" w:rsidRPr="00BE5DC7" w:rsidRDefault="008817ED" w:rsidP="00BE5DC7">
      <w:pPr>
        <w:ind w:left="851" w:right="899"/>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5CC58657" w14:textId="77777777" w:rsidR="00B32C8B" w:rsidRPr="00BE5DC7" w:rsidRDefault="00B32C8B" w:rsidP="00BE5DC7">
      <w:pPr>
        <w:ind w:left="720" w:right="709"/>
        <w:jc w:val="both"/>
        <w:rPr>
          <w:rFonts w:ascii="Palatino Linotype" w:eastAsia="Palatino Linotype" w:hAnsi="Palatino Linotype" w:cs="Palatino Linotype"/>
          <w:i/>
          <w:sz w:val="22"/>
          <w:szCs w:val="22"/>
        </w:rPr>
      </w:pPr>
    </w:p>
    <w:p w14:paraId="20BF9831" w14:textId="77777777" w:rsidR="00B32C8B" w:rsidRPr="00BE5DC7" w:rsidRDefault="008817ED" w:rsidP="00BE5DC7">
      <w:pPr>
        <w:spacing w:line="360" w:lineRule="auto"/>
        <w:jc w:val="both"/>
        <w:rPr>
          <w:rFonts w:ascii="Palatino Linotype" w:eastAsia="Palatino Linotype" w:hAnsi="Palatino Linotype" w:cs="Palatino Linotype"/>
        </w:rPr>
      </w:pPr>
      <w:bookmarkStart w:id="1" w:name="_heading=h.2et92p0" w:colFirst="0" w:colLast="0"/>
      <w:bookmarkEnd w:id="1"/>
      <w:r w:rsidRPr="00BE5DC7">
        <w:rPr>
          <w:rFonts w:ascii="Palatino Linotype" w:eastAsia="Palatino Linotype" w:hAnsi="Palatino Linotype" w:cs="Palatino Linotype"/>
        </w:rPr>
        <w:t xml:space="preserve">En esa tesitura, atendiendo a que </w:t>
      </w:r>
      <w:r w:rsidRPr="00BE5DC7">
        <w:rPr>
          <w:rFonts w:ascii="Palatino Linotype" w:eastAsia="Palatino Linotype" w:hAnsi="Palatino Linotype" w:cs="Palatino Linotype"/>
          <w:b/>
        </w:rPr>
        <w:t>EL SUJETO OBLIGADO</w:t>
      </w:r>
      <w:r w:rsidRPr="00BE5DC7">
        <w:rPr>
          <w:rFonts w:ascii="Palatino Linotype" w:eastAsia="Palatino Linotype" w:hAnsi="Palatino Linotype" w:cs="Palatino Linotype"/>
        </w:rPr>
        <w:t xml:space="preserve"> notificó la respuesta de a la solicitud de Acceso a la Información Pública el día</w:t>
      </w:r>
      <w:r w:rsidRPr="00BE5DC7">
        <w:rPr>
          <w:rFonts w:ascii="Palatino Linotype" w:eastAsia="Palatino Linotype" w:hAnsi="Palatino Linotype" w:cs="Palatino Linotype"/>
          <w:b/>
        </w:rPr>
        <w:t xml:space="preserve"> veintinueve de febrero de dos mil veinticuatro</w:t>
      </w:r>
      <w:r w:rsidRPr="00BE5DC7">
        <w:rPr>
          <w:rFonts w:ascii="Palatino Linotype" w:eastAsia="Palatino Linotype" w:hAnsi="Palatino Linotype" w:cs="Palatino Linotype"/>
        </w:rPr>
        <w:t>; así, el plazo de quince días hábiles que el artículo 178 de la Ley de la materia otorga al</w:t>
      </w:r>
      <w:r w:rsidRPr="00BE5DC7">
        <w:rPr>
          <w:rFonts w:ascii="Palatino Linotype" w:eastAsia="Palatino Linotype" w:hAnsi="Palatino Linotype" w:cs="Palatino Linotype"/>
          <w:b/>
        </w:rPr>
        <w:t xml:space="preserve"> RECURRENTE</w:t>
      </w:r>
      <w:r w:rsidRPr="00BE5DC7">
        <w:rPr>
          <w:rFonts w:ascii="Palatino Linotype" w:eastAsia="Palatino Linotype" w:hAnsi="Palatino Linotype" w:cs="Palatino Linotype"/>
        </w:rPr>
        <w:t xml:space="preserve"> para presentar el Recurso de Revisión, transcurrió del </w:t>
      </w:r>
      <w:r w:rsidRPr="00BE5DC7">
        <w:rPr>
          <w:rFonts w:ascii="Palatino Linotype" w:eastAsia="Palatino Linotype" w:hAnsi="Palatino Linotype" w:cs="Palatino Linotype"/>
          <w:b/>
        </w:rPr>
        <w:t xml:space="preserve">cuatro de marzo al primero de abril de dos mil veinticuatro, </w:t>
      </w:r>
      <w:r w:rsidRPr="00BE5DC7">
        <w:rPr>
          <w:rFonts w:ascii="Palatino Linotype" w:eastAsia="Palatino Linotype" w:hAnsi="Palatino Linotype" w:cs="Palatino Linotype"/>
        </w:rPr>
        <w:t>sin contemplar en el cómputo los días sábado y domingo, por ser considerados como días inhábiles, en términos del artículo 3, fracción X de la Ley de Transparencia y Acceso a la Información Pública del Estado de México y Municipios.</w:t>
      </w:r>
    </w:p>
    <w:p w14:paraId="713E4872" w14:textId="77777777" w:rsidR="00B32C8B" w:rsidRPr="00BE5DC7" w:rsidRDefault="00B32C8B" w:rsidP="00BE5DC7">
      <w:pPr>
        <w:spacing w:line="360" w:lineRule="auto"/>
        <w:jc w:val="both"/>
        <w:rPr>
          <w:rFonts w:ascii="Palatino Linotype" w:eastAsia="Palatino Linotype" w:hAnsi="Palatino Linotype" w:cs="Palatino Linotype"/>
        </w:rPr>
      </w:pPr>
    </w:p>
    <w:p w14:paraId="7D6E238A"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ese tenor, si el Recurso de Revisión que nos ocupa, se presentó el </w:t>
      </w:r>
      <w:r w:rsidRPr="00BE5DC7">
        <w:rPr>
          <w:rFonts w:ascii="Palatino Linotype" w:eastAsia="Palatino Linotype" w:hAnsi="Palatino Linotype" w:cs="Palatino Linotype"/>
          <w:b/>
        </w:rPr>
        <w:t xml:space="preserve">veintinueve de febrero de dos mil veinticuatro </w:t>
      </w:r>
      <w:r w:rsidRPr="00BE5DC7">
        <w:rPr>
          <w:rFonts w:ascii="Palatino Linotype" w:eastAsia="Palatino Linotype" w:hAnsi="Palatino Linotype" w:cs="Palatino Linotype"/>
        </w:rPr>
        <w:t>este se encuentra dentro de los márgenes temporales previstos en el citado precepto legal y, por tanto, se considera oportuno.</w:t>
      </w:r>
    </w:p>
    <w:p w14:paraId="05565528" w14:textId="77777777" w:rsidR="00B32C8B" w:rsidRPr="00BE5DC7" w:rsidRDefault="00B32C8B" w:rsidP="00BE5DC7">
      <w:pPr>
        <w:spacing w:line="360" w:lineRule="auto"/>
        <w:jc w:val="both"/>
        <w:rPr>
          <w:rFonts w:ascii="Palatino Linotype" w:eastAsia="Palatino Linotype" w:hAnsi="Palatino Linotype" w:cs="Palatino Linotype"/>
        </w:rPr>
      </w:pPr>
    </w:p>
    <w:p w14:paraId="5C0D81EC" w14:textId="77777777" w:rsidR="00B32C8B" w:rsidRPr="00BE5DC7" w:rsidRDefault="00B32C8B" w:rsidP="00BE5DC7">
      <w:pPr>
        <w:spacing w:line="360" w:lineRule="auto"/>
        <w:jc w:val="both"/>
        <w:rPr>
          <w:rFonts w:ascii="Palatino Linotype" w:eastAsia="Palatino Linotype" w:hAnsi="Palatino Linotype" w:cs="Palatino Linotype"/>
        </w:rPr>
      </w:pPr>
    </w:p>
    <w:p w14:paraId="0D3E22E3"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que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23CD2460" w14:textId="77777777" w:rsidR="00B32C8B" w:rsidRPr="00BE5DC7" w:rsidRDefault="00B32C8B" w:rsidP="00BE5DC7">
      <w:pPr>
        <w:spacing w:line="360" w:lineRule="auto"/>
        <w:jc w:val="both"/>
        <w:rPr>
          <w:rFonts w:ascii="Palatino Linotype" w:eastAsia="Palatino Linotype" w:hAnsi="Palatino Linotype" w:cs="Palatino Linotype"/>
        </w:rPr>
      </w:pPr>
    </w:p>
    <w:p w14:paraId="0FF93C69"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678F5133" w14:textId="77777777" w:rsidR="00B32C8B" w:rsidRPr="00BE5DC7" w:rsidRDefault="00B32C8B" w:rsidP="00BE5DC7">
      <w:pPr>
        <w:tabs>
          <w:tab w:val="left" w:pos="851"/>
        </w:tabs>
        <w:ind w:left="851" w:right="901"/>
        <w:jc w:val="both"/>
        <w:rPr>
          <w:rFonts w:ascii="Palatino Linotype" w:eastAsia="Palatino Linotype" w:hAnsi="Palatino Linotype" w:cs="Palatino Linotype"/>
        </w:rPr>
      </w:pPr>
    </w:p>
    <w:p w14:paraId="002AEF31" w14:textId="77777777" w:rsidR="00B32C8B" w:rsidRPr="00BE5DC7" w:rsidRDefault="008817ED" w:rsidP="00BE5DC7">
      <w:pPr>
        <w:tabs>
          <w:tab w:val="left" w:pos="851"/>
        </w:tabs>
        <w:ind w:left="851" w:right="901"/>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BE5DC7">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A26E03A" w14:textId="77777777" w:rsidR="00B32C8B" w:rsidRPr="00BE5DC7" w:rsidRDefault="00B32C8B" w:rsidP="00BE5DC7">
      <w:pPr>
        <w:tabs>
          <w:tab w:val="left" w:pos="851"/>
        </w:tabs>
        <w:ind w:left="851" w:right="901"/>
        <w:jc w:val="both"/>
        <w:rPr>
          <w:rFonts w:ascii="Palatino Linotype" w:eastAsia="Palatino Linotype" w:hAnsi="Palatino Linotype" w:cs="Palatino Linotype"/>
        </w:rPr>
      </w:pPr>
    </w:p>
    <w:p w14:paraId="1074D81B" w14:textId="77777777" w:rsidR="00B32C8B" w:rsidRPr="00BE5DC7" w:rsidRDefault="008817ED" w:rsidP="00BE5DC7">
      <w:pPr>
        <w:spacing w:line="360" w:lineRule="auto"/>
        <w:ind w:right="49"/>
        <w:jc w:val="both"/>
        <w:rPr>
          <w:rFonts w:ascii="Palatino Linotype" w:eastAsia="Palatino Linotype" w:hAnsi="Palatino Linotype" w:cs="Palatino Linotype"/>
        </w:rPr>
      </w:pPr>
      <w:r w:rsidRPr="00BE5DC7">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6D934D27" w14:textId="77777777" w:rsidR="00B32C8B" w:rsidRPr="00BE5DC7" w:rsidRDefault="008817ED" w:rsidP="00BE5DC7">
      <w:pPr>
        <w:spacing w:line="360" w:lineRule="auto"/>
        <w:ind w:right="49"/>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lastRenderedPageBreak/>
        <w:t>CUARTO.</w:t>
      </w:r>
      <w:r w:rsidRPr="00BE5DC7">
        <w:rPr>
          <w:rFonts w:ascii="Palatino Linotype" w:eastAsia="Palatino Linotype" w:hAnsi="Palatino Linotype" w:cs="Palatino Linotype"/>
          <w:b/>
        </w:rPr>
        <w:t xml:space="preserve"> Procedibilidad. </w:t>
      </w:r>
    </w:p>
    <w:p w14:paraId="4703BB74" w14:textId="77777777" w:rsidR="00B32C8B" w:rsidRPr="00BE5DC7" w:rsidRDefault="008817ED" w:rsidP="00BE5DC7">
      <w:pPr>
        <w:spacing w:line="360" w:lineRule="auto"/>
        <w:ind w:right="49"/>
        <w:jc w:val="both"/>
        <w:rPr>
          <w:rFonts w:ascii="Palatino Linotype" w:eastAsia="Palatino Linotype" w:hAnsi="Palatino Linotype" w:cs="Palatino Linotype"/>
          <w:b/>
        </w:rPr>
      </w:pPr>
      <w:r w:rsidRPr="00BE5DC7">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753B311F" w14:textId="77777777" w:rsidR="00B32C8B" w:rsidRPr="00BE5DC7" w:rsidRDefault="00B32C8B" w:rsidP="00BE5DC7">
      <w:pPr>
        <w:ind w:right="49"/>
        <w:jc w:val="both"/>
        <w:rPr>
          <w:rFonts w:ascii="Palatino Linotype" w:eastAsia="Palatino Linotype" w:hAnsi="Palatino Linotype" w:cs="Palatino Linotype"/>
        </w:rPr>
      </w:pPr>
    </w:p>
    <w:p w14:paraId="7AD8663F"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“Artículo 180. </w:t>
      </w:r>
      <w:r w:rsidRPr="00BE5DC7">
        <w:rPr>
          <w:rFonts w:ascii="Palatino Linotype" w:eastAsia="Palatino Linotype" w:hAnsi="Palatino Linotype" w:cs="Palatino Linotype"/>
          <w:i/>
          <w:sz w:val="22"/>
          <w:szCs w:val="22"/>
        </w:rPr>
        <w:t>El recurso de revisión contendrá:</w:t>
      </w:r>
      <w:r w:rsidRPr="00BE5DC7">
        <w:rPr>
          <w:rFonts w:ascii="Palatino Linotype" w:eastAsia="Palatino Linotype" w:hAnsi="Palatino Linotype" w:cs="Palatino Linotype"/>
          <w:b/>
          <w:i/>
          <w:sz w:val="22"/>
          <w:szCs w:val="22"/>
        </w:rPr>
        <w:t xml:space="preserve"> </w:t>
      </w:r>
    </w:p>
    <w:p w14:paraId="5AD785FB"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I. </w:t>
      </w:r>
      <w:r w:rsidRPr="00BE5DC7">
        <w:rPr>
          <w:rFonts w:ascii="Palatino Linotype" w:eastAsia="Palatino Linotype" w:hAnsi="Palatino Linotype" w:cs="Palatino Linotype"/>
          <w:i/>
          <w:sz w:val="22"/>
          <w:szCs w:val="22"/>
        </w:rPr>
        <w:t>El sujeto obligado ante la cual se presentó la solicitud;</w:t>
      </w:r>
      <w:r w:rsidRPr="00BE5DC7">
        <w:rPr>
          <w:rFonts w:ascii="Palatino Linotype" w:eastAsia="Palatino Linotype" w:hAnsi="Palatino Linotype" w:cs="Palatino Linotype"/>
          <w:b/>
          <w:i/>
          <w:sz w:val="22"/>
          <w:szCs w:val="22"/>
        </w:rPr>
        <w:t xml:space="preserve"> </w:t>
      </w:r>
    </w:p>
    <w:p w14:paraId="193BDB35"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II. </w:t>
      </w:r>
      <w:r w:rsidRPr="00BE5DC7">
        <w:rPr>
          <w:rFonts w:ascii="Palatino Linotype" w:eastAsia="Palatino Linotype" w:hAnsi="Palatino Linotype" w:cs="Palatino Linotype"/>
          <w:b/>
          <w:i/>
          <w:sz w:val="22"/>
          <w:szCs w:val="22"/>
          <w:u w:val="single"/>
        </w:rPr>
        <w:t>El nombre del solicitante que recurre</w:t>
      </w:r>
      <w:r w:rsidRPr="00BE5DC7">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BE5DC7">
        <w:rPr>
          <w:rFonts w:ascii="Palatino Linotype" w:eastAsia="Palatino Linotype" w:hAnsi="Palatino Linotype" w:cs="Palatino Linotype"/>
          <w:b/>
          <w:i/>
          <w:sz w:val="22"/>
          <w:szCs w:val="22"/>
        </w:rPr>
        <w:t xml:space="preserve"> </w:t>
      </w:r>
    </w:p>
    <w:p w14:paraId="28553EBF"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III. </w:t>
      </w:r>
      <w:r w:rsidRPr="00BE5DC7">
        <w:rPr>
          <w:rFonts w:ascii="Palatino Linotype" w:eastAsia="Palatino Linotype" w:hAnsi="Palatino Linotype" w:cs="Palatino Linotype"/>
          <w:i/>
          <w:sz w:val="22"/>
          <w:szCs w:val="22"/>
        </w:rPr>
        <w:t xml:space="preserve">El número de folio de respuesta de la solicitud de acceso; </w:t>
      </w:r>
    </w:p>
    <w:p w14:paraId="6954EB98"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IV. </w:t>
      </w:r>
      <w:r w:rsidRPr="00BE5DC7">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BE5DC7">
        <w:rPr>
          <w:rFonts w:ascii="Palatino Linotype" w:eastAsia="Palatino Linotype" w:hAnsi="Palatino Linotype" w:cs="Palatino Linotype"/>
          <w:b/>
          <w:i/>
          <w:sz w:val="22"/>
          <w:szCs w:val="22"/>
        </w:rPr>
        <w:t xml:space="preserve"> </w:t>
      </w:r>
    </w:p>
    <w:p w14:paraId="79DF079F"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V. </w:t>
      </w:r>
      <w:r w:rsidRPr="00BE5DC7">
        <w:rPr>
          <w:rFonts w:ascii="Palatino Linotype" w:eastAsia="Palatino Linotype" w:hAnsi="Palatino Linotype" w:cs="Palatino Linotype"/>
          <w:i/>
          <w:sz w:val="22"/>
          <w:szCs w:val="22"/>
        </w:rPr>
        <w:t>El acto que se recurre;</w:t>
      </w:r>
      <w:r w:rsidRPr="00BE5DC7">
        <w:rPr>
          <w:rFonts w:ascii="Palatino Linotype" w:eastAsia="Palatino Linotype" w:hAnsi="Palatino Linotype" w:cs="Palatino Linotype"/>
          <w:b/>
          <w:i/>
          <w:sz w:val="22"/>
          <w:szCs w:val="22"/>
        </w:rPr>
        <w:t xml:space="preserve"> </w:t>
      </w:r>
    </w:p>
    <w:p w14:paraId="7C34640E"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VI. </w:t>
      </w:r>
      <w:r w:rsidRPr="00BE5DC7">
        <w:rPr>
          <w:rFonts w:ascii="Palatino Linotype" w:eastAsia="Palatino Linotype" w:hAnsi="Palatino Linotype" w:cs="Palatino Linotype"/>
          <w:i/>
          <w:sz w:val="22"/>
          <w:szCs w:val="22"/>
        </w:rPr>
        <w:t>Las razones o motivos de inconformidad;</w:t>
      </w:r>
      <w:r w:rsidRPr="00BE5DC7">
        <w:rPr>
          <w:rFonts w:ascii="Palatino Linotype" w:eastAsia="Palatino Linotype" w:hAnsi="Palatino Linotype" w:cs="Palatino Linotype"/>
          <w:b/>
          <w:i/>
          <w:sz w:val="22"/>
          <w:szCs w:val="22"/>
        </w:rPr>
        <w:t xml:space="preserve"> </w:t>
      </w:r>
    </w:p>
    <w:p w14:paraId="00EF72B0"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VII. </w:t>
      </w:r>
      <w:r w:rsidRPr="00BE5DC7">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BE5DC7">
        <w:rPr>
          <w:rFonts w:ascii="Palatino Linotype" w:eastAsia="Palatino Linotype" w:hAnsi="Palatino Linotype" w:cs="Palatino Linotype"/>
          <w:b/>
          <w:i/>
          <w:sz w:val="22"/>
          <w:szCs w:val="22"/>
        </w:rPr>
        <w:t xml:space="preserve"> </w:t>
      </w:r>
    </w:p>
    <w:p w14:paraId="7D0F7851" w14:textId="77777777" w:rsidR="00B32C8B" w:rsidRPr="00BE5DC7" w:rsidRDefault="008817ED" w:rsidP="00BE5DC7">
      <w:pPr>
        <w:tabs>
          <w:tab w:val="left" w:pos="851"/>
        </w:tabs>
        <w:ind w:left="851" w:right="901"/>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VIII. </w:t>
      </w:r>
      <w:r w:rsidRPr="00BE5DC7">
        <w:rPr>
          <w:rFonts w:ascii="Palatino Linotype" w:eastAsia="Palatino Linotype" w:hAnsi="Palatino Linotype" w:cs="Palatino Linotype"/>
          <w:i/>
          <w:sz w:val="22"/>
          <w:szCs w:val="22"/>
        </w:rPr>
        <w:t>Firma d</w:t>
      </w:r>
      <w:r w:rsidR="004B08B7" w:rsidRPr="00BE5DC7">
        <w:rPr>
          <w:rFonts w:ascii="Palatino Linotype" w:eastAsia="Palatino Linotype" w:hAnsi="Palatino Linotype" w:cs="Palatino Linotype"/>
          <w:i/>
          <w:sz w:val="22"/>
          <w:szCs w:val="22"/>
        </w:rPr>
        <w:t xml:space="preserve">e </w:t>
      </w:r>
      <w:r w:rsidRPr="00BE5DC7">
        <w:rPr>
          <w:rFonts w:ascii="Palatino Linotype" w:eastAsia="Palatino Linotype" w:hAnsi="Palatino Linotype" w:cs="Palatino Linotype"/>
          <w:i/>
          <w:sz w:val="22"/>
          <w:szCs w:val="22"/>
        </w:rPr>
        <w:t>LA RECURRENTE, en su caso, cuando se presente por escrito, requisito sin el cual se dará trámite al recurso.</w:t>
      </w:r>
    </w:p>
    <w:p w14:paraId="5587A5F9" w14:textId="77777777" w:rsidR="00B32C8B" w:rsidRPr="00BE5DC7" w:rsidRDefault="008817ED" w:rsidP="00BE5DC7">
      <w:pPr>
        <w:tabs>
          <w:tab w:val="left" w:pos="851"/>
        </w:tabs>
        <w:ind w:left="851" w:right="901"/>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4FF73213" w14:textId="77777777" w:rsidR="00B32C8B" w:rsidRPr="00BE5DC7" w:rsidRDefault="008817ED" w:rsidP="00BE5DC7">
      <w:pPr>
        <w:tabs>
          <w:tab w:val="left" w:pos="851"/>
        </w:tabs>
        <w:ind w:left="851" w:right="901"/>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En ningún caso será necesario que el particular ratifique el recurso de revisión interpuesto. </w:t>
      </w:r>
    </w:p>
    <w:p w14:paraId="5948DCF7" w14:textId="77777777" w:rsidR="00B32C8B" w:rsidRPr="00BE5DC7" w:rsidRDefault="008817ED" w:rsidP="00BE5DC7">
      <w:pPr>
        <w:tabs>
          <w:tab w:val="left" w:pos="851"/>
        </w:tabs>
        <w:ind w:left="851" w:right="901"/>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BE5DC7">
        <w:rPr>
          <w:rFonts w:ascii="Palatino Linotype" w:eastAsia="Palatino Linotype" w:hAnsi="Palatino Linotype" w:cs="Palatino Linotype"/>
          <w:i/>
          <w:sz w:val="22"/>
          <w:szCs w:val="22"/>
        </w:rPr>
        <w:t>, IV, VII y VIII.”</w:t>
      </w:r>
    </w:p>
    <w:p w14:paraId="5B51D64E" w14:textId="77777777" w:rsidR="00B32C8B" w:rsidRPr="00BE5DC7" w:rsidRDefault="008817ED" w:rsidP="00BE5DC7">
      <w:pPr>
        <w:tabs>
          <w:tab w:val="left" w:pos="851"/>
        </w:tabs>
        <w:ind w:left="851" w:right="901"/>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(Énfasis añadido)</w:t>
      </w:r>
    </w:p>
    <w:p w14:paraId="6D9761B9" w14:textId="77777777" w:rsidR="00B32C8B" w:rsidRPr="00BE5DC7" w:rsidRDefault="00B32C8B" w:rsidP="00BE5DC7">
      <w:pPr>
        <w:tabs>
          <w:tab w:val="left" w:pos="851"/>
        </w:tabs>
        <w:ind w:left="851" w:right="901"/>
        <w:jc w:val="both"/>
        <w:rPr>
          <w:rFonts w:ascii="Palatino Linotype" w:eastAsia="Palatino Linotype" w:hAnsi="Palatino Linotype" w:cs="Palatino Linotype"/>
          <w:b/>
          <w:i/>
          <w:sz w:val="22"/>
          <w:szCs w:val="22"/>
        </w:rPr>
      </w:pPr>
    </w:p>
    <w:p w14:paraId="638CEBEB"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LA RECURRENTE</w:t>
      </w:r>
      <w:r w:rsidRPr="00BE5DC7">
        <w:rPr>
          <w:rFonts w:ascii="Palatino Linotype" w:eastAsia="Palatino Linotype" w:hAnsi="Palatino Linotype" w:cs="Palatino Linotype"/>
          <w:b/>
        </w:rPr>
        <w:t>;</w:t>
      </w:r>
      <w:r w:rsidRPr="00BE5DC7">
        <w:rPr>
          <w:rFonts w:ascii="Palatino Linotype" w:eastAsia="Palatino Linotype" w:hAnsi="Palatino Linotype" w:cs="Palatino Linotype"/>
        </w:rPr>
        <w:t xml:space="preserve"> por lo que, en el presente caso, al </w:t>
      </w:r>
      <w:r w:rsidRPr="00BE5DC7">
        <w:rPr>
          <w:rFonts w:ascii="Palatino Linotype" w:eastAsia="Palatino Linotype" w:hAnsi="Palatino Linotype" w:cs="Palatino Linotype"/>
        </w:rPr>
        <w:lastRenderedPageBreak/>
        <w:t xml:space="preserve">haber sido presentado el Recurso de Revisión vía </w:t>
      </w:r>
      <w:r w:rsidRPr="00BE5DC7">
        <w:rPr>
          <w:rFonts w:ascii="Palatino Linotype" w:eastAsia="Palatino Linotype" w:hAnsi="Palatino Linotype" w:cs="Palatino Linotype"/>
          <w:b/>
        </w:rPr>
        <w:t>SAIMEX</w:t>
      </w:r>
      <w:r w:rsidRPr="00BE5DC7">
        <w:rPr>
          <w:rFonts w:ascii="Palatino Linotype" w:eastAsia="Palatino Linotype" w:hAnsi="Palatino Linotype" w:cs="Palatino Linotype"/>
        </w:rPr>
        <w:t>, dicho requisito resulta innecesario.</w:t>
      </w:r>
    </w:p>
    <w:p w14:paraId="30437E00" w14:textId="77777777" w:rsidR="00B32C8B" w:rsidRPr="00BE5DC7" w:rsidRDefault="00B32C8B" w:rsidP="00BE5DC7">
      <w:pPr>
        <w:spacing w:line="360" w:lineRule="auto"/>
        <w:jc w:val="both"/>
        <w:rPr>
          <w:rFonts w:ascii="Palatino Linotype" w:eastAsia="Palatino Linotype" w:hAnsi="Palatino Linotype" w:cs="Palatino Linotype"/>
        </w:rPr>
      </w:pPr>
    </w:p>
    <w:p w14:paraId="2845817F"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0D85A128" w14:textId="77777777" w:rsidR="00B32C8B" w:rsidRPr="00BE5DC7" w:rsidRDefault="00B32C8B" w:rsidP="00BE5DC7">
      <w:pPr>
        <w:spacing w:line="360" w:lineRule="auto"/>
        <w:jc w:val="both"/>
        <w:rPr>
          <w:rFonts w:ascii="Palatino Linotype" w:eastAsia="Palatino Linotype" w:hAnsi="Palatino Linotype" w:cs="Palatino Linotype"/>
          <w:sz w:val="22"/>
          <w:szCs w:val="22"/>
        </w:rPr>
      </w:pPr>
    </w:p>
    <w:p w14:paraId="5A8441F6"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Asimismo, se estima que el requisito relativo al nombre de 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es la misma persona que realizó la solicitud de Acceso a la Información Pública que ahora se impugna.</w:t>
      </w:r>
    </w:p>
    <w:p w14:paraId="1EE370AE" w14:textId="77777777" w:rsidR="00B32C8B" w:rsidRPr="00BE5DC7" w:rsidRDefault="00B32C8B" w:rsidP="00BE5DC7">
      <w:pPr>
        <w:tabs>
          <w:tab w:val="left" w:pos="851"/>
        </w:tabs>
        <w:spacing w:line="360" w:lineRule="auto"/>
        <w:ind w:left="851" w:right="901"/>
        <w:jc w:val="both"/>
        <w:rPr>
          <w:rFonts w:ascii="Palatino Linotype" w:eastAsia="Palatino Linotype" w:hAnsi="Palatino Linotype" w:cs="Palatino Linotype"/>
          <w:sz w:val="22"/>
          <w:szCs w:val="22"/>
        </w:rPr>
      </w:pPr>
    </w:p>
    <w:p w14:paraId="166695C9"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88CF9F0"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Conocida la respuesta por la </w:t>
      </w:r>
      <w:r w:rsidRPr="00BE5DC7">
        <w:rPr>
          <w:rFonts w:ascii="Palatino Linotype" w:eastAsia="Palatino Linotype" w:hAnsi="Palatino Linotype" w:cs="Palatino Linotype"/>
          <w:b/>
        </w:rPr>
        <w:t>parte Recurrente</w:t>
      </w:r>
      <w:r w:rsidRPr="00BE5DC7">
        <w:rPr>
          <w:rFonts w:ascii="Palatino Linotype" w:eastAsia="Palatino Linotype" w:hAnsi="Palatino Linotype" w:cs="Palatino Linotype"/>
        </w:rPr>
        <w:t>, al no estar conforme con los términos de la misma, interpuso el recurso de revisión que nos ocupa, donde señaló como razones o motivos de inconformidad que no se anexó la información peticionada, la cual encuadra en la fracción I del artículo 179 de la Ley de Transparencia y Acceso a la Información Pública del Estado de México y Municipios, como se advierte a continuación:</w:t>
      </w:r>
    </w:p>
    <w:p w14:paraId="535D55B0" w14:textId="77777777" w:rsidR="00B32C8B" w:rsidRPr="00BE5DC7" w:rsidRDefault="00B32C8B" w:rsidP="00BE5DC7">
      <w:pPr>
        <w:ind w:right="49"/>
        <w:jc w:val="both"/>
        <w:rPr>
          <w:rFonts w:ascii="Palatino Linotype" w:eastAsia="Palatino Linotype" w:hAnsi="Palatino Linotype" w:cs="Palatino Linotype"/>
        </w:rPr>
      </w:pPr>
    </w:p>
    <w:p w14:paraId="3EAD1130" w14:textId="77777777" w:rsidR="00B32C8B" w:rsidRPr="00BE5DC7" w:rsidRDefault="008817ED" w:rsidP="00BE5DC7">
      <w:pPr>
        <w:ind w:left="851" w:right="899"/>
        <w:jc w:val="both"/>
        <w:rPr>
          <w:rFonts w:ascii="Palatino Linotype" w:eastAsia="Palatino Linotype" w:hAnsi="Palatino Linotype" w:cs="Palatino Linotype"/>
          <w:i/>
        </w:rPr>
      </w:pPr>
      <w:r w:rsidRPr="00BE5DC7">
        <w:rPr>
          <w:rFonts w:ascii="Palatino Linotype" w:eastAsia="Palatino Linotype" w:hAnsi="Palatino Linotype" w:cs="Palatino Linotype"/>
          <w:b/>
          <w:i/>
        </w:rPr>
        <w:t>Artículo 179.</w:t>
      </w:r>
      <w:r w:rsidRPr="00BE5DC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0792686" w14:textId="77777777" w:rsidR="00B32C8B" w:rsidRPr="00BE5DC7" w:rsidRDefault="008817ED" w:rsidP="00BE5DC7">
      <w:pPr>
        <w:ind w:left="851" w:right="899"/>
        <w:jc w:val="both"/>
        <w:rPr>
          <w:rFonts w:ascii="Palatino Linotype" w:eastAsia="Palatino Linotype" w:hAnsi="Palatino Linotype" w:cs="Palatino Linotype"/>
          <w:i/>
        </w:rPr>
      </w:pPr>
      <w:r w:rsidRPr="00BE5DC7">
        <w:rPr>
          <w:rFonts w:ascii="Palatino Linotype" w:eastAsia="Palatino Linotype" w:hAnsi="Palatino Linotype" w:cs="Palatino Linotype"/>
          <w:i/>
        </w:rPr>
        <w:t>(…)</w:t>
      </w:r>
    </w:p>
    <w:p w14:paraId="12C78C1E" w14:textId="77777777" w:rsidR="00B32C8B" w:rsidRPr="00BE5DC7" w:rsidRDefault="00B32C8B" w:rsidP="00BE5DC7">
      <w:pPr>
        <w:ind w:left="851" w:right="899"/>
        <w:jc w:val="both"/>
        <w:rPr>
          <w:rFonts w:ascii="Palatino Linotype" w:eastAsia="Palatino Linotype" w:hAnsi="Palatino Linotype" w:cs="Palatino Linotype"/>
          <w:i/>
        </w:rPr>
      </w:pPr>
    </w:p>
    <w:p w14:paraId="0C571F89" w14:textId="77777777" w:rsidR="00B32C8B" w:rsidRPr="00BE5DC7" w:rsidRDefault="008817ED" w:rsidP="00BE5DC7">
      <w:pPr>
        <w:ind w:left="851" w:right="899"/>
        <w:jc w:val="both"/>
        <w:rPr>
          <w:rFonts w:ascii="Palatino Linotype" w:eastAsia="Palatino Linotype" w:hAnsi="Palatino Linotype" w:cs="Palatino Linotype"/>
          <w:i/>
        </w:rPr>
      </w:pPr>
      <w:r w:rsidRPr="00BE5DC7">
        <w:rPr>
          <w:rFonts w:ascii="Palatino Linotype" w:eastAsia="Palatino Linotype" w:hAnsi="Palatino Linotype" w:cs="Palatino Linotype"/>
          <w:b/>
          <w:i/>
        </w:rPr>
        <w:t>V.</w:t>
      </w:r>
      <w:r w:rsidRPr="00BE5DC7">
        <w:rPr>
          <w:rFonts w:ascii="Palatino Linotype" w:eastAsia="Palatino Linotype" w:hAnsi="Palatino Linotype" w:cs="Palatino Linotype"/>
          <w:i/>
        </w:rPr>
        <w:t xml:space="preserve"> La entrega de información incompleta;</w:t>
      </w:r>
    </w:p>
    <w:p w14:paraId="05618CEF" w14:textId="77777777" w:rsidR="00B32C8B" w:rsidRPr="00BE5DC7" w:rsidRDefault="00B32C8B" w:rsidP="00BE5DC7">
      <w:pPr>
        <w:jc w:val="both"/>
        <w:rPr>
          <w:rFonts w:ascii="Palatino Linotype" w:eastAsia="Palatino Linotype" w:hAnsi="Palatino Linotype" w:cs="Palatino Linotype"/>
          <w:b/>
          <w:sz w:val="22"/>
          <w:szCs w:val="22"/>
        </w:rPr>
      </w:pPr>
    </w:p>
    <w:p w14:paraId="0A686F37" w14:textId="77777777" w:rsidR="00B32C8B" w:rsidRPr="00BE5DC7" w:rsidRDefault="008817ED" w:rsidP="00BE5DC7">
      <w:pPr>
        <w:spacing w:line="360" w:lineRule="auto"/>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QUINTO</w:t>
      </w:r>
      <w:r w:rsidRPr="00BE5DC7">
        <w:rPr>
          <w:rFonts w:ascii="Palatino Linotype" w:eastAsia="Palatino Linotype" w:hAnsi="Palatino Linotype" w:cs="Palatino Linotype"/>
          <w:b/>
        </w:rPr>
        <w:t>. Estudio y resolución del asunto.</w:t>
      </w:r>
    </w:p>
    <w:p w14:paraId="637F41E8"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w:t>
      </w:r>
      <w:r w:rsidRPr="00BE5DC7">
        <w:rPr>
          <w:rFonts w:ascii="Palatino Linotype" w:eastAsia="Palatino Linotype" w:hAnsi="Palatino Linotype" w:cs="Palatino Linotype"/>
          <w:b/>
        </w:rPr>
        <w:t>EL SAIMEX</w:t>
      </w:r>
      <w:r w:rsidRPr="00BE5DC7">
        <w:rPr>
          <w:rFonts w:ascii="Palatino Linotype" w:eastAsia="Palatino Linotype" w:hAnsi="Palatino Linotype" w:cs="Palatino Linotype"/>
        </w:rPr>
        <w:t xml:space="preserve">, tomando en consideración los </w:t>
      </w:r>
      <w:r w:rsidRPr="00BE5DC7">
        <w:rPr>
          <w:rFonts w:ascii="Palatino Linotype" w:eastAsia="Palatino Linotype" w:hAnsi="Palatino Linotype" w:cs="Palatino Linotype"/>
        </w:rPr>
        <w:lastRenderedPageBreak/>
        <w:t>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4105293"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213C9D75" w14:textId="77777777" w:rsidR="00B32C8B" w:rsidRPr="00BE5DC7" w:rsidRDefault="008817ED" w:rsidP="00BE5DC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primer lugar, es importante señalar que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en el ejercicio de su derecho de Acceso a la Información solicitó de los servidores públicos Mary Carmen Castañeda Peña y </w:t>
      </w:r>
      <w:r w:rsidR="004B08B7" w:rsidRPr="00BE5DC7">
        <w:rPr>
          <w:rFonts w:ascii="Palatino Linotype" w:eastAsia="Palatino Linotype" w:hAnsi="Palatino Linotype" w:cs="Palatino Linotype"/>
        </w:rPr>
        <w:t>José</w:t>
      </w:r>
      <w:r w:rsidRPr="00BE5DC7">
        <w:rPr>
          <w:rFonts w:ascii="Palatino Linotype" w:eastAsia="Palatino Linotype" w:hAnsi="Palatino Linotype" w:cs="Palatino Linotype"/>
        </w:rPr>
        <w:t xml:space="preserve"> Edwin </w:t>
      </w:r>
      <w:r w:rsidR="004B08B7" w:rsidRPr="00BE5DC7">
        <w:rPr>
          <w:rFonts w:ascii="Palatino Linotype" w:eastAsia="Palatino Linotype" w:hAnsi="Palatino Linotype" w:cs="Palatino Linotype"/>
        </w:rPr>
        <w:t>Hernández</w:t>
      </w:r>
      <w:r w:rsidRPr="00BE5DC7">
        <w:rPr>
          <w:rFonts w:ascii="Palatino Linotype" w:eastAsia="Palatino Linotype" w:hAnsi="Palatino Linotype" w:cs="Palatino Linotype"/>
        </w:rPr>
        <w:t xml:space="preserve"> Quijano lo siguiente:</w:t>
      </w:r>
    </w:p>
    <w:p w14:paraId="2D7152FE" w14:textId="77777777" w:rsidR="00B32C8B" w:rsidRPr="00BE5DC7" w:rsidRDefault="00B32C8B" w:rsidP="00BE5DC7">
      <w:pPr>
        <w:widowControl w:val="0"/>
        <w:pBdr>
          <w:top w:val="nil"/>
          <w:left w:val="nil"/>
          <w:bottom w:val="nil"/>
          <w:right w:val="nil"/>
          <w:between w:val="nil"/>
        </w:pBdr>
        <w:spacing w:line="360" w:lineRule="auto"/>
        <w:ind w:left="851" w:right="899"/>
        <w:jc w:val="both"/>
        <w:rPr>
          <w:rFonts w:ascii="Palatino Linotype" w:eastAsia="Palatino Linotype" w:hAnsi="Palatino Linotype" w:cs="Palatino Linotype"/>
        </w:rPr>
      </w:pPr>
    </w:p>
    <w:p w14:paraId="6F89AAAB" w14:textId="77777777" w:rsidR="00B32C8B" w:rsidRPr="00BE5DC7" w:rsidRDefault="008817ED" w:rsidP="00BE5DC7">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BE5DC7">
        <w:rPr>
          <w:rFonts w:ascii="Palatino Linotype" w:eastAsia="Palatino Linotype" w:hAnsi="Palatino Linotype" w:cs="Palatino Linotype"/>
        </w:rPr>
        <w:t>Lista de asistencia con hora de entrada y salida del periodo 15 de enero al 8 de febrero de 2024.</w:t>
      </w:r>
    </w:p>
    <w:p w14:paraId="0F655E81" w14:textId="77777777" w:rsidR="00B32C8B" w:rsidRPr="00BE5DC7" w:rsidRDefault="008817ED" w:rsidP="00BE5DC7">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BE5DC7">
        <w:rPr>
          <w:rFonts w:ascii="Palatino Linotype" w:eastAsia="Palatino Linotype" w:hAnsi="Palatino Linotype" w:cs="Palatino Linotype"/>
        </w:rPr>
        <w:t>Recibos de nómina.</w:t>
      </w:r>
    </w:p>
    <w:p w14:paraId="3EE7426C" w14:textId="77777777" w:rsidR="00B32C8B" w:rsidRPr="00BE5DC7" w:rsidRDefault="008817ED" w:rsidP="00BE5DC7">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BE5DC7">
        <w:rPr>
          <w:rFonts w:ascii="Palatino Linotype" w:eastAsia="Palatino Linotype" w:hAnsi="Palatino Linotype" w:cs="Palatino Linotype"/>
        </w:rPr>
        <w:t>Registro dactilar en el aparato biométrico.</w:t>
      </w:r>
    </w:p>
    <w:p w14:paraId="48EBEE9E" w14:textId="77777777" w:rsidR="00B32C8B" w:rsidRPr="00BE5DC7" w:rsidRDefault="00B32C8B" w:rsidP="00BE5DC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E2E04E2" w14:textId="77777777" w:rsidR="00B32C8B" w:rsidRPr="00BE5DC7" w:rsidRDefault="008817ED" w:rsidP="00BE5DC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Al respecto el Sujeto Obligado refirió que hacía entrega de la información peticionada mediante oficio </w:t>
      </w:r>
      <w:r w:rsidRPr="00BE5DC7">
        <w:rPr>
          <w:rFonts w:ascii="Palatino Linotype" w:eastAsia="Palatino Linotype" w:hAnsi="Palatino Linotype" w:cs="Palatino Linotype"/>
          <w:b/>
        </w:rPr>
        <w:t>OINY/AO/SRH//97/2024</w:t>
      </w:r>
      <w:r w:rsidRPr="00BE5DC7">
        <w:rPr>
          <w:rFonts w:ascii="Palatino Linotype" w:eastAsia="Palatino Linotype" w:hAnsi="Palatino Linotype" w:cs="Palatino Linotype"/>
          <w:i/>
        </w:rPr>
        <w:t xml:space="preserve">; </w:t>
      </w:r>
      <w:r w:rsidRPr="00BE5DC7">
        <w:rPr>
          <w:rFonts w:ascii="Palatino Linotype" w:eastAsia="Palatino Linotype" w:hAnsi="Palatino Linotype" w:cs="Palatino Linotype"/>
        </w:rPr>
        <w:t>no obstante, se advierte que no se anexó ningún documento en el apartado de la respuesta, por ello, se inconforma.</w:t>
      </w:r>
    </w:p>
    <w:p w14:paraId="667E11A4"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D779B9F"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En este orden de ideas, resulta necesario traer a colación lo relativo a la Organización administrativa del Ayuntamiento de Ocuilan, el cual se encuentra contenido en el Bando Municipal como se advierte a continuación:</w:t>
      </w:r>
    </w:p>
    <w:p w14:paraId="4099CA79" w14:textId="77777777" w:rsidR="00B32C8B"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66F96822" w14:textId="77777777" w:rsidR="00BE5DC7" w:rsidRPr="00BE5DC7" w:rsidRDefault="00BE5DC7"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91CDAF0" w14:textId="77777777" w:rsidR="00B32C8B" w:rsidRPr="00BE5DC7" w:rsidRDefault="008817ED" w:rsidP="00BE5DC7">
      <w:pPr>
        <w:pBdr>
          <w:top w:val="nil"/>
          <w:left w:val="nil"/>
          <w:bottom w:val="nil"/>
          <w:right w:val="nil"/>
          <w:between w:val="nil"/>
        </w:pBdr>
        <w:jc w:val="center"/>
        <w:rPr>
          <w:rFonts w:ascii="Palatino Linotype" w:eastAsia="Palatino Linotype" w:hAnsi="Palatino Linotype" w:cs="Palatino Linotype"/>
          <w:b/>
          <w:i/>
        </w:rPr>
      </w:pPr>
      <w:r w:rsidRPr="00BE5DC7">
        <w:rPr>
          <w:rFonts w:ascii="Palatino Linotype" w:eastAsia="Palatino Linotype" w:hAnsi="Palatino Linotype" w:cs="Palatino Linotype"/>
          <w:b/>
          <w:i/>
        </w:rPr>
        <w:lastRenderedPageBreak/>
        <w:t>CAPÍTULO II</w:t>
      </w:r>
    </w:p>
    <w:p w14:paraId="3307E2F5" w14:textId="77777777" w:rsidR="00B32C8B" w:rsidRPr="00BE5DC7" w:rsidRDefault="008817ED" w:rsidP="00BE5DC7">
      <w:pPr>
        <w:pBdr>
          <w:top w:val="nil"/>
          <w:left w:val="nil"/>
          <w:bottom w:val="nil"/>
          <w:right w:val="nil"/>
          <w:between w:val="nil"/>
        </w:pBdr>
        <w:jc w:val="center"/>
        <w:rPr>
          <w:rFonts w:ascii="Palatino Linotype" w:eastAsia="Palatino Linotype" w:hAnsi="Palatino Linotype" w:cs="Palatino Linotype"/>
          <w:b/>
          <w:i/>
        </w:rPr>
      </w:pPr>
      <w:r w:rsidRPr="00BE5DC7">
        <w:rPr>
          <w:rFonts w:ascii="Palatino Linotype" w:eastAsia="Palatino Linotype" w:hAnsi="Palatino Linotype" w:cs="Palatino Linotype"/>
          <w:b/>
          <w:i/>
        </w:rPr>
        <w:t>DE LA ORGANIZACIÓN ADMINISTRATIVA</w:t>
      </w:r>
    </w:p>
    <w:p w14:paraId="509AAC91"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58DB0F2A" w14:textId="77777777" w:rsidR="00B32C8B" w:rsidRPr="00BE5DC7" w:rsidRDefault="008817ED" w:rsidP="00BE5DC7">
      <w:pPr>
        <w:pBdr>
          <w:top w:val="nil"/>
          <w:left w:val="nil"/>
          <w:bottom w:val="nil"/>
          <w:right w:val="nil"/>
          <w:between w:val="nil"/>
        </w:pBdr>
        <w:ind w:left="851" w:right="902"/>
        <w:jc w:val="both"/>
        <w:rPr>
          <w:rFonts w:ascii="Palatino Linotype" w:eastAsia="Palatino Linotype" w:hAnsi="Palatino Linotype" w:cs="Palatino Linotype"/>
          <w:i/>
        </w:rPr>
      </w:pPr>
      <w:r w:rsidRPr="00BE5DC7">
        <w:rPr>
          <w:rFonts w:ascii="Palatino Linotype" w:eastAsia="Palatino Linotype" w:hAnsi="Palatino Linotype" w:cs="Palatino Linotype"/>
          <w:b/>
          <w:i/>
        </w:rPr>
        <w:t>ARTÍCULO 51.</w:t>
      </w:r>
      <w:r w:rsidRPr="00BE5DC7">
        <w:rPr>
          <w:rFonts w:ascii="Palatino Linotype" w:eastAsia="Palatino Linotype" w:hAnsi="Palatino Linotype" w:cs="Palatino Linotype"/>
          <w:i/>
        </w:rPr>
        <w:t xml:space="preserve"> La organización y funcionamiento de la Administración Pública Municipal será centralizada, desconcentrada, descentralizada y autónoma y se regirá por la Constitución Federal, la Constitución Estatal, la Ley Orgánica Municipal, el presente Bando, y demás disposiciones que resulten aplicables. </w:t>
      </w:r>
    </w:p>
    <w:p w14:paraId="66E1ABF3" w14:textId="77777777" w:rsidR="00B32C8B" w:rsidRPr="00BE5DC7" w:rsidRDefault="00B32C8B" w:rsidP="00BE5DC7">
      <w:pPr>
        <w:pBdr>
          <w:top w:val="nil"/>
          <w:left w:val="nil"/>
          <w:bottom w:val="nil"/>
          <w:right w:val="nil"/>
          <w:between w:val="nil"/>
        </w:pBdr>
        <w:ind w:left="851" w:right="902"/>
        <w:jc w:val="both"/>
        <w:rPr>
          <w:rFonts w:ascii="Palatino Linotype" w:eastAsia="Palatino Linotype" w:hAnsi="Palatino Linotype" w:cs="Palatino Linotype"/>
          <w:i/>
        </w:rPr>
      </w:pPr>
    </w:p>
    <w:p w14:paraId="7A8E867B" w14:textId="77777777" w:rsidR="00B32C8B" w:rsidRPr="00BE5DC7" w:rsidRDefault="008817ED" w:rsidP="00BE5DC7">
      <w:pPr>
        <w:pBdr>
          <w:top w:val="nil"/>
          <w:left w:val="nil"/>
          <w:bottom w:val="nil"/>
          <w:right w:val="nil"/>
          <w:between w:val="nil"/>
        </w:pBdr>
        <w:ind w:left="851" w:right="902"/>
        <w:jc w:val="both"/>
        <w:rPr>
          <w:rFonts w:ascii="Palatino Linotype" w:eastAsia="Palatino Linotype" w:hAnsi="Palatino Linotype" w:cs="Palatino Linotype"/>
          <w:i/>
        </w:rPr>
      </w:pPr>
      <w:r w:rsidRPr="00BE5DC7">
        <w:rPr>
          <w:rFonts w:ascii="Palatino Linotype" w:eastAsia="Palatino Linotype" w:hAnsi="Palatino Linotype" w:cs="Palatino Linotype"/>
          <w:i/>
        </w:rPr>
        <w:t xml:space="preserve">Para la consulta, estudio, planeación y despacho de los asuntos en los diversos ramos de la Administración Pública Municipal, el Presidente Municipal se regirá por la Constitución Federal, la Constitución Estatal, la Ley Orgánica Municipal, el Bando Municipal, reglamentos, manuales que apruebe el Ayuntamiento y demás disposiciones que resulten aplicables, se auxiliará de la Secretaría del Ayuntamiento y de las siguientes: </w:t>
      </w:r>
    </w:p>
    <w:p w14:paraId="48CA0A87" w14:textId="77777777" w:rsidR="00B32C8B" w:rsidRPr="00BE5DC7" w:rsidRDefault="00B32C8B" w:rsidP="00BE5DC7">
      <w:pPr>
        <w:pBdr>
          <w:top w:val="nil"/>
          <w:left w:val="nil"/>
          <w:bottom w:val="nil"/>
          <w:right w:val="nil"/>
          <w:between w:val="nil"/>
        </w:pBdr>
        <w:ind w:left="851" w:right="902"/>
        <w:jc w:val="both"/>
        <w:rPr>
          <w:rFonts w:ascii="Palatino Linotype" w:eastAsia="Palatino Linotype" w:hAnsi="Palatino Linotype" w:cs="Palatino Linotype"/>
          <w:i/>
        </w:rPr>
      </w:pPr>
    </w:p>
    <w:p w14:paraId="0A02C1FA" w14:textId="77777777" w:rsidR="00B32C8B" w:rsidRPr="00BE5DC7" w:rsidRDefault="008817ED" w:rsidP="00BE5DC7">
      <w:pPr>
        <w:pBdr>
          <w:top w:val="nil"/>
          <w:left w:val="nil"/>
          <w:bottom w:val="nil"/>
          <w:right w:val="nil"/>
          <w:between w:val="nil"/>
        </w:pBdr>
        <w:ind w:left="851" w:right="902"/>
        <w:jc w:val="both"/>
        <w:rPr>
          <w:rFonts w:ascii="Palatino Linotype" w:eastAsia="Palatino Linotype" w:hAnsi="Palatino Linotype" w:cs="Palatino Linotype"/>
          <w:i/>
        </w:rPr>
      </w:pPr>
      <w:r w:rsidRPr="00BE5DC7">
        <w:rPr>
          <w:rFonts w:ascii="Palatino Linotype" w:eastAsia="Palatino Linotype" w:hAnsi="Palatino Linotype" w:cs="Palatino Linotype"/>
          <w:i/>
        </w:rPr>
        <w:t>El Ayuntamiento, para el ejercicio de sus atribuciones, contará con las siguientes unidades administrativas:</w:t>
      </w:r>
    </w:p>
    <w:p w14:paraId="26D83AA3" w14:textId="77777777" w:rsidR="00B32C8B" w:rsidRPr="00BE5DC7" w:rsidRDefault="00B32C8B" w:rsidP="00BE5DC7">
      <w:pPr>
        <w:pBdr>
          <w:top w:val="nil"/>
          <w:left w:val="nil"/>
          <w:bottom w:val="nil"/>
          <w:right w:val="nil"/>
          <w:between w:val="nil"/>
        </w:pBdr>
        <w:ind w:left="851" w:right="902"/>
        <w:jc w:val="both"/>
        <w:rPr>
          <w:rFonts w:ascii="Palatino Linotype" w:eastAsia="Palatino Linotype" w:hAnsi="Palatino Linotype" w:cs="Palatino Linotype"/>
          <w:i/>
        </w:rPr>
      </w:pPr>
    </w:p>
    <w:p w14:paraId="504E3623" w14:textId="77777777" w:rsidR="00B32C8B" w:rsidRPr="00BE5DC7" w:rsidRDefault="008817ED" w:rsidP="00BE5DC7">
      <w:pPr>
        <w:pBdr>
          <w:top w:val="nil"/>
          <w:left w:val="nil"/>
          <w:bottom w:val="nil"/>
          <w:right w:val="nil"/>
          <w:between w:val="nil"/>
        </w:pBdr>
        <w:ind w:left="851" w:right="902"/>
        <w:jc w:val="both"/>
        <w:rPr>
          <w:rFonts w:ascii="Palatino Linotype" w:eastAsia="Palatino Linotype" w:hAnsi="Palatino Linotype" w:cs="Palatino Linotype"/>
          <w:i/>
        </w:rPr>
      </w:pPr>
      <w:r w:rsidRPr="00BE5DC7">
        <w:rPr>
          <w:rFonts w:ascii="Palatino Linotype" w:eastAsia="Palatino Linotype" w:hAnsi="Palatino Linotype" w:cs="Palatino Linotype"/>
          <w:i/>
        </w:rPr>
        <w:t>5. Dirección de Administración y de Recursos Materiales.</w:t>
      </w:r>
    </w:p>
    <w:p w14:paraId="637FBC06" w14:textId="77777777" w:rsidR="00B32C8B" w:rsidRPr="00BE5DC7" w:rsidRDefault="008817ED" w:rsidP="00BE5DC7">
      <w:pPr>
        <w:pBdr>
          <w:top w:val="nil"/>
          <w:left w:val="nil"/>
          <w:bottom w:val="nil"/>
          <w:right w:val="nil"/>
          <w:between w:val="nil"/>
        </w:pBdr>
        <w:ind w:left="851" w:right="902"/>
        <w:jc w:val="both"/>
        <w:rPr>
          <w:rFonts w:ascii="Palatino Linotype" w:eastAsia="Palatino Linotype" w:hAnsi="Palatino Linotype" w:cs="Palatino Linotype"/>
          <w:i/>
        </w:rPr>
      </w:pPr>
      <w:r w:rsidRPr="00BE5DC7">
        <w:rPr>
          <w:rFonts w:ascii="Palatino Linotype" w:eastAsia="Palatino Linotype" w:hAnsi="Palatino Linotype" w:cs="Palatino Linotype"/>
          <w:i/>
        </w:rPr>
        <w:t xml:space="preserve"> a) Subdirección de Recursos Humanos.</w:t>
      </w:r>
    </w:p>
    <w:p w14:paraId="365D0DD1"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2AE7EA63"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Al respecto, al indagar en motores de búsqueda de internet, en el Portal de IPOMEX y en la página de Ocuilan con liga de acceso directo https://ocuilan.edomex.gob.mx/, no se encontró reglamento interior ni manual general de organización o cualquier otro dispositivo legal, que contemple lo relativo a las atribuciones de la Dirección de Administración y de la Subdirección de Recursos Humanos.</w:t>
      </w:r>
    </w:p>
    <w:p w14:paraId="1E179B2E"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AA8E491"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 xml:space="preserve">No obstante, en el apartado de turno de solicitud de información del sistema SAIMEX, se advierte el pronunciamiento del área de Subdirección de Recursos humanos, la cual no fue entregada al solicitante. </w:t>
      </w:r>
    </w:p>
    <w:p w14:paraId="0C5552A4"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40500763"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Por ende, se advierte que el Servidor Público habilitado que puede contar con la información solicitada es el encargado de la Subdirección de Recursos Humanos.</w:t>
      </w:r>
    </w:p>
    <w:p w14:paraId="59384871"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5F3FEAF8"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Ahora bien, relativo a la </w:t>
      </w:r>
      <w:r w:rsidRPr="00BE5DC7">
        <w:rPr>
          <w:rFonts w:ascii="Palatino Linotype" w:eastAsia="Palatino Linotype" w:hAnsi="Palatino Linotype" w:cs="Palatino Linotype"/>
          <w:b/>
        </w:rPr>
        <w:t xml:space="preserve">solicitud de la lista de asistencia con hora de entrada y salida del periodo 15 de enero al 8 de febrero de 2024 y el registro dactilar en el aparato biométrico, </w:t>
      </w:r>
      <w:r w:rsidRPr="00BE5DC7">
        <w:rPr>
          <w:rFonts w:ascii="Palatino Linotype" w:eastAsia="Palatino Linotype" w:hAnsi="Palatino Linotype" w:cs="Palatino Linotype"/>
        </w:rPr>
        <w:t xml:space="preserve"> es conveniente contextualizar la información solicitada, por ello, cabe traer a colación el artículo 4°, fracción VI, de la Ley del Trabajo de los Servidores Públicos del Estado y Municipios, precisa que son servidores públicos, todas las personas físicas que preste a una institución pública un trabajo personal subordinado, mediante el pago de un sueldo. </w:t>
      </w:r>
    </w:p>
    <w:p w14:paraId="322616B8"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7A425686"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En ese contexto, los artículos 59 y 84 de dicha normatividad, establece que la jornada de trabajo, es el tiempo durante el cual la o el servidor público está a disposición del Ayuntamiento o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 como se advierte a continuación:</w:t>
      </w:r>
    </w:p>
    <w:p w14:paraId="5DFE5009"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0513EC4"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lastRenderedPageBreak/>
        <w:t>“</w:t>
      </w:r>
      <w:r w:rsidRPr="00BE5DC7">
        <w:rPr>
          <w:rFonts w:ascii="Palatino Linotype" w:eastAsia="Palatino Linotype" w:hAnsi="Palatino Linotype" w:cs="Palatino Linotype"/>
          <w:b/>
          <w:i/>
          <w:sz w:val="22"/>
          <w:szCs w:val="22"/>
        </w:rPr>
        <w:t>ARTÍCULO 59.</w:t>
      </w:r>
      <w:r w:rsidRPr="00BE5DC7">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47E1A258"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361DEC34"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84.</w:t>
      </w:r>
      <w:r w:rsidRPr="00BE5DC7">
        <w:rPr>
          <w:rFonts w:ascii="Palatino Linotype" w:eastAsia="Palatino Linotype" w:hAnsi="Palatino Linotype" w:cs="Palatino Linotype"/>
          <w:i/>
          <w:sz w:val="22"/>
          <w:szCs w:val="22"/>
        </w:rPr>
        <w:t xml:space="preserve"> Sólo podrán hacerse retenciones, descuentos o deducciones al sueldo de los servidores públicos por concepto de:</w:t>
      </w:r>
    </w:p>
    <w:p w14:paraId="34FB4DC6"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27E37854"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VII.</w:t>
      </w:r>
      <w:r w:rsidRPr="00BE5DC7">
        <w:rPr>
          <w:rFonts w:ascii="Palatino Linotype" w:eastAsia="Palatino Linotype" w:hAnsi="Palatino Linotype" w:cs="Palatino Linotype"/>
          <w:i/>
          <w:sz w:val="22"/>
          <w:szCs w:val="22"/>
        </w:rPr>
        <w:t xml:space="preserve"> Faltas de puntualidad o de asistencia injustificadas;”</w:t>
      </w:r>
    </w:p>
    <w:p w14:paraId="5C8BE85C" w14:textId="77777777" w:rsidR="00B32C8B" w:rsidRPr="00BE5DC7" w:rsidRDefault="008817ED" w:rsidP="00BE5DC7">
      <w:pPr>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(Énfasis añadido)</w:t>
      </w:r>
    </w:p>
    <w:p w14:paraId="7E5DF3F3" w14:textId="77777777" w:rsidR="00B32C8B" w:rsidRPr="00BE5DC7" w:rsidRDefault="00B32C8B" w:rsidP="00BE5DC7">
      <w:pPr>
        <w:ind w:left="851" w:right="902"/>
        <w:jc w:val="both"/>
        <w:rPr>
          <w:rFonts w:ascii="Palatino Linotype" w:eastAsia="Palatino Linotype" w:hAnsi="Palatino Linotype" w:cs="Palatino Linotype"/>
          <w:i/>
          <w:sz w:val="22"/>
          <w:szCs w:val="22"/>
        </w:rPr>
      </w:pPr>
    </w:p>
    <w:p w14:paraId="7564AC02"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3227B6F2"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Además, los artículos 88, fracción III, y 220 K de la Ley de referencia, estipula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 como se advierte a continuación:</w:t>
      </w:r>
    </w:p>
    <w:p w14:paraId="38A2433F"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43FA9FDA"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88.</w:t>
      </w:r>
      <w:r w:rsidRPr="00BE5DC7">
        <w:rPr>
          <w:rFonts w:ascii="Palatino Linotype" w:eastAsia="Palatino Linotype" w:hAnsi="Palatino Linotype" w:cs="Palatino Linotype"/>
          <w:i/>
          <w:sz w:val="22"/>
          <w:szCs w:val="22"/>
        </w:rPr>
        <w:t xml:space="preserve"> Son obligaciones de los servidores públicos: </w:t>
      </w:r>
    </w:p>
    <w:p w14:paraId="00D3517B"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45E982A5"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2A45DF2B"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558F30CA"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220 K.-</w:t>
      </w:r>
      <w:r w:rsidRPr="00BE5DC7">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714F89C0"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136478D3"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u w:val="single"/>
        </w:rPr>
      </w:pPr>
      <w:r w:rsidRPr="00BE5DC7">
        <w:rPr>
          <w:rFonts w:ascii="Palatino Linotype" w:eastAsia="Palatino Linotype" w:hAnsi="Palatino Linotype" w:cs="Palatino Linotype"/>
          <w:b/>
          <w:i/>
          <w:sz w:val="22"/>
          <w:szCs w:val="22"/>
        </w:rPr>
        <w:lastRenderedPageBreak/>
        <w:t xml:space="preserve">III. </w:t>
      </w:r>
      <w:r w:rsidRPr="00BE5DC7">
        <w:rPr>
          <w:rFonts w:ascii="Palatino Linotype" w:eastAsia="Palatino Linotype" w:hAnsi="Palatino Linotype" w:cs="Palatino Linotype"/>
          <w:b/>
          <w:i/>
          <w:sz w:val="22"/>
          <w:szCs w:val="22"/>
          <w:u w:val="single"/>
        </w:rPr>
        <w:t>Controles de asistencia</w:t>
      </w:r>
      <w:r w:rsidRPr="00BE5DC7">
        <w:rPr>
          <w:rFonts w:ascii="Palatino Linotype" w:eastAsia="Palatino Linotype" w:hAnsi="Palatino Linotype" w:cs="Palatino Linotype"/>
          <w:b/>
          <w:i/>
          <w:sz w:val="22"/>
          <w:szCs w:val="22"/>
        </w:rPr>
        <w:t xml:space="preserve"> </w:t>
      </w:r>
      <w:r w:rsidRPr="00BE5DC7">
        <w:rPr>
          <w:rFonts w:ascii="Palatino Linotype" w:eastAsia="Palatino Linotype" w:hAnsi="Palatino Linotype" w:cs="Palatino Linotype"/>
          <w:b/>
          <w:i/>
          <w:sz w:val="22"/>
          <w:szCs w:val="22"/>
          <w:u w:val="single"/>
        </w:rPr>
        <w:t>o la información magnética o electrónica de asistencia de los servidores públicos</w:t>
      </w:r>
      <w:r w:rsidRPr="00BE5DC7">
        <w:rPr>
          <w:rFonts w:ascii="Palatino Linotype" w:eastAsia="Palatino Linotype" w:hAnsi="Palatino Linotype" w:cs="Palatino Linotype"/>
          <w:i/>
          <w:sz w:val="22"/>
          <w:szCs w:val="22"/>
          <w:u w:val="single"/>
        </w:rPr>
        <w:t xml:space="preserve">; </w:t>
      </w:r>
    </w:p>
    <w:p w14:paraId="107BE3B0"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7BDA90C7"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u w:val="single"/>
        </w:rPr>
      </w:pPr>
      <w:r w:rsidRPr="00BE5DC7">
        <w:rPr>
          <w:rFonts w:ascii="Palatino Linotype" w:eastAsia="Palatino Linotype" w:hAnsi="Palatino Linotype" w:cs="Palatino Linotype"/>
          <w:u w:val="single"/>
        </w:rPr>
        <w:t xml:space="preserve">Por lo anterior resulta factible que el Sujeto Obligado cuente con las listas de asistencia o </w:t>
      </w:r>
      <w:r w:rsidRPr="00BE5DC7">
        <w:rPr>
          <w:rFonts w:ascii="Palatino Linotype" w:eastAsia="Palatino Linotype" w:hAnsi="Palatino Linotype" w:cs="Palatino Linotype"/>
          <w:b/>
          <w:u w:val="single"/>
        </w:rPr>
        <w:t xml:space="preserve">el registro dactilar en el aparato biométrico </w:t>
      </w:r>
      <w:proofErr w:type="spellStart"/>
      <w:r w:rsidRPr="00BE5DC7">
        <w:rPr>
          <w:rFonts w:ascii="Palatino Linotype" w:eastAsia="Palatino Linotype" w:hAnsi="Palatino Linotype" w:cs="Palatino Linotype"/>
          <w:b/>
          <w:u w:val="single"/>
        </w:rPr>
        <w:t>u</w:t>
      </w:r>
      <w:proofErr w:type="spellEnd"/>
      <w:r w:rsidRPr="00BE5DC7">
        <w:rPr>
          <w:rFonts w:ascii="Palatino Linotype" w:eastAsia="Palatino Linotype" w:hAnsi="Palatino Linotype" w:cs="Palatino Linotype"/>
          <w:b/>
          <w:u w:val="single"/>
        </w:rPr>
        <w:t xml:space="preserve"> homólogo, que se traduce en </w:t>
      </w:r>
      <w:r w:rsidRPr="00BE5DC7">
        <w:rPr>
          <w:rFonts w:ascii="Palatino Linotype" w:eastAsia="Palatino Linotype" w:hAnsi="Palatino Linotype" w:cs="Palatino Linotype"/>
          <w:u w:val="single"/>
        </w:rPr>
        <w:t xml:space="preserve">información magnética o electrónica de asistencia (esta obligatoriedad es optativa a contar con cualquiera de las tres formas mencionadas) de Mary Carmen Castañeda Peña y </w:t>
      </w:r>
      <w:r w:rsidR="004B08B7" w:rsidRPr="00BE5DC7">
        <w:rPr>
          <w:rFonts w:ascii="Palatino Linotype" w:eastAsia="Palatino Linotype" w:hAnsi="Palatino Linotype" w:cs="Palatino Linotype"/>
          <w:u w:val="single"/>
        </w:rPr>
        <w:t>José</w:t>
      </w:r>
      <w:r w:rsidRPr="00BE5DC7">
        <w:rPr>
          <w:rFonts w:ascii="Palatino Linotype" w:eastAsia="Palatino Linotype" w:hAnsi="Palatino Linotype" w:cs="Palatino Linotype"/>
          <w:u w:val="single"/>
        </w:rPr>
        <w:t xml:space="preserve"> Edwin </w:t>
      </w:r>
      <w:r w:rsidR="004B08B7" w:rsidRPr="00BE5DC7">
        <w:rPr>
          <w:rFonts w:ascii="Palatino Linotype" w:eastAsia="Palatino Linotype" w:hAnsi="Palatino Linotype" w:cs="Palatino Linotype"/>
          <w:u w:val="single"/>
        </w:rPr>
        <w:t>Hernández</w:t>
      </w:r>
      <w:r w:rsidRPr="00BE5DC7">
        <w:rPr>
          <w:rFonts w:ascii="Palatino Linotype" w:eastAsia="Palatino Linotype" w:hAnsi="Palatino Linotype" w:cs="Palatino Linotype"/>
          <w:u w:val="single"/>
        </w:rPr>
        <w:t xml:space="preserve"> Quijano en la temporalidad del 15 de enero de 2024 al 8 de febrero del 2024 solicitados por la Recurrente.</w:t>
      </w:r>
    </w:p>
    <w:p w14:paraId="0AF12B31"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112A4E1"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Asimismo, para el caso que no cuente con la lista de asistencia, información magnética o electrónica de asistencia de</w:t>
      </w:r>
      <w:r w:rsidRPr="00BE5DC7">
        <w:rPr>
          <w:rFonts w:ascii="Palatino Linotype" w:eastAsia="Palatino Linotype" w:hAnsi="Palatino Linotype" w:cs="Palatino Linotype"/>
          <w:u w:val="single"/>
        </w:rPr>
        <w:t xml:space="preserve"> </w:t>
      </w:r>
      <w:r w:rsidRPr="00BE5DC7">
        <w:rPr>
          <w:rFonts w:ascii="Palatino Linotype" w:eastAsia="Palatino Linotype" w:hAnsi="Palatino Linotype" w:cs="Palatino Linotype"/>
        </w:rPr>
        <w:t xml:space="preserve">Mary Carmen Castañeda Peña y </w:t>
      </w:r>
      <w:r w:rsidR="004B08B7" w:rsidRPr="00BE5DC7">
        <w:rPr>
          <w:rFonts w:ascii="Palatino Linotype" w:eastAsia="Palatino Linotype" w:hAnsi="Palatino Linotype" w:cs="Palatino Linotype"/>
        </w:rPr>
        <w:t>José</w:t>
      </w:r>
      <w:r w:rsidRPr="00BE5DC7">
        <w:rPr>
          <w:rFonts w:ascii="Palatino Linotype" w:eastAsia="Palatino Linotype" w:hAnsi="Palatino Linotype" w:cs="Palatino Linotype"/>
        </w:rPr>
        <w:t xml:space="preserve"> Edwin </w:t>
      </w:r>
      <w:r w:rsidR="004B08B7" w:rsidRPr="00BE5DC7">
        <w:rPr>
          <w:rFonts w:ascii="Palatino Linotype" w:eastAsia="Palatino Linotype" w:hAnsi="Palatino Linotype" w:cs="Palatino Linotype"/>
        </w:rPr>
        <w:t>Hernández</w:t>
      </w:r>
      <w:r w:rsidRPr="00BE5DC7">
        <w:rPr>
          <w:rFonts w:ascii="Palatino Linotype" w:eastAsia="Palatino Linotype" w:hAnsi="Palatino Linotype" w:cs="Palatino Linotype"/>
        </w:rPr>
        <w:t xml:space="preserve"> Quijano, deberá proporcionar el documento que autorice dichas circunstancias, es decir, la expresión documental que establezca la excepción de elaborar listas de asistencia, respecto de los supuestos señalados; lo anterior, con el fin de acreditar que existe una autorización expresa y dar cumplimiento a los artículos citados en el párrafo anterior.</w:t>
      </w:r>
    </w:p>
    <w:p w14:paraId="234C40C7"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3F5DE17E"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Asimismo, de no contar con listas de asistencia ni documento de excepción de algunos servidores públicos, deberá declarar formalmente la inexistencia de los registros de asistencia correspondientes,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w:t>
      </w:r>
      <w:r w:rsidRPr="00BE5DC7">
        <w:rPr>
          <w:rFonts w:ascii="Palatino Linotype" w:eastAsia="Palatino Linotype" w:hAnsi="Palatino Linotype" w:cs="Palatino Linotype"/>
        </w:rPr>
        <w:lastRenderedPageBreak/>
        <w:t>pues dichos documentos son utilizados para determinar las faltas de los servidores públicos y calcular el monto de las remuneraciones quincenal.</w:t>
      </w:r>
    </w:p>
    <w:p w14:paraId="0FA07864"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1A375119"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p>
    <w:p w14:paraId="572EEB78"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3E0C4E0F"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ese orden de ideas, el Criterio de interpretación, de la Segunda Época, con clave de control SO/004/2019, emitido por el del Instituto Nacional de Transparencia, Acceso a la Información y Protección de Datos Personales, establece lo siguiente: </w:t>
      </w:r>
    </w:p>
    <w:p w14:paraId="791B6BC3"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2C0221A2" w14:textId="77777777" w:rsidR="00B32C8B" w:rsidRPr="00BE5DC7" w:rsidRDefault="008817ED" w:rsidP="00BE5DC7">
      <w:p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BE5DC7">
        <w:rPr>
          <w:rFonts w:ascii="Palatino Linotype" w:eastAsia="Palatino Linotype" w:hAnsi="Palatino Linotype" w:cs="Palatino Linotype"/>
        </w:rPr>
        <w:t>“Propósito de la declaración formal de inexistencia.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68D11F30" w14:textId="77777777" w:rsidR="00B32C8B"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w:t>
      </w:r>
    </w:p>
    <w:p w14:paraId="39A65E63" w14:textId="77777777" w:rsidR="00BE5DC7" w:rsidRPr="00BE5DC7" w:rsidRDefault="00BE5DC7"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3E7FCFA9"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Ahora bien, relativo a los </w:t>
      </w:r>
      <w:r w:rsidRPr="00BE5DC7">
        <w:rPr>
          <w:rFonts w:ascii="Palatino Linotype" w:eastAsia="Palatino Linotype" w:hAnsi="Palatino Linotype" w:cs="Palatino Linotype"/>
          <w:b/>
        </w:rPr>
        <w:t>recibos de nómina</w:t>
      </w:r>
      <w:r w:rsidRPr="00BE5DC7">
        <w:rPr>
          <w:rFonts w:ascii="Palatino Linotype" w:eastAsia="Palatino Linotype" w:hAnsi="Palatino Linotype" w:cs="Palatino Linotype"/>
        </w:rPr>
        <w:t xml:space="preserve">, es necesario traer a colación,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484E5C1D"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1309696"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00DA7FF"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66F2C19E"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w:t>
      </w:r>
      <w:r w:rsidRPr="00BE5DC7">
        <w:rPr>
          <w:rFonts w:ascii="Palatino Linotype" w:eastAsia="Palatino Linotype" w:hAnsi="Palatino Linotype" w:cs="Palatino Linotype"/>
        </w:rPr>
        <w:lastRenderedPageBreak/>
        <w:t>actualizada, las remuneraciones brutas y netas de todos los servidores públicos, que incluya todas las percepciones, entre las cuales, se encuentran los sueldos, prestaciones, gratificaciones, primas, comisiones, dietas, bonos, estímulos, ingresos, entre otros.</w:t>
      </w:r>
    </w:p>
    <w:p w14:paraId="09FAC9DB"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751E88E8"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Además, los Manuales para la Formulación del Anteproyecto de Presupuesto de Egresos del Gobierno del Estado de México, para los ejercicios fiscales dos mil veinte y dos mil veintiuno, establecen, que el capítulo 1000 Servicios Personales, agrupa las remuneraciones al personal que está al servicio del Estado, así como las cuotas y aportaciones a favor de las instituciones de seguridad social, derivadas de los servicios que esas instituciones prestan al personal.</w:t>
      </w:r>
    </w:p>
    <w:p w14:paraId="2F772EE2"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A4E5EA9"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Ahora bien, respecto al documento solicitado, la Ley del Trabajo de los Servidores Públicos del Estado y Municipios, en su artículo 220 K, fracciones II y IV, establece los documentos que tiene la obligación de conservar el Sujeto Obligado, entre los que se encuentra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7B92229A"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30466A67"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86CC005"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F0F480D"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284BD219"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De la tesis transcrita, se desprende que en materia burocrática los recibos de pago acreditan los conceptos y montos que en ellos se insertan, y constituyen prueba para demostrar las percepciones y montos que reciben los servidores públicos. </w:t>
      </w:r>
    </w:p>
    <w:p w14:paraId="7FC7C578"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2DEF9C3C"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ese orden de ideas, las Políticas para la Integración del Informe Trimestral de los Sujetos de Fiscalización Municipales para el ejercicio fiscal dos mil veintiuno, entre los </w:t>
      </w:r>
      <w:r w:rsidRPr="00BE5DC7">
        <w:rPr>
          <w:rFonts w:ascii="Palatino Linotype" w:eastAsia="Palatino Linotype" w:hAnsi="Palatino Linotype" w:cs="Palatino Linotype"/>
        </w:rPr>
        <w:lastRenderedPageBreak/>
        <w:t>formatos que maneja en el Módulo 4, se advierte que se encuentran los Comprobantes Fiscales Digitales por Internet por concepto de Nómina, mismos que serán entregados al Órgano Superior de Fiscalización del Estado de México, que contiene todas las percepciones y deducciones que recibe cada servidor público.</w:t>
      </w:r>
    </w:p>
    <w:p w14:paraId="5C496537"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06BCCA66" w14:textId="77777777" w:rsidR="00B32C8B" w:rsidRPr="00BE5DC7" w:rsidRDefault="008817ED" w:rsidP="00BE5DC7">
      <w:pPr>
        <w:pBdr>
          <w:top w:val="nil"/>
          <w:left w:val="nil"/>
          <w:bottom w:val="nil"/>
          <w:right w:val="nil"/>
          <w:between w:val="nil"/>
        </w:pBd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Es importante señalar, que el particular requirió la nómina del 15 de enero al 8 de febrero de 2024, sin embargo, no es atendible tal como lo solicitó, ya que la información se genera de manera quincenal. </w:t>
      </w:r>
    </w:p>
    <w:p w14:paraId="13AD4F40" w14:textId="77777777" w:rsidR="00B32C8B" w:rsidRPr="00BE5DC7" w:rsidRDefault="00B32C8B" w:rsidP="00BE5DC7">
      <w:pPr>
        <w:pBdr>
          <w:top w:val="nil"/>
          <w:left w:val="nil"/>
          <w:bottom w:val="nil"/>
          <w:right w:val="nil"/>
          <w:between w:val="nil"/>
        </w:pBdr>
        <w:spacing w:line="360" w:lineRule="auto"/>
        <w:jc w:val="both"/>
        <w:rPr>
          <w:rFonts w:ascii="Palatino Linotype" w:eastAsia="Palatino Linotype" w:hAnsi="Palatino Linotype" w:cs="Palatino Linotype"/>
        </w:rPr>
      </w:pPr>
    </w:p>
    <w:p w14:paraId="7AC5F375" w14:textId="77777777" w:rsidR="00B32C8B" w:rsidRPr="00BE5DC7" w:rsidRDefault="008817ED"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u w:val="single"/>
        </w:rPr>
      </w:pPr>
      <w:r w:rsidRPr="00BE5DC7">
        <w:rPr>
          <w:rFonts w:ascii="Palatino Linotype" w:eastAsia="Palatino Linotype" w:hAnsi="Palatino Linotype" w:cs="Palatino Linotype"/>
          <w:u w:val="single"/>
        </w:rPr>
        <w:t xml:space="preserve">Por lo anterior, resulta factible que el Sujeto Obligado cuente con los recibos de nómina de Mary Carmen Castañeda Peña y </w:t>
      </w:r>
      <w:r w:rsidR="004B08B7" w:rsidRPr="00BE5DC7">
        <w:rPr>
          <w:rFonts w:ascii="Palatino Linotype" w:eastAsia="Palatino Linotype" w:hAnsi="Palatino Linotype" w:cs="Palatino Linotype"/>
          <w:u w:val="single"/>
        </w:rPr>
        <w:t>José</w:t>
      </w:r>
      <w:r w:rsidRPr="00BE5DC7">
        <w:rPr>
          <w:rFonts w:ascii="Palatino Linotype" w:eastAsia="Palatino Linotype" w:hAnsi="Palatino Linotype" w:cs="Palatino Linotype"/>
          <w:u w:val="single"/>
        </w:rPr>
        <w:t xml:space="preserve"> Edwin </w:t>
      </w:r>
      <w:r w:rsidR="004B08B7" w:rsidRPr="00BE5DC7">
        <w:rPr>
          <w:rFonts w:ascii="Palatino Linotype" w:eastAsia="Palatino Linotype" w:hAnsi="Palatino Linotype" w:cs="Palatino Linotype"/>
          <w:u w:val="single"/>
        </w:rPr>
        <w:t>Hernández</w:t>
      </w:r>
      <w:r w:rsidRPr="00BE5DC7">
        <w:rPr>
          <w:rFonts w:ascii="Palatino Linotype" w:eastAsia="Palatino Linotype" w:hAnsi="Palatino Linotype" w:cs="Palatino Linotype"/>
          <w:u w:val="single"/>
        </w:rPr>
        <w:t xml:space="preserve"> Quijano, los cuales se hayan generado en la segunda quincena de enero de 2024, estos deberán ser entregados en versión pública.</w:t>
      </w:r>
    </w:p>
    <w:p w14:paraId="1719CBF6" w14:textId="77777777" w:rsidR="00B32C8B" w:rsidRPr="00BE5DC7" w:rsidRDefault="00B32C8B" w:rsidP="00BE5DC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u w:val="single"/>
        </w:rPr>
      </w:pPr>
    </w:p>
    <w:p w14:paraId="53B26AF7" w14:textId="77777777" w:rsidR="00B32C8B" w:rsidRPr="00BE5DC7" w:rsidRDefault="008817ED" w:rsidP="00BE5DC7">
      <w:pPr>
        <w:spacing w:line="360" w:lineRule="auto"/>
        <w:jc w:val="both"/>
        <w:rPr>
          <w:rFonts w:ascii="Palatino Linotype" w:eastAsia="Palatino Linotype" w:hAnsi="Palatino Linotype" w:cs="Palatino Linotype"/>
          <w:sz w:val="28"/>
          <w:szCs w:val="28"/>
        </w:rPr>
      </w:pPr>
      <w:r w:rsidRPr="00BE5DC7">
        <w:rPr>
          <w:rFonts w:ascii="Palatino Linotype" w:eastAsia="Palatino Linotype" w:hAnsi="Palatino Linotype" w:cs="Palatino Linotype"/>
          <w:b/>
        </w:rPr>
        <w:t>Versión Pública.</w:t>
      </w:r>
      <w:r w:rsidRPr="00BE5DC7">
        <w:rPr>
          <w:rFonts w:ascii="Palatino Linotype" w:eastAsia="Palatino Linotype" w:hAnsi="Palatino Linotype" w:cs="Palatino Linotype"/>
          <w:sz w:val="28"/>
          <w:szCs w:val="28"/>
        </w:rPr>
        <w:t xml:space="preserve"> </w:t>
      </w:r>
    </w:p>
    <w:p w14:paraId="7EBE7452" w14:textId="77777777" w:rsidR="00B32C8B" w:rsidRPr="00BE5DC7" w:rsidRDefault="00B32C8B" w:rsidP="00BE5DC7">
      <w:pPr>
        <w:spacing w:line="360" w:lineRule="auto"/>
        <w:jc w:val="both"/>
        <w:rPr>
          <w:rFonts w:ascii="Palatino Linotype" w:eastAsia="Palatino Linotype" w:hAnsi="Palatino Linotype" w:cs="Palatino Linotype"/>
          <w:sz w:val="28"/>
          <w:szCs w:val="28"/>
        </w:rPr>
      </w:pPr>
    </w:p>
    <w:p w14:paraId="6B8171E3"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BE5DC7">
        <w:rPr>
          <w:rFonts w:ascii="Palatino Linotype" w:eastAsia="Palatino Linotype" w:hAnsi="Palatino Linotype" w:cs="Palatino Linotype"/>
          <w:b/>
        </w:rPr>
        <w:t>Sujeto Obligado</w:t>
      </w:r>
      <w:r w:rsidRPr="00BE5DC7">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BE5DC7">
        <w:rPr>
          <w:rFonts w:ascii="Palatino Linotype" w:eastAsia="Palatino Linotype" w:hAnsi="Palatino Linotype" w:cs="Palatino Linotype"/>
          <w:b/>
        </w:rPr>
        <w:t>Recurrente</w:t>
      </w:r>
      <w:r w:rsidRPr="00BE5DC7">
        <w:rPr>
          <w:rFonts w:ascii="Palatino Linotype" w:eastAsia="Palatino Linotype" w:hAnsi="Palatino Linotype" w:cs="Palatino Linotype"/>
        </w:rPr>
        <w:t xml:space="preserve"> sin menoscabo al derecho a la protección de los datos personales de terceros.</w:t>
      </w:r>
    </w:p>
    <w:p w14:paraId="5FFAF44B" w14:textId="77777777" w:rsidR="00B32C8B" w:rsidRPr="00BE5DC7" w:rsidRDefault="00B32C8B" w:rsidP="00BE5DC7">
      <w:pPr>
        <w:spacing w:line="360" w:lineRule="auto"/>
        <w:jc w:val="both"/>
        <w:rPr>
          <w:rFonts w:ascii="Palatino Linotype" w:eastAsia="Palatino Linotype" w:hAnsi="Palatino Linotype" w:cs="Palatino Linotype"/>
        </w:rPr>
      </w:pPr>
    </w:p>
    <w:p w14:paraId="397AD190" w14:textId="77777777" w:rsidR="00B32C8B" w:rsidRPr="00BE5DC7" w:rsidRDefault="008817ED" w:rsidP="00BE5DC7">
      <w:pPr>
        <w:spacing w:after="240"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37C665DE"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r w:rsidRPr="00BE5DC7">
        <w:rPr>
          <w:rFonts w:ascii="Palatino Linotype" w:eastAsia="Palatino Linotype" w:hAnsi="Palatino Linotype" w:cs="Palatino Linotype"/>
          <w:b/>
          <w:i/>
          <w:sz w:val="22"/>
          <w:szCs w:val="22"/>
        </w:rPr>
        <w:t>Artículo 3</w:t>
      </w:r>
      <w:r w:rsidRPr="00BE5DC7">
        <w:rPr>
          <w:rFonts w:ascii="Palatino Linotype" w:eastAsia="Palatino Linotype" w:hAnsi="Palatino Linotype" w:cs="Palatino Linotype"/>
          <w:i/>
          <w:sz w:val="22"/>
          <w:szCs w:val="22"/>
        </w:rPr>
        <w:t>. Para los efectos de la presente Ley se entenderá por:</w:t>
      </w:r>
    </w:p>
    <w:p w14:paraId="513EC658"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704C0FDB"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IX. Datos personales</w:t>
      </w:r>
      <w:r w:rsidRPr="00BE5DC7">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109485C"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XX. Información clasificada</w:t>
      </w:r>
      <w:r w:rsidRPr="00BE5DC7">
        <w:rPr>
          <w:rFonts w:ascii="Palatino Linotype" w:eastAsia="Palatino Linotype" w:hAnsi="Palatino Linotype" w:cs="Palatino Linotype"/>
          <w:i/>
          <w:sz w:val="22"/>
          <w:szCs w:val="22"/>
        </w:rPr>
        <w:t>: Aquella considerada por la presente Ley como reservada o confidencial;</w:t>
      </w:r>
    </w:p>
    <w:p w14:paraId="4C29B861"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XXI. Información confidencial: </w:t>
      </w:r>
      <w:r w:rsidRPr="00BE5DC7">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7933B99"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XLV. Versión pública:</w:t>
      </w:r>
      <w:r w:rsidRPr="00BE5DC7">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6625F08"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66E498E2"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91.</w:t>
      </w:r>
      <w:r w:rsidRPr="00BE5DC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ACA1447"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132.</w:t>
      </w:r>
      <w:r w:rsidRPr="00BE5DC7">
        <w:rPr>
          <w:rFonts w:ascii="Palatino Linotype" w:eastAsia="Palatino Linotype" w:hAnsi="Palatino Linotype" w:cs="Palatino Linotype"/>
          <w:i/>
          <w:sz w:val="22"/>
          <w:szCs w:val="22"/>
        </w:rPr>
        <w:t xml:space="preserve"> La clasificación de la información se llevará a cabo en el momento en que:</w:t>
      </w:r>
    </w:p>
    <w:p w14:paraId="6578E37F"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w:t>
      </w:r>
      <w:r w:rsidRPr="00BE5DC7">
        <w:rPr>
          <w:rFonts w:ascii="Palatino Linotype" w:eastAsia="Palatino Linotype" w:hAnsi="Palatino Linotype" w:cs="Palatino Linotype"/>
          <w:i/>
          <w:sz w:val="22"/>
          <w:szCs w:val="22"/>
        </w:rPr>
        <w:t>. Se reciba una solicitud de acceso a la información;</w:t>
      </w:r>
    </w:p>
    <w:p w14:paraId="69BC7B24"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xml:space="preserve"> Se determine mediante resolución de autoridad competente; o</w:t>
      </w:r>
    </w:p>
    <w:p w14:paraId="7ECD0584"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A59994F"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7A5B2504"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Artículo 143</w:t>
      </w:r>
      <w:r w:rsidRPr="00BE5DC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5A808EF"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lastRenderedPageBreak/>
        <w:t>I.</w:t>
      </w:r>
      <w:r w:rsidRPr="00BE5DC7">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A6B83AD"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9A76F4C"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7657C37"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B5B405E"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6C12FB0" w14:textId="77777777" w:rsidR="00B32C8B" w:rsidRPr="00BE5DC7" w:rsidRDefault="00B32C8B" w:rsidP="00BE5DC7">
      <w:pPr>
        <w:spacing w:before="240" w:after="240" w:line="360" w:lineRule="auto"/>
        <w:jc w:val="both"/>
        <w:rPr>
          <w:rFonts w:ascii="Palatino Linotype" w:eastAsia="Palatino Linotype" w:hAnsi="Palatino Linotype" w:cs="Palatino Linotype"/>
        </w:rPr>
      </w:pPr>
    </w:p>
    <w:p w14:paraId="2C4F4F1A" w14:textId="77777777" w:rsidR="00B32C8B" w:rsidRPr="00BE5DC7" w:rsidRDefault="008817ED" w:rsidP="00BE5DC7">
      <w:pPr>
        <w:spacing w:before="240" w:after="240"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99A5BF4"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w:t>
      </w:r>
      <w:r w:rsidRPr="00BE5DC7">
        <w:rPr>
          <w:rFonts w:ascii="Palatino Linotype" w:eastAsia="Palatino Linotype" w:hAnsi="Palatino Linotype" w:cs="Palatino Linotype"/>
        </w:rPr>
        <w:lastRenderedPageBreak/>
        <w:t xml:space="preserve">Versiones Públicas señalan las formalidades que deberá llevar el acuerdo de clasificación que deberá emitir el </w:t>
      </w:r>
      <w:r w:rsidRPr="00BE5DC7">
        <w:rPr>
          <w:rFonts w:ascii="Palatino Linotype" w:eastAsia="Palatino Linotype" w:hAnsi="Palatino Linotype" w:cs="Palatino Linotype"/>
          <w:b/>
        </w:rPr>
        <w:t>Sujeto Obligado</w:t>
      </w:r>
      <w:r w:rsidRPr="00BE5DC7">
        <w:rPr>
          <w:rFonts w:ascii="Palatino Linotype" w:eastAsia="Palatino Linotype" w:hAnsi="Palatino Linotype" w:cs="Palatino Linotype"/>
        </w:rPr>
        <w:t>, siendo estas las siguientes:</w:t>
      </w:r>
    </w:p>
    <w:p w14:paraId="31C692BB"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 “Quincuagésimo. </w:t>
      </w:r>
      <w:r w:rsidRPr="00BE5DC7">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9F7E9C6" w14:textId="77777777" w:rsidR="00B32C8B" w:rsidRPr="00BE5DC7" w:rsidRDefault="008817ED" w:rsidP="00BE5DC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Quincuagésimo primero. </w:t>
      </w:r>
      <w:r w:rsidRPr="00BE5DC7">
        <w:rPr>
          <w:rFonts w:ascii="Palatino Linotype" w:eastAsia="Palatino Linotype" w:hAnsi="Palatino Linotype" w:cs="Palatino Linotype"/>
          <w:i/>
          <w:sz w:val="22"/>
          <w:szCs w:val="22"/>
        </w:rPr>
        <w:t xml:space="preserve">Toda acta del Comité de Transparencia deberá contener: </w:t>
      </w:r>
    </w:p>
    <w:p w14:paraId="26D0229A"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w:t>
      </w:r>
      <w:r w:rsidRPr="00BE5DC7">
        <w:rPr>
          <w:rFonts w:ascii="Palatino Linotype" w:eastAsia="Palatino Linotype" w:hAnsi="Palatino Linotype" w:cs="Palatino Linotype"/>
          <w:i/>
          <w:sz w:val="22"/>
          <w:szCs w:val="22"/>
        </w:rPr>
        <w:t xml:space="preserve"> El número de sesión y fecha; </w:t>
      </w:r>
    </w:p>
    <w:p w14:paraId="19CC4756"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xml:space="preserve">. El nombre del área que solicitó la clasificación de información; </w:t>
      </w:r>
    </w:p>
    <w:p w14:paraId="4CD97C78"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La fundamentación legal y motivación correspondiente; </w:t>
      </w:r>
    </w:p>
    <w:p w14:paraId="4E88D358"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IV</w:t>
      </w:r>
      <w:r w:rsidRPr="00BE5DC7">
        <w:rPr>
          <w:rFonts w:ascii="Palatino Linotype" w:eastAsia="Palatino Linotype" w:hAnsi="Palatino Linotype" w:cs="Palatino Linotype"/>
          <w:i/>
          <w:sz w:val="22"/>
          <w:szCs w:val="22"/>
        </w:rPr>
        <w:t xml:space="preserve">. La resolución o resoluciones aprobadas; y </w:t>
      </w:r>
    </w:p>
    <w:p w14:paraId="7220C94E"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V</w:t>
      </w:r>
      <w:r w:rsidRPr="00BE5DC7">
        <w:rPr>
          <w:rFonts w:ascii="Palatino Linotype" w:eastAsia="Palatino Linotype" w:hAnsi="Palatino Linotype" w:cs="Palatino Linotype"/>
          <w:i/>
          <w:sz w:val="22"/>
          <w:szCs w:val="22"/>
        </w:rPr>
        <w:t xml:space="preserve">. La rúbrica o firma digital de cada integrante del Comité de Transparencia. </w:t>
      </w:r>
    </w:p>
    <w:p w14:paraId="6ED7BC94" w14:textId="77777777" w:rsidR="00B32C8B" w:rsidRPr="00BE5DC7" w:rsidRDefault="008817ED" w:rsidP="00BE5DC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56A74B9"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w:t>
      </w:r>
      <w:r w:rsidRPr="00BE5DC7">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00CB9E5"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Descripción de las partes o secciones reservadas, en caso de clasificación parcial</w:t>
      </w:r>
      <w:r w:rsidRPr="00BE5DC7">
        <w:rPr>
          <w:rFonts w:ascii="Palatino Linotype" w:eastAsia="Palatino Linotype" w:hAnsi="Palatino Linotype" w:cs="Palatino Linotype"/>
          <w:b/>
          <w:i/>
          <w:sz w:val="22"/>
          <w:szCs w:val="22"/>
        </w:rPr>
        <w:t xml:space="preserve">; </w:t>
      </w:r>
    </w:p>
    <w:p w14:paraId="4344541E"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El periodo por el que mantendrá su clasificación y fecha de expiración; y </w:t>
      </w:r>
    </w:p>
    <w:p w14:paraId="2F5BD924" w14:textId="77777777" w:rsidR="00B32C8B" w:rsidRPr="00BE5DC7" w:rsidRDefault="008817ED" w:rsidP="00BE5DC7">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IV.</w:t>
      </w:r>
      <w:r w:rsidRPr="00BE5DC7">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1A61689" w14:textId="77777777" w:rsidR="00B32C8B" w:rsidRPr="00BE5DC7" w:rsidRDefault="008817ED" w:rsidP="00BE5DC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BBB8B85" w14:textId="77777777" w:rsidR="00B32C8B" w:rsidRPr="00BE5DC7" w:rsidRDefault="008817ED" w:rsidP="00BE5DC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4E429A2"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Quincuagésimo segundo</w:t>
      </w:r>
      <w:r w:rsidRPr="00BE5DC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01E0E29"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lastRenderedPageBreak/>
        <w:t xml:space="preserve">En el caso </w:t>
      </w:r>
      <w:r w:rsidR="004B08B7" w:rsidRPr="00BE5DC7">
        <w:rPr>
          <w:rFonts w:ascii="Palatino Linotype" w:eastAsia="Palatino Linotype" w:hAnsi="Palatino Linotype" w:cs="Palatino Linotype"/>
          <w:i/>
          <w:sz w:val="22"/>
          <w:szCs w:val="22"/>
        </w:rPr>
        <w:t>específico</w:t>
      </w:r>
      <w:r w:rsidRPr="00BE5DC7">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0C11FA5D"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w:t>
      </w:r>
      <w:r w:rsidRPr="00BE5DC7">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8BE6F7E"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CC806F9" w14:textId="77777777" w:rsidR="00B32C8B" w:rsidRPr="00BE5DC7" w:rsidRDefault="008817ED" w:rsidP="00BE5DC7">
      <w:pPr>
        <w:spacing w:before="120" w:after="120"/>
        <w:ind w:left="1134"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Señalar las personas o instancias autorizadas a acceder a la información clasificada.</w:t>
      </w:r>
    </w:p>
    <w:p w14:paraId="10C03BE7" w14:textId="77777777" w:rsidR="00B32C8B" w:rsidRPr="00BE5DC7" w:rsidRDefault="008817ED" w:rsidP="00BE5DC7">
      <w:pPr>
        <w:spacing w:before="120" w:after="120"/>
        <w:ind w:left="851" w:right="900"/>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9C6BE4C" w14:textId="77777777" w:rsidR="00B32C8B" w:rsidRPr="00BE5DC7" w:rsidRDefault="00B32C8B" w:rsidP="00BE5DC7">
      <w:pPr>
        <w:spacing w:before="240" w:after="240" w:line="360" w:lineRule="auto"/>
        <w:ind w:right="50"/>
        <w:jc w:val="both"/>
        <w:rPr>
          <w:rFonts w:ascii="Palatino Linotype" w:eastAsia="Palatino Linotype" w:hAnsi="Palatino Linotype" w:cs="Palatino Linotype"/>
        </w:rPr>
      </w:pPr>
    </w:p>
    <w:p w14:paraId="187F37FD" w14:textId="77777777" w:rsidR="00B32C8B" w:rsidRPr="00BE5DC7" w:rsidRDefault="008817ED" w:rsidP="00BE5DC7">
      <w:pPr>
        <w:spacing w:before="240" w:after="240" w:line="360" w:lineRule="auto"/>
        <w:ind w:right="50"/>
        <w:jc w:val="both"/>
        <w:rPr>
          <w:rFonts w:ascii="Palatino Linotype" w:eastAsia="Palatino Linotype" w:hAnsi="Palatino Linotype" w:cs="Palatino Linotype"/>
          <w:sz w:val="22"/>
          <w:szCs w:val="22"/>
        </w:rPr>
      </w:pPr>
      <w:r w:rsidRPr="00BE5DC7">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BE5DC7">
        <w:rPr>
          <w:rFonts w:ascii="Palatino Linotype" w:eastAsia="Palatino Linotype" w:hAnsi="Palatino Linotype" w:cs="Palatino Linotype"/>
        </w:rPr>
        <w:t>supraindicados</w:t>
      </w:r>
      <w:proofErr w:type="spellEnd"/>
      <w:r w:rsidRPr="00BE5DC7">
        <w:rPr>
          <w:rFonts w:ascii="Palatino Linotype" w:eastAsia="Palatino Linotype" w:hAnsi="Palatino Linotype" w:cs="Palatino Linotype"/>
        </w:rPr>
        <w:t xml:space="preserve">, que establece los formatos para la clasificación de los documentos, conforme a lo siguiente: </w:t>
      </w:r>
    </w:p>
    <w:p w14:paraId="6393983C" w14:textId="77777777" w:rsidR="00B32C8B" w:rsidRPr="00BE5DC7" w:rsidRDefault="008817ED" w:rsidP="00BE5DC7">
      <w:pPr>
        <w:ind w:left="851" w:right="900"/>
        <w:jc w:val="center"/>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CAPÍTULO VIII</w:t>
      </w:r>
    </w:p>
    <w:p w14:paraId="30441FE6" w14:textId="77777777" w:rsidR="00B32C8B" w:rsidRPr="00BE5DC7" w:rsidRDefault="008817ED" w:rsidP="00BE5DC7">
      <w:pPr>
        <w:ind w:left="851" w:right="900"/>
        <w:jc w:val="center"/>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 xml:space="preserve">DE LOS ELEMENTOS PARA LA CLASIFICACIÓN </w:t>
      </w:r>
    </w:p>
    <w:p w14:paraId="408875D3" w14:textId="77777777" w:rsidR="00B32C8B" w:rsidRPr="00BE5DC7" w:rsidRDefault="008817ED" w:rsidP="00BE5DC7">
      <w:pPr>
        <w:ind w:left="851" w:right="900"/>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w:t>
      </w:r>
    </w:p>
    <w:p w14:paraId="4E1CED21"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Quincuagésimo tercero. </w:t>
      </w:r>
      <w:r w:rsidRPr="00BE5DC7">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BE5DC7">
        <w:rPr>
          <w:rFonts w:ascii="Palatino Linotype" w:eastAsia="Palatino Linotype" w:hAnsi="Palatino Linotype" w:cs="Palatino Linotype"/>
          <w:b/>
          <w:i/>
          <w:sz w:val="22"/>
          <w:szCs w:val="22"/>
        </w:rPr>
        <w:t xml:space="preserve">, </w:t>
      </w:r>
      <w:r w:rsidRPr="00BE5DC7">
        <w:rPr>
          <w:rFonts w:ascii="Palatino Linotype" w:eastAsia="Palatino Linotype" w:hAnsi="Palatino Linotype" w:cs="Palatino Linotype"/>
          <w:i/>
          <w:sz w:val="22"/>
          <w:szCs w:val="22"/>
        </w:rPr>
        <w:t xml:space="preserve">es el siguiente: </w:t>
      </w:r>
    </w:p>
    <w:p w14:paraId="46C1DDC9" w14:textId="77777777" w:rsidR="00B32C8B" w:rsidRPr="00BE5DC7" w:rsidRDefault="008817ED" w:rsidP="00BE5DC7">
      <w:pPr>
        <w:spacing w:before="120" w:after="120"/>
        <w:ind w:left="851" w:right="902"/>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noProof/>
          <w:sz w:val="22"/>
          <w:szCs w:val="22"/>
        </w:rPr>
        <w:drawing>
          <wp:inline distT="0" distB="0" distL="0" distR="0" wp14:anchorId="3534464E" wp14:editId="3179E5AB">
            <wp:extent cx="4295775" cy="295275"/>
            <wp:effectExtent l="0" t="0" r="0" b="0"/>
            <wp:docPr id="11322239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95731"/>
                    <a:stretch>
                      <a:fillRect/>
                    </a:stretch>
                  </pic:blipFill>
                  <pic:spPr>
                    <a:xfrm>
                      <a:off x="0" y="0"/>
                      <a:ext cx="4295775" cy="295275"/>
                    </a:xfrm>
                    <a:prstGeom prst="rect">
                      <a:avLst/>
                    </a:prstGeom>
                    <a:ln/>
                  </pic:spPr>
                </pic:pic>
              </a:graphicData>
            </a:graphic>
          </wp:inline>
        </w:drawing>
      </w:r>
    </w:p>
    <w:p w14:paraId="166636D9" w14:textId="77777777" w:rsidR="00B32C8B" w:rsidRPr="00BE5DC7" w:rsidRDefault="008817ED" w:rsidP="00BE5DC7">
      <w:pPr>
        <w:spacing w:before="120" w:after="120"/>
        <w:ind w:left="851" w:right="902"/>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noProof/>
          <w:sz w:val="22"/>
          <w:szCs w:val="22"/>
        </w:rPr>
        <w:lastRenderedPageBreak/>
        <w:drawing>
          <wp:inline distT="0" distB="0" distL="0" distR="0" wp14:anchorId="2C6CA7F7" wp14:editId="5F747636">
            <wp:extent cx="4333875" cy="3684668"/>
            <wp:effectExtent l="0" t="0" r="0" b="0"/>
            <wp:docPr id="11322239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30909" b="15741"/>
                    <a:stretch>
                      <a:fillRect/>
                    </a:stretch>
                  </pic:blipFill>
                  <pic:spPr>
                    <a:xfrm>
                      <a:off x="0" y="0"/>
                      <a:ext cx="4333875" cy="3684668"/>
                    </a:xfrm>
                    <a:prstGeom prst="rect">
                      <a:avLst/>
                    </a:prstGeom>
                    <a:ln/>
                  </pic:spPr>
                </pic:pic>
              </a:graphicData>
            </a:graphic>
          </wp:inline>
        </w:drawing>
      </w:r>
    </w:p>
    <w:p w14:paraId="6A52D99A" w14:textId="77777777" w:rsidR="00B32C8B" w:rsidRPr="00BE5DC7" w:rsidRDefault="008817ED" w:rsidP="00BE5DC7">
      <w:pPr>
        <w:spacing w:before="120" w:after="120"/>
        <w:ind w:left="851" w:right="902"/>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noProof/>
          <w:sz w:val="22"/>
          <w:szCs w:val="22"/>
        </w:rPr>
        <w:drawing>
          <wp:inline distT="0" distB="0" distL="0" distR="0" wp14:anchorId="11E7DA66" wp14:editId="06B23A4C">
            <wp:extent cx="4333875" cy="976911"/>
            <wp:effectExtent l="0" t="0" r="0" b="0"/>
            <wp:docPr id="11322239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84918" b="935"/>
                    <a:stretch>
                      <a:fillRect/>
                    </a:stretch>
                  </pic:blipFill>
                  <pic:spPr>
                    <a:xfrm>
                      <a:off x="0" y="0"/>
                      <a:ext cx="4333875" cy="976911"/>
                    </a:xfrm>
                    <a:prstGeom prst="rect">
                      <a:avLst/>
                    </a:prstGeom>
                    <a:ln/>
                  </pic:spPr>
                </pic:pic>
              </a:graphicData>
            </a:graphic>
          </wp:inline>
        </w:drawing>
      </w:r>
    </w:p>
    <w:p w14:paraId="0772E0AF" w14:textId="77777777" w:rsidR="00B32C8B" w:rsidRPr="00BE5DC7" w:rsidRDefault="00B32C8B" w:rsidP="00BE5DC7">
      <w:pPr>
        <w:spacing w:before="120" w:after="120"/>
        <w:ind w:left="851" w:right="902"/>
        <w:jc w:val="both"/>
        <w:rPr>
          <w:rFonts w:ascii="Palatino Linotype" w:eastAsia="Palatino Linotype" w:hAnsi="Palatino Linotype" w:cs="Palatino Linotype"/>
          <w:b/>
          <w:i/>
          <w:sz w:val="22"/>
          <w:szCs w:val="22"/>
        </w:rPr>
      </w:pPr>
    </w:p>
    <w:p w14:paraId="5D225717"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Los documentos que integren un expediente reservado en su totalidad no deberán marcarse en lo individual.</w:t>
      </w:r>
    </w:p>
    <w:p w14:paraId="0973EC12"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3F34126E" w14:textId="77777777" w:rsidR="00B32C8B" w:rsidRPr="00BE5DC7" w:rsidRDefault="008817ED" w:rsidP="00BE5DC7">
      <w:pPr>
        <w:spacing w:before="240" w:after="240"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4BB3E006" w14:textId="77777777" w:rsidR="00B32C8B" w:rsidRPr="00BE5DC7" w:rsidRDefault="008817ED" w:rsidP="00BE5DC7">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i/>
          <w:sz w:val="22"/>
          <w:szCs w:val="22"/>
        </w:rPr>
        <w:lastRenderedPageBreak/>
        <w:t>“</w:t>
      </w:r>
      <w:r w:rsidRPr="00BE5DC7">
        <w:rPr>
          <w:rFonts w:ascii="Palatino Linotype" w:eastAsia="Palatino Linotype" w:hAnsi="Palatino Linotype" w:cs="Palatino Linotype"/>
          <w:b/>
          <w:i/>
          <w:sz w:val="22"/>
          <w:szCs w:val="22"/>
        </w:rPr>
        <w:t xml:space="preserve">Quincuagésimo cuarto. </w:t>
      </w:r>
      <w:r w:rsidRPr="00BE5DC7">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E5DC7">
        <w:rPr>
          <w:rFonts w:ascii="Palatino Linotype" w:eastAsia="Palatino Linotype" w:hAnsi="Palatino Linotype" w:cs="Palatino Linotype"/>
          <w:b/>
          <w:i/>
          <w:sz w:val="22"/>
          <w:szCs w:val="22"/>
        </w:rPr>
        <w:t xml:space="preserve"> </w:t>
      </w:r>
    </w:p>
    <w:p w14:paraId="4EA62CC2"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 xml:space="preserve">Quincuagésimo quinto. </w:t>
      </w:r>
      <w:r w:rsidRPr="00BE5DC7">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E5DC7">
        <w:rPr>
          <w:rFonts w:ascii="Palatino Linotype" w:eastAsia="Palatino Linotype" w:hAnsi="Palatino Linotype" w:cs="Palatino Linotype"/>
          <w:i/>
          <w:sz w:val="22"/>
          <w:szCs w:val="22"/>
        </w:rPr>
        <w:t>testado</w:t>
      </w:r>
      <w:proofErr w:type="spellEnd"/>
      <w:r w:rsidRPr="00BE5DC7">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80FDB80" w14:textId="77777777" w:rsidR="00B32C8B" w:rsidRPr="00BE5DC7" w:rsidRDefault="008817ED" w:rsidP="00BE5DC7">
      <w:pPr>
        <w:spacing w:before="120" w:after="120"/>
        <w:ind w:left="851" w:right="902"/>
        <w:jc w:val="both"/>
        <w:rPr>
          <w:rFonts w:ascii="Palatino Linotype" w:eastAsia="Palatino Linotype" w:hAnsi="Palatino Linotype" w:cs="Palatino Linotype"/>
          <w:b/>
          <w:i/>
          <w:sz w:val="22"/>
          <w:szCs w:val="22"/>
        </w:rPr>
      </w:pPr>
      <w:r w:rsidRPr="00BE5DC7">
        <w:rPr>
          <w:rFonts w:ascii="Palatino Linotype" w:eastAsia="Palatino Linotype" w:hAnsi="Palatino Linotype" w:cs="Palatino Linotype"/>
          <w:b/>
          <w:i/>
          <w:sz w:val="22"/>
          <w:szCs w:val="22"/>
        </w:rPr>
        <w:t>...</w:t>
      </w:r>
    </w:p>
    <w:p w14:paraId="7364B336"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Quincuagésimo séptimo</w:t>
      </w:r>
      <w:r w:rsidRPr="00BE5DC7">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93C062A"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w:t>
      </w:r>
      <w:r w:rsidRPr="00BE5DC7">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EC57AAA"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w:t>
      </w:r>
      <w:r w:rsidRPr="00BE5DC7">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8FF738B" w14:textId="77777777" w:rsidR="00B32C8B" w:rsidRPr="00BE5DC7" w:rsidRDefault="008817ED" w:rsidP="00BE5DC7">
      <w:pPr>
        <w:spacing w:before="120" w:after="120"/>
        <w:ind w:left="1134"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III</w:t>
      </w:r>
      <w:r w:rsidRPr="00BE5DC7">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B0086A6"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E3A380B" w14:textId="77777777" w:rsidR="00B32C8B" w:rsidRPr="00BE5DC7" w:rsidRDefault="008817ED" w:rsidP="00BE5DC7">
      <w:pPr>
        <w:spacing w:before="120" w:after="120"/>
        <w:ind w:left="851" w:right="902"/>
        <w:jc w:val="both"/>
        <w:rPr>
          <w:rFonts w:ascii="Palatino Linotype" w:eastAsia="Palatino Linotype" w:hAnsi="Palatino Linotype" w:cs="Palatino Linotype"/>
          <w:i/>
          <w:sz w:val="22"/>
          <w:szCs w:val="22"/>
        </w:rPr>
      </w:pPr>
      <w:r w:rsidRPr="00BE5DC7">
        <w:rPr>
          <w:rFonts w:ascii="Palatino Linotype" w:eastAsia="Palatino Linotype" w:hAnsi="Palatino Linotype" w:cs="Palatino Linotype"/>
          <w:b/>
          <w:i/>
          <w:sz w:val="22"/>
          <w:szCs w:val="22"/>
        </w:rPr>
        <w:t>Quincuagésimo octavo</w:t>
      </w:r>
      <w:r w:rsidRPr="00BE5DC7">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A84B825" w14:textId="77777777" w:rsidR="00B32C8B" w:rsidRPr="00BE5DC7" w:rsidRDefault="008817ED" w:rsidP="00BE5DC7">
      <w:pPr>
        <w:spacing w:before="240" w:after="240"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E5DC7">
        <w:rPr>
          <w:rFonts w:ascii="Palatino Linotype" w:eastAsia="Palatino Linotype" w:hAnsi="Palatino Linotype" w:cs="Palatino Linotype"/>
          <w:b/>
        </w:rPr>
        <w:t>Sujeto Obligado</w:t>
      </w:r>
      <w:r w:rsidRPr="00BE5DC7">
        <w:rPr>
          <w:rFonts w:ascii="Palatino Linotype" w:eastAsia="Palatino Linotype" w:hAnsi="Palatino Linotype" w:cs="Palatino Linotype"/>
        </w:rPr>
        <w:t xml:space="preserve"> a testar, suprimir o eliminar datos de </w:t>
      </w:r>
      <w:r w:rsidRPr="00BE5DC7">
        <w:rPr>
          <w:rFonts w:ascii="Palatino Linotype" w:eastAsia="Palatino Linotype" w:hAnsi="Palatino Linotype" w:cs="Palatino Linotype"/>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099151F" w14:textId="77777777" w:rsidR="00B32C8B" w:rsidRPr="00BE5DC7" w:rsidRDefault="00B32C8B" w:rsidP="00BE5DC7">
      <w:pPr>
        <w:widowControl w:val="0"/>
        <w:tabs>
          <w:tab w:val="left" w:pos="1701"/>
          <w:tab w:val="left" w:pos="1843"/>
        </w:tabs>
        <w:spacing w:line="360" w:lineRule="auto"/>
        <w:jc w:val="both"/>
        <w:rPr>
          <w:rFonts w:ascii="Palatino Linotype" w:eastAsia="Palatino Linotype" w:hAnsi="Palatino Linotype" w:cs="Palatino Linotype"/>
        </w:rPr>
      </w:pPr>
    </w:p>
    <w:p w14:paraId="2BCC0A26" w14:textId="77777777" w:rsidR="00B32C8B" w:rsidRPr="00BE5DC7" w:rsidRDefault="008817ED" w:rsidP="00BE5DC7">
      <w:pPr>
        <w:widowControl w:val="0"/>
        <w:tabs>
          <w:tab w:val="left" w:pos="1701"/>
          <w:tab w:val="left" w:pos="1843"/>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t xml:space="preserve">En razón de lo anteriormente expuesto, este Instituto estima que las razones o motivos de inconformidad hechos valer por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devienen </w:t>
      </w:r>
      <w:r w:rsidRPr="00BE5DC7">
        <w:rPr>
          <w:rFonts w:ascii="Palatino Linotype" w:eastAsia="Palatino Linotype" w:hAnsi="Palatino Linotype" w:cs="Palatino Linotype"/>
          <w:b/>
        </w:rPr>
        <w:t>fundadas</w:t>
      </w:r>
      <w:r w:rsidRPr="00BE5DC7">
        <w:rPr>
          <w:rFonts w:ascii="Palatino Linotype" w:eastAsia="Palatino Linotype" w:hAnsi="Palatino Linotype" w:cs="Palatino Linotype"/>
        </w:rPr>
        <w:t xml:space="preserve"> y suficientes para </w:t>
      </w:r>
      <w:r w:rsidRPr="00BE5DC7">
        <w:rPr>
          <w:rFonts w:ascii="Palatino Linotype" w:eastAsia="Palatino Linotype" w:hAnsi="Palatino Linotype" w:cs="Palatino Linotype"/>
          <w:b/>
        </w:rPr>
        <w:t>REVOCAR</w:t>
      </w:r>
      <w:r w:rsidRPr="00BE5DC7">
        <w:rPr>
          <w:rFonts w:ascii="Palatino Linotype" w:eastAsia="Palatino Linotype" w:hAnsi="Palatino Linotype" w:cs="Palatino Linotype"/>
        </w:rPr>
        <w:t xml:space="preserve"> la respuesta del </w:t>
      </w:r>
      <w:r w:rsidRPr="00BE5DC7">
        <w:rPr>
          <w:rFonts w:ascii="Palatino Linotype" w:eastAsia="Palatino Linotype" w:hAnsi="Palatino Linotype" w:cs="Palatino Linotype"/>
          <w:b/>
        </w:rPr>
        <w:t>SUJETO OBLIGADO</w:t>
      </w:r>
      <w:r w:rsidRPr="00BE5DC7">
        <w:rPr>
          <w:rFonts w:ascii="Palatino Linotype" w:eastAsia="Palatino Linotype" w:hAnsi="Palatino Linotype" w:cs="Palatino Linotype"/>
        </w:rPr>
        <w:t xml:space="preserve"> y ordenarle haga entrega de la información descrita en el presente Considerando.</w:t>
      </w:r>
    </w:p>
    <w:p w14:paraId="4DAE1D02" w14:textId="77777777" w:rsidR="00B32C8B" w:rsidRPr="00BE5DC7" w:rsidRDefault="00B32C8B" w:rsidP="00BE5DC7">
      <w:pPr>
        <w:widowControl w:val="0"/>
        <w:tabs>
          <w:tab w:val="left" w:pos="1701"/>
          <w:tab w:val="left" w:pos="1843"/>
        </w:tabs>
        <w:spacing w:line="360" w:lineRule="auto"/>
        <w:jc w:val="both"/>
        <w:rPr>
          <w:rFonts w:ascii="Palatino Linotype" w:eastAsia="Palatino Linotype" w:hAnsi="Palatino Linotype" w:cs="Palatino Linotype"/>
        </w:rPr>
      </w:pPr>
    </w:p>
    <w:p w14:paraId="2B9BC153" w14:textId="77777777" w:rsidR="00B32C8B" w:rsidRPr="00BE5DC7" w:rsidRDefault="008817ED" w:rsidP="00BE5DC7">
      <w:pPr>
        <w:spacing w:line="360" w:lineRule="auto"/>
        <w:jc w:val="both"/>
        <w:rPr>
          <w:rFonts w:ascii="Palatino Linotype" w:eastAsia="Palatino Linotype" w:hAnsi="Palatino Linotype" w:cs="Palatino Linotype"/>
        </w:rPr>
      </w:pPr>
      <w:bookmarkStart w:id="2" w:name="_heading=h.30j0zll" w:colFirst="0" w:colLast="0"/>
      <w:bookmarkEnd w:id="2"/>
      <w:r w:rsidRPr="00BE5DC7">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15460B3" w14:textId="77777777" w:rsidR="00B32C8B" w:rsidRDefault="00B32C8B" w:rsidP="00BE5DC7">
      <w:pPr>
        <w:spacing w:line="360" w:lineRule="auto"/>
        <w:jc w:val="both"/>
        <w:rPr>
          <w:rFonts w:ascii="Palatino Linotype" w:eastAsia="Palatino Linotype" w:hAnsi="Palatino Linotype" w:cs="Palatino Linotype"/>
        </w:rPr>
      </w:pPr>
    </w:p>
    <w:p w14:paraId="6D0E7ACE" w14:textId="77777777" w:rsidR="00BE5DC7" w:rsidRDefault="00BE5DC7" w:rsidP="00BE5DC7">
      <w:pPr>
        <w:spacing w:line="360" w:lineRule="auto"/>
        <w:jc w:val="both"/>
        <w:rPr>
          <w:rFonts w:ascii="Palatino Linotype" w:eastAsia="Palatino Linotype" w:hAnsi="Palatino Linotype" w:cs="Palatino Linotype"/>
        </w:rPr>
      </w:pPr>
    </w:p>
    <w:p w14:paraId="5F8A317C" w14:textId="77777777" w:rsidR="00BE5DC7" w:rsidRDefault="00BE5DC7" w:rsidP="00BE5DC7">
      <w:pPr>
        <w:spacing w:line="360" w:lineRule="auto"/>
        <w:jc w:val="both"/>
        <w:rPr>
          <w:rFonts w:ascii="Palatino Linotype" w:eastAsia="Palatino Linotype" w:hAnsi="Palatino Linotype" w:cs="Palatino Linotype"/>
        </w:rPr>
      </w:pPr>
    </w:p>
    <w:p w14:paraId="53995D9A" w14:textId="77777777" w:rsidR="00BE5DC7" w:rsidRDefault="00BE5DC7" w:rsidP="00BE5DC7">
      <w:pPr>
        <w:spacing w:line="360" w:lineRule="auto"/>
        <w:jc w:val="both"/>
        <w:rPr>
          <w:rFonts w:ascii="Palatino Linotype" w:eastAsia="Palatino Linotype" w:hAnsi="Palatino Linotype" w:cs="Palatino Linotype"/>
        </w:rPr>
      </w:pPr>
    </w:p>
    <w:p w14:paraId="3DA8CAF1" w14:textId="77777777" w:rsidR="00BE5DC7" w:rsidRDefault="00BE5DC7" w:rsidP="00BE5DC7">
      <w:pPr>
        <w:spacing w:line="360" w:lineRule="auto"/>
        <w:jc w:val="both"/>
        <w:rPr>
          <w:rFonts w:ascii="Palatino Linotype" w:eastAsia="Palatino Linotype" w:hAnsi="Palatino Linotype" w:cs="Palatino Linotype"/>
        </w:rPr>
      </w:pPr>
    </w:p>
    <w:p w14:paraId="0F7E4BE8" w14:textId="77777777" w:rsidR="00BE5DC7" w:rsidRPr="00BE5DC7" w:rsidRDefault="00BE5DC7" w:rsidP="00BE5DC7">
      <w:pPr>
        <w:spacing w:line="360" w:lineRule="auto"/>
        <w:jc w:val="both"/>
        <w:rPr>
          <w:rFonts w:ascii="Palatino Linotype" w:eastAsia="Palatino Linotype" w:hAnsi="Palatino Linotype" w:cs="Palatino Linotype"/>
        </w:rPr>
      </w:pPr>
    </w:p>
    <w:p w14:paraId="7B32BA46" w14:textId="77777777" w:rsidR="00B32C8B" w:rsidRPr="00BE5DC7" w:rsidRDefault="008817ED" w:rsidP="00BE5DC7">
      <w:pPr>
        <w:spacing w:line="360" w:lineRule="auto"/>
        <w:jc w:val="center"/>
        <w:rPr>
          <w:rFonts w:ascii="Palatino Linotype" w:eastAsia="Palatino Linotype" w:hAnsi="Palatino Linotype" w:cs="Palatino Linotype"/>
          <w:b/>
          <w:sz w:val="28"/>
          <w:szCs w:val="28"/>
        </w:rPr>
      </w:pPr>
      <w:r w:rsidRPr="00BE5DC7">
        <w:rPr>
          <w:rFonts w:ascii="Palatino Linotype" w:eastAsia="Palatino Linotype" w:hAnsi="Palatino Linotype" w:cs="Palatino Linotype"/>
          <w:b/>
          <w:sz w:val="28"/>
          <w:szCs w:val="28"/>
        </w:rPr>
        <w:lastRenderedPageBreak/>
        <w:t>R</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E</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S</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U</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E</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L</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V</w:t>
      </w:r>
      <w:r w:rsidR="00BE5DC7">
        <w:rPr>
          <w:rFonts w:ascii="Palatino Linotype" w:eastAsia="Palatino Linotype" w:hAnsi="Palatino Linotype" w:cs="Palatino Linotype"/>
          <w:b/>
          <w:sz w:val="28"/>
          <w:szCs w:val="28"/>
        </w:rPr>
        <w:t xml:space="preserve"> </w:t>
      </w:r>
      <w:r w:rsidRPr="00BE5DC7">
        <w:rPr>
          <w:rFonts w:ascii="Palatino Linotype" w:eastAsia="Palatino Linotype" w:hAnsi="Palatino Linotype" w:cs="Palatino Linotype"/>
          <w:b/>
          <w:sz w:val="28"/>
          <w:szCs w:val="28"/>
        </w:rPr>
        <w:t>E</w:t>
      </w:r>
    </w:p>
    <w:p w14:paraId="64211C11" w14:textId="77777777" w:rsidR="00B32C8B" w:rsidRPr="006D1CD1" w:rsidRDefault="00B32C8B" w:rsidP="00BE5DC7">
      <w:pPr>
        <w:spacing w:line="360" w:lineRule="auto"/>
        <w:jc w:val="center"/>
        <w:rPr>
          <w:rFonts w:ascii="Palatino Linotype" w:eastAsia="Palatino Linotype" w:hAnsi="Palatino Linotype" w:cs="Palatino Linotype"/>
          <w:b/>
          <w:sz w:val="10"/>
        </w:rPr>
      </w:pPr>
    </w:p>
    <w:p w14:paraId="653EB621"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b/>
        </w:rPr>
        <w:t>PRIMERO</w:t>
      </w:r>
      <w:r w:rsidRPr="00BE5DC7">
        <w:rPr>
          <w:rFonts w:ascii="Palatino Linotype" w:eastAsia="Palatino Linotype" w:hAnsi="Palatino Linotype" w:cs="Palatino Linotype"/>
        </w:rPr>
        <w:t xml:space="preserve">. Resultan </w:t>
      </w:r>
      <w:r w:rsidRPr="00BE5DC7">
        <w:rPr>
          <w:rFonts w:ascii="Palatino Linotype" w:eastAsia="Palatino Linotype" w:hAnsi="Palatino Linotype" w:cs="Palatino Linotype"/>
          <w:b/>
        </w:rPr>
        <w:t>fundadas</w:t>
      </w:r>
      <w:r w:rsidRPr="00BE5DC7">
        <w:rPr>
          <w:rFonts w:ascii="Palatino Linotype" w:eastAsia="Palatino Linotype" w:hAnsi="Palatino Linotype" w:cs="Palatino Linotype"/>
        </w:rPr>
        <w:t xml:space="preserve"> las Razones o Motivos de inconformidad planteadas por </w:t>
      </w:r>
      <w:r w:rsidRPr="00BE5DC7">
        <w:rPr>
          <w:rFonts w:ascii="Palatino Linotype" w:eastAsia="Palatino Linotype" w:hAnsi="Palatino Linotype" w:cs="Palatino Linotype"/>
          <w:b/>
        </w:rPr>
        <w:t>LA RECURRENTE</w:t>
      </w:r>
      <w:r w:rsidRPr="00BE5DC7">
        <w:rPr>
          <w:rFonts w:ascii="Palatino Linotype" w:eastAsia="Palatino Linotype" w:hAnsi="Palatino Linotype" w:cs="Palatino Linotype"/>
        </w:rPr>
        <w:t xml:space="preserve">, en términos del Considerando </w:t>
      </w:r>
      <w:r w:rsidRPr="00BE5DC7">
        <w:rPr>
          <w:rFonts w:ascii="Palatino Linotype" w:eastAsia="Palatino Linotype" w:hAnsi="Palatino Linotype" w:cs="Palatino Linotype"/>
          <w:b/>
        </w:rPr>
        <w:t>QUINTO</w:t>
      </w:r>
      <w:r w:rsidRPr="00BE5DC7">
        <w:rPr>
          <w:rFonts w:ascii="Palatino Linotype" w:eastAsia="Palatino Linotype" w:hAnsi="Palatino Linotype" w:cs="Palatino Linotype"/>
        </w:rPr>
        <w:t xml:space="preserve"> de la presente resolución.</w:t>
      </w:r>
    </w:p>
    <w:p w14:paraId="31DDF6CB" w14:textId="77777777" w:rsidR="00B32C8B" w:rsidRPr="006D1CD1" w:rsidRDefault="00B32C8B" w:rsidP="00BE5DC7">
      <w:pPr>
        <w:spacing w:line="360" w:lineRule="auto"/>
        <w:jc w:val="both"/>
        <w:rPr>
          <w:rFonts w:ascii="Palatino Linotype" w:eastAsia="Palatino Linotype" w:hAnsi="Palatino Linotype" w:cs="Palatino Linotype"/>
          <w:sz w:val="12"/>
        </w:rPr>
      </w:pPr>
    </w:p>
    <w:p w14:paraId="2B518551" w14:textId="77777777" w:rsidR="00B32C8B" w:rsidRPr="00BE5DC7" w:rsidRDefault="008817ED" w:rsidP="00BE5DC7">
      <w:pPr>
        <w:spacing w:line="360" w:lineRule="auto"/>
        <w:ind w:right="49"/>
        <w:jc w:val="both"/>
        <w:rPr>
          <w:rFonts w:ascii="Palatino Linotype" w:eastAsia="Palatino Linotype" w:hAnsi="Palatino Linotype" w:cs="Palatino Linotype"/>
        </w:rPr>
      </w:pPr>
      <w:r w:rsidRPr="00BE5DC7">
        <w:rPr>
          <w:rFonts w:ascii="Palatino Linotype" w:eastAsia="Palatino Linotype" w:hAnsi="Palatino Linotype" w:cs="Palatino Linotype"/>
          <w:b/>
        </w:rPr>
        <w:t>SEGUNDO</w:t>
      </w:r>
      <w:r w:rsidRPr="00BE5DC7">
        <w:rPr>
          <w:rFonts w:ascii="Palatino Linotype" w:eastAsia="Palatino Linotype" w:hAnsi="Palatino Linotype" w:cs="Palatino Linotype"/>
        </w:rPr>
        <w:t xml:space="preserve">. Se </w:t>
      </w:r>
      <w:r w:rsidRPr="00BE5DC7">
        <w:rPr>
          <w:rFonts w:ascii="Palatino Linotype" w:eastAsia="Palatino Linotype" w:hAnsi="Palatino Linotype" w:cs="Palatino Linotype"/>
          <w:b/>
        </w:rPr>
        <w:t xml:space="preserve">REVOCA </w:t>
      </w:r>
      <w:r w:rsidRPr="00BE5DC7">
        <w:rPr>
          <w:rFonts w:ascii="Palatino Linotype" w:eastAsia="Palatino Linotype" w:hAnsi="Palatino Linotype" w:cs="Palatino Linotype"/>
        </w:rPr>
        <w:t xml:space="preserve">la respuesta otorgada por </w:t>
      </w:r>
      <w:r w:rsidRPr="00BE5DC7">
        <w:rPr>
          <w:rFonts w:ascii="Palatino Linotype" w:eastAsia="Palatino Linotype" w:hAnsi="Palatino Linotype" w:cs="Palatino Linotype"/>
          <w:b/>
        </w:rPr>
        <w:t>EL SUJETO OBLIGADO</w:t>
      </w:r>
      <w:r w:rsidRPr="00BE5DC7">
        <w:rPr>
          <w:rFonts w:ascii="Palatino Linotype" w:eastAsia="Palatino Linotype" w:hAnsi="Palatino Linotype" w:cs="Palatino Linotype"/>
        </w:rPr>
        <w:t xml:space="preserve"> a la solicitud de información que dio origen al Recurso de Revisión con número </w:t>
      </w:r>
      <w:r w:rsidRPr="00BE5DC7">
        <w:rPr>
          <w:rFonts w:ascii="Palatino Linotype" w:eastAsia="Palatino Linotype" w:hAnsi="Palatino Linotype" w:cs="Palatino Linotype"/>
          <w:b/>
        </w:rPr>
        <w:t xml:space="preserve">01162/INFOEM/IP/RR/2024 </w:t>
      </w:r>
      <w:r w:rsidRPr="00BE5DC7">
        <w:rPr>
          <w:rFonts w:ascii="Palatino Linotype" w:eastAsia="Palatino Linotype" w:hAnsi="Palatino Linotype" w:cs="Palatino Linotype"/>
        </w:rPr>
        <w:t xml:space="preserve">y se </w:t>
      </w:r>
      <w:r w:rsidRPr="00BE5DC7">
        <w:rPr>
          <w:rFonts w:ascii="Palatino Linotype" w:eastAsia="Palatino Linotype" w:hAnsi="Palatino Linotype" w:cs="Palatino Linotype"/>
          <w:b/>
        </w:rPr>
        <w:t xml:space="preserve">ORDENA </w:t>
      </w:r>
      <w:r w:rsidRPr="00BE5DC7">
        <w:rPr>
          <w:rFonts w:ascii="Palatino Linotype" w:eastAsia="Palatino Linotype" w:hAnsi="Palatino Linotype" w:cs="Palatino Linotype"/>
        </w:rPr>
        <w:t xml:space="preserve">que en términos del Considerando </w:t>
      </w:r>
      <w:r w:rsidRPr="00BE5DC7">
        <w:rPr>
          <w:rFonts w:ascii="Palatino Linotype" w:eastAsia="Palatino Linotype" w:hAnsi="Palatino Linotype" w:cs="Palatino Linotype"/>
          <w:b/>
        </w:rPr>
        <w:t xml:space="preserve">QUINTO </w:t>
      </w:r>
      <w:r w:rsidRPr="00BE5DC7">
        <w:rPr>
          <w:rFonts w:ascii="Palatino Linotype" w:eastAsia="Palatino Linotype" w:hAnsi="Palatino Linotype" w:cs="Palatino Linotype"/>
        </w:rPr>
        <w:t xml:space="preserve">de esta Resolución haga entrega al </w:t>
      </w:r>
      <w:r w:rsidRPr="00BE5DC7">
        <w:rPr>
          <w:rFonts w:ascii="Palatino Linotype" w:eastAsia="Palatino Linotype" w:hAnsi="Palatino Linotype" w:cs="Palatino Linotype"/>
          <w:b/>
        </w:rPr>
        <w:t>RECURRENTE</w:t>
      </w:r>
      <w:r w:rsidRPr="00BE5DC7">
        <w:rPr>
          <w:rFonts w:ascii="Palatino Linotype" w:eastAsia="Palatino Linotype" w:hAnsi="Palatino Linotype" w:cs="Palatino Linotype"/>
        </w:rPr>
        <w:t xml:space="preserve">, vía Sistema de Acceso a la Información Mexiquense </w:t>
      </w:r>
      <w:r w:rsidRPr="00BE5DC7">
        <w:rPr>
          <w:rFonts w:ascii="Palatino Linotype" w:eastAsia="Palatino Linotype" w:hAnsi="Palatino Linotype" w:cs="Palatino Linotype"/>
          <w:b/>
        </w:rPr>
        <w:t xml:space="preserve">(SAIMEX), en versión pública </w:t>
      </w:r>
      <w:r w:rsidRPr="00BE5DC7">
        <w:rPr>
          <w:rFonts w:ascii="Palatino Linotype" w:eastAsia="Palatino Linotype" w:hAnsi="Palatino Linotype" w:cs="Palatino Linotype"/>
        </w:rPr>
        <w:t>de lo siguiente:</w:t>
      </w:r>
    </w:p>
    <w:p w14:paraId="71743769" w14:textId="77777777" w:rsidR="00B32C8B" w:rsidRPr="006D1CD1" w:rsidRDefault="00B32C8B" w:rsidP="00BE5DC7">
      <w:pPr>
        <w:spacing w:line="276" w:lineRule="auto"/>
        <w:ind w:right="49"/>
        <w:jc w:val="both"/>
        <w:rPr>
          <w:rFonts w:ascii="Palatino Linotype" w:eastAsia="Palatino Linotype" w:hAnsi="Palatino Linotype" w:cs="Palatino Linotype"/>
          <w:sz w:val="10"/>
          <w:szCs w:val="22"/>
        </w:rPr>
      </w:pPr>
    </w:p>
    <w:p w14:paraId="127E9FD3" w14:textId="77777777" w:rsidR="00B32C8B" w:rsidRPr="00BE5DC7" w:rsidRDefault="008817ED" w:rsidP="00BE5DC7">
      <w:pPr>
        <w:numPr>
          <w:ilvl w:val="0"/>
          <w:numId w:val="2"/>
        </w:numPr>
        <w:pBdr>
          <w:top w:val="nil"/>
          <w:left w:val="nil"/>
          <w:bottom w:val="nil"/>
          <w:right w:val="nil"/>
          <w:between w:val="nil"/>
        </w:pBdr>
        <w:tabs>
          <w:tab w:val="left" w:pos="7655"/>
        </w:tabs>
        <w:spacing w:after="120"/>
        <w:ind w:left="1208" w:right="902" w:hanging="357"/>
        <w:jc w:val="both"/>
        <w:rPr>
          <w:rFonts w:ascii="Palatino Linotype" w:eastAsia="Palatino Linotype" w:hAnsi="Palatino Linotype" w:cs="Palatino Linotype"/>
          <w:i/>
        </w:rPr>
      </w:pPr>
      <w:r w:rsidRPr="00BE5DC7">
        <w:rPr>
          <w:rFonts w:ascii="Palatino Linotype" w:eastAsia="Palatino Linotype" w:hAnsi="Palatino Linotype" w:cs="Palatino Linotype"/>
          <w:i/>
        </w:rPr>
        <w:t xml:space="preserve">Documento o documentos donde consten las listas de control o registro de asistencia mediante </w:t>
      </w:r>
      <w:r w:rsidRPr="00BE5DC7">
        <w:rPr>
          <w:rFonts w:ascii="Palatino Linotype" w:eastAsia="Palatino Linotype" w:hAnsi="Palatino Linotype" w:cs="Palatino Linotype"/>
          <w:b/>
          <w:i/>
        </w:rPr>
        <w:t xml:space="preserve">el registro dactilar en el aparato biométrico </w:t>
      </w:r>
      <w:proofErr w:type="spellStart"/>
      <w:r w:rsidRPr="00BE5DC7">
        <w:rPr>
          <w:rFonts w:ascii="Palatino Linotype" w:eastAsia="Palatino Linotype" w:hAnsi="Palatino Linotype" w:cs="Palatino Linotype"/>
          <w:b/>
          <w:i/>
        </w:rPr>
        <w:t>u</w:t>
      </w:r>
      <w:proofErr w:type="spellEnd"/>
      <w:r w:rsidRPr="00BE5DC7">
        <w:rPr>
          <w:rFonts w:ascii="Palatino Linotype" w:eastAsia="Palatino Linotype" w:hAnsi="Palatino Linotype" w:cs="Palatino Linotype"/>
          <w:b/>
          <w:i/>
        </w:rPr>
        <w:t xml:space="preserve"> homólogo</w:t>
      </w:r>
      <w:r w:rsidRPr="00BE5DC7">
        <w:rPr>
          <w:rFonts w:ascii="Palatino Linotype" w:eastAsia="Palatino Linotype" w:hAnsi="Palatino Linotype" w:cs="Palatino Linotype"/>
          <w:i/>
        </w:rPr>
        <w:t xml:space="preserve"> de los servidores públicos referidos en la solicitud, generados del </w:t>
      </w:r>
      <w:r w:rsidRPr="00BE5DC7">
        <w:rPr>
          <w:rFonts w:ascii="Palatino Linotype" w:eastAsia="Palatino Linotype" w:hAnsi="Palatino Linotype" w:cs="Palatino Linotype"/>
          <w:i/>
          <w:sz w:val="22"/>
          <w:szCs w:val="22"/>
        </w:rPr>
        <w:t>15 de enero de 2024 al 8 de febrero del 2024</w:t>
      </w:r>
      <w:r w:rsidRPr="00BE5DC7">
        <w:rPr>
          <w:rFonts w:ascii="Palatino Linotype" w:eastAsia="Palatino Linotype" w:hAnsi="Palatino Linotype" w:cs="Palatino Linotype"/>
          <w:i/>
        </w:rPr>
        <w:t xml:space="preserve">, o en su caso, si les aplica, el documento que establezca la excepción para registrar la asistencia, emitida por autoridad competente. </w:t>
      </w:r>
    </w:p>
    <w:p w14:paraId="1EC60BB1" w14:textId="77777777" w:rsidR="00B32C8B" w:rsidRPr="00BE5DC7" w:rsidRDefault="008817ED" w:rsidP="00BE5DC7">
      <w:pPr>
        <w:numPr>
          <w:ilvl w:val="0"/>
          <w:numId w:val="2"/>
        </w:numPr>
        <w:pBdr>
          <w:top w:val="nil"/>
          <w:left w:val="nil"/>
          <w:bottom w:val="nil"/>
          <w:right w:val="nil"/>
          <w:between w:val="nil"/>
        </w:pBdr>
        <w:tabs>
          <w:tab w:val="left" w:pos="7655"/>
        </w:tabs>
        <w:spacing w:after="120"/>
        <w:ind w:left="1208" w:right="902" w:hanging="357"/>
        <w:jc w:val="both"/>
        <w:rPr>
          <w:rFonts w:ascii="Palatino Linotype" w:eastAsia="Palatino Linotype" w:hAnsi="Palatino Linotype" w:cs="Palatino Linotype"/>
          <w:i/>
        </w:rPr>
      </w:pPr>
      <w:r w:rsidRPr="00BE5DC7">
        <w:rPr>
          <w:rFonts w:ascii="Palatino Linotype" w:eastAsia="Palatino Linotype" w:hAnsi="Palatino Linotype" w:cs="Palatino Linotype"/>
          <w:i/>
        </w:rPr>
        <w:t xml:space="preserve">Los recibos de nómina de los servidores públicos referidos en la solicitud, generados en la segunda quincena de enero </w:t>
      </w:r>
      <w:r w:rsidRPr="00BE5DC7">
        <w:rPr>
          <w:rFonts w:ascii="Palatino Linotype" w:eastAsia="Palatino Linotype" w:hAnsi="Palatino Linotype" w:cs="Palatino Linotype"/>
          <w:i/>
          <w:sz w:val="22"/>
          <w:szCs w:val="22"/>
        </w:rPr>
        <w:t>de 2024.</w:t>
      </w:r>
    </w:p>
    <w:p w14:paraId="2EBB34F5" w14:textId="77777777" w:rsidR="00B32C8B" w:rsidRPr="00BE5DC7" w:rsidRDefault="008817ED" w:rsidP="00BE5DC7">
      <w:pPr>
        <w:spacing w:before="240" w:after="240"/>
        <w:ind w:left="851" w:right="899"/>
        <w:jc w:val="both"/>
        <w:rPr>
          <w:rFonts w:ascii="Palatino Linotype" w:eastAsia="Palatino Linotype" w:hAnsi="Palatino Linotype" w:cs="Palatino Linotype"/>
          <w:i/>
        </w:rPr>
      </w:pPr>
      <w:r w:rsidRPr="00BE5DC7">
        <w:rPr>
          <w:rFonts w:ascii="Palatino Linotype" w:eastAsia="Palatino Linotype" w:hAnsi="Palatino Linotype" w:cs="Palatino Linotype"/>
          <w:i/>
        </w:rPr>
        <w:t>Debiendo notificar al RECURRENTE el Acuerdo de Clasificación de la información que emita el Comité de Transparencia con motivo de la versión pública.</w:t>
      </w:r>
    </w:p>
    <w:p w14:paraId="5EEB628F" w14:textId="77777777" w:rsidR="00B32C8B" w:rsidRPr="00BE5DC7" w:rsidRDefault="008817ED" w:rsidP="00BE5DC7">
      <w:pPr>
        <w:spacing w:before="240" w:after="240"/>
        <w:ind w:left="851" w:right="899"/>
        <w:jc w:val="both"/>
        <w:rPr>
          <w:rFonts w:ascii="Palatino Linotype" w:eastAsia="Palatino Linotype" w:hAnsi="Palatino Linotype" w:cs="Palatino Linotype"/>
          <w:i/>
        </w:rPr>
      </w:pPr>
      <w:r w:rsidRPr="00BE5DC7">
        <w:rPr>
          <w:rFonts w:ascii="Palatino Linotype" w:eastAsia="Palatino Linotype" w:hAnsi="Palatino Linotype" w:cs="Palatino Linotype"/>
          <w:i/>
        </w:rPr>
        <w:t xml:space="preserve">En caso que de no haberse generado la información que se ordena respecto a las listas de asistencia, o en su caso, la excepción de elaborar listas de asistencia o registro de asistencia electrónico mediante </w:t>
      </w:r>
      <w:r w:rsidRPr="00BE5DC7">
        <w:rPr>
          <w:rFonts w:ascii="Palatino Linotype" w:eastAsia="Palatino Linotype" w:hAnsi="Palatino Linotype" w:cs="Palatino Linotype"/>
          <w:b/>
          <w:i/>
        </w:rPr>
        <w:t xml:space="preserve">el registro dactilar en el aparato biométrico </w:t>
      </w:r>
      <w:proofErr w:type="spellStart"/>
      <w:r w:rsidRPr="00BE5DC7">
        <w:rPr>
          <w:rFonts w:ascii="Palatino Linotype" w:eastAsia="Palatino Linotype" w:hAnsi="Palatino Linotype" w:cs="Palatino Linotype"/>
          <w:b/>
          <w:i/>
        </w:rPr>
        <w:t>u</w:t>
      </w:r>
      <w:proofErr w:type="spellEnd"/>
      <w:r w:rsidRPr="00BE5DC7">
        <w:rPr>
          <w:rFonts w:ascii="Palatino Linotype" w:eastAsia="Palatino Linotype" w:hAnsi="Palatino Linotype" w:cs="Palatino Linotype"/>
          <w:b/>
          <w:i/>
        </w:rPr>
        <w:t xml:space="preserve"> homologo,</w:t>
      </w:r>
      <w:r w:rsidRPr="00BE5DC7">
        <w:rPr>
          <w:rFonts w:ascii="Palatino Linotype" w:eastAsia="Palatino Linotype" w:hAnsi="Palatino Linotype" w:cs="Palatino Linotype"/>
          <w:i/>
        </w:rPr>
        <w:t xml:space="preserve"> el Sujeto Obligado deberá emitir el Acuerdo de Inexistencia en términos de los artículos 49, fracciones II y XIII, 169 y 170 de la Ley de Transparencia y Acceso a la Información Pública del Estado de México y Municipios.</w:t>
      </w:r>
    </w:p>
    <w:p w14:paraId="0730F3B3" w14:textId="77777777" w:rsidR="00B32C8B" w:rsidRPr="00BE5DC7" w:rsidRDefault="008817ED" w:rsidP="00BE5DC7">
      <w:pPr>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b/>
          <w:sz w:val="28"/>
          <w:szCs w:val="28"/>
        </w:rPr>
        <w:lastRenderedPageBreak/>
        <w:t>TERCERO</w:t>
      </w:r>
      <w:r w:rsidRPr="00BE5DC7">
        <w:rPr>
          <w:rFonts w:ascii="Palatino Linotype" w:eastAsia="Palatino Linotype" w:hAnsi="Palatino Linotype" w:cs="Palatino Linotype"/>
          <w:b/>
        </w:rPr>
        <w:t>.</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 xml:space="preserve">Notifíquese </w:t>
      </w:r>
      <w:r w:rsidRPr="00BE5DC7">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E5DC7">
        <w:rPr>
          <w:rFonts w:ascii="Palatino Linotype" w:eastAsia="Palatino Linotype" w:hAnsi="Palatino Linotype" w:cs="Palatino Linotype"/>
          <w:b/>
        </w:rPr>
        <w:t>diez días hábiles</w:t>
      </w:r>
      <w:r w:rsidRPr="00BE5DC7">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01D524" w14:textId="77777777" w:rsidR="00B32C8B" w:rsidRPr="00BE5DC7" w:rsidRDefault="00B32C8B" w:rsidP="00BE5DC7">
      <w:pPr>
        <w:pBdr>
          <w:top w:val="nil"/>
          <w:left w:val="nil"/>
          <w:bottom w:val="nil"/>
          <w:right w:val="nil"/>
          <w:between w:val="nil"/>
        </w:pBdr>
        <w:tabs>
          <w:tab w:val="left" w:pos="709"/>
        </w:tabs>
        <w:spacing w:line="360" w:lineRule="auto"/>
        <w:ind w:left="720" w:right="51"/>
        <w:jc w:val="both"/>
        <w:rPr>
          <w:rFonts w:ascii="Palatino Linotype" w:eastAsia="Palatino Linotype" w:hAnsi="Palatino Linotype" w:cs="Palatino Linotype"/>
          <w:b/>
        </w:rPr>
      </w:pPr>
    </w:p>
    <w:p w14:paraId="6D5AD257" w14:textId="77777777" w:rsidR="00B32C8B" w:rsidRPr="00BE5DC7" w:rsidRDefault="008817ED" w:rsidP="00BE5DC7">
      <w:pPr>
        <w:pBdr>
          <w:top w:val="nil"/>
          <w:left w:val="nil"/>
          <w:bottom w:val="nil"/>
          <w:right w:val="nil"/>
          <w:between w:val="nil"/>
        </w:pBdr>
        <w:tabs>
          <w:tab w:val="left" w:pos="360"/>
        </w:tabs>
        <w:spacing w:line="360" w:lineRule="auto"/>
        <w:ind w:right="51"/>
        <w:jc w:val="both"/>
        <w:rPr>
          <w:rFonts w:ascii="Palatino Linotype" w:eastAsia="Palatino Linotype" w:hAnsi="Palatino Linotype" w:cs="Palatino Linotype"/>
          <w:b/>
        </w:rPr>
      </w:pPr>
      <w:r w:rsidRPr="00BE5DC7">
        <w:rPr>
          <w:rFonts w:ascii="Palatino Linotype" w:eastAsia="Palatino Linotype" w:hAnsi="Palatino Linotype" w:cs="Palatino Linotype"/>
          <w:b/>
          <w:sz w:val="28"/>
          <w:szCs w:val="28"/>
        </w:rPr>
        <w:t>CUARTO.</w:t>
      </w:r>
      <w:r w:rsidRPr="00BE5DC7">
        <w:rPr>
          <w:rFonts w:ascii="Palatino Linotype" w:eastAsia="Palatino Linotype" w:hAnsi="Palatino Linotype" w:cs="Palatino Linotype"/>
        </w:rPr>
        <w:t xml:space="preserve"> </w:t>
      </w:r>
      <w:r w:rsidRPr="00BE5DC7">
        <w:rPr>
          <w:rFonts w:ascii="Palatino Linotype" w:eastAsia="Palatino Linotype" w:hAnsi="Palatino Linotype" w:cs="Palatino Linotype"/>
          <w:b/>
        </w:rPr>
        <w:t>Notifíquese</w:t>
      </w:r>
      <w:r w:rsidRPr="00BE5DC7">
        <w:rPr>
          <w:rFonts w:ascii="Palatino Linotype" w:eastAsia="Palatino Linotype" w:hAnsi="Palatino Linotype" w:cs="Palatino Linotype"/>
        </w:rPr>
        <w:t xml:space="preserve"> al </w:t>
      </w:r>
      <w:r w:rsidRPr="00BE5DC7">
        <w:rPr>
          <w:rFonts w:ascii="Palatino Linotype" w:eastAsia="Palatino Linotype" w:hAnsi="Palatino Linotype" w:cs="Palatino Linotype"/>
          <w:b/>
        </w:rPr>
        <w:t>RECURRENTE</w:t>
      </w:r>
      <w:r w:rsidRPr="00BE5DC7">
        <w:rPr>
          <w:rFonts w:ascii="Palatino Linotype" w:eastAsia="Palatino Linotype" w:hAnsi="Palatino Linotype" w:cs="Palatino Linotype"/>
        </w:rPr>
        <w:t xml:space="preserve"> la presente resolución vía Sistema de Acceso a la Información Mexiquense </w:t>
      </w:r>
      <w:r w:rsidRPr="00BE5DC7">
        <w:rPr>
          <w:rFonts w:ascii="Palatino Linotype" w:eastAsia="Palatino Linotype" w:hAnsi="Palatino Linotype" w:cs="Palatino Linotype"/>
          <w:b/>
        </w:rPr>
        <w:t>SAIMEX</w:t>
      </w:r>
      <w:r w:rsidRPr="00BE5DC7">
        <w:rPr>
          <w:rFonts w:ascii="Palatino Linotype" w:eastAsia="Palatino Linotype" w:hAnsi="Palatino Linotype" w:cs="Palatino Linotype"/>
        </w:rPr>
        <w:t>.</w:t>
      </w:r>
    </w:p>
    <w:p w14:paraId="50445502" w14:textId="77777777" w:rsidR="00B32C8B" w:rsidRPr="00BE5DC7" w:rsidRDefault="00B32C8B" w:rsidP="00BE5DC7">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87DFBE0" w14:textId="77777777" w:rsidR="00B32C8B" w:rsidRPr="00BE5DC7" w:rsidRDefault="008817ED" w:rsidP="00BE5DC7">
      <w:pPr>
        <w:pBdr>
          <w:top w:val="nil"/>
          <w:left w:val="nil"/>
          <w:bottom w:val="nil"/>
          <w:right w:val="nil"/>
          <w:between w:val="nil"/>
        </w:pBdr>
        <w:tabs>
          <w:tab w:val="left" w:pos="360"/>
        </w:tabs>
        <w:spacing w:line="360" w:lineRule="auto"/>
        <w:ind w:right="51"/>
        <w:jc w:val="both"/>
        <w:rPr>
          <w:rFonts w:ascii="Palatino Linotype" w:eastAsia="Palatino Linotype" w:hAnsi="Palatino Linotype" w:cs="Palatino Linotype"/>
        </w:rPr>
      </w:pPr>
      <w:r w:rsidRPr="00BE5DC7">
        <w:rPr>
          <w:rFonts w:ascii="Palatino Linotype" w:eastAsia="Palatino Linotype" w:hAnsi="Palatino Linotype" w:cs="Palatino Linotype"/>
          <w:b/>
          <w:sz w:val="28"/>
          <w:szCs w:val="28"/>
        </w:rPr>
        <w:t>QUINTO.</w:t>
      </w:r>
      <w:r w:rsidRPr="00BE5DC7">
        <w:rPr>
          <w:rFonts w:ascii="Palatino Linotype" w:eastAsia="Palatino Linotype" w:hAnsi="Palatino Linotype" w:cs="Palatino Linotype"/>
        </w:rPr>
        <w:t xml:space="preserve"> Hágase del conocimiento al </w:t>
      </w:r>
      <w:r w:rsidRPr="00BE5DC7">
        <w:rPr>
          <w:rFonts w:ascii="Palatino Linotype" w:eastAsia="Palatino Linotype" w:hAnsi="Palatino Linotype" w:cs="Palatino Linotype"/>
          <w:b/>
        </w:rPr>
        <w:t>RECURRENTE</w:t>
      </w:r>
      <w:r w:rsidRPr="00BE5DC7">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4434AB86" w14:textId="77777777" w:rsidR="00B32C8B" w:rsidRPr="00BE5DC7" w:rsidRDefault="00B32C8B" w:rsidP="00BE5DC7">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33A503C7" w14:textId="77777777" w:rsidR="00B32C8B" w:rsidRPr="00BE5DC7" w:rsidRDefault="008817ED" w:rsidP="00BE5DC7">
      <w:pPr>
        <w:pBdr>
          <w:top w:val="nil"/>
          <w:left w:val="nil"/>
          <w:bottom w:val="nil"/>
          <w:right w:val="nil"/>
          <w:between w:val="nil"/>
        </w:pBdr>
        <w:tabs>
          <w:tab w:val="left" w:pos="360"/>
        </w:tabs>
        <w:spacing w:line="360" w:lineRule="auto"/>
        <w:ind w:right="51"/>
        <w:jc w:val="both"/>
        <w:rPr>
          <w:rFonts w:ascii="Palatino Linotype" w:eastAsia="Palatino Linotype" w:hAnsi="Palatino Linotype" w:cs="Palatino Linotype"/>
        </w:rPr>
      </w:pPr>
      <w:r w:rsidRPr="00BE5DC7">
        <w:rPr>
          <w:rFonts w:ascii="Palatino Linotype" w:eastAsia="Palatino Linotype" w:hAnsi="Palatino Linotype" w:cs="Palatino Linotype"/>
          <w:b/>
          <w:sz w:val="28"/>
          <w:szCs w:val="28"/>
        </w:rPr>
        <w:t>SEXTO.</w:t>
      </w:r>
      <w:r w:rsidRPr="00BE5DC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C8EC9CD" w14:textId="77777777" w:rsidR="00B32C8B" w:rsidRPr="00BE5DC7" w:rsidRDefault="008817ED" w:rsidP="00BE5DC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BE5DC7">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 </w:t>
      </w:r>
    </w:p>
    <w:p w14:paraId="6CE09583" w14:textId="77777777" w:rsidR="00B32C8B" w:rsidRPr="00BE5DC7" w:rsidRDefault="008817ED" w:rsidP="00BE5DC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sz w:val="16"/>
          <w:szCs w:val="16"/>
        </w:rPr>
      </w:pPr>
      <w:r w:rsidRPr="00BE5DC7">
        <w:rPr>
          <w:rFonts w:ascii="Palatino Linotype" w:eastAsia="Palatino Linotype" w:hAnsi="Palatino Linotype" w:cs="Palatino Linotype"/>
          <w:b/>
          <w:sz w:val="16"/>
          <w:szCs w:val="16"/>
        </w:rPr>
        <w:t>SCMM/AGZ/DEMF/AGE</w:t>
      </w:r>
    </w:p>
    <w:p w14:paraId="7ED4ACD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3FF77D7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1494EB1E"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300C89CF"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6C0F8E9B"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2BDECA4B"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1D036E00"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279FA5CE"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32A8A555"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0ADB6B0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1EA5810D"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4E548838"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1BFAA489"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7986ED97"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4855A12E"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18154E23"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046341D3"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6EE0FC7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48423FA4"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30904B53"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2AA67357"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4EA38F52"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73BE17E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5EA7CDF6"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66953680" w14:textId="77777777" w:rsidR="00B32C8B" w:rsidRPr="00BE5DC7" w:rsidRDefault="00B32C8B" w:rsidP="00BE5DC7">
      <w:pPr>
        <w:spacing w:line="360" w:lineRule="auto"/>
        <w:jc w:val="both"/>
        <w:rPr>
          <w:rFonts w:ascii="Palatino Linotype" w:eastAsia="Palatino Linotype" w:hAnsi="Palatino Linotype" w:cs="Palatino Linotype"/>
          <w:sz w:val="20"/>
          <w:szCs w:val="20"/>
        </w:rPr>
      </w:pPr>
    </w:p>
    <w:p w14:paraId="0558A811" w14:textId="77777777" w:rsidR="00B32C8B" w:rsidRPr="00BE5DC7" w:rsidRDefault="00B32C8B" w:rsidP="00BE5DC7">
      <w:pPr>
        <w:spacing w:line="360" w:lineRule="auto"/>
        <w:jc w:val="both"/>
        <w:rPr>
          <w:rFonts w:ascii="Palatino Linotype" w:eastAsia="Palatino Linotype" w:hAnsi="Palatino Linotype" w:cs="Palatino Linotype"/>
          <w:b/>
          <w:sz w:val="28"/>
          <w:szCs w:val="28"/>
        </w:rPr>
      </w:pPr>
    </w:p>
    <w:sectPr w:rsidR="00B32C8B" w:rsidRPr="00BE5DC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3519" w14:textId="77777777" w:rsidR="00854C2C" w:rsidRDefault="00854C2C">
      <w:r>
        <w:separator/>
      </w:r>
    </w:p>
  </w:endnote>
  <w:endnote w:type="continuationSeparator" w:id="0">
    <w:p w14:paraId="559CA1D6" w14:textId="77777777" w:rsidR="00854C2C" w:rsidRDefault="008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DA56" w14:textId="77777777" w:rsidR="00B32C8B" w:rsidRDefault="008817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64C3E">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64C3E">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7C26" w14:textId="77777777" w:rsidR="00B32C8B" w:rsidRDefault="008817E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64C3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64C3E">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C7E88" w14:textId="77777777" w:rsidR="00854C2C" w:rsidRDefault="00854C2C">
      <w:r>
        <w:separator/>
      </w:r>
    </w:p>
  </w:footnote>
  <w:footnote w:type="continuationSeparator" w:id="0">
    <w:p w14:paraId="11F03B26" w14:textId="77777777" w:rsidR="00854C2C" w:rsidRDefault="0085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EE3E" w14:textId="77777777" w:rsidR="00B32C8B" w:rsidRDefault="0000000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045E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458F" w14:textId="77777777" w:rsidR="00B32C8B" w:rsidRDefault="0000000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5B0E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29.25pt;margin-top:-91.6pt;width:540pt;height:10in;z-index:-251659776;mso-position-horizontal:absolute;mso-position-horizontal-relative:margin;mso-position-vertical:absolute;mso-position-vertical-relative:margin">
          <v:imagedata r:id="rId1" o:title="image2"/>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B32C8B" w14:paraId="207C9247" w14:textId="77777777">
      <w:tc>
        <w:tcPr>
          <w:tcW w:w="3261" w:type="dxa"/>
          <w:vMerge w:val="restart"/>
        </w:tcPr>
        <w:p w14:paraId="43218033"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953028" wp14:editId="3F655A81">
                <wp:extent cx="1692162" cy="852673"/>
                <wp:effectExtent l="0" t="0" r="0" b="0"/>
                <wp:docPr id="11322239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7400B07"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EF3F7F6" w14:textId="77777777" w:rsidR="00B32C8B" w:rsidRDefault="008817ED">
          <w:pPr>
            <w:jc w:val="both"/>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01162/INFOEM/IP/RR/2024</w:t>
          </w:r>
        </w:p>
      </w:tc>
    </w:tr>
    <w:tr w:rsidR="00B32C8B" w14:paraId="2935411A" w14:textId="77777777">
      <w:tc>
        <w:tcPr>
          <w:tcW w:w="3261" w:type="dxa"/>
          <w:vMerge/>
        </w:tcPr>
        <w:p w14:paraId="660475A6" w14:textId="77777777" w:rsidR="00B32C8B" w:rsidRDefault="00B32C8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4224290"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41605F4F" w14:textId="77777777" w:rsidR="00B32C8B" w:rsidRDefault="008817ED">
          <w:pPr>
            <w:jc w:val="both"/>
            <w:rPr>
              <w:rFonts w:ascii="Palatino Linotype" w:eastAsia="Palatino Linotype" w:hAnsi="Palatino Linotype" w:cs="Palatino Linotype"/>
              <w:b/>
            </w:rPr>
          </w:pPr>
          <w:r>
            <w:rPr>
              <w:rFonts w:ascii="Palatino Linotype" w:eastAsia="Palatino Linotype" w:hAnsi="Palatino Linotype" w:cs="Palatino Linotype"/>
              <w:b/>
            </w:rPr>
            <w:t>Ayuntamiento de Ocuilan</w:t>
          </w:r>
        </w:p>
      </w:tc>
    </w:tr>
    <w:tr w:rsidR="00B32C8B" w14:paraId="027DEDE5" w14:textId="77777777">
      <w:trPr>
        <w:trHeight w:val="228"/>
      </w:trPr>
      <w:tc>
        <w:tcPr>
          <w:tcW w:w="3261" w:type="dxa"/>
          <w:vMerge/>
        </w:tcPr>
        <w:p w14:paraId="7B0F4F65" w14:textId="77777777" w:rsidR="00B32C8B" w:rsidRDefault="00B32C8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1565C470"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C2DC225" w14:textId="77777777" w:rsidR="00B32C8B" w:rsidRDefault="008817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41C25C3" w14:textId="77777777" w:rsidR="00B32C8B" w:rsidRDefault="00B32C8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2C98" w14:textId="77777777" w:rsidR="00B32C8B" w:rsidRDefault="0000000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E4DD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B32C8B" w14:paraId="0D88BDBE" w14:textId="77777777">
      <w:tc>
        <w:tcPr>
          <w:tcW w:w="4253" w:type="dxa"/>
          <w:vMerge w:val="restart"/>
          <w:shd w:val="clear" w:color="auto" w:fill="auto"/>
        </w:tcPr>
        <w:p w14:paraId="560F73F5"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B399C00" wp14:editId="6C22AE86">
                <wp:extent cx="1692162" cy="852673"/>
                <wp:effectExtent l="0" t="0" r="0" b="0"/>
                <wp:docPr id="11322239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9E0710F"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25E0F96" w14:textId="77777777" w:rsidR="00B32C8B" w:rsidRDefault="008817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01162/INFOEM/IP/RR/2024</w:t>
          </w:r>
        </w:p>
      </w:tc>
    </w:tr>
    <w:tr w:rsidR="00B32C8B" w14:paraId="71E68EDC" w14:textId="77777777">
      <w:tc>
        <w:tcPr>
          <w:tcW w:w="4253" w:type="dxa"/>
          <w:vMerge/>
          <w:shd w:val="clear" w:color="auto" w:fill="auto"/>
        </w:tcPr>
        <w:p w14:paraId="51E3EA1B" w14:textId="77777777" w:rsidR="00B32C8B" w:rsidRDefault="00B32C8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98DD9C"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67A6E4F" w14:textId="5698DC4A" w:rsidR="00B32C8B" w:rsidRDefault="0026000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w:t>
          </w:r>
          <w:proofErr w:type="spellStart"/>
          <w:r>
            <w:rPr>
              <w:rFonts w:ascii="Palatino Linotype" w:eastAsia="Palatino Linotype" w:hAnsi="Palatino Linotype" w:cs="Palatino Linotype"/>
              <w:b/>
              <w:sz w:val="22"/>
              <w:szCs w:val="22"/>
            </w:rPr>
            <w:t>XXXXX</w:t>
          </w:r>
          <w:proofErr w:type="spellEnd"/>
        </w:p>
      </w:tc>
    </w:tr>
    <w:tr w:rsidR="00B32C8B" w14:paraId="1EE6C68B" w14:textId="77777777">
      <w:trPr>
        <w:trHeight w:val="228"/>
      </w:trPr>
      <w:tc>
        <w:tcPr>
          <w:tcW w:w="4253" w:type="dxa"/>
          <w:vMerge/>
          <w:shd w:val="clear" w:color="auto" w:fill="auto"/>
        </w:tcPr>
        <w:p w14:paraId="350376AC" w14:textId="77777777" w:rsidR="00B32C8B" w:rsidRDefault="00B32C8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0EC7BED"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B5B0BF6" w14:textId="77777777" w:rsidR="00B32C8B" w:rsidRDefault="008817ED">
          <w:pPr>
            <w:jc w:val="both"/>
            <w:rPr>
              <w:rFonts w:ascii="Palatino Linotype" w:eastAsia="Palatino Linotype" w:hAnsi="Palatino Linotype" w:cs="Palatino Linotype"/>
              <w:b/>
            </w:rPr>
          </w:pPr>
          <w:r>
            <w:rPr>
              <w:rFonts w:ascii="Palatino Linotype" w:eastAsia="Palatino Linotype" w:hAnsi="Palatino Linotype" w:cs="Palatino Linotype"/>
              <w:b/>
            </w:rPr>
            <w:t>Ayuntamiento de Ocuilan</w:t>
          </w:r>
        </w:p>
      </w:tc>
    </w:tr>
    <w:tr w:rsidR="00B32C8B" w14:paraId="2F62199D" w14:textId="77777777">
      <w:tc>
        <w:tcPr>
          <w:tcW w:w="4253" w:type="dxa"/>
          <w:vMerge/>
          <w:shd w:val="clear" w:color="auto" w:fill="auto"/>
        </w:tcPr>
        <w:p w14:paraId="165B84CF" w14:textId="77777777" w:rsidR="00B32C8B" w:rsidRDefault="00B32C8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5002C986" w14:textId="77777777" w:rsidR="00B32C8B" w:rsidRDefault="008817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5F9E8BB" w14:textId="77777777" w:rsidR="00B32C8B" w:rsidRDefault="008817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17D610B" w14:textId="77777777" w:rsidR="00B32C8B" w:rsidRDefault="00B32C8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90108"/>
    <w:multiLevelType w:val="multilevel"/>
    <w:tmpl w:val="795ADDF6"/>
    <w:lvl w:ilvl="0">
      <w:start w:val="1"/>
      <w:numFmt w:val="decimal"/>
      <w:lvlText w:val="%1."/>
      <w:lvlJc w:val="left"/>
      <w:pPr>
        <w:ind w:left="1211" w:hanging="360"/>
      </w:pPr>
      <w:rPr>
        <w: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87E7188"/>
    <w:multiLevelType w:val="multilevel"/>
    <w:tmpl w:val="717E4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4888799">
    <w:abstractNumId w:val="1"/>
  </w:num>
  <w:num w:numId="2" w16cid:durableId="11078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8B"/>
    <w:rsid w:val="000962FA"/>
    <w:rsid w:val="0026000E"/>
    <w:rsid w:val="004B08B7"/>
    <w:rsid w:val="006D1CD1"/>
    <w:rsid w:val="00804A3C"/>
    <w:rsid w:val="00854C2C"/>
    <w:rsid w:val="00864C3E"/>
    <w:rsid w:val="008817ED"/>
    <w:rsid w:val="00B32C8B"/>
    <w:rsid w:val="00BE5DC7"/>
    <w:rsid w:val="00ED7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B821"/>
  <w15:docId w15:val="{3911CD99-1B36-4680-88D4-E3897CE4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663874"/>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hNTo+6p+eTD0G6yW0Be+ylyGg==">CgMxLjAyCGguZ2pkZ3hzMgloLjJldDkycDAyCWguMzBqMHpsbDIJaC4xZm9iOXRlOAByITFaVERkSkFibUVDLUo3cGJJVXhNLWVMVVZWcW9zNDFFSw==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6979</Words>
  <Characters>38388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INFORMÁTICA</cp:lastModifiedBy>
  <cp:revision>5</cp:revision>
  <cp:lastPrinted>2024-04-08T17:10:00Z</cp:lastPrinted>
  <dcterms:created xsi:type="dcterms:W3CDTF">2024-03-21T18:19:00Z</dcterms:created>
  <dcterms:modified xsi:type="dcterms:W3CDTF">2024-05-20T02:44:00Z</dcterms:modified>
</cp:coreProperties>
</file>