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7CA5" w14:textId="3F029CBF"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w:t>
      </w:r>
      <w:r w:rsidR="005870D9" w:rsidRPr="00C413DA">
        <w:rPr>
          <w:rFonts w:ascii="Palatino Linotype" w:eastAsia="Palatino Linotype" w:hAnsi="Palatino Linotype" w:cs="Palatino Linotype"/>
        </w:rPr>
        <w:t>c, Estado de México, a tres</w:t>
      </w:r>
      <w:r w:rsidRPr="00C413DA">
        <w:rPr>
          <w:rFonts w:ascii="Palatino Linotype" w:eastAsia="Palatino Linotype" w:hAnsi="Palatino Linotype" w:cs="Palatino Linotype"/>
        </w:rPr>
        <w:t xml:space="preserve"> </w:t>
      </w:r>
      <w:r w:rsidR="005870D9" w:rsidRPr="00C413DA">
        <w:rPr>
          <w:rFonts w:ascii="Palatino Linotype" w:eastAsia="Palatino Linotype" w:hAnsi="Palatino Linotype" w:cs="Palatino Linotype"/>
        </w:rPr>
        <w:t>de abril</w:t>
      </w:r>
      <w:r w:rsidRPr="00C413DA">
        <w:rPr>
          <w:rFonts w:ascii="Palatino Linotype" w:eastAsia="Palatino Linotype" w:hAnsi="Palatino Linotype" w:cs="Palatino Linotype"/>
        </w:rPr>
        <w:t xml:space="preserve"> de dos mil veinticuatro. </w:t>
      </w:r>
    </w:p>
    <w:p w14:paraId="0C448B41"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VISTO</w:t>
      </w:r>
      <w:r w:rsidRPr="00C413DA">
        <w:rPr>
          <w:rFonts w:ascii="Palatino Linotype" w:eastAsia="Palatino Linotype" w:hAnsi="Palatino Linotype" w:cs="Palatino Linotype"/>
        </w:rPr>
        <w:t xml:space="preserve"> el expediente formado con motivo del recurso de revisión </w:t>
      </w:r>
      <w:r w:rsidRPr="00C413DA">
        <w:rPr>
          <w:rFonts w:ascii="Palatino Linotype" w:eastAsia="Palatino Linotype" w:hAnsi="Palatino Linotype" w:cs="Palatino Linotype"/>
          <w:b/>
        </w:rPr>
        <w:t>08344/INFOEM/IP/RR/2023</w:t>
      </w:r>
      <w:r w:rsidRPr="00C413DA">
        <w:rPr>
          <w:rFonts w:ascii="Palatino Linotype" w:eastAsia="Palatino Linotype" w:hAnsi="Palatino Linotype" w:cs="Palatino Linotype"/>
        </w:rPr>
        <w:t>, interpuesto por</w:t>
      </w:r>
      <w:r w:rsidRPr="00C413DA">
        <w:rPr>
          <w:rFonts w:ascii="Palatino Linotype" w:eastAsia="Palatino Linotype" w:hAnsi="Palatino Linotype" w:cs="Palatino Linotype"/>
          <w:b/>
        </w:rPr>
        <w:t xml:space="preserve"> un particular que no proporcionó su nombre</w:t>
      </w:r>
      <w:r w:rsidRPr="00C413DA">
        <w:rPr>
          <w:rFonts w:ascii="Palatino Linotype" w:eastAsia="Palatino Linotype" w:hAnsi="Palatino Linotype" w:cs="Palatino Linotype"/>
        </w:rPr>
        <w:t xml:space="preserve">, en lo sucesivo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en contra de la respuesta a su solicitud de información con número de folio</w:t>
      </w:r>
      <w:r w:rsidRPr="00C413DA">
        <w:rPr>
          <w:rFonts w:ascii="Palatino Linotype" w:eastAsia="Palatino Linotype" w:hAnsi="Palatino Linotype" w:cs="Palatino Linotype"/>
          <w:b/>
        </w:rPr>
        <w:t xml:space="preserve"> 00598/SMOV/IP/2023, </w:t>
      </w:r>
      <w:r w:rsidRPr="00C413DA">
        <w:rPr>
          <w:rFonts w:ascii="Palatino Linotype" w:eastAsia="Palatino Linotype" w:hAnsi="Palatino Linotype" w:cs="Palatino Linotype"/>
        </w:rPr>
        <w:t xml:space="preserve">por parte de la </w:t>
      </w:r>
      <w:r w:rsidRPr="00C413DA">
        <w:rPr>
          <w:rFonts w:ascii="Palatino Linotype" w:eastAsia="Palatino Linotype" w:hAnsi="Palatino Linotype" w:cs="Palatino Linotype"/>
          <w:b/>
        </w:rPr>
        <w:t xml:space="preserve">Secretaría de Movilidad, </w:t>
      </w:r>
      <w:r w:rsidRPr="00C413DA">
        <w:rPr>
          <w:rFonts w:ascii="Palatino Linotype" w:eastAsia="Palatino Linotype" w:hAnsi="Palatino Linotype" w:cs="Palatino Linotype"/>
        </w:rPr>
        <w:t xml:space="preserve">en lo sucesivo el </w:t>
      </w:r>
      <w:r w:rsidRPr="00C413DA">
        <w:rPr>
          <w:rFonts w:ascii="Palatino Linotype" w:eastAsia="Palatino Linotype" w:hAnsi="Palatino Linotype" w:cs="Palatino Linotype"/>
          <w:b/>
        </w:rPr>
        <w:t xml:space="preserve">SUJETO OBLIGADO, </w:t>
      </w:r>
      <w:r w:rsidRPr="00C413DA">
        <w:rPr>
          <w:rFonts w:ascii="Palatino Linotype" w:eastAsia="Palatino Linotype" w:hAnsi="Palatino Linotype" w:cs="Palatino Linotype"/>
        </w:rPr>
        <w:t xml:space="preserve">se procede a dictar la presente resolución con base en los siguientes: </w:t>
      </w:r>
    </w:p>
    <w:p w14:paraId="3C9EF0C4" w14:textId="77777777" w:rsidR="00045A20" w:rsidRPr="00C413DA" w:rsidRDefault="007621C8">
      <w:pPr>
        <w:spacing w:before="240" w:after="240" w:line="360" w:lineRule="auto"/>
        <w:jc w:val="center"/>
        <w:rPr>
          <w:rFonts w:ascii="Palatino Linotype" w:eastAsia="Palatino Linotype" w:hAnsi="Palatino Linotype" w:cs="Palatino Linotype"/>
          <w:b/>
        </w:rPr>
      </w:pPr>
      <w:r w:rsidRPr="00C413DA">
        <w:rPr>
          <w:rFonts w:ascii="Palatino Linotype" w:eastAsia="Palatino Linotype" w:hAnsi="Palatino Linotype" w:cs="Palatino Linotype"/>
          <w:b/>
        </w:rPr>
        <w:t>I. A N T E C E D E N T E S</w:t>
      </w:r>
    </w:p>
    <w:p w14:paraId="388752DD"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1. Solicitud de acceso a la información.</w:t>
      </w:r>
      <w:r w:rsidRPr="00C413DA">
        <w:rPr>
          <w:rFonts w:ascii="Palatino Linotype" w:eastAsia="Palatino Linotype" w:hAnsi="Palatino Linotype" w:cs="Palatino Linotype"/>
        </w:rPr>
        <w:t xml:space="preserve"> Con fecha </w:t>
      </w:r>
      <w:r w:rsidRPr="00C413DA">
        <w:rPr>
          <w:rFonts w:ascii="Palatino Linotype" w:eastAsia="Palatino Linotype" w:hAnsi="Palatino Linotype" w:cs="Palatino Linotype"/>
          <w:b/>
        </w:rPr>
        <w:t>nueve de noviembre del dos mil veintitrés,</w:t>
      </w:r>
      <w:r w:rsidRPr="00C413DA">
        <w:rPr>
          <w:rFonts w:ascii="Palatino Linotype" w:eastAsia="Palatino Linotype" w:hAnsi="Palatino Linotype" w:cs="Palatino Linotype"/>
        </w:rPr>
        <w:t xml:space="preserve"> la parte </w:t>
      </w:r>
      <w:r w:rsidRPr="00C413DA">
        <w:rPr>
          <w:rFonts w:ascii="Palatino Linotype" w:eastAsia="Palatino Linotype" w:hAnsi="Palatino Linotype" w:cs="Palatino Linotype"/>
          <w:b/>
        </w:rPr>
        <w:t xml:space="preserve">RECURRENTE </w:t>
      </w:r>
      <w:r w:rsidRPr="00C413DA">
        <w:rPr>
          <w:rFonts w:ascii="Palatino Linotype" w:eastAsia="Palatino Linotype" w:hAnsi="Palatino Linotype" w:cs="Palatino Linotype"/>
        </w:rPr>
        <w:t xml:space="preserve">presentó, a través del Sistema de Acceso a la Información Mexiquense, en lo subsecuente el </w:t>
      </w:r>
      <w:r w:rsidRPr="00C413DA">
        <w:rPr>
          <w:rFonts w:ascii="Palatino Linotype" w:eastAsia="Palatino Linotype" w:hAnsi="Palatino Linotype" w:cs="Palatino Linotype"/>
          <w:b/>
        </w:rPr>
        <w:t>SAIMEX,</w:t>
      </w:r>
      <w:r w:rsidRPr="00C413DA">
        <w:rPr>
          <w:rFonts w:ascii="Palatino Linotype" w:eastAsia="Palatino Linotype" w:hAnsi="Palatino Linotype" w:cs="Palatino Linotype"/>
        </w:rPr>
        <w:t xml:space="preserve"> ante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la solicitud de acceso a la información pública, a la que se le asignó el número</w:t>
      </w:r>
      <w:r w:rsidRPr="00C413DA">
        <w:rPr>
          <w:rFonts w:ascii="Palatino Linotype" w:eastAsia="Palatino Linotype" w:hAnsi="Palatino Linotype" w:cs="Palatino Linotype"/>
          <w:b/>
        </w:rPr>
        <w:t xml:space="preserve"> 00598/SMOV/IP/2023, </w:t>
      </w:r>
      <w:r w:rsidRPr="00C413DA">
        <w:rPr>
          <w:rFonts w:ascii="Palatino Linotype" w:eastAsia="Palatino Linotype" w:hAnsi="Palatino Linotype" w:cs="Palatino Linotype"/>
        </w:rPr>
        <w:t xml:space="preserve">mediante la cual requirió la información siguiente: </w:t>
      </w:r>
    </w:p>
    <w:p w14:paraId="3A82C2F3" w14:textId="77777777" w:rsidR="00045A20" w:rsidRPr="00C413DA" w:rsidRDefault="007621C8">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C413DA">
        <w:rPr>
          <w:rFonts w:ascii="Palatino Linotype" w:eastAsia="Palatino Linotype" w:hAnsi="Palatino Linotype" w:cs="Palatino Linotype"/>
          <w:i/>
          <w:sz w:val="22"/>
          <w:szCs w:val="22"/>
        </w:rPr>
        <w:t xml:space="preserve">“solicito todas las altas y bajas de los servidores </w:t>
      </w:r>
      <w:proofErr w:type="spellStart"/>
      <w:r w:rsidRPr="00C413DA">
        <w:rPr>
          <w:rFonts w:ascii="Palatino Linotype" w:eastAsia="Palatino Linotype" w:hAnsi="Palatino Linotype" w:cs="Palatino Linotype"/>
          <w:i/>
          <w:sz w:val="22"/>
          <w:szCs w:val="22"/>
        </w:rPr>
        <w:t>publicos</w:t>
      </w:r>
      <w:proofErr w:type="spellEnd"/>
      <w:r w:rsidRPr="00C413DA">
        <w:rPr>
          <w:rFonts w:ascii="Palatino Linotype" w:eastAsia="Palatino Linotype" w:hAnsi="Palatino Linotype" w:cs="Palatino Linotype"/>
          <w:i/>
          <w:sz w:val="22"/>
          <w:szCs w:val="22"/>
        </w:rPr>
        <w:t xml:space="preserve"> de julio a noviembre de este año y si fue la baja la causa y si renunciaron la carta de renuncia” (Sic)</w:t>
      </w:r>
    </w:p>
    <w:p w14:paraId="457DB5E0" w14:textId="77777777" w:rsidR="00045A20" w:rsidRPr="00C413DA" w:rsidRDefault="00045A20">
      <w:pPr>
        <w:spacing w:before="240"/>
        <w:ind w:left="851" w:right="902"/>
        <w:jc w:val="both"/>
        <w:rPr>
          <w:rFonts w:ascii="Palatino Linotype" w:eastAsia="Palatino Linotype" w:hAnsi="Palatino Linotype" w:cs="Palatino Linotype"/>
          <w:i/>
          <w:sz w:val="22"/>
          <w:szCs w:val="22"/>
        </w:rPr>
      </w:pPr>
    </w:p>
    <w:p w14:paraId="02B724CD"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Modalidad de Entrega:</w:t>
      </w:r>
      <w:r w:rsidRPr="00C413DA">
        <w:rPr>
          <w:rFonts w:ascii="Palatino Linotype" w:eastAsia="Palatino Linotype" w:hAnsi="Palatino Linotype" w:cs="Palatino Linotype"/>
        </w:rPr>
        <w:t xml:space="preserve"> A través de SAIMEX.</w:t>
      </w:r>
    </w:p>
    <w:p w14:paraId="470B7875" w14:textId="77777777" w:rsidR="00045A20" w:rsidRPr="00C413DA" w:rsidRDefault="00045A20">
      <w:pPr>
        <w:spacing w:line="360" w:lineRule="auto"/>
        <w:jc w:val="both"/>
        <w:rPr>
          <w:rFonts w:ascii="Palatino Linotype" w:eastAsia="Palatino Linotype" w:hAnsi="Palatino Linotype" w:cs="Palatino Linotype"/>
        </w:rPr>
      </w:pPr>
    </w:p>
    <w:p w14:paraId="1E18EBE3" w14:textId="77777777" w:rsidR="00045A20" w:rsidRPr="00C413DA" w:rsidRDefault="007621C8">
      <w:pPr>
        <w:spacing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lastRenderedPageBreak/>
        <w:t xml:space="preserve">2. Respuesta. </w:t>
      </w:r>
      <w:r w:rsidRPr="00C413DA">
        <w:rPr>
          <w:rFonts w:ascii="Palatino Linotype" w:eastAsia="Palatino Linotype" w:hAnsi="Palatino Linotype" w:cs="Palatino Linotype"/>
        </w:rPr>
        <w:t xml:space="preserve">Con fecha </w:t>
      </w:r>
      <w:r w:rsidRPr="00C413DA">
        <w:rPr>
          <w:rFonts w:ascii="Palatino Linotype" w:eastAsia="Palatino Linotype" w:hAnsi="Palatino Linotype" w:cs="Palatino Linotype"/>
          <w:b/>
        </w:rPr>
        <w:t>primero de diciembre de dos mil veintitrés</w:t>
      </w:r>
      <w:r w:rsidRPr="00C413DA">
        <w:rPr>
          <w:rFonts w:ascii="Palatino Linotype" w:eastAsia="Palatino Linotype" w:hAnsi="Palatino Linotype" w:cs="Palatino Linotype"/>
        </w:rPr>
        <w:t xml:space="preserve">, el </w:t>
      </w:r>
      <w:r w:rsidRPr="00C413DA">
        <w:rPr>
          <w:rFonts w:ascii="Palatino Linotype" w:eastAsia="Palatino Linotype" w:hAnsi="Palatino Linotype" w:cs="Palatino Linotype"/>
          <w:b/>
        </w:rPr>
        <w:t xml:space="preserve">SUJETO OBLIGADO </w:t>
      </w:r>
      <w:r w:rsidRPr="00C413D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D1E239B" w14:textId="77777777" w:rsidR="00045A20" w:rsidRPr="00C413DA" w:rsidRDefault="007621C8">
      <w:pPr>
        <w:spacing w:line="360" w:lineRule="auto"/>
        <w:ind w:left="567"/>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rPr>
        <w:t xml:space="preserve"> </w:t>
      </w:r>
      <w:r w:rsidRPr="00C413DA">
        <w:rPr>
          <w:rFonts w:ascii="Palatino Linotype" w:eastAsia="Palatino Linotype" w:hAnsi="Palatino Linotype" w:cs="Palatino Linotype"/>
          <w:i/>
          <w:sz w:val="22"/>
          <w:szCs w:val="22"/>
        </w:rPr>
        <w:t>“…Se adjunta respuesta en formato PDF para pronta referencia...” (Sic)</w:t>
      </w:r>
    </w:p>
    <w:p w14:paraId="4848B75E" w14:textId="77777777" w:rsidR="00045A20" w:rsidRPr="00C413DA" w:rsidRDefault="00045A20">
      <w:pPr>
        <w:spacing w:line="360" w:lineRule="auto"/>
        <w:ind w:left="567"/>
        <w:jc w:val="both"/>
        <w:rPr>
          <w:rFonts w:ascii="Palatino Linotype" w:eastAsia="Palatino Linotype" w:hAnsi="Palatino Linotype" w:cs="Palatino Linotype"/>
          <w:i/>
          <w:sz w:val="22"/>
          <w:szCs w:val="22"/>
        </w:rPr>
      </w:pPr>
    </w:p>
    <w:p w14:paraId="28AF649F" w14:textId="77777777" w:rsidR="00045A20" w:rsidRPr="00C413DA" w:rsidRDefault="007621C8">
      <w:pPr>
        <w:spacing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adjuntó a su respuesta el archivo electrónico siguiente:</w:t>
      </w:r>
    </w:p>
    <w:p w14:paraId="6BB3E893" w14:textId="7A2277E5"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w:t>
      </w:r>
      <w:hyperlink r:id="rId9">
        <w:r w:rsidRPr="00C413DA">
          <w:rPr>
            <w:rFonts w:ascii="Palatino Linotype" w:eastAsia="Palatino Linotype" w:hAnsi="Palatino Linotype" w:cs="Palatino Linotype"/>
          </w:rPr>
          <w:t>SAIMEX 00598 CH.pdf</w:t>
        </w:r>
      </w:hyperlink>
      <w:r w:rsidRPr="00C413DA">
        <w:rPr>
          <w:rFonts w:ascii="Palatino Linotype" w:eastAsia="Palatino Linotype" w:hAnsi="Palatino Linotype" w:cs="Palatino Linotype"/>
        </w:rPr>
        <w:t>”, el cual contiene el oficio número 22000011000100S/4943/2023, por medio del cual la Subdirectora de Administración del Capital Humano de la Secretaria de Movilidad, informó que se cuenta con una relación de las personas que causaron movimiento de personal de alta o baja en esta Secretaría del periodo de 01 de julio del 2023 al 01 de noviembre del 2023, mismo que anexo al mismo, el cual contiene el nombre del servidor público y fecha de movimiento</w:t>
      </w:r>
      <w:r w:rsidR="00CF3B4A" w:rsidRPr="00C413DA">
        <w:rPr>
          <w:rFonts w:ascii="Palatino Linotype" w:eastAsia="Palatino Linotype" w:hAnsi="Palatino Linotype" w:cs="Palatino Linotype"/>
        </w:rPr>
        <w:t xml:space="preserve">. </w:t>
      </w:r>
    </w:p>
    <w:p w14:paraId="3F5628C8"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otro lado, en cuanto al requerimiento “si fue la baja la causa y si renunciaron la carta de renuncia”, señaló que no se entiende el sentido de la oración y/o petición. </w:t>
      </w:r>
    </w:p>
    <w:p w14:paraId="6767661B"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3. Interposición del recurso de revisión. </w:t>
      </w:r>
      <w:r w:rsidRPr="00C413DA">
        <w:rPr>
          <w:rFonts w:ascii="Palatino Linotype" w:eastAsia="Palatino Linotype" w:hAnsi="Palatino Linotype" w:cs="Palatino Linotype"/>
        </w:rPr>
        <w:t xml:space="preserve">Inconforme con los términos de la respuesta emitida por parte del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el </w:t>
      </w:r>
      <w:r w:rsidRPr="00C413DA">
        <w:rPr>
          <w:rFonts w:ascii="Palatino Linotype" w:eastAsia="Palatino Linotype" w:hAnsi="Palatino Linotype" w:cs="Palatino Linotype"/>
          <w:b/>
        </w:rPr>
        <w:t>cuatro de diciembre del dos mil veintitrés,</w:t>
      </w:r>
      <w:r w:rsidRPr="00C413DA">
        <w:rPr>
          <w:rFonts w:ascii="Palatino Linotype" w:eastAsia="Palatino Linotype" w:hAnsi="Palatino Linotype" w:cs="Palatino Linotype"/>
        </w:rPr>
        <w:t xml:space="preserve"> la parte recurrente interpuso el recurso de revisión a través de </w:t>
      </w:r>
      <w:r w:rsidRPr="00C413DA">
        <w:rPr>
          <w:rFonts w:ascii="Palatino Linotype" w:eastAsia="Palatino Linotype" w:hAnsi="Palatino Linotype" w:cs="Palatino Linotype"/>
          <w:b/>
        </w:rPr>
        <w:t xml:space="preserve">SAIMEX, </w:t>
      </w:r>
      <w:r w:rsidRPr="00C413DA">
        <w:rPr>
          <w:rFonts w:ascii="Palatino Linotype" w:eastAsia="Palatino Linotype" w:hAnsi="Palatino Linotype" w:cs="Palatino Linotype"/>
        </w:rPr>
        <w:t>en donde se manifestó de la siguiente manera:</w:t>
      </w:r>
    </w:p>
    <w:p w14:paraId="04C517C4" w14:textId="77777777" w:rsidR="00045A20" w:rsidRPr="00C413DA" w:rsidRDefault="007621C8">
      <w:pPr>
        <w:tabs>
          <w:tab w:val="left" w:pos="2745"/>
        </w:tabs>
        <w:spacing w:before="240" w:after="240" w:line="360" w:lineRule="auto"/>
        <w:jc w:val="both"/>
        <w:rPr>
          <w:rFonts w:ascii="Palatino Linotype" w:eastAsia="Palatino Linotype" w:hAnsi="Palatino Linotype" w:cs="Palatino Linotype"/>
          <w:b/>
        </w:rPr>
      </w:pPr>
      <w:r w:rsidRPr="00C413DA">
        <w:rPr>
          <w:rFonts w:ascii="Palatino Linotype" w:eastAsia="Palatino Linotype" w:hAnsi="Palatino Linotype" w:cs="Palatino Linotype"/>
          <w:b/>
        </w:rPr>
        <w:t xml:space="preserve">Acto impugnado: </w:t>
      </w:r>
      <w:r w:rsidRPr="00C413DA">
        <w:rPr>
          <w:rFonts w:ascii="Palatino Linotype" w:eastAsia="Palatino Linotype" w:hAnsi="Palatino Linotype" w:cs="Palatino Linotype"/>
          <w:b/>
        </w:rPr>
        <w:tab/>
      </w:r>
    </w:p>
    <w:p w14:paraId="182D7AA5" w14:textId="77777777" w:rsidR="00045A20" w:rsidRPr="00C413DA" w:rsidRDefault="007621C8">
      <w:pPr>
        <w:ind w:left="851" w:right="902"/>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“La </w:t>
      </w:r>
      <w:proofErr w:type="gramStart"/>
      <w:r w:rsidRPr="00C413DA">
        <w:rPr>
          <w:rFonts w:ascii="Palatino Linotype" w:eastAsia="Palatino Linotype" w:hAnsi="Palatino Linotype" w:cs="Palatino Linotype"/>
          <w:i/>
          <w:sz w:val="22"/>
          <w:szCs w:val="22"/>
        </w:rPr>
        <w:t>respuesta”(</w:t>
      </w:r>
      <w:proofErr w:type="gramEnd"/>
      <w:r w:rsidRPr="00C413DA">
        <w:rPr>
          <w:rFonts w:ascii="Palatino Linotype" w:eastAsia="Palatino Linotype" w:hAnsi="Palatino Linotype" w:cs="Palatino Linotype"/>
          <w:i/>
          <w:sz w:val="22"/>
          <w:szCs w:val="22"/>
        </w:rPr>
        <w:t>Sic)</w:t>
      </w:r>
    </w:p>
    <w:p w14:paraId="23C6C783" w14:textId="77777777" w:rsidR="00045A20" w:rsidRPr="00C413DA" w:rsidRDefault="00045A20">
      <w:pPr>
        <w:ind w:left="851" w:right="902"/>
        <w:jc w:val="both"/>
        <w:rPr>
          <w:rFonts w:ascii="Palatino Linotype" w:eastAsia="Palatino Linotype" w:hAnsi="Palatino Linotype" w:cs="Palatino Linotype"/>
          <w:i/>
          <w:sz w:val="22"/>
          <w:szCs w:val="22"/>
        </w:rPr>
      </w:pPr>
    </w:p>
    <w:p w14:paraId="1BE0AF94"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lastRenderedPageBreak/>
        <w:t>Y Razones o motivos de inconformidad</w:t>
      </w:r>
      <w:r w:rsidRPr="00C413DA">
        <w:rPr>
          <w:rFonts w:ascii="Palatino Linotype" w:eastAsia="Palatino Linotype" w:hAnsi="Palatino Linotype" w:cs="Palatino Linotype"/>
        </w:rPr>
        <w:t>:</w:t>
      </w:r>
    </w:p>
    <w:p w14:paraId="15BC8314" w14:textId="77777777" w:rsidR="00045A20" w:rsidRPr="00C413DA" w:rsidRDefault="007621C8">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C413DA">
        <w:rPr>
          <w:rFonts w:ascii="Palatino Linotype" w:eastAsia="Palatino Linotype" w:hAnsi="Palatino Linotype" w:cs="Palatino Linotype"/>
          <w:i/>
          <w:sz w:val="22"/>
          <w:szCs w:val="22"/>
        </w:rPr>
        <w:t xml:space="preserve"> “La solicitud es clara solicito que me entreguen todo lo de mi solicitud porque por no responder dicen que no entienden apenas me dicen para hacerme cansado y largo </w:t>
      </w:r>
      <w:proofErr w:type="gramStart"/>
      <w:r w:rsidRPr="00C413DA">
        <w:rPr>
          <w:rFonts w:ascii="Palatino Linotype" w:eastAsia="Palatino Linotype" w:hAnsi="Palatino Linotype" w:cs="Palatino Linotype"/>
          <w:i/>
          <w:sz w:val="22"/>
          <w:szCs w:val="22"/>
        </w:rPr>
        <w:t>todo”(</w:t>
      </w:r>
      <w:proofErr w:type="gramEnd"/>
      <w:r w:rsidRPr="00C413DA">
        <w:rPr>
          <w:rFonts w:ascii="Palatino Linotype" w:eastAsia="Palatino Linotype" w:hAnsi="Palatino Linotype" w:cs="Palatino Linotype"/>
          <w:i/>
          <w:sz w:val="22"/>
          <w:szCs w:val="22"/>
        </w:rPr>
        <w:t>Sic)</w:t>
      </w:r>
    </w:p>
    <w:p w14:paraId="7BFD6696" w14:textId="77777777" w:rsidR="00045A20" w:rsidRPr="00C413DA" w:rsidRDefault="00045A20">
      <w:pPr>
        <w:ind w:left="851" w:right="902"/>
        <w:jc w:val="both"/>
        <w:rPr>
          <w:rFonts w:ascii="Palatino Linotype" w:eastAsia="Palatino Linotype" w:hAnsi="Palatino Linotype" w:cs="Palatino Linotype"/>
          <w:i/>
          <w:sz w:val="22"/>
          <w:szCs w:val="22"/>
        </w:rPr>
      </w:pPr>
    </w:p>
    <w:p w14:paraId="43557DE8" w14:textId="77777777" w:rsidR="00045A20" w:rsidRPr="00C413DA" w:rsidRDefault="007621C8">
      <w:pPr>
        <w:spacing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4. Turno. </w:t>
      </w:r>
      <w:r w:rsidRPr="00C413D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413DA">
        <w:rPr>
          <w:rFonts w:ascii="Palatino Linotype" w:eastAsia="Palatino Linotype" w:hAnsi="Palatino Linotype" w:cs="Palatino Linotype"/>
          <w:b/>
        </w:rPr>
        <w:t xml:space="preserve">Guadalupe Ramírez Peña, </w:t>
      </w:r>
      <w:r w:rsidRPr="00C413DA">
        <w:rPr>
          <w:rFonts w:ascii="Palatino Linotype" w:eastAsia="Palatino Linotype" w:hAnsi="Palatino Linotype" w:cs="Palatino Linotype"/>
        </w:rPr>
        <w:t xml:space="preserve">a efecto de que analizara sobre su admisión o su </w:t>
      </w:r>
      <w:proofErr w:type="spellStart"/>
      <w:r w:rsidRPr="00C413DA">
        <w:rPr>
          <w:rFonts w:ascii="Palatino Linotype" w:eastAsia="Palatino Linotype" w:hAnsi="Palatino Linotype" w:cs="Palatino Linotype"/>
        </w:rPr>
        <w:t>desechamiento</w:t>
      </w:r>
      <w:proofErr w:type="spellEnd"/>
      <w:r w:rsidRPr="00C413DA">
        <w:rPr>
          <w:rFonts w:ascii="Palatino Linotype" w:eastAsia="Palatino Linotype" w:hAnsi="Palatino Linotype" w:cs="Palatino Linotype"/>
        </w:rPr>
        <w:t>.</w:t>
      </w:r>
    </w:p>
    <w:p w14:paraId="41CBF909" w14:textId="77777777" w:rsidR="00045A20" w:rsidRPr="00C413DA" w:rsidRDefault="00045A20">
      <w:pPr>
        <w:spacing w:line="360" w:lineRule="auto"/>
        <w:ind w:right="51"/>
        <w:jc w:val="both"/>
        <w:rPr>
          <w:rFonts w:ascii="Palatino Linotype" w:eastAsia="Palatino Linotype" w:hAnsi="Palatino Linotype" w:cs="Palatino Linotype"/>
        </w:rPr>
      </w:pPr>
    </w:p>
    <w:p w14:paraId="491D9A3F" w14:textId="77777777" w:rsidR="00045A20" w:rsidRPr="00C413DA" w:rsidRDefault="007621C8">
      <w:pPr>
        <w:spacing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5. Admisión del Recurso de revisión.</w:t>
      </w:r>
      <w:r w:rsidRPr="00C413DA">
        <w:rPr>
          <w:rFonts w:ascii="Palatino Linotype" w:eastAsia="Palatino Linotype" w:hAnsi="Palatino Linotype" w:cs="Palatino Linotype"/>
        </w:rPr>
        <w:t xml:space="preserve"> Con fecha</w:t>
      </w:r>
      <w:r w:rsidRPr="00C413DA">
        <w:rPr>
          <w:rFonts w:ascii="Palatino Linotype" w:eastAsia="Palatino Linotype" w:hAnsi="Palatino Linotype" w:cs="Palatino Linotype"/>
          <w:b/>
        </w:rPr>
        <w:t xml:space="preserve"> siete de diciembre de dos mil veintitrés, </w:t>
      </w:r>
      <w:r w:rsidRPr="00C413D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413DA">
        <w:rPr>
          <w:rFonts w:ascii="Palatino Linotype" w:eastAsia="Palatino Linotype" w:hAnsi="Palatino Linotype" w:cs="Palatino Linotype"/>
          <w:b/>
        </w:rPr>
        <w:t xml:space="preserve">SUJETO OBLIGADO </w:t>
      </w:r>
      <w:r w:rsidRPr="00C413DA">
        <w:rPr>
          <w:rFonts w:ascii="Palatino Linotype" w:eastAsia="Palatino Linotype" w:hAnsi="Palatino Linotype" w:cs="Palatino Linotype"/>
        </w:rPr>
        <w:t>presentara su informe justificado.</w:t>
      </w:r>
    </w:p>
    <w:p w14:paraId="0FB343C6"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6. Manifestaciones</w:t>
      </w:r>
      <w:r w:rsidRPr="00C413DA">
        <w:rPr>
          <w:rFonts w:ascii="Palatino Linotype" w:eastAsia="Palatino Linotype" w:hAnsi="Palatino Linotype" w:cs="Palatino Linotype"/>
        </w:rPr>
        <w:t>. De las constancias que obran en el expediente electrónico del SAIMEX se desprende que la parte</w:t>
      </w:r>
      <w:r w:rsidRPr="00C413DA">
        <w:rPr>
          <w:rFonts w:ascii="Palatino Linotype" w:eastAsia="Palatino Linotype" w:hAnsi="Palatino Linotype" w:cs="Palatino Linotype"/>
          <w:b/>
        </w:rPr>
        <w:t xml:space="preserve"> RECURRENTE</w:t>
      </w:r>
      <w:r w:rsidRPr="00C413DA">
        <w:rPr>
          <w:rFonts w:ascii="Palatino Linotype" w:eastAsia="Palatino Linotype" w:hAnsi="Palatino Linotype" w:cs="Palatino Linotype"/>
        </w:rPr>
        <w:t xml:space="preserve"> omitió realizar manifestaciones. </w:t>
      </w:r>
    </w:p>
    <w:p w14:paraId="6B3BB115"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su parte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en fecha dieciocho de diciembre del año dos mil veintitrés, remitió los siguientes archivos electrónicos:</w:t>
      </w:r>
    </w:p>
    <w:p w14:paraId="6C056EA2"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w:t>
      </w:r>
      <w:hyperlink r:id="rId10">
        <w:r w:rsidRPr="00C413DA">
          <w:rPr>
            <w:rFonts w:ascii="Palatino Linotype" w:eastAsia="Palatino Linotype" w:hAnsi="Palatino Linotype" w:cs="Palatino Linotype"/>
          </w:rPr>
          <w:t>Informe Justificado_8344.pdf</w:t>
        </w:r>
      </w:hyperlink>
      <w:r w:rsidRPr="00C413DA">
        <w:rPr>
          <w:rFonts w:ascii="Palatino Linotype" w:eastAsia="Palatino Linotype" w:hAnsi="Palatino Linotype" w:cs="Palatino Linotype"/>
        </w:rPr>
        <w:t xml:space="preserve">”, contiene el informe justificado del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por medio del cual además de señalar los antecedentes del presente </w:t>
      </w:r>
      <w:r w:rsidRPr="00C413DA">
        <w:rPr>
          <w:rFonts w:ascii="Palatino Linotype" w:eastAsia="Palatino Linotype" w:hAnsi="Palatino Linotype" w:cs="Palatino Linotype"/>
        </w:rPr>
        <w:lastRenderedPageBreak/>
        <w:t xml:space="preserve">asunto, informó que adjuntaba la respuesta de la Coordinación Administrativa y de Gestión Documental, además que en cuanto a los motivos de inconformidad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que en ningún momento se le negó el derecho de acceso a la información en razón de que se le entregó la respuesta con la que se cuenta, solicitando se confirme su respuesta primigenia. </w:t>
      </w:r>
    </w:p>
    <w:p w14:paraId="27722E5F"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w:t>
      </w:r>
      <w:hyperlink r:id="rId11">
        <w:r w:rsidRPr="00C413DA">
          <w:rPr>
            <w:rFonts w:ascii="Palatino Linotype" w:eastAsia="Palatino Linotype" w:hAnsi="Palatino Linotype" w:cs="Palatino Linotype"/>
          </w:rPr>
          <w:t>Anexo_T-500.pdf</w:t>
        </w:r>
      </w:hyperlink>
      <w:r w:rsidRPr="00C413DA">
        <w:rPr>
          <w:rFonts w:ascii="Palatino Linotype" w:eastAsia="Palatino Linotype" w:hAnsi="Palatino Linotype" w:cs="Palatino Linotype"/>
        </w:rPr>
        <w:t xml:space="preserve">”, el cual contiene dos oficios el primero corresponde al T-500/2023 el cual corresponde al turno al Servidor Público Habilitado sobre los motivos de inconformidad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y el segundo corresponde al número 22000011000100S/5323/2023, por medio del cual la Subdirectora de Administración del Capital Humano en lo medular ratificó su respuesta primigenia. </w:t>
      </w:r>
    </w:p>
    <w:p w14:paraId="6269AD2E"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Documentos que, una vez analizados en fecha trece de marzo del año en curso, se hizo del conocimiento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a efecto de que manifestara lo que a su derecho estimara conveniente, sin embargo, fue omisa en ejercer dicha prerrogativa en el plazo establecido para tal efecto.</w:t>
      </w:r>
    </w:p>
    <w:p w14:paraId="0B25A02C" w14:textId="77777777" w:rsidR="00045A20" w:rsidRPr="00C413DA" w:rsidRDefault="007621C8">
      <w:pPr>
        <w:widowControl w:val="0"/>
        <w:spacing w:line="360" w:lineRule="auto"/>
        <w:jc w:val="both"/>
        <w:rPr>
          <w:rFonts w:ascii="Palatino Linotype" w:eastAsia="Palatino Linotype" w:hAnsi="Palatino Linotype" w:cs="Palatino Linotype"/>
        </w:rPr>
      </w:pPr>
      <w:bookmarkStart w:id="2" w:name="_heading=h.2et92p0" w:colFirst="0" w:colLast="0"/>
      <w:bookmarkEnd w:id="2"/>
      <w:r w:rsidRPr="00C413DA">
        <w:rPr>
          <w:rFonts w:ascii="Palatino Linotype" w:eastAsia="Palatino Linotype" w:hAnsi="Palatino Linotype" w:cs="Palatino Linotype"/>
          <w:b/>
        </w:rPr>
        <w:t>7</w:t>
      </w:r>
      <w:r w:rsidRPr="00C413DA">
        <w:rPr>
          <w:rFonts w:ascii="Palatino Linotype" w:eastAsia="Palatino Linotype" w:hAnsi="Palatino Linotype" w:cs="Palatino Linotype"/>
        </w:rPr>
        <w:t xml:space="preserve">. </w:t>
      </w:r>
      <w:r w:rsidRPr="00C413DA">
        <w:rPr>
          <w:rFonts w:ascii="Palatino Linotype" w:eastAsia="Palatino Linotype" w:hAnsi="Palatino Linotype" w:cs="Palatino Linotype"/>
          <w:b/>
        </w:rPr>
        <w:t>Ampliación del plazo.</w:t>
      </w:r>
      <w:r w:rsidRPr="00C413DA">
        <w:rPr>
          <w:rFonts w:ascii="Palatino Linotype" w:eastAsia="Palatino Linotype" w:hAnsi="Palatino Linotype" w:cs="Palatino Linotype"/>
        </w:rPr>
        <w:t xml:space="preserve"> El trece de marzo del dos mil veinticuatro, con fundamento en el artículo 181, párrafo tercero de la Ley de Transparencia y Acceso a la Información Pública del Estado de México y Municipios, se acordó la ampliación del plazo para su resolución.</w:t>
      </w:r>
    </w:p>
    <w:p w14:paraId="3D7E5F06" w14:textId="77777777" w:rsidR="00045A20" w:rsidRPr="00C413DA" w:rsidRDefault="00045A20">
      <w:pPr>
        <w:widowControl w:val="0"/>
        <w:spacing w:line="360" w:lineRule="auto"/>
        <w:jc w:val="both"/>
        <w:rPr>
          <w:rFonts w:ascii="Palatino Linotype" w:eastAsia="Palatino Linotype" w:hAnsi="Palatino Linotype" w:cs="Palatino Linotype"/>
        </w:rPr>
      </w:pPr>
    </w:p>
    <w:p w14:paraId="34103502" w14:textId="77777777" w:rsidR="00045A20" w:rsidRPr="00C413DA" w:rsidRDefault="007621C8">
      <w:pPr>
        <w:widowControl w:val="0"/>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w:t>
      </w:r>
      <w:r w:rsidRPr="00C413DA">
        <w:rPr>
          <w:rFonts w:ascii="Palatino Linotype" w:eastAsia="Palatino Linotype" w:hAnsi="Palatino Linotype" w:cs="Palatino Linotype"/>
        </w:rPr>
        <w:lastRenderedPageBreak/>
        <w:t>dichos medios de impugnación.</w:t>
      </w:r>
    </w:p>
    <w:p w14:paraId="6CCE60AB" w14:textId="77777777" w:rsidR="00045A20" w:rsidRPr="00C413DA" w:rsidRDefault="00045A20">
      <w:pPr>
        <w:spacing w:line="360" w:lineRule="auto"/>
        <w:jc w:val="both"/>
        <w:rPr>
          <w:rFonts w:ascii="Palatino Linotype" w:eastAsia="Palatino Linotype" w:hAnsi="Palatino Linotype" w:cs="Palatino Linotype"/>
        </w:rPr>
      </w:pPr>
    </w:p>
    <w:p w14:paraId="445F833F"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F3ADCEF" w14:textId="77777777" w:rsidR="00045A20" w:rsidRPr="00C413DA" w:rsidRDefault="00045A20">
      <w:pPr>
        <w:spacing w:line="360" w:lineRule="auto"/>
        <w:jc w:val="both"/>
        <w:rPr>
          <w:rFonts w:ascii="Palatino Linotype" w:eastAsia="Palatino Linotype" w:hAnsi="Palatino Linotype" w:cs="Palatino Linotype"/>
        </w:rPr>
      </w:pPr>
    </w:p>
    <w:p w14:paraId="303A7685"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E1A0E9" w14:textId="77777777" w:rsidR="00045A20" w:rsidRPr="00C413DA" w:rsidRDefault="00045A20">
      <w:pPr>
        <w:spacing w:line="360" w:lineRule="auto"/>
        <w:jc w:val="both"/>
        <w:rPr>
          <w:rFonts w:ascii="Palatino Linotype" w:eastAsia="Palatino Linotype" w:hAnsi="Palatino Linotype" w:cs="Palatino Linotype"/>
        </w:rPr>
      </w:pPr>
    </w:p>
    <w:p w14:paraId="63E6E741"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4295EF" w14:textId="77777777" w:rsidR="00045A20" w:rsidRPr="00C413DA" w:rsidRDefault="00045A20">
      <w:pPr>
        <w:spacing w:line="360" w:lineRule="auto"/>
        <w:jc w:val="both"/>
        <w:rPr>
          <w:rFonts w:ascii="Palatino Linotype" w:eastAsia="Palatino Linotype" w:hAnsi="Palatino Linotype" w:cs="Palatino Linotype"/>
        </w:rPr>
      </w:pPr>
    </w:p>
    <w:p w14:paraId="117ECC31" w14:textId="77777777" w:rsidR="00045A20" w:rsidRPr="00C413DA" w:rsidRDefault="007621C8">
      <w:pPr>
        <w:spacing w:line="360" w:lineRule="auto"/>
        <w:jc w:val="both"/>
        <w:rPr>
          <w:rFonts w:ascii="Palatino Linotype" w:eastAsia="Palatino Linotype" w:hAnsi="Palatino Linotype" w:cs="Palatino Linotype"/>
          <w:strike/>
        </w:rPr>
      </w:pPr>
      <w:r w:rsidRPr="00C413D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6C2986" w14:textId="77777777" w:rsidR="00045A20" w:rsidRPr="00C413DA" w:rsidRDefault="00045A20">
      <w:pPr>
        <w:spacing w:line="360" w:lineRule="auto"/>
        <w:jc w:val="both"/>
        <w:rPr>
          <w:rFonts w:ascii="Palatino Linotype" w:eastAsia="Palatino Linotype" w:hAnsi="Palatino Linotype" w:cs="Palatino Linotype"/>
        </w:rPr>
      </w:pPr>
    </w:p>
    <w:p w14:paraId="7881DC95" w14:textId="77777777" w:rsidR="00045A20" w:rsidRPr="00C413DA" w:rsidRDefault="007621C8">
      <w:pPr>
        <w:numPr>
          <w:ilvl w:val="0"/>
          <w:numId w:val="4"/>
        </w:numPr>
        <w:spacing w:line="360" w:lineRule="auto"/>
        <w:ind w:left="850" w:hanging="357"/>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28F83757" w14:textId="77777777" w:rsidR="00045A20" w:rsidRPr="00C413DA" w:rsidRDefault="00045A20">
      <w:pPr>
        <w:spacing w:line="360" w:lineRule="auto"/>
        <w:ind w:left="850" w:hanging="357"/>
        <w:jc w:val="both"/>
        <w:rPr>
          <w:rFonts w:ascii="Palatino Linotype" w:eastAsia="Palatino Linotype" w:hAnsi="Palatino Linotype" w:cs="Palatino Linotype"/>
        </w:rPr>
      </w:pPr>
    </w:p>
    <w:p w14:paraId="556FDE25" w14:textId="77777777" w:rsidR="00045A20" w:rsidRPr="00C413DA" w:rsidRDefault="007621C8">
      <w:pPr>
        <w:numPr>
          <w:ilvl w:val="0"/>
          <w:numId w:val="4"/>
        </w:numPr>
        <w:spacing w:line="360" w:lineRule="auto"/>
        <w:ind w:left="850" w:hanging="357"/>
        <w:jc w:val="both"/>
        <w:rPr>
          <w:rFonts w:ascii="Palatino Linotype" w:eastAsia="Palatino Linotype" w:hAnsi="Palatino Linotype" w:cs="Palatino Linotype"/>
        </w:rPr>
      </w:pPr>
      <w:r w:rsidRPr="00C413DA">
        <w:rPr>
          <w:rFonts w:ascii="Palatino Linotype" w:eastAsia="Palatino Linotype" w:hAnsi="Palatino Linotype" w:cs="Palatino Linotype"/>
        </w:rPr>
        <w:t>Actividad Procesal del interesado. Acciones u omisiones del interesado.</w:t>
      </w:r>
    </w:p>
    <w:p w14:paraId="3FAA0D9B" w14:textId="77777777" w:rsidR="00045A20" w:rsidRPr="00C413DA" w:rsidRDefault="00045A20">
      <w:pPr>
        <w:spacing w:line="360" w:lineRule="auto"/>
        <w:ind w:left="850" w:hanging="357"/>
        <w:jc w:val="both"/>
        <w:rPr>
          <w:rFonts w:ascii="Palatino Linotype" w:eastAsia="Palatino Linotype" w:hAnsi="Palatino Linotype" w:cs="Palatino Linotype"/>
        </w:rPr>
      </w:pPr>
    </w:p>
    <w:p w14:paraId="79D8B6D1" w14:textId="77777777" w:rsidR="00045A20" w:rsidRPr="00C413DA" w:rsidRDefault="007621C8">
      <w:pPr>
        <w:numPr>
          <w:ilvl w:val="0"/>
          <w:numId w:val="4"/>
        </w:numPr>
        <w:spacing w:line="360" w:lineRule="auto"/>
        <w:ind w:left="850" w:hanging="357"/>
        <w:jc w:val="both"/>
        <w:rPr>
          <w:rFonts w:ascii="Palatino Linotype" w:eastAsia="Palatino Linotype" w:hAnsi="Palatino Linotype" w:cs="Palatino Linotype"/>
        </w:rPr>
      </w:pPr>
      <w:r w:rsidRPr="00C413DA">
        <w:rPr>
          <w:rFonts w:ascii="Palatino Linotype" w:eastAsia="Palatino Linotype" w:hAnsi="Palatino Linotype" w:cs="Palatino Linotype"/>
        </w:rPr>
        <w:t>Conducta de la Autoridad: Las Acciones u omisiones realizadas en el procedimiento. Así como si la autoridad actuó con la debida diligencia.</w:t>
      </w:r>
    </w:p>
    <w:p w14:paraId="09EA6305" w14:textId="77777777" w:rsidR="00045A20" w:rsidRPr="00C413DA" w:rsidRDefault="00045A20">
      <w:pPr>
        <w:spacing w:line="360" w:lineRule="auto"/>
        <w:ind w:left="850" w:hanging="357"/>
        <w:rPr>
          <w:rFonts w:ascii="Palatino Linotype" w:eastAsia="Palatino Linotype" w:hAnsi="Palatino Linotype" w:cs="Palatino Linotype"/>
        </w:rPr>
      </w:pPr>
    </w:p>
    <w:p w14:paraId="7FE56A4A" w14:textId="77777777" w:rsidR="00045A20" w:rsidRPr="00C413DA" w:rsidRDefault="007621C8">
      <w:pPr>
        <w:spacing w:line="360" w:lineRule="auto"/>
        <w:ind w:left="850" w:hanging="357"/>
        <w:jc w:val="both"/>
        <w:rPr>
          <w:rFonts w:ascii="Palatino Linotype" w:eastAsia="Palatino Linotype" w:hAnsi="Palatino Linotype" w:cs="Palatino Linotype"/>
        </w:rPr>
      </w:pPr>
      <w:r w:rsidRPr="00C413DA">
        <w:rPr>
          <w:rFonts w:ascii="Palatino Linotype" w:eastAsia="Palatino Linotype" w:hAnsi="Palatino Linotype" w:cs="Palatino Linotype"/>
        </w:rPr>
        <w:t>d) La afectación generada en la situación jurídica de la persona involucrada en el proceso: Violación a sus derechos humanos.</w:t>
      </w:r>
    </w:p>
    <w:p w14:paraId="1F2B90EC" w14:textId="77777777" w:rsidR="00045A20" w:rsidRPr="00C413DA" w:rsidRDefault="00045A20">
      <w:pPr>
        <w:spacing w:line="360" w:lineRule="auto"/>
        <w:jc w:val="both"/>
        <w:rPr>
          <w:rFonts w:ascii="Palatino Linotype" w:eastAsia="Palatino Linotype" w:hAnsi="Palatino Linotype" w:cs="Palatino Linotype"/>
        </w:rPr>
      </w:pPr>
    </w:p>
    <w:p w14:paraId="656360E9"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089A6CF" w14:textId="77777777" w:rsidR="00045A20" w:rsidRPr="00C413DA" w:rsidRDefault="00045A20">
      <w:pPr>
        <w:spacing w:line="360" w:lineRule="auto"/>
        <w:jc w:val="both"/>
        <w:rPr>
          <w:rFonts w:ascii="Palatino Linotype" w:eastAsia="Palatino Linotype" w:hAnsi="Palatino Linotype" w:cs="Palatino Linotype"/>
        </w:rPr>
      </w:pPr>
    </w:p>
    <w:p w14:paraId="2BD116B6" w14:textId="77777777" w:rsidR="00045A20" w:rsidRPr="00C413DA" w:rsidRDefault="007621C8">
      <w:pPr>
        <w:spacing w:line="360" w:lineRule="auto"/>
        <w:jc w:val="both"/>
        <w:rPr>
          <w:rFonts w:ascii="Palatino Linotype" w:eastAsia="Palatino Linotype" w:hAnsi="Palatino Linotype" w:cs="Palatino Linotype"/>
          <w:b/>
        </w:rPr>
      </w:pPr>
      <w:r w:rsidRPr="00C413D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413DA">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C413DA">
        <w:rPr>
          <w:rFonts w:ascii="Palatino Linotype" w:eastAsia="Palatino Linotype" w:hAnsi="Palatino Linotype" w:cs="Palatino Linotype"/>
          <w:i/>
        </w:rPr>
        <w:lastRenderedPageBreak/>
        <w:t>CARACTERÍSTICAS DEL CASO.”</w:t>
      </w:r>
      <w:r w:rsidRPr="00C413DA">
        <w:rPr>
          <w:rFonts w:ascii="Palatino Linotype" w:eastAsia="Palatino Linotype" w:hAnsi="Palatino Linotype" w:cs="Palatino Linotype"/>
        </w:rPr>
        <w:t>, visible en la Gaceta del Seminario Judicial de la Federación con el registro digital 205635.</w:t>
      </w:r>
    </w:p>
    <w:p w14:paraId="0F6110D9" w14:textId="77777777" w:rsidR="00045A20" w:rsidRPr="00C413DA" w:rsidRDefault="00045A20">
      <w:pPr>
        <w:spacing w:line="360" w:lineRule="auto"/>
        <w:jc w:val="both"/>
        <w:rPr>
          <w:rFonts w:ascii="Palatino Linotype" w:eastAsia="Palatino Linotype" w:hAnsi="Palatino Linotype" w:cs="Palatino Linotype"/>
        </w:rPr>
      </w:pPr>
    </w:p>
    <w:p w14:paraId="19D0084F"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DB905F" w14:textId="77777777" w:rsidR="00045A20" w:rsidRPr="00C413DA" w:rsidRDefault="00045A20">
      <w:pPr>
        <w:spacing w:line="360" w:lineRule="auto"/>
        <w:jc w:val="both"/>
        <w:rPr>
          <w:rFonts w:ascii="Palatino Linotype" w:eastAsia="Palatino Linotype" w:hAnsi="Palatino Linotype" w:cs="Palatino Linotype"/>
        </w:rPr>
      </w:pPr>
    </w:p>
    <w:p w14:paraId="6E3E65E6"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AD81D24" w14:textId="77777777" w:rsidR="00045A20" w:rsidRPr="00C413DA" w:rsidRDefault="00045A20">
      <w:pPr>
        <w:spacing w:line="360" w:lineRule="auto"/>
        <w:jc w:val="both"/>
        <w:rPr>
          <w:rFonts w:ascii="Palatino Linotype" w:eastAsia="Palatino Linotype" w:hAnsi="Palatino Linotype" w:cs="Palatino Linotype"/>
          <w:i/>
        </w:rPr>
      </w:pPr>
    </w:p>
    <w:p w14:paraId="7FE2E031"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i/>
        </w:rPr>
        <w:t>“PLAZO RAZONABLE PARA RESOLVER. DIMENSIÓN Y EFECTOS DE ESTE CONCEPTO CUANDO SE ADUCE EXCESIVA CARGA DE TRABAJO.”</w:t>
      </w:r>
      <w:r w:rsidRPr="00C413DA">
        <w:rPr>
          <w:rFonts w:ascii="Palatino Linotype" w:eastAsia="Palatino Linotype" w:hAnsi="Palatino Linotype" w:cs="Palatino Linotype"/>
        </w:rPr>
        <w:t xml:space="preserve"> consultable en el Seminario Judicial de la Federación y su gaceta, con el registro digital 2002351.</w:t>
      </w:r>
    </w:p>
    <w:p w14:paraId="3DBFAA37" w14:textId="77777777" w:rsidR="00045A20" w:rsidRPr="00C413DA" w:rsidRDefault="00045A20">
      <w:pPr>
        <w:spacing w:line="360" w:lineRule="auto"/>
        <w:jc w:val="both"/>
        <w:rPr>
          <w:rFonts w:ascii="Palatino Linotype" w:eastAsia="Palatino Linotype" w:hAnsi="Palatino Linotype" w:cs="Palatino Linotype"/>
          <w:b/>
        </w:rPr>
      </w:pPr>
    </w:p>
    <w:p w14:paraId="7CF1E7E7"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i/>
        </w:rPr>
        <w:t xml:space="preserve">“PLAZO RAZONABLE PARA RESOLVER. CONCEPTO Y ELEMENTOS QUE LO INTEGRAN A LA LUZ DEL DERECHO INTERNACIONAL DE LOS DERECHOS </w:t>
      </w:r>
      <w:r w:rsidRPr="00C413DA">
        <w:rPr>
          <w:rFonts w:ascii="Palatino Linotype" w:eastAsia="Palatino Linotype" w:hAnsi="Palatino Linotype" w:cs="Palatino Linotype"/>
          <w:i/>
        </w:rPr>
        <w:lastRenderedPageBreak/>
        <w:t>HUMANOS.”</w:t>
      </w:r>
      <w:r w:rsidRPr="00C413DA">
        <w:rPr>
          <w:rFonts w:ascii="Palatino Linotype" w:eastAsia="Palatino Linotype" w:hAnsi="Palatino Linotype" w:cs="Palatino Linotype"/>
        </w:rPr>
        <w:t>, visible en el Seminario Judicial de la Federación y su gaceta, con el registro digital 2002350.</w:t>
      </w:r>
    </w:p>
    <w:p w14:paraId="675A86A5" w14:textId="77777777" w:rsidR="00045A20" w:rsidRPr="00C413DA" w:rsidRDefault="00045A20">
      <w:pPr>
        <w:spacing w:line="360" w:lineRule="auto"/>
        <w:jc w:val="both"/>
        <w:rPr>
          <w:rFonts w:ascii="Palatino Linotype" w:eastAsia="Palatino Linotype" w:hAnsi="Palatino Linotype" w:cs="Palatino Linotype"/>
        </w:rPr>
      </w:pPr>
    </w:p>
    <w:p w14:paraId="16EC605B"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5393291" w14:textId="77777777" w:rsidR="00045A20" w:rsidRPr="00C413DA" w:rsidRDefault="00045A20">
      <w:pPr>
        <w:spacing w:line="360" w:lineRule="auto"/>
        <w:jc w:val="both"/>
        <w:rPr>
          <w:rFonts w:ascii="Palatino Linotype" w:eastAsia="Palatino Linotype" w:hAnsi="Palatino Linotype" w:cs="Palatino Linotype"/>
        </w:rPr>
      </w:pPr>
    </w:p>
    <w:p w14:paraId="7E559E4B" w14:textId="77777777" w:rsidR="00045A20" w:rsidRPr="00C413DA" w:rsidRDefault="007621C8">
      <w:pPr>
        <w:widowControl w:val="0"/>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11. Cierre de instrucción. </w:t>
      </w:r>
      <w:r w:rsidRPr="00C413DA">
        <w:rPr>
          <w:rFonts w:ascii="Palatino Linotype" w:eastAsia="Palatino Linotype" w:hAnsi="Palatino Linotype" w:cs="Palatino Linotype"/>
        </w:rPr>
        <w:t>Una vez transcurrido el periodo otorgado a las partes para realizar sus manifestaciones y no habiendo documentos que integrar al expediente, el</w:t>
      </w:r>
      <w:r w:rsidRPr="00C413DA">
        <w:rPr>
          <w:rFonts w:ascii="Palatino Linotype" w:eastAsia="Palatino Linotype" w:hAnsi="Palatino Linotype" w:cs="Palatino Linotype"/>
          <w:b/>
        </w:rPr>
        <w:t xml:space="preserve"> veinte de marzo de dos mil veinticuatro</w:t>
      </w:r>
      <w:r w:rsidRPr="00C413D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5A6973C"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304B987" w14:textId="77777777" w:rsidR="00045A20" w:rsidRPr="00C413DA" w:rsidRDefault="007621C8">
      <w:pPr>
        <w:widowControl w:val="0"/>
        <w:spacing w:line="360" w:lineRule="auto"/>
        <w:jc w:val="center"/>
        <w:rPr>
          <w:rFonts w:ascii="Palatino Linotype" w:eastAsia="Palatino Linotype" w:hAnsi="Palatino Linotype" w:cs="Palatino Linotype"/>
          <w:b/>
        </w:rPr>
      </w:pPr>
      <w:r w:rsidRPr="00C413DA">
        <w:rPr>
          <w:rFonts w:ascii="Palatino Linotype" w:eastAsia="Palatino Linotype" w:hAnsi="Palatino Linotype" w:cs="Palatino Linotype"/>
          <w:b/>
        </w:rPr>
        <w:t>II. C O N S I D E R A N D O S</w:t>
      </w:r>
    </w:p>
    <w:p w14:paraId="774E5CFC" w14:textId="77777777" w:rsidR="00045A20" w:rsidRPr="00C413DA" w:rsidRDefault="00045A20">
      <w:pPr>
        <w:widowControl w:val="0"/>
        <w:spacing w:line="360" w:lineRule="auto"/>
        <w:jc w:val="center"/>
        <w:rPr>
          <w:rFonts w:ascii="Palatino Linotype" w:eastAsia="Palatino Linotype" w:hAnsi="Palatino Linotype" w:cs="Palatino Linotype"/>
          <w:b/>
        </w:rPr>
      </w:pPr>
    </w:p>
    <w:p w14:paraId="145233CC"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Primero. Competencia.</w:t>
      </w:r>
      <w:r w:rsidRPr="00C413D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w:t>
      </w:r>
      <w:r w:rsidRPr="00C413DA">
        <w:rPr>
          <w:rFonts w:ascii="Palatino Linotype" w:eastAsia="Palatino Linotype" w:hAnsi="Palatino Linotype" w:cs="Palatino Linotype"/>
        </w:rPr>
        <w:lastRenderedPageBreak/>
        <w:t>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099E384"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Segundo. Oportunidad y Procedibilidad del Recurso de Revisión</w:t>
      </w:r>
      <w:r w:rsidRPr="00C413D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ABA0098"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proporcionó su respuesta a la solicitud de información el primero de diciembre del dos mil veintitrés y el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presentó su recurso de revisión el cuatro de diciembre del mismo año; esto es, al primer día hábil siguiente en que tuvo conocimiento de la respuesta impugnada.</w:t>
      </w:r>
    </w:p>
    <w:p w14:paraId="6CB57F30" w14:textId="77777777" w:rsidR="00045A20" w:rsidRPr="00C413DA" w:rsidRDefault="007621C8">
      <w:pPr>
        <w:spacing w:before="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9DD4894" w14:textId="77777777" w:rsidR="00045A20" w:rsidRPr="00C413DA" w:rsidRDefault="00045A20">
      <w:pPr>
        <w:ind w:left="567" w:right="474"/>
        <w:jc w:val="both"/>
        <w:rPr>
          <w:rFonts w:ascii="Palatino Linotype" w:eastAsia="Palatino Linotype" w:hAnsi="Palatino Linotype" w:cs="Palatino Linotype"/>
          <w:i/>
        </w:rPr>
      </w:pPr>
    </w:p>
    <w:p w14:paraId="09361E3A" w14:textId="77777777" w:rsidR="00045A20" w:rsidRPr="00C413DA" w:rsidRDefault="007621C8">
      <w:pPr>
        <w:ind w:left="567" w:right="474"/>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w:t>
      </w:r>
      <w:r w:rsidRPr="00C413DA">
        <w:rPr>
          <w:rFonts w:ascii="Palatino Linotype" w:eastAsia="Palatino Linotype" w:hAnsi="Palatino Linotype" w:cs="Palatino Linotype"/>
          <w:b/>
          <w:i/>
          <w:sz w:val="22"/>
          <w:szCs w:val="22"/>
        </w:rPr>
        <w:t>Las solicitudes anónimas</w:t>
      </w:r>
      <w:r w:rsidRPr="00C413DA">
        <w:rPr>
          <w:rFonts w:ascii="Palatino Linotype" w:eastAsia="Palatino Linotype" w:hAnsi="Palatino Linotype" w:cs="Palatino Linotype"/>
          <w:i/>
          <w:sz w:val="22"/>
          <w:szCs w:val="22"/>
        </w:rPr>
        <w:t xml:space="preserve">, con nombre incompleto o seudónimo </w:t>
      </w:r>
      <w:r w:rsidRPr="00C413DA">
        <w:rPr>
          <w:rFonts w:ascii="Palatino Linotype" w:eastAsia="Palatino Linotype" w:hAnsi="Palatino Linotype" w:cs="Palatino Linotype"/>
          <w:b/>
          <w:i/>
          <w:sz w:val="22"/>
          <w:szCs w:val="22"/>
        </w:rPr>
        <w:t>serán procedentes para su trámite por parte del sujeto obligado ante quien se presente</w:t>
      </w:r>
      <w:r w:rsidRPr="00C413DA">
        <w:rPr>
          <w:rFonts w:ascii="Palatino Linotype" w:eastAsia="Palatino Linotype" w:hAnsi="Palatino Linotype" w:cs="Palatino Linotype"/>
          <w:i/>
          <w:sz w:val="22"/>
          <w:szCs w:val="22"/>
        </w:rPr>
        <w:t>. No podrá requerirse información adicional con motivo del nombre proporcionado por el solicitante."(Sic)</w:t>
      </w:r>
    </w:p>
    <w:p w14:paraId="7C323CFB"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E5A65F1"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5D0592A9" w14:textId="77777777" w:rsidR="00045A20" w:rsidRPr="00C413DA" w:rsidRDefault="007621C8">
      <w:pPr>
        <w:ind w:left="1276" w:right="1752"/>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 xml:space="preserve">Artículo 179. </w:t>
      </w:r>
      <w:r w:rsidRPr="00C413D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D83B81" w14:textId="77777777" w:rsidR="00045A20" w:rsidRPr="00C413DA" w:rsidRDefault="007621C8">
      <w:pPr>
        <w:ind w:left="1276" w:right="1752"/>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p>
    <w:p w14:paraId="376FA319" w14:textId="77777777" w:rsidR="00045A20" w:rsidRPr="00C413DA" w:rsidRDefault="007621C8">
      <w:pPr>
        <w:ind w:left="1276" w:right="1752"/>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V. La entrega de la información incompleta…” (Sic) </w:t>
      </w:r>
    </w:p>
    <w:p w14:paraId="50D0CAC0"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b/>
        </w:rPr>
        <w:t>Tercero. Materia de Revisión</w:t>
      </w:r>
      <w:r w:rsidRPr="00C413D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C413D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C413DA">
        <w:rPr>
          <w:rFonts w:ascii="Palatino Linotype" w:eastAsia="Palatino Linotype" w:hAnsi="Palatino Linotype" w:cs="Palatino Linotype"/>
        </w:rPr>
        <w:t xml:space="preserve">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o en su defecto, en caso de ser procedente, ordenar la entrega de información.</w:t>
      </w:r>
    </w:p>
    <w:p w14:paraId="74FF0B54"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Cuarto. Estudio de fondo del asunto. </w:t>
      </w:r>
      <w:r w:rsidRPr="00C413DA">
        <w:rPr>
          <w:rFonts w:ascii="Palatino Linotype" w:eastAsia="Palatino Linotype" w:hAnsi="Palatino Linotype" w:cs="Palatino Linotype"/>
        </w:rPr>
        <w:t xml:space="preserve">es conveniente analizar si la respuesta del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cumple con los requisitos y procedimientos del derecho de </w:t>
      </w:r>
      <w:r w:rsidRPr="00C413DA">
        <w:rPr>
          <w:rFonts w:ascii="Palatino Linotype" w:eastAsia="Palatino Linotype" w:hAnsi="Palatino Linotype" w:cs="Palatino Linotype"/>
        </w:rPr>
        <w:lastRenderedPageBreak/>
        <w:t>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7627EB6" w14:textId="77777777" w:rsidR="00045A20" w:rsidRPr="00C413DA" w:rsidRDefault="007621C8">
      <w:pPr>
        <w:spacing w:before="240"/>
        <w:ind w:left="709" w:right="760"/>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Artículo 4.</w:t>
      </w:r>
      <w:r w:rsidRPr="00C413D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8A40D39" w14:textId="77777777" w:rsidR="00045A20" w:rsidRPr="00C413DA" w:rsidRDefault="007621C8">
      <w:pPr>
        <w:ind w:left="709" w:right="760"/>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413D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89BF5FB" w14:textId="77777777" w:rsidR="00045A20" w:rsidRPr="00C413DA" w:rsidRDefault="007621C8">
      <w:pPr>
        <w:ind w:left="709" w:right="760"/>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413DA">
        <w:rPr>
          <w:rFonts w:ascii="Palatino Linotype" w:eastAsia="Palatino Linotype" w:hAnsi="Palatino Linotype" w:cs="Palatino Linotype"/>
          <w:i/>
          <w:sz w:val="22"/>
          <w:szCs w:val="22"/>
        </w:rPr>
        <w:t>.”(Sic)</w:t>
      </w:r>
    </w:p>
    <w:p w14:paraId="423899D1"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071B587" w14:textId="77777777" w:rsidR="00045A20" w:rsidRPr="00C413DA" w:rsidRDefault="007621C8">
      <w:pPr>
        <w:ind w:left="567" w:right="75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w:t>
      </w:r>
      <w:r w:rsidRPr="00C413DA">
        <w:rPr>
          <w:rFonts w:ascii="Palatino Linotype" w:eastAsia="Palatino Linotype" w:hAnsi="Palatino Linotype" w:cs="Palatino Linotype"/>
          <w:b/>
          <w:i/>
          <w:sz w:val="22"/>
          <w:szCs w:val="22"/>
        </w:rPr>
        <w:t>Artículo12.-</w:t>
      </w:r>
      <w:r w:rsidRPr="00C413D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54DC445" w14:textId="77777777" w:rsidR="00045A20" w:rsidRPr="00C413DA" w:rsidRDefault="007621C8">
      <w:pPr>
        <w:ind w:left="567" w:right="75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413DA">
        <w:rPr>
          <w:rFonts w:ascii="Palatino Linotype" w:eastAsia="Palatino Linotype" w:hAnsi="Palatino Linotype" w:cs="Palatino Linotype"/>
          <w:i/>
          <w:sz w:val="22"/>
          <w:szCs w:val="22"/>
        </w:rPr>
        <w:t xml:space="preserve">. </w:t>
      </w:r>
      <w:r w:rsidRPr="00C413D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436F8F2A" w14:textId="77777777" w:rsidR="00045A20" w:rsidRPr="00C413DA" w:rsidRDefault="00045A20">
      <w:pPr>
        <w:spacing w:line="360" w:lineRule="auto"/>
        <w:ind w:right="-93"/>
        <w:jc w:val="both"/>
        <w:rPr>
          <w:rFonts w:ascii="Palatino Linotype" w:eastAsia="Palatino Linotype" w:hAnsi="Palatino Linotype" w:cs="Palatino Linotype"/>
        </w:rPr>
      </w:pPr>
    </w:p>
    <w:p w14:paraId="29D42117" w14:textId="77777777" w:rsidR="00045A20" w:rsidRPr="00C413DA" w:rsidRDefault="007621C8">
      <w:pPr>
        <w:spacing w:line="360" w:lineRule="auto"/>
        <w:ind w:right="-93"/>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4A06393C" w14:textId="77777777" w:rsidR="00045A20" w:rsidRPr="00C413DA" w:rsidRDefault="00045A20">
      <w:pPr>
        <w:spacing w:line="360" w:lineRule="auto"/>
        <w:jc w:val="both"/>
        <w:rPr>
          <w:rFonts w:ascii="Palatino Linotype" w:eastAsia="Palatino Linotype" w:hAnsi="Palatino Linotype" w:cs="Palatino Linotype"/>
        </w:rPr>
      </w:pPr>
    </w:p>
    <w:p w14:paraId="6BCE9061"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6E85D46B" w14:textId="77777777" w:rsidR="00045A20" w:rsidRPr="00C413DA" w:rsidRDefault="007621C8">
      <w:pPr>
        <w:spacing w:line="360" w:lineRule="auto"/>
        <w:jc w:val="both"/>
        <w:rPr>
          <w:rFonts w:ascii="Palatino Linotype" w:eastAsia="Palatino Linotype" w:hAnsi="Palatino Linotype" w:cs="Palatino Linotype"/>
          <w:b/>
        </w:rPr>
      </w:pPr>
      <w:r w:rsidRPr="00C413DA">
        <w:rPr>
          <w:rFonts w:ascii="Palatino Linotype" w:eastAsia="Palatino Linotype" w:hAnsi="Palatino Linotype" w:cs="Palatino Linotype"/>
          <w:b/>
        </w:rPr>
        <w:t xml:space="preserve"> </w:t>
      </w:r>
    </w:p>
    <w:p w14:paraId="1F32FE64" w14:textId="77777777" w:rsidR="00045A20" w:rsidRPr="00C413DA" w:rsidRDefault="007621C8">
      <w:pPr>
        <w:ind w:left="851" w:right="90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No existe obligación de elaborar documentos ad hoc para atender las solicitudes de acceso a la información.</w:t>
      </w:r>
      <w:r w:rsidRPr="00C413D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sidRPr="00C413DA">
        <w:rPr>
          <w:rFonts w:ascii="Palatino Linotype" w:eastAsia="Palatino Linotype" w:hAnsi="Palatino Linotype" w:cs="Palatino Linotype"/>
          <w:i/>
          <w:sz w:val="22"/>
          <w:szCs w:val="22"/>
        </w:rPr>
        <w:lastRenderedPageBreak/>
        <w:t>archivos; sin necesidad de elaborar documentos ad hoc para atender las solicitudes de información.</w:t>
      </w:r>
    </w:p>
    <w:p w14:paraId="0255FD00" w14:textId="77777777" w:rsidR="00045A20" w:rsidRPr="00C413DA" w:rsidRDefault="007621C8">
      <w:pPr>
        <w:ind w:left="851" w:right="90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Resoluciones: </w:t>
      </w:r>
    </w:p>
    <w:p w14:paraId="37D7A518" w14:textId="77777777" w:rsidR="00045A20" w:rsidRPr="00C413DA" w:rsidRDefault="007621C8">
      <w:pPr>
        <w:ind w:left="851" w:right="901"/>
        <w:jc w:val="both"/>
        <w:rPr>
          <w:rFonts w:ascii="Palatino Linotype" w:eastAsia="Palatino Linotype" w:hAnsi="Palatino Linotype" w:cs="Palatino Linotype"/>
          <w:i/>
          <w:sz w:val="22"/>
          <w:szCs w:val="22"/>
        </w:rPr>
      </w:pPr>
      <w:r w:rsidRPr="00C413DA">
        <w:rPr>
          <w:rFonts w:ascii="Noto Sans Symbols" w:eastAsia="Noto Sans Symbols" w:hAnsi="Noto Sans Symbols" w:cs="Noto Sans Symbols"/>
          <w:i/>
          <w:sz w:val="22"/>
          <w:szCs w:val="22"/>
        </w:rPr>
        <w:t>∙</w:t>
      </w:r>
      <w:r w:rsidRPr="00C413D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6E5571F" w14:textId="77777777" w:rsidR="00045A20" w:rsidRPr="00C413DA" w:rsidRDefault="007621C8">
      <w:pPr>
        <w:ind w:left="851" w:right="901"/>
        <w:jc w:val="both"/>
        <w:rPr>
          <w:rFonts w:ascii="Palatino Linotype" w:eastAsia="Palatino Linotype" w:hAnsi="Palatino Linotype" w:cs="Palatino Linotype"/>
          <w:i/>
          <w:sz w:val="22"/>
          <w:szCs w:val="22"/>
        </w:rPr>
      </w:pPr>
      <w:r w:rsidRPr="00C413DA">
        <w:rPr>
          <w:rFonts w:ascii="Noto Sans Symbols" w:eastAsia="Noto Sans Symbols" w:hAnsi="Noto Sans Symbols" w:cs="Noto Sans Symbols"/>
          <w:i/>
          <w:sz w:val="22"/>
          <w:szCs w:val="22"/>
        </w:rPr>
        <w:t>∙</w:t>
      </w:r>
      <w:r w:rsidRPr="00C413D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74C2319" w14:textId="77777777" w:rsidR="00045A20" w:rsidRPr="00C413DA" w:rsidRDefault="007621C8">
      <w:pPr>
        <w:ind w:left="851" w:right="901"/>
        <w:jc w:val="both"/>
        <w:rPr>
          <w:rFonts w:ascii="Palatino Linotype" w:eastAsia="Palatino Linotype" w:hAnsi="Palatino Linotype" w:cs="Palatino Linotype"/>
          <w:i/>
          <w:sz w:val="22"/>
          <w:szCs w:val="22"/>
        </w:rPr>
      </w:pPr>
      <w:r w:rsidRPr="00C413DA">
        <w:rPr>
          <w:rFonts w:ascii="Noto Sans Symbols" w:eastAsia="Noto Sans Symbols" w:hAnsi="Noto Sans Symbols" w:cs="Noto Sans Symbols"/>
          <w:i/>
          <w:sz w:val="22"/>
          <w:szCs w:val="22"/>
        </w:rPr>
        <w:t>∙</w:t>
      </w:r>
      <w:r w:rsidRPr="00C413D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0EEB199A" w14:textId="77777777" w:rsidR="00045A20" w:rsidRPr="00C413DA" w:rsidRDefault="00045A20">
      <w:pPr>
        <w:spacing w:line="360" w:lineRule="auto"/>
        <w:jc w:val="both"/>
        <w:rPr>
          <w:rFonts w:ascii="Palatino Linotype" w:eastAsia="Palatino Linotype" w:hAnsi="Palatino Linotype" w:cs="Palatino Linotype"/>
        </w:rPr>
      </w:pPr>
    </w:p>
    <w:p w14:paraId="6C41E02A" w14:textId="77777777" w:rsidR="00045A20" w:rsidRPr="00C413DA" w:rsidRDefault="007621C8">
      <w:pPr>
        <w:spacing w:line="360" w:lineRule="auto"/>
        <w:jc w:val="both"/>
        <w:rPr>
          <w:rFonts w:ascii="Palatino Linotype" w:eastAsia="Palatino Linotype" w:hAnsi="Palatino Linotype" w:cs="Palatino Linotype"/>
          <w:strike/>
        </w:rPr>
      </w:pPr>
      <w:r w:rsidRPr="00C413D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3641A671" w14:textId="77777777" w:rsidR="00045A20" w:rsidRPr="00C413DA" w:rsidRDefault="00045A20">
      <w:pPr>
        <w:spacing w:line="360" w:lineRule="auto"/>
        <w:jc w:val="both"/>
        <w:rPr>
          <w:rFonts w:ascii="Palatino Linotype" w:eastAsia="Palatino Linotype" w:hAnsi="Palatino Linotype" w:cs="Palatino Linotype"/>
        </w:rPr>
      </w:pPr>
    </w:p>
    <w:p w14:paraId="0F9B0835" w14:textId="77777777" w:rsidR="00045A20" w:rsidRPr="00C413DA" w:rsidRDefault="007621C8">
      <w:pPr>
        <w:spacing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99693D9" w14:textId="77777777" w:rsidR="00045A20" w:rsidRPr="00C413DA" w:rsidRDefault="00045A20">
      <w:pPr>
        <w:spacing w:line="360" w:lineRule="auto"/>
        <w:ind w:right="49"/>
        <w:jc w:val="both"/>
        <w:rPr>
          <w:rFonts w:ascii="Palatino Linotype" w:eastAsia="Palatino Linotype" w:hAnsi="Palatino Linotype" w:cs="Palatino Linotype"/>
        </w:rPr>
      </w:pPr>
    </w:p>
    <w:p w14:paraId="30B2C752"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95664F" w14:textId="77777777" w:rsidR="00045A20" w:rsidRPr="00C413DA" w:rsidRDefault="00045A20">
      <w:pPr>
        <w:ind w:left="851" w:right="899"/>
        <w:jc w:val="both"/>
        <w:rPr>
          <w:rFonts w:ascii="Palatino Linotype" w:eastAsia="Palatino Linotype" w:hAnsi="Palatino Linotype" w:cs="Palatino Linotype"/>
          <w:i/>
          <w:sz w:val="22"/>
          <w:szCs w:val="22"/>
        </w:rPr>
      </w:pPr>
    </w:p>
    <w:p w14:paraId="5F82D684"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 xml:space="preserve">Artículo 3. </w:t>
      </w:r>
      <w:r w:rsidRPr="00C413DA">
        <w:rPr>
          <w:rFonts w:ascii="Palatino Linotype" w:eastAsia="Palatino Linotype" w:hAnsi="Palatino Linotype" w:cs="Palatino Linotype"/>
          <w:i/>
          <w:sz w:val="22"/>
          <w:szCs w:val="22"/>
        </w:rPr>
        <w:t>Para los efectos de la presente Ley se entenderá por:</w:t>
      </w:r>
    </w:p>
    <w:p w14:paraId="396C5C6C"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p>
    <w:p w14:paraId="0D22663E"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XI. Documento:</w:t>
      </w:r>
      <w:r w:rsidRPr="00C413DA">
        <w:rPr>
          <w:rFonts w:ascii="Palatino Linotype" w:eastAsia="Palatino Linotype" w:hAnsi="Palatino Linotype" w:cs="Palatino Linotype"/>
          <w:i/>
          <w:sz w:val="22"/>
          <w:szCs w:val="22"/>
        </w:rPr>
        <w:t xml:space="preserve"> Los expedientes, reportes, estudios, actas</w:t>
      </w:r>
      <w:r w:rsidRPr="00C413DA">
        <w:rPr>
          <w:rFonts w:ascii="Palatino Linotype" w:eastAsia="Palatino Linotype" w:hAnsi="Palatino Linotype" w:cs="Palatino Linotype"/>
          <w:b/>
          <w:i/>
          <w:sz w:val="22"/>
          <w:szCs w:val="22"/>
        </w:rPr>
        <w:t>,</w:t>
      </w:r>
      <w:r w:rsidRPr="00C413D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BB9052D" w14:textId="77777777" w:rsidR="00045A20" w:rsidRPr="00C413DA" w:rsidRDefault="00045A20">
      <w:pPr>
        <w:ind w:left="851" w:right="899"/>
        <w:jc w:val="both"/>
        <w:rPr>
          <w:rFonts w:ascii="Palatino Linotype" w:eastAsia="Palatino Linotype" w:hAnsi="Palatino Linotype" w:cs="Palatino Linotype"/>
          <w:sz w:val="22"/>
          <w:szCs w:val="22"/>
        </w:rPr>
      </w:pPr>
    </w:p>
    <w:p w14:paraId="04089972"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F354E6" w14:textId="77777777" w:rsidR="00045A20" w:rsidRPr="00C413DA" w:rsidRDefault="00045A20">
      <w:pPr>
        <w:ind w:left="851" w:right="899"/>
        <w:jc w:val="both"/>
        <w:rPr>
          <w:rFonts w:ascii="Palatino Linotype" w:eastAsia="Palatino Linotype" w:hAnsi="Palatino Linotype" w:cs="Palatino Linotype"/>
        </w:rPr>
      </w:pPr>
    </w:p>
    <w:p w14:paraId="0A0CD506" w14:textId="77777777" w:rsidR="00045A20" w:rsidRPr="00C413DA" w:rsidRDefault="007621C8">
      <w:pPr>
        <w:ind w:left="851" w:right="899"/>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sz w:val="22"/>
          <w:szCs w:val="22"/>
        </w:rPr>
        <w:t>“</w:t>
      </w:r>
      <w:r w:rsidRPr="00C413DA">
        <w:rPr>
          <w:rFonts w:ascii="Palatino Linotype" w:eastAsia="Palatino Linotype" w:hAnsi="Palatino Linotype" w:cs="Palatino Linotype"/>
          <w:b/>
          <w:i/>
          <w:sz w:val="22"/>
          <w:szCs w:val="22"/>
        </w:rPr>
        <w:t>CRITERIO 0002-11</w:t>
      </w:r>
    </w:p>
    <w:p w14:paraId="2954F603"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413DA">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C413DA">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6E98B9"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CE5BD90" w14:textId="77777777" w:rsidR="00045A20" w:rsidRPr="00C413DA" w:rsidRDefault="007621C8">
      <w:pPr>
        <w:ind w:left="851" w:right="89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4A5F450" w14:textId="77777777" w:rsidR="00045A20" w:rsidRPr="00C413DA" w:rsidRDefault="007621C8">
      <w:pPr>
        <w:ind w:left="851" w:right="899"/>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D9A60FA" w14:textId="77777777" w:rsidR="00045A20" w:rsidRPr="00C413DA" w:rsidRDefault="007621C8">
      <w:pPr>
        <w:ind w:left="851" w:right="899"/>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06872E57"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 la Secretaría de Movilidad, lo siguiente:</w:t>
      </w:r>
    </w:p>
    <w:p w14:paraId="0B097914" w14:textId="77777777" w:rsidR="00045A20" w:rsidRPr="00C413DA" w:rsidRDefault="007621C8">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Todas las altas y bajas de los servidores públicos de julio a noviembre de este año y si fue la baja la causa y si renunciaron la carta de renuncia.</w:t>
      </w:r>
    </w:p>
    <w:p w14:paraId="0576B3F5"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En respuesta, el </w:t>
      </w:r>
      <w:r w:rsidRPr="00C413DA">
        <w:rPr>
          <w:rFonts w:ascii="Palatino Linotype" w:eastAsia="Palatino Linotype" w:hAnsi="Palatino Linotype" w:cs="Palatino Linotype"/>
          <w:b/>
        </w:rPr>
        <w:t xml:space="preserve">SUJETO OBLIGADO, </w:t>
      </w:r>
      <w:r w:rsidRPr="00C413DA">
        <w:rPr>
          <w:rFonts w:ascii="Palatino Linotype" w:eastAsia="Palatino Linotype" w:hAnsi="Palatino Linotype" w:cs="Palatino Linotype"/>
        </w:rPr>
        <w:t xml:space="preserve">a través de su Subdirectora de Administración del Capital Humano de la Secretaria de Movilidad, informó que se cuenta con una relación de las personas que causaron movimiento de personal de alta o baja en esta Secretaría del periodo de 01 de julio del 2023 al 01 de noviembre del 2023, anexando dicha relación. </w:t>
      </w:r>
    </w:p>
    <w:p w14:paraId="35E2809E" w14:textId="77777777"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otro lado, en cuanto al requerimiento “si fue la baja la causa y si renunciaron la carta de renuncia”, señaló que no se entiende el sentido de la oración y/o petición.  </w:t>
      </w:r>
    </w:p>
    <w:p w14:paraId="4D6CF33B" w14:textId="77777777" w:rsidR="00045A20" w:rsidRPr="00C413DA" w:rsidRDefault="007621C8">
      <w:pPr>
        <w:spacing w:before="240" w:after="240"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 xml:space="preserve">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al presentar el recurso de revisión que nos ocupa, se inconformó por lo siguiente:</w:t>
      </w:r>
    </w:p>
    <w:p w14:paraId="67BC035C" w14:textId="77777777" w:rsidR="00045A20" w:rsidRPr="00C413DA" w:rsidRDefault="007621C8">
      <w:pPr>
        <w:spacing w:before="240"/>
        <w:ind w:right="51"/>
        <w:jc w:val="both"/>
        <w:rPr>
          <w:rFonts w:ascii="Palatino Linotype" w:eastAsia="Palatino Linotype" w:hAnsi="Palatino Linotype" w:cs="Palatino Linotype"/>
          <w:i/>
        </w:rPr>
      </w:pPr>
      <w:r w:rsidRPr="00C413DA">
        <w:rPr>
          <w:rFonts w:ascii="Palatino Linotype" w:eastAsia="Palatino Linotype" w:hAnsi="Palatino Linotype" w:cs="Palatino Linotype"/>
          <w:i/>
        </w:rPr>
        <w:t>“La solicitud es clara solicito que me entreguen todo lo de mi solicitud porque por no responder dicen que no entienden apenas me dicen para hacerme cansado y largo todo” (Sic)</w:t>
      </w:r>
    </w:p>
    <w:p w14:paraId="32D9D3F6" w14:textId="77777777" w:rsidR="00045A20" w:rsidRPr="00C413DA" w:rsidRDefault="00045A20">
      <w:pPr>
        <w:ind w:right="51"/>
        <w:jc w:val="both"/>
        <w:rPr>
          <w:rFonts w:ascii="Palatino Linotype" w:eastAsia="Palatino Linotype" w:hAnsi="Palatino Linotype" w:cs="Palatino Linotype"/>
          <w:i/>
        </w:rPr>
      </w:pPr>
    </w:p>
    <w:p w14:paraId="69A561A7" w14:textId="77777777" w:rsidR="00045A20" w:rsidRPr="00C413DA" w:rsidRDefault="007621C8">
      <w:pPr>
        <w:spacing w:after="240"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Ante la interposición del recurso de revisión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rindió su informe justificado a través del cual en lo medular ratificó su respuesta inicial. </w:t>
      </w:r>
    </w:p>
    <w:p w14:paraId="026AAC76" w14:textId="2325FFA6"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Antes del estudio de fondo, es necesario precisar que de los motivos de inconformidad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se advierte que se queja</w:t>
      </w:r>
      <w:r w:rsidR="00C02E2D" w:rsidRPr="00C413DA">
        <w:rPr>
          <w:rFonts w:ascii="Palatino Linotype" w:eastAsia="Palatino Linotype" w:hAnsi="Palatino Linotype" w:cs="Palatino Linotype"/>
        </w:rPr>
        <w:t xml:space="preserve"> de la respuesta del Sujeto Obligado respecto a que en cuanto al requerimiento “si fue la baja la causa y si renunciaron la carta de renuncia”, señaló que no se entiende el sentido de la oración y/o petición, </w:t>
      </w:r>
      <w:r w:rsidRPr="00C413DA">
        <w:rPr>
          <w:rFonts w:ascii="Palatino Linotype" w:eastAsia="Palatino Linotype" w:hAnsi="Palatino Linotype" w:cs="Palatino Linotype"/>
        </w:rPr>
        <w:t xml:space="preserve"> por consiguiente en cuanto al listado remitido en respuesta de las altas y bajas de la Secretaría de Movilidad del periodo de 01 de julio del 2023 al 01 de noviembre del 2023, debe declararse actos consentidos; es decir, cuando la</w:t>
      </w:r>
      <w:r w:rsidR="00C02E2D" w:rsidRPr="00C413DA">
        <w:rPr>
          <w:rFonts w:ascii="Palatino Linotype" w:eastAsia="Palatino Linotype" w:hAnsi="Palatino Linotype" w:cs="Palatino Linotype"/>
        </w:rPr>
        <w:t xml:space="preserve"> persona </w:t>
      </w:r>
      <w:r w:rsidRPr="00C413DA">
        <w:rPr>
          <w:rFonts w:ascii="Palatino Linotype" w:eastAsia="Palatino Linotype" w:hAnsi="Palatino Linotype" w:cs="Palatino Linotype"/>
        </w:rPr>
        <w:t>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166E3F6" w14:textId="77777777" w:rsidR="00045A20" w:rsidRPr="00C413DA" w:rsidRDefault="007621C8">
      <w:pPr>
        <w:spacing w:before="240" w:after="240" w:line="276" w:lineRule="auto"/>
        <w:ind w:left="567" w:right="567"/>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sz w:val="22"/>
          <w:szCs w:val="22"/>
        </w:rPr>
        <w:t>“</w:t>
      </w:r>
      <w:r w:rsidRPr="00C413DA">
        <w:rPr>
          <w:rFonts w:ascii="Palatino Linotype" w:eastAsia="Palatino Linotype" w:hAnsi="Palatino Linotype" w:cs="Palatino Linotype"/>
          <w:b/>
          <w:i/>
          <w:sz w:val="22"/>
          <w:szCs w:val="22"/>
        </w:rPr>
        <w:t>REVISIÓN EN AMPARO. LOS RESOLUTIVOS NO COMBATIDOS DEBEN DECLARARSE FIRMES</w:t>
      </w:r>
      <w:r w:rsidRPr="00C413DA">
        <w:rPr>
          <w:rFonts w:ascii="Palatino Linotype" w:eastAsia="Palatino Linotype" w:hAnsi="Palatino Linotype" w:cs="Palatino Linotype"/>
          <w:i/>
          <w:sz w:val="22"/>
          <w:szCs w:val="22"/>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w:t>
      </w:r>
      <w:r w:rsidRPr="00C413DA">
        <w:rPr>
          <w:rFonts w:ascii="Palatino Linotype" w:eastAsia="Palatino Linotype" w:hAnsi="Palatino Linotype" w:cs="Palatino Linotype"/>
          <w:i/>
          <w:sz w:val="22"/>
          <w:szCs w:val="22"/>
        </w:rPr>
        <w:lastRenderedPageBreak/>
        <w:t>y dicha declaración de firmeza debe reflejarse en la parte considerativa y en los resolutivos debe confirmarse la sentencia recurrida en la parte correspondiente.”(Sic)</w:t>
      </w:r>
    </w:p>
    <w:p w14:paraId="73443DF1"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Esto es, la parte de la solicitud sobre la que no se expresó inconformidad, debe declararse consentida por el hoy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1C0934C6"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283A4AE6" w14:textId="77777777" w:rsidR="00045A20" w:rsidRPr="00C413DA" w:rsidRDefault="007621C8">
      <w:pPr>
        <w:spacing w:before="240" w:after="240" w:line="276" w:lineRule="auto"/>
        <w:ind w:left="567" w:right="567"/>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ACTOS CONSENTIDOS. SON LOS QUE NO SE IMPUGNAN MEDIANTE EL RECURSO IDÓNEO</w:t>
      </w:r>
      <w:r w:rsidRPr="00C413DA">
        <w:rPr>
          <w:rFonts w:ascii="Palatino Linotype" w:eastAsia="Palatino Linotype" w:hAnsi="Palatino Linotype" w:cs="Palatino Linotype"/>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5F583185" w14:textId="3FD92B15"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Ahora </w:t>
      </w:r>
      <w:r w:rsidR="00C02E2D" w:rsidRPr="00C413DA">
        <w:rPr>
          <w:rFonts w:ascii="Palatino Linotype" w:eastAsia="Palatino Linotype" w:hAnsi="Palatino Linotype" w:cs="Palatino Linotype"/>
        </w:rPr>
        <w:t>bien,</w:t>
      </w:r>
      <w:r w:rsidRPr="00C413DA">
        <w:rPr>
          <w:rFonts w:ascii="Palatino Linotype" w:eastAsia="Palatino Linotype" w:hAnsi="Palatino Linotype" w:cs="Palatino Linotype"/>
        </w:rPr>
        <w:t xml:space="preserve"> sobre la inconformidad de la parte </w:t>
      </w:r>
      <w:r w:rsidRPr="00C413DA">
        <w:rPr>
          <w:rFonts w:ascii="Palatino Linotype" w:eastAsia="Palatino Linotype" w:hAnsi="Palatino Linotype" w:cs="Palatino Linotype"/>
          <w:b/>
        </w:rPr>
        <w:t xml:space="preserve">RECURRENTE, </w:t>
      </w:r>
      <w:r w:rsidRPr="00C413DA">
        <w:rPr>
          <w:rFonts w:ascii="Palatino Linotype" w:eastAsia="Palatino Linotype" w:hAnsi="Palatino Linotype" w:cs="Palatino Linotype"/>
        </w:rPr>
        <w:t>sobre el requerimiento de información relativo a:</w:t>
      </w:r>
    </w:p>
    <w:p w14:paraId="55709E98" w14:textId="0E357710" w:rsidR="00045A20" w:rsidRPr="00C413DA" w:rsidRDefault="00C02E2D">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Causa de la baja </w:t>
      </w:r>
      <w:r w:rsidR="007621C8" w:rsidRPr="00C413DA">
        <w:rPr>
          <w:rFonts w:ascii="Palatino Linotype" w:eastAsia="Palatino Linotype" w:hAnsi="Palatino Linotype" w:cs="Palatino Linotype"/>
        </w:rPr>
        <w:t>y si renunciaron la carta de renuncia.</w:t>
      </w:r>
    </w:p>
    <w:p w14:paraId="5C8120E8" w14:textId="5C896FCF"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Si bien es cierto que para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señaló que no se entiende el sentido de la oración y/o petición; sin embargo, de una interpretación de este Organismo Garante se advierte que lo requerido por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son las causas de las bajas de sus servidores públicos en la temporalidad señalada y si </w:t>
      </w:r>
      <w:r w:rsidR="00C02E2D" w:rsidRPr="00C413DA">
        <w:rPr>
          <w:rFonts w:ascii="Palatino Linotype" w:eastAsia="Palatino Linotype" w:hAnsi="Palatino Linotype" w:cs="Palatino Linotype"/>
        </w:rPr>
        <w:t>la causa de la baja fue renuncia entonces requiere la</w:t>
      </w:r>
      <w:r w:rsidRPr="00C413DA">
        <w:rPr>
          <w:rFonts w:ascii="Palatino Linotype" w:eastAsia="Palatino Linotype" w:hAnsi="Palatino Linotype" w:cs="Palatino Linotype"/>
        </w:rPr>
        <w:t xml:space="preserve"> carta de renuncia. </w:t>
      </w:r>
    </w:p>
    <w:p w14:paraId="1F932CCC" w14:textId="44B60B28" w:rsidR="00EE1511" w:rsidRPr="00C413DA" w:rsidRDefault="007C0F0F">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 xml:space="preserve">Ahora bien, respecto a la aclaración, es de </w:t>
      </w:r>
      <w:r w:rsidR="00EE1511" w:rsidRPr="00C413DA">
        <w:rPr>
          <w:rFonts w:ascii="Palatino Linotype" w:eastAsia="Palatino Linotype" w:hAnsi="Palatino Linotype" w:cs="Palatino Linotype"/>
        </w:rPr>
        <w:t xml:space="preserve">señalar que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tenía un lapso de cinco días</w:t>
      </w:r>
      <w:r w:rsidR="00EE1511" w:rsidRPr="00C413DA">
        <w:rPr>
          <w:rFonts w:ascii="Palatino Linotype" w:eastAsia="Palatino Linotype" w:hAnsi="Palatino Linotype" w:cs="Palatino Linotype"/>
        </w:rPr>
        <w:t xml:space="preserve"> para solicitarla</w:t>
      </w:r>
      <w:r w:rsidR="005E419C" w:rsidRPr="00C413DA">
        <w:rPr>
          <w:rFonts w:ascii="Palatino Linotype" w:eastAsia="Palatino Linotype" w:hAnsi="Palatino Linotype" w:cs="Palatino Linotype"/>
        </w:rPr>
        <w:t>,</w:t>
      </w:r>
      <w:r w:rsidRPr="00C413DA">
        <w:rPr>
          <w:rFonts w:ascii="Palatino Linotype" w:eastAsia="Palatino Linotype" w:hAnsi="Palatino Linotype" w:cs="Palatino Linotype"/>
        </w:rPr>
        <w:t xml:space="preserve"> en términos de lo señalado por el artículo 159 de la Ley del Materia, que señala:</w:t>
      </w:r>
    </w:p>
    <w:p w14:paraId="1EDCAC29" w14:textId="77777777" w:rsidR="007C0F0F" w:rsidRPr="00C413DA" w:rsidRDefault="007C0F0F" w:rsidP="007C0F0F">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“Artículo 159. Cuando los detalles proporcionados para localizar los documentos resulten insuficientes, incompletos o sean erróneos, la Unidad de Transparencia podrá requerir al solicitante, por una sola vez y dentro de un plazo que no podrá exceder de </w:t>
      </w:r>
      <w:r w:rsidRPr="00C413DA">
        <w:rPr>
          <w:rFonts w:ascii="Palatino Linotype" w:eastAsia="Palatino Linotype" w:hAnsi="Palatino Linotype" w:cs="Palatino Linotype"/>
          <w:b/>
          <w:i/>
          <w:sz w:val="22"/>
          <w:szCs w:val="22"/>
        </w:rPr>
        <w:t>cinco días hábiles contados a partir de la presentación de la solicitud</w:t>
      </w:r>
      <w:r w:rsidRPr="00C413DA">
        <w:rPr>
          <w:rFonts w:ascii="Palatino Linotype" w:eastAsia="Palatino Linotype" w:hAnsi="Palatino Linotype" w:cs="Palatino Linotype"/>
          <w:i/>
          <w:sz w:val="22"/>
          <w:szCs w:val="22"/>
        </w:rPr>
        <w:t xml:space="preserve">, para que, en un término de hasta diez días hábiles, indique otros elementos que complementen, corrijan o amplíen los datos proporcionados o bien, precise uno o varios requerimientos de información. </w:t>
      </w:r>
    </w:p>
    <w:p w14:paraId="4CFCA02A" w14:textId="12C5563F" w:rsidR="007C0F0F" w:rsidRPr="00C413DA" w:rsidRDefault="007C0F0F" w:rsidP="007C0F0F">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6F923361" w14:textId="04314D48" w:rsidR="007C0F0F" w:rsidRPr="00C413DA" w:rsidRDefault="007C0F0F" w:rsidP="007C0F0F">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En el caso de requerimientos parciales no desahogados, se tendrá por presentada la solicitud por lo que respecta a los contenidos de información que no formaron parte del requerimiento”</w:t>
      </w:r>
    </w:p>
    <w:p w14:paraId="77F9E8FB" w14:textId="77777777" w:rsidR="007C0F0F" w:rsidRPr="00C413DA" w:rsidRDefault="007C0F0F" w:rsidP="007C0F0F">
      <w:pPr>
        <w:spacing w:line="360" w:lineRule="auto"/>
        <w:jc w:val="both"/>
        <w:rPr>
          <w:rFonts w:ascii="Palatino Linotype" w:eastAsia="Palatino Linotype" w:hAnsi="Palatino Linotype" w:cs="Palatino Linotype"/>
        </w:rPr>
      </w:pPr>
    </w:p>
    <w:p w14:paraId="63A8589A" w14:textId="18FF48B1" w:rsidR="005E419C" w:rsidRPr="00C413DA" w:rsidRDefault="007C0F0F" w:rsidP="007C0F0F">
      <w:pPr>
        <w:spacing w:line="360" w:lineRule="auto"/>
        <w:jc w:val="both"/>
        <w:rPr>
          <w:rFonts w:ascii="Palatino Linotype" w:hAnsi="Palatino Linotype" w:cs="Tahoma"/>
          <w:bCs/>
        </w:rPr>
      </w:pPr>
      <w:r w:rsidRPr="00C413DA">
        <w:rPr>
          <w:rFonts w:ascii="Palatino Linotype" w:eastAsia="Calibri" w:hAnsi="Palatino Linotype" w:cs="Tahoma"/>
          <w:bCs/>
          <w:iCs/>
          <w:lang w:eastAsia="es-ES_tradnl"/>
        </w:rPr>
        <w:t xml:space="preserve">Como se logra observar, cuando los Particulares no sean claros en la información peticionada, los Sujetos Obligados, tienen la posibilidad de solicitar información adicional, con el fin de esclarecer la solicitud y así dar una atención adecuada en esta; </w:t>
      </w:r>
      <w:r w:rsidRPr="00C413DA">
        <w:rPr>
          <w:rFonts w:ascii="Palatino Linotype" w:hAnsi="Palatino Linotype" w:cs="Tahoma"/>
          <w:bCs/>
        </w:rPr>
        <w:t xml:space="preserve">circunstancia que no se actualiza en el presente asunto; ya que de la solicitud se entiende a lo cual pretende tener acceso la parte </w:t>
      </w:r>
      <w:r w:rsidRPr="00C413DA">
        <w:rPr>
          <w:rFonts w:ascii="Palatino Linotype" w:hAnsi="Palatino Linotype" w:cs="Tahoma"/>
          <w:b/>
          <w:bCs/>
        </w:rPr>
        <w:t>RECURRENTE</w:t>
      </w:r>
      <w:r w:rsidR="004E35DA" w:rsidRPr="00C413DA">
        <w:rPr>
          <w:rFonts w:ascii="Palatino Linotype" w:hAnsi="Palatino Linotype" w:cs="Tahoma"/>
          <w:bCs/>
        </w:rPr>
        <w:t xml:space="preserve">. </w:t>
      </w:r>
    </w:p>
    <w:p w14:paraId="149477BC" w14:textId="77777777" w:rsidR="004E35DA" w:rsidRPr="00C413DA" w:rsidRDefault="004E35DA" w:rsidP="007C0F0F">
      <w:pPr>
        <w:spacing w:line="360" w:lineRule="auto"/>
        <w:jc w:val="both"/>
        <w:rPr>
          <w:rFonts w:ascii="Palatino Linotype" w:hAnsi="Palatino Linotype" w:cs="Tahoma"/>
          <w:bCs/>
        </w:rPr>
      </w:pPr>
    </w:p>
    <w:p w14:paraId="1D7D10F9" w14:textId="2D408053" w:rsidR="005E419C" w:rsidRPr="00C413DA" w:rsidRDefault="004E35DA" w:rsidP="005E419C">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Señalado lo anterior,</w:t>
      </w:r>
      <w:r w:rsidR="00810A40" w:rsidRPr="00C413DA">
        <w:rPr>
          <w:rFonts w:ascii="Palatino Linotype" w:eastAsia="Palatino Linotype" w:hAnsi="Palatino Linotype" w:cs="Palatino Linotype"/>
        </w:rPr>
        <w:t xml:space="preserve"> se advierte </w:t>
      </w:r>
      <w:r w:rsidR="005E419C" w:rsidRPr="00C413DA">
        <w:rPr>
          <w:rFonts w:ascii="Palatino Linotype" w:eastAsia="Palatino Linotype" w:hAnsi="Palatino Linotype" w:cs="Palatino Linotype"/>
        </w:rPr>
        <w:t>que</w:t>
      </w:r>
      <w:r w:rsidRPr="00C413DA">
        <w:rPr>
          <w:rFonts w:ascii="Palatino Linotype" w:eastAsia="Palatino Linotype" w:hAnsi="Palatino Linotype" w:cs="Palatino Linotype"/>
        </w:rPr>
        <w:t xml:space="preserve"> la respuesta</w:t>
      </w:r>
      <w:r w:rsidR="005E419C" w:rsidRPr="00C413DA">
        <w:rPr>
          <w:rFonts w:ascii="Palatino Linotype" w:eastAsia="Palatino Linotype" w:hAnsi="Palatino Linotype" w:cs="Palatino Linotype"/>
        </w:rPr>
        <w:t xml:space="preserve"> fue proporcionada por la Subdirección de Administración del Capital Humano, quien en términos de lo </w:t>
      </w:r>
      <w:r w:rsidR="005E419C" w:rsidRPr="00C413DA">
        <w:rPr>
          <w:rFonts w:ascii="Palatino Linotype" w:eastAsia="Palatino Linotype" w:hAnsi="Palatino Linotype" w:cs="Palatino Linotype"/>
        </w:rPr>
        <w:lastRenderedPageBreak/>
        <w:t xml:space="preserve">señalado por el Manual General de Organización de la Secretaría de Movilidad, tiene las siguientes atribuciones: </w:t>
      </w:r>
    </w:p>
    <w:p w14:paraId="6200D67B" w14:textId="77777777" w:rsidR="005E419C" w:rsidRPr="00C413DA" w:rsidRDefault="005E419C" w:rsidP="005E419C">
      <w:pPr>
        <w:spacing w:line="360" w:lineRule="auto"/>
        <w:jc w:val="both"/>
        <w:rPr>
          <w:rFonts w:ascii="Palatino Linotype" w:eastAsia="Palatino Linotype" w:hAnsi="Palatino Linotype" w:cs="Palatino Linotype"/>
        </w:rPr>
      </w:pPr>
    </w:p>
    <w:p w14:paraId="51B7157F"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“22000002000300S SUBDIRECCIÓN DE ADMINISTRACIÓN DEL CAPITAL HUMANO </w:t>
      </w:r>
    </w:p>
    <w:p w14:paraId="33477622"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OBJETIVO: Tramitar, coordinar y supervisar las gestiones y acciones para que la administración de los recursos humanos se lleve en observancia a la normativa aplicable, para el adecuado funcionamiento de la Secretaría. </w:t>
      </w:r>
    </w:p>
    <w:p w14:paraId="2A936FE7"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FUNCIONES: </w:t>
      </w:r>
    </w:p>
    <w:p w14:paraId="7B5B3F27"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-Planear, organizar y controlar el aprovisionamiento de los recursos humanos. 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 Integrar y gestionar ante la Secretaría de Finanzas los nombramientos, cambios de adscripción, compactaciones y/o conversiones de puestos, cambio de datos, licencias, vacaciones, pago de prestaciones, entre otros, a que tienen derecho las personas servidoras públicas. </w:t>
      </w:r>
    </w:p>
    <w:p w14:paraId="6987D587"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el cumplimiento de la normatividad vigente en materia de Recursos Humanos. </w:t>
      </w:r>
    </w:p>
    <w:p w14:paraId="584DBCF5" w14:textId="7081F4B5"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y participar en la integración del proyecto anual de presupuesto de egresos, correspondiente al Capítulo 1000 Servicios Personales, así como su programación y seguimiento en su aplicación. </w:t>
      </w:r>
    </w:p>
    <w:p w14:paraId="4495B798"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y coordinar los sistemas, procedimientos y controles en materia de recursos humanos. </w:t>
      </w:r>
    </w:p>
    <w:p w14:paraId="697D99B5"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-Cumplir y hacer cumplir la normatividad y los procedimientos establecidos por la Secretaría de Finanzas en materia de contratación y administración de recursos humanos. Validar y supervisar la plantilla de personal de las unidades administrativas de la Secretaría. </w:t>
      </w:r>
    </w:p>
    <w:p w14:paraId="545FE77F"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el cumplimiento de la normatividad vigente en materia de sanciones al recurso humano. </w:t>
      </w:r>
    </w:p>
    <w:p w14:paraId="1BEE7C76"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y controlar los registros de puntualidad y asistencia del personal de la Secretaría. </w:t>
      </w:r>
    </w:p>
    <w:p w14:paraId="3F35D555"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la gestión de los recursos y la autorización correspondiente, para la celebración de contratos individuales de trabajo por tiempo determinado, así como de la tramitación del pago, la afiliación y, en su momento, baja ante el Instituto de Seguridad Social del Estado de México y Municipios. </w:t>
      </w:r>
    </w:p>
    <w:p w14:paraId="3B1E6215"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 xml:space="preserve">-Supervisar la debida aplicación de los catálogos de puestos y tabuladores de sueldos conforme a las plazas vacantes, en el momento de la incorporación del personal, en cualquiera de sus modalidades. </w:t>
      </w:r>
    </w:p>
    <w:p w14:paraId="0D7653CD"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-Coordinar con la Dirección General de Personal y el Instituto de Profesionalización de los Servidores Públicos del Poder Ejecutivo del Gobierno del Estado de México, en materia de selección, contratación, administración y capacitación de las personas servidoras públicas adscritas a la dependencia. </w:t>
      </w:r>
    </w:p>
    <w:p w14:paraId="1652A623"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-Comunicar y gestionar las peticiones para las evaluaciones de prospectos de candidatas y candidatos a ocupar plazas vacantes, así como los ascensos escalafonarios, a través de la aplicación del Sistema de Escalafón en la Secretaría de Movilidad. </w:t>
      </w:r>
    </w:p>
    <w:p w14:paraId="690462B8"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 </w:t>
      </w:r>
    </w:p>
    <w:p w14:paraId="03D771C7"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-Promover las acciones que permitan la creación y operación de las brigadas internas de protección civil, promoviendo su capacitación y desarrollo, así como supervisar las medidas de seguridad e higiene al interior de las unidades administrativas de la Secretaría. </w:t>
      </w:r>
    </w:p>
    <w:p w14:paraId="3C10C4F3"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la adecuada integración de los expedientes del personal de la Secretaría. </w:t>
      </w:r>
    </w:p>
    <w:p w14:paraId="12A4E04C"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-Ordenar y validar la realización de los trámites de altas</w:t>
      </w:r>
      <w:r w:rsidRPr="00C413DA">
        <w:rPr>
          <w:rFonts w:ascii="Palatino Linotype" w:eastAsia="Palatino Linotype" w:hAnsi="Palatino Linotype" w:cs="Palatino Linotype"/>
          <w:i/>
          <w:sz w:val="22"/>
          <w:szCs w:val="22"/>
        </w:rPr>
        <w:t xml:space="preserve">, nombramientos, protestas de cargo, incidencias, ascensos, cambios de adscripción, licencias, vacaciones, </w:t>
      </w:r>
      <w:r w:rsidRPr="00C413DA">
        <w:rPr>
          <w:rFonts w:ascii="Palatino Linotype" w:eastAsia="Palatino Linotype" w:hAnsi="Palatino Linotype" w:cs="Palatino Linotype"/>
          <w:b/>
          <w:i/>
          <w:sz w:val="22"/>
          <w:szCs w:val="22"/>
        </w:rPr>
        <w:t>bajas</w:t>
      </w:r>
      <w:r w:rsidRPr="00C413DA">
        <w:rPr>
          <w:rFonts w:ascii="Palatino Linotype" w:eastAsia="Palatino Linotype" w:hAnsi="Palatino Linotype" w:cs="Palatino Linotype"/>
          <w:i/>
          <w:sz w:val="22"/>
          <w:szCs w:val="22"/>
        </w:rPr>
        <w:t xml:space="preserve">, recibos de sueldo, aguinaldos y demás movimientos </w:t>
      </w:r>
      <w:r w:rsidRPr="00C413DA">
        <w:rPr>
          <w:rFonts w:ascii="Palatino Linotype" w:eastAsia="Palatino Linotype" w:hAnsi="Palatino Linotype" w:cs="Palatino Linotype"/>
          <w:b/>
          <w:i/>
          <w:sz w:val="22"/>
          <w:szCs w:val="22"/>
        </w:rPr>
        <w:t>de las personas servidoras públicas adscritas a la dependencia,</w:t>
      </w:r>
      <w:r w:rsidRPr="00C413DA">
        <w:rPr>
          <w:rFonts w:ascii="Palatino Linotype" w:eastAsia="Palatino Linotype" w:hAnsi="Palatino Linotype" w:cs="Palatino Linotype"/>
          <w:i/>
          <w:sz w:val="22"/>
          <w:szCs w:val="22"/>
        </w:rPr>
        <w:t xml:space="preserve"> ante la Dirección General de Personal. </w:t>
      </w:r>
    </w:p>
    <w:p w14:paraId="546048CE"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-Coordinar las acciones necesarias para atender los actos de entrega recepción de las unidades administrativas. </w:t>
      </w:r>
    </w:p>
    <w:p w14:paraId="79D684F1"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-Coordinar y supervisar a las y los prestadores de prácticas profesionales y servicio social, adscritos a las unidades administrativas de la Secretaría. </w:t>
      </w:r>
    </w:p>
    <w:p w14:paraId="1F5B47E3"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el estado que guardan las obligaciones de transparencia de su competencia. -Coordinar y conducir la operación de la Comisión Mixta de Seguridad e Higiene de la Secretaría; así como promover las acciones que permitan su operación. </w:t>
      </w:r>
    </w:p>
    <w:p w14:paraId="5D8158C7"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y aprobar la debida dispersión y aplicación de las nóminas de la Secretaría. -Instruir al Departamento de Registro de Incidencias el realizar supervisiones al sistema de registro y control de personal, así como a la permanencia y asistencia de las personas servidoras públicas en sus lugares de adscripción y/o centros de trabajo. </w:t>
      </w:r>
    </w:p>
    <w:p w14:paraId="09A25A86"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y aprobar el cálculo de estímulos, descuentos, prestaciones de seguridad social, finiquitos y demás prestaciones de las personas servidoras públicas, previa comprobación. </w:t>
      </w:r>
    </w:p>
    <w:p w14:paraId="49BAD202"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-Supervisar la aplicación del Programa de Estímulos y Recompensas, así como los programas sociales, culturales y recreativos que promueve la Secretaría. </w:t>
      </w:r>
    </w:p>
    <w:p w14:paraId="258B7145" w14:textId="77777777"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 xml:space="preserve">-Desarrollar las demás funciones inherentes al puesto, de conformidad con las disposiciones jurídicas aplicables y realizar aquellas que le encomienden sus superiores jerárquicos. </w:t>
      </w:r>
    </w:p>
    <w:p w14:paraId="469F8376" w14:textId="1A077F9E" w:rsidR="005E419C" w:rsidRPr="00C413DA" w:rsidRDefault="005E419C" w:rsidP="005E419C">
      <w:pPr>
        <w:spacing w:before="240" w:after="240"/>
        <w:ind w:left="567" w:right="567"/>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-Desarrollar las demás funciones inherentes al área de su competencia.” </w:t>
      </w:r>
    </w:p>
    <w:p w14:paraId="70832D44" w14:textId="77777777" w:rsidR="005E419C" w:rsidRPr="00C413DA" w:rsidRDefault="005E419C" w:rsidP="005E419C">
      <w:pPr>
        <w:spacing w:line="360" w:lineRule="auto"/>
        <w:jc w:val="both"/>
        <w:rPr>
          <w:rFonts w:ascii="Palatino Linotype" w:eastAsia="Palatino Linotype" w:hAnsi="Palatino Linotype" w:cs="Palatino Linotype"/>
        </w:rPr>
      </w:pPr>
    </w:p>
    <w:p w14:paraId="3E88EC15" w14:textId="50C91F7D" w:rsidR="005E419C" w:rsidRPr="00C413DA" w:rsidRDefault="004E35DA" w:rsidP="005E419C">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De lo anterior se advierte </w:t>
      </w:r>
      <w:r w:rsidR="005E419C" w:rsidRPr="00C413DA">
        <w:rPr>
          <w:rFonts w:ascii="Palatino Linotype" w:eastAsia="Palatino Linotype" w:hAnsi="Palatino Linotype" w:cs="Palatino Linotype"/>
        </w:rPr>
        <w:t xml:space="preserve">que la Subdirección de Administración del Capital Humano, le corresponde el de Ordenar y validar la realización de los trámites de bajas de las personas servidoras públicas adscritas a la Secretaría de Movilidad. </w:t>
      </w:r>
    </w:p>
    <w:p w14:paraId="734B2BEB" w14:textId="77777777" w:rsidR="005E419C" w:rsidRPr="00C413DA" w:rsidRDefault="005E419C" w:rsidP="005E419C">
      <w:pPr>
        <w:spacing w:line="360" w:lineRule="auto"/>
        <w:jc w:val="both"/>
        <w:rPr>
          <w:rFonts w:ascii="Palatino Linotype" w:eastAsia="Palatino Linotype" w:hAnsi="Palatino Linotype" w:cs="Palatino Linotype"/>
        </w:rPr>
      </w:pPr>
    </w:p>
    <w:p w14:paraId="6F055E9E" w14:textId="77777777" w:rsidR="004E35DA"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Determinado lo anterior, sobre la naturaleza de la información, es dable precisar que la conclusión de una relación labo</w:t>
      </w:r>
      <w:r w:rsidR="004E35DA" w:rsidRPr="00C413DA">
        <w:rPr>
          <w:rFonts w:ascii="Palatino Linotype" w:eastAsia="Palatino Linotype" w:hAnsi="Palatino Linotype" w:cs="Palatino Linotype"/>
        </w:rPr>
        <w:t xml:space="preserve">ral se puede dar de dos maneras: </w:t>
      </w:r>
    </w:p>
    <w:p w14:paraId="07B9708F" w14:textId="77777777" w:rsidR="004E35DA" w:rsidRPr="00C413DA" w:rsidRDefault="004E35DA" w:rsidP="004E35DA">
      <w:pPr>
        <w:pStyle w:val="Prrafodelista"/>
        <w:numPr>
          <w:ilvl w:val="0"/>
          <w:numId w:val="5"/>
        </w:numPr>
        <w:spacing w:line="360" w:lineRule="auto"/>
        <w:jc w:val="both"/>
        <w:rPr>
          <w:rFonts w:ascii="Palatino Linotype" w:eastAsia="Palatino Linotype" w:hAnsi="Palatino Linotype" w:cs="Palatino Linotype"/>
          <w:b/>
        </w:rPr>
      </w:pPr>
      <w:r w:rsidRPr="00C413DA">
        <w:rPr>
          <w:rFonts w:ascii="Palatino Linotype" w:eastAsia="Palatino Linotype" w:hAnsi="Palatino Linotype" w:cs="Palatino Linotype"/>
          <w:b/>
        </w:rPr>
        <w:t xml:space="preserve">Por </w:t>
      </w:r>
      <w:r w:rsidR="007621C8" w:rsidRPr="00C413DA">
        <w:rPr>
          <w:rFonts w:ascii="Palatino Linotype" w:eastAsia="Palatino Linotype" w:hAnsi="Palatino Linotype" w:cs="Palatino Linotype"/>
          <w:b/>
        </w:rPr>
        <w:t xml:space="preserve">terminación </w:t>
      </w:r>
    </w:p>
    <w:p w14:paraId="60D84F81" w14:textId="6709F80E" w:rsidR="00045A20" w:rsidRPr="00C413DA" w:rsidRDefault="004E35DA" w:rsidP="004E35DA">
      <w:pPr>
        <w:pStyle w:val="Prrafodelista"/>
        <w:numPr>
          <w:ilvl w:val="0"/>
          <w:numId w:val="5"/>
        </w:num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Por</w:t>
      </w:r>
      <w:r w:rsidR="007621C8" w:rsidRPr="00C413DA">
        <w:rPr>
          <w:rFonts w:ascii="Palatino Linotype" w:eastAsia="Palatino Linotype" w:hAnsi="Palatino Linotype" w:cs="Palatino Linotype"/>
          <w:b/>
        </w:rPr>
        <w:t xml:space="preserve"> recisión</w:t>
      </w:r>
      <w:r w:rsidR="007621C8" w:rsidRPr="00C413DA">
        <w:rPr>
          <w:rFonts w:ascii="Palatino Linotype" w:eastAsia="Palatino Linotype" w:hAnsi="Palatino Linotype" w:cs="Palatino Linotype"/>
        </w:rPr>
        <w:t>.</w:t>
      </w:r>
    </w:p>
    <w:p w14:paraId="1958FFCF" w14:textId="77777777" w:rsidR="00C02E2D"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La terminación, se puede dar por diversas razones las cuales son: </w:t>
      </w:r>
    </w:p>
    <w:p w14:paraId="5558F80D" w14:textId="77777777" w:rsidR="00C02E2D"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I. La renuncia del servidor público; </w:t>
      </w:r>
    </w:p>
    <w:p w14:paraId="1CEA9003" w14:textId="77777777" w:rsidR="00C02E2D"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II. El mutuo consentimiento de las partes; </w:t>
      </w:r>
    </w:p>
    <w:p w14:paraId="7E26F00B" w14:textId="77777777" w:rsidR="00C02E2D"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III. El vencimiento del término o conclusión de la obra determinantes de la contratación; </w:t>
      </w:r>
    </w:p>
    <w:p w14:paraId="36558454" w14:textId="09C24D95" w:rsidR="00C02E2D"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IV. La muerte del servidor público; y </w:t>
      </w:r>
    </w:p>
    <w:p w14:paraId="656EDEEE" w14:textId="6DA38C98"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V. La incapacidad permanente del servidor público que le impida el desempeño de sus labores, ello en atención a lo establecido por el artículo 89 de la Ley del Trabajo de los Servidores Públicos del Estado y Municipios.</w:t>
      </w:r>
    </w:p>
    <w:p w14:paraId="4FA4593F"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La recisión, se presenta cuando por causa justificada el patrón decide terminar la relación laboral; como así lo señala el artículo 92, 93 y 95 de la Ley referida en el párrafo anterior, que a la letra dicen:</w:t>
      </w:r>
    </w:p>
    <w:p w14:paraId="6F00AC9C" w14:textId="77777777" w:rsidR="00045A20" w:rsidRPr="00C413DA" w:rsidRDefault="00045A20">
      <w:pPr>
        <w:spacing w:line="360" w:lineRule="auto"/>
        <w:jc w:val="both"/>
        <w:rPr>
          <w:rFonts w:ascii="Palatino Linotype" w:eastAsia="Palatino Linotype" w:hAnsi="Palatino Linotype" w:cs="Palatino Linotype"/>
        </w:rPr>
      </w:pPr>
    </w:p>
    <w:p w14:paraId="07EADE00"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“ARTÍCULO 92. El servidor público o la institución pública podrán rescindir en cualquier tiempo, por causa justificada, la relación laboral.</w:t>
      </w:r>
    </w:p>
    <w:p w14:paraId="58536D41"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ARTÍCULO 93. Son causas de rescisión de la relación laboral, sin responsabilidad para las instituciones públicas:</w:t>
      </w:r>
    </w:p>
    <w:p w14:paraId="13934CDA"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 Engañar el servidor público con documentación o referencias falsas que le atribuyan capacidad, aptitudes o grados académicos de los que carezca. Esta causa dejará de tener efecto después de treinta días naturales de conocido el hecho;</w:t>
      </w:r>
    </w:p>
    <w:p w14:paraId="14F812CD"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 Tener asignada más de una plaza en la misma o en diferentes instituciones públicas o dependencias, con las excepciones que esta ley señala, o bien cobrar un sueldo sin desempeñar funciones;</w:t>
      </w:r>
    </w:p>
    <w:p w14:paraId="0BF60084"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777E8AB6"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4C9C6240"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26720E17"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VI. Causar daños intencionalmente a edificios, obras, equipo, maquinaria, instrumentos, materias primas y demás objetos relacionados con el trabajo, o por sustraerlos en beneficio propio;</w:t>
      </w:r>
    </w:p>
    <w:p w14:paraId="00933DDC"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VII. Cometer actos inmorales durante el trabajo;</w:t>
      </w:r>
    </w:p>
    <w:p w14:paraId="2BB8C88F"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VIII. Revelar los asuntos confidenciales o reservados así calificados por la institución pública o dependencia donde labore, de los cuales tuviese conocimiento con motivo de su trabajo;</w:t>
      </w:r>
    </w:p>
    <w:p w14:paraId="6AF2F329"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IX. Comprometer por su imprudencia, descuido o negligencia, la seguridad del taller, oficina o dependencia donde preste sus servicios o de las personas que ahí se encuentren; X. Desobedecer sin justificación, las órdenes que reciba de sus superiores, en relación al trabajo que desempeñe;</w:t>
      </w:r>
    </w:p>
    <w:p w14:paraId="05674FBE"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XI. Concurrir al trabajo en estado de embriaguez, o bien bajo la influencia de algún narcótico o droga enervante, salvo que en éste último caso, exista prescripción médica, la que deberá presentar al superior jerárquico antes de iniciar las labores;</w:t>
      </w:r>
    </w:p>
    <w:p w14:paraId="676ACDD0"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XII. Portar armas de cualquier clase durante las horas de trabajo, salvo que la naturaleza de éste lo exija;</w:t>
      </w:r>
    </w:p>
    <w:p w14:paraId="0766A1B2"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XIII. Suspender las labores en el caso previsto en el artículo 176 de esta ley o suspenderlas sin la debida autorización;</w:t>
      </w:r>
    </w:p>
    <w:p w14:paraId="0755EA2E"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XIV. Incumplir reiteradamente disposiciones establecidas en las condiciones generales de trabajo de la institución pública o dependencia respectiva que constituyan faltas graves;</w:t>
      </w:r>
    </w:p>
    <w:p w14:paraId="0605A940"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XV. Ser condenado a prisión como resultado de una sentencia ejecutoriada, que le impida el cumplimiento de la relación de trabajo;</w:t>
      </w:r>
    </w:p>
    <w:p w14:paraId="223ABB1E"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XVI. Portar y hacer uso de credenciales de identificación no autorizadas por la autoridad competente;</w:t>
      </w:r>
    </w:p>
    <w:p w14:paraId="42293096"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 credencial o tarjeta distinto al suyo o alterar en cualquier forma los registros de control de puntualidad y asistencia; siempre y cuando no sea resultado de un error involuntario;</w:t>
      </w:r>
    </w:p>
    <w:p w14:paraId="4139B74B"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XVIII. Las análogas a las establecidas en las fracciones anteriores, de igual manera graves y de consecuencias semejantes en lo que al trabajo se refiere; e</w:t>
      </w:r>
    </w:p>
    <w:p w14:paraId="5E39990D"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XIX. Incurrir en actos de violencia laboral, entendiéndose por éstos los relativos a discriminación, acoso u hostigamiento sexual; Para los efectos de la presente fracción se entiende por: A. Acoso sexual, es una forma de violencia en la que, si bien no existe la subordinación, hay un ejercicio abusivo de poder que conlleva a un estado de indefensión y de riesgo para la víctima, independientemente de que se realice en uno o varios eventos; y B. 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62B17BA3"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XX. La falta de requisitos que exijan las leyes y reglamentos, necesarios para la prestación del servicio cuando sea imputable al trabajador, desde la fecha en que el patrón tenga conocimiento del hecho, hasta por un periodo de dos meses.</w:t>
      </w:r>
    </w:p>
    <w:p w14:paraId="4DE0F5FA"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p>
    <w:p w14:paraId="4A4968E3"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ARTÍCULO 95. Son causas de rescisión de la relación laboral, sin responsabilidad para el servidor público: </w:t>
      </w:r>
    </w:p>
    <w:p w14:paraId="7D49A9F9"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 Engañarlo la institución pública o dependencia en relación a las condiciones en que se le ofreció el trabajo. Esta causa dejará de tener efecto después de 30 días naturales a partir de su incorporación al servicio;</w:t>
      </w:r>
    </w:p>
    <w:p w14:paraId="0E0AA9AD"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II. Incurrir alguno de sus superiores jerárquicos o personal directivo y/o sus representantes o compañeros de trabajo, dentro del servicio, en faltas de probidad u honradez, actos de violencia, amenazas, injurias, malos tratos, actos de violencia laboral entendiéndose por éstos los relativos a discriminación, acoso u hostigamiento sexual y </w:t>
      </w:r>
      <w:r w:rsidRPr="00C413DA">
        <w:rPr>
          <w:rFonts w:ascii="Palatino Linotype" w:eastAsia="Palatino Linotype" w:hAnsi="Palatino Linotype" w:cs="Palatino Linotype"/>
          <w:i/>
          <w:sz w:val="22"/>
          <w:szCs w:val="22"/>
        </w:rPr>
        <w:lastRenderedPageBreak/>
        <w:t xml:space="preserve">acoso laboral, en contra del servidor público, su cónyuge, concubina o concubinario, padres, hijos o hermanos; </w:t>
      </w:r>
    </w:p>
    <w:p w14:paraId="4A1BFAD5"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III. Incumplir la institución pública o dependencia las condiciones laborales y salariales acordadas para el desempeño de sus funciones y las que estipula esta ley; </w:t>
      </w:r>
    </w:p>
    <w:p w14:paraId="2E72A4EE" w14:textId="77777777" w:rsidR="00045A20" w:rsidRPr="00C413DA" w:rsidRDefault="007621C8">
      <w:pPr>
        <w:ind w:left="567" w:right="618"/>
        <w:jc w:val="both"/>
      </w:pPr>
      <w:r w:rsidRPr="00C413DA">
        <w:rPr>
          <w:rFonts w:ascii="Palatino Linotype" w:eastAsia="Palatino Linotype" w:hAnsi="Palatino Linotype" w:cs="Palatino Linotype"/>
          <w:i/>
          <w:sz w:val="22"/>
          <w:szCs w:val="22"/>
        </w:rPr>
        <w:t>IV. Existir peligro grave para la seguridad o salud del servidor público por carecer de condiciones higiénicas en su lugar de trabajo o no cumplirse las medidas preventivas y de seguridad que las leyes establezcan</w:t>
      </w:r>
      <w:r w:rsidRPr="00C413DA">
        <w:t>;</w:t>
      </w:r>
    </w:p>
    <w:p w14:paraId="7F2E1958"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V. No inscribirlo en el Instituto de Seguridad Social del Estado de México y Municipios o no cubrir a éste las aportaciones que le correspondan; y </w:t>
      </w:r>
    </w:p>
    <w:p w14:paraId="268F51D6"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VI. Las análogas a las establecidas en las fracciones anteriores, de igual manera graves y de consecuencias semejantes. </w:t>
      </w:r>
    </w:p>
    <w:p w14:paraId="634344CC"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u w:val="single"/>
        </w:rPr>
        <w:t>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 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r w:rsidRPr="00C413DA">
        <w:rPr>
          <w:rFonts w:ascii="Palatino Linotype" w:eastAsia="Palatino Linotype" w:hAnsi="Palatino Linotype" w:cs="Palatino Linotype"/>
          <w:i/>
          <w:sz w:val="22"/>
          <w:szCs w:val="22"/>
        </w:rPr>
        <w:t xml:space="preserve">. </w:t>
      </w:r>
    </w:p>
    <w:p w14:paraId="26B33FF2"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 Para el pago de cualquier indemnización que se genere por las relaciones laborales entre las instituciones o dependencias y sus servidores públicos señaladas en esta ley no generarán ningún tipo de interés.” (Sic)</w:t>
      </w:r>
    </w:p>
    <w:p w14:paraId="45A8E7BA" w14:textId="77777777" w:rsidR="00045A20" w:rsidRPr="00C413DA" w:rsidRDefault="00045A20">
      <w:pPr>
        <w:spacing w:line="360" w:lineRule="auto"/>
        <w:jc w:val="both"/>
        <w:rPr>
          <w:rFonts w:ascii="Palatino Linotype" w:eastAsia="Palatino Linotype" w:hAnsi="Palatino Linotype" w:cs="Palatino Linotype"/>
        </w:rPr>
      </w:pPr>
    </w:p>
    <w:p w14:paraId="7BCEA8FA"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El ordenamiento legal antes referido, establece que en cualquier tiempo se podrá terminar por causa justificada la relación laboral; a lo cual la institución pública debe </w:t>
      </w:r>
      <w:r w:rsidRPr="00C413DA">
        <w:rPr>
          <w:rFonts w:ascii="Palatino Linotype" w:eastAsia="Palatino Linotype" w:hAnsi="Palatino Linotype" w:cs="Palatino Linotype"/>
        </w:rPr>
        <w:lastRenderedPageBreak/>
        <w:t>dar aviso por escrito</w:t>
      </w:r>
      <w:r w:rsidRPr="00C413DA">
        <w:rPr>
          <w:rFonts w:ascii="Palatino Linotype" w:eastAsia="Palatino Linotype" w:hAnsi="Palatino Linotype" w:cs="Palatino Linotype"/>
          <w:vertAlign w:val="superscript"/>
        </w:rPr>
        <w:footnoteReference w:id="1"/>
      </w:r>
      <w:r w:rsidRPr="00C413DA">
        <w:rPr>
          <w:rFonts w:ascii="Palatino Linotype" w:eastAsia="Palatino Linotype" w:hAnsi="Palatino Linotype" w:cs="Palatino Linotype"/>
        </w:rPr>
        <w:t xml:space="preserve"> al servidor público de manera personal, de la fecha y causa o causas de la conclusión de la relación laboral.</w:t>
      </w:r>
    </w:p>
    <w:p w14:paraId="423579ED" w14:textId="77777777" w:rsidR="00045A20" w:rsidRPr="00C413DA" w:rsidRDefault="00045A20">
      <w:pPr>
        <w:spacing w:line="360" w:lineRule="auto"/>
        <w:jc w:val="both"/>
        <w:rPr>
          <w:rFonts w:ascii="Palatino Linotype" w:eastAsia="Palatino Linotype" w:hAnsi="Palatino Linotype" w:cs="Palatino Linotype"/>
        </w:rPr>
      </w:pPr>
    </w:p>
    <w:p w14:paraId="189363B9"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También señala, que la rescisión de la relación laboral, sin responsabilidad para el servidor público, este podrá solicitar ante el Tribunal o la Sala correspondiente, que se le reinstale en el trabajo que desempeñaba, o que se le indemnice. 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dure el proceso</w:t>
      </w:r>
      <w:r w:rsidRPr="00C413DA">
        <w:rPr>
          <w:rFonts w:ascii="Palatino Linotype" w:eastAsia="Palatino Linotype" w:hAnsi="Palatino Linotype" w:cs="Palatino Linotype"/>
          <w:vertAlign w:val="superscript"/>
        </w:rPr>
        <w:footnoteReference w:id="2"/>
      </w:r>
      <w:r w:rsidRPr="00C413DA">
        <w:rPr>
          <w:rFonts w:ascii="Palatino Linotype" w:eastAsia="Palatino Linotype" w:hAnsi="Palatino Linotype" w:cs="Palatino Linotype"/>
        </w:rPr>
        <w:t>.</w:t>
      </w:r>
    </w:p>
    <w:p w14:paraId="696575E3" w14:textId="77777777" w:rsidR="00045A20" w:rsidRPr="00C413DA" w:rsidRDefault="00045A20">
      <w:pPr>
        <w:spacing w:line="360" w:lineRule="auto"/>
        <w:ind w:right="-93"/>
        <w:jc w:val="both"/>
        <w:rPr>
          <w:rFonts w:ascii="Palatino Linotype" w:eastAsia="Palatino Linotype" w:hAnsi="Palatino Linotype" w:cs="Palatino Linotype"/>
        </w:rPr>
      </w:pPr>
    </w:p>
    <w:p w14:paraId="746882D1"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Asimismo, se puede traer a colación el Manual de Normas y Procedimientos de Desarrollo y Administración de Personal (consultable en: https://finanzas.edomex.gob.mx/sites/finanzas.edomex.gob.mx/files/files/Servidores%20Publicos/MANUAL/Procedimientos/031_17.pdf) en la cual se estable que dentro de las actividades básicas de la administración de personal, tal como lo es la baja de los servidores públicos, cuyo objetivo es el siguiente:</w:t>
      </w:r>
    </w:p>
    <w:p w14:paraId="686F87B5" w14:textId="77777777" w:rsidR="00045A20" w:rsidRPr="00C413DA" w:rsidRDefault="00045A20">
      <w:pPr>
        <w:spacing w:line="360" w:lineRule="auto"/>
      </w:pPr>
    </w:p>
    <w:p w14:paraId="19B6074B" w14:textId="77777777" w:rsidR="00045A20" w:rsidRPr="00C413DA" w:rsidRDefault="007621C8">
      <w:pPr>
        <w:ind w:left="567" w:right="61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“OBJETIVO: Procesar el movimiento de baja de las servidoras públicas y de los servidores públicos que dejan de prestar sus servicios en cualquiera de las dependencias del sector central y dar por concluida la relación laboral entre la servidora pública o el servidor público y el Poder Ejecutivo del Gobierno del Estado.” (Sic)</w:t>
      </w:r>
    </w:p>
    <w:p w14:paraId="7742883B" w14:textId="77777777" w:rsidR="00045A20" w:rsidRPr="00C413DA" w:rsidRDefault="00045A20">
      <w:pPr>
        <w:spacing w:line="360" w:lineRule="auto"/>
        <w:ind w:right="-93"/>
        <w:jc w:val="both"/>
        <w:rPr>
          <w:rFonts w:ascii="Palatino Linotype" w:eastAsia="Palatino Linotype" w:hAnsi="Palatino Linotype" w:cs="Palatino Linotype"/>
        </w:rPr>
      </w:pPr>
    </w:p>
    <w:p w14:paraId="4E714448" w14:textId="36D3C890"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Conforme a lo anterior, tiene relevancia traer al estudio lo previsto en los artículos 50 y 89 de la Ley del Trabajo de los Servidores Públicos del Estado y Municipios, los cuales establecen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75C20BCF" w14:textId="77777777" w:rsidR="00C02E2D" w:rsidRPr="00C413DA" w:rsidRDefault="00C02E2D">
      <w:pPr>
        <w:spacing w:line="360" w:lineRule="auto"/>
        <w:jc w:val="both"/>
        <w:rPr>
          <w:rFonts w:ascii="Palatino Linotype" w:eastAsia="Palatino Linotype" w:hAnsi="Palatino Linotype" w:cs="Palatino Linotype"/>
        </w:rPr>
      </w:pPr>
    </w:p>
    <w:p w14:paraId="6A5559F1"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Así, se advierte que, derivado de las actividades básicas de la administración de personal, las Instituciones Públicas realizan diversos actos por medio de los cuales se da cuenta de la terminación de la relación laboral con los servidores públicos. </w:t>
      </w:r>
    </w:p>
    <w:p w14:paraId="67685FF2" w14:textId="77777777" w:rsidR="00045A20" w:rsidRPr="00C413DA" w:rsidRDefault="00045A20">
      <w:pPr>
        <w:spacing w:line="360" w:lineRule="auto"/>
        <w:jc w:val="both"/>
        <w:rPr>
          <w:rFonts w:ascii="Palatino Linotype" w:eastAsia="Palatino Linotype" w:hAnsi="Palatino Linotype" w:cs="Palatino Linotype"/>
        </w:rPr>
      </w:pPr>
    </w:p>
    <w:p w14:paraId="2A35A83F"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Sobre esta circunstancia, tiene relevancias traer al estudio, lo previsto en el artículo 24, fracción XXII, de la Ley de Transparencia y Acceso a la Información Pública del Estado de México y Municipios, el cual establece que los sujetos obligados deberán documentar todo acto que derive del ejercicio de sus facultades, competencias o funciones. </w:t>
      </w:r>
    </w:p>
    <w:p w14:paraId="678450DA" w14:textId="77777777" w:rsidR="00045A20" w:rsidRPr="00C413DA" w:rsidRDefault="00045A20">
      <w:pPr>
        <w:spacing w:line="360" w:lineRule="auto"/>
        <w:jc w:val="both"/>
        <w:rPr>
          <w:rFonts w:ascii="Palatino Linotype" w:eastAsia="Palatino Linotype" w:hAnsi="Palatino Linotype" w:cs="Palatino Linotype"/>
        </w:rPr>
      </w:pPr>
    </w:p>
    <w:p w14:paraId="5A1E9E79" w14:textId="77777777" w:rsidR="00045A20" w:rsidRPr="00C413DA" w:rsidRDefault="007621C8">
      <w:pPr>
        <w:spacing w:line="360" w:lineRule="auto"/>
        <w:ind w:right="-93"/>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Adicionalmente que sirve como analogía el criterio  004/2006 del Comité de Información emitido por el Poder Judicial sobre la publicidad de la información de los expedientes laborales de los servidores públicos que señala lo siguiente:</w:t>
      </w:r>
    </w:p>
    <w:p w14:paraId="63B27BA5" w14:textId="77777777" w:rsidR="00045A20" w:rsidRPr="00C413DA" w:rsidRDefault="00045A20">
      <w:pPr>
        <w:spacing w:line="360" w:lineRule="auto"/>
        <w:ind w:right="-162"/>
        <w:jc w:val="both"/>
        <w:rPr>
          <w:rFonts w:ascii="Palatino Linotype" w:eastAsia="Palatino Linotype" w:hAnsi="Palatino Linotype" w:cs="Palatino Linotype"/>
        </w:rPr>
      </w:pPr>
    </w:p>
    <w:p w14:paraId="513E542A" w14:textId="77777777" w:rsidR="00045A20" w:rsidRPr="00C413DA" w:rsidRDefault="007621C8">
      <w:pPr>
        <w:ind w:left="709" w:right="616"/>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Criterio 04/2006</w:t>
      </w:r>
    </w:p>
    <w:p w14:paraId="5F2FA653" w14:textId="77777777" w:rsidR="00045A20" w:rsidRPr="00C413DA" w:rsidRDefault="007621C8">
      <w:pPr>
        <w:ind w:left="709" w:right="616"/>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 xml:space="preserve">NOMBRAMIENTOS Y AVISOS DE BAJA DE LOS SERVIDORES PÚBLICOS DE LA SUPREMA CORTE DE JUSTICIA DE LA NACIÓN. EL DOCUMENTO EN EL QUE CONSTEN ES PÚBLICO, CON EXCEPCIÓN DE LOS DATOS PERSONALES QUE CONTENGAN, LOS QUE CONSTITUYEN INFORMACIÓN CONFIDENCIAL QUE DEBE SUPRIMIRSE DE LA VERSIÓN PÚBLICA QUE SE GENERE. </w:t>
      </w:r>
    </w:p>
    <w:p w14:paraId="420C9A8A" w14:textId="77777777" w:rsidR="00045A20" w:rsidRPr="00C413DA" w:rsidRDefault="007621C8">
      <w:pPr>
        <w:ind w:left="709" w:right="616"/>
        <w:jc w:val="both"/>
        <w:rPr>
          <w:rFonts w:ascii="Palatino Linotype" w:eastAsia="Palatino Linotype" w:hAnsi="Palatino Linotype" w:cs="Palatino Linotype"/>
          <w:b/>
          <w:i/>
          <w:sz w:val="22"/>
          <w:szCs w:val="22"/>
          <w:u w:val="single"/>
        </w:rPr>
      </w:pPr>
      <w:r w:rsidRPr="00C413DA">
        <w:rPr>
          <w:rFonts w:ascii="Palatino Linotype" w:eastAsia="Palatino Linotype" w:hAnsi="Palatino Linotype" w:cs="Palatino Linotype"/>
          <w:b/>
          <w:i/>
          <w:sz w:val="22"/>
          <w:szCs w:val="22"/>
          <w:u w:val="single"/>
        </w:rPr>
        <w:t xml:space="preserve">Los documentos </w:t>
      </w:r>
      <w:r w:rsidRPr="00C413DA">
        <w:rPr>
          <w:rFonts w:ascii="Palatino Linotype" w:eastAsia="Palatino Linotype" w:hAnsi="Palatino Linotype" w:cs="Palatino Linotype"/>
          <w:b/>
          <w:i/>
          <w:sz w:val="22"/>
          <w:szCs w:val="22"/>
        </w:rPr>
        <w:t>relativos a los nombramientos y</w:t>
      </w:r>
      <w:r w:rsidRPr="00C413DA">
        <w:rPr>
          <w:rFonts w:ascii="Palatino Linotype" w:eastAsia="Palatino Linotype" w:hAnsi="Palatino Linotype" w:cs="Palatino Linotype"/>
          <w:b/>
          <w:i/>
          <w:sz w:val="22"/>
          <w:szCs w:val="22"/>
          <w:u w:val="single"/>
        </w:rPr>
        <w:t xml:space="preserve"> avisos de baja de los servidores públicos de la Suprema Corte de Justicia de la Nación constituyen información pública, toda vez que se trata de actos administrativos relativos al manejo de su personal y, por ende, justifican parte del ejercicio del presupuesto público asignado.</w:t>
      </w:r>
      <w:r w:rsidRPr="00C413DA">
        <w:rPr>
          <w:rFonts w:ascii="Palatino Linotype" w:eastAsia="Palatino Linotype" w:hAnsi="Palatino Linotype" w:cs="Palatino Linotype"/>
          <w:i/>
          <w:sz w:val="22"/>
          <w:szCs w:val="22"/>
        </w:rPr>
        <w:t xml:space="preserve"> En este sentido, si bien se trata de información de</w:t>
      </w:r>
      <w:r w:rsidRPr="00C413DA">
        <w:rPr>
          <w:rFonts w:ascii="Palatino Linotype" w:eastAsia="Palatino Linotype" w:hAnsi="Palatino Linotype" w:cs="Palatino Linotype"/>
          <w:b/>
          <w:i/>
          <w:sz w:val="22"/>
          <w:szCs w:val="22"/>
        </w:rPr>
        <w:t xml:space="preserve"> </w:t>
      </w:r>
      <w:r w:rsidRPr="00C413DA">
        <w:rPr>
          <w:rFonts w:ascii="Palatino Linotype" w:eastAsia="Palatino Linotype" w:hAnsi="Palatino Linotype" w:cs="Palatino Linotype"/>
          <w:i/>
          <w:sz w:val="22"/>
          <w:szCs w:val="22"/>
        </w:rPr>
        <w:t>naturaleza pública, lo cierto es que en acatamiento a lo dispuesto</w:t>
      </w:r>
      <w:r w:rsidRPr="00C413DA">
        <w:rPr>
          <w:rFonts w:ascii="Palatino Linotype" w:eastAsia="Palatino Linotype" w:hAnsi="Palatino Linotype" w:cs="Palatino Linotype"/>
          <w:b/>
          <w:i/>
          <w:sz w:val="22"/>
          <w:szCs w:val="22"/>
        </w:rPr>
        <w:t xml:space="preserve"> </w:t>
      </w:r>
      <w:r w:rsidRPr="00C413DA">
        <w:rPr>
          <w:rFonts w:ascii="Palatino Linotype" w:eastAsia="Palatino Linotype" w:hAnsi="Palatino Linotype" w:cs="Palatino Linotype"/>
          <w:i/>
          <w:sz w:val="22"/>
          <w:szCs w:val="22"/>
        </w:rPr>
        <w:t>en la Ley Federal de Transparencia y Acceso a la Información</w:t>
      </w:r>
      <w:r w:rsidRPr="00C413DA">
        <w:rPr>
          <w:rFonts w:ascii="Palatino Linotype" w:eastAsia="Palatino Linotype" w:hAnsi="Palatino Linotype" w:cs="Palatino Linotype"/>
          <w:b/>
          <w:i/>
          <w:sz w:val="22"/>
          <w:szCs w:val="22"/>
        </w:rPr>
        <w:t xml:space="preserve"> </w:t>
      </w:r>
      <w:r w:rsidRPr="00C413DA">
        <w:rPr>
          <w:rFonts w:ascii="Palatino Linotype" w:eastAsia="Palatino Linotype" w:hAnsi="Palatino Linotype" w:cs="Palatino Linotype"/>
          <w:i/>
          <w:sz w:val="22"/>
          <w:szCs w:val="22"/>
        </w:rPr>
        <w:t xml:space="preserve">Pública Gubernamental </w:t>
      </w:r>
      <w:r w:rsidRPr="00C413DA">
        <w:rPr>
          <w:rFonts w:ascii="Palatino Linotype" w:eastAsia="Palatino Linotype" w:hAnsi="Palatino Linotype" w:cs="Palatino Linotype"/>
          <w:i/>
          <w:sz w:val="22"/>
          <w:szCs w:val="22"/>
          <w:u w:val="single"/>
        </w:rPr>
        <w:t>para dar acceso a los referidos</w:t>
      </w:r>
      <w:r w:rsidRPr="00C413DA">
        <w:rPr>
          <w:rFonts w:ascii="Palatino Linotype" w:eastAsia="Palatino Linotype" w:hAnsi="Palatino Linotype" w:cs="Palatino Linotype"/>
          <w:b/>
          <w:i/>
          <w:sz w:val="22"/>
          <w:szCs w:val="22"/>
          <w:u w:val="single"/>
        </w:rPr>
        <w:t xml:space="preserve"> </w:t>
      </w:r>
      <w:r w:rsidRPr="00C413DA">
        <w:rPr>
          <w:rFonts w:ascii="Palatino Linotype" w:eastAsia="Palatino Linotype" w:hAnsi="Palatino Linotype" w:cs="Palatino Linotype"/>
          <w:i/>
          <w:sz w:val="22"/>
          <w:szCs w:val="22"/>
          <w:u w:val="single"/>
        </w:rPr>
        <w:t>documentos es necesario generar una versión pública de la</w:t>
      </w:r>
      <w:r w:rsidRPr="00C413DA">
        <w:rPr>
          <w:rFonts w:ascii="Palatino Linotype" w:eastAsia="Palatino Linotype" w:hAnsi="Palatino Linotype" w:cs="Palatino Linotype"/>
          <w:b/>
          <w:i/>
          <w:sz w:val="22"/>
          <w:szCs w:val="22"/>
          <w:u w:val="single"/>
        </w:rPr>
        <w:t xml:space="preserve"> </w:t>
      </w:r>
      <w:r w:rsidRPr="00C413DA">
        <w:rPr>
          <w:rFonts w:ascii="Palatino Linotype" w:eastAsia="Palatino Linotype" w:hAnsi="Palatino Linotype" w:cs="Palatino Linotype"/>
          <w:i/>
          <w:sz w:val="22"/>
          <w:szCs w:val="22"/>
          <w:u w:val="single"/>
        </w:rPr>
        <w:t>que se supriman los datos confidenciales que contengan, como</w:t>
      </w:r>
      <w:r w:rsidRPr="00C413DA">
        <w:rPr>
          <w:rFonts w:ascii="Palatino Linotype" w:eastAsia="Palatino Linotype" w:hAnsi="Palatino Linotype" w:cs="Palatino Linotype"/>
          <w:b/>
          <w:i/>
          <w:sz w:val="22"/>
          <w:szCs w:val="22"/>
          <w:u w:val="single"/>
        </w:rPr>
        <w:t xml:space="preserve"> </w:t>
      </w:r>
      <w:r w:rsidRPr="00C413DA">
        <w:rPr>
          <w:rFonts w:ascii="Palatino Linotype" w:eastAsia="Palatino Linotype" w:hAnsi="Palatino Linotype" w:cs="Palatino Linotype"/>
          <w:i/>
          <w:sz w:val="22"/>
          <w:szCs w:val="22"/>
          <w:u w:val="single"/>
        </w:rPr>
        <w:t>pueden ser el domicilio, el estado civil o el teléfono particular</w:t>
      </w:r>
      <w:r w:rsidRPr="00C413DA">
        <w:rPr>
          <w:rFonts w:ascii="Palatino Linotype" w:eastAsia="Palatino Linotype" w:hAnsi="Palatino Linotype" w:cs="Palatino Linotype"/>
          <w:b/>
          <w:i/>
          <w:sz w:val="22"/>
          <w:szCs w:val="22"/>
          <w:u w:val="single"/>
        </w:rPr>
        <w:t xml:space="preserve"> </w:t>
      </w:r>
      <w:r w:rsidRPr="00C413DA">
        <w:rPr>
          <w:rFonts w:ascii="Palatino Linotype" w:eastAsia="Palatino Linotype" w:hAnsi="Palatino Linotype" w:cs="Palatino Linotype"/>
          <w:i/>
          <w:sz w:val="22"/>
          <w:szCs w:val="22"/>
          <w:u w:val="single"/>
        </w:rPr>
        <w:t>del servidor público respectivo.</w:t>
      </w:r>
    </w:p>
    <w:p w14:paraId="7891788C" w14:textId="77777777" w:rsidR="00045A20" w:rsidRPr="00C413DA" w:rsidRDefault="007621C8">
      <w:pPr>
        <w:ind w:left="709" w:right="616"/>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 xml:space="preserve">Clasificación de Información 10/2006-A, </w:t>
      </w:r>
      <w:r w:rsidRPr="00C413DA">
        <w:rPr>
          <w:rFonts w:ascii="Palatino Linotype" w:eastAsia="Palatino Linotype" w:hAnsi="Palatino Linotype" w:cs="Palatino Linotype"/>
          <w:i/>
          <w:sz w:val="22"/>
          <w:szCs w:val="22"/>
        </w:rPr>
        <w:t>derivada de la solicitud</w:t>
      </w:r>
      <w:r w:rsidRPr="00C413DA">
        <w:rPr>
          <w:rFonts w:ascii="Palatino Linotype" w:eastAsia="Palatino Linotype" w:hAnsi="Palatino Linotype" w:cs="Palatino Linotype"/>
          <w:b/>
          <w:i/>
          <w:sz w:val="22"/>
          <w:szCs w:val="22"/>
        </w:rPr>
        <w:t xml:space="preserve"> </w:t>
      </w:r>
      <w:r w:rsidRPr="00C413DA">
        <w:rPr>
          <w:rFonts w:ascii="Palatino Linotype" w:eastAsia="Palatino Linotype" w:hAnsi="Palatino Linotype" w:cs="Palatino Linotype"/>
          <w:i/>
          <w:sz w:val="22"/>
          <w:szCs w:val="22"/>
        </w:rPr>
        <w:t>de acceso a la información presentada por Aldo González</w:t>
      </w:r>
      <w:r w:rsidRPr="00C413DA">
        <w:rPr>
          <w:rFonts w:ascii="Palatino Linotype" w:eastAsia="Palatino Linotype" w:hAnsi="Palatino Linotype" w:cs="Palatino Linotype"/>
          <w:b/>
          <w:i/>
          <w:sz w:val="22"/>
          <w:szCs w:val="22"/>
        </w:rPr>
        <w:t xml:space="preserve"> </w:t>
      </w:r>
      <w:r w:rsidRPr="00C413DA">
        <w:rPr>
          <w:rFonts w:ascii="Palatino Linotype" w:eastAsia="Palatino Linotype" w:hAnsi="Palatino Linotype" w:cs="Palatino Linotype"/>
          <w:i/>
          <w:sz w:val="22"/>
          <w:szCs w:val="22"/>
        </w:rPr>
        <w:t>Gutiérrez.- 11 de abril de 2006.- Unanimidad de votos.</w:t>
      </w:r>
    </w:p>
    <w:p w14:paraId="7FCA7995" w14:textId="77777777" w:rsidR="00045A20" w:rsidRPr="00C413DA" w:rsidRDefault="00045A20">
      <w:pPr>
        <w:spacing w:line="360" w:lineRule="auto"/>
        <w:jc w:val="both"/>
        <w:rPr>
          <w:rFonts w:ascii="Palatino Linotype" w:eastAsia="Palatino Linotype" w:hAnsi="Palatino Linotype" w:cs="Palatino Linotype"/>
        </w:rPr>
      </w:pPr>
    </w:p>
    <w:p w14:paraId="3CE04A92" w14:textId="77777777" w:rsidR="00045A20" w:rsidRPr="00C413DA" w:rsidRDefault="007621C8">
      <w:pPr>
        <w:pBdr>
          <w:top w:val="nil"/>
          <w:left w:val="nil"/>
          <w:bottom w:val="nil"/>
          <w:right w:val="nil"/>
          <w:between w:val="nil"/>
        </w:pBd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otro lado, </w:t>
      </w:r>
      <w:r w:rsidRPr="00C413DA">
        <w:rPr>
          <w:rFonts w:ascii="Palatino Linotype" w:eastAsia="Palatino Linotype" w:hAnsi="Palatino Linotype" w:cs="Palatino Linotype"/>
          <w:b/>
        </w:rPr>
        <w:t>sobre la renuncia requerida</w:t>
      </w:r>
      <w:r w:rsidRPr="00C413DA">
        <w:rPr>
          <w:rFonts w:ascii="Palatino Linotype" w:eastAsia="Palatino Linotype" w:hAnsi="Palatino Linotype" w:cs="Palatino Linotype"/>
        </w:rPr>
        <w:t>, el diccionario de la real academia española lo define como:</w:t>
      </w:r>
    </w:p>
    <w:p w14:paraId="039986EE" w14:textId="77777777" w:rsidR="00045A20" w:rsidRPr="00C413DA" w:rsidRDefault="00045A20">
      <w:pPr>
        <w:spacing w:line="360" w:lineRule="auto"/>
        <w:jc w:val="both"/>
        <w:rPr>
          <w:rFonts w:ascii="Palatino Linotype" w:eastAsia="Palatino Linotype" w:hAnsi="Palatino Linotype" w:cs="Palatino Linotype"/>
        </w:rPr>
      </w:pPr>
    </w:p>
    <w:p w14:paraId="33D9FB4E" w14:textId="77777777" w:rsidR="00045A20" w:rsidRPr="00C413DA" w:rsidRDefault="007621C8">
      <w:pPr>
        <w:ind w:left="567" w:right="616"/>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Renuncia:</w:t>
      </w:r>
    </w:p>
    <w:p w14:paraId="4C8AA492" w14:textId="77777777" w:rsidR="00045A20" w:rsidRPr="00C413DA" w:rsidRDefault="007621C8">
      <w:pPr>
        <w:ind w:left="567" w:right="616"/>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Terminación del contrato de trabajo por decisión unilateral del trabajador” (Sic)</w:t>
      </w:r>
    </w:p>
    <w:p w14:paraId="7DD84895"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Esto es, que la conclusión de una relación laboral se puede dar por renuncia del trabajador por una decisión unilateral de este.</w:t>
      </w:r>
    </w:p>
    <w:p w14:paraId="6D656A45" w14:textId="33FC73FA" w:rsidR="00045A20" w:rsidRPr="00C413DA" w:rsidRDefault="004E35DA">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C</w:t>
      </w:r>
      <w:r w:rsidR="007621C8" w:rsidRPr="00C413DA">
        <w:rPr>
          <w:rFonts w:ascii="Palatino Linotype" w:eastAsia="Palatino Linotype" w:hAnsi="Palatino Linotype" w:cs="Palatino Linotype"/>
        </w:rPr>
        <w:t xml:space="preserve">omo se precisó en párrafos anteriores, una de las formas de la terminación de la relación laboral se pude dar por renuncia del servidor público, en términos de lo señalado por artículo 89 fracción I de la Ley del Trabajo de los Servidores Públicos del Estado y Municipios, ya referido </w:t>
      </w:r>
    </w:p>
    <w:p w14:paraId="66AAD9DE"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Es decir, que una de las formas de terminar con la relación laboral de los Servidores Públicos con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es a través del consentimiento unilateral del Servidor Público mediante la renuncia presentada por este último; luego entonces como ya también se estableció los sujetos obligados tiene la obligación de documentar todo acto que derive del ejercicio de sus facultades, competencias o funciones, lo anterior se robustece con el criterio 004/2006 del Comité de Información emitido por el Poder Judicial, sobre la publicidad de la información de los expedientes laborales de los servidores públicos, previamente citado.</w:t>
      </w:r>
    </w:p>
    <w:p w14:paraId="4374FCC7" w14:textId="77777777" w:rsidR="00045A20" w:rsidRPr="00C413DA" w:rsidRDefault="00045A20">
      <w:pPr>
        <w:spacing w:line="360" w:lineRule="auto"/>
        <w:ind w:right="-93"/>
        <w:jc w:val="both"/>
        <w:rPr>
          <w:rFonts w:ascii="Palatino Linotype" w:eastAsia="Palatino Linotype" w:hAnsi="Palatino Linotype" w:cs="Palatino Linotype"/>
        </w:rPr>
      </w:pPr>
    </w:p>
    <w:p w14:paraId="7A12440B" w14:textId="2826DEBE" w:rsidR="00045A20" w:rsidRPr="00C413DA" w:rsidRDefault="007621C8">
      <w:pPr>
        <w:spacing w:line="360" w:lineRule="auto"/>
        <w:ind w:right="-93"/>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consiguiente, para el caso de que alguna de las bajas de los servidores públicos señalados en respuesta, haya sido a través de la decisión unilateral del servidor público;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deberá hacer entrega del document</w:t>
      </w:r>
      <w:r w:rsidR="004E35DA" w:rsidRPr="00C413DA">
        <w:rPr>
          <w:rFonts w:ascii="Palatino Linotype" w:eastAsia="Palatino Linotype" w:hAnsi="Palatino Linotype" w:cs="Palatino Linotype"/>
        </w:rPr>
        <w:t xml:space="preserve">o en donde conste la renuncia, de ser el caso </w:t>
      </w:r>
      <w:r w:rsidRPr="00C413DA">
        <w:rPr>
          <w:rFonts w:ascii="Palatino Linotype" w:eastAsia="Palatino Linotype" w:hAnsi="Palatino Linotype" w:cs="Palatino Linotype"/>
        </w:rPr>
        <w:t xml:space="preserve">en versión pública conforme a lo señalado por el considerando quinto del presente fallo. </w:t>
      </w:r>
    </w:p>
    <w:p w14:paraId="29C94D76" w14:textId="77777777" w:rsidR="00045A20" w:rsidRPr="00C413DA" w:rsidRDefault="00045A20">
      <w:pPr>
        <w:spacing w:line="360" w:lineRule="auto"/>
        <w:ind w:right="-93"/>
        <w:jc w:val="both"/>
        <w:rPr>
          <w:rFonts w:ascii="Palatino Linotype" w:eastAsia="Palatino Linotype" w:hAnsi="Palatino Linotype" w:cs="Palatino Linotype"/>
        </w:rPr>
      </w:pPr>
    </w:p>
    <w:p w14:paraId="2AAD7E43" w14:textId="39F7470F"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Finalmente, debe precisarse que respecto del documento que evidencie la renuncia este Organismo Garante ha señalado que debe tenerse especial cuidado respecto de su contenido, toda vez que en los motivos o causas que les dieron origen, podrían desprenderse información relativa a la vida privada de las personas, o bien, podría contener argumentos que le conciernen en esencia al interesado, y que por tal </w:t>
      </w:r>
      <w:r w:rsidRPr="00C413DA">
        <w:rPr>
          <w:rFonts w:ascii="Palatino Linotype" w:eastAsia="Palatino Linotype" w:hAnsi="Palatino Linotype" w:cs="Palatino Linotype"/>
        </w:rPr>
        <w:lastRenderedPageBreak/>
        <w:t>motivo, dicha información es susceptible de clasificarse como confidencial, a través de la versión pública que deje a la vista el resto de la información requerida, en términos de lo señalado por el considerando quinto del presente fallo.</w:t>
      </w:r>
    </w:p>
    <w:p w14:paraId="5E6DF046" w14:textId="3AA7A7DD" w:rsidR="00C02E2D" w:rsidRPr="00C413DA" w:rsidRDefault="00C02E2D">
      <w:pPr>
        <w:spacing w:line="360" w:lineRule="auto"/>
        <w:jc w:val="both"/>
        <w:rPr>
          <w:rFonts w:ascii="Palatino Linotype" w:eastAsia="Palatino Linotype" w:hAnsi="Palatino Linotype" w:cs="Palatino Linotype"/>
        </w:rPr>
      </w:pPr>
    </w:p>
    <w:p w14:paraId="395CA17D" w14:textId="019EC103" w:rsidR="00C02E2D" w:rsidRPr="00C413DA" w:rsidRDefault="00C02E2D" w:rsidP="00C02E2D">
      <w:pPr>
        <w:spacing w:line="360" w:lineRule="auto"/>
        <w:jc w:val="both"/>
        <w:rPr>
          <w:rFonts w:ascii="Palatino Linotype" w:eastAsia="Palatino Linotype" w:hAnsi="Palatino Linotype" w:cs="Palatino Linotype"/>
          <w:b/>
          <w:u w:val="single"/>
        </w:rPr>
      </w:pPr>
      <w:r w:rsidRPr="00C413DA">
        <w:rPr>
          <w:rFonts w:ascii="Palatino Linotype" w:eastAsia="Palatino Linotype" w:hAnsi="Palatino Linotype" w:cs="Palatino Linotype"/>
        </w:rPr>
        <w:t xml:space="preserve">Luego entonces, </w:t>
      </w:r>
      <w:r w:rsidR="00EE1511" w:rsidRPr="00C413DA">
        <w:rPr>
          <w:rFonts w:ascii="Palatino Linotype" w:eastAsia="Palatino Linotype" w:hAnsi="Palatino Linotype" w:cs="Palatino Linotype"/>
        </w:rPr>
        <w:t xml:space="preserve">lo procedente es ordenar al </w:t>
      </w:r>
      <w:r w:rsidR="00EE1511" w:rsidRPr="00C413DA">
        <w:rPr>
          <w:rFonts w:ascii="Palatino Linotype" w:eastAsia="Palatino Linotype" w:hAnsi="Palatino Linotype" w:cs="Palatino Linotype"/>
          <w:b/>
        </w:rPr>
        <w:t>SUJETO OBLIGADO</w:t>
      </w:r>
      <w:r w:rsidR="00EE1511" w:rsidRPr="00C413DA">
        <w:rPr>
          <w:rFonts w:ascii="Palatino Linotype" w:eastAsia="Palatino Linotype" w:hAnsi="Palatino Linotype" w:cs="Palatino Linotype"/>
        </w:rPr>
        <w:t xml:space="preserve">, haga entrega de los documentos en donde conste, </w:t>
      </w:r>
      <w:r w:rsidRPr="00C413DA">
        <w:rPr>
          <w:rFonts w:ascii="Palatino Linotype" w:eastAsia="Palatino Linotype" w:hAnsi="Palatino Linotype" w:cs="Palatino Linotype"/>
        </w:rPr>
        <w:t xml:space="preserve">de los servidores públicos </w:t>
      </w:r>
      <w:r w:rsidRPr="00C413DA">
        <w:rPr>
          <w:rFonts w:ascii="Palatino Linotype" w:eastAsia="Palatino Linotype" w:hAnsi="Palatino Linotype" w:cs="Palatino Linotype"/>
          <w:b/>
          <w:u w:val="single"/>
        </w:rPr>
        <w:t xml:space="preserve">dados de baja en el Secretaría de Movilidad referidos en el listado remitido en </w:t>
      </w:r>
      <w:r w:rsidR="00EE1511" w:rsidRPr="00C413DA">
        <w:rPr>
          <w:rFonts w:ascii="Palatino Linotype" w:eastAsia="Palatino Linotype" w:hAnsi="Palatino Linotype" w:cs="Palatino Linotype"/>
          <w:b/>
          <w:u w:val="single"/>
        </w:rPr>
        <w:t>respuesta, la</w:t>
      </w:r>
      <w:r w:rsidRPr="00C413DA">
        <w:rPr>
          <w:rFonts w:ascii="Palatino Linotype" w:eastAsia="Palatino Linotype" w:hAnsi="Palatino Linotype" w:cs="Palatino Linotype"/>
          <w:b/>
          <w:u w:val="single"/>
        </w:rPr>
        <w:t xml:space="preserve"> causa o motivo de la misma, y en caso de que está haya sido renuncia acompañarla del soporte documental correspondiente.</w:t>
      </w:r>
    </w:p>
    <w:p w14:paraId="63980590" w14:textId="77777777" w:rsidR="0039717A" w:rsidRPr="00C413DA" w:rsidRDefault="0039717A" w:rsidP="0039717A">
      <w:pPr>
        <w:spacing w:line="360" w:lineRule="auto"/>
        <w:jc w:val="both"/>
        <w:rPr>
          <w:rFonts w:ascii="Palatino Linotype" w:eastAsia="Palatino Linotype" w:hAnsi="Palatino Linotype" w:cs="Palatino Linotype"/>
          <w:b/>
          <w:u w:val="single"/>
        </w:rPr>
      </w:pPr>
    </w:p>
    <w:p w14:paraId="086601EB" w14:textId="62BB12F5" w:rsidR="0039717A" w:rsidRPr="00C413DA" w:rsidRDefault="0039717A" w:rsidP="0039717A">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Finalmente, no pasa desapercibido que si bien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tiene la obligación o deber de proporcionar la información pública que obren en su poder conforme el estado que se encuentra como lo establece el artículo 12 de la Ley de Transparencia y Acceso a la Información Pública del Estado de México y Municipios, el cual a la letra dice:</w:t>
      </w:r>
    </w:p>
    <w:p w14:paraId="4C643B1C" w14:textId="77777777" w:rsidR="0039717A" w:rsidRPr="00C413DA" w:rsidRDefault="0039717A" w:rsidP="0039717A">
      <w:pPr>
        <w:spacing w:line="360" w:lineRule="auto"/>
        <w:jc w:val="both"/>
        <w:rPr>
          <w:rFonts w:ascii="Palatino Linotype" w:eastAsia="Palatino Linotype" w:hAnsi="Palatino Linotype" w:cs="Palatino Linotype"/>
        </w:rPr>
      </w:pPr>
    </w:p>
    <w:p w14:paraId="3C3C777D" w14:textId="77777777" w:rsidR="0039717A" w:rsidRPr="00C413DA" w:rsidRDefault="0039717A" w:rsidP="0039717A">
      <w:pPr>
        <w:ind w:left="567" w:right="75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Artículo12.-</w:t>
      </w:r>
      <w:r w:rsidRPr="00C413D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6C0D9D6" w14:textId="73BC11EC" w:rsidR="0039717A" w:rsidRPr="00C413DA" w:rsidRDefault="0039717A" w:rsidP="0039717A">
      <w:pPr>
        <w:ind w:left="567" w:right="758"/>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413DA">
        <w:rPr>
          <w:rFonts w:ascii="Palatino Linotype" w:eastAsia="Palatino Linotype" w:hAnsi="Palatino Linotype" w:cs="Palatino Linotype"/>
          <w:i/>
          <w:sz w:val="22"/>
          <w:szCs w:val="22"/>
        </w:rPr>
        <w:t xml:space="preserve">. </w:t>
      </w:r>
      <w:r w:rsidRPr="00C413D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w:t>
      </w:r>
      <w:r w:rsidR="005870D9" w:rsidRPr="00C413DA">
        <w:rPr>
          <w:rFonts w:ascii="Palatino Linotype" w:eastAsia="Palatino Linotype" w:hAnsi="Palatino Linotype" w:cs="Palatino Linotype"/>
          <w:b/>
          <w:i/>
          <w:sz w:val="22"/>
          <w:szCs w:val="22"/>
        </w:rPr>
        <w:t xml:space="preserve">racticar investigaciones.” </w:t>
      </w:r>
    </w:p>
    <w:p w14:paraId="5F71E85E" w14:textId="77777777" w:rsidR="0039717A" w:rsidRPr="00C413DA" w:rsidRDefault="0039717A" w:rsidP="0039717A">
      <w:pPr>
        <w:spacing w:line="360" w:lineRule="auto"/>
        <w:ind w:right="-93"/>
        <w:jc w:val="both"/>
        <w:rPr>
          <w:rFonts w:ascii="Palatino Linotype" w:eastAsia="Palatino Linotype" w:hAnsi="Palatino Linotype" w:cs="Palatino Linotype"/>
        </w:rPr>
      </w:pPr>
    </w:p>
    <w:p w14:paraId="2FEC4148" w14:textId="77777777" w:rsidR="0039717A" w:rsidRPr="00C413DA" w:rsidRDefault="0039717A" w:rsidP="0039717A">
      <w:pPr>
        <w:spacing w:line="360" w:lineRule="auto"/>
        <w:jc w:val="both"/>
        <w:rPr>
          <w:rFonts w:ascii="Palatino Linotype" w:hAnsi="Palatino Linotype"/>
          <w:bCs/>
        </w:rPr>
      </w:pPr>
      <w:r w:rsidRPr="00C413DA">
        <w:rPr>
          <w:rFonts w:ascii="Palatino Linotype" w:hAnsi="Palatino Linotype" w:cs="Arial"/>
        </w:rPr>
        <w:t xml:space="preserve">Sirve de apoyo a lo anterior, el criterio 03-17, expuesto por </w:t>
      </w:r>
      <w:r w:rsidRPr="00C413DA">
        <w:rPr>
          <w:rFonts w:ascii="Palatino Linotype" w:eastAsia="Arial Unicode MS" w:hAnsi="Palatino Linotype" w:cs="Arial"/>
        </w:rPr>
        <w:t>el Instituto Nacional de Transparencia, Acceso a la Información y Protección de Datos Personales,</w:t>
      </w:r>
      <w:r w:rsidRPr="00C413DA">
        <w:rPr>
          <w:rFonts w:ascii="Palatino Linotype" w:hAnsi="Palatino Linotype"/>
          <w:bCs/>
        </w:rPr>
        <w:t xml:space="preserve"> que dice:</w:t>
      </w:r>
    </w:p>
    <w:p w14:paraId="1591268C" w14:textId="77777777" w:rsidR="0039717A" w:rsidRPr="00C413DA" w:rsidRDefault="0039717A" w:rsidP="0039717A">
      <w:pPr>
        <w:spacing w:line="360" w:lineRule="auto"/>
        <w:jc w:val="both"/>
        <w:rPr>
          <w:rFonts w:ascii="Palatino Linotype" w:hAnsi="Palatino Linotype"/>
          <w:b/>
          <w:bCs/>
        </w:rPr>
      </w:pPr>
      <w:r w:rsidRPr="00C413DA">
        <w:rPr>
          <w:rFonts w:ascii="Palatino Linotype" w:hAnsi="Palatino Linotype"/>
          <w:b/>
          <w:bCs/>
        </w:rPr>
        <w:lastRenderedPageBreak/>
        <w:t xml:space="preserve"> </w:t>
      </w:r>
    </w:p>
    <w:p w14:paraId="7C8095F5" w14:textId="77777777" w:rsidR="0039717A" w:rsidRPr="00C413DA" w:rsidRDefault="0039717A" w:rsidP="0039717A">
      <w:pPr>
        <w:ind w:left="851" w:right="901"/>
        <w:jc w:val="both"/>
        <w:rPr>
          <w:rFonts w:ascii="Palatino Linotype" w:hAnsi="Palatino Linotype" w:cs="Arial"/>
          <w:i/>
          <w:sz w:val="22"/>
          <w:szCs w:val="22"/>
        </w:rPr>
      </w:pPr>
      <w:r w:rsidRPr="00C413DA">
        <w:rPr>
          <w:rFonts w:ascii="Palatino Linotype" w:hAnsi="Palatino Linotype" w:cs="Arial"/>
          <w:i/>
          <w:sz w:val="22"/>
          <w:szCs w:val="22"/>
        </w:rPr>
        <w:t>“</w:t>
      </w:r>
      <w:r w:rsidRPr="00C413DA">
        <w:rPr>
          <w:rFonts w:ascii="Palatino Linotype" w:hAnsi="Palatino Linotype" w:cs="Arial"/>
          <w:b/>
          <w:i/>
          <w:sz w:val="22"/>
          <w:szCs w:val="22"/>
        </w:rPr>
        <w:t>No existe obligación de elaborar documentos ad hoc para atender las solicitudes de acceso a la información.</w:t>
      </w:r>
      <w:r w:rsidRPr="00C413DA">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05D4AF" w14:textId="77777777" w:rsidR="0039717A" w:rsidRPr="00C413DA" w:rsidRDefault="0039717A" w:rsidP="0039717A">
      <w:pPr>
        <w:ind w:left="851" w:right="901"/>
        <w:jc w:val="both"/>
        <w:rPr>
          <w:rFonts w:ascii="Palatino Linotype" w:hAnsi="Palatino Linotype" w:cs="Arial"/>
          <w:i/>
          <w:sz w:val="22"/>
          <w:szCs w:val="22"/>
        </w:rPr>
      </w:pPr>
      <w:r w:rsidRPr="00C413DA">
        <w:rPr>
          <w:rFonts w:ascii="Palatino Linotype" w:hAnsi="Palatino Linotype" w:cs="Arial"/>
          <w:i/>
          <w:sz w:val="22"/>
          <w:szCs w:val="22"/>
        </w:rPr>
        <w:t xml:space="preserve">Resoluciones: </w:t>
      </w:r>
    </w:p>
    <w:p w14:paraId="36BD2101" w14:textId="77777777" w:rsidR="0039717A" w:rsidRPr="00C413DA" w:rsidRDefault="0039717A" w:rsidP="0039717A">
      <w:pPr>
        <w:ind w:left="851" w:right="901"/>
        <w:jc w:val="both"/>
        <w:rPr>
          <w:rFonts w:ascii="Palatino Linotype" w:hAnsi="Palatino Linotype" w:cs="Arial"/>
          <w:i/>
          <w:sz w:val="22"/>
          <w:szCs w:val="22"/>
        </w:rPr>
      </w:pPr>
      <w:r w:rsidRPr="00C413DA">
        <w:rPr>
          <w:rFonts w:ascii="Palatino Linotype" w:hAnsi="Palatino Linotype" w:cs="Arial"/>
          <w:i/>
          <w:sz w:val="22"/>
          <w:szCs w:val="22"/>
        </w:rPr>
        <w:sym w:font="Symbol" w:char="F0B7"/>
      </w:r>
      <w:r w:rsidRPr="00C413DA">
        <w:rPr>
          <w:rFonts w:ascii="Palatino Linotype" w:hAnsi="Palatino Linotype" w:cs="Arial"/>
          <w:i/>
          <w:sz w:val="22"/>
          <w:szCs w:val="22"/>
        </w:rPr>
        <w:t xml:space="preserve"> RRA 0050/16. Instituto Nacional para la Evaluación de la Educación. 13 julio de 2016. Por unanimidad. Comisionado Ponente: Francisco Javier Acuña Llamas.</w:t>
      </w:r>
    </w:p>
    <w:p w14:paraId="10A7FEB4" w14:textId="77777777" w:rsidR="0039717A" w:rsidRPr="00C413DA" w:rsidRDefault="0039717A" w:rsidP="0039717A">
      <w:pPr>
        <w:ind w:left="851" w:right="901"/>
        <w:jc w:val="both"/>
        <w:rPr>
          <w:rFonts w:ascii="Palatino Linotype" w:hAnsi="Palatino Linotype" w:cs="Arial"/>
          <w:i/>
          <w:sz w:val="22"/>
          <w:szCs w:val="22"/>
        </w:rPr>
      </w:pPr>
      <w:r w:rsidRPr="00C413DA">
        <w:rPr>
          <w:rFonts w:ascii="Palatino Linotype" w:hAnsi="Palatino Linotype" w:cs="Arial"/>
          <w:i/>
          <w:sz w:val="22"/>
          <w:szCs w:val="22"/>
        </w:rPr>
        <w:sym w:font="Symbol" w:char="F0B7"/>
      </w:r>
      <w:r w:rsidRPr="00C413DA">
        <w:rPr>
          <w:rFonts w:ascii="Palatino Linotype" w:hAnsi="Palatino Linotype" w:cs="Arial"/>
          <w:i/>
          <w:sz w:val="22"/>
          <w:szCs w:val="22"/>
        </w:rPr>
        <w:t xml:space="preserve"> RRA 0310/16. Instituto Nacional de Transparencia, Acceso a la Información y Protección de Datos Personales. 10 de agosto de 2016. Por unanimidad. Comisionada Ponente. Areli Cano Guadiana. </w:t>
      </w:r>
    </w:p>
    <w:p w14:paraId="17E302FB" w14:textId="0BC798FA" w:rsidR="0039717A" w:rsidRPr="00C413DA" w:rsidRDefault="0039717A" w:rsidP="0039717A">
      <w:pPr>
        <w:ind w:left="851" w:right="901"/>
        <w:jc w:val="both"/>
        <w:rPr>
          <w:rFonts w:ascii="Palatino Linotype" w:hAnsi="Palatino Linotype" w:cs="Arial"/>
          <w:i/>
          <w:sz w:val="22"/>
          <w:szCs w:val="22"/>
        </w:rPr>
      </w:pPr>
      <w:r w:rsidRPr="00C413DA">
        <w:rPr>
          <w:rFonts w:ascii="Palatino Linotype" w:hAnsi="Palatino Linotype" w:cs="Arial"/>
          <w:i/>
          <w:sz w:val="22"/>
          <w:szCs w:val="22"/>
        </w:rPr>
        <w:sym w:font="Symbol" w:char="F0B7"/>
      </w:r>
      <w:r w:rsidRPr="00C413DA">
        <w:rPr>
          <w:rFonts w:ascii="Palatino Linotype" w:hAnsi="Palatino Linotype" w:cs="Arial"/>
          <w:i/>
          <w:sz w:val="22"/>
          <w:szCs w:val="22"/>
        </w:rPr>
        <w:t xml:space="preserve"> RRA 1889/16. Secretaría de Hacienda y Crédito Público. 05 de octubre de 2016. Por unanimidad. Comisionada Ponente.</w:t>
      </w:r>
      <w:r w:rsidR="005870D9" w:rsidRPr="00C413DA">
        <w:rPr>
          <w:rFonts w:ascii="Palatino Linotype" w:hAnsi="Palatino Linotype" w:cs="Arial"/>
          <w:i/>
          <w:sz w:val="22"/>
          <w:szCs w:val="22"/>
        </w:rPr>
        <w:t xml:space="preserve"> Ximena Puente de la Mora.”</w:t>
      </w:r>
    </w:p>
    <w:p w14:paraId="7AF60483" w14:textId="77777777" w:rsidR="0039717A" w:rsidRPr="00C413DA" w:rsidRDefault="0039717A" w:rsidP="0039717A">
      <w:pPr>
        <w:spacing w:line="360" w:lineRule="auto"/>
        <w:jc w:val="both"/>
        <w:rPr>
          <w:rFonts w:ascii="Palatino Linotype" w:eastAsia="Palatino Linotype" w:hAnsi="Palatino Linotype" w:cs="Palatino Linotype"/>
        </w:rPr>
      </w:pPr>
    </w:p>
    <w:p w14:paraId="7D5DE90A" w14:textId="6600F33A" w:rsidR="00EE1511" w:rsidRPr="00C413DA" w:rsidRDefault="0039717A" w:rsidP="00C02E2D">
      <w:pPr>
        <w:spacing w:line="360" w:lineRule="auto"/>
        <w:jc w:val="both"/>
        <w:rPr>
          <w:rFonts w:ascii="Palatino Linotype" w:eastAsia="Palatino Linotype" w:hAnsi="Palatino Linotype" w:cs="Palatino Linotype"/>
          <w:b/>
          <w:u w:val="single"/>
        </w:rPr>
      </w:pPr>
      <w:r w:rsidRPr="00C413DA">
        <w:rPr>
          <w:rFonts w:ascii="Palatino Linotype" w:eastAsia="Palatino Linotype" w:hAnsi="Palatino Linotype" w:cs="Palatino Linotype"/>
        </w:rPr>
        <w:t>Pero, la Ley de Transparencia no constriñe a los Sujetos Obligado para que no den cumplimiento a las solicitudes de acceso a la información a través estos documentos, por lo que se puede dar cumplimento al derecho de acceso a la información pública con dichos documentos</w:t>
      </w:r>
      <w:r w:rsidR="00C21AA5" w:rsidRPr="00C413DA">
        <w:rPr>
          <w:rFonts w:ascii="Palatino Linotype" w:eastAsia="Palatino Linotype" w:hAnsi="Palatino Linotype" w:cs="Palatino Linotype"/>
        </w:rPr>
        <w:t xml:space="preserve">, </w:t>
      </w:r>
      <w:r w:rsidR="00EE1511" w:rsidRPr="00C413DA">
        <w:rPr>
          <w:rFonts w:ascii="Palatino Linotype" w:eastAsia="Palatino Linotype" w:hAnsi="Palatino Linotype" w:cs="Palatino Linotype"/>
        </w:rPr>
        <w:t>siempre que cumpla con lo ordenado</w:t>
      </w:r>
      <w:r w:rsidR="00C21AA5" w:rsidRPr="00C413DA">
        <w:rPr>
          <w:rFonts w:ascii="Palatino Linotype" w:eastAsia="Palatino Linotype" w:hAnsi="Palatino Linotype" w:cs="Palatino Linotype"/>
        </w:rPr>
        <w:t>.</w:t>
      </w:r>
      <w:r w:rsidR="00C21AA5" w:rsidRPr="00C413DA">
        <w:rPr>
          <w:rFonts w:ascii="Palatino Linotype" w:eastAsia="Palatino Linotype" w:hAnsi="Palatino Linotype" w:cs="Palatino Linotype"/>
          <w:b/>
          <w:u w:val="single"/>
        </w:rPr>
        <w:t xml:space="preserve"> </w:t>
      </w:r>
    </w:p>
    <w:p w14:paraId="54D64EEE" w14:textId="77777777" w:rsidR="00EE1511" w:rsidRPr="00C413DA" w:rsidRDefault="00EE1511" w:rsidP="00C02E2D">
      <w:pPr>
        <w:spacing w:line="360" w:lineRule="auto"/>
        <w:jc w:val="both"/>
        <w:rPr>
          <w:rFonts w:ascii="Palatino Linotype" w:eastAsia="Palatino Linotype" w:hAnsi="Palatino Linotype" w:cs="Palatino Linotype"/>
          <w:b/>
          <w:u w:val="single"/>
        </w:rPr>
      </w:pPr>
    </w:p>
    <w:p w14:paraId="6F35FE04"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Quinto. Versión Pública. </w:t>
      </w:r>
      <w:r w:rsidRPr="00C413DA">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w:t>
      </w:r>
      <w:r w:rsidRPr="00C413DA">
        <w:rPr>
          <w:rFonts w:ascii="Palatino Linotype" w:eastAsia="Palatino Linotype" w:hAnsi="Palatino Linotype" w:cs="Palatino Linotype"/>
        </w:rPr>
        <w:lastRenderedPageBreak/>
        <w:t xml:space="preserve">los documentos que vaya entregar para dar cumplimiento a esta resolución, a fin de satisfacer el derecho de acceso a la información pública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sin menoscabar el derecho a la protección de los datos personales de terceros.</w:t>
      </w:r>
    </w:p>
    <w:p w14:paraId="055EC2D0" w14:textId="77777777" w:rsidR="00045A20" w:rsidRPr="00C413DA" w:rsidRDefault="007621C8">
      <w:pPr>
        <w:spacing w:before="240" w:after="240" w:line="360" w:lineRule="auto"/>
        <w:ind w:right="50"/>
        <w:jc w:val="both"/>
        <w:rPr>
          <w:rFonts w:ascii="Palatino Linotype" w:eastAsia="Palatino Linotype" w:hAnsi="Palatino Linotype" w:cs="Palatino Linotype"/>
        </w:rPr>
      </w:pPr>
      <w:r w:rsidRPr="00C413DA">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1F6453A5" w14:textId="77777777" w:rsidR="00045A20" w:rsidRPr="00C413DA" w:rsidRDefault="007621C8">
      <w:pPr>
        <w:ind w:left="993" w:right="1041"/>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 xml:space="preserve"> “Artículo 3. Para los efectos de la presente Ley se entenderá por:</w:t>
      </w:r>
    </w:p>
    <w:p w14:paraId="66E9AF9D"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IX. Datos personales:</w:t>
      </w:r>
      <w:r w:rsidRPr="00C413DA">
        <w:rPr>
          <w:rFonts w:ascii="Palatino Linotype" w:eastAsia="Palatino Linotype" w:hAnsi="Palatino Linotype" w:cs="Palatino Linotype"/>
          <w:i/>
          <w:sz w:val="22"/>
          <w:szCs w:val="22"/>
        </w:rPr>
        <w:t xml:space="preserve"> </w:t>
      </w:r>
      <w:r w:rsidRPr="00C413DA">
        <w:rPr>
          <w:rFonts w:ascii="Palatino Linotype" w:eastAsia="Palatino Linotype" w:hAnsi="Palatino Linotype" w:cs="Palatino Linotype"/>
          <w:b/>
          <w:i/>
          <w:sz w:val="22"/>
          <w:szCs w:val="22"/>
        </w:rPr>
        <w:t>La información concerniente a una persona, identificada o identificable</w:t>
      </w:r>
      <w:r w:rsidRPr="00C413DA">
        <w:rPr>
          <w:rFonts w:ascii="Palatino Linotype" w:eastAsia="Palatino Linotype" w:hAnsi="Palatino Linotype" w:cs="Palatino Linotype"/>
          <w:i/>
          <w:sz w:val="22"/>
          <w:szCs w:val="22"/>
        </w:rPr>
        <w:t xml:space="preserve"> según lo dispuesto por la Ley de Protección de Datos Personales del Estado de México;</w:t>
      </w:r>
    </w:p>
    <w:p w14:paraId="2E030F99"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XX. Información clasificada:</w:t>
      </w:r>
      <w:r w:rsidRPr="00C413DA">
        <w:rPr>
          <w:rFonts w:ascii="Palatino Linotype" w:eastAsia="Palatino Linotype" w:hAnsi="Palatino Linotype" w:cs="Palatino Linotype"/>
          <w:i/>
          <w:sz w:val="22"/>
          <w:szCs w:val="22"/>
        </w:rPr>
        <w:t xml:space="preserve"> Aquella considerada por la presente Ley como reservada o confidencial;</w:t>
      </w:r>
    </w:p>
    <w:p w14:paraId="467A3A32"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XXXII. Protección de Datos Personales:</w:t>
      </w:r>
      <w:r w:rsidRPr="00C413D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A17734B"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XLV. Versión pública</w:t>
      </w:r>
      <w:r w:rsidRPr="00C413D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0AEE9FF" w14:textId="77777777" w:rsidR="00045A20" w:rsidRPr="00C413DA" w:rsidRDefault="00045A20">
      <w:pPr>
        <w:ind w:left="993" w:right="1041"/>
        <w:jc w:val="both"/>
        <w:rPr>
          <w:rFonts w:ascii="Palatino Linotype" w:eastAsia="Palatino Linotype" w:hAnsi="Palatino Linotype" w:cs="Palatino Linotype"/>
          <w:i/>
          <w:sz w:val="22"/>
          <w:szCs w:val="22"/>
        </w:rPr>
      </w:pPr>
    </w:p>
    <w:p w14:paraId="6153CF19"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“Artículo 6.</w:t>
      </w:r>
      <w:r w:rsidRPr="00C413D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73CEEC3" w14:textId="77777777" w:rsidR="00045A20" w:rsidRPr="00C413DA" w:rsidRDefault="00045A20">
      <w:pPr>
        <w:ind w:left="993" w:right="1041"/>
        <w:jc w:val="both"/>
        <w:rPr>
          <w:rFonts w:ascii="Palatino Linotype" w:eastAsia="Palatino Linotype" w:hAnsi="Palatino Linotype" w:cs="Palatino Linotype"/>
          <w:i/>
          <w:sz w:val="22"/>
          <w:szCs w:val="22"/>
        </w:rPr>
      </w:pPr>
    </w:p>
    <w:p w14:paraId="27A09246" w14:textId="77777777" w:rsidR="00045A20" w:rsidRPr="00C413DA" w:rsidRDefault="007621C8">
      <w:pPr>
        <w:ind w:left="993" w:right="1041"/>
        <w:jc w:val="both"/>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“Artículo 137.</w:t>
      </w:r>
      <w:r w:rsidRPr="00C413D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6183C54" w14:textId="77777777" w:rsidR="00045A20" w:rsidRPr="00C413DA" w:rsidRDefault="00045A20">
      <w:pPr>
        <w:ind w:left="993" w:right="1041"/>
        <w:jc w:val="both"/>
        <w:rPr>
          <w:rFonts w:ascii="Palatino Linotype" w:eastAsia="Palatino Linotype" w:hAnsi="Palatino Linotype" w:cs="Palatino Linotype"/>
          <w:b/>
          <w:i/>
          <w:sz w:val="22"/>
          <w:szCs w:val="22"/>
        </w:rPr>
      </w:pPr>
    </w:p>
    <w:p w14:paraId="7ACF457E"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“Artículo 143</w:t>
      </w:r>
      <w:r w:rsidRPr="00C413D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CA9F0F3"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I.</w:t>
      </w:r>
      <w:r w:rsidRPr="00C413D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E8D95FC"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8BFBA31" w14:textId="77777777" w:rsidR="00045A20" w:rsidRPr="00C413DA" w:rsidRDefault="007621C8">
      <w:pPr>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2E56B4E1" w14:textId="77777777" w:rsidR="00045A20" w:rsidRPr="00C413DA" w:rsidRDefault="00045A20">
      <w:pPr>
        <w:ind w:left="993" w:right="1041"/>
        <w:jc w:val="both"/>
        <w:rPr>
          <w:rFonts w:ascii="Palatino Linotype" w:eastAsia="Palatino Linotype" w:hAnsi="Palatino Linotype" w:cs="Palatino Linotype"/>
          <w:i/>
          <w:sz w:val="22"/>
          <w:szCs w:val="22"/>
        </w:rPr>
      </w:pPr>
    </w:p>
    <w:p w14:paraId="4F65F5BA" w14:textId="77777777" w:rsidR="00045A20" w:rsidRPr="00C413DA" w:rsidRDefault="007621C8">
      <w:pPr>
        <w:spacing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para satisfacer el derecho de acceso a la información pública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590C02F" w14:textId="77777777" w:rsidR="00045A20" w:rsidRPr="00C413DA" w:rsidRDefault="00045A20">
      <w:pPr>
        <w:spacing w:line="360" w:lineRule="auto"/>
        <w:ind w:right="51"/>
        <w:jc w:val="both"/>
        <w:rPr>
          <w:rFonts w:ascii="Palatino Linotype" w:eastAsia="Palatino Linotype" w:hAnsi="Palatino Linotype" w:cs="Palatino Linotype"/>
        </w:rPr>
      </w:pPr>
    </w:p>
    <w:p w14:paraId="6D2975DB" w14:textId="77777777" w:rsidR="00045A20" w:rsidRPr="00C413DA" w:rsidRDefault="007621C8">
      <w:pPr>
        <w:spacing w:line="360" w:lineRule="auto"/>
        <w:ind w:right="50"/>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Datos que deberá clasificar como confidenciales por tratarse precisamente de información privada, puesto que los datos personales son irrenunciables, </w:t>
      </w:r>
      <w:r w:rsidRPr="00C413DA">
        <w:rPr>
          <w:rFonts w:ascii="Palatino Linotype" w:eastAsia="Palatino Linotype" w:hAnsi="Palatino Linotype" w:cs="Palatino Linotype"/>
        </w:rPr>
        <w:lastRenderedPageBreak/>
        <w:t>intransferibles e indelegables y los Sujetos Obligados no deberán hacer entrega de los mismos a personas ajenas a su titular.</w:t>
      </w:r>
    </w:p>
    <w:p w14:paraId="6A9B47E5" w14:textId="77777777" w:rsidR="00045A20" w:rsidRPr="00C413DA" w:rsidRDefault="00045A20">
      <w:pPr>
        <w:spacing w:line="360" w:lineRule="auto"/>
        <w:ind w:right="50"/>
        <w:jc w:val="both"/>
        <w:rPr>
          <w:rFonts w:ascii="Palatino Linotype" w:eastAsia="Palatino Linotype" w:hAnsi="Palatino Linotype" w:cs="Palatino Linotype"/>
        </w:rPr>
      </w:pPr>
    </w:p>
    <w:p w14:paraId="62220769" w14:textId="77777777" w:rsidR="00045A20" w:rsidRPr="00C413DA" w:rsidRDefault="007621C8">
      <w:pPr>
        <w:spacing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E834493" w14:textId="77777777" w:rsidR="00045A20" w:rsidRPr="00C413DA" w:rsidRDefault="00045A20">
      <w:pPr>
        <w:spacing w:line="360" w:lineRule="auto"/>
        <w:ind w:right="51"/>
        <w:jc w:val="both"/>
        <w:rPr>
          <w:rFonts w:ascii="Palatino Linotype" w:eastAsia="Palatino Linotype" w:hAnsi="Palatino Linotype" w:cs="Palatino Linotype"/>
        </w:rPr>
      </w:pPr>
    </w:p>
    <w:p w14:paraId="1CEA97CB"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“Artículo 49.</w:t>
      </w:r>
      <w:r w:rsidRPr="00C413DA">
        <w:rPr>
          <w:rFonts w:ascii="Palatino Linotype" w:eastAsia="Palatino Linotype" w:hAnsi="Palatino Linotype" w:cs="Palatino Linotype"/>
          <w:i/>
          <w:sz w:val="22"/>
          <w:szCs w:val="22"/>
        </w:rPr>
        <w:t xml:space="preserve"> </w:t>
      </w:r>
      <w:r w:rsidRPr="00C413DA">
        <w:rPr>
          <w:rFonts w:ascii="Palatino Linotype" w:eastAsia="Palatino Linotype" w:hAnsi="Palatino Linotype" w:cs="Palatino Linotype"/>
          <w:b/>
          <w:i/>
          <w:sz w:val="22"/>
          <w:szCs w:val="22"/>
        </w:rPr>
        <w:t>Los Comités de Transparencia</w:t>
      </w:r>
      <w:r w:rsidRPr="00C413DA">
        <w:rPr>
          <w:rFonts w:ascii="Palatino Linotype" w:eastAsia="Palatino Linotype" w:hAnsi="Palatino Linotype" w:cs="Palatino Linotype"/>
          <w:i/>
          <w:sz w:val="22"/>
          <w:szCs w:val="22"/>
        </w:rPr>
        <w:t xml:space="preserve"> tendrán las siguientes atribuciones:</w:t>
      </w:r>
    </w:p>
    <w:p w14:paraId="6ECDF8CC"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VIII. Aprobar, modificar o revocar la clasificación de la información</w:t>
      </w:r>
      <w:r w:rsidRPr="00C413DA">
        <w:rPr>
          <w:rFonts w:ascii="Palatino Linotype" w:eastAsia="Palatino Linotype" w:hAnsi="Palatino Linotype" w:cs="Palatino Linotype"/>
          <w:i/>
          <w:sz w:val="22"/>
          <w:szCs w:val="22"/>
        </w:rPr>
        <w:t>…”</w:t>
      </w:r>
    </w:p>
    <w:p w14:paraId="6ECE90D5"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Artículo 53.</w:t>
      </w:r>
      <w:r w:rsidRPr="00C413DA">
        <w:rPr>
          <w:rFonts w:ascii="Palatino Linotype" w:eastAsia="Palatino Linotype" w:hAnsi="Palatino Linotype" w:cs="Palatino Linotype"/>
          <w:i/>
          <w:sz w:val="22"/>
          <w:szCs w:val="22"/>
        </w:rPr>
        <w:t xml:space="preserve"> Las </w:t>
      </w:r>
      <w:r w:rsidRPr="00C413DA">
        <w:rPr>
          <w:rFonts w:ascii="Palatino Linotype" w:eastAsia="Palatino Linotype" w:hAnsi="Palatino Linotype" w:cs="Palatino Linotype"/>
          <w:b/>
          <w:i/>
          <w:sz w:val="22"/>
          <w:szCs w:val="22"/>
        </w:rPr>
        <w:t>Unidades de Transparencia</w:t>
      </w:r>
      <w:r w:rsidRPr="00C413DA">
        <w:rPr>
          <w:rFonts w:ascii="Palatino Linotype" w:eastAsia="Palatino Linotype" w:hAnsi="Palatino Linotype" w:cs="Palatino Linotype"/>
          <w:i/>
          <w:sz w:val="22"/>
          <w:szCs w:val="22"/>
        </w:rPr>
        <w:t xml:space="preserve"> tendrán las siguientes </w:t>
      </w:r>
      <w:r w:rsidRPr="00C413DA">
        <w:rPr>
          <w:rFonts w:ascii="Palatino Linotype" w:eastAsia="Palatino Linotype" w:hAnsi="Palatino Linotype" w:cs="Palatino Linotype"/>
          <w:b/>
          <w:i/>
          <w:sz w:val="22"/>
          <w:szCs w:val="22"/>
        </w:rPr>
        <w:t>funciones</w:t>
      </w:r>
      <w:r w:rsidRPr="00C413DA">
        <w:rPr>
          <w:rFonts w:ascii="Palatino Linotype" w:eastAsia="Palatino Linotype" w:hAnsi="Palatino Linotype" w:cs="Palatino Linotype"/>
          <w:i/>
          <w:sz w:val="22"/>
          <w:szCs w:val="22"/>
        </w:rPr>
        <w:t>:</w:t>
      </w:r>
    </w:p>
    <w:p w14:paraId="05973CC9"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X. Presentar ante el Comité, el proyecto de clasificación de información</w:t>
      </w:r>
      <w:r w:rsidRPr="00C413DA">
        <w:rPr>
          <w:rFonts w:ascii="Palatino Linotype" w:eastAsia="Palatino Linotype" w:hAnsi="Palatino Linotype" w:cs="Palatino Linotype"/>
          <w:i/>
          <w:sz w:val="22"/>
          <w:szCs w:val="22"/>
        </w:rPr>
        <w:t xml:space="preserve">…” </w:t>
      </w:r>
    </w:p>
    <w:p w14:paraId="160392CF"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“Artículo 59.</w:t>
      </w:r>
      <w:r w:rsidRPr="00C413DA">
        <w:rPr>
          <w:rFonts w:ascii="Palatino Linotype" w:eastAsia="Palatino Linotype" w:hAnsi="Palatino Linotype" w:cs="Palatino Linotype"/>
          <w:i/>
          <w:sz w:val="22"/>
          <w:szCs w:val="22"/>
        </w:rPr>
        <w:t xml:space="preserve"> Los </w:t>
      </w:r>
      <w:r w:rsidRPr="00C413DA">
        <w:rPr>
          <w:rFonts w:ascii="Palatino Linotype" w:eastAsia="Palatino Linotype" w:hAnsi="Palatino Linotype" w:cs="Palatino Linotype"/>
          <w:b/>
          <w:i/>
          <w:sz w:val="22"/>
          <w:szCs w:val="22"/>
        </w:rPr>
        <w:t>servidores públicos habilitados</w:t>
      </w:r>
      <w:r w:rsidRPr="00C413DA">
        <w:rPr>
          <w:rFonts w:ascii="Palatino Linotype" w:eastAsia="Palatino Linotype" w:hAnsi="Palatino Linotype" w:cs="Palatino Linotype"/>
          <w:i/>
          <w:sz w:val="22"/>
          <w:szCs w:val="22"/>
        </w:rPr>
        <w:t xml:space="preserve"> tendrán las </w:t>
      </w:r>
      <w:r w:rsidRPr="00C413DA">
        <w:rPr>
          <w:rFonts w:ascii="Palatino Linotype" w:eastAsia="Palatino Linotype" w:hAnsi="Palatino Linotype" w:cs="Palatino Linotype"/>
          <w:b/>
          <w:i/>
          <w:sz w:val="22"/>
          <w:szCs w:val="22"/>
        </w:rPr>
        <w:t>funciones</w:t>
      </w:r>
      <w:r w:rsidRPr="00C413DA">
        <w:rPr>
          <w:rFonts w:ascii="Palatino Linotype" w:eastAsia="Palatino Linotype" w:hAnsi="Palatino Linotype" w:cs="Palatino Linotype"/>
          <w:i/>
          <w:sz w:val="22"/>
          <w:szCs w:val="22"/>
        </w:rPr>
        <w:t xml:space="preserve"> siguientes:</w:t>
      </w:r>
    </w:p>
    <w:p w14:paraId="2223D3FC" w14:textId="77777777" w:rsidR="00045A20" w:rsidRPr="00C413DA" w:rsidRDefault="007621C8">
      <w:pPr>
        <w:ind w:left="992" w:right="1043"/>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C413DA">
        <w:rPr>
          <w:rFonts w:ascii="Palatino Linotype" w:eastAsia="Palatino Linotype" w:hAnsi="Palatino Linotype" w:cs="Palatino Linotype"/>
          <w:i/>
          <w:sz w:val="22"/>
          <w:szCs w:val="22"/>
        </w:rPr>
        <w:t>, la cual tendrá los fundamentos y argumentos en que se basa dicha propuesta…”(Sic)</w:t>
      </w:r>
    </w:p>
    <w:p w14:paraId="53883AA5" w14:textId="77777777" w:rsidR="00045A20" w:rsidRPr="00C413DA" w:rsidRDefault="00045A20">
      <w:pPr>
        <w:ind w:left="992" w:right="1043"/>
        <w:jc w:val="both"/>
        <w:rPr>
          <w:rFonts w:ascii="Palatino Linotype" w:eastAsia="Palatino Linotype" w:hAnsi="Palatino Linotype" w:cs="Palatino Linotype"/>
          <w:i/>
          <w:sz w:val="22"/>
          <w:szCs w:val="22"/>
        </w:rPr>
      </w:pPr>
    </w:p>
    <w:p w14:paraId="2C3EAC73"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C413DA">
        <w:rPr>
          <w:rFonts w:ascii="Palatino Linotype" w:eastAsia="Palatino Linotype" w:hAnsi="Palatino Linotype" w:cs="Palatino Linotype"/>
        </w:rPr>
        <w:lastRenderedPageBreak/>
        <w:t>de clasificación de la información y finalmente sea éste último quien apruebe, modifique o revoque la clasificación de la información solicitada.</w:t>
      </w:r>
    </w:p>
    <w:p w14:paraId="7B6A8FD1" w14:textId="77777777" w:rsidR="00045A20" w:rsidRPr="00C413DA" w:rsidRDefault="00045A20">
      <w:pPr>
        <w:spacing w:line="360" w:lineRule="auto"/>
        <w:jc w:val="both"/>
        <w:rPr>
          <w:rFonts w:ascii="Palatino Linotype" w:eastAsia="Palatino Linotype" w:hAnsi="Palatino Linotype" w:cs="Palatino Linotype"/>
        </w:rPr>
      </w:pPr>
    </w:p>
    <w:p w14:paraId="421C2F2D"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E4A9AB4" w14:textId="77777777" w:rsidR="00045A20" w:rsidRPr="00C413DA" w:rsidRDefault="00045A20">
      <w:pPr>
        <w:spacing w:line="360" w:lineRule="auto"/>
        <w:jc w:val="both"/>
        <w:rPr>
          <w:rFonts w:ascii="Palatino Linotype" w:eastAsia="Palatino Linotype" w:hAnsi="Palatino Linotype" w:cs="Palatino Linotype"/>
        </w:rPr>
      </w:pPr>
    </w:p>
    <w:p w14:paraId="1F1DBE90" w14:textId="77777777" w:rsidR="00045A20" w:rsidRPr="00C413DA" w:rsidRDefault="007621C8">
      <w:pPr>
        <w:spacing w:after="240"/>
        <w:ind w:left="993" w:right="104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Artículo 149.</w:t>
      </w:r>
      <w:r w:rsidRPr="00C413DA">
        <w:rPr>
          <w:rFonts w:ascii="Palatino Linotype" w:eastAsia="Palatino Linotype" w:hAnsi="Palatino Linotype" w:cs="Palatino Linotype"/>
          <w:i/>
          <w:sz w:val="22"/>
          <w:szCs w:val="22"/>
        </w:rPr>
        <w:t xml:space="preserve"> El </w:t>
      </w:r>
      <w:r w:rsidRPr="00C413DA">
        <w:rPr>
          <w:rFonts w:ascii="Palatino Linotype" w:eastAsia="Palatino Linotype" w:hAnsi="Palatino Linotype" w:cs="Palatino Linotype"/>
          <w:b/>
          <w:i/>
          <w:sz w:val="22"/>
          <w:szCs w:val="22"/>
        </w:rPr>
        <w:t>acuerdo que clasifique la información como confidencial</w:t>
      </w:r>
      <w:r w:rsidRPr="00C413D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5324659D" w14:textId="77777777" w:rsidR="00045A20" w:rsidRPr="00C413DA" w:rsidRDefault="00045A20">
      <w:pPr>
        <w:spacing w:before="240" w:line="360" w:lineRule="auto"/>
        <w:ind w:right="51"/>
        <w:jc w:val="both"/>
        <w:rPr>
          <w:rFonts w:ascii="Palatino Linotype" w:eastAsia="Palatino Linotype" w:hAnsi="Palatino Linotype" w:cs="Palatino Linotype"/>
          <w:i/>
          <w:sz w:val="22"/>
          <w:szCs w:val="22"/>
        </w:rPr>
      </w:pPr>
    </w:p>
    <w:p w14:paraId="365B26EE" w14:textId="77777777" w:rsidR="00045A20" w:rsidRPr="00C413DA" w:rsidRDefault="007621C8">
      <w:pPr>
        <w:spacing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Es decir,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1F14BB4" w14:textId="77777777" w:rsidR="00045A20" w:rsidRPr="00C413DA" w:rsidRDefault="00045A20">
      <w:pPr>
        <w:spacing w:line="360" w:lineRule="auto"/>
        <w:ind w:right="51"/>
        <w:jc w:val="both"/>
        <w:rPr>
          <w:rFonts w:ascii="Palatino Linotype" w:eastAsia="Palatino Linotype" w:hAnsi="Palatino Linotype" w:cs="Palatino Linotype"/>
        </w:rPr>
      </w:pPr>
    </w:p>
    <w:p w14:paraId="00F23108"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Al respecto, se destaca que la versión pública que elabore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w:t>
      </w:r>
      <w:r w:rsidRPr="00C413DA">
        <w:rPr>
          <w:rFonts w:ascii="Palatino Linotype" w:eastAsia="Palatino Linotype" w:hAnsi="Palatino Linotype" w:cs="Palatino Linotype"/>
        </w:rPr>
        <w:lastRenderedPageBreak/>
        <w:t xml:space="preserve">el cual deberá cumplir cabalmente con las formalidades previstas en el artículo 137 de la Ley de Transparencia y Acceso a la Información Pública del Estado de México y Municipios, ya expuesto; así como con los numerales aplicables de los </w:t>
      </w:r>
      <w:r w:rsidRPr="00C413DA">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C413DA">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64F9DF3" w14:textId="77777777" w:rsidR="00045A20" w:rsidRPr="00C413DA" w:rsidRDefault="00045A20">
      <w:pPr>
        <w:ind w:left="709" w:right="709"/>
        <w:jc w:val="both"/>
        <w:rPr>
          <w:rFonts w:ascii="Palatino Linotype" w:eastAsia="Palatino Linotype" w:hAnsi="Palatino Linotype" w:cs="Palatino Linotype"/>
          <w:b/>
          <w:i/>
          <w:sz w:val="22"/>
          <w:szCs w:val="22"/>
        </w:rPr>
      </w:pPr>
    </w:p>
    <w:p w14:paraId="176B6D44"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F4B7D8F"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w:t>
      </w:r>
      <w:r w:rsidRPr="00C413DA">
        <w:rPr>
          <w:rFonts w:ascii="Palatino Linotype" w:eastAsia="Palatino Linotype" w:hAnsi="Palatino Linotype" w:cs="Palatino Linotype"/>
          <w:b/>
          <w:i/>
          <w:sz w:val="22"/>
          <w:szCs w:val="22"/>
        </w:rPr>
        <w:t>Segundo.-</w:t>
      </w:r>
      <w:r w:rsidRPr="00C413DA">
        <w:rPr>
          <w:rFonts w:ascii="Palatino Linotype" w:eastAsia="Palatino Linotype" w:hAnsi="Palatino Linotype" w:cs="Palatino Linotype"/>
          <w:i/>
          <w:sz w:val="22"/>
          <w:szCs w:val="22"/>
        </w:rPr>
        <w:t xml:space="preserve"> Para efectos de los presentes Lineamientos Generales, se entenderá por:</w:t>
      </w:r>
    </w:p>
    <w:p w14:paraId="5E1C7EBC"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XVIII.</w:t>
      </w:r>
      <w:r w:rsidRPr="00C413DA">
        <w:rPr>
          <w:rFonts w:ascii="Palatino Linotype" w:eastAsia="Palatino Linotype" w:hAnsi="Palatino Linotype" w:cs="Palatino Linotype"/>
          <w:i/>
          <w:sz w:val="22"/>
          <w:szCs w:val="22"/>
        </w:rPr>
        <w:t xml:space="preserve"> </w:t>
      </w:r>
      <w:r w:rsidRPr="00C413DA">
        <w:rPr>
          <w:rFonts w:ascii="Palatino Linotype" w:eastAsia="Palatino Linotype" w:hAnsi="Palatino Linotype" w:cs="Palatino Linotype"/>
          <w:b/>
          <w:i/>
          <w:sz w:val="22"/>
          <w:szCs w:val="22"/>
        </w:rPr>
        <w:t>Versión pública:</w:t>
      </w:r>
      <w:r w:rsidRPr="00C413D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C413DA">
        <w:rPr>
          <w:rFonts w:ascii="Palatino Linotype" w:eastAsia="Palatino Linotype" w:hAnsi="Palatino Linotype" w:cs="Palatino Linotype"/>
          <w:b/>
          <w:i/>
          <w:sz w:val="22"/>
          <w:szCs w:val="22"/>
          <w:u w:val="single"/>
        </w:rPr>
        <w:t>fundando y motivando la</w:t>
      </w:r>
      <w:r w:rsidRPr="00C413DA">
        <w:rPr>
          <w:rFonts w:ascii="Palatino Linotype" w:eastAsia="Palatino Linotype" w:hAnsi="Palatino Linotype" w:cs="Palatino Linotype"/>
          <w:i/>
          <w:sz w:val="22"/>
          <w:szCs w:val="22"/>
        </w:rPr>
        <w:t xml:space="preserve"> reserva o </w:t>
      </w:r>
      <w:r w:rsidRPr="00C413DA">
        <w:rPr>
          <w:rFonts w:ascii="Palatino Linotype" w:eastAsia="Palatino Linotype" w:hAnsi="Palatino Linotype" w:cs="Palatino Linotype"/>
          <w:b/>
          <w:i/>
          <w:sz w:val="22"/>
          <w:szCs w:val="22"/>
          <w:u w:val="single"/>
        </w:rPr>
        <w:t>confidencialidad</w:t>
      </w:r>
      <w:r w:rsidRPr="00C413DA">
        <w:rPr>
          <w:rFonts w:ascii="Palatino Linotype" w:eastAsia="Palatino Linotype" w:hAnsi="Palatino Linotype" w:cs="Palatino Linotype"/>
          <w:i/>
          <w:sz w:val="22"/>
          <w:szCs w:val="22"/>
        </w:rPr>
        <w:t>, a través de la resolución que para tal efecto emita el Comité de Transparencia.</w:t>
      </w:r>
    </w:p>
    <w:p w14:paraId="0636DD73"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Cuarto.</w:t>
      </w:r>
      <w:r w:rsidRPr="00C413D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DA2E84"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A373819"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Quinto.</w:t>
      </w:r>
      <w:r w:rsidRPr="00C413D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36FEF21"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w:t>
      </w:r>
    </w:p>
    <w:p w14:paraId="18357984"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lastRenderedPageBreak/>
        <w:t>Séptimo.</w:t>
      </w:r>
      <w:r w:rsidRPr="00C413DA">
        <w:rPr>
          <w:rFonts w:ascii="Palatino Linotype" w:eastAsia="Palatino Linotype" w:hAnsi="Palatino Linotype" w:cs="Palatino Linotype"/>
          <w:i/>
          <w:sz w:val="22"/>
          <w:szCs w:val="22"/>
        </w:rPr>
        <w:t xml:space="preserve"> La clasificación de la información se llevará a cabo en el momento en que:</w:t>
      </w:r>
    </w:p>
    <w:p w14:paraId="56837D17"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I.</w:t>
      </w:r>
      <w:r w:rsidRPr="00C413DA">
        <w:rPr>
          <w:rFonts w:ascii="Palatino Linotype" w:eastAsia="Palatino Linotype" w:hAnsi="Palatino Linotype" w:cs="Palatino Linotype"/>
          <w:i/>
          <w:sz w:val="22"/>
          <w:szCs w:val="22"/>
        </w:rPr>
        <w:t xml:space="preserve"> Se reciba una solicitud de acceso a la información;</w:t>
      </w:r>
    </w:p>
    <w:p w14:paraId="0D62C7C8" w14:textId="77777777" w:rsidR="00045A20" w:rsidRPr="00C413DA" w:rsidRDefault="007621C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II.</w:t>
      </w:r>
      <w:r w:rsidRPr="00C413DA">
        <w:rPr>
          <w:rFonts w:ascii="Palatino Linotype" w:eastAsia="Palatino Linotype" w:hAnsi="Palatino Linotype" w:cs="Palatino Linotype"/>
          <w:i/>
          <w:sz w:val="22"/>
          <w:szCs w:val="22"/>
        </w:rPr>
        <w:t xml:space="preserve"> Se  determine mediante resolución del Comité de Transparencia, el órgano garante </w:t>
      </w:r>
    </w:p>
    <w:p w14:paraId="2196F0C4"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competente, o en cumplimiento a una sentencia del Poder Judicial; o</w:t>
      </w:r>
    </w:p>
    <w:p w14:paraId="369F5004"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III.</w:t>
      </w:r>
      <w:r w:rsidRPr="00C413D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8CD87DE"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FE1FE08"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Octavo.</w:t>
      </w:r>
      <w:r w:rsidRPr="00C413D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DB3D17"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4C3806F" w14:textId="77777777" w:rsidR="00045A20" w:rsidRPr="00C413DA" w:rsidRDefault="007621C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B22FD70"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Noveno.</w:t>
      </w:r>
      <w:r w:rsidRPr="00C413D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6186BB"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b/>
          <w:i/>
          <w:sz w:val="22"/>
          <w:szCs w:val="22"/>
        </w:rPr>
        <w:t>Décimo.</w:t>
      </w:r>
      <w:r w:rsidRPr="00C413D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07A93FD"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98C4BDE" w14:textId="77777777" w:rsidR="00045A20" w:rsidRPr="00C413DA" w:rsidRDefault="007621C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Décimo primero.</w:t>
      </w:r>
      <w:r w:rsidRPr="00C413D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6476042" w14:textId="77777777" w:rsidR="00045A20" w:rsidRPr="00C413DA" w:rsidRDefault="00045A20">
      <w:pPr>
        <w:pBdr>
          <w:top w:val="nil"/>
          <w:left w:val="nil"/>
          <w:bottom w:val="nil"/>
          <w:right w:val="nil"/>
          <w:between w:val="nil"/>
        </w:pBdr>
        <w:ind w:right="709"/>
        <w:jc w:val="both"/>
      </w:pPr>
    </w:p>
    <w:p w14:paraId="2B44B14C" w14:textId="77777777" w:rsidR="00045A20" w:rsidRPr="00C413DA" w:rsidRDefault="007621C8">
      <w:pPr>
        <w:pBdr>
          <w:top w:val="nil"/>
          <w:left w:val="nil"/>
          <w:bottom w:val="nil"/>
          <w:right w:val="nil"/>
          <w:between w:val="nil"/>
        </w:pBdr>
        <w:ind w:left="709" w:right="709"/>
        <w:jc w:val="both"/>
      </w:pPr>
      <w:r w:rsidRPr="00C413DA">
        <w:rPr>
          <w:rFonts w:ascii="Palatino Linotype" w:eastAsia="Palatino Linotype" w:hAnsi="Palatino Linotype" w:cs="Palatino Linotype"/>
          <w:i/>
          <w:sz w:val="22"/>
          <w:szCs w:val="22"/>
        </w:rPr>
        <w:lastRenderedPageBreak/>
        <w:t>[…]</w:t>
      </w:r>
    </w:p>
    <w:p w14:paraId="05528B0D" w14:textId="77777777" w:rsidR="00045A20" w:rsidRPr="00C413DA" w:rsidRDefault="007621C8">
      <w:pPr>
        <w:pBdr>
          <w:top w:val="nil"/>
          <w:left w:val="nil"/>
          <w:bottom w:val="nil"/>
          <w:right w:val="nil"/>
          <w:between w:val="nil"/>
        </w:pBdr>
        <w:ind w:left="709" w:right="709"/>
        <w:jc w:val="center"/>
      </w:pPr>
      <w:r w:rsidRPr="00C413DA">
        <w:rPr>
          <w:rFonts w:ascii="Palatino Linotype" w:eastAsia="Palatino Linotype" w:hAnsi="Palatino Linotype" w:cs="Palatino Linotype"/>
          <w:b/>
          <w:i/>
          <w:sz w:val="22"/>
          <w:szCs w:val="22"/>
        </w:rPr>
        <w:t>CAPÍTULO VIII</w:t>
      </w:r>
    </w:p>
    <w:p w14:paraId="4AAD2E6A" w14:textId="77777777" w:rsidR="00045A20" w:rsidRPr="00C413DA" w:rsidRDefault="007621C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C413DA">
        <w:rPr>
          <w:rFonts w:ascii="Palatino Linotype" w:eastAsia="Palatino Linotype" w:hAnsi="Palatino Linotype" w:cs="Palatino Linotype"/>
          <w:b/>
          <w:i/>
          <w:sz w:val="22"/>
          <w:szCs w:val="22"/>
        </w:rPr>
        <w:t>DE LOS ELEMENTOS PARA LA CLASIFICACIÓN</w:t>
      </w:r>
    </w:p>
    <w:p w14:paraId="70DA774A"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Quincuagésimo</w:t>
      </w:r>
      <w:r w:rsidRPr="00C413D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81F4979"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Quincuagésimo primero</w:t>
      </w:r>
      <w:r w:rsidRPr="00C413DA">
        <w:rPr>
          <w:rFonts w:ascii="Palatino Linotype" w:eastAsia="Palatino Linotype" w:hAnsi="Palatino Linotype" w:cs="Palatino Linotype"/>
          <w:i/>
          <w:sz w:val="22"/>
          <w:szCs w:val="22"/>
        </w:rPr>
        <w:t>. Toda acta del Comité de Transparencia deberá contener:</w:t>
      </w:r>
    </w:p>
    <w:p w14:paraId="3352568A"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I. El número de sesión y fecha; </w:t>
      </w:r>
    </w:p>
    <w:p w14:paraId="78CEACB8"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 El nombre del área que solicitó la clasificación de información;</w:t>
      </w:r>
    </w:p>
    <w:p w14:paraId="2BC4FEB7"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III. La fundamentación legal y motivación correspondiente;</w:t>
      </w:r>
    </w:p>
    <w:p w14:paraId="3F6C6D4D"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IV. La resolución o resoluciones aprobadas; y</w:t>
      </w:r>
    </w:p>
    <w:p w14:paraId="3DA9ED01"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V. La rúbrica o firma digital de cada integrante del Comité de Transparencia. </w:t>
      </w:r>
    </w:p>
    <w:p w14:paraId="3AF60486"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B185543"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 Los motivos y razonamientos que sustenten la confirmación o modificación de la prueba de daño;</w:t>
      </w:r>
    </w:p>
    <w:p w14:paraId="3F8B90E1"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 Descripción de las partes o secciones reservadas, en caso de clasificación parcial;</w:t>
      </w:r>
    </w:p>
    <w:p w14:paraId="6841E1A6"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III. El periodo por el que mantendrá su clasificación y fecha de expiración; y</w:t>
      </w:r>
    </w:p>
    <w:p w14:paraId="427A9C4F"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IV. El nombre del titular y área encargada de realizar la versión pública del documento, en su caso.</w:t>
      </w:r>
    </w:p>
    <w:p w14:paraId="74CB57F7"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FA93B2"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300DBF9"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b/>
          <w:i/>
          <w:sz w:val="22"/>
          <w:szCs w:val="22"/>
        </w:rPr>
        <w:t>Quincuagésimo segundo</w:t>
      </w:r>
      <w:r w:rsidRPr="00C413D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3039DCB"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CC979BE"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85057C0"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D431F9E"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lastRenderedPageBreak/>
        <w:t>III. Señalar las personas o instancias autorizadas a acceder a la información clasificada.</w:t>
      </w:r>
    </w:p>
    <w:p w14:paraId="6320B315" w14:textId="77777777" w:rsidR="00045A20" w:rsidRPr="00C413DA" w:rsidRDefault="007621C8" w:rsidP="005870D9">
      <w:pPr>
        <w:pBdr>
          <w:top w:val="nil"/>
          <w:left w:val="nil"/>
          <w:bottom w:val="nil"/>
          <w:right w:val="nil"/>
          <w:between w:val="nil"/>
        </w:pBdr>
        <w:spacing w:after="160"/>
        <w:ind w:left="709" w:right="709"/>
        <w:contextualSpacing/>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8831FCA" w14:textId="0344721C" w:rsidR="00045A20" w:rsidRPr="00C413DA" w:rsidRDefault="007621C8" w:rsidP="005870D9">
      <w:pPr>
        <w:pBdr>
          <w:top w:val="nil"/>
          <w:left w:val="nil"/>
          <w:bottom w:val="nil"/>
          <w:right w:val="nil"/>
          <w:between w:val="nil"/>
        </w:pBdr>
        <w:spacing w:after="160"/>
        <w:ind w:left="709" w:right="709"/>
        <w:contextualSpacing/>
        <w:jc w:val="both"/>
      </w:pPr>
      <w:r w:rsidRPr="00C413DA">
        <w:rPr>
          <w:rFonts w:ascii="Palatino Linotype" w:eastAsia="Palatino Linotype" w:hAnsi="Palatino Linotype" w:cs="Palatino Linotype"/>
          <w:b/>
          <w:i/>
          <w:sz w:val="22"/>
          <w:szCs w:val="22"/>
        </w:rPr>
        <w:t xml:space="preserve">Quincuagésimo tercero. </w:t>
      </w:r>
      <w:r w:rsidRPr="00C413DA">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C413DA" w:rsidRPr="00C413DA" w14:paraId="46433989"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59678F8D" w14:textId="77777777" w:rsidR="00045A20" w:rsidRPr="00C413DA" w:rsidRDefault="00045A20"/>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B0822"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4007A"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b/>
                <w:i/>
              </w:rPr>
              <w:t>Dónde:</w:t>
            </w:r>
          </w:p>
        </w:tc>
      </w:tr>
      <w:tr w:rsidR="00C413DA" w:rsidRPr="00C413DA" w14:paraId="45882C4C"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032838"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AB1F4"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9ADAA"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anotará la fecha en la que el Comité de Transparencia confirmó la clasificación del documento o expediente, en su caso.</w:t>
            </w:r>
          </w:p>
        </w:tc>
      </w:tr>
      <w:tr w:rsidR="00C413DA" w:rsidRPr="00C413DA" w14:paraId="4B8EE92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83BC6"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9DE72"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761C6"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señalará el nombre del área del cual es titular quien clasifica.</w:t>
            </w:r>
          </w:p>
        </w:tc>
      </w:tr>
      <w:tr w:rsidR="00C413DA" w:rsidRPr="00C413DA" w14:paraId="3441E0E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29AA3"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33E86"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C27650"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C413DA" w:rsidRPr="00C413DA" w14:paraId="2B88664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5D27D3"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CDAECE"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7F6EC"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C413DA" w:rsidRPr="00C413DA" w14:paraId="0C71B6E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92BAE"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D834A"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C24F86"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señalará el nombre del ordenamiento, el o los artículos, fracción(es), párrafo(s) con base en los cuales se sustente la reserva.</w:t>
            </w:r>
          </w:p>
        </w:tc>
      </w:tr>
      <w:tr w:rsidR="00C413DA" w:rsidRPr="00C413DA" w14:paraId="4515FD5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818F36"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FCA4E"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E0FB51"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C413DA" w:rsidRPr="00C413DA" w14:paraId="4872091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A58F54"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892B6"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11A13"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Rúbrica autógrafa o firma digital de quien clasifica.</w:t>
            </w:r>
          </w:p>
        </w:tc>
      </w:tr>
      <w:tr w:rsidR="00C413DA" w:rsidRPr="00C413DA" w14:paraId="6B3650A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D3AE6A"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70A67"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6C87D"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Se anotará la fecha en que se desclasifica el documento.</w:t>
            </w:r>
          </w:p>
        </w:tc>
      </w:tr>
      <w:tr w:rsidR="00C413DA" w:rsidRPr="00C413DA" w14:paraId="65415E6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1106E" w14:textId="77777777" w:rsidR="00045A20" w:rsidRPr="00C413DA" w:rsidRDefault="00045A20">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A005E2" w14:textId="77777777" w:rsidR="00045A20" w:rsidRPr="00C413DA" w:rsidRDefault="007621C8">
            <w:pPr>
              <w:pBdr>
                <w:top w:val="nil"/>
                <w:left w:val="nil"/>
                <w:bottom w:val="nil"/>
                <w:right w:val="nil"/>
                <w:between w:val="nil"/>
              </w:pBdr>
              <w:jc w:val="center"/>
            </w:pPr>
            <w:r w:rsidRPr="00C413DA">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0E723D" w14:textId="77777777" w:rsidR="00045A20" w:rsidRPr="00C413DA" w:rsidRDefault="007621C8">
            <w:pPr>
              <w:pBdr>
                <w:top w:val="nil"/>
                <w:left w:val="nil"/>
                <w:bottom w:val="nil"/>
                <w:right w:val="nil"/>
                <w:between w:val="nil"/>
              </w:pBdr>
              <w:jc w:val="both"/>
            </w:pPr>
            <w:r w:rsidRPr="00C413DA">
              <w:rPr>
                <w:rFonts w:ascii="Palatino Linotype" w:eastAsia="Palatino Linotype" w:hAnsi="Palatino Linotype" w:cs="Palatino Linotype"/>
                <w:i/>
              </w:rPr>
              <w:t>Rúbrica autógrafa o firma digital de quien desclasifica.</w:t>
            </w:r>
          </w:p>
        </w:tc>
      </w:tr>
      <w:tr w:rsidR="00C413DA" w:rsidRPr="00C413DA" w14:paraId="14C242DF"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CFAA3A" w14:textId="77777777" w:rsidR="00045A20" w:rsidRPr="00C413DA" w:rsidRDefault="00045A20">
            <w:pPr>
              <w:widowControl w:val="0"/>
              <w:pBdr>
                <w:top w:val="nil"/>
                <w:left w:val="nil"/>
                <w:bottom w:val="nil"/>
                <w:right w:val="nil"/>
                <w:between w:val="nil"/>
              </w:pBdr>
              <w:spacing w:line="276" w:lineRule="auto"/>
            </w:pPr>
          </w:p>
        </w:tc>
      </w:tr>
    </w:tbl>
    <w:p w14:paraId="7B8C29A5" w14:textId="77777777" w:rsidR="00045A20" w:rsidRPr="00C413DA" w:rsidRDefault="007621C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Quincuagésimo cuarto. Cuando el Comité de Transparencia confirme la clasificación de documentos reservados y/o confidenciales, sea total o parcialmente; se deberá </w:t>
      </w:r>
      <w:r w:rsidRPr="00C413DA">
        <w:rPr>
          <w:rFonts w:ascii="Palatino Linotype" w:eastAsia="Palatino Linotype" w:hAnsi="Palatino Linotype" w:cs="Palatino Linotype"/>
          <w:i/>
          <w:sz w:val="22"/>
          <w:szCs w:val="22"/>
        </w:rPr>
        <w:lastRenderedPageBreak/>
        <w:t>anexar al expediente la resolución que determinó la clasificación o, en su defecto, identificar en la carátula del expediente del cual formen parte, la fecha y sesión del Comité de Transparencia en la que se confirmó dicha clasificación.</w:t>
      </w:r>
    </w:p>
    <w:p w14:paraId="4B268777" w14:textId="77777777" w:rsidR="00045A20" w:rsidRPr="00C413DA" w:rsidRDefault="007621C8">
      <w:pPr>
        <w:pBdr>
          <w:top w:val="nil"/>
          <w:left w:val="nil"/>
          <w:bottom w:val="nil"/>
          <w:right w:val="nil"/>
          <w:between w:val="nil"/>
        </w:pBdr>
        <w:spacing w:after="160"/>
        <w:ind w:left="709" w:right="709"/>
        <w:jc w:val="both"/>
      </w:pPr>
      <w:r w:rsidRPr="00C413D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C413DA">
        <w:rPr>
          <w:rFonts w:ascii="Palatino Linotype" w:eastAsia="Palatino Linotype" w:hAnsi="Palatino Linotype" w:cs="Palatino Linotype"/>
          <w:i/>
          <w:sz w:val="22"/>
          <w:szCs w:val="22"/>
        </w:rPr>
        <w:t>testado</w:t>
      </w:r>
      <w:proofErr w:type="spellEnd"/>
      <w:r w:rsidRPr="00C413D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2027C90F" w14:textId="77777777" w:rsidR="00045A20" w:rsidRPr="00C413DA" w:rsidRDefault="00045A20">
      <w:pPr>
        <w:jc w:val="both"/>
      </w:pPr>
    </w:p>
    <w:p w14:paraId="3158FC59" w14:textId="77777777" w:rsidR="00045A20" w:rsidRPr="00C413DA" w:rsidRDefault="00045A20"/>
    <w:p w14:paraId="3DD5A924" w14:textId="77777777" w:rsidR="00045A20" w:rsidRPr="00C413DA" w:rsidRDefault="007621C8">
      <w:pPr>
        <w:spacing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48C69681" w14:textId="77777777" w:rsidR="00045A20" w:rsidRPr="00C413DA" w:rsidRDefault="00045A20">
      <w:pPr>
        <w:spacing w:line="360" w:lineRule="auto"/>
        <w:jc w:val="both"/>
        <w:rPr>
          <w:rFonts w:ascii="Palatino Linotype" w:eastAsia="Palatino Linotype" w:hAnsi="Palatino Linotype" w:cs="Palatino Linotype"/>
        </w:rPr>
      </w:pPr>
    </w:p>
    <w:p w14:paraId="0588B732" w14:textId="77777777" w:rsidR="00045A20" w:rsidRPr="00C413DA" w:rsidRDefault="007621C8">
      <w:pPr>
        <w:shd w:val="clear" w:color="auto" w:fill="FFFFFF"/>
        <w:spacing w:line="360" w:lineRule="auto"/>
        <w:ind w:right="51"/>
        <w:jc w:val="both"/>
        <w:rPr>
          <w:rFonts w:ascii="Palatino Linotype" w:eastAsia="Palatino Linotype" w:hAnsi="Palatino Linotype" w:cs="Palatino Linotype"/>
        </w:rPr>
      </w:pPr>
      <w:r w:rsidRPr="00C413DA">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w:t>
      </w:r>
    </w:p>
    <w:p w14:paraId="68E8B4F4"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272F2E5" w14:textId="77777777" w:rsidR="00045A20" w:rsidRPr="00C413DA" w:rsidRDefault="007621C8">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413DA">
        <w:rPr>
          <w:rFonts w:ascii="Palatino Linotype" w:eastAsia="Palatino Linotype" w:hAnsi="Palatino Linotype" w:cs="Palatino Linotype"/>
          <w:b/>
        </w:rPr>
        <w:t>R E S U E L V E:</w:t>
      </w:r>
    </w:p>
    <w:p w14:paraId="4EDD1781" w14:textId="77777777"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Primero. </w:t>
      </w:r>
      <w:r w:rsidRPr="00C413DA">
        <w:rPr>
          <w:rFonts w:ascii="Palatino Linotype" w:eastAsia="Palatino Linotype" w:hAnsi="Palatino Linotype" w:cs="Palatino Linotype"/>
        </w:rPr>
        <w:t xml:space="preserve">Resultan fundados los motivos de inconformidad hechos valer por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en el Recurso de Revisión </w:t>
      </w:r>
      <w:r w:rsidRPr="00C413DA">
        <w:rPr>
          <w:rFonts w:ascii="Palatino Linotype" w:eastAsia="Palatino Linotype" w:hAnsi="Palatino Linotype" w:cs="Palatino Linotype"/>
          <w:b/>
        </w:rPr>
        <w:t xml:space="preserve">08344/INFOEM/IP/RR/2023; </w:t>
      </w:r>
      <w:r w:rsidRPr="00C413DA">
        <w:rPr>
          <w:rFonts w:ascii="Palatino Linotype" w:eastAsia="Palatino Linotype" w:hAnsi="Palatino Linotype" w:cs="Palatino Linotype"/>
        </w:rPr>
        <w:t xml:space="preserve">por lo que, en términos del considerando </w:t>
      </w:r>
      <w:r w:rsidRPr="00C413DA">
        <w:rPr>
          <w:rFonts w:ascii="Palatino Linotype" w:eastAsia="Palatino Linotype" w:hAnsi="Palatino Linotype" w:cs="Palatino Linotype"/>
          <w:b/>
        </w:rPr>
        <w:t xml:space="preserve">Cuarto </w:t>
      </w:r>
      <w:r w:rsidRPr="00C413DA">
        <w:rPr>
          <w:rFonts w:ascii="Palatino Linotype" w:eastAsia="Palatino Linotype" w:hAnsi="Palatino Linotype" w:cs="Palatino Linotype"/>
        </w:rPr>
        <w:t xml:space="preserve">de esta resolución, se </w:t>
      </w:r>
      <w:r w:rsidRPr="00C413DA">
        <w:rPr>
          <w:rFonts w:ascii="Palatino Linotype" w:eastAsia="Palatino Linotype" w:hAnsi="Palatino Linotype" w:cs="Palatino Linotype"/>
          <w:b/>
        </w:rPr>
        <w:t xml:space="preserve">MODIFICA </w:t>
      </w:r>
      <w:r w:rsidRPr="00C413DA">
        <w:rPr>
          <w:rFonts w:ascii="Palatino Linotype" w:eastAsia="Palatino Linotype" w:hAnsi="Palatino Linotype" w:cs="Palatino Linotype"/>
        </w:rPr>
        <w:t xml:space="preserve">la respuesta emitida por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w:t>
      </w:r>
    </w:p>
    <w:p w14:paraId="12DB8150" w14:textId="7807AEC4" w:rsidR="00045A20" w:rsidRPr="00C413DA" w:rsidRDefault="007621C8">
      <w:pPr>
        <w:spacing w:before="240" w:after="240"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Segundo. </w:t>
      </w:r>
      <w:r w:rsidRPr="00C413DA">
        <w:rPr>
          <w:rFonts w:ascii="Palatino Linotype" w:eastAsia="Palatino Linotype" w:hAnsi="Palatino Linotype" w:cs="Palatino Linotype"/>
        </w:rPr>
        <w:t>Se</w:t>
      </w:r>
      <w:r w:rsidRPr="00C413DA">
        <w:rPr>
          <w:rFonts w:ascii="Palatino Linotype" w:eastAsia="Palatino Linotype" w:hAnsi="Palatino Linotype" w:cs="Palatino Linotype"/>
          <w:b/>
        </w:rPr>
        <w:t xml:space="preserve"> ORDENA </w:t>
      </w:r>
      <w:r w:rsidRPr="00C413DA">
        <w:rPr>
          <w:rFonts w:ascii="Palatino Linotype" w:eastAsia="Palatino Linotype" w:hAnsi="Palatino Linotype" w:cs="Palatino Linotype"/>
        </w:rPr>
        <w:t xml:space="preserve">al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a que,</w:t>
      </w:r>
      <w:r w:rsidRPr="00C413DA">
        <w:rPr>
          <w:rFonts w:ascii="Palatino Linotype" w:eastAsia="Palatino Linotype" w:hAnsi="Palatino Linotype" w:cs="Palatino Linotype"/>
          <w:b/>
        </w:rPr>
        <w:t xml:space="preserve"> </w:t>
      </w:r>
      <w:r w:rsidRPr="00C413DA">
        <w:rPr>
          <w:rFonts w:ascii="Palatino Linotype" w:eastAsia="Palatino Linotype" w:hAnsi="Palatino Linotype" w:cs="Palatino Linotype"/>
        </w:rPr>
        <w:t xml:space="preserve">en términos de los Considerandos Cuarto y Quinto, </w:t>
      </w:r>
      <w:r w:rsidR="00EE1511" w:rsidRPr="00C413DA">
        <w:rPr>
          <w:rFonts w:ascii="Palatino Linotype" w:eastAsia="Palatino Linotype" w:hAnsi="Palatino Linotype" w:cs="Palatino Linotype"/>
        </w:rPr>
        <w:t xml:space="preserve">previa búsqueda exhaustiva y razonable, </w:t>
      </w:r>
      <w:r w:rsidRPr="00C413DA">
        <w:rPr>
          <w:rFonts w:ascii="Palatino Linotype" w:eastAsia="Palatino Linotype" w:hAnsi="Palatino Linotype" w:cs="Palatino Linotype"/>
        </w:rPr>
        <w:t xml:space="preserve">haga entrega vía SAIMEX, </w:t>
      </w:r>
      <w:r w:rsidR="00EE1511" w:rsidRPr="00C413DA">
        <w:rPr>
          <w:rFonts w:ascii="Palatino Linotype" w:eastAsia="Palatino Linotype" w:hAnsi="Palatino Linotype" w:cs="Palatino Linotype"/>
        </w:rPr>
        <w:t xml:space="preserve">de ser el caso </w:t>
      </w:r>
      <w:r w:rsidRPr="00C413DA">
        <w:rPr>
          <w:rFonts w:ascii="Palatino Linotype" w:eastAsia="Palatino Linotype" w:hAnsi="Palatino Linotype" w:cs="Palatino Linotype"/>
        </w:rPr>
        <w:t xml:space="preserve">en versión pública, </w:t>
      </w:r>
      <w:r w:rsidR="00EE1511" w:rsidRPr="00C413DA">
        <w:rPr>
          <w:rFonts w:ascii="Palatino Linotype" w:eastAsia="Palatino Linotype" w:hAnsi="Palatino Linotype" w:cs="Palatino Linotype"/>
        </w:rPr>
        <w:t xml:space="preserve">de los servidores públicos </w:t>
      </w:r>
      <w:r w:rsidR="00EE1511" w:rsidRPr="00C413DA">
        <w:rPr>
          <w:rFonts w:ascii="Palatino Linotype" w:eastAsia="Palatino Linotype" w:hAnsi="Palatino Linotype" w:cs="Palatino Linotype"/>
          <w:b/>
          <w:u w:val="single"/>
        </w:rPr>
        <w:t>dados de baja en el Secretaría de Movilidad referidos en el listado remitido en respuesta</w:t>
      </w:r>
      <w:r w:rsidR="00EE1511" w:rsidRPr="00C413DA">
        <w:rPr>
          <w:rFonts w:ascii="Palatino Linotype" w:eastAsia="Palatino Linotype" w:hAnsi="Palatino Linotype" w:cs="Palatino Linotype"/>
        </w:rPr>
        <w:t>,</w:t>
      </w:r>
      <w:r w:rsidRPr="00C413DA">
        <w:rPr>
          <w:rFonts w:ascii="Palatino Linotype" w:eastAsia="Palatino Linotype" w:hAnsi="Palatino Linotype" w:cs="Palatino Linotype"/>
        </w:rPr>
        <w:t xml:space="preserve"> los documentos en donde conste lo siguiente:</w:t>
      </w:r>
    </w:p>
    <w:p w14:paraId="50334795" w14:textId="398903F9" w:rsidR="00EE1511" w:rsidRPr="00C413DA" w:rsidRDefault="007621C8" w:rsidP="00EE1511">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u w:val="single"/>
        </w:rPr>
      </w:pPr>
      <w:r w:rsidRPr="00C413DA">
        <w:rPr>
          <w:rFonts w:ascii="Palatino Linotype" w:eastAsia="Palatino Linotype" w:hAnsi="Palatino Linotype" w:cs="Palatino Linotype"/>
        </w:rPr>
        <w:t>Las caus</w:t>
      </w:r>
      <w:r w:rsidR="00EE1511" w:rsidRPr="00C413DA">
        <w:rPr>
          <w:rFonts w:ascii="Palatino Linotype" w:eastAsia="Palatino Linotype" w:hAnsi="Palatino Linotype" w:cs="Palatino Linotype"/>
        </w:rPr>
        <w:t xml:space="preserve">a o motivo </w:t>
      </w:r>
      <w:r w:rsidRPr="00C413DA">
        <w:rPr>
          <w:rFonts w:ascii="Palatino Linotype" w:eastAsia="Palatino Linotype" w:hAnsi="Palatino Linotype" w:cs="Palatino Linotype"/>
        </w:rPr>
        <w:t>de la</w:t>
      </w:r>
      <w:r w:rsidR="00EE1511" w:rsidRPr="00C413DA">
        <w:rPr>
          <w:rFonts w:ascii="Palatino Linotype" w:eastAsia="Palatino Linotype" w:hAnsi="Palatino Linotype" w:cs="Palatino Linotype"/>
        </w:rPr>
        <w:t xml:space="preserve"> </w:t>
      </w:r>
      <w:r w:rsidRPr="00C413DA">
        <w:rPr>
          <w:rFonts w:ascii="Palatino Linotype" w:eastAsia="Palatino Linotype" w:hAnsi="Palatino Linotype" w:cs="Palatino Linotype"/>
        </w:rPr>
        <w:t xml:space="preserve">baja </w:t>
      </w:r>
      <w:r w:rsidR="00EE1511" w:rsidRPr="00C413DA">
        <w:rPr>
          <w:rFonts w:ascii="Palatino Linotype" w:eastAsia="Palatino Linotype" w:hAnsi="Palatino Linotype" w:cs="Palatino Linotype"/>
          <w:b/>
          <w:u w:val="single"/>
        </w:rPr>
        <w:t>y en caso de que esta haya sido renuncia acompañarla del soporte documental correspondiente.</w:t>
      </w:r>
    </w:p>
    <w:p w14:paraId="6DACB0A9" w14:textId="77777777" w:rsidR="005F4EE2" w:rsidRPr="00C413DA" w:rsidRDefault="005F4EE2" w:rsidP="005F4EE2">
      <w:pPr>
        <w:pBdr>
          <w:top w:val="nil"/>
          <w:left w:val="nil"/>
          <w:bottom w:val="nil"/>
          <w:right w:val="nil"/>
          <w:between w:val="nil"/>
        </w:pBdr>
        <w:spacing w:line="360" w:lineRule="auto"/>
        <w:ind w:left="720" w:right="49"/>
        <w:jc w:val="both"/>
        <w:rPr>
          <w:rFonts w:ascii="Palatino Linotype" w:eastAsia="Palatino Linotype" w:hAnsi="Palatino Linotype" w:cs="Palatino Linotype"/>
          <w:b/>
          <w:u w:val="single"/>
        </w:rPr>
      </w:pPr>
    </w:p>
    <w:p w14:paraId="2B555B20" w14:textId="77777777" w:rsidR="00045A20" w:rsidRPr="00C413DA" w:rsidRDefault="007621C8">
      <w:pPr>
        <w:pBdr>
          <w:top w:val="nil"/>
          <w:left w:val="nil"/>
          <w:bottom w:val="nil"/>
          <w:right w:val="nil"/>
          <w:between w:val="nil"/>
        </w:pBdr>
        <w:ind w:left="360" w:right="51"/>
        <w:jc w:val="both"/>
        <w:rPr>
          <w:rFonts w:ascii="Palatino Linotype" w:eastAsia="Palatino Linotype" w:hAnsi="Palatino Linotype" w:cs="Palatino Linotype"/>
          <w:i/>
          <w:sz w:val="22"/>
          <w:szCs w:val="22"/>
        </w:rPr>
      </w:pPr>
      <w:r w:rsidRPr="00C413DA">
        <w:rPr>
          <w:rFonts w:ascii="Palatino Linotype" w:eastAsia="Palatino Linotype" w:hAnsi="Palatino Linotype" w:cs="Palatino Linotype"/>
          <w:i/>
          <w:sz w:val="22"/>
          <w:szCs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C413DA">
        <w:rPr>
          <w:rFonts w:ascii="Palatino Linotype" w:eastAsia="Palatino Linotype" w:hAnsi="Palatino Linotype" w:cs="Palatino Linotype"/>
          <w:b/>
          <w:i/>
          <w:sz w:val="22"/>
          <w:szCs w:val="22"/>
        </w:rPr>
        <w:t>RECURRENTE</w:t>
      </w:r>
      <w:r w:rsidRPr="00C413DA">
        <w:rPr>
          <w:rFonts w:ascii="Palatino Linotype" w:eastAsia="Palatino Linotype" w:hAnsi="Palatino Linotype" w:cs="Palatino Linotype"/>
          <w:i/>
          <w:sz w:val="22"/>
          <w:szCs w:val="22"/>
        </w:rPr>
        <w:t>, mismo que igualmente hará de su conocimiento.</w:t>
      </w:r>
    </w:p>
    <w:p w14:paraId="0495A987" w14:textId="77777777" w:rsidR="00045A20" w:rsidRPr="00C413DA" w:rsidRDefault="00045A20">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7C955DC8" w14:textId="77777777" w:rsidR="00045A20" w:rsidRPr="00C413DA" w:rsidRDefault="00045A20">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093BB546" w14:textId="77777777" w:rsidR="00045A20" w:rsidRPr="00C413DA" w:rsidRDefault="007621C8">
      <w:pPr>
        <w:spacing w:line="360" w:lineRule="auto"/>
        <w:ind w:right="49"/>
        <w:jc w:val="both"/>
        <w:rPr>
          <w:rFonts w:ascii="Palatino Linotype" w:eastAsia="Palatino Linotype" w:hAnsi="Palatino Linotype" w:cs="Palatino Linotype"/>
        </w:rPr>
      </w:pPr>
      <w:r w:rsidRPr="00C413DA">
        <w:rPr>
          <w:rFonts w:ascii="Palatino Linotype" w:eastAsia="Palatino Linotype" w:hAnsi="Palatino Linotype" w:cs="Palatino Linotype"/>
          <w:b/>
        </w:rPr>
        <w:lastRenderedPageBreak/>
        <w:t xml:space="preserve">Tercero. Notifíquese, </w:t>
      </w:r>
      <w:r w:rsidRPr="00C413DA">
        <w:rPr>
          <w:rFonts w:ascii="Palatino Linotype" w:eastAsia="Palatino Linotype" w:hAnsi="Palatino Linotype" w:cs="Palatino Linotype"/>
        </w:rPr>
        <w:t xml:space="preserve">vía </w:t>
      </w:r>
      <w:r w:rsidRPr="00C413DA">
        <w:rPr>
          <w:rFonts w:ascii="Palatino Linotype" w:eastAsia="Palatino Linotype" w:hAnsi="Palatino Linotype" w:cs="Palatino Linotype"/>
          <w:b/>
        </w:rPr>
        <w:t>SAIMEX</w:t>
      </w:r>
      <w:r w:rsidRPr="00C413DA">
        <w:rPr>
          <w:rFonts w:ascii="Palatino Linotype" w:eastAsia="Palatino Linotype" w:hAnsi="Palatino Linotype" w:cs="Palatino Linotype"/>
        </w:rPr>
        <w:t xml:space="preserve">, al Titular de la Unidad de Transparencia del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A5FC65" w14:textId="77777777" w:rsidR="00045A20" w:rsidRPr="00C413DA" w:rsidRDefault="00045A20">
      <w:pPr>
        <w:spacing w:line="360" w:lineRule="auto"/>
        <w:ind w:right="49"/>
        <w:jc w:val="both"/>
        <w:rPr>
          <w:rFonts w:ascii="Palatino Linotype" w:eastAsia="Palatino Linotype" w:hAnsi="Palatino Linotype" w:cs="Palatino Linotype"/>
        </w:rPr>
      </w:pPr>
    </w:p>
    <w:p w14:paraId="44D090D9" w14:textId="2CB1C4B5" w:rsidR="00045A20" w:rsidRDefault="007621C8">
      <w:pPr>
        <w:spacing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 xml:space="preserve">Cuarto. </w:t>
      </w:r>
      <w:r w:rsidRPr="00C413DA">
        <w:rPr>
          <w:rFonts w:ascii="Palatino Linotype" w:eastAsia="Palatino Linotype" w:hAnsi="Palatino Linotype" w:cs="Palatino Linotype"/>
        </w:rPr>
        <w:t xml:space="preserve">Notifíquese, vía </w:t>
      </w:r>
      <w:r w:rsidRPr="00C413DA">
        <w:rPr>
          <w:rFonts w:ascii="Palatino Linotype" w:eastAsia="Palatino Linotype" w:hAnsi="Palatino Linotype" w:cs="Palatino Linotype"/>
          <w:b/>
        </w:rPr>
        <w:t>SAIMEX</w:t>
      </w:r>
      <w:r w:rsidRPr="00C413DA">
        <w:rPr>
          <w:rFonts w:ascii="Palatino Linotype" w:eastAsia="Palatino Linotype" w:hAnsi="Palatino Linotype" w:cs="Palatino Linotype"/>
        </w:rPr>
        <w:t xml:space="preserve">, a la parte </w:t>
      </w:r>
      <w:r w:rsidRPr="00C413DA">
        <w:rPr>
          <w:rFonts w:ascii="Palatino Linotype" w:eastAsia="Palatino Linotype" w:hAnsi="Palatino Linotype" w:cs="Palatino Linotype"/>
          <w:b/>
        </w:rPr>
        <w:t>RECURRENTE</w:t>
      </w:r>
      <w:r w:rsidRPr="00C413D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051ACBA" w14:textId="406B364F"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b/>
        </w:rPr>
        <w:t>Quinto.</w:t>
      </w:r>
      <w:r w:rsidRPr="00C413D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C413DA">
        <w:rPr>
          <w:rFonts w:ascii="Palatino Linotype" w:eastAsia="Palatino Linotype" w:hAnsi="Palatino Linotype" w:cs="Palatino Linotype"/>
          <w:b/>
        </w:rPr>
        <w:t>SUJETO OBLIGADO</w:t>
      </w:r>
      <w:r w:rsidRPr="00C413DA">
        <w:rPr>
          <w:rFonts w:ascii="Palatino Linotype" w:eastAsia="Palatino Linotype" w:hAnsi="Palatino Linotype" w:cs="Palatino Linotype"/>
        </w:rPr>
        <w:t xml:space="preserve"> de manera fundada y motivada, podrá solicitar una ampliación de plazo para el cumplimiento de la presente resolución.</w:t>
      </w:r>
    </w:p>
    <w:p w14:paraId="6C0F40FA" w14:textId="203CA438" w:rsidR="00C413DA" w:rsidRPr="00C413DA" w:rsidRDefault="00C413DA">
      <w:pPr>
        <w:spacing w:before="240" w:after="240" w:line="360" w:lineRule="auto"/>
        <w:jc w:val="both"/>
        <w:rPr>
          <w:rFonts w:ascii="Palatino Linotype" w:eastAsia="Palatino Linotype" w:hAnsi="Palatino Linotype" w:cs="Palatino Linotype"/>
        </w:rPr>
      </w:pPr>
    </w:p>
    <w:p w14:paraId="5174B350" w14:textId="77777777" w:rsidR="00C413DA" w:rsidRPr="00C413DA" w:rsidRDefault="00C413DA">
      <w:pPr>
        <w:spacing w:before="240" w:after="240" w:line="360" w:lineRule="auto"/>
        <w:jc w:val="both"/>
        <w:rPr>
          <w:rFonts w:ascii="Palatino Linotype" w:eastAsia="Palatino Linotype" w:hAnsi="Palatino Linotype" w:cs="Palatino Linotype"/>
        </w:rPr>
      </w:pPr>
    </w:p>
    <w:p w14:paraId="285C1185" w14:textId="333C42A8" w:rsidR="00045A20" w:rsidRPr="00C413DA" w:rsidRDefault="007621C8">
      <w:pPr>
        <w:spacing w:before="240" w:after="240" w:line="360" w:lineRule="auto"/>
        <w:jc w:val="both"/>
        <w:rPr>
          <w:rFonts w:ascii="Palatino Linotype" w:eastAsia="Palatino Linotype" w:hAnsi="Palatino Linotype" w:cs="Palatino Linotype"/>
        </w:rPr>
      </w:pPr>
      <w:r w:rsidRPr="00C413DA">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5870D9" w:rsidRPr="00C413DA">
        <w:rPr>
          <w:rFonts w:ascii="Palatino Linotype" w:eastAsia="Palatino Linotype" w:hAnsi="Palatino Linotype" w:cs="Palatino Linotype"/>
        </w:rPr>
        <w:t xml:space="preserve">PRIMERA </w:t>
      </w:r>
      <w:r w:rsidRPr="00C413DA">
        <w:rPr>
          <w:rFonts w:ascii="Palatino Linotype" w:eastAsia="Palatino Linotype" w:hAnsi="Palatino Linotype" w:cs="Palatino Linotype"/>
        </w:rPr>
        <w:t xml:space="preserve">SESIÓN </w:t>
      </w:r>
      <w:r w:rsidR="005870D9" w:rsidRPr="00C413DA">
        <w:rPr>
          <w:rFonts w:ascii="Palatino Linotype" w:eastAsia="Palatino Linotype" w:hAnsi="Palatino Linotype" w:cs="Palatino Linotype"/>
        </w:rPr>
        <w:t>ORDINARIA CELEBRADA EL TRES DE ABRIL</w:t>
      </w:r>
      <w:r w:rsidRPr="00C413DA">
        <w:rPr>
          <w:rFonts w:ascii="Palatino Linotype" w:eastAsia="Palatino Linotype" w:hAnsi="Palatino Linotype" w:cs="Palatino Linotype"/>
        </w:rPr>
        <w:t xml:space="preserve"> DE DOS MIL VEINTICUATRO, ANTE EL SECRETARIO TÉCNICO DEL PLENO ALEXIS TAPIA RAMÍREZ.</w:t>
      </w:r>
    </w:p>
    <w:p w14:paraId="6F18ECC3" w14:textId="05574B84" w:rsidR="00045A20" w:rsidRPr="00C413DA" w:rsidRDefault="00045A20">
      <w:pPr>
        <w:spacing w:before="240" w:after="240" w:line="360" w:lineRule="auto"/>
        <w:jc w:val="both"/>
        <w:rPr>
          <w:rFonts w:ascii="Palatino Linotype" w:eastAsia="Palatino Linotype" w:hAnsi="Palatino Linotype" w:cs="Palatino Linotype"/>
        </w:rPr>
      </w:pPr>
    </w:p>
    <w:p w14:paraId="00F8C705" w14:textId="62F7C9E7" w:rsidR="00C413DA" w:rsidRPr="00C413DA" w:rsidRDefault="00C413DA">
      <w:pPr>
        <w:spacing w:before="240" w:after="240" w:line="360" w:lineRule="auto"/>
        <w:jc w:val="both"/>
        <w:rPr>
          <w:rFonts w:ascii="Palatino Linotype" w:eastAsia="Palatino Linotype" w:hAnsi="Palatino Linotype" w:cs="Palatino Linotype"/>
        </w:rPr>
      </w:pPr>
    </w:p>
    <w:p w14:paraId="5709A0DF" w14:textId="276D7D47" w:rsidR="00C413DA" w:rsidRPr="00C413DA" w:rsidRDefault="00C413DA">
      <w:pPr>
        <w:spacing w:before="240" w:after="240" w:line="360" w:lineRule="auto"/>
        <w:jc w:val="both"/>
        <w:rPr>
          <w:rFonts w:ascii="Palatino Linotype" w:eastAsia="Palatino Linotype" w:hAnsi="Palatino Linotype" w:cs="Palatino Linotype"/>
        </w:rPr>
      </w:pPr>
    </w:p>
    <w:p w14:paraId="2E6BE6B5" w14:textId="7C7E8664" w:rsidR="00C413DA" w:rsidRPr="00C413DA" w:rsidRDefault="00C413DA">
      <w:pPr>
        <w:spacing w:before="240" w:after="240" w:line="360" w:lineRule="auto"/>
        <w:jc w:val="both"/>
        <w:rPr>
          <w:rFonts w:ascii="Palatino Linotype" w:eastAsia="Palatino Linotype" w:hAnsi="Palatino Linotype" w:cs="Palatino Linotype"/>
        </w:rPr>
      </w:pPr>
    </w:p>
    <w:p w14:paraId="1CF6A5F6" w14:textId="3D499D1E" w:rsidR="00C413DA" w:rsidRPr="00C413DA" w:rsidRDefault="00C413DA">
      <w:pPr>
        <w:spacing w:before="240" w:after="240" w:line="360" w:lineRule="auto"/>
        <w:jc w:val="both"/>
        <w:rPr>
          <w:rFonts w:ascii="Palatino Linotype" w:eastAsia="Palatino Linotype" w:hAnsi="Palatino Linotype" w:cs="Palatino Linotype"/>
        </w:rPr>
      </w:pPr>
    </w:p>
    <w:p w14:paraId="4C1D5E11" w14:textId="1DAE87AC" w:rsidR="00C413DA" w:rsidRPr="00C413DA" w:rsidRDefault="00C413DA">
      <w:pPr>
        <w:spacing w:before="240" w:after="240" w:line="360" w:lineRule="auto"/>
        <w:jc w:val="both"/>
        <w:rPr>
          <w:rFonts w:ascii="Palatino Linotype" w:eastAsia="Palatino Linotype" w:hAnsi="Palatino Linotype" w:cs="Palatino Linotype"/>
        </w:rPr>
      </w:pPr>
    </w:p>
    <w:p w14:paraId="4B978EA0" w14:textId="1047725C" w:rsidR="00C413DA" w:rsidRPr="00C413DA" w:rsidRDefault="00C413DA">
      <w:pPr>
        <w:spacing w:before="240" w:after="240" w:line="360" w:lineRule="auto"/>
        <w:jc w:val="both"/>
        <w:rPr>
          <w:rFonts w:ascii="Palatino Linotype" w:eastAsia="Palatino Linotype" w:hAnsi="Palatino Linotype" w:cs="Palatino Linotype"/>
        </w:rPr>
      </w:pPr>
    </w:p>
    <w:p w14:paraId="1FFAEBEC" w14:textId="78396E8F" w:rsidR="00C413DA" w:rsidRPr="00C413DA" w:rsidRDefault="00C413DA">
      <w:pPr>
        <w:spacing w:before="240" w:after="240" w:line="360" w:lineRule="auto"/>
        <w:jc w:val="both"/>
        <w:rPr>
          <w:rFonts w:ascii="Palatino Linotype" w:eastAsia="Palatino Linotype" w:hAnsi="Palatino Linotype" w:cs="Palatino Linotype"/>
        </w:rPr>
      </w:pPr>
    </w:p>
    <w:p w14:paraId="4E535C22" w14:textId="6F026BAD" w:rsidR="00C413DA" w:rsidRPr="00C413DA" w:rsidRDefault="00C413DA">
      <w:pPr>
        <w:spacing w:before="240" w:after="240" w:line="360" w:lineRule="auto"/>
        <w:jc w:val="both"/>
        <w:rPr>
          <w:rFonts w:ascii="Palatino Linotype" w:eastAsia="Palatino Linotype" w:hAnsi="Palatino Linotype" w:cs="Palatino Linotype"/>
        </w:rPr>
      </w:pPr>
    </w:p>
    <w:p w14:paraId="4AE9B832" w14:textId="034C22D2" w:rsidR="00C413DA" w:rsidRPr="00C413DA" w:rsidRDefault="00C413DA">
      <w:pPr>
        <w:spacing w:before="240" w:after="240" w:line="360" w:lineRule="auto"/>
        <w:jc w:val="both"/>
        <w:rPr>
          <w:rFonts w:ascii="Palatino Linotype" w:eastAsia="Palatino Linotype" w:hAnsi="Palatino Linotype" w:cs="Palatino Linotype"/>
        </w:rPr>
      </w:pPr>
    </w:p>
    <w:p w14:paraId="1AE07ECD" w14:textId="316D2DE8" w:rsidR="00C413DA" w:rsidRPr="00C413DA" w:rsidRDefault="00C413DA">
      <w:pPr>
        <w:spacing w:before="240" w:after="240" w:line="360" w:lineRule="auto"/>
        <w:jc w:val="both"/>
        <w:rPr>
          <w:rFonts w:ascii="Palatino Linotype" w:eastAsia="Palatino Linotype" w:hAnsi="Palatino Linotype" w:cs="Palatino Linotype"/>
        </w:rPr>
      </w:pPr>
    </w:p>
    <w:p w14:paraId="4486E6F0" w14:textId="06564DDF" w:rsidR="00C413DA" w:rsidRPr="00C413DA" w:rsidRDefault="00C413DA">
      <w:pPr>
        <w:spacing w:before="240" w:after="240" w:line="360" w:lineRule="auto"/>
        <w:jc w:val="both"/>
        <w:rPr>
          <w:rFonts w:ascii="Palatino Linotype" w:eastAsia="Palatino Linotype" w:hAnsi="Palatino Linotype" w:cs="Palatino Linotype"/>
        </w:rPr>
      </w:pPr>
    </w:p>
    <w:p w14:paraId="37F61ED5" w14:textId="78099B68" w:rsidR="00C413DA" w:rsidRPr="00C413DA" w:rsidRDefault="00C413DA">
      <w:pPr>
        <w:spacing w:before="240" w:after="240" w:line="360" w:lineRule="auto"/>
        <w:jc w:val="both"/>
        <w:rPr>
          <w:rFonts w:ascii="Palatino Linotype" w:eastAsia="Palatino Linotype" w:hAnsi="Palatino Linotype" w:cs="Palatino Linotype"/>
        </w:rPr>
      </w:pPr>
    </w:p>
    <w:p w14:paraId="239BD04E" w14:textId="2B930CFD" w:rsidR="00C413DA" w:rsidRPr="00C413DA" w:rsidRDefault="00C413DA">
      <w:pPr>
        <w:spacing w:before="240" w:after="240" w:line="360" w:lineRule="auto"/>
        <w:jc w:val="both"/>
        <w:rPr>
          <w:rFonts w:ascii="Palatino Linotype" w:eastAsia="Palatino Linotype" w:hAnsi="Palatino Linotype" w:cs="Palatino Linotype"/>
        </w:rPr>
      </w:pPr>
    </w:p>
    <w:p w14:paraId="436618C8" w14:textId="3ED18673" w:rsidR="00C413DA" w:rsidRPr="00C413DA" w:rsidRDefault="00C413DA">
      <w:pPr>
        <w:spacing w:before="240" w:after="240" w:line="360" w:lineRule="auto"/>
        <w:jc w:val="both"/>
        <w:rPr>
          <w:rFonts w:ascii="Palatino Linotype" w:eastAsia="Palatino Linotype" w:hAnsi="Palatino Linotype" w:cs="Palatino Linotype"/>
        </w:rPr>
      </w:pPr>
    </w:p>
    <w:p w14:paraId="071FC2CC" w14:textId="6880B77E" w:rsidR="00C413DA" w:rsidRPr="00C413DA" w:rsidRDefault="00C413DA">
      <w:pPr>
        <w:spacing w:before="240" w:after="240" w:line="360" w:lineRule="auto"/>
        <w:jc w:val="both"/>
        <w:rPr>
          <w:rFonts w:ascii="Palatino Linotype" w:eastAsia="Palatino Linotype" w:hAnsi="Palatino Linotype" w:cs="Palatino Linotype"/>
        </w:rPr>
      </w:pPr>
    </w:p>
    <w:p w14:paraId="2D0C3D22" w14:textId="49920B75" w:rsidR="00C413DA" w:rsidRPr="00C413DA" w:rsidRDefault="00C413DA">
      <w:pPr>
        <w:spacing w:before="240" w:after="240" w:line="360" w:lineRule="auto"/>
        <w:jc w:val="both"/>
        <w:rPr>
          <w:rFonts w:ascii="Palatino Linotype" w:eastAsia="Palatino Linotype" w:hAnsi="Palatino Linotype" w:cs="Palatino Linotype"/>
        </w:rPr>
      </w:pPr>
    </w:p>
    <w:p w14:paraId="02CE53A3" w14:textId="77777777" w:rsidR="00C413DA" w:rsidRPr="00C413DA" w:rsidRDefault="00C413DA">
      <w:pPr>
        <w:spacing w:before="240" w:after="240" w:line="360" w:lineRule="auto"/>
        <w:jc w:val="both"/>
        <w:rPr>
          <w:rFonts w:ascii="Palatino Linotype" w:eastAsia="Palatino Linotype" w:hAnsi="Palatino Linotype" w:cs="Palatino Linotype"/>
        </w:rPr>
      </w:pPr>
    </w:p>
    <w:sectPr w:rsidR="00C413DA" w:rsidRPr="00C413DA">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613C" w14:textId="77777777" w:rsidR="00A51458" w:rsidRDefault="00A51458">
      <w:r>
        <w:separator/>
      </w:r>
    </w:p>
  </w:endnote>
  <w:endnote w:type="continuationSeparator" w:id="0">
    <w:p w14:paraId="09C3DD21" w14:textId="77777777" w:rsidR="00A51458" w:rsidRDefault="00A5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2DB" w14:textId="77777777" w:rsidR="00C21AA5" w:rsidRDefault="00C21AA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2262">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226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A6219A1" w14:textId="77777777" w:rsidR="00C21AA5" w:rsidRDefault="00C21AA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9B1F" w14:textId="77777777" w:rsidR="00C21AA5" w:rsidRDefault="00C21AA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226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226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4DBB78B" w14:textId="77777777" w:rsidR="00C21AA5" w:rsidRDefault="00C21AA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FF2E" w14:textId="77777777" w:rsidR="00A51458" w:rsidRDefault="00A51458">
      <w:r>
        <w:separator/>
      </w:r>
    </w:p>
  </w:footnote>
  <w:footnote w:type="continuationSeparator" w:id="0">
    <w:p w14:paraId="02CA8C26" w14:textId="77777777" w:rsidR="00A51458" w:rsidRDefault="00A51458">
      <w:r>
        <w:continuationSeparator/>
      </w:r>
    </w:p>
  </w:footnote>
  <w:footnote w:id="1">
    <w:p w14:paraId="028A0C98" w14:textId="77777777" w:rsidR="00C21AA5" w:rsidRDefault="00C21AA5">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b/>
          <w:sz w:val="16"/>
          <w:szCs w:val="16"/>
        </w:rPr>
        <w:t xml:space="preserve">ARTÍCULO 94. </w:t>
      </w:r>
      <w:r>
        <w:rPr>
          <w:rFonts w:ascii="Palatino Linotype" w:eastAsia="Palatino Linotype" w:hAnsi="Palatino Linotype" w:cs="Palatino Linotype"/>
          <w:sz w:val="16"/>
          <w:szCs w:val="16"/>
        </w:rPr>
        <w:t>La institución pública deberá dar aviso por escrito al servidor público de manera personal, de la fecha y causa o causas de la rescisión de la relación laboral.</w:t>
      </w:r>
    </w:p>
    <w:p w14:paraId="0511E1CA" w14:textId="77777777" w:rsidR="00C21AA5" w:rsidRDefault="00C21AA5">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w:t>
      </w:r>
    </w:p>
    <w:p w14:paraId="1A0FA933" w14:textId="77777777" w:rsidR="00C21AA5" w:rsidRDefault="00C21AA5">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sea notificado el servidor público.</w:t>
      </w:r>
    </w:p>
    <w:p w14:paraId="65DAD771" w14:textId="77777777" w:rsidR="00C21AA5" w:rsidRDefault="00C21AA5">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La falta de aviso al servidor público, al Tribunal o a la Sala por sí sola bastará para considerar que el despido fue injustificado.</w:t>
      </w:r>
    </w:p>
  </w:footnote>
  <w:footnote w:id="2">
    <w:p w14:paraId="1787F769" w14:textId="77777777" w:rsidR="00C21AA5" w:rsidRDefault="00C21AA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Cfr. Artículo 96 Ley del Trabajo de los Servidores Públicos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527E" w14:textId="77777777" w:rsidR="00C21AA5" w:rsidRDefault="00C21AA5">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E3324F3" wp14:editId="5B1D37BF">
          <wp:simplePos x="0" y="0"/>
          <wp:positionH relativeFrom="column">
            <wp:posOffset>-1080131</wp:posOffset>
          </wp:positionH>
          <wp:positionV relativeFrom="paragraph">
            <wp:posOffset>-488311</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C21AA5" w14:paraId="1A0D62C6" w14:textId="77777777">
      <w:tc>
        <w:tcPr>
          <w:tcW w:w="2489" w:type="dxa"/>
          <w:shd w:val="clear" w:color="auto" w:fill="auto"/>
        </w:tcPr>
        <w:p w14:paraId="6A858D67"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08E9C42" w14:textId="77777777" w:rsidR="00C21AA5" w:rsidRDefault="00C21A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08344/INFOEM/IP/RR/2023</w:t>
          </w:r>
        </w:p>
      </w:tc>
    </w:tr>
    <w:tr w:rsidR="00C21AA5" w14:paraId="205921A0" w14:textId="77777777">
      <w:trPr>
        <w:trHeight w:val="228"/>
      </w:trPr>
      <w:tc>
        <w:tcPr>
          <w:tcW w:w="2489" w:type="dxa"/>
          <w:shd w:val="clear" w:color="auto" w:fill="auto"/>
          <w:vAlign w:val="center"/>
        </w:tcPr>
        <w:p w14:paraId="0E9314C2"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B900D40" w14:textId="77777777" w:rsidR="00C21AA5" w:rsidRDefault="00C21AA5">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de Movilidad</w:t>
          </w:r>
        </w:p>
      </w:tc>
    </w:tr>
    <w:tr w:rsidR="00C21AA5" w14:paraId="71129F22" w14:textId="77777777">
      <w:tc>
        <w:tcPr>
          <w:tcW w:w="2489" w:type="dxa"/>
          <w:shd w:val="clear" w:color="auto" w:fill="auto"/>
          <w:vAlign w:val="center"/>
        </w:tcPr>
        <w:p w14:paraId="166BB4A5" w14:textId="77777777" w:rsidR="00C21AA5" w:rsidRDefault="00C21AA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CFDD64A" w14:textId="77777777" w:rsidR="00C21AA5" w:rsidRDefault="00C21A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6FDBC7" w14:textId="77777777" w:rsidR="00C21AA5" w:rsidRDefault="00C21AA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4734" w14:textId="77777777" w:rsidR="00C21AA5" w:rsidRDefault="00C21AA5">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0"/>
      <w:tblW w:w="5670" w:type="dxa"/>
      <w:tblInd w:w="3261" w:type="dxa"/>
      <w:tblLayout w:type="fixed"/>
      <w:tblLook w:val="0400" w:firstRow="0" w:lastRow="0" w:firstColumn="0" w:lastColumn="0" w:noHBand="0" w:noVBand="1"/>
    </w:tblPr>
    <w:tblGrid>
      <w:gridCol w:w="2551"/>
      <w:gridCol w:w="3119"/>
    </w:tblGrid>
    <w:tr w:rsidR="00C21AA5" w14:paraId="2B98C467" w14:textId="77777777">
      <w:tc>
        <w:tcPr>
          <w:tcW w:w="2551" w:type="dxa"/>
          <w:shd w:val="clear" w:color="auto" w:fill="auto"/>
          <w:vAlign w:val="center"/>
        </w:tcPr>
        <w:p w14:paraId="7C9756A0"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4E335EE" w14:textId="77777777" w:rsidR="00C21AA5" w:rsidRDefault="00C21AA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08344/INFOEM/IP/RR/2023</w:t>
          </w:r>
        </w:p>
      </w:tc>
    </w:tr>
    <w:tr w:rsidR="00C21AA5" w14:paraId="1D307BAC" w14:textId="77777777">
      <w:trPr>
        <w:trHeight w:val="130"/>
      </w:trPr>
      <w:tc>
        <w:tcPr>
          <w:tcW w:w="2551" w:type="dxa"/>
          <w:shd w:val="clear" w:color="auto" w:fill="auto"/>
          <w:vAlign w:val="center"/>
        </w:tcPr>
        <w:p w14:paraId="1EB36E33"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49758A4" w14:textId="77777777" w:rsidR="00C21AA5" w:rsidRDefault="00C21AA5">
          <w:pPr>
            <w:ind w:left="-45" w:right="-533"/>
            <w:jc w:val="both"/>
            <w:rPr>
              <w:rFonts w:ascii="Palatino Linotype" w:eastAsia="Palatino Linotype" w:hAnsi="Palatino Linotype" w:cs="Palatino Linotype"/>
              <w:b/>
              <w:sz w:val="22"/>
              <w:szCs w:val="22"/>
            </w:rPr>
          </w:pPr>
        </w:p>
      </w:tc>
    </w:tr>
    <w:tr w:rsidR="00C21AA5" w14:paraId="2614DAEA" w14:textId="77777777">
      <w:trPr>
        <w:trHeight w:val="228"/>
      </w:trPr>
      <w:tc>
        <w:tcPr>
          <w:tcW w:w="2551" w:type="dxa"/>
          <w:shd w:val="clear" w:color="auto" w:fill="auto"/>
          <w:vAlign w:val="center"/>
        </w:tcPr>
        <w:p w14:paraId="68054522"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D3A066A" w14:textId="77777777" w:rsidR="00C21AA5" w:rsidRDefault="00C21AA5">
          <w:pPr>
            <w:ind w:left="-45" w:right="27"/>
            <w:jc w:val="both"/>
          </w:pPr>
          <w:r>
            <w:rPr>
              <w:rFonts w:ascii="Palatino Linotype" w:eastAsia="Palatino Linotype" w:hAnsi="Palatino Linotype" w:cs="Palatino Linotype"/>
              <w:b/>
              <w:sz w:val="22"/>
              <w:szCs w:val="22"/>
            </w:rPr>
            <w:t>Secretaría de Movilidad.</w:t>
          </w:r>
        </w:p>
      </w:tc>
    </w:tr>
    <w:tr w:rsidR="00C21AA5" w14:paraId="179DCD92" w14:textId="77777777">
      <w:tc>
        <w:tcPr>
          <w:tcW w:w="2551" w:type="dxa"/>
          <w:shd w:val="clear" w:color="auto" w:fill="auto"/>
          <w:vAlign w:val="center"/>
        </w:tcPr>
        <w:p w14:paraId="091F04A6" w14:textId="77777777" w:rsidR="00C21AA5" w:rsidRDefault="00C21A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6020C48" w14:textId="77777777" w:rsidR="00C21AA5" w:rsidRDefault="00C21AA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E42259" w14:textId="77777777" w:rsidR="00C21AA5" w:rsidRDefault="00C21AA5">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0AF08071" wp14:editId="477C31A9">
          <wp:simplePos x="0" y="0"/>
          <wp:positionH relativeFrom="column">
            <wp:posOffset>-1089656</wp:posOffset>
          </wp:positionH>
          <wp:positionV relativeFrom="paragraph">
            <wp:posOffset>-1169666</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BCA"/>
    <w:multiLevelType w:val="multilevel"/>
    <w:tmpl w:val="77546B5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CFA71F0"/>
    <w:multiLevelType w:val="multilevel"/>
    <w:tmpl w:val="CD943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535CB"/>
    <w:multiLevelType w:val="multilevel"/>
    <w:tmpl w:val="BEF89FA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2A0E8C"/>
    <w:multiLevelType w:val="multilevel"/>
    <w:tmpl w:val="8CB2186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402133"/>
    <w:multiLevelType w:val="hybridMultilevel"/>
    <w:tmpl w:val="604802CA"/>
    <w:lvl w:ilvl="0" w:tplc="995E142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20"/>
    <w:rsid w:val="00045A20"/>
    <w:rsid w:val="000644EE"/>
    <w:rsid w:val="00107172"/>
    <w:rsid w:val="00240601"/>
    <w:rsid w:val="0039717A"/>
    <w:rsid w:val="004E35DA"/>
    <w:rsid w:val="005870D9"/>
    <w:rsid w:val="005D3EF2"/>
    <w:rsid w:val="005E419C"/>
    <w:rsid w:val="005F4EE2"/>
    <w:rsid w:val="007621C8"/>
    <w:rsid w:val="007C0F0F"/>
    <w:rsid w:val="00810A40"/>
    <w:rsid w:val="00A51458"/>
    <w:rsid w:val="00A61393"/>
    <w:rsid w:val="00A95A1C"/>
    <w:rsid w:val="00AF2262"/>
    <w:rsid w:val="00BC40F0"/>
    <w:rsid w:val="00C02E2D"/>
    <w:rsid w:val="00C21AA5"/>
    <w:rsid w:val="00C413DA"/>
    <w:rsid w:val="00CA0183"/>
    <w:rsid w:val="00CF3B4A"/>
    <w:rsid w:val="00D26329"/>
    <w:rsid w:val="00EE1511"/>
    <w:rsid w:val="00F00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36ED"/>
  <w15:docId w15:val="{39358A4A-0A0F-4ACC-B821-1EB136D8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984296.pa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aimex.org.mx/saimex/solicitud/downloadAttach/1984295.page" TargetMode="External"/><Relationship Id="rId4" Type="http://schemas.openxmlformats.org/officeDocument/2006/relationships/styles" Target="styles.xml"/><Relationship Id="rId9" Type="http://schemas.openxmlformats.org/officeDocument/2006/relationships/hyperlink" Target="https://saimex.org.mx/saimex/solicitud/downloadAttach/1969333.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GsXH7KzJRudtew39OGdMfK1tg==">CgMxLjAyCGguZ2pkZ3hzMgloLjMwajB6bGwyCWguMmV0OTJwMDgAciExaFZsZFpndFRrTGhjM3U0R3VoMmowVmM5elh2TFdNTGE=</go:docsCustomData>
</go:gDocsCustomXmlDataStorage>
</file>

<file path=customXml/itemProps1.xml><?xml version="1.0" encoding="utf-8"?>
<ds:datastoreItem xmlns:ds="http://schemas.openxmlformats.org/officeDocument/2006/customXml" ds:itemID="{E2C10CA2-7E66-4BA5-8A33-52D5E9575D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11892</Words>
  <Characters>65407</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2024-04-05T20:43:00Z</cp:lastPrinted>
  <dcterms:created xsi:type="dcterms:W3CDTF">2024-04-29T18:56:00Z</dcterms:created>
  <dcterms:modified xsi:type="dcterms:W3CDTF">2024-04-29T18:56:00Z</dcterms:modified>
</cp:coreProperties>
</file>