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907A52" w:rsidRDefault="00AE3DA7" w:rsidP="00907A52">
          <w:pPr>
            <w:pStyle w:val="TtulodeTDC"/>
            <w:spacing w:before="0" w:line="240" w:lineRule="auto"/>
            <w:rPr>
              <w:rFonts w:ascii="Palatino Linotype" w:hAnsi="Palatino Linotype"/>
              <w:color w:val="auto"/>
              <w:sz w:val="24"/>
              <w:szCs w:val="24"/>
              <w:lang w:val="es-ES"/>
            </w:rPr>
          </w:pPr>
          <w:r w:rsidRPr="00907A52">
            <w:rPr>
              <w:rFonts w:ascii="Palatino Linotype" w:hAnsi="Palatino Linotype"/>
              <w:color w:val="auto"/>
              <w:sz w:val="24"/>
              <w:szCs w:val="24"/>
              <w:lang w:val="es-ES"/>
            </w:rPr>
            <w:t>Contenido</w:t>
          </w:r>
        </w:p>
        <w:p w14:paraId="3EB312A7" w14:textId="77777777" w:rsidR="00AA6EA9" w:rsidRPr="00907A52" w:rsidRDefault="00AA6EA9" w:rsidP="00907A52">
          <w:pPr>
            <w:spacing w:line="240" w:lineRule="auto"/>
            <w:rPr>
              <w:sz w:val="16"/>
              <w:szCs w:val="16"/>
              <w:lang w:val="es-ES" w:eastAsia="es-MX"/>
            </w:rPr>
          </w:pPr>
        </w:p>
        <w:p w14:paraId="630E40A2" w14:textId="77777777" w:rsidR="00907A52" w:rsidRDefault="00AE3DA7">
          <w:pPr>
            <w:pStyle w:val="TDC1"/>
            <w:tabs>
              <w:tab w:val="right" w:leader="dot" w:pos="9034"/>
            </w:tabs>
            <w:rPr>
              <w:rFonts w:asciiTheme="minorHAnsi" w:eastAsiaTheme="minorEastAsia" w:hAnsiTheme="minorHAnsi" w:cstheme="minorBidi"/>
              <w:noProof/>
              <w:szCs w:val="22"/>
              <w:lang w:eastAsia="es-MX"/>
            </w:rPr>
          </w:pPr>
          <w:r w:rsidRPr="00907A52">
            <w:rPr>
              <w:sz w:val="16"/>
              <w:szCs w:val="16"/>
            </w:rPr>
            <w:fldChar w:fldCharType="begin"/>
          </w:r>
          <w:r w:rsidRPr="00907A52">
            <w:rPr>
              <w:sz w:val="16"/>
              <w:szCs w:val="16"/>
            </w:rPr>
            <w:instrText xml:space="preserve"> TOC \o "1-3" \h \z \u </w:instrText>
          </w:r>
          <w:r w:rsidRPr="00907A52">
            <w:rPr>
              <w:sz w:val="16"/>
              <w:szCs w:val="16"/>
            </w:rPr>
            <w:fldChar w:fldCharType="separate"/>
          </w:r>
          <w:hyperlink w:anchor="_Toc175153323" w:history="1">
            <w:r w:rsidR="00907A52" w:rsidRPr="007210AD">
              <w:rPr>
                <w:rStyle w:val="Hipervnculo"/>
                <w:noProof/>
              </w:rPr>
              <w:t>ANTECEDENTES</w:t>
            </w:r>
            <w:r w:rsidR="00907A52">
              <w:rPr>
                <w:noProof/>
                <w:webHidden/>
              </w:rPr>
              <w:tab/>
            </w:r>
            <w:r w:rsidR="00907A52">
              <w:rPr>
                <w:noProof/>
                <w:webHidden/>
              </w:rPr>
              <w:fldChar w:fldCharType="begin"/>
            </w:r>
            <w:r w:rsidR="00907A52">
              <w:rPr>
                <w:noProof/>
                <w:webHidden/>
              </w:rPr>
              <w:instrText xml:space="preserve"> PAGEREF _Toc175153323 \h </w:instrText>
            </w:r>
            <w:r w:rsidR="00907A52">
              <w:rPr>
                <w:noProof/>
                <w:webHidden/>
              </w:rPr>
            </w:r>
            <w:r w:rsidR="00907A52">
              <w:rPr>
                <w:noProof/>
                <w:webHidden/>
              </w:rPr>
              <w:fldChar w:fldCharType="separate"/>
            </w:r>
            <w:r w:rsidR="00390A30">
              <w:rPr>
                <w:noProof/>
                <w:webHidden/>
              </w:rPr>
              <w:t>1</w:t>
            </w:r>
            <w:r w:rsidR="00907A52">
              <w:rPr>
                <w:noProof/>
                <w:webHidden/>
              </w:rPr>
              <w:fldChar w:fldCharType="end"/>
            </w:r>
          </w:hyperlink>
        </w:p>
        <w:p w14:paraId="34D26D81" w14:textId="77777777" w:rsidR="00907A52" w:rsidRDefault="007E528B">
          <w:pPr>
            <w:pStyle w:val="TDC2"/>
            <w:rPr>
              <w:rFonts w:asciiTheme="minorHAnsi" w:eastAsiaTheme="minorEastAsia" w:hAnsiTheme="minorHAnsi" w:cstheme="minorBidi"/>
              <w:noProof/>
              <w:szCs w:val="22"/>
              <w:lang w:eastAsia="es-MX"/>
            </w:rPr>
          </w:pPr>
          <w:hyperlink w:anchor="_Toc175153324" w:history="1">
            <w:r w:rsidR="00907A52" w:rsidRPr="007210AD">
              <w:rPr>
                <w:rStyle w:val="Hipervnculo"/>
                <w:noProof/>
              </w:rPr>
              <w:t>DE LAS SOLICITUDES DE INFORMACIÓN</w:t>
            </w:r>
            <w:r w:rsidR="00907A52">
              <w:rPr>
                <w:noProof/>
                <w:webHidden/>
              </w:rPr>
              <w:tab/>
            </w:r>
            <w:r w:rsidR="00907A52">
              <w:rPr>
                <w:noProof/>
                <w:webHidden/>
              </w:rPr>
              <w:fldChar w:fldCharType="begin"/>
            </w:r>
            <w:r w:rsidR="00907A52">
              <w:rPr>
                <w:noProof/>
                <w:webHidden/>
              </w:rPr>
              <w:instrText xml:space="preserve"> PAGEREF _Toc175153324 \h </w:instrText>
            </w:r>
            <w:r w:rsidR="00907A52">
              <w:rPr>
                <w:noProof/>
                <w:webHidden/>
              </w:rPr>
            </w:r>
            <w:r w:rsidR="00907A52">
              <w:rPr>
                <w:noProof/>
                <w:webHidden/>
              </w:rPr>
              <w:fldChar w:fldCharType="separate"/>
            </w:r>
            <w:r w:rsidR="00390A30">
              <w:rPr>
                <w:noProof/>
                <w:webHidden/>
              </w:rPr>
              <w:t>1</w:t>
            </w:r>
            <w:r w:rsidR="00907A52">
              <w:rPr>
                <w:noProof/>
                <w:webHidden/>
              </w:rPr>
              <w:fldChar w:fldCharType="end"/>
            </w:r>
          </w:hyperlink>
        </w:p>
        <w:p w14:paraId="07BFC1DD" w14:textId="77777777" w:rsidR="00907A52" w:rsidRDefault="007E528B">
          <w:pPr>
            <w:pStyle w:val="TDC3"/>
            <w:rPr>
              <w:rFonts w:asciiTheme="minorHAnsi" w:eastAsiaTheme="minorEastAsia" w:hAnsiTheme="minorHAnsi" w:cstheme="minorBidi"/>
              <w:noProof/>
              <w:szCs w:val="22"/>
              <w:lang w:eastAsia="es-MX"/>
            </w:rPr>
          </w:pPr>
          <w:hyperlink w:anchor="_Toc175153325" w:history="1">
            <w:r w:rsidR="00907A52" w:rsidRPr="007210AD">
              <w:rPr>
                <w:rStyle w:val="Hipervnculo"/>
                <w:noProof/>
              </w:rPr>
              <w:t>a) Solicitudes de información</w:t>
            </w:r>
            <w:r w:rsidR="00907A52">
              <w:rPr>
                <w:noProof/>
                <w:webHidden/>
              </w:rPr>
              <w:tab/>
            </w:r>
            <w:r w:rsidR="00907A52">
              <w:rPr>
                <w:noProof/>
                <w:webHidden/>
              </w:rPr>
              <w:fldChar w:fldCharType="begin"/>
            </w:r>
            <w:r w:rsidR="00907A52">
              <w:rPr>
                <w:noProof/>
                <w:webHidden/>
              </w:rPr>
              <w:instrText xml:space="preserve"> PAGEREF _Toc175153325 \h </w:instrText>
            </w:r>
            <w:r w:rsidR="00907A52">
              <w:rPr>
                <w:noProof/>
                <w:webHidden/>
              </w:rPr>
            </w:r>
            <w:r w:rsidR="00907A52">
              <w:rPr>
                <w:noProof/>
                <w:webHidden/>
              </w:rPr>
              <w:fldChar w:fldCharType="separate"/>
            </w:r>
            <w:r w:rsidR="00390A30">
              <w:rPr>
                <w:noProof/>
                <w:webHidden/>
              </w:rPr>
              <w:t>1</w:t>
            </w:r>
            <w:r w:rsidR="00907A52">
              <w:rPr>
                <w:noProof/>
                <w:webHidden/>
              </w:rPr>
              <w:fldChar w:fldCharType="end"/>
            </w:r>
          </w:hyperlink>
        </w:p>
        <w:p w14:paraId="627CE026" w14:textId="77777777" w:rsidR="00907A52" w:rsidRDefault="007E528B">
          <w:pPr>
            <w:pStyle w:val="TDC3"/>
            <w:rPr>
              <w:rFonts w:asciiTheme="minorHAnsi" w:eastAsiaTheme="minorEastAsia" w:hAnsiTheme="minorHAnsi" w:cstheme="minorBidi"/>
              <w:noProof/>
              <w:szCs w:val="22"/>
              <w:lang w:eastAsia="es-MX"/>
            </w:rPr>
          </w:pPr>
          <w:hyperlink w:anchor="_Toc175153326" w:history="1">
            <w:r w:rsidR="00907A52" w:rsidRPr="007210AD">
              <w:rPr>
                <w:rStyle w:val="Hipervnculo"/>
                <w:noProof/>
              </w:rPr>
              <w:t>b) Turno de la solicitud de información</w:t>
            </w:r>
            <w:r w:rsidR="00907A52">
              <w:rPr>
                <w:noProof/>
                <w:webHidden/>
              </w:rPr>
              <w:tab/>
            </w:r>
            <w:r w:rsidR="00907A52">
              <w:rPr>
                <w:noProof/>
                <w:webHidden/>
              </w:rPr>
              <w:fldChar w:fldCharType="begin"/>
            </w:r>
            <w:r w:rsidR="00907A52">
              <w:rPr>
                <w:noProof/>
                <w:webHidden/>
              </w:rPr>
              <w:instrText xml:space="preserve"> PAGEREF _Toc175153326 \h </w:instrText>
            </w:r>
            <w:r w:rsidR="00907A52">
              <w:rPr>
                <w:noProof/>
                <w:webHidden/>
              </w:rPr>
            </w:r>
            <w:r w:rsidR="00907A52">
              <w:rPr>
                <w:noProof/>
                <w:webHidden/>
              </w:rPr>
              <w:fldChar w:fldCharType="separate"/>
            </w:r>
            <w:r w:rsidR="00390A30">
              <w:rPr>
                <w:noProof/>
                <w:webHidden/>
              </w:rPr>
              <w:t>2</w:t>
            </w:r>
            <w:r w:rsidR="00907A52">
              <w:rPr>
                <w:noProof/>
                <w:webHidden/>
              </w:rPr>
              <w:fldChar w:fldCharType="end"/>
            </w:r>
          </w:hyperlink>
        </w:p>
        <w:p w14:paraId="6BAFF9BA" w14:textId="77777777" w:rsidR="00907A52" w:rsidRDefault="007E528B">
          <w:pPr>
            <w:pStyle w:val="TDC3"/>
            <w:rPr>
              <w:rFonts w:asciiTheme="minorHAnsi" w:eastAsiaTheme="minorEastAsia" w:hAnsiTheme="minorHAnsi" w:cstheme="minorBidi"/>
              <w:noProof/>
              <w:szCs w:val="22"/>
              <w:lang w:eastAsia="es-MX"/>
            </w:rPr>
          </w:pPr>
          <w:hyperlink w:anchor="_Toc175153327" w:history="1">
            <w:r w:rsidR="00907A52" w:rsidRPr="007210AD">
              <w:rPr>
                <w:rStyle w:val="Hipervnculo"/>
                <w:noProof/>
              </w:rPr>
              <w:t xml:space="preserve">c) </w:t>
            </w:r>
            <w:r w:rsidR="00907A52" w:rsidRPr="007210AD">
              <w:rPr>
                <w:rStyle w:val="Hipervnculo"/>
                <w:noProof/>
                <w:lang w:val="es-ES"/>
              </w:rPr>
              <w:t xml:space="preserve">Respuestas </w:t>
            </w:r>
            <w:r w:rsidR="00907A52" w:rsidRPr="007210AD">
              <w:rPr>
                <w:rStyle w:val="Hipervnculo"/>
                <w:rFonts w:eastAsia="Calibri"/>
                <w:noProof/>
                <w:lang w:eastAsia="en-US"/>
              </w:rPr>
              <w:t>del Sujeto Obligado</w:t>
            </w:r>
            <w:r w:rsidR="00907A52">
              <w:rPr>
                <w:noProof/>
                <w:webHidden/>
              </w:rPr>
              <w:tab/>
            </w:r>
            <w:r w:rsidR="00907A52">
              <w:rPr>
                <w:noProof/>
                <w:webHidden/>
              </w:rPr>
              <w:fldChar w:fldCharType="begin"/>
            </w:r>
            <w:r w:rsidR="00907A52">
              <w:rPr>
                <w:noProof/>
                <w:webHidden/>
              </w:rPr>
              <w:instrText xml:space="preserve"> PAGEREF _Toc175153327 \h </w:instrText>
            </w:r>
            <w:r w:rsidR="00907A52">
              <w:rPr>
                <w:noProof/>
                <w:webHidden/>
              </w:rPr>
            </w:r>
            <w:r w:rsidR="00907A52">
              <w:rPr>
                <w:noProof/>
                <w:webHidden/>
              </w:rPr>
              <w:fldChar w:fldCharType="separate"/>
            </w:r>
            <w:r w:rsidR="00390A30">
              <w:rPr>
                <w:noProof/>
                <w:webHidden/>
              </w:rPr>
              <w:t>2</w:t>
            </w:r>
            <w:r w:rsidR="00907A52">
              <w:rPr>
                <w:noProof/>
                <w:webHidden/>
              </w:rPr>
              <w:fldChar w:fldCharType="end"/>
            </w:r>
          </w:hyperlink>
        </w:p>
        <w:p w14:paraId="590C524C" w14:textId="77777777" w:rsidR="00907A52" w:rsidRDefault="007E528B">
          <w:pPr>
            <w:pStyle w:val="TDC2"/>
            <w:rPr>
              <w:rFonts w:asciiTheme="minorHAnsi" w:eastAsiaTheme="minorEastAsia" w:hAnsiTheme="minorHAnsi" w:cstheme="minorBidi"/>
              <w:noProof/>
              <w:szCs w:val="22"/>
              <w:lang w:eastAsia="es-MX"/>
            </w:rPr>
          </w:pPr>
          <w:hyperlink w:anchor="_Toc175153328" w:history="1">
            <w:r w:rsidR="00907A52" w:rsidRPr="007210AD">
              <w:rPr>
                <w:rStyle w:val="Hipervnculo"/>
                <w:noProof/>
              </w:rPr>
              <w:t>DEL RECURSO DE REVISIÓN</w:t>
            </w:r>
            <w:r w:rsidR="00907A52">
              <w:rPr>
                <w:noProof/>
                <w:webHidden/>
              </w:rPr>
              <w:tab/>
            </w:r>
            <w:r w:rsidR="00907A52">
              <w:rPr>
                <w:noProof/>
                <w:webHidden/>
              </w:rPr>
              <w:fldChar w:fldCharType="begin"/>
            </w:r>
            <w:r w:rsidR="00907A52">
              <w:rPr>
                <w:noProof/>
                <w:webHidden/>
              </w:rPr>
              <w:instrText xml:space="preserve"> PAGEREF _Toc175153328 \h </w:instrText>
            </w:r>
            <w:r w:rsidR="00907A52">
              <w:rPr>
                <w:noProof/>
                <w:webHidden/>
              </w:rPr>
            </w:r>
            <w:r w:rsidR="00907A52">
              <w:rPr>
                <w:noProof/>
                <w:webHidden/>
              </w:rPr>
              <w:fldChar w:fldCharType="separate"/>
            </w:r>
            <w:r w:rsidR="00390A30">
              <w:rPr>
                <w:noProof/>
                <w:webHidden/>
              </w:rPr>
              <w:t>3</w:t>
            </w:r>
            <w:r w:rsidR="00907A52">
              <w:rPr>
                <w:noProof/>
                <w:webHidden/>
              </w:rPr>
              <w:fldChar w:fldCharType="end"/>
            </w:r>
          </w:hyperlink>
        </w:p>
        <w:p w14:paraId="48BE2605" w14:textId="77777777" w:rsidR="00907A52" w:rsidRDefault="007E528B">
          <w:pPr>
            <w:pStyle w:val="TDC3"/>
            <w:rPr>
              <w:rFonts w:asciiTheme="minorHAnsi" w:eastAsiaTheme="minorEastAsia" w:hAnsiTheme="minorHAnsi" w:cstheme="minorBidi"/>
              <w:noProof/>
              <w:szCs w:val="22"/>
              <w:lang w:eastAsia="es-MX"/>
            </w:rPr>
          </w:pPr>
          <w:hyperlink w:anchor="_Toc175153329" w:history="1">
            <w:r w:rsidR="00907A52" w:rsidRPr="007210AD">
              <w:rPr>
                <w:rStyle w:val="Hipervnculo"/>
                <w:noProof/>
              </w:rPr>
              <w:t>a) Interposición del Recurso de Revisión</w:t>
            </w:r>
            <w:r w:rsidR="00907A52">
              <w:rPr>
                <w:noProof/>
                <w:webHidden/>
              </w:rPr>
              <w:tab/>
            </w:r>
            <w:r w:rsidR="00907A52">
              <w:rPr>
                <w:noProof/>
                <w:webHidden/>
              </w:rPr>
              <w:fldChar w:fldCharType="begin"/>
            </w:r>
            <w:r w:rsidR="00907A52">
              <w:rPr>
                <w:noProof/>
                <w:webHidden/>
              </w:rPr>
              <w:instrText xml:space="preserve"> PAGEREF _Toc175153329 \h </w:instrText>
            </w:r>
            <w:r w:rsidR="00907A52">
              <w:rPr>
                <w:noProof/>
                <w:webHidden/>
              </w:rPr>
            </w:r>
            <w:r w:rsidR="00907A52">
              <w:rPr>
                <w:noProof/>
                <w:webHidden/>
              </w:rPr>
              <w:fldChar w:fldCharType="separate"/>
            </w:r>
            <w:r w:rsidR="00390A30">
              <w:rPr>
                <w:noProof/>
                <w:webHidden/>
              </w:rPr>
              <w:t>3</w:t>
            </w:r>
            <w:r w:rsidR="00907A52">
              <w:rPr>
                <w:noProof/>
                <w:webHidden/>
              </w:rPr>
              <w:fldChar w:fldCharType="end"/>
            </w:r>
          </w:hyperlink>
        </w:p>
        <w:p w14:paraId="41C563AF" w14:textId="77777777" w:rsidR="00907A52" w:rsidRDefault="007E528B">
          <w:pPr>
            <w:pStyle w:val="TDC3"/>
            <w:rPr>
              <w:rFonts w:asciiTheme="minorHAnsi" w:eastAsiaTheme="minorEastAsia" w:hAnsiTheme="minorHAnsi" w:cstheme="minorBidi"/>
              <w:noProof/>
              <w:szCs w:val="22"/>
              <w:lang w:eastAsia="es-MX"/>
            </w:rPr>
          </w:pPr>
          <w:hyperlink w:anchor="_Toc175153330" w:history="1">
            <w:r w:rsidR="00907A52" w:rsidRPr="007210AD">
              <w:rPr>
                <w:rStyle w:val="Hipervnculo"/>
                <w:noProof/>
              </w:rPr>
              <w:t>b) Turno del Recurso de Revisión</w:t>
            </w:r>
            <w:r w:rsidR="00907A52">
              <w:rPr>
                <w:noProof/>
                <w:webHidden/>
              </w:rPr>
              <w:tab/>
            </w:r>
            <w:r w:rsidR="00907A52">
              <w:rPr>
                <w:noProof/>
                <w:webHidden/>
              </w:rPr>
              <w:fldChar w:fldCharType="begin"/>
            </w:r>
            <w:r w:rsidR="00907A52">
              <w:rPr>
                <w:noProof/>
                <w:webHidden/>
              </w:rPr>
              <w:instrText xml:space="preserve"> PAGEREF _Toc175153330 \h </w:instrText>
            </w:r>
            <w:r w:rsidR="00907A52">
              <w:rPr>
                <w:noProof/>
                <w:webHidden/>
              </w:rPr>
            </w:r>
            <w:r w:rsidR="00907A52">
              <w:rPr>
                <w:noProof/>
                <w:webHidden/>
              </w:rPr>
              <w:fldChar w:fldCharType="separate"/>
            </w:r>
            <w:r w:rsidR="00390A30">
              <w:rPr>
                <w:noProof/>
                <w:webHidden/>
              </w:rPr>
              <w:t>4</w:t>
            </w:r>
            <w:r w:rsidR="00907A52">
              <w:rPr>
                <w:noProof/>
                <w:webHidden/>
              </w:rPr>
              <w:fldChar w:fldCharType="end"/>
            </w:r>
          </w:hyperlink>
        </w:p>
        <w:p w14:paraId="4C8E108F" w14:textId="77777777" w:rsidR="00907A52" w:rsidRDefault="007E528B">
          <w:pPr>
            <w:pStyle w:val="TDC3"/>
            <w:rPr>
              <w:rFonts w:asciiTheme="minorHAnsi" w:eastAsiaTheme="minorEastAsia" w:hAnsiTheme="minorHAnsi" w:cstheme="minorBidi"/>
              <w:noProof/>
              <w:szCs w:val="22"/>
              <w:lang w:eastAsia="es-MX"/>
            </w:rPr>
          </w:pPr>
          <w:hyperlink w:anchor="_Toc175153331" w:history="1">
            <w:r w:rsidR="00907A52" w:rsidRPr="007210AD">
              <w:rPr>
                <w:rStyle w:val="Hipervnculo"/>
                <w:noProof/>
              </w:rPr>
              <w:t>c) Admisión del Recurso de Revisión</w:t>
            </w:r>
            <w:r w:rsidR="00907A52">
              <w:rPr>
                <w:noProof/>
                <w:webHidden/>
              </w:rPr>
              <w:tab/>
            </w:r>
            <w:r w:rsidR="00907A52">
              <w:rPr>
                <w:noProof/>
                <w:webHidden/>
              </w:rPr>
              <w:fldChar w:fldCharType="begin"/>
            </w:r>
            <w:r w:rsidR="00907A52">
              <w:rPr>
                <w:noProof/>
                <w:webHidden/>
              </w:rPr>
              <w:instrText xml:space="preserve"> PAGEREF _Toc175153331 \h </w:instrText>
            </w:r>
            <w:r w:rsidR="00907A52">
              <w:rPr>
                <w:noProof/>
                <w:webHidden/>
              </w:rPr>
            </w:r>
            <w:r w:rsidR="00907A52">
              <w:rPr>
                <w:noProof/>
                <w:webHidden/>
              </w:rPr>
              <w:fldChar w:fldCharType="separate"/>
            </w:r>
            <w:r w:rsidR="00390A30">
              <w:rPr>
                <w:noProof/>
                <w:webHidden/>
              </w:rPr>
              <w:t>4</w:t>
            </w:r>
            <w:r w:rsidR="00907A52">
              <w:rPr>
                <w:noProof/>
                <w:webHidden/>
              </w:rPr>
              <w:fldChar w:fldCharType="end"/>
            </w:r>
          </w:hyperlink>
        </w:p>
        <w:p w14:paraId="011E0B94" w14:textId="77777777" w:rsidR="00907A52" w:rsidRDefault="007E528B">
          <w:pPr>
            <w:pStyle w:val="TDC3"/>
            <w:rPr>
              <w:rFonts w:asciiTheme="minorHAnsi" w:eastAsiaTheme="minorEastAsia" w:hAnsiTheme="minorHAnsi" w:cstheme="minorBidi"/>
              <w:noProof/>
              <w:szCs w:val="22"/>
              <w:lang w:eastAsia="es-MX"/>
            </w:rPr>
          </w:pPr>
          <w:hyperlink w:anchor="_Toc175153332" w:history="1">
            <w:r w:rsidR="00907A52" w:rsidRPr="007210AD">
              <w:rPr>
                <w:rStyle w:val="Hipervnculo"/>
                <w:noProof/>
              </w:rPr>
              <w:t>d) Acumulación de los Recursos de Revisión</w:t>
            </w:r>
            <w:r w:rsidR="00907A52">
              <w:rPr>
                <w:noProof/>
                <w:webHidden/>
              </w:rPr>
              <w:tab/>
            </w:r>
            <w:r w:rsidR="00907A52">
              <w:rPr>
                <w:noProof/>
                <w:webHidden/>
              </w:rPr>
              <w:fldChar w:fldCharType="begin"/>
            </w:r>
            <w:r w:rsidR="00907A52">
              <w:rPr>
                <w:noProof/>
                <w:webHidden/>
              </w:rPr>
              <w:instrText xml:space="preserve"> PAGEREF _Toc175153332 \h </w:instrText>
            </w:r>
            <w:r w:rsidR="00907A52">
              <w:rPr>
                <w:noProof/>
                <w:webHidden/>
              </w:rPr>
            </w:r>
            <w:r w:rsidR="00907A52">
              <w:rPr>
                <w:noProof/>
                <w:webHidden/>
              </w:rPr>
              <w:fldChar w:fldCharType="separate"/>
            </w:r>
            <w:r w:rsidR="00390A30">
              <w:rPr>
                <w:noProof/>
                <w:webHidden/>
              </w:rPr>
              <w:t>4</w:t>
            </w:r>
            <w:r w:rsidR="00907A52">
              <w:rPr>
                <w:noProof/>
                <w:webHidden/>
              </w:rPr>
              <w:fldChar w:fldCharType="end"/>
            </w:r>
          </w:hyperlink>
        </w:p>
        <w:p w14:paraId="78AEE722" w14:textId="77777777" w:rsidR="00907A52" w:rsidRDefault="007E528B">
          <w:pPr>
            <w:pStyle w:val="TDC3"/>
            <w:rPr>
              <w:rFonts w:asciiTheme="minorHAnsi" w:eastAsiaTheme="minorEastAsia" w:hAnsiTheme="minorHAnsi" w:cstheme="minorBidi"/>
              <w:noProof/>
              <w:szCs w:val="22"/>
              <w:lang w:eastAsia="es-MX"/>
            </w:rPr>
          </w:pPr>
          <w:hyperlink w:anchor="_Toc175153333" w:history="1">
            <w:r w:rsidR="00907A52" w:rsidRPr="007210AD">
              <w:rPr>
                <w:rStyle w:val="Hipervnculo"/>
                <w:noProof/>
              </w:rPr>
              <w:t>e) Informe Justificado del Sujeto Obligado</w:t>
            </w:r>
            <w:r w:rsidR="00907A52">
              <w:rPr>
                <w:noProof/>
                <w:webHidden/>
              </w:rPr>
              <w:tab/>
            </w:r>
            <w:r w:rsidR="00907A52">
              <w:rPr>
                <w:noProof/>
                <w:webHidden/>
              </w:rPr>
              <w:fldChar w:fldCharType="begin"/>
            </w:r>
            <w:r w:rsidR="00907A52">
              <w:rPr>
                <w:noProof/>
                <w:webHidden/>
              </w:rPr>
              <w:instrText xml:space="preserve"> PAGEREF _Toc175153333 \h </w:instrText>
            </w:r>
            <w:r w:rsidR="00907A52">
              <w:rPr>
                <w:noProof/>
                <w:webHidden/>
              </w:rPr>
            </w:r>
            <w:r w:rsidR="00907A52">
              <w:rPr>
                <w:noProof/>
                <w:webHidden/>
              </w:rPr>
              <w:fldChar w:fldCharType="separate"/>
            </w:r>
            <w:r w:rsidR="00390A30">
              <w:rPr>
                <w:noProof/>
                <w:webHidden/>
              </w:rPr>
              <w:t>4</w:t>
            </w:r>
            <w:r w:rsidR="00907A52">
              <w:rPr>
                <w:noProof/>
                <w:webHidden/>
              </w:rPr>
              <w:fldChar w:fldCharType="end"/>
            </w:r>
          </w:hyperlink>
        </w:p>
        <w:p w14:paraId="68E5F04C" w14:textId="77777777" w:rsidR="00907A52" w:rsidRDefault="007E528B">
          <w:pPr>
            <w:pStyle w:val="TDC3"/>
            <w:rPr>
              <w:rFonts w:asciiTheme="minorHAnsi" w:eastAsiaTheme="minorEastAsia" w:hAnsiTheme="minorHAnsi" w:cstheme="minorBidi"/>
              <w:noProof/>
              <w:szCs w:val="22"/>
              <w:lang w:eastAsia="es-MX"/>
            </w:rPr>
          </w:pPr>
          <w:hyperlink w:anchor="_Toc175153334" w:history="1">
            <w:r w:rsidR="00907A52" w:rsidRPr="007210AD">
              <w:rPr>
                <w:rStyle w:val="Hipervnculo"/>
                <w:rFonts w:eastAsia="Calibri"/>
                <w:bCs/>
                <w:noProof/>
                <w:lang w:eastAsia="en-US"/>
              </w:rPr>
              <w:t>f)</w:t>
            </w:r>
            <w:r w:rsidR="00907A52" w:rsidRPr="007210AD">
              <w:rPr>
                <w:rStyle w:val="Hipervnculo"/>
                <w:noProof/>
              </w:rPr>
              <w:t xml:space="preserve"> </w:t>
            </w:r>
            <w:r w:rsidR="00907A52" w:rsidRPr="007210AD">
              <w:rPr>
                <w:rStyle w:val="Hipervnculo"/>
                <w:noProof/>
                <w:lang w:val="es-ES"/>
              </w:rPr>
              <w:t>Manifestaciones de la Parte Recurrente</w:t>
            </w:r>
            <w:r w:rsidR="00907A52">
              <w:rPr>
                <w:noProof/>
                <w:webHidden/>
              </w:rPr>
              <w:tab/>
            </w:r>
            <w:r w:rsidR="00907A52">
              <w:rPr>
                <w:noProof/>
                <w:webHidden/>
              </w:rPr>
              <w:fldChar w:fldCharType="begin"/>
            </w:r>
            <w:r w:rsidR="00907A52">
              <w:rPr>
                <w:noProof/>
                <w:webHidden/>
              </w:rPr>
              <w:instrText xml:space="preserve"> PAGEREF _Toc175153334 \h </w:instrText>
            </w:r>
            <w:r w:rsidR="00907A52">
              <w:rPr>
                <w:noProof/>
                <w:webHidden/>
              </w:rPr>
            </w:r>
            <w:r w:rsidR="00907A52">
              <w:rPr>
                <w:noProof/>
                <w:webHidden/>
              </w:rPr>
              <w:fldChar w:fldCharType="separate"/>
            </w:r>
            <w:r w:rsidR="00390A30">
              <w:rPr>
                <w:noProof/>
                <w:webHidden/>
              </w:rPr>
              <w:t>5</w:t>
            </w:r>
            <w:r w:rsidR="00907A52">
              <w:rPr>
                <w:noProof/>
                <w:webHidden/>
              </w:rPr>
              <w:fldChar w:fldCharType="end"/>
            </w:r>
          </w:hyperlink>
        </w:p>
        <w:p w14:paraId="58407D08" w14:textId="77777777" w:rsidR="00907A52" w:rsidRDefault="007E528B">
          <w:pPr>
            <w:pStyle w:val="TDC3"/>
            <w:rPr>
              <w:rFonts w:asciiTheme="minorHAnsi" w:eastAsiaTheme="minorEastAsia" w:hAnsiTheme="minorHAnsi" w:cstheme="minorBidi"/>
              <w:noProof/>
              <w:szCs w:val="22"/>
              <w:lang w:eastAsia="es-MX"/>
            </w:rPr>
          </w:pPr>
          <w:hyperlink w:anchor="_Toc175153335" w:history="1">
            <w:r w:rsidR="00907A52" w:rsidRPr="007210AD">
              <w:rPr>
                <w:rStyle w:val="Hipervnculo"/>
                <w:rFonts w:eastAsia="Calibri"/>
                <w:noProof/>
              </w:rPr>
              <w:t>g) Ampliación de Plazo para Resolver</w:t>
            </w:r>
            <w:r w:rsidR="00907A52">
              <w:rPr>
                <w:noProof/>
                <w:webHidden/>
              </w:rPr>
              <w:tab/>
            </w:r>
            <w:r w:rsidR="00907A52">
              <w:rPr>
                <w:noProof/>
                <w:webHidden/>
              </w:rPr>
              <w:fldChar w:fldCharType="begin"/>
            </w:r>
            <w:r w:rsidR="00907A52">
              <w:rPr>
                <w:noProof/>
                <w:webHidden/>
              </w:rPr>
              <w:instrText xml:space="preserve"> PAGEREF _Toc175153335 \h </w:instrText>
            </w:r>
            <w:r w:rsidR="00907A52">
              <w:rPr>
                <w:noProof/>
                <w:webHidden/>
              </w:rPr>
            </w:r>
            <w:r w:rsidR="00907A52">
              <w:rPr>
                <w:noProof/>
                <w:webHidden/>
              </w:rPr>
              <w:fldChar w:fldCharType="separate"/>
            </w:r>
            <w:r w:rsidR="00390A30">
              <w:rPr>
                <w:noProof/>
                <w:webHidden/>
              </w:rPr>
              <w:t>5</w:t>
            </w:r>
            <w:r w:rsidR="00907A52">
              <w:rPr>
                <w:noProof/>
                <w:webHidden/>
              </w:rPr>
              <w:fldChar w:fldCharType="end"/>
            </w:r>
          </w:hyperlink>
        </w:p>
        <w:p w14:paraId="3D098B8D" w14:textId="77777777" w:rsidR="00907A52" w:rsidRDefault="007E528B">
          <w:pPr>
            <w:pStyle w:val="TDC3"/>
            <w:rPr>
              <w:rFonts w:asciiTheme="minorHAnsi" w:eastAsiaTheme="minorEastAsia" w:hAnsiTheme="minorHAnsi" w:cstheme="minorBidi"/>
              <w:noProof/>
              <w:szCs w:val="22"/>
              <w:lang w:eastAsia="es-MX"/>
            </w:rPr>
          </w:pPr>
          <w:hyperlink w:anchor="_Toc175153336" w:history="1">
            <w:r w:rsidR="00907A52" w:rsidRPr="007210AD">
              <w:rPr>
                <w:rStyle w:val="Hipervnculo"/>
                <w:rFonts w:eastAsia="Calibri"/>
                <w:noProof/>
              </w:rPr>
              <w:t xml:space="preserve">h) </w:t>
            </w:r>
            <w:r w:rsidR="00907A52" w:rsidRPr="007210AD">
              <w:rPr>
                <w:rStyle w:val="Hipervnculo"/>
                <w:noProof/>
              </w:rPr>
              <w:t>Cierre de instrucción</w:t>
            </w:r>
            <w:r w:rsidR="00907A52">
              <w:rPr>
                <w:noProof/>
                <w:webHidden/>
              </w:rPr>
              <w:tab/>
            </w:r>
            <w:r w:rsidR="00907A52">
              <w:rPr>
                <w:noProof/>
                <w:webHidden/>
              </w:rPr>
              <w:fldChar w:fldCharType="begin"/>
            </w:r>
            <w:r w:rsidR="00907A52">
              <w:rPr>
                <w:noProof/>
                <w:webHidden/>
              </w:rPr>
              <w:instrText xml:space="preserve"> PAGEREF _Toc175153336 \h </w:instrText>
            </w:r>
            <w:r w:rsidR="00907A52">
              <w:rPr>
                <w:noProof/>
                <w:webHidden/>
              </w:rPr>
            </w:r>
            <w:r w:rsidR="00907A52">
              <w:rPr>
                <w:noProof/>
                <w:webHidden/>
              </w:rPr>
              <w:fldChar w:fldCharType="separate"/>
            </w:r>
            <w:r w:rsidR="00390A30">
              <w:rPr>
                <w:noProof/>
                <w:webHidden/>
              </w:rPr>
              <w:t>8</w:t>
            </w:r>
            <w:r w:rsidR="00907A52">
              <w:rPr>
                <w:noProof/>
                <w:webHidden/>
              </w:rPr>
              <w:fldChar w:fldCharType="end"/>
            </w:r>
          </w:hyperlink>
        </w:p>
        <w:p w14:paraId="323B6C6D" w14:textId="77777777" w:rsidR="00907A52" w:rsidRDefault="007E528B">
          <w:pPr>
            <w:pStyle w:val="TDC1"/>
            <w:tabs>
              <w:tab w:val="right" w:leader="dot" w:pos="9034"/>
            </w:tabs>
            <w:rPr>
              <w:rFonts w:asciiTheme="minorHAnsi" w:eastAsiaTheme="minorEastAsia" w:hAnsiTheme="minorHAnsi" w:cstheme="minorBidi"/>
              <w:noProof/>
              <w:szCs w:val="22"/>
              <w:lang w:eastAsia="es-MX"/>
            </w:rPr>
          </w:pPr>
          <w:hyperlink w:anchor="_Toc175153337" w:history="1">
            <w:r w:rsidR="00907A52" w:rsidRPr="007210AD">
              <w:rPr>
                <w:rStyle w:val="Hipervnculo"/>
                <w:rFonts w:eastAsiaTheme="minorHAnsi"/>
                <w:noProof/>
                <w:lang w:eastAsia="en-US"/>
              </w:rPr>
              <w:t>CONSIDERANDOS</w:t>
            </w:r>
            <w:r w:rsidR="00907A52">
              <w:rPr>
                <w:noProof/>
                <w:webHidden/>
              </w:rPr>
              <w:tab/>
            </w:r>
            <w:r w:rsidR="00907A52">
              <w:rPr>
                <w:noProof/>
                <w:webHidden/>
              </w:rPr>
              <w:fldChar w:fldCharType="begin"/>
            </w:r>
            <w:r w:rsidR="00907A52">
              <w:rPr>
                <w:noProof/>
                <w:webHidden/>
              </w:rPr>
              <w:instrText xml:space="preserve"> PAGEREF _Toc175153337 \h </w:instrText>
            </w:r>
            <w:r w:rsidR="00907A52">
              <w:rPr>
                <w:noProof/>
                <w:webHidden/>
              </w:rPr>
            </w:r>
            <w:r w:rsidR="00907A52">
              <w:rPr>
                <w:noProof/>
                <w:webHidden/>
              </w:rPr>
              <w:fldChar w:fldCharType="separate"/>
            </w:r>
            <w:r w:rsidR="00390A30">
              <w:rPr>
                <w:noProof/>
                <w:webHidden/>
              </w:rPr>
              <w:t>8</w:t>
            </w:r>
            <w:r w:rsidR="00907A52">
              <w:rPr>
                <w:noProof/>
                <w:webHidden/>
              </w:rPr>
              <w:fldChar w:fldCharType="end"/>
            </w:r>
          </w:hyperlink>
        </w:p>
        <w:p w14:paraId="2CBB6106" w14:textId="77777777" w:rsidR="00907A52" w:rsidRDefault="007E528B">
          <w:pPr>
            <w:pStyle w:val="TDC2"/>
            <w:rPr>
              <w:rFonts w:asciiTheme="minorHAnsi" w:eastAsiaTheme="minorEastAsia" w:hAnsiTheme="minorHAnsi" w:cstheme="minorBidi"/>
              <w:noProof/>
              <w:szCs w:val="22"/>
              <w:lang w:eastAsia="es-MX"/>
            </w:rPr>
          </w:pPr>
          <w:hyperlink w:anchor="_Toc175153338" w:history="1">
            <w:r w:rsidR="00907A52" w:rsidRPr="007210AD">
              <w:rPr>
                <w:rStyle w:val="Hipervnculo"/>
                <w:rFonts w:eastAsia="Batang"/>
                <w:noProof/>
              </w:rPr>
              <w:t>PRIMERO. Procedibilidad</w:t>
            </w:r>
            <w:r w:rsidR="00907A52">
              <w:rPr>
                <w:noProof/>
                <w:webHidden/>
              </w:rPr>
              <w:tab/>
            </w:r>
            <w:r w:rsidR="00907A52">
              <w:rPr>
                <w:noProof/>
                <w:webHidden/>
              </w:rPr>
              <w:fldChar w:fldCharType="begin"/>
            </w:r>
            <w:r w:rsidR="00907A52">
              <w:rPr>
                <w:noProof/>
                <w:webHidden/>
              </w:rPr>
              <w:instrText xml:space="preserve"> PAGEREF _Toc175153338 \h </w:instrText>
            </w:r>
            <w:r w:rsidR="00907A52">
              <w:rPr>
                <w:noProof/>
                <w:webHidden/>
              </w:rPr>
            </w:r>
            <w:r w:rsidR="00907A52">
              <w:rPr>
                <w:noProof/>
                <w:webHidden/>
              </w:rPr>
              <w:fldChar w:fldCharType="separate"/>
            </w:r>
            <w:r w:rsidR="00390A30">
              <w:rPr>
                <w:noProof/>
                <w:webHidden/>
              </w:rPr>
              <w:t>8</w:t>
            </w:r>
            <w:r w:rsidR="00907A52">
              <w:rPr>
                <w:noProof/>
                <w:webHidden/>
              </w:rPr>
              <w:fldChar w:fldCharType="end"/>
            </w:r>
          </w:hyperlink>
        </w:p>
        <w:p w14:paraId="2B85EB56" w14:textId="77777777" w:rsidR="00907A52" w:rsidRDefault="007E528B">
          <w:pPr>
            <w:pStyle w:val="TDC3"/>
            <w:rPr>
              <w:rFonts w:asciiTheme="minorHAnsi" w:eastAsiaTheme="minorEastAsia" w:hAnsiTheme="minorHAnsi" w:cstheme="minorBidi"/>
              <w:noProof/>
              <w:szCs w:val="22"/>
              <w:lang w:eastAsia="es-MX"/>
            </w:rPr>
          </w:pPr>
          <w:hyperlink w:anchor="_Toc175153339" w:history="1">
            <w:r w:rsidR="00907A52" w:rsidRPr="007210AD">
              <w:rPr>
                <w:rStyle w:val="Hipervnculo"/>
                <w:noProof/>
              </w:rPr>
              <w:t>a) Competencia del Instituto</w:t>
            </w:r>
            <w:r w:rsidR="00907A52">
              <w:rPr>
                <w:noProof/>
                <w:webHidden/>
              </w:rPr>
              <w:tab/>
            </w:r>
            <w:r w:rsidR="00907A52">
              <w:rPr>
                <w:noProof/>
                <w:webHidden/>
              </w:rPr>
              <w:fldChar w:fldCharType="begin"/>
            </w:r>
            <w:r w:rsidR="00907A52">
              <w:rPr>
                <w:noProof/>
                <w:webHidden/>
              </w:rPr>
              <w:instrText xml:space="preserve"> PAGEREF _Toc175153339 \h </w:instrText>
            </w:r>
            <w:r w:rsidR="00907A52">
              <w:rPr>
                <w:noProof/>
                <w:webHidden/>
              </w:rPr>
            </w:r>
            <w:r w:rsidR="00907A52">
              <w:rPr>
                <w:noProof/>
                <w:webHidden/>
              </w:rPr>
              <w:fldChar w:fldCharType="separate"/>
            </w:r>
            <w:r w:rsidR="00390A30">
              <w:rPr>
                <w:noProof/>
                <w:webHidden/>
              </w:rPr>
              <w:t>8</w:t>
            </w:r>
            <w:r w:rsidR="00907A52">
              <w:rPr>
                <w:noProof/>
                <w:webHidden/>
              </w:rPr>
              <w:fldChar w:fldCharType="end"/>
            </w:r>
          </w:hyperlink>
        </w:p>
        <w:p w14:paraId="4BA21902" w14:textId="77777777" w:rsidR="00907A52" w:rsidRDefault="007E528B">
          <w:pPr>
            <w:pStyle w:val="TDC3"/>
            <w:rPr>
              <w:rFonts w:asciiTheme="minorHAnsi" w:eastAsiaTheme="minorEastAsia" w:hAnsiTheme="minorHAnsi" w:cstheme="minorBidi"/>
              <w:noProof/>
              <w:szCs w:val="22"/>
              <w:lang w:eastAsia="es-MX"/>
            </w:rPr>
          </w:pPr>
          <w:hyperlink w:anchor="_Toc175153340" w:history="1">
            <w:r w:rsidR="00907A52" w:rsidRPr="007210AD">
              <w:rPr>
                <w:rStyle w:val="Hipervnculo"/>
                <w:noProof/>
              </w:rPr>
              <w:t>b) Legitimidad de la parte recurrente</w:t>
            </w:r>
            <w:r w:rsidR="00907A52">
              <w:rPr>
                <w:noProof/>
                <w:webHidden/>
              </w:rPr>
              <w:tab/>
            </w:r>
            <w:r w:rsidR="00907A52">
              <w:rPr>
                <w:noProof/>
                <w:webHidden/>
              </w:rPr>
              <w:fldChar w:fldCharType="begin"/>
            </w:r>
            <w:r w:rsidR="00907A52">
              <w:rPr>
                <w:noProof/>
                <w:webHidden/>
              </w:rPr>
              <w:instrText xml:space="preserve"> PAGEREF _Toc175153340 \h </w:instrText>
            </w:r>
            <w:r w:rsidR="00907A52">
              <w:rPr>
                <w:noProof/>
                <w:webHidden/>
              </w:rPr>
            </w:r>
            <w:r w:rsidR="00907A52">
              <w:rPr>
                <w:noProof/>
                <w:webHidden/>
              </w:rPr>
              <w:fldChar w:fldCharType="separate"/>
            </w:r>
            <w:r w:rsidR="00390A30">
              <w:rPr>
                <w:noProof/>
                <w:webHidden/>
              </w:rPr>
              <w:t>9</w:t>
            </w:r>
            <w:r w:rsidR="00907A52">
              <w:rPr>
                <w:noProof/>
                <w:webHidden/>
              </w:rPr>
              <w:fldChar w:fldCharType="end"/>
            </w:r>
          </w:hyperlink>
        </w:p>
        <w:p w14:paraId="24A6489B" w14:textId="77777777" w:rsidR="00907A52" w:rsidRDefault="007E528B">
          <w:pPr>
            <w:pStyle w:val="TDC3"/>
            <w:rPr>
              <w:rFonts w:asciiTheme="minorHAnsi" w:eastAsiaTheme="minorEastAsia" w:hAnsiTheme="minorHAnsi" w:cstheme="minorBidi"/>
              <w:noProof/>
              <w:szCs w:val="22"/>
              <w:lang w:eastAsia="es-MX"/>
            </w:rPr>
          </w:pPr>
          <w:hyperlink w:anchor="_Toc175153341" w:history="1">
            <w:r w:rsidR="00907A52" w:rsidRPr="007210AD">
              <w:rPr>
                <w:rStyle w:val="Hipervnculo"/>
                <w:rFonts w:eastAsia="Calibri"/>
                <w:noProof/>
                <w:lang w:eastAsia="es-ES_tradnl"/>
              </w:rPr>
              <w:t>c) Plazo para interponer el recurso</w:t>
            </w:r>
            <w:r w:rsidR="00907A52">
              <w:rPr>
                <w:noProof/>
                <w:webHidden/>
              </w:rPr>
              <w:tab/>
            </w:r>
            <w:r w:rsidR="00907A52">
              <w:rPr>
                <w:noProof/>
                <w:webHidden/>
              </w:rPr>
              <w:fldChar w:fldCharType="begin"/>
            </w:r>
            <w:r w:rsidR="00907A52">
              <w:rPr>
                <w:noProof/>
                <w:webHidden/>
              </w:rPr>
              <w:instrText xml:space="preserve"> PAGEREF _Toc175153341 \h </w:instrText>
            </w:r>
            <w:r w:rsidR="00907A52">
              <w:rPr>
                <w:noProof/>
                <w:webHidden/>
              </w:rPr>
            </w:r>
            <w:r w:rsidR="00907A52">
              <w:rPr>
                <w:noProof/>
                <w:webHidden/>
              </w:rPr>
              <w:fldChar w:fldCharType="separate"/>
            </w:r>
            <w:r w:rsidR="00390A30">
              <w:rPr>
                <w:noProof/>
                <w:webHidden/>
              </w:rPr>
              <w:t>9</w:t>
            </w:r>
            <w:r w:rsidR="00907A52">
              <w:rPr>
                <w:noProof/>
                <w:webHidden/>
              </w:rPr>
              <w:fldChar w:fldCharType="end"/>
            </w:r>
          </w:hyperlink>
        </w:p>
        <w:p w14:paraId="1A3C24D9" w14:textId="77777777" w:rsidR="00907A52" w:rsidRDefault="007E528B">
          <w:pPr>
            <w:pStyle w:val="TDC3"/>
            <w:rPr>
              <w:rFonts w:asciiTheme="minorHAnsi" w:eastAsiaTheme="minorEastAsia" w:hAnsiTheme="minorHAnsi" w:cstheme="minorBidi"/>
              <w:noProof/>
              <w:szCs w:val="22"/>
              <w:lang w:eastAsia="es-MX"/>
            </w:rPr>
          </w:pPr>
          <w:hyperlink w:anchor="_Toc175153342" w:history="1">
            <w:r w:rsidR="00907A52" w:rsidRPr="007210AD">
              <w:rPr>
                <w:rStyle w:val="Hipervnculo"/>
                <w:rFonts w:eastAsia="Calibri"/>
                <w:noProof/>
                <w:lang w:eastAsia="es-ES_tradnl"/>
              </w:rPr>
              <w:t>d) Causal de procedencia</w:t>
            </w:r>
            <w:r w:rsidR="00907A52">
              <w:rPr>
                <w:noProof/>
                <w:webHidden/>
              </w:rPr>
              <w:tab/>
            </w:r>
            <w:r w:rsidR="00907A52">
              <w:rPr>
                <w:noProof/>
                <w:webHidden/>
              </w:rPr>
              <w:fldChar w:fldCharType="begin"/>
            </w:r>
            <w:r w:rsidR="00907A52">
              <w:rPr>
                <w:noProof/>
                <w:webHidden/>
              </w:rPr>
              <w:instrText xml:space="preserve"> PAGEREF _Toc175153342 \h </w:instrText>
            </w:r>
            <w:r w:rsidR="00907A52">
              <w:rPr>
                <w:noProof/>
                <w:webHidden/>
              </w:rPr>
            </w:r>
            <w:r w:rsidR="00907A52">
              <w:rPr>
                <w:noProof/>
                <w:webHidden/>
              </w:rPr>
              <w:fldChar w:fldCharType="separate"/>
            </w:r>
            <w:r w:rsidR="00390A30">
              <w:rPr>
                <w:noProof/>
                <w:webHidden/>
              </w:rPr>
              <w:t>9</w:t>
            </w:r>
            <w:r w:rsidR="00907A52">
              <w:rPr>
                <w:noProof/>
                <w:webHidden/>
              </w:rPr>
              <w:fldChar w:fldCharType="end"/>
            </w:r>
          </w:hyperlink>
        </w:p>
        <w:p w14:paraId="105E57B3" w14:textId="77777777" w:rsidR="00907A52" w:rsidRDefault="007E528B">
          <w:pPr>
            <w:pStyle w:val="TDC3"/>
            <w:rPr>
              <w:rFonts w:asciiTheme="minorHAnsi" w:eastAsiaTheme="minorEastAsia" w:hAnsiTheme="minorHAnsi" w:cstheme="minorBidi"/>
              <w:noProof/>
              <w:szCs w:val="22"/>
              <w:lang w:eastAsia="es-MX"/>
            </w:rPr>
          </w:pPr>
          <w:hyperlink w:anchor="_Toc175153343" w:history="1">
            <w:r w:rsidR="00907A52" w:rsidRPr="007210AD">
              <w:rPr>
                <w:rStyle w:val="Hipervnculo"/>
                <w:noProof/>
              </w:rPr>
              <w:t>e) Requisitos formales para la interposición del recurso</w:t>
            </w:r>
            <w:r w:rsidR="00907A52">
              <w:rPr>
                <w:noProof/>
                <w:webHidden/>
              </w:rPr>
              <w:tab/>
            </w:r>
            <w:r w:rsidR="00907A52">
              <w:rPr>
                <w:noProof/>
                <w:webHidden/>
              </w:rPr>
              <w:fldChar w:fldCharType="begin"/>
            </w:r>
            <w:r w:rsidR="00907A52">
              <w:rPr>
                <w:noProof/>
                <w:webHidden/>
              </w:rPr>
              <w:instrText xml:space="preserve"> PAGEREF _Toc175153343 \h </w:instrText>
            </w:r>
            <w:r w:rsidR="00907A52">
              <w:rPr>
                <w:noProof/>
                <w:webHidden/>
              </w:rPr>
            </w:r>
            <w:r w:rsidR="00907A52">
              <w:rPr>
                <w:noProof/>
                <w:webHidden/>
              </w:rPr>
              <w:fldChar w:fldCharType="separate"/>
            </w:r>
            <w:r w:rsidR="00390A30">
              <w:rPr>
                <w:noProof/>
                <w:webHidden/>
              </w:rPr>
              <w:t>9</w:t>
            </w:r>
            <w:r w:rsidR="00907A52">
              <w:rPr>
                <w:noProof/>
                <w:webHidden/>
              </w:rPr>
              <w:fldChar w:fldCharType="end"/>
            </w:r>
          </w:hyperlink>
        </w:p>
        <w:p w14:paraId="0E5730B8" w14:textId="77777777" w:rsidR="00907A52" w:rsidRDefault="007E528B">
          <w:pPr>
            <w:pStyle w:val="TDC3"/>
            <w:rPr>
              <w:rFonts w:asciiTheme="minorHAnsi" w:eastAsiaTheme="minorEastAsia" w:hAnsiTheme="minorHAnsi" w:cstheme="minorBidi"/>
              <w:noProof/>
              <w:szCs w:val="22"/>
              <w:lang w:eastAsia="es-MX"/>
            </w:rPr>
          </w:pPr>
          <w:hyperlink w:anchor="_Toc175153344" w:history="1">
            <w:r w:rsidR="00907A52" w:rsidRPr="007210AD">
              <w:rPr>
                <w:rStyle w:val="Hipervnculo"/>
                <w:noProof/>
              </w:rPr>
              <w:t>f) Acumulación de los Recursos de Revisión</w:t>
            </w:r>
            <w:r w:rsidR="00907A52">
              <w:rPr>
                <w:noProof/>
                <w:webHidden/>
              </w:rPr>
              <w:tab/>
            </w:r>
            <w:r w:rsidR="00907A52">
              <w:rPr>
                <w:noProof/>
                <w:webHidden/>
              </w:rPr>
              <w:fldChar w:fldCharType="begin"/>
            </w:r>
            <w:r w:rsidR="00907A52">
              <w:rPr>
                <w:noProof/>
                <w:webHidden/>
              </w:rPr>
              <w:instrText xml:space="preserve"> PAGEREF _Toc175153344 \h </w:instrText>
            </w:r>
            <w:r w:rsidR="00907A52">
              <w:rPr>
                <w:noProof/>
                <w:webHidden/>
              </w:rPr>
            </w:r>
            <w:r w:rsidR="00907A52">
              <w:rPr>
                <w:noProof/>
                <w:webHidden/>
              </w:rPr>
              <w:fldChar w:fldCharType="separate"/>
            </w:r>
            <w:r w:rsidR="00390A30">
              <w:rPr>
                <w:noProof/>
                <w:webHidden/>
              </w:rPr>
              <w:t>10</w:t>
            </w:r>
            <w:r w:rsidR="00907A52">
              <w:rPr>
                <w:noProof/>
                <w:webHidden/>
              </w:rPr>
              <w:fldChar w:fldCharType="end"/>
            </w:r>
          </w:hyperlink>
        </w:p>
        <w:p w14:paraId="41F4A948" w14:textId="77777777" w:rsidR="00907A52" w:rsidRDefault="007E528B">
          <w:pPr>
            <w:pStyle w:val="TDC2"/>
            <w:rPr>
              <w:rFonts w:asciiTheme="minorHAnsi" w:eastAsiaTheme="minorEastAsia" w:hAnsiTheme="minorHAnsi" w:cstheme="minorBidi"/>
              <w:noProof/>
              <w:szCs w:val="22"/>
              <w:lang w:eastAsia="es-MX"/>
            </w:rPr>
          </w:pPr>
          <w:hyperlink w:anchor="_Toc175153345" w:history="1">
            <w:r w:rsidR="00907A52" w:rsidRPr="007210AD">
              <w:rPr>
                <w:rStyle w:val="Hipervnculo"/>
                <w:noProof/>
              </w:rPr>
              <w:t>SEGUNDO. Estudio de Fondo</w:t>
            </w:r>
            <w:r w:rsidR="00907A52">
              <w:rPr>
                <w:noProof/>
                <w:webHidden/>
              </w:rPr>
              <w:tab/>
            </w:r>
            <w:r w:rsidR="00907A52">
              <w:rPr>
                <w:noProof/>
                <w:webHidden/>
              </w:rPr>
              <w:fldChar w:fldCharType="begin"/>
            </w:r>
            <w:r w:rsidR="00907A52">
              <w:rPr>
                <w:noProof/>
                <w:webHidden/>
              </w:rPr>
              <w:instrText xml:space="preserve"> PAGEREF _Toc175153345 \h </w:instrText>
            </w:r>
            <w:r w:rsidR="00907A52">
              <w:rPr>
                <w:noProof/>
                <w:webHidden/>
              </w:rPr>
            </w:r>
            <w:r w:rsidR="00907A52">
              <w:rPr>
                <w:noProof/>
                <w:webHidden/>
              </w:rPr>
              <w:fldChar w:fldCharType="separate"/>
            </w:r>
            <w:r w:rsidR="00390A30">
              <w:rPr>
                <w:noProof/>
                <w:webHidden/>
              </w:rPr>
              <w:t>10</w:t>
            </w:r>
            <w:r w:rsidR="00907A52">
              <w:rPr>
                <w:noProof/>
                <w:webHidden/>
              </w:rPr>
              <w:fldChar w:fldCharType="end"/>
            </w:r>
          </w:hyperlink>
        </w:p>
        <w:p w14:paraId="620F0FF6" w14:textId="77777777" w:rsidR="00907A52" w:rsidRDefault="007E528B">
          <w:pPr>
            <w:pStyle w:val="TDC3"/>
            <w:rPr>
              <w:rFonts w:asciiTheme="minorHAnsi" w:eastAsiaTheme="minorEastAsia" w:hAnsiTheme="minorHAnsi" w:cstheme="minorBidi"/>
              <w:noProof/>
              <w:szCs w:val="22"/>
              <w:lang w:eastAsia="es-MX"/>
            </w:rPr>
          </w:pPr>
          <w:hyperlink w:anchor="_Toc175153346" w:history="1">
            <w:r w:rsidR="00907A52" w:rsidRPr="007210AD">
              <w:rPr>
                <w:rStyle w:val="Hipervnculo"/>
                <w:noProof/>
              </w:rPr>
              <w:t>a) Mandato de transparencia y responsabilidad del Sujeto Obligado</w:t>
            </w:r>
            <w:r w:rsidR="00907A52">
              <w:rPr>
                <w:noProof/>
                <w:webHidden/>
              </w:rPr>
              <w:tab/>
            </w:r>
            <w:r w:rsidR="00907A52">
              <w:rPr>
                <w:noProof/>
                <w:webHidden/>
              </w:rPr>
              <w:fldChar w:fldCharType="begin"/>
            </w:r>
            <w:r w:rsidR="00907A52">
              <w:rPr>
                <w:noProof/>
                <w:webHidden/>
              </w:rPr>
              <w:instrText xml:space="preserve"> PAGEREF _Toc175153346 \h </w:instrText>
            </w:r>
            <w:r w:rsidR="00907A52">
              <w:rPr>
                <w:noProof/>
                <w:webHidden/>
              </w:rPr>
            </w:r>
            <w:r w:rsidR="00907A52">
              <w:rPr>
                <w:noProof/>
                <w:webHidden/>
              </w:rPr>
              <w:fldChar w:fldCharType="separate"/>
            </w:r>
            <w:r w:rsidR="00390A30">
              <w:rPr>
                <w:noProof/>
                <w:webHidden/>
              </w:rPr>
              <w:t>10</w:t>
            </w:r>
            <w:r w:rsidR="00907A52">
              <w:rPr>
                <w:noProof/>
                <w:webHidden/>
              </w:rPr>
              <w:fldChar w:fldCharType="end"/>
            </w:r>
          </w:hyperlink>
        </w:p>
        <w:p w14:paraId="76E44447" w14:textId="77777777" w:rsidR="00907A52" w:rsidRDefault="007E528B">
          <w:pPr>
            <w:pStyle w:val="TDC3"/>
            <w:rPr>
              <w:rFonts w:asciiTheme="minorHAnsi" w:eastAsiaTheme="minorEastAsia" w:hAnsiTheme="minorHAnsi" w:cstheme="minorBidi"/>
              <w:noProof/>
              <w:szCs w:val="22"/>
              <w:lang w:eastAsia="es-MX"/>
            </w:rPr>
          </w:pPr>
          <w:hyperlink w:anchor="_Toc175153347" w:history="1">
            <w:r w:rsidR="00907A52" w:rsidRPr="007210AD">
              <w:rPr>
                <w:rStyle w:val="Hipervnculo"/>
                <w:rFonts w:eastAsia="Calibri"/>
                <w:noProof/>
                <w:lang w:eastAsia="es-ES_tradnl"/>
              </w:rPr>
              <w:t>b) Controversia a resolver</w:t>
            </w:r>
            <w:r w:rsidR="00907A52">
              <w:rPr>
                <w:noProof/>
                <w:webHidden/>
              </w:rPr>
              <w:tab/>
            </w:r>
            <w:r w:rsidR="00907A52">
              <w:rPr>
                <w:noProof/>
                <w:webHidden/>
              </w:rPr>
              <w:fldChar w:fldCharType="begin"/>
            </w:r>
            <w:r w:rsidR="00907A52">
              <w:rPr>
                <w:noProof/>
                <w:webHidden/>
              </w:rPr>
              <w:instrText xml:space="preserve"> PAGEREF _Toc175153347 \h </w:instrText>
            </w:r>
            <w:r w:rsidR="00907A52">
              <w:rPr>
                <w:noProof/>
                <w:webHidden/>
              </w:rPr>
            </w:r>
            <w:r w:rsidR="00907A52">
              <w:rPr>
                <w:noProof/>
                <w:webHidden/>
              </w:rPr>
              <w:fldChar w:fldCharType="separate"/>
            </w:r>
            <w:r w:rsidR="00390A30">
              <w:rPr>
                <w:noProof/>
                <w:webHidden/>
              </w:rPr>
              <w:t>13</w:t>
            </w:r>
            <w:r w:rsidR="00907A52">
              <w:rPr>
                <w:noProof/>
                <w:webHidden/>
              </w:rPr>
              <w:fldChar w:fldCharType="end"/>
            </w:r>
          </w:hyperlink>
        </w:p>
        <w:p w14:paraId="2E1C57EC" w14:textId="77777777" w:rsidR="00907A52" w:rsidRDefault="007E528B">
          <w:pPr>
            <w:pStyle w:val="TDC3"/>
            <w:rPr>
              <w:rFonts w:asciiTheme="minorHAnsi" w:eastAsiaTheme="minorEastAsia" w:hAnsiTheme="minorHAnsi" w:cstheme="minorBidi"/>
              <w:noProof/>
              <w:szCs w:val="22"/>
              <w:lang w:eastAsia="es-MX"/>
            </w:rPr>
          </w:pPr>
          <w:hyperlink w:anchor="_Toc175153348" w:history="1">
            <w:r w:rsidR="00907A52" w:rsidRPr="007210AD">
              <w:rPr>
                <w:rStyle w:val="Hipervnculo"/>
                <w:noProof/>
              </w:rPr>
              <w:t>c) Estudio de la controversia</w:t>
            </w:r>
            <w:r w:rsidR="00907A52">
              <w:rPr>
                <w:noProof/>
                <w:webHidden/>
              </w:rPr>
              <w:tab/>
            </w:r>
            <w:r w:rsidR="00907A52">
              <w:rPr>
                <w:noProof/>
                <w:webHidden/>
              </w:rPr>
              <w:fldChar w:fldCharType="begin"/>
            </w:r>
            <w:r w:rsidR="00907A52">
              <w:rPr>
                <w:noProof/>
                <w:webHidden/>
              </w:rPr>
              <w:instrText xml:space="preserve"> PAGEREF _Toc175153348 \h </w:instrText>
            </w:r>
            <w:r w:rsidR="00907A52">
              <w:rPr>
                <w:noProof/>
                <w:webHidden/>
              </w:rPr>
            </w:r>
            <w:r w:rsidR="00907A52">
              <w:rPr>
                <w:noProof/>
                <w:webHidden/>
              </w:rPr>
              <w:fldChar w:fldCharType="separate"/>
            </w:r>
            <w:r w:rsidR="00390A30">
              <w:rPr>
                <w:noProof/>
                <w:webHidden/>
              </w:rPr>
              <w:t>13</w:t>
            </w:r>
            <w:r w:rsidR="00907A52">
              <w:rPr>
                <w:noProof/>
                <w:webHidden/>
              </w:rPr>
              <w:fldChar w:fldCharType="end"/>
            </w:r>
          </w:hyperlink>
        </w:p>
        <w:p w14:paraId="1065C397" w14:textId="77777777" w:rsidR="00907A52" w:rsidRDefault="007E528B">
          <w:pPr>
            <w:pStyle w:val="TDC3"/>
            <w:rPr>
              <w:rFonts w:asciiTheme="minorHAnsi" w:eastAsiaTheme="minorEastAsia" w:hAnsiTheme="minorHAnsi" w:cstheme="minorBidi"/>
              <w:noProof/>
              <w:szCs w:val="22"/>
              <w:lang w:eastAsia="es-MX"/>
            </w:rPr>
          </w:pPr>
          <w:hyperlink w:anchor="_Toc175153349" w:history="1">
            <w:r w:rsidR="00907A52" w:rsidRPr="007210AD">
              <w:rPr>
                <w:rStyle w:val="Hipervnculo"/>
                <w:noProof/>
              </w:rPr>
              <w:t>d) Versión pública</w:t>
            </w:r>
            <w:r w:rsidR="00907A52">
              <w:rPr>
                <w:noProof/>
                <w:webHidden/>
              </w:rPr>
              <w:tab/>
            </w:r>
            <w:r w:rsidR="00907A52">
              <w:rPr>
                <w:noProof/>
                <w:webHidden/>
              </w:rPr>
              <w:fldChar w:fldCharType="begin"/>
            </w:r>
            <w:r w:rsidR="00907A52">
              <w:rPr>
                <w:noProof/>
                <w:webHidden/>
              </w:rPr>
              <w:instrText xml:space="preserve"> PAGEREF _Toc175153349 \h </w:instrText>
            </w:r>
            <w:r w:rsidR="00907A52">
              <w:rPr>
                <w:noProof/>
                <w:webHidden/>
              </w:rPr>
            </w:r>
            <w:r w:rsidR="00907A52">
              <w:rPr>
                <w:noProof/>
                <w:webHidden/>
              </w:rPr>
              <w:fldChar w:fldCharType="separate"/>
            </w:r>
            <w:r w:rsidR="00390A30">
              <w:rPr>
                <w:noProof/>
                <w:webHidden/>
              </w:rPr>
              <w:t>26</w:t>
            </w:r>
            <w:r w:rsidR="00907A52">
              <w:rPr>
                <w:noProof/>
                <w:webHidden/>
              </w:rPr>
              <w:fldChar w:fldCharType="end"/>
            </w:r>
          </w:hyperlink>
        </w:p>
        <w:p w14:paraId="2B0D3CF1" w14:textId="77777777" w:rsidR="00907A52" w:rsidRDefault="007E528B">
          <w:pPr>
            <w:pStyle w:val="TDC3"/>
            <w:rPr>
              <w:rFonts w:asciiTheme="minorHAnsi" w:eastAsiaTheme="minorEastAsia" w:hAnsiTheme="minorHAnsi" w:cstheme="minorBidi"/>
              <w:noProof/>
              <w:szCs w:val="22"/>
              <w:lang w:eastAsia="es-MX"/>
            </w:rPr>
          </w:pPr>
          <w:hyperlink w:anchor="_Toc175153350" w:history="1">
            <w:r w:rsidR="00907A52" w:rsidRPr="007210AD">
              <w:rPr>
                <w:rStyle w:val="Hipervnculo"/>
                <w:noProof/>
              </w:rPr>
              <w:t>e) Conclusión</w:t>
            </w:r>
            <w:r w:rsidR="00907A52">
              <w:rPr>
                <w:noProof/>
                <w:webHidden/>
              </w:rPr>
              <w:tab/>
            </w:r>
            <w:r w:rsidR="00907A52">
              <w:rPr>
                <w:noProof/>
                <w:webHidden/>
              </w:rPr>
              <w:fldChar w:fldCharType="begin"/>
            </w:r>
            <w:r w:rsidR="00907A52">
              <w:rPr>
                <w:noProof/>
                <w:webHidden/>
              </w:rPr>
              <w:instrText xml:space="preserve"> PAGEREF _Toc175153350 \h </w:instrText>
            </w:r>
            <w:r w:rsidR="00907A52">
              <w:rPr>
                <w:noProof/>
                <w:webHidden/>
              </w:rPr>
            </w:r>
            <w:r w:rsidR="00907A52">
              <w:rPr>
                <w:noProof/>
                <w:webHidden/>
              </w:rPr>
              <w:fldChar w:fldCharType="separate"/>
            </w:r>
            <w:r w:rsidR="00390A30">
              <w:rPr>
                <w:noProof/>
                <w:webHidden/>
              </w:rPr>
              <w:t>32</w:t>
            </w:r>
            <w:r w:rsidR="00907A52">
              <w:rPr>
                <w:noProof/>
                <w:webHidden/>
              </w:rPr>
              <w:fldChar w:fldCharType="end"/>
            </w:r>
          </w:hyperlink>
        </w:p>
        <w:p w14:paraId="35E7AF29" w14:textId="77777777" w:rsidR="00907A52" w:rsidRDefault="007E528B">
          <w:pPr>
            <w:pStyle w:val="TDC1"/>
            <w:tabs>
              <w:tab w:val="right" w:leader="dot" w:pos="9034"/>
            </w:tabs>
            <w:rPr>
              <w:rFonts w:asciiTheme="minorHAnsi" w:eastAsiaTheme="minorEastAsia" w:hAnsiTheme="minorHAnsi" w:cstheme="minorBidi"/>
              <w:noProof/>
              <w:szCs w:val="22"/>
              <w:lang w:eastAsia="es-MX"/>
            </w:rPr>
          </w:pPr>
          <w:hyperlink w:anchor="_Toc175153351" w:history="1">
            <w:r w:rsidR="00907A52" w:rsidRPr="007210AD">
              <w:rPr>
                <w:rStyle w:val="Hipervnculo"/>
                <w:noProof/>
              </w:rPr>
              <w:t>RESUELVE</w:t>
            </w:r>
            <w:r w:rsidR="00907A52">
              <w:rPr>
                <w:noProof/>
                <w:webHidden/>
              </w:rPr>
              <w:tab/>
            </w:r>
            <w:r w:rsidR="00907A52">
              <w:rPr>
                <w:noProof/>
                <w:webHidden/>
              </w:rPr>
              <w:fldChar w:fldCharType="begin"/>
            </w:r>
            <w:r w:rsidR="00907A52">
              <w:rPr>
                <w:noProof/>
                <w:webHidden/>
              </w:rPr>
              <w:instrText xml:space="preserve"> PAGEREF _Toc175153351 \h </w:instrText>
            </w:r>
            <w:r w:rsidR="00907A52">
              <w:rPr>
                <w:noProof/>
                <w:webHidden/>
              </w:rPr>
            </w:r>
            <w:r w:rsidR="00907A52">
              <w:rPr>
                <w:noProof/>
                <w:webHidden/>
              </w:rPr>
              <w:fldChar w:fldCharType="separate"/>
            </w:r>
            <w:r w:rsidR="00390A30">
              <w:rPr>
                <w:noProof/>
                <w:webHidden/>
              </w:rPr>
              <w:t>32</w:t>
            </w:r>
            <w:r w:rsidR="00907A52">
              <w:rPr>
                <w:noProof/>
                <w:webHidden/>
              </w:rPr>
              <w:fldChar w:fldCharType="end"/>
            </w:r>
          </w:hyperlink>
        </w:p>
        <w:p w14:paraId="0C82FD7A" w14:textId="2BC04A90" w:rsidR="009B2945" w:rsidRPr="00907A52" w:rsidRDefault="00AE3DA7" w:rsidP="00907A52">
          <w:pPr>
            <w:pStyle w:val="TDC1"/>
            <w:tabs>
              <w:tab w:val="right" w:leader="dot" w:pos="9034"/>
            </w:tabs>
            <w:rPr>
              <w:b/>
              <w:bCs/>
              <w:lang w:val="es-ES"/>
            </w:rPr>
          </w:pPr>
          <w:r w:rsidRPr="00907A52">
            <w:rPr>
              <w:b/>
              <w:bCs/>
              <w:sz w:val="16"/>
              <w:szCs w:val="16"/>
              <w:lang w:val="es-ES"/>
            </w:rPr>
            <w:fldChar w:fldCharType="end"/>
          </w:r>
        </w:p>
      </w:sdtContent>
    </w:sdt>
    <w:p w14:paraId="603A07E2" w14:textId="77777777" w:rsidR="00646436" w:rsidRPr="00907A52" w:rsidRDefault="00646436" w:rsidP="00907A52">
      <w:pPr>
        <w:rPr>
          <w:rFonts w:cs="Tahoma"/>
          <w:szCs w:val="22"/>
        </w:rPr>
        <w:sectPr w:rsidR="00646436" w:rsidRPr="00907A52"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55FDCFB" w:rsidR="00775BFC" w:rsidRPr="00907A52" w:rsidRDefault="00775BFC" w:rsidP="00907A52">
      <w:r w:rsidRPr="00907A52">
        <w:lastRenderedPageBreak/>
        <w:t>Resolución del Pleno del Instituto de Transparencia, Acceso a la Información Pública y Protección de Datos Personales del Estado de México y Municipios, con domicilio e</w:t>
      </w:r>
      <w:r w:rsidR="004D0573" w:rsidRPr="00907A52">
        <w:t xml:space="preserve">n Metepec, Estado de México, de </w:t>
      </w:r>
      <w:r w:rsidR="0068301E" w:rsidRPr="00907A52">
        <w:rPr>
          <w:b/>
        </w:rPr>
        <w:t xml:space="preserve">veintiuno </w:t>
      </w:r>
      <w:r w:rsidR="001D56CC" w:rsidRPr="00907A52">
        <w:rPr>
          <w:b/>
        </w:rPr>
        <w:t xml:space="preserve">de agosto </w:t>
      </w:r>
      <w:r w:rsidR="004D0573" w:rsidRPr="00907A52">
        <w:rPr>
          <w:b/>
        </w:rPr>
        <w:t>de dos mil veinticuatro</w:t>
      </w:r>
      <w:r w:rsidRPr="00907A52">
        <w:t>.</w:t>
      </w:r>
    </w:p>
    <w:p w14:paraId="0AF3AAC4" w14:textId="77777777" w:rsidR="00775BFC" w:rsidRPr="00907A52" w:rsidRDefault="00775BFC" w:rsidP="00907A52"/>
    <w:p w14:paraId="40EAE038" w14:textId="5F4C88C9" w:rsidR="00775BFC" w:rsidRPr="00907A52" w:rsidRDefault="00775BFC" w:rsidP="00907A52">
      <w:r w:rsidRPr="00907A52">
        <w:rPr>
          <w:b/>
        </w:rPr>
        <w:t xml:space="preserve">VISTO </w:t>
      </w:r>
      <w:r w:rsidR="008F2666" w:rsidRPr="00907A52">
        <w:t>los</w:t>
      </w:r>
      <w:r w:rsidRPr="00907A52">
        <w:t xml:space="preserve"> expediente</w:t>
      </w:r>
      <w:r w:rsidR="008F2666" w:rsidRPr="00907A52">
        <w:t>s</w:t>
      </w:r>
      <w:r w:rsidRPr="00907A52">
        <w:t xml:space="preserve"> formado</w:t>
      </w:r>
      <w:r w:rsidR="008F2666" w:rsidRPr="00907A52">
        <w:t>s</w:t>
      </w:r>
      <w:r w:rsidRPr="00907A52">
        <w:t xml:space="preserve"> con motivo de</w:t>
      </w:r>
      <w:r w:rsidR="008F2666" w:rsidRPr="00907A52">
        <w:t xml:space="preserve"> los</w:t>
      </w:r>
      <w:r w:rsidRPr="00907A52">
        <w:t xml:space="preserve"> Recurso</w:t>
      </w:r>
      <w:r w:rsidR="008F2666" w:rsidRPr="00907A52">
        <w:t>s</w:t>
      </w:r>
      <w:r w:rsidRPr="00907A52">
        <w:t xml:space="preserve"> de Revisión </w:t>
      </w:r>
      <w:r w:rsidR="004D0573" w:rsidRPr="00907A52">
        <w:rPr>
          <w:rFonts w:eastAsia="Calibri"/>
          <w:b/>
          <w:lang w:eastAsia="en-US"/>
        </w:rPr>
        <w:t>0</w:t>
      </w:r>
      <w:r w:rsidR="00DD45BF" w:rsidRPr="00907A52">
        <w:rPr>
          <w:rFonts w:eastAsia="Calibri"/>
          <w:b/>
          <w:lang w:eastAsia="en-US"/>
        </w:rPr>
        <w:t>3297</w:t>
      </w:r>
      <w:r w:rsidR="004D0573" w:rsidRPr="00907A52">
        <w:rPr>
          <w:rFonts w:eastAsia="Calibri"/>
          <w:b/>
          <w:lang w:eastAsia="en-US"/>
        </w:rPr>
        <w:t>/</w:t>
      </w:r>
      <w:r w:rsidRPr="00907A52">
        <w:rPr>
          <w:rFonts w:eastAsia="Calibri"/>
          <w:b/>
          <w:lang w:eastAsia="en-US"/>
        </w:rPr>
        <w:t>INFOEM/IP/RR/</w:t>
      </w:r>
      <w:r w:rsidR="004D0573" w:rsidRPr="00907A52">
        <w:rPr>
          <w:rFonts w:eastAsia="Calibri"/>
          <w:b/>
          <w:lang w:eastAsia="en-US"/>
        </w:rPr>
        <w:t>2024</w:t>
      </w:r>
      <w:r w:rsidR="008F2666" w:rsidRPr="00907A52">
        <w:rPr>
          <w:rFonts w:eastAsia="Calibri"/>
          <w:b/>
          <w:lang w:eastAsia="en-US"/>
        </w:rPr>
        <w:t xml:space="preserve"> </w:t>
      </w:r>
      <w:r w:rsidR="008F2666" w:rsidRPr="00907A52">
        <w:rPr>
          <w:rFonts w:eastAsia="Calibri"/>
          <w:lang w:eastAsia="en-US"/>
        </w:rPr>
        <w:t>y</w:t>
      </w:r>
      <w:r w:rsidR="008F2666" w:rsidRPr="00907A52">
        <w:rPr>
          <w:rFonts w:eastAsia="Calibri"/>
          <w:b/>
          <w:lang w:eastAsia="en-US"/>
        </w:rPr>
        <w:t xml:space="preserve"> 0</w:t>
      </w:r>
      <w:r w:rsidR="00DD45BF" w:rsidRPr="00907A52">
        <w:rPr>
          <w:rFonts w:eastAsia="Calibri"/>
          <w:b/>
          <w:lang w:eastAsia="en-US"/>
        </w:rPr>
        <w:t>3300</w:t>
      </w:r>
      <w:r w:rsidR="008F2666" w:rsidRPr="00907A52">
        <w:rPr>
          <w:rFonts w:eastAsia="Calibri"/>
          <w:b/>
          <w:lang w:eastAsia="en-US"/>
        </w:rPr>
        <w:t>/INFOEM/IP/RR/2024</w:t>
      </w:r>
      <w:r w:rsidR="008F2666" w:rsidRPr="00907A52">
        <w:rPr>
          <w:rFonts w:eastAsia="Calibri"/>
          <w:lang w:eastAsia="en-US"/>
        </w:rPr>
        <w:t xml:space="preserve"> </w:t>
      </w:r>
      <w:r w:rsidRPr="00907A52">
        <w:t>interpuesto</w:t>
      </w:r>
      <w:r w:rsidR="008F2666" w:rsidRPr="00907A52">
        <w:t>s</w:t>
      </w:r>
      <w:r w:rsidRPr="00907A52">
        <w:t xml:space="preserve"> por </w:t>
      </w:r>
      <w:r w:rsidR="00DD45BF" w:rsidRPr="00907A52">
        <w:rPr>
          <w:rFonts w:eastAsia="Calibri"/>
          <w:b/>
          <w:lang w:eastAsia="en-US"/>
        </w:rPr>
        <w:t>Jorge Álvarez García</w:t>
      </w:r>
      <w:r w:rsidR="008F2666" w:rsidRPr="00907A52">
        <w:rPr>
          <w:rFonts w:eastAsia="Palatino Linotype" w:cs="Palatino Linotype"/>
        </w:rPr>
        <w:t>,</w:t>
      </w:r>
      <w:r w:rsidRPr="00907A52">
        <w:t xml:space="preserve"> a quien en lo subsecuente se le denominará </w:t>
      </w:r>
      <w:r w:rsidRPr="00907A52">
        <w:rPr>
          <w:b/>
          <w:bCs/>
        </w:rPr>
        <w:t>LA PARTE RECURRENTE</w:t>
      </w:r>
      <w:r w:rsidRPr="00907A52">
        <w:t>, en contra de la</w:t>
      </w:r>
      <w:r w:rsidR="008F2666" w:rsidRPr="00907A52">
        <w:t>s</w:t>
      </w:r>
      <w:r w:rsidRPr="00907A52">
        <w:t xml:space="preserve"> </w:t>
      </w:r>
      <w:r w:rsidR="00773DD6" w:rsidRPr="00907A52">
        <w:t>respuesta</w:t>
      </w:r>
      <w:r w:rsidR="008F2666" w:rsidRPr="00907A52">
        <w:t>s</w:t>
      </w:r>
      <w:r w:rsidR="00773DD6" w:rsidRPr="00907A52">
        <w:t xml:space="preserve"> </w:t>
      </w:r>
      <w:r w:rsidR="00BA1AB6" w:rsidRPr="00907A52">
        <w:t>de</w:t>
      </w:r>
      <w:r w:rsidR="00773DD6" w:rsidRPr="00907A52">
        <w:t xml:space="preserve">l </w:t>
      </w:r>
      <w:r w:rsidR="008F2666" w:rsidRPr="00907A52">
        <w:rPr>
          <w:b/>
          <w:bCs/>
        </w:rPr>
        <w:t xml:space="preserve">Ayuntamiento de </w:t>
      </w:r>
      <w:r w:rsidR="00DD45BF" w:rsidRPr="00907A52">
        <w:rPr>
          <w:b/>
          <w:bCs/>
        </w:rPr>
        <w:t>Zumpango</w:t>
      </w:r>
      <w:r w:rsidRPr="00907A52">
        <w:rPr>
          <w:b/>
          <w:bCs/>
        </w:rPr>
        <w:t>,</w:t>
      </w:r>
      <w:r w:rsidRPr="00907A52">
        <w:t xml:space="preserve"> en adelante </w:t>
      </w:r>
      <w:r w:rsidRPr="00907A52">
        <w:rPr>
          <w:b/>
          <w:bCs/>
        </w:rPr>
        <w:t>EL SUJETO OBLIGADO</w:t>
      </w:r>
      <w:r w:rsidRPr="00907A52">
        <w:rPr>
          <w:rFonts w:eastAsia="Calibri"/>
          <w:lang w:eastAsia="en-US"/>
        </w:rPr>
        <w:t xml:space="preserve">, </w:t>
      </w:r>
      <w:r w:rsidRPr="00907A52">
        <w:t>se emite la presente Resolución con base en los Antecedentes y Considerandos que se exponen a continuación:</w:t>
      </w:r>
    </w:p>
    <w:p w14:paraId="27BFE6A0" w14:textId="77777777" w:rsidR="003A268D" w:rsidRPr="00907A52" w:rsidRDefault="003A268D" w:rsidP="00907A52"/>
    <w:p w14:paraId="5A444FB6" w14:textId="639D3567" w:rsidR="00664420" w:rsidRPr="00907A52" w:rsidRDefault="00664420" w:rsidP="00907A52">
      <w:pPr>
        <w:pStyle w:val="Ttulo1"/>
      </w:pPr>
      <w:bookmarkStart w:id="3" w:name="_Toc175153323"/>
      <w:r w:rsidRPr="00907A52">
        <w:t>ANTECEDENTES</w:t>
      </w:r>
      <w:bookmarkEnd w:id="3"/>
    </w:p>
    <w:p w14:paraId="5CB5034E" w14:textId="77777777" w:rsidR="00AC2DB8" w:rsidRPr="00907A52" w:rsidRDefault="00AC2DB8" w:rsidP="00907A52"/>
    <w:p w14:paraId="09B2D38F" w14:textId="0EBC2D68" w:rsidR="00664420" w:rsidRPr="00907A52" w:rsidRDefault="00E37A3F" w:rsidP="00907A52">
      <w:pPr>
        <w:pStyle w:val="Ttulo2"/>
      </w:pPr>
      <w:bookmarkStart w:id="4" w:name="_Toc175153324"/>
      <w:r w:rsidRPr="00907A52">
        <w:t>DE LA</w:t>
      </w:r>
      <w:r w:rsidR="008F2666" w:rsidRPr="00907A52">
        <w:t>S</w:t>
      </w:r>
      <w:r w:rsidRPr="00907A52">
        <w:t xml:space="preserve"> SOLICITUD</w:t>
      </w:r>
      <w:r w:rsidR="008F2666" w:rsidRPr="00907A52">
        <w:t>ES</w:t>
      </w:r>
      <w:r w:rsidRPr="00907A52">
        <w:t xml:space="preserve"> DE INFORMACIÓN</w:t>
      </w:r>
      <w:bookmarkEnd w:id="4"/>
    </w:p>
    <w:p w14:paraId="7B7535DF" w14:textId="77777777" w:rsidR="00E37A3F" w:rsidRPr="00907A52" w:rsidRDefault="00E37A3F" w:rsidP="00907A52"/>
    <w:p w14:paraId="2C6AD1A5" w14:textId="1C762CA2" w:rsidR="00664420" w:rsidRPr="00907A52" w:rsidRDefault="00E37A3F" w:rsidP="00907A52">
      <w:pPr>
        <w:pStyle w:val="Ttulo3"/>
      </w:pPr>
      <w:bookmarkStart w:id="5" w:name="_Toc175153325"/>
      <w:r w:rsidRPr="00907A52">
        <w:t xml:space="preserve">a) </w:t>
      </w:r>
      <w:r w:rsidR="006B10B0" w:rsidRPr="00907A52">
        <w:t>S</w:t>
      </w:r>
      <w:r w:rsidR="00664420" w:rsidRPr="00907A52">
        <w:t>olicitud</w:t>
      </w:r>
      <w:r w:rsidR="008F2666" w:rsidRPr="00907A52">
        <w:t>es</w:t>
      </w:r>
      <w:r w:rsidR="00664420" w:rsidRPr="00907A52">
        <w:t xml:space="preserve"> de </w:t>
      </w:r>
      <w:r w:rsidR="006B10B0" w:rsidRPr="00907A52">
        <w:t>i</w:t>
      </w:r>
      <w:r w:rsidR="00664420" w:rsidRPr="00907A52">
        <w:t>nformación</w:t>
      </w:r>
      <w:bookmarkEnd w:id="5"/>
    </w:p>
    <w:p w14:paraId="06DCD29D" w14:textId="4C580035" w:rsidR="009A2D78" w:rsidRPr="00907A52" w:rsidRDefault="006B10B0" w:rsidP="00907A52">
      <w:pPr>
        <w:pStyle w:val="Prrafodelista"/>
        <w:tabs>
          <w:tab w:val="left" w:pos="0"/>
        </w:tabs>
        <w:ind w:left="0"/>
        <w:contextualSpacing w:val="0"/>
        <w:rPr>
          <w:rFonts w:cs="Tahoma"/>
        </w:rPr>
      </w:pPr>
      <w:r w:rsidRPr="00907A52">
        <w:rPr>
          <w:rFonts w:cs="Tahoma"/>
        </w:rPr>
        <w:t>El</w:t>
      </w:r>
      <w:r w:rsidR="00664420" w:rsidRPr="00907A52">
        <w:rPr>
          <w:rFonts w:cs="Tahoma"/>
        </w:rPr>
        <w:t xml:space="preserve"> </w:t>
      </w:r>
      <w:r w:rsidR="00DD45BF" w:rsidRPr="00907A52">
        <w:rPr>
          <w:rFonts w:cs="Tahoma"/>
          <w:b/>
          <w:bCs/>
        </w:rPr>
        <w:t xml:space="preserve">dieciocho </w:t>
      </w:r>
      <w:r w:rsidR="008F2666" w:rsidRPr="00907A52">
        <w:rPr>
          <w:rFonts w:cs="Tahoma"/>
          <w:b/>
          <w:bCs/>
        </w:rPr>
        <w:t xml:space="preserve">de </w:t>
      </w:r>
      <w:r w:rsidR="00DD45BF" w:rsidRPr="00907A52">
        <w:rPr>
          <w:rFonts w:cs="Tahoma"/>
          <w:b/>
          <w:bCs/>
        </w:rPr>
        <w:t xml:space="preserve">abril </w:t>
      </w:r>
      <w:r w:rsidR="00664420" w:rsidRPr="00907A52">
        <w:rPr>
          <w:rFonts w:cs="Tahoma"/>
          <w:b/>
          <w:bCs/>
        </w:rPr>
        <w:t xml:space="preserve">de dos mil </w:t>
      </w:r>
      <w:r w:rsidR="004D0573" w:rsidRPr="00907A52">
        <w:rPr>
          <w:rFonts w:cs="Tahoma"/>
          <w:b/>
          <w:bCs/>
        </w:rPr>
        <w:t>veinticuatro</w:t>
      </w:r>
      <w:r w:rsidR="00664420" w:rsidRPr="00907A52">
        <w:rPr>
          <w:rFonts w:cs="Tahoma"/>
        </w:rPr>
        <w:t xml:space="preserve">, </w:t>
      </w:r>
      <w:r w:rsidRPr="00907A52">
        <w:rPr>
          <w:b/>
          <w:bCs/>
        </w:rPr>
        <w:t>LA PARTE RECURRENTE</w:t>
      </w:r>
      <w:r w:rsidR="00664420" w:rsidRPr="00907A52">
        <w:rPr>
          <w:rFonts w:cs="Tahoma"/>
        </w:rPr>
        <w:t xml:space="preserve"> presentó </w:t>
      </w:r>
      <w:r w:rsidR="008F2666" w:rsidRPr="00907A52">
        <w:rPr>
          <w:rFonts w:cs="Tahoma"/>
        </w:rPr>
        <w:t>las</w:t>
      </w:r>
      <w:r w:rsidR="00664420" w:rsidRPr="00907A52">
        <w:rPr>
          <w:rFonts w:cs="Tahoma"/>
        </w:rPr>
        <w:t xml:space="preserve"> solicitud</w:t>
      </w:r>
      <w:r w:rsidR="008F2666" w:rsidRPr="00907A52">
        <w:rPr>
          <w:rFonts w:cs="Tahoma"/>
        </w:rPr>
        <w:t>es</w:t>
      </w:r>
      <w:r w:rsidR="00664420" w:rsidRPr="00907A52">
        <w:rPr>
          <w:rFonts w:cs="Tahoma"/>
        </w:rPr>
        <w:t xml:space="preserve"> de acceso a la información pública </w:t>
      </w:r>
      <w:r w:rsidR="001F3515" w:rsidRPr="00907A52">
        <w:rPr>
          <w:rFonts w:cs="Tahoma"/>
        </w:rPr>
        <w:t xml:space="preserve">ante el </w:t>
      </w:r>
      <w:r w:rsidR="001F3515" w:rsidRPr="00907A52">
        <w:rPr>
          <w:rFonts w:cs="Tahoma"/>
          <w:b/>
          <w:bCs/>
        </w:rPr>
        <w:t>SUJETO OBLIGADO</w:t>
      </w:r>
      <w:r w:rsidR="001F3515" w:rsidRPr="00907A52">
        <w:rPr>
          <w:rFonts w:cs="Tahoma"/>
        </w:rPr>
        <w:t xml:space="preserve">, </w:t>
      </w:r>
      <w:r w:rsidR="00664420" w:rsidRPr="00907A52">
        <w:rPr>
          <w:rFonts w:cs="Tahoma"/>
        </w:rPr>
        <w:t>a través del Sistema de Acceso a la Información Mexiquense</w:t>
      </w:r>
      <w:r w:rsidRPr="00907A52">
        <w:rPr>
          <w:rFonts w:cs="Tahoma"/>
        </w:rPr>
        <w:t xml:space="preserve"> </w:t>
      </w:r>
      <w:r w:rsidR="009A2D78" w:rsidRPr="00907A52">
        <w:rPr>
          <w:rFonts w:cs="Tahoma"/>
        </w:rPr>
        <w:t>(</w:t>
      </w:r>
      <w:r w:rsidRPr="00907A52">
        <w:rPr>
          <w:rFonts w:cs="Tahoma"/>
        </w:rPr>
        <w:t>SAIMEX</w:t>
      </w:r>
      <w:r w:rsidR="009A2D78" w:rsidRPr="00907A52">
        <w:rPr>
          <w:rFonts w:cs="Tahoma"/>
        </w:rPr>
        <w:t>). Dicha</w:t>
      </w:r>
      <w:r w:rsidR="008F2666" w:rsidRPr="00907A52">
        <w:rPr>
          <w:rFonts w:cs="Tahoma"/>
        </w:rPr>
        <w:t>s</w:t>
      </w:r>
      <w:r w:rsidR="009A2D78" w:rsidRPr="00907A52">
        <w:rPr>
          <w:rFonts w:cs="Tahoma"/>
        </w:rPr>
        <w:t xml:space="preserve"> solicitud</w:t>
      </w:r>
      <w:r w:rsidR="008F2666" w:rsidRPr="00907A52">
        <w:rPr>
          <w:rFonts w:cs="Tahoma"/>
        </w:rPr>
        <w:t>es</w:t>
      </w:r>
      <w:r w:rsidR="009A2D78" w:rsidRPr="00907A52">
        <w:rPr>
          <w:rFonts w:cs="Tahoma"/>
        </w:rPr>
        <w:t xml:space="preserve"> qued</w:t>
      </w:r>
      <w:r w:rsidR="008F2666" w:rsidRPr="00907A52">
        <w:rPr>
          <w:rFonts w:cs="Tahoma"/>
        </w:rPr>
        <w:t>aron</w:t>
      </w:r>
      <w:r w:rsidRPr="00907A52">
        <w:rPr>
          <w:rFonts w:cs="Tahoma"/>
        </w:rPr>
        <w:t xml:space="preserve"> registrada</w:t>
      </w:r>
      <w:r w:rsidR="008F2666" w:rsidRPr="00907A52">
        <w:rPr>
          <w:rFonts w:cs="Tahoma"/>
        </w:rPr>
        <w:t>s</w:t>
      </w:r>
      <w:r w:rsidRPr="00907A52">
        <w:rPr>
          <w:rFonts w:cs="Tahoma"/>
        </w:rPr>
        <w:t xml:space="preserve"> c</w:t>
      </w:r>
      <w:r w:rsidR="008F2666" w:rsidRPr="00907A52">
        <w:rPr>
          <w:rFonts w:cs="Tahoma"/>
        </w:rPr>
        <w:t xml:space="preserve">on </w:t>
      </w:r>
      <w:r w:rsidR="00664420" w:rsidRPr="00907A52">
        <w:rPr>
          <w:rFonts w:cs="Tahoma"/>
        </w:rPr>
        <w:t>l</w:t>
      </w:r>
      <w:r w:rsidR="008F2666" w:rsidRPr="00907A52">
        <w:rPr>
          <w:rFonts w:cs="Tahoma"/>
        </w:rPr>
        <w:t>os</w:t>
      </w:r>
      <w:r w:rsidR="00664420" w:rsidRPr="00907A52">
        <w:rPr>
          <w:rFonts w:cs="Tahoma"/>
        </w:rPr>
        <w:t xml:space="preserve"> número</w:t>
      </w:r>
      <w:r w:rsidR="008F2666" w:rsidRPr="00907A52">
        <w:rPr>
          <w:rFonts w:cs="Tahoma"/>
        </w:rPr>
        <w:t>s</w:t>
      </w:r>
      <w:r w:rsidR="00664420" w:rsidRPr="00907A52">
        <w:rPr>
          <w:rFonts w:cs="Tahoma"/>
        </w:rPr>
        <w:t xml:space="preserve"> de folio</w:t>
      </w:r>
      <w:r w:rsidR="00664420" w:rsidRPr="00907A52">
        <w:rPr>
          <w:rFonts w:cs="Tahoma"/>
          <w:b/>
          <w:bCs/>
        </w:rPr>
        <w:t xml:space="preserve"> </w:t>
      </w:r>
      <w:r w:rsidR="00DD45BF" w:rsidRPr="00907A52">
        <w:rPr>
          <w:rFonts w:cs="Tahoma"/>
          <w:b/>
          <w:bCs/>
        </w:rPr>
        <w:t>00079/ZUMPANGO/IP/</w:t>
      </w:r>
      <w:proofErr w:type="gramStart"/>
      <w:r w:rsidR="00DD45BF" w:rsidRPr="00907A52">
        <w:rPr>
          <w:rFonts w:cs="Tahoma"/>
          <w:b/>
          <w:bCs/>
        </w:rPr>
        <w:t>2024</w:t>
      </w:r>
      <w:r w:rsidR="00DD45BF" w:rsidRPr="00907A52">
        <w:rPr>
          <w:rFonts w:cs="Tahoma"/>
        </w:rPr>
        <w:t xml:space="preserve"> </w:t>
      </w:r>
      <w:r w:rsidR="008F2666" w:rsidRPr="00907A52">
        <w:rPr>
          <w:rFonts w:cs="Tahoma"/>
          <w:b/>
          <w:bCs/>
        </w:rPr>
        <w:t xml:space="preserve"> </w:t>
      </w:r>
      <w:r w:rsidR="002A3601" w:rsidRPr="00907A52">
        <w:rPr>
          <w:rFonts w:cs="Tahoma"/>
        </w:rPr>
        <w:t>y</w:t>
      </w:r>
      <w:proofErr w:type="gramEnd"/>
      <w:r w:rsidR="008F2666" w:rsidRPr="00907A52">
        <w:rPr>
          <w:rFonts w:cs="Tahoma"/>
        </w:rPr>
        <w:t xml:space="preserve"> </w:t>
      </w:r>
      <w:r w:rsidR="00DD45BF" w:rsidRPr="00907A52">
        <w:rPr>
          <w:rFonts w:cs="Tahoma"/>
          <w:b/>
          <w:bCs/>
        </w:rPr>
        <w:t>00081/ZUMPANGO/IP/2024</w:t>
      </w:r>
      <w:r w:rsidR="00DD45BF" w:rsidRPr="00907A52">
        <w:rPr>
          <w:rFonts w:cs="Tahoma"/>
        </w:rPr>
        <w:t xml:space="preserve"> </w:t>
      </w:r>
      <w:r w:rsidR="002A3601" w:rsidRPr="00907A52">
        <w:rPr>
          <w:rFonts w:cs="Tahoma"/>
        </w:rPr>
        <w:t xml:space="preserve">en </w:t>
      </w:r>
      <w:r w:rsidR="008F2666" w:rsidRPr="00907A52">
        <w:rPr>
          <w:rFonts w:cs="Tahoma"/>
        </w:rPr>
        <w:t xml:space="preserve">las que </w:t>
      </w:r>
      <w:r w:rsidR="009A2D78" w:rsidRPr="00907A52">
        <w:rPr>
          <w:rFonts w:cs="Tahoma"/>
        </w:rPr>
        <w:t>se requirió la siguiente información:</w:t>
      </w:r>
    </w:p>
    <w:p w14:paraId="0459D6AC" w14:textId="77777777" w:rsidR="00664420" w:rsidRPr="00907A52" w:rsidRDefault="00664420" w:rsidP="00907A52">
      <w:pPr>
        <w:tabs>
          <w:tab w:val="left" w:pos="4667"/>
        </w:tabs>
        <w:ind w:right="567"/>
        <w:rPr>
          <w:rFonts w:cs="Tahoma"/>
          <w:b/>
          <w:bCs/>
        </w:rPr>
      </w:pPr>
    </w:p>
    <w:p w14:paraId="33151796" w14:textId="4E528240" w:rsidR="00DD45BF" w:rsidRPr="00907A52" w:rsidRDefault="00DD45BF" w:rsidP="00907A52">
      <w:pPr>
        <w:rPr>
          <w:b/>
          <w:bCs/>
          <w:lang w:val="es-ES"/>
        </w:rPr>
      </w:pPr>
      <w:r w:rsidRPr="00907A52">
        <w:rPr>
          <w:b/>
          <w:bCs/>
          <w:lang w:val="es-ES"/>
        </w:rPr>
        <w:t xml:space="preserve">Solicitud </w:t>
      </w:r>
      <w:r w:rsidRPr="00907A52">
        <w:rPr>
          <w:rFonts w:cs="Tahoma"/>
          <w:b/>
          <w:bCs/>
        </w:rPr>
        <w:t>00081/ZUMPANGO/IP/2024</w:t>
      </w:r>
      <w:r w:rsidRPr="00907A52">
        <w:rPr>
          <w:b/>
          <w:bCs/>
          <w:lang w:val="es-ES"/>
        </w:rPr>
        <w:t>, correspondiente al Recurso 03297/INFOEM/IP/RR/2024</w:t>
      </w:r>
    </w:p>
    <w:p w14:paraId="40F5DC66" w14:textId="77777777" w:rsidR="00DD45BF" w:rsidRPr="00907A52" w:rsidRDefault="00DD45BF" w:rsidP="00907A52">
      <w:pPr>
        <w:tabs>
          <w:tab w:val="left" w:pos="4667"/>
        </w:tabs>
        <w:ind w:right="567"/>
        <w:rPr>
          <w:rFonts w:cs="Tahoma"/>
          <w:b/>
          <w:bCs/>
        </w:rPr>
      </w:pPr>
    </w:p>
    <w:p w14:paraId="64D229FB" w14:textId="17830088" w:rsidR="008F2666" w:rsidRPr="00907A52" w:rsidRDefault="008F2666" w:rsidP="00907A52">
      <w:pPr>
        <w:pStyle w:val="Puesto"/>
      </w:pPr>
      <w:r w:rsidRPr="00907A52">
        <w:lastRenderedPageBreak/>
        <w:t>“</w:t>
      </w:r>
      <w:r w:rsidR="00DD45BF" w:rsidRPr="00907A52">
        <w:t>Certificación de competencia laboral que, en términos del artículo 32, fracción IV, de la Ley Orgánica Municipal del Estado de México, en su caso haya presentado Eduardo García Vázquez</w:t>
      </w:r>
      <w:r w:rsidRPr="00907A52">
        <w:t>” (sic)</w:t>
      </w:r>
    </w:p>
    <w:p w14:paraId="72921FCC" w14:textId="77777777" w:rsidR="008F2666" w:rsidRPr="00907A52" w:rsidRDefault="008F2666" w:rsidP="00907A52"/>
    <w:p w14:paraId="0C0CCD83" w14:textId="37FCAFC8" w:rsidR="00DD45BF" w:rsidRPr="00907A52" w:rsidRDefault="00DD45BF" w:rsidP="00907A52">
      <w:pPr>
        <w:rPr>
          <w:b/>
          <w:bCs/>
          <w:lang w:val="es-ES"/>
        </w:rPr>
      </w:pPr>
      <w:r w:rsidRPr="00907A52">
        <w:rPr>
          <w:b/>
          <w:bCs/>
          <w:lang w:val="es-ES"/>
        </w:rPr>
        <w:t xml:space="preserve">Solicitud </w:t>
      </w:r>
      <w:r w:rsidRPr="00907A52">
        <w:rPr>
          <w:rFonts w:cs="Tahoma"/>
          <w:b/>
          <w:bCs/>
        </w:rPr>
        <w:t>00079/ZUMPANGO/IP/2024</w:t>
      </w:r>
      <w:r w:rsidRPr="00907A52">
        <w:rPr>
          <w:b/>
          <w:bCs/>
          <w:lang w:val="es-ES"/>
        </w:rPr>
        <w:t>, correspondiente al Recurso 03300/INFOEM/IP/RR/2024</w:t>
      </w:r>
    </w:p>
    <w:p w14:paraId="50B6B363" w14:textId="77777777" w:rsidR="00DD45BF" w:rsidRPr="00907A52" w:rsidRDefault="00DD45BF" w:rsidP="00907A52">
      <w:pPr>
        <w:pStyle w:val="Puesto"/>
      </w:pPr>
    </w:p>
    <w:p w14:paraId="73F05B4D" w14:textId="62932BEE" w:rsidR="00DD45BF" w:rsidRPr="00907A52" w:rsidRDefault="00DD45BF" w:rsidP="00907A52">
      <w:pPr>
        <w:pStyle w:val="Puesto"/>
      </w:pPr>
      <w:r w:rsidRPr="00907A52">
        <w:t xml:space="preserve">“Certificación de competencia laboral que, en términos del artículo 32, fracción IV, de la Ley Orgánica Municipal del Estado de México, en su caso haya presentado </w:t>
      </w:r>
      <w:proofErr w:type="spellStart"/>
      <w:r w:rsidRPr="00907A52">
        <w:t>Roselía</w:t>
      </w:r>
      <w:proofErr w:type="spellEnd"/>
      <w:r w:rsidRPr="00907A52">
        <w:t xml:space="preserve"> </w:t>
      </w:r>
      <w:proofErr w:type="spellStart"/>
      <w:r w:rsidRPr="00907A52">
        <w:t>Veridiana</w:t>
      </w:r>
      <w:proofErr w:type="spellEnd"/>
      <w:r w:rsidRPr="00907A52">
        <w:t xml:space="preserve"> García </w:t>
      </w:r>
      <w:proofErr w:type="spellStart"/>
      <w:r w:rsidRPr="00907A52">
        <w:t>Alquicira</w:t>
      </w:r>
      <w:proofErr w:type="spellEnd"/>
      <w:r w:rsidRPr="00907A52">
        <w:t>” (sic)</w:t>
      </w:r>
    </w:p>
    <w:p w14:paraId="598BFA80" w14:textId="77777777" w:rsidR="00DD45BF" w:rsidRPr="00907A52" w:rsidRDefault="00DD45BF" w:rsidP="00907A52"/>
    <w:p w14:paraId="0BD6321D" w14:textId="56D9ABBC" w:rsidR="00664420" w:rsidRPr="00907A52" w:rsidRDefault="009A2D78" w:rsidP="00907A52">
      <w:pPr>
        <w:tabs>
          <w:tab w:val="left" w:pos="4667"/>
        </w:tabs>
        <w:ind w:left="567" w:right="567"/>
        <w:rPr>
          <w:rFonts w:cs="Tahoma"/>
          <w:bCs/>
          <w:szCs w:val="22"/>
        </w:rPr>
      </w:pPr>
      <w:r w:rsidRPr="00907A52">
        <w:rPr>
          <w:rFonts w:cs="Tahoma"/>
          <w:b/>
          <w:bCs/>
          <w:szCs w:val="22"/>
        </w:rPr>
        <w:t>Modalidad de entrega</w:t>
      </w:r>
      <w:r w:rsidRPr="00907A52">
        <w:rPr>
          <w:rFonts w:cs="Tahoma"/>
          <w:bCs/>
          <w:szCs w:val="22"/>
        </w:rPr>
        <w:t>: a</w:t>
      </w:r>
      <w:r w:rsidR="00664420" w:rsidRPr="00907A52">
        <w:rPr>
          <w:rFonts w:cs="Tahoma"/>
          <w:bCs/>
          <w:i/>
          <w:szCs w:val="22"/>
        </w:rPr>
        <w:t xml:space="preserve"> través del </w:t>
      </w:r>
      <w:r w:rsidR="00664420" w:rsidRPr="00907A52">
        <w:rPr>
          <w:rFonts w:cs="Tahoma"/>
          <w:b/>
          <w:bCs/>
          <w:i/>
          <w:szCs w:val="22"/>
        </w:rPr>
        <w:t>SAIMEX</w:t>
      </w:r>
      <w:r w:rsidRPr="00907A52">
        <w:rPr>
          <w:rFonts w:cs="Tahoma"/>
          <w:bCs/>
          <w:i/>
          <w:szCs w:val="22"/>
        </w:rPr>
        <w:t>.</w:t>
      </w:r>
    </w:p>
    <w:p w14:paraId="334D2860" w14:textId="77777777" w:rsidR="00664420" w:rsidRPr="00907A52" w:rsidRDefault="00664420" w:rsidP="00907A52">
      <w:pPr>
        <w:autoSpaceDE w:val="0"/>
        <w:autoSpaceDN w:val="0"/>
        <w:adjustRightInd w:val="0"/>
        <w:ind w:right="-28"/>
        <w:rPr>
          <w:rFonts w:cs="Tahoma"/>
          <w:bCs/>
          <w:i/>
          <w:szCs w:val="22"/>
        </w:rPr>
      </w:pPr>
    </w:p>
    <w:p w14:paraId="24E4F853" w14:textId="77777777" w:rsidR="00DD45BF" w:rsidRPr="00907A52" w:rsidRDefault="00DD45BF" w:rsidP="00907A52">
      <w:pPr>
        <w:pStyle w:val="Ttulo3"/>
      </w:pPr>
      <w:bookmarkStart w:id="6" w:name="_Toc170932807"/>
      <w:bookmarkStart w:id="7" w:name="_Toc172567958"/>
      <w:bookmarkStart w:id="8" w:name="_Toc175153326"/>
      <w:r w:rsidRPr="00907A52">
        <w:t>b) Turno de la solicitud de información</w:t>
      </w:r>
      <w:bookmarkEnd w:id="6"/>
      <w:bookmarkEnd w:id="7"/>
      <w:bookmarkEnd w:id="8"/>
    </w:p>
    <w:p w14:paraId="7F175B8B" w14:textId="57B7EF76" w:rsidR="00DD45BF" w:rsidRPr="00907A52" w:rsidRDefault="00DD45BF" w:rsidP="00907A52">
      <w:r w:rsidRPr="00907A52">
        <w:t xml:space="preserve">En cumplimiento al artículo 162 de la Ley de Transparencia y Acceso a la Información Pública del Estado de México y Municipios, el </w:t>
      </w:r>
      <w:r w:rsidRPr="00907A52">
        <w:rPr>
          <w:rFonts w:eastAsia="Palatino Linotype" w:cs="Palatino Linotype"/>
          <w:b/>
        </w:rPr>
        <w:t>dieciocho de abril de dos mil veintitrés</w:t>
      </w:r>
      <w:r w:rsidRPr="00907A52">
        <w:t xml:space="preserve">, el Titular de la Unidad de Transparencia del </w:t>
      </w:r>
      <w:r w:rsidRPr="00907A52">
        <w:rPr>
          <w:b/>
        </w:rPr>
        <w:t>SUJETO OBLIGADO</w:t>
      </w:r>
      <w:r w:rsidRPr="00907A52">
        <w:t xml:space="preserve"> turnó las solicitudes de información al servidor público habilitado que estimó pertinente.</w:t>
      </w:r>
    </w:p>
    <w:p w14:paraId="25E6DE25" w14:textId="77777777" w:rsidR="00DD45BF" w:rsidRPr="00907A52" w:rsidRDefault="00DD45BF" w:rsidP="00907A52">
      <w:pPr>
        <w:autoSpaceDE w:val="0"/>
        <w:autoSpaceDN w:val="0"/>
        <w:adjustRightInd w:val="0"/>
        <w:ind w:right="-28"/>
        <w:rPr>
          <w:rFonts w:cs="Tahoma"/>
          <w:bCs/>
          <w:i/>
          <w:szCs w:val="22"/>
        </w:rPr>
      </w:pPr>
    </w:p>
    <w:p w14:paraId="3212BA4D" w14:textId="78A3680E" w:rsidR="00664420" w:rsidRPr="00907A52" w:rsidRDefault="00DD45BF" w:rsidP="00907A52">
      <w:pPr>
        <w:pStyle w:val="Ttulo3"/>
        <w:rPr>
          <w:rFonts w:eastAsia="Calibri"/>
          <w:lang w:eastAsia="en-US"/>
        </w:rPr>
      </w:pPr>
      <w:bookmarkStart w:id="9" w:name="_Toc175153327"/>
      <w:r w:rsidRPr="00907A52">
        <w:t>c</w:t>
      </w:r>
      <w:r w:rsidR="00E37A3F" w:rsidRPr="00907A52">
        <w:t xml:space="preserve">) </w:t>
      </w:r>
      <w:r w:rsidR="00664420" w:rsidRPr="00907A52">
        <w:rPr>
          <w:lang w:val="es-ES"/>
        </w:rPr>
        <w:t>Respuesta</w:t>
      </w:r>
      <w:r w:rsidR="008F2666" w:rsidRPr="00907A52">
        <w:rPr>
          <w:lang w:val="es-ES"/>
        </w:rPr>
        <w:t>s</w:t>
      </w:r>
      <w:r w:rsidR="00664420" w:rsidRPr="00907A52">
        <w:rPr>
          <w:lang w:val="es-ES"/>
        </w:rPr>
        <w:t xml:space="preserve"> </w:t>
      </w:r>
      <w:r w:rsidR="00664420" w:rsidRPr="00907A52">
        <w:rPr>
          <w:rFonts w:eastAsia="Calibri"/>
          <w:lang w:eastAsia="en-US"/>
        </w:rPr>
        <w:t>del Sujeto Obligado</w:t>
      </w:r>
      <w:bookmarkEnd w:id="9"/>
    </w:p>
    <w:p w14:paraId="2143017E" w14:textId="0EDE35B6" w:rsidR="00BA1AB6" w:rsidRPr="00907A52" w:rsidRDefault="003B0255" w:rsidP="00907A52">
      <w:pPr>
        <w:rPr>
          <w:lang w:val="es-ES"/>
        </w:rPr>
      </w:pPr>
      <w:r w:rsidRPr="00907A52">
        <w:rPr>
          <w:lang w:val="es-ES"/>
        </w:rPr>
        <w:t xml:space="preserve">El </w:t>
      </w:r>
      <w:r w:rsidR="00DD45BF" w:rsidRPr="00907A52">
        <w:rPr>
          <w:b/>
          <w:bCs/>
          <w:lang w:val="es-ES"/>
        </w:rPr>
        <w:t xml:space="preserve">quince </w:t>
      </w:r>
      <w:r w:rsidRPr="00907A52">
        <w:rPr>
          <w:b/>
          <w:bCs/>
          <w:lang w:val="es-ES"/>
        </w:rPr>
        <w:t xml:space="preserve">de </w:t>
      </w:r>
      <w:r w:rsidR="00DD45BF" w:rsidRPr="00907A52">
        <w:rPr>
          <w:b/>
          <w:bCs/>
          <w:lang w:val="es-ES"/>
        </w:rPr>
        <w:t>mayo</w:t>
      </w:r>
      <w:r w:rsidRPr="00907A52">
        <w:rPr>
          <w:b/>
          <w:bCs/>
          <w:lang w:val="es-ES"/>
        </w:rPr>
        <w:t xml:space="preserve"> de dos mil veinticuatro</w:t>
      </w:r>
      <w:r w:rsidRPr="00907A52">
        <w:rPr>
          <w:lang w:val="es-ES"/>
        </w:rPr>
        <w:t xml:space="preserve">, el Titular de la Unidad de Transparencia del </w:t>
      </w:r>
      <w:r w:rsidRPr="00907A52">
        <w:rPr>
          <w:b/>
          <w:lang w:val="es-ES"/>
        </w:rPr>
        <w:t>SUJETO OBLIGADO</w:t>
      </w:r>
      <w:r w:rsidRPr="00907A52">
        <w:rPr>
          <w:lang w:val="es-ES"/>
        </w:rPr>
        <w:t xml:space="preserve"> notificó la</w:t>
      </w:r>
      <w:r w:rsidR="008F2666" w:rsidRPr="00907A52">
        <w:rPr>
          <w:lang w:val="es-ES"/>
        </w:rPr>
        <w:t>s</w:t>
      </w:r>
      <w:r w:rsidRPr="00907A52">
        <w:rPr>
          <w:lang w:val="es-ES"/>
        </w:rPr>
        <w:t xml:space="preserve"> siguiente</w:t>
      </w:r>
      <w:r w:rsidR="008F2666" w:rsidRPr="00907A52">
        <w:rPr>
          <w:lang w:val="es-ES"/>
        </w:rPr>
        <w:t>s</w:t>
      </w:r>
      <w:r w:rsidRPr="00907A52">
        <w:rPr>
          <w:lang w:val="es-ES"/>
        </w:rPr>
        <w:t xml:space="preserve"> respuesta</w:t>
      </w:r>
      <w:r w:rsidR="008F2666" w:rsidRPr="00907A52">
        <w:rPr>
          <w:lang w:val="es-ES"/>
        </w:rPr>
        <w:t>s</w:t>
      </w:r>
      <w:r w:rsidRPr="00907A52">
        <w:rPr>
          <w:lang w:val="es-ES"/>
        </w:rPr>
        <w:t xml:space="preserve"> a través del </w:t>
      </w:r>
      <w:r w:rsidRPr="00907A52">
        <w:rPr>
          <w:b/>
          <w:lang w:val="es-ES"/>
        </w:rPr>
        <w:t>SAIMEX</w:t>
      </w:r>
      <w:r w:rsidRPr="00907A52">
        <w:rPr>
          <w:lang w:val="es-ES"/>
        </w:rPr>
        <w:t>:</w:t>
      </w:r>
    </w:p>
    <w:p w14:paraId="64166B4B" w14:textId="77777777" w:rsidR="003B0255" w:rsidRPr="00907A52" w:rsidRDefault="003B0255" w:rsidP="00907A52"/>
    <w:p w14:paraId="58E96175" w14:textId="77777777" w:rsidR="00DD45BF" w:rsidRPr="00907A52" w:rsidRDefault="003B0255" w:rsidP="00907A52">
      <w:pPr>
        <w:pStyle w:val="Puesto"/>
      </w:pPr>
      <w:r w:rsidRPr="00907A52">
        <w:t>“</w:t>
      </w:r>
      <w:r w:rsidR="00DD45BF" w:rsidRPr="00907A52">
        <w:t>En respuesta a la solicitud recibida, nos permitimos hacer de su conocimiento que con fundamento en el artículo 53, Fracciones: II, V y VI de la Ley de Transparencia y Acceso a la Información Pública del Estado de México y Municipios, le contestamos que:</w:t>
      </w:r>
    </w:p>
    <w:p w14:paraId="2E5DB659" w14:textId="77777777" w:rsidR="00DD45BF" w:rsidRPr="00907A52" w:rsidRDefault="00DD45BF" w:rsidP="00907A52"/>
    <w:p w14:paraId="0C4CB60D" w14:textId="77777777" w:rsidR="00DD45BF" w:rsidRPr="00907A52" w:rsidRDefault="00DD45BF" w:rsidP="00907A52">
      <w:pPr>
        <w:pStyle w:val="Puesto"/>
      </w:pPr>
      <w:r w:rsidRPr="00907A52">
        <w:t>Se encuentra disponible en las oficinas de recursos humanos para consulta, en un horario de 09:00 a 17:00 horas de lunes a viernes</w:t>
      </w:r>
    </w:p>
    <w:p w14:paraId="75F0BD74" w14:textId="77777777" w:rsidR="00DD45BF" w:rsidRPr="00907A52" w:rsidRDefault="00DD45BF" w:rsidP="00907A52">
      <w:pPr>
        <w:pStyle w:val="Puesto"/>
      </w:pPr>
      <w:r w:rsidRPr="00907A52">
        <w:lastRenderedPageBreak/>
        <w:t>ATENTAMENTE</w:t>
      </w:r>
    </w:p>
    <w:p w14:paraId="370D86A4" w14:textId="77777777" w:rsidR="00DD45BF" w:rsidRPr="00907A52" w:rsidRDefault="00DD45BF" w:rsidP="00907A52"/>
    <w:p w14:paraId="4A08B1BE" w14:textId="4D0405C2" w:rsidR="003B0255" w:rsidRPr="00907A52" w:rsidRDefault="00DD45BF" w:rsidP="00907A52">
      <w:pPr>
        <w:pStyle w:val="Puesto"/>
      </w:pPr>
      <w:r w:rsidRPr="00907A52">
        <w:t>LIC. YOSELIN MOCTEZUMA HERNÁNDEZ</w:t>
      </w:r>
      <w:r w:rsidR="003B0255" w:rsidRPr="00907A52">
        <w:t>” (sic)</w:t>
      </w:r>
    </w:p>
    <w:p w14:paraId="4B1F18A0" w14:textId="77777777" w:rsidR="003B0255" w:rsidRPr="00907A52" w:rsidRDefault="003B0255" w:rsidP="00907A52"/>
    <w:p w14:paraId="5A5DAB9E" w14:textId="77777777" w:rsidR="00E37A3F" w:rsidRPr="00907A52" w:rsidRDefault="00E37A3F" w:rsidP="00907A52">
      <w:pPr>
        <w:pStyle w:val="Ttulo2"/>
        <w:jc w:val="left"/>
      </w:pPr>
      <w:bookmarkStart w:id="10" w:name="_Toc175153328"/>
      <w:r w:rsidRPr="00907A52">
        <w:t>DEL RECURSO DE REVISIÓN</w:t>
      </w:r>
      <w:bookmarkEnd w:id="10"/>
    </w:p>
    <w:p w14:paraId="0B17CD08" w14:textId="77777777" w:rsidR="00664420" w:rsidRPr="00907A52" w:rsidRDefault="00664420" w:rsidP="00907A52">
      <w:pPr>
        <w:autoSpaceDE w:val="0"/>
        <w:autoSpaceDN w:val="0"/>
        <w:adjustRightInd w:val="0"/>
        <w:ind w:right="-28"/>
        <w:rPr>
          <w:rFonts w:cs="Tahoma"/>
          <w:bCs/>
          <w:szCs w:val="22"/>
          <w:lang w:val="es-ES"/>
        </w:rPr>
      </w:pPr>
    </w:p>
    <w:p w14:paraId="2B216813" w14:textId="61ADBB2B" w:rsidR="00664420" w:rsidRPr="00907A52" w:rsidRDefault="006E25BC" w:rsidP="00907A52">
      <w:pPr>
        <w:pStyle w:val="Ttulo3"/>
      </w:pPr>
      <w:bookmarkStart w:id="11" w:name="_Toc175153329"/>
      <w:r w:rsidRPr="00907A52">
        <w:rPr>
          <w:szCs w:val="32"/>
        </w:rPr>
        <w:t>a)</w:t>
      </w:r>
      <w:r w:rsidRPr="00907A52">
        <w:t xml:space="preserve"> </w:t>
      </w:r>
      <w:r w:rsidR="00664420" w:rsidRPr="00907A52">
        <w:t>Interposición del Recurso de Revisión</w:t>
      </w:r>
      <w:bookmarkEnd w:id="11"/>
    </w:p>
    <w:p w14:paraId="6279C622" w14:textId="73B788A2" w:rsidR="00664420" w:rsidRPr="00907A52" w:rsidRDefault="00664420" w:rsidP="00907A52">
      <w:pPr>
        <w:autoSpaceDE w:val="0"/>
        <w:autoSpaceDN w:val="0"/>
        <w:adjustRightInd w:val="0"/>
        <w:ind w:right="-28"/>
        <w:rPr>
          <w:rFonts w:cs="Tahoma"/>
          <w:szCs w:val="22"/>
        </w:rPr>
      </w:pPr>
      <w:r w:rsidRPr="00907A52">
        <w:rPr>
          <w:rFonts w:cs="Tahoma"/>
          <w:szCs w:val="22"/>
        </w:rPr>
        <w:t xml:space="preserve">El </w:t>
      </w:r>
      <w:r w:rsidR="00DD45BF" w:rsidRPr="00907A52">
        <w:rPr>
          <w:rFonts w:cs="Tahoma"/>
          <w:b/>
          <w:bCs/>
          <w:szCs w:val="22"/>
        </w:rPr>
        <w:t xml:space="preserve">veintisiete </w:t>
      </w:r>
      <w:r w:rsidR="0068301E" w:rsidRPr="00907A52">
        <w:rPr>
          <w:rFonts w:cs="Tahoma"/>
          <w:b/>
          <w:bCs/>
          <w:szCs w:val="22"/>
        </w:rPr>
        <w:t xml:space="preserve">de </w:t>
      </w:r>
      <w:r w:rsidR="00DD45BF" w:rsidRPr="00907A52">
        <w:rPr>
          <w:rFonts w:cs="Tahoma"/>
          <w:b/>
          <w:bCs/>
          <w:szCs w:val="22"/>
        </w:rPr>
        <w:t xml:space="preserve">mayo </w:t>
      </w:r>
      <w:r w:rsidRPr="00907A52">
        <w:rPr>
          <w:rFonts w:cs="Tahoma"/>
          <w:b/>
          <w:bCs/>
          <w:szCs w:val="22"/>
        </w:rPr>
        <w:t>de dos mil</w:t>
      </w:r>
      <w:r w:rsidR="00F45902" w:rsidRPr="00907A52">
        <w:rPr>
          <w:rFonts w:cs="Tahoma"/>
          <w:b/>
          <w:bCs/>
          <w:szCs w:val="22"/>
        </w:rPr>
        <w:t xml:space="preserve"> veinticuatro</w:t>
      </w:r>
      <w:r w:rsidRPr="00907A52">
        <w:rPr>
          <w:rFonts w:cs="Tahoma"/>
          <w:szCs w:val="22"/>
        </w:rPr>
        <w:t xml:space="preserve"> </w:t>
      </w:r>
      <w:r w:rsidR="00F75D23" w:rsidRPr="00907A52">
        <w:rPr>
          <w:rFonts w:cs="Tahoma"/>
          <w:b/>
          <w:bCs/>
          <w:szCs w:val="22"/>
        </w:rPr>
        <w:t>LA PARTE RECURRENTE</w:t>
      </w:r>
      <w:r w:rsidR="00F75D23" w:rsidRPr="00907A52">
        <w:rPr>
          <w:rFonts w:cs="Tahoma"/>
          <w:szCs w:val="22"/>
        </w:rPr>
        <w:t xml:space="preserve"> interpuso </w:t>
      </w:r>
      <w:r w:rsidR="0068301E" w:rsidRPr="00907A52">
        <w:rPr>
          <w:rFonts w:cs="Tahoma"/>
          <w:szCs w:val="22"/>
        </w:rPr>
        <w:t>los</w:t>
      </w:r>
      <w:r w:rsidR="00F75D23" w:rsidRPr="00907A52">
        <w:rPr>
          <w:rFonts w:cs="Tahoma"/>
          <w:szCs w:val="22"/>
        </w:rPr>
        <w:t xml:space="preserve"> recurso</w:t>
      </w:r>
      <w:r w:rsidR="0068301E" w:rsidRPr="00907A52">
        <w:rPr>
          <w:rFonts w:cs="Tahoma"/>
          <w:szCs w:val="22"/>
        </w:rPr>
        <w:t>s</w:t>
      </w:r>
      <w:r w:rsidR="00F75D23" w:rsidRPr="00907A52">
        <w:rPr>
          <w:rFonts w:cs="Tahoma"/>
          <w:szCs w:val="22"/>
        </w:rPr>
        <w:t xml:space="preserve"> de revisión en contra de la</w:t>
      </w:r>
      <w:r w:rsidR="0068301E" w:rsidRPr="00907A52">
        <w:rPr>
          <w:rFonts w:cs="Tahoma"/>
          <w:szCs w:val="22"/>
        </w:rPr>
        <w:t>s</w:t>
      </w:r>
      <w:r w:rsidR="00F75D23" w:rsidRPr="00907A52">
        <w:rPr>
          <w:rFonts w:cs="Tahoma"/>
          <w:szCs w:val="22"/>
        </w:rPr>
        <w:t xml:space="preserve"> respuesta</w:t>
      </w:r>
      <w:r w:rsidR="0068301E" w:rsidRPr="00907A52">
        <w:rPr>
          <w:rFonts w:cs="Tahoma"/>
          <w:szCs w:val="22"/>
        </w:rPr>
        <w:t>s</w:t>
      </w:r>
      <w:r w:rsidR="00F75D23" w:rsidRPr="00907A52">
        <w:rPr>
          <w:rFonts w:cs="Tahoma"/>
          <w:szCs w:val="22"/>
        </w:rPr>
        <w:t xml:space="preserve"> emitida</w:t>
      </w:r>
      <w:r w:rsidR="0068301E" w:rsidRPr="00907A52">
        <w:rPr>
          <w:rFonts w:cs="Tahoma"/>
          <w:szCs w:val="22"/>
        </w:rPr>
        <w:t>s</w:t>
      </w:r>
      <w:r w:rsidR="00F75D23" w:rsidRPr="00907A52">
        <w:rPr>
          <w:rFonts w:cs="Tahoma"/>
          <w:szCs w:val="22"/>
        </w:rPr>
        <w:t xml:space="preserve"> por el </w:t>
      </w:r>
      <w:r w:rsidR="00F75D23" w:rsidRPr="00907A52">
        <w:rPr>
          <w:rFonts w:cs="Tahoma"/>
          <w:b/>
          <w:bCs/>
          <w:szCs w:val="22"/>
        </w:rPr>
        <w:t>SUJETO OBLIGADO</w:t>
      </w:r>
      <w:r w:rsidR="00953430" w:rsidRPr="00907A52">
        <w:rPr>
          <w:rFonts w:cs="Tahoma"/>
          <w:szCs w:val="22"/>
        </w:rPr>
        <w:t>, mismo</w:t>
      </w:r>
      <w:r w:rsidR="0068301E" w:rsidRPr="00907A52">
        <w:rPr>
          <w:rFonts w:cs="Tahoma"/>
          <w:szCs w:val="22"/>
        </w:rPr>
        <w:t>s</w:t>
      </w:r>
      <w:r w:rsidR="00953430" w:rsidRPr="00907A52">
        <w:rPr>
          <w:rFonts w:cs="Tahoma"/>
          <w:szCs w:val="22"/>
        </w:rPr>
        <w:t xml:space="preserve"> que fue</w:t>
      </w:r>
      <w:r w:rsidR="0068301E" w:rsidRPr="00907A52">
        <w:rPr>
          <w:rFonts w:cs="Tahoma"/>
          <w:szCs w:val="22"/>
        </w:rPr>
        <w:t>ron</w:t>
      </w:r>
      <w:r w:rsidR="00953430" w:rsidRPr="00907A52">
        <w:rPr>
          <w:rFonts w:cs="Tahoma"/>
          <w:szCs w:val="22"/>
        </w:rPr>
        <w:t xml:space="preserve"> registrado</w:t>
      </w:r>
      <w:r w:rsidR="0068301E" w:rsidRPr="00907A52">
        <w:rPr>
          <w:rFonts w:cs="Tahoma"/>
          <w:szCs w:val="22"/>
        </w:rPr>
        <w:t>s</w:t>
      </w:r>
      <w:r w:rsidR="00953430" w:rsidRPr="00907A52">
        <w:rPr>
          <w:rFonts w:cs="Tahoma"/>
          <w:szCs w:val="22"/>
        </w:rPr>
        <w:t xml:space="preserve"> en el </w:t>
      </w:r>
      <w:r w:rsidR="00953430" w:rsidRPr="00907A52">
        <w:rPr>
          <w:rFonts w:cs="Tahoma"/>
          <w:b/>
          <w:szCs w:val="22"/>
        </w:rPr>
        <w:t>SAIMEX</w:t>
      </w:r>
      <w:r w:rsidR="00953430" w:rsidRPr="00907A52">
        <w:rPr>
          <w:rFonts w:cs="Tahoma"/>
          <w:szCs w:val="22"/>
        </w:rPr>
        <w:t xml:space="preserve"> con </w:t>
      </w:r>
      <w:r w:rsidR="0068301E" w:rsidRPr="00907A52">
        <w:rPr>
          <w:rFonts w:cs="Tahoma"/>
          <w:szCs w:val="22"/>
        </w:rPr>
        <w:t>los</w:t>
      </w:r>
      <w:r w:rsidR="00953430" w:rsidRPr="00907A52">
        <w:rPr>
          <w:rFonts w:cs="Tahoma"/>
          <w:szCs w:val="22"/>
        </w:rPr>
        <w:t xml:space="preserve"> número</w:t>
      </w:r>
      <w:r w:rsidR="0068301E" w:rsidRPr="00907A52">
        <w:rPr>
          <w:rFonts w:cs="Tahoma"/>
          <w:szCs w:val="22"/>
        </w:rPr>
        <w:t>s</w:t>
      </w:r>
      <w:r w:rsidR="00953430" w:rsidRPr="00907A52">
        <w:rPr>
          <w:rFonts w:cs="Tahoma"/>
          <w:szCs w:val="22"/>
        </w:rPr>
        <w:t xml:space="preserve"> de expediente </w:t>
      </w:r>
      <w:r w:rsidR="00DD45BF" w:rsidRPr="00907A52">
        <w:rPr>
          <w:rFonts w:eastAsia="Calibri"/>
          <w:b/>
          <w:lang w:eastAsia="en-US"/>
        </w:rPr>
        <w:t xml:space="preserve">03297/INFOEM/IP/RR/2024 </w:t>
      </w:r>
      <w:r w:rsidR="00DD45BF" w:rsidRPr="00907A52">
        <w:rPr>
          <w:rFonts w:eastAsia="Calibri"/>
          <w:lang w:eastAsia="en-US"/>
        </w:rPr>
        <w:t>y</w:t>
      </w:r>
      <w:r w:rsidR="00DD45BF" w:rsidRPr="00907A52">
        <w:rPr>
          <w:rFonts w:eastAsia="Calibri"/>
          <w:b/>
          <w:lang w:eastAsia="en-US"/>
        </w:rPr>
        <w:t xml:space="preserve"> 03300/INFOEM/IP/RR/2024</w:t>
      </w:r>
      <w:r w:rsidR="00953430" w:rsidRPr="00907A52">
        <w:rPr>
          <w:rFonts w:cs="Tahoma"/>
          <w:szCs w:val="22"/>
        </w:rPr>
        <w:t>, en l</w:t>
      </w:r>
      <w:r w:rsidR="0068301E" w:rsidRPr="00907A52">
        <w:rPr>
          <w:rFonts w:cs="Tahoma"/>
          <w:szCs w:val="22"/>
        </w:rPr>
        <w:t>os</w:t>
      </w:r>
      <w:r w:rsidR="00953430" w:rsidRPr="00907A52">
        <w:rPr>
          <w:rFonts w:cs="Tahoma"/>
          <w:szCs w:val="22"/>
        </w:rPr>
        <w:t xml:space="preserve"> cual</w:t>
      </w:r>
      <w:r w:rsidR="0068301E" w:rsidRPr="00907A52">
        <w:rPr>
          <w:rFonts w:cs="Tahoma"/>
          <w:szCs w:val="22"/>
        </w:rPr>
        <w:t>es</w:t>
      </w:r>
      <w:r w:rsidR="00953430" w:rsidRPr="00907A52">
        <w:rPr>
          <w:rFonts w:cs="Tahoma"/>
          <w:szCs w:val="22"/>
        </w:rPr>
        <w:t xml:space="preserve"> manifiesta lo siguiente</w:t>
      </w:r>
      <w:r w:rsidRPr="00907A52">
        <w:rPr>
          <w:rFonts w:cs="Tahoma"/>
          <w:szCs w:val="22"/>
        </w:rPr>
        <w:t>:</w:t>
      </w:r>
    </w:p>
    <w:p w14:paraId="74B30008" w14:textId="77777777" w:rsidR="00664420" w:rsidRPr="00907A52" w:rsidRDefault="00664420" w:rsidP="00907A52">
      <w:pPr>
        <w:tabs>
          <w:tab w:val="left" w:pos="4667"/>
        </w:tabs>
        <w:ind w:right="539"/>
        <w:rPr>
          <w:rFonts w:cs="Tahoma"/>
          <w:szCs w:val="22"/>
        </w:rPr>
      </w:pPr>
    </w:p>
    <w:p w14:paraId="4B8BB26C" w14:textId="77777777" w:rsidR="00DD45BF" w:rsidRPr="00907A52" w:rsidRDefault="00664420" w:rsidP="00907A52">
      <w:pPr>
        <w:tabs>
          <w:tab w:val="left" w:pos="2637"/>
          <w:tab w:val="left" w:pos="4667"/>
        </w:tabs>
        <w:ind w:right="539"/>
        <w:rPr>
          <w:rFonts w:cs="Tahoma"/>
          <w:b/>
          <w:iCs/>
        </w:rPr>
      </w:pPr>
      <w:r w:rsidRPr="00907A52">
        <w:rPr>
          <w:rFonts w:cs="Tahoma"/>
          <w:b/>
          <w:iCs/>
        </w:rPr>
        <w:t>ACTO IMPUGNADO</w:t>
      </w:r>
      <w:r w:rsidR="00DD45BF" w:rsidRPr="00907A52">
        <w:rPr>
          <w:rFonts w:cs="Tahoma"/>
          <w:b/>
          <w:iCs/>
        </w:rPr>
        <w:t xml:space="preserve">: </w:t>
      </w:r>
    </w:p>
    <w:p w14:paraId="05836C25" w14:textId="77777777" w:rsidR="00DD45BF" w:rsidRPr="00907A52" w:rsidRDefault="00DD45BF" w:rsidP="00907A52">
      <w:pPr>
        <w:pStyle w:val="Puesto"/>
      </w:pPr>
    </w:p>
    <w:p w14:paraId="1DD88D34" w14:textId="5E6930DE" w:rsidR="00DD45BF" w:rsidRPr="00907A52" w:rsidRDefault="00DD45BF" w:rsidP="00907A52">
      <w:pPr>
        <w:pStyle w:val="Puesto"/>
      </w:pPr>
      <w:r w:rsidRPr="00907A52">
        <w:t xml:space="preserve">“La autoridad no quiere respetar el método de entrega de la información” (sic) </w:t>
      </w:r>
    </w:p>
    <w:p w14:paraId="442460E3" w14:textId="77777777" w:rsidR="00DD45BF" w:rsidRPr="00907A52" w:rsidRDefault="00DD45BF" w:rsidP="00907A52">
      <w:pPr>
        <w:pStyle w:val="Puesto"/>
      </w:pPr>
    </w:p>
    <w:p w14:paraId="3D243688" w14:textId="77777777" w:rsidR="00DD45BF" w:rsidRPr="00907A52" w:rsidRDefault="00DD45BF" w:rsidP="00907A52">
      <w:pPr>
        <w:rPr>
          <w:b/>
          <w:bCs/>
          <w:lang w:val="es-ES"/>
        </w:rPr>
      </w:pPr>
    </w:p>
    <w:p w14:paraId="3D32FD97" w14:textId="77777777" w:rsidR="00DD45BF" w:rsidRPr="00907A52" w:rsidRDefault="00DD45BF" w:rsidP="00907A52">
      <w:pPr>
        <w:tabs>
          <w:tab w:val="left" w:pos="2637"/>
          <w:tab w:val="left" w:pos="4667"/>
        </w:tabs>
        <w:ind w:right="539"/>
        <w:rPr>
          <w:rFonts w:cs="Tahoma"/>
          <w:b/>
          <w:iCs/>
        </w:rPr>
      </w:pPr>
      <w:r w:rsidRPr="00907A52">
        <w:rPr>
          <w:rFonts w:cs="Tahoma"/>
          <w:b/>
          <w:iCs/>
        </w:rPr>
        <w:t>RAZONES O MOTIVOS DE INCONFORMIDAD:</w:t>
      </w:r>
      <w:r w:rsidRPr="00907A52">
        <w:rPr>
          <w:rFonts w:cs="Tahoma"/>
          <w:b/>
          <w:iCs/>
        </w:rPr>
        <w:tab/>
      </w:r>
      <w:r w:rsidRPr="00907A52">
        <w:rPr>
          <w:rFonts w:cs="Tahoma"/>
          <w:b/>
          <w:iCs/>
        </w:rPr>
        <w:tab/>
      </w:r>
    </w:p>
    <w:p w14:paraId="311228AA" w14:textId="77777777" w:rsidR="00DD45BF" w:rsidRPr="00907A52" w:rsidRDefault="00DD45BF" w:rsidP="00907A52">
      <w:pPr>
        <w:tabs>
          <w:tab w:val="left" w:pos="2637"/>
          <w:tab w:val="left" w:pos="4667"/>
        </w:tabs>
        <w:ind w:right="539"/>
        <w:rPr>
          <w:rFonts w:cs="Tahoma"/>
          <w:b/>
          <w:iCs/>
        </w:rPr>
      </w:pPr>
    </w:p>
    <w:p w14:paraId="34BEA3BF" w14:textId="77777777" w:rsidR="00DD45BF" w:rsidRPr="00907A52" w:rsidRDefault="00DD45BF" w:rsidP="00907A52">
      <w:pPr>
        <w:rPr>
          <w:b/>
          <w:bCs/>
          <w:lang w:val="es-ES"/>
        </w:rPr>
      </w:pPr>
      <w:r w:rsidRPr="00907A52">
        <w:rPr>
          <w:b/>
          <w:bCs/>
          <w:lang w:val="es-ES"/>
        </w:rPr>
        <w:t xml:space="preserve">Solicitud </w:t>
      </w:r>
      <w:r w:rsidRPr="00907A52">
        <w:rPr>
          <w:rFonts w:cs="Tahoma"/>
          <w:b/>
          <w:bCs/>
        </w:rPr>
        <w:t>00081/ZUMPANGO/IP/2024</w:t>
      </w:r>
      <w:r w:rsidRPr="00907A52">
        <w:rPr>
          <w:b/>
          <w:bCs/>
          <w:lang w:val="es-ES"/>
        </w:rPr>
        <w:t>, correspondiente al Recurso 03297/INFOEM/IP/RR/2024</w:t>
      </w:r>
    </w:p>
    <w:p w14:paraId="077BC32F" w14:textId="77777777" w:rsidR="00DD45BF" w:rsidRPr="00907A52" w:rsidRDefault="00DD45BF" w:rsidP="00907A52">
      <w:pPr>
        <w:rPr>
          <w:b/>
          <w:bCs/>
          <w:lang w:val="es-ES"/>
        </w:rPr>
      </w:pPr>
    </w:p>
    <w:p w14:paraId="6C11F1F2" w14:textId="77777777" w:rsidR="00DD45BF" w:rsidRPr="00907A52" w:rsidRDefault="00DD45BF" w:rsidP="00907A52">
      <w:pPr>
        <w:pStyle w:val="Puesto"/>
      </w:pPr>
      <w:r w:rsidRPr="00907A52">
        <w:t xml:space="preserve">“Se solicitó entrega vía SAIMEX y están requiriendo presencia en oficina para poder consultarla” (sic) </w:t>
      </w:r>
    </w:p>
    <w:p w14:paraId="363AA529" w14:textId="77777777" w:rsidR="00DD45BF" w:rsidRPr="00907A52" w:rsidRDefault="00DD45BF" w:rsidP="00907A52"/>
    <w:p w14:paraId="02DEEC84" w14:textId="77777777" w:rsidR="00DD45BF" w:rsidRPr="00907A52" w:rsidRDefault="00DD45BF" w:rsidP="00907A52">
      <w:pPr>
        <w:rPr>
          <w:b/>
          <w:bCs/>
          <w:lang w:val="es-ES"/>
        </w:rPr>
      </w:pPr>
      <w:r w:rsidRPr="00907A52">
        <w:rPr>
          <w:b/>
          <w:bCs/>
          <w:lang w:val="es-ES"/>
        </w:rPr>
        <w:t xml:space="preserve">Solicitud </w:t>
      </w:r>
      <w:r w:rsidRPr="00907A52">
        <w:rPr>
          <w:rFonts w:cs="Tahoma"/>
          <w:b/>
          <w:bCs/>
        </w:rPr>
        <w:t>00079/ZUMPANGO/IP/2024</w:t>
      </w:r>
      <w:r w:rsidRPr="00907A52">
        <w:rPr>
          <w:b/>
          <w:bCs/>
          <w:lang w:val="es-ES"/>
        </w:rPr>
        <w:t>, correspondiente al Recurso 03300/INFOEM/IP/RR/2024</w:t>
      </w:r>
    </w:p>
    <w:p w14:paraId="177EE3D5" w14:textId="77777777" w:rsidR="00F45902" w:rsidRPr="00907A52" w:rsidRDefault="00F45902" w:rsidP="00907A52">
      <w:pPr>
        <w:pStyle w:val="Puesto"/>
      </w:pPr>
    </w:p>
    <w:p w14:paraId="523F8BF4" w14:textId="7B51B352" w:rsidR="00664420" w:rsidRPr="00907A52" w:rsidRDefault="00F45902" w:rsidP="00907A52">
      <w:pPr>
        <w:pStyle w:val="Puesto"/>
      </w:pPr>
      <w:r w:rsidRPr="00907A52">
        <w:t>“</w:t>
      </w:r>
      <w:r w:rsidR="00DD45BF" w:rsidRPr="00907A52">
        <w:t>Se solicitó entrega de información vía SAIMEX pero están solicitando presencia en oficina para poder consultarla</w:t>
      </w:r>
      <w:r w:rsidRPr="00907A52">
        <w:t xml:space="preserve">” (sic) </w:t>
      </w:r>
    </w:p>
    <w:p w14:paraId="6AE8EA9A" w14:textId="77777777" w:rsidR="00664420" w:rsidRPr="00907A52" w:rsidRDefault="00664420" w:rsidP="00907A52">
      <w:pPr>
        <w:pStyle w:val="Puesto"/>
        <w:rPr>
          <w:bCs/>
        </w:rPr>
      </w:pPr>
    </w:p>
    <w:p w14:paraId="6804DEF1" w14:textId="3C4F6CB5" w:rsidR="00664420" w:rsidRPr="00907A52" w:rsidRDefault="006E25BC" w:rsidP="00907A52">
      <w:pPr>
        <w:pStyle w:val="Ttulo3"/>
      </w:pPr>
      <w:bookmarkStart w:id="12" w:name="_Toc175153330"/>
      <w:r w:rsidRPr="00907A52">
        <w:t>b</w:t>
      </w:r>
      <w:r w:rsidR="00664420" w:rsidRPr="00907A52">
        <w:t>) Turno del Recurso de Revisión</w:t>
      </w:r>
      <w:bookmarkEnd w:id="12"/>
    </w:p>
    <w:p w14:paraId="1173671B" w14:textId="2B1BE508" w:rsidR="00C72DAA" w:rsidRPr="00907A52" w:rsidRDefault="00C72DAA" w:rsidP="00907A52">
      <w:r w:rsidRPr="00907A52">
        <w:t>Con fundamento en el artículo 185, fracción I de la Ley de Transparencia y Acceso a la Información Pública del Estado de México y Municipios, el</w:t>
      </w:r>
      <w:r w:rsidRPr="00907A52">
        <w:rPr>
          <w:b/>
          <w:bCs/>
        </w:rPr>
        <w:t xml:space="preserve"> </w:t>
      </w:r>
      <w:r w:rsidR="00DD45BF" w:rsidRPr="00907A52">
        <w:rPr>
          <w:rFonts w:eastAsia="Palatino Linotype" w:cs="Palatino Linotype"/>
          <w:b/>
        </w:rPr>
        <w:t xml:space="preserve">veintisiete de mayo </w:t>
      </w:r>
      <w:r w:rsidRPr="00907A52">
        <w:rPr>
          <w:rFonts w:eastAsia="Palatino Linotype" w:cs="Palatino Linotype"/>
          <w:b/>
        </w:rPr>
        <w:t xml:space="preserve">de dos mil </w:t>
      </w:r>
      <w:r w:rsidR="00657603" w:rsidRPr="00907A52">
        <w:rPr>
          <w:rFonts w:eastAsia="Palatino Linotype" w:cs="Palatino Linotype"/>
          <w:b/>
        </w:rPr>
        <w:t xml:space="preserve">veinticuatro </w:t>
      </w:r>
      <w:r w:rsidRPr="00907A52">
        <w:t>se turn</w:t>
      </w:r>
      <w:r w:rsidR="0068301E" w:rsidRPr="00907A52">
        <w:t>aron los</w:t>
      </w:r>
      <w:r w:rsidRPr="00907A52">
        <w:t xml:space="preserve"> recurso</w:t>
      </w:r>
      <w:r w:rsidR="0068301E" w:rsidRPr="00907A52">
        <w:t>s</w:t>
      </w:r>
      <w:r w:rsidRPr="00907A52">
        <w:t xml:space="preserve"> de revisión a través del</w:t>
      </w:r>
      <w:r w:rsidRPr="00907A52">
        <w:rPr>
          <w:rFonts w:eastAsia="Arial Unicode MS"/>
        </w:rPr>
        <w:t xml:space="preserve"> </w:t>
      </w:r>
      <w:r w:rsidRPr="00907A52">
        <w:rPr>
          <w:rFonts w:eastAsia="Arial Unicode MS"/>
          <w:bCs/>
        </w:rPr>
        <w:t>SAIMEX</w:t>
      </w:r>
      <w:r w:rsidRPr="00907A52">
        <w:t xml:space="preserve"> a la </w:t>
      </w:r>
      <w:r w:rsidRPr="00907A52">
        <w:rPr>
          <w:b/>
        </w:rPr>
        <w:t>Comisionada Sharon Cristina Morales Martínez</w:t>
      </w:r>
      <w:r w:rsidRPr="00907A52">
        <w:rPr>
          <w:bCs/>
        </w:rPr>
        <w:t xml:space="preserve">, </w:t>
      </w:r>
      <w:r w:rsidRPr="00907A52">
        <w:t xml:space="preserve">a efecto de decretar su admisión o </w:t>
      </w:r>
      <w:proofErr w:type="spellStart"/>
      <w:r w:rsidRPr="00907A52">
        <w:t>desechamiento</w:t>
      </w:r>
      <w:proofErr w:type="spellEnd"/>
      <w:r w:rsidRPr="00907A52">
        <w:t xml:space="preserve">. </w:t>
      </w:r>
    </w:p>
    <w:p w14:paraId="18F305CB" w14:textId="77777777" w:rsidR="00664420" w:rsidRPr="00907A52" w:rsidRDefault="00664420" w:rsidP="00907A52">
      <w:pPr>
        <w:rPr>
          <w:rFonts w:eastAsia="Batang" w:cs="Tahoma"/>
          <w:bCs/>
          <w:szCs w:val="22"/>
        </w:rPr>
      </w:pPr>
    </w:p>
    <w:p w14:paraId="3E31EC2D" w14:textId="295256A1" w:rsidR="00664420" w:rsidRPr="00907A52" w:rsidRDefault="006E25BC" w:rsidP="00907A52">
      <w:pPr>
        <w:pStyle w:val="Ttulo3"/>
      </w:pPr>
      <w:bookmarkStart w:id="13" w:name="_Toc175153331"/>
      <w:r w:rsidRPr="00907A52">
        <w:t>c</w:t>
      </w:r>
      <w:r w:rsidR="00664420" w:rsidRPr="00907A52">
        <w:t>) Admisión del Recurso de Revisión</w:t>
      </w:r>
      <w:bookmarkEnd w:id="13"/>
    </w:p>
    <w:p w14:paraId="240447D5" w14:textId="0EA6A8B5" w:rsidR="000E09C4" w:rsidRPr="00907A52" w:rsidRDefault="000E09C4" w:rsidP="00907A52">
      <w:pPr>
        <w:rPr>
          <w:rFonts w:cs="Arial"/>
        </w:rPr>
      </w:pPr>
      <w:r w:rsidRPr="00907A52">
        <w:rPr>
          <w:rFonts w:cs="Arial"/>
        </w:rPr>
        <w:t xml:space="preserve">El </w:t>
      </w:r>
      <w:r w:rsidR="00DD45BF" w:rsidRPr="00907A52">
        <w:rPr>
          <w:rFonts w:eastAsia="Palatino Linotype" w:cs="Palatino Linotype"/>
          <w:b/>
        </w:rPr>
        <w:t xml:space="preserve">veintiocho y treinta y uno de mayo </w:t>
      </w:r>
      <w:r w:rsidR="00657603" w:rsidRPr="00907A52">
        <w:rPr>
          <w:rFonts w:eastAsia="Palatino Linotype" w:cs="Palatino Linotype"/>
          <w:b/>
        </w:rPr>
        <w:t>de dos mil veinticuatro</w:t>
      </w:r>
      <w:r w:rsidRPr="00907A52">
        <w:rPr>
          <w:rFonts w:cs="Arial"/>
        </w:rPr>
        <w:t xml:space="preserve"> se acordó la admisión a trámite de</w:t>
      </w:r>
      <w:r w:rsidR="0068301E" w:rsidRPr="00907A52">
        <w:rPr>
          <w:rFonts w:cs="Arial"/>
        </w:rPr>
        <w:t xml:space="preserve"> </w:t>
      </w:r>
      <w:r w:rsidRPr="00907A52">
        <w:rPr>
          <w:rFonts w:cs="Arial"/>
        </w:rPr>
        <w:t>l</w:t>
      </w:r>
      <w:r w:rsidR="0068301E" w:rsidRPr="00907A52">
        <w:rPr>
          <w:rFonts w:cs="Arial"/>
        </w:rPr>
        <w:t>os</w:t>
      </w:r>
      <w:r w:rsidRPr="00907A52">
        <w:rPr>
          <w:rFonts w:cs="Arial"/>
        </w:rPr>
        <w:t xml:space="preserve"> Recurso</w:t>
      </w:r>
      <w:r w:rsidR="0068301E" w:rsidRPr="00907A52">
        <w:rPr>
          <w:rFonts w:cs="Arial"/>
        </w:rPr>
        <w:t>s</w:t>
      </w:r>
      <w:r w:rsidRPr="00907A52">
        <w:rPr>
          <w:rFonts w:cs="Arial"/>
        </w:rPr>
        <w:t xml:space="preserve"> de Revisión y se integr</w:t>
      </w:r>
      <w:r w:rsidR="0068301E" w:rsidRPr="00907A52">
        <w:rPr>
          <w:rFonts w:cs="Arial"/>
        </w:rPr>
        <w:t xml:space="preserve">aron </w:t>
      </w:r>
      <w:r w:rsidRPr="00907A52">
        <w:rPr>
          <w:rFonts w:cs="Arial"/>
        </w:rPr>
        <w:t>l</w:t>
      </w:r>
      <w:r w:rsidR="0068301E" w:rsidRPr="00907A52">
        <w:rPr>
          <w:rFonts w:cs="Arial"/>
        </w:rPr>
        <w:t>os</w:t>
      </w:r>
      <w:r w:rsidRPr="00907A52">
        <w:rPr>
          <w:rFonts w:cs="Arial"/>
        </w:rPr>
        <w:t xml:space="preserve"> expediente</w:t>
      </w:r>
      <w:r w:rsidR="0068301E" w:rsidRPr="00907A52">
        <w:rPr>
          <w:rFonts w:cs="Arial"/>
        </w:rPr>
        <w:t>s</w:t>
      </w:r>
      <w:r w:rsidRPr="00907A52">
        <w:rPr>
          <w:rFonts w:cs="Arial"/>
        </w:rPr>
        <w:t xml:space="preserve"> respectivo</w:t>
      </w:r>
      <w:r w:rsidR="0068301E" w:rsidRPr="00907A52">
        <w:rPr>
          <w:rFonts w:cs="Arial"/>
        </w:rPr>
        <w:t>s</w:t>
      </w:r>
      <w:r w:rsidRPr="00907A52">
        <w:rPr>
          <w:rFonts w:cs="Arial"/>
        </w:rPr>
        <w:t>, mismo</w:t>
      </w:r>
      <w:r w:rsidR="0068301E" w:rsidRPr="00907A52">
        <w:rPr>
          <w:rFonts w:cs="Arial"/>
        </w:rPr>
        <w:t xml:space="preserve">s que se pusieron </w:t>
      </w:r>
      <w:r w:rsidRPr="00907A52">
        <w:rPr>
          <w:rFonts w:cs="Arial"/>
        </w:rPr>
        <w:t>a disposición de las partes para que, en un plazo de siete días hábiles, manifestaran lo que a su derecho conviniera, conforme a lo dispuesto por el artículo 185</w:t>
      </w:r>
      <w:r w:rsidR="00865CF4" w:rsidRPr="00907A52">
        <w:rPr>
          <w:rFonts w:cs="Arial"/>
        </w:rPr>
        <w:t>, fracción II</w:t>
      </w:r>
      <w:r w:rsidRPr="00907A52">
        <w:rPr>
          <w:rFonts w:cs="Arial"/>
        </w:rPr>
        <w:t xml:space="preserve"> de la Ley de Transparencia y Acceso a la Información Pública del Estado de México y Municipios.</w:t>
      </w:r>
    </w:p>
    <w:p w14:paraId="34EC3F86" w14:textId="77777777" w:rsidR="00D2790D" w:rsidRDefault="00D2790D" w:rsidP="00907A52">
      <w:pPr>
        <w:rPr>
          <w:rFonts w:cs="Arial"/>
        </w:rPr>
      </w:pPr>
    </w:p>
    <w:p w14:paraId="5186A6A8" w14:textId="77777777" w:rsidR="00907A52" w:rsidRPr="00907A52" w:rsidRDefault="00907A52" w:rsidP="00907A52">
      <w:pPr>
        <w:pStyle w:val="Ttulo3"/>
      </w:pPr>
      <w:bookmarkStart w:id="14" w:name="_Toc165402849"/>
      <w:bookmarkStart w:id="15" w:name="_Toc175153332"/>
      <w:r w:rsidRPr="00907A52">
        <w:t>d) Acumulación de los Recursos de Revisión</w:t>
      </w:r>
      <w:bookmarkEnd w:id="14"/>
      <w:bookmarkEnd w:id="15"/>
    </w:p>
    <w:p w14:paraId="35B46E1F" w14:textId="0652E5C4" w:rsidR="00907A52" w:rsidRPr="00907A52" w:rsidRDefault="00907A52" w:rsidP="00907A52">
      <w:pPr>
        <w:ind w:left="-57"/>
        <w:rPr>
          <w:b/>
          <w:lang w:val="es-ES_tradnl"/>
        </w:rPr>
      </w:pPr>
      <w:r w:rsidRPr="00907A52">
        <w:rPr>
          <w:rFonts w:cs="Arial"/>
          <w:lang w:val="es-ES_tradnl"/>
        </w:rPr>
        <w:t xml:space="preserve">Por economía procesal y </w:t>
      </w:r>
      <w:r w:rsidRPr="00907A52">
        <w:rPr>
          <w:rFonts w:cs="Arial"/>
        </w:rPr>
        <w:t xml:space="preserve">con la finalidad de evitar resoluciones contradictorias, en </w:t>
      </w:r>
      <w:r w:rsidRPr="00907A52">
        <w:t xml:space="preserve">la </w:t>
      </w:r>
      <w:r>
        <w:t xml:space="preserve">vigésima </w:t>
      </w:r>
      <w:r w:rsidRPr="00907A52">
        <w:t xml:space="preserve">sesión ordinaria, celebrada </w:t>
      </w:r>
      <w:r w:rsidRPr="00907A52">
        <w:rPr>
          <w:b/>
          <w:bCs/>
        </w:rPr>
        <w:t xml:space="preserve">el </w:t>
      </w:r>
      <w:r>
        <w:rPr>
          <w:b/>
          <w:bCs/>
        </w:rPr>
        <w:t>cinco</w:t>
      </w:r>
      <w:r w:rsidRPr="00907A52">
        <w:rPr>
          <w:b/>
          <w:bCs/>
        </w:rPr>
        <w:t xml:space="preserve"> de </w:t>
      </w:r>
      <w:r>
        <w:rPr>
          <w:b/>
          <w:bCs/>
        </w:rPr>
        <w:t>junio</w:t>
      </w:r>
      <w:r w:rsidRPr="00907A52">
        <w:rPr>
          <w:b/>
          <w:bCs/>
        </w:rPr>
        <w:t xml:space="preserve"> de dos mil </w:t>
      </w:r>
      <w:r>
        <w:rPr>
          <w:b/>
          <w:bCs/>
        </w:rPr>
        <w:t>veinticuatro</w:t>
      </w:r>
      <w:r w:rsidRPr="00907A52">
        <w:t xml:space="preserve">, el Pleno de este Instituto </w:t>
      </w:r>
      <w:r w:rsidRPr="00907A52">
        <w:rPr>
          <w:rFonts w:cs="Arial"/>
        </w:rPr>
        <w:t xml:space="preserve">determinó </w:t>
      </w:r>
      <w:r w:rsidRPr="00907A52">
        <w:t>acumular los Recursos de Revisión</w:t>
      </w:r>
      <w:bookmarkStart w:id="16" w:name="_Hlk109159636"/>
      <w:r w:rsidRPr="00907A52">
        <w:rPr>
          <w:rFonts w:cs="Arial"/>
          <w:b/>
          <w:bCs/>
        </w:rPr>
        <w:t xml:space="preserve"> </w:t>
      </w:r>
      <w:bookmarkEnd w:id="16"/>
      <w:r w:rsidRPr="00907A52">
        <w:rPr>
          <w:rFonts w:cs="Arial"/>
          <w:b/>
          <w:bCs/>
        </w:rPr>
        <w:t>03300/INFOEM/IP/RR/2024</w:t>
      </w:r>
      <w:r>
        <w:rPr>
          <w:rFonts w:cs="Arial"/>
          <w:b/>
          <w:bCs/>
        </w:rPr>
        <w:t xml:space="preserve"> </w:t>
      </w:r>
      <w:r w:rsidRPr="00907A52">
        <w:rPr>
          <w:b/>
          <w:lang w:val="es-ES_tradnl"/>
        </w:rPr>
        <w:t>al 03297/INFOEM/IP/RR/2024</w:t>
      </w:r>
    </w:p>
    <w:p w14:paraId="3B820F58" w14:textId="2AF47AE0" w:rsidR="00865CF4" w:rsidRPr="00907A52" w:rsidRDefault="00907A52" w:rsidP="00907A52">
      <w:pPr>
        <w:pStyle w:val="Ttulo3"/>
      </w:pPr>
      <w:bookmarkStart w:id="17" w:name="_Toc175153333"/>
      <w:r>
        <w:t>e</w:t>
      </w:r>
      <w:r w:rsidR="00664420" w:rsidRPr="00907A52">
        <w:t xml:space="preserve">) </w:t>
      </w:r>
      <w:r w:rsidR="00865CF4" w:rsidRPr="00907A52">
        <w:t>Informe Justificado del Sujeto Obligado</w:t>
      </w:r>
      <w:bookmarkEnd w:id="17"/>
    </w:p>
    <w:p w14:paraId="14A706BE" w14:textId="77777777" w:rsidR="00865CF4" w:rsidRPr="00907A52" w:rsidRDefault="00865CF4" w:rsidP="00907A52">
      <w:pPr>
        <w:rPr>
          <w:rFonts w:eastAsia="Arial Unicode MS" w:cs="Arial"/>
        </w:rPr>
      </w:pPr>
      <w:r w:rsidRPr="00907A52">
        <w:rPr>
          <w:rFonts w:cs="Tahoma"/>
          <w:b/>
          <w:szCs w:val="24"/>
        </w:rPr>
        <w:t xml:space="preserve">EL SUJETO OBLIGADO </w:t>
      </w:r>
      <w:r w:rsidRPr="00907A52">
        <w:rPr>
          <w:rFonts w:eastAsia="Arial Unicode MS" w:cs="Arial"/>
        </w:rPr>
        <w:t>no rindió su informe justificado dentro del término legalmente concedido para tal efecto.</w:t>
      </w:r>
    </w:p>
    <w:p w14:paraId="66BA6FC7" w14:textId="77777777" w:rsidR="00865CF4" w:rsidRPr="00907A52" w:rsidRDefault="00865CF4" w:rsidP="00907A52">
      <w:pPr>
        <w:rPr>
          <w:rFonts w:cs="Tahoma"/>
          <w:bCs/>
          <w:szCs w:val="24"/>
        </w:rPr>
      </w:pPr>
    </w:p>
    <w:p w14:paraId="755B7730" w14:textId="1B446AE4" w:rsidR="00664420" w:rsidRPr="00907A52" w:rsidRDefault="00907A52" w:rsidP="00907A52">
      <w:pPr>
        <w:pStyle w:val="Ttulo3"/>
        <w:rPr>
          <w:lang w:val="es-ES"/>
        </w:rPr>
      </w:pPr>
      <w:bookmarkStart w:id="18" w:name="_Toc175153334"/>
      <w:r>
        <w:rPr>
          <w:rFonts w:eastAsia="Calibri"/>
          <w:bCs/>
          <w:lang w:eastAsia="en-US"/>
        </w:rPr>
        <w:lastRenderedPageBreak/>
        <w:t>f</w:t>
      </w:r>
      <w:r w:rsidR="00664420" w:rsidRPr="00907A52">
        <w:rPr>
          <w:rFonts w:eastAsia="Calibri"/>
          <w:bCs/>
          <w:lang w:eastAsia="en-US"/>
        </w:rPr>
        <w:t>)</w:t>
      </w:r>
      <w:r w:rsidR="00664420" w:rsidRPr="00907A52">
        <w:t xml:space="preserve"> </w:t>
      </w:r>
      <w:r w:rsidR="00865CF4" w:rsidRPr="00907A52">
        <w:rPr>
          <w:lang w:val="es-ES"/>
        </w:rPr>
        <w:t>Manifestaciones de la Parte Recurrente</w:t>
      </w:r>
      <w:bookmarkEnd w:id="18"/>
    </w:p>
    <w:p w14:paraId="4E8AF011" w14:textId="77777777" w:rsidR="00865CF4" w:rsidRDefault="00865CF4" w:rsidP="00907A52">
      <w:pPr>
        <w:rPr>
          <w:rFonts w:eastAsia="Arial Unicode MS" w:cs="Arial"/>
        </w:rPr>
      </w:pPr>
      <w:r w:rsidRPr="00907A52">
        <w:rPr>
          <w:rFonts w:cs="Tahoma"/>
          <w:b/>
          <w:szCs w:val="24"/>
        </w:rPr>
        <w:t xml:space="preserve">LA PARTE RECURRENTE </w:t>
      </w:r>
      <w:r w:rsidRPr="00907A52">
        <w:rPr>
          <w:rFonts w:eastAsia="Arial Unicode MS" w:cs="Arial"/>
        </w:rPr>
        <w:t>no realizó manifestación alguna dentro del término legalmente concedido para tal efecto, ni presentó pruebas o alegatos.</w:t>
      </w:r>
    </w:p>
    <w:p w14:paraId="3E3B31BE" w14:textId="77777777" w:rsidR="00907A52" w:rsidRPr="00907A52" w:rsidRDefault="00907A52" w:rsidP="00907A52">
      <w:pPr>
        <w:rPr>
          <w:rFonts w:eastAsia="Arial Unicode MS" w:cs="Arial"/>
        </w:rPr>
      </w:pPr>
    </w:p>
    <w:p w14:paraId="7B7477A5" w14:textId="71D2C778" w:rsidR="008C1987" w:rsidRPr="00907A52" w:rsidRDefault="00907A52" w:rsidP="00907A52">
      <w:pPr>
        <w:pStyle w:val="Ttulo3"/>
        <w:rPr>
          <w:rFonts w:eastAsia="Calibri"/>
        </w:rPr>
      </w:pPr>
      <w:bookmarkStart w:id="19" w:name="_Toc172051809"/>
      <w:bookmarkStart w:id="20" w:name="_Toc175153335"/>
      <w:r>
        <w:rPr>
          <w:rFonts w:eastAsia="Calibri"/>
        </w:rPr>
        <w:t>g</w:t>
      </w:r>
      <w:r w:rsidR="008C1987" w:rsidRPr="00907A52">
        <w:rPr>
          <w:rFonts w:eastAsia="Calibri"/>
        </w:rPr>
        <w:t>) Ampliación de Plazo para Resolver</w:t>
      </w:r>
      <w:bookmarkEnd w:id="19"/>
      <w:bookmarkEnd w:id="20"/>
      <w:r w:rsidR="008C1987" w:rsidRPr="00907A52">
        <w:rPr>
          <w:rFonts w:eastAsia="Calibri"/>
        </w:rPr>
        <w:t xml:space="preserve"> </w:t>
      </w:r>
    </w:p>
    <w:p w14:paraId="3E1EED94" w14:textId="58FECA1D" w:rsidR="008C1987" w:rsidRPr="00907A52" w:rsidRDefault="008C1987" w:rsidP="00907A52">
      <w:pPr>
        <w:rPr>
          <w:rFonts w:eastAsia="Palatino Linotype" w:cs="Palatino Linotype"/>
        </w:rPr>
      </w:pPr>
      <w:r w:rsidRPr="00907A52">
        <w:rPr>
          <w:rFonts w:eastAsia="Palatino Linotype" w:cs="Palatino Linotype"/>
        </w:rPr>
        <w:t xml:space="preserve">El </w:t>
      </w:r>
      <w:r w:rsidRPr="00907A52">
        <w:rPr>
          <w:rFonts w:eastAsia="Palatino Linotype" w:cs="Palatino Linotype"/>
          <w:b/>
        </w:rPr>
        <w:t>seis de agosto de dos mil veintitrés</w:t>
      </w:r>
      <w:r w:rsidRPr="00907A52">
        <w:rPr>
          <w:rFonts w:eastAsia="Palatino Linotype" w:cs="Palatino Linotype"/>
        </w:rPr>
        <w:t>, se notificó el acuerdo de ampliación de plazo para resolver los presentes Recursos de Revisión, previsto en el artículo 181, tercer párrafo de la Ley de Transparencia y Acceso a la Información Pública del Estado de México y Municipios.</w:t>
      </w:r>
    </w:p>
    <w:p w14:paraId="438D0B53" w14:textId="77777777" w:rsidR="008C1987" w:rsidRPr="00907A52" w:rsidRDefault="008C1987" w:rsidP="00907A52">
      <w:pPr>
        <w:rPr>
          <w:rFonts w:eastAsia="Palatino Linotype" w:cs="Palatino Linotype"/>
        </w:rPr>
      </w:pPr>
    </w:p>
    <w:p w14:paraId="14F850B6" w14:textId="77777777" w:rsidR="008C1987" w:rsidRPr="00907A52" w:rsidRDefault="008C1987" w:rsidP="00907A52">
      <w:pPr>
        <w:rPr>
          <w:rFonts w:cs="Arial"/>
          <w:lang w:eastAsia="es-MX"/>
        </w:rPr>
      </w:pPr>
      <w:r w:rsidRPr="00907A52">
        <w:rPr>
          <w:rFonts w:cs="Arial"/>
          <w:lang w:eastAsia="es-MX"/>
        </w:rPr>
        <w:t>Este organismo garante no pasa por alto justificar, que 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153D1CA1" w14:textId="77777777" w:rsidR="008C1987" w:rsidRPr="00907A52" w:rsidRDefault="008C1987" w:rsidP="00907A52">
      <w:pPr>
        <w:rPr>
          <w:rFonts w:cs="Arial"/>
          <w:lang w:eastAsia="es-MX"/>
        </w:rPr>
      </w:pPr>
    </w:p>
    <w:p w14:paraId="647FFD0A" w14:textId="77777777" w:rsidR="008C1987" w:rsidRPr="00907A52" w:rsidRDefault="008C1987" w:rsidP="00907A52">
      <w:pPr>
        <w:rPr>
          <w:rFonts w:cs="Arial"/>
          <w:lang w:eastAsia="es-MX"/>
        </w:rPr>
      </w:pPr>
      <w:r w:rsidRPr="00907A52">
        <w:rPr>
          <w:rFonts w:cs="Arial"/>
          <w:lang w:eastAsia="es-MX"/>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1D1B5D73" w14:textId="77777777" w:rsidR="008C1987" w:rsidRPr="00907A52" w:rsidRDefault="008C1987" w:rsidP="00907A52">
      <w:pPr>
        <w:rPr>
          <w:rFonts w:cs="Arial"/>
          <w:lang w:eastAsia="es-MX"/>
        </w:rPr>
      </w:pPr>
    </w:p>
    <w:p w14:paraId="3DDCBF12" w14:textId="77777777" w:rsidR="008C1987" w:rsidRPr="00907A52" w:rsidRDefault="008C1987" w:rsidP="00907A52">
      <w:pPr>
        <w:rPr>
          <w:rFonts w:cs="Arial"/>
          <w:lang w:eastAsia="es-MX"/>
        </w:rPr>
      </w:pPr>
      <w:r w:rsidRPr="00907A52">
        <w:rPr>
          <w:rFonts w:cs="Arial"/>
          <w:lang w:eastAsia="es-MX"/>
        </w:rPr>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w:t>
      </w:r>
      <w:r w:rsidRPr="00907A52">
        <w:rPr>
          <w:rFonts w:cs="Arial"/>
          <w:lang w:eastAsia="es-MX"/>
        </w:rPr>
        <w:lastRenderedPageBreak/>
        <w:t>cuasi jurisdiccionales, tanto por la complejidad de los hechos, como por el número de casos que conocen.</w:t>
      </w:r>
    </w:p>
    <w:p w14:paraId="589AFB84" w14:textId="77777777" w:rsidR="008C1987" w:rsidRPr="00907A52" w:rsidRDefault="008C1987" w:rsidP="00907A52">
      <w:pPr>
        <w:rPr>
          <w:rFonts w:cs="Arial"/>
          <w:lang w:eastAsia="es-MX"/>
        </w:rPr>
      </w:pPr>
    </w:p>
    <w:p w14:paraId="4CAFD8F5" w14:textId="77777777" w:rsidR="008C1987" w:rsidRPr="00907A52" w:rsidRDefault="008C1987" w:rsidP="00907A52">
      <w:pPr>
        <w:rPr>
          <w:rFonts w:cs="Arial"/>
          <w:lang w:eastAsia="es-MX"/>
        </w:rPr>
      </w:pPr>
      <w:r w:rsidRPr="00907A52">
        <w:rPr>
          <w:rFonts w:cs="Arial"/>
          <w:lang w:eastAsia="es-MX"/>
        </w:rPr>
        <w:t>Por ello, excepcionalmente, si un asunto es resuelto con posterioridad a los plazos señalados por la norma, debe analizarse la razonabilidad del tiempo necesario para su resolución, atentos a los siguientes criterios:</w:t>
      </w:r>
    </w:p>
    <w:p w14:paraId="11231F53" w14:textId="77777777" w:rsidR="008C1987" w:rsidRPr="00907A52" w:rsidRDefault="008C1987" w:rsidP="00907A52">
      <w:pPr>
        <w:rPr>
          <w:rFonts w:cs="Arial"/>
          <w:lang w:eastAsia="es-MX"/>
        </w:rPr>
      </w:pPr>
    </w:p>
    <w:p w14:paraId="0B757159" w14:textId="77777777" w:rsidR="008C1987" w:rsidRPr="00907A52" w:rsidRDefault="008C1987" w:rsidP="00907A52">
      <w:pPr>
        <w:pStyle w:val="Prrafodelista"/>
        <w:numPr>
          <w:ilvl w:val="0"/>
          <w:numId w:val="25"/>
        </w:numPr>
        <w:contextualSpacing w:val="0"/>
        <w:rPr>
          <w:rFonts w:cs="Arial"/>
          <w:lang w:eastAsia="es-MX"/>
        </w:rPr>
      </w:pPr>
      <w:r w:rsidRPr="00907A52">
        <w:rPr>
          <w:rFonts w:cs="Arial"/>
          <w:b/>
          <w:lang w:eastAsia="es-MX"/>
        </w:rPr>
        <w:t>Complejidad del asunto:</w:t>
      </w:r>
      <w:r w:rsidRPr="00907A52">
        <w:rPr>
          <w:rFonts w:cs="Arial"/>
          <w:lang w:eastAsia="es-MX"/>
        </w:rPr>
        <w:t xml:space="preserve"> La complejidad de la prueba, la pluralidad de sujetos procesales, el tiempo transcurrido, las características y contexto del recurso.</w:t>
      </w:r>
    </w:p>
    <w:p w14:paraId="338A0DAB" w14:textId="77777777" w:rsidR="008C1987" w:rsidRPr="00907A52" w:rsidRDefault="008C1987" w:rsidP="00907A52">
      <w:pPr>
        <w:pStyle w:val="Prrafodelista"/>
        <w:numPr>
          <w:ilvl w:val="0"/>
          <w:numId w:val="25"/>
        </w:numPr>
        <w:contextualSpacing w:val="0"/>
        <w:rPr>
          <w:rFonts w:cs="Arial"/>
          <w:lang w:eastAsia="es-MX"/>
        </w:rPr>
      </w:pPr>
      <w:r w:rsidRPr="00907A52">
        <w:rPr>
          <w:rFonts w:cs="Arial"/>
          <w:b/>
          <w:lang w:eastAsia="es-MX"/>
        </w:rPr>
        <w:t>Actividad Procesal del interesado:</w:t>
      </w:r>
      <w:r w:rsidRPr="00907A52">
        <w:rPr>
          <w:rFonts w:cs="Arial"/>
          <w:lang w:eastAsia="es-MX"/>
        </w:rPr>
        <w:t xml:space="preserve"> Acciones u omisiones del interesado.</w:t>
      </w:r>
    </w:p>
    <w:p w14:paraId="523B24A6" w14:textId="77777777" w:rsidR="008C1987" w:rsidRPr="00907A52" w:rsidRDefault="008C1987" w:rsidP="00907A52">
      <w:pPr>
        <w:pStyle w:val="Prrafodelista"/>
        <w:numPr>
          <w:ilvl w:val="0"/>
          <w:numId w:val="25"/>
        </w:numPr>
        <w:contextualSpacing w:val="0"/>
        <w:rPr>
          <w:rFonts w:cs="Arial"/>
          <w:lang w:eastAsia="es-MX"/>
        </w:rPr>
      </w:pPr>
      <w:r w:rsidRPr="00907A52">
        <w:rPr>
          <w:rFonts w:cs="Arial"/>
          <w:b/>
          <w:lang w:eastAsia="es-MX"/>
        </w:rPr>
        <w:t>Conducta de la Autoridad:</w:t>
      </w:r>
      <w:r w:rsidRPr="00907A52">
        <w:rPr>
          <w:rFonts w:cs="Arial"/>
          <w:lang w:eastAsia="es-MX"/>
        </w:rPr>
        <w:t xml:space="preserve"> Las Acciones u omisiones realizadas en el procedimiento. Así como si la autoridad actuó con la debida diligencia.</w:t>
      </w:r>
    </w:p>
    <w:p w14:paraId="41F9D1BE" w14:textId="77777777" w:rsidR="008C1987" w:rsidRPr="00907A52" w:rsidRDefault="008C1987" w:rsidP="00907A52">
      <w:pPr>
        <w:pStyle w:val="Prrafodelista"/>
        <w:numPr>
          <w:ilvl w:val="0"/>
          <w:numId w:val="25"/>
        </w:numPr>
        <w:contextualSpacing w:val="0"/>
        <w:rPr>
          <w:rFonts w:cs="Arial"/>
          <w:lang w:eastAsia="es-MX"/>
        </w:rPr>
      </w:pPr>
      <w:r w:rsidRPr="00907A52">
        <w:rPr>
          <w:rFonts w:cs="Arial"/>
          <w:b/>
          <w:lang w:eastAsia="es-MX"/>
        </w:rPr>
        <w:t xml:space="preserve">La afectación generada en la situación jurídica de la persona involucrada en el proceso: </w:t>
      </w:r>
      <w:r w:rsidRPr="00907A52">
        <w:rPr>
          <w:rFonts w:cs="Arial"/>
          <w:lang w:eastAsia="es-MX"/>
        </w:rPr>
        <w:t>Violación a sus derechos humanos.</w:t>
      </w:r>
    </w:p>
    <w:p w14:paraId="27F02CE8" w14:textId="77777777" w:rsidR="008C1987" w:rsidRPr="00907A52" w:rsidRDefault="008C1987" w:rsidP="00907A52">
      <w:pPr>
        <w:rPr>
          <w:rFonts w:cs="Arial"/>
          <w:lang w:eastAsia="es-MX"/>
        </w:rPr>
      </w:pPr>
    </w:p>
    <w:p w14:paraId="43F793AD" w14:textId="77777777" w:rsidR="008C1987" w:rsidRPr="00907A52" w:rsidRDefault="008C1987" w:rsidP="00907A52">
      <w:pPr>
        <w:rPr>
          <w:rFonts w:cs="Arial"/>
          <w:lang w:eastAsia="es-MX"/>
        </w:rPr>
      </w:pPr>
      <w:r w:rsidRPr="00907A52">
        <w:rPr>
          <w:rFonts w:cs="Arial"/>
          <w:lang w:eastAsia="es-MX"/>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BE9340F" w14:textId="77777777" w:rsidR="008C1987" w:rsidRPr="00907A52" w:rsidRDefault="008C1987" w:rsidP="00907A52">
      <w:pPr>
        <w:rPr>
          <w:rFonts w:cs="Arial"/>
          <w:lang w:eastAsia="es-MX"/>
        </w:rPr>
      </w:pPr>
    </w:p>
    <w:p w14:paraId="0C7EDF9F" w14:textId="77777777" w:rsidR="008C1987" w:rsidRPr="00907A52" w:rsidRDefault="008C1987" w:rsidP="00907A52">
      <w:pPr>
        <w:rPr>
          <w:rFonts w:cs="Arial"/>
          <w:lang w:eastAsia="es-MX"/>
        </w:rPr>
      </w:pPr>
      <w:r w:rsidRPr="00907A52">
        <w:rPr>
          <w:rFonts w:cs="Arial"/>
          <w:lang w:eastAsia="es-MX"/>
        </w:rPr>
        <w:t>Argumento que encuentra sustento en la jurisprudencia P</w:t>
      </w:r>
      <w:proofErr w:type="gramStart"/>
      <w:r w:rsidRPr="00907A52">
        <w:rPr>
          <w:rFonts w:cs="Arial"/>
          <w:lang w:eastAsia="es-MX"/>
        </w:rPr>
        <w:t>./</w:t>
      </w:r>
      <w:proofErr w:type="gramEnd"/>
      <w:r w:rsidRPr="00907A52">
        <w:rPr>
          <w:rFonts w:cs="Arial"/>
          <w:lang w:eastAsia="es-MX"/>
        </w:rPr>
        <w:t xml:space="preserve">J. 32/92 emitida por el Pleno de la Suprema Corte de Justicia de la Nación de rubro “TÉRMINOS PROCESALES. PARA DETERMINAR SI UN FUNCIONARIO JUDICIAL ACTUÓ INDEBIDAMENTE POR NO RESPETARLOS SE DEBE ATENDER AL PRESUPUESTO QUE CONSIDERÓ EL </w:t>
      </w:r>
      <w:r w:rsidRPr="00907A52">
        <w:rPr>
          <w:rFonts w:cs="Arial"/>
          <w:lang w:eastAsia="es-MX"/>
        </w:rPr>
        <w:lastRenderedPageBreak/>
        <w:t>LEGISLADOR AL FIJARLOS Y LAS CARACTERÍSTICAS DEL CASO.”, visible en la Gaceta del Seminario Judicial de la Federación con el registro digital 205635.</w:t>
      </w:r>
    </w:p>
    <w:p w14:paraId="7A5584C4" w14:textId="77777777" w:rsidR="008C1987" w:rsidRPr="00907A52" w:rsidRDefault="008C1987" w:rsidP="00907A52">
      <w:pPr>
        <w:rPr>
          <w:rFonts w:cs="Arial"/>
          <w:lang w:eastAsia="es-MX"/>
        </w:rPr>
      </w:pPr>
    </w:p>
    <w:p w14:paraId="3DD34146" w14:textId="77777777" w:rsidR="008C1987" w:rsidRPr="00907A52" w:rsidRDefault="008C1987" w:rsidP="00907A52">
      <w:pPr>
        <w:rPr>
          <w:rFonts w:cs="Arial"/>
          <w:lang w:eastAsia="es-MX"/>
        </w:rPr>
      </w:pPr>
      <w:r w:rsidRPr="00907A52">
        <w:rPr>
          <w:rFonts w:cs="Arial"/>
          <w:lang w:eastAsia="es-MX"/>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C7BEDD3" w14:textId="77777777" w:rsidR="008C1987" w:rsidRPr="00907A52" w:rsidRDefault="008C1987" w:rsidP="00907A52">
      <w:pPr>
        <w:rPr>
          <w:rFonts w:cs="Arial"/>
          <w:lang w:eastAsia="es-MX"/>
        </w:rPr>
      </w:pPr>
    </w:p>
    <w:p w14:paraId="695F97DC" w14:textId="77777777" w:rsidR="008C1987" w:rsidRPr="00907A52" w:rsidRDefault="008C1987" w:rsidP="00907A52">
      <w:pPr>
        <w:rPr>
          <w:rFonts w:cs="Arial"/>
          <w:lang w:eastAsia="es-MX"/>
        </w:rPr>
      </w:pPr>
      <w:r w:rsidRPr="00907A52">
        <w:rPr>
          <w:rFonts w:cs="Arial"/>
          <w:lang w:eastAsia="es-MX"/>
        </w:rPr>
        <w:t>Al respecto, también son de considerar los criterios sostenidos por el Cuarto Tribunal Colegiado en Materia Administrativa del Primer Circuito, cuyos rubros y datos de identificación son los siguientes:</w:t>
      </w:r>
    </w:p>
    <w:p w14:paraId="1351B575" w14:textId="77777777" w:rsidR="008C1987" w:rsidRPr="00907A52" w:rsidRDefault="008C1987" w:rsidP="00907A52">
      <w:pPr>
        <w:rPr>
          <w:rFonts w:cs="Arial"/>
          <w:lang w:eastAsia="es-MX"/>
        </w:rPr>
      </w:pPr>
    </w:p>
    <w:p w14:paraId="40AAF783" w14:textId="77777777" w:rsidR="008C1987" w:rsidRPr="00907A52" w:rsidRDefault="008C1987" w:rsidP="00907A52">
      <w:pPr>
        <w:pStyle w:val="Puesto"/>
        <w:rPr>
          <w:lang w:eastAsia="es-MX"/>
        </w:rPr>
      </w:pPr>
      <w:r w:rsidRPr="00907A52">
        <w:rPr>
          <w:lang w:eastAsia="es-MX"/>
        </w:rPr>
        <w:t>“PLAZO RAZONABLE PARA RESOLVER. DIMENSIÓN Y EFECTOS DE ESTE CONCEPTO CUANDO SE ADUCE EXCESIVA CARGA DE TRABAJO.” consultable en el Seminario Judicial de la Federación y su gaceta, con el registro digital 2002351.</w:t>
      </w:r>
    </w:p>
    <w:p w14:paraId="79E6244B" w14:textId="77777777" w:rsidR="008C1987" w:rsidRPr="00907A52" w:rsidRDefault="008C1987" w:rsidP="00907A52">
      <w:pPr>
        <w:pStyle w:val="Puesto"/>
        <w:rPr>
          <w:lang w:eastAsia="es-MX"/>
        </w:rPr>
      </w:pPr>
    </w:p>
    <w:p w14:paraId="0D0B4AEF" w14:textId="77777777" w:rsidR="008C1987" w:rsidRPr="00907A52" w:rsidRDefault="008C1987" w:rsidP="00907A52">
      <w:pPr>
        <w:pStyle w:val="Puesto"/>
        <w:rPr>
          <w:lang w:eastAsia="es-MX"/>
        </w:rPr>
      </w:pPr>
      <w:r w:rsidRPr="00907A52">
        <w:rPr>
          <w:lang w:eastAsia="es-MX"/>
        </w:rPr>
        <w:t>“PLAZO RAZONABLE PARA RESOLVER. CONCEPTO Y ELEMENTOS QUE LO INTEGRAN A LA LUZ DEL DERECHO INTERNACIONAL DE LOS DERECHOS HUMANOS.”, visible en el Seminario Judicial de la Federación y su gaceta, con el registro digital 2002350.</w:t>
      </w:r>
    </w:p>
    <w:p w14:paraId="054665B4" w14:textId="77777777" w:rsidR="008C1987" w:rsidRPr="00907A52" w:rsidRDefault="008C1987" w:rsidP="00907A52">
      <w:pPr>
        <w:rPr>
          <w:rFonts w:cs="Arial"/>
          <w:lang w:eastAsia="es-MX"/>
        </w:rPr>
      </w:pPr>
    </w:p>
    <w:p w14:paraId="78B86AAD" w14:textId="77777777" w:rsidR="008C1987" w:rsidRPr="00907A52" w:rsidRDefault="008C1987" w:rsidP="00907A52">
      <w:pPr>
        <w:rPr>
          <w:rFonts w:cs="Arial"/>
          <w:lang w:eastAsia="es-MX"/>
        </w:rPr>
      </w:pPr>
      <w:r w:rsidRPr="00907A52">
        <w:rPr>
          <w:rFonts w:cs="Arial"/>
          <w:lang w:eastAsia="es-MX"/>
        </w:rPr>
        <w:t>Por ello, este organismo garante comprometido con la tutela de los derechos humanos confiados señala que este exceso del plazo legal para resolver el asunto resulta de carácter excepcional.</w:t>
      </w:r>
    </w:p>
    <w:p w14:paraId="43289D82" w14:textId="77777777" w:rsidR="00865CF4" w:rsidRPr="00907A52" w:rsidRDefault="00865CF4" w:rsidP="00907A52">
      <w:pPr>
        <w:rPr>
          <w:rFonts w:eastAsia="Arial Unicode MS" w:cs="Arial"/>
        </w:rPr>
      </w:pPr>
    </w:p>
    <w:p w14:paraId="0E651988" w14:textId="38934383" w:rsidR="00664420" w:rsidRPr="00907A52" w:rsidRDefault="00907A52" w:rsidP="00907A52">
      <w:pPr>
        <w:pStyle w:val="Ttulo3"/>
      </w:pPr>
      <w:bookmarkStart w:id="21" w:name="_Toc175153336"/>
      <w:r>
        <w:rPr>
          <w:rFonts w:eastAsia="Calibri"/>
        </w:rPr>
        <w:t>h</w:t>
      </w:r>
      <w:r w:rsidR="007517BD" w:rsidRPr="00907A52">
        <w:rPr>
          <w:rFonts w:eastAsia="Calibri"/>
        </w:rPr>
        <w:t xml:space="preserve">) </w:t>
      </w:r>
      <w:r w:rsidR="00664420" w:rsidRPr="00907A52">
        <w:t>Cierre de instrucción</w:t>
      </w:r>
      <w:bookmarkEnd w:id="21"/>
    </w:p>
    <w:p w14:paraId="79AF95DC" w14:textId="1F35F831" w:rsidR="00664420" w:rsidRPr="00907A52" w:rsidRDefault="00BF091A" w:rsidP="00907A52">
      <w:r w:rsidRPr="00907A52">
        <w:rPr>
          <w:rFonts w:cs="Tahoma"/>
          <w:szCs w:val="22"/>
        </w:rPr>
        <w:t>Al no existir diligencias pendientes por desahogar</w:t>
      </w:r>
      <w:r w:rsidRPr="00907A52">
        <w:rPr>
          <w:rFonts w:cs="Arial"/>
        </w:rPr>
        <w:t xml:space="preserve">, el </w:t>
      </w:r>
      <w:bookmarkStart w:id="22" w:name="_Hlk104892386"/>
      <w:r w:rsidR="00DD45BF" w:rsidRPr="00907A52">
        <w:rPr>
          <w:rFonts w:cs="Arial"/>
          <w:b/>
        </w:rPr>
        <w:t xml:space="preserve">veinte </w:t>
      </w:r>
      <w:r w:rsidR="0068301E" w:rsidRPr="00907A52">
        <w:rPr>
          <w:rFonts w:cs="Arial"/>
          <w:b/>
        </w:rPr>
        <w:t>de</w:t>
      </w:r>
      <w:r w:rsidR="00E10C48" w:rsidRPr="00907A52">
        <w:rPr>
          <w:rFonts w:cs="Arial"/>
          <w:b/>
        </w:rPr>
        <w:t xml:space="preserve"> agosto </w:t>
      </w:r>
      <w:bookmarkEnd w:id="22"/>
      <w:r w:rsidRPr="00907A52">
        <w:rPr>
          <w:rFonts w:cs="Arial"/>
          <w:b/>
        </w:rPr>
        <w:t xml:space="preserve">de dos mil </w:t>
      </w:r>
      <w:r w:rsidR="0075751F" w:rsidRPr="00907A52">
        <w:rPr>
          <w:rFonts w:cs="Arial"/>
          <w:b/>
        </w:rPr>
        <w:t xml:space="preserve">veinticuatro </w:t>
      </w:r>
      <w:r w:rsidRPr="00907A52">
        <w:rPr>
          <w:rFonts w:cs="Arial"/>
        </w:rPr>
        <w:t xml:space="preserve">la </w:t>
      </w:r>
      <w:r w:rsidRPr="00907A52">
        <w:rPr>
          <w:rFonts w:cs="Arial"/>
          <w:b/>
          <w:bCs/>
        </w:rPr>
        <w:t xml:space="preserve">Comisionada </w:t>
      </w:r>
      <w:r w:rsidRPr="00907A52">
        <w:rPr>
          <w:b/>
        </w:rPr>
        <w:t xml:space="preserve">Sharon Cristina Morales Martínez </w:t>
      </w:r>
      <w:r w:rsidRPr="00907A52">
        <w:rPr>
          <w:rFonts w:cs="Arial"/>
        </w:rPr>
        <w:t>acordó el cierre de instrucción</w:t>
      </w:r>
      <w:r w:rsidR="0011350D" w:rsidRPr="00907A52">
        <w:rPr>
          <w:rFonts w:cs="Arial"/>
        </w:rPr>
        <w:t xml:space="preserve"> y</w:t>
      </w:r>
      <w:r w:rsidRPr="00907A52">
        <w:rPr>
          <w:rFonts w:cs="Arial"/>
        </w:rPr>
        <w:t xml:space="preserve"> </w:t>
      </w:r>
      <w:r w:rsidR="0011350D" w:rsidRPr="00907A52">
        <w:rPr>
          <w:rFonts w:cs="Arial"/>
        </w:rPr>
        <w:t xml:space="preserve">la </w:t>
      </w:r>
      <w:r w:rsidRPr="00907A52">
        <w:rPr>
          <w:rFonts w:cs="Arial"/>
        </w:rPr>
        <w:t>remisión de</w:t>
      </w:r>
      <w:r w:rsidR="0068301E" w:rsidRPr="00907A52">
        <w:rPr>
          <w:rFonts w:cs="Arial"/>
        </w:rPr>
        <w:t xml:space="preserve"> </w:t>
      </w:r>
      <w:r w:rsidRPr="00907A52">
        <w:rPr>
          <w:rFonts w:cs="Arial"/>
        </w:rPr>
        <w:t>l</w:t>
      </w:r>
      <w:r w:rsidR="0068301E" w:rsidRPr="00907A52">
        <w:rPr>
          <w:rFonts w:cs="Arial"/>
        </w:rPr>
        <w:t>os</w:t>
      </w:r>
      <w:r w:rsidRPr="00907A52">
        <w:rPr>
          <w:rFonts w:cs="Arial"/>
        </w:rPr>
        <w:t xml:space="preserve"> expediente</w:t>
      </w:r>
      <w:r w:rsidR="0068301E" w:rsidRPr="00907A52">
        <w:rPr>
          <w:rFonts w:cs="Arial"/>
        </w:rPr>
        <w:t>s</w:t>
      </w:r>
      <w:r w:rsidRPr="00907A52">
        <w:rPr>
          <w:rFonts w:cs="Arial"/>
        </w:rPr>
        <w:t xml:space="preserve"> a efecto de ser resuelto</w:t>
      </w:r>
      <w:r w:rsidR="0068301E" w:rsidRPr="00907A52">
        <w:rPr>
          <w:rFonts w:cs="Arial"/>
        </w:rPr>
        <w:t>s</w:t>
      </w:r>
      <w:r w:rsidRPr="00907A52">
        <w:rPr>
          <w:rFonts w:cs="Arial"/>
        </w:rPr>
        <w:t>, de conformidad con lo establecido en el artículo 185 fracciones VI y VIII de la Ley de Transparencia y Acceso a la Información Pública del Estado de México y Municipios</w:t>
      </w:r>
      <w:r w:rsidRPr="00907A52">
        <w:t>.</w:t>
      </w:r>
      <w:r w:rsidR="0011350D" w:rsidRPr="00907A52">
        <w:t xml:space="preserve"> Dicho acuerdo </w:t>
      </w:r>
      <w:r w:rsidR="00664420" w:rsidRPr="00907A52">
        <w:rPr>
          <w:rFonts w:cs="Tahoma"/>
          <w:szCs w:val="22"/>
        </w:rPr>
        <w:t xml:space="preserve">fue notificado a las partes el mismo día a través del </w:t>
      </w:r>
      <w:r w:rsidR="00664420" w:rsidRPr="00907A52">
        <w:rPr>
          <w:rFonts w:cs="Tahoma"/>
          <w:b/>
          <w:szCs w:val="22"/>
          <w:lang w:val="es-ES"/>
        </w:rPr>
        <w:t>SAIMEX</w:t>
      </w:r>
      <w:r w:rsidR="00664420" w:rsidRPr="00907A52">
        <w:rPr>
          <w:rFonts w:cs="Tahoma"/>
          <w:szCs w:val="22"/>
        </w:rPr>
        <w:t>.</w:t>
      </w:r>
    </w:p>
    <w:p w14:paraId="741683E3" w14:textId="77777777" w:rsidR="0011350D" w:rsidRPr="00907A52" w:rsidRDefault="0011350D" w:rsidP="00907A52">
      <w:pPr>
        <w:rPr>
          <w:rFonts w:cs="Tahoma"/>
          <w:szCs w:val="22"/>
        </w:rPr>
      </w:pPr>
    </w:p>
    <w:p w14:paraId="7A9629DE" w14:textId="77777777" w:rsidR="00664420" w:rsidRPr="00907A52" w:rsidRDefault="00664420" w:rsidP="00907A52">
      <w:pPr>
        <w:pStyle w:val="Ttulo1"/>
        <w:rPr>
          <w:rFonts w:eastAsiaTheme="minorHAnsi"/>
          <w:lang w:eastAsia="en-US"/>
        </w:rPr>
      </w:pPr>
      <w:bookmarkStart w:id="23" w:name="_Toc175153337"/>
      <w:r w:rsidRPr="00907A52">
        <w:rPr>
          <w:rFonts w:eastAsiaTheme="minorHAnsi"/>
          <w:lang w:eastAsia="en-US"/>
        </w:rPr>
        <w:t>CONSIDERANDOS</w:t>
      </w:r>
      <w:bookmarkEnd w:id="23"/>
    </w:p>
    <w:p w14:paraId="6DD1243B" w14:textId="77777777" w:rsidR="00664420" w:rsidRPr="00907A52" w:rsidRDefault="00664420" w:rsidP="00907A52">
      <w:pPr>
        <w:contextualSpacing/>
        <w:jc w:val="center"/>
        <w:rPr>
          <w:rFonts w:eastAsiaTheme="minorHAnsi" w:cs="Tahoma"/>
          <w:b/>
          <w:szCs w:val="22"/>
          <w:lang w:eastAsia="en-US"/>
        </w:rPr>
      </w:pPr>
    </w:p>
    <w:p w14:paraId="0B67CB92" w14:textId="2E307D3B" w:rsidR="00664420" w:rsidRPr="00907A52" w:rsidRDefault="00664420" w:rsidP="00907A52">
      <w:pPr>
        <w:pStyle w:val="Ttulo2"/>
        <w:rPr>
          <w:rFonts w:eastAsia="Batang"/>
        </w:rPr>
      </w:pPr>
      <w:bookmarkStart w:id="24" w:name="_Toc175153338"/>
      <w:r w:rsidRPr="00907A52">
        <w:rPr>
          <w:rFonts w:eastAsia="Batang"/>
        </w:rPr>
        <w:t xml:space="preserve">PRIMERO. </w:t>
      </w:r>
      <w:proofErr w:type="spellStart"/>
      <w:r w:rsidR="00BA55A8" w:rsidRPr="00907A52">
        <w:rPr>
          <w:rFonts w:eastAsia="Batang"/>
        </w:rPr>
        <w:t>Procedibilidad</w:t>
      </w:r>
      <w:bookmarkEnd w:id="24"/>
      <w:proofErr w:type="spellEnd"/>
    </w:p>
    <w:p w14:paraId="39C52BC1" w14:textId="56FCC20D" w:rsidR="00BA55A8" w:rsidRPr="00907A52" w:rsidRDefault="00BA55A8" w:rsidP="00907A52">
      <w:pPr>
        <w:pStyle w:val="Ttulo3"/>
      </w:pPr>
      <w:bookmarkStart w:id="25" w:name="_Toc175153339"/>
      <w:r w:rsidRPr="00907A52">
        <w:t>a) Competencia</w:t>
      </w:r>
      <w:r w:rsidR="00150C49" w:rsidRPr="00907A52">
        <w:t xml:space="preserve"> del Instituto</w:t>
      </w:r>
      <w:bookmarkEnd w:id="25"/>
    </w:p>
    <w:p w14:paraId="56E64942" w14:textId="6572EDF7" w:rsidR="0011350D" w:rsidRPr="00907A52" w:rsidRDefault="0011350D" w:rsidP="00907A52">
      <w:pPr>
        <w:rPr>
          <w:rFonts w:cs="Arial"/>
        </w:rPr>
      </w:pPr>
      <w:r w:rsidRPr="00907A52">
        <w:t xml:space="preserve">Este Instituto de Transparencia, Acceso a la Información Pública y Protección de Datos Personales del Estado de México y Municipios es competente para conocer y resolver </w:t>
      </w:r>
      <w:r w:rsidR="005F65B7" w:rsidRPr="00907A52">
        <w:t xml:space="preserve">el </w:t>
      </w:r>
      <w:r w:rsidRPr="00907A52">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907A52">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907A52" w:rsidRDefault="00DB1C09" w:rsidP="00907A52">
      <w:pPr>
        <w:rPr>
          <w:rFonts w:cs="Arial"/>
        </w:rPr>
      </w:pPr>
    </w:p>
    <w:p w14:paraId="517A2DD6" w14:textId="4169BE4D" w:rsidR="00664420" w:rsidRPr="00907A52" w:rsidRDefault="00BA55A8" w:rsidP="00907A52">
      <w:pPr>
        <w:pStyle w:val="Ttulo3"/>
      </w:pPr>
      <w:bookmarkStart w:id="26" w:name="_Toc175153340"/>
      <w:r w:rsidRPr="00907A52">
        <w:lastRenderedPageBreak/>
        <w:t>b)</w:t>
      </w:r>
      <w:r w:rsidR="00664420" w:rsidRPr="00907A52">
        <w:t xml:space="preserve"> </w:t>
      </w:r>
      <w:r w:rsidR="00D91CB4" w:rsidRPr="00907A52">
        <w:t>Legitimidad</w:t>
      </w:r>
      <w:r w:rsidRPr="00907A52">
        <w:t xml:space="preserve"> de la parte recurrente</w:t>
      </w:r>
      <w:bookmarkEnd w:id="26"/>
    </w:p>
    <w:p w14:paraId="26FEA382" w14:textId="130B122E" w:rsidR="00D91CB4" w:rsidRPr="00907A52" w:rsidRDefault="0068301E" w:rsidP="00907A52">
      <w:pPr>
        <w:rPr>
          <w:rFonts w:cs="Arial"/>
          <w:bCs/>
        </w:rPr>
      </w:pPr>
      <w:r w:rsidRPr="00907A52">
        <w:rPr>
          <w:rFonts w:cs="Arial"/>
          <w:bCs/>
        </w:rPr>
        <w:t>Los</w:t>
      </w:r>
      <w:r w:rsidR="00D91CB4" w:rsidRPr="00907A52">
        <w:rPr>
          <w:rFonts w:cs="Arial"/>
          <w:bCs/>
        </w:rPr>
        <w:t xml:space="preserve"> recurso</w:t>
      </w:r>
      <w:r w:rsidRPr="00907A52">
        <w:rPr>
          <w:rFonts w:cs="Arial"/>
          <w:bCs/>
        </w:rPr>
        <w:t>s</w:t>
      </w:r>
      <w:r w:rsidR="00D91CB4" w:rsidRPr="00907A52">
        <w:rPr>
          <w:rFonts w:cs="Arial"/>
          <w:bCs/>
        </w:rPr>
        <w:t xml:space="preserve"> de revisión fue</w:t>
      </w:r>
      <w:r w:rsidRPr="00907A52">
        <w:rPr>
          <w:rFonts w:cs="Arial"/>
          <w:bCs/>
        </w:rPr>
        <w:t>ron</w:t>
      </w:r>
      <w:r w:rsidR="00D91CB4" w:rsidRPr="00907A52">
        <w:rPr>
          <w:rFonts w:cs="Arial"/>
          <w:bCs/>
        </w:rPr>
        <w:t xml:space="preserve"> interpuesto</w:t>
      </w:r>
      <w:r w:rsidRPr="00907A52">
        <w:rPr>
          <w:rFonts w:cs="Arial"/>
          <w:bCs/>
        </w:rPr>
        <w:t>s</w:t>
      </w:r>
      <w:r w:rsidR="00D91CB4" w:rsidRPr="00907A52">
        <w:rPr>
          <w:rFonts w:cs="Arial"/>
          <w:bCs/>
        </w:rPr>
        <w:t xml:space="preserve"> por parte legítima, ya que se present</w:t>
      </w:r>
      <w:r w:rsidRPr="00907A52">
        <w:rPr>
          <w:rFonts w:cs="Arial"/>
          <w:bCs/>
        </w:rPr>
        <w:t>aron</w:t>
      </w:r>
      <w:r w:rsidR="00D91CB4" w:rsidRPr="00907A52">
        <w:rPr>
          <w:rFonts w:cs="Arial"/>
          <w:bCs/>
        </w:rPr>
        <w:t xml:space="preserve"> por la misma persona que formuló la</w:t>
      </w:r>
      <w:r w:rsidRPr="00907A52">
        <w:rPr>
          <w:rFonts w:cs="Arial"/>
          <w:bCs/>
        </w:rPr>
        <w:t>s</w:t>
      </w:r>
      <w:r w:rsidR="00D91CB4" w:rsidRPr="00907A52">
        <w:rPr>
          <w:rFonts w:cs="Arial"/>
          <w:bCs/>
        </w:rPr>
        <w:t xml:space="preserve"> solicitud</w:t>
      </w:r>
      <w:r w:rsidRPr="00907A52">
        <w:rPr>
          <w:rFonts w:cs="Arial"/>
          <w:bCs/>
        </w:rPr>
        <w:t>es</w:t>
      </w:r>
      <w:r w:rsidR="00D91CB4" w:rsidRPr="00907A52">
        <w:rPr>
          <w:rFonts w:cs="Arial"/>
          <w:bCs/>
        </w:rPr>
        <w:t xml:space="preserve"> de acceso a la Información Pública,</w:t>
      </w:r>
      <w:r w:rsidR="00D91CB4" w:rsidRPr="00907A52">
        <w:rPr>
          <w:rFonts w:cs="Arial"/>
          <w:b/>
          <w:bCs/>
        </w:rPr>
        <w:t xml:space="preserve"> </w:t>
      </w:r>
      <w:r w:rsidR="00D91CB4" w:rsidRPr="00907A52">
        <w:rPr>
          <w:rFonts w:cs="Arial"/>
        </w:rPr>
        <w:t>debido a que los datos de acceso</w:t>
      </w:r>
      <w:r w:rsidR="00D91CB4" w:rsidRPr="00907A52">
        <w:rPr>
          <w:rFonts w:cs="Arial"/>
          <w:b/>
          <w:bCs/>
        </w:rPr>
        <w:t xml:space="preserve"> </w:t>
      </w:r>
      <w:r w:rsidR="00D91CB4" w:rsidRPr="00907A52">
        <w:rPr>
          <w:rFonts w:cs="Arial"/>
          <w:b/>
        </w:rPr>
        <w:t>SAIMEX</w:t>
      </w:r>
      <w:r w:rsidR="00D91CB4" w:rsidRPr="00907A52">
        <w:rPr>
          <w:rFonts w:eastAsia="Calibri" w:cs="Arial"/>
          <w:lang w:eastAsia="en-US"/>
        </w:rPr>
        <w:t xml:space="preserve"> son personales e irrepetibles.</w:t>
      </w:r>
    </w:p>
    <w:p w14:paraId="2C367810" w14:textId="77777777" w:rsidR="00D91CB4" w:rsidRPr="00907A52" w:rsidRDefault="00D91CB4" w:rsidP="00907A52"/>
    <w:p w14:paraId="5C5FA5A8" w14:textId="77777777" w:rsidR="004565C2" w:rsidRPr="00907A52" w:rsidRDefault="004565C2" w:rsidP="00907A52">
      <w:pPr>
        <w:pStyle w:val="Ttulo3"/>
        <w:rPr>
          <w:rFonts w:eastAsia="Calibri"/>
          <w:lang w:eastAsia="es-ES_tradnl"/>
        </w:rPr>
      </w:pPr>
      <w:bookmarkStart w:id="27" w:name="_Toc170932820"/>
      <w:bookmarkStart w:id="28" w:name="_Toc175153341"/>
      <w:r w:rsidRPr="00907A52">
        <w:rPr>
          <w:rFonts w:eastAsia="Calibri"/>
          <w:lang w:eastAsia="es-ES_tradnl"/>
        </w:rPr>
        <w:t>c) Plazo para interponer el recurso</w:t>
      </w:r>
      <w:bookmarkEnd w:id="27"/>
      <w:bookmarkEnd w:id="28"/>
    </w:p>
    <w:p w14:paraId="5C63152A" w14:textId="57408DDC" w:rsidR="004565C2" w:rsidRPr="00907A52" w:rsidRDefault="004565C2" w:rsidP="00907A52">
      <w:pPr>
        <w:rPr>
          <w:rFonts w:eastAsiaTheme="minorEastAsia" w:cs="Arial"/>
          <w:lang w:val="es-ES_tradnl"/>
        </w:rPr>
      </w:pPr>
      <w:r w:rsidRPr="00907A52">
        <w:rPr>
          <w:rFonts w:cs="Arial"/>
          <w:b/>
        </w:rPr>
        <w:t>EL SUJETO OBLIGADO</w:t>
      </w:r>
      <w:r w:rsidRPr="00907A52">
        <w:rPr>
          <w:rFonts w:cs="Arial"/>
        </w:rPr>
        <w:t xml:space="preserve"> notificó la</w:t>
      </w:r>
      <w:r w:rsidR="0068301E" w:rsidRPr="00907A52">
        <w:rPr>
          <w:rFonts w:cs="Arial"/>
        </w:rPr>
        <w:t>s</w:t>
      </w:r>
      <w:r w:rsidRPr="00907A52">
        <w:rPr>
          <w:rFonts w:cs="Arial"/>
        </w:rPr>
        <w:t xml:space="preserve"> respuesta</w:t>
      </w:r>
      <w:r w:rsidR="0068301E" w:rsidRPr="00907A52">
        <w:rPr>
          <w:rFonts w:cs="Arial"/>
        </w:rPr>
        <w:t>s</w:t>
      </w:r>
      <w:r w:rsidRPr="00907A52">
        <w:rPr>
          <w:rFonts w:cs="Arial"/>
        </w:rPr>
        <w:t xml:space="preserve"> a la</w:t>
      </w:r>
      <w:r w:rsidR="0068301E" w:rsidRPr="00907A52">
        <w:rPr>
          <w:rFonts w:cs="Arial"/>
        </w:rPr>
        <w:t>s</w:t>
      </w:r>
      <w:r w:rsidRPr="00907A52">
        <w:rPr>
          <w:rFonts w:cs="Arial"/>
        </w:rPr>
        <w:t xml:space="preserve"> solicitud</w:t>
      </w:r>
      <w:r w:rsidR="0068301E" w:rsidRPr="00907A52">
        <w:rPr>
          <w:rFonts w:cs="Arial"/>
        </w:rPr>
        <w:t>es</w:t>
      </w:r>
      <w:r w:rsidRPr="00907A52">
        <w:rPr>
          <w:rFonts w:cs="Arial"/>
        </w:rPr>
        <w:t xml:space="preserve"> de acceso a la Información Pública el </w:t>
      </w:r>
      <w:r w:rsidR="00DD45BF" w:rsidRPr="00907A52">
        <w:rPr>
          <w:rFonts w:eastAsia="Palatino Linotype" w:cs="Palatino Linotype"/>
          <w:b/>
        </w:rPr>
        <w:t xml:space="preserve">quince de mayo </w:t>
      </w:r>
      <w:r w:rsidRPr="00907A52">
        <w:rPr>
          <w:rFonts w:eastAsia="Palatino Linotype" w:cs="Palatino Linotype"/>
          <w:b/>
        </w:rPr>
        <w:t xml:space="preserve">de dos mil veinticuatro </w:t>
      </w:r>
      <w:r w:rsidRPr="00907A52">
        <w:rPr>
          <w:rFonts w:cs="Arial"/>
        </w:rPr>
        <w:t>y</w:t>
      </w:r>
      <w:r w:rsidR="0068301E" w:rsidRPr="00907A52">
        <w:rPr>
          <w:rFonts w:cs="Arial"/>
        </w:rPr>
        <w:t xml:space="preserve"> </w:t>
      </w:r>
      <w:r w:rsidRPr="00907A52">
        <w:rPr>
          <w:rFonts w:cs="Arial"/>
        </w:rPr>
        <w:t>l</w:t>
      </w:r>
      <w:r w:rsidR="0068301E" w:rsidRPr="00907A52">
        <w:rPr>
          <w:rFonts w:cs="Arial"/>
        </w:rPr>
        <w:t>os</w:t>
      </w:r>
      <w:r w:rsidRPr="00907A52">
        <w:rPr>
          <w:rFonts w:cs="Arial"/>
        </w:rPr>
        <w:t xml:space="preserve"> recurso</w:t>
      </w:r>
      <w:r w:rsidR="0068301E" w:rsidRPr="00907A52">
        <w:rPr>
          <w:rFonts w:cs="Arial"/>
        </w:rPr>
        <w:t>s</w:t>
      </w:r>
      <w:r w:rsidRPr="00907A52">
        <w:rPr>
          <w:rFonts w:cs="Arial"/>
        </w:rPr>
        <w:t xml:space="preserve"> </w:t>
      </w:r>
      <w:r w:rsidRPr="00907A52">
        <w:rPr>
          <w:rFonts w:eastAsia="Palatino Linotype" w:cs="Palatino Linotype"/>
        </w:rPr>
        <w:t>que nos ocupa</w:t>
      </w:r>
      <w:r w:rsidR="0068301E" w:rsidRPr="00907A52">
        <w:rPr>
          <w:rFonts w:eastAsia="Palatino Linotype" w:cs="Palatino Linotype"/>
        </w:rPr>
        <w:t>n</w:t>
      </w:r>
      <w:r w:rsidRPr="00907A52">
        <w:rPr>
          <w:rFonts w:eastAsia="Palatino Linotype" w:cs="Palatino Linotype"/>
        </w:rPr>
        <w:t xml:space="preserve"> se interpus</w:t>
      </w:r>
      <w:r w:rsidR="0068301E" w:rsidRPr="00907A52">
        <w:rPr>
          <w:rFonts w:eastAsia="Palatino Linotype" w:cs="Palatino Linotype"/>
        </w:rPr>
        <w:t xml:space="preserve">ieron </w:t>
      </w:r>
      <w:r w:rsidRPr="00907A52">
        <w:rPr>
          <w:rFonts w:eastAsia="Palatino Linotype" w:cs="Palatino Linotype"/>
        </w:rPr>
        <w:t xml:space="preserve">el </w:t>
      </w:r>
      <w:r w:rsidR="00DD45BF" w:rsidRPr="00907A52">
        <w:rPr>
          <w:rFonts w:eastAsia="Palatino Linotype" w:cs="Palatino Linotype"/>
          <w:b/>
        </w:rPr>
        <w:t xml:space="preserve">veintisiete de mayo </w:t>
      </w:r>
      <w:r w:rsidRPr="00907A52">
        <w:rPr>
          <w:rFonts w:eastAsia="Palatino Linotype" w:cs="Palatino Linotype"/>
          <w:b/>
        </w:rPr>
        <w:t>de dos mil veinticuatro</w:t>
      </w:r>
      <w:r w:rsidRPr="00907A52">
        <w:rPr>
          <w:rFonts w:eastAsia="Palatino Linotype" w:cs="Palatino Linotype"/>
          <w:bCs/>
        </w:rPr>
        <w:t>;</w:t>
      </w:r>
      <w:r w:rsidRPr="00907A52">
        <w:rPr>
          <w:rFonts w:eastAsia="Palatino Linotype" w:cs="Palatino Linotype"/>
        </w:rPr>
        <w:t xml:space="preserve"> por lo tanto, éste se encuentra dentro del margen temporal previsto en el artículo 178 de la </w:t>
      </w:r>
      <w:r w:rsidRPr="00907A52">
        <w:rPr>
          <w:rFonts w:cs="Arial"/>
        </w:rPr>
        <w:t xml:space="preserve">Ley de Transparencia y Acceso a la Información Pública del Estado de México y Municipios, </w:t>
      </w:r>
      <w:r w:rsidRPr="00907A52">
        <w:rPr>
          <w:rFonts w:eastAsia="Calibri"/>
          <w:lang w:eastAsia="es-ES_tradnl"/>
        </w:rPr>
        <w:t xml:space="preserve">el cual </w:t>
      </w:r>
      <w:r w:rsidRPr="00907A52">
        <w:rPr>
          <w:rFonts w:cs="Arial"/>
        </w:rPr>
        <w:t xml:space="preserve">transcurrió del </w:t>
      </w:r>
      <w:r w:rsidR="00DD45BF" w:rsidRPr="00907A52">
        <w:rPr>
          <w:rFonts w:cs="Arial"/>
          <w:b/>
        </w:rPr>
        <w:t xml:space="preserve">dieciséis de mayo </w:t>
      </w:r>
      <w:r w:rsidR="0068301E" w:rsidRPr="00907A52">
        <w:rPr>
          <w:rFonts w:cs="Arial"/>
          <w:b/>
        </w:rPr>
        <w:t xml:space="preserve">al </w:t>
      </w:r>
      <w:r w:rsidR="00DD45BF" w:rsidRPr="00907A52">
        <w:rPr>
          <w:rFonts w:cs="Arial"/>
          <w:b/>
        </w:rPr>
        <w:t xml:space="preserve">cinco de </w:t>
      </w:r>
      <w:r w:rsidR="0068301E" w:rsidRPr="00907A52">
        <w:rPr>
          <w:rFonts w:cs="Arial"/>
          <w:b/>
        </w:rPr>
        <w:t>ju</w:t>
      </w:r>
      <w:r w:rsidR="00DD45BF" w:rsidRPr="00907A52">
        <w:rPr>
          <w:rFonts w:cs="Arial"/>
          <w:b/>
        </w:rPr>
        <w:t>n</w:t>
      </w:r>
      <w:r w:rsidR="0068301E" w:rsidRPr="00907A52">
        <w:rPr>
          <w:rFonts w:cs="Arial"/>
          <w:b/>
        </w:rPr>
        <w:t xml:space="preserve">io </w:t>
      </w:r>
      <w:r w:rsidRPr="00907A52">
        <w:rPr>
          <w:rFonts w:cs="Arial"/>
          <w:b/>
        </w:rPr>
        <w:t>de dos mil veinticuatro</w:t>
      </w:r>
      <w:r w:rsidRPr="00907A52">
        <w:rPr>
          <w:rFonts w:cs="Arial"/>
        </w:rPr>
        <w:t xml:space="preserve">, </w:t>
      </w:r>
      <w:r w:rsidRPr="00907A52">
        <w:rPr>
          <w:rFonts w:eastAsiaTheme="minorEastAsia" w:cs="Arial"/>
          <w:lang w:val="es-ES_tradnl"/>
        </w:rPr>
        <w:t xml:space="preserve">sin contemplar en el cómputo los días </w:t>
      </w:r>
      <w:bookmarkStart w:id="29" w:name="_Hlk62134391"/>
      <w:r w:rsidRPr="00907A52">
        <w:rPr>
          <w:rFonts w:eastAsiaTheme="minorEastAsia" w:cs="Arial"/>
          <w:lang w:val="es-ES_tradnl"/>
        </w:rPr>
        <w:t xml:space="preserve">sábados, domingos y aquellos considerados como días inhábiles en términos del </w:t>
      </w:r>
      <w:bookmarkEnd w:id="29"/>
      <w:r w:rsidRPr="00907A52">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11CC0EC7" w14:textId="77777777" w:rsidR="004565C2" w:rsidRPr="00907A52" w:rsidRDefault="004565C2" w:rsidP="00907A52"/>
    <w:p w14:paraId="46C0EB3A" w14:textId="5A92AF42" w:rsidR="00A53315" w:rsidRPr="00907A52" w:rsidRDefault="00BA55A8" w:rsidP="00907A52">
      <w:pPr>
        <w:pStyle w:val="Ttulo3"/>
        <w:rPr>
          <w:rFonts w:eastAsia="Calibri"/>
          <w:lang w:eastAsia="es-ES_tradnl"/>
        </w:rPr>
      </w:pPr>
      <w:bookmarkStart w:id="30" w:name="_Toc175153342"/>
      <w:r w:rsidRPr="00907A52">
        <w:rPr>
          <w:rFonts w:eastAsia="Calibri"/>
          <w:lang w:eastAsia="es-ES_tradnl"/>
        </w:rPr>
        <w:t>d)</w:t>
      </w:r>
      <w:r w:rsidR="00D91CB4" w:rsidRPr="00907A52">
        <w:rPr>
          <w:rFonts w:eastAsia="Calibri"/>
          <w:lang w:eastAsia="es-ES_tradnl"/>
        </w:rPr>
        <w:t xml:space="preserve"> </w:t>
      </w:r>
      <w:r w:rsidR="004565C2" w:rsidRPr="00907A52">
        <w:rPr>
          <w:rFonts w:eastAsia="Calibri"/>
          <w:lang w:eastAsia="es-ES_tradnl"/>
        </w:rPr>
        <w:t>Causal de procedencia</w:t>
      </w:r>
      <w:bookmarkEnd w:id="30"/>
    </w:p>
    <w:p w14:paraId="190404A6" w14:textId="26BE7A1D" w:rsidR="00BA55A8" w:rsidRPr="00907A52" w:rsidRDefault="00BA55A8" w:rsidP="00907A52">
      <w:r w:rsidRPr="00907A52">
        <w:rPr>
          <w:rFonts w:cs="Arial"/>
        </w:rPr>
        <w:t>Resulta</w:t>
      </w:r>
      <w:r w:rsidR="0068301E" w:rsidRPr="00907A52">
        <w:rPr>
          <w:rFonts w:cs="Arial"/>
        </w:rPr>
        <w:t>n</w:t>
      </w:r>
      <w:r w:rsidRPr="00907A52">
        <w:rPr>
          <w:rFonts w:cs="Arial"/>
        </w:rPr>
        <w:t xml:space="preserve"> procedente</w:t>
      </w:r>
      <w:r w:rsidR="0068301E" w:rsidRPr="00907A52">
        <w:rPr>
          <w:rFonts w:cs="Arial"/>
        </w:rPr>
        <w:t>s</w:t>
      </w:r>
      <w:r w:rsidRPr="00907A52">
        <w:rPr>
          <w:rFonts w:cs="Arial"/>
        </w:rPr>
        <w:t xml:space="preserve"> la interposición del recurso de revisión, ya que </w:t>
      </w:r>
      <w:r w:rsidRPr="00907A52">
        <w:rPr>
          <w:rFonts w:eastAsia="Calibri" w:cs="Tahoma"/>
          <w:szCs w:val="22"/>
          <w:lang w:eastAsia="es-MX"/>
        </w:rPr>
        <w:t xml:space="preserve">se actualiza la causal de procedencia señalada en el artículo 179, fracción </w:t>
      </w:r>
      <w:r w:rsidR="0068301E" w:rsidRPr="00907A52">
        <w:rPr>
          <w:rFonts w:eastAsia="Calibri" w:cs="Tahoma"/>
          <w:szCs w:val="22"/>
          <w:lang w:eastAsia="es-MX"/>
        </w:rPr>
        <w:t>V</w:t>
      </w:r>
      <w:r w:rsidR="00DD45BF" w:rsidRPr="00907A52">
        <w:rPr>
          <w:rFonts w:eastAsia="Calibri" w:cs="Tahoma"/>
          <w:szCs w:val="22"/>
          <w:lang w:eastAsia="es-MX"/>
        </w:rPr>
        <w:t>III</w:t>
      </w:r>
      <w:r w:rsidRPr="00907A52">
        <w:rPr>
          <w:rFonts w:cs="Arial"/>
        </w:rPr>
        <w:t xml:space="preserve"> de la </w:t>
      </w:r>
      <w:r w:rsidRPr="00907A52">
        <w:t>Ley de Transparencia y Acceso a la Información Pública del Estado de México y Municipios.</w:t>
      </w:r>
    </w:p>
    <w:p w14:paraId="0EFF7141" w14:textId="77777777" w:rsidR="00362A11" w:rsidRPr="00907A52" w:rsidRDefault="00362A11" w:rsidP="00907A52"/>
    <w:p w14:paraId="2284D7EB" w14:textId="3EE1D036" w:rsidR="00BA55A8" w:rsidRPr="00907A52" w:rsidRDefault="00362A11" w:rsidP="00907A52">
      <w:pPr>
        <w:pStyle w:val="Ttulo3"/>
      </w:pPr>
      <w:bookmarkStart w:id="31" w:name="_Toc175153343"/>
      <w:r w:rsidRPr="00907A52">
        <w:t>e) Requisitos formales para la interposición del recurso</w:t>
      </w:r>
      <w:bookmarkEnd w:id="31"/>
    </w:p>
    <w:p w14:paraId="6390674A" w14:textId="78A894DD" w:rsidR="00BA55A8" w:rsidRDefault="00BA55A8" w:rsidP="00907A52">
      <w:pPr>
        <w:rPr>
          <w:rFonts w:cs="Arial"/>
        </w:rPr>
      </w:pPr>
      <w:r w:rsidRPr="00907A52">
        <w:rPr>
          <w:rFonts w:cs="Arial"/>
          <w:b/>
          <w:bCs/>
        </w:rPr>
        <w:t xml:space="preserve">LA PARTE RECURRENTE </w:t>
      </w:r>
      <w:r w:rsidRPr="00907A52">
        <w:rPr>
          <w:rFonts w:cs="Arial"/>
        </w:rPr>
        <w:t>acreditó todos y cada uno de los elementos formales exigidos por el artículo 180 de la misma normatividad.</w:t>
      </w:r>
    </w:p>
    <w:p w14:paraId="0491C88B" w14:textId="77777777" w:rsidR="00907A52" w:rsidRDefault="00907A52" w:rsidP="00907A52">
      <w:pPr>
        <w:rPr>
          <w:rFonts w:cs="Arial"/>
        </w:rPr>
      </w:pPr>
    </w:p>
    <w:p w14:paraId="70DC4FCB" w14:textId="77777777" w:rsidR="00907A52" w:rsidRPr="00907A52" w:rsidRDefault="00907A52" w:rsidP="00907A52">
      <w:pPr>
        <w:pStyle w:val="Ttulo3"/>
      </w:pPr>
      <w:bookmarkStart w:id="32" w:name="_Toc165402861"/>
      <w:bookmarkStart w:id="33" w:name="_Toc175153344"/>
      <w:r w:rsidRPr="00907A52">
        <w:lastRenderedPageBreak/>
        <w:t>f) Acumulación de los Recursos de Revisión</w:t>
      </w:r>
      <w:bookmarkEnd w:id="32"/>
      <w:bookmarkEnd w:id="33"/>
    </w:p>
    <w:p w14:paraId="4EEE0D31" w14:textId="58B230FD" w:rsidR="00907A52" w:rsidRPr="00907A52" w:rsidRDefault="00907A52" w:rsidP="00907A52">
      <w:r w:rsidRPr="00907A52">
        <w:rPr>
          <w:rFonts w:eastAsiaTheme="minorEastAsia"/>
          <w:lang w:val="es-ES_tradnl"/>
        </w:rPr>
        <w:t>De las constancias que obran en los expedientes acumulados, se advierte que los recursos de revisión</w:t>
      </w:r>
      <w:r w:rsidRPr="00907A52">
        <w:rPr>
          <w:rFonts w:eastAsiaTheme="minorEastAsia" w:cstheme="minorBidi"/>
          <w:lang w:val="es-ES_tradnl"/>
        </w:rPr>
        <w:t xml:space="preserve"> </w:t>
      </w:r>
      <w:r w:rsidRPr="00907A52">
        <w:rPr>
          <w:rFonts w:cs="Arial"/>
          <w:b/>
          <w:bCs/>
        </w:rPr>
        <w:t>03297/INFOEM/IP/RR/2024 y</w:t>
      </w:r>
      <w:r>
        <w:rPr>
          <w:rFonts w:cs="Arial"/>
          <w:b/>
          <w:bCs/>
        </w:rPr>
        <w:t xml:space="preserve"> </w:t>
      </w:r>
      <w:r w:rsidRPr="00907A52">
        <w:rPr>
          <w:rFonts w:cs="Arial"/>
          <w:b/>
          <w:bCs/>
        </w:rPr>
        <w:t xml:space="preserve">03300/INFOEM/IP/RR/2024 </w:t>
      </w:r>
      <w:r w:rsidRPr="00907A52">
        <w:rPr>
          <w:rFonts w:eastAsiaTheme="minorEastAsia"/>
          <w:lang w:val="es-ES_tradnl"/>
        </w:rPr>
        <w:t xml:space="preserve">fueron presentados por la misma </w:t>
      </w:r>
      <w:r w:rsidRPr="00907A52">
        <w:rPr>
          <w:rFonts w:eastAsiaTheme="minorEastAsia"/>
          <w:b/>
          <w:lang w:val="es-ES_tradnl"/>
        </w:rPr>
        <w:t>PARTE RECURRENTE</w:t>
      </w:r>
      <w:r w:rsidRPr="00907A52">
        <w:rPr>
          <w:rFonts w:eastAsiaTheme="minorEastAsia"/>
          <w:lang w:val="es-ES_tradnl"/>
        </w:rPr>
        <w:t xml:space="preserve"> respecto de actos u omisiones similares, realizados por el mismo </w:t>
      </w:r>
      <w:r w:rsidRPr="00907A52">
        <w:rPr>
          <w:rFonts w:eastAsiaTheme="minorEastAsia"/>
          <w:b/>
          <w:lang w:val="es-ES_tradnl"/>
        </w:rPr>
        <w:t>SUJETO OBLIGADO</w:t>
      </w:r>
      <w:r w:rsidRPr="00907A52">
        <w:rPr>
          <w:rFonts w:eastAsiaTheme="minorEastAsia"/>
          <w:lang w:val="es-ES_tradnl"/>
        </w:rPr>
        <w:t xml:space="preserve">, razón por la cual, con la finalidad de evitar la emisión de resoluciones contradictorias, este Órgano Garante realizó la acumulación respectiva, de conformidad con lo dispuesto en el artículo 18 del </w:t>
      </w:r>
      <w:r w:rsidRPr="00907A52">
        <w:rPr>
          <w:rFonts w:eastAsiaTheme="minorEastAsia"/>
          <w:lang w:val="es-ES"/>
        </w:rPr>
        <w:t xml:space="preserve">Código de Procedimientos Administrativos del Estado de México, de aplicación supletoria en términos del </w:t>
      </w:r>
      <w:r w:rsidRPr="00907A52">
        <w:rPr>
          <w:rFonts w:eastAsiaTheme="minorEastAsia"/>
          <w:lang w:val="es-ES_tradnl"/>
        </w:rPr>
        <w:t xml:space="preserve">artículo 195 de </w:t>
      </w:r>
      <w:r w:rsidRPr="00907A52">
        <w:rPr>
          <w:rFonts w:eastAsiaTheme="minorEastAsia" w:cstheme="minorBidi"/>
          <w:lang w:val="es-ES_tradnl"/>
        </w:rPr>
        <w:t>la Ley de Transparencia y Acceso a la Información Pública del Estado de México y Municipios en vigor.</w:t>
      </w:r>
    </w:p>
    <w:p w14:paraId="521856AA" w14:textId="77777777" w:rsidR="0068301E" w:rsidRPr="00907A52" w:rsidRDefault="0068301E" w:rsidP="00907A52">
      <w:pPr>
        <w:rPr>
          <w:rFonts w:cs="Arial"/>
        </w:rPr>
      </w:pPr>
    </w:p>
    <w:p w14:paraId="457548E9" w14:textId="3F7AF03B" w:rsidR="00C71CEF" w:rsidRPr="00907A52" w:rsidRDefault="00C71CEF" w:rsidP="00907A52">
      <w:pPr>
        <w:pStyle w:val="Ttulo2"/>
      </w:pPr>
      <w:bookmarkStart w:id="34" w:name="_Toc175153345"/>
      <w:r w:rsidRPr="00907A52">
        <w:t>SEGUNDO. Estudio de Fondo</w:t>
      </w:r>
      <w:bookmarkEnd w:id="34"/>
    </w:p>
    <w:p w14:paraId="2A308F59" w14:textId="0FF373F0" w:rsidR="00C049E2" w:rsidRPr="00907A52" w:rsidRDefault="00C71CEF" w:rsidP="00907A52">
      <w:pPr>
        <w:pStyle w:val="Ttulo3"/>
      </w:pPr>
      <w:bookmarkStart w:id="35" w:name="_Toc175153346"/>
      <w:r w:rsidRPr="00907A52">
        <w:t>a</w:t>
      </w:r>
      <w:r w:rsidR="00C049E2" w:rsidRPr="00907A52">
        <w:t>) Mandato de transparencia y responsabilidad del Sujeto Obligado</w:t>
      </w:r>
      <w:bookmarkEnd w:id="35"/>
    </w:p>
    <w:p w14:paraId="6901A889" w14:textId="59EEDAE1" w:rsidR="00C049E2" w:rsidRPr="00907A52" w:rsidRDefault="00C049E2" w:rsidP="00907A52">
      <w:pPr>
        <w:rPr>
          <w:rFonts w:eastAsia="Palatino Linotype"/>
        </w:rPr>
      </w:pPr>
      <w:r w:rsidRPr="00907A52">
        <w:rPr>
          <w:rFonts w:eastAsia="Palatino Linotype"/>
        </w:rPr>
        <w:t xml:space="preserve">El </w:t>
      </w:r>
      <w:r w:rsidR="00717E59" w:rsidRPr="00907A52">
        <w:rPr>
          <w:rFonts w:eastAsia="Palatino Linotype"/>
        </w:rPr>
        <w:t>d</w:t>
      </w:r>
      <w:r w:rsidRPr="00907A52">
        <w:rPr>
          <w:rFonts w:eastAsia="Palatino Linotype"/>
        </w:rPr>
        <w:t xml:space="preserve">erecho de </w:t>
      </w:r>
      <w:r w:rsidR="00717E59" w:rsidRPr="00907A52">
        <w:rPr>
          <w:rFonts w:eastAsia="Palatino Linotype"/>
        </w:rPr>
        <w:t>a</w:t>
      </w:r>
      <w:r w:rsidRPr="00907A52">
        <w:rPr>
          <w:rFonts w:eastAsia="Palatino Linotype"/>
        </w:rPr>
        <w:t xml:space="preserve">cceso a la </w:t>
      </w:r>
      <w:r w:rsidR="00717E59" w:rsidRPr="00907A52">
        <w:rPr>
          <w:rFonts w:eastAsia="Palatino Linotype"/>
        </w:rPr>
        <w:t>i</w:t>
      </w:r>
      <w:r w:rsidRPr="00907A52">
        <w:rPr>
          <w:rFonts w:eastAsia="Palatino Linotype"/>
        </w:rPr>
        <w:t xml:space="preserve">nformación </w:t>
      </w:r>
      <w:r w:rsidR="00717E59" w:rsidRPr="00907A52">
        <w:rPr>
          <w:rFonts w:eastAsia="Palatino Linotype"/>
        </w:rPr>
        <w:t>p</w:t>
      </w:r>
      <w:r w:rsidRPr="00907A52">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907A52">
        <w:rPr>
          <w:rFonts w:eastAsia="Palatino Linotype"/>
        </w:rPr>
        <w:t>:</w:t>
      </w:r>
    </w:p>
    <w:p w14:paraId="7FAB8D32" w14:textId="77777777" w:rsidR="00C049E2" w:rsidRPr="00907A52" w:rsidRDefault="00C049E2" w:rsidP="00907A52">
      <w:pPr>
        <w:rPr>
          <w:rFonts w:eastAsia="Palatino Linotype"/>
        </w:rPr>
      </w:pPr>
    </w:p>
    <w:p w14:paraId="05320813" w14:textId="77777777" w:rsidR="00C049E2" w:rsidRPr="00907A52" w:rsidRDefault="00C049E2" w:rsidP="00907A52">
      <w:pPr>
        <w:pStyle w:val="Puesto"/>
        <w:rPr>
          <w:rFonts w:eastAsia="Palatino Linotype"/>
          <w:b/>
        </w:rPr>
      </w:pPr>
      <w:r w:rsidRPr="00907A52">
        <w:rPr>
          <w:rFonts w:eastAsia="Palatino Linotype"/>
          <w:b/>
        </w:rPr>
        <w:t>Constitución Política de los Estados Unidos Mexicanos</w:t>
      </w:r>
    </w:p>
    <w:p w14:paraId="6B6C67B6" w14:textId="77777777" w:rsidR="00C049E2" w:rsidRPr="00907A52" w:rsidRDefault="00C049E2" w:rsidP="00907A52">
      <w:pPr>
        <w:pStyle w:val="Puesto"/>
        <w:rPr>
          <w:rFonts w:eastAsia="Palatino Linotype"/>
          <w:b/>
        </w:rPr>
      </w:pPr>
      <w:r w:rsidRPr="00907A52">
        <w:rPr>
          <w:rFonts w:eastAsia="Palatino Linotype"/>
        </w:rPr>
        <w:t>“</w:t>
      </w:r>
      <w:r w:rsidRPr="00907A52">
        <w:rPr>
          <w:rFonts w:eastAsia="Palatino Linotype"/>
          <w:b/>
        </w:rPr>
        <w:t>Artículo 6.</w:t>
      </w:r>
    </w:p>
    <w:p w14:paraId="38D3B4C4" w14:textId="77777777" w:rsidR="00C049E2" w:rsidRPr="00907A52" w:rsidRDefault="00C049E2" w:rsidP="00907A52">
      <w:pPr>
        <w:pStyle w:val="Puesto"/>
        <w:rPr>
          <w:rFonts w:eastAsia="Palatino Linotype"/>
        </w:rPr>
      </w:pPr>
      <w:r w:rsidRPr="00907A52">
        <w:rPr>
          <w:rFonts w:eastAsia="Palatino Linotype"/>
        </w:rPr>
        <w:t>(…)</w:t>
      </w:r>
    </w:p>
    <w:p w14:paraId="2CCAA297" w14:textId="6602827B" w:rsidR="00C049E2" w:rsidRPr="00907A52" w:rsidRDefault="00C049E2" w:rsidP="00907A52">
      <w:pPr>
        <w:pStyle w:val="Puesto"/>
        <w:rPr>
          <w:rFonts w:eastAsia="Palatino Linotype"/>
        </w:rPr>
      </w:pPr>
      <w:r w:rsidRPr="00907A52">
        <w:rPr>
          <w:rFonts w:eastAsia="Palatino Linotype"/>
        </w:rPr>
        <w:t>Para efectos de lo dispuesto en el presente artículo se observará lo siguiente:</w:t>
      </w:r>
    </w:p>
    <w:p w14:paraId="74CC3718" w14:textId="77777777" w:rsidR="00C049E2" w:rsidRPr="00907A52" w:rsidRDefault="00C049E2" w:rsidP="00907A52">
      <w:pPr>
        <w:pStyle w:val="Puesto"/>
        <w:rPr>
          <w:rFonts w:eastAsia="Palatino Linotype"/>
        </w:rPr>
      </w:pPr>
      <w:r w:rsidRPr="00907A52">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907A52" w:rsidRDefault="00C049E2" w:rsidP="00907A52">
      <w:pPr>
        <w:pStyle w:val="Puesto"/>
        <w:rPr>
          <w:rFonts w:eastAsia="Palatino Linotype"/>
        </w:rPr>
      </w:pPr>
      <w:r w:rsidRPr="00907A52">
        <w:rPr>
          <w:rFonts w:eastAsia="Palatino Linotype"/>
        </w:rPr>
        <w:t xml:space="preserve">I. </w:t>
      </w:r>
      <w:r w:rsidRPr="00907A52">
        <w:rPr>
          <w:rFonts w:eastAsia="Palatino Linotype"/>
        </w:rPr>
        <w:tab/>
        <w:t xml:space="preserve">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w:t>
      </w:r>
      <w:r w:rsidRPr="00907A52">
        <w:rPr>
          <w:rFonts w:eastAsia="Palatino Linotype"/>
        </w:rPr>
        <w:lastRenderedPageBreak/>
        <w:t>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907A52" w:rsidRDefault="00C049E2" w:rsidP="00907A52">
      <w:pPr>
        <w:pStyle w:val="Puesto"/>
        <w:rPr>
          <w:rFonts w:eastAsia="Palatino Linotype"/>
        </w:rPr>
      </w:pPr>
    </w:p>
    <w:p w14:paraId="504F12DB" w14:textId="77777777" w:rsidR="00C049E2" w:rsidRPr="00907A52" w:rsidRDefault="00C049E2" w:rsidP="00907A52">
      <w:pPr>
        <w:pStyle w:val="Puesto"/>
        <w:rPr>
          <w:rFonts w:eastAsia="Palatino Linotype"/>
          <w:b/>
        </w:rPr>
      </w:pPr>
      <w:r w:rsidRPr="00907A52">
        <w:rPr>
          <w:rFonts w:eastAsia="Palatino Linotype"/>
          <w:b/>
        </w:rPr>
        <w:t>Constitución Política del Estado Libre y Soberano de México</w:t>
      </w:r>
    </w:p>
    <w:p w14:paraId="04932D29" w14:textId="77777777" w:rsidR="00C049E2" w:rsidRPr="00907A52" w:rsidRDefault="00C049E2" w:rsidP="00907A52">
      <w:pPr>
        <w:pStyle w:val="Puesto"/>
        <w:rPr>
          <w:rFonts w:eastAsia="Palatino Linotype"/>
          <w:b/>
        </w:rPr>
      </w:pPr>
      <w:r w:rsidRPr="00907A52">
        <w:rPr>
          <w:rFonts w:eastAsia="Palatino Linotype"/>
        </w:rPr>
        <w:t>“</w:t>
      </w:r>
      <w:r w:rsidRPr="00907A52">
        <w:rPr>
          <w:rFonts w:eastAsia="Palatino Linotype"/>
          <w:b/>
        </w:rPr>
        <w:t xml:space="preserve">Artículo 5.- </w:t>
      </w:r>
    </w:p>
    <w:p w14:paraId="1D3829F4" w14:textId="77777777" w:rsidR="00C049E2" w:rsidRPr="00907A52" w:rsidRDefault="00C049E2" w:rsidP="00907A52">
      <w:pPr>
        <w:pStyle w:val="Puesto"/>
        <w:rPr>
          <w:rFonts w:eastAsia="Palatino Linotype"/>
        </w:rPr>
      </w:pPr>
      <w:r w:rsidRPr="00907A52">
        <w:rPr>
          <w:rFonts w:eastAsia="Palatino Linotype"/>
        </w:rPr>
        <w:t>(…)</w:t>
      </w:r>
    </w:p>
    <w:p w14:paraId="0EAE47FD" w14:textId="77777777" w:rsidR="00C049E2" w:rsidRPr="00907A52" w:rsidRDefault="00C049E2" w:rsidP="00907A52">
      <w:pPr>
        <w:pStyle w:val="Puesto"/>
        <w:rPr>
          <w:rFonts w:eastAsia="Palatino Linotype"/>
        </w:rPr>
      </w:pPr>
      <w:r w:rsidRPr="00907A52">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907A52" w:rsidRDefault="00C049E2" w:rsidP="00907A52">
      <w:pPr>
        <w:pStyle w:val="Puesto"/>
        <w:rPr>
          <w:rFonts w:eastAsia="Palatino Linotype"/>
        </w:rPr>
      </w:pPr>
      <w:r w:rsidRPr="00907A52">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907A52" w:rsidRDefault="00C049E2" w:rsidP="00907A52">
      <w:pPr>
        <w:pStyle w:val="Puesto"/>
        <w:rPr>
          <w:rFonts w:eastAsia="Palatino Linotype"/>
        </w:rPr>
      </w:pPr>
      <w:r w:rsidRPr="00907A52">
        <w:rPr>
          <w:rFonts w:eastAsia="Palatino Linotype"/>
        </w:rPr>
        <w:t>Este derecho se regirá por los principios y bases siguientes:</w:t>
      </w:r>
    </w:p>
    <w:p w14:paraId="4A3E8CBA" w14:textId="77777777" w:rsidR="00C049E2" w:rsidRPr="00907A52" w:rsidRDefault="00C049E2" w:rsidP="00907A52">
      <w:pPr>
        <w:pStyle w:val="Puesto"/>
        <w:rPr>
          <w:rFonts w:eastAsia="Palatino Linotype"/>
        </w:rPr>
      </w:pPr>
      <w:r w:rsidRPr="00907A52">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907A52" w:rsidRDefault="00C049E2" w:rsidP="00907A52">
      <w:pPr>
        <w:rPr>
          <w:rFonts w:eastAsia="Palatino Linotype"/>
          <w:b/>
          <w:i/>
        </w:rPr>
      </w:pPr>
    </w:p>
    <w:p w14:paraId="6FC1BB3B" w14:textId="3BF4A33D" w:rsidR="00C049E2" w:rsidRPr="00907A52" w:rsidRDefault="00717E59" w:rsidP="00907A52">
      <w:pPr>
        <w:rPr>
          <w:rFonts w:eastAsia="Palatino Linotype"/>
          <w:i/>
        </w:rPr>
      </w:pPr>
      <w:r w:rsidRPr="00907A52">
        <w:rPr>
          <w:rFonts w:eastAsia="Palatino Linotype"/>
        </w:rPr>
        <w:t xml:space="preserve">Asimismo, </w:t>
      </w:r>
      <w:r w:rsidR="00C049E2" w:rsidRPr="00907A52">
        <w:rPr>
          <w:rFonts w:eastAsia="Palatino Linotype"/>
        </w:rPr>
        <w:t>el artículo 150 de la Ley de Transparencia y Acceso a la Información Pública del Estado de México y Municipios</w:t>
      </w:r>
      <w:r w:rsidR="00057B2D" w:rsidRPr="00907A52">
        <w:rPr>
          <w:rFonts w:eastAsia="Palatino Linotype"/>
        </w:rPr>
        <w:t xml:space="preserve"> </w:t>
      </w:r>
      <w:r w:rsidR="00E9335C" w:rsidRPr="00907A52">
        <w:rPr>
          <w:rFonts w:eastAsia="Palatino Linotype"/>
        </w:rPr>
        <w:t xml:space="preserve">indica </w:t>
      </w:r>
      <w:r w:rsidR="00057B2D" w:rsidRPr="00907A52">
        <w:rPr>
          <w:rFonts w:eastAsia="Palatino Linotype"/>
        </w:rPr>
        <w:t>que</w:t>
      </w:r>
      <w:r w:rsidR="00C049E2" w:rsidRPr="00907A52">
        <w:rPr>
          <w:rFonts w:eastAsia="Palatino Linotype"/>
        </w:rPr>
        <w:t xml:space="preserve"> la solicitud es la garantía primaria del Derecho de Acceso a la Información, además, establece que se regirá </w:t>
      </w:r>
      <w:r w:rsidR="00C049E2" w:rsidRPr="00907A52">
        <w:rPr>
          <w:rFonts w:eastAsia="Palatino Linotype"/>
          <w:i/>
        </w:rPr>
        <w:t>por los principios de simplicidad, rapidez</w:t>
      </w:r>
      <w:r w:rsidR="005F65B7" w:rsidRPr="00907A52">
        <w:rPr>
          <w:rFonts w:eastAsia="Palatino Linotype"/>
          <w:i/>
        </w:rPr>
        <w:t>,</w:t>
      </w:r>
      <w:r w:rsidR="00C049E2" w:rsidRPr="00907A52">
        <w:rPr>
          <w:rFonts w:eastAsia="Palatino Linotype"/>
          <w:i/>
        </w:rPr>
        <w:t xml:space="preserve"> gratuidad del procedimiento, auxilio y orientación a los particulare</w:t>
      </w:r>
      <w:r w:rsidR="001A58B3" w:rsidRPr="00907A52">
        <w:rPr>
          <w:rFonts w:eastAsia="Palatino Linotype"/>
          <w:i/>
        </w:rPr>
        <w:t>s.</w:t>
      </w:r>
    </w:p>
    <w:p w14:paraId="033466A6" w14:textId="77777777" w:rsidR="001A58B3" w:rsidRPr="00907A52" w:rsidRDefault="001A58B3" w:rsidP="00907A52">
      <w:pPr>
        <w:rPr>
          <w:rFonts w:eastAsia="Palatino Linotype"/>
          <w:i/>
        </w:rPr>
      </w:pPr>
    </w:p>
    <w:p w14:paraId="04ADA10B" w14:textId="574A944A" w:rsidR="001A58B3" w:rsidRPr="00907A52" w:rsidRDefault="00233F17" w:rsidP="00907A52">
      <w:pPr>
        <w:rPr>
          <w:rFonts w:eastAsia="Palatino Linotype" w:cs="Palatino Linotype"/>
          <w:i/>
          <w:szCs w:val="22"/>
        </w:rPr>
      </w:pPr>
      <w:r w:rsidRPr="00907A52">
        <w:rPr>
          <w:rFonts w:eastAsia="Palatino Linotype" w:cs="Palatino Linotype"/>
        </w:rPr>
        <w:t xml:space="preserve">Por su parte, el artículo 4 de </w:t>
      </w:r>
      <w:r w:rsidR="001A58B3" w:rsidRPr="00907A52">
        <w:rPr>
          <w:rFonts w:eastAsia="Palatino Linotype" w:cs="Palatino Linotype"/>
        </w:rPr>
        <w:t xml:space="preserve">la Ley de Transparencia y Acceso a la Información Pública del Estado de México y Municipios refiere que toda la información generada, obtenida, adquirida, </w:t>
      </w:r>
      <w:r w:rsidR="001A58B3" w:rsidRPr="00907A52">
        <w:rPr>
          <w:rFonts w:eastAsia="Palatino Linotype" w:cs="Palatino Linotype"/>
        </w:rPr>
        <w:lastRenderedPageBreak/>
        <w:t>transformada, administrada o en posesión de los sujetos obligados es pública y accesible de manera permanente a cualquier persona, privilegiando el principio de máxima publicidad</w:t>
      </w:r>
      <w:r w:rsidRPr="00907A52">
        <w:rPr>
          <w:rFonts w:eastAsia="Palatino Linotype" w:cs="Palatino Linotype"/>
        </w:rPr>
        <w:t>.</w:t>
      </w:r>
    </w:p>
    <w:p w14:paraId="1407DBB8" w14:textId="77777777" w:rsidR="001A58B3" w:rsidRPr="00907A52" w:rsidRDefault="001A58B3" w:rsidP="00907A52">
      <w:pPr>
        <w:rPr>
          <w:rFonts w:eastAsia="Palatino Linotype" w:cs="Palatino Linotype"/>
        </w:rPr>
      </w:pPr>
    </w:p>
    <w:p w14:paraId="7552AA79" w14:textId="5C52E4A4" w:rsidR="001A58B3" w:rsidRPr="00907A52" w:rsidRDefault="001A58B3" w:rsidP="00907A52">
      <w:pPr>
        <w:rPr>
          <w:rFonts w:eastAsia="Palatino Linotype" w:cs="Palatino Linotype"/>
        </w:rPr>
      </w:pPr>
      <w:r w:rsidRPr="00907A52">
        <w:rPr>
          <w:rFonts w:eastAsia="Palatino Linotype" w:cs="Palatino Linotype"/>
        </w:rPr>
        <w:t xml:space="preserve">Esto es, que los Sujetos Obligados </w:t>
      </w:r>
      <w:r w:rsidR="00FA5957" w:rsidRPr="00907A52">
        <w:rPr>
          <w:rFonts w:eastAsia="Palatino Linotype" w:cs="Palatino Linotype"/>
        </w:rPr>
        <w:t>deben</w:t>
      </w:r>
      <w:r w:rsidRPr="00907A52">
        <w:rPr>
          <w:rFonts w:eastAsia="Palatino Linotype" w:cs="Palatino Linotype"/>
        </w:rPr>
        <w:t xml:space="preserve"> atender las solicitudes de acceso a la información pública que se les </w:t>
      </w:r>
      <w:r w:rsidR="00FA5957" w:rsidRPr="00907A52">
        <w:rPr>
          <w:rFonts w:eastAsia="Palatino Linotype" w:cs="Palatino Linotype"/>
        </w:rPr>
        <w:t>sean realizadas,</w:t>
      </w:r>
      <w:r w:rsidRPr="00907A52">
        <w:rPr>
          <w:rFonts w:eastAsia="Palatino Linotype" w:cs="Palatino Linotype"/>
        </w:rPr>
        <w:t xml:space="preserve"> y proporcionar la información pública que obre en su poder</w:t>
      </w:r>
      <w:r w:rsidR="00FA5957" w:rsidRPr="00907A52">
        <w:rPr>
          <w:rFonts w:eastAsia="Palatino Linotype" w:cs="Palatino Linotype"/>
        </w:rPr>
        <w:t>,</w:t>
      </w:r>
      <w:r w:rsidRPr="00907A52">
        <w:rPr>
          <w:rFonts w:eastAsia="Palatino Linotype" w:cs="Palatino Linotype"/>
        </w:rPr>
        <w:t xml:space="preserve"> conforme </w:t>
      </w:r>
      <w:r w:rsidR="00FA5957" w:rsidRPr="00907A52">
        <w:rPr>
          <w:rFonts w:eastAsia="Palatino Linotype" w:cs="Palatino Linotype"/>
        </w:rPr>
        <w:t>a</w:t>
      </w:r>
      <w:r w:rsidRPr="00907A52">
        <w:rPr>
          <w:rFonts w:eastAsia="Palatino Linotype" w:cs="Palatino Linotype"/>
        </w:rPr>
        <w:t xml:space="preserve">l estado </w:t>
      </w:r>
      <w:r w:rsidR="00FA5957" w:rsidRPr="00907A52">
        <w:rPr>
          <w:rFonts w:eastAsia="Palatino Linotype" w:cs="Palatino Linotype"/>
        </w:rPr>
        <w:t xml:space="preserve">en </w:t>
      </w:r>
      <w:r w:rsidRPr="00907A52">
        <w:rPr>
          <w:rFonts w:eastAsia="Palatino Linotype" w:cs="Palatino Linotype"/>
        </w:rPr>
        <w:t>que se encuentr</w:t>
      </w:r>
      <w:r w:rsidR="00FA5957" w:rsidRPr="00907A52">
        <w:rPr>
          <w:rFonts w:eastAsia="Palatino Linotype" w:cs="Palatino Linotype"/>
        </w:rPr>
        <w:t>e, sin que sea necesario</w:t>
      </w:r>
      <w:r w:rsidRPr="00907A52">
        <w:rPr>
          <w:rFonts w:eastAsia="Palatino Linotype" w:cs="Palatino Linotype"/>
        </w:rPr>
        <w:t xml:space="preserve"> </w:t>
      </w:r>
      <w:r w:rsidR="00FA5957" w:rsidRPr="00907A52">
        <w:rPr>
          <w:rFonts w:eastAsia="Palatino Linotype" w:cs="Palatino Linotype"/>
        </w:rPr>
        <w:t>procesar</w:t>
      </w:r>
      <w:r w:rsidRPr="00907A52">
        <w:rPr>
          <w:rFonts w:eastAsia="Palatino Linotype" w:cs="Palatino Linotype"/>
        </w:rPr>
        <w:t xml:space="preserve"> la misma, ni presentarla conforme al interés del solicitante; </w:t>
      </w:r>
      <w:r w:rsidR="00FA5957" w:rsidRPr="00907A52">
        <w:rPr>
          <w:rFonts w:eastAsia="Palatino Linotype" w:cs="Palatino Linotype"/>
        </w:rPr>
        <w:t>tal y como</w:t>
      </w:r>
      <w:r w:rsidRPr="00907A52">
        <w:rPr>
          <w:rFonts w:eastAsia="Palatino Linotype" w:cs="Palatino Linotype"/>
        </w:rPr>
        <w:t xml:space="preserve"> lo establece el artículo 12 de la Ley de Transparencia y Acceso a la Información Pública del Estado de México y Municipios</w:t>
      </w:r>
      <w:r w:rsidR="00970EB3" w:rsidRPr="00907A52">
        <w:rPr>
          <w:rFonts w:eastAsia="Palatino Linotype" w:cs="Palatino Linotype"/>
        </w:rPr>
        <w:t>.</w:t>
      </w:r>
    </w:p>
    <w:p w14:paraId="73245195" w14:textId="77777777" w:rsidR="00970EB3" w:rsidRPr="00907A52" w:rsidRDefault="00970EB3" w:rsidP="00907A52">
      <w:pPr>
        <w:rPr>
          <w:rFonts w:eastAsia="Palatino Linotype" w:cs="Palatino Linotype"/>
        </w:rPr>
      </w:pPr>
    </w:p>
    <w:p w14:paraId="7F62D4DF" w14:textId="775730E1" w:rsidR="001A58B3" w:rsidRPr="00907A52" w:rsidRDefault="001A58B3" w:rsidP="00907A52">
      <w:pPr>
        <w:rPr>
          <w:rFonts w:eastAsia="Palatino Linotype" w:cs="Palatino Linotype"/>
        </w:rPr>
      </w:pPr>
      <w:r w:rsidRPr="00907A52">
        <w:rPr>
          <w:rFonts w:eastAsia="Palatino Linotype" w:cs="Palatino Linotype"/>
        </w:rPr>
        <w:t>Es decir, que todo sujeto obligado que genere, recopile, administre, procese, archive, posea o conserven, son responsables de la misma</w:t>
      </w:r>
      <w:r w:rsidR="00970EB3" w:rsidRPr="00907A52">
        <w:rPr>
          <w:rFonts w:eastAsia="Palatino Linotype" w:cs="Palatino Linotype"/>
        </w:rPr>
        <w:t>,</w:t>
      </w:r>
      <w:r w:rsidRPr="00907A52">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907A52">
        <w:rPr>
          <w:rFonts w:eastAsia="Palatino Linotype" w:cs="Palatino Linotype"/>
        </w:rPr>
        <w:t>o</w:t>
      </w:r>
      <w:r w:rsidRPr="00907A52">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907A52" w:rsidRDefault="001A58B3" w:rsidP="00907A52">
      <w:pPr>
        <w:rPr>
          <w:rFonts w:eastAsia="Palatino Linotype" w:cs="Palatino Linotype"/>
        </w:rPr>
      </w:pPr>
    </w:p>
    <w:p w14:paraId="04E42DFE" w14:textId="573F1198" w:rsidR="001A58B3" w:rsidRPr="00907A52" w:rsidRDefault="001A58B3" w:rsidP="00907A52">
      <w:pPr>
        <w:rPr>
          <w:rFonts w:eastAsia="Palatino Linotype" w:cs="Palatino Linotype"/>
        </w:rPr>
      </w:pPr>
      <w:r w:rsidRPr="00907A52">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907A52">
        <w:rPr>
          <w:rFonts w:eastAsia="Palatino Linotype" w:cs="Palatino Linotype"/>
        </w:rPr>
        <w:t>, s</w:t>
      </w:r>
      <w:r w:rsidRPr="00907A52">
        <w:rPr>
          <w:rFonts w:eastAsia="Palatino Linotype" w:cs="Palatino Linotype"/>
        </w:rPr>
        <w:t xml:space="preserve">iempre y cuando no se trate de información reservada o </w:t>
      </w:r>
      <w:r w:rsidR="00331F35" w:rsidRPr="00907A52">
        <w:rPr>
          <w:rFonts w:eastAsia="Palatino Linotype" w:cs="Palatino Linotype"/>
        </w:rPr>
        <w:t>confidencial.</w:t>
      </w:r>
    </w:p>
    <w:p w14:paraId="40C5219F" w14:textId="77777777" w:rsidR="001A58B3" w:rsidRPr="00907A52" w:rsidRDefault="001A58B3" w:rsidP="00907A52">
      <w:pPr>
        <w:rPr>
          <w:rFonts w:eastAsia="Palatino Linotype" w:cs="Palatino Linotype"/>
        </w:rPr>
      </w:pPr>
    </w:p>
    <w:p w14:paraId="2E629608" w14:textId="01727E15" w:rsidR="00C049E2" w:rsidRPr="00907A52" w:rsidRDefault="006067C7" w:rsidP="00907A52">
      <w:pPr>
        <w:rPr>
          <w:rFonts w:eastAsia="Palatino Linotype"/>
        </w:rPr>
      </w:pPr>
      <w:bookmarkStart w:id="36" w:name="_heading=h.2s8eyo1" w:colFirst="0" w:colLast="0"/>
      <w:bookmarkEnd w:id="36"/>
      <w:r w:rsidRPr="00907A52">
        <w:rPr>
          <w:rFonts w:eastAsia="Palatino Linotype"/>
        </w:rPr>
        <w:t>Con base en lo anterior</w:t>
      </w:r>
      <w:r w:rsidR="00B22A80" w:rsidRPr="00907A52">
        <w:rPr>
          <w:rFonts w:eastAsia="Palatino Linotype"/>
        </w:rPr>
        <w:t>, se considera que</w:t>
      </w:r>
      <w:r w:rsidR="00C049E2" w:rsidRPr="00907A52">
        <w:rPr>
          <w:rFonts w:eastAsia="Palatino Linotype"/>
        </w:rPr>
        <w:t xml:space="preserve"> </w:t>
      </w:r>
      <w:r w:rsidR="00B22A80" w:rsidRPr="00907A52">
        <w:rPr>
          <w:rFonts w:eastAsia="Palatino Linotype"/>
          <w:b/>
          <w:bCs/>
        </w:rPr>
        <w:t>EL</w:t>
      </w:r>
      <w:r w:rsidR="00C049E2" w:rsidRPr="00907A52">
        <w:rPr>
          <w:rFonts w:eastAsia="Palatino Linotype"/>
        </w:rPr>
        <w:t xml:space="preserve"> </w:t>
      </w:r>
      <w:r w:rsidR="00C049E2" w:rsidRPr="00907A52">
        <w:rPr>
          <w:rFonts w:eastAsia="Palatino Linotype"/>
          <w:b/>
        </w:rPr>
        <w:t>SUJETO OBLIGADO</w:t>
      </w:r>
      <w:r w:rsidR="00C049E2" w:rsidRPr="00907A52">
        <w:rPr>
          <w:rFonts w:eastAsia="Palatino Linotype"/>
        </w:rPr>
        <w:t xml:space="preserve"> </w:t>
      </w:r>
      <w:r w:rsidR="00B22A80" w:rsidRPr="00907A52">
        <w:rPr>
          <w:rFonts w:eastAsia="Palatino Linotype"/>
        </w:rPr>
        <w:t xml:space="preserve">se </w:t>
      </w:r>
      <w:r w:rsidR="00717E59" w:rsidRPr="00907A52">
        <w:rPr>
          <w:rFonts w:eastAsia="Palatino Linotype"/>
        </w:rPr>
        <w:t>encontraba</w:t>
      </w:r>
      <w:r w:rsidR="00B22A80" w:rsidRPr="00907A52">
        <w:rPr>
          <w:rFonts w:eastAsia="Palatino Linotype"/>
        </w:rPr>
        <w:t xml:space="preserve"> compelido a</w:t>
      </w:r>
      <w:r w:rsidR="00C049E2" w:rsidRPr="00907A52">
        <w:rPr>
          <w:rFonts w:eastAsia="Palatino Linotype"/>
        </w:rPr>
        <w:t xml:space="preserve"> atender la solicitud de acceso a la información </w:t>
      </w:r>
      <w:r w:rsidR="00B22A80" w:rsidRPr="00907A52">
        <w:rPr>
          <w:rFonts w:eastAsia="Palatino Linotype"/>
        </w:rPr>
        <w:t xml:space="preserve">realizada por </w:t>
      </w:r>
      <w:r w:rsidR="00B22A80" w:rsidRPr="00907A52">
        <w:rPr>
          <w:rFonts w:eastAsia="Palatino Linotype"/>
          <w:b/>
          <w:bCs/>
        </w:rPr>
        <w:t>LA PARTE RECURRENTE</w:t>
      </w:r>
      <w:r w:rsidR="00331F35" w:rsidRPr="00907A52">
        <w:rPr>
          <w:rFonts w:eastAsia="Palatino Linotype"/>
        </w:rPr>
        <w:t>.</w:t>
      </w:r>
    </w:p>
    <w:p w14:paraId="1611F147" w14:textId="77777777" w:rsidR="00BD5A7C" w:rsidRPr="00907A52" w:rsidRDefault="00BD5A7C" w:rsidP="00907A52">
      <w:pPr>
        <w:rPr>
          <w:rFonts w:eastAsia="Palatino Linotype"/>
        </w:rPr>
      </w:pPr>
    </w:p>
    <w:p w14:paraId="51A0E8B4" w14:textId="676DCA47" w:rsidR="00664420" w:rsidRPr="00907A52" w:rsidRDefault="00C71CEF" w:rsidP="00907A52">
      <w:pPr>
        <w:pStyle w:val="Ttulo3"/>
        <w:rPr>
          <w:rFonts w:eastAsia="Calibri"/>
          <w:lang w:eastAsia="es-ES_tradnl"/>
        </w:rPr>
      </w:pPr>
      <w:bookmarkStart w:id="37" w:name="_Toc175153347"/>
      <w:r w:rsidRPr="00907A52">
        <w:rPr>
          <w:rFonts w:eastAsia="Calibri"/>
          <w:lang w:eastAsia="es-ES_tradnl"/>
        </w:rPr>
        <w:t>b)</w:t>
      </w:r>
      <w:r w:rsidR="00A53315" w:rsidRPr="00907A52">
        <w:rPr>
          <w:rFonts w:eastAsia="Calibri"/>
          <w:lang w:eastAsia="es-ES_tradnl"/>
        </w:rPr>
        <w:t xml:space="preserve"> </w:t>
      </w:r>
      <w:r w:rsidR="00A21A20" w:rsidRPr="00907A52">
        <w:rPr>
          <w:rFonts w:eastAsia="Calibri"/>
          <w:lang w:eastAsia="es-ES_tradnl"/>
        </w:rPr>
        <w:t>Controversia a resolver</w:t>
      </w:r>
      <w:bookmarkEnd w:id="37"/>
    </w:p>
    <w:p w14:paraId="745F61C1" w14:textId="7982B23D" w:rsidR="00DD45BF" w:rsidRPr="00907A52" w:rsidRDefault="00664420" w:rsidP="00907A52">
      <w:pPr>
        <w:rPr>
          <w:rFonts w:eastAsia="Calibri"/>
          <w:lang w:eastAsia="es-ES_tradnl"/>
        </w:rPr>
      </w:pPr>
      <w:r w:rsidRPr="00907A52">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907A52">
        <w:rPr>
          <w:rFonts w:eastAsia="Calibri"/>
          <w:b/>
          <w:bCs/>
          <w:lang w:eastAsia="es-ES_tradnl"/>
        </w:rPr>
        <w:t>LA PARTE RECURRENTE</w:t>
      </w:r>
      <w:r w:rsidR="004565C2" w:rsidRPr="00907A52">
        <w:rPr>
          <w:rFonts w:eastAsia="Calibri"/>
          <w:lang w:eastAsia="es-ES_tradnl"/>
        </w:rPr>
        <w:t xml:space="preserve"> solicitó </w:t>
      </w:r>
      <w:r w:rsidR="00DD45BF" w:rsidRPr="00907A52">
        <w:rPr>
          <w:rFonts w:eastAsia="Calibri"/>
          <w:lang w:eastAsia="es-ES_tradnl"/>
        </w:rPr>
        <w:t xml:space="preserve">la certificación de competencia laboral de los servidores públicos precisados en la solicitud. </w:t>
      </w:r>
    </w:p>
    <w:p w14:paraId="22DA86BF" w14:textId="77777777" w:rsidR="00DD45BF" w:rsidRPr="00907A52" w:rsidRDefault="00DD45BF" w:rsidP="00907A52">
      <w:pPr>
        <w:tabs>
          <w:tab w:val="left" w:pos="4962"/>
        </w:tabs>
        <w:contextualSpacing/>
        <w:rPr>
          <w:rFonts w:eastAsiaTheme="minorHAnsi" w:cs="Tahoma"/>
          <w:bCs/>
          <w:iCs/>
          <w:szCs w:val="22"/>
          <w:lang w:eastAsia="en-US"/>
        </w:rPr>
      </w:pPr>
    </w:p>
    <w:p w14:paraId="5926AA77" w14:textId="77777777" w:rsidR="00DD45BF" w:rsidRPr="00907A52" w:rsidRDefault="00E11AA0" w:rsidP="00907A52">
      <w:pPr>
        <w:tabs>
          <w:tab w:val="left" w:pos="4962"/>
        </w:tabs>
        <w:contextualSpacing/>
        <w:rPr>
          <w:bCs/>
          <w:lang w:val="es-ES"/>
        </w:rPr>
      </w:pPr>
      <w:r w:rsidRPr="00907A52">
        <w:rPr>
          <w:rFonts w:eastAsiaTheme="minorHAnsi" w:cs="Tahoma"/>
          <w:bCs/>
          <w:iCs/>
          <w:szCs w:val="22"/>
          <w:lang w:eastAsia="en-US"/>
        </w:rPr>
        <w:t>Al respecto</w:t>
      </w:r>
      <w:r w:rsidR="00664420" w:rsidRPr="00907A52">
        <w:rPr>
          <w:rFonts w:eastAsiaTheme="minorHAnsi" w:cs="Tahoma"/>
          <w:bCs/>
          <w:iCs/>
          <w:szCs w:val="22"/>
          <w:lang w:eastAsia="en-US"/>
        </w:rPr>
        <w:t xml:space="preserve"> </w:t>
      </w:r>
      <w:r w:rsidR="005D5A50" w:rsidRPr="00907A52">
        <w:rPr>
          <w:rFonts w:eastAsiaTheme="minorHAnsi" w:cs="Tahoma"/>
          <w:b/>
          <w:iCs/>
          <w:szCs w:val="22"/>
          <w:lang w:eastAsia="en-US"/>
        </w:rPr>
        <w:t>EL SUJETO OBLIGADO</w:t>
      </w:r>
      <w:r w:rsidRPr="00907A52">
        <w:rPr>
          <w:rFonts w:eastAsiaTheme="minorHAnsi" w:cs="Tahoma"/>
          <w:bCs/>
          <w:iCs/>
          <w:szCs w:val="22"/>
          <w:lang w:eastAsia="en-US"/>
        </w:rPr>
        <w:t xml:space="preserve"> </w:t>
      </w:r>
      <w:r w:rsidR="00DD45BF" w:rsidRPr="00907A52">
        <w:rPr>
          <w:bCs/>
          <w:lang w:val="es-ES"/>
        </w:rPr>
        <w:t xml:space="preserve">refirió que la información se encontraba disponible para su consulta en las oficinas de Recursos Humanos en un horario de 09:00 a 17:00 horas de lunes a viernes. </w:t>
      </w:r>
    </w:p>
    <w:p w14:paraId="63013D3D" w14:textId="77777777" w:rsidR="00DD45BF" w:rsidRPr="00907A52" w:rsidRDefault="00DD45BF" w:rsidP="00907A52">
      <w:pPr>
        <w:tabs>
          <w:tab w:val="left" w:pos="4962"/>
        </w:tabs>
        <w:contextualSpacing/>
        <w:rPr>
          <w:bCs/>
          <w:lang w:val="es-ES"/>
        </w:rPr>
      </w:pPr>
    </w:p>
    <w:p w14:paraId="6CCB32DF" w14:textId="77777777" w:rsidR="00DD45BF" w:rsidRPr="00907A52" w:rsidRDefault="00CF7586" w:rsidP="00907A52">
      <w:pPr>
        <w:tabs>
          <w:tab w:val="left" w:pos="4962"/>
        </w:tabs>
        <w:contextualSpacing/>
        <w:rPr>
          <w:rFonts w:eastAsiaTheme="minorHAnsi" w:cs="Tahoma"/>
          <w:bCs/>
          <w:iCs/>
          <w:szCs w:val="22"/>
          <w:lang w:eastAsia="en-US"/>
        </w:rPr>
      </w:pPr>
      <w:r w:rsidRPr="00907A52">
        <w:rPr>
          <w:rFonts w:eastAsiaTheme="minorHAnsi" w:cs="Tahoma"/>
          <w:bCs/>
          <w:iCs/>
          <w:szCs w:val="22"/>
          <w:lang w:eastAsia="en-US"/>
        </w:rPr>
        <w:t xml:space="preserve">Ahora bien, en la interposición del presente recurso </w:t>
      </w:r>
      <w:r w:rsidRPr="00907A52">
        <w:rPr>
          <w:rFonts w:eastAsiaTheme="minorHAnsi" w:cs="Tahoma"/>
          <w:b/>
          <w:iCs/>
          <w:szCs w:val="22"/>
          <w:lang w:eastAsia="en-US"/>
        </w:rPr>
        <w:t>LA PARTE RECURRENTE</w:t>
      </w:r>
      <w:r w:rsidR="00237120" w:rsidRPr="00907A52">
        <w:rPr>
          <w:rFonts w:eastAsiaTheme="minorHAnsi" w:cs="Tahoma"/>
          <w:bCs/>
          <w:iCs/>
          <w:szCs w:val="22"/>
          <w:lang w:eastAsia="en-US"/>
        </w:rPr>
        <w:t xml:space="preserve"> s</w:t>
      </w:r>
      <w:r w:rsidR="00E11AA0" w:rsidRPr="00907A52">
        <w:rPr>
          <w:rFonts w:eastAsiaTheme="minorHAnsi" w:cs="Tahoma"/>
          <w:bCs/>
          <w:iCs/>
          <w:szCs w:val="22"/>
          <w:lang w:eastAsia="en-US"/>
        </w:rPr>
        <w:t>e inconformó medularmente por</w:t>
      </w:r>
      <w:r w:rsidR="00DD45BF" w:rsidRPr="00907A52">
        <w:rPr>
          <w:rFonts w:eastAsiaTheme="minorHAnsi" w:cs="Tahoma"/>
          <w:bCs/>
          <w:iCs/>
          <w:szCs w:val="22"/>
          <w:lang w:eastAsia="en-US"/>
        </w:rPr>
        <w:t xml:space="preserve"> el cambio de modalidad de entrega de la información requerida. </w:t>
      </w:r>
    </w:p>
    <w:p w14:paraId="1C3F910B" w14:textId="77777777" w:rsidR="00DD45BF" w:rsidRPr="00907A52" w:rsidRDefault="00DD45BF" w:rsidP="00907A52">
      <w:pPr>
        <w:tabs>
          <w:tab w:val="left" w:pos="4962"/>
        </w:tabs>
        <w:contextualSpacing/>
        <w:rPr>
          <w:rFonts w:eastAsiaTheme="minorHAnsi" w:cs="Tahoma"/>
          <w:bCs/>
          <w:iCs/>
          <w:szCs w:val="22"/>
          <w:lang w:eastAsia="en-US"/>
        </w:rPr>
      </w:pPr>
    </w:p>
    <w:p w14:paraId="6DDCE862" w14:textId="5F9C034A" w:rsidR="00831728" w:rsidRPr="00907A52" w:rsidRDefault="00831728" w:rsidP="00907A52">
      <w:pPr>
        <w:pStyle w:val="Prrafodelista"/>
        <w:widowControl w:val="0"/>
        <w:autoSpaceDE w:val="0"/>
        <w:autoSpaceDN w:val="0"/>
        <w:adjustRightInd w:val="0"/>
        <w:ind w:left="0"/>
      </w:pPr>
      <w:r w:rsidRPr="00907A52">
        <w:t xml:space="preserve">Asimismo, es importante señalar que </w:t>
      </w:r>
      <w:r w:rsidR="00F54F05" w:rsidRPr="00907A52">
        <w:rPr>
          <w:rFonts w:eastAsiaTheme="minorHAnsi" w:cs="Tahoma"/>
          <w:b/>
          <w:iCs/>
          <w:szCs w:val="22"/>
          <w:lang w:eastAsia="en-US"/>
        </w:rPr>
        <w:t>LA PARTE RECURRENTE</w:t>
      </w:r>
      <w:r w:rsidR="00F54F05" w:rsidRPr="00907A52">
        <w:rPr>
          <w:rFonts w:eastAsiaTheme="minorHAnsi" w:cs="Tahoma"/>
          <w:bCs/>
          <w:iCs/>
          <w:szCs w:val="22"/>
          <w:lang w:eastAsia="en-US"/>
        </w:rPr>
        <w:t xml:space="preserve"> </w:t>
      </w:r>
      <w:r w:rsidRPr="00907A52">
        <w:rPr>
          <w:rFonts w:cs="Arial"/>
        </w:rPr>
        <w:t xml:space="preserve">no realizó manifestaciones, alegatos o pruebas y por su parte </w:t>
      </w:r>
      <w:r w:rsidRPr="00907A52">
        <w:rPr>
          <w:rFonts w:cs="Arial"/>
          <w:b/>
        </w:rPr>
        <w:t xml:space="preserve">EL SUJETO OBLIGADO </w:t>
      </w:r>
      <w:r w:rsidRPr="00907A52">
        <w:rPr>
          <w:rFonts w:cs="Arial"/>
        </w:rPr>
        <w:t xml:space="preserve">omitió rendir su </w:t>
      </w:r>
      <w:r w:rsidRPr="00907A52">
        <w:t xml:space="preserve">Informe Justificado, en el término establecido en el numeral 185, fracción II de la Ley de Transparencia y Acceso a la Información Pública del Estado de México y Municipios. </w:t>
      </w:r>
    </w:p>
    <w:p w14:paraId="4ECBF0D6" w14:textId="77777777" w:rsidR="00831728" w:rsidRPr="00907A52" w:rsidRDefault="00831728" w:rsidP="00907A52"/>
    <w:p w14:paraId="7A106629" w14:textId="77777777" w:rsidR="00DD45BF" w:rsidRPr="00907A52" w:rsidRDefault="00DD45BF" w:rsidP="00907A52">
      <w:pPr>
        <w:pStyle w:val="Ttulo3"/>
      </w:pPr>
      <w:bookmarkStart w:id="38" w:name="_Toc172051200"/>
      <w:bookmarkStart w:id="39" w:name="_Toc175153348"/>
      <w:r w:rsidRPr="00907A52">
        <w:t>c) Estudio de la controversia</w:t>
      </w:r>
      <w:bookmarkEnd w:id="38"/>
      <w:bookmarkEnd w:id="39"/>
    </w:p>
    <w:p w14:paraId="0ABFE81D" w14:textId="579AC460" w:rsidR="006A6ACD" w:rsidRPr="00907A52" w:rsidRDefault="006A6ACD" w:rsidP="00907A52">
      <w:pPr>
        <w:pStyle w:val="Prrafodelista"/>
        <w:widowControl w:val="0"/>
        <w:autoSpaceDE w:val="0"/>
        <w:autoSpaceDN w:val="0"/>
        <w:adjustRightInd w:val="0"/>
        <w:ind w:left="0"/>
        <w:rPr>
          <w:lang w:eastAsia="es-MX"/>
        </w:rPr>
      </w:pPr>
      <w:r w:rsidRPr="00907A52">
        <w:rPr>
          <w:bCs/>
          <w:iCs/>
        </w:rPr>
        <w:t xml:space="preserve">Primero, es necesario destacar que </w:t>
      </w:r>
      <w:r w:rsidRPr="00907A52">
        <w:rPr>
          <w:lang w:val="es-ES"/>
        </w:rPr>
        <w:t xml:space="preserve">las certificaciones de acuerdo con el Consejo Nacional de Normalización y Certificación de Competencias, el </w:t>
      </w:r>
      <w:r w:rsidRPr="00907A52">
        <w:rPr>
          <w:b/>
          <w:i/>
          <w:iCs/>
          <w:lang w:val="es-ES"/>
        </w:rPr>
        <w:t>Certificado de Competencia</w:t>
      </w:r>
      <w:r w:rsidRPr="00907A52">
        <w:rPr>
          <w:b/>
          <w:lang w:val="es-ES"/>
        </w:rPr>
        <w:t xml:space="preserve"> </w:t>
      </w:r>
      <w:r w:rsidRPr="00907A52">
        <w:rPr>
          <w:lang w:val="es-ES"/>
        </w:rPr>
        <w:t>es un documento oficial donde se acredita a una persona como competente de acuerdo con lo establecido en un Estándar de Competencia, es decir, este documento asegura que una persona cuenta con un dominio respecto a una materia específica. </w:t>
      </w:r>
    </w:p>
    <w:p w14:paraId="4D863D9F" w14:textId="77777777" w:rsidR="006A6ACD" w:rsidRPr="00907A52" w:rsidRDefault="006A6ACD" w:rsidP="00907A52">
      <w:pPr>
        <w:pStyle w:val="Prrafodelista"/>
        <w:widowControl w:val="0"/>
        <w:autoSpaceDE w:val="0"/>
        <w:autoSpaceDN w:val="0"/>
        <w:adjustRightInd w:val="0"/>
        <w:ind w:left="0"/>
        <w:rPr>
          <w:lang w:eastAsia="es-MX"/>
        </w:rPr>
      </w:pPr>
    </w:p>
    <w:p w14:paraId="622C2682" w14:textId="063CD0B6" w:rsidR="00DD45BF" w:rsidRPr="00907A52" w:rsidRDefault="006A6ACD" w:rsidP="00907A52">
      <w:pPr>
        <w:pStyle w:val="Prrafodelista"/>
        <w:widowControl w:val="0"/>
        <w:autoSpaceDE w:val="0"/>
        <w:autoSpaceDN w:val="0"/>
        <w:adjustRightInd w:val="0"/>
        <w:ind w:left="0"/>
        <w:rPr>
          <w:lang w:eastAsia="es-MX"/>
        </w:rPr>
      </w:pPr>
      <w:r w:rsidRPr="00907A52">
        <w:rPr>
          <w:lang w:eastAsia="es-MX"/>
        </w:rPr>
        <w:t xml:space="preserve">Ahora bien, </w:t>
      </w:r>
      <w:r w:rsidR="00DD45BF" w:rsidRPr="00907A52">
        <w:rPr>
          <w:lang w:eastAsia="es-MX"/>
        </w:rPr>
        <w:t xml:space="preserve">es importante señalar que </w:t>
      </w:r>
      <w:r w:rsidR="00DD45BF" w:rsidRPr="00907A52">
        <w:rPr>
          <w:b/>
          <w:lang w:eastAsia="es-MX"/>
        </w:rPr>
        <w:t>EL SUJETO OBLIGADO</w:t>
      </w:r>
      <w:r w:rsidR="00DD45BF" w:rsidRPr="00907A52">
        <w:rPr>
          <w:lang w:eastAsia="es-MX"/>
        </w:rPr>
        <w:t xml:space="preserve"> es competente para generar, recopilar, administrar, manejar, procesar, archivar, corregir o poseer la información requerida por </w:t>
      </w:r>
      <w:r w:rsidR="00DD45BF" w:rsidRPr="00907A52">
        <w:rPr>
          <w:b/>
          <w:lang w:eastAsia="es-MX"/>
        </w:rPr>
        <w:t>LA PARTE RECURRENTE</w:t>
      </w:r>
      <w:r w:rsidR="00DD45BF" w:rsidRPr="00907A52">
        <w:rPr>
          <w:lang w:eastAsia="es-MX"/>
        </w:rPr>
        <w:t xml:space="preserve">, derivado de que éste ha asumido la misma, ya que en respuesta realizó el cambio de modalidad de la entrega de la información solicitada. </w:t>
      </w:r>
    </w:p>
    <w:p w14:paraId="52CE2D8E" w14:textId="77777777" w:rsidR="00DD45BF" w:rsidRPr="00907A52" w:rsidRDefault="00DD45BF" w:rsidP="00907A52">
      <w:pPr>
        <w:rPr>
          <w:lang w:eastAsia="es-MX"/>
        </w:rPr>
      </w:pPr>
    </w:p>
    <w:p w14:paraId="4AB682BE" w14:textId="77777777" w:rsidR="00DD45BF" w:rsidRPr="00907A52" w:rsidRDefault="00DD45BF" w:rsidP="00907A52">
      <w:pPr>
        <w:rPr>
          <w:lang w:eastAsia="es-MX"/>
        </w:rPr>
      </w:pPr>
      <w:r w:rsidRPr="00907A52">
        <w:rPr>
          <w:lang w:eastAsia="es-MX"/>
        </w:rPr>
        <w:t xml:space="preserve">Por lo que, el hecho de que </w:t>
      </w:r>
      <w:r w:rsidRPr="00907A52">
        <w:rPr>
          <w:b/>
          <w:lang w:eastAsia="es-MX"/>
        </w:rPr>
        <w:t>EL SUJETO OBLIGADO</w:t>
      </w:r>
      <w:r w:rsidRPr="00907A52">
        <w:rPr>
          <w:lang w:eastAsia="es-MX"/>
        </w:rPr>
        <w:t xml:space="preserve"> haya asumido contar con la información pública solicitada, aceptó que es información que genera, recopila, administra, maneja, procesa, archiva o corrige, en el ejercicio de sus funciones de derecho público, motivo por el cual se actualiza el supuesto jurídico, previsto en el artículo 12 de la Ley de Transparencia y Acceso a la Información Pública del Estado de México y Municipios, que a la letra señala:</w:t>
      </w:r>
    </w:p>
    <w:p w14:paraId="56C28AEA" w14:textId="77777777" w:rsidR="00DD45BF" w:rsidRPr="00907A52" w:rsidRDefault="00DD45BF" w:rsidP="00907A52">
      <w:pPr>
        <w:rPr>
          <w:lang w:eastAsia="es-MX"/>
        </w:rPr>
      </w:pPr>
    </w:p>
    <w:p w14:paraId="00580F53" w14:textId="77777777" w:rsidR="00DD45BF" w:rsidRPr="00907A52" w:rsidRDefault="00DD45BF" w:rsidP="00907A52">
      <w:pPr>
        <w:pStyle w:val="Puesto"/>
        <w:rPr>
          <w:lang w:val="es-ES"/>
        </w:rPr>
      </w:pPr>
      <w:r w:rsidRPr="00907A52">
        <w:rPr>
          <w:lang w:val="es-ES"/>
        </w:rPr>
        <w:t>“</w:t>
      </w:r>
      <w:r w:rsidRPr="00907A52">
        <w:rPr>
          <w:b/>
          <w:lang w:val="es-ES"/>
        </w:rPr>
        <w:t>Artículo 12.</w:t>
      </w:r>
      <w:r w:rsidRPr="00907A52">
        <w:rPr>
          <w:lang w:val="es-ES"/>
        </w:rPr>
        <w:t xml:space="preserve"> Quienes generen, recopilen, administren, manejen, procesen, archiven o conserven información pública serán responsables de la misma en los términos de las disposiciones jurídicas aplicables.</w:t>
      </w:r>
    </w:p>
    <w:p w14:paraId="4D508E3C" w14:textId="77777777" w:rsidR="00DD45BF" w:rsidRPr="00907A52" w:rsidRDefault="00DD45BF" w:rsidP="00907A52">
      <w:pPr>
        <w:pStyle w:val="Puesto"/>
        <w:rPr>
          <w:lang w:val="es-ES"/>
        </w:rPr>
      </w:pPr>
    </w:p>
    <w:p w14:paraId="266D7EA6" w14:textId="77777777" w:rsidR="00DD45BF" w:rsidRPr="00907A52" w:rsidRDefault="00DD45BF" w:rsidP="00907A52">
      <w:pPr>
        <w:pStyle w:val="Puesto"/>
        <w:rPr>
          <w:lang w:val="es-ES"/>
        </w:rPr>
      </w:pPr>
      <w:r w:rsidRPr="00907A52">
        <w:rPr>
          <w:lang w:val="es-ES"/>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51A068EA" w14:textId="77777777" w:rsidR="00DD45BF" w:rsidRPr="00907A52" w:rsidRDefault="00DD45BF" w:rsidP="00907A52">
      <w:pPr>
        <w:rPr>
          <w:lang w:eastAsia="es-MX"/>
        </w:rPr>
      </w:pPr>
    </w:p>
    <w:p w14:paraId="11E5C535" w14:textId="77777777" w:rsidR="00DD45BF" w:rsidRPr="00907A52" w:rsidRDefault="00DD45BF" w:rsidP="00907A52">
      <w:pPr>
        <w:rPr>
          <w:lang w:eastAsia="es-MX"/>
        </w:rPr>
      </w:pPr>
      <w:r w:rsidRPr="00907A52">
        <w:rPr>
          <w:lang w:eastAsia="es-MX"/>
        </w:rPr>
        <w:t xml:space="preserve">En atención a lo anterior, el estudio de la naturaleza jurídica de la información pública solicitada, tiene por objeto determinar si </w:t>
      </w:r>
      <w:r w:rsidRPr="00907A52">
        <w:rPr>
          <w:b/>
          <w:lang w:eastAsia="es-MX"/>
        </w:rPr>
        <w:t>EL SUJETO OBLIGADO</w:t>
      </w:r>
      <w:r w:rsidRPr="00907A52">
        <w:rPr>
          <w:lang w:eastAsia="es-MX"/>
        </w:rPr>
        <w:t xml:space="preserve"> la genera, recopila, administra, maneja, procesa, archiva o corrige; sin embargo, en aquellos casos en que éste la asume, a nada práctico nos conduciría su estudio, ya que como se observa de la respuesta vertida por </w:t>
      </w:r>
      <w:r w:rsidRPr="00907A52">
        <w:rPr>
          <w:b/>
          <w:lang w:eastAsia="es-MX"/>
        </w:rPr>
        <w:t>EL SUJETO OBLIGADO</w:t>
      </w:r>
      <w:r w:rsidRPr="00907A52">
        <w:rPr>
          <w:lang w:eastAsia="es-MX"/>
        </w:rPr>
        <w:t>, dicha información, fue admitida por el mismo; actualizándose el supuesto artículo 12 de la Ley de la materia, anteriormente referido.</w:t>
      </w:r>
    </w:p>
    <w:p w14:paraId="36CB40D2" w14:textId="77777777" w:rsidR="00DD45BF" w:rsidRPr="00907A52" w:rsidRDefault="00DD45BF" w:rsidP="00907A52">
      <w:pPr>
        <w:rPr>
          <w:rFonts w:cs="Arial"/>
        </w:rPr>
      </w:pPr>
    </w:p>
    <w:p w14:paraId="7B996A65" w14:textId="4B5F7498" w:rsidR="00FD622F" w:rsidRPr="00907A52" w:rsidRDefault="00E73CAD" w:rsidP="00907A52">
      <w:pPr>
        <w:rPr>
          <w:rFonts w:cs="Arial"/>
          <w:lang w:val="es-ES_tradnl"/>
        </w:rPr>
      </w:pPr>
      <w:r w:rsidRPr="00907A52">
        <w:rPr>
          <w:rFonts w:cs="Arial"/>
        </w:rPr>
        <w:lastRenderedPageBreak/>
        <w:t xml:space="preserve">Asimismo, es importante destacar que la respuesta fue proporcionada por el servidor público habilitado de la Dirección </w:t>
      </w:r>
      <w:r w:rsidR="00293002" w:rsidRPr="00907A52">
        <w:rPr>
          <w:rFonts w:cs="Arial"/>
        </w:rPr>
        <w:t>de Administración</w:t>
      </w:r>
      <w:r w:rsidR="00FD622F" w:rsidRPr="00907A52">
        <w:rPr>
          <w:rFonts w:cs="Arial"/>
          <w:lang w:val="es-ES_tradnl"/>
        </w:rPr>
        <w:t>, conforme al artículo 159 del Bando Municipal de Zumpango 2024</w:t>
      </w:r>
      <w:r w:rsidR="00FD622F" w:rsidRPr="00907A52">
        <w:rPr>
          <w:rStyle w:val="Refdenotaalpie"/>
          <w:rFonts w:cs="Arial"/>
          <w:lang w:val="es-ES_tradnl"/>
        </w:rPr>
        <w:footnoteReference w:id="1"/>
      </w:r>
      <w:r w:rsidR="00FD622F" w:rsidRPr="00907A52">
        <w:rPr>
          <w:rFonts w:cs="Arial"/>
          <w:lang w:val="es-ES_tradnl"/>
        </w:rPr>
        <w:t xml:space="preserve">, es la dependencia responsable de administrar los recursos humanos; así como aten der las relaciones laborales el cual para su buen funcionamiento tendrá a su cargo la Coordinación de Recursos Humanos, para mayor referencia se inserta las siguientes imágenes:   </w:t>
      </w:r>
    </w:p>
    <w:p w14:paraId="058E7DED" w14:textId="0B5E683D" w:rsidR="00FD622F" w:rsidRPr="00907A52" w:rsidRDefault="00FD622F" w:rsidP="00907A52">
      <w:pPr>
        <w:rPr>
          <w:rFonts w:cs="Arial"/>
          <w:lang w:val="es-ES_tradnl"/>
        </w:rPr>
      </w:pPr>
      <w:r w:rsidRPr="00907A52">
        <w:rPr>
          <w:rFonts w:cs="Arial"/>
          <w:noProof/>
          <w:lang w:eastAsia="es-MX"/>
        </w:rPr>
        <w:drawing>
          <wp:inline distT="0" distB="0" distL="0" distR="0" wp14:anchorId="3FD19FDC" wp14:editId="3374BDE1">
            <wp:extent cx="5742940" cy="1023620"/>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1023620"/>
                    </a:xfrm>
                    <a:prstGeom prst="rect">
                      <a:avLst/>
                    </a:prstGeom>
                  </pic:spPr>
                </pic:pic>
              </a:graphicData>
            </a:graphic>
          </wp:inline>
        </w:drawing>
      </w:r>
    </w:p>
    <w:p w14:paraId="20A53BA1" w14:textId="77777777" w:rsidR="00FD622F" w:rsidRPr="00907A52" w:rsidRDefault="00FD622F" w:rsidP="00907A52">
      <w:pPr>
        <w:rPr>
          <w:rFonts w:cs="Arial"/>
          <w:lang w:val="es-ES_tradnl"/>
        </w:rPr>
      </w:pPr>
    </w:p>
    <w:p w14:paraId="28D5C900" w14:textId="37A94599" w:rsidR="00293002" w:rsidRPr="00907A52" w:rsidRDefault="00293002" w:rsidP="00907A52">
      <w:pPr>
        <w:rPr>
          <w:rFonts w:cs="Arial"/>
          <w:lang w:val="es-ES_tradnl"/>
        </w:rPr>
      </w:pPr>
      <w:r w:rsidRPr="00907A52">
        <w:rPr>
          <w:rFonts w:cs="Arial"/>
          <w:noProof/>
          <w:lang w:eastAsia="es-MX"/>
        </w:rPr>
        <w:drawing>
          <wp:inline distT="0" distB="0" distL="0" distR="0" wp14:anchorId="73DFC529" wp14:editId="3DDF0A3D">
            <wp:extent cx="5742940" cy="27432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2142" cy="2752372"/>
                    </a:xfrm>
                    <a:prstGeom prst="rect">
                      <a:avLst/>
                    </a:prstGeom>
                  </pic:spPr>
                </pic:pic>
              </a:graphicData>
            </a:graphic>
          </wp:inline>
        </w:drawing>
      </w:r>
    </w:p>
    <w:p w14:paraId="4E5020F0" w14:textId="32FD7409" w:rsidR="00293002" w:rsidRPr="00907A52" w:rsidRDefault="00293002" w:rsidP="00907A52">
      <w:pPr>
        <w:rPr>
          <w:rFonts w:cs="Arial"/>
          <w:lang w:val="es-ES_tradnl"/>
        </w:rPr>
      </w:pPr>
    </w:p>
    <w:p w14:paraId="562115DA" w14:textId="77777777" w:rsidR="00293002" w:rsidRPr="00907A52" w:rsidRDefault="00293002" w:rsidP="00907A52">
      <w:pPr>
        <w:rPr>
          <w:rFonts w:cs="Arial"/>
        </w:rPr>
      </w:pPr>
    </w:p>
    <w:p w14:paraId="2E828577" w14:textId="77777777" w:rsidR="00DD45BF" w:rsidRPr="00907A52" w:rsidRDefault="00DD45BF" w:rsidP="00907A52">
      <w:r w:rsidRPr="00907A52">
        <w:rPr>
          <w:rFonts w:cs="Arial"/>
        </w:rPr>
        <w:lastRenderedPageBreak/>
        <w:t xml:space="preserve">Una vez precisado lo anterior, esta Ponencia considera conveniente entrar al estudio respecto del cambio de modalidad realizado por </w:t>
      </w:r>
      <w:r w:rsidRPr="00907A52">
        <w:rPr>
          <w:rFonts w:cs="Arial"/>
          <w:b/>
        </w:rPr>
        <w:t>EL SUJETO OBLIGADO</w:t>
      </w:r>
      <w:r w:rsidRPr="00907A52">
        <w:rPr>
          <w:rFonts w:cs="Arial"/>
        </w:rPr>
        <w:t xml:space="preserve"> a fin de determinar si </w:t>
      </w:r>
      <w:r w:rsidRPr="00907A52">
        <w:t xml:space="preserve">el derecho de Acceso a la Información ejercido por el particular. </w:t>
      </w:r>
    </w:p>
    <w:p w14:paraId="60470384" w14:textId="77777777" w:rsidR="00DD45BF" w:rsidRPr="00907A52" w:rsidRDefault="00DD45BF" w:rsidP="00907A52"/>
    <w:p w14:paraId="1F5EBE44" w14:textId="33EAB807" w:rsidR="00DD45BF" w:rsidRPr="00907A52" w:rsidRDefault="00DD45BF" w:rsidP="00907A52">
      <w:pPr>
        <w:rPr>
          <w:rFonts w:cs="Tahoma"/>
          <w:bCs/>
          <w:szCs w:val="22"/>
          <w:lang w:val="es-ES"/>
        </w:rPr>
      </w:pPr>
      <w:r w:rsidRPr="00907A52">
        <w:rPr>
          <w:rFonts w:cs="Arial"/>
        </w:rPr>
        <w:t xml:space="preserve">Por lo anterior, es necesario precisar que </w:t>
      </w:r>
      <w:r w:rsidRPr="00907A52">
        <w:rPr>
          <w:rFonts w:cs="Arial"/>
          <w:b/>
        </w:rPr>
        <w:t>E</w:t>
      </w:r>
      <w:r w:rsidRPr="00907A52">
        <w:rPr>
          <w:b/>
        </w:rPr>
        <w:t xml:space="preserve">L SUJETO OBLIGADO </w:t>
      </w:r>
      <w:r w:rsidRPr="00907A52">
        <w:t>determinó cambiar la modalidad de entrega de la información solicitada a consulta directa, omitiendo fundamentar y motivar su determinación</w:t>
      </w:r>
      <w:r w:rsidRPr="00907A52">
        <w:rPr>
          <w:rFonts w:cs="Tahoma"/>
          <w:szCs w:val="22"/>
          <w:lang w:val="es-ES"/>
        </w:rPr>
        <w:t xml:space="preserve">. </w:t>
      </w:r>
    </w:p>
    <w:p w14:paraId="10B5EBFB" w14:textId="77777777" w:rsidR="00DD45BF" w:rsidRPr="00907A52" w:rsidRDefault="00DD45BF" w:rsidP="00907A52"/>
    <w:p w14:paraId="2E2AB548" w14:textId="77777777" w:rsidR="00DD45BF" w:rsidRPr="00907A52" w:rsidRDefault="00DD45BF" w:rsidP="00907A52">
      <w:pPr>
        <w:rPr>
          <w:szCs w:val="17"/>
          <w:lang w:eastAsia="es-ES_tradnl"/>
        </w:rPr>
      </w:pPr>
      <w:r w:rsidRPr="00907A52">
        <w:t xml:space="preserve">Derivado de lo anterior, </w:t>
      </w:r>
      <w:r w:rsidRPr="00907A52">
        <w:rPr>
          <w:rFonts w:eastAsia="Calibri"/>
          <w:lang w:eastAsia="en-US"/>
        </w:rPr>
        <w:t>es</w:t>
      </w:r>
      <w:r w:rsidRPr="00907A52">
        <w:t xml:space="preserve"> importante referir el contenido de l</w:t>
      </w:r>
      <w:r w:rsidRPr="00907A52">
        <w:rPr>
          <w:rFonts w:cs="Arial"/>
          <w:lang w:val="es-ES_tradnl"/>
        </w:rPr>
        <w:t>os</w:t>
      </w:r>
      <w:r w:rsidRPr="00907A52">
        <w:t xml:space="preserve"> artículos 155, fracción V y 164,</w:t>
      </w:r>
      <w:r w:rsidRPr="00907A52">
        <w:rPr>
          <w:szCs w:val="17"/>
          <w:lang w:eastAsia="es-ES_tradnl"/>
        </w:rPr>
        <w:t xml:space="preserve"> de la Ley de Transparencia y Acceso a la Información Pública del Estado de México y Municipios, disponen lo siguiente:</w:t>
      </w:r>
    </w:p>
    <w:p w14:paraId="37794E5E" w14:textId="77777777" w:rsidR="00DD45BF" w:rsidRPr="00907A52" w:rsidRDefault="00DD45BF" w:rsidP="00907A52">
      <w:pPr>
        <w:rPr>
          <w:lang w:eastAsia="es-MX"/>
        </w:rPr>
      </w:pPr>
    </w:p>
    <w:p w14:paraId="43C0435D" w14:textId="77777777" w:rsidR="00DD45BF" w:rsidRPr="00907A52" w:rsidRDefault="00DD45BF" w:rsidP="00907A52">
      <w:pPr>
        <w:pStyle w:val="Puesto"/>
        <w:rPr>
          <w:b/>
          <w:lang w:val="es-ES"/>
        </w:rPr>
      </w:pPr>
      <w:r w:rsidRPr="00907A52">
        <w:rPr>
          <w:lang w:val="es-ES"/>
        </w:rPr>
        <w:t>“</w:t>
      </w:r>
      <w:r w:rsidRPr="00907A52">
        <w:rPr>
          <w:b/>
          <w:lang w:val="es-ES"/>
        </w:rPr>
        <w:t xml:space="preserve">Artículo 155. Para presentar una solicitud por escrito, no se podrán exigir mayores requisitos que los siguientes: </w:t>
      </w:r>
    </w:p>
    <w:p w14:paraId="41E5311C" w14:textId="77777777" w:rsidR="00DD45BF" w:rsidRPr="00907A52" w:rsidRDefault="00DD45BF" w:rsidP="00907A52">
      <w:pPr>
        <w:pStyle w:val="Puesto"/>
        <w:rPr>
          <w:lang w:val="es-ES"/>
        </w:rPr>
      </w:pPr>
      <w:r w:rsidRPr="00907A52">
        <w:rPr>
          <w:lang w:val="es-ES"/>
        </w:rPr>
        <w:t>[…]</w:t>
      </w:r>
    </w:p>
    <w:p w14:paraId="1099CF59" w14:textId="77777777" w:rsidR="00DD45BF" w:rsidRPr="00907A52" w:rsidRDefault="00DD45BF" w:rsidP="00907A52">
      <w:pPr>
        <w:pStyle w:val="Puesto"/>
        <w:rPr>
          <w:b/>
          <w:lang w:val="es-ES"/>
        </w:rPr>
      </w:pPr>
      <w:r w:rsidRPr="00907A52">
        <w:rPr>
          <w:lang w:val="es-ES"/>
        </w:rPr>
        <w:t xml:space="preserve">V. </w:t>
      </w:r>
      <w:r w:rsidRPr="00907A52">
        <w:rPr>
          <w:b/>
          <w:lang w:val="es-ES"/>
        </w:rPr>
        <w:t>La modalidad en la que prefiere se otorgue el acceso a la información, la cual podrá ser</w:t>
      </w:r>
      <w:r w:rsidRPr="00907A52">
        <w:rPr>
          <w:lang w:val="es-ES"/>
        </w:rPr>
        <w:t xml:space="preserve"> verbal, siempre y cuando sea para fines de orientación, </w:t>
      </w:r>
      <w:r w:rsidRPr="00907A52">
        <w:rPr>
          <w:b/>
          <w:lang w:val="es-ES"/>
        </w:rPr>
        <w:t>mediante consulta directa,</w:t>
      </w:r>
      <w:r w:rsidRPr="00907A52">
        <w:rPr>
          <w:lang w:val="es-ES"/>
        </w:rPr>
        <w:t xml:space="preserve"> mediante la </w:t>
      </w:r>
      <w:r w:rsidRPr="00907A52">
        <w:rPr>
          <w:b/>
          <w:lang w:val="es-ES"/>
        </w:rPr>
        <w:t xml:space="preserve">expedición de copias simples o certificadas o la reproducción en cualquier otro medio, incluidos los electrónicos. </w:t>
      </w:r>
    </w:p>
    <w:p w14:paraId="77B44A71" w14:textId="77777777" w:rsidR="00DD45BF" w:rsidRPr="00907A52" w:rsidRDefault="00DD45BF" w:rsidP="00907A52">
      <w:pPr>
        <w:pStyle w:val="Puesto"/>
        <w:rPr>
          <w:lang w:val="es-ES"/>
        </w:rPr>
      </w:pPr>
      <w:r w:rsidRPr="00907A52">
        <w:rPr>
          <w:lang w:val="es-ES"/>
        </w:rPr>
        <w:t xml:space="preserve">Artículo 164. El </w:t>
      </w:r>
      <w:r w:rsidRPr="00907A52">
        <w:rPr>
          <w:b/>
          <w:lang w:val="es-ES"/>
        </w:rPr>
        <w:t>acceso se dará en la modalidad de entrega</w:t>
      </w:r>
      <w:r w:rsidRPr="00907A52">
        <w:rPr>
          <w:lang w:val="es-ES"/>
        </w:rPr>
        <w:t xml:space="preserve"> y, en su caso, de envío </w:t>
      </w:r>
      <w:r w:rsidRPr="00907A52">
        <w:rPr>
          <w:b/>
          <w:lang w:val="es-ES"/>
        </w:rPr>
        <w:t>elegidos por el solicitante</w:t>
      </w:r>
      <w:r w:rsidRPr="00907A52">
        <w:rPr>
          <w:lang w:val="es-ES"/>
        </w:rPr>
        <w:t xml:space="preserve">. Cuando la información no pueda entregarse o enviarse en la modalidad solicitada, el sujeto obligado deberá ofrecer otra u otras modalidades de entrega. </w:t>
      </w:r>
    </w:p>
    <w:p w14:paraId="5A98CB55" w14:textId="77777777" w:rsidR="00DD45BF" w:rsidRPr="00907A52" w:rsidRDefault="00DD45BF" w:rsidP="00907A52">
      <w:pPr>
        <w:pStyle w:val="Puesto"/>
        <w:rPr>
          <w:lang w:val="es-ES"/>
        </w:rPr>
      </w:pPr>
      <w:r w:rsidRPr="00907A52">
        <w:rPr>
          <w:lang w:val="es-ES"/>
        </w:rPr>
        <w:t xml:space="preserve">En cualquier caso, se deberá fundar y motivar la necesidad de ofrecer otras modalidades.” </w:t>
      </w:r>
    </w:p>
    <w:p w14:paraId="32BD6681" w14:textId="77777777" w:rsidR="00DD45BF" w:rsidRPr="00907A52" w:rsidRDefault="00DD45BF" w:rsidP="00907A52">
      <w:pPr>
        <w:pStyle w:val="Puesto"/>
      </w:pPr>
      <w:r w:rsidRPr="00907A52">
        <w:t>(Énfasis añadido)</w:t>
      </w:r>
    </w:p>
    <w:p w14:paraId="2712288C" w14:textId="77777777" w:rsidR="00DD45BF" w:rsidRPr="00907A52" w:rsidRDefault="00DD45BF" w:rsidP="00907A52">
      <w:pPr>
        <w:rPr>
          <w:lang w:eastAsia="es-MX"/>
        </w:rPr>
      </w:pPr>
    </w:p>
    <w:p w14:paraId="7EAA59D9" w14:textId="082E2384" w:rsidR="00DD45BF" w:rsidRPr="00907A52" w:rsidRDefault="00DD45BF" w:rsidP="00907A52">
      <w:r w:rsidRPr="00907A52">
        <w:t xml:space="preserve">En ese sentido, a efecto de dar cumplimiento al derecho de acceso a la Información Pública, los particulares tienen la posibilidad de elegir la modalidad de entrega que prefieran, entre ellas, vía </w:t>
      </w:r>
      <w:r w:rsidRPr="00907A52">
        <w:rPr>
          <w:b/>
        </w:rPr>
        <w:t>SAIMEX</w:t>
      </w:r>
      <w:r w:rsidRPr="00907A52">
        <w:t xml:space="preserve">, como lo realizó </w:t>
      </w:r>
      <w:r w:rsidRPr="00907A52">
        <w:rPr>
          <w:b/>
        </w:rPr>
        <w:t xml:space="preserve">LA PARTE RECURRENTE </w:t>
      </w:r>
      <w:r w:rsidRPr="00907A52">
        <w:t xml:space="preserve">en las solicitudes materia de estudio, para mayor referencia se insertan las siguientes imágenes: </w:t>
      </w:r>
    </w:p>
    <w:p w14:paraId="6774E4BF" w14:textId="77777777" w:rsidR="00DD45BF" w:rsidRPr="00907A52" w:rsidRDefault="00DD45BF" w:rsidP="00907A52"/>
    <w:p w14:paraId="6D152DB5" w14:textId="2EE514EF" w:rsidR="00DD45BF" w:rsidRPr="00907A52" w:rsidRDefault="00DD45BF" w:rsidP="00907A52">
      <w:r w:rsidRPr="00907A52">
        <w:rPr>
          <w:noProof/>
          <w:lang w:eastAsia="es-MX"/>
        </w:rPr>
        <w:lastRenderedPageBreak/>
        <mc:AlternateContent>
          <mc:Choice Requires="wps">
            <w:drawing>
              <wp:anchor distT="0" distB="0" distL="114300" distR="114300" simplePos="0" relativeHeight="251659264" behindDoc="0" locked="0" layoutInCell="1" allowOverlap="1" wp14:anchorId="1C57EC96" wp14:editId="369B052D">
                <wp:simplePos x="0" y="0"/>
                <wp:positionH relativeFrom="margin">
                  <wp:posOffset>64432</wp:posOffset>
                </wp:positionH>
                <wp:positionV relativeFrom="paragraph">
                  <wp:posOffset>940246</wp:posOffset>
                </wp:positionV>
                <wp:extent cx="1396844" cy="206153"/>
                <wp:effectExtent l="76200" t="38100" r="0" b="99060"/>
                <wp:wrapNone/>
                <wp:docPr id="15" name="Elipse 15"/>
                <wp:cNvGraphicFramePr/>
                <a:graphic xmlns:a="http://schemas.openxmlformats.org/drawingml/2006/main">
                  <a:graphicData uri="http://schemas.microsoft.com/office/word/2010/wordprocessingShape">
                    <wps:wsp>
                      <wps:cNvSpPr/>
                      <wps:spPr>
                        <a:xfrm>
                          <a:off x="0" y="0"/>
                          <a:ext cx="1396844" cy="206153"/>
                        </a:xfrm>
                        <a:prstGeom prst="ellipse">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103A3B0" id="Elipse 15" o:spid="_x0000_s1026" style="position:absolute;margin-left:5.05pt;margin-top:74.05pt;width:110pt;height:16.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" filled="f" strokecolor="red" strokeweight="2.25pt">
                <v:stroke joinstyle="miter"/>
                <w10:wrap anchorx="margin"/>
              </v:oval>
            </w:pict>
          </mc:Fallback>
        </mc:AlternateContent>
      </w:r>
      <w:r w:rsidRPr="00907A52">
        <w:rPr>
          <w:noProof/>
          <w:lang w:eastAsia="es-MX"/>
        </w:rPr>
        <w:drawing>
          <wp:inline distT="0" distB="0" distL="0" distR="0" wp14:anchorId="2905030C" wp14:editId="0A0D3460">
            <wp:extent cx="5742940" cy="131816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8843" cy="1324106"/>
                    </a:xfrm>
                    <a:prstGeom prst="rect">
                      <a:avLst/>
                    </a:prstGeom>
                  </pic:spPr>
                </pic:pic>
              </a:graphicData>
            </a:graphic>
          </wp:inline>
        </w:drawing>
      </w:r>
    </w:p>
    <w:p w14:paraId="608776C6" w14:textId="74226B22" w:rsidR="00DD45BF" w:rsidRPr="00907A52" w:rsidRDefault="00DD45BF" w:rsidP="00907A52"/>
    <w:p w14:paraId="5155E34F" w14:textId="5EB1D1F3" w:rsidR="00DD45BF" w:rsidRPr="00907A52" w:rsidRDefault="00DD45BF" w:rsidP="00907A52">
      <w:r w:rsidRPr="00907A52">
        <w:rPr>
          <w:noProof/>
          <w:lang w:eastAsia="es-MX"/>
        </w:rPr>
        <mc:AlternateContent>
          <mc:Choice Requires="wps">
            <w:drawing>
              <wp:anchor distT="0" distB="0" distL="114300" distR="114300" simplePos="0" relativeHeight="251661312" behindDoc="0" locked="0" layoutInCell="1" allowOverlap="1" wp14:anchorId="66D02E58" wp14:editId="56E6B6DB">
                <wp:simplePos x="0" y="0"/>
                <wp:positionH relativeFrom="margin">
                  <wp:align>left</wp:align>
                </wp:positionH>
                <wp:positionV relativeFrom="paragraph">
                  <wp:posOffset>1182452</wp:posOffset>
                </wp:positionV>
                <wp:extent cx="1396844" cy="206153"/>
                <wp:effectExtent l="19050" t="19050" r="13335" b="22860"/>
                <wp:wrapNone/>
                <wp:docPr id="9" name="Elipse 9"/>
                <wp:cNvGraphicFramePr/>
                <a:graphic xmlns:a="http://schemas.openxmlformats.org/drawingml/2006/main">
                  <a:graphicData uri="http://schemas.microsoft.com/office/word/2010/wordprocessingShape">
                    <wps:wsp>
                      <wps:cNvSpPr/>
                      <wps:spPr>
                        <a:xfrm>
                          <a:off x="0" y="0"/>
                          <a:ext cx="1396844" cy="206153"/>
                        </a:xfrm>
                        <a:prstGeom prst="ellipse">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26616C6" id="Elipse 9" o:spid="_x0000_s1026" style="position:absolute;margin-left:0;margin-top:93.1pt;width:110pt;height:16.2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" filled="f" strokecolor="red" strokeweight="2.25pt">
                <v:stroke joinstyle="miter"/>
                <w10:wrap anchorx="margin"/>
              </v:oval>
            </w:pict>
          </mc:Fallback>
        </mc:AlternateContent>
      </w:r>
      <w:r w:rsidRPr="00907A52">
        <w:rPr>
          <w:noProof/>
          <w:lang w:eastAsia="es-MX"/>
        </w:rPr>
        <w:drawing>
          <wp:inline distT="0" distB="0" distL="0" distR="0" wp14:anchorId="4F57CD86" wp14:editId="275E6B0C">
            <wp:extent cx="5742940" cy="159129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58873" cy="1595709"/>
                    </a:xfrm>
                    <a:prstGeom prst="rect">
                      <a:avLst/>
                    </a:prstGeom>
                  </pic:spPr>
                </pic:pic>
              </a:graphicData>
            </a:graphic>
          </wp:inline>
        </w:drawing>
      </w:r>
    </w:p>
    <w:p w14:paraId="6845D59D" w14:textId="49C4727D" w:rsidR="00DD45BF" w:rsidRPr="00907A52" w:rsidRDefault="00DD45BF" w:rsidP="00907A52"/>
    <w:p w14:paraId="50B609D0" w14:textId="77777777" w:rsidR="00DD45BF" w:rsidRPr="00907A52" w:rsidRDefault="00DD45BF" w:rsidP="00907A52">
      <w:pPr>
        <w:tabs>
          <w:tab w:val="left" w:pos="709"/>
        </w:tabs>
        <w:rPr>
          <w:rFonts w:eastAsiaTheme="minorHAnsi" w:cs="Arial"/>
          <w:lang w:eastAsia="en-US"/>
        </w:rPr>
      </w:pPr>
      <w:r w:rsidRPr="00907A52">
        <w:rPr>
          <w:rFonts w:eastAsiaTheme="minorHAnsi" w:cstheme="minorBidi"/>
          <w:szCs w:val="22"/>
          <w:lang w:eastAsia="en-US"/>
        </w:rPr>
        <w:t xml:space="preserve">Por consiguiente, tanto la modalidad de entrega como la forma de envío de la información se harán preferentemente como haya señalado el requirente. En los casos en que esto no sea posible, </w:t>
      </w:r>
      <w:r w:rsidRPr="00907A52">
        <w:rPr>
          <w:rFonts w:eastAsiaTheme="minorHAnsi" w:cstheme="minorBidi"/>
          <w:b/>
          <w:szCs w:val="22"/>
          <w:lang w:eastAsia="en-US"/>
        </w:rPr>
        <w:t xml:space="preserve">EL SUJETO OBLIGADO </w:t>
      </w:r>
      <w:r w:rsidRPr="00907A52">
        <w:rPr>
          <w:rFonts w:eastAsiaTheme="minorHAnsi" w:cstheme="minorBidi"/>
          <w:szCs w:val="22"/>
          <w:lang w:eastAsia="en-US"/>
        </w:rPr>
        <w:t xml:space="preserve">podrá garantizar la entrega a través de cualquier otro medio, siempre y cuando funde y motive la razón para hacerlo. </w:t>
      </w:r>
    </w:p>
    <w:p w14:paraId="72A34C46" w14:textId="77777777" w:rsidR="00DD45BF" w:rsidRPr="00907A52" w:rsidRDefault="00DD45BF" w:rsidP="00907A52"/>
    <w:p w14:paraId="7DB1FFDA" w14:textId="77777777" w:rsidR="00DD45BF" w:rsidRPr="00907A52" w:rsidRDefault="00DD45BF" w:rsidP="00907A52">
      <w:pPr>
        <w:contextualSpacing/>
        <w:rPr>
          <w:rFonts w:eastAsiaTheme="minorHAnsi" w:cstheme="minorBidi"/>
          <w:b/>
          <w:szCs w:val="22"/>
          <w:lang w:eastAsia="en-US"/>
        </w:rPr>
      </w:pPr>
      <w:r w:rsidRPr="00907A52">
        <w:rPr>
          <w:rFonts w:eastAsiaTheme="minorHAnsi" w:cstheme="minorBidi"/>
          <w:szCs w:val="22"/>
          <w:lang w:eastAsia="en-US"/>
        </w:rPr>
        <w:t xml:space="preserve">Ahora bien, es necesario referir que la </w:t>
      </w:r>
      <w:r w:rsidRPr="00907A52">
        <w:t>Ley de Transparencia y Acceso a la Información Pública del Estado de México y Municipios</w:t>
      </w:r>
      <w:r w:rsidRPr="00907A52">
        <w:rPr>
          <w:rFonts w:eastAsiaTheme="minorHAnsi" w:cstheme="minorBidi"/>
          <w:szCs w:val="22"/>
          <w:lang w:eastAsia="en-US"/>
        </w:rPr>
        <w:t xml:space="preserve">, busca privilegiar la entrega de la información solicitada en la modalidad requerida por el particular. Así el citado artículo </w:t>
      </w:r>
      <w:r w:rsidRPr="00907A52">
        <w:t>164,</w:t>
      </w:r>
      <w:r w:rsidRPr="00907A52">
        <w:rPr>
          <w:szCs w:val="17"/>
          <w:lang w:eastAsia="es-ES_tradnl"/>
        </w:rPr>
        <w:t xml:space="preserve"> de la Ley de Transparencia y Acceso a la Información Pública del Estado de México y Municipio, </w:t>
      </w:r>
      <w:r w:rsidRPr="00907A52">
        <w:rPr>
          <w:rFonts w:eastAsiaTheme="minorHAnsi" w:cstheme="minorBidi"/>
          <w:szCs w:val="22"/>
          <w:lang w:eastAsia="en-US"/>
        </w:rPr>
        <w:t>establece que tanto la modalidad de entrega como la forma de envío de la información se hará preferentemente como lo haya señalado el requirente. En los casos en que esto no sea posible, se</w:t>
      </w:r>
      <w:r w:rsidRPr="00907A52">
        <w:rPr>
          <w:rFonts w:eastAsiaTheme="minorHAnsi" w:cstheme="minorBidi"/>
          <w:b/>
          <w:szCs w:val="22"/>
          <w:lang w:eastAsia="en-US"/>
        </w:rPr>
        <w:t xml:space="preserve"> </w:t>
      </w:r>
      <w:r w:rsidRPr="00907A52">
        <w:rPr>
          <w:rFonts w:eastAsiaTheme="minorHAnsi" w:cstheme="minorBidi"/>
          <w:szCs w:val="22"/>
          <w:lang w:eastAsia="en-US"/>
        </w:rPr>
        <w:t xml:space="preserve">podrá garantizar la entrega a través de cualquier otro medio, siempre y cuando funde y motive la razón para hacerlo. </w:t>
      </w:r>
    </w:p>
    <w:p w14:paraId="30B15A16" w14:textId="77777777" w:rsidR="00DD45BF" w:rsidRPr="00907A52" w:rsidRDefault="00DD45BF" w:rsidP="00907A52"/>
    <w:p w14:paraId="1ED9DCA1" w14:textId="233B2789" w:rsidR="00DD45BF" w:rsidRPr="00907A52" w:rsidRDefault="00DD45BF" w:rsidP="00907A52">
      <w:pPr>
        <w:rPr>
          <w:rFonts w:cs="Arial"/>
        </w:rPr>
      </w:pPr>
      <w:r w:rsidRPr="00907A52">
        <w:rPr>
          <w:lang w:val="es-ES_tradnl"/>
        </w:rPr>
        <w:t xml:space="preserve">Sin embargo, en el presente asunto la actuación del </w:t>
      </w:r>
      <w:r w:rsidRPr="00907A52">
        <w:rPr>
          <w:b/>
          <w:lang w:val="es-ES_tradnl"/>
        </w:rPr>
        <w:t xml:space="preserve">SUJETO OBLIGADO </w:t>
      </w:r>
      <w:r w:rsidRPr="00907A52">
        <w:rPr>
          <w:rFonts w:eastAsia="MS Mincho" w:cs="Arial"/>
          <w:szCs w:val="23"/>
          <w:lang w:val="es-ES_tradnl"/>
        </w:rPr>
        <w:t xml:space="preserve">constituye una afectación al derecho humano de acceso a la información pública del particular, toda vez que pretendió cambiar la modalidad de entrega de la información, aún y cuando </w:t>
      </w:r>
      <w:r w:rsidRPr="00907A52">
        <w:rPr>
          <w:rFonts w:eastAsiaTheme="minorHAnsi" w:cs="Arial"/>
          <w:lang w:eastAsia="en-US"/>
        </w:rPr>
        <w:t xml:space="preserve">el particular mencionó que la manera de entrega de la información sería a través del </w:t>
      </w:r>
      <w:r w:rsidRPr="00907A52">
        <w:rPr>
          <w:rFonts w:eastAsiaTheme="minorHAnsi" w:cs="Arial"/>
          <w:b/>
          <w:lang w:eastAsia="en-US"/>
        </w:rPr>
        <w:t>SAIMEX</w:t>
      </w:r>
      <w:r w:rsidRPr="00907A52">
        <w:rPr>
          <w:rFonts w:eastAsiaTheme="minorHAnsi" w:cs="Arial"/>
          <w:lang w:eastAsia="en-US"/>
        </w:rPr>
        <w:t xml:space="preserve">; es así que, </w:t>
      </w:r>
      <w:r w:rsidRPr="00907A52">
        <w:rPr>
          <w:rFonts w:cs="Arial"/>
        </w:rPr>
        <w:t xml:space="preserve">del análisis realizado a la respuesta proporcionada por </w:t>
      </w:r>
      <w:r w:rsidRPr="00907A52">
        <w:rPr>
          <w:rFonts w:cs="Arial"/>
          <w:b/>
        </w:rPr>
        <w:t xml:space="preserve">EL SUJETO OBLIGADO </w:t>
      </w:r>
      <w:r w:rsidRPr="00907A52">
        <w:rPr>
          <w:rFonts w:cs="Arial"/>
        </w:rPr>
        <w:t xml:space="preserve">se advierte que la misma carece de fundamentación y motivación respecto de la imposibilidad de entregar la información en la modalidad elegida por el particular; pues únicamente se limitó a ofrecer el cambio de modalidad a consulta directa, sin justificación y fundación alguna. </w:t>
      </w:r>
    </w:p>
    <w:p w14:paraId="26F1CFC7" w14:textId="77777777" w:rsidR="00DD45BF" w:rsidRPr="00907A52" w:rsidRDefault="00DD45BF" w:rsidP="00907A52">
      <w:pPr>
        <w:rPr>
          <w:rFonts w:cs="Arial"/>
        </w:rPr>
      </w:pPr>
    </w:p>
    <w:p w14:paraId="25BCBD1E" w14:textId="77777777" w:rsidR="00DD45BF" w:rsidRPr="00907A52" w:rsidRDefault="00DD45BF" w:rsidP="00907A52">
      <w:pPr>
        <w:rPr>
          <w:rFonts w:cs="Arial"/>
          <w:lang w:val="es-ES"/>
        </w:rPr>
      </w:pPr>
      <w:r w:rsidRPr="00907A52">
        <w:rPr>
          <w:rFonts w:cs="Arial"/>
          <w:lang w:val="es-ES"/>
        </w:rPr>
        <w:t xml:space="preserve">Es así que, los Sujetos Obligados deben respetar la forma seleccionada por </w:t>
      </w:r>
      <w:r w:rsidRPr="00907A52">
        <w:rPr>
          <w:rFonts w:eastAsiaTheme="minorHAnsi" w:cs="Tahoma"/>
          <w:b/>
          <w:iCs/>
          <w:szCs w:val="22"/>
          <w:lang w:eastAsia="en-US"/>
        </w:rPr>
        <w:t>LA PARTE RECURRENTE</w:t>
      </w:r>
      <w:r w:rsidRPr="00907A52">
        <w:rPr>
          <w:rFonts w:eastAsiaTheme="minorHAnsi" w:cs="Tahoma"/>
          <w:bCs/>
          <w:iCs/>
          <w:szCs w:val="22"/>
          <w:lang w:eastAsia="en-US"/>
        </w:rPr>
        <w:t xml:space="preserve"> </w:t>
      </w:r>
      <w:r w:rsidRPr="00907A52">
        <w:rPr>
          <w:rFonts w:cs="Arial"/>
          <w:lang w:val="es-ES"/>
        </w:rPr>
        <w:t>para la entrega de la información, por lo que si éste eligió el</w:t>
      </w:r>
      <w:r w:rsidRPr="00907A52">
        <w:rPr>
          <w:rFonts w:cs="Arial"/>
          <w:b/>
          <w:lang w:val="es-ES"/>
        </w:rPr>
        <w:t xml:space="preserve"> SAIMEX</w:t>
      </w:r>
      <w:r w:rsidRPr="00907A52">
        <w:rPr>
          <w:rFonts w:cs="Arial"/>
          <w:lang w:val="es-ES"/>
        </w:rPr>
        <w:t xml:space="preserve">, el responsable de la Unidad de Transparencia debió agregar los archivos electrónicos que contengan la información requerida en dicho sistema y sólo en caso de que no pueda ser remitida la información vía electrónica, se deberá fundar y motivar la resolución respectiva, explicando en todo momento las causas que impiden el envío de la información de forma </w:t>
      </w:r>
      <w:r w:rsidRPr="00907A52">
        <w:rPr>
          <w:rFonts w:cs="Arial"/>
        </w:rPr>
        <w:t>electrónica</w:t>
      </w:r>
      <w:r w:rsidRPr="00907A52">
        <w:rPr>
          <w:rFonts w:cs="Arial"/>
          <w:lang w:val="es-ES"/>
        </w:rPr>
        <w:t xml:space="preserve">. </w:t>
      </w:r>
    </w:p>
    <w:p w14:paraId="54AFE7BD" w14:textId="77777777" w:rsidR="00DD45BF" w:rsidRPr="00907A52" w:rsidRDefault="00DD45BF" w:rsidP="00907A52">
      <w:pPr>
        <w:rPr>
          <w:rFonts w:cs="Arial"/>
          <w:lang w:val="es-ES"/>
        </w:rPr>
      </w:pPr>
    </w:p>
    <w:p w14:paraId="7B5A0E34" w14:textId="77777777" w:rsidR="00DD45BF" w:rsidRPr="00907A52" w:rsidRDefault="00DD45BF" w:rsidP="00907A52">
      <w:pPr>
        <w:rPr>
          <w:rFonts w:eastAsiaTheme="minorHAnsi" w:cstheme="minorBidi"/>
          <w:szCs w:val="22"/>
          <w:lang w:eastAsia="en-US"/>
        </w:rPr>
      </w:pPr>
      <w:r w:rsidRPr="00907A52">
        <w:rPr>
          <w:rFonts w:eastAsiaTheme="minorHAnsi" w:cstheme="minorBidi"/>
          <w:szCs w:val="22"/>
          <w:lang w:eastAsia="en-US"/>
        </w:rPr>
        <w:t xml:space="preserve">Por lo que el cambio de modalidad que pretendió hacer </w:t>
      </w:r>
      <w:r w:rsidRPr="00907A52">
        <w:rPr>
          <w:rFonts w:eastAsiaTheme="minorHAnsi" w:cstheme="minorBidi"/>
          <w:b/>
          <w:szCs w:val="22"/>
          <w:lang w:eastAsia="en-US"/>
        </w:rPr>
        <w:t>EL SUJETO OBLIGADO</w:t>
      </w:r>
      <w:r w:rsidRPr="00907A52">
        <w:rPr>
          <w:rFonts w:eastAsiaTheme="minorHAnsi" w:cstheme="minorBidi"/>
          <w:szCs w:val="22"/>
          <w:lang w:eastAsia="en-US"/>
        </w:rPr>
        <w:t xml:space="preserve"> constituye una restricción indirecta del derecho acceso a la información pública, dado que no proporciona la información que requirió el particular y que de manera libre el decidió sobre la vía de la modalidad de entrega de la misma situación que no se respetó. </w:t>
      </w:r>
    </w:p>
    <w:p w14:paraId="48DFEB35" w14:textId="77777777" w:rsidR="00DD45BF" w:rsidRPr="00907A52" w:rsidRDefault="00DD45BF" w:rsidP="00907A52">
      <w:pPr>
        <w:contextualSpacing/>
        <w:rPr>
          <w:rFonts w:cs="Arial"/>
        </w:rPr>
      </w:pPr>
    </w:p>
    <w:p w14:paraId="514F3615" w14:textId="77777777" w:rsidR="00DD45BF" w:rsidRPr="00907A52" w:rsidRDefault="00DD45BF" w:rsidP="00907A52">
      <w:pPr>
        <w:rPr>
          <w:rFonts w:eastAsiaTheme="minorHAnsi" w:cstheme="minorBidi"/>
          <w:szCs w:val="22"/>
          <w:lang w:eastAsia="en-US"/>
        </w:rPr>
      </w:pPr>
      <w:r w:rsidRPr="00907A52">
        <w:rPr>
          <w:rFonts w:eastAsiaTheme="minorHAnsi" w:cstheme="minorBidi"/>
          <w:szCs w:val="22"/>
          <w:lang w:eastAsia="en-US"/>
        </w:rPr>
        <w:t xml:space="preserve">Ahora bien, </w:t>
      </w:r>
      <w:r w:rsidRPr="00907A52">
        <w:rPr>
          <w:rFonts w:eastAsia="MS Mincho" w:cs="Arial"/>
        </w:rPr>
        <w:t>el artículo 158 de la Ley de Transparencia y Acceso a la Información Pública del Estado de México y Municipios</w:t>
      </w:r>
      <w:r w:rsidRPr="00907A52">
        <w:rPr>
          <w:rFonts w:eastAsiaTheme="minorHAnsi" w:cstheme="minorBidi"/>
          <w:szCs w:val="22"/>
          <w:lang w:eastAsia="en-US"/>
        </w:rPr>
        <w:t xml:space="preserve">, precisa los casos en que de manera excepcional se puede proceder al cambio de modalidad: </w:t>
      </w:r>
    </w:p>
    <w:p w14:paraId="66DA97B2" w14:textId="77777777" w:rsidR="00DD45BF" w:rsidRPr="00907A52" w:rsidRDefault="00DD45BF" w:rsidP="00907A52">
      <w:pPr>
        <w:contextualSpacing/>
        <w:rPr>
          <w:rFonts w:eastAsia="MS Mincho" w:cs="Arial"/>
          <w:szCs w:val="22"/>
        </w:rPr>
      </w:pPr>
    </w:p>
    <w:p w14:paraId="6AFA8039" w14:textId="77777777" w:rsidR="00DD45BF" w:rsidRPr="00907A52" w:rsidRDefault="00DD45BF" w:rsidP="00907A52">
      <w:pPr>
        <w:pStyle w:val="Puesto"/>
      </w:pPr>
      <w:r w:rsidRPr="00907A52">
        <w:t>“</w:t>
      </w:r>
      <w:r w:rsidRPr="00907A52">
        <w:rPr>
          <w:b/>
          <w:bCs/>
        </w:rPr>
        <w:t>Artículo 158.</w:t>
      </w:r>
      <w:r w:rsidRPr="00907A52">
        <w:t xml:space="preserve"> </w:t>
      </w:r>
      <w:r w:rsidRPr="00907A52">
        <w:rPr>
          <w:bCs/>
        </w:rPr>
        <w:t>De manera excepcional, cuando de forma fundada y motivada así lo determine el sujeto obligado</w:t>
      </w:r>
      <w:r w:rsidRPr="00907A52">
        <w:t xml:space="preserve">, en aquellos casos en que la información solicitada que ya se encuentre en su posesión implique análisis, estudio o procesamiento de documentos </w:t>
      </w:r>
      <w:r w:rsidRPr="00907A52">
        <w:rPr>
          <w:bCs/>
        </w:rPr>
        <w:t xml:space="preserve">cuya entrega o reproducción </w:t>
      </w:r>
      <w:r w:rsidRPr="00907A52">
        <w:rPr>
          <w:b/>
          <w:bCs/>
        </w:rPr>
        <w:t>sobrepase las capacidades técnicas administrativas y humanas del sujeto obligado</w:t>
      </w:r>
      <w:r w:rsidRPr="00907A52">
        <w:t xml:space="preserve"> para cumplir con la solicitud, en los plazos establecidos para dichos efectos,</w:t>
      </w:r>
      <w:r w:rsidRPr="00907A52">
        <w:rPr>
          <w:bCs/>
        </w:rPr>
        <w:t xml:space="preserve"> se podrá poner a disposición del solicitante los documentos en consulta directa</w:t>
      </w:r>
      <w:r w:rsidRPr="00907A52">
        <w:t>, salvo la información clasificada.”.</w:t>
      </w:r>
    </w:p>
    <w:p w14:paraId="2715EE83" w14:textId="77777777" w:rsidR="00DD45BF" w:rsidRPr="00907A52" w:rsidRDefault="00DD45BF" w:rsidP="00907A52">
      <w:pPr>
        <w:pStyle w:val="Puesto"/>
      </w:pPr>
      <w:r w:rsidRPr="00907A52">
        <w:t xml:space="preserve">(Énfasis añadido) </w:t>
      </w:r>
    </w:p>
    <w:p w14:paraId="0F6BEF56" w14:textId="77777777" w:rsidR="00DD45BF" w:rsidRPr="00907A52" w:rsidRDefault="00DD45BF" w:rsidP="00907A52">
      <w:pPr>
        <w:contextualSpacing/>
        <w:rPr>
          <w:rFonts w:eastAsia="MS Mincho" w:cs="Arial"/>
          <w:i/>
          <w:szCs w:val="22"/>
        </w:rPr>
      </w:pPr>
    </w:p>
    <w:p w14:paraId="3AC95E41" w14:textId="77777777" w:rsidR="00DD45BF" w:rsidRPr="00907A52" w:rsidRDefault="00DD45BF" w:rsidP="00907A52">
      <w:pPr>
        <w:contextualSpacing/>
        <w:rPr>
          <w:rFonts w:eastAsia="MS Mincho" w:cs="Arial"/>
        </w:rPr>
      </w:pPr>
      <w:r w:rsidRPr="00907A52">
        <w:rPr>
          <w:rFonts w:eastAsia="MS Mincho" w:cs="Arial"/>
        </w:rPr>
        <w:t xml:space="preserve">Es así que, la Ley de la materia contempla que excepcionalmente, de forma fundada y motivada, en el caso de que la información solicitada implique análisis, estudio o procesamiento de documentos, cuya entrega o reproducción sobrepase las capacidades técnicas administrativas y humanas del Sujeto Obligado, se podrá poder a disposición del solicitante los documentos en consulta directa. </w:t>
      </w:r>
    </w:p>
    <w:p w14:paraId="5A31BD4D" w14:textId="77777777" w:rsidR="00DD45BF" w:rsidRPr="00907A52" w:rsidRDefault="00DD45BF" w:rsidP="00907A52">
      <w:pPr>
        <w:contextualSpacing/>
        <w:rPr>
          <w:rFonts w:eastAsia="MS Mincho" w:cs="Arial"/>
        </w:rPr>
      </w:pPr>
    </w:p>
    <w:p w14:paraId="41381D12" w14:textId="77777777" w:rsidR="00DD45BF" w:rsidRPr="00907A52" w:rsidRDefault="00DD45BF" w:rsidP="00907A52">
      <w:pPr>
        <w:contextualSpacing/>
        <w:rPr>
          <w:rFonts w:eastAsia="MS Mincho" w:cs="Arial"/>
        </w:rPr>
      </w:pPr>
      <w:r w:rsidRPr="00907A52">
        <w:rPr>
          <w:rFonts w:eastAsia="MS Mincho" w:cs="Arial"/>
        </w:rPr>
        <w:t xml:space="preserve">Es decir, del artículo anterior, se derivan tres hipótesis que en conjunto y de manera fundada y motivada, validan el cambio de modalidad de entrega de la información y las cuales son, que las documentales a proporcionar </w:t>
      </w:r>
      <w:r w:rsidRPr="00907A52">
        <w:rPr>
          <w:rFonts w:eastAsia="MS Mincho" w:cs="Arial"/>
          <w:b/>
        </w:rPr>
        <w:t xml:space="preserve">sobrepasen las capacidades técnicas administrativas y humanas del Sujeto Obligado. </w:t>
      </w:r>
    </w:p>
    <w:p w14:paraId="20C01D2C" w14:textId="77777777" w:rsidR="00DD45BF" w:rsidRPr="00907A52" w:rsidRDefault="00DD45BF" w:rsidP="00907A52"/>
    <w:p w14:paraId="052BEE77" w14:textId="77777777" w:rsidR="00DD45BF" w:rsidRPr="00907A52" w:rsidRDefault="00DD45BF" w:rsidP="00907A52">
      <w:pPr>
        <w:contextualSpacing/>
        <w:rPr>
          <w:rFonts w:eastAsia="MS Mincho" w:cs="Arial"/>
        </w:rPr>
      </w:pPr>
      <w:r w:rsidRPr="00907A52">
        <w:rPr>
          <w:rFonts w:eastAsia="MS Mincho" w:cs="Arial"/>
        </w:rPr>
        <w:t xml:space="preserve">Derivado de lo anterior, cabe mencionar lo que se tiene por </w:t>
      </w:r>
      <w:r w:rsidRPr="00907A52">
        <w:rPr>
          <w:rFonts w:eastAsia="MS Mincho" w:cs="Arial"/>
          <w:b/>
        </w:rPr>
        <w:t>“capacidad”</w:t>
      </w:r>
      <w:r w:rsidRPr="00907A52">
        <w:rPr>
          <w:rFonts w:eastAsia="MS Mincho" w:cs="Arial"/>
        </w:rPr>
        <w:t>, que de manera general puede ser interpretado como la circunstancia o conjunto de condiciones, cualidades o aptitudes que permiten el desarrollo o el cumplimiento de una función o desempeño de un cargo.</w:t>
      </w:r>
    </w:p>
    <w:p w14:paraId="0167F7AB" w14:textId="77777777" w:rsidR="00DD45BF" w:rsidRPr="00907A52" w:rsidRDefault="00DD45BF" w:rsidP="00907A52">
      <w:pPr>
        <w:contextualSpacing/>
        <w:rPr>
          <w:rFonts w:eastAsia="MS Gothic" w:cstheme="majorBidi"/>
          <w:b/>
        </w:rPr>
      </w:pPr>
    </w:p>
    <w:p w14:paraId="0C950396" w14:textId="77777777" w:rsidR="00DD45BF" w:rsidRPr="00907A52" w:rsidRDefault="00DD45BF" w:rsidP="00907A52">
      <w:pPr>
        <w:contextualSpacing/>
        <w:rPr>
          <w:rFonts w:eastAsia="MS Mincho" w:cs="Arial"/>
        </w:rPr>
      </w:pPr>
      <w:r w:rsidRPr="00907A52">
        <w:rPr>
          <w:rFonts w:eastAsia="MS Gothic" w:cstheme="majorBidi"/>
        </w:rPr>
        <w:t>Ahora bien, re</w:t>
      </w:r>
      <w:r w:rsidRPr="00907A52">
        <w:rPr>
          <w:rFonts w:eastAsia="MS Mincho" w:cs="Arial"/>
        </w:rPr>
        <w:t xml:space="preserve">specto a las </w:t>
      </w:r>
      <w:r w:rsidRPr="00907A52">
        <w:rPr>
          <w:rFonts w:eastAsia="MS Mincho" w:cs="Arial"/>
          <w:b/>
        </w:rPr>
        <w:t>capacidades técnicas</w:t>
      </w:r>
      <w:r w:rsidRPr="00907A52">
        <w:rPr>
          <w:rFonts w:eastAsia="MS Mincho" w:cs="Arial"/>
        </w:rPr>
        <w:t xml:space="preserve">, el Sistema de Acceso a la Información Mexiquense (SAIMEX), es el medio electrónico a través del cual se formulan las solicitudes de información pública y se interponen los Recursos de Revisión. De esta manera, tras registrar </w:t>
      </w:r>
      <w:r w:rsidRPr="00907A52">
        <w:rPr>
          <w:rFonts w:eastAsia="MS Mincho" w:cs="Arial"/>
        </w:rPr>
        <w:lastRenderedPageBreak/>
        <w:t xml:space="preserve">una cuenta en el sistema electrónico y realizar una solicitud de información, es posible darle seguimiento a la presentación, respuesta, inconformidad y resolución de la misma. </w:t>
      </w:r>
    </w:p>
    <w:p w14:paraId="4BB74844" w14:textId="77777777" w:rsidR="00DD45BF" w:rsidRPr="00907A52" w:rsidRDefault="00DD45BF" w:rsidP="00907A52">
      <w:pPr>
        <w:contextualSpacing/>
        <w:rPr>
          <w:rFonts w:eastAsia="MS Mincho" w:cs="Arial"/>
        </w:rPr>
      </w:pPr>
    </w:p>
    <w:p w14:paraId="515C3593" w14:textId="77777777" w:rsidR="00DD45BF" w:rsidRPr="00907A52" w:rsidRDefault="00DD45BF" w:rsidP="00907A52">
      <w:pPr>
        <w:contextualSpacing/>
        <w:rPr>
          <w:rFonts w:eastAsiaTheme="minorEastAsia" w:cs="Arial"/>
          <w:lang w:val="es-ES_tradnl"/>
        </w:rPr>
      </w:pPr>
      <w:r w:rsidRPr="00907A52">
        <w:rPr>
          <w:rFonts w:eastAsia="MS Mincho" w:cs="Arial"/>
        </w:rPr>
        <w:t xml:space="preserve">Derivado de lo anterior, es importante señalar que el </w:t>
      </w:r>
      <w:r w:rsidRPr="00907A52">
        <w:rPr>
          <w:rFonts w:eastAsiaTheme="minorEastAsia" w:cs="Arial"/>
          <w:b/>
          <w:lang w:val="es-ES_tradnl"/>
        </w:rPr>
        <w:t>SIAMEX</w:t>
      </w:r>
      <w:r w:rsidRPr="00907A52">
        <w:rPr>
          <w:rFonts w:eastAsiaTheme="minorEastAsia" w:cs="Arial"/>
          <w:lang w:val="es-ES_tradnl"/>
        </w:rPr>
        <w:t xml:space="preserve"> cuenta con el soporte tecnológico para que se puedan adjuntar archivos con un peso aprox. de hasta 500Mb o un equivalente de hasta 8,000 hojas, garantizando que el Ciudadano no tenga problemas en la descarga de la información usando conexiones a internet convencionales bajo parámetros de escaneo en resolución máxima de 150Dpi's, escala de grises y formato "PDF" extraído directamente del escáner. </w:t>
      </w:r>
    </w:p>
    <w:p w14:paraId="59803AE4" w14:textId="77777777" w:rsidR="00DD45BF" w:rsidRPr="00907A52" w:rsidRDefault="00DD45BF" w:rsidP="00907A52">
      <w:pPr>
        <w:contextualSpacing/>
        <w:rPr>
          <w:rFonts w:eastAsia="MS Mincho" w:cs="Arial"/>
        </w:rPr>
      </w:pPr>
    </w:p>
    <w:p w14:paraId="27602BA6" w14:textId="5CFA7C78" w:rsidR="00DD45BF" w:rsidRPr="00907A52" w:rsidRDefault="00DD45BF" w:rsidP="00907A52">
      <w:pPr>
        <w:pStyle w:val="Prrafodelista"/>
        <w:ind w:left="0"/>
        <w:rPr>
          <w:rFonts w:cs="Arial"/>
          <w:lang w:val="es-ES"/>
        </w:rPr>
      </w:pPr>
      <w:r w:rsidRPr="00907A52">
        <w:rPr>
          <w:rFonts w:eastAsia="MS Mincho" w:cs="Arial"/>
        </w:rPr>
        <w:t xml:space="preserve">Es así, que del análisis realizado a la respuesta otorgada por </w:t>
      </w:r>
      <w:r w:rsidRPr="00907A52">
        <w:rPr>
          <w:rFonts w:eastAsia="MS Mincho" w:cs="Arial"/>
          <w:b/>
        </w:rPr>
        <w:t xml:space="preserve">EL SUJETO OBLIGADO </w:t>
      </w:r>
      <w:r w:rsidRPr="00907A52">
        <w:rPr>
          <w:rFonts w:eastAsia="MS Mincho" w:cs="Arial"/>
        </w:rPr>
        <w:t xml:space="preserve">se advierte que no expresó su incapacidad técnica para subir la información al </w:t>
      </w:r>
      <w:r w:rsidRPr="00907A52">
        <w:rPr>
          <w:rFonts w:eastAsia="MS Mincho" w:cs="Arial"/>
          <w:b/>
        </w:rPr>
        <w:t xml:space="preserve">SAIMEX. </w:t>
      </w:r>
      <w:r w:rsidRPr="00907A52">
        <w:rPr>
          <w:rFonts w:eastAsia="MS Mincho" w:cs="Arial"/>
        </w:rPr>
        <w:t xml:space="preserve">Siendo importante precisar que, en el presente asunto </w:t>
      </w:r>
      <w:r w:rsidRPr="00907A52">
        <w:rPr>
          <w:rFonts w:cs="Arial"/>
          <w:lang w:val="es-ES"/>
        </w:rPr>
        <w:t xml:space="preserve">los documentos solicitados no exceden de la capacidad para ser cargada en la plataforma </w:t>
      </w:r>
      <w:r w:rsidRPr="00907A52">
        <w:rPr>
          <w:rFonts w:cs="Arial"/>
          <w:b/>
          <w:lang w:val="es-ES"/>
        </w:rPr>
        <w:t>SAIMEX</w:t>
      </w:r>
      <w:r w:rsidRPr="00907A52">
        <w:rPr>
          <w:rFonts w:cs="Arial"/>
          <w:lang w:val="es-ES"/>
        </w:rPr>
        <w:t>, pues únicamente corresponde a dos certificaciones de competencia de los servidores públicos precisados en la solicitud de información.</w:t>
      </w:r>
    </w:p>
    <w:p w14:paraId="2F774B95" w14:textId="77777777" w:rsidR="00DD45BF" w:rsidRPr="00907A52" w:rsidRDefault="00DD45BF" w:rsidP="00907A52">
      <w:pPr>
        <w:rPr>
          <w:rFonts w:cs="Arial"/>
          <w:lang w:val="es-ES"/>
        </w:rPr>
      </w:pPr>
    </w:p>
    <w:p w14:paraId="0E9B6986" w14:textId="77777777" w:rsidR="00DD45BF" w:rsidRPr="00907A52" w:rsidRDefault="00DD45BF" w:rsidP="00907A52">
      <w:pPr>
        <w:contextualSpacing/>
        <w:rPr>
          <w:rFonts w:eastAsia="MS Mincho" w:cs="Arial"/>
        </w:rPr>
      </w:pPr>
      <w:r w:rsidRPr="00907A52">
        <w:rPr>
          <w:rFonts w:eastAsia="MS Mincho" w:cs="Arial"/>
        </w:rPr>
        <w:t xml:space="preserve">Ahora bien, referente a la </w:t>
      </w:r>
      <w:r w:rsidRPr="00907A52">
        <w:rPr>
          <w:rFonts w:eastAsia="MS Mincho" w:cs="Arial"/>
          <w:b/>
        </w:rPr>
        <w:t>capacidad administrativa</w:t>
      </w:r>
      <w:r w:rsidRPr="00907A52">
        <w:rPr>
          <w:rFonts w:eastAsia="MS Mincho" w:cs="Arial"/>
        </w:rPr>
        <w:t xml:space="preserve">, esta es definida como la habilidad institucional de un gobierno, para formular y realizar planes, políticas, programas, actividades, operaciones u otras medidas para cumplir con los propósitos de desarrollo. En palabras más simples, es la </w:t>
      </w:r>
      <w:r w:rsidRPr="00907A52">
        <w:rPr>
          <w:rFonts w:eastAsia="MS Mincho" w:cs="Arial"/>
          <w:b/>
        </w:rPr>
        <w:t>eficiencia organizacional para efectuar funciones esenciales.</w:t>
      </w:r>
    </w:p>
    <w:p w14:paraId="7B2BFDB6" w14:textId="77777777" w:rsidR="00DD45BF" w:rsidRPr="00907A52" w:rsidRDefault="00DD45BF" w:rsidP="00907A52">
      <w:pPr>
        <w:contextualSpacing/>
        <w:rPr>
          <w:rFonts w:eastAsia="MS Mincho" w:cs="Arial"/>
        </w:rPr>
      </w:pPr>
    </w:p>
    <w:p w14:paraId="61B12C9F" w14:textId="77777777" w:rsidR="00DD45BF" w:rsidRPr="00907A52" w:rsidRDefault="00DD45BF" w:rsidP="00907A52">
      <w:pPr>
        <w:contextualSpacing/>
        <w:rPr>
          <w:rFonts w:eastAsia="MS Mincho" w:cs="Arial"/>
        </w:rPr>
      </w:pPr>
      <w:r w:rsidRPr="00907A52">
        <w:rPr>
          <w:rFonts w:eastAsia="MS Mincho" w:cs="Arial"/>
        </w:rPr>
        <w:t xml:space="preserve">La capacidad administrativa, resulta ser un mandato para un gobierno eficaz, la cual engloba, previsión, organización, coordinación y control en actos y esfuerzos con la finalidad de cumplir con sus responsabilidades y funciones de manera eficaz, eficiente y sostenible. </w:t>
      </w:r>
    </w:p>
    <w:p w14:paraId="6509B331" w14:textId="77777777" w:rsidR="00DD45BF" w:rsidRPr="00907A52" w:rsidRDefault="00DD45BF" w:rsidP="00907A52">
      <w:pPr>
        <w:contextualSpacing/>
        <w:rPr>
          <w:rFonts w:eastAsia="MS Mincho" w:cs="Arial"/>
        </w:rPr>
      </w:pPr>
    </w:p>
    <w:p w14:paraId="402C3A10" w14:textId="77777777" w:rsidR="00DD45BF" w:rsidRPr="00907A52" w:rsidRDefault="00DD45BF" w:rsidP="00907A52">
      <w:pPr>
        <w:contextualSpacing/>
        <w:rPr>
          <w:rFonts w:eastAsia="MS Mincho" w:cs="Arial"/>
        </w:rPr>
      </w:pPr>
      <w:r w:rsidRPr="00907A52">
        <w:rPr>
          <w:rFonts w:eastAsia="MS Mincho" w:cs="Arial"/>
        </w:rPr>
        <w:lastRenderedPageBreak/>
        <w:t xml:space="preserve">Desde una perspectiva institucional, la </w:t>
      </w:r>
      <w:r w:rsidRPr="00907A52">
        <w:rPr>
          <w:rFonts w:eastAsia="MS Mincho" w:cs="Arial"/>
          <w:b/>
        </w:rPr>
        <w:t xml:space="preserve">capacidad administrativa </w:t>
      </w:r>
      <w:r w:rsidRPr="00907A52">
        <w:rPr>
          <w:rFonts w:eastAsia="MS Mincho" w:cs="Arial"/>
        </w:rPr>
        <w:t xml:space="preserve">es entendida como </w:t>
      </w:r>
      <w:r w:rsidRPr="00907A52">
        <w:rPr>
          <w:rFonts w:eastAsia="MS Mincho" w:cs="Arial"/>
          <w:i/>
        </w:rPr>
        <w:t xml:space="preserve">“las habilidades técnico-burocráticas del aparato estatal requeridas para alcanzar sus objetos. En este componente se ubican el nivel micro y meso de la Capacidad Institucional. El </w:t>
      </w:r>
      <w:r w:rsidRPr="00907A52">
        <w:rPr>
          <w:rFonts w:eastAsia="MS Mincho" w:cs="Arial"/>
          <w:b/>
          <w:i/>
        </w:rPr>
        <w:t xml:space="preserve">primero </w:t>
      </w:r>
      <w:r w:rsidRPr="00907A52">
        <w:rPr>
          <w:rFonts w:eastAsia="MS Mincho" w:cs="Arial"/>
          <w:i/>
        </w:rPr>
        <w:t xml:space="preserve">hace alusión al individuo, al </w:t>
      </w:r>
      <w:r w:rsidRPr="00907A52">
        <w:rPr>
          <w:rFonts w:eastAsia="MS Mincho" w:cs="Arial"/>
          <w:b/>
          <w:i/>
        </w:rPr>
        <w:t>recursos humano</w:t>
      </w:r>
      <w:r w:rsidRPr="00907A52">
        <w:rPr>
          <w:rFonts w:eastAsia="MS Mincho" w:cs="Arial"/>
          <w:i/>
        </w:rPr>
        <w:t xml:space="preserve">. En el segundo nivel, se ubica la </w:t>
      </w:r>
      <w:r w:rsidRPr="00907A52">
        <w:rPr>
          <w:rFonts w:eastAsia="MS Mincho" w:cs="Arial"/>
          <w:b/>
          <w:i/>
        </w:rPr>
        <w:t>capacidad de gestión</w:t>
      </w:r>
      <w:r w:rsidRPr="00907A52">
        <w:rPr>
          <w:rFonts w:eastAsia="MS Mincho" w:cs="Arial"/>
          <w:i/>
        </w:rPr>
        <w:t xml:space="preserve">, el cual se centra en el fortalecimiento organizacional como área de intervención para construir capacidad; cultura organizacional, sistemas de comunicación u organización”. </w:t>
      </w:r>
      <w:r w:rsidRPr="00907A52">
        <w:rPr>
          <w:rStyle w:val="Refdenotaalpie"/>
          <w:rFonts w:eastAsia="MS Mincho" w:cs="Arial"/>
          <w:i/>
        </w:rPr>
        <w:footnoteReference w:id="2"/>
      </w:r>
    </w:p>
    <w:p w14:paraId="7BBC5ACA" w14:textId="77777777" w:rsidR="00DD45BF" w:rsidRPr="00907A52" w:rsidRDefault="00DD45BF" w:rsidP="00907A52">
      <w:pPr>
        <w:contextualSpacing/>
        <w:rPr>
          <w:rFonts w:eastAsia="MS Mincho" w:cs="Arial"/>
        </w:rPr>
      </w:pPr>
    </w:p>
    <w:p w14:paraId="03F3F591" w14:textId="77777777" w:rsidR="00DD45BF" w:rsidRPr="00907A52" w:rsidRDefault="00DD45BF" w:rsidP="00907A52">
      <w:pPr>
        <w:contextualSpacing/>
        <w:rPr>
          <w:rFonts w:eastAsia="MS Mincho" w:cs="Arial"/>
        </w:rPr>
      </w:pPr>
      <w:r w:rsidRPr="00907A52">
        <w:rPr>
          <w:rFonts w:eastAsia="MS Mincho" w:cs="Arial"/>
        </w:rPr>
        <w:t xml:space="preserve">Hasta aquí se tiene que, la capacidad administrativa señala los recursos humanos y organizacionales, donde los organizacionales, además de englobar recursos humanos, engloban recursos materiales (espacio, equipos de cómputo, instalaciones, tecnología), financieros (ingresos) e intangibles (tiempo), los cuales en conjunto y a la medida correcta, alcanzarían que las instituciones logren la finalidad de cumplir con sus responsabilidades y funciones de manera eficaz y eficiente. </w:t>
      </w:r>
    </w:p>
    <w:p w14:paraId="41206AA8" w14:textId="77777777" w:rsidR="00DD45BF" w:rsidRPr="00907A52" w:rsidRDefault="00DD45BF" w:rsidP="00907A52">
      <w:pPr>
        <w:pStyle w:val="Prrafodelista"/>
        <w:ind w:left="0"/>
        <w:rPr>
          <w:rFonts w:eastAsia="MS Mincho" w:cs="Arial"/>
        </w:rPr>
      </w:pPr>
    </w:p>
    <w:p w14:paraId="13A8849A" w14:textId="77777777" w:rsidR="00DD45BF" w:rsidRPr="00907A52" w:rsidRDefault="00DD45BF" w:rsidP="00907A52">
      <w:pPr>
        <w:pStyle w:val="Prrafodelista"/>
        <w:ind w:left="0"/>
        <w:rPr>
          <w:rFonts w:eastAsia="MS Mincho" w:cs="Arial"/>
        </w:rPr>
      </w:pPr>
      <w:r w:rsidRPr="00907A52">
        <w:rPr>
          <w:rFonts w:eastAsia="MS Mincho" w:cs="Arial"/>
        </w:rPr>
        <w:t xml:space="preserve">Es así, que del análisis realizado a la respuesta otorgada por </w:t>
      </w:r>
      <w:r w:rsidRPr="00907A52">
        <w:rPr>
          <w:rFonts w:eastAsia="MS Mincho" w:cs="Arial"/>
          <w:b/>
        </w:rPr>
        <w:t xml:space="preserve">EL SUJETO OBLIGADO </w:t>
      </w:r>
      <w:r w:rsidRPr="00907A52">
        <w:rPr>
          <w:rFonts w:eastAsia="MS Mincho" w:cs="Arial"/>
        </w:rPr>
        <w:t xml:space="preserve">se advierte que no expresó su incapacidad administrativa para otorgar la información. </w:t>
      </w:r>
    </w:p>
    <w:p w14:paraId="42F3CC0E" w14:textId="77777777" w:rsidR="00DD45BF" w:rsidRPr="00907A52" w:rsidRDefault="00DD45BF" w:rsidP="00907A52">
      <w:pPr>
        <w:pStyle w:val="Prrafodelista"/>
        <w:ind w:left="0"/>
        <w:rPr>
          <w:rFonts w:eastAsia="MS Mincho" w:cs="Arial"/>
        </w:rPr>
      </w:pPr>
    </w:p>
    <w:p w14:paraId="1DE81333" w14:textId="77777777" w:rsidR="00DD45BF" w:rsidRPr="00907A52" w:rsidRDefault="00DD45BF" w:rsidP="00907A52">
      <w:pPr>
        <w:contextualSpacing/>
        <w:rPr>
          <w:rFonts w:eastAsia="MS Mincho" w:cs="Arial"/>
        </w:rPr>
      </w:pPr>
      <w:r w:rsidRPr="00907A52">
        <w:rPr>
          <w:rFonts w:eastAsia="MS Mincho" w:cs="Arial"/>
        </w:rPr>
        <w:t xml:space="preserve">Ahora bien, respecto de las </w:t>
      </w:r>
      <w:r w:rsidRPr="00907A52">
        <w:rPr>
          <w:rFonts w:eastAsia="MS Mincho" w:cs="Arial"/>
          <w:b/>
        </w:rPr>
        <w:t>capacidades humanas</w:t>
      </w:r>
      <w:r w:rsidRPr="00907A52">
        <w:rPr>
          <w:rFonts w:eastAsia="MS Mincho" w:cs="Arial"/>
        </w:rPr>
        <w:t xml:space="preserve"> vale la pena precisar lo que se denomina por </w:t>
      </w:r>
      <w:r w:rsidRPr="00907A52">
        <w:rPr>
          <w:rFonts w:eastAsia="MS Mincho" w:cs="Arial"/>
          <w:b/>
        </w:rPr>
        <w:t>recursos humanos</w:t>
      </w:r>
      <w:r w:rsidRPr="00907A52">
        <w:rPr>
          <w:rFonts w:eastAsia="MS Mincho" w:cs="Arial"/>
        </w:rPr>
        <w:t xml:space="preserve">, es decir, es el conjunto de personas con las que cuenta una determinada organización, para desarrollar y ejecutar de manera correcta las acciones, actividades, labores y tareas que deben realizarse y que han sido solicitadas. </w:t>
      </w:r>
    </w:p>
    <w:p w14:paraId="6B354465" w14:textId="77777777" w:rsidR="00DD45BF" w:rsidRPr="00907A52" w:rsidRDefault="00DD45BF" w:rsidP="00907A52">
      <w:pPr>
        <w:contextualSpacing/>
        <w:rPr>
          <w:rFonts w:eastAsia="MS Mincho" w:cs="Arial"/>
        </w:rPr>
      </w:pPr>
    </w:p>
    <w:p w14:paraId="758DD1B9" w14:textId="77777777" w:rsidR="00DD45BF" w:rsidRPr="00907A52" w:rsidRDefault="00DD45BF" w:rsidP="00907A52">
      <w:pPr>
        <w:contextualSpacing/>
        <w:rPr>
          <w:rFonts w:eastAsia="MS Mincho" w:cs="Arial"/>
        </w:rPr>
      </w:pPr>
      <w:r w:rsidRPr="00907A52">
        <w:rPr>
          <w:rFonts w:eastAsia="MS Mincho" w:cs="Arial"/>
        </w:rPr>
        <w:t xml:space="preserve">Las personas, son la </w:t>
      </w:r>
      <w:r w:rsidRPr="00907A52">
        <w:rPr>
          <w:rFonts w:eastAsia="MS Mincho" w:cs="Arial"/>
          <w:b/>
        </w:rPr>
        <w:t xml:space="preserve">parte fundamental de una organización </w:t>
      </w:r>
      <w:r w:rsidRPr="00907A52">
        <w:rPr>
          <w:rFonts w:eastAsia="MS Mincho" w:cs="Arial"/>
        </w:rPr>
        <w:t xml:space="preserve">y junto con los recursos materiales, financieros e intangibles, conforman el “todo” que una organización necesita, es </w:t>
      </w:r>
      <w:r w:rsidRPr="00907A52">
        <w:rPr>
          <w:rFonts w:eastAsia="MS Mincho" w:cs="Arial"/>
        </w:rPr>
        <w:lastRenderedPageBreak/>
        <w:t xml:space="preserve">decir, para el correcto funcionamiento y el alcance de objetivos, deben coexistir uno con otro, de otra forma, el desarrollo no sería el apropiado y el cumplimiento de metas inasequible. </w:t>
      </w:r>
    </w:p>
    <w:p w14:paraId="5CB389EF" w14:textId="77777777" w:rsidR="00DD45BF" w:rsidRPr="00907A52" w:rsidRDefault="00DD45BF" w:rsidP="00907A52">
      <w:pPr>
        <w:contextualSpacing/>
        <w:rPr>
          <w:rFonts w:eastAsia="MS Mincho" w:cs="Arial"/>
        </w:rPr>
      </w:pPr>
    </w:p>
    <w:p w14:paraId="6EBF8D08" w14:textId="468BEBFF" w:rsidR="00DD45BF" w:rsidRPr="00907A52" w:rsidRDefault="00DD45BF" w:rsidP="00907A52">
      <w:r w:rsidRPr="00907A52">
        <w:t xml:space="preserve">Es así que, del análisis realizado a las documentales que integra la respuesta a la solicitud de información, se puede advertir que </w:t>
      </w:r>
      <w:r w:rsidRPr="00907A52">
        <w:rPr>
          <w:b/>
        </w:rPr>
        <w:t xml:space="preserve">EL SUJETO OBLIGADO </w:t>
      </w:r>
      <w:r w:rsidRPr="00907A52">
        <w:t xml:space="preserve">no fundó ni motivó válidamente la imposibilidad de entregar la información solicitada en formato electrónico a través del </w:t>
      </w:r>
      <w:r w:rsidRPr="00907A52">
        <w:rPr>
          <w:b/>
        </w:rPr>
        <w:t>SAIMEX</w:t>
      </w:r>
      <w:r w:rsidRPr="00907A52">
        <w:t xml:space="preserve">, pues se limitó a informar que la información se encontraba disponible en las oficinas de Recursos Humanos, sin fundamentar y motivar el cambio de modalidad de entrega. </w:t>
      </w:r>
    </w:p>
    <w:p w14:paraId="45926BBC" w14:textId="77777777" w:rsidR="00DD45BF" w:rsidRPr="00907A52" w:rsidRDefault="00DD45BF" w:rsidP="00907A52"/>
    <w:p w14:paraId="4DA27AEA" w14:textId="77777777" w:rsidR="00DD45BF" w:rsidRPr="00907A52" w:rsidRDefault="00DD45BF" w:rsidP="00907A52">
      <w:pPr>
        <w:rPr>
          <w:rFonts w:cs="Arial"/>
          <w:lang w:val="es-ES_tradnl"/>
        </w:rPr>
      </w:pPr>
      <w:r w:rsidRPr="00907A52">
        <w:rPr>
          <w:rFonts w:cs="Arial"/>
        </w:rPr>
        <w:t>En consecuencia; l</w:t>
      </w:r>
      <w:r w:rsidRPr="00907A52">
        <w:rPr>
          <w:rFonts w:eastAsiaTheme="minorEastAsia" w:cs="Arial"/>
          <w:lang w:val="es-ES_tradnl"/>
        </w:rPr>
        <w:t xml:space="preserve">a respuesta otorgada por </w:t>
      </w:r>
      <w:r w:rsidRPr="00907A52">
        <w:rPr>
          <w:rFonts w:eastAsiaTheme="minorEastAsia" w:cs="Arial"/>
          <w:b/>
          <w:lang w:val="es-ES_tradnl"/>
        </w:rPr>
        <w:t xml:space="preserve">EL SUJETO OBLIGADO </w:t>
      </w:r>
      <w:r w:rsidRPr="00907A52">
        <w:rPr>
          <w:rFonts w:cs="Arial"/>
          <w:lang w:val="es-ES_tradnl"/>
        </w:rPr>
        <w:t>carece de la debida fundamentación y motivación</w:t>
      </w:r>
      <w:r w:rsidRPr="00907A52">
        <w:rPr>
          <w:rFonts w:cs="Arial"/>
        </w:rPr>
        <w:t xml:space="preserve"> consiste en la obligación que tiene todo ente público de expresar los preceptos jurídicos aplicables al asunto motivo del acto y las razones o argumentos de su actuar.</w:t>
      </w:r>
    </w:p>
    <w:p w14:paraId="6D52411E" w14:textId="77777777" w:rsidR="00DD45BF" w:rsidRPr="00907A52" w:rsidRDefault="00DD45BF" w:rsidP="00907A52">
      <w:pPr>
        <w:rPr>
          <w:lang w:val="es-ES" w:eastAsia="es-MX"/>
        </w:rPr>
      </w:pPr>
    </w:p>
    <w:p w14:paraId="0798FB23" w14:textId="77777777" w:rsidR="00DD45BF" w:rsidRPr="00907A52" w:rsidRDefault="00DD45BF" w:rsidP="00907A52">
      <w:pPr>
        <w:rPr>
          <w:rFonts w:cs="Arial"/>
        </w:rPr>
      </w:pPr>
      <w:r w:rsidRPr="00907A52">
        <w:rPr>
          <w:rFonts w:cs="Arial"/>
        </w:rPr>
        <w:t>Lo anterior es así, pues no debe perderse de vista que, la fundamentación y motivación consiste en la obligación que tiene todo ente público de expresar los preceptos jurídicos aplicables al asunto origen del acto y las razones o argumentos de su actuar, es así que al respecto, el máximo tribunal del país ha establecido jurisprudencia en relación a qué debe entenderse por fundamentación y motivación, en los siguientes términos:</w:t>
      </w:r>
    </w:p>
    <w:p w14:paraId="12E71C19" w14:textId="77777777" w:rsidR="00DD45BF" w:rsidRPr="00907A52" w:rsidRDefault="00DD45BF" w:rsidP="00907A52">
      <w:pPr>
        <w:rPr>
          <w:lang w:val="es-ES" w:eastAsia="es-MX"/>
        </w:rPr>
      </w:pPr>
    </w:p>
    <w:p w14:paraId="472DAF44" w14:textId="77777777" w:rsidR="00DD45BF" w:rsidRPr="00907A52" w:rsidRDefault="00DD45BF" w:rsidP="00907A52">
      <w:pPr>
        <w:pStyle w:val="Puesto"/>
      </w:pPr>
      <w:r w:rsidRPr="00907A52">
        <w:t>“</w:t>
      </w:r>
      <w:r w:rsidRPr="00907A52">
        <w:rPr>
          <w:b/>
        </w:rPr>
        <w:t xml:space="preserve">FUNDAMENTACIÓN Y MOTIVACIÓN. </w:t>
      </w:r>
      <w:r w:rsidRPr="00907A52">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fundamento.”(Sic)</w:t>
      </w:r>
    </w:p>
    <w:p w14:paraId="3EA9A8C8" w14:textId="77777777" w:rsidR="00DD45BF" w:rsidRPr="00907A52" w:rsidRDefault="00DD45BF" w:rsidP="00907A52">
      <w:pPr>
        <w:ind w:left="851" w:right="902"/>
        <w:rPr>
          <w:rFonts w:cs="Arial"/>
          <w:i/>
          <w:szCs w:val="22"/>
        </w:rPr>
      </w:pPr>
    </w:p>
    <w:p w14:paraId="0DBCDBC6" w14:textId="77777777" w:rsidR="00DD45BF" w:rsidRPr="00907A52" w:rsidRDefault="00DD45BF" w:rsidP="00907A52">
      <w:pPr>
        <w:rPr>
          <w:rFonts w:cs="Arial"/>
        </w:rPr>
      </w:pPr>
      <w:r w:rsidRPr="00907A52">
        <w:rPr>
          <w:rFonts w:cs="Arial"/>
        </w:rPr>
        <w:t xml:space="preserve">Es así que, en un acto de autoridad se surte la debida fundamentación cuando se cita el precepto legal aplicable al caso concreto y la debida motivación cuando se expresan las </w:t>
      </w:r>
      <w:r w:rsidRPr="00907A52">
        <w:rPr>
          <w:rFonts w:cs="Arial"/>
        </w:rPr>
        <w:lastRenderedPageBreak/>
        <w:t>razones, motivos o circunstancias que tomó en cuenta la autoridad para adecuar el hecho a los fundamentos de derecho.</w:t>
      </w:r>
    </w:p>
    <w:p w14:paraId="2147E99D" w14:textId="77777777" w:rsidR="00DD45BF" w:rsidRPr="00907A52" w:rsidRDefault="00DD45BF" w:rsidP="00907A52">
      <w:pPr>
        <w:rPr>
          <w:rFonts w:cs="Arial"/>
        </w:rPr>
      </w:pPr>
    </w:p>
    <w:p w14:paraId="5ED9E5BA" w14:textId="77777777" w:rsidR="00DD45BF" w:rsidRPr="00907A52" w:rsidRDefault="00DD45BF" w:rsidP="00907A52">
      <w:pPr>
        <w:rPr>
          <w:rFonts w:cs="Arial"/>
        </w:rPr>
      </w:pPr>
      <w:r w:rsidRPr="00907A52">
        <w:rPr>
          <w:rFonts w:cs="Arial"/>
        </w:rPr>
        <w:t>Más aún, a través de diversa jurisprudencia dictada por el Poder Judicial de la Federación se sostiene que la finalidad de la fundamentación o motivación es la de explicar, justificar, posibilitar la defensa y comunicar la decisión de la autoridad, sirviendo de sustento lo siguiente:</w:t>
      </w:r>
    </w:p>
    <w:p w14:paraId="684F0B87" w14:textId="77777777" w:rsidR="00DD45BF" w:rsidRPr="00907A52" w:rsidRDefault="00DD45BF" w:rsidP="00907A52">
      <w:pPr>
        <w:rPr>
          <w:rFonts w:cs="Arial"/>
        </w:rPr>
      </w:pPr>
    </w:p>
    <w:p w14:paraId="3B7A16A8" w14:textId="77777777" w:rsidR="00DD45BF" w:rsidRPr="00907A52" w:rsidRDefault="00DD45BF" w:rsidP="00907A52">
      <w:pPr>
        <w:pStyle w:val="Puesto"/>
      </w:pPr>
      <w:r w:rsidRPr="00907A52">
        <w:t>“FUNDAMENTACIÓN Y MOTIVACIÓN. EL ASPECTO FORMAL DE LA GARANTÍA Y SU FINALIDAD SE TRADUCEN EN EXPLICAR, JUSTIFICAR, POSIBILITAR LA DEFENSA Y COMUNICAR LA DECISIÓN.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 (Sic)</w:t>
      </w:r>
    </w:p>
    <w:p w14:paraId="55C3F1FD" w14:textId="77777777" w:rsidR="00DD45BF" w:rsidRPr="00907A52" w:rsidRDefault="00DD45BF" w:rsidP="00907A52">
      <w:pPr>
        <w:pStyle w:val="Puesto"/>
      </w:pPr>
      <w:r w:rsidRPr="00907A52">
        <w:t>(Énfasis añadido)</w:t>
      </w:r>
    </w:p>
    <w:p w14:paraId="59275146" w14:textId="77777777" w:rsidR="00DD45BF" w:rsidRPr="00907A52" w:rsidRDefault="00DD45BF" w:rsidP="00907A52">
      <w:pPr>
        <w:ind w:left="851" w:right="902"/>
        <w:rPr>
          <w:rFonts w:cs="Arial"/>
          <w:i/>
          <w:szCs w:val="22"/>
        </w:rPr>
      </w:pPr>
    </w:p>
    <w:p w14:paraId="5465C684" w14:textId="77777777" w:rsidR="00DD45BF" w:rsidRPr="00907A52" w:rsidRDefault="00DD45BF" w:rsidP="00907A52">
      <w:pPr>
        <w:rPr>
          <w:rFonts w:cs="Arial"/>
          <w:i/>
          <w:szCs w:val="22"/>
        </w:rPr>
      </w:pPr>
      <w:r w:rsidRPr="00907A52">
        <w:rPr>
          <w:rFonts w:cs="Arial"/>
        </w:rPr>
        <w:t xml:space="preserve">En consecuencia, la fundamentación y motivación implica que en el acto de </w:t>
      </w:r>
      <w:r w:rsidRPr="00907A52">
        <w:t>autoridad</w:t>
      </w:r>
      <w:r w:rsidRPr="00907A52">
        <w:rPr>
          <w:rFonts w:cs="Arial"/>
        </w:rPr>
        <w:t>, además de contenerse los supuestos jurídicos aplicables se expliquen claramente, por qué, a través de la utilización de la norma se emitió el acto. De este modo, la persona que se siente afectada podrá impugnar la decisión, permitiéndole una real y auténtica defensa.</w:t>
      </w:r>
    </w:p>
    <w:p w14:paraId="5F7D98DB" w14:textId="77777777" w:rsidR="00DD45BF" w:rsidRPr="00907A52" w:rsidRDefault="00DD45BF" w:rsidP="00907A52">
      <w:pPr>
        <w:rPr>
          <w:lang w:val="es-ES" w:eastAsia="es-MX"/>
        </w:rPr>
      </w:pPr>
    </w:p>
    <w:p w14:paraId="705E00C4" w14:textId="77777777" w:rsidR="00DD45BF" w:rsidRPr="00907A52" w:rsidRDefault="00DD45BF" w:rsidP="00907A52">
      <w:r w:rsidRPr="00907A52">
        <w:t xml:space="preserve">Es así </w:t>
      </w:r>
      <w:r w:rsidRPr="00907A52">
        <w:rPr>
          <w:rFonts w:cs="Arial"/>
        </w:rPr>
        <w:t>que</w:t>
      </w:r>
      <w:r w:rsidRPr="00907A52">
        <w:t xml:space="preserve">, la respuesta proporcionada carece de la debía motivación, la cual consiste en que las determinaciones emitidas en materia de transparencia y acceso a la información deben estar debidamente </w:t>
      </w:r>
      <w:r w:rsidRPr="00907A52">
        <w:rPr>
          <w:b/>
        </w:rPr>
        <w:t>fundadas</w:t>
      </w:r>
      <w:r w:rsidRPr="00907A52">
        <w:t xml:space="preserve"> y </w:t>
      </w:r>
      <w:r w:rsidRPr="00907A52">
        <w:rPr>
          <w:b/>
        </w:rPr>
        <w:t>motivadas</w:t>
      </w:r>
      <w:r w:rsidRPr="00907A52">
        <w:t xml:space="preserve">, pues en ellas no solo deben </w:t>
      </w:r>
      <w:r w:rsidRPr="00907A52">
        <w:rPr>
          <w:b/>
        </w:rPr>
        <w:t>citarse los preceptos legales aplicables</w:t>
      </w:r>
      <w:r w:rsidRPr="00907A52">
        <w:t xml:space="preserve">, </w:t>
      </w:r>
      <w:r w:rsidRPr="00907A52">
        <w:rPr>
          <w:b/>
        </w:rPr>
        <w:t xml:space="preserve">sino las circunstancias especiales, razones particulares o causas inmediatas que se hayan tenido en consideración para su emisión, </w:t>
      </w:r>
      <w:r w:rsidRPr="00907A52">
        <w:t xml:space="preserve">debiendo existir una adecuación entre los </w:t>
      </w:r>
      <w:r w:rsidRPr="00907A52">
        <w:rPr>
          <w:b/>
        </w:rPr>
        <w:t>motivos aducidos</w:t>
      </w:r>
      <w:r w:rsidRPr="00907A52">
        <w:t xml:space="preserve"> y las normas aplicadas al caso concreto, cuestión que simplemente no aconteció en el presente caso; sirve de apoyo al razonamiento anterior, la siguiente Jurisprudencia emitida por el Poder Judicial de la Federación:</w:t>
      </w:r>
    </w:p>
    <w:p w14:paraId="61505F07" w14:textId="77777777" w:rsidR="00DD45BF" w:rsidRPr="00907A52" w:rsidRDefault="00DD45BF" w:rsidP="00907A52"/>
    <w:p w14:paraId="635A8B3F" w14:textId="77777777" w:rsidR="00DD45BF" w:rsidRPr="00907A52" w:rsidRDefault="00DD45BF" w:rsidP="00907A52">
      <w:pPr>
        <w:pStyle w:val="Puesto"/>
        <w:rPr>
          <w:rFonts w:eastAsiaTheme="minorEastAsia"/>
          <w:b/>
        </w:rPr>
      </w:pPr>
      <w:r w:rsidRPr="00907A52">
        <w:rPr>
          <w:rFonts w:eastAsiaTheme="minorEastAsia" w:cs="Arial-ItalicMT"/>
        </w:rPr>
        <w:t>“</w:t>
      </w:r>
      <w:r w:rsidRPr="00907A52">
        <w:rPr>
          <w:rFonts w:eastAsiaTheme="minorEastAsia"/>
          <w:b/>
        </w:rPr>
        <w:t>FUNDAMENTACIÓN Y MOTIVACIÓN. LA DIFERENCIA ENTRE LA FALTA Y LA INDEBIDA SATISFACCIÓN DE AMBOS REQUISITOS CONSTITUCIONALES TRASCIENDE AL ORDEN EN QUE DEBEN ESTUDIARSE LOS CONCEPTOS DE VIOLACIÓN Y A LOS EFECTOS DEL FALLO PROTECTOR.</w:t>
      </w:r>
    </w:p>
    <w:p w14:paraId="239CEBD2" w14:textId="77777777" w:rsidR="00DD45BF" w:rsidRPr="00907A52" w:rsidRDefault="00DD45BF" w:rsidP="00907A52">
      <w:pPr>
        <w:pStyle w:val="Puesto"/>
        <w:rPr>
          <w:rFonts w:eastAsiaTheme="minorEastAsia"/>
        </w:rPr>
      </w:pPr>
      <w:r w:rsidRPr="00907A52">
        <w:rPr>
          <w:rFonts w:eastAsiaTheme="minorEastAsia"/>
        </w:rPr>
        <w:t xml:space="preserve">La falta de fundamentación y motivación es una violación formal diversa a la indebida o incorrecta fundamentación y motivación, que es una violación material o de fondo, siendo distintos los efectos que genera la existencia de una u otra, por lo que el estudio de aquella omisión debe hacerse de manera previa. En efecto, el artículo 16 constitucional establece, en su primer párrafo, el imperativo para las autoridades de fundar y motivar sus actos que incidan en la esfera de los gobernados, pero la contravención al mandato constitucional que exige la expresión de ambas en los actos de autoridad puede revestir dos formas distintas, a saber: la derivada de su falta, y la correspondiente a su incorrección. Se produce la falta de fundamentación y motivación, cuando se omite expresar el dispositivo legal aplicable al asunto y las razones que se hayan considerado para estimar que el caso puede subsumirse en la hipótesis prevista en esa norma jurídica. En cambio, hay una indebida fundamentación cuando en el acto de autoridad sí se invoca el precepto legal, sin embargo, resulta inaplicable al asunto por las características específicas de éste que impiden su adecuación o encuadre en la hipótesis normativa; y una incorrecta motivación, en el supuesto en que sí se indican las razones que tiene en consideración la autoridad para emitir el acto, pero aquéllas están en disonancia con el contenido de la norma legal que se aplica en el caso. De manera que la falta de fundamentación y motivación significa la carencia o ausencia de tales requisitos, mientras que la indebida o incorrecta fundamentación y motivación entraña la presencia de ambos requisitos constitucionales, </w:t>
      </w:r>
      <w:r w:rsidRPr="00907A52">
        <w:rPr>
          <w:rFonts w:eastAsiaTheme="minorEastAsia"/>
        </w:rPr>
        <w:lastRenderedPageBreak/>
        <w:t>pero con un desajuste entre la aplicación de normas y los razonamientos formulados por la autoridad con el caso concreto. La diferencia apuntada permite advertir que en el primer supuesto se trata de una violación formal dado que el acto de autoridad carece de elementos ínsitos, connaturales, al mismo por virtud de un imperativo constitucional, por lo que, advertida su ausencia mediante la simple lectura del acto reclamado, procederá conceder el amparo solicitado; y en el segundo caso consiste en una violación material o de fondo porque se ha cumplido con la forma mediante la expresión de fundamentos y motivos, pero unos y otros son incorrectos, lo cual, por regla general, también dará lugar a un fallo protector, sin embargo, será menester un previo análisis del contenido del asunto para llegar a concluir la mencionada incorrección. Por virtud de esa nota distintiva, los efectos de la concesión del amparo, tratándose de una resolución jurisdiccional, son igualmente diversos en uno y otro caso, pues aunque existe un elemento común, o sea, que la autoridad deje insubsistente el acto inconstitucional, en el primer supuesto será para que subsane la irregularidad expresando la fundamentación y motivación antes ausente, y en el segundo para que aporte fundamentos y motivos diferentes a los que formuló previamente. La apuntada diferencia trasciende, igualmente, al orden en que se deberán estudiar los argumentos que hagan valer los quejosos, ya que si en un caso se advierte la carencia de los requisitos constitucionales de que se trata, es decir, una violación formal, se concederá el amparo para los efectos indicados, con exclusión del análisis de los motivos de disenso que, concurriendo con los atinentes al defecto, versen sobre la incorrección de ambos elementos inherentes al acto de autoridad; empero, si han sido satisfechos aquéllos, será factible el estudio de la indebida fundamentación y motivación, esto es, de la violación material o de fondo.”</w:t>
      </w:r>
    </w:p>
    <w:p w14:paraId="560F9B66" w14:textId="77777777" w:rsidR="00DD45BF" w:rsidRPr="00907A52" w:rsidRDefault="00DD45BF" w:rsidP="00907A52">
      <w:pPr>
        <w:pStyle w:val="Puesto"/>
        <w:rPr>
          <w:rFonts w:eastAsiaTheme="minorEastAsia"/>
        </w:rPr>
      </w:pPr>
      <w:r w:rsidRPr="00907A52">
        <w:rPr>
          <w:rFonts w:eastAsiaTheme="minorEastAsia"/>
        </w:rPr>
        <w:t>(Énfasis añadido)</w:t>
      </w:r>
    </w:p>
    <w:p w14:paraId="2FC9762A" w14:textId="77777777" w:rsidR="00DD45BF" w:rsidRPr="00907A52" w:rsidRDefault="00DD45BF" w:rsidP="00907A52">
      <w:pPr>
        <w:autoSpaceDE w:val="0"/>
        <w:autoSpaceDN w:val="0"/>
        <w:adjustRightInd w:val="0"/>
        <w:ind w:right="992"/>
        <w:rPr>
          <w:rFonts w:eastAsiaTheme="minorEastAsia" w:cs="Arial"/>
          <w:i/>
          <w:iCs/>
          <w:szCs w:val="22"/>
        </w:rPr>
      </w:pPr>
    </w:p>
    <w:p w14:paraId="5EC7087D" w14:textId="77777777" w:rsidR="00DD45BF" w:rsidRPr="00907A52" w:rsidRDefault="00DD45BF" w:rsidP="00907A52">
      <w:r w:rsidRPr="00907A52">
        <w:t xml:space="preserve">Es así que, para justificar el cambio de modalidad debe de </w:t>
      </w:r>
      <w:r w:rsidRPr="00907A52">
        <w:rPr>
          <w:b/>
        </w:rPr>
        <w:t xml:space="preserve">existir un obstáculo infranqueable o de difícil superación </w:t>
      </w:r>
      <w:r w:rsidRPr="00907A52">
        <w:t xml:space="preserve">para atenderla, como puede ser de manera enunciativa más no </w:t>
      </w:r>
      <w:r w:rsidRPr="00907A52">
        <w:rPr>
          <w:rFonts w:cs="Arial"/>
          <w:lang w:val="es-ES"/>
        </w:rPr>
        <w:t>limitativa</w:t>
      </w:r>
      <w:r w:rsidRPr="00907A52">
        <w:t xml:space="preserve"> que la información solicitada se encuentra en un formato diverso al solicitado, que de atendiendo a las características de la misma sea imposible su reproducción en el medio elegido por el particular o bien, que la información que dé atención a la solicitud amerite un cruce de información en los sistemas, entre otros. </w:t>
      </w:r>
    </w:p>
    <w:p w14:paraId="149D9E72" w14:textId="77777777" w:rsidR="00DD45BF" w:rsidRPr="00907A52" w:rsidRDefault="00DD45BF" w:rsidP="00907A52">
      <w:pPr>
        <w:rPr>
          <w:lang w:eastAsia="es-MX"/>
        </w:rPr>
      </w:pPr>
    </w:p>
    <w:p w14:paraId="7DD438A1" w14:textId="77777777" w:rsidR="00DD45BF" w:rsidRPr="00907A52" w:rsidRDefault="00DD45BF" w:rsidP="00907A52">
      <w:r w:rsidRPr="00907A52">
        <w:rPr>
          <w:rFonts w:eastAsiaTheme="minorEastAsia" w:cs="Arial"/>
          <w:lang w:val="es-ES_tradnl"/>
        </w:rPr>
        <w:t>Por lo que,</w:t>
      </w:r>
      <w:r w:rsidRPr="00907A52">
        <w:rPr>
          <w:rFonts w:cs="Arial"/>
        </w:rPr>
        <w:t xml:space="preserve"> para dar</w:t>
      </w:r>
      <w:r w:rsidRPr="00907A52">
        <w:t xml:space="preserve"> </w:t>
      </w:r>
      <w:r w:rsidRPr="00907A52">
        <w:rPr>
          <w:rFonts w:cs="Arial"/>
        </w:rPr>
        <w:t>cumplimiento</w:t>
      </w:r>
      <w:r w:rsidRPr="00907A52">
        <w:t xml:space="preserve"> al acceso a la Información Pública debe realizarse en la modalidad requerida por </w:t>
      </w:r>
      <w:r w:rsidRPr="00907A52">
        <w:rPr>
          <w:b/>
        </w:rPr>
        <w:t>LA PARTE RECURRENTE</w:t>
      </w:r>
      <w:r w:rsidRPr="00907A52">
        <w:t xml:space="preserve">, es decir, mediante la entrega de lo </w:t>
      </w:r>
      <w:r w:rsidRPr="00907A52">
        <w:lastRenderedPageBreak/>
        <w:t xml:space="preserve">solicitado vía </w:t>
      </w:r>
      <w:r w:rsidRPr="00907A52">
        <w:rPr>
          <w:b/>
        </w:rPr>
        <w:t>SAIMEX</w:t>
      </w:r>
      <w:r w:rsidRPr="00907A52">
        <w:t xml:space="preserve">, lo que, en el presente caso, no aconteció, puesto que ya se refirió anteriormente </w:t>
      </w:r>
      <w:r w:rsidRPr="00907A52">
        <w:rPr>
          <w:b/>
        </w:rPr>
        <w:t xml:space="preserve">EL SUJETO OBLIGADO </w:t>
      </w:r>
      <w:r w:rsidRPr="00907A52">
        <w:t>pretendió satisfacer lo requerido en una modalidad distinta a la elegida.</w:t>
      </w:r>
    </w:p>
    <w:p w14:paraId="518D61B0" w14:textId="77777777" w:rsidR="00DD45BF" w:rsidRPr="00907A52" w:rsidRDefault="00DD45BF" w:rsidP="00907A52">
      <w:pPr>
        <w:rPr>
          <w:lang w:eastAsia="es-MX"/>
        </w:rPr>
      </w:pPr>
    </w:p>
    <w:p w14:paraId="3B4CD4CB" w14:textId="197BE4AB" w:rsidR="00DD45BF" w:rsidRPr="00907A52" w:rsidRDefault="00DD45BF" w:rsidP="00907A52">
      <w:r w:rsidRPr="00907A52">
        <w:rPr>
          <w:rFonts w:cs="Arial"/>
        </w:rPr>
        <w:t xml:space="preserve">Por lo anterior, este Órgano Garante determina ordenar al </w:t>
      </w:r>
      <w:r w:rsidRPr="00907A52">
        <w:rPr>
          <w:rFonts w:cs="Arial"/>
          <w:b/>
        </w:rPr>
        <w:t xml:space="preserve">SUJETO OBLIGADO </w:t>
      </w:r>
      <w:r w:rsidRPr="00907A52">
        <w:rPr>
          <w:rFonts w:cs="Arial"/>
        </w:rPr>
        <w:t xml:space="preserve">haga entrega de ser procedente en </w:t>
      </w:r>
      <w:r w:rsidRPr="00907A52">
        <w:rPr>
          <w:rFonts w:cs="Arial"/>
          <w:b/>
        </w:rPr>
        <w:t xml:space="preserve">versión pública </w:t>
      </w:r>
      <w:r w:rsidRPr="00907A52">
        <w:rPr>
          <w:rFonts w:eastAsia="Calibri"/>
          <w:lang w:eastAsia="es-ES_tradnl"/>
        </w:rPr>
        <w:t>las certificaciones de competencia laboral de los servidores públicos precisados en la solicitud</w:t>
      </w:r>
      <w:r w:rsidR="00E33D99" w:rsidRPr="00907A52">
        <w:t xml:space="preserve">, que puso a disposición </w:t>
      </w:r>
      <w:r w:rsidR="00E33D99" w:rsidRPr="00907A52">
        <w:rPr>
          <w:b/>
        </w:rPr>
        <w:t>EL SUJETO OBLILGADO</w:t>
      </w:r>
      <w:r w:rsidR="00E33D99" w:rsidRPr="00907A52">
        <w:t xml:space="preserve"> en las oficinas de Recursos Humanos. </w:t>
      </w:r>
    </w:p>
    <w:p w14:paraId="41002CD8" w14:textId="77777777" w:rsidR="00E33D99" w:rsidRPr="00907A52" w:rsidRDefault="00E33D99" w:rsidP="00907A52">
      <w:pPr>
        <w:rPr>
          <w:rFonts w:cs="Arial"/>
        </w:rPr>
      </w:pPr>
    </w:p>
    <w:p w14:paraId="0D8C3E93" w14:textId="77777777" w:rsidR="00DD45BF" w:rsidRPr="00907A52" w:rsidRDefault="00DD45BF" w:rsidP="00907A52">
      <w:pPr>
        <w:pStyle w:val="Ttulo3"/>
      </w:pPr>
      <w:bookmarkStart w:id="40" w:name="_Toc170898812"/>
      <w:bookmarkStart w:id="41" w:name="_Toc172051201"/>
      <w:bookmarkStart w:id="42" w:name="_Toc175153349"/>
      <w:r w:rsidRPr="00907A52">
        <w:t>d) Versión pública</w:t>
      </w:r>
      <w:bookmarkEnd w:id="40"/>
      <w:bookmarkEnd w:id="41"/>
      <w:bookmarkEnd w:id="42"/>
    </w:p>
    <w:p w14:paraId="5849442C" w14:textId="77777777" w:rsidR="00DD45BF" w:rsidRPr="00907A52" w:rsidRDefault="00DD45BF" w:rsidP="00907A52">
      <w:pPr>
        <w:rPr>
          <w:bCs/>
        </w:rPr>
      </w:pPr>
      <w:r w:rsidRPr="00907A52">
        <w:t xml:space="preserve">Para el caso de que el o los documentos de los cuales se ordena su entrega contengan datos personales susceptibles de ser testados, deberán ser entregados en </w:t>
      </w:r>
      <w:r w:rsidRPr="00907A52">
        <w:rPr>
          <w:b/>
        </w:rPr>
        <w:t>versión pública</w:t>
      </w:r>
      <w:r w:rsidRPr="00907A52">
        <w:t>, pues el</w:t>
      </w:r>
      <w:r w:rsidRPr="00907A52">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DC943B9" w14:textId="77777777" w:rsidR="00DD45BF" w:rsidRPr="00907A52" w:rsidRDefault="00DD45BF" w:rsidP="00907A52">
      <w:pPr>
        <w:rPr>
          <w:rFonts w:eastAsia="Calibri"/>
          <w:bCs/>
          <w:lang w:eastAsia="en-US"/>
        </w:rPr>
      </w:pPr>
    </w:p>
    <w:p w14:paraId="7D37CDB8" w14:textId="77777777" w:rsidR="00DD45BF" w:rsidRPr="00907A52" w:rsidRDefault="00DD45BF" w:rsidP="00907A52">
      <w:pPr>
        <w:rPr>
          <w:bCs/>
        </w:rPr>
      </w:pPr>
      <w:r w:rsidRPr="00907A52">
        <w:rPr>
          <w:bCs/>
        </w:rPr>
        <w:t>A este respecto, los artículos 3, fracciones IX, XX, XXI y XLV; 51 y 52 de la Ley de Transparencia y Acceso a la Información Pública del Estado de México y Municipios establecen:</w:t>
      </w:r>
    </w:p>
    <w:p w14:paraId="60DC10EA" w14:textId="77777777" w:rsidR="00DD45BF" w:rsidRPr="00907A52" w:rsidRDefault="00DD45BF" w:rsidP="00907A52"/>
    <w:p w14:paraId="7581D19F" w14:textId="77777777" w:rsidR="00DD45BF" w:rsidRPr="00907A52" w:rsidRDefault="00DD45BF" w:rsidP="00907A52">
      <w:pPr>
        <w:pStyle w:val="Puesto"/>
      </w:pPr>
      <w:r w:rsidRPr="00907A52">
        <w:rPr>
          <w:b/>
          <w:bCs/>
          <w:noProof/>
        </w:rPr>
        <w:t>“</w:t>
      </w:r>
      <w:r w:rsidRPr="00907A52">
        <w:rPr>
          <w:b/>
          <w:bCs/>
        </w:rPr>
        <w:t xml:space="preserve">Artículo 3. </w:t>
      </w:r>
      <w:r w:rsidRPr="00907A52">
        <w:t xml:space="preserve">Para los efectos de la presente Ley se entenderá por: </w:t>
      </w:r>
    </w:p>
    <w:p w14:paraId="1053C131" w14:textId="77777777" w:rsidR="00DD45BF" w:rsidRPr="00907A52" w:rsidRDefault="00DD45BF" w:rsidP="00907A52">
      <w:pPr>
        <w:pStyle w:val="Puesto"/>
      </w:pPr>
      <w:r w:rsidRPr="00907A52">
        <w:rPr>
          <w:b/>
        </w:rPr>
        <w:lastRenderedPageBreak/>
        <w:t>IX.</w:t>
      </w:r>
      <w:r w:rsidRPr="00907A52">
        <w:t xml:space="preserve"> </w:t>
      </w:r>
      <w:r w:rsidRPr="00907A52">
        <w:rPr>
          <w:b/>
        </w:rPr>
        <w:t xml:space="preserve">Datos personales: </w:t>
      </w:r>
      <w:r w:rsidRPr="00907A52">
        <w:t xml:space="preserve">La información concerniente a una persona, identificada o identificable según lo dispuesto por la Ley de Protección de Datos Personales del Estado de México; </w:t>
      </w:r>
    </w:p>
    <w:p w14:paraId="78273529" w14:textId="77777777" w:rsidR="00DD45BF" w:rsidRPr="00907A52" w:rsidRDefault="00DD45BF" w:rsidP="00907A52"/>
    <w:p w14:paraId="132F6739" w14:textId="77777777" w:rsidR="00DD45BF" w:rsidRPr="00907A52" w:rsidRDefault="00DD45BF" w:rsidP="00907A52">
      <w:pPr>
        <w:pStyle w:val="Puesto"/>
      </w:pPr>
      <w:r w:rsidRPr="00907A52">
        <w:rPr>
          <w:b/>
        </w:rPr>
        <w:t>XX.</w:t>
      </w:r>
      <w:r w:rsidRPr="00907A52">
        <w:t xml:space="preserve"> </w:t>
      </w:r>
      <w:r w:rsidRPr="00907A52">
        <w:rPr>
          <w:b/>
        </w:rPr>
        <w:t>Información clasificada:</w:t>
      </w:r>
      <w:r w:rsidRPr="00907A52">
        <w:t xml:space="preserve"> Aquella considerada por la presente Ley como reservada o confidencial; </w:t>
      </w:r>
    </w:p>
    <w:p w14:paraId="1C97BCF7" w14:textId="77777777" w:rsidR="00DD45BF" w:rsidRPr="00907A52" w:rsidRDefault="00DD45BF" w:rsidP="00907A52"/>
    <w:p w14:paraId="04391F9C" w14:textId="77777777" w:rsidR="00DD45BF" w:rsidRPr="00907A52" w:rsidRDefault="00DD45BF" w:rsidP="00907A52">
      <w:pPr>
        <w:pStyle w:val="Puesto"/>
      </w:pPr>
      <w:r w:rsidRPr="00907A52">
        <w:rPr>
          <w:b/>
        </w:rPr>
        <w:t>XXI.</w:t>
      </w:r>
      <w:r w:rsidRPr="00907A52">
        <w:t xml:space="preserve"> </w:t>
      </w:r>
      <w:r w:rsidRPr="00907A52">
        <w:rPr>
          <w:b/>
        </w:rPr>
        <w:t>Información confidencial</w:t>
      </w:r>
      <w:r w:rsidRPr="00907A52">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E7E48EA" w14:textId="77777777" w:rsidR="00DD45BF" w:rsidRPr="00907A52" w:rsidRDefault="00DD45BF" w:rsidP="00907A52"/>
    <w:p w14:paraId="6DBFF70C" w14:textId="77777777" w:rsidR="00DD45BF" w:rsidRPr="00907A52" w:rsidRDefault="00DD45BF" w:rsidP="00907A52">
      <w:pPr>
        <w:pStyle w:val="Puesto"/>
      </w:pPr>
      <w:r w:rsidRPr="00907A52">
        <w:rPr>
          <w:b/>
        </w:rPr>
        <w:t>XLV. Versión pública:</w:t>
      </w:r>
      <w:r w:rsidRPr="00907A52">
        <w:t xml:space="preserve"> Documento en el que se elimine, suprime o borra la información clasificada como reservada o confidencial para permitir su acceso. </w:t>
      </w:r>
    </w:p>
    <w:p w14:paraId="7875707B" w14:textId="77777777" w:rsidR="00DD45BF" w:rsidRPr="00907A52" w:rsidRDefault="00DD45BF" w:rsidP="00907A52"/>
    <w:p w14:paraId="4C6918E4" w14:textId="77777777" w:rsidR="00DD45BF" w:rsidRPr="00907A52" w:rsidRDefault="00DD45BF" w:rsidP="00907A52">
      <w:pPr>
        <w:pStyle w:val="Puesto"/>
      </w:pPr>
      <w:r w:rsidRPr="00907A52">
        <w:rPr>
          <w:b/>
        </w:rPr>
        <w:t>Artículo 51.</w:t>
      </w:r>
      <w:r w:rsidRPr="00907A52">
        <w:t xml:space="preserve"> Los sujetos obligados designaran a un responsable para atender la Unidad de Transparencia, quien fungirá como enlace entre éstos y los solicitantes. Dicha Unidad será la encargada de tramitar internamente la solicitud de información </w:t>
      </w:r>
      <w:r w:rsidRPr="00907A52">
        <w:rPr>
          <w:b/>
        </w:rPr>
        <w:t xml:space="preserve">y tendrá la responsabilidad de verificar en cada caso que la misma no sea confidencial o reservada. </w:t>
      </w:r>
      <w:r w:rsidRPr="00907A52">
        <w:t>Dicha Unidad contará con las facultades internas necesarias para gestionar la atención a las solicitudes de información en los términos de la Ley General y la presente Ley.</w:t>
      </w:r>
    </w:p>
    <w:p w14:paraId="76ECC68E" w14:textId="77777777" w:rsidR="00DD45BF" w:rsidRPr="00907A52" w:rsidRDefault="00DD45BF" w:rsidP="00907A52"/>
    <w:p w14:paraId="748A2CB8" w14:textId="77777777" w:rsidR="00DD45BF" w:rsidRPr="00907A52" w:rsidRDefault="00DD45BF" w:rsidP="00907A52">
      <w:pPr>
        <w:pStyle w:val="Puesto"/>
      </w:pPr>
      <w:r w:rsidRPr="00907A52">
        <w:rPr>
          <w:b/>
        </w:rPr>
        <w:t>Artículo 52.</w:t>
      </w:r>
      <w:r w:rsidRPr="00907A52">
        <w:t xml:space="preserve"> Las solicitudes de acceso a la información y las respuestas que se les dé, incluyendo, en su caso, </w:t>
      </w:r>
      <w:r w:rsidRPr="00907A52">
        <w:rPr>
          <w:u w:val="single"/>
        </w:rPr>
        <w:t>la información entregada, así como las resoluciones a los recursos que en su caso se promuevan serán públicas, y de ser el caso que contenga datos personales que deban ser protegidos se podrá dar su acceso en su versión pública</w:t>
      </w:r>
      <w:r w:rsidRPr="00907A52">
        <w:t>, siempre y cuando la resolución de referencia se someta a un proceso de disociación, es decir, no haga identificable al titular de tales datos personales.</w:t>
      </w:r>
      <w:r w:rsidRPr="00907A52">
        <w:rPr>
          <w:bCs/>
          <w:noProof/>
        </w:rPr>
        <w:t xml:space="preserve">” </w:t>
      </w:r>
      <w:r w:rsidRPr="00907A52">
        <w:rPr>
          <w:i w:val="0"/>
          <w:iCs/>
          <w:szCs w:val="22"/>
        </w:rPr>
        <w:t>(Énfasis añadido)</w:t>
      </w:r>
    </w:p>
    <w:p w14:paraId="73E287DA" w14:textId="77777777" w:rsidR="00DD45BF" w:rsidRPr="00907A52" w:rsidRDefault="00DD45BF" w:rsidP="00907A52"/>
    <w:p w14:paraId="54829D85" w14:textId="77777777" w:rsidR="00DD45BF" w:rsidRPr="00907A52" w:rsidRDefault="00DD45BF" w:rsidP="00907A52">
      <w:r w:rsidRPr="00907A52">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w:t>
      </w:r>
      <w:r w:rsidRPr="00907A52">
        <w:lastRenderedPageBreak/>
        <w:t xml:space="preserve">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31E1E3BD" w14:textId="77777777" w:rsidR="00DD45BF" w:rsidRPr="00907A52" w:rsidRDefault="00DD45BF" w:rsidP="00907A52"/>
    <w:p w14:paraId="41EA9D21" w14:textId="77777777" w:rsidR="00DD45BF" w:rsidRPr="00907A52" w:rsidRDefault="00DD45BF" w:rsidP="00907A52">
      <w:pPr>
        <w:pStyle w:val="Puesto"/>
        <w:rPr>
          <w:rFonts w:eastAsia="Arial Unicode MS"/>
        </w:rPr>
      </w:pPr>
      <w:r w:rsidRPr="00907A52">
        <w:rPr>
          <w:rFonts w:eastAsia="Arial Unicode MS"/>
          <w:b/>
        </w:rPr>
        <w:t>“Artículo 22.</w:t>
      </w:r>
      <w:r w:rsidRPr="00907A52">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09AE22A" w14:textId="77777777" w:rsidR="00DD45BF" w:rsidRPr="00907A52" w:rsidRDefault="00DD45BF" w:rsidP="00907A52">
      <w:pPr>
        <w:rPr>
          <w:rFonts w:eastAsia="Arial Unicode MS"/>
        </w:rPr>
      </w:pPr>
    </w:p>
    <w:p w14:paraId="30E343AB" w14:textId="77777777" w:rsidR="00DD45BF" w:rsidRPr="00907A52" w:rsidRDefault="00DD45BF" w:rsidP="00907A52">
      <w:pPr>
        <w:pStyle w:val="Puesto"/>
        <w:rPr>
          <w:rFonts w:eastAsia="Arial Unicode MS"/>
        </w:rPr>
      </w:pPr>
      <w:r w:rsidRPr="00907A52">
        <w:rPr>
          <w:rFonts w:eastAsia="Arial Unicode MS"/>
          <w:b/>
        </w:rPr>
        <w:t>Artículo 38.</w:t>
      </w:r>
      <w:r w:rsidRPr="00907A52">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907A52">
        <w:rPr>
          <w:rFonts w:eastAsia="Arial Unicode MS"/>
          <w:b/>
        </w:rPr>
        <w:t>”</w:t>
      </w:r>
      <w:r w:rsidRPr="00907A52">
        <w:rPr>
          <w:rFonts w:eastAsia="Arial Unicode MS"/>
        </w:rPr>
        <w:t xml:space="preserve"> </w:t>
      </w:r>
    </w:p>
    <w:p w14:paraId="19A7CBDE" w14:textId="77777777" w:rsidR="00DD45BF" w:rsidRPr="00907A52" w:rsidRDefault="00DD45BF" w:rsidP="00907A52">
      <w:pPr>
        <w:rPr>
          <w:rFonts w:eastAsia="Arial Unicode MS"/>
          <w:i/>
          <w:szCs w:val="22"/>
        </w:rPr>
      </w:pPr>
    </w:p>
    <w:p w14:paraId="5544C7D5" w14:textId="77777777" w:rsidR="00DD45BF" w:rsidRPr="00907A52" w:rsidRDefault="00DD45BF" w:rsidP="00907A52">
      <w:r w:rsidRPr="00907A52">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4AB31B75" w14:textId="77777777" w:rsidR="00DD45BF" w:rsidRPr="00907A52" w:rsidRDefault="00DD45BF" w:rsidP="00907A52"/>
    <w:p w14:paraId="5431329E" w14:textId="77777777" w:rsidR="00DD45BF" w:rsidRPr="00907A52" w:rsidRDefault="00DD45BF" w:rsidP="00907A52">
      <w:r w:rsidRPr="00907A52">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907A52">
        <w:rPr>
          <w:rFonts w:eastAsia="Arial Unicode MS"/>
        </w:rPr>
        <w:t xml:space="preserve"> que debe ser protegida por </w:t>
      </w:r>
      <w:r w:rsidRPr="00907A52">
        <w:rPr>
          <w:rFonts w:eastAsia="Arial Unicode MS"/>
          <w:b/>
        </w:rPr>
        <w:t>EL SUJETO OBLIGADO,</w:t>
      </w:r>
      <w:r w:rsidRPr="00907A52">
        <w:rPr>
          <w:rFonts w:eastAsia="Arial Unicode MS"/>
        </w:rPr>
        <w:t xml:space="preserve"> por lo </w:t>
      </w:r>
      <w:r w:rsidRPr="00907A52">
        <w:t>que, todo dato personal susceptible de clasificación debe ser protegido.</w:t>
      </w:r>
    </w:p>
    <w:p w14:paraId="7E6FAC70" w14:textId="77777777" w:rsidR="00DD45BF" w:rsidRPr="00907A52" w:rsidRDefault="00DD45BF" w:rsidP="00907A52"/>
    <w:p w14:paraId="1D374B1C" w14:textId="77777777" w:rsidR="00DD45BF" w:rsidRPr="00907A52" w:rsidRDefault="00DD45BF" w:rsidP="00907A52">
      <w:r w:rsidRPr="00907A52">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6D4945EA" w14:textId="77777777" w:rsidR="00DD45BF" w:rsidRPr="00907A52" w:rsidRDefault="00DD45BF" w:rsidP="00907A52"/>
    <w:p w14:paraId="2F0C0C8F" w14:textId="77777777" w:rsidR="00DD45BF" w:rsidRPr="00907A52" w:rsidRDefault="00DD45BF" w:rsidP="00907A52">
      <w:r w:rsidRPr="00907A52">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C4A88D0" w14:textId="77777777" w:rsidR="00DD45BF" w:rsidRPr="00907A52" w:rsidRDefault="00DD45BF" w:rsidP="00907A52"/>
    <w:p w14:paraId="526F7C9C" w14:textId="77777777" w:rsidR="00DD45BF" w:rsidRPr="00907A52" w:rsidRDefault="00DD45BF" w:rsidP="00907A52">
      <w:pPr>
        <w:jc w:val="center"/>
        <w:rPr>
          <w:b/>
          <w:i/>
          <w:szCs w:val="22"/>
        </w:rPr>
      </w:pPr>
      <w:r w:rsidRPr="00907A52">
        <w:rPr>
          <w:b/>
          <w:i/>
          <w:szCs w:val="22"/>
          <w:lang w:val="es-ES_tradnl"/>
        </w:rPr>
        <w:t>Ley de Transparencia y Acceso a la Información Pública del Estado de México y Municipios</w:t>
      </w:r>
    </w:p>
    <w:p w14:paraId="1A0C5FFD" w14:textId="77777777" w:rsidR="00DD45BF" w:rsidRPr="00907A52" w:rsidRDefault="00DD45BF" w:rsidP="00907A52"/>
    <w:p w14:paraId="67CB354A" w14:textId="77777777" w:rsidR="00DD45BF" w:rsidRPr="00907A52" w:rsidRDefault="00DD45BF" w:rsidP="00907A52">
      <w:pPr>
        <w:pStyle w:val="Puesto"/>
      </w:pPr>
      <w:r w:rsidRPr="00907A52">
        <w:rPr>
          <w:b/>
        </w:rPr>
        <w:t xml:space="preserve">“Artículo 49. </w:t>
      </w:r>
      <w:r w:rsidRPr="00907A52">
        <w:t>Los Comités de Transparencia tendrán las siguientes atribuciones:</w:t>
      </w:r>
    </w:p>
    <w:p w14:paraId="79C8438D" w14:textId="77777777" w:rsidR="00DD45BF" w:rsidRPr="00907A52" w:rsidRDefault="00DD45BF" w:rsidP="00907A52">
      <w:pPr>
        <w:pStyle w:val="Puesto"/>
      </w:pPr>
      <w:r w:rsidRPr="00907A52">
        <w:rPr>
          <w:b/>
        </w:rPr>
        <w:t>VIII.</w:t>
      </w:r>
      <w:r w:rsidRPr="00907A52">
        <w:t xml:space="preserve"> Aprobar, modificar o revocar la clasificación de la información;</w:t>
      </w:r>
    </w:p>
    <w:p w14:paraId="12D4791A" w14:textId="77777777" w:rsidR="00DD45BF" w:rsidRPr="00907A52" w:rsidRDefault="00DD45BF" w:rsidP="00907A52"/>
    <w:p w14:paraId="7C369E1A" w14:textId="77777777" w:rsidR="00DD45BF" w:rsidRPr="00907A52" w:rsidRDefault="00DD45BF" w:rsidP="00907A52">
      <w:pPr>
        <w:pStyle w:val="Puesto"/>
      </w:pPr>
      <w:r w:rsidRPr="00907A52">
        <w:rPr>
          <w:b/>
        </w:rPr>
        <w:t>Artículo 132.</w:t>
      </w:r>
      <w:r w:rsidRPr="00907A52">
        <w:t xml:space="preserve"> La clasificación de la información se llevará a cabo en el momento en que:</w:t>
      </w:r>
    </w:p>
    <w:p w14:paraId="565C4C79" w14:textId="77777777" w:rsidR="00DD45BF" w:rsidRPr="00907A52" w:rsidRDefault="00DD45BF" w:rsidP="00907A52">
      <w:pPr>
        <w:pStyle w:val="Puesto"/>
      </w:pPr>
      <w:r w:rsidRPr="00907A52">
        <w:rPr>
          <w:b/>
        </w:rPr>
        <w:t>I.</w:t>
      </w:r>
      <w:r w:rsidRPr="00907A52">
        <w:t xml:space="preserve"> Se reciba una solicitud de acceso a la información;</w:t>
      </w:r>
    </w:p>
    <w:p w14:paraId="2DEE8FB5" w14:textId="77777777" w:rsidR="00DD45BF" w:rsidRPr="00907A52" w:rsidRDefault="00DD45BF" w:rsidP="00907A52">
      <w:pPr>
        <w:pStyle w:val="Puesto"/>
      </w:pPr>
      <w:r w:rsidRPr="00907A52">
        <w:rPr>
          <w:b/>
        </w:rPr>
        <w:t>II.</w:t>
      </w:r>
      <w:r w:rsidRPr="00907A52">
        <w:t xml:space="preserve"> Se determine mediante resolución de autoridad competente; o</w:t>
      </w:r>
    </w:p>
    <w:p w14:paraId="340BCCC0" w14:textId="77777777" w:rsidR="00DD45BF" w:rsidRPr="00907A52" w:rsidRDefault="00DD45BF" w:rsidP="00907A52">
      <w:pPr>
        <w:pStyle w:val="Puesto"/>
        <w:rPr>
          <w:b/>
        </w:rPr>
      </w:pPr>
      <w:r w:rsidRPr="00907A52">
        <w:rPr>
          <w:b/>
          <w:bCs/>
        </w:rPr>
        <w:t>III.</w:t>
      </w:r>
      <w:r w:rsidRPr="00907A52">
        <w:t xml:space="preserve"> Se generen versiones públicas para dar cumplimiento a las obligaciones de transparencia previstas en esta Ley.</w:t>
      </w:r>
      <w:r w:rsidRPr="00907A52">
        <w:rPr>
          <w:b/>
        </w:rPr>
        <w:t>”</w:t>
      </w:r>
    </w:p>
    <w:p w14:paraId="43BAABDB" w14:textId="77777777" w:rsidR="00DD45BF" w:rsidRPr="00907A52" w:rsidRDefault="00DD45BF" w:rsidP="00907A52"/>
    <w:p w14:paraId="6B5FBCAF" w14:textId="77777777" w:rsidR="00DD45BF" w:rsidRPr="00907A52" w:rsidRDefault="00DD45BF" w:rsidP="00907A52">
      <w:pPr>
        <w:pStyle w:val="Puesto"/>
      </w:pPr>
      <w:r w:rsidRPr="00907A52">
        <w:rPr>
          <w:b/>
        </w:rPr>
        <w:t>“Segundo. -</w:t>
      </w:r>
      <w:r w:rsidRPr="00907A52">
        <w:t xml:space="preserve"> Para efectos de los presentes Lineamientos Generales, se entenderá por:</w:t>
      </w:r>
    </w:p>
    <w:p w14:paraId="52D67464" w14:textId="77777777" w:rsidR="00DD45BF" w:rsidRPr="00907A52" w:rsidRDefault="00DD45BF" w:rsidP="00907A52">
      <w:pPr>
        <w:pStyle w:val="Puesto"/>
      </w:pPr>
      <w:r w:rsidRPr="00907A52">
        <w:rPr>
          <w:b/>
        </w:rPr>
        <w:t>XVIII.</w:t>
      </w:r>
      <w:r w:rsidRPr="00907A52">
        <w:t xml:space="preserve">  </w:t>
      </w:r>
      <w:r w:rsidRPr="00907A52">
        <w:rPr>
          <w:b/>
        </w:rPr>
        <w:t>Versión pública:</w:t>
      </w:r>
      <w:r w:rsidRPr="00907A52">
        <w:t xml:space="preserve"> El documento a partir del que se otorga acceso a la información, en el que se testan partes o secciones clasificadas, indicando el contenido de éstas de manera </w:t>
      </w:r>
      <w:r w:rsidRPr="00907A52">
        <w:lastRenderedPageBreak/>
        <w:t>genérica, fundando y motivando la reserva o confidencialidad, a través de la resolución que para tal efecto emita el Comité de Transparencia.</w:t>
      </w:r>
    </w:p>
    <w:p w14:paraId="083C130C" w14:textId="77777777" w:rsidR="00DD45BF" w:rsidRPr="00907A52" w:rsidRDefault="00DD45BF" w:rsidP="00907A52">
      <w:pPr>
        <w:pStyle w:val="Puesto"/>
      </w:pPr>
    </w:p>
    <w:p w14:paraId="03B36A5C" w14:textId="77777777" w:rsidR="00DD45BF" w:rsidRPr="00907A52" w:rsidRDefault="00DD45BF" w:rsidP="00907A52">
      <w:pPr>
        <w:pStyle w:val="Puesto"/>
        <w:rPr>
          <w:b/>
          <w:lang w:val="es-ES_tradnl" w:eastAsia="es-MX"/>
        </w:rPr>
      </w:pPr>
      <w:r w:rsidRPr="00907A52">
        <w:rPr>
          <w:b/>
          <w:lang w:val="es-ES_tradnl" w:eastAsia="es-MX"/>
        </w:rPr>
        <w:t xml:space="preserve">Lineamientos Generales en materia de Clasificación y Desclasificación de la </w:t>
      </w:r>
      <w:r w:rsidRPr="00907A52">
        <w:rPr>
          <w:b/>
          <w:lang w:val="es-ES_tradnl"/>
        </w:rPr>
        <w:t>Información</w:t>
      </w:r>
    </w:p>
    <w:p w14:paraId="15040B57" w14:textId="77777777" w:rsidR="00DD45BF" w:rsidRPr="00907A52" w:rsidRDefault="00DD45BF" w:rsidP="00907A52">
      <w:pPr>
        <w:pStyle w:val="Puesto"/>
      </w:pPr>
    </w:p>
    <w:p w14:paraId="5733B9C2" w14:textId="77777777" w:rsidR="00DD45BF" w:rsidRPr="00907A52" w:rsidRDefault="00DD45BF" w:rsidP="00907A52">
      <w:pPr>
        <w:pStyle w:val="Puesto"/>
      </w:pPr>
      <w:r w:rsidRPr="00907A52">
        <w:rPr>
          <w:b/>
        </w:rPr>
        <w:t>Cuarto.</w:t>
      </w:r>
      <w:r w:rsidRPr="00907A52">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66A274F" w14:textId="77777777" w:rsidR="00DD45BF" w:rsidRPr="00907A52" w:rsidRDefault="00DD45BF" w:rsidP="00907A52">
      <w:pPr>
        <w:pStyle w:val="Puesto"/>
      </w:pPr>
      <w:r w:rsidRPr="00907A52">
        <w:t>Los sujetos obligados deberán aplicar, de manera estricta, las excepciones al derecho de acceso a la información y sólo podrán invocarlas cuando acrediten su procedencia.</w:t>
      </w:r>
    </w:p>
    <w:p w14:paraId="6172E7C0" w14:textId="77777777" w:rsidR="00DD45BF" w:rsidRPr="00907A52" w:rsidRDefault="00DD45BF" w:rsidP="00907A52"/>
    <w:p w14:paraId="103199E1" w14:textId="77777777" w:rsidR="00DD45BF" w:rsidRPr="00907A52" w:rsidRDefault="00DD45BF" w:rsidP="00907A52">
      <w:pPr>
        <w:pStyle w:val="Puesto"/>
      </w:pPr>
      <w:r w:rsidRPr="00907A52">
        <w:rPr>
          <w:b/>
        </w:rPr>
        <w:t>Quinto.</w:t>
      </w:r>
      <w:r w:rsidRPr="00907A52">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9E8FA25" w14:textId="77777777" w:rsidR="00DD45BF" w:rsidRPr="00907A52" w:rsidRDefault="00DD45BF" w:rsidP="00907A52"/>
    <w:p w14:paraId="59D13A20" w14:textId="77777777" w:rsidR="00DD45BF" w:rsidRPr="00907A52" w:rsidRDefault="00DD45BF" w:rsidP="00907A52">
      <w:pPr>
        <w:pStyle w:val="Puesto"/>
      </w:pPr>
      <w:r w:rsidRPr="00907A52">
        <w:rPr>
          <w:b/>
        </w:rPr>
        <w:t>Sexto.</w:t>
      </w:r>
      <w:r w:rsidRPr="00907A52">
        <w:t xml:space="preserve"> Se deroga.</w:t>
      </w:r>
    </w:p>
    <w:p w14:paraId="4AAFD1EA" w14:textId="77777777" w:rsidR="00DD45BF" w:rsidRPr="00907A52" w:rsidRDefault="00DD45BF" w:rsidP="00907A52"/>
    <w:p w14:paraId="5614D440" w14:textId="77777777" w:rsidR="00DD45BF" w:rsidRPr="00907A52" w:rsidRDefault="00DD45BF" w:rsidP="00907A52">
      <w:pPr>
        <w:pStyle w:val="Puesto"/>
      </w:pPr>
      <w:r w:rsidRPr="00907A52">
        <w:rPr>
          <w:b/>
        </w:rPr>
        <w:t>Séptimo.</w:t>
      </w:r>
      <w:r w:rsidRPr="00907A52">
        <w:t xml:space="preserve"> La clasificación de la información se llevará a cabo en el momento en que:</w:t>
      </w:r>
    </w:p>
    <w:p w14:paraId="781F77B5" w14:textId="77777777" w:rsidR="00DD45BF" w:rsidRPr="00907A52" w:rsidRDefault="00DD45BF" w:rsidP="00907A52">
      <w:pPr>
        <w:pStyle w:val="Puesto"/>
      </w:pPr>
      <w:r w:rsidRPr="00907A52">
        <w:rPr>
          <w:b/>
        </w:rPr>
        <w:t>I.</w:t>
      </w:r>
      <w:r w:rsidRPr="00907A52">
        <w:t xml:space="preserve">        Se reciba una solicitud de acceso a la información;</w:t>
      </w:r>
    </w:p>
    <w:p w14:paraId="6A406080" w14:textId="77777777" w:rsidR="00DD45BF" w:rsidRPr="00907A52" w:rsidRDefault="00DD45BF" w:rsidP="00907A52">
      <w:pPr>
        <w:pStyle w:val="Puesto"/>
      </w:pPr>
      <w:r w:rsidRPr="00907A52">
        <w:rPr>
          <w:b/>
        </w:rPr>
        <w:t>II.</w:t>
      </w:r>
      <w:r w:rsidRPr="00907A52">
        <w:t xml:space="preserve">       Se determine mediante resolución del Comité de Transparencia, el órgano garante competente, o en cumplimiento a una sentencia del Poder Judicial; o</w:t>
      </w:r>
    </w:p>
    <w:p w14:paraId="42C2F12E" w14:textId="77777777" w:rsidR="00DD45BF" w:rsidRPr="00907A52" w:rsidRDefault="00DD45BF" w:rsidP="00907A52">
      <w:pPr>
        <w:pStyle w:val="Puesto"/>
      </w:pPr>
      <w:r w:rsidRPr="00907A52">
        <w:rPr>
          <w:b/>
        </w:rPr>
        <w:t>III.</w:t>
      </w:r>
      <w:r w:rsidRPr="00907A52">
        <w:t xml:space="preserve">      Se generen versiones públicas para dar cumplimiento a las obligaciones de transparencia previstas en la Ley General, la Ley Federal y las correspondientes de las entidades federativas.</w:t>
      </w:r>
    </w:p>
    <w:p w14:paraId="4BAB5404" w14:textId="77777777" w:rsidR="00DD45BF" w:rsidRPr="00907A52" w:rsidRDefault="00DD45BF" w:rsidP="00907A52">
      <w:pPr>
        <w:pStyle w:val="Puesto"/>
      </w:pPr>
      <w:r w:rsidRPr="00907A52">
        <w:t xml:space="preserve">Los titulares de las áreas deberán revisar la información requerida al momento de la recepción de una solicitud de acceso, para verificar, conforme a su naturaleza, si encuadra en una causal de reserva o de confidencialidad. </w:t>
      </w:r>
    </w:p>
    <w:p w14:paraId="06C30349" w14:textId="77777777" w:rsidR="00DD45BF" w:rsidRPr="00907A52" w:rsidRDefault="00DD45BF" w:rsidP="00907A52"/>
    <w:p w14:paraId="0261B53B" w14:textId="77777777" w:rsidR="00DD45BF" w:rsidRPr="00907A52" w:rsidRDefault="00DD45BF" w:rsidP="00907A52">
      <w:pPr>
        <w:pStyle w:val="Puesto"/>
      </w:pPr>
      <w:r w:rsidRPr="00907A52">
        <w:rPr>
          <w:b/>
        </w:rPr>
        <w:lastRenderedPageBreak/>
        <w:t>Octavo.</w:t>
      </w:r>
      <w:r w:rsidRPr="00907A52">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9724443" w14:textId="77777777" w:rsidR="00DD45BF" w:rsidRPr="00907A52" w:rsidRDefault="00DD45BF" w:rsidP="00907A52">
      <w:pPr>
        <w:pStyle w:val="Puesto"/>
      </w:pPr>
      <w:r w:rsidRPr="00907A52">
        <w:t>Para motivar la clasificación se deberán señalar las razones o circunstancias especiales que lo llevaron a concluir que el caso particular se ajusta al supuesto previsto por la norma legal invocada como fundamento.</w:t>
      </w:r>
    </w:p>
    <w:p w14:paraId="2FB1C883" w14:textId="77777777" w:rsidR="00DD45BF" w:rsidRPr="00907A52" w:rsidRDefault="00DD45BF" w:rsidP="00907A52">
      <w:pPr>
        <w:pStyle w:val="Puesto"/>
      </w:pPr>
      <w:r w:rsidRPr="00907A52">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5266120B" w14:textId="77777777" w:rsidR="00DD45BF" w:rsidRPr="00907A52" w:rsidRDefault="00DD45BF" w:rsidP="00907A52"/>
    <w:p w14:paraId="30CF22A3" w14:textId="77777777" w:rsidR="00DD45BF" w:rsidRPr="00907A52" w:rsidRDefault="00DD45BF" w:rsidP="00907A52">
      <w:pPr>
        <w:pStyle w:val="Puesto"/>
      </w:pPr>
      <w:r w:rsidRPr="00907A52">
        <w:rPr>
          <w:b/>
        </w:rPr>
        <w:t>Noveno.</w:t>
      </w:r>
      <w:r w:rsidRPr="00907A52">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5709D9C" w14:textId="77777777" w:rsidR="00DD45BF" w:rsidRPr="00907A52" w:rsidRDefault="00DD45BF" w:rsidP="00907A52"/>
    <w:p w14:paraId="1C5B2DB6" w14:textId="77777777" w:rsidR="00DD45BF" w:rsidRPr="00907A52" w:rsidRDefault="00DD45BF" w:rsidP="00907A52">
      <w:pPr>
        <w:pStyle w:val="Puesto"/>
      </w:pPr>
      <w:r w:rsidRPr="00907A52">
        <w:rPr>
          <w:b/>
        </w:rPr>
        <w:t>Décimo.</w:t>
      </w:r>
      <w:r w:rsidRPr="00907A52">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0F54FE5" w14:textId="77777777" w:rsidR="00DD45BF" w:rsidRPr="00907A52" w:rsidRDefault="00DD45BF" w:rsidP="00907A52">
      <w:pPr>
        <w:pStyle w:val="Puesto"/>
      </w:pPr>
      <w:r w:rsidRPr="00907A52">
        <w:t>En ausencia de los titulares de las áreas, la información será clasificada o desclasificada por la persona que lo supla, en términos de la normativa que rija la actuación del sujeto obligado.</w:t>
      </w:r>
    </w:p>
    <w:p w14:paraId="0E06E78D" w14:textId="77777777" w:rsidR="00DD45BF" w:rsidRPr="00907A52" w:rsidRDefault="00DD45BF" w:rsidP="00907A52">
      <w:pPr>
        <w:pStyle w:val="Puesto"/>
        <w:rPr>
          <w:b/>
        </w:rPr>
      </w:pPr>
      <w:r w:rsidRPr="00907A52">
        <w:rPr>
          <w:b/>
        </w:rPr>
        <w:t>Décimo primero.</w:t>
      </w:r>
      <w:r w:rsidRPr="00907A52">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907A52">
        <w:rPr>
          <w:b/>
        </w:rPr>
        <w:t>”</w:t>
      </w:r>
    </w:p>
    <w:p w14:paraId="39EDBA4E" w14:textId="77777777" w:rsidR="00DD45BF" w:rsidRPr="00907A52" w:rsidRDefault="00DD45BF" w:rsidP="00907A52"/>
    <w:p w14:paraId="70111102" w14:textId="77777777" w:rsidR="00DD45BF" w:rsidRPr="00907A52" w:rsidRDefault="00DD45BF" w:rsidP="00907A52">
      <w:pPr>
        <w:rPr>
          <w:lang w:eastAsia="es-CO"/>
        </w:rPr>
      </w:pPr>
      <w:r w:rsidRPr="00907A52">
        <w:t xml:space="preserve">Consecuentemente, se destaca que la versión pública que elabore </w:t>
      </w:r>
      <w:r w:rsidRPr="00907A52">
        <w:rPr>
          <w:b/>
        </w:rPr>
        <w:t>EL SUJETO OBLIGADO</w:t>
      </w:r>
      <w:r w:rsidRPr="00907A52">
        <w:t xml:space="preserve"> debe cumplir con las formalidades exigidas en la Ley, por lo que para tal efecto emitirá el </w:t>
      </w:r>
      <w:r w:rsidRPr="00907A52">
        <w:rPr>
          <w:b/>
        </w:rPr>
        <w:t>Acuerdo del Comité de Transparencia</w:t>
      </w:r>
      <w:r w:rsidRPr="00907A52">
        <w:t xml:space="preserve"> en términos de los artículos 122 y 124 de la Ley de Transparencia y Acceso a la Información Pública del Estado de México y Municipios, con el cual sustentará la clasificación de datos y con ello la "versión pública" de los documentos </w:t>
      </w:r>
      <w:r w:rsidRPr="00907A52">
        <w:lastRenderedPageBreak/>
        <w:t>materia de la solicitud</w:t>
      </w:r>
      <w:r w:rsidRPr="00907A52">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59C66F4A" w14:textId="77777777" w:rsidR="00DD45BF" w:rsidRPr="00907A52" w:rsidRDefault="00DD45BF" w:rsidP="00907A52">
      <w:pPr>
        <w:rPr>
          <w:lang w:eastAsia="es-CO"/>
        </w:rPr>
      </w:pPr>
    </w:p>
    <w:p w14:paraId="2CA84393" w14:textId="2BC872DB" w:rsidR="00DD45BF" w:rsidRPr="00907A52" w:rsidRDefault="007562E6" w:rsidP="00907A52">
      <w:pPr>
        <w:pStyle w:val="Ttulo3"/>
      </w:pPr>
      <w:bookmarkStart w:id="43" w:name="_Toc172051202"/>
      <w:bookmarkStart w:id="44" w:name="_Toc175153350"/>
      <w:r w:rsidRPr="00907A52">
        <w:t>e</w:t>
      </w:r>
      <w:r w:rsidR="00DD45BF" w:rsidRPr="00907A52">
        <w:t>) Conclusión</w:t>
      </w:r>
      <w:bookmarkEnd w:id="43"/>
      <w:bookmarkEnd w:id="44"/>
    </w:p>
    <w:p w14:paraId="4E352223" w14:textId="22A16B52" w:rsidR="00DD45BF" w:rsidRPr="00907A52" w:rsidRDefault="00DD45BF" w:rsidP="00907A52">
      <w:pPr>
        <w:widowControl w:val="0"/>
        <w:tabs>
          <w:tab w:val="left" w:pos="1701"/>
          <w:tab w:val="left" w:pos="1843"/>
        </w:tabs>
        <w:rPr>
          <w:rFonts w:eastAsia="Palatino Linotype" w:cs="Palatino Linotype"/>
        </w:rPr>
      </w:pPr>
      <w:r w:rsidRPr="00907A52">
        <w:rPr>
          <w:rFonts w:eastAsia="Palatino Linotype" w:cs="Palatino Linotype"/>
        </w:rPr>
        <w:t xml:space="preserve">En razón de lo anteriormente expuesto, este Instituto estima que las razones o motivos de inconformidad hechos valer por </w:t>
      </w:r>
      <w:r w:rsidRPr="00907A52">
        <w:rPr>
          <w:rFonts w:eastAsiaTheme="minorHAnsi" w:cs="Tahoma"/>
          <w:b/>
          <w:iCs/>
          <w:szCs w:val="22"/>
          <w:lang w:eastAsia="en-US"/>
        </w:rPr>
        <w:t>LA PARTE RECURRENTE</w:t>
      </w:r>
      <w:r w:rsidRPr="00907A52">
        <w:rPr>
          <w:rFonts w:eastAsiaTheme="minorHAnsi" w:cs="Tahoma"/>
          <w:bCs/>
          <w:iCs/>
          <w:szCs w:val="22"/>
          <w:lang w:eastAsia="en-US"/>
        </w:rPr>
        <w:t xml:space="preserve"> </w:t>
      </w:r>
      <w:r w:rsidRPr="00907A52">
        <w:rPr>
          <w:rFonts w:eastAsia="Palatino Linotype" w:cs="Palatino Linotype"/>
        </w:rPr>
        <w:t xml:space="preserve">devienen </w:t>
      </w:r>
      <w:r w:rsidRPr="00907A52">
        <w:rPr>
          <w:rFonts w:eastAsia="Palatino Linotype" w:cs="Palatino Linotype"/>
          <w:b/>
        </w:rPr>
        <w:t>fundadas</w:t>
      </w:r>
      <w:r w:rsidRPr="00907A52">
        <w:rPr>
          <w:rFonts w:eastAsia="Palatino Linotype" w:cs="Palatino Linotype"/>
        </w:rPr>
        <w:t xml:space="preserve"> y suficientes para </w:t>
      </w:r>
      <w:r w:rsidRPr="00907A52">
        <w:rPr>
          <w:rFonts w:eastAsia="Palatino Linotype" w:cs="Palatino Linotype"/>
          <w:b/>
        </w:rPr>
        <w:t>REVOCAR</w:t>
      </w:r>
      <w:r w:rsidRPr="00907A52">
        <w:rPr>
          <w:rFonts w:eastAsia="Palatino Linotype" w:cs="Palatino Linotype"/>
        </w:rPr>
        <w:t xml:space="preserve"> las respuestas del </w:t>
      </w:r>
      <w:r w:rsidRPr="00907A52">
        <w:rPr>
          <w:rFonts w:eastAsia="Palatino Linotype" w:cs="Palatino Linotype"/>
          <w:b/>
        </w:rPr>
        <w:t>SUJETO OBLIGADO</w:t>
      </w:r>
      <w:r w:rsidRPr="00907A52">
        <w:rPr>
          <w:rFonts w:eastAsia="Palatino Linotype" w:cs="Palatino Linotype"/>
        </w:rPr>
        <w:t xml:space="preserve"> y ordenarle haga entrega de la información descrita en el presente Considerando.</w:t>
      </w:r>
    </w:p>
    <w:p w14:paraId="676B7A58" w14:textId="77777777" w:rsidR="00DD45BF" w:rsidRPr="00907A52" w:rsidRDefault="00DD45BF" w:rsidP="00907A52"/>
    <w:p w14:paraId="214175CF" w14:textId="77777777" w:rsidR="00DD45BF" w:rsidRPr="00907A52" w:rsidRDefault="00DD45BF" w:rsidP="00907A52">
      <w:pPr>
        <w:widowControl w:val="0"/>
        <w:tabs>
          <w:tab w:val="left" w:pos="1701"/>
          <w:tab w:val="left" w:pos="1843"/>
        </w:tabs>
        <w:rPr>
          <w:rFonts w:eastAsia="Palatino Linotype" w:cs="Palatino Linotype"/>
        </w:rPr>
      </w:pPr>
    </w:p>
    <w:p w14:paraId="537CE553" w14:textId="354995CF" w:rsidR="00907A52" w:rsidRDefault="00DD45BF" w:rsidP="00907A52">
      <w:pPr>
        <w:ind w:right="-93"/>
        <w:rPr>
          <w:rFonts w:cs="Tahoma"/>
          <w:bCs/>
          <w:szCs w:val="22"/>
        </w:rPr>
      </w:pPr>
      <w:r w:rsidRPr="00907A52">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643B7500" w14:textId="2147B34F" w:rsidR="00DD45BF" w:rsidRPr="00907A52" w:rsidRDefault="00DD45BF" w:rsidP="00907A52">
      <w:pPr>
        <w:pStyle w:val="Ttulo1"/>
      </w:pPr>
      <w:bookmarkStart w:id="45" w:name="_Toc172051203"/>
      <w:bookmarkStart w:id="46" w:name="_Toc175153351"/>
      <w:r w:rsidRPr="00907A52">
        <w:t>RESUELVE</w:t>
      </w:r>
      <w:bookmarkEnd w:id="45"/>
      <w:bookmarkEnd w:id="46"/>
    </w:p>
    <w:p w14:paraId="580478BC" w14:textId="77777777" w:rsidR="00DD45BF" w:rsidRPr="00907A52" w:rsidRDefault="00DD45BF" w:rsidP="00907A52">
      <w:pPr>
        <w:ind w:right="113"/>
        <w:rPr>
          <w:rFonts w:cs="Arial"/>
          <w:b/>
          <w:szCs w:val="22"/>
        </w:rPr>
      </w:pPr>
    </w:p>
    <w:p w14:paraId="3E98A82D" w14:textId="797680C2" w:rsidR="00DD45BF" w:rsidRPr="00907A52" w:rsidRDefault="00DD45BF" w:rsidP="00907A52">
      <w:pPr>
        <w:widowControl w:val="0"/>
        <w:rPr>
          <w:rFonts w:eastAsia="Calibri" w:cs="Tahoma"/>
          <w:bCs/>
          <w:szCs w:val="22"/>
          <w:lang w:eastAsia="en-US"/>
        </w:rPr>
      </w:pPr>
      <w:r w:rsidRPr="00907A52">
        <w:rPr>
          <w:b/>
          <w:bCs/>
        </w:rPr>
        <w:t>PRIMERO.</w:t>
      </w:r>
      <w:r w:rsidRPr="00907A52">
        <w:t xml:space="preserve"> </w:t>
      </w:r>
      <w:r w:rsidRPr="00907A52">
        <w:rPr>
          <w:rFonts w:cs="Tahoma"/>
          <w:szCs w:val="22"/>
        </w:rPr>
        <w:t xml:space="preserve">Se </w:t>
      </w:r>
      <w:r w:rsidR="00C141B3" w:rsidRPr="00907A52">
        <w:rPr>
          <w:rFonts w:cs="Tahoma"/>
          <w:b/>
          <w:bCs/>
          <w:szCs w:val="22"/>
        </w:rPr>
        <w:t xml:space="preserve">REVOCAN </w:t>
      </w:r>
      <w:r w:rsidRPr="00907A52">
        <w:rPr>
          <w:rFonts w:cs="Tahoma"/>
          <w:szCs w:val="22"/>
        </w:rPr>
        <w:t xml:space="preserve">las respuestas entregadas por el </w:t>
      </w:r>
      <w:r w:rsidRPr="00907A52">
        <w:rPr>
          <w:rFonts w:cs="Tahoma"/>
          <w:b/>
          <w:bCs/>
          <w:szCs w:val="22"/>
        </w:rPr>
        <w:t>SUJETO OBLIGADO</w:t>
      </w:r>
      <w:r w:rsidRPr="00907A52">
        <w:rPr>
          <w:rFonts w:cs="Tahoma"/>
          <w:szCs w:val="22"/>
        </w:rPr>
        <w:t xml:space="preserve"> en las solicitudes de información </w:t>
      </w:r>
      <w:r w:rsidRPr="00907A52">
        <w:rPr>
          <w:rFonts w:cs="Tahoma"/>
          <w:b/>
          <w:bCs/>
        </w:rPr>
        <w:t xml:space="preserve">00079/ZUMPANGO/IP/2024 </w:t>
      </w:r>
      <w:r w:rsidRPr="00907A52">
        <w:rPr>
          <w:rFonts w:cs="Tahoma"/>
        </w:rPr>
        <w:t xml:space="preserve">y </w:t>
      </w:r>
      <w:r w:rsidRPr="00907A52">
        <w:rPr>
          <w:rFonts w:cs="Tahoma"/>
          <w:b/>
          <w:bCs/>
        </w:rPr>
        <w:t>00081/ZUMPANGO/IP/2024</w:t>
      </w:r>
      <w:r w:rsidRPr="00907A52">
        <w:rPr>
          <w:rFonts w:cs="Tahoma"/>
          <w:bCs/>
          <w:szCs w:val="22"/>
        </w:rPr>
        <w:t xml:space="preserve">, </w:t>
      </w:r>
      <w:r w:rsidRPr="00907A52">
        <w:rPr>
          <w:rFonts w:eastAsia="Calibri" w:cs="Tahoma"/>
          <w:bCs/>
          <w:szCs w:val="22"/>
          <w:lang w:eastAsia="en-US"/>
        </w:rPr>
        <w:t xml:space="preserve">por resultar </w:t>
      </w:r>
      <w:r w:rsidRPr="00907A52">
        <w:rPr>
          <w:rFonts w:eastAsia="Calibri" w:cs="Tahoma"/>
          <w:b/>
          <w:bCs/>
          <w:szCs w:val="22"/>
          <w:lang w:eastAsia="en-US"/>
        </w:rPr>
        <w:t>FUNDADAS</w:t>
      </w:r>
      <w:r w:rsidRPr="00907A52">
        <w:rPr>
          <w:rFonts w:eastAsia="Calibri" w:cs="Tahoma"/>
          <w:bCs/>
          <w:szCs w:val="22"/>
          <w:lang w:eastAsia="en-US"/>
        </w:rPr>
        <w:t xml:space="preserve"> las razones o motivos de inconformidad hechos valer por </w:t>
      </w:r>
      <w:r w:rsidRPr="00907A52">
        <w:rPr>
          <w:rFonts w:eastAsia="Calibri" w:cs="Tahoma"/>
          <w:b/>
          <w:szCs w:val="22"/>
          <w:lang w:eastAsia="en-US"/>
        </w:rPr>
        <w:t>LA PARTE RECURRENTE</w:t>
      </w:r>
      <w:r w:rsidRPr="00907A52">
        <w:rPr>
          <w:rFonts w:eastAsia="Calibri" w:cs="Tahoma"/>
          <w:bCs/>
          <w:szCs w:val="22"/>
          <w:lang w:eastAsia="en-US"/>
        </w:rPr>
        <w:t xml:space="preserve"> en los Recursos de Revisión </w:t>
      </w:r>
      <w:r w:rsidRPr="00907A52">
        <w:rPr>
          <w:rFonts w:eastAsia="Calibri"/>
          <w:b/>
          <w:lang w:eastAsia="en-US"/>
        </w:rPr>
        <w:t xml:space="preserve">03297/INFOEM/IP/RR/2024 </w:t>
      </w:r>
      <w:r w:rsidRPr="00907A52">
        <w:rPr>
          <w:rFonts w:eastAsia="Calibri"/>
          <w:lang w:eastAsia="en-US"/>
        </w:rPr>
        <w:t>y</w:t>
      </w:r>
      <w:r w:rsidRPr="00907A52">
        <w:rPr>
          <w:rFonts w:eastAsia="Calibri"/>
          <w:b/>
          <w:lang w:eastAsia="en-US"/>
        </w:rPr>
        <w:t xml:space="preserve"> </w:t>
      </w:r>
      <w:r w:rsidRPr="00907A52">
        <w:rPr>
          <w:rFonts w:eastAsia="Calibri"/>
          <w:b/>
          <w:lang w:eastAsia="en-US"/>
        </w:rPr>
        <w:lastRenderedPageBreak/>
        <w:t>03300/INFOEM/IP/RR/2024</w:t>
      </w:r>
      <w:r w:rsidRPr="00907A52">
        <w:rPr>
          <w:rFonts w:eastAsiaTheme="minorHAnsi" w:cstheme="minorBidi"/>
          <w:szCs w:val="22"/>
          <w:lang w:eastAsia="en-US"/>
        </w:rPr>
        <w:t>,</w:t>
      </w:r>
      <w:r w:rsidRPr="00907A52">
        <w:rPr>
          <w:rFonts w:cs="Tahoma"/>
          <w:b/>
          <w:szCs w:val="22"/>
        </w:rPr>
        <w:t xml:space="preserve"> </w:t>
      </w:r>
      <w:r w:rsidRPr="00907A52">
        <w:rPr>
          <w:rFonts w:eastAsia="Calibri" w:cs="Tahoma"/>
          <w:bCs/>
          <w:szCs w:val="22"/>
          <w:lang w:eastAsia="en-US"/>
        </w:rPr>
        <w:t xml:space="preserve">en términos del considerando </w:t>
      </w:r>
      <w:r w:rsidRPr="00907A52">
        <w:rPr>
          <w:rFonts w:eastAsia="Calibri" w:cs="Tahoma"/>
          <w:b/>
          <w:szCs w:val="22"/>
          <w:lang w:eastAsia="en-US"/>
        </w:rPr>
        <w:t>SEGUNDO</w:t>
      </w:r>
      <w:r w:rsidRPr="00907A52">
        <w:rPr>
          <w:rFonts w:eastAsia="Calibri" w:cs="Tahoma"/>
          <w:bCs/>
          <w:szCs w:val="22"/>
          <w:lang w:eastAsia="en-US"/>
        </w:rPr>
        <w:t xml:space="preserve"> de la presente Resolución.</w:t>
      </w:r>
    </w:p>
    <w:p w14:paraId="0178A510" w14:textId="77777777" w:rsidR="00DD45BF" w:rsidRPr="00907A52" w:rsidRDefault="00DD45BF" w:rsidP="00907A52">
      <w:pPr>
        <w:rPr>
          <w:rFonts w:eastAsia="Palatino Linotype"/>
          <w:b/>
          <w:szCs w:val="22"/>
        </w:rPr>
      </w:pPr>
    </w:p>
    <w:p w14:paraId="0C60FAB5" w14:textId="77777777" w:rsidR="00DD45BF" w:rsidRPr="00907A52" w:rsidRDefault="00DD45BF" w:rsidP="00907A52">
      <w:pPr>
        <w:ind w:right="-93"/>
        <w:rPr>
          <w:rFonts w:eastAsia="Palatino Linotype"/>
          <w:b/>
          <w:szCs w:val="22"/>
        </w:rPr>
      </w:pPr>
      <w:r w:rsidRPr="00907A52">
        <w:rPr>
          <w:rFonts w:eastAsia="Calibri" w:cs="Tahoma"/>
          <w:b/>
          <w:bCs/>
          <w:szCs w:val="22"/>
          <w:lang w:eastAsia="en-US"/>
        </w:rPr>
        <w:t>SEGUNDO.</w:t>
      </w:r>
      <w:r w:rsidRPr="00907A52">
        <w:rPr>
          <w:rFonts w:eastAsia="Calibri" w:cs="Tahoma"/>
          <w:szCs w:val="22"/>
          <w:lang w:eastAsia="es-MX"/>
        </w:rPr>
        <w:t xml:space="preserve"> Se </w:t>
      </w:r>
      <w:r w:rsidRPr="00907A52">
        <w:rPr>
          <w:rFonts w:eastAsia="Calibri" w:cs="Tahoma"/>
          <w:b/>
          <w:szCs w:val="22"/>
          <w:lang w:eastAsia="es-MX"/>
        </w:rPr>
        <w:t xml:space="preserve">ORDENA </w:t>
      </w:r>
      <w:r w:rsidRPr="00907A52">
        <w:rPr>
          <w:rFonts w:eastAsia="Calibri" w:cs="Tahoma"/>
          <w:szCs w:val="22"/>
          <w:lang w:eastAsia="es-MX"/>
        </w:rPr>
        <w:t xml:space="preserve">al </w:t>
      </w:r>
      <w:r w:rsidRPr="00907A52">
        <w:rPr>
          <w:rFonts w:eastAsia="Calibri" w:cs="Tahoma"/>
          <w:b/>
          <w:bCs/>
          <w:szCs w:val="22"/>
          <w:lang w:eastAsia="es-MX"/>
        </w:rPr>
        <w:t>SUJETO OBLIGADO</w:t>
      </w:r>
      <w:r w:rsidRPr="00907A52">
        <w:rPr>
          <w:rFonts w:eastAsia="Calibri" w:cs="Tahoma"/>
          <w:szCs w:val="22"/>
          <w:lang w:eastAsia="es-MX"/>
        </w:rPr>
        <w:t xml:space="preserve">, </w:t>
      </w:r>
      <w:r w:rsidRPr="00907A52">
        <w:rPr>
          <w:rFonts w:eastAsia="Calibri" w:cs="Tahoma"/>
          <w:bCs/>
          <w:szCs w:val="22"/>
          <w:lang w:eastAsia="en-US"/>
        </w:rPr>
        <w:t xml:space="preserve">a efecto de que, entregue </w:t>
      </w:r>
      <w:r w:rsidRPr="00907A52">
        <w:rPr>
          <w:rFonts w:eastAsia="Palatino Linotype"/>
          <w:szCs w:val="22"/>
        </w:rPr>
        <w:t xml:space="preserve">a través del Sistema de Acceso a la Información Mexiquense </w:t>
      </w:r>
      <w:r w:rsidRPr="00907A52">
        <w:rPr>
          <w:rFonts w:eastAsia="Palatino Linotype"/>
          <w:b/>
          <w:szCs w:val="22"/>
        </w:rPr>
        <w:t>(SAIMEX)</w:t>
      </w:r>
      <w:r w:rsidRPr="00907A52">
        <w:rPr>
          <w:rFonts w:eastAsia="Palatino Linotype"/>
          <w:szCs w:val="22"/>
        </w:rPr>
        <w:t>, de ser procedente en</w:t>
      </w:r>
      <w:r w:rsidRPr="00907A52">
        <w:rPr>
          <w:rFonts w:eastAsia="Palatino Linotype"/>
          <w:b/>
          <w:szCs w:val="22"/>
        </w:rPr>
        <w:t xml:space="preserve"> versión pública </w:t>
      </w:r>
      <w:r w:rsidRPr="00907A52">
        <w:rPr>
          <w:rFonts w:eastAsia="Palatino Linotype"/>
          <w:szCs w:val="22"/>
        </w:rPr>
        <w:t>lo siguiente:</w:t>
      </w:r>
      <w:r w:rsidRPr="00907A52">
        <w:rPr>
          <w:rFonts w:eastAsia="Palatino Linotype"/>
          <w:b/>
          <w:szCs w:val="22"/>
        </w:rPr>
        <w:t xml:space="preserve"> </w:t>
      </w:r>
    </w:p>
    <w:p w14:paraId="7F7EA574" w14:textId="77777777" w:rsidR="00DD45BF" w:rsidRPr="00907A52" w:rsidRDefault="00DD45BF" w:rsidP="00907A52">
      <w:pPr>
        <w:widowControl w:val="0"/>
        <w:rPr>
          <w:b/>
          <w:bCs/>
        </w:rPr>
      </w:pPr>
    </w:p>
    <w:p w14:paraId="2AD25122" w14:textId="6173049A" w:rsidR="00DD45BF" w:rsidRPr="00907A52" w:rsidRDefault="00DD45BF" w:rsidP="00907A52">
      <w:pPr>
        <w:pStyle w:val="Puesto"/>
      </w:pPr>
      <w:r w:rsidRPr="00907A52">
        <w:t>Las certificaciones de competencia laboral</w:t>
      </w:r>
      <w:r w:rsidR="004558F3" w:rsidRPr="00907A52">
        <w:t xml:space="preserve"> de los servidores públicos precisados en la solicitud, que puso a disposición </w:t>
      </w:r>
      <w:r w:rsidR="004558F3" w:rsidRPr="00907A52">
        <w:rPr>
          <w:b/>
        </w:rPr>
        <w:t>EL SUJETO OBLIGADO</w:t>
      </w:r>
      <w:r w:rsidR="004558F3" w:rsidRPr="00907A52">
        <w:t xml:space="preserve"> en las oficinas de Recursos Humanos.</w:t>
      </w:r>
      <w:r w:rsidRPr="00907A52">
        <w:t xml:space="preserve"> </w:t>
      </w:r>
    </w:p>
    <w:p w14:paraId="1218761F" w14:textId="77777777" w:rsidR="00DD45BF" w:rsidRPr="00907A52" w:rsidRDefault="00DD45BF" w:rsidP="00907A52">
      <w:pPr>
        <w:rPr>
          <w:rFonts w:eastAsia="Calibri"/>
        </w:rPr>
      </w:pPr>
    </w:p>
    <w:p w14:paraId="617F4C62" w14:textId="77777777" w:rsidR="00DD45BF" w:rsidRDefault="00DD45BF" w:rsidP="00907A52">
      <w:pPr>
        <w:ind w:right="-93"/>
        <w:rPr>
          <w:rFonts w:eastAsia="Calibri" w:cs="Tahoma"/>
          <w:bCs/>
          <w:szCs w:val="22"/>
          <w:lang w:eastAsia="en-US"/>
        </w:rPr>
      </w:pPr>
      <w:r w:rsidRPr="00907A52">
        <w:rPr>
          <w:rFonts w:eastAsia="Calibri" w:cs="Tahoma"/>
          <w:b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3AB8935E" w14:textId="77777777" w:rsidR="008819C9" w:rsidRPr="00907A52" w:rsidRDefault="008819C9" w:rsidP="00907A52">
      <w:pPr>
        <w:ind w:right="-93"/>
        <w:rPr>
          <w:rFonts w:eastAsia="Calibri" w:cs="Tahoma"/>
          <w:bCs/>
          <w:szCs w:val="22"/>
          <w:lang w:eastAsia="en-US"/>
        </w:rPr>
      </w:pPr>
    </w:p>
    <w:p w14:paraId="47A2A4CA" w14:textId="77777777" w:rsidR="00DD45BF" w:rsidRPr="00907A52" w:rsidRDefault="00DD45BF" w:rsidP="00907A52">
      <w:r w:rsidRPr="00907A52">
        <w:rPr>
          <w:b/>
          <w:bCs/>
        </w:rPr>
        <w:t>TERCERO.</w:t>
      </w:r>
      <w:r w:rsidRPr="00907A52">
        <w:t xml:space="preserve"> </w:t>
      </w:r>
      <w:r w:rsidRPr="00907A52">
        <w:rPr>
          <w:rFonts w:eastAsia="Palatino Linotype" w:cs="Palatino Linotype"/>
          <w:b/>
          <w:lang w:eastAsia="es-MX"/>
        </w:rPr>
        <w:t xml:space="preserve">Notifíquese </w:t>
      </w:r>
      <w:r w:rsidRPr="00907A52">
        <w:rPr>
          <w:szCs w:val="17"/>
          <w:lang w:eastAsia="es-ES_tradnl"/>
        </w:rPr>
        <w:t xml:space="preserve">vía </w:t>
      </w:r>
      <w:r w:rsidRPr="00907A52">
        <w:rPr>
          <w:rFonts w:cs="Arial"/>
        </w:rPr>
        <w:t>Sistema de Acceso a la Información Mexiquense (</w:t>
      </w:r>
      <w:r w:rsidRPr="00907A52">
        <w:rPr>
          <w:rFonts w:cs="Arial"/>
          <w:b/>
          <w:bCs/>
        </w:rPr>
        <w:t>SAIMEX)</w:t>
      </w:r>
      <w:r w:rsidRPr="00907A52">
        <w:rPr>
          <w:shd w:val="clear" w:color="auto" w:fill="FFFFFF"/>
        </w:rPr>
        <w:t xml:space="preserve"> la presente resolución al Titular de la Unidad de Transparencia del Sujeto Obligado</w:t>
      </w:r>
      <w:r w:rsidRPr="00907A52">
        <w:t xml:space="preserve">, para que conforme al artículo 186 último párrafo, 189 segundo párrafo y 194 de la Ley de Transparencia y Acceso a la Información Pública del Estado de México y Municipios, dé cumplimiento a lo ordenado dentro del plazo de </w:t>
      </w:r>
      <w:r w:rsidRPr="00907A52">
        <w:rPr>
          <w:b/>
          <w:bCs/>
        </w:rPr>
        <w:t>diez días hábiles</w:t>
      </w:r>
      <w:r w:rsidRPr="00907A52">
        <w:t xml:space="preserve">, e informe a este Instituto en un plazo de </w:t>
      </w:r>
      <w:r w:rsidRPr="00907A52">
        <w:rPr>
          <w:b/>
          <w:bCs/>
        </w:rPr>
        <w:t>tres días hábiles</w:t>
      </w:r>
      <w:r w:rsidRPr="00907A52">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598BCD0" w14:textId="77777777" w:rsidR="00DD45BF" w:rsidRPr="00907A52" w:rsidRDefault="00DD45BF" w:rsidP="00907A52"/>
    <w:p w14:paraId="0F9052D4" w14:textId="77777777" w:rsidR="00DD45BF" w:rsidRPr="00907A52" w:rsidRDefault="00DD45BF" w:rsidP="00907A52">
      <w:r w:rsidRPr="00907A52">
        <w:rPr>
          <w:b/>
          <w:bCs/>
        </w:rPr>
        <w:lastRenderedPageBreak/>
        <w:t>CUARTO.</w:t>
      </w:r>
      <w:r w:rsidRPr="00907A52">
        <w:t xml:space="preserve"> Notifíquese a </w:t>
      </w:r>
      <w:r w:rsidRPr="00907A52">
        <w:rPr>
          <w:b/>
          <w:bCs/>
        </w:rPr>
        <w:t>LA PARTE RECURRENTE</w:t>
      </w:r>
      <w:r w:rsidRPr="00907A52">
        <w:t xml:space="preserve"> la presente resolución vía Sistema de Acceso a la Información Mexiquense (SAIMEX).</w:t>
      </w:r>
    </w:p>
    <w:p w14:paraId="2EC64BA2" w14:textId="77777777" w:rsidR="00DD45BF" w:rsidRPr="00907A52" w:rsidRDefault="00DD45BF" w:rsidP="00907A52"/>
    <w:p w14:paraId="08505DAC" w14:textId="77777777" w:rsidR="00DD45BF" w:rsidRPr="00907A52" w:rsidRDefault="00DD45BF" w:rsidP="00907A52">
      <w:r w:rsidRPr="00907A52">
        <w:rPr>
          <w:b/>
          <w:bCs/>
        </w:rPr>
        <w:t>QUINTO</w:t>
      </w:r>
      <w:r w:rsidRPr="00907A52">
        <w:t xml:space="preserve">. Hágase del conocimiento a </w:t>
      </w:r>
      <w:r w:rsidRPr="00907A52">
        <w:rPr>
          <w:b/>
          <w:bCs/>
        </w:rPr>
        <w:t>LA PARTE RECURRENTE</w:t>
      </w:r>
      <w:r w:rsidRPr="00907A52">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E263E78" w14:textId="77777777" w:rsidR="00DD45BF" w:rsidRPr="00907A52" w:rsidRDefault="00DD45BF" w:rsidP="00907A52"/>
    <w:p w14:paraId="6C3730CC" w14:textId="77777777" w:rsidR="00DD45BF" w:rsidRDefault="00DD45BF" w:rsidP="00907A52">
      <w:r w:rsidRPr="00907A52">
        <w:rPr>
          <w:b/>
          <w:bCs/>
        </w:rPr>
        <w:t>SEXTO.</w:t>
      </w:r>
      <w:r w:rsidRPr="00907A52">
        <w:t xml:space="preserve"> De conformidad con el artículo 198 de la Ley de Transparencia y Acceso a la Información Pública del Estado de México y Municipios, el </w:t>
      </w:r>
      <w:r w:rsidRPr="00907A52">
        <w:rPr>
          <w:b/>
          <w:bCs/>
        </w:rPr>
        <w:t>SUJETO OBLIGADO</w:t>
      </w:r>
      <w:r w:rsidRPr="00907A52">
        <w:t xml:space="preserve"> podrá solicitar una ampliación de plazo de manera fundada y motivada, para el cumplimiento de la presente resolución.</w:t>
      </w:r>
    </w:p>
    <w:p w14:paraId="523689FD" w14:textId="77777777" w:rsidR="00907A52" w:rsidRDefault="00907A52" w:rsidP="00907A52"/>
    <w:p w14:paraId="02E668DF" w14:textId="5B78877D" w:rsidR="001D56CC" w:rsidRPr="00907A52" w:rsidRDefault="001D56CC" w:rsidP="00907A52">
      <w:pPr>
        <w:rPr>
          <w:rFonts w:eastAsia="Palatino Linotype" w:cs="Palatino Linotype"/>
          <w:szCs w:val="22"/>
        </w:rPr>
      </w:pPr>
      <w:r w:rsidRPr="00907A52">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w:t>
      </w:r>
      <w:r w:rsidR="0018168C" w:rsidRPr="00907A52">
        <w:rPr>
          <w:rFonts w:eastAsia="Palatino Linotype" w:cs="Palatino Linotype"/>
          <w:szCs w:val="22"/>
        </w:rPr>
        <w:t>NOVENA</w:t>
      </w:r>
      <w:r w:rsidRPr="00907A52">
        <w:rPr>
          <w:rFonts w:eastAsia="Palatino Linotype" w:cs="Palatino Linotype"/>
          <w:szCs w:val="22"/>
        </w:rPr>
        <w:t xml:space="preserve"> SESIÓN ORDINARIA, CELEBRADA EL </w:t>
      </w:r>
      <w:r w:rsidR="0018168C" w:rsidRPr="00907A52">
        <w:rPr>
          <w:rFonts w:eastAsia="Palatino Linotype" w:cs="Palatino Linotype"/>
          <w:szCs w:val="22"/>
        </w:rPr>
        <w:t>VEINTIUNO</w:t>
      </w:r>
      <w:r w:rsidRPr="00907A52">
        <w:rPr>
          <w:rFonts w:eastAsia="Palatino Linotype" w:cs="Palatino Linotype"/>
          <w:szCs w:val="22"/>
        </w:rPr>
        <w:t xml:space="preserve"> DE AGOSTO DE DOS MIL VEINTICUATRO ANTE EL SECRETARIO TÉCNICO DEL PLENO, ALEXIS TAPIA RAMÍREZ.</w:t>
      </w:r>
    </w:p>
    <w:p w14:paraId="5EFEA0CD" w14:textId="484F43CA" w:rsidR="00664420" w:rsidRPr="00907A52" w:rsidRDefault="00CE1DFB" w:rsidP="00907A52">
      <w:pPr>
        <w:ind w:right="-93"/>
        <w:rPr>
          <w:rFonts w:eastAsia="Calibri" w:cs="Tahoma"/>
          <w:szCs w:val="22"/>
          <w:lang w:val="es-ES"/>
        </w:rPr>
      </w:pPr>
      <w:r w:rsidRPr="00907A52">
        <w:rPr>
          <w:rFonts w:eastAsia="Palatino Linotype" w:cs="Palatino Linotype"/>
          <w:sz w:val="20"/>
        </w:rPr>
        <w:t>SCMM/AGZ/DEMF/RPG</w:t>
      </w:r>
    </w:p>
    <w:p w14:paraId="696BC976" w14:textId="77777777" w:rsidR="00664420" w:rsidRPr="00907A52" w:rsidRDefault="00664420" w:rsidP="00907A52">
      <w:pPr>
        <w:ind w:right="-93"/>
        <w:rPr>
          <w:rFonts w:eastAsia="Calibri" w:cs="Tahoma"/>
          <w:bCs/>
          <w:szCs w:val="22"/>
          <w:lang w:val="es-ES" w:eastAsia="en-US"/>
        </w:rPr>
      </w:pPr>
    </w:p>
    <w:p w14:paraId="671CB0C5" w14:textId="77777777" w:rsidR="00664420" w:rsidRPr="00907A52" w:rsidRDefault="00664420" w:rsidP="00907A52">
      <w:pPr>
        <w:ind w:right="-93"/>
        <w:rPr>
          <w:rFonts w:eastAsia="Calibri" w:cs="Tahoma"/>
          <w:bCs/>
          <w:szCs w:val="22"/>
          <w:lang w:val="es-ES_tradnl" w:eastAsia="en-US"/>
        </w:rPr>
      </w:pPr>
    </w:p>
    <w:p w14:paraId="52B66DE7" w14:textId="77777777" w:rsidR="00664420" w:rsidRPr="00907A52" w:rsidRDefault="00664420" w:rsidP="00907A52">
      <w:pPr>
        <w:ind w:right="-93"/>
        <w:rPr>
          <w:rFonts w:eastAsia="Calibri" w:cs="Tahoma"/>
          <w:bCs/>
          <w:szCs w:val="22"/>
          <w:lang w:val="es-ES_tradnl" w:eastAsia="en-US"/>
        </w:rPr>
      </w:pPr>
    </w:p>
    <w:p w14:paraId="3BA305D1" w14:textId="77777777" w:rsidR="00664420" w:rsidRPr="00907A52" w:rsidRDefault="00664420" w:rsidP="00907A52">
      <w:pPr>
        <w:ind w:right="-93"/>
        <w:rPr>
          <w:rFonts w:eastAsia="Calibri" w:cs="Tahoma"/>
          <w:bCs/>
          <w:szCs w:val="22"/>
          <w:lang w:val="es-ES_tradnl" w:eastAsia="en-US"/>
        </w:rPr>
      </w:pPr>
    </w:p>
    <w:p w14:paraId="78230707" w14:textId="77777777" w:rsidR="00664420" w:rsidRPr="00907A52" w:rsidRDefault="00664420" w:rsidP="00907A52">
      <w:pPr>
        <w:ind w:right="-93"/>
        <w:rPr>
          <w:rFonts w:eastAsia="Calibri" w:cs="Tahoma"/>
          <w:bCs/>
          <w:szCs w:val="22"/>
          <w:lang w:val="es-ES_tradnl" w:eastAsia="en-US"/>
        </w:rPr>
      </w:pPr>
    </w:p>
    <w:p w14:paraId="72D18B28" w14:textId="77777777" w:rsidR="00664420" w:rsidRPr="00907A52" w:rsidRDefault="00664420" w:rsidP="00907A52">
      <w:pPr>
        <w:ind w:right="-93"/>
        <w:rPr>
          <w:rFonts w:eastAsia="Calibri" w:cs="Tahoma"/>
          <w:bCs/>
          <w:szCs w:val="22"/>
          <w:lang w:val="es-ES_tradnl" w:eastAsia="en-US"/>
        </w:rPr>
      </w:pPr>
    </w:p>
    <w:p w14:paraId="6BD461DC" w14:textId="77777777" w:rsidR="00664420" w:rsidRPr="00907A52" w:rsidRDefault="00664420" w:rsidP="00907A52">
      <w:pPr>
        <w:tabs>
          <w:tab w:val="center" w:pos="4568"/>
        </w:tabs>
        <w:ind w:right="-93"/>
        <w:rPr>
          <w:rFonts w:eastAsia="Calibri" w:cs="Tahoma"/>
          <w:bCs/>
          <w:szCs w:val="22"/>
          <w:lang w:eastAsia="en-US"/>
        </w:rPr>
      </w:pPr>
    </w:p>
    <w:p w14:paraId="4DBB1727" w14:textId="77777777" w:rsidR="00664420" w:rsidRPr="00907A52" w:rsidRDefault="00664420" w:rsidP="00907A52">
      <w:pPr>
        <w:tabs>
          <w:tab w:val="center" w:pos="4568"/>
        </w:tabs>
        <w:ind w:right="-93"/>
        <w:rPr>
          <w:rFonts w:eastAsia="Calibri" w:cs="Tahoma"/>
          <w:bCs/>
          <w:szCs w:val="22"/>
          <w:lang w:eastAsia="en-US"/>
        </w:rPr>
      </w:pPr>
    </w:p>
    <w:p w14:paraId="1D74121B" w14:textId="77777777" w:rsidR="00664420" w:rsidRPr="00907A52" w:rsidRDefault="00664420" w:rsidP="00907A52">
      <w:pPr>
        <w:tabs>
          <w:tab w:val="center" w:pos="4568"/>
        </w:tabs>
        <w:ind w:right="-93"/>
        <w:rPr>
          <w:rFonts w:eastAsia="Calibri" w:cs="Tahoma"/>
          <w:bCs/>
          <w:szCs w:val="22"/>
          <w:lang w:eastAsia="en-US"/>
        </w:rPr>
      </w:pPr>
    </w:p>
    <w:p w14:paraId="08E74E9C" w14:textId="77777777" w:rsidR="00664420" w:rsidRPr="00907A52" w:rsidRDefault="00664420" w:rsidP="00907A52">
      <w:pPr>
        <w:tabs>
          <w:tab w:val="center" w:pos="4568"/>
        </w:tabs>
        <w:ind w:right="-93"/>
        <w:rPr>
          <w:rFonts w:eastAsia="Calibri" w:cs="Tahoma"/>
          <w:bCs/>
          <w:szCs w:val="22"/>
          <w:lang w:eastAsia="en-US"/>
        </w:rPr>
      </w:pPr>
    </w:p>
    <w:p w14:paraId="2CBF5E03" w14:textId="77777777" w:rsidR="00664420" w:rsidRPr="00907A52" w:rsidRDefault="00664420" w:rsidP="00907A52">
      <w:pPr>
        <w:tabs>
          <w:tab w:val="center" w:pos="4568"/>
        </w:tabs>
        <w:ind w:right="-93"/>
        <w:rPr>
          <w:rFonts w:eastAsia="Calibri" w:cs="Tahoma"/>
          <w:bCs/>
          <w:szCs w:val="22"/>
          <w:lang w:eastAsia="en-US"/>
        </w:rPr>
      </w:pPr>
    </w:p>
    <w:p w14:paraId="44865A6D" w14:textId="77777777" w:rsidR="00664420" w:rsidRPr="00907A52" w:rsidRDefault="00664420" w:rsidP="00907A52">
      <w:pPr>
        <w:tabs>
          <w:tab w:val="center" w:pos="4568"/>
        </w:tabs>
        <w:ind w:right="-93"/>
        <w:rPr>
          <w:rFonts w:eastAsia="Calibri" w:cs="Tahoma"/>
          <w:bCs/>
          <w:szCs w:val="22"/>
          <w:lang w:eastAsia="en-US"/>
        </w:rPr>
      </w:pPr>
    </w:p>
    <w:p w14:paraId="7147F06B" w14:textId="77777777" w:rsidR="00664420" w:rsidRPr="00907A52" w:rsidRDefault="00664420" w:rsidP="00907A52">
      <w:pPr>
        <w:tabs>
          <w:tab w:val="center" w:pos="4568"/>
        </w:tabs>
        <w:ind w:right="-93"/>
        <w:rPr>
          <w:rFonts w:eastAsia="Calibri" w:cs="Tahoma"/>
          <w:bCs/>
          <w:szCs w:val="22"/>
          <w:lang w:eastAsia="en-US"/>
        </w:rPr>
      </w:pPr>
    </w:p>
    <w:p w14:paraId="6FDF3D7E" w14:textId="77777777" w:rsidR="00664420" w:rsidRPr="00907A52" w:rsidRDefault="00664420" w:rsidP="00907A52">
      <w:pPr>
        <w:tabs>
          <w:tab w:val="center" w:pos="4568"/>
        </w:tabs>
        <w:ind w:right="-93"/>
        <w:rPr>
          <w:rFonts w:eastAsia="Calibri" w:cs="Tahoma"/>
          <w:bCs/>
          <w:szCs w:val="22"/>
          <w:lang w:eastAsia="en-US"/>
        </w:rPr>
      </w:pPr>
    </w:p>
    <w:p w14:paraId="6246F818" w14:textId="77777777" w:rsidR="00664420" w:rsidRPr="00907A52" w:rsidRDefault="00664420" w:rsidP="00907A52">
      <w:pPr>
        <w:tabs>
          <w:tab w:val="center" w:pos="4568"/>
        </w:tabs>
        <w:ind w:right="-93"/>
        <w:rPr>
          <w:rFonts w:eastAsia="Calibri" w:cs="Tahoma"/>
          <w:bCs/>
          <w:szCs w:val="22"/>
          <w:lang w:eastAsia="en-US"/>
        </w:rPr>
      </w:pPr>
    </w:p>
    <w:p w14:paraId="57A88B28" w14:textId="77777777" w:rsidR="00664420" w:rsidRPr="00907A52" w:rsidRDefault="00664420" w:rsidP="00907A52">
      <w:pPr>
        <w:tabs>
          <w:tab w:val="center" w:pos="4568"/>
        </w:tabs>
        <w:ind w:right="-93"/>
        <w:rPr>
          <w:rFonts w:eastAsia="Calibri" w:cs="Tahoma"/>
          <w:bCs/>
          <w:szCs w:val="22"/>
          <w:lang w:eastAsia="en-US"/>
        </w:rPr>
      </w:pPr>
    </w:p>
    <w:p w14:paraId="77EF6095" w14:textId="77777777" w:rsidR="00664420" w:rsidRPr="00907A52" w:rsidRDefault="00664420" w:rsidP="00907A52">
      <w:pPr>
        <w:tabs>
          <w:tab w:val="center" w:pos="4568"/>
        </w:tabs>
        <w:ind w:right="-93"/>
        <w:rPr>
          <w:rFonts w:eastAsia="Calibri" w:cs="Tahoma"/>
          <w:bCs/>
          <w:szCs w:val="22"/>
          <w:lang w:eastAsia="en-US"/>
        </w:rPr>
      </w:pPr>
    </w:p>
    <w:p w14:paraId="35593947" w14:textId="77777777" w:rsidR="00664420" w:rsidRPr="00907A52" w:rsidRDefault="00664420" w:rsidP="00907A52">
      <w:pPr>
        <w:tabs>
          <w:tab w:val="center" w:pos="4568"/>
        </w:tabs>
        <w:ind w:right="-93"/>
        <w:rPr>
          <w:rFonts w:eastAsia="Calibri" w:cs="Tahoma"/>
          <w:bCs/>
          <w:szCs w:val="22"/>
          <w:lang w:eastAsia="en-US"/>
        </w:rPr>
      </w:pPr>
    </w:p>
    <w:p w14:paraId="3AF72A17" w14:textId="77777777" w:rsidR="00664420" w:rsidRPr="00907A52" w:rsidRDefault="00664420" w:rsidP="00907A52">
      <w:pPr>
        <w:tabs>
          <w:tab w:val="center" w:pos="4568"/>
        </w:tabs>
        <w:ind w:right="-93"/>
        <w:rPr>
          <w:rFonts w:eastAsia="Calibri" w:cs="Tahoma"/>
          <w:bCs/>
          <w:szCs w:val="22"/>
          <w:lang w:eastAsia="en-US"/>
        </w:rPr>
      </w:pPr>
    </w:p>
    <w:p w14:paraId="37169144" w14:textId="77777777" w:rsidR="00664420" w:rsidRPr="00907A52" w:rsidRDefault="00664420" w:rsidP="00907A52">
      <w:pPr>
        <w:tabs>
          <w:tab w:val="center" w:pos="4568"/>
        </w:tabs>
        <w:ind w:right="-93"/>
        <w:rPr>
          <w:rFonts w:eastAsia="Calibri" w:cs="Tahoma"/>
          <w:bCs/>
          <w:szCs w:val="22"/>
          <w:lang w:eastAsia="en-US"/>
        </w:rPr>
      </w:pPr>
    </w:p>
    <w:p w14:paraId="77CFC088" w14:textId="77777777" w:rsidR="00664420" w:rsidRPr="00907A52" w:rsidRDefault="00664420" w:rsidP="00907A52">
      <w:pPr>
        <w:tabs>
          <w:tab w:val="center" w:pos="4568"/>
        </w:tabs>
        <w:ind w:right="-93"/>
        <w:rPr>
          <w:rFonts w:eastAsia="Calibri" w:cs="Tahoma"/>
          <w:bCs/>
          <w:szCs w:val="22"/>
          <w:lang w:eastAsia="en-US"/>
        </w:rPr>
      </w:pPr>
    </w:p>
    <w:p w14:paraId="781A11A5" w14:textId="77777777" w:rsidR="00664420" w:rsidRPr="00907A52" w:rsidRDefault="00664420" w:rsidP="00907A52">
      <w:pPr>
        <w:tabs>
          <w:tab w:val="center" w:pos="4568"/>
        </w:tabs>
        <w:ind w:right="-93"/>
        <w:rPr>
          <w:rFonts w:eastAsia="Calibri" w:cs="Tahoma"/>
          <w:bCs/>
          <w:szCs w:val="22"/>
          <w:lang w:eastAsia="en-US"/>
        </w:rPr>
      </w:pPr>
    </w:p>
    <w:p w14:paraId="5B4ADFF3" w14:textId="77777777" w:rsidR="00A131AC" w:rsidRPr="00907A52" w:rsidRDefault="00A131AC" w:rsidP="00907A52"/>
    <w:sectPr w:rsidR="00A131AC" w:rsidRPr="00907A52" w:rsidSect="00EE2AF2">
      <w:footerReference w:type="default" r:id="rId18"/>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F8934" w14:textId="77777777" w:rsidR="007E528B" w:rsidRDefault="007E528B" w:rsidP="00664420">
      <w:pPr>
        <w:spacing w:line="240" w:lineRule="auto"/>
      </w:pPr>
      <w:r>
        <w:separator/>
      </w:r>
    </w:p>
  </w:endnote>
  <w:endnote w:type="continuationSeparator" w:id="0">
    <w:p w14:paraId="11FA5BD9" w14:textId="77777777" w:rsidR="007E528B" w:rsidRDefault="007E528B"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293002" w:rsidRDefault="00293002">
    <w:pPr>
      <w:tabs>
        <w:tab w:val="center" w:pos="4550"/>
        <w:tab w:val="left" w:pos="5818"/>
      </w:tabs>
      <w:ind w:right="260"/>
      <w:jc w:val="right"/>
      <w:rPr>
        <w:color w:val="071320" w:themeColor="text2" w:themeShade="80"/>
        <w:sz w:val="24"/>
        <w:szCs w:val="24"/>
      </w:rPr>
    </w:pPr>
  </w:p>
  <w:p w14:paraId="1BCA7F23" w14:textId="77777777" w:rsidR="00293002" w:rsidRDefault="0029300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293002" w:rsidRDefault="00293002">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390A30" w:rsidRPr="00390A30">
      <w:rPr>
        <w:noProof/>
        <w:color w:val="0A1D30" w:themeColor="text2" w:themeShade="BF"/>
        <w:lang w:val="es-ES"/>
      </w:rPr>
      <w:t>34</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390A30" w:rsidRPr="00390A30">
      <w:rPr>
        <w:noProof/>
        <w:color w:val="0A1D30" w:themeColor="text2" w:themeShade="BF"/>
        <w:lang w:val="es-ES"/>
      </w:rPr>
      <w:t>37</w:t>
    </w:r>
    <w:r>
      <w:rPr>
        <w:color w:val="0A1D30" w:themeColor="text2" w:themeShade="BF"/>
        <w:sz w:val="24"/>
        <w:szCs w:val="24"/>
      </w:rPr>
      <w:fldChar w:fldCharType="end"/>
    </w:r>
  </w:p>
  <w:p w14:paraId="310E15C0" w14:textId="77777777" w:rsidR="00293002" w:rsidRDefault="002930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20B7B" w14:textId="77777777" w:rsidR="007E528B" w:rsidRDefault="007E528B" w:rsidP="00664420">
      <w:pPr>
        <w:spacing w:line="240" w:lineRule="auto"/>
      </w:pPr>
      <w:r>
        <w:separator/>
      </w:r>
    </w:p>
  </w:footnote>
  <w:footnote w:type="continuationSeparator" w:id="0">
    <w:p w14:paraId="51442371" w14:textId="77777777" w:rsidR="007E528B" w:rsidRDefault="007E528B" w:rsidP="00664420">
      <w:pPr>
        <w:spacing w:line="240" w:lineRule="auto"/>
      </w:pPr>
      <w:r>
        <w:continuationSeparator/>
      </w:r>
    </w:p>
  </w:footnote>
  <w:footnote w:id="1">
    <w:p w14:paraId="4D0BB498" w14:textId="0D6334A4" w:rsidR="00FD622F" w:rsidRPr="00FD622F" w:rsidRDefault="00FD622F">
      <w:pPr>
        <w:pStyle w:val="Textonotapie"/>
        <w:rPr>
          <w:i/>
          <w:sz w:val="18"/>
          <w:szCs w:val="18"/>
        </w:rPr>
      </w:pPr>
      <w:r>
        <w:rPr>
          <w:rStyle w:val="Refdenotaalpie"/>
        </w:rPr>
        <w:footnoteRef/>
      </w:r>
      <w:r>
        <w:t xml:space="preserve"> </w:t>
      </w:r>
      <w:r w:rsidRPr="00FD622F">
        <w:rPr>
          <w:i/>
          <w:sz w:val="18"/>
          <w:szCs w:val="18"/>
        </w:rPr>
        <w:t>https://legislacion.edomex.gob.mx/sites/legislacion.edomex.gob.mx/files/files/pdf/bdo/bdo2024/bdo125.pdf</w:t>
      </w:r>
    </w:p>
  </w:footnote>
  <w:footnote w:id="2">
    <w:p w14:paraId="2034B948" w14:textId="77777777" w:rsidR="00293002" w:rsidRPr="007815D6" w:rsidRDefault="00293002" w:rsidP="00DD45BF">
      <w:pPr>
        <w:pStyle w:val="Textonotapie"/>
        <w:rPr>
          <w:sz w:val="18"/>
        </w:rPr>
      </w:pPr>
      <w:r>
        <w:rPr>
          <w:rStyle w:val="Refdenotaalpie"/>
        </w:rPr>
        <w:footnoteRef/>
      </w:r>
      <w:r>
        <w:t xml:space="preserve"> </w:t>
      </w:r>
      <w:r w:rsidRPr="007815D6">
        <w:rPr>
          <w:sz w:val="18"/>
        </w:rPr>
        <w:t xml:space="preserve">Políticas Públicas y Cambio Climático. Angélica Rosas Huerta. Profesora- investigadora. Departamento Política y Cultura. División de Ciencias Sociales y Humanidades.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293002" w:rsidRPr="00330DA7" w14:paraId="070A4B18" w14:textId="77777777" w:rsidTr="003F35FD">
      <w:trPr>
        <w:trHeight w:val="144"/>
        <w:jc w:val="right"/>
      </w:trPr>
      <w:tc>
        <w:tcPr>
          <w:tcW w:w="2727" w:type="dxa"/>
        </w:tcPr>
        <w:p w14:paraId="62B7493A" w14:textId="77777777" w:rsidR="00293002" w:rsidRPr="00330DA7" w:rsidRDefault="00293002"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38003E2" w:rsidR="00293002" w:rsidRPr="00A90C72" w:rsidRDefault="00293002" w:rsidP="008807A6">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3297</w:t>
          </w:r>
          <w:r w:rsidRPr="004D0573">
            <w:rPr>
              <w:rFonts w:eastAsia="Calibri" w:cs="Tahoma"/>
              <w:szCs w:val="22"/>
              <w:lang w:eastAsia="en-US"/>
            </w:rPr>
            <w:t>/INFOEM/IP/RR/2024</w:t>
          </w:r>
          <w:r>
            <w:rPr>
              <w:rFonts w:eastAsia="Calibri" w:cs="Tahoma"/>
              <w:szCs w:val="22"/>
              <w:lang w:eastAsia="en-US"/>
            </w:rPr>
            <w:t xml:space="preserve"> y acumulado</w:t>
          </w:r>
        </w:p>
      </w:tc>
    </w:tr>
    <w:tr w:rsidR="00293002" w:rsidRPr="00330DA7" w14:paraId="4521E058" w14:textId="77777777" w:rsidTr="003F35FD">
      <w:trPr>
        <w:trHeight w:val="283"/>
        <w:jc w:val="right"/>
      </w:trPr>
      <w:tc>
        <w:tcPr>
          <w:tcW w:w="2727" w:type="dxa"/>
        </w:tcPr>
        <w:p w14:paraId="0B68C086" w14:textId="77777777" w:rsidR="00293002" w:rsidRPr="00330DA7" w:rsidRDefault="00293002"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6DC80FA" w:rsidR="00293002" w:rsidRPr="00952DD0" w:rsidRDefault="00293002" w:rsidP="00773DD6">
          <w:pPr>
            <w:tabs>
              <w:tab w:val="right" w:pos="8838"/>
            </w:tabs>
            <w:spacing w:line="240" w:lineRule="auto"/>
            <w:ind w:left="-108" w:right="-105"/>
            <w:rPr>
              <w:rFonts w:eastAsia="Calibri" w:cs="Tahoma"/>
              <w:szCs w:val="22"/>
              <w:lang w:eastAsia="en-US"/>
            </w:rPr>
          </w:pPr>
          <w:r w:rsidRPr="008F2666">
            <w:rPr>
              <w:rFonts w:eastAsia="Calibri" w:cs="Tahoma"/>
              <w:szCs w:val="22"/>
              <w:lang w:eastAsia="en-US"/>
            </w:rPr>
            <w:t xml:space="preserve">Ayuntamiento de </w:t>
          </w:r>
          <w:r>
            <w:rPr>
              <w:rFonts w:eastAsia="Calibri" w:cs="Tahoma"/>
              <w:szCs w:val="22"/>
              <w:lang w:eastAsia="en-US"/>
            </w:rPr>
            <w:t>Zumpango</w:t>
          </w:r>
        </w:p>
      </w:tc>
    </w:tr>
    <w:tr w:rsidR="00293002" w:rsidRPr="00330DA7" w14:paraId="6331D9B6" w14:textId="77777777" w:rsidTr="003F35FD">
      <w:trPr>
        <w:trHeight w:val="283"/>
        <w:jc w:val="right"/>
      </w:trPr>
      <w:tc>
        <w:tcPr>
          <w:tcW w:w="2727" w:type="dxa"/>
        </w:tcPr>
        <w:p w14:paraId="3FA86BAE" w14:textId="6568823B" w:rsidR="00293002" w:rsidRPr="00330DA7" w:rsidRDefault="00293002"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293002" w:rsidRPr="00EA66FC" w:rsidRDefault="00293002"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293002" w:rsidRPr="00443C6B" w:rsidRDefault="00293002"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293002" w:rsidRPr="00330DA7" w14:paraId="29CFF901" w14:textId="77777777" w:rsidTr="004D0573">
      <w:trPr>
        <w:trHeight w:val="1435"/>
      </w:trPr>
      <w:tc>
        <w:tcPr>
          <w:tcW w:w="283" w:type="dxa"/>
          <w:shd w:val="clear" w:color="auto" w:fill="auto"/>
        </w:tcPr>
        <w:p w14:paraId="046B9F8F" w14:textId="77777777" w:rsidR="00293002" w:rsidRPr="00330DA7" w:rsidRDefault="00293002"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293002" w:rsidRPr="00330DA7" w14:paraId="04F272D2" w14:textId="77777777" w:rsidTr="004D0573">
            <w:trPr>
              <w:trHeight w:val="144"/>
            </w:trPr>
            <w:tc>
              <w:tcPr>
                <w:tcW w:w="2727" w:type="dxa"/>
              </w:tcPr>
              <w:p w14:paraId="2FD4DBF6" w14:textId="77777777" w:rsidR="00293002" w:rsidRPr="00330DA7" w:rsidRDefault="00293002" w:rsidP="004D0573">
                <w:pPr>
                  <w:tabs>
                    <w:tab w:val="right" w:pos="8838"/>
                  </w:tabs>
                  <w:spacing w:line="240" w:lineRule="auto"/>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051E4112" w:rsidR="00293002" w:rsidRPr="004D0573" w:rsidRDefault="00293002" w:rsidP="008807A6">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3297</w:t>
                </w:r>
                <w:r w:rsidRPr="004D0573">
                  <w:rPr>
                    <w:rFonts w:eastAsia="Calibri" w:cs="Tahoma"/>
                    <w:szCs w:val="22"/>
                    <w:lang w:eastAsia="en-US"/>
                  </w:rPr>
                  <w:t xml:space="preserve">/INFOEM/IP/RR/2024 </w:t>
                </w:r>
                <w:r>
                  <w:rPr>
                    <w:rFonts w:eastAsia="Calibri" w:cs="Tahoma"/>
                    <w:szCs w:val="22"/>
                    <w:lang w:eastAsia="en-US"/>
                  </w:rPr>
                  <w:t>y acumulado</w:t>
                </w:r>
              </w:p>
            </w:tc>
            <w:tc>
              <w:tcPr>
                <w:tcW w:w="3402" w:type="dxa"/>
              </w:tcPr>
              <w:p w14:paraId="71DEA1CF" w14:textId="77777777" w:rsidR="00293002" w:rsidRDefault="00293002" w:rsidP="004D0573">
                <w:pPr>
                  <w:tabs>
                    <w:tab w:val="right" w:pos="8838"/>
                  </w:tabs>
                  <w:spacing w:line="240" w:lineRule="auto"/>
                  <w:ind w:left="-74" w:right="-105"/>
                  <w:rPr>
                    <w:rFonts w:eastAsia="Calibri" w:cs="Tahoma"/>
                    <w:szCs w:val="22"/>
                    <w:lang w:eastAsia="en-US"/>
                  </w:rPr>
                </w:pPr>
              </w:p>
            </w:tc>
          </w:tr>
          <w:tr w:rsidR="00293002" w:rsidRPr="00330DA7" w14:paraId="05C58951" w14:textId="77777777" w:rsidTr="004D0573">
            <w:trPr>
              <w:trHeight w:val="144"/>
            </w:trPr>
            <w:tc>
              <w:tcPr>
                <w:tcW w:w="2727" w:type="dxa"/>
              </w:tcPr>
              <w:p w14:paraId="642B9610" w14:textId="77777777" w:rsidR="00293002" w:rsidRPr="00330DA7" w:rsidRDefault="00293002" w:rsidP="004D0573">
                <w:pPr>
                  <w:tabs>
                    <w:tab w:val="right" w:pos="8838"/>
                  </w:tabs>
                  <w:spacing w:line="240" w:lineRule="auto"/>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5A22DF53" w:rsidR="00293002" w:rsidRPr="004D0573" w:rsidRDefault="00293002" w:rsidP="004D0573">
                <w:pPr>
                  <w:tabs>
                    <w:tab w:val="right" w:pos="8838"/>
                  </w:tabs>
                  <w:spacing w:line="240" w:lineRule="auto"/>
                  <w:ind w:left="-108" w:right="-105"/>
                  <w:rPr>
                    <w:rFonts w:eastAsia="Calibri" w:cs="Tahoma"/>
                    <w:szCs w:val="22"/>
                    <w:lang w:eastAsia="en-US"/>
                  </w:rPr>
                </w:pPr>
              </w:p>
            </w:tc>
            <w:tc>
              <w:tcPr>
                <w:tcW w:w="3402" w:type="dxa"/>
              </w:tcPr>
              <w:p w14:paraId="73F47F53" w14:textId="77777777" w:rsidR="00293002" w:rsidRPr="005F19B1" w:rsidRDefault="00293002" w:rsidP="004D0573">
                <w:pPr>
                  <w:tabs>
                    <w:tab w:val="left" w:pos="3122"/>
                    <w:tab w:val="right" w:pos="8838"/>
                  </w:tabs>
                  <w:spacing w:line="240" w:lineRule="auto"/>
                  <w:ind w:left="-105" w:right="-105"/>
                  <w:rPr>
                    <w:rFonts w:eastAsia="Calibri" w:cs="Tahoma"/>
                    <w:szCs w:val="22"/>
                    <w:lang w:eastAsia="en-US"/>
                  </w:rPr>
                </w:pPr>
              </w:p>
            </w:tc>
          </w:tr>
          <w:bookmarkEnd w:id="2"/>
          <w:tr w:rsidR="00293002" w:rsidRPr="00330DA7" w14:paraId="00E6CDC1" w14:textId="77777777" w:rsidTr="004D0573">
            <w:trPr>
              <w:trHeight w:val="283"/>
            </w:trPr>
            <w:tc>
              <w:tcPr>
                <w:tcW w:w="2727" w:type="dxa"/>
              </w:tcPr>
              <w:p w14:paraId="0631AD24" w14:textId="77777777" w:rsidR="00293002" w:rsidRPr="00330DA7" w:rsidRDefault="00293002"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77383D6D" w:rsidR="00293002" w:rsidRPr="004D0573" w:rsidRDefault="00293002" w:rsidP="008807A6">
                <w:pPr>
                  <w:tabs>
                    <w:tab w:val="right" w:pos="8838"/>
                  </w:tabs>
                  <w:spacing w:line="240" w:lineRule="auto"/>
                  <w:ind w:left="-74" w:right="-105"/>
                  <w:rPr>
                    <w:rFonts w:eastAsia="Calibri" w:cs="Tahoma"/>
                    <w:szCs w:val="22"/>
                    <w:lang w:eastAsia="en-US"/>
                  </w:rPr>
                </w:pPr>
                <w:r w:rsidRPr="008F2666">
                  <w:rPr>
                    <w:rFonts w:eastAsia="Calibri" w:cs="Tahoma"/>
                    <w:szCs w:val="22"/>
                    <w:lang w:eastAsia="en-US"/>
                  </w:rPr>
                  <w:t xml:space="preserve">Ayuntamiento de </w:t>
                </w:r>
                <w:r>
                  <w:rPr>
                    <w:rFonts w:eastAsia="Calibri" w:cs="Tahoma"/>
                    <w:szCs w:val="22"/>
                    <w:lang w:eastAsia="en-US"/>
                  </w:rPr>
                  <w:t xml:space="preserve">Zumpango </w:t>
                </w:r>
              </w:p>
            </w:tc>
            <w:tc>
              <w:tcPr>
                <w:tcW w:w="3402" w:type="dxa"/>
              </w:tcPr>
              <w:p w14:paraId="3A7DA319" w14:textId="77777777" w:rsidR="00293002" w:rsidRPr="00A90C72" w:rsidRDefault="00293002" w:rsidP="004D0573">
                <w:pPr>
                  <w:tabs>
                    <w:tab w:val="left" w:pos="2834"/>
                    <w:tab w:val="right" w:pos="8838"/>
                  </w:tabs>
                  <w:spacing w:line="240" w:lineRule="auto"/>
                  <w:ind w:left="-108" w:right="-105"/>
                  <w:rPr>
                    <w:rFonts w:eastAsia="Calibri" w:cs="Tahoma"/>
                    <w:szCs w:val="22"/>
                    <w:lang w:eastAsia="en-US"/>
                  </w:rPr>
                </w:pPr>
              </w:p>
            </w:tc>
          </w:tr>
          <w:tr w:rsidR="00293002" w:rsidRPr="00330DA7" w14:paraId="0F6CD8D2" w14:textId="77777777" w:rsidTr="004D0573">
            <w:trPr>
              <w:trHeight w:val="283"/>
            </w:trPr>
            <w:tc>
              <w:tcPr>
                <w:tcW w:w="2727" w:type="dxa"/>
              </w:tcPr>
              <w:p w14:paraId="31700628" w14:textId="0565A62A" w:rsidR="00293002" w:rsidRPr="00330DA7" w:rsidRDefault="00293002"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293002" w:rsidRPr="00EA66FC" w:rsidRDefault="00293002"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293002" w:rsidRPr="00330DA7" w:rsidRDefault="00293002" w:rsidP="004D0573">
                <w:pPr>
                  <w:tabs>
                    <w:tab w:val="right" w:pos="8838"/>
                  </w:tabs>
                  <w:spacing w:line="240" w:lineRule="auto"/>
                  <w:ind w:left="-108" w:right="-105"/>
                  <w:rPr>
                    <w:rFonts w:eastAsia="Calibri" w:cs="Tahoma"/>
                    <w:szCs w:val="22"/>
                    <w:lang w:eastAsia="en-US"/>
                  </w:rPr>
                </w:pPr>
              </w:p>
            </w:tc>
          </w:tr>
        </w:tbl>
        <w:p w14:paraId="5DC6AC61" w14:textId="77777777" w:rsidR="00293002" w:rsidRPr="00330DA7" w:rsidRDefault="00293002" w:rsidP="004D0573">
          <w:pPr>
            <w:tabs>
              <w:tab w:val="right" w:pos="8838"/>
            </w:tabs>
            <w:ind w:left="-28"/>
            <w:rPr>
              <w:rFonts w:ascii="Arial" w:eastAsia="Calibri" w:hAnsi="Arial" w:cs="Arial"/>
              <w:b/>
              <w:szCs w:val="22"/>
              <w:lang w:eastAsia="en-US"/>
            </w:rPr>
          </w:pPr>
        </w:p>
      </w:tc>
    </w:tr>
  </w:tbl>
  <w:p w14:paraId="2A906731" w14:textId="77777777" w:rsidR="00293002" w:rsidRPr="00765661" w:rsidRDefault="007E528B"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C115A3"/>
    <w:multiLevelType w:val="hybridMultilevel"/>
    <w:tmpl w:val="6A68B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3" w15:restartNumberingAfterBreak="0">
    <w:nsid w:val="398C5E50"/>
    <w:multiLevelType w:val="hybridMultilevel"/>
    <w:tmpl w:val="FBE07A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46EE6D68"/>
    <w:multiLevelType w:val="hybridMultilevel"/>
    <w:tmpl w:val="EA8A4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2F00085"/>
    <w:multiLevelType w:val="hybridMultilevel"/>
    <w:tmpl w:val="0F96319E"/>
    <w:lvl w:ilvl="0" w:tplc="7A64CB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841053C"/>
    <w:multiLevelType w:val="hybridMultilevel"/>
    <w:tmpl w:val="FBE07A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C921BBC"/>
    <w:multiLevelType w:val="hybridMultilevel"/>
    <w:tmpl w:val="50CABEA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20C211C"/>
    <w:multiLevelType w:val="multilevel"/>
    <w:tmpl w:val="C616C030"/>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19"/>
  </w:num>
  <w:num w:numId="3">
    <w:abstractNumId w:val="28"/>
  </w:num>
  <w:num w:numId="4">
    <w:abstractNumId w:val="9"/>
  </w:num>
  <w:num w:numId="5">
    <w:abstractNumId w:val="1"/>
  </w:num>
  <w:num w:numId="6">
    <w:abstractNumId w:val="29"/>
  </w:num>
  <w:num w:numId="7">
    <w:abstractNumId w:val="17"/>
  </w:num>
  <w:num w:numId="8">
    <w:abstractNumId w:val="6"/>
  </w:num>
  <w:num w:numId="9">
    <w:abstractNumId w:val="16"/>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12"/>
  </w:num>
  <w:num w:numId="12">
    <w:abstractNumId w:val="11"/>
  </w:num>
  <w:num w:numId="13">
    <w:abstractNumId w:val="0"/>
  </w:num>
  <w:num w:numId="14">
    <w:abstractNumId w:val="5"/>
  </w:num>
  <w:num w:numId="15">
    <w:abstractNumId w:val="18"/>
  </w:num>
  <w:num w:numId="16">
    <w:abstractNumId w:val="26"/>
  </w:num>
  <w:num w:numId="17">
    <w:abstractNumId w:val="24"/>
  </w:num>
  <w:num w:numId="18">
    <w:abstractNumId w:val="3"/>
  </w:num>
  <w:num w:numId="19">
    <w:abstractNumId w:val="2"/>
  </w:num>
  <w:num w:numId="20">
    <w:abstractNumId w:val="30"/>
  </w:num>
  <w:num w:numId="21">
    <w:abstractNumId w:val="4"/>
  </w:num>
  <w:num w:numId="22">
    <w:abstractNumId w:val="20"/>
  </w:num>
  <w:num w:numId="23">
    <w:abstractNumId w:val="27"/>
  </w:num>
  <w:num w:numId="24">
    <w:abstractNumId w:val="10"/>
  </w:num>
  <w:num w:numId="25">
    <w:abstractNumId w:val="8"/>
  </w:num>
  <w:num w:numId="26">
    <w:abstractNumId w:val="21"/>
  </w:num>
  <w:num w:numId="27">
    <w:abstractNumId w:val="15"/>
  </w:num>
  <w:num w:numId="28">
    <w:abstractNumId w:val="13"/>
  </w:num>
  <w:num w:numId="29">
    <w:abstractNumId w:val="7"/>
  </w:num>
  <w:num w:numId="30">
    <w:abstractNumId w:val="22"/>
  </w:num>
  <w:num w:numId="31">
    <w:abstractNumId w:val="25"/>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65518"/>
    <w:rsid w:val="00075A17"/>
    <w:rsid w:val="000777E2"/>
    <w:rsid w:val="00080071"/>
    <w:rsid w:val="000D0D67"/>
    <w:rsid w:val="000E09C4"/>
    <w:rsid w:val="000F7466"/>
    <w:rsid w:val="0011350D"/>
    <w:rsid w:val="00127130"/>
    <w:rsid w:val="00135056"/>
    <w:rsid w:val="00141876"/>
    <w:rsid w:val="0014207B"/>
    <w:rsid w:val="00150C49"/>
    <w:rsid w:val="0018168C"/>
    <w:rsid w:val="001A58B3"/>
    <w:rsid w:val="001C6BE2"/>
    <w:rsid w:val="001C7688"/>
    <w:rsid w:val="001D56CC"/>
    <w:rsid w:val="001E0CFD"/>
    <w:rsid w:val="001F3515"/>
    <w:rsid w:val="002015AE"/>
    <w:rsid w:val="00233005"/>
    <w:rsid w:val="00233F17"/>
    <w:rsid w:val="00237120"/>
    <w:rsid w:val="00245D19"/>
    <w:rsid w:val="00293002"/>
    <w:rsid w:val="002958FA"/>
    <w:rsid w:val="002961A6"/>
    <w:rsid w:val="0029641C"/>
    <w:rsid w:val="002A3601"/>
    <w:rsid w:val="002B1D44"/>
    <w:rsid w:val="002B7C6F"/>
    <w:rsid w:val="002D111C"/>
    <w:rsid w:val="002D3F44"/>
    <w:rsid w:val="002F6393"/>
    <w:rsid w:val="00302476"/>
    <w:rsid w:val="00331F35"/>
    <w:rsid w:val="00335CDF"/>
    <w:rsid w:val="00362A11"/>
    <w:rsid w:val="00366439"/>
    <w:rsid w:val="00380554"/>
    <w:rsid w:val="00390A30"/>
    <w:rsid w:val="003A268D"/>
    <w:rsid w:val="003A40C1"/>
    <w:rsid w:val="003B0255"/>
    <w:rsid w:val="003B5D3E"/>
    <w:rsid w:val="003F35FD"/>
    <w:rsid w:val="003F52DA"/>
    <w:rsid w:val="0041385B"/>
    <w:rsid w:val="00416357"/>
    <w:rsid w:val="00441BFA"/>
    <w:rsid w:val="00441E18"/>
    <w:rsid w:val="00454FBD"/>
    <w:rsid w:val="004558F3"/>
    <w:rsid w:val="004565C2"/>
    <w:rsid w:val="004C43D3"/>
    <w:rsid w:val="004D0573"/>
    <w:rsid w:val="004D7CD8"/>
    <w:rsid w:val="004E5068"/>
    <w:rsid w:val="004F7A00"/>
    <w:rsid w:val="00523E60"/>
    <w:rsid w:val="00523F48"/>
    <w:rsid w:val="005365FA"/>
    <w:rsid w:val="00550AB5"/>
    <w:rsid w:val="0055624C"/>
    <w:rsid w:val="005723CB"/>
    <w:rsid w:val="00575400"/>
    <w:rsid w:val="00591A20"/>
    <w:rsid w:val="005B18AF"/>
    <w:rsid w:val="005D5A50"/>
    <w:rsid w:val="005F5301"/>
    <w:rsid w:val="005F65B7"/>
    <w:rsid w:val="006067C7"/>
    <w:rsid w:val="006159AD"/>
    <w:rsid w:val="006414F2"/>
    <w:rsid w:val="00645515"/>
    <w:rsid w:val="00646436"/>
    <w:rsid w:val="00657603"/>
    <w:rsid w:val="00664420"/>
    <w:rsid w:val="0068301E"/>
    <w:rsid w:val="006A646A"/>
    <w:rsid w:val="006A6ACD"/>
    <w:rsid w:val="006B10B0"/>
    <w:rsid w:val="006E13CF"/>
    <w:rsid w:val="006E25BC"/>
    <w:rsid w:val="006E6BBC"/>
    <w:rsid w:val="006F7768"/>
    <w:rsid w:val="00717E59"/>
    <w:rsid w:val="007517BD"/>
    <w:rsid w:val="007562E6"/>
    <w:rsid w:val="0075751F"/>
    <w:rsid w:val="00773DD6"/>
    <w:rsid w:val="00775BFC"/>
    <w:rsid w:val="00790EB8"/>
    <w:rsid w:val="00794BA5"/>
    <w:rsid w:val="007A2B8D"/>
    <w:rsid w:val="007A3459"/>
    <w:rsid w:val="007B6074"/>
    <w:rsid w:val="007D1C55"/>
    <w:rsid w:val="007D1C84"/>
    <w:rsid w:val="007D317F"/>
    <w:rsid w:val="007E07E1"/>
    <w:rsid w:val="007E528B"/>
    <w:rsid w:val="007F5D06"/>
    <w:rsid w:val="00805A6E"/>
    <w:rsid w:val="00811211"/>
    <w:rsid w:val="00823BA5"/>
    <w:rsid w:val="00826C28"/>
    <w:rsid w:val="00831728"/>
    <w:rsid w:val="00864CC1"/>
    <w:rsid w:val="00865CF4"/>
    <w:rsid w:val="00876DBC"/>
    <w:rsid w:val="008807A6"/>
    <w:rsid w:val="008819C9"/>
    <w:rsid w:val="00893625"/>
    <w:rsid w:val="008A6003"/>
    <w:rsid w:val="008A6F88"/>
    <w:rsid w:val="008B1E16"/>
    <w:rsid w:val="008C1987"/>
    <w:rsid w:val="008E1316"/>
    <w:rsid w:val="008E6224"/>
    <w:rsid w:val="008F2666"/>
    <w:rsid w:val="00907A52"/>
    <w:rsid w:val="00910FD2"/>
    <w:rsid w:val="0091536E"/>
    <w:rsid w:val="00931437"/>
    <w:rsid w:val="00936B5A"/>
    <w:rsid w:val="00953430"/>
    <w:rsid w:val="00970EB3"/>
    <w:rsid w:val="00976247"/>
    <w:rsid w:val="00993ED0"/>
    <w:rsid w:val="009977C3"/>
    <w:rsid w:val="009A2D78"/>
    <w:rsid w:val="009A7C10"/>
    <w:rsid w:val="009B2945"/>
    <w:rsid w:val="009D5576"/>
    <w:rsid w:val="009E2DEE"/>
    <w:rsid w:val="009F797C"/>
    <w:rsid w:val="00A131AC"/>
    <w:rsid w:val="00A16D85"/>
    <w:rsid w:val="00A21A20"/>
    <w:rsid w:val="00A35DA7"/>
    <w:rsid w:val="00A36A99"/>
    <w:rsid w:val="00A53315"/>
    <w:rsid w:val="00A5485D"/>
    <w:rsid w:val="00A63966"/>
    <w:rsid w:val="00A70EF0"/>
    <w:rsid w:val="00A76102"/>
    <w:rsid w:val="00A815EA"/>
    <w:rsid w:val="00A9208D"/>
    <w:rsid w:val="00AA6EA9"/>
    <w:rsid w:val="00AC2DB8"/>
    <w:rsid w:val="00AC3CA0"/>
    <w:rsid w:val="00AE3DA7"/>
    <w:rsid w:val="00AE5AEF"/>
    <w:rsid w:val="00AF03C4"/>
    <w:rsid w:val="00B22A80"/>
    <w:rsid w:val="00B36848"/>
    <w:rsid w:val="00B568AC"/>
    <w:rsid w:val="00B65555"/>
    <w:rsid w:val="00BA1AB6"/>
    <w:rsid w:val="00BA55A8"/>
    <w:rsid w:val="00BB2ABF"/>
    <w:rsid w:val="00BB64F4"/>
    <w:rsid w:val="00BD2738"/>
    <w:rsid w:val="00BD3F4F"/>
    <w:rsid w:val="00BD5A7C"/>
    <w:rsid w:val="00BE7A1B"/>
    <w:rsid w:val="00BF0221"/>
    <w:rsid w:val="00BF091A"/>
    <w:rsid w:val="00BF4EAD"/>
    <w:rsid w:val="00C049E2"/>
    <w:rsid w:val="00C141B3"/>
    <w:rsid w:val="00C36795"/>
    <w:rsid w:val="00C37F43"/>
    <w:rsid w:val="00C43BF2"/>
    <w:rsid w:val="00C461EC"/>
    <w:rsid w:val="00C507D4"/>
    <w:rsid w:val="00C56987"/>
    <w:rsid w:val="00C71CEF"/>
    <w:rsid w:val="00C72DAA"/>
    <w:rsid w:val="00C80B14"/>
    <w:rsid w:val="00CA50B3"/>
    <w:rsid w:val="00CB7C31"/>
    <w:rsid w:val="00CB7E9A"/>
    <w:rsid w:val="00CD0B92"/>
    <w:rsid w:val="00CD3244"/>
    <w:rsid w:val="00CE1DFB"/>
    <w:rsid w:val="00CE29D3"/>
    <w:rsid w:val="00CE2F67"/>
    <w:rsid w:val="00CF2D8B"/>
    <w:rsid w:val="00CF7586"/>
    <w:rsid w:val="00CF7F0C"/>
    <w:rsid w:val="00D036D3"/>
    <w:rsid w:val="00D07C17"/>
    <w:rsid w:val="00D2790D"/>
    <w:rsid w:val="00D44B43"/>
    <w:rsid w:val="00D51B13"/>
    <w:rsid w:val="00D51ECD"/>
    <w:rsid w:val="00D5461D"/>
    <w:rsid w:val="00D6170E"/>
    <w:rsid w:val="00D91CB4"/>
    <w:rsid w:val="00DB1C09"/>
    <w:rsid w:val="00DD45BF"/>
    <w:rsid w:val="00DE1133"/>
    <w:rsid w:val="00DF4E89"/>
    <w:rsid w:val="00E10C48"/>
    <w:rsid w:val="00E11AA0"/>
    <w:rsid w:val="00E16BF5"/>
    <w:rsid w:val="00E33D99"/>
    <w:rsid w:val="00E37A3F"/>
    <w:rsid w:val="00E37D3C"/>
    <w:rsid w:val="00E62E6A"/>
    <w:rsid w:val="00E73A29"/>
    <w:rsid w:val="00E73CAD"/>
    <w:rsid w:val="00E83EF5"/>
    <w:rsid w:val="00E9335C"/>
    <w:rsid w:val="00ED1C1E"/>
    <w:rsid w:val="00EE2AF2"/>
    <w:rsid w:val="00F07EE6"/>
    <w:rsid w:val="00F33CC8"/>
    <w:rsid w:val="00F4481C"/>
    <w:rsid w:val="00F45902"/>
    <w:rsid w:val="00F54F05"/>
    <w:rsid w:val="00F75D23"/>
    <w:rsid w:val="00FA5957"/>
    <w:rsid w:val="00FC3CE0"/>
    <w:rsid w:val="00FD06A8"/>
    <w:rsid w:val="00FD62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68C"/>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Citas">
    <w:name w:val="Citas"/>
    <w:basedOn w:val="Normal"/>
    <w:qFormat/>
    <w:rsid w:val="001D56CC"/>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683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39404">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12573186">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D38DAE-EDE3-4FD7-8D76-56F9B7436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37</Pages>
  <Words>9594</Words>
  <Characters>52767</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7</cp:revision>
  <cp:lastPrinted>2024-08-23T16:08:00Z</cp:lastPrinted>
  <dcterms:created xsi:type="dcterms:W3CDTF">2024-08-19T22:36:00Z</dcterms:created>
  <dcterms:modified xsi:type="dcterms:W3CDTF">2024-08-23T16:10:00Z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