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5621F4" w:rsidRDefault="00AE3DA7" w:rsidP="005621F4">
          <w:pPr>
            <w:pStyle w:val="TtulodeTDC"/>
            <w:spacing w:before="0" w:line="240" w:lineRule="auto"/>
            <w:rPr>
              <w:rFonts w:ascii="Palatino Linotype" w:hAnsi="Palatino Linotype"/>
              <w:color w:val="auto"/>
              <w:sz w:val="22"/>
              <w:szCs w:val="22"/>
              <w:lang w:val="es-ES"/>
            </w:rPr>
          </w:pPr>
          <w:r w:rsidRPr="005621F4">
            <w:rPr>
              <w:rFonts w:ascii="Palatino Linotype" w:hAnsi="Palatino Linotype"/>
              <w:color w:val="auto"/>
              <w:sz w:val="22"/>
              <w:szCs w:val="22"/>
              <w:lang w:val="es-ES"/>
            </w:rPr>
            <w:t>Contenido</w:t>
          </w:r>
        </w:p>
        <w:p w14:paraId="3EB312A7" w14:textId="77777777" w:rsidR="00AA6EA9" w:rsidRPr="005621F4" w:rsidRDefault="00AA6EA9" w:rsidP="005621F4">
          <w:pPr>
            <w:spacing w:line="240" w:lineRule="auto"/>
            <w:rPr>
              <w:szCs w:val="22"/>
              <w:lang w:val="es-ES" w:eastAsia="es-MX"/>
            </w:rPr>
          </w:pPr>
        </w:p>
        <w:p w14:paraId="6E7010E5" w14:textId="77777777" w:rsidR="00EB262C" w:rsidRPr="005621F4" w:rsidRDefault="00AE3DA7" w:rsidP="005621F4">
          <w:pPr>
            <w:pStyle w:val="TDC1"/>
            <w:tabs>
              <w:tab w:val="right" w:leader="dot" w:pos="9034"/>
            </w:tabs>
            <w:rPr>
              <w:rFonts w:asciiTheme="minorHAnsi" w:eastAsiaTheme="minorEastAsia" w:hAnsiTheme="minorHAnsi" w:cstheme="minorBidi"/>
              <w:noProof/>
              <w:szCs w:val="22"/>
              <w:lang w:eastAsia="es-MX"/>
            </w:rPr>
          </w:pPr>
          <w:r w:rsidRPr="005621F4">
            <w:rPr>
              <w:szCs w:val="22"/>
            </w:rPr>
            <w:fldChar w:fldCharType="begin"/>
          </w:r>
          <w:r w:rsidRPr="005621F4">
            <w:rPr>
              <w:szCs w:val="22"/>
            </w:rPr>
            <w:instrText xml:space="preserve"> TOC \o "1-3" \h \z \u </w:instrText>
          </w:r>
          <w:r w:rsidRPr="005621F4">
            <w:rPr>
              <w:szCs w:val="22"/>
            </w:rPr>
            <w:fldChar w:fldCharType="separate"/>
          </w:r>
          <w:hyperlink w:anchor="_Toc178766447" w:history="1">
            <w:r w:rsidR="00EB262C" w:rsidRPr="005621F4">
              <w:rPr>
                <w:rStyle w:val="Hipervnculo"/>
                <w:noProof/>
                <w:color w:val="auto"/>
              </w:rPr>
              <w:t>ANTECEDENTES</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_Toc178766447 \h </w:instrText>
            </w:r>
            <w:r w:rsidR="00EB262C" w:rsidRPr="005621F4">
              <w:rPr>
                <w:noProof/>
                <w:webHidden/>
              </w:rPr>
            </w:r>
            <w:r w:rsidR="00EB262C" w:rsidRPr="005621F4">
              <w:rPr>
                <w:noProof/>
                <w:webHidden/>
              </w:rPr>
              <w:fldChar w:fldCharType="separate"/>
            </w:r>
            <w:r w:rsidR="00181928">
              <w:rPr>
                <w:noProof/>
                <w:webHidden/>
              </w:rPr>
              <w:t>1</w:t>
            </w:r>
            <w:r w:rsidR="00EB262C" w:rsidRPr="005621F4">
              <w:rPr>
                <w:noProof/>
                <w:webHidden/>
              </w:rPr>
              <w:fldChar w:fldCharType="end"/>
            </w:r>
          </w:hyperlink>
        </w:p>
        <w:p w14:paraId="5C450764" w14:textId="77777777" w:rsidR="00EB262C" w:rsidRPr="005621F4" w:rsidRDefault="00181928" w:rsidP="005621F4">
          <w:pPr>
            <w:pStyle w:val="TDC2"/>
            <w:rPr>
              <w:rFonts w:asciiTheme="minorHAnsi" w:eastAsiaTheme="minorEastAsia" w:hAnsiTheme="minorHAnsi" w:cstheme="minorBidi"/>
              <w:noProof/>
              <w:szCs w:val="22"/>
              <w:lang w:eastAsia="es-MX"/>
            </w:rPr>
          </w:pPr>
          <w:hyperlink w:anchor="_Toc178766448" w:history="1">
            <w:r w:rsidR="00EB262C" w:rsidRPr="005621F4">
              <w:rPr>
                <w:rStyle w:val="Hipervnculo"/>
                <w:noProof/>
                <w:color w:val="auto"/>
              </w:rPr>
              <w:t>DE LAS SOLICITUDES DE INFORMACIÓN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_Toc178766448 \h </w:instrText>
            </w:r>
            <w:r w:rsidR="00EB262C" w:rsidRPr="005621F4">
              <w:rPr>
                <w:noProof/>
                <w:webHidden/>
              </w:rPr>
            </w:r>
            <w:r w:rsidR="00EB262C" w:rsidRPr="005621F4">
              <w:rPr>
                <w:noProof/>
                <w:webHidden/>
              </w:rPr>
              <w:fldChar w:fldCharType="separate"/>
            </w:r>
            <w:r>
              <w:rPr>
                <w:noProof/>
                <w:webHidden/>
              </w:rPr>
              <w:t>1</w:t>
            </w:r>
            <w:r w:rsidR="00EB262C" w:rsidRPr="005621F4">
              <w:rPr>
                <w:noProof/>
                <w:webHidden/>
              </w:rPr>
              <w:fldChar w:fldCharType="end"/>
            </w:r>
          </w:hyperlink>
        </w:p>
        <w:p w14:paraId="5F397E3D"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49" w:history="1">
            <w:r w:rsidR="00EB262C" w:rsidRPr="005621F4">
              <w:rPr>
                <w:rStyle w:val="Hipervnculo"/>
                <w:noProof/>
                <w:color w:val="auto"/>
              </w:rPr>
              <w:t>a) Solicitudes de información.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_Toc178766449 \h </w:instrText>
            </w:r>
            <w:r w:rsidR="00EB262C" w:rsidRPr="005621F4">
              <w:rPr>
                <w:noProof/>
                <w:webHidden/>
              </w:rPr>
            </w:r>
            <w:r w:rsidR="00EB262C" w:rsidRPr="005621F4">
              <w:rPr>
                <w:noProof/>
                <w:webHidden/>
              </w:rPr>
              <w:fldChar w:fldCharType="separate"/>
            </w:r>
            <w:r>
              <w:rPr>
                <w:noProof/>
                <w:webHidden/>
              </w:rPr>
              <w:t>1</w:t>
            </w:r>
            <w:r w:rsidR="00EB262C" w:rsidRPr="005621F4">
              <w:rPr>
                <w:noProof/>
                <w:webHidden/>
              </w:rPr>
              <w:fldChar w:fldCharType="end"/>
            </w:r>
          </w:hyperlink>
        </w:p>
        <w:p w14:paraId="3BACCE1D"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50" w:history="1">
            <w:r w:rsidR="00EB262C" w:rsidRPr="005621F4">
              <w:rPr>
                <w:rStyle w:val="Hipervnculo"/>
                <w:noProof/>
                <w:color w:val="auto"/>
              </w:rPr>
              <w:t>b) Turno de las solicitudes de información.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_Toc178766450 \h </w:instrText>
            </w:r>
            <w:r w:rsidR="00EB262C" w:rsidRPr="005621F4">
              <w:rPr>
                <w:noProof/>
                <w:webHidden/>
              </w:rPr>
            </w:r>
            <w:r w:rsidR="00EB262C" w:rsidRPr="005621F4">
              <w:rPr>
                <w:noProof/>
                <w:webHidden/>
              </w:rPr>
              <w:fldChar w:fldCharType="separate"/>
            </w:r>
            <w:r>
              <w:rPr>
                <w:noProof/>
                <w:webHidden/>
              </w:rPr>
              <w:t>2</w:t>
            </w:r>
            <w:r w:rsidR="00EB262C" w:rsidRPr="005621F4">
              <w:rPr>
                <w:noProof/>
                <w:webHidden/>
              </w:rPr>
              <w:fldChar w:fldCharType="end"/>
            </w:r>
          </w:hyperlink>
        </w:p>
        <w:p w14:paraId="6F6C1436"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51" w:history="1">
            <w:r w:rsidR="00EB262C" w:rsidRPr="005621F4">
              <w:rPr>
                <w:rStyle w:val="Hipervnculo"/>
                <w:noProof/>
                <w:color w:val="auto"/>
                <w:lang w:val="es-ES"/>
              </w:rPr>
              <w:t xml:space="preserve">c) Respuestas </w:t>
            </w:r>
            <w:r w:rsidR="00EB262C" w:rsidRPr="005621F4">
              <w:rPr>
                <w:rStyle w:val="Hipervnculo"/>
                <w:rFonts w:eastAsia="Calibri"/>
                <w:noProof/>
                <w:color w:val="auto"/>
                <w:lang w:eastAsia="en-US"/>
              </w:rPr>
              <w:t>del Sujeto Obligado.</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_Toc178766451 \h </w:instrText>
            </w:r>
            <w:r w:rsidR="00EB262C" w:rsidRPr="005621F4">
              <w:rPr>
                <w:noProof/>
                <w:webHidden/>
              </w:rPr>
            </w:r>
            <w:r w:rsidR="00EB262C" w:rsidRPr="005621F4">
              <w:rPr>
                <w:noProof/>
                <w:webHidden/>
              </w:rPr>
              <w:fldChar w:fldCharType="separate"/>
            </w:r>
            <w:r>
              <w:rPr>
                <w:noProof/>
                <w:webHidden/>
              </w:rPr>
              <w:t>3</w:t>
            </w:r>
            <w:r w:rsidR="00EB262C" w:rsidRPr="005621F4">
              <w:rPr>
                <w:noProof/>
                <w:webHidden/>
              </w:rPr>
              <w:fldChar w:fldCharType="end"/>
            </w:r>
          </w:hyperlink>
        </w:p>
        <w:p w14:paraId="2050481E" w14:textId="77777777" w:rsidR="00EB262C" w:rsidRPr="005621F4" w:rsidRDefault="00181928" w:rsidP="005621F4">
          <w:pPr>
            <w:pStyle w:val="TDC2"/>
            <w:rPr>
              <w:rFonts w:asciiTheme="minorHAnsi" w:eastAsiaTheme="minorEastAsia" w:hAnsiTheme="minorHAnsi" w:cstheme="minorBidi"/>
              <w:noProof/>
              <w:szCs w:val="22"/>
              <w:lang w:eastAsia="es-MX"/>
            </w:rPr>
          </w:pPr>
          <w:hyperlink w:anchor="_Toc178766452" w:history="1">
            <w:r w:rsidR="00EB262C" w:rsidRPr="005621F4">
              <w:rPr>
                <w:rStyle w:val="Hipervnculo"/>
                <w:noProof/>
                <w:color w:val="auto"/>
              </w:rPr>
              <w:t>DEL RECURSO DE REVISIÓN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_Toc178766452 \h </w:instrText>
            </w:r>
            <w:r w:rsidR="00EB262C" w:rsidRPr="005621F4">
              <w:rPr>
                <w:noProof/>
                <w:webHidden/>
              </w:rPr>
            </w:r>
            <w:r w:rsidR="00EB262C" w:rsidRPr="005621F4">
              <w:rPr>
                <w:noProof/>
                <w:webHidden/>
              </w:rPr>
              <w:fldChar w:fldCharType="separate"/>
            </w:r>
            <w:r>
              <w:rPr>
                <w:noProof/>
                <w:webHidden/>
              </w:rPr>
              <w:t>5</w:t>
            </w:r>
            <w:r w:rsidR="00EB262C" w:rsidRPr="005621F4">
              <w:rPr>
                <w:noProof/>
                <w:webHidden/>
              </w:rPr>
              <w:fldChar w:fldCharType="end"/>
            </w:r>
          </w:hyperlink>
        </w:p>
        <w:p w14:paraId="42EB5AF9"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53" w:history="1">
            <w:r w:rsidR="00EB262C" w:rsidRPr="005621F4">
              <w:rPr>
                <w:rStyle w:val="Hipervnculo"/>
                <w:noProof/>
                <w:color w:val="auto"/>
              </w:rPr>
              <w:t>a) Interposición de los Recursos de Revisión.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_Toc178766453 \h </w:instrText>
            </w:r>
            <w:r w:rsidR="00EB262C" w:rsidRPr="005621F4">
              <w:rPr>
                <w:noProof/>
                <w:webHidden/>
              </w:rPr>
            </w:r>
            <w:r w:rsidR="00EB262C" w:rsidRPr="005621F4">
              <w:rPr>
                <w:noProof/>
                <w:webHidden/>
              </w:rPr>
              <w:fldChar w:fldCharType="separate"/>
            </w:r>
            <w:r>
              <w:rPr>
                <w:noProof/>
                <w:webHidden/>
              </w:rPr>
              <w:t>5</w:t>
            </w:r>
            <w:r w:rsidR="00EB262C" w:rsidRPr="005621F4">
              <w:rPr>
                <w:noProof/>
                <w:webHidden/>
              </w:rPr>
              <w:fldChar w:fldCharType="end"/>
            </w:r>
          </w:hyperlink>
        </w:p>
        <w:p w14:paraId="5A0DE583"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54" w:history="1">
            <w:r w:rsidR="00EB262C" w:rsidRPr="005621F4">
              <w:rPr>
                <w:rStyle w:val="Hipervnculo"/>
                <w:noProof/>
                <w:color w:val="auto"/>
              </w:rPr>
              <w:t>b) Turno de los Recursos de Revisión.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_Toc178766454 \h </w:instrText>
            </w:r>
            <w:r w:rsidR="00EB262C" w:rsidRPr="005621F4">
              <w:rPr>
                <w:noProof/>
                <w:webHidden/>
              </w:rPr>
            </w:r>
            <w:r w:rsidR="00EB262C" w:rsidRPr="005621F4">
              <w:rPr>
                <w:noProof/>
                <w:webHidden/>
              </w:rPr>
              <w:fldChar w:fldCharType="separate"/>
            </w:r>
            <w:r>
              <w:rPr>
                <w:noProof/>
                <w:webHidden/>
              </w:rPr>
              <w:t>6</w:t>
            </w:r>
            <w:r w:rsidR="00EB262C" w:rsidRPr="005621F4">
              <w:rPr>
                <w:noProof/>
                <w:webHidden/>
              </w:rPr>
              <w:fldChar w:fldCharType="end"/>
            </w:r>
          </w:hyperlink>
        </w:p>
        <w:p w14:paraId="622AB15F"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55" w:history="1">
            <w:r w:rsidR="00EB262C" w:rsidRPr="005621F4">
              <w:rPr>
                <w:rStyle w:val="Hipervnculo"/>
                <w:noProof/>
                <w:color w:val="auto"/>
              </w:rPr>
              <w:t>c) Admisiones de los Recursos de Revisión.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_Toc178766455 \h </w:instrText>
            </w:r>
            <w:r w:rsidR="00EB262C" w:rsidRPr="005621F4">
              <w:rPr>
                <w:noProof/>
                <w:webHidden/>
              </w:rPr>
            </w:r>
            <w:r w:rsidR="00EB262C" w:rsidRPr="005621F4">
              <w:rPr>
                <w:noProof/>
                <w:webHidden/>
              </w:rPr>
              <w:fldChar w:fldCharType="separate"/>
            </w:r>
            <w:r>
              <w:rPr>
                <w:noProof/>
                <w:webHidden/>
              </w:rPr>
              <w:t>6</w:t>
            </w:r>
            <w:r w:rsidR="00EB262C" w:rsidRPr="005621F4">
              <w:rPr>
                <w:noProof/>
                <w:webHidden/>
              </w:rPr>
              <w:fldChar w:fldCharType="end"/>
            </w:r>
          </w:hyperlink>
        </w:p>
        <w:p w14:paraId="1AE3811A"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56" w:history="1">
            <w:r w:rsidR="00EB262C" w:rsidRPr="005621F4">
              <w:rPr>
                <w:rStyle w:val="Hipervnculo"/>
                <w:noProof/>
                <w:color w:val="auto"/>
              </w:rPr>
              <w:t>d) Manifestaciones del Sujeto Obligado.</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_Toc178766456 \h </w:instrText>
            </w:r>
            <w:r w:rsidR="00EB262C" w:rsidRPr="005621F4">
              <w:rPr>
                <w:noProof/>
                <w:webHidden/>
              </w:rPr>
            </w:r>
            <w:r w:rsidR="00EB262C" w:rsidRPr="005621F4">
              <w:rPr>
                <w:noProof/>
                <w:webHidden/>
              </w:rPr>
              <w:fldChar w:fldCharType="separate"/>
            </w:r>
            <w:r>
              <w:rPr>
                <w:noProof/>
                <w:webHidden/>
              </w:rPr>
              <w:t>6</w:t>
            </w:r>
            <w:r w:rsidR="00EB262C" w:rsidRPr="005621F4">
              <w:rPr>
                <w:noProof/>
                <w:webHidden/>
              </w:rPr>
              <w:fldChar w:fldCharType="end"/>
            </w:r>
          </w:hyperlink>
        </w:p>
        <w:p w14:paraId="24DC7207"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57" w:history="1">
            <w:r w:rsidR="00EB262C" w:rsidRPr="005621F4">
              <w:rPr>
                <w:rStyle w:val="Hipervnculo"/>
                <w:rFonts w:eastAsia="Calibri"/>
                <w:bCs/>
                <w:noProof/>
                <w:color w:val="auto"/>
                <w:lang w:eastAsia="en-US"/>
              </w:rPr>
              <w:t>e)</w:t>
            </w:r>
            <w:r w:rsidR="00EB262C" w:rsidRPr="005621F4">
              <w:rPr>
                <w:rStyle w:val="Hipervnculo"/>
                <w:noProof/>
                <w:color w:val="auto"/>
              </w:rPr>
              <w:t xml:space="preserve"> </w:t>
            </w:r>
            <w:r w:rsidR="00EB262C" w:rsidRPr="005621F4">
              <w:rPr>
                <w:rStyle w:val="Hipervnculo"/>
                <w:noProof/>
                <w:color w:val="auto"/>
                <w:lang w:val="es-ES"/>
              </w:rPr>
              <w:t>Manifestaciones de la Parte Recurrente.</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_Toc178766457 \h </w:instrText>
            </w:r>
            <w:r w:rsidR="00EB262C" w:rsidRPr="005621F4">
              <w:rPr>
                <w:noProof/>
                <w:webHidden/>
              </w:rPr>
            </w:r>
            <w:r w:rsidR="00EB262C" w:rsidRPr="005621F4">
              <w:rPr>
                <w:noProof/>
                <w:webHidden/>
              </w:rPr>
              <w:fldChar w:fldCharType="separate"/>
            </w:r>
            <w:r>
              <w:rPr>
                <w:noProof/>
                <w:webHidden/>
              </w:rPr>
              <w:t>8</w:t>
            </w:r>
            <w:r w:rsidR="00EB262C" w:rsidRPr="005621F4">
              <w:rPr>
                <w:noProof/>
                <w:webHidden/>
              </w:rPr>
              <w:fldChar w:fldCharType="end"/>
            </w:r>
          </w:hyperlink>
        </w:p>
        <w:p w14:paraId="380F3722"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58" w:history="1">
            <w:r w:rsidR="00EB262C" w:rsidRPr="005621F4">
              <w:rPr>
                <w:rStyle w:val="Hipervnculo"/>
                <w:noProof/>
                <w:color w:val="auto"/>
              </w:rPr>
              <w:t>f) Acumulación de los Recursos de Revisión.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_Toc178766458 \h </w:instrText>
            </w:r>
            <w:r w:rsidR="00EB262C" w:rsidRPr="005621F4">
              <w:rPr>
                <w:noProof/>
                <w:webHidden/>
              </w:rPr>
            </w:r>
            <w:r w:rsidR="00EB262C" w:rsidRPr="005621F4">
              <w:rPr>
                <w:noProof/>
                <w:webHidden/>
              </w:rPr>
              <w:fldChar w:fldCharType="separate"/>
            </w:r>
            <w:r>
              <w:rPr>
                <w:noProof/>
                <w:webHidden/>
              </w:rPr>
              <w:t>9</w:t>
            </w:r>
            <w:r w:rsidR="00EB262C" w:rsidRPr="005621F4">
              <w:rPr>
                <w:noProof/>
                <w:webHidden/>
              </w:rPr>
              <w:fldChar w:fldCharType="end"/>
            </w:r>
          </w:hyperlink>
        </w:p>
        <w:p w14:paraId="3AC2DCDB"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59" w:history="1">
            <w:r w:rsidR="00EB262C" w:rsidRPr="005621F4">
              <w:rPr>
                <w:rStyle w:val="Hipervnculo"/>
                <w:noProof/>
                <w:color w:val="auto"/>
              </w:rPr>
              <w:t>g) Ampliación de plazo para resolver el Recurso de Revisión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_Toc178766459 \h </w:instrText>
            </w:r>
            <w:r w:rsidR="00EB262C" w:rsidRPr="005621F4">
              <w:rPr>
                <w:noProof/>
                <w:webHidden/>
              </w:rPr>
            </w:r>
            <w:r w:rsidR="00EB262C" w:rsidRPr="005621F4">
              <w:rPr>
                <w:noProof/>
                <w:webHidden/>
              </w:rPr>
              <w:fldChar w:fldCharType="separate"/>
            </w:r>
            <w:r>
              <w:rPr>
                <w:noProof/>
                <w:webHidden/>
              </w:rPr>
              <w:t>9</w:t>
            </w:r>
            <w:r w:rsidR="00EB262C" w:rsidRPr="005621F4">
              <w:rPr>
                <w:noProof/>
                <w:webHidden/>
              </w:rPr>
              <w:fldChar w:fldCharType="end"/>
            </w:r>
          </w:hyperlink>
        </w:p>
        <w:p w14:paraId="609F9EAA"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60" w:history="1">
            <w:r w:rsidR="00EB262C" w:rsidRPr="005621F4">
              <w:rPr>
                <w:rStyle w:val="Hipervnculo"/>
                <w:noProof/>
                <w:color w:val="auto"/>
              </w:rPr>
              <w:t>h) Cierres de instrucción.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_Toc178766460 \h </w:instrText>
            </w:r>
            <w:r w:rsidR="00EB262C" w:rsidRPr="005621F4">
              <w:rPr>
                <w:noProof/>
                <w:webHidden/>
              </w:rPr>
            </w:r>
            <w:r w:rsidR="00EB262C" w:rsidRPr="005621F4">
              <w:rPr>
                <w:noProof/>
                <w:webHidden/>
              </w:rPr>
              <w:fldChar w:fldCharType="separate"/>
            </w:r>
            <w:r>
              <w:rPr>
                <w:noProof/>
                <w:webHidden/>
              </w:rPr>
              <w:t>12</w:t>
            </w:r>
            <w:r w:rsidR="00EB262C" w:rsidRPr="005621F4">
              <w:rPr>
                <w:noProof/>
                <w:webHidden/>
              </w:rPr>
              <w:fldChar w:fldCharType="end"/>
            </w:r>
          </w:hyperlink>
        </w:p>
        <w:p w14:paraId="6696C92E" w14:textId="77777777" w:rsidR="00EB262C" w:rsidRPr="005621F4" w:rsidRDefault="00181928" w:rsidP="005621F4">
          <w:pPr>
            <w:pStyle w:val="TDC1"/>
            <w:tabs>
              <w:tab w:val="right" w:leader="dot" w:pos="9034"/>
            </w:tabs>
            <w:rPr>
              <w:rFonts w:asciiTheme="minorHAnsi" w:eastAsiaTheme="minorEastAsia" w:hAnsiTheme="minorHAnsi" w:cstheme="minorBidi"/>
              <w:noProof/>
              <w:szCs w:val="22"/>
              <w:lang w:eastAsia="es-MX"/>
            </w:rPr>
          </w:pPr>
          <w:hyperlink w:anchor="_Toc178766461" w:history="1">
            <w:r w:rsidR="00EB262C" w:rsidRPr="005621F4">
              <w:rPr>
                <w:rStyle w:val="Hipervnculo"/>
                <w:rFonts w:eastAsiaTheme="minorHAnsi"/>
                <w:noProof/>
                <w:color w:val="auto"/>
                <w:lang w:eastAsia="en-US"/>
              </w:rPr>
              <w:t>CONSIDERANDOS</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_Toc178766461 \h </w:instrText>
            </w:r>
            <w:r w:rsidR="00EB262C" w:rsidRPr="005621F4">
              <w:rPr>
                <w:noProof/>
                <w:webHidden/>
              </w:rPr>
            </w:r>
            <w:r w:rsidR="00EB262C" w:rsidRPr="005621F4">
              <w:rPr>
                <w:noProof/>
                <w:webHidden/>
              </w:rPr>
              <w:fldChar w:fldCharType="separate"/>
            </w:r>
            <w:r>
              <w:rPr>
                <w:noProof/>
                <w:webHidden/>
              </w:rPr>
              <w:t>12</w:t>
            </w:r>
            <w:r w:rsidR="00EB262C" w:rsidRPr="005621F4">
              <w:rPr>
                <w:noProof/>
                <w:webHidden/>
              </w:rPr>
              <w:fldChar w:fldCharType="end"/>
            </w:r>
          </w:hyperlink>
        </w:p>
        <w:p w14:paraId="41B0D95B" w14:textId="77777777" w:rsidR="00EB262C" w:rsidRPr="005621F4" w:rsidRDefault="00181928" w:rsidP="005621F4">
          <w:pPr>
            <w:pStyle w:val="TDC2"/>
            <w:rPr>
              <w:rFonts w:asciiTheme="minorHAnsi" w:eastAsiaTheme="minorEastAsia" w:hAnsiTheme="minorHAnsi" w:cstheme="minorBidi"/>
              <w:noProof/>
              <w:szCs w:val="22"/>
              <w:lang w:eastAsia="es-MX"/>
            </w:rPr>
          </w:pPr>
          <w:hyperlink w:anchor="_Toc178766462" w:history="1">
            <w:r w:rsidR="00EB262C" w:rsidRPr="005621F4">
              <w:rPr>
                <w:rStyle w:val="Hipervnculo"/>
                <w:rFonts w:eastAsia="Batang"/>
                <w:noProof/>
                <w:color w:val="auto"/>
              </w:rPr>
              <w:t>PRIMERO. Procedibilidad</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_Toc178766462 \h </w:instrText>
            </w:r>
            <w:r w:rsidR="00EB262C" w:rsidRPr="005621F4">
              <w:rPr>
                <w:noProof/>
                <w:webHidden/>
              </w:rPr>
            </w:r>
            <w:r w:rsidR="00EB262C" w:rsidRPr="005621F4">
              <w:rPr>
                <w:noProof/>
                <w:webHidden/>
              </w:rPr>
              <w:fldChar w:fldCharType="separate"/>
            </w:r>
            <w:r>
              <w:rPr>
                <w:noProof/>
                <w:webHidden/>
              </w:rPr>
              <w:t>12</w:t>
            </w:r>
            <w:r w:rsidR="00EB262C" w:rsidRPr="005621F4">
              <w:rPr>
                <w:noProof/>
                <w:webHidden/>
              </w:rPr>
              <w:fldChar w:fldCharType="end"/>
            </w:r>
          </w:hyperlink>
        </w:p>
        <w:p w14:paraId="388F4443"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63" w:history="1">
            <w:r w:rsidR="00EB262C" w:rsidRPr="005621F4">
              <w:rPr>
                <w:rStyle w:val="Hipervnculo"/>
                <w:noProof/>
                <w:color w:val="auto"/>
              </w:rPr>
              <w:t>a) Competencia del Instituto.</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_Toc178766463 \h </w:instrText>
            </w:r>
            <w:r w:rsidR="00EB262C" w:rsidRPr="005621F4">
              <w:rPr>
                <w:noProof/>
                <w:webHidden/>
              </w:rPr>
            </w:r>
            <w:r w:rsidR="00EB262C" w:rsidRPr="005621F4">
              <w:rPr>
                <w:noProof/>
                <w:webHidden/>
              </w:rPr>
              <w:fldChar w:fldCharType="separate"/>
            </w:r>
            <w:r>
              <w:rPr>
                <w:noProof/>
                <w:webHidden/>
              </w:rPr>
              <w:t>12</w:t>
            </w:r>
            <w:r w:rsidR="00EB262C" w:rsidRPr="005621F4">
              <w:rPr>
                <w:noProof/>
                <w:webHidden/>
              </w:rPr>
              <w:fldChar w:fldCharType="end"/>
            </w:r>
          </w:hyperlink>
        </w:p>
        <w:p w14:paraId="6B3A8DC3"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64" w:history="1">
            <w:r w:rsidR="00EB262C" w:rsidRPr="005621F4">
              <w:rPr>
                <w:rStyle w:val="Hipervnculo"/>
                <w:noProof/>
                <w:color w:val="auto"/>
              </w:rPr>
              <w:t>b) Legitimidad de la parte recurrente.</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_Toc178766464 \h </w:instrText>
            </w:r>
            <w:r w:rsidR="00EB262C" w:rsidRPr="005621F4">
              <w:rPr>
                <w:noProof/>
                <w:webHidden/>
              </w:rPr>
            </w:r>
            <w:r w:rsidR="00EB262C" w:rsidRPr="005621F4">
              <w:rPr>
                <w:noProof/>
                <w:webHidden/>
              </w:rPr>
              <w:fldChar w:fldCharType="separate"/>
            </w:r>
            <w:r>
              <w:rPr>
                <w:noProof/>
                <w:webHidden/>
              </w:rPr>
              <w:t>13</w:t>
            </w:r>
            <w:r w:rsidR="00EB262C" w:rsidRPr="005621F4">
              <w:rPr>
                <w:noProof/>
                <w:webHidden/>
              </w:rPr>
              <w:fldChar w:fldCharType="end"/>
            </w:r>
          </w:hyperlink>
        </w:p>
        <w:p w14:paraId="405D605C"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65" w:history="1">
            <w:r w:rsidR="00EB262C" w:rsidRPr="005621F4">
              <w:rPr>
                <w:rStyle w:val="Hipervnculo"/>
                <w:rFonts w:eastAsia="Calibri"/>
                <w:noProof/>
                <w:color w:val="auto"/>
                <w:lang w:eastAsia="es-ES_tradnl"/>
              </w:rPr>
              <w:t>c) Plazo para interponer el recurso.</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_Toc178766465 \h </w:instrText>
            </w:r>
            <w:r w:rsidR="00EB262C" w:rsidRPr="005621F4">
              <w:rPr>
                <w:noProof/>
                <w:webHidden/>
              </w:rPr>
            </w:r>
            <w:r w:rsidR="00EB262C" w:rsidRPr="005621F4">
              <w:rPr>
                <w:noProof/>
                <w:webHidden/>
              </w:rPr>
              <w:fldChar w:fldCharType="separate"/>
            </w:r>
            <w:r>
              <w:rPr>
                <w:noProof/>
                <w:webHidden/>
              </w:rPr>
              <w:t>13</w:t>
            </w:r>
            <w:r w:rsidR="00EB262C" w:rsidRPr="005621F4">
              <w:rPr>
                <w:noProof/>
                <w:webHidden/>
              </w:rPr>
              <w:fldChar w:fldCharType="end"/>
            </w:r>
          </w:hyperlink>
        </w:p>
        <w:p w14:paraId="59468043"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66" w:history="1">
            <w:r w:rsidR="00EB262C" w:rsidRPr="005621F4">
              <w:rPr>
                <w:rStyle w:val="Hipervnculo"/>
                <w:rFonts w:eastAsia="Calibri"/>
                <w:noProof/>
                <w:color w:val="auto"/>
                <w:lang w:eastAsia="es-ES_tradnl"/>
              </w:rPr>
              <w:t>d) Causales de procedencia.</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_Toc178766466 \h </w:instrText>
            </w:r>
            <w:r w:rsidR="00EB262C" w:rsidRPr="005621F4">
              <w:rPr>
                <w:noProof/>
                <w:webHidden/>
              </w:rPr>
            </w:r>
            <w:r w:rsidR="00EB262C" w:rsidRPr="005621F4">
              <w:rPr>
                <w:noProof/>
                <w:webHidden/>
              </w:rPr>
              <w:fldChar w:fldCharType="separate"/>
            </w:r>
            <w:r>
              <w:rPr>
                <w:noProof/>
                <w:webHidden/>
              </w:rPr>
              <w:t>14</w:t>
            </w:r>
            <w:r w:rsidR="00EB262C" w:rsidRPr="005621F4">
              <w:rPr>
                <w:noProof/>
                <w:webHidden/>
              </w:rPr>
              <w:fldChar w:fldCharType="end"/>
            </w:r>
          </w:hyperlink>
        </w:p>
        <w:p w14:paraId="00B37830"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67" w:history="1">
            <w:r w:rsidR="00EB262C" w:rsidRPr="005621F4">
              <w:rPr>
                <w:rStyle w:val="Hipervnculo"/>
                <w:noProof/>
                <w:color w:val="auto"/>
              </w:rPr>
              <w:t>e) Requisitos formales para la interposición del recurso.</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_Toc178766467 \h </w:instrText>
            </w:r>
            <w:r w:rsidR="00EB262C" w:rsidRPr="005621F4">
              <w:rPr>
                <w:noProof/>
                <w:webHidden/>
              </w:rPr>
            </w:r>
            <w:r w:rsidR="00EB262C" w:rsidRPr="005621F4">
              <w:rPr>
                <w:noProof/>
                <w:webHidden/>
              </w:rPr>
              <w:fldChar w:fldCharType="separate"/>
            </w:r>
            <w:r>
              <w:rPr>
                <w:noProof/>
                <w:webHidden/>
              </w:rPr>
              <w:t>14</w:t>
            </w:r>
            <w:r w:rsidR="00EB262C" w:rsidRPr="005621F4">
              <w:rPr>
                <w:noProof/>
                <w:webHidden/>
              </w:rPr>
              <w:fldChar w:fldCharType="end"/>
            </w:r>
          </w:hyperlink>
        </w:p>
        <w:p w14:paraId="001687DB"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68" w:history="1">
            <w:r w:rsidR="00EB262C" w:rsidRPr="005621F4">
              <w:rPr>
                <w:rStyle w:val="Hipervnculo"/>
                <w:noProof/>
                <w:color w:val="auto"/>
              </w:rPr>
              <w:t>f) Acumulación de los Recursos de Revisión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_Toc178766468 \h </w:instrText>
            </w:r>
            <w:r w:rsidR="00EB262C" w:rsidRPr="005621F4">
              <w:rPr>
                <w:noProof/>
                <w:webHidden/>
              </w:rPr>
            </w:r>
            <w:r w:rsidR="00EB262C" w:rsidRPr="005621F4">
              <w:rPr>
                <w:noProof/>
                <w:webHidden/>
              </w:rPr>
              <w:fldChar w:fldCharType="separate"/>
            </w:r>
            <w:r>
              <w:rPr>
                <w:noProof/>
                <w:webHidden/>
              </w:rPr>
              <w:t>15</w:t>
            </w:r>
            <w:r w:rsidR="00EB262C" w:rsidRPr="005621F4">
              <w:rPr>
                <w:noProof/>
                <w:webHidden/>
              </w:rPr>
              <w:fldChar w:fldCharType="end"/>
            </w:r>
          </w:hyperlink>
        </w:p>
        <w:p w14:paraId="7B669BCC" w14:textId="77777777" w:rsidR="00EB262C" w:rsidRPr="005621F4" w:rsidRDefault="00181928" w:rsidP="005621F4">
          <w:pPr>
            <w:pStyle w:val="TDC2"/>
            <w:rPr>
              <w:rFonts w:asciiTheme="minorHAnsi" w:eastAsiaTheme="minorEastAsia" w:hAnsiTheme="minorHAnsi" w:cstheme="minorBidi"/>
              <w:noProof/>
              <w:szCs w:val="22"/>
              <w:lang w:eastAsia="es-MX"/>
            </w:rPr>
          </w:pPr>
          <w:hyperlink w:anchor="_Toc178766469" w:history="1">
            <w:r w:rsidR="00EB262C" w:rsidRPr="005621F4">
              <w:rPr>
                <w:rStyle w:val="Hipervnculo"/>
                <w:noProof/>
                <w:color w:val="auto"/>
              </w:rPr>
              <w:t>SEGUNDO. Estudio de Fondo.</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_Toc178766469 \h </w:instrText>
            </w:r>
            <w:r w:rsidR="00EB262C" w:rsidRPr="005621F4">
              <w:rPr>
                <w:noProof/>
                <w:webHidden/>
              </w:rPr>
            </w:r>
            <w:r w:rsidR="00EB262C" w:rsidRPr="005621F4">
              <w:rPr>
                <w:noProof/>
                <w:webHidden/>
              </w:rPr>
              <w:fldChar w:fldCharType="separate"/>
            </w:r>
            <w:r>
              <w:rPr>
                <w:noProof/>
                <w:webHidden/>
              </w:rPr>
              <w:t>15</w:t>
            </w:r>
            <w:r w:rsidR="00EB262C" w:rsidRPr="005621F4">
              <w:rPr>
                <w:noProof/>
                <w:webHidden/>
              </w:rPr>
              <w:fldChar w:fldCharType="end"/>
            </w:r>
          </w:hyperlink>
        </w:p>
        <w:p w14:paraId="2A73D223"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70" w:history="1">
            <w:r w:rsidR="00EB262C" w:rsidRPr="005621F4">
              <w:rPr>
                <w:rStyle w:val="Hipervnculo"/>
                <w:noProof/>
                <w:color w:val="auto"/>
              </w:rPr>
              <w:t>a) Mandato de transparencia y responsabilidad del Sujeto Obligado</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_Toc178766470 \h </w:instrText>
            </w:r>
            <w:r w:rsidR="00EB262C" w:rsidRPr="005621F4">
              <w:rPr>
                <w:noProof/>
                <w:webHidden/>
              </w:rPr>
            </w:r>
            <w:r w:rsidR="00EB262C" w:rsidRPr="005621F4">
              <w:rPr>
                <w:noProof/>
                <w:webHidden/>
              </w:rPr>
              <w:fldChar w:fldCharType="separate"/>
            </w:r>
            <w:r>
              <w:rPr>
                <w:noProof/>
                <w:webHidden/>
              </w:rPr>
              <w:t>15</w:t>
            </w:r>
            <w:r w:rsidR="00EB262C" w:rsidRPr="005621F4">
              <w:rPr>
                <w:noProof/>
                <w:webHidden/>
              </w:rPr>
              <w:fldChar w:fldCharType="end"/>
            </w:r>
          </w:hyperlink>
        </w:p>
        <w:p w14:paraId="38516135"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71" w:history="1">
            <w:r w:rsidR="00EB262C" w:rsidRPr="005621F4">
              <w:rPr>
                <w:rStyle w:val="Hipervnculo"/>
                <w:rFonts w:eastAsia="Calibri"/>
                <w:noProof/>
                <w:color w:val="auto"/>
                <w:lang w:eastAsia="es-ES_tradnl"/>
              </w:rPr>
              <w:t>b) Controversia a resolver.</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_Toc178766471 \h </w:instrText>
            </w:r>
            <w:r w:rsidR="00EB262C" w:rsidRPr="005621F4">
              <w:rPr>
                <w:noProof/>
                <w:webHidden/>
              </w:rPr>
            </w:r>
            <w:r w:rsidR="00EB262C" w:rsidRPr="005621F4">
              <w:rPr>
                <w:noProof/>
                <w:webHidden/>
              </w:rPr>
              <w:fldChar w:fldCharType="separate"/>
            </w:r>
            <w:r>
              <w:rPr>
                <w:noProof/>
                <w:webHidden/>
              </w:rPr>
              <w:t>18</w:t>
            </w:r>
            <w:r w:rsidR="00EB262C" w:rsidRPr="005621F4">
              <w:rPr>
                <w:noProof/>
                <w:webHidden/>
              </w:rPr>
              <w:fldChar w:fldCharType="end"/>
            </w:r>
          </w:hyperlink>
        </w:p>
        <w:p w14:paraId="250AF596"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72" w:history="1">
            <w:r w:rsidR="00EB262C" w:rsidRPr="005621F4">
              <w:rPr>
                <w:rStyle w:val="Hipervnculo"/>
                <w:noProof/>
                <w:color w:val="auto"/>
              </w:rPr>
              <w:t>c) Estudio de la controversia.</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_Toc178766472 \h </w:instrText>
            </w:r>
            <w:r w:rsidR="00EB262C" w:rsidRPr="005621F4">
              <w:rPr>
                <w:noProof/>
                <w:webHidden/>
              </w:rPr>
            </w:r>
            <w:r w:rsidR="00EB262C" w:rsidRPr="005621F4">
              <w:rPr>
                <w:noProof/>
                <w:webHidden/>
              </w:rPr>
              <w:fldChar w:fldCharType="separate"/>
            </w:r>
            <w:r>
              <w:rPr>
                <w:noProof/>
                <w:webHidden/>
              </w:rPr>
              <w:t>19</w:t>
            </w:r>
            <w:r w:rsidR="00EB262C" w:rsidRPr="005621F4">
              <w:rPr>
                <w:noProof/>
                <w:webHidden/>
              </w:rPr>
              <w:fldChar w:fldCharType="end"/>
            </w:r>
          </w:hyperlink>
        </w:p>
        <w:p w14:paraId="307C5256"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73" w:history="1">
            <w:r w:rsidR="00EB262C" w:rsidRPr="005621F4">
              <w:rPr>
                <w:rStyle w:val="Hipervnculo"/>
                <w:noProof/>
                <w:color w:val="auto"/>
              </w:rPr>
              <w:t>d) Versión pública.</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_Toc178766473 \h </w:instrText>
            </w:r>
            <w:r w:rsidR="00EB262C" w:rsidRPr="005621F4">
              <w:rPr>
                <w:noProof/>
                <w:webHidden/>
              </w:rPr>
            </w:r>
            <w:r w:rsidR="00EB262C" w:rsidRPr="005621F4">
              <w:rPr>
                <w:noProof/>
                <w:webHidden/>
              </w:rPr>
              <w:fldChar w:fldCharType="separate"/>
            </w:r>
            <w:r>
              <w:rPr>
                <w:noProof/>
                <w:webHidden/>
              </w:rPr>
              <w:t>31</w:t>
            </w:r>
            <w:r w:rsidR="00EB262C" w:rsidRPr="005621F4">
              <w:rPr>
                <w:noProof/>
                <w:webHidden/>
              </w:rPr>
              <w:fldChar w:fldCharType="end"/>
            </w:r>
          </w:hyperlink>
        </w:p>
        <w:p w14:paraId="2C6F74BA" w14:textId="77777777" w:rsidR="00EB262C" w:rsidRPr="005621F4" w:rsidRDefault="00181928" w:rsidP="005621F4">
          <w:pPr>
            <w:pStyle w:val="TDC3"/>
            <w:rPr>
              <w:rFonts w:asciiTheme="minorHAnsi" w:eastAsiaTheme="minorEastAsia" w:hAnsiTheme="minorHAnsi" w:cstheme="minorBidi"/>
              <w:noProof/>
              <w:szCs w:val="22"/>
              <w:lang w:eastAsia="es-MX"/>
            </w:rPr>
          </w:pPr>
          <w:hyperlink w:anchor="_Toc178766474" w:history="1">
            <w:r w:rsidR="00EB262C" w:rsidRPr="005621F4">
              <w:rPr>
                <w:rStyle w:val="Hipervnculo"/>
                <w:noProof/>
                <w:color w:val="auto"/>
              </w:rPr>
              <w:t>e) Conclusión.</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_Toc178766474 \h </w:instrText>
            </w:r>
            <w:r w:rsidR="00EB262C" w:rsidRPr="005621F4">
              <w:rPr>
                <w:noProof/>
                <w:webHidden/>
              </w:rPr>
            </w:r>
            <w:r w:rsidR="00EB262C" w:rsidRPr="005621F4">
              <w:rPr>
                <w:noProof/>
                <w:webHidden/>
              </w:rPr>
              <w:fldChar w:fldCharType="separate"/>
            </w:r>
            <w:r>
              <w:rPr>
                <w:noProof/>
                <w:webHidden/>
              </w:rPr>
              <w:t>37</w:t>
            </w:r>
            <w:r w:rsidR="00EB262C" w:rsidRPr="005621F4">
              <w:rPr>
                <w:noProof/>
                <w:webHidden/>
              </w:rPr>
              <w:fldChar w:fldCharType="end"/>
            </w:r>
          </w:hyperlink>
        </w:p>
        <w:p w14:paraId="4ADDC1FC" w14:textId="77777777" w:rsidR="00EB262C" w:rsidRPr="005621F4" w:rsidRDefault="00181928" w:rsidP="005621F4">
          <w:pPr>
            <w:pStyle w:val="TDC1"/>
            <w:tabs>
              <w:tab w:val="right" w:leader="dot" w:pos="9034"/>
            </w:tabs>
            <w:rPr>
              <w:rFonts w:asciiTheme="minorHAnsi" w:eastAsiaTheme="minorEastAsia" w:hAnsiTheme="minorHAnsi" w:cstheme="minorBidi"/>
              <w:noProof/>
              <w:szCs w:val="22"/>
              <w:lang w:eastAsia="es-MX"/>
            </w:rPr>
          </w:pPr>
          <w:hyperlink w:anchor="_Toc178766475" w:history="1">
            <w:r w:rsidR="00EB262C" w:rsidRPr="005621F4">
              <w:rPr>
                <w:rStyle w:val="Hipervnculo"/>
                <w:noProof/>
                <w:color w:val="auto"/>
              </w:rPr>
              <w:t>RESUELVE</w:t>
            </w:r>
            <w:r w:rsidR="00EB262C" w:rsidRPr="005621F4">
              <w:rPr>
                <w:noProof/>
                <w:webHidden/>
              </w:rPr>
              <w:tab/>
            </w:r>
            <w:r w:rsidR="00EB262C" w:rsidRPr="005621F4">
              <w:rPr>
                <w:noProof/>
                <w:webHidden/>
              </w:rPr>
              <w:fldChar w:fldCharType="begin"/>
            </w:r>
            <w:r w:rsidR="00EB262C" w:rsidRPr="005621F4">
              <w:rPr>
                <w:noProof/>
                <w:webHidden/>
              </w:rPr>
              <w:instrText xml:space="preserve"> PAGEREF _Toc178766475 \h </w:instrText>
            </w:r>
            <w:r w:rsidR="00EB262C" w:rsidRPr="005621F4">
              <w:rPr>
                <w:noProof/>
                <w:webHidden/>
              </w:rPr>
            </w:r>
            <w:r w:rsidR="00EB262C" w:rsidRPr="005621F4">
              <w:rPr>
                <w:noProof/>
                <w:webHidden/>
              </w:rPr>
              <w:fldChar w:fldCharType="separate"/>
            </w:r>
            <w:r>
              <w:rPr>
                <w:noProof/>
                <w:webHidden/>
              </w:rPr>
              <w:t>39</w:t>
            </w:r>
            <w:r w:rsidR="00EB262C" w:rsidRPr="005621F4">
              <w:rPr>
                <w:noProof/>
                <w:webHidden/>
              </w:rPr>
              <w:fldChar w:fldCharType="end"/>
            </w:r>
          </w:hyperlink>
        </w:p>
        <w:p w14:paraId="0C82FD7A" w14:textId="0634652A" w:rsidR="009B2945" w:rsidRPr="005621F4" w:rsidRDefault="00AE3DA7" w:rsidP="005621F4">
          <w:pPr>
            <w:spacing w:line="240" w:lineRule="auto"/>
            <w:rPr>
              <w:b/>
              <w:bCs/>
              <w:szCs w:val="22"/>
              <w:lang w:val="es-ES"/>
            </w:rPr>
          </w:pPr>
          <w:r w:rsidRPr="005621F4">
            <w:rPr>
              <w:b/>
              <w:bCs/>
              <w:szCs w:val="22"/>
              <w:lang w:val="es-ES"/>
            </w:rPr>
            <w:fldChar w:fldCharType="end"/>
          </w:r>
        </w:p>
      </w:sdtContent>
    </w:sdt>
    <w:p w14:paraId="603A07E2" w14:textId="77777777" w:rsidR="00646436" w:rsidRPr="005621F4" w:rsidRDefault="00646436" w:rsidP="005621F4">
      <w:pPr>
        <w:rPr>
          <w:rFonts w:cs="Tahoma"/>
          <w:szCs w:val="22"/>
        </w:rPr>
        <w:sectPr w:rsidR="00646436" w:rsidRPr="005621F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7E6EC9A" w:rsidR="00775BFC" w:rsidRPr="005621F4" w:rsidRDefault="00775BFC" w:rsidP="005621F4">
      <w:pPr>
        <w:rPr>
          <w:b/>
          <w:bCs/>
          <w:szCs w:val="22"/>
        </w:rPr>
      </w:pPr>
      <w:r w:rsidRPr="005621F4">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5621F4">
        <w:rPr>
          <w:b/>
          <w:bCs/>
          <w:szCs w:val="22"/>
        </w:rPr>
        <w:t xml:space="preserve">de </w:t>
      </w:r>
      <w:r w:rsidR="004D3411" w:rsidRPr="005621F4">
        <w:rPr>
          <w:b/>
          <w:bCs/>
          <w:szCs w:val="22"/>
        </w:rPr>
        <w:t>tres</w:t>
      </w:r>
      <w:r w:rsidRPr="005621F4">
        <w:rPr>
          <w:b/>
          <w:bCs/>
          <w:szCs w:val="22"/>
        </w:rPr>
        <w:t xml:space="preserve"> de </w:t>
      </w:r>
      <w:r w:rsidR="00930CF8" w:rsidRPr="005621F4">
        <w:rPr>
          <w:b/>
          <w:bCs/>
          <w:szCs w:val="22"/>
        </w:rPr>
        <w:t>octubre</w:t>
      </w:r>
      <w:r w:rsidRPr="005621F4">
        <w:rPr>
          <w:b/>
          <w:bCs/>
          <w:szCs w:val="22"/>
        </w:rPr>
        <w:t xml:space="preserve"> de dos mil </w:t>
      </w:r>
      <w:r w:rsidR="00DB6004" w:rsidRPr="005621F4">
        <w:rPr>
          <w:b/>
          <w:bCs/>
          <w:szCs w:val="22"/>
        </w:rPr>
        <w:t>veinticuatro.</w:t>
      </w:r>
    </w:p>
    <w:p w14:paraId="0AF3AAC4" w14:textId="77777777" w:rsidR="00775BFC" w:rsidRPr="005621F4" w:rsidRDefault="00775BFC" w:rsidP="005621F4">
      <w:pPr>
        <w:rPr>
          <w:szCs w:val="22"/>
        </w:rPr>
      </w:pPr>
    </w:p>
    <w:p w14:paraId="40EAE038" w14:textId="407EBB65" w:rsidR="00775BFC" w:rsidRPr="005621F4" w:rsidRDefault="00775BFC" w:rsidP="005621F4">
      <w:pPr>
        <w:rPr>
          <w:szCs w:val="22"/>
        </w:rPr>
      </w:pPr>
      <w:r w:rsidRPr="005621F4">
        <w:rPr>
          <w:b/>
          <w:szCs w:val="22"/>
        </w:rPr>
        <w:t>VISTO</w:t>
      </w:r>
      <w:r w:rsidR="00A21FF1" w:rsidRPr="005621F4">
        <w:rPr>
          <w:b/>
          <w:szCs w:val="22"/>
        </w:rPr>
        <w:t>S</w:t>
      </w:r>
      <w:r w:rsidRPr="005621F4">
        <w:rPr>
          <w:b/>
          <w:szCs w:val="22"/>
        </w:rPr>
        <w:t xml:space="preserve"> </w:t>
      </w:r>
      <w:r w:rsidR="00A21FF1" w:rsidRPr="005621F4">
        <w:rPr>
          <w:szCs w:val="22"/>
        </w:rPr>
        <w:t>los</w:t>
      </w:r>
      <w:r w:rsidRPr="005621F4">
        <w:rPr>
          <w:szCs w:val="22"/>
        </w:rPr>
        <w:t xml:space="preserve"> expediente</w:t>
      </w:r>
      <w:r w:rsidR="00A21FF1" w:rsidRPr="005621F4">
        <w:rPr>
          <w:szCs w:val="22"/>
        </w:rPr>
        <w:t>s</w:t>
      </w:r>
      <w:r w:rsidRPr="005621F4">
        <w:rPr>
          <w:szCs w:val="22"/>
        </w:rPr>
        <w:t xml:space="preserve"> formado</w:t>
      </w:r>
      <w:r w:rsidR="00A21FF1" w:rsidRPr="005621F4">
        <w:rPr>
          <w:szCs w:val="22"/>
        </w:rPr>
        <w:t>s</w:t>
      </w:r>
      <w:r w:rsidRPr="005621F4">
        <w:rPr>
          <w:szCs w:val="22"/>
        </w:rPr>
        <w:t xml:space="preserve"> con motivo de</w:t>
      </w:r>
      <w:r w:rsidR="00A21FF1" w:rsidRPr="005621F4">
        <w:rPr>
          <w:szCs w:val="22"/>
        </w:rPr>
        <w:t xml:space="preserve"> </w:t>
      </w:r>
      <w:r w:rsidRPr="005621F4">
        <w:rPr>
          <w:szCs w:val="22"/>
        </w:rPr>
        <w:t>l</w:t>
      </w:r>
      <w:r w:rsidR="00A21FF1" w:rsidRPr="005621F4">
        <w:rPr>
          <w:szCs w:val="22"/>
        </w:rPr>
        <w:t>os</w:t>
      </w:r>
      <w:r w:rsidRPr="005621F4">
        <w:rPr>
          <w:szCs w:val="22"/>
        </w:rPr>
        <w:t xml:space="preserve"> Recurso</w:t>
      </w:r>
      <w:r w:rsidR="00A21FF1" w:rsidRPr="005621F4">
        <w:rPr>
          <w:szCs w:val="22"/>
        </w:rPr>
        <w:t>s</w:t>
      </w:r>
      <w:r w:rsidRPr="005621F4">
        <w:rPr>
          <w:szCs w:val="22"/>
        </w:rPr>
        <w:t xml:space="preserve"> de Revisión </w:t>
      </w:r>
      <w:r w:rsidR="004D3411" w:rsidRPr="005621F4">
        <w:rPr>
          <w:rFonts w:cs="Tahoma"/>
          <w:b/>
          <w:bCs/>
          <w:szCs w:val="22"/>
        </w:rPr>
        <w:t>00452</w:t>
      </w:r>
      <w:r w:rsidR="0034579B" w:rsidRPr="005621F4">
        <w:rPr>
          <w:rFonts w:cs="Tahoma"/>
          <w:b/>
          <w:bCs/>
          <w:szCs w:val="22"/>
        </w:rPr>
        <w:t>/INFOEM/IP/RR/2024</w:t>
      </w:r>
      <w:r w:rsidR="004D3411" w:rsidRPr="005621F4">
        <w:rPr>
          <w:rFonts w:cs="Tahoma"/>
          <w:b/>
          <w:bCs/>
          <w:szCs w:val="22"/>
        </w:rPr>
        <w:t xml:space="preserve">, 00453/INFOEM/IP/RR/2024 </w:t>
      </w:r>
      <w:r w:rsidR="00A21FF1" w:rsidRPr="005621F4">
        <w:rPr>
          <w:rFonts w:cs="Tahoma"/>
          <w:szCs w:val="22"/>
        </w:rPr>
        <w:t xml:space="preserve">y </w:t>
      </w:r>
      <w:r w:rsidR="004D3411" w:rsidRPr="005621F4">
        <w:rPr>
          <w:rFonts w:cs="Tahoma"/>
          <w:b/>
          <w:bCs/>
          <w:szCs w:val="22"/>
        </w:rPr>
        <w:t>00454</w:t>
      </w:r>
      <w:r w:rsidR="00A21FF1" w:rsidRPr="005621F4">
        <w:rPr>
          <w:rFonts w:cs="Tahoma"/>
          <w:b/>
          <w:bCs/>
          <w:szCs w:val="22"/>
        </w:rPr>
        <w:t xml:space="preserve">/INFOEM/IP/RR/2024 </w:t>
      </w:r>
      <w:r w:rsidRPr="005621F4">
        <w:rPr>
          <w:szCs w:val="22"/>
        </w:rPr>
        <w:t>interpuesto</w:t>
      </w:r>
      <w:r w:rsidR="00A21FF1" w:rsidRPr="005621F4">
        <w:rPr>
          <w:szCs w:val="22"/>
        </w:rPr>
        <w:t>s</w:t>
      </w:r>
      <w:r w:rsidRPr="005621F4">
        <w:rPr>
          <w:szCs w:val="22"/>
        </w:rPr>
        <w:t xml:space="preserve"> por </w:t>
      </w:r>
      <w:r w:rsidR="004D3411" w:rsidRPr="005621F4">
        <w:rPr>
          <w:b/>
          <w:bCs/>
          <w:szCs w:val="22"/>
        </w:rPr>
        <w:t>una persona de manera anónima</w:t>
      </w:r>
      <w:r w:rsidR="00930CF8" w:rsidRPr="005621F4">
        <w:rPr>
          <w:b/>
          <w:bCs/>
          <w:szCs w:val="22"/>
        </w:rPr>
        <w:t xml:space="preserve"> </w:t>
      </w:r>
      <w:r w:rsidRPr="005621F4">
        <w:rPr>
          <w:szCs w:val="22"/>
        </w:rPr>
        <w:t xml:space="preserve">a quien en lo subsecuente se le denominará </w:t>
      </w:r>
      <w:r w:rsidRPr="005621F4">
        <w:rPr>
          <w:b/>
          <w:bCs/>
          <w:szCs w:val="22"/>
        </w:rPr>
        <w:t>LA PARTE RECURRENTE</w:t>
      </w:r>
      <w:r w:rsidRPr="005621F4">
        <w:rPr>
          <w:szCs w:val="22"/>
        </w:rPr>
        <w:t>, en contra de la</w:t>
      </w:r>
      <w:r w:rsidR="00A21FF1" w:rsidRPr="005621F4">
        <w:rPr>
          <w:szCs w:val="22"/>
        </w:rPr>
        <w:t>s</w:t>
      </w:r>
      <w:r w:rsidRPr="005621F4">
        <w:rPr>
          <w:szCs w:val="22"/>
        </w:rPr>
        <w:t xml:space="preserve"> respuesta</w:t>
      </w:r>
      <w:r w:rsidR="00A21FF1" w:rsidRPr="005621F4">
        <w:rPr>
          <w:szCs w:val="22"/>
        </w:rPr>
        <w:t>s</w:t>
      </w:r>
      <w:r w:rsidRPr="005621F4">
        <w:rPr>
          <w:szCs w:val="22"/>
        </w:rPr>
        <w:t xml:space="preserve"> emitida</w:t>
      </w:r>
      <w:r w:rsidR="00A21FF1" w:rsidRPr="005621F4">
        <w:rPr>
          <w:szCs w:val="22"/>
        </w:rPr>
        <w:t>s</w:t>
      </w:r>
      <w:r w:rsidRPr="005621F4">
        <w:rPr>
          <w:szCs w:val="22"/>
        </w:rPr>
        <w:t xml:space="preserve"> por</w:t>
      </w:r>
      <w:r w:rsidR="00DB6004" w:rsidRPr="005621F4">
        <w:rPr>
          <w:szCs w:val="22"/>
        </w:rPr>
        <w:t xml:space="preserve"> </w:t>
      </w:r>
      <w:r w:rsidR="004D3411" w:rsidRPr="005621F4">
        <w:rPr>
          <w:szCs w:val="22"/>
        </w:rPr>
        <w:t>la</w:t>
      </w:r>
      <w:r w:rsidRPr="005621F4">
        <w:rPr>
          <w:szCs w:val="22"/>
        </w:rPr>
        <w:t xml:space="preserve"> </w:t>
      </w:r>
      <w:r w:rsidR="004D3411" w:rsidRPr="005621F4">
        <w:rPr>
          <w:b/>
          <w:bCs/>
          <w:szCs w:val="22"/>
        </w:rPr>
        <w:t>Secretaría de Movilidad</w:t>
      </w:r>
      <w:r w:rsidR="00DB6004" w:rsidRPr="005621F4">
        <w:rPr>
          <w:b/>
          <w:bCs/>
          <w:szCs w:val="22"/>
        </w:rPr>
        <w:t xml:space="preserve">, </w:t>
      </w:r>
      <w:r w:rsidRPr="005621F4">
        <w:rPr>
          <w:szCs w:val="22"/>
        </w:rPr>
        <w:t xml:space="preserve">en adelante </w:t>
      </w:r>
      <w:r w:rsidRPr="005621F4">
        <w:rPr>
          <w:b/>
          <w:bCs/>
          <w:szCs w:val="22"/>
        </w:rPr>
        <w:t>EL SUJETO OBLIGADO</w:t>
      </w:r>
      <w:r w:rsidRPr="005621F4">
        <w:rPr>
          <w:rFonts w:eastAsia="Calibri"/>
          <w:szCs w:val="22"/>
          <w:lang w:eastAsia="en-US"/>
        </w:rPr>
        <w:t xml:space="preserve">, </w:t>
      </w:r>
      <w:r w:rsidRPr="005621F4">
        <w:rPr>
          <w:szCs w:val="22"/>
        </w:rPr>
        <w:t>se emite la presente Resolución con base en los Antecedentes y Considerandos que se exponen a continuación:</w:t>
      </w:r>
    </w:p>
    <w:p w14:paraId="2116968C" w14:textId="33FF576A" w:rsidR="00775BFC" w:rsidRPr="005621F4" w:rsidRDefault="00775BFC" w:rsidP="005621F4">
      <w:pPr>
        <w:rPr>
          <w:szCs w:val="22"/>
        </w:rPr>
      </w:pPr>
    </w:p>
    <w:p w14:paraId="5A444FB6" w14:textId="639D3567" w:rsidR="00664420" w:rsidRPr="005621F4" w:rsidRDefault="00664420" w:rsidP="005621F4">
      <w:pPr>
        <w:pStyle w:val="Ttulo1"/>
        <w:rPr>
          <w:szCs w:val="22"/>
        </w:rPr>
      </w:pPr>
      <w:bookmarkStart w:id="3" w:name="_Toc178766447"/>
      <w:r w:rsidRPr="005621F4">
        <w:rPr>
          <w:szCs w:val="22"/>
        </w:rPr>
        <w:t>ANTECEDENTES</w:t>
      </w:r>
      <w:bookmarkEnd w:id="3"/>
    </w:p>
    <w:p w14:paraId="5CB5034E" w14:textId="77777777" w:rsidR="00AC2DB8" w:rsidRPr="005621F4" w:rsidRDefault="00AC2DB8" w:rsidP="005621F4">
      <w:pPr>
        <w:rPr>
          <w:szCs w:val="22"/>
        </w:rPr>
      </w:pPr>
    </w:p>
    <w:p w14:paraId="09B2D38F" w14:textId="72C0806A" w:rsidR="00664420" w:rsidRPr="005621F4" w:rsidRDefault="00E37A3F" w:rsidP="005621F4">
      <w:pPr>
        <w:pStyle w:val="Ttulo2"/>
        <w:rPr>
          <w:szCs w:val="22"/>
        </w:rPr>
      </w:pPr>
      <w:bookmarkStart w:id="4" w:name="_Toc178766448"/>
      <w:r w:rsidRPr="005621F4">
        <w:rPr>
          <w:szCs w:val="22"/>
        </w:rPr>
        <w:t>DE LA</w:t>
      </w:r>
      <w:r w:rsidR="00AA27F9" w:rsidRPr="005621F4">
        <w:rPr>
          <w:szCs w:val="22"/>
        </w:rPr>
        <w:t>S</w:t>
      </w:r>
      <w:r w:rsidRPr="005621F4">
        <w:rPr>
          <w:szCs w:val="22"/>
        </w:rPr>
        <w:t xml:space="preserve"> SOLICITUD</w:t>
      </w:r>
      <w:r w:rsidR="00AA27F9" w:rsidRPr="005621F4">
        <w:rPr>
          <w:szCs w:val="22"/>
        </w:rPr>
        <w:t>ES</w:t>
      </w:r>
      <w:r w:rsidRPr="005621F4">
        <w:rPr>
          <w:szCs w:val="22"/>
        </w:rPr>
        <w:t xml:space="preserve"> DE INFORMACIÓN</w:t>
      </w:r>
      <w:bookmarkEnd w:id="4"/>
    </w:p>
    <w:p w14:paraId="7B7535DF" w14:textId="77777777" w:rsidR="00E37A3F" w:rsidRPr="005621F4" w:rsidRDefault="00E37A3F" w:rsidP="005621F4">
      <w:pPr>
        <w:rPr>
          <w:szCs w:val="22"/>
        </w:rPr>
      </w:pPr>
    </w:p>
    <w:p w14:paraId="2C6AD1A5" w14:textId="34D34D63" w:rsidR="00664420" w:rsidRPr="005621F4" w:rsidRDefault="00E37A3F" w:rsidP="005621F4">
      <w:pPr>
        <w:pStyle w:val="Ttulo3"/>
        <w:rPr>
          <w:szCs w:val="22"/>
        </w:rPr>
      </w:pPr>
      <w:bookmarkStart w:id="5" w:name="_Toc178766449"/>
      <w:r w:rsidRPr="005621F4">
        <w:rPr>
          <w:szCs w:val="22"/>
        </w:rPr>
        <w:t xml:space="preserve">a) </w:t>
      </w:r>
      <w:r w:rsidR="006B10B0" w:rsidRPr="005621F4">
        <w:rPr>
          <w:szCs w:val="22"/>
        </w:rPr>
        <w:t>S</w:t>
      </w:r>
      <w:r w:rsidR="00664420" w:rsidRPr="005621F4">
        <w:rPr>
          <w:szCs w:val="22"/>
        </w:rPr>
        <w:t>olicitud</w:t>
      </w:r>
      <w:r w:rsidR="00947134" w:rsidRPr="005621F4">
        <w:rPr>
          <w:szCs w:val="22"/>
        </w:rPr>
        <w:t>es</w:t>
      </w:r>
      <w:r w:rsidR="00664420" w:rsidRPr="005621F4">
        <w:rPr>
          <w:szCs w:val="22"/>
        </w:rPr>
        <w:t xml:space="preserve"> de </w:t>
      </w:r>
      <w:r w:rsidR="006B10B0" w:rsidRPr="005621F4">
        <w:rPr>
          <w:szCs w:val="22"/>
        </w:rPr>
        <w:t>i</w:t>
      </w:r>
      <w:r w:rsidR="00664420" w:rsidRPr="005621F4">
        <w:rPr>
          <w:szCs w:val="22"/>
        </w:rPr>
        <w:t>nformación</w:t>
      </w:r>
      <w:r w:rsidR="00DB6004" w:rsidRPr="005621F4">
        <w:rPr>
          <w:szCs w:val="22"/>
        </w:rPr>
        <w:t>.</w:t>
      </w:r>
      <w:bookmarkEnd w:id="5"/>
    </w:p>
    <w:p w14:paraId="6168F827" w14:textId="591F98EA" w:rsidR="00AD1D93" w:rsidRPr="005621F4" w:rsidRDefault="006B10B0" w:rsidP="005621F4">
      <w:pPr>
        <w:pStyle w:val="Prrafodelista"/>
        <w:tabs>
          <w:tab w:val="left" w:pos="0"/>
        </w:tabs>
        <w:ind w:left="0"/>
        <w:contextualSpacing w:val="0"/>
        <w:rPr>
          <w:rFonts w:cs="Tahoma"/>
          <w:szCs w:val="22"/>
        </w:rPr>
      </w:pPr>
      <w:r w:rsidRPr="005621F4">
        <w:rPr>
          <w:rFonts w:cs="Tahoma"/>
          <w:szCs w:val="22"/>
        </w:rPr>
        <w:t>El</w:t>
      </w:r>
      <w:r w:rsidR="00664420" w:rsidRPr="005621F4">
        <w:rPr>
          <w:rFonts w:cs="Tahoma"/>
          <w:szCs w:val="22"/>
        </w:rPr>
        <w:t xml:space="preserve"> </w:t>
      </w:r>
      <w:r w:rsidR="004D3411" w:rsidRPr="005621F4">
        <w:rPr>
          <w:rFonts w:cs="Tahoma"/>
          <w:b/>
          <w:szCs w:val="22"/>
        </w:rPr>
        <w:t>cinco</w:t>
      </w:r>
      <w:r w:rsidR="00664420" w:rsidRPr="005621F4">
        <w:rPr>
          <w:rFonts w:cs="Tahoma"/>
          <w:b/>
          <w:bCs/>
          <w:szCs w:val="22"/>
        </w:rPr>
        <w:t xml:space="preserve"> de </w:t>
      </w:r>
      <w:r w:rsidR="004D3411" w:rsidRPr="005621F4">
        <w:rPr>
          <w:rFonts w:cs="Tahoma"/>
          <w:b/>
          <w:bCs/>
          <w:szCs w:val="22"/>
        </w:rPr>
        <w:t>diciembre</w:t>
      </w:r>
      <w:r w:rsidR="00664420" w:rsidRPr="005621F4">
        <w:rPr>
          <w:rFonts w:cs="Tahoma"/>
          <w:b/>
          <w:bCs/>
          <w:szCs w:val="22"/>
        </w:rPr>
        <w:t xml:space="preserve"> de dos mil </w:t>
      </w:r>
      <w:r w:rsidR="004D3411" w:rsidRPr="005621F4">
        <w:rPr>
          <w:rFonts w:cs="Tahoma"/>
          <w:b/>
          <w:bCs/>
          <w:szCs w:val="22"/>
        </w:rPr>
        <w:t>veintitrés</w:t>
      </w:r>
      <w:r w:rsidR="00664420" w:rsidRPr="005621F4">
        <w:rPr>
          <w:rFonts w:cs="Tahoma"/>
          <w:szCs w:val="22"/>
        </w:rPr>
        <w:t xml:space="preserve"> </w:t>
      </w:r>
      <w:r w:rsidRPr="005621F4">
        <w:rPr>
          <w:b/>
          <w:bCs/>
          <w:szCs w:val="22"/>
        </w:rPr>
        <w:t>LA PARTE RECURRENTE</w:t>
      </w:r>
      <w:r w:rsidR="00664420" w:rsidRPr="005621F4">
        <w:rPr>
          <w:rFonts w:cs="Tahoma"/>
          <w:szCs w:val="22"/>
        </w:rPr>
        <w:t xml:space="preserve"> presentó </w:t>
      </w:r>
      <w:r w:rsidR="00FC23B8" w:rsidRPr="005621F4">
        <w:rPr>
          <w:rFonts w:cs="Tahoma"/>
          <w:szCs w:val="22"/>
        </w:rPr>
        <w:t>tres</w:t>
      </w:r>
      <w:r w:rsidR="00664420" w:rsidRPr="005621F4">
        <w:rPr>
          <w:rFonts w:cs="Tahoma"/>
          <w:szCs w:val="22"/>
        </w:rPr>
        <w:t xml:space="preserve"> solicitud</w:t>
      </w:r>
      <w:r w:rsidR="00FC23B8" w:rsidRPr="005621F4">
        <w:rPr>
          <w:rFonts w:cs="Tahoma"/>
          <w:szCs w:val="22"/>
        </w:rPr>
        <w:t>es</w:t>
      </w:r>
      <w:r w:rsidR="00664420" w:rsidRPr="005621F4">
        <w:rPr>
          <w:rFonts w:cs="Tahoma"/>
          <w:szCs w:val="22"/>
        </w:rPr>
        <w:t xml:space="preserve"> de acceso a la información pública </w:t>
      </w:r>
      <w:r w:rsidR="001F3515" w:rsidRPr="005621F4">
        <w:rPr>
          <w:rFonts w:cs="Tahoma"/>
          <w:szCs w:val="22"/>
        </w:rPr>
        <w:t xml:space="preserve">ante el </w:t>
      </w:r>
      <w:r w:rsidR="001F3515" w:rsidRPr="005621F4">
        <w:rPr>
          <w:rFonts w:cs="Tahoma"/>
          <w:b/>
          <w:bCs/>
          <w:szCs w:val="22"/>
        </w:rPr>
        <w:t>SUJETO OBLIGADO</w:t>
      </w:r>
      <w:r w:rsidR="001F3515" w:rsidRPr="005621F4">
        <w:rPr>
          <w:rFonts w:cs="Tahoma"/>
          <w:szCs w:val="22"/>
        </w:rPr>
        <w:t xml:space="preserve">, </w:t>
      </w:r>
      <w:r w:rsidR="00664420" w:rsidRPr="005621F4">
        <w:rPr>
          <w:rFonts w:cs="Tahoma"/>
          <w:szCs w:val="22"/>
        </w:rPr>
        <w:t xml:space="preserve">a través del </w:t>
      </w:r>
      <w:r w:rsidRPr="005621F4">
        <w:rPr>
          <w:rFonts w:cs="Tahoma"/>
          <w:szCs w:val="22"/>
        </w:rPr>
        <w:t>Sistema de Acceso a la Información Mexiquense</w:t>
      </w:r>
      <w:r w:rsidR="009A2D78" w:rsidRPr="005621F4">
        <w:rPr>
          <w:rFonts w:cs="Tahoma"/>
          <w:szCs w:val="22"/>
        </w:rPr>
        <w:t xml:space="preserve"> (</w:t>
      </w:r>
      <w:r w:rsidRPr="005621F4">
        <w:rPr>
          <w:rFonts w:cs="Tahoma"/>
          <w:szCs w:val="22"/>
        </w:rPr>
        <w:t>SAIMEX</w:t>
      </w:r>
      <w:r w:rsidR="00947134" w:rsidRPr="005621F4">
        <w:rPr>
          <w:rFonts w:cs="Tahoma"/>
          <w:szCs w:val="22"/>
        </w:rPr>
        <w:t>). Dicha</w:t>
      </w:r>
      <w:r w:rsidR="00BC5BB6" w:rsidRPr="005621F4">
        <w:rPr>
          <w:rFonts w:cs="Tahoma"/>
          <w:szCs w:val="22"/>
        </w:rPr>
        <w:t>s</w:t>
      </w:r>
      <w:r w:rsidR="00947134" w:rsidRPr="005621F4">
        <w:rPr>
          <w:rFonts w:cs="Tahoma"/>
          <w:szCs w:val="22"/>
        </w:rPr>
        <w:t xml:space="preserve"> solicitud</w:t>
      </w:r>
      <w:r w:rsidR="00BC5BB6" w:rsidRPr="005621F4">
        <w:rPr>
          <w:rFonts w:cs="Tahoma"/>
          <w:szCs w:val="22"/>
        </w:rPr>
        <w:t>es</w:t>
      </w:r>
      <w:r w:rsidR="00947134" w:rsidRPr="005621F4">
        <w:rPr>
          <w:rFonts w:cs="Tahoma"/>
          <w:szCs w:val="22"/>
        </w:rPr>
        <w:t xml:space="preserve"> quedaron</w:t>
      </w:r>
      <w:r w:rsidRPr="005621F4">
        <w:rPr>
          <w:rFonts w:cs="Tahoma"/>
          <w:szCs w:val="22"/>
        </w:rPr>
        <w:t xml:space="preserve"> registrada</w:t>
      </w:r>
      <w:r w:rsidR="00947134" w:rsidRPr="005621F4">
        <w:rPr>
          <w:rFonts w:cs="Tahoma"/>
          <w:szCs w:val="22"/>
        </w:rPr>
        <w:t>s</w:t>
      </w:r>
      <w:r w:rsidRPr="005621F4">
        <w:rPr>
          <w:rFonts w:cs="Tahoma"/>
          <w:szCs w:val="22"/>
        </w:rPr>
        <w:t xml:space="preserve"> c</w:t>
      </w:r>
      <w:r w:rsidR="00664420" w:rsidRPr="005621F4">
        <w:rPr>
          <w:rFonts w:cs="Tahoma"/>
          <w:szCs w:val="22"/>
        </w:rPr>
        <w:t xml:space="preserve">on </w:t>
      </w:r>
      <w:r w:rsidR="00947134" w:rsidRPr="005621F4">
        <w:rPr>
          <w:rFonts w:cs="Tahoma"/>
          <w:szCs w:val="22"/>
        </w:rPr>
        <w:t>los</w:t>
      </w:r>
      <w:r w:rsidR="00664420" w:rsidRPr="005621F4">
        <w:rPr>
          <w:rFonts w:cs="Tahoma"/>
          <w:szCs w:val="22"/>
        </w:rPr>
        <w:t xml:space="preserve"> número</w:t>
      </w:r>
      <w:r w:rsidR="00947134" w:rsidRPr="005621F4">
        <w:rPr>
          <w:rFonts w:cs="Tahoma"/>
          <w:szCs w:val="22"/>
        </w:rPr>
        <w:t>s</w:t>
      </w:r>
      <w:r w:rsidR="00664420" w:rsidRPr="005621F4">
        <w:rPr>
          <w:rFonts w:cs="Tahoma"/>
          <w:szCs w:val="22"/>
        </w:rPr>
        <w:t xml:space="preserve"> de folio</w:t>
      </w:r>
      <w:r w:rsidR="00FE1818" w:rsidRPr="005621F4">
        <w:rPr>
          <w:rFonts w:cs="Tahoma"/>
          <w:b/>
          <w:bCs/>
          <w:szCs w:val="22"/>
        </w:rPr>
        <w:t xml:space="preserve"> </w:t>
      </w:r>
      <w:r w:rsidR="004D3411" w:rsidRPr="005621F4">
        <w:rPr>
          <w:rFonts w:cs="Tahoma"/>
          <w:b/>
          <w:bCs/>
          <w:szCs w:val="22"/>
        </w:rPr>
        <w:t xml:space="preserve">00679/SMOV/IP/2023, 00678/SMOV/IP/2023 </w:t>
      </w:r>
      <w:r w:rsidR="00947134" w:rsidRPr="005621F4">
        <w:rPr>
          <w:rFonts w:cs="Tahoma"/>
          <w:b/>
          <w:bCs/>
          <w:szCs w:val="22"/>
        </w:rPr>
        <w:t xml:space="preserve">y </w:t>
      </w:r>
      <w:r w:rsidR="004D3411" w:rsidRPr="005621F4">
        <w:rPr>
          <w:rFonts w:cs="Tahoma"/>
          <w:b/>
          <w:bCs/>
          <w:szCs w:val="22"/>
        </w:rPr>
        <w:t xml:space="preserve">00677/SMOV/IP/2023 </w:t>
      </w:r>
      <w:r w:rsidR="002A3601" w:rsidRPr="005621F4">
        <w:rPr>
          <w:rFonts w:cs="Tahoma"/>
          <w:szCs w:val="22"/>
        </w:rPr>
        <w:t>y en ella</w:t>
      </w:r>
      <w:r w:rsidR="007C65D0" w:rsidRPr="005621F4">
        <w:rPr>
          <w:rFonts w:cs="Tahoma"/>
          <w:szCs w:val="22"/>
        </w:rPr>
        <w:t>s</w:t>
      </w:r>
      <w:r w:rsidR="002A3601" w:rsidRPr="005621F4">
        <w:rPr>
          <w:rFonts w:cs="Tahoma"/>
          <w:szCs w:val="22"/>
        </w:rPr>
        <w:t xml:space="preserve"> </w:t>
      </w:r>
      <w:r w:rsidR="009A2D78" w:rsidRPr="005621F4">
        <w:rPr>
          <w:rFonts w:cs="Tahoma"/>
          <w:szCs w:val="22"/>
        </w:rPr>
        <w:t>se requirió la siguiente información:</w:t>
      </w:r>
    </w:p>
    <w:p w14:paraId="0459D6AC" w14:textId="77777777" w:rsidR="00664420" w:rsidRPr="005621F4" w:rsidRDefault="00664420" w:rsidP="005621F4">
      <w:pPr>
        <w:tabs>
          <w:tab w:val="left" w:pos="4667"/>
        </w:tabs>
        <w:ind w:right="567"/>
        <w:rPr>
          <w:rFonts w:cs="Tahoma"/>
          <w:b/>
          <w:bCs/>
          <w:szCs w:val="22"/>
        </w:rPr>
      </w:pPr>
    </w:p>
    <w:p w14:paraId="517C60C8" w14:textId="77777777" w:rsidR="00FC23B8" w:rsidRPr="005621F4" w:rsidRDefault="00FC23B8" w:rsidP="005621F4">
      <w:pPr>
        <w:tabs>
          <w:tab w:val="left" w:pos="4667"/>
        </w:tabs>
        <w:ind w:right="567"/>
        <w:rPr>
          <w:rFonts w:cs="Tahoma"/>
          <w:b/>
          <w:bCs/>
          <w:szCs w:val="22"/>
        </w:rPr>
      </w:pPr>
    </w:p>
    <w:p w14:paraId="44640CA9" w14:textId="77777777" w:rsidR="00FC23B8" w:rsidRPr="005621F4" w:rsidRDefault="00FC23B8" w:rsidP="005621F4">
      <w:pPr>
        <w:tabs>
          <w:tab w:val="left" w:pos="4667"/>
        </w:tabs>
        <w:ind w:right="567"/>
        <w:rPr>
          <w:rFonts w:cs="Tahoma"/>
          <w:b/>
          <w:bCs/>
          <w:szCs w:val="22"/>
        </w:rPr>
      </w:pPr>
    </w:p>
    <w:p w14:paraId="24AA0461" w14:textId="77777777" w:rsidR="00FC23B8" w:rsidRPr="005621F4" w:rsidRDefault="00FC23B8" w:rsidP="005621F4">
      <w:pPr>
        <w:tabs>
          <w:tab w:val="left" w:pos="4667"/>
        </w:tabs>
        <w:ind w:right="567"/>
        <w:rPr>
          <w:rFonts w:cs="Tahoma"/>
          <w:b/>
          <w:bCs/>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5621F4" w:rsidRPr="005621F4" w14:paraId="479608A9" w14:textId="77777777" w:rsidTr="00947134">
        <w:trPr>
          <w:trHeight w:val="225"/>
        </w:trPr>
        <w:tc>
          <w:tcPr>
            <w:tcW w:w="2556" w:type="dxa"/>
            <w:shd w:val="clear" w:color="auto" w:fill="F9CB9C"/>
            <w:tcMar>
              <w:top w:w="0" w:type="dxa"/>
              <w:left w:w="45" w:type="dxa"/>
              <w:bottom w:w="0" w:type="dxa"/>
              <w:right w:w="45" w:type="dxa"/>
            </w:tcMar>
            <w:vAlign w:val="center"/>
          </w:tcPr>
          <w:p w14:paraId="6C08B06A" w14:textId="77777777" w:rsidR="00947134" w:rsidRPr="005621F4" w:rsidRDefault="00947134" w:rsidP="005621F4">
            <w:pPr>
              <w:jc w:val="center"/>
              <w:rPr>
                <w:b/>
                <w:szCs w:val="22"/>
              </w:rPr>
            </w:pPr>
            <w:r w:rsidRPr="005621F4">
              <w:rPr>
                <w:b/>
                <w:szCs w:val="22"/>
              </w:rPr>
              <w:lastRenderedPageBreak/>
              <w:t>Recursos de revisión.</w:t>
            </w:r>
          </w:p>
        </w:tc>
        <w:tc>
          <w:tcPr>
            <w:tcW w:w="6555" w:type="dxa"/>
            <w:shd w:val="clear" w:color="auto" w:fill="F9CB9C"/>
            <w:tcMar>
              <w:top w:w="0" w:type="dxa"/>
              <w:left w:w="45" w:type="dxa"/>
              <w:bottom w:w="0" w:type="dxa"/>
              <w:right w:w="45" w:type="dxa"/>
            </w:tcMar>
            <w:vAlign w:val="center"/>
          </w:tcPr>
          <w:p w14:paraId="2464BC3C" w14:textId="7A4F58E9" w:rsidR="00947134" w:rsidRPr="005621F4" w:rsidRDefault="00947134" w:rsidP="005621F4">
            <w:pPr>
              <w:jc w:val="center"/>
              <w:rPr>
                <w:b/>
                <w:szCs w:val="22"/>
              </w:rPr>
            </w:pPr>
            <w:r w:rsidRPr="005621F4">
              <w:rPr>
                <w:b/>
                <w:szCs w:val="22"/>
              </w:rPr>
              <w:t>Solicitud</w:t>
            </w:r>
            <w:r w:rsidR="000E03AE" w:rsidRPr="005621F4">
              <w:rPr>
                <w:b/>
                <w:szCs w:val="22"/>
              </w:rPr>
              <w:t>es.</w:t>
            </w:r>
          </w:p>
        </w:tc>
      </w:tr>
      <w:tr w:rsidR="005621F4" w:rsidRPr="005621F4" w14:paraId="31829097" w14:textId="77777777" w:rsidTr="00FC23B8">
        <w:trPr>
          <w:trHeight w:val="1093"/>
        </w:trPr>
        <w:tc>
          <w:tcPr>
            <w:tcW w:w="2556" w:type="dxa"/>
            <w:tcMar>
              <w:top w:w="0" w:type="dxa"/>
              <w:left w:w="45" w:type="dxa"/>
              <w:bottom w:w="0" w:type="dxa"/>
              <w:right w:w="45" w:type="dxa"/>
            </w:tcMar>
            <w:vAlign w:val="center"/>
          </w:tcPr>
          <w:p w14:paraId="67FB7CC9" w14:textId="2976B86F" w:rsidR="00947134" w:rsidRPr="005621F4" w:rsidRDefault="004D3411" w:rsidP="005621F4">
            <w:pPr>
              <w:jc w:val="center"/>
              <w:rPr>
                <w:b/>
                <w:sz w:val="20"/>
              </w:rPr>
            </w:pPr>
            <w:r w:rsidRPr="005621F4">
              <w:rPr>
                <w:b/>
                <w:sz w:val="20"/>
              </w:rPr>
              <w:t>00452</w:t>
            </w:r>
            <w:r w:rsidR="00947134" w:rsidRPr="005621F4">
              <w:rPr>
                <w:b/>
                <w:sz w:val="20"/>
              </w:rPr>
              <w:t>/INFOEM/IP/RR/2024</w:t>
            </w:r>
          </w:p>
        </w:tc>
        <w:tc>
          <w:tcPr>
            <w:tcW w:w="6555" w:type="dxa"/>
            <w:tcMar>
              <w:top w:w="0" w:type="dxa"/>
              <w:left w:w="45" w:type="dxa"/>
              <w:bottom w:w="0" w:type="dxa"/>
              <w:right w:w="45" w:type="dxa"/>
            </w:tcMar>
          </w:tcPr>
          <w:p w14:paraId="35EF1EEF" w14:textId="052210CA" w:rsidR="00947134" w:rsidRPr="005621F4" w:rsidRDefault="007C65D0" w:rsidP="005621F4">
            <w:pPr>
              <w:ind w:left="28"/>
              <w:rPr>
                <w:i/>
                <w:szCs w:val="22"/>
              </w:rPr>
            </w:pPr>
            <w:r w:rsidRPr="005621F4">
              <w:rPr>
                <w:i/>
                <w:szCs w:val="22"/>
              </w:rPr>
              <w:t>"</w:t>
            </w:r>
            <w:r w:rsidR="004D3411" w:rsidRPr="005621F4">
              <w:rPr>
                <w:i/>
                <w:szCs w:val="22"/>
              </w:rPr>
              <w:t>Los operativos realizados al transporte público con los resultado y los numero de los vehículos con marca, submarca, numero de placas y sanción, motivo por que fueron detenido, en que deposito están de enero a diciembre 2023 y su inventarios en la zona de operación cuatro</w:t>
            </w:r>
            <w:r w:rsidRPr="005621F4">
              <w:rPr>
                <w:i/>
                <w:szCs w:val="22"/>
              </w:rPr>
              <w:t>.</w:t>
            </w:r>
            <w:r w:rsidR="000C6C4B" w:rsidRPr="005621F4">
              <w:rPr>
                <w:i/>
                <w:szCs w:val="22"/>
              </w:rPr>
              <w:t xml:space="preserve">” </w:t>
            </w:r>
            <w:r w:rsidR="000C6C4B" w:rsidRPr="005621F4">
              <w:rPr>
                <w:szCs w:val="22"/>
              </w:rPr>
              <w:t>(Sic).</w:t>
            </w:r>
          </w:p>
        </w:tc>
      </w:tr>
      <w:tr w:rsidR="005621F4" w:rsidRPr="005621F4" w14:paraId="67BFF831" w14:textId="77777777" w:rsidTr="00FC23B8">
        <w:trPr>
          <w:trHeight w:val="65"/>
        </w:trPr>
        <w:tc>
          <w:tcPr>
            <w:tcW w:w="2556" w:type="dxa"/>
            <w:tcMar>
              <w:top w:w="0" w:type="dxa"/>
              <w:left w:w="45" w:type="dxa"/>
              <w:bottom w:w="0" w:type="dxa"/>
              <w:right w:w="45" w:type="dxa"/>
            </w:tcMar>
            <w:vAlign w:val="center"/>
          </w:tcPr>
          <w:p w14:paraId="6CB53A75" w14:textId="5A3E2DDF" w:rsidR="00947134" w:rsidRPr="005621F4" w:rsidRDefault="00C10275" w:rsidP="005621F4">
            <w:pPr>
              <w:jc w:val="center"/>
              <w:rPr>
                <w:b/>
                <w:sz w:val="20"/>
              </w:rPr>
            </w:pPr>
            <w:r w:rsidRPr="005621F4">
              <w:rPr>
                <w:b/>
                <w:sz w:val="20"/>
              </w:rPr>
              <w:t>00453</w:t>
            </w:r>
            <w:r w:rsidR="00947134" w:rsidRPr="005621F4">
              <w:rPr>
                <w:b/>
                <w:sz w:val="20"/>
              </w:rPr>
              <w:t>/INFOEM/IP/RR/2024</w:t>
            </w:r>
          </w:p>
        </w:tc>
        <w:tc>
          <w:tcPr>
            <w:tcW w:w="6555" w:type="dxa"/>
            <w:tcMar>
              <w:top w:w="0" w:type="dxa"/>
              <w:left w:w="45" w:type="dxa"/>
              <w:bottom w:w="0" w:type="dxa"/>
              <w:right w:w="45" w:type="dxa"/>
            </w:tcMar>
          </w:tcPr>
          <w:p w14:paraId="7F908EB7" w14:textId="6FA3E0D4" w:rsidR="00947134" w:rsidRPr="005621F4" w:rsidRDefault="007C65D0" w:rsidP="005621F4">
            <w:pPr>
              <w:rPr>
                <w:i/>
                <w:szCs w:val="22"/>
              </w:rPr>
            </w:pPr>
            <w:r w:rsidRPr="005621F4">
              <w:rPr>
                <w:i/>
                <w:szCs w:val="22"/>
              </w:rPr>
              <w:t>"</w:t>
            </w:r>
            <w:r w:rsidR="004D3411" w:rsidRPr="005621F4">
              <w:rPr>
                <w:i/>
                <w:szCs w:val="22"/>
              </w:rPr>
              <w:t>Los operativos realizados al transporte público con los resultado y los numero de los vehículos con marca, submarca, numero de placas y sanción, motivo por que fueron detenido, en que deposito están de enero a diciembre 2023 y su inventarios en la zona de operación tres.</w:t>
            </w:r>
            <w:r w:rsidR="00947134" w:rsidRPr="005621F4">
              <w:rPr>
                <w:i/>
                <w:szCs w:val="22"/>
              </w:rPr>
              <w:t>”</w:t>
            </w:r>
            <w:r w:rsidR="000C6C4B" w:rsidRPr="005621F4">
              <w:rPr>
                <w:i/>
                <w:szCs w:val="22"/>
              </w:rPr>
              <w:t xml:space="preserve"> </w:t>
            </w:r>
            <w:r w:rsidR="000C6C4B" w:rsidRPr="005621F4">
              <w:rPr>
                <w:szCs w:val="22"/>
              </w:rPr>
              <w:t>(Sic).</w:t>
            </w:r>
          </w:p>
        </w:tc>
      </w:tr>
      <w:tr w:rsidR="007C65D0" w:rsidRPr="005621F4" w14:paraId="76BA2764" w14:textId="77777777" w:rsidTr="00FC23B8">
        <w:trPr>
          <w:trHeight w:val="65"/>
        </w:trPr>
        <w:tc>
          <w:tcPr>
            <w:tcW w:w="2556" w:type="dxa"/>
            <w:tcMar>
              <w:top w:w="0" w:type="dxa"/>
              <w:left w:w="45" w:type="dxa"/>
              <w:bottom w:w="0" w:type="dxa"/>
              <w:right w:w="45" w:type="dxa"/>
            </w:tcMar>
            <w:vAlign w:val="center"/>
          </w:tcPr>
          <w:p w14:paraId="32EC7CB4" w14:textId="7C44D235" w:rsidR="007C65D0" w:rsidRPr="005621F4" w:rsidRDefault="00C10275" w:rsidP="005621F4">
            <w:pPr>
              <w:jc w:val="center"/>
              <w:rPr>
                <w:b/>
                <w:sz w:val="20"/>
              </w:rPr>
            </w:pPr>
            <w:r w:rsidRPr="005621F4">
              <w:rPr>
                <w:b/>
                <w:sz w:val="20"/>
              </w:rPr>
              <w:t>00454</w:t>
            </w:r>
            <w:r w:rsidR="007C65D0" w:rsidRPr="005621F4">
              <w:rPr>
                <w:b/>
                <w:sz w:val="20"/>
              </w:rPr>
              <w:t>/INFOEM/IP/RR/2024</w:t>
            </w:r>
          </w:p>
        </w:tc>
        <w:tc>
          <w:tcPr>
            <w:tcW w:w="6555" w:type="dxa"/>
            <w:tcMar>
              <w:top w:w="0" w:type="dxa"/>
              <w:left w:w="45" w:type="dxa"/>
              <w:bottom w:w="0" w:type="dxa"/>
              <w:right w:w="45" w:type="dxa"/>
            </w:tcMar>
          </w:tcPr>
          <w:p w14:paraId="3578CF6C" w14:textId="01C1008D" w:rsidR="007C65D0" w:rsidRPr="005621F4" w:rsidRDefault="007C65D0" w:rsidP="005621F4">
            <w:pPr>
              <w:rPr>
                <w:i/>
                <w:szCs w:val="22"/>
              </w:rPr>
            </w:pPr>
            <w:r w:rsidRPr="005621F4">
              <w:rPr>
                <w:i/>
                <w:szCs w:val="22"/>
              </w:rPr>
              <w:t>"</w:t>
            </w:r>
            <w:r w:rsidR="004D3411" w:rsidRPr="005621F4">
              <w:rPr>
                <w:i/>
                <w:szCs w:val="22"/>
              </w:rPr>
              <w:t>Los operativos realizados al transporte público con los resultado y los numero de los vehículos con marca, submarca, numero de placas y sanción, motivo por que fueron detenido, en que deposito están de enero a diciembre 2023 y su inventarios en la zona de operación dos.</w:t>
            </w:r>
            <w:r w:rsidRPr="005621F4">
              <w:rPr>
                <w:i/>
                <w:szCs w:val="22"/>
              </w:rPr>
              <w:t xml:space="preserve">" </w:t>
            </w:r>
            <w:r w:rsidRPr="005621F4">
              <w:rPr>
                <w:szCs w:val="22"/>
              </w:rPr>
              <w:t>(Sic).</w:t>
            </w:r>
          </w:p>
        </w:tc>
      </w:tr>
    </w:tbl>
    <w:p w14:paraId="457F1F6B" w14:textId="77777777" w:rsidR="000C6C4B" w:rsidRPr="005621F4" w:rsidRDefault="000C6C4B" w:rsidP="005621F4">
      <w:pPr>
        <w:tabs>
          <w:tab w:val="left" w:pos="4667"/>
        </w:tabs>
        <w:ind w:right="567"/>
        <w:rPr>
          <w:rFonts w:cs="Tahoma"/>
          <w:b/>
          <w:bCs/>
          <w:szCs w:val="22"/>
        </w:rPr>
      </w:pPr>
    </w:p>
    <w:p w14:paraId="0BD6321D" w14:textId="56D9ABBC" w:rsidR="00664420" w:rsidRPr="005621F4" w:rsidRDefault="009A2D78" w:rsidP="005621F4">
      <w:pPr>
        <w:tabs>
          <w:tab w:val="left" w:pos="4667"/>
        </w:tabs>
        <w:ind w:right="567"/>
        <w:rPr>
          <w:rFonts w:cs="Tahoma"/>
          <w:bCs/>
          <w:szCs w:val="22"/>
        </w:rPr>
      </w:pPr>
      <w:r w:rsidRPr="005621F4">
        <w:rPr>
          <w:rFonts w:cs="Tahoma"/>
          <w:b/>
          <w:bCs/>
          <w:szCs w:val="22"/>
        </w:rPr>
        <w:t>Modalidad de entrega</w:t>
      </w:r>
      <w:r w:rsidRPr="005621F4">
        <w:rPr>
          <w:rFonts w:cs="Tahoma"/>
          <w:bCs/>
          <w:szCs w:val="22"/>
        </w:rPr>
        <w:t>: a</w:t>
      </w:r>
      <w:r w:rsidR="00664420" w:rsidRPr="005621F4">
        <w:rPr>
          <w:rFonts w:cs="Tahoma"/>
          <w:bCs/>
          <w:szCs w:val="22"/>
        </w:rPr>
        <w:t xml:space="preserve"> través del SAIMEX</w:t>
      </w:r>
      <w:r w:rsidRPr="005621F4">
        <w:rPr>
          <w:rFonts w:cs="Tahoma"/>
          <w:bCs/>
          <w:szCs w:val="22"/>
        </w:rPr>
        <w:t>.</w:t>
      </w:r>
    </w:p>
    <w:p w14:paraId="2C4045D7" w14:textId="77777777" w:rsidR="00AF03C4" w:rsidRPr="005621F4" w:rsidRDefault="00AF03C4" w:rsidP="005621F4">
      <w:pPr>
        <w:rPr>
          <w:szCs w:val="22"/>
          <w:lang w:val="es-ES"/>
        </w:rPr>
      </w:pPr>
    </w:p>
    <w:p w14:paraId="60E7B614" w14:textId="2AAF68C5" w:rsidR="00871A57" w:rsidRPr="005621F4" w:rsidRDefault="00871A57" w:rsidP="005621F4">
      <w:pPr>
        <w:pStyle w:val="Ttulo3"/>
        <w:rPr>
          <w:szCs w:val="22"/>
        </w:rPr>
      </w:pPr>
      <w:bookmarkStart w:id="6" w:name="_Toc172136606"/>
      <w:bookmarkStart w:id="7" w:name="_Toc178766450"/>
      <w:r w:rsidRPr="005621F4">
        <w:rPr>
          <w:szCs w:val="22"/>
        </w:rPr>
        <w:t>b) Turno de las solicitudes de información.</w:t>
      </w:r>
      <w:bookmarkEnd w:id="6"/>
      <w:bookmarkEnd w:id="7"/>
    </w:p>
    <w:p w14:paraId="61AB1CD0" w14:textId="37C3358A" w:rsidR="00871A57" w:rsidRPr="005621F4" w:rsidRDefault="00871A57" w:rsidP="005621F4">
      <w:pPr>
        <w:rPr>
          <w:szCs w:val="22"/>
        </w:rPr>
      </w:pPr>
      <w:r w:rsidRPr="005621F4">
        <w:rPr>
          <w:szCs w:val="22"/>
        </w:rPr>
        <w:t xml:space="preserve">En cumplimiento al artículo 162 de la Ley de Transparencia y Acceso a la Información Pública del Estado de México y Municipios, el </w:t>
      </w:r>
      <w:r w:rsidR="004D3411" w:rsidRPr="005621F4">
        <w:rPr>
          <w:rFonts w:eastAsia="Palatino Linotype" w:cs="Palatino Linotype"/>
          <w:b/>
          <w:szCs w:val="22"/>
        </w:rPr>
        <w:t>cinco</w:t>
      </w:r>
      <w:r w:rsidR="002352B5" w:rsidRPr="005621F4">
        <w:rPr>
          <w:rFonts w:eastAsia="Palatino Linotype" w:cs="Palatino Linotype"/>
          <w:b/>
          <w:szCs w:val="22"/>
        </w:rPr>
        <w:t xml:space="preserve"> </w:t>
      </w:r>
      <w:r w:rsidR="004D3411" w:rsidRPr="005621F4">
        <w:rPr>
          <w:rFonts w:eastAsia="Palatino Linotype" w:cs="Palatino Linotype"/>
          <w:b/>
          <w:szCs w:val="22"/>
        </w:rPr>
        <w:t xml:space="preserve">de diciembre </w:t>
      </w:r>
      <w:r w:rsidRPr="005621F4">
        <w:rPr>
          <w:rFonts w:eastAsia="Palatino Linotype" w:cs="Palatino Linotype"/>
          <w:b/>
          <w:szCs w:val="22"/>
        </w:rPr>
        <w:t xml:space="preserve">de dos mil </w:t>
      </w:r>
      <w:r w:rsidR="004D3411" w:rsidRPr="005621F4">
        <w:rPr>
          <w:rFonts w:eastAsia="Palatino Linotype" w:cs="Palatino Linotype"/>
          <w:b/>
          <w:szCs w:val="22"/>
        </w:rPr>
        <w:t>veintitrés</w:t>
      </w:r>
      <w:r w:rsidRPr="005621F4">
        <w:rPr>
          <w:rFonts w:eastAsia="Palatino Linotype" w:cs="Palatino Linotype"/>
          <w:b/>
          <w:szCs w:val="22"/>
        </w:rPr>
        <w:t>,</w:t>
      </w:r>
      <w:r w:rsidRPr="005621F4">
        <w:rPr>
          <w:szCs w:val="22"/>
        </w:rPr>
        <w:t xml:space="preserve"> el Titular de la Unidad de Transparencia del </w:t>
      </w:r>
      <w:r w:rsidRPr="005621F4">
        <w:rPr>
          <w:b/>
          <w:szCs w:val="22"/>
        </w:rPr>
        <w:t>SUJETO OBLIGADO</w:t>
      </w:r>
      <w:r w:rsidRPr="005621F4">
        <w:rPr>
          <w:szCs w:val="22"/>
        </w:rPr>
        <w:t xml:space="preserve"> turnó las solicitudes de información a</w:t>
      </w:r>
      <w:r w:rsidR="004D3411" w:rsidRPr="005621F4">
        <w:rPr>
          <w:szCs w:val="22"/>
        </w:rPr>
        <w:t xml:space="preserve"> </w:t>
      </w:r>
      <w:r w:rsidRPr="005621F4">
        <w:rPr>
          <w:szCs w:val="22"/>
        </w:rPr>
        <w:t>l</w:t>
      </w:r>
      <w:r w:rsidR="004D3411" w:rsidRPr="005621F4">
        <w:rPr>
          <w:szCs w:val="22"/>
        </w:rPr>
        <w:t>os</w:t>
      </w:r>
      <w:r w:rsidRPr="005621F4">
        <w:rPr>
          <w:szCs w:val="22"/>
        </w:rPr>
        <w:t xml:space="preserve"> servidor</w:t>
      </w:r>
      <w:r w:rsidR="004D3411" w:rsidRPr="005621F4">
        <w:rPr>
          <w:szCs w:val="22"/>
        </w:rPr>
        <w:t>es</w:t>
      </w:r>
      <w:r w:rsidRPr="005621F4">
        <w:rPr>
          <w:szCs w:val="22"/>
        </w:rPr>
        <w:t xml:space="preserve"> público</w:t>
      </w:r>
      <w:r w:rsidR="004D3411" w:rsidRPr="005621F4">
        <w:rPr>
          <w:szCs w:val="22"/>
        </w:rPr>
        <w:t>s</w:t>
      </w:r>
      <w:r w:rsidRPr="005621F4">
        <w:rPr>
          <w:szCs w:val="22"/>
        </w:rPr>
        <w:t xml:space="preserve"> que estimó pertinente</w:t>
      </w:r>
      <w:r w:rsidR="004D3411" w:rsidRPr="005621F4">
        <w:rPr>
          <w:szCs w:val="22"/>
        </w:rPr>
        <w:t>s</w:t>
      </w:r>
      <w:r w:rsidRPr="005621F4">
        <w:rPr>
          <w:szCs w:val="22"/>
        </w:rPr>
        <w:t>.</w:t>
      </w:r>
    </w:p>
    <w:p w14:paraId="7C7D416F" w14:textId="77777777" w:rsidR="00871A57" w:rsidRPr="005621F4" w:rsidRDefault="00871A57" w:rsidP="005621F4">
      <w:pPr>
        <w:rPr>
          <w:szCs w:val="22"/>
          <w:lang w:val="es-ES"/>
        </w:rPr>
      </w:pPr>
    </w:p>
    <w:p w14:paraId="3212BA4D" w14:textId="0FA0C7EA" w:rsidR="00664420" w:rsidRPr="005621F4" w:rsidRDefault="00C858ED" w:rsidP="005621F4">
      <w:pPr>
        <w:pStyle w:val="Ttulo3"/>
        <w:rPr>
          <w:rFonts w:eastAsia="Calibri"/>
          <w:szCs w:val="22"/>
          <w:lang w:eastAsia="en-US"/>
        </w:rPr>
      </w:pPr>
      <w:bookmarkStart w:id="8" w:name="_Toc178766451"/>
      <w:r w:rsidRPr="005621F4">
        <w:rPr>
          <w:szCs w:val="22"/>
          <w:lang w:val="es-ES"/>
        </w:rPr>
        <w:lastRenderedPageBreak/>
        <w:t>c</w:t>
      </w:r>
      <w:r w:rsidR="00E37A3F" w:rsidRPr="005621F4">
        <w:rPr>
          <w:szCs w:val="22"/>
          <w:lang w:val="es-ES"/>
        </w:rPr>
        <w:t xml:space="preserve">) </w:t>
      </w:r>
      <w:r w:rsidR="00664420" w:rsidRPr="005621F4">
        <w:rPr>
          <w:szCs w:val="22"/>
          <w:lang w:val="es-ES"/>
        </w:rPr>
        <w:t>Respuesta</w:t>
      </w:r>
      <w:r w:rsidR="00947134" w:rsidRPr="005621F4">
        <w:rPr>
          <w:szCs w:val="22"/>
          <w:lang w:val="es-ES"/>
        </w:rPr>
        <w:t>s</w:t>
      </w:r>
      <w:r w:rsidR="00664420" w:rsidRPr="005621F4">
        <w:rPr>
          <w:szCs w:val="22"/>
          <w:lang w:val="es-ES"/>
        </w:rPr>
        <w:t xml:space="preserve"> </w:t>
      </w:r>
      <w:r w:rsidR="00664420" w:rsidRPr="005621F4">
        <w:rPr>
          <w:rFonts w:eastAsia="Calibri"/>
          <w:szCs w:val="22"/>
          <w:lang w:eastAsia="en-US"/>
        </w:rPr>
        <w:t>del Sujeto Obligado</w:t>
      </w:r>
      <w:r w:rsidR="00A7290A" w:rsidRPr="005621F4">
        <w:rPr>
          <w:rFonts w:eastAsia="Calibri"/>
          <w:szCs w:val="22"/>
          <w:lang w:eastAsia="en-US"/>
        </w:rPr>
        <w:t>.</w:t>
      </w:r>
      <w:bookmarkEnd w:id="8"/>
    </w:p>
    <w:p w14:paraId="3783644C" w14:textId="606F4DCE" w:rsidR="00AD1D93" w:rsidRPr="005621F4" w:rsidRDefault="00FE1818" w:rsidP="005621F4">
      <w:pPr>
        <w:pBdr>
          <w:top w:val="nil"/>
          <w:left w:val="nil"/>
          <w:bottom w:val="nil"/>
          <w:right w:val="nil"/>
          <w:between w:val="nil"/>
        </w:pBdr>
        <w:rPr>
          <w:rFonts w:eastAsia="Palatino Linotype" w:cs="Palatino Linotype"/>
          <w:szCs w:val="22"/>
        </w:rPr>
      </w:pPr>
      <w:r w:rsidRPr="005621F4">
        <w:rPr>
          <w:rFonts w:eastAsia="Palatino Linotype" w:cs="Palatino Linotype"/>
          <w:szCs w:val="22"/>
        </w:rPr>
        <w:t xml:space="preserve">El </w:t>
      </w:r>
      <w:r w:rsidR="004D3411" w:rsidRPr="005621F4">
        <w:rPr>
          <w:rFonts w:eastAsia="Palatino Linotype" w:cs="Palatino Linotype"/>
          <w:b/>
          <w:szCs w:val="22"/>
        </w:rPr>
        <w:t>dieciséis</w:t>
      </w:r>
      <w:r w:rsidR="002352B5" w:rsidRPr="005621F4">
        <w:rPr>
          <w:rFonts w:eastAsia="Palatino Linotype" w:cs="Palatino Linotype"/>
          <w:b/>
          <w:szCs w:val="22"/>
        </w:rPr>
        <w:t xml:space="preserve"> </w:t>
      </w:r>
      <w:r w:rsidRPr="005621F4">
        <w:rPr>
          <w:rFonts w:eastAsia="Palatino Linotype" w:cs="Palatino Linotype"/>
          <w:b/>
          <w:szCs w:val="22"/>
        </w:rPr>
        <w:t xml:space="preserve">de </w:t>
      </w:r>
      <w:r w:rsidR="004D3411" w:rsidRPr="005621F4">
        <w:rPr>
          <w:rFonts w:eastAsia="Palatino Linotype" w:cs="Palatino Linotype"/>
          <w:b/>
          <w:szCs w:val="22"/>
        </w:rPr>
        <w:t>enero</w:t>
      </w:r>
      <w:r w:rsidRPr="005621F4">
        <w:rPr>
          <w:rFonts w:eastAsia="Palatino Linotype" w:cs="Palatino Linotype"/>
          <w:b/>
          <w:szCs w:val="22"/>
        </w:rPr>
        <w:t xml:space="preserve"> de dos mil </w:t>
      </w:r>
      <w:r w:rsidR="002352B5" w:rsidRPr="005621F4">
        <w:rPr>
          <w:rFonts w:eastAsia="Palatino Linotype" w:cs="Palatino Linotype"/>
          <w:b/>
          <w:szCs w:val="22"/>
        </w:rPr>
        <w:t>veinticuatro</w:t>
      </w:r>
      <w:r w:rsidRPr="005621F4">
        <w:rPr>
          <w:rFonts w:eastAsia="Palatino Linotype" w:cs="Palatino Linotype"/>
          <w:b/>
          <w:szCs w:val="22"/>
        </w:rPr>
        <w:t>,</w:t>
      </w:r>
      <w:r w:rsidRPr="005621F4">
        <w:rPr>
          <w:rFonts w:eastAsia="Palatino Linotype" w:cs="Palatino Linotype"/>
          <w:szCs w:val="22"/>
        </w:rPr>
        <w:t xml:space="preserve"> el Titular de la Unidad de Transparencia del </w:t>
      </w:r>
      <w:r w:rsidRPr="005621F4">
        <w:rPr>
          <w:rFonts w:eastAsia="Palatino Linotype" w:cs="Palatino Linotype"/>
          <w:b/>
          <w:szCs w:val="22"/>
        </w:rPr>
        <w:t>SUJETO OBLIGADO</w:t>
      </w:r>
      <w:r w:rsidRPr="005621F4">
        <w:rPr>
          <w:rFonts w:eastAsia="Palatino Linotype" w:cs="Palatino Linotype"/>
          <w:szCs w:val="22"/>
        </w:rPr>
        <w:t xml:space="preserve"> notificó la</w:t>
      </w:r>
      <w:r w:rsidR="007C65D0" w:rsidRPr="005621F4">
        <w:rPr>
          <w:rFonts w:eastAsia="Palatino Linotype" w:cs="Palatino Linotype"/>
          <w:szCs w:val="22"/>
        </w:rPr>
        <w:t>s</w:t>
      </w:r>
      <w:r w:rsidRPr="005621F4">
        <w:rPr>
          <w:rFonts w:eastAsia="Palatino Linotype" w:cs="Palatino Linotype"/>
          <w:szCs w:val="22"/>
        </w:rPr>
        <w:t xml:space="preserve"> siguiente</w:t>
      </w:r>
      <w:r w:rsidR="007C65D0" w:rsidRPr="005621F4">
        <w:rPr>
          <w:rFonts w:eastAsia="Palatino Linotype" w:cs="Palatino Linotype"/>
          <w:szCs w:val="22"/>
        </w:rPr>
        <w:t xml:space="preserve">s respuestas </w:t>
      </w:r>
      <w:r w:rsidR="00781217" w:rsidRPr="005621F4">
        <w:rPr>
          <w:rFonts w:eastAsia="Palatino Linotype" w:cs="Palatino Linotype"/>
          <w:szCs w:val="22"/>
        </w:rPr>
        <w:t>de manera homologada a través del SAIMEX, en los siguientes términos:</w:t>
      </w:r>
    </w:p>
    <w:p w14:paraId="558151F7" w14:textId="77777777" w:rsidR="00781217" w:rsidRPr="005621F4" w:rsidRDefault="00781217" w:rsidP="005621F4">
      <w:pPr>
        <w:pBdr>
          <w:top w:val="nil"/>
          <w:left w:val="nil"/>
          <w:bottom w:val="nil"/>
          <w:right w:val="nil"/>
          <w:between w:val="nil"/>
        </w:pBdr>
        <w:rPr>
          <w:rFonts w:eastAsia="Palatino Linotype" w:cs="Palatino Linotype"/>
          <w:szCs w:val="22"/>
        </w:rPr>
      </w:pPr>
    </w:p>
    <w:p w14:paraId="4A9E0286" w14:textId="20A470DA" w:rsidR="004D3411" w:rsidRPr="005621F4" w:rsidRDefault="004D3411" w:rsidP="005621F4">
      <w:pPr>
        <w:tabs>
          <w:tab w:val="left" w:pos="3675"/>
        </w:tabs>
        <w:ind w:left="851"/>
        <w:rPr>
          <w:rFonts w:cs="Calibri"/>
          <w:i/>
        </w:rPr>
      </w:pPr>
      <w:r w:rsidRPr="005621F4">
        <w:rPr>
          <w:rFonts w:cs="Calibri"/>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AD3BC4D" w14:textId="77777777" w:rsidR="004D3411" w:rsidRPr="005621F4" w:rsidRDefault="004D3411" w:rsidP="005621F4">
      <w:pPr>
        <w:tabs>
          <w:tab w:val="left" w:pos="3675"/>
        </w:tabs>
        <w:ind w:left="851"/>
        <w:rPr>
          <w:rFonts w:cs="Calibri"/>
          <w:i/>
        </w:rPr>
      </w:pPr>
      <w:r w:rsidRPr="005621F4">
        <w:rPr>
          <w:rFonts w:cs="Calibri"/>
          <w:i/>
        </w:rPr>
        <w:t>se anexa respuesta</w:t>
      </w:r>
    </w:p>
    <w:p w14:paraId="17EBA5D9" w14:textId="77777777" w:rsidR="004D3411" w:rsidRPr="005621F4" w:rsidRDefault="004D3411" w:rsidP="005621F4">
      <w:pPr>
        <w:tabs>
          <w:tab w:val="left" w:pos="3675"/>
        </w:tabs>
        <w:ind w:left="851"/>
        <w:rPr>
          <w:rFonts w:cs="Calibri"/>
          <w:i/>
        </w:rPr>
      </w:pPr>
      <w:r w:rsidRPr="005621F4">
        <w:rPr>
          <w:rFonts w:cs="Calibri"/>
          <w:i/>
        </w:rPr>
        <w:t>ATENTAMENTE</w:t>
      </w:r>
    </w:p>
    <w:p w14:paraId="104923BB" w14:textId="4464D291" w:rsidR="004D3411" w:rsidRPr="005621F4" w:rsidRDefault="004D3411" w:rsidP="005621F4">
      <w:pPr>
        <w:tabs>
          <w:tab w:val="left" w:pos="3675"/>
        </w:tabs>
        <w:ind w:left="851"/>
        <w:rPr>
          <w:rFonts w:cs="Calibri"/>
          <w:i/>
        </w:rPr>
      </w:pPr>
      <w:r w:rsidRPr="005621F4">
        <w:rPr>
          <w:rFonts w:cs="Calibri"/>
          <w:i/>
        </w:rPr>
        <w:t>Lic. Alejandro Hernández Aguilar”</w:t>
      </w:r>
    </w:p>
    <w:p w14:paraId="6C915E4A" w14:textId="77777777" w:rsidR="000F17BC" w:rsidRPr="005621F4" w:rsidRDefault="000F17BC" w:rsidP="005621F4">
      <w:pPr>
        <w:tabs>
          <w:tab w:val="left" w:pos="3675"/>
        </w:tabs>
        <w:rPr>
          <w:rFonts w:cs="Calibri"/>
          <w:sz w:val="20"/>
        </w:rPr>
      </w:pPr>
    </w:p>
    <w:p w14:paraId="24FD535E" w14:textId="31340983" w:rsidR="000F17BC" w:rsidRPr="005621F4" w:rsidRDefault="000F17BC" w:rsidP="005621F4">
      <w:pPr>
        <w:tabs>
          <w:tab w:val="left" w:pos="3675"/>
        </w:tabs>
        <w:rPr>
          <w:rFonts w:cs="Calibri"/>
          <w:szCs w:val="22"/>
        </w:rPr>
      </w:pPr>
      <w:r w:rsidRPr="005621F4">
        <w:rPr>
          <w:rFonts w:cs="Calibri"/>
          <w:szCs w:val="22"/>
        </w:rPr>
        <w:t>A las respuestas se anexó la información que a continuación se describe:</w:t>
      </w:r>
    </w:p>
    <w:p w14:paraId="345DA42F" w14:textId="77777777" w:rsidR="000F17BC" w:rsidRPr="005621F4" w:rsidRDefault="000F17BC" w:rsidP="005621F4">
      <w:pPr>
        <w:tabs>
          <w:tab w:val="left" w:pos="3675"/>
        </w:tabs>
        <w:rPr>
          <w:rFonts w:cs="Calibri"/>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5621F4" w:rsidRPr="005621F4" w14:paraId="702EA5A4" w14:textId="77777777" w:rsidTr="00BC5BF6">
        <w:trPr>
          <w:trHeight w:val="225"/>
        </w:trPr>
        <w:tc>
          <w:tcPr>
            <w:tcW w:w="2830" w:type="dxa"/>
            <w:shd w:val="clear" w:color="auto" w:fill="F9CB9C"/>
            <w:tcMar>
              <w:top w:w="0" w:type="dxa"/>
              <w:left w:w="45" w:type="dxa"/>
              <w:bottom w:w="0" w:type="dxa"/>
              <w:right w:w="45" w:type="dxa"/>
            </w:tcMar>
            <w:vAlign w:val="center"/>
          </w:tcPr>
          <w:p w14:paraId="7DFC6CFF" w14:textId="77777777" w:rsidR="004D3411" w:rsidRPr="005621F4" w:rsidRDefault="004D3411" w:rsidP="005621F4">
            <w:pPr>
              <w:jc w:val="center"/>
              <w:rPr>
                <w:b/>
                <w:sz w:val="20"/>
              </w:rPr>
            </w:pPr>
            <w:r w:rsidRPr="005621F4">
              <w:rPr>
                <w:b/>
                <w:sz w:val="20"/>
              </w:rPr>
              <w:t>Recursos de revisión.</w:t>
            </w:r>
          </w:p>
        </w:tc>
        <w:tc>
          <w:tcPr>
            <w:tcW w:w="6281" w:type="dxa"/>
            <w:shd w:val="clear" w:color="auto" w:fill="F9CB9C"/>
            <w:tcMar>
              <w:top w:w="0" w:type="dxa"/>
              <w:left w:w="45" w:type="dxa"/>
              <w:bottom w:w="0" w:type="dxa"/>
              <w:right w:w="45" w:type="dxa"/>
            </w:tcMar>
            <w:vAlign w:val="center"/>
          </w:tcPr>
          <w:p w14:paraId="57EE6893" w14:textId="52B05019" w:rsidR="004D3411" w:rsidRPr="005621F4" w:rsidRDefault="00BC5BF6" w:rsidP="005621F4">
            <w:pPr>
              <w:jc w:val="center"/>
              <w:rPr>
                <w:b/>
                <w:i/>
                <w:sz w:val="20"/>
              </w:rPr>
            </w:pPr>
            <w:r w:rsidRPr="005621F4">
              <w:rPr>
                <w:b/>
                <w:sz w:val="20"/>
              </w:rPr>
              <w:t>Respuestas</w:t>
            </w:r>
            <w:r w:rsidR="004D3411" w:rsidRPr="005621F4">
              <w:rPr>
                <w:b/>
                <w:i/>
                <w:sz w:val="20"/>
              </w:rPr>
              <w:t>.</w:t>
            </w:r>
          </w:p>
        </w:tc>
      </w:tr>
      <w:tr w:rsidR="005621F4" w:rsidRPr="005621F4" w14:paraId="0876CB0E" w14:textId="77777777" w:rsidTr="00BC5BF6">
        <w:trPr>
          <w:trHeight w:val="1093"/>
        </w:trPr>
        <w:tc>
          <w:tcPr>
            <w:tcW w:w="2830" w:type="dxa"/>
            <w:tcMar>
              <w:top w:w="0" w:type="dxa"/>
              <w:left w:w="45" w:type="dxa"/>
              <w:bottom w:w="0" w:type="dxa"/>
              <w:right w:w="45" w:type="dxa"/>
            </w:tcMar>
          </w:tcPr>
          <w:p w14:paraId="71AA98D4" w14:textId="09161199" w:rsidR="004D3411" w:rsidRPr="005621F4" w:rsidRDefault="00C10275" w:rsidP="005621F4">
            <w:pPr>
              <w:jc w:val="center"/>
              <w:rPr>
                <w:b/>
                <w:sz w:val="20"/>
              </w:rPr>
            </w:pPr>
            <w:r w:rsidRPr="005621F4">
              <w:rPr>
                <w:b/>
                <w:sz w:val="20"/>
              </w:rPr>
              <w:t>00452</w:t>
            </w:r>
            <w:r w:rsidR="00BC5BF6" w:rsidRPr="005621F4">
              <w:rPr>
                <w:b/>
                <w:sz w:val="20"/>
              </w:rPr>
              <w:t>/INFOEM/IP/RR/2024</w:t>
            </w:r>
          </w:p>
        </w:tc>
        <w:tc>
          <w:tcPr>
            <w:tcW w:w="6281" w:type="dxa"/>
            <w:tcMar>
              <w:top w:w="0" w:type="dxa"/>
              <w:left w:w="45" w:type="dxa"/>
              <w:bottom w:w="0" w:type="dxa"/>
              <w:right w:w="45" w:type="dxa"/>
            </w:tcMar>
          </w:tcPr>
          <w:p w14:paraId="660BB02F" w14:textId="0D921C6A" w:rsidR="00BC5BF6" w:rsidRPr="005621F4" w:rsidRDefault="00BC5BF6" w:rsidP="005621F4">
            <w:pPr>
              <w:ind w:left="28"/>
              <w:rPr>
                <w:sz w:val="20"/>
                <w:shd w:val="clear" w:color="auto" w:fill="FFFFFF"/>
              </w:rPr>
            </w:pPr>
            <w:r w:rsidRPr="005621F4">
              <w:rPr>
                <w:b/>
                <w:i/>
                <w:sz w:val="20"/>
                <w:shd w:val="clear" w:color="auto" w:fill="FFFFFF"/>
              </w:rPr>
              <w:t>"UNIDADES RETENIDAS 2023.xlsx"</w:t>
            </w:r>
            <w:r w:rsidRPr="005621F4">
              <w:rPr>
                <w:sz w:val="20"/>
                <w:shd w:val="clear" w:color="auto" w:fill="FFFFFF"/>
              </w:rPr>
              <w:t>: documento en formato PDF que contiene un listado de vehículos, con relación a la marca, submarca, placas, depósito vehicular, motivo de retención y sanción.</w:t>
            </w:r>
          </w:p>
          <w:p w14:paraId="7BC734BB" w14:textId="77777777" w:rsidR="00BC5BF6" w:rsidRPr="005621F4" w:rsidRDefault="00BC5BF6" w:rsidP="005621F4">
            <w:pPr>
              <w:ind w:left="28"/>
              <w:rPr>
                <w:sz w:val="20"/>
                <w:shd w:val="clear" w:color="auto" w:fill="FFFFFF"/>
              </w:rPr>
            </w:pPr>
          </w:p>
          <w:p w14:paraId="177BEE6F" w14:textId="779DCCD0" w:rsidR="004D3411" w:rsidRPr="005621F4" w:rsidRDefault="00BC5BF6" w:rsidP="005621F4">
            <w:pPr>
              <w:ind w:left="28"/>
              <w:rPr>
                <w:i/>
                <w:sz w:val="20"/>
              </w:rPr>
            </w:pPr>
            <w:r w:rsidRPr="005621F4">
              <w:rPr>
                <w:b/>
                <w:i/>
                <w:sz w:val="20"/>
                <w:shd w:val="clear" w:color="auto" w:fill="FFFFFF"/>
              </w:rPr>
              <w:t>"Respuesta a Solicitud 679.pdf":</w:t>
            </w:r>
            <w:r w:rsidRPr="005621F4">
              <w:rPr>
                <w:sz w:val="20"/>
                <w:shd w:val="clear" w:color="auto" w:fill="FFFFFF"/>
              </w:rPr>
              <w:t xml:space="preserve"> documento constante de 2 fojas útiles, de cuyo contenido se advierte un escrito remitido por el Titular de la Unidad de Transparencia, por medio del cual remite los pronunciamientos de los servidores públicos habilitados de la Subsecretaría de Movilidad y la Dirección General de Movilidad Zona IV, quienes señalaron respectivamente que, los operativos no son de su competencia y que se adjunta la información con la que se cuenta.</w:t>
            </w:r>
          </w:p>
        </w:tc>
      </w:tr>
      <w:tr w:rsidR="005621F4" w:rsidRPr="005621F4" w14:paraId="439B9D1C" w14:textId="77777777" w:rsidTr="00BC5BF6">
        <w:trPr>
          <w:trHeight w:val="65"/>
        </w:trPr>
        <w:tc>
          <w:tcPr>
            <w:tcW w:w="2830" w:type="dxa"/>
            <w:tcMar>
              <w:top w:w="0" w:type="dxa"/>
              <w:left w:w="45" w:type="dxa"/>
              <w:bottom w:w="0" w:type="dxa"/>
              <w:right w:w="45" w:type="dxa"/>
            </w:tcMar>
          </w:tcPr>
          <w:p w14:paraId="6FC3C6EC" w14:textId="12A17789" w:rsidR="004D3411" w:rsidRPr="005621F4" w:rsidRDefault="00C10275" w:rsidP="005621F4">
            <w:pPr>
              <w:jc w:val="center"/>
              <w:rPr>
                <w:b/>
                <w:sz w:val="20"/>
              </w:rPr>
            </w:pPr>
            <w:r w:rsidRPr="005621F4">
              <w:rPr>
                <w:b/>
                <w:sz w:val="20"/>
              </w:rPr>
              <w:lastRenderedPageBreak/>
              <w:t>00453</w:t>
            </w:r>
            <w:r w:rsidR="00BC5BF6" w:rsidRPr="005621F4">
              <w:rPr>
                <w:b/>
                <w:sz w:val="20"/>
              </w:rPr>
              <w:t>/INFOEM/IP/RR/2024</w:t>
            </w:r>
          </w:p>
        </w:tc>
        <w:tc>
          <w:tcPr>
            <w:tcW w:w="6281" w:type="dxa"/>
            <w:tcMar>
              <w:top w:w="0" w:type="dxa"/>
              <w:left w:w="45" w:type="dxa"/>
              <w:bottom w:w="0" w:type="dxa"/>
              <w:right w:w="45" w:type="dxa"/>
            </w:tcMar>
          </w:tcPr>
          <w:p w14:paraId="243EDCCD" w14:textId="216354ED" w:rsidR="00BC5BF6" w:rsidRPr="005621F4" w:rsidRDefault="00BC5BF6" w:rsidP="005621F4">
            <w:pPr>
              <w:rPr>
                <w:sz w:val="20"/>
                <w:shd w:val="clear" w:color="auto" w:fill="FFFFFF"/>
              </w:rPr>
            </w:pPr>
            <w:r w:rsidRPr="005621F4">
              <w:rPr>
                <w:b/>
                <w:i/>
                <w:sz w:val="20"/>
                <w:shd w:val="clear" w:color="auto" w:fill="FFFFFF"/>
              </w:rPr>
              <w:t>"TEXCOCO UNIDADES RETEN_IDAS 2023.xlsx"</w:t>
            </w:r>
            <w:r w:rsidRPr="005621F4">
              <w:rPr>
                <w:sz w:val="20"/>
                <w:shd w:val="clear" w:color="auto" w:fill="FFFFFF"/>
              </w:rPr>
              <w:t xml:space="preserve">: documento en formato </w:t>
            </w:r>
            <w:r w:rsidR="00D67166" w:rsidRPr="005621F4">
              <w:rPr>
                <w:sz w:val="20"/>
                <w:shd w:val="clear" w:color="auto" w:fill="FFFFFF"/>
              </w:rPr>
              <w:t>.</w:t>
            </w:r>
            <w:r w:rsidRPr="005621F4">
              <w:rPr>
                <w:sz w:val="20"/>
                <w:shd w:val="clear" w:color="auto" w:fill="FFFFFF"/>
              </w:rPr>
              <w:t xml:space="preserve">xls que contiene una relación de los operativos realizados al transporte público, respecto a las unidades retenidas, liberadas, así como el ingreso correspondiente por su liberación en el municipio de Texcoco. </w:t>
            </w:r>
          </w:p>
          <w:p w14:paraId="704078AF" w14:textId="77777777" w:rsidR="00BC5BF6" w:rsidRPr="005621F4" w:rsidRDefault="00BC5BF6" w:rsidP="005621F4">
            <w:pPr>
              <w:rPr>
                <w:sz w:val="20"/>
                <w:shd w:val="clear" w:color="auto" w:fill="FFFFFF"/>
              </w:rPr>
            </w:pPr>
          </w:p>
          <w:p w14:paraId="7462CC14" w14:textId="77777777" w:rsidR="00BC5BF6" w:rsidRPr="005621F4" w:rsidRDefault="00BC5BF6" w:rsidP="005621F4">
            <w:pPr>
              <w:rPr>
                <w:sz w:val="20"/>
                <w:shd w:val="clear" w:color="auto" w:fill="FFFFFF"/>
              </w:rPr>
            </w:pPr>
            <w:r w:rsidRPr="005621F4">
              <w:rPr>
                <w:b/>
                <w:i/>
                <w:sz w:val="20"/>
                <w:shd w:val="clear" w:color="auto" w:fill="FFFFFF"/>
              </w:rPr>
              <w:t>"ECATEPEC UNIDADES RETENIDAS 2023.xlsx"</w:t>
            </w:r>
            <w:r w:rsidRPr="005621F4">
              <w:rPr>
                <w:sz w:val="20"/>
                <w:shd w:val="clear" w:color="auto" w:fill="FFFFFF"/>
              </w:rPr>
              <w:t xml:space="preserve">: documento en formato xls que contiene una relación de los operativos realizados al transporte público, respecto a las unidades retenidas, liberadas, así como el ingreso correspondiente por su liberación en el municipio de Ecatepec. </w:t>
            </w:r>
          </w:p>
          <w:p w14:paraId="55DF9D60" w14:textId="77777777" w:rsidR="00BC5BF6" w:rsidRPr="005621F4" w:rsidRDefault="00BC5BF6" w:rsidP="005621F4">
            <w:pPr>
              <w:rPr>
                <w:sz w:val="20"/>
                <w:shd w:val="clear" w:color="auto" w:fill="FFFFFF"/>
              </w:rPr>
            </w:pPr>
          </w:p>
          <w:p w14:paraId="080F0767" w14:textId="0D3C1ADF" w:rsidR="004D3411" w:rsidRPr="005621F4" w:rsidRDefault="00BC5BF6" w:rsidP="005621F4">
            <w:pPr>
              <w:rPr>
                <w:b/>
                <w:i/>
                <w:sz w:val="20"/>
              </w:rPr>
            </w:pPr>
            <w:r w:rsidRPr="005621F4">
              <w:rPr>
                <w:b/>
                <w:i/>
                <w:sz w:val="20"/>
                <w:shd w:val="clear" w:color="auto" w:fill="FFFFFF"/>
              </w:rPr>
              <w:t>"Respuesta a Solicitud 678.pdf</w:t>
            </w:r>
            <w:r w:rsidRPr="005621F4">
              <w:rPr>
                <w:sz w:val="20"/>
                <w:shd w:val="clear" w:color="auto" w:fill="FFFFFF"/>
              </w:rPr>
              <w:t>": documento constante de 2 fojas útiles, de cuyo contenido se advierte un escrito remitido por el Titular de la Unidad de Transparencia, por medio del cual remite los pronunciamientos de los servidores públicos habilitados de la Subsecretaría de Movilidad y la Dirección General de Movilidad Zona III, quienes señalaron respectivamente que, los operativos no son de su competencia y que se adjunta la información con la que se cuenta.</w:t>
            </w:r>
          </w:p>
        </w:tc>
      </w:tr>
      <w:tr w:rsidR="004D3411" w:rsidRPr="005621F4" w14:paraId="2F4C96EF" w14:textId="77777777" w:rsidTr="00BC5BF6">
        <w:trPr>
          <w:trHeight w:val="65"/>
        </w:trPr>
        <w:tc>
          <w:tcPr>
            <w:tcW w:w="2830" w:type="dxa"/>
            <w:tcMar>
              <w:top w:w="0" w:type="dxa"/>
              <w:left w:w="45" w:type="dxa"/>
              <w:bottom w:w="0" w:type="dxa"/>
              <w:right w:w="45" w:type="dxa"/>
            </w:tcMar>
          </w:tcPr>
          <w:p w14:paraId="13B07F2B" w14:textId="38C2F381" w:rsidR="004D3411" w:rsidRPr="005621F4" w:rsidRDefault="00C10275" w:rsidP="005621F4">
            <w:pPr>
              <w:jc w:val="center"/>
              <w:rPr>
                <w:b/>
                <w:sz w:val="20"/>
              </w:rPr>
            </w:pPr>
            <w:r w:rsidRPr="005621F4">
              <w:rPr>
                <w:b/>
                <w:sz w:val="20"/>
              </w:rPr>
              <w:t>00454</w:t>
            </w:r>
            <w:r w:rsidR="00BC5BF6" w:rsidRPr="005621F4">
              <w:rPr>
                <w:b/>
                <w:sz w:val="20"/>
              </w:rPr>
              <w:t>/INFOEM/IP/RR/2024</w:t>
            </w:r>
          </w:p>
        </w:tc>
        <w:tc>
          <w:tcPr>
            <w:tcW w:w="6281" w:type="dxa"/>
            <w:tcMar>
              <w:top w:w="0" w:type="dxa"/>
              <w:left w:w="45" w:type="dxa"/>
              <w:bottom w:w="0" w:type="dxa"/>
              <w:right w:w="45" w:type="dxa"/>
            </w:tcMar>
          </w:tcPr>
          <w:p w14:paraId="7EA546D6" w14:textId="77777777" w:rsidR="00BC5BF6" w:rsidRPr="005621F4" w:rsidRDefault="00BC5BF6" w:rsidP="005621F4">
            <w:pPr>
              <w:ind w:left="28"/>
              <w:rPr>
                <w:sz w:val="20"/>
                <w:shd w:val="clear" w:color="auto" w:fill="FFFFFF"/>
              </w:rPr>
            </w:pPr>
            <w:r w:rsidRPr="005621F4">
              <w:rPr>
                <w:b/>
                <w:i/>
                <w:sz w:val="20"/>
                <w:shd w:val="clear" w:color="auto" w:fill="FFFFFF"/>
              </w:rPr>
              <w:t>"UNIDADES RETENIDAS DELEGACIÓN NAUCALPAN.pdf":</w:t>
            </w:r>
            <w:r w:rsidRPr="005621F4">
              <w:rPr>
                <w:sz w:val="20"/>
                <w:shd w:val="clear" w:color="auto" w:fill="FFFFFF"/>
              </w:rPr>
              <w:t xml:space="preserve"> documento constante de 4 fojas útiles que contiene un listado de las unidades retenidas de enero a diciembre del año 2023. </w:t>
            </w:r>
          </w:p>
          <w:p w14:paraId="56B998FE" w14:textId="77777777" w:rsidR="00BC5BF6" w:rsidRPr="005621F4" w:rsidRDefault="00BC5BF6" w:rsidP="005621F4">
            <w:pPr>
              <w:ind w:left="28"/>
              <w:rPr>
                <w:sz w:val="20"/>
                <w:shd w:val="clear" w:color="auto" w:fill="FFFFFF"/>
              </w:rPr>
            </w:pPr>
          </w:p>
          <w:p w14:paraId="292F2317" w14:textId="49760462" w:rsidR="00BC5BF6" w:rsidRPr="005621F4" w:rsidRDefault="00BC5BF6" w:rsidP="005621F4">
            <w:pPr>
              <w:ind w:left="28"/>
              <w:rPr>
                <w:sz w:val="20"/>
                <w:shd w:val="clear" w:color="auto" w:fill="FFFFFF"/>
              </w:rPr>
            </w:pPr>
            <w:r w:rsidRPr="005621F4">
              <w:rPr>
                <w:b/>
                <w:i/>
                <w:sz w:val="20"/>
                <w:shd w:val="clear" w:color="auto" w:fill="FFFFFF"/>
              </w:rPr>
              <w:t>"UNIDADES RETENIDAS DEL. CUAUTITLÁN IZCALLI.pdf":</w:t>
            </w:r>
            <w:r w:rsidRPr="005621F4">
              <w:rPr>
                <w:sz w:val="20"/>
                <w:shd w:val="clear" w:color="auto" w:fill="FFFFFF"/>
              </w:rPr>
              <w:t xml:space="preserve"> documento constante de 9 fojas útiles, que contiene un listado de los operativos realizados de enero a diciembre de 2023 en la delegación regional de movilidad Cuautitlán Izcalli.</w:t>
            </w:r>
          </w:p>
          <w:p w14:paraId="163C1F3A" w14:textId="77777777" w:rsidR="00BC5BF6" w:rsidRPr="005621F4" w:rsidRDefault="00BC5BF6" w:rsidP="005621F4">
            <w:pPr>
              <w:ind w:left="28"/>
              <w:rPr>
                <w:sz w:val="20"/>
                <w:shd w:val="clear" w:color="auto" w:fill="FFFFFF"/>
              </w:rPr>
            </w:pPr>
          </w:p>
          <w:p w14:paraId="506E374E" w14:textId="1061E287" w:rsidR="004D3411" w:rsidRPr="005621F4" w:rsidRDefault="00BC5BF6" w:rsidP="005621F4">
            <w:pPr>
              <w:ind w:left="28"/>
              <w:rPr>
                <w:b/>
                <w:sz w:val="20"/>
              </w:rPr>
            </w:pPr>
            <w:r w:rsidRPr="005621F4">
              <w:rPr>
                <w:b/>
                <w:i/>
                <w:sz w:val="20"/>
                <w:shd w:val="clear" w:color="auto" w:fill="FFFFFF"/>
              </w:rPr>
              <w:lastRenderedPageBreak/>
              <w:t>"Respuesta a Solicitud 677.pdf":</w:t>
            </w:r>
            <w:r w:rsidRPr="005621F4">
              <w:rPr>
                <w:sz w:val="20"/>
                <w:shd w:val="clear" w:color="auto" w:fill="FFFFFF"/>
              </w:rPr>
              <w:t xml:space="preserve"> documento constante de 2 fojas útiles, que contiene un escrito firmado por el Titular de la Unidad de Transparencia, por medio del cual remite los pronunciamientos de los servidores públicos habilitados de la Subsecretaría de Movilidad y la Dirección General de Movilidad Zona II, quienes señalaron respectivamente que, los operativos no son de su competencia y que se adjunta la información con la que se cuenta</w:t>
            </w:r>
          </w:p>
        </w:tc>
      </w:tr>
    </w:tbl>
    <w:p w14:paraId="4AC4E11A" w14:textId="77777777" w:rsidR="004D3411" w:rsidRPr="005621F4" w:rsidRDefault="004D3411" w:rsidP="005621F4">
      <w:pPr>
        <w:tabs>
          <w:tab w:val="left" w:pos="3675"/>
        </w:tabs>
        <w:rPr>
          <w:rFonts w:cs="Calibri"/>
          <w:szCs w:val="22"/>
        </w:rPr>
      </w:pPr>
    </w:p>
    <w:p w14:paraId="52460699" w14:textId="77777777" w:rsidR="00664420" w:rsidRPr="005621F4" w:rsidRDefault="00664420" w:rsidP="005621F4">
      <w:pPr>
        <w:autoSpaceDE w:val="0"/>
        <w:autoSpaceDN w:val="0"/>
        <w:adjustRightInd w:val="0"/>
        <w:ind w:right="-28"/>
        <w:rPr>
          <w:rFonts w:cs="Tahoma"/>
          <w:bCs/>
          <w:szCs w:val="22"/>
          <w:lang w:val="es-ES"/>
        </w:rPr>
      </w:pPr>
    </w:p>
    <w:p w14:paraId="5A5DAB9E" w14:textId="77777777" w:rsidR="00E37A3F" w:rsidRPr="005621F4" w:rsidRDefault="00E37A3F" w:rsidP="005621F4">
      <w:pPr>
        <w:pStyle w:val="Ttulo2"/>
        <w:jc w:val="left"/>
        <w:rPr>
          <w:szCs w:val="22"/>
        </w:rPr>
      </w:pPr>
      <w:bookmarkStart w:id="9" w:name="_Toc178766452"/>
      <w:r w:rsidRPr="005621F4">
        <w:rPr>
          <w:szCs w:val="22"/>
        </w:rPr>
        <w:t>DEL RECURSO DE REVISIÓN</w:t>
      </w:r>
      <w:bookmarkEnd w:id="9"/>
    </w:p>
    <w:p w14:paraId="0B17CD08" w14:textId="77777777" w:rsidR="00664420" w:rsidRPr="005621F4" w:rsidRDefault="00664420" w:rsidP="005621F4">
      <w:pPr>
        <w:autoSpaceDE w:val="0"/>
        <w:autoSpaceDN w:val="0"/>
        <w:adjustRightInd w:val="0"/>
        <w:ind w:right="-28"/>
        <w:rPr>
          <w:rFonts w:cs="Tahoma"/>
          <w:bCs/>
          <w:szCs w:val="22"/>
          <w:lang w:val="es-ES"/>
        </w:rPr>
      </w:pPr>
    </w:p>
    <w:p w14:paraId="2B216813" w14:textId="15039AEE" w:rsidR="00664420" w:rsidRPr="005621F4" w:rsidRDefault="000E03AE" w:rsidP="005621F4">
      <w:pPr>
        <w:pStyle w:val="Ttulo3"/>
        <w:rPr>
          <w:szCs w:val="22"/>
        </w:rPr>
      </w:pPr>
      <w:bookmarkStart w:id="10" w:name="_Toc178766453"/>
      <w:r w:rsidRPr="005621F4">
        <w:rPr>
          <w:szCs w:val="22"/>
        </w:rPr>
        <w:t>a</w:t>
      </w:r>
      <w:r w:rsidR="006E25BC" w:rsidRPr="005621F4">
        <w:rPr>
          <w:szCs w:val="22"/>
        </w:rPr>
        <w:t xml:space="preserve">) </w:t>
      </w:r>
      <w:r w:rsidR="00664420" w:rsidRPr="005621F4">
        <w:rPr>
          <w:szCs w:val="22"/>
        </w:rPr>
        <w:t>Interposición de</w:t>
      </w:r>
      <w:r w:rsidR="008C1676" w:rsidRPr="005621F4">
        <w:rPr>
          <w:szCs w:val="22"/>
        </w:rPr>
        <w:t xml:space="preserve"> </w:t>
      </w:r>
      <w:r w:rsidR="00664420" w:rsidRPr="005621F4">
        <w:rPr>
          <w:szCs w:val="22"/>
        </w:rPr>
        <w:t>l</w:t>
      </w:r>
      <w:r w:rsidR="008C1676" w:rsidRPr="005621F4">
        <w:rPr>
          <w:szCs w:val="22"/>
        </w:rPr>
        <w:t>os</w:t>
      </w:r>
      <w:r w:rsidR="00664420" w:rsidRPr="005621F4">
        <w:rPr>
          <w:szCs w:val="22"/>
        </w:rPr>
        <w:t xml:space="preserve"> Recurso</w:t>
      </w:r>
      <w:r w:rsidR="008C1676" w:rsidRPr="005621F4">
        <w:rPr>
          <w:szCs w:val="22"/>
        </w:rPr>
        <w:t>s</w:t>
      </w:r>
      <w:r w:rsidR="00664420" w:rsidRPr="005621F4">
        <w:rPr>
          <w:szCs w:val="22"/>
        </w:rPr>
        <w:t xml:space="preserve"> de Revisión</w:t>
      </w:r>
      <w:r w:rsidR="004A4FD1" w:rsidRPr="005621F4">
        <w:rPr>
          <w:szCs w:val="22"/>
        </w:rPr>
        <w:t>.</w:t>
      </w:r>
      <w:bookmarkEnd w:id="10"/>
    </w:p>
    <w:p w14:paraId="6E024005" w14:textId="4CA7538C" w:rsidR="00BC5BF6" w:rsidRPr="005621F4" w:rsidRDefault="00664420" w:rsidP="005621F4">
      <w:pPr>
        <w:autoSpaceDE w:val="0"/>
        <w:autoSpaceDN w:val="0"/>
        <w:adjustRightInd w:val="0"/>
        <w:ind w:right="-28"/>
        <w:rPr>
          <w:rFonts w:cs="Tahoma"/>
          <w:szCs w:val="22"/>
        </w:rPr>
      </w:pPr>
      <w:r w:rsidRPr="005621F4">
        <w:rPr>
          <w:rFonts w:cs="Tahoma"/>
          <w:szCs w:val="22"/>
        </w:rPr>
        <w:t xml:space="preserve">El </w:t>
      </w:r>
      <w:r w:rsidR="00BC5BF6" w:rsidRPr="005621F4">
        <w:rPr>
          <w:rFonts w:cs="Tahoma"/>
          <w:b/>
          <w:bCs/>
          <w:szCs w:val="22"/>
        </w:rPr>
        <w:t>uno</w:t>
      </w:r>
      <w:r w:rsidR="002352B5" w:rsidRPr="005621F4">
        <w:rPr>
          <w:rFonts w:cs="Tahoma"/>
          <w:b/>
          <w:bCs/>
          <w:szCs w:val="22"/>
        </w:rPr>
        <w:t xml:space="preserve"> de </w:t>
      </w:r>
      <w:r w:rsidR="00BC5BF6" w:rsidRPr="005621F4">
        <w:rPr>
          <w:rFonts w:cs="Tahoma"/>
          <w:b/>
          <w:bCs/>
          <w:szCs w:val="22"/>
        </w:rPr>
        <w:t>febrero</w:t>
      </w:r>
      <w:r w:rsidR="002352B5" w:rsidRPr="005621F4">
        <w:rPr>
          <w:rFonts w:cs="Tahoma"/>
          <w:b/>
          <w:bCs/>
          <w:szCs w:val="22"/>
        </w:rPr>
        <w:t xml:space="preserve"> </w:t>
      </w:r>
      <w:r w:rsidRPr="005621F4">
        <w:rPr>
          <w:rFonts w:cs="Tahoma"/>
          <w:b/>
          <w:bCs/>
          <w:szCs w:val="22"/>
        </w:rPr>
        <w:t xml:space="preserve">de dos mil </w:t>
      </w:r>
      <w:r w:rsidR="004A4FD1" w:rsidRPr="005621F4">
        <w:rPr>
          <w:rFonts w:cs="Tahoma"/>
          <w:b/>
          <w:bCs/>
          <w:szCs w:val="22"/>
        </w:rPr>
        <w:t>veinticuatro,</w:t>
      </w:r>
      <w:r w:rsidRPr="005621F4">
        <w:rPr>
          <w:rFonts w:cs="Tahoma"/>
          <w:szCs w:val="22"/>
        </w:rPr>
        <w:t xml:space="preserve"> </w:t>
      </w:r>
      <w:r w:rsidR="00F75D23" w:rsidRPr="005621F4">
        <w:rPr>
          <w:rFonts w:cs="Tahoma"/>
          <w:b/>
          <w:bCs/>
          <w:szCs w:val="22"/>
        </w:rPr>
        <w:t>LA PARTE RECURRENTE</w:t>
      </w:r>
      <w:r w:rsidR="00F75D23" w:rsidRPr="005621F4">
        <w:rPr>
          <w:rFonts w:cs="Tahoma"/>
          <w:szCs w:val="22"/>
        </w:rPr>
        <w:t xml:space="preserve"> interpuso </w:t>
      </w:r>
      <w:r w:rsidR="002352B5" w:rsidRPr="005621F4">
        <w:rPr>
          <w:rFonts w:cs="Tahoma"/>
          <w:szCs w:val="22"/>
        </w:rPr>
        <w:t>los recursos</w:t>
      </w:r>
      <w:r w:rsidR="00F75D23" w:rsidRPr="005621F4">
        <w:rPr>
          <w:rFonts w:cs="Tahoma"/>
          <w:szCs w:val="22"/>
        </w:rPr>
        <w:t xml:space="preserve"> de revisión en contra de la</w:t>
      </w:r>
      <w:r w:rsidR="005B7DDA" w:rsidRPr="005621F4">
        <w:rPr>
          <w:rFonts w:cs="Tahoma"/>
          <w:szCs w:val="22"/>
        </w:rPr>
        <w:t>s</w:t>
      </w:r>
      <w:r w:rsidR="00F75D23" w:rsidRPr="005621F4">
        <w:rPr>
          <w:rFonts w:cs="Tahoma"/>
          <w:szCs w:val="22"/>
        </w:rPr>
        <w:t xml:space="preserve"> respuesta</w:t>
      </w:r>
      <w:r w:rsidR="005B7DDA" w:rsidRPr="005621F4">
        <w:rPr>
          <w:rFonts w:cs="Tahoma"/>
          <w:szCs w:val="22"/>
        </w:rPr>
        <w:t>s</w:t>
      </w:r>
      <w:r w:rsidR="00F75D23" w:rsidRPr="005621F4">
        <w:rPr>
          <w:rFonts w:cs="Tahoma"/>
          <w:szCs w:val="22"/>
        </w:rPr>
        <w:t xml:space="preserve"> emitida</w:t>
      </w:r>
      <w:r w:rsidR="005B7DDA" w:rsidRPr="005621F4">
        <w:rPr>
          <w:rFonts w:cs="Tahoma"/>
          <w:szCs w:val="22"/>
        </w:rPr>
        <w:t>s</w:t>
      </w:r>
      <w:r w:rsidR="00F75D23" w:rsidRPr="005621F4">
        <w:rPr>
          <w:rFonts w:cs="Tahoma"/>
          <w:szCs w:val="22"/>
        </w:rPr>
        <w:t xml:space="preserve"> por el </w:t>
      </w:r>
      <w:r w:rsidR="00F75D23" w:rsidRPr="005621F4">
        <w:rPr>
          <w:rFonts w:cs="Tahoma"/>
          <w:b/>
          <w:bCs/>
          <w:szCs w:val="22"/>
        </w:rPr>
        <w:t>SUJETO OBLIGADO</w:t>
      </w:r>
      <w:r w:rsidR="00953430" w:rsidRPr="005621F4">
        <w:rPr>
          <w:rFonts w:cs="Tahoma"/>
          <w:szCs w:val="22"/>
        </w:rPr>
        <w:t>, mismo</w:t>
      </w:r>
      <w:r w:rsidR="005B7DDA" w:rsidRPr="005621F4">
        <w:rPr>
          <w:rFonts w:cs="Tahoma"/>
          <w:szCs w:val="22"/>
        </w:rPr>
        <w:t>s</w:t>
      </w:r>
      <w:r w:rsidR="00953430" w:rsidRPr="005621F4">
        <w:rPr>
          <w:rFonts w:cs="Tahoma"/>
          <w:szCs w:val="22"/>
        </w:rPr>
        <w:t xml:space="preserve"> que fue</w:t>
      </w:r>
      <w:r w:rsidR="005B7DDA" w:rsidRPr="005621F4">
        <w:rPr>
          <w:rFonts w:cs="Tahoma"/>
          <w:szCs w:val="22"/>
        </w:rPr>
        <w:t>ron</w:t>
      </w:r>
      <w:r w:rsidR="00953430" w:rsidRPr="005621F4">
        <w:rPr>
          <w:rFonts w:cs="Tahoma"/>
          <w:szCs w:val="22"/>
        </w:rPr>
        <w:t xml:space="preserve"> registrado</w:t>
      </w:r>
      <w:r w:rsidR="005B7DDA" w:rsidRPr="005621F4">
        <w:rPr>
          <w:rFonts w:cs="Tahoma"/>
          <w:szCs w:val="22"/>
        </w:rPr>
        <w:t>s</w:t>
      </w:r>
      <w:r w:rsidR="00953430" w:rsidRPr="005621F4">
        <w:rPr>
          <w:rFonts w:cs="Tahoma"/>
          <w:szCs w:val="22"/>
        </w:rPr>
        <w:t xml:space="preserve"> en el SAIMEX con </w:t>
      </w:r>
      <w:r w:rsidR="008C1676" w:rsidRPr="005621F4">
        <w:rPr>
          <w:rFonts w:cs="Tahoma"/>
          <w:szCs w:val="22"/>
        </w:rPr>
        <w:t>los</w:t>
      </w:r>
      <w:r w:rsidR="00953430" w:rsidRPr="005621F4">
        <w:rPr>
          <w:rFonts w:cs="Tahoma"/>
          <w:szCs w:val="22"/>
        </w:rPr>
        <w:t xml:space="preserve"> número</w:t>
      </w:r>
      <w:r w:rsidR="008C1676" w:rsidRPr="005621F4">
        <w:rPr>
          <w:rFonts w:cs="Tahoma"/>
          <w:szCs w:val="22"/>
        </w:rPr>
        <w:t>s</w:t>
      </w:r>
      <w:r w:rsidR="00953430" w:rsidRPr="005621F4">
        <w:rPr>
          <w:rFonts w:cs="Tahoma"/>
          <w:szCs w:val="22"/>
        </w:rPr>
        <w:t xml:space="preserve"> de expediente</w:t>
      </w:r>
      <w:r w:rsidR="008C1676" w:rsidRPr="005621F4">
        <w:rPr>
          <w:rFonts w:cs="Tahoma"/>
          <w:szCs w:val="22"/>
        </w:rPr>
        <w:t>s</w:t>
      </w:r>
      <w:r w:rsidR="00953430" w:rsidRPr="005621F4">
        <w:rPr>
          <w:rFonts w:cs="Tahoma"/>
          <w:szCs w:val="22"/>
        </w:rPr>
        <w:t xml:space="preserve"> </w:t>
      </w:r>
      <w:r w:rsidR="00BC5BF6" w:rsidRPr="005621F4">
        <w:rPr>
          <w:rFonts w:cs="Tahoma"/>
          <w:b/>
          <w:bCs/>
          <w:szCs w:val="22"/>
        </w:rPr>
        <w:t xml:space="preserve">00452/INFOEM/IP/RR/2024, 00453/INFOEM/IP/RR/2024 </w:t>
      </w:r>
      <w:r w:rsidR="00BC5BF6" w:rsidRPr="005621F4">
        <w:rPr>
          <w:rFonts w:cs="Tahoma"/>
          <w:szCs w:val="22"/>
        </w:rPr>
        <w:t xml:space="preserve">y </w:t>
      </w:r>
      <w:r w:rsidR="00BC5BF6" w:rsidRPr="005621F4">
        <w:rPr>
          <w:rFonts w:cs="Tahoma"/>
          <w:b/>
          <w:bCs/>
          <w:szCs w:val="22"/>
        </w:rPr>
        <w:t xml:space="preserve">00454/INFOEM/IP/RR/2024 </w:t>
      </w:r>
      <w:r w:rsidR="00953430" w:rsidRPr="005621F4">
        <w:rPr>
          <w:rFonts w:cs="Tahoma"/>
          <w:szCs w:val="22"/>
        </w:rPr>
        <w:t xml:space="preserve">y en </w:t>
      </w:r>
      <w:r w:rsidR="008E0766" w:rsidRPr="005621F4">
        <w:rPr>
          <w:rFonts w:cs="Tahoma"/>
          <w:szCs w:val="22"/>
        </w:rPr>
        <w:t>los</w:t>
      </w:r>
      <w:r w:rsidR="00953430" w:rsidRPr="005621F4">
        <w:rPr>
          <w:rFonts w:cs="Tahoma"/>
          <w:szCs w:val="22"/>
        </w:rPr>
        <w:t xml:space="preserve"> cual</w:t>
      </w:r>
      <w:r w:rsidR="008E0766" w:rsidRPr="005621F4">
        <w:rPr>
          <w:rFonts w:cs="Tahoma"/>
          <w:szCs w:val="22"/>
        </w:rPr>
        <w:t>es se</w:t>
      </w:r>
      <w:r w:rsidR="00BC5BF6" w:rsidRPr="005621F4">
        <w:rPr>
          <w:rFonts w:cs="Tahoma"/>
          <w:szCs w:val="22"/>
        </w:rPr>
        <w:t xml:space="preserve"> manifestó de manera homologada</w:t>
      </w:r>
      <w:r w:rsidR="00953430" w:rsidRPr="005621F4">
        <w:rPr>
          <w:rFonts w:cs="Tahoma"/>
          <w:szCs w:val="22"/>
        </w:rPr>
        <w:t xml:space="preserve"> lo siguiente</w:t>
      </w:r>
      <w:r w:rsidR="00BC5BF6" w:rsidRPr="005621F4">
        <w:rPr>
          <w:rFonts w:cs="Tahoma"/>
          <w:szCs w:val="22"/>
        </w:rPr>
        <w:t>:</w:t>
      </w:r>
    </w:p>
    <w:p w14:paraId="3F911405" w14:textId="77777777" w:rsidR="00BC5BF6" w:rsidRPr="005621F4" w:rsidRDefault="00BC5BF6" w:rsidP="005621F4">
      <w:pPr>
        <w:autoSpaceDE w:val="0"/>
        <w:autoSpaceDN w:val="0"/>
        <w:adjustRightInd w:val="0"/>
        <w:ind w:right="-28"/>
        <w:rPr>
          <w:rFonts w:cs="Tahoma"/>
          <w:szCs w:val="22"/>
        </w:rPr>
      </w:pPr>
    </w:p>
    <w:p w14:paraId="60161CEE" w14:textId="623C6D82" w:rsidR="00BC5BF6" w:rsidRPr="005621F4" w:rsidRDefault="00BC5BF6" w:rsidP="005621F4">
      <w:pPr>
        <w:autoSpaceDE w:val="0"/>
        <w:autoSpaceDN w:val="0"/>
        <w:adjustRightInd w:val="0"/>
        <w:ind w:right="-28"/>
        <w:jc w:val="left"/>
        <w:rPr>
          <w:rFonts w:cs="Calibri"/>
          <w:b/>
          <w:szCs w:val="16"/>
        </w:rPr>
      </w:pPr>
      <w:r w:rsidRPr="005621F4">
        <w:rPr>
          <w:rFonts w:cs="Calibri"/>
          <w:b/>
          <w:szCs w:val="16"/>
        </w:rPr>
        <w:t>ACTO IMPUGNADO:</w:t>
      </w:r>
    </w:p>
    <w:p w14:paraId="5FC4AA44" w14:textId="2109FDD3" w:rsidR="00BC5BF6" w:rsidRPr="005621F4" w:rsidRDefault="00BC5BF6" w:rsidP="005621F4">
      <w:pPr>
        <w:autoSpaceDE w:val="0"/>
        <w:autoSpaceDN w:val="0"/>
        <w:adjustRightInd w:val="0"/>
        <w:ind w:right="-28"/>
        <w:rPr>
          <w:rFonts w:cs="Calibri"/>
          <w:i/>
          <w:szCs w:val="16"/>
        </w:rPr>
      </w:pPr>
      <w:r w:rsidRPr="005621F4">
        <w:rPr>
          <w:rFonts w:cs="Calibri"/>
          <w:i/>
          <w:szCs w:val="16"/>
        </w:rPr>
        <w:t xml:space="preserve">“Se </w:t>
      </w:r>
      <w:proofErr w:type="spellStart"/>
      <w:r w:rsidRPr="005621F4">
        <w:rPr>
          <w:rFonts w:cs="Calibri"/>
          <w:i/>
          <w:szCs w:val="16"/>
        </w:rPr>
        <w:t>olicitó</w:t>
      </w:r>
      <w:proofErr w:type="spellEnd"/>
      <w:r w:rsidRPr="005621F4">
        <w:rPr>
          <w:rFonts w:cs="Calibri"/>
          <w:i/>
          <w:szCs w:val="16"/>
        </w:rPr>
        <w:t xml:space="preserve"> el número de operativos y más datos y solo entrega los </w:t>
      </w:r>
      <w:proofErr w:type="spellStart"/>
      <w:r w:rsidRPr="005621F4">
        <w:rPr>
          <w:rFonts w:cs="Calibri"/>
          <w:i/>
          <w:szCs w:val="16"/>
        </w:rPr>
        <w:t>vehcúlos</w:t>
      </w:r>
      <w:proofErr w:type="spellEnd"/>
      <w:r w:rsidRPr="005621F4">
        <w:rPr>
          <w:rFonts w:cs="Calibri"/>
          <w:i/>
          <w:szCs w:val="16"/>
        </w:rPr>
        <w:t xml:space="preserve"> detenidos no es lo solicitado.” </w:t>
      </w:r>
      <w:r w:rsidRPr="005621F4">
        <w:rPr>
          <w:rFonts w:cs="Calibri"/>
          <w:szCs w:val="16"/>
        </w:rPr>
        <w:t>(Sic).</w:t>
      </w:r>
    </w:p>
    <w:p w14:paraId="43420571" w14:textId="77777777" w:rsidR="00BC5BF6" w:rsidRPr="005621F4" w:rsidRDefault="00BC5BF6" w:rsidP="005621F4">
      <w:pPr>
        <w:autoSpaceDE w:val="0"/>
        <w:autoSpaceDN w:val="0"/>
        <w:adjustRightInd w:val="0"/>
        <w:ind w:right="-28"/>
        <w:jc w:val="left"/>
        <w:rPr>
          <w:rFonts w:cs="Calibri"/>
          <w:szCs w:val="16"/>
        </w:rPr>
      </w:pPr>
      <w:r w:rsidRPr="005621F4">
        <w:rPr>
          <w:rFonts w:cs="Calibri"/>
          <w:b/>
          <w:szCs w:val="16"/>
        </w:rPr>
        <w:t>RAZONES O MOTIVOS DE INCONFORMIDAD:</w:t>
      </w:r>
    </w:p>
    <w:p w14:paraId="30BE4B7F" w14:textId="47E9851C" w:rsidR="00F33426" w:rsidRPr="005621F4" w:rsidRDefault="00BC5BF6" w:rsidP="005621F4">
      <w:pPr>
        <w:autoSpaceDE w:val="0"/>
        <w:autoSpaceDN w:val="0"/>
        <w:adjustRightInd w:val="0"/>
        <w:ind w:right="-28"/>
        <w:rPr>
          <w:rFonts w:cs="Tahoma"/>
          <w:szCs w:val="22"/>
        </w:rPr>
      </w:pPr>
      <w:r w:rsidRPr="005621F4">
        <w:rPr>
          <w:rFonts w:cs="Calibri"/>
          <w:i/>
          <w:szCs w:val="16"/>
        </w:rPr>
        <w:t xml:space="preserve">“Se </w:t>
      </w:r>
      <w:proofErr w:type="spellStart"/>
      <w:r w:rsidRPr="005621F4">
        <w:rPr>
          <w:rFonts w:cs="Calibri"/>
          <w:i/>
          <w:szCs w:val="16"/>
        </w:rPr>
        <w:t>olicitó</w:t>
      </w:r>
      <w:proofErr w:type="spellEnd"/>
      <w:r w:rsidRPr="005621F4">
        <w:rPr>
          <w:rFonts w:cs="Calibri"/>
          <w:i/>
          <w:szCs w:val="16"/>
        </w:rPr>
        <w:t xml:space="preserve"> el número de operativos y más datos y solo entrega los </w:t>
      </w:r>
      <w:proofErr w:type="spellStart"/>
      <w:r w:rsidRPr="005621F4">
        <w:rPr>
          <w:rFonts w:cs="Calibri"/>
          <w:i/>
          <w:szCs w:val="16"/>
        </w:rPr>
        <w:t>vehcúlos</w:t>
      </w:r>
      <w:proofErr w:type="spellEnd"/>
      <w:r w:rsidRPr="005621F4">
        <w:rPr>
          <w:rFonts w:cs="Calibri"/>
          <w:i/>
          <w:szCs w:val="16"/>
        </w:rPr>
        <w:t xml:space="preserve"> detenidos no es lo solicitado.” </w:t>
      </w:r>
      <w:r w:rsidRPr="005621F4">
        <w:rPr>
          <w:rFonts w:cs="Calibri"/>
          <w:szCs w:val="16"/>
        </w:rPr>
        <w:t>(Sic).</w:t>
      </w:r>
    </w:p>
    <w:p w14:paraId="07D6A7BE" w14:textId="77777777" w:rsidR="008C1676" w:rsidRPr="005621F4" w:rsidRDefault="008C1676" w:rsidP="005621F4">
      <w:pPr>
        <w:tabs>
          <w:tab w:val="left" w:pos="4667"/>
        </w:tabs>
        <w:ind w:right="822"/>
        <w:rPr>
          <w:rFonts w:cs="Tahoma"/>
          <w:b/>
          <w:bCs/>
          <w:szCs w:val="22"/>
        </w:rPr>
      </w:pPr>
    </w:p>
    <w:p w14:paraId="6804DEF1" w14:textId="2D78C906" w:rsidR="00664420" w:rsidRPr="005621F4" w:rsidRDefault="006E25BC" w:rsidP="005621F4">
      <w:pPr>
        <w:pStyle w:val="Ttulo3"/>
        <w:rPr>
          <w:szCs w:val="22"/>
        </w:rPr>
      </w:pPr>
      <w:bookmarkStart w:id="11" w:name="_Toc178766454"/>
      <w:r w:rsidRPr="005621F4">
        <w:rPr>
          <w:szCs w:val="22"/>
        </w:rPr>
        <w:lastRenderedPageBreak/>
        <w:t>b</w:t>
      </w:r>
      <w:r w:rsidR="00664420" w:rsidRPr="005621F4">
        <w:rPr>
          <w:szCs w:val="22"/>
        </w:rPr>
        <w:t>) Turno de</w:t>
      </w:r>
      <w:r w:rsidR="008E0766" w:rsidRPr="005621F4">
        <w:rPr>
          <w:szCs w:val="22"/>
        </w:rPr>
        <w:t xml:space="preserve"> </w:t>
      </w:r>
      <w:r w:rsidR="00664420" w:rsidRPr="005621F4">
        <w:rPr>
          <w:szCs w:val="22"/>
        </w:rPr>
        <w:t>l</w:t>
      </w:r>
      <w:r w:rsidR="008E0766" w:rsidRPr="005621F4">
        <w:rPr>
          <w:szCs w:val="22"/>
        </w:rPr>
        <w:t>os</w:t>
      </w:r>
      <w:r w:rsidR="00664420" w:rsidRPr="005621F4">
        <w:rPr>
          <w:szCs w:val="22"/>
        </w:rPr>
        <w:t xml:space="preserve"> Recurso</w:t>
      </w:r>
      <w:r w:rsidR="008E0766" w:rsidRPr="005621F4">
        <w:rPr>
          <w:szCs w:val="22"/>
        </w:rPr>
        <w:t>s</w:t>
      </w:r>
      <w:r w:rsidR="00664420" w:rsidRPr="005621F4">
        <w:rPr>
          <w:szCs w:val="22"/>
        </w:rPr>
        <w:t xml:space="preserve"> de Revisión</w:t>
      </w:r>
      <w:r w:rsidR="004A4FD1" w:rsidRPr="005621F4">
        <w:rPr>
          <w:szCs w:val="22"/>
        </w:rPr>
        <w:t>.</w:t>
      </w:r>
      <w:bookmarkEnd w:id="11"/>
    </w:p>
    <w:p w14:paraId="1173671B" w14:textId="38E04C29" w:rsidR="00C72DAA" w:rsidRPr="005621F4" w:rsidRDefault="00C72DAA" w:rsidP="005621F4">
      <w:pPr>
        <w:rPr>
          <w:szCs w:val="22"/>
        </w:rPr>
      </w:pPr>
      <w:r w:rsidRPr="005621F4">
        <w:rPr>
          <w:szCs w:val="22"/>
        </w:rPr>
        <w:t>Con fundamento en el artículo 185, fracción I de la Ley de Transparencia y Acceso a la Información Pública del Estado de México y Municipios, el</w:t>
      </w:r>
      <w:r w:rsidRPr="005621F4">
        <w:rPr>
          <w:b/>
          <w:bCs/>
          <w:szCs w:val="22"/>
        </w:rPr>
        <w:t xml:space="preserve"> </w:t>
      </w:r>
      <w:r w:rsidR="00BC5BF6" w:rsidRPr="005621F4">
        <w:rPr>
          <w:rFonts w:eastAsia="Palatino Linotype" w:cs="Palatino Linotype"/>
          <w:b/>
          <w:szCs w:val="22"/>
        </w:rPr>
        <w:t>uno</w:t>
      </w:r>
      <w:r w:rsidR="002352B5" w:rsidRPr="005621F4">
        <w:rPr>
          <w:rFonts w:eastAsia="Palatino Linotype" w:cs="Palatino Linotype"/>
          <w:b/>
          <w:szCs w:val="22"/>
        </w:rPr>
        <w:t xml:space="preserve"> de </w:t>
      </w:r>
      <w:r w:rsidR="00BC5BF6" w:rsidRPr="005621F4">
        <w:rPr>
          <w:rFonts w:eastAsia="Palatino Linotype" w:cs="Palatino Linotype"/>
          <w:b/>
          <w:szCs w:val="22"/>
        </w:rPr>
        <w:t>febrero</w:t>
      </w:r>
      <w:r w:rsidR="002352B5" w:rsidRPr="005621F4">
        <w:rPr>
          <w:rFonts w:eastAsia="Palatino Linotype" w:cs="Palatino Linotype"/>
          <w:b/>
          <w:szCs w:val="22"/>
        </w:rPr>
        <w:t xml:space="preserve"> </w:t>
      </w:r>
      <w:r w:rsidRPr="005621F4">
        <w:rPr>
          <w:rFonts w:eastAsia="Palatino Linotype" w:cs="Palatino Linotype"/>
          <w:b/>
          <w:szCs w:val="22"/>
        </w:rPr>
        <w:t xml:space="preserve">de dos mil </w:t>
      </w:r>
      <w:r w:rsidR="004A4FD1" w:rsidRPr="005621F4">
        <w:rPr>
          <w:rFonts w:eastAsia="Palatino Linotype" w:cs="Palatino Linotype"/>
          <w:b/>
          <w:szCs w:val="22"/>
        </w:rPr>
        <w:t>veinticuatro</w:t>
      </w:r>
      <w:r w:rsidR="005B7DDA" w:rsidRPr="005621F4">
        <w:rPr>
          <w:szCs w:val="22"/>
        </w:rPr>
        <w:t xml:space="preserve"> se turnaron los</w:t>
      </w:r>
      <w:r w:rsidRPr="005621F4">
        <w:rPr>
          <w:szCs w:val="22"/>
        </w:rPr>
        <w:t xml:space="preserve"> recurso</w:t>
      </w:r>
      <w:r w:rsidR="005B7DDA" w:rsidRPr="005621F4">
        <w:rPr>
          <w:szCs w:val="22"/>
        </w:rPr>
        <w:t>s</w:t>
      </w:r>
      <w:r w:rsidRPr="005621F4">
        <w:rPr>
          <w:szCs w:val="22"/>
        </w:rPr>
        <w:t xml:space="preserve"> de revisión a través del</w:t>
      </w:r>
      <w:r w:rsidRPr="005621F4">
        <w:rPr>
          <w:rFonts w:eastAsia="Arial Unicode MS"/>
          <w:szCs w:val="22"/>
        </w:rPr>
        <w:t xml:space="preserve"> </w:t>
      </w:r>
      <w:r w:rsidRPr="005621F4">
        <w:rPr>
          <w:rFonts w:eastAsia="Arial Unicode MS"/>
          <w:bCs/>
          <w:szCs w:val="22"/>
        </w:rPr>
        <w:t>SAIMEX</w:t>
      </w:r>
      <w:r w:rsidRPr="005621F4">
        <w:rPr>
          <w:szCs w:val="22"/>
        </w:rPr>
        <w:t xml:space="preserve"> a la</w:t>
      </w:r>
      <w:r w:rsidR="002352B5" w:rsidRPr="005621F4">
        <w:rPr>
          <w:szCs w:val="22"/>
        </w:rPr>
        <w:t>s</w:t>
      </w:r>
      <w:r w:rsidRPr="005621F4">
        <w:rPr>
          <w:szCs w:val="22"/>
        </w:rPr>
        <w:t xml:space="preserve"> </w:t>
      </w:r>
      <w:r w:rsidRPr="005621F4">
        <w:rPr>
          <w:b/>
          <w:szCs w:val="22"/>
        </w:rPr>
        <w:t>Comisionada</w:t>
      </w:r>
      <w:r w:rsidR="00C20A78" w:rsidRPr="005621F4">
        <w:rPr>
          <w:b/>
          <w:szCs w:val="22"/>
        </w:rPr>
        <w:t>s</w:t>
      </w:r>
      <w:r w:rsidRPr="005621F4">
        <w:rPr>
          <w:b/>
          <w:szCs w:val="22"/>
        </w:rPr>
        <w:t xml:space="preserve"> Sharon Cristina Morales</w:t>
      </w:r>
      <w:r w:rsidR="002F13C2" w:rsidRPr="005621F4">
        <w:rPr>
          <w:bCs/>
          <w:szCs w:val="22"/>
        </w:rPr>
        <w:t xml:space="preserve">, </w:t>
      </w:r>
      <w:r w:rsidR="002F13C2" w:rsidRPr="005621F4">
        <w:rPr>
          <w:b/>
          <w:bCs/>
          <w:szCs w:val="22"/>
        </w:rPr>
        <w:t xml:space="preserve">María del Rosario Mejía Ayala </w:t>
      </w:r>
      <w:r w:rsidR="00A21FF1" w:rsidRPr="005621F4">
        <w:rPr>
          <w:bCs/>
          <w:szCs w:val="22"/>
        </w:rPr>
        <w:t xml:space="preserve">y </w:t>
      </w:r>
      <w:r w:rsidR="002352B5" w:rsidRPr="005621F4">
        <w:rPr>
          <w:b/>
          <w:bCs/>
          <w:szCs w:val="22"/>
        </w:rPr>
        <w:t>Guadalupe Ramírez Peña</w:t>
      </w:r>
      <w:r w:rsidR="00A21FF1" w:rsidRPr="005621F4">
        <w:rPr>
          <w:bCs/>
          <w:szCs w:val="22"/>
        </w:rPr>
        <w:t xml:space="preserve"> respectivamente, </w:t>
      </w:r>
      <w:r w:rsidRPr="005621F4">
        <w:rPr>
          <w:szCs w:val="22"/>
        </w:rPr>
        <w:t xml:space="preserve">a efecto de decretar su admisión o desechamiento. </w:t>
      </w:r>
    </w:p>
    <w:p w14:paraId="18F305CB" w14:textId="77777777" w:rsidR="00664420" w:rsidRPr="005621F4" w:rsidRDefault="00664420" w:rsidP="005621F4">
      <w:pPr>
        <w:rPr>
          <w:rFonts w:eastAsia="Batang" w:cs="Tahoma"/>
          <w:bCs/>
          <w:szCs w:val="22"/>
        </w:rPr>
      </w:pPr>
    </w:p>
    <w:p w14:paraId="3E31EC2D" w14:textId="7F0DA652" w:rsidR="00664420" w:rsidRPr="005621F4" w:rsidRDefault="006E25BC" w:rsidP="005621F4">
      <w:pPr>
        <w:pStyle w:val="Ttulo3"/>
        <w:rPr>
          <w:szCs w:val="22"/>
        </w:rPr>
      </w:pPr>
      <w:bookmarkStart w:id="12" w:name="_Toc178766455"/>
      <w:r w:rsidRPr="005621F4">
        <w:rPr>
          <w:szCs w:val="22"/>
        </w:rPr>
        <w:t>c</w:t>
      </w:r>
      <w:r w:rsidR="008E0766" w:rsidRPr="005621F4">
        <w:rPr>
          <w:szCs w:val="22"/>
        </w:rPr>
        <w:t>) Admisio</w:t>
      </w:r>
      <w:r w:rsidR="00664420" w:rsidRPr="005621F4">
        <w:rPr>
          <w:szCs w:val="22"/>
        </w:rPr>
        <w:t>n</w:t>
      </w:r>
      <w:r w:rsidR="008E0766" w:rsidRPr="005621F4">
        <w:rPr>
          <w:szCs w:val="22"/>
        </w:rPr>
        <w:t>es</w:t>
      </w:r>
      <w:r w:rsidR="00664420" w:rsidRPr="005621F4">
        <w:rPr>
          <w:szCs w:val="22"/>
        </w:rPr>
        <w:t xml:space="preserve"> de</w:t>
      </w:r>
      <w:r w:rsidR="008E0766" w:rsidRPr="005621F4">
        <w:rPr>
          <w:szCs w:val="22"/>
        </w:rPr>
        <w:t xml:space="preserve"> </w:t>
      </w:r>
      <w:r w:rsidR="00664420" w:rsidRPr="005621F4">
        <w:rPr>
          <w:szCs w:val="22"/>
        </w:rPr>
        <w:t>l</w:t>
      </w:r>
      <w:r w:rsidR="008E0766" w:rsidRPr="005621F4">
        <w:rPr>
          <w:szCs w:val="22"/>
        </w:rPr>
        <w:t>os</w:t>
      </w:r>
      <w:r w:rsidR="00664420" w:rsidRPr="005621F4">
        <w:rPr>
          <w:szCs w:val="22"/>
        </w:rPr>
        <w:t xml:space="preserve"> Recurso</w:t>
      </w:r>
      <w:r w:rsidR="00A21FF1" w:rsidRPr="005621F4">
        <w:rPr>
          <w:szCs w:val="22"/>
        </w:rPr>
        <w:t>s</w:t>
      </w:r>
      <w:r w:rsidR="00664420" w:rsidRPr="005621F4">
        <w:rPr>
          <w:szCs w:val="22"/>
        </w:rPr>
        <w:t xml:space="preserve"> de Revisión</w:t>
      </w:r>
      <w:r w:rsidR="004A4FD1" w:rsidRPr="005621F4">
        <w:rPr>
          <w:szCs w:val="22"/>
        </w:rPr>
        <w:t>.</w:t>
      </w:r>
      <w:bookmarkEnd w:id="12"/>
    </w:p>
    <w:p w14:paraId="219EF1C9" w14:textId="73E245A9" w:rsidR="008E0766" w:rsidRPr="005621F4" w:rsidRDefault="000E09C4" w:rsidP="005621F4">
      <w:pPr>
        <w:rPr>
          <w:rFonts w:cs="Arial"/>
          <w:szCs w:val="22"/>
        </w:rPr>
      </w:pPr>
      <w:r w:rsidRPr="005621F4">
        <w:rPr>
          <w:rFonts w:cs="Arial"/>
          <w:szCs w:val="22"/>
        </w:rPr>
        <w:t xml:space="preserve">El </w:t>
      </w:r>
      <w:r w:rsidR="00C20A78" w:rsidRPr="005621F4">
        <w:rPr>
          <w:rFonts w:cs="Arial"/>
          <w:b/>
          <w:szCs w:val="22"/>
        </w:rPr>
        <w:t>seis y siete</w:t>
      </w:r>
      <w:r w:rsidR="002352B5" w:rsidRPr="005621F4">
        <w:rPr>
          <w:rFonts w:cs="Arial"/>
          <w:b/>
          <w:szCs w:val="22"/>
        </w:rPr>
        <w:t xml:space="preserve"> de </w:t>
      </w:r>
      <w:r w:rsidR="00C20A78" w:rsidRPr="005621F4">
        <w:rPr>
          <w:rFonts w:cs="Arial"/>
          <w:b/>
          <w:szCs w:val="22"/>
        </w:rPr>
        <w:t>febrero</w:t>
      </w:r>
      <w:r w:rsidR="002F13C2" w:rsidRPr="005621F4">
        <w:rPr>
          <w:rFonts w:cs="Arial"/>
          <w:b/>
          <w:szCs w:val="22"/>
        </w:rPr>
        <w:t xml:space="preserve"> </w:t>
      </w:r>
      <w:r w:rsidRPr="005621F4">
        <w:rPr>
          <w:rFonts w:eastAsia="Palatino Linotype" w:cs="Palatino Linotype"/>
          <w:b/>
          <w:szCs w:val="22"/>
        </w:rPr>
        <w:t xml:space="preserve">de dos mil </w:t>
      </w:r>
      <w:r w:rsidR="004A4FD1" w:rsidRPr="005621F4">
        <w:rPr>
          <w:rFonts w:eastAsia="Palatino Linotype" w:cs="Palatino Linotype"/>
          <w:b/>
          <w:szCs w:val="22"/>
        </w:rPr>
        <w:t>veinticuatro</w:t>
      </w:r>
      <w:r w:rsidRPr="005621F4">
        <w:rPr>
          <w:rFonts w:cs="Arial"/>
          <w:szCs w:val="22"/>
        </w:rPr>
        <w:t xml:space="preserve"> se acordó la admisión a trámite de</w:t>
      </w:r>
      <w:r w:rsidR="008E0766" w:rsidRPr="005621F4">
        <w:rPr>
          <w:rFonts w:cs="Arial"/>
          <w:szCs w:val="22"/>
        </w:rPr>
        <w:t xml:space="preserve"> </w:t>
      </w:r>
      <w:r w:rsidRPr="005621F4">
        <w:rPr>
          <w:rFonts w:cs="Arial"/>
          <w:szCs w:val="22"/>
        </w:rPr>
        <w:t>l</w:t>
      </w:r>
      <w:r w:rsidR="008E0766" w:rsidRPr="005621F4">
        <w:rPr>
          <w:rFonts w:cs="Arial"/>
          <w:szCs w:val="22"/>
        </w:rPr>
        <w:t>os</w:t>
      </w:r>
      <w:r w:rsidRPr="005621F4">
        <w:rPr>
          <w:rFonts w:cs="Arial"/>
          <w:szCs w:val="22"/>
        </w:rPr>
        <w:t xml:space="preserve"> Recurso</w:t>
      </w:r>
      <w:r w:rsidR="008E0766" w:rsidRPr="005621F4">
        <w:rPr>
          <w:rFonts w:cs="Arial"/>
          <w:szCs w:val="22"/>
        </w:rPr>
        <w:t>s de Revisión y se integraron</w:t>
      </w:r>
      <w:r w:rsidRPr="005621F4">
        <w:rPr>
          <w:rFonts w:cs="Arial"/>
          <w:szCs w:val="22"/>
        </w:rPr>
        <w:t xml:space="preserve"> </w:t>
      </w:r>
      <w:r w:rsidR="008E0766" w:rsidRPr="005621F4">
        <w:rPr>
          <w:rFonts w:cs="Arial"/>
          <w:szCs w:val="22"/>
        </w:rPr>
        <w:t>los</w:t>
      </w:r>
      <w:r w:rsidRPr="005621F4">
        <w:rPr>
          <w:rFonts w:cs="Arial"/>
          <w:szCs w:val="22"/>
        </w:rPr>
        <w:t xml:space="preserve"> expediente</w:t>
      </w:r>
      <w:r w:rsidR="008E0766" w:rsidRPr="005621F4">
        <w:rPr>
          <w:rFonts w:cs="Arial"/>
          <w:szCs w:val="22"/>
        </w:rPr>
        <w:t>s</w:t>
      </w:r>
      <w:r w:rsidRPr="005621F4">
        <w:rPr>
          <w:rFonts w:cs="Arial"/>
          <w:szCs w:val="22"/>
        </w:rPr>
        <w:t xml:space="preserve"> respectivo</w:t>
      </w:r>
      <w:r w:rsidR="008E0766" w:rsidRPr="005621F4">
        <w:rPr>
          <w:rFonts w:cs="Arial"/>
          <w:szCs w:val="22"/>
        </w:rPr>
        <w:t>s</w:t>
      </w:r>
      <w:r w:rsidRPr="005621F4">
        <w:rPr>
          <w:rFonts w:cs="Arial"/>
          <w:szCs w:val="22"/>
        </w:rPr>
        <w:t>, mismo</w:t>
      </w:r>
      <w:r w:rsidR="008E0766" w:rsidRPr="005621F4">
        <w:rPr>
          <w:rFonts w:cs="Arial"/>
          <w:szCs w:val="22"/>
        </w:rPr>
        <w:t>s que se pusieron</w:t>
      </w:r>
      <w:r w:rsidRPr="005621F4">
        <w:rPr>
          <w:rFonts w:cs="Arial"/>
          <w:szCs w:val="22"/>
        </w:rPr>
        <w:t xml:space="preserve"> a disposición de las partes para que, en un plazo de siete días hábiles, manifestaran lo que a su derecho conviniera, conforme a lo dispuesto por el artículo 185</w:t>
      </w:r>
      <w:r w:rsidR="00865CF4" w:rsidRPr="005621F4">
        <w:rPr>
          <w:rFonts w:cs="Arial"/>
          <w:szCs w:val="22"/>
        </w:rPr>
        <w:t>, fracción II</w:t>
      </w:r>
      <w:r w:rsidRPr="005621F4">
        <w:rPr>
          <w:rFonts w:cs="Arial"/>
          <w:szCs w:val="22"/>
        </w:rPr>
        <w:t xml:space="preserve"> de la Ley de Transparencia y Acceso a la Información Pública del Estado de México y Municipios.</w:t>
      </w:r>
    </w:p>
    <w:p w14:paraId="09B589C5" w14:textId="77777777" w:rsidR="00664420" w:rsidRPr="005621F4" w:rsidRDefault="00664420" w:rsidP="005621F4">
      <w:pPr>
        <w:rPr>
          <w:rFonts w:cs="Tahoma"/>
          <w:b/>
          <w:szCs w:val="22"/>
        </w:rPr>
      </w:pPr>
    </w:p>
    <w:p w14:paraId="35752286" w14:textId="26DF07D1" w:rsidR="00DB1C09" w:rsidRPr="005621F4" w:rsidRDefault="00A57230" w:rsidP="005621F4">
      <w:pPr>
        <w:pStyle w:val="Ttulo3"/>
        <w:rPr>
          <w:szCs w:val="22"/>
        </w:rPr>
      </w:pPr>
      <w:bookmarkStart w:id="13" w:name="_Toc178766456"/>
      <w:r w:rsidRPr="005621F4">
        <w:rPr>
          <w:szCs w:val="22"/>
        </w:rPr>
        <w:t>d</w:t>
      </w:r>
      <w:r w:rsidR="00664420" w:rsidRPr="005621F4">
        <w:rPr>
          <w:szCs w:val="22"/>
        </w:rPr>
        <w:t xml:space="preserve">) </w:t>
      </w:r>
      <w:r w:rsidR="00A1405A" w:rsidRPr="005621F4">
        <w:rPr>
          <w:szCs w:val="22"/>
        </w:rPr>
        <w:t>Manifestaciones</w:t>
      </w:r>
      <w:r w:rsidR="00865CF4" w:rsidRPr="005621F4">
        <w:rPr>
          <w:szCs w:val="22"/>
        </w:rPr>
        <w:t xml:space="preserve"> del Sujeto Obligado</w:t>
      </w:r>
      <w:r w:rsidR="004A4FD1" w:rsidRPr="005621F4">
        <w:rPr>
          <w:szCs w:val="22"/>
        </w:rPr>
        <w:t>.</w:t>
      </w:r>
      <w:bookmarkEnd w:id="13"/>
    </w:p>
    <w:p w14:paraId="37ADF688" w14:textId="5A82A391" w:rsidR="00FD1DDB" w:rsidRPr="005621F4" w:rsidRDefault="00FD1DDB" w:rsidP="005621F4">
      <w:r w:rsidRPr="005621F4">
        <w:t xml:space="preserve">El </w:t>
      </w:r>
      <w:r w:rsidR="00875996" w:rsidRPr="005621F4">
        <w:rPr>
          <w:b/>
        </w:rPr>
        <w:t>quince y dieciséis de febrero</w:t>
      </w:r>
      <w:r w:rsidRPr="005621F4">
        <w:rPr>
          <w:b/>
        </w:rPr>
        <w:t>, EL SUJETO OBLIGADO</w:t>
      </w:r>
      <w:r w:rsidRPr="005621F4">
        <w:t xml:space="preserve"> rindió sus informes justificados a través del SAIMEX, por conducto del Titular de la Unidad de Transparencia, en el cual medularmente ratifica las repuestas primigenias, adjuntando los archivos digitales que se describen a continuación:</w:t>
      </w:r>
    </w:p>
    <w:p w14:paraId="27D789D0" w14:textId="77777777" w:rsidR="00FD1DDB" w:rsidRPr="005621F4" w:rsidRDefault="00FD1DDB" w:rsidP="005621F4"/>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3"/>
        <w:gridCol w:w="6308"/>
      </w:tblGrid>
      <w:tr w:rsidR="005621F4" w:rsidRPr="005621F4" w14:paraId="28A0E810" w14:textId="77777777" w:rsidTr="009C4F06">
        <w:trPr>
          <w:trHeight w:val="225"/>
        </w:trPr>
        <w:tc>
          <w:tcPr>
            <w:tcW w:w="2803" w:type="dxa"/>
            <w:shd w:val="clear" w:color="auto" w:fill="F9CB9C"/>
            <w:tcMar>
              <w:top w:w="0" w:type="dxa"/>
              <w:left w:w="45" w:type="dxa"/>
              <w:bottom w:w="0" w:type="dxa"/>
              <w:right w:w="45" w:type="dxa"/>
            </w:tcMar>
            <w:vAlign w:val="center"/>
          </w:tcPr>
          <w:p w14:paraId="12CEB234" w14:textId="77777777" w:rsidR="00FD1DDB" w:rsidRPr="005621F4" w:rsidRDefault="00FD1DDB" w:rsidP="005621F4">
            <w:pPr>
              <w:jc w:val="center"/>
              <w:rPr>
                <w:b/>
                <w:sz w:val="20"/>
              </w:rPr>
            </w:pPr>
            <w:r w:rsidRPr="005621F4">
              <w:rPr>
                <w:b/>
                <w:sz w:val="20"/>
              </w:rPr>
              <w:t>Recursos de revisión.</w:t>
            </w:r>
          </w:p>
        </w:tc>
        <w:tc>
          <w:tcPr>
            <w:tcW w:w="6308" w:type="dxa"/>
            <w:shd w:val="clear" w:color="auto" w:fill="F9CB9C"/>
            <w:tcMar>
              <w:top w:w="0" w:type="dxa"/>
              <w:left w:w="45" w:type="dxa"/>
              <w:bottom w:w="0" w:type="dxa"/>
              <w:right w:w="45" w:type="dxa"/>
            </w:tcMar>
            <w:vAlign w:val="center"/>
          </w:tcPr>
          <w:p w14:paraId="1E972CDD" w14:textId="55661848" w:rsidR="00FD1DDB" w:rsidRPr="005621F4" w:rsidRDefault="00BD792E" w:rsidP="005621F4">
            <w:pPr>
              <w:jc w:val="center"/>
              <w:rPr>
                <w:b/>
                <w:i/>
                <w:sz w:val="20"/>
              </w:rPr>
            </w:pPr>
            <w:r w:rsidRPr="005621F4">
              <w:rPr>
                <w:b/>
                <w:sz w:val="20"/>
              </w:rPr>
              <w:t>Manifestaciones</w:t>
            </w:r>
            <w:r w:rsidR="00FD1DDB" w:rsidRPr="005621F4">
              <w:rPr>
                <w:b/>
                <w:i/>
                <w:sz w:val="20"/>
              </w:rPr>
              <w:t>.</w:t>
            </w:r>
          </w:p>
        </w:tc>
      </w:tr>
      <w:tr w:rsidR="005621F4" w:rsidRPr="005621F4" w14:paraId="58F0635B" w14:textId="77777777" w:rsidTr="009C4F06">
        <w:trPr>
          <w:trHeight w:val="1093"/>
        </w:trPr>
        <w:tc>
          <w:tcPr>
            <w:tcW w:w="2803" w:type="dxa"/>
            <w:tcMar>
              <w:top w:w="0" w:type="dxa"/>
              <w:left w:w="45" w:type="dxa"/>
              <w:bottom w:w="0" w:type="dxa"/>
              <w:right w:w="45" w:type="dxa"/>
            </w:tcMar>
          </w:tcPr>
          <w:p w14:paraId="3FF3761E" w14:textId="621A11ED" w:rsidR="00FD1DDB" w:rsidRPr="005621F4" w:rsidRDefault="00C20A78" w:rsidP="005621F4">
            <w:pPr>
              <w:jc w:val="center"/>
              <w:rPr>
                <w:b/>
                <w:sz w:val="20"/>
              </w:rPr>
            </w:pPr>
            <w:r w:rsidRPr="005621F4">
              <w:rPr>
                <w:b/>
                <w:sz w:val="20"/>
              </w:rPr>
              <w:t>00452</w:t>
            </w:r>
            <w:r w:rsidR="00FD1DDB" w:rsidRPr="005621F4">
              <w:rPr>
                <w:b/>
                <w:sz w:val="20"/>
              </w:rPr>
              <w:t>/INFOEM/IP/RR/2024</w:t>
            </w:r>
          </w:p>
        </w:tc>
        <w:tc>
          <w:tcPr>
            <w:tcW w:w="6308" w:type="dxa"/>
            <w:tcMar>
              <w:top w:w="0" w:type="dxa"/>
              <w:left w:w="45" w:type="dxa"/>
              <w:bottom w:w="0" w:type="dxa"/>
              <w:right w:w="45" w:type="dxa"/>
            </w:tcMar>
          </w:tcPr>
          <w:p w14:paraId="162A0214" w14:textId="596EF661" w:rsidR="00C20A78" w:rsidRPr="005621F4" w:rsidRDefault="00C20A78" w:rsidP="005621F4">
            <w:pPr>
              <w:rPr>
                <w:rFonts w:cs="Calibri"/>
                <w:sz w:val="20"/>
              </w:rPr>
            </w:pPr>
            <w:r w:rsidRPr="005621F4">
              <w:rPr>
                <w:rFonts w:cs="Calibri"/>
                <w:b/>
                <w:i/>
                <w:sz w:val="20"/>
              </w:rPr>
              <w:t>"INFORME JUSTIFICADO 452s (3).</w:t>
            </w:r>
            <w:proofErr w:type="spellStart"/>
            <w:r w:rsidRPr="005621F4">
              <w:rPr>
                <w:rFonts w:cs="Calibri"/>
                <w:b/>
                <w:i/>
                <w:sz w:val="20"/>
              </w:rPr>
              <w:t>pdf</w:t>
            </w:r>
            <w:proofErr w:type="spellEnd"/>
            <w:r w:rsidRPr="005621F4">
              <w:rPr>
                <w:rFonts w:cs="Calibri"/>
                <w:sz w:val="20"/>
              </w:rPr>
              <w:t xml:space="preserve">": documento constante de tres fojas útiles, que contiene el informe justificado del Titular de la Unidad </w:t>
            </w:r>
            <w:r w:rsidRPr="005621F4">
              <w:rPr>
                <w:rFonts w:cs="Calibri"/>
                <w:sz w:val="20"/>
              </w:rPr>
              <w:lastRenderedPageBreak/>
              <w:t>de Transparencia, por medio del cual ratifica la respuesta primigenia.</w:t>
            </w:r>
            <w:r w:rsidRPr="005621F4">
              <w:rPr>
                <w:rFonts w:cs="Calibri"/>
                <w:sz w:val="20"/>
              </w:rPr>
              <w:br/>
            </w:r>
          </w:p>
          <w:p w14:paraId="2D1DC657" w14:textId="77777777" w:rsidR="00C20A78" w:rsidRPr="005621F4" w:rsidRDefault="00C20A78" w:rsidP="005621F4">
            <w:pPr>
              <w:rPr>
                <w:rFonts w:cs="Calibri"/>
                <w:sz w:val="20"/>
              </w:rPr>
            </w:pPr>
            <w:r w:rsidRPr="005621F4">
              <w:rPr>
                <w:rFonts w:cs="Calibri"/>
                <w:b/>
                <w:i/>
                <w:sz w:val="20"/>
              </w:rPr>
              <w:t>"ZONA IV RR 452 .</w:t>
            </w:r>
            <w:proofErr w:type="spellStart"/>
            <w:r w:rsidRPr="005621F4">
              <w:rPr>
                <w:rFonts w:cs="Calibri"/>
                <w:b/>
                <w:i/>
                <w:sz w:val="20"/>
              </w:rPr>
              <w:t>pdf</w:t>
            </w:r>
            <w:proofErr w:type="spellEnd"/>
            <w:r w:rsidRPr="005621F4">
              <w:rPr>
                <w:rFonts w:cs="Calibri"/>
                <w:b/>
                <w:i/>
                <w:sz w:val="20"/>
              </w:rPr>
              <w:t>"</w:t>
            </w:r>
            <w:r w:rsidRPr="005621F4">
              <w:rPr>
                <w:rFonts w:cs="Calibri"/>
                <w:sz w:val="20"/>
              </w:rPr>
              <w:t>: documento constante de 2 fojas útiles, de cuyo contenido se advierte el oficio número 220010004A00000/0052/2024, suscrito por el encargado del despacho de la Dirección General de Movilidad Zona IV, por el que indica que las razones o motivos de inconformidad presentada por el solicitante no son ciertas.</w:t>
            </w:r>
            <w:r w:rsidRPr="005621F4">
              <w:rPr>
                <w:rFonts w:cs="Calibri"/>
                <w:sz w:val="20"/>
              </w:rPr>
              <w:br/>
            </w:r>
          </w:p>
          <w:p w14:paraId="44BE708B" w14:textId="7D20D805" w:rsidR="00FD1DDB" w:rsidRPr="005621F4" w:rsidRDefault="00C20A78" w:rsidP="005621F4">
            <w:pPr>
              <w:rPr>
                <w:i/>
                <w:sz w:val="20"/>
              </w:rPr>
            </w:pPr>
            <w:r w:rsidRPr="005621F4">
              <w:rPr>
                <w:rFonts w:cs="Calibri"/>
                <w:b/>
                <w:i/>
                <w:sz w:val="20"/>
              </w:rPr>
              <w:t>"OF SUBSE 452 (9).</w:t>
            </w:r>
            <w:proofErr w:type="spellStart"/>
            <w:r w:rsidRPr="005621F4">
              <w:rPr>
                <w:rFonts w:cs="Calibri"/>
                <w:b/>
                <w:i/>
                <w:sz w:val="20"/>
              </w:rPr>
              <w:t>pdf</w:t>
            </w:r>
            <w:proofErr w:type="spellEnd"/>
            <w:r w:rsidRPr="005621F4">
              <w:rPr>
                <w:rFonts w:cs="Calibri"/>
                <w:b/>
                <w:i/>
                <w:sz w:val="20"/>
              </w:rPr>
              <w:t>"</w:t>
            </w:r>
            <w:r w:rsidRPr="005621F4">
              <w:rPr>
                <w:rFonts w:cs="Calibri"/>
                <w:sz w:val="20"/>
              </w:rPr>
              <w:t>: documento constante de 1 foja útil, de cuyo contenido se advierte el oficio 2200100001000S/2024/031, suscrito por el Titular de la Unida de Servicios Metropolitanos, por medio del cual ratifica su respuesta primigenia.</w:t>
            </w:r>
          </w:p>
        </w:tc>
      </w:tr>
      <w:tr w:rsidR="005621F4" w:rsidRPr="005621F4" w14:paraId="6C512E9A" w14:textId="77777777" w:rsidTr="009C4F06">
        <w:trPr>
          <w:trHeight w:val="65"/>
        </w:trPr>
        <w:tc>
          <w:tcPr>
            <w:tcW w:w="2803" w:type="dxa"/>
            <w:tcMar>
              <w:top w:w="0" w:type="dxa"/>
              <w:left w:w="45" w:type="dxa"/>
              <w:bottom w:w="0" w:type="dxa"/>
              <w:right w:w="45" w:type="dxa"/>
            </w:tcMar>
          </w:tcPr>
          <w:p w14:paraId="19207240" w14:textId="0D6DF430" w:rsidR="00FD1DDB" w:rsidRPr="005621F4" w:rsidRDefault="00C20A78" w:rsidP="005621F4">
            <w:pPr>
              <w:jc w:val="center"/>
              <w:rPr>
                <w:b/>
                <w:sz w:val="20"/>
              </w:rPr>
            </w:pPr>
            <w:r w:rsidRPr="005621F4">
              <w:rPr>
                <w:b/>
                <w:sz w:val="20"/>
              </w:rPr>
              <w:lastRenderedPageBreak/>
              <w:t>00453</w:t>
            </w:r>
            <w:r w:rsidR="00FD1DDB" w:rsidRPr="005621F4">
              <w:rPr>
                <w:b/>
                <w:sz w:val="20"/>
              </w:rPr>
              <w:t>/INFOEM/IP/RR/2024</w:t>
            </w:r>
          </w:p>
        </w:tc>
        <w:tc>
          <w:tcPr>
            <w:tcW w:w="6308" w:type="dxa"/>
            <w:tcMar>
              <w:top w:w="0" w:type="dxa"/>
              <w:left w:w="45" w:type="dxa"/>
              <w:bottom w:w="0" w:type="dxa"/>
              <w:right w:w="45" w:type="dxa"/>
            </w:tcMar>
          </w:tcPr>
          <w:p w14:paraId="7B07240A" w14:textId="77777777" w:rsidR="00C20A78" w:rsidRPr="005621F4" w:rsidRDefault="00C20A78" w:rsidP="005621F4">
            <w:pPr>
              <w:rPr>
                <w:rFonts w:cs="Calibri"/>
                <w:sz w:val="20"/>
              </w:rPr>
            </w:pPr>
            <w:r w:rsidRPr="005621F4">
              <w:rPr>
                <w:rFonts w:cs="Calibri"/>
                <w:b/>
                <w:i/>
                <w:sz w:val="20"/>
              </w:rPr>
              <w:t>"Informe Justificado_453.pdf":</w:t>
            </w:r>
            <w:r w:rsidRPr="005621F4">
              <w:rPr>
                <w:rFonts w:cs="Calibri"/>
                <w:sz w:val="20"/>
              </w:rPr>
              <w:t xml:space="preserve"> documento constante de tres fojas útiles, que contiene el informe justificado del Titular de la Unidad de Transparencia, por medio del cual ratifica la respuesta primigenia.</w:t>
            </w:r>
          </w:p>
          <w:p w14:paraId="6E402717" w14:textId="77777777" w:rsidR="00C20A78" w:rsidRPr="005621F4" w:rsidRDefault="00C20A78" w:rsidP="005621F4">
            <w:pPr>
              <w:rPr>
                <w:rFonts w:cs="Calibri"/>
                <w:b/>
                <w:i/>
                <w:sz w:val="20"/>
              </w:rPr>
            </w:pPr>
          </w:p>
          <w:p w14:paraId="2BF409CF" w14:textId="1977A16E" w:rsidR="00C20A78" w:rsidRPr="005621F4" w:rsidRDefault="00C20A78" w:rsidP="005621F4">
            <w:pPr>
              <w:rPr>
                <w:rFonts w:cs="Calibri"/>
                <w:sz w:val="20"/>
              </w:rPr>
            </w:pPr>
            <w:r w:rsidRPr="005621F4">
              <w:rPr>
                <w:rFonts w:cs="Calibri"/>
                <w:b/>
                <w:i/>
                <w:sz w:val="20"/>
              </w:rPr>
              <w:t xml:space="preserve">"OF </w:t>
            </w:r>
            <w:proofErr w:type="gramStart"/>
            <w:r w:rsidRPr="005621F4">
              <w:rPr>
                <w:rFonts w:cs="Calibri"/>
                <w:b/>
                <w:i/>
                <w:sz w:val="20"/>
              </w:rPr>
              <w:t>SUBSE(</w:t>
            </w:r>
            <w:proofErr w:type="gramEnd"/>
            <w:r w:rsidRPr="005621F4">
              <w:rPr>
                <w:rFonts w:cs="Calibri"/>
                <w:b/>
                <w:i/>
                <w:sz w:val="20"/>
              </w:rPr>
              <w:t>6).</w:t>
            </w:r>
            <w:proofErr w:type="spellStart"/>
            <w:r w:rsidRPr="005621F4">
              <w:rPr>
                <w:rFonts w:cs="Calibri"/>
                <w:b/>
                <w:i/>
                <w:sz w:val="20"/>
              </w:rPr>
              <w:t>pdf</w:t>
            </w:r>
            <w:proofErr w:type="spellEnd"/>
            <w:r w:rsidRPr="005621F4">
              <w:rPr>
                <w:rFonts w:cs="Calibri"/>
                <w:sz w:val="20"/>
              </w:rPr>
              <w:t>": documento constante de 1 foja útil, de cuyo contenido se advierte el oficio 2200100001000S/2024/032, suscrito por el Titular de la Unida de Servicios Metropolitanos, por medio del cual ratifica su respuesta primigenia.</w:t>
            </w:r>
            <w:r w:rsidRPr="005621F4">
              <w:rPr>
                <w:rFonts w:cs="Calibri"/>
                <w:sz w:val="20"/>
              </w:rPr>
              <w:br/>
            </w:r>
          </w:p>
          <w:p w14:paraId="690E7FFE" w14:textId="4C291BB9" w:rsidR="00FD1DDB" w:rsidRPr="005621F4" w:rsidRDefault="00C20A78" w:rsidP="005621F4">
            <w:pPr>
              <w:rPr>
                <w:b/>
                <w:i/>
                <w:sz w:val="20"/>
              </w:rPr>
            </w:pPr>
            <w:r w:rsidRPr="005621F4">
              <w:rPr>
                <w:rFonts w:cs="Calibri"/>
                <w:b/>
                <w:i/>
                <w:sz w:val="20"/>
              </w:rPr>
              <w:t>"OF ZONAIII (1).</w:t>
            </w:r>
            <w:proofErr w:type="spellStart"/>
            <w:r w:rsidRPr="005621F4">
              <w:rPr>
                <w:rFonts w:cs="Calibri"/>
                <w:b/>
                <w:i/>
                <w:sz w:val="20"/>
              </w:rPr>
              <w:t>pdf</w:t>
            </w:r>
            <w:proofErr w:type="spellEnd"/>
            <w:r w:rsidRPr="005621F4">
              <w:rPr>
                <w:rFonts w:cs="Calibri"/>
                <w:b/>
                <w:i/>
                <w:sz w:val="20"/>
              </w:rPr>
              <w:t>":</w:t>
            </w:r>
            <w:r w:rsidRPr="005621F4">
              <w:rPr>
                <w:rFonts w:cs="Calibri"/>
                <w:sz w:val="20"/>
              </w:rPr>
              <w:t xml:space="preserve"> documento constante de 1 foja útil de cuyo contenido se advierte el oficio número 22001003T/061/2023, suscrito por el Director General de Movilidad Zona III, por el que ratifica su respuesta primigenia.</w:t>
            </w:r>
          </w:p>
        </w:tc>
      </w:tr>
      <w:tr w:rsidR="00BD792E" w:rsidRPr="005621F4" w14:paraId="56199160" w14:textId="77777777" w:rsidTr="00FC24D4">
        <w:trPr>
          <w:trHeight w:val="65"/>
        </w:trPr>
        <w:tc>
          <w:tcPr>
            <w:tcW w:w="2803" w:type="dxa"/>
            <w:tcMar>
              <w:top w:w="0" w:type="dxa"/>
              <w:left w:w="45" w:type="dxa"/>
              <w:bottom w:w="0" w:type="dxa"/>
              <w:right w:w="45" w:type="dxa"/>
            </w:tcMar>
          </w:tcPr>
          <w:p w14:paraId="5B44C789" w14:textId="670C4D08" w:rsidR="00BD792E" w:rsidRPr="005621F4" w:rsidRDefault="00C20A78" w:rsidP="005621F4">
            <w:pPr>
              <w:jc w:val="center"/>
              <w:rPr>
                <w:b/>
                <w:sz w:val="20"/>
              </w:rPr>
            </w:pPr>
            <w:r w:rsidRPr="005621F4">
              <w:rPr>
                <w:b/>
                <w:sz w:val="20"/>
              </w:rPr>
              <w:lastRenderedPageBreak/>
              <w:t>00454</w:t>
            </w:r>
            <w:r w:rsidR="00BD792E" w:rsidRPr="005621F4">
              <w:rPr>
                <w:b/>
                <w:sz w:val="20"/>
              </w:rPr>
              <w:t>/INFOEM/IP/RR/2024</w:t>
            </w:r>
          </w:p>
        </w:tc>
        <w:tc>
          <w:tcPr>
            <w:tcW w:w="6308" w:type="dxa"/>
            <w:tcMar>
              <w:top w:w="0" w:type="dxa"/>
              <w:left w:w="45" w:type="dxa"/>
              <w:bottom w:w="0" w:type="dxa"/>
              <w:right w:w="45" w:type="dxa"/>
            </w:tcMar>
          </w:tcPr>
          <w:p w14:paraId="3A5EA7A6" w14:textId="77777777" w:rsidR="00C20A78" w:rsidRPr="005621F4" w:rsidRDefault="00C20A78" w:rsidP="005621F4">
            <w:pPr>
              <w:rPr>
                <w:rFonts w:cs="Calibri"/>
                <w:sz w:val="20"/>
              </w:rPr>
            </w:pPr>
            <w:r w:rsidRPr="005621F4">
              <w:rPr>
                <w:rFonts w:cs="Calibri"/>
                <w:b/>
                <w:i/>
                <w:sz w:val="20"/>
              </w:rPr>
              <w:t>"INFORME JUSTIFICADO 454.pdf</w:t>
            </w:r>
            <w:r w:rsidRPr="005621F4">
              <w:rPr>
                <w:rFonts w:cs="Calibri"/>
                <w:sz w:val="20"/>
              </w:rPr>
              <w:t>": documento constante de tres fojas útiles, que contiene el informe justificado del Titular de la Unidad de Transparencia, por medio del cual ratifica la respuesta primigenia.</w:t>
            </w:r>
          </w:p>
          <w:p w14:paraId="25CBA50C" w14:textId="77777777" w:rsidR="00C20A78" w:rsidRPr="005621F4" w:rsidRDefault="00C20A78" w:rsidP="005621F4">
            <w:pPr>
              <w:rPr>
                <w:rFonts w:cs="Calibri"/>
                <w:sz w:val="20"/>
              </w:rPr>
            </w:pPr>
          </w:p>
          <w:p w14:paraId="3C84E0F4" w14:textId="77777777" w:rsidR="00C20A78" w:rsidRPr="005621F4" w:rsidRDefault="00C20A78" w:rsidP="005621F4">
            <w:pPr>
              <w:rPr>
                <w:rFonts w:cs="Calibri"/>
                <w:sz w:val="20"/>
              </w:rPr>
            </w:pPr>
            <w:r w:rsidRPr="005621F4">
              <w:rPr>
                <w:rFonts w:cs="Calibri"/>
                <w:b/>
                <w:i/>
                <w:sz w:val="20"/>
              </w:rPr>
              <w:t>"OF SUBSE.pdf"</w:t>
            </w:r>
            <w:r w:rsidRPr="005621F4">
              <w:rPr>
                <w:rFonts w:cs="Calibri"/>
                <w:sz w:val="20"/>
              </w:rPr>
              <w:t>: documento constante de 1 foja útil, de cuyo contenido se advierte el oficio 2200100001000S/2024/032, suscrito por el Titular de la Unida de Servicios Metropolitanos, por medio del cual ratifica su respuesta primigenia.</w:t>
            </w:r>
            <w:r w:rsidRPr="005621F4">
              <w:rPr>
                <w:rFonts w:cs="Calibri"/>
                <w:sz w:val="20"/>
              </w:rPr>
              <w:br/>
            </w:r>
          </w:p>
          <w:p w14:paraId="78A7BD64" w14:textId="50B6D6B1" w:rsidR="00BD792E" w:rsidRPr="005621F4" w:rsidRDefault="00C20A78" w:rsidP="005621F4">
            <w:pPr>
              <w:rPr>
                <w:b/>
                <w:i/>
                <w:sz w:val="20"/>
              </w:rPr>
            </w:pPr>
            <w:r w:rsidRPr="005621F4">
              <w:rPr>
                <w:rFonts w:cs="Calibri"/>
                <w:sz w:val="20"/>
              </w:rPr>
              <w:t>"</w:t>
            </w:r>
            <w:r w:rsidRPr="005621F4">
              <w:rPr>
                <w:rFonts w:cs="Calibri"/>
                <w:b/>
                <w:i/>
                <w:sz w:val="20"/>
              </w:rPr>
              <w:t>OF ZONA II.pdf</w:t>
            </w:r>
            <w:r w:rsidRPr="005621F4">
              <w:rPr>
                <w:rFonts w:cs="Calibri"/>
                <w:sz w:val="20"/>
              </w:rPr>
              <w:t>": documento constante de 1 foja útil de cuyo contenido se advierte el oficio número 22001003T/061/2023, suscrito por la Directora General de Movilidad Zona II, por el que ratifica su respuesta primigenia.</w:t>
            </w:r>
          </w:p>
        </w:tc>
      </w:tr>
    </w:tbl>
    <w:p w14:paraId="3B386B4C" w14:textId="77777777" w:rsidR="003A40C1" w:rsidRPr="005621F4" w:rsidRDefault="003A40C1" w:rsidP="005621F4">
      <w:pPr>
        <w:ind w:right="539"/>
        <w:rPr>
          <w:rFonts w:cs="Tahoma"/>
          <w:bCs/>
          <w:szCs w:val="22"/>
        </w:rPr>
      </w:pPr>
    </w:p>
    <w:p w14:paraId="0645F03B" w14:textId="55AC5F4A" w:rsidR="00A1405A" w:rsidRPr="005621F4" w:rsidRDefault="00A1405A" w:rsidP="005621F4">
      <w:pPr>
        <w:rPr>
          <w:rFonts w:cs="Tahoma"/>
          <w:bCs/>
          <w:szCs w:val="22"/>
        </w:rPr>
      </w:pPr>
      <w:r w:rsidRPr="005621F4">
        <w:rPr>
          <w:rFonts w:cs="Tahoma"/>
          <w:bCs/>
          <w:szCs w:val="22"/>
        </w:rPr>
        <w:t xml:space="preserve">Esta información fue puesta a la vista de </w:t>
      </w:r>
      <w:r w:rsidRPr="005621F4">
        <w:rPr>
          <w:rFonts w:cs="Tahoma"/>
          <w:b/>
          <w:szCs w:val="22"/>
        </w:rPr>
        <w:t xml:space="preserve">LA PARTE RECURRENTE </w:t>
      </w:r>
      <w:r w:rsidRPr="005621F4">
        <w:rPr>
          <w:rFonts w:cs="Tahoma"/>
          <w:bCs/>
          <w:szCs w:val="22"/>
        </w:rPr>
        <w:t xml:space="preserve">el </w:t>
      </w:r>
      <w:r w:rsidR="00D455DE" w:rsidRPr="005621F4">
        <w:rPr>
          <w:rFonts w:cs="Tahoma"/>
          <w:b/>
          <w:szCs w:val="22"/>
        </w:rPr>
        <w:t>veinticinco</w:t>
      </w:r>
      <w:r w:rsidRPr="005621F4">
        <w:rPr>
          <w:rFonts w:cs="Tahoma"/>
          <w:b/>
          <w:szCs w:val="22"/>
        </w:rPr>
        <w:t xml:space="preserve"> de </w:t>
      </w:r>
      <w:r w:rsidR="00FD1DDB" w:rsidRPr="005621F4">
        <w:rPr>
          <w:rFonts w:cs="Tahoma"/>
          <w:b/>
          <w:szCs w:val="22"/>
        </w:rPr>
        <w:t>septiembre</w:t>
      </w:r>
      <w:r w:rsidRPr="005621F4">
        <w:rPr>
          <w:rFonts w:cs="Tahoma"/>
          <w:b/>
          <w:szCs w:val="22"/>
        </w:rPr>
        <w:t xml:space="preserve"> de dos mil </w:t>
      </w:r>
      <w:r w:rsidR="00FD1DDB" w:rsidRPr="005621F4">
        <w:rPr>
          <w:rFonts w:cs="Tahoma"/>
          <w:b/>
          <w:szCs w:val="22"/>
        </w:rPr>
        <w:t>veinticuatro</w:t>
      </w:r>
      <w:r w:rsidRPr="005621F4">
        <w:rPr>
          <w:rFonts w:cs="Tahoma"/>
          <w:bCs/>
          <w:szCs w:val="22"/>
        </w:rPr>
        <w:t xml:space="preserve"> para que, en un plazo de tres días hábiles, manifestara lo que a su derecho conviniera, de conformidad con lo establecido en el </w:t>
      </w:r>
      <w:r w:rsidRPr="005621F4">
        <w:rPr>
          <w:rFonts w:cs="Arial"/>
          <w:szCs w:val="22"/>
        </w:rPr>
        <w:t>artículo 185, fracción III de la Ley de Transparencia y Acceso a la Información Pública del Estado de México y Municipios</w:t>
      </w:r>
      <w:r w:rsidRPr="005621F4">
        <w:rPr>
          <w:rFonts w:cs="Tahoma"/>
          <w:bCs/>
          <w:szCs w:val="22"/>
        </w:rPr>
        <w:t>.</w:t>
      </w:r>
    </w:p>
    <w:p w14:paraId="441DC89F" w14:textId="77777777" w:rsidR="00A1405A" w:rsidRPr="005621F4" w:rsidRDefault="00A1405A" w:rsidP="005621F4">
      <w:pPr>
        <w:ind w:right="539"/>
        <w:rPr>
          <w:rFonts w:cs="Tahoma"/>
          <w:bCs/>
          <w:szCs w:val="22"/>
        </w:rPr>
      </w:pPr>
    </w:p>
    <w:p w14:paraId="755B7730" w14:textId="22EAC55C" w:rsidR="00664420" w:rsidRPr="005621F4" w:rsidRDefault="00213142" w:rsidP="005621F4">
      <w:pPr>
        <w:pStyle w:val="Ttulo3"/>
        <w:rPr>
          <w:szCs w:val="22"/>
          <w:lang w:val="es-ES"/>
        </w:rPr>
      </w:pPr>
      <w:bookmarkStart w:id="14" w:name="_Toc178766457"/>
      <w:r w:rsidRPr="005621F4">
        <w:rPr>
          <w:rFonts w:eastAsia="Calibri"/>
          <w:bCs/>
          <w:szCs w:val="22"/>
          <w:lang w:eastAsia="en-US"/>
        </w:rPr>
        <w:t>e</w:t>
      </w:r>
      <w:r w:rsidR="00664420" w:rsidRPr="005621F4">
        <w:rPr>
          <w:rFonts w:eastAsia="Calibri"/>
          <w:bCs/>
          <w:szCs w:val="22"/>
          <w:lang w:eastAsia="en-US"/>
        </w:rPr>
        <w:t>)</w:t>
      </w:r>
      <w:r w:rsidR="00664420" w:rsidRPr="005621F4">
        <w:rPr>
          <w:szCs w:val="22"/>
        </w:rPr>
        <w:t xml:space="preserve"> </w:t>
      </w:r>
      <w:r w:rsidR="00865CF4" w:rsidRPr="005621F4">
        <w:rPr>
          <w:szCs w:val="22"/>
          <w:lang w:val="es-ES"/>
        </w:rPr>
        <w:t>Manifestaciones de la Parte Recurrente</w:t>
      </w:r>
      <w:r w:rsidR="00A1405A" w:rsidRPr="005621F4">
        <w:rPr>
          <w:szCs w:val="22"/>
          <w:lang w:val="es-ES"/>
        </w:rPr>
        <w:t>.</w:t>
      </w:r>
      <w:bookmarkEnd w:id="14"/>
    </w:p>
    <w:p w14:paraId="4E8AF011" w14:textId="15C1F5A7" w:rsidR="00865CF4" w:rsidRPr="005621F4" w:rsidRDefault="00865CF4" w:rsidP="005621F4">
      <w:pPr>
        <w:rPr>
          <w:rFonts w:eastAsia="Arial Unicode MS" w:cs="Arial"/>
          <w:szCs w:val="22"/>
        </w:rPr>
      </w:pPr>
      <w:r w:rsidRPr="005621F4">
        <w:rPr>
          <w:rFonts w:cs="Tahoma"/>
          <w:b/>
          <w:szCs w:val="22"/>
        </w:rPr>
        <w:t xml:space="preserve">LA PARTE RECURRENTE </w:t>
      </w:r>
      <w:r w:rsidR="00015208" w:rsidRPr="005621F4">
        <w:rPr>
          <w:rFonts w:eastAsia="Arial Unicode MS" w:cs="Arial"/>
          <w:szCs w:val="22"/>
        </w:rPr>
        <w:t>no realizó manifestacio</w:t>
      </w:r>
      <w:r w:rsidRPr="005621F4">
        <w:rPr>
          <w:rFonts w:eastAsia="Arial Unicode MS" w:cs="Arial"/>
          <w:szCs w:val="22"/>
        </w:rPr>
        <w:t>n</w:t>
      </w:r>
      <w:r w:rsidR="00015208" w:rsidRPr="005621F4">
        <w:rPr>
          <w:rFonts w:eastAsia="Arial Unicode MS" w:cs="Arial"/>
          <w:szCs w:val="22"/>
        </w:rPr>
        <w:t>es</w:t>
      </w:r>
      <w:r w:rsidRPr="005621F4">
        <w:rPr>
          <w:rFonts w:eastAsia="Arial Unicode MS" w:cs="Arial"/>
          <w:szCs w:val="22"/>
        </w:rPr>
        <w:t xml:space="preserve"> dentro del término legalmente concedido para tal efecto, ni presentó pruebas o alegatos.</w:t>
      </w:r>
    </w:p>
    <w:p w14:paraId="6923684C" w14:textId="77777777" w:rsidR="00664420" w:rsidRPr="005621F4" w:rsidRDefault="00664420" w:rsidP="005621F4">
      <w:pPr>
        <w:rPr>
          <w:rFonts w:cs="Tahoma"/>
          <w:szCs w:val="22"/>
        </w:rPr>
      </w:pPr>
    </w:p>
    <w:p w14:paraId="1A46D23C" w14:textId="23A21445" w:rsidR="008E0766" w:rsidRPr="005621F4" w:rsidRDefault="00543E56" w:rsidP="005621F4">
      <w:pPr>
        <w:pStyle w:val="Ttulo3"/>
        <w:rPr>
          <w:szCs w:val="22"/>
        </w:rPr>
      </w:pPr>
      <w:bookmarkStart w:id="15" w:name="_Toc174008765"/>
      <w:bookmarkStart w:id="16" w:name="_Toc178766458"/>
      <w:r w:rsidRPr="005621F4">
        <w:rPr>
          <w:szCs w:val="22"/>
        </w:rPr>
        <w:lastRenderedPageBreak/>
        <w:t>f</w:t>
      </w:r>
      <w:r w:rsidR="008E0766" w:rsidRPr="005621F4">
        <w:rPr>
          <w:szCs w:val="22"/>
        </w:rPr>
        <w:t>) Acumulación de los Recursos de Revisión</w:t>
      </w:r>
      <w:bookmarkEnd w:id="15"/>
      <w:r w:rsidR="00A1405A" w:rsidRPr="005621F4">
        <w:rPr>
          <w:szCs w:val="22"/>
        </w:rPr>
        <w:t>.</w:t>
      </w:r>
      <w:bookmarkEnd w:id="16"/>
    </w:p>
    <w:p w14:paraId="64F9559F" w14:textId="62735645" w:rsidR="008E0766" w:rsidRPr="005621F4" w:rsidRDefault="008E0766" w:rsidP="005621F4">
      <w:pPr>
        <w:ind w:left="-57"/>
        <w:rPr>
          <w:rFonts w:cs="Tahoma"/>
          <w:b/>
          <w:bCs/>
          <w:szCs w:val="22"/>
        </w:rPr>
      </w:pPr>
      <w:bookmarkStart w:id="17" w:name="_heading=h.3rdcrjn" w:colFirst="0" w:colLast="0"/>
      <w:bookmarkEnd w:id="17"/>
      <w:r w:rsidRPr="005621F4">
        <w:rPr>
          <w:szCs w:val="22"/>
        </w:rPr>
        <w:t xml:space="preserve">Por economía procesal y con la finalidad de evitar </w:t>
      </w:r>
      <w:r w:rsidR="000E03AE" w:rsidRPr="005621F4">
        <w:rPr>
          <w:szCs w:val="22"/>
        </w:rPr>
        <w:t xml:space="preserve">resolución contradictoria, en la </w:t>
      </w:r>
      <w:r w:rsidR="00D455DE" w:rsidRPr="005621F4">
        <w:rPr>
          <w:b/>
          <w:szCs w:val="22"/>
        </w:rPr>
        <w:t>Quinta</w:t>
      </w:r>
      <w:r w:rsidR="00BD792E" w:rsidRPr="005621F4">
        <w:rPr>
          <w:b/>
          <w:szCs w:val="22"/>
        </w:rPr>
        <w:t xml:space="preserve"> </w:t>
      </w:r>
      <w:r w:rsidR="000E03AE" w:rsidRPr="005621F4">
        <w:rPr>
          <w:b/>
          <w:szCs w:val="22"/>
        </w:rPr>
        <w:t>Sesión Ordinaria</w:t>
      </w:r>
      <w:r w:rsidR="000E03AE" w:rsidRPr="005621F4">
        <w:rPr>
          <w:szCs w:val="22"/>
        </w:rPr>
        <w:t>, celebrada</w:t>
      </w:r>
      <w:r w:rsidRPr="005621F4">
        <w:rPr>
          <w:szCs w:val="22"/>
        </w:rPr>
        <w:t xml:space="preserve"> el</w:t>
      </w:r>
      <w:r w:rsidRPr="005621F4">
        <w:rPr>
          <w:b/>
          <w:szCs w:val="22"/>
        </w:rPr>
        <w:t xml:space="preserve"> </w:t>
      </w:r>
      <w:r w:rsidR="00875996" w:rsidRPr="005621F4">
        <w:rPr>
          <w:b/>
          <w:szCs w:val="22"/>
        </w:rPr>
        <w:t xml:space="preserve"> catorce de febrero</w:t>
      </w:r>
      <w:r w:rsidR="00FD1DDB" w:rsidRPr="005621F4">
        <w:rPr>
          <w:b/>
          <w:szCs w:val="22"/>
        </w:rPr>
        <w:t xml:space="preserve"> de dos mil veinticuatro, </w:t>
      </w:r>
      <w:r w:rsidRPr="005621F4">
        <w:rPr>
          <w:szCs w:val="22"/>
        </w:rPr>
        <w:t>el Pleno de este Instituto determinó acumular los Recursos de Revisión</w:t>
      </w:r>
      <w:r w:rsidRPr="005621F4">
        <w:rPr>
          <w:b/>
          <w:szCs w:val="22"/>
        </w:rPr>
        <w:t xml:space="preserve"> </w:t>
      </w:r>
      <w:r w:rsidR="00D455DE" w:rsidRPr="005621F4">
        <w:rPr>
          <w:rFonts w:cs="Tahoma"/>
          <w:b/>
          <w:bCs/>
          <w:szCs w:val="22"/>
        </w:rPr>
        <w:t>00452</w:t>
      </w:r>
      <w:r w:rsidR="00BD792E" w:rsidRPr="005621F4">
        <w:rPr>
          <w:rFonts w:cs="Tahoma"/>
          <w:b/>
          <w:bCs/>
          <w:szCs w:val="22"/>
        </w:rPr>
        <w:t>/INFOEM/IP/RR/2024</w:t>
      </w:r>
      <w:r w:rsidR="00D455DE" w:rsidRPr="005621F4">
        <w:rPr>
          <w:rFonts w:cs="Tahoma"/>
          <w:b/>
          <w:bCs/>
          <w:szCs w:val="22"/>
        </w:rPr>
        <w:t xml:space="preserve">, 00453/INFOEM/IP/RR/2024 </w:t>
      </w:r>
      <w:r w:rsidR="00BD792E" w:rsidRPr="005621F4">
        <w:rPr>
          <w:rFonts w:cs="Tahoma"/>
          <w:szCs w:val="22"/>
        </w:rPr>
        <w:t xml:space="preserve">y </w:t>
      </w:r>
      <w:r w:rsidR="00D455DE" w:rsidRPr="005621F4">
        <w:rPr>
          <w:rFonts w:cs="Tahoma"/>
          <w:b/>
          <w:bCs/>
          <w:szCs w:val="22"/>
        </w:rPr>
        <w:t>00454</w:t>
      </w:r>
      <w:r w:rsidR="00BD792E" w:rsidRPr="005621F4">
        <w:rPr>
          <w:rFonts w:cs="Tahoma"/>
          <w:b/>
          <w:bCs/>
          <w:szCs w:val="22"/>
        </w:rPr>
        <w:t>/INFOEM/IP/RR/2024</w:t>
      </w:r>
      <w:r w:rsidRPr="005621F4">
        <w:rPr>
          <w:rFonts w:cs="Tahoma"/>
          <w:b/>
          <w:bCs/>
          <w:szCs w:val="22"/>
        </w:rPr>
        <w:t>.</w:t>
      </w:r>
    </w:p>
    <w:p w14:paraId="56C8BDC3" w14:textId="77777777" w:rsidR="00EB262C" w:rsidRPr="005621F4" w:rsidRDefault="00EB262C" w:rsidP="005621F4">
      <w:pPr>
        <w:ind w:left="-57"/>
        <w:rPr>
          <w:rFonts w:cs="Tahoma"/>
          <w:b/>
          <w:bCs/>
          <w:szCs w:val="22"/>
        </w:rPr>
      </w:pPr>
    </w:p>
    <w:p w14:paraId="154BD0D7" w14:textId="77E654BB" w:rsidR="00EB262C" w:rsidRPr="005621F4" w:rsidRDefault="00EB262C" w:rsidP="005621F4">
      <w:pPr>
        <w:pStyle w:val="Ttulo3"/>
      </w:pPr>
      <w:bookmarkStart w:id="18" w:name="_Toc178616556"/>
      <w:bookmarkStart w:id="19" w:name="_Toc178766459"/>
      <w:r w:rsidRPr="005621F4">
        <w:t>g) Ampliación de plazo para resolver el Recurso de Revisión</w:t>
      </w:r>
      <w:bookmarkEnd w:id="18"/>
      <w:bookmarkEnd w:id="19"/>
    </w:p>
    <w:p w14:paraId="189776F0" w14:textId="083C3CAC" w:rsidR="00EB262C" w:rsidRPr="005621F4" w:rsidRDefault="00EB262C" w:rsidP="005621F4">
      <w:pPr>
        <w:tabs>
          <w:tab w:val="left" w:pos="3261"/>
        </w:tabs>
      </w:pPr>
      <w:r w:rsidRPr="005621F4">
        <w:t xml:space="preserve">Con fundamento en lo dispuesto en el artículo 181, párrafo tercero, de la Ley de Transparencia y Acceso a la Información Pública del Estado de México y Municipios, </w:t>
      </w:r>
      <w:r w:rsidRPr="005621F4">
        <w:rPr>
          <w:b/>
        </w:rPr>
        <w:t xml:space="preserve">el </w:t>
      </w:r>
      <w:r w:rsidR="00875996" w:rsidRPr="005621F4">
        <w:rPr>
          <w:b/>
        </w:rPr>
        <w:t>nueve de abril</w:t>
      </w:r>
      <w:r w:rsidRPr="005621F4">
        <w:rPr>
          <w:b/>
        </w:rPr>
        <w:t xml:space="preserve"> de dos mil veinticuatro</w:t>
      </w:r>
      <w:r w:rsidRPr="005621F4">
        <w:t xml:space="preserve"> se acordó ampliar por un periodo razonable el plazo para resolver el presente Recurso de Revisión; acuerdo que fue notificado a las partes a través del SAIMEX en la misma fecha.</w:t>
      </w:r>
    </w:p>
    <w:p w14:paraId="05BA9CD3" w14:textId="77777777" w:rsidR="00EB262C" w:rsidRPr="005621F4" w:rsidRDefault="00EB262C" w:rsidP="005621F4">
      <w:pPr>
        <w:tabs>
          <w:tab w:val="left" w:pos="3261"/>
        </w:tabs>
      </w:pPr>
    </w:p>
    <w:p w14:paraId="631EF0A4" w14:textId="77777777" w:rsidR="00EB262C" w:rsidRPr="005621F4" w:rsidRDefault="00EB262C" w:rsidP="005621F4">
      <w:pPr>
        <w:pBdr>
          <w:top w:val="nil"/>
          <w:left w:val="nil"/>
          <w:bottom w:val="nil"/>
          <w:right w:val="nil"/>
          <w:between w:val="nil"/>
        </w:pBdr>
        <w:rPr>
          <w:rFonts w:eastAsia="Palatino Linotype" w:cs="Palatino Linotype"/>
          <w:szCs w:val="22"/>
        </w:rPr>
      </w:pPr>
      <w:r w:rsidRPr="005621F4">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3502A0F1" w14:textId="77777777" w:rsidR="00EB262C" w:rsidRPr="005621F4" w:rsidRDefault="00EB262C" w:rsidP="005621F4">
      <w:pPr>
        <w:pBdr>
          <w:top w:val="nil"/>
          <w:left w:val="nil"/>
          <w:bottom w:val="nil"/>
          <w:right w:val="nil"/>
          <w:between w:val="nil"/>
        </w:pBdr>
        <w:rPr>
          <w:rFonts w:eastAsia="Palatino Linotype" w:cs="Palatino Linotype"/>
          <w:szCs w:val="22"/>
        </w:rPr>
      </w:pPr>
    </w:p>
    <w:p w14:paraId="40E4FD77" w14:textId="77777777" w:rsidR="00EB262C" w:rsidRPr="005621F4" w:rsidRDefault="00EB262C" w:rsidP="005621F4">
      <w:pPr>
        <w:pBdr>
          <w:top w:val="nil"/>
          <w:left w:val="nil"/>
          <w:bottom w:val="nil"/>
          <w:right w:val="nil"/>
          <w:between w:val="nil"/>
        </w:pBdr>
        <w:rPr>
          <w:rFonts w:eastAsia="Palatino Linotype" w:cs="Palatino Linotype"/>
          <w:szCs w:val="22"/>
        </w:rPr>
      </w:pPr>
      <w:r w:rsidRPr="005621F4">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BDC95C0" w14:textId="77777777" w:rsidR="00EB262C" w:rsidRPr="005621F4" w:rsidRDefault="00EB262C" w:rsidP="005621F4">
      <w:pPr>
        <w:pBdr>
          <w:top w:val="nil"/>
          <w:left w:val="nil"/>
          <w:bottom w:val="nil"/>
          <w:right w:val="nil"/>
          <w:between w:val="nil"/>
        </w:pBdr>
        <w:rPr>
          <w:rFonts w:eastAsia="Palatino Linotype" w:cs="Palatino Linotype"/>
          <w:szCs w:val="22"/>
        </w:rPr>
      </w:pPr>
    </w:p>
    <w:p w14:paraId="4869A038" w14:textId="77777777" w:rsidR="00EB262C" w:rsidRPr="005621F4" w:rsidRDefault="00EB262C" w:rsidP="005621F4">
      <w:pPr>
        <w:pBdr>
          <w:top w:val="nil"/>
          <w:left w:val="nil"/>
          <w:bottom w:val="nil"/>
          <w:right w:val="nil"/>
          <w:between w:val="nil"/>
        </w:pBdr>
        <w:rPr>
          <w:rFonts w:eastAsia="Palatino Linotype" w:cs="Palatino Linotype"/>
          <w:szCs w:val="22"/>
        </w:rPr>
      </w:pPr>
      <w:r w:rsidRPr="005621F4">
        <w:rPr>
          <w:rFonts w:eastAsia="Palatino Linotype" w:cs="Palatino Linotype"/>
          <w:szCs w:val="22"/>
        </w:rPr>
        <w:t xml:space="preserve">Así, en términos de lo que establecen los artículos 8.1 y 25 de la Convención Americana sobre Derechos Humanos, los recursos deben ser sencillos y resolverse en el menor tiempo posible, </w:t>
      </w:r>
      <w:r w:rsidRPr="005621F4">
        <w:rPr>
          <w:rFonts w:eastAsia="Palatino Linotype" w:cs="Palatino Linotype"/>
          <w:szCs w:val="22"/>
        </w:rPr>
        <w:lastRenderedPageBreak/>
        <w:t>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7346A66" w14:textId="77777777" w:rsidR="00EB262C" w:rsidRPr="005621F4" w:rsidRDefault="00EB262C" w:rsidP="005621F4">
      <w:pPr>
        <w:pBdr>
          <w:top w:val="nil"/>
          <w:left w:val="nil"/>
          <w:bottom w:val="nil"/>
          <w:right w:val="nil"/>
          <w:between w:val="nil"/>
        </w:pBdr>
        <w:rPr>
          <w:rFonts w:eastAsia="Palatino Linotype" w:cs="Palatino Linotype"/>
          <w:szCs w:val="22"/>
        </w:rPr>
      </w:pPr>
    </w:p>
    <w:p w14:paraId="50E28DAA" w14:textId="77777777" w:rsidR="00EB262C" w:rsidRPr="005621F4" w:rsidRDefault="00EB262C" w:rsidP="005621F4">
      <w:pPr>
        <w:pBdr>
          <w:top w:val="nil"/>
          <w:left w:val="nil"/>
          <w:bottom w:val="nil"/>
          <w:right w:val="nil"/>
          <w:between w:val="nil"/>
        </w:pBdr>
        <w:rPr>
          <w:rFonts w:eastAsia="Palatino Linotype" w:cs="Palatino Linotype"/>
          <w:szCs w:val="22"/>
        </w:rPr>
      </w:pPr>
      <w:r w:rsidRPr="005621F4">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1E619EF5" w14:textId="77777777" w:rsidR="00EB262C" w:rsidRPr="005621F4" w:rsidRDefault="00EB262C" w:rsidP="005621F4">
      <w:pPr>
        <w:pBdr>
          <w:top w:val="nil"/>
          <w:left w:val="nil"/>
          <w:bottom w:val="nil"/>
          <w:right w:val="nil"/>
          <w:between w:val="nil"/>
        </w:pBdr>
        <w:rPr>
          <w:rFonts w:eastAsia="Palatino Linotype" w:cs="Palatino Linotype"/>
          <w:szCs w:val="22"/>
        </w:rPr>
      </w:pPr>
    </w:p>
    <w:p w14:paraId="221BDB92" w14:textId="77777777" w:rsidR="00EB262C" w:rsidRPr="005621F4" w:rsidRDefault="00EB262C" w:rsidP="005621F4">
      <w:pPr>
        <w:pBdr>
          <w:top w:val="nil"/>
          <w:left w:val="nil"/>
          <w:bottom w:val="nil"/>
          <w:right w:val="nil"/>
          <w:between w:val="nil"/>
        </w:pBdr>
        <w:ind w:left="567" w:right="539"/>
        <w:rPr>
          <w:rFonts w:eastAsia="Palatino Linotype" w:cs="Palatino Linotype"/>
          <w:szCs w:val="22"/>
        </w:rPr>
      </w:pPr>
      <w:r w:rsidRPr="005621F4">
        <w:rPr>
          <w:rFonts w:eastAsia="Palatino Linotype" w:cs="Palatino Linotype"/>
          <w:b/>
          <w:szCs w:val="22"/>
        </w:rPr>
        <w:t>Complejidad del asunto:</w:t>
      </w:r>
      <w:r w:rsidRPr="005621F4">
        <w:rPr>
          <w:rFonts w:eastAsia="Palatino Linotype" w:cs="Palatino Linotype"/>
          <w:szCs w:val="22"/>
        </w:rPr>
        <w:t xml:space="preserve"> La complejidad de la prueba, la pluralidad de sujetos procesales, el tiempo transcurrido, las características y contexto del recurso.</w:t>
      </w:r>
    </w:p>
    <w:p w14:paraId="21C33D38" w14:textId="77777777" w:rsidR="00EB262C" w:rsidRPr="005621F4" w:rsidRDefault="00EB262C" w:rsidP="005621F4">
      <w:pPr>
        <w:pBdr>
          <w:top w:val="nil"/>
          <w:left w:val="nil"/>
          <w:bottom w:val="nil"/>
          <w:right w:val="nil"/>
          <w:between w:val="nil"/>
        </w:pBdr>
        <w:ind w:left="567" w:right="539"/>
        <w:rPr>
          <w:rFonts w:eastAsia="Palatino Linotype" w:cs="Palatino Linotype"/>
          <w:szCs w:val="22"/>
        </w:rPr>
      </w:pPr>
      <w:r w:rsidRPr="005621F4">
        <w:rPr>
          <w:rFonts w:eastAsia="Palatino Linotype" w:cs="Palatino Linotype"/>
          <w:b/>
          <w:szCs w:val="22"/>
        </w:rPr>
        <w:t>Actividad Procesal del interesado:</w:t>
      </w:r>
      <w:r w:rsidRPr="005621F4">
        <w:rPr>
          <w:rFonts w:eastAsia="Palatino Linotype" w:cs="Palatino Linotype"/>
          <w:szCs w:val="22"/>
        </w:rPr>
        <w:t xml:space="preserve"> Acciones u omisiones del interesado.</w:t>
      </w:r>
    </w:p>
    <w:p w14:paraId="5A104444" w14:textId="77777777" w:rsidR="00EB262C" w:rsidRPr="005621F4" w:rsidRDefault="00EB262C" w:rsidP="005621F4">
      <w:pPr>
        <w:pBdr>
          <w:top w:val="nil"/>
          <w:left w:val="nil"/>
          <w:bottom w:val="nil"/>
          <w:right w:val="nil"/>
          <w:between w:val="nil"/>
        </w:pBdr>
        <w:ind w:left="567" w:right="539"/>
        <w:rPr>
          <w:rFonts w:eastAsia="Palatino Linotype" w:cs="Palatino Linotype"/>
          <w:szCs w:val="22"/>
        </w:rPr>
      </w:pPr>
      <w:r w:rsidRPr="005621F4">
        <w:rPr>
          <w:rFonts w:eastAsia="Palatino Linotype" w:cs="Palatino Linotype"/>
          <w:b/>
          <w:szCs w:val="22"/>
        </w:rPr>
        <w:t>Conducta de la Autoridad:</w:t>
      </w:r>
      <w:r w:rsidRPr="005621F4">
        <w:rPr>
          <w:rFonts w:eastAsia="Palatino Linotype" w:cs="Palatino Linotype"/>
          <w:szCs w:val="22"/>
        </w:rPr>
        <w:t xml:space="preserve"> Las Acciones u omisiones realizadas en el procedimiento. Así como si la autoridad actuó con la debida diligencia.</w:t>
      </w:r>
    </w:p>
    <w:p w14:paraId="3D17C403" w14:textId="77777777" w:rsidR="00EB262C" w:rsidRPr="005621F4" w:rsidRDefault="00EB262C" w:rsidP="005621F4">
      <w:pPr>
        <w:pBdr>
          <w:top w:val="nil"/>
          <w:left w:val="nil"/>
          <w:bottom w:val="nil"/>
          <w:right w:val="nil"/>
          <w:between w:val="nil"/>
        </w:pBdr>
        <w:ind w:left="567" w:right="539"/>
        <w:rPr>
          <w:rFonts w:eastAsia="Palatino Linotype" w:cs="Palatino Linotype"/>
          <w:szCs w:val="22"/>
        </w:rPr>
      </w:pPr>
      <w:r w:rsidRPr="005621F4">
        <w:rPr>
          <w:rFonts w:eastAsia="Palatino Linotype" w:cs="Palatino Linotype"/>
          <w:b/>
          <w:szCs w:val="22"/>
        </w:rPr>
        <w:t>La afectación generada en la situación jurídica de la persona involucrada en el proceso:</w:t>
      </w:r>
      <w:r w:rsidRPr="005621F4">
        <w:rPr>
          <w:rFonts w:eastAsia="Palatino Linotype" w:cs="Palatino Linotype"/>
          <w:szCs w:val="22"/>
        </w:rPr>
        <w:t xml:space="preserve"> Violación a sus derechos humanos.</w:t>
      </w:r>
    </w:p>
    <w:p w14:paraId="53C782BA" w14:textId="77777777" w:rsidR="00EB262C" w:rsidRPr="005621F4" w:rsidRDefault="00EB262C" w:rsidP="005621F4">
      <w:pPr>
        <w:pBdr>
          <w:top w:val="nil"/>
          <w:left w:val="nil"/>
          <w:bottom w:val="nil"/>
          <w:right w:val="nil"/>
          <w:between w:val="nil"/>
        </w:pBdr>
        <w:ind w:left="567" w:right="539"/>
        <w:rPr>
          <w:rFonts w:eastAsia="Palatino Linotype" w:cs="Palatino Linotype"/>
          <w:szCs w:val="22"/>
        </w:rPr>
      </w:pPr>
    </w:p>
    <w:p w14:paraId="27EEF908" w14:textId="77777777" w:rsidR="00EB262C" w:rsidRPr="005621F4" w:rsidRDefault="00EB262C" w:rsidP="005621F4">
      <w:pPr>
        <w:pBdr>
          <w:top w:val="nil"/>
          <w:left w:val="nil"/>
          <w:bottom w:val="nil"/>
          <w:right w:val="nil"/>
          <w:between w:val="nil"/>
        </w:pBdr>
        <w:rPr>
          <w:rFonts w:eastAsia="Palatino Linotype" w:cs="Palatino Linotype"/>
          <w:szCs w:val="22"/>
        </w:rPr>
      </w:pPr>
      <w:r w:rsidRPr="005621F4">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5D46B1F" w14:textId="77777777" w:rsidR="00EB262C" w:rsidRPr="005621F4" w:rsidRDefault="00EB262C" w:rsidP="005621F4">
      <w:pPr>
        <w:pBdr>
          <w:top w:val="nil"/>
          <w:left w:val="nil"/>
          <w:bottom w:val="nil"/>
          <w:right w:val="nil"/>
          <w:between w:val="nil"/>
        </w:pBdr>
        <w:rPr>
          <w:rFonts w:eastAsia="Palatino Linotype" w:cs="Palatino Linotype"/>
          <w:szCs w:val="22"/>
        </w:rPr>
      </w:pPr>
    </w:p>
    <w:p w14:paraId="111E351E" w14:textId="77777777" w:rsidR="00EB262C" w:rsidRPr="005621F4" w:rsidRDefault="00EB262C" w:rsidP="005621F4">
      <w:pPr>
        <w:pBdr>
          <w:top w:val="nil"/>
          <w:left w:val="nil"/>
          <w:bottom w:val="nil"/>
          <w:right w:val="nil"/>
          <w:between w:val="nil"/>
        </w:pBdr>
        <w:rPr>
          <w:rFonts w:eastAsia="Palatino Linotype" w:cs="Palatino Linotype"/>
          <w:szCs w:val="22"/>
        </w:rPr>
      </w:pPr>
      <w:r w:rsidRPr="005621F4">
        <w:rPr>
          <w:rFonts w:eastAsia="Palatino Linotype" w:cs="Palatino Linotype"/>
          <w:szCs w:val="22"/>
        </w:rPr>
        <w:lastRenderedPageBreak/>
        <w:t>Argumento que encuentra sustento en la jurisprudencia P./J. 32/92 emitida por el Pleno de la Suprema Corte de Justicia de la Nación de rubro “</w:t>
      </w:r>
      <w:r w:rsidRPr="005621F4">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5621F4">
        <w:rPr>
          <w:rFonts w:eastAsia="Palatino Linotype" w:cs="Palatino Linotype"/>
          <w:szCs w:val="22"/>
        </w:rPr>
        <w:t>.”, visible en la Gaceta del Seminario Judicial de la Federación con el registro digital 205635.</w:t>
      </w:r>
    </w:p>
    <w:p w14:paraId="4EE883DC" w14:textId="77777777" w:rsidR="00EB262C" w:rsidRPr="005621F4" w:rsidRDefault="00EB262C" w:rsidP="005621F4">
      <w:pPr>
        <w:pBdr>
          <w:top w:val="nil"/>
          <w:left w:val="nil"/>
          <w:bottom w:val="nil"/>
          <w:right w:val="nil"/>
          <w:between w:val="nil"/>
        </w:pBdr>
        <w:rPr>
          <w:rFonts w:eastAsia="Palatino Linotype" w:cs="Palatino Linotype"/>
          <w:szCs w:val="22"/>
        </w:rPr>
      </w:pPr>
    </w:p>
    <w:p w14:paraId="49175F18" w14:textId="77777777" w:rsidR="00EB262C" w:rsidRPr="005621F4" w:rsidRDefault="00EB262C" w:rsidP="005621F4">
      <w:pPr>
        <w:pBdr>
          <w:top w:val="nil"/>
          <w:left w:val="nil"/>
          <w:bottom w:val="nil"/>
          <w:right w:val="nil"/>
          <w:between w:val="nil"/>
        </w:pBdr>
        <w:rPr>
          <w:rFonts w:eastAsia="Palatino Linotype" w:cs="Palatino Linotype"/>
          <w:szCs w:val="22"/>
        </w:rPr>
      </w:pPr>
      <w:r w:rsidRPr="005621F4">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0A80332" w14:textId="77777777" w:rsidR="00EB262C" w:rsidRPr="005621F4" w:rsidRDefault="00EB262C" w:rsidP="005621F4">
      <w:pPr>
        <w:pBdr>
          <w:top w:val="nil"/>
          <w:left w:val="nil"/>
          <w:bottom w:val="nil"/>
          <w:right w:val="nil"/>
          <w:between w:val="nil"/>
        </w:pBdr>
        <w:rPr>
          <w:rFonts w:eastAsia="Palatino Linotype" w:cs="Palatino Linotype"/>
          <w:szCs w:val="22"/>
        </w:rPr>
      </w:pPr>
    </w:p>
    <w:p w14:paraId="688F6915" w14:textId="77777777" w:rsidR="00EB262C" w:rsidRPr="005621F4" w:rsidRDefault="00EB262C" w:rsidP="005621F4">
      <w:pPr>
        <w:pBdr>
          <w:top w:val="nil"/>
          <w:left w:val="nil"/>
          <w:bottom w:val="nil"/>
          <w:right w:val="nil"/>
          <w:between w:val="nil"/>
        </w:pBdr>
        <w:rPr>
          <w:rFonts w:eastAsia="Palatino Linotype" w:cs="Palatino Linotype"/>
          <w:szCs w:val="22"/>
        </w:rPr>
      </w:pPr>
      <w:r w:rsidRPr="005621F4">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60BF3540" w14:textId="77777777" w:rsidR="00EB262C" w:rsidRPr="005621F4" w:rsidRDefault="00EB262C" w:rsidP="005621F4">
      <w:pPr>
        <w:pBdr>
          <w:top w:val="nil"/>
          <w:left w:val="nil"/>
          <w:bottom w:val="nil"/>
          <w:right w:val="nil"/>
          <w:between w:val="nil"/>
        </w:pBdr>
        <w:rPr>
          <w:rFonts w:eastAsia="Palatino Linotype" w:cs="Palatino Linotype"/>
          <w:szCs w:val="22"/>
        </w:rPr>
      </w:pPr>
    </w:p>
    <w:p w14:paraId="226AC44C" w14:textId="77777777" w:rsidR="00EB262C" w:rsidRPr="005621F4" w:rsidRDefault="00EB262C" w:rsidP="005621F4">
      <w:pPr>
        <w:pBdr>
          <w:top w:val="nil"/>
          <w:left w:val="nil"/>
          <w:bottom w:val="nil"/>
          <w:right w:val="nil"/>
          <w:between w:val="nil"/>
        </w:pBdr>
        <w:ind w:left="567" w:right="539"/>
        <w:rPr>
          <w:rFonts w:eastAsia="Palatino Linotype" w:cs="Palatino Linotype"/>
          <w:sz w:val="20"/>
        </w:rPr>
      </w:pPr>
      <w:r w:rsidRPr="005621F4">
        <w:rPr>
          <w:rFonts w:eastAsia="Palatino Linotype" w:cs="Palatino Linotype"/>
          <w:b/>
          <w:sz w:val="20"/>
        </w:rPr>
        <w:t>“PLAZO RAZONABLE PARA RESOLVER. DIMENSIÓN Y EFECTOS DE ESTE CONCEPTO CUANDO SE ADUCE EXCESIVA CARGA DE TRABAJO.”</w:t>
      </w:r>
      <w:r w:rsidRPr="005621F4">
        <w:rPr>
          <w:rFonts w:eastAsia="Palatino Linotype" w:cs="Palatino Linotype"/>
          <w:sz w:val="20"/>
        </w:rPr>
        <w:t xml:space="preserve"> consultable en el Seminario Judicial de la Federación y su gaceta, con el registro digital 2002351.</w:t>
      </w:r>
    </w:p>
    <w:p w14:paraId="74F96E99" w14:textId="77777777" w:rsidR="00EB262C" w:rsidRPr="005621F4" w:rsidRDefault="00EB262C" w:rsidP="005621F4">
      <w:pPr>
        <w:pBdr>
          <w:top w:val="nil"/>
          <w:left w:val="nil"/>
          <w:bottom w:val="nil"/>
          <w:right w:val="nil"/>
          <w:between w:val="nil"/>
        </w:pBdr>
        <w:ind w:left="567" w:right="539"/>
        <w:rPr>
          <w:rFonts w:eastAsia="Palatino Linotype" w:cs="Palatino Linotype"/>
          <w:sz w:val="20"/>
        </w:rPr>
      </w:pPr>
    </w:p>
    <w:p w14:paraId="2014DF5E" w14:textId="77777777" w:rsidR="00EB262C" w:rsidRPr="005621F4" w:rsidRDefault="00EB262C" w:rsidP="005621F4">
      <w:pPr>
        <w:pBdr>
          <w:top w:val="nil"/>
          <w:left w:val="nil"/>
          <w:bottom w:val="nil"/>
          <w:right w:val="nil"/>
          <w:between w:val="nil"/>
        </w:pBdr>
        <w:ind w:left="567" w:right="539"/>
        <w:rPr>
          <w:rFonts w:eastAsia="Palatino Linotype" w:cs="Palatino Linotype"/>
          <w:sz w:val="20"/>
        </w:rPr>
      </w:pPr>
      <w:r w:rsidRPr="005621F4">
        <w:rPr>
          <w:rFonts w:eastAsia="Palatino Linotype" w:cs="Palatino Linotype"/>
          <w:b/>
          <w:sz w:val="20"/>
        </w:rPr>
        <w:lastRenderedPageBreak/>
        <w:t>“PLAZO RAZONABLE PARA RESOLVER. CONCEPTO Y ELEMENTOS QUE LO INTEGRAN A LA LUZ DEL DERECHO INTERNACIONAL DE LOS DERECHOS HUMANOS</w:t>
      </w:r>
      <w:r w:rsidRPr="005621F4">
        <w:rPr>
          <w:rFonts w:eastAsia="Palatino Linotype" w:cs="Palatino Linotype"/>
          <w:sz w:val="20"/>
        </w:rPr>
        <w:t>.”, visible en el Seminario Judicial de la Federación y su gaceta, con el registro digital 2002350.</w:t>
      </w:r>
    </w:p>
    <w:p w14:paraId="5BC9CF52" w14:textId="77777777" w:rsidR="00EB262C" w:rsidRPr="005621F4" w:rsidRDefault="00EB262C" w:rsidP="005621F4">
      <w:pPr>
        <w:pBdr>
          <w:top w:val="nil"/>
          <w:left w:val="nil"/>
          <w:bottom w:val="nil"/>
          <w:right w:val="nil"/>
          <w:between w:val="nil"/>
        </w:pBdr>
        <w:rPr>
          <w:rFonts w:eastAsia="Palatino Linotype" w:cs="Palatino Linotype"/>
          <w:szCs w:val="22"/>
        </w:rPr>
      </w:pPr>
    </w:p>
    <w:p w14:paraId="6E24CFFB" w14:textId="309F3A90" w:rsidR="00EB262C" w:rsidRPr="005621F4" w:rsidRDefault="00EB262C" w:rsidP="005621F4">
      <w:pPr>
        <w:pBdr>
          <w:top w:val="nil"/>
          <w:left w:val="nil"/>
          <w:bottom w:val="nil"/>
          <w:right w:val="nil"/>
          <w:between w:val="nil"/>
        </w:pBdr>
        <w:rPr>
          <w:rFonts w:eastAsia="Palatino Linotype" w:cs="Palatino Linotype"/>
          <w:szCs w:val="22"/>
        </w:rPr>
      </w:pPr>
      <w:r w:rsidRPr="005621F4">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70ADF00C" w14:textId="77777777" w:rsidR="000E2BA7" w:rsidRPr="005621F4" w:rsidRDefault="000E2BA7" w:rsidP="005621F4">
      <w:pPr>
        <w:rPr>
          <w:rFonts w:cs="Tahoma"/>
          <w:szCs w:val="22"/>
        </w:rPr>
      </w:pPr>
    </w:p>
    <w:p w14:paraId="0E651988" w14:textId="6BF86F9D" w:rsidR="00664420" w:rsidRPr="005621F4" w:rsidRDefault="00EB262C" w:rsidP="005621F4">
      <w:pPr>
        <w:pStyle w:val="Ttulo3"/>
        <w:rPr>
          <w:szCs w:val="22"/>
        </w:rPr>
      </w:pPr>
      <w:bookmarkStart w:id="20" w:name="_Toc178766460"/>
      <w:r w:rsidRPr="005621F4">
        <w:rPr>
          <w:szCs w:val="22"/>
        </w:rPr>
        <w:t>h</w:t>
      </w:r>
      <w:r w:rsidR="00664420" w:rsidRPr="005621F4">
        <w:rPr>
          <w:szCs w:val="22"/>
        </w:rPr>
        <w:t>) Cierre</w:t>
      </w:r>
      <w:r w:rsidR="008E0766" w:rsidRPr="005621F4">
        <w:rPr>
          <w:szCs w:val="22"/>
        </w:rPr>
        <w:t>s</w:t>
      </w:r>
      <w:r w:rsidR="00664420" w:rsidRPr="005621F4">
        <w:rPr>
          <w:szCs w:val="22"/>
        </w:rPr>
        <w:t xml:space="preserve"> de instrucción</w:t>
      </w:r>
      <w:r w:rsidR="006F1FEE" w:rsidRPr="005621F4">
        <w:rPr>
          <w:szCs w:val="22"/>
        </w:rPr>
        <w:t>.</w:t>
      </w:r>
      <w:bookmarkEnd w:id="20"/>
    </w:p>
    <w:p w14:paraId="79AF95DC" w14:textId="2E3797ED" w:rsidR="00664420" w:rsidRPr="005621F4" w:rsidRDefault="00BF091A" w:rsidP="005621F4">
      <w:pPr>
        <w:rPr>
          <w:szCs w:val="22"/>
        </w:rPr>
      </w:pPr>
      <w:r w:rsidRPr="005621F4">
        <w:rPr>
          <w:rFonts w:cs="Tahoma"/>
          <w:szCs w:val="22"/>
        </w:rPr>
        <w:t>Al no existir diligencias pendientes por desahogar</w:t>
      </w:r>
      <w:r w:rsidRPr="005621F4">
        <w:rPr>
          <w:rFonts w:cs="Arial"/>
          <w:szCs w:val="22"/>
        </w:rPr>
        <w:t xml:space="preserve">, el </w:t>
      </w:r>
      <w:bookmarkStart w:id="21" w:name="_Hlk104892386"/>
      <w:r w:rsidR="00482979" w:rsidRPr="005621F4">
        <w:rPr>
          <w:rFonts w:cs="Arial"/>
          <w:b/>
          <w:szCs w:val="22"/>
        </w:rPr>
        <w:t>dos</w:t>
      </w:r>
      <w:r w:rsidRPr="005621F4">
        <w:rPr>
          <w:rFonts w:cs="Arial"/>
          <w:b/>
          <w:szCs w:val="22"/>
        </w:rPr>
        <w:t xml:space="preserve"> de </w:t>
      </w:r>
      <w:bookmarkEnd w:id="21"/>
      <w:r w:rsidR="00BD792E" w:rsidRPr="005621F4">
        <w:rPr>
          <w:rFonts w:cs="Arial"/>
          <w:b/>
          <w:szCs w:val="22"/>
        </w:rPr>
        <w:t>octubre</w:t>
      </w:r>
      <w:r w:rsidRPr="005621F4">
        <w:rPr>
          <w:rFonts w:cs="Arial"/>
          <w:b/>
          <w:szCs w:val="22"/>
        </w:rPr>
        <w:t xml:space="preserve"> de dos mil </w:t>
      </w:r>
      <w:r w:rsidR="001B777A" w:rsidRPr="005621F4">
        <w:rPr>
          <w:rFonts w:cs="Arial"/>
          <w:b/>
          <w:szCs w:val="22"/>
        </w:rPr>
        <w:t>veinticuatro</w:t>
      </w:r>
      <w:r w:rsidRPr="005621F4">
        <w:rPr>
          <w:rFonts w:cs="Arial"/>
          <w:szCs w:val="22"/>
        </w:rPr>
        <w:t xml:space="preserve"> la </w:t>
      </w:r>
      <w:r w:rsidRPr="005621F4">
        <w:rPr>
          <w:rFonts w:cs="Arial"/>
          <w:b/>
          <w:bCs/>
          <w:szCs w:val="22"/>
        </w:rPr>
        <w:t xml:space="preserve">Comisionada </w:t>
      </w:r>
      <w:r w:rsidRPr="005621F4">
        <w:rPr>
          <w:b/>
          <w:szCs w:val="22"/>
        </w:rPr>
        <w:t xml:space="preserve">Sharon Cristina Morales Martínez </w:t>
      </w:r>
      <w:r w:rsidRPr="005621F4">
        <w:rPr>
          <w:rFonts w:cs="Arial"/>
          <w:szCs w:val="22"/>
        </w:rPr>
        <w:t>acordó el cierre de instrucción</w:t>
      </w:r>
      <w:r w:rsidR="0011350D" w:rsidRPr="005621F4">
        <w:rPr>
          <w:rFonts w:cs="Arial"/>
          <w:szCs w:val="22"/>
        </w:rPr>
        <w:t xml:space="preserve"> y</w:t>
      </w:r>
      <w:r w:rsidRPr="005621F4">
        <w:rPr>
          <w:rFonts w:cs="Arial"/>
          <w:szCs w:val="22"/>
        </w:rPr>
        <w:t xml:space="preserve"> </w:t>
      </w:r>
      <w:r w:rsidR="0011350D" w:rsidRPr="005621F4">
        <w:rPr>
          <w:rFonts w:cs="Arial"/>
          <w:szCs w:val="22"/>
        </w:rPr>
        <w:t xml:space="preserve">la </w:t>
      </w:r>
      <w:r w:rsidRPr="005621F4">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5621F4">
        <w:rPr>
          <w:szCs w:val="22"/>
        </w:rPr>
        <w:t>.</w:t>
      </w:r>
      <w:r w:rsidR="0011350D" w:rsidRPr="005621F4">
        <w:rPr>
          <w:szCs w:val="22"/>
        </w:rPr>
        <w:t xml:space="preserve"> Dicho acuerdo </w:t>
      </w:r>
      <w:r w:rsidR="00664420" w:rsidRPr="005621F4">
        <w:rPr>
          <w:rFonts w:cs="Tahoma"/>
          <w:szCs w:val="22"/>
        </w:rPr>
        <w:t xml:space="preserve">fue notificado a las partes el mismo día a través del </w:t>
      </w:r>
      <w:r w:rsidR="00664420" w:rsidRPr="005621F4">
        <w:rPr>
          <w:rFonts w:cs="Tahoma"/>
          <w:szCs w:val="22"/>
          <w:lang w:val="es-ES"/>
        </w:rPr>
        <w:t>SAIMEX</w:t>
      </w:r>
      <w:r w:rsidR="00664420" w:rsidRPr="005621F4">
        <w:rPr>
          <w:rFonts w:cs="Tahoma"/>
          <w:szCs w:val="22"/>
        </w:rPr>
        <w:t>.</w:t>
      </w:r>
    </w:p>
    <w:p w14:paraId="741683E3" w14:textId="77777777" w:rsidR="0011350D" w:rsidRPr="005621F4" w:rsidRDefault="0011350D" w:rsidP="005621F4">
      <w:pPr>
        <w:rPr>
          <w:rFonts w:cs="Tahoma"/>
          <w:szCs w:val="22"/>
        </w:rPr>
      </w:pPr>
    </w:p>
    <w:p w14:paraId="7A9629DE" w14:textId="77777777" w:rsidR="00664420" w:rsidRPr="005621F4" w:rsidRDefault="00664420" w:rsidP="005621F4">
      <w:pPr>
        <w:pStyle w:val="Ttulo1"/>
        <w:rPr>
          <w:rFonts w:eastAsiaTheme="minorHAnsi"/>
          <w:szCs w:val="22"/>
          <w:lang w:eastAsia="en-US"/>
        </w:rPr>
      </w:pPr>
      <w:bookmarkStart w:id="22" w:name="_Toc178766461"/>
      <w:r w:rsidRPr="005621F4">
        <w:rPr>
          <w:rFonts w:eastAsiaTheme="minorHAnsi"/>
          <w:szCs w:val="22"/>
          <w:lang w:eastAsia="en-US"/>
        </w:rPr>
        <w:t>CONSIDERANDOS</w:t>
      </w:r>
      <w:bookmarkEnd w:id="22"/>
    </w:p>
    <w:p w14:paraId="6DD1243B" w14:textId="77777777" w:rsidR="00664420" w:rsidRPr="005621F4" w:rsidRDefault="00664420" w:rsidP="005621F4">
      <w:pPr>
        <w:contextualSpacing/>
        <w:jc w:val="center"/>
        <w:rPr>
          <w:rFonts w:eastAsiaTheme="minorHAnsi" w:cs="Tahoma"/>
          <w:b/>
          <w:szCs w:val="22"/>
          <w:lang w:eastAsia="en-US"/>
        </w:rPr>
      </w:pPr>
    </w:p>
    <w:p w14:paraId="0B67CB92" w14:textId="2E307D3B" w:rsidR="00664420" w:rsidRPr="005621F4" w:rsidRDefault="00664420" w:rsidP="005621F4">
      <w:pPr>
        <w:pStyle w:val="Ttulo2"/>
        <w:rPr>
          <w:rFonts w:eastAsia="Batang"/>
          <w:szCs w:val="22"/>
        </w:rPr>
      </w:pPr>
      <w:bookmarkStart w:id="23" w:name="_Toc178766462"/>
      <w:r w:rsidRPr="005621F4">
        <w:rPr>
          <w:rFonts w:eastAsia="Batang"/>
          <w:szCs w:val="22"/>
        </w:rPr>
        <w:t xml:space="preserve">PRIMERO. </w:t>
      </w:r>
      <w:r w:rsidR="00BA55A8" w:rsidRPr="005621F4">
        <w:rPr>
          <w:rFonts w:eastAsia="Batang"/>
          <w:szCs w:val="22"/>
        </w:rPr>
        <w:t>Procedibilidad</w:t>
      </w:r>
      <w:bookmarkEnd w:id="23"/>
    </w:p>
    <w:p w14:paraId="39C52BC1" w14:textId="27B89A70" w:rsidR="00BA55A8" w:rsidRPr="005621F4" w:rsidRDefault="00BA55A8" w:rsidP="005621F4">
      <w:pPr>
        <w:pStyle w:val="Ttulo3"/>
        <w:rPr>
          <w:szCs w:val="22"/>
        </w:rPr>
      </w:pPr>
      <w:bookmarkStart w:id="24" w:name="_Toc178766463"/>
      <w:r w:rsidRPr="005621F4">
        <w:rPr>
          <w:szCs w:val="22"/>
        </w:rPr>
        <w:t>a) Competencia</w:t>
      </w:r>
      <w:r w:rsidR="00150C49" w:rsidRPr="005621F4">
        <w:rPr>
          <w:szCs w:val="22"/>
        </w:rPr>
        <w:t xml:space="preserve"> del Instituto</w:t>
      </w:r>
      <w:r w:rsidR="001B777A" w:rsidRPr="005621F4">
        <w:rPr>
          <w:szCs w:val="22"/>
        </w:rPr>
        <w:t>.</w:t>
      </w:r>
      <w:bookmarkEnd w:id="24"/>
    </w:p>
    <w:p w14:paraId="56E64942" w14:textId="6572EDF7" w:rsidR="0011350D" w:rsidRPr="005621F4" w:rsidRDefault="0011350D" w:rsidP="005621F4">
      <w:pPr>
        <w:rPr>
          <w:rFonts w:cs="Arial"/>
          <w:szCs w:val="22"/>
        </w:rPr>
      </w:pPr>
      <w:r w:rsidRPr="005621F4">
        <w:rPr>
          <w:szCs w:val="22"/>
        </w:rPr>
        <w:t xml:space="preserve">Este Instituto de Transparencia, Acceso a la Información Pública y Protección de Datos Personales del Estado de México y Municipios es competente para conocer y resolver </w:t>
      </w:r>
      <w:r w:rsidR="005F65B7" w:rsidRPr="005621F4">
        <w:rPr>
          <w:szCs w:val="22"/>
        </w:rPr>
        <w:t xml:space="preserve">el </w:t>
      </w:r>
      <w:r w:rsidRPr="005621F4">
        <w:rPr>
          <w:szCs w:val="22"/>
        </w:rPr>
        <w:t xml:space="preserve">presente Recurso de Revisión, conforme a lo dispuesto en los artículos 6, Apartado A de la Constitución Política de los Estados Unidos Mexicanos; 5, párrafos trigésimo segundo, </w:t>
      </w:r>
      <w:r w:rsidRPr="005621F4">
        <w:rPr>
          <w:szCs w:val="22"/>
        </w:rPr>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621F4">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5621F4" w:rsidRDefault="00DB1C09" w:rsidP="005621F4">
      <w:pPr>
        <w:rPr>
          <w:rFonts w:cs="Arial"/>
          <w:szCs w:val="22"/>
        </w:rPr>
      </w:pPr>
    </w:p>
    <w:p w14:paraId="517A2DD6" w14:textId="18BD0D6C" w:rsidR="00664420" w:rsidRPr="005621F4" w:rsidRDefault="00BA55A8" w:rsidP="005621F4">
      <w:pPr>
        <w:pStyle w:val="Ttulo3"/>
        <w:rPr>
          <w:szCs w:val="22"/>
        </w:rPr>
      </w:pPr>
      <w:bookmarkStart w:id="25" w:name="_Toc178766464"/>
      <w:r w:rsidRPr="005621F4">
        <w:rPr>
          <w:szCs w:val="22"/>
        </w:rPr>
        <w:t>b)</w:t>
      </w:r>
      <w:r w:rsidR="00664420" w:rsidRPr="005621F4">
        <w:rPr>
          <w:szCs w:val="22"/>
        </w:rPr>
        <w:t xml:space="preserve"> </w:t>
      </w:r>
      <w:r w:rsidR="00D91CB4" w:rsidRPr="005621F4">
        <w:rPr>
          <w:szCs w:val="22"/>
        </w:rPr>
        <w:t>Legitimidad</w:t>
      </w:r>
      <w:r w:rsidRPr="005621F4">
        <w:rPr>
          <w:szCs w:val="22"/>
        </w:rPr>
        <w:t xml:space="preserve"> de la parte recurrente</w:t>
      </w:r>
      <w:r w:rsidR="001B777A" w:rsidRPr="005621F4">
        <w:rPr>
          <w:szCs w:val="22"/>
        </w:rPr>
        <w:t>.</w:t>
      </w:r>
      <w:bookmarkEnd w:id="25"/>
    </w:p>
    <w:p w14:paraId="26FEA382" w14:textId="0B06695C" w:rsidR="00D91CB4" w:rsidRPr="005621F4" w:rsidRDefault="00D91CB4" w:rsidP="005621F4">
      <w:pPr>
        <w:rPr>
          <w:rFonts w:cs="Arial"/>
          <w:bCs/>
          <w:szCs w:val="22"/>
        </w:rPr>
      </w:pPr>
      <w:r w:rsidRPr="005621F4">
        <w:rPr>
          <w:rFonts w:cs="Arial"/>
          <w:bCs/>
          <w:szCs w:val="22"/>
        </w:rPr>
        <w:t>El recurso de revisión fue interpuesto por parte legítima, ya que se presentó por la misma persona que formuló la solicitud de acceso a la Información Pública,</w:t>
      </w:r>
      <w:r w:rsidRPr="005621F4">
        <w:rPr>
          <w:rFonts w:cs="Arial"/>
          <w:b/>
          <w:bCs/>
          <w:szCs w:val="22"/>
        </w:rPr>
        <w:t xml:space="preserve"> </w:t>
      </w:r>
      <w:r w:rsidRPr="005621F4">
        <w:rPr>
          <w:rFonts w:cs="Arial"/>
          <w:szCs w:val="22"/>
        </w:rPr>
        <w:t>debido a que los datos de acceso</w:t>
      </w:r>
      <w:r w:rsidRPr="005621F4">
        <w:rPr>
          <w:rFonts w:cs="Arial"/>
          <w:b/>
          <w:bCs/>
          <w:szCs w:val="22"/>
        </w:rPr>
        <w:t xml:space="preserve"> </w:t>
      </w:r>
      <w:r w:rsidRPr="005621F4">
        <w:rPr>
          <w:rFonts w:cs="Arial"/>
          <w:szCs w:val="22"/>
        </w:rPr>
        <w:t>SAIMEX</w:t>
      </w:r>
      <w:r w:rsidRPr="005621F4">
        <w:rPr>
          <w:rFonts w:eastAsia="Calibri" w:cs="Arial"/>
          <w:szCs w:val="22"/>
          <w:lang w:eastAsia="en-US"/>
        </w:rPr>
        <w:t xml:space="preserve"> son personales e irrepetibles.</w:t>
      </w:r>
    </w:p>
    <w:p w14:paraId="2C367810" w14:textId="77777777" w:rsidR="00D91CB4" w:rsidRPr="005621F4" w:rsidRDefault="00D91CB4" w:rsidP="005621F4">
      <w:pPr>
        <w:rPr>
          <w:szCs w:val="22"/>
        </w:rPr>
      </w:pPr>
    </w:p>
    <w:p w14:paraId="496490FC" w14:textId="5A4EB686" w:rsidR="00D91CB4" w:rsidRPr="005621F4" w:rsidRDefault="00BA55A8" w:rsidP="005621F4">
      <w:pPr>
        <w:pStyle w:val="Ttulo3"/>
        <w:rPr>
          <w:rFonts w:eastAsia="Calibri"/>
          <w:szCs w:val="22"/>
          <w:lang w:eastAsia="es-ES_tradnl"/>
        </w:rPr>
      </w:pPr>
      <w:bookmarkStart w:id="26" w:name="_Toc178766465"/>
      <w:r w:rsidRPr="005621F4">
        <w:rPr>
          <w:rFonts w:eastAsia="Calibri"/>
          <w:szCs w:val="22"/>
          <w:lang w:eastAsia="es-ES_tradnl"/>
        </w:rPr>
        <w:t>c)</w:t>
      </w:r>
      <w:r w:rsidR="00664420" w:rsidRPr="005621F4">
        <w:rPr>
          <w:rFonts w:eastAsia="Calibri"/>
          <w:szCs w:val="22"/>
          <w:lang w:eastAsia="es-ES_tradnl"/>
        </w:rPr>
        <w:t xml:space="preserve"> </w:t>
      </w:r>
      <w:r w:rsidR="00D91CB4" w:rsidRPr="005621F4">
        <w:rPr>
          <w:rFonts w:eastAsia="Calibri"/>
          <w:szCs w:val="22"/>
          <w:lang w:eastAsia="es-ES_tradnl"/>
        </w:rPr>
        <w:t>Plazo para interponer el recurso</w:t>
      </w:r>
      <w:r w:rsidR="001B777A" w:rsidRPr="005621F4">
        <w:rPr>
          <w:rFonts w:eastAsia="Calibri"/>
          <w:szCs w:val="22"/>
          <w:lang w:eastAsia="es-ES_tradnl"/>
        </w:rPr>
        <w:t>.</w:t>
      </w:r>
      <w:bookmarkEnd w:id="26"/>
    </w:p>
    <w:p w14:paraId="106D37EE" w14:textId="5FCC415E" w:rsidR="00D91CB4" w:rsidRPr="005621F4" w:rsidRDefault="00D91CB4" w:rsidP="005621F4">
      <w:pPr>
        <w:rPr>
          <w:rFonts w:eastAsiaTheme="minorEastAsia" w:cs="Arial"/>
          <w:szCs w:val="22"/>
          <w:lang w:val="es-ES_tradnl"/>
        </w:rPr>
      </w:pPr>
      <w:r w:rsidRPr="005621F4">
        <w:rPr>
          <w:rFonts w:cs="Arial"/>
          <w:b/>
          <w:szCs w:val="22"/>
        </w:rPr>
        <w:t>EL SUJETO OBLIGADO</w:t>
      </w:r>
      <w:r w:rsidRPr="005621F4">
        <w:rPr>
          <w:rFonts w:cs="Arial"/>
          <w:szCs w:val="22"/>
        </w:rPr>
        <w:t xml:space="preserve"> notificó la</w:t>
      </w:r>
      <w:r w:rsidR="00FC24D4" w:rsidRPr="005621F4">
        <w:rPr>
          <w:rFonts w:cs="Arial"/>
          <w:szCs w:val="22"/>
        </w:rPr>
        <w:t>s</w:t>
      </w:r>
      <w:r w:rsidRPr="005621F4">
        <w:rPr>
          <w:rFonts w:cs="Arial"/>
          <w:szCs w:val="22"/>
        </w:rPr>
        <w:t xml:space="preserve"> respuesta</w:t>
      </w:r>
      <w:r w:rsidR="00FC24D4" w:rsidRPr="005621F4">
        <w:rPr>
          <w:rFonts w:cs="Arial"/>
          <w:szCs w:val="22"/>
        </w:rPr>
        <w:t>s</w:t>
      </w:r>
      <w:r w:rsidRPr="005621F4">
        <w:rPr>
          <w:rFonts w:cs="Arial"/>
          <w:szCs w:val="22"/>
        </w:rPr>
        <w:t xml:space="preserve"> a la</w:t>
      </w:r>
      <w:r w:rsidR="00FC24D4" w:rsidRPr="005621F4">
        <w:rPr>
          <w:rFonts w:cs="Arial"/>
          <w:szCs w:val="22"/>
        </w:rPr>
        <w:t>s</w:t>
      </w:r>
      <w:r w:rsidRPr="005621F4">
        <w:rPr>
          <w:rFonts w:cs="Arial"/>
          <w:szCs w:val="22"/>
        </w:rPr>
        <w:t xml:space="preserve"> solicitud</w:t>
      </w:r>
      <w:r w:rsidR="00FC24D4" w:rsidRPr="005621F4">
        <w:rPr>
          <w:rFonts w:cs="Arial"/>
          <w:szCs w:val="22"/>
        </w:rPr>
        <w:t>es</w:t>
      </w:r>
      <w:r w:rsidRPr="005621F4">
        <w:rPr>
          <w:rFonts w:cs="Arial"/>
          <w:szCs w:val="22"/>
        </w:rPr>
        <w:t xml:space="preserve"> de acceso a la Información Pública el </w:t>
      </w:r>
      <w:r w:rsidR="00D455DE" w:rsidRPr="005621F4">
        <w:rPr>
          <w:rFonts w:eastAsia="Palatino Linotype" w:cs="Palatino Linotype"/>
          <w:b/>
          <w:szCs w:val="22"/>
        </w:rPr>
        <w:t>dieciséis</w:t>
      </w:r>
      <w:r w:rsidR="00FC24D4" w:rsidRPr="005621F4">
        <w:rPr>
          <w:rFonts w:eastAsia="Palatino Linotype" w:cs="Palatino Linotype"/>
          <w:b/>
          <w:szCs w:val="22"/>
        </w:rPr>
        <w:t xml:space="preserve"> </w:t>
      </w:r>
      <w:r w:rsidRPr="005621F4">
        <w:rPr>
          <w:rFonts w:eastAsia="Palatino Linotype" w:cs="Palatino Linotype"/>
          <w:b/>
          <w:szCs w:val="22"/>
        </w:rPr>
        <w:t xml:space="preserve">de </w:t>
      </w:r>
      <w:r w:rsidR="00D455DE" w:rsidRPr="005621F4">
        <w:rPr>
          <w:rFonts w:eastAsia="Palatino Linotype" w:cs="Palatino Linotype"/>
          <w:b/>
          <w:szCs w:val="22"/>
        </w:rPr>
        <w:t>enero</w:t>
      </w:r>
      <w:r w:rsidRPr="005621F4">
        <w:rPr>
          <w:rFonts w:eastAsia="Palatino Linotype" w:cs="Palatino Linotype"/>
          <w:b/>
          <w:szCs w:val="22"/>
        </w:rPr>
        <w:t xml:space="preserve"> de dos mil </w:t>
      </w:r>
      <w:r w:rsidR="001B777A" w:rsidRPr="005621F4">
        <w:rPr>
          <w:rFonts w:eastAsia="Palatino Linotype" w:cs="Palatino Linotype"/>
          <w:b/>
          <w:szCs w:val="22"/>
        </w:rPr>
        <w:t>veinticuatro</w:t>
      </w:r>
      <w:r w:rsidRPr="005621F4">
        <w:rPr>
          <w:rFonts w:cs="Arial"/>
          <w:szCs w:val="22"/>
        </w:rPr>
        <w:t xml:space="preserve"> </w:t>
      </w:r>
      <w:r w:rsidR="00A53315" w:rsidRPr="005621F4">
        <w:rPr>
          <w:rFonts w:cs="Arial"/>
          <w:szCs w:val="22"/>
        </w:rPr>
        <w:t xml:space="preserve">y </w:t>
      </w:r>
      <w:r w:rsidR="00FC24D4" w:rsidRPr="005621F4">
        <w:rPr>
          <w:rFonts w:cs="Arial"/>
          <w:szCs w:val="22"/>
        </w:rPr>
        <w:t>los</w:t>
      </w:r>
      <w:r w:rsidR="00A53315" w:rsidRPr="005621F4">
        <w:rPr>
          <w:rFonts w:cs="Arial"/>
          <w:szCs w:val="22"/>
        </w:rPr>
        <w:t xml:space="preserve"> recurso</w:t>
      </w:r>
      <w:r w:rsidR="00FC24D4" w:rsidRPr="005621F4">
        <w:rPr>
          <w:rFonts w:cs="Arial"/>
          <w:szCs w:val="22"/>
        </w:rPr>
        <w:t>s</w:t>
      </w:r>
      <w:r w:rsidR="00A53315" w:rsidRPr="005621F4">
        <w:rPr>
          <w:rFonts w:cs="Arial"/>
          <w:szCs w:val="22"/>
        </w:rPr>
        <w:t xml:space="preserve"> </w:t>
      </w:r>
      <w:r w:rsidR="00A53315" w:rsidRPr="005621F4">
        <w:rPr>
          <w:rFonts w:eastAsia="Palatino Linotype" w:cs="Palatino Linotype"/>
          <w:szCs w:val="22"/>
        </w:rPr>
        <w:t>que nos ocupa</w:t>
      </w:r>
      <w:r w:rsidR="00FC24D4" w:rsidRPr="005621F4">
        <w:rPr>
          <w:rFonts w:eastAsia="Palatino Linotype" w:cs="Palatino Linotype"/>
          <w:szCs w:val="22"/>
        </w:rPr>
        <w:t>n se interpusieron</w:t>
      </w:r>
      <w:r w:rsidR="00A53315" w:rsidRPr="005621F4">
        <w:rPr>
          <w:rFonts w:eastAsia="Palatino Linotype" w:cs="Palatino Linotype"/>
          <w:szCs w:val="22"/>
        </w:rPr>
        <w:t xml:space="preserve"> el </w:t>
      </w:r>
      <w:r w:rsidR="00D455DE" w:rsidRPr="005621F4">
        <w:rPr>
          <w:rFonts w:eastAsia="Palatino Linotype" w:cs="Palatino Linotype"/>
          <w:b/>
          <w:szCs w:val="22"/>
        </w:rPr>
        <w:t>uno de febrero</w:t>
      </w:r>
      <w:r w:rsidR="00A53315" w:rsidRPr="005621F4">
        <w:rPr>
          <w:rFonts w:eastAsia="Palatino Linotype" w:cs="Palatino Linotype"/>
          <w:b/>
          <w:szCs w:val="22"/>
        </w:rPr>
        <w:t xml:space="preserve"> de dos mil </w:t>
      </w:r>
      <w:r w:rsidR="001B777A" w:rsidRPr="005621F4">
        <w:rPr>
          <w:rFonts w:eastAsia="Palatino Linotype" w:cs="Palatino Linotype"/>
          <w:b/>
          <w:szCs w:val="22"/>
        </w:rPr>
        <w:t>veinticuatro,</w:t>
      </w:r>
      <w:r w:rsidR="00A53315" w:rsidRPr="005621F4">
        <w:rPr>
          <w:rFonts w:eastAsia="Palatino Linotype" w:cs="Palatino Linotype"/>
          <w:szCs w:val="22"/>
        </w:rPr>
        <w:t xml:space="preserve"> por lo tanto, éste se encuentra dentro del margen temporal previsto en el artículo 178 de la </w:t>
      </w:r>
      <w:r w:rsidR="00A53315" w:rsidRPr="005621F4">
        <w:rPr>
          <w:rFonts w:cs="Arial"/>
          <w:szCs w:val="22"/>
        </w:rPr>
        <w:t xml:space="preserve">Ley de Transparencia y Acceso a la Información Pública del Estado de México y Municipios, </w:t>
      </w:r>
      <w:r w:rsidR="00A53315" w:rsidRPr="005621F4">
        <w:rPr>
          <w:rFonts w:eastAsia="Calibri"/>
          <w:szCs w:val="22"/>
          <w:lang w:eastAsia="es-ES_tradnl"/>
        </w:rPr>
        <w:t xml:space="preserve">el cual </w:t>
      </w:r>
      <w:r w:rsidRPr="005621F4">
        <w:rPr>
          <w:rFonts w:cs="Arial"/>
          <w:szCs w:val="22"/>
        </w:rPr>
        <w:t xml:space="preserve">transcurrió del </w:t>
      </w:r>
      <w:r w:rsidR="00D455DE" w:rsidRPr="005621F4">
        <w:rPr>
          <w:rFonts w:cs="Arial"/>
          <w:b/>
          <w:szCs w:val="22"/>
        </w:rPr>
        <w:t>diecisiete</w:t>
      </w:r>
      <w:r w:rsidR="00FC24D4" w:rsidRPr="005621F4">
        <w:rPr>
          <w:rFonts w:cs="Arial"/>
          <w:b/>
          <w:szCs w:val="22"/>
        </w:rPr>
        <w:t xml:space="preserve"> de </w:t>
      </w:r>
      <w:r w:rsidR="00D455DE" w:rsidRPr="005621F4">
        <w:rPr>
          <w:rFonts w:cs="Arial"/>
          <w:b/>
          <w:szCs w:val="22"/>
        </w:rPr>
        <w:t>enero</w:t>
      </w:r>
      <w:r w:rsidR="005D51E9" w:rsidRPr="005621F4">
        <w:rPr>
          <w:rFonts w:cs="Arial"/>
          <w:b/>
          <w:szCs w:val="22"/>
        </w:rPr>
        <w:t xml:space="preserve"> al </w:t>
      </w:r>
      <w:r w:rsidR="00D455DE" w:rsidRPr="005621F4">
        <w:rPr>
          <w:rFonts w:cs="Arial"/>
          <w:b/>
          <w:szCs w:val="22"/>
        </w:rPr>
        <w:t>siete</w:t>
      </w:r>
      <w:r w:rsidR="005D51E9" w:rsidRPr="005621F4">
        <w:rPr>
          <w:rFonts w:cs="Arial"/>
          <w:b/>
          <w:szCs w:val="22"/>
        </w:rPr>
        <w:t xml:space="preserve"> de </w:t>
      </w:r>
      <w:r w:rsidR="00D455DE" w:rsidRPr="005621F4">
        <w:rPr>
          <w:rFonts w:cs="Arial"/>
          <w:b/>
          <w:szCs w:val="22"/>
        </w:rPr>
        <w:t>febrero</w:t>
      </w:r>
      <w:r w:rsidR="00FC24D4" w:rsidRPr="005621F4">
        <w:rPr>
          <w:rFonts w:cs="Arial"/>
          <w:b/>
          <w:szCs w:val="22"/>
        </w:rPr>
        <w:t xml:space="preserve"> de</w:t>
      </w:r>
      <w:r w:rsidRPr="005621F4">
        <w:rPr>
          <w:rFonts w:cs="Arial"/>
          <w:b/>
          <w:szCs w:val="22"/>
        </w:rPr>
        <w:t xml:space="preserve"> dos mil </w:t>
      </w:r>
      <w:r w:rsidR="001B777A" w:rsidRPr="005621F4">
        <w:rPr>
          <w:rFonts w:cs="Arial"/>
          <w:b/>
          <w:szCs w:val="22"/>
        </w:rPr>
        <w:t>veinticuatro,</w:t>
      </w:r>
      <w:r w:rsidRPr="005621F4">
        <w:rPr>
          <w:rFonts w:cs="Arial"/>
          <w:szCs w:val="22"/>
        </w:rPr>
        <w:t xml:space="preserve"> </w:t>
      </w:r>
      <w:r w:rsidRPr="005621F4">
        <w:rPr>
          <w:rFonts w:eastAsiaTheme="minorEastAsia" w:cs="Arial"/>
          <w:szCs w:val="22"/>
          <w:lang w:val="es-ES_tradnl"/>
        </w:rPr>
        <w:t xml:space="preserve">sin contemplar en el cómputo los días </w:t>
      </w:r>
      <w:bookmarkStart w:id="27" w:name="_Hlk62134391"/>
      <w:r w:rsidRPr="005621F4">
        <w:rPr>
          <w:rFonts w:eastAsiaTheme="minorEastAsia" w:cs="Arial"/>
          <w:szCs w:val="22"/>
          <w:lang w:val="es-ES_tradnl"/>
        </w:rPr>
        <w:t>sábados</w:t>
      </w:r>
      <w:r w:rsidR="00CB7E9A" w:rsidRPr="005621F4">
        <w:rPr>
          <w:rFonts w:eastAsiaTheme="minorEastAsia" w:cs="Arial"/>
          <w:szCs w:val="22"/>
          <w:lang w:val="es-ES_tradnl"/>
        </w:rPr>
        <w:t xml:space="preserve">, </w:t>
      </w:r>
      <w:r w:rsidRPr="005621F4">
        <w:rPr>
          <w:rFonts w:eastAsiaTheme="minorEastAsia" w:cs="Arial"/>
          <w:szCs w:val="22"/>
          <w:lang w:val="es-ES_tradnl"/>
        </w:rPr>
        <w:t>domingos</w:t>
      </w:r>
      <w:r w:rsidR="00CB7E9A" w:rsidRPr="005621F4">
        <w:rPr>
          <w:rFonts w:eastAsiaTheme="minorEastAsia" w:cs="Arial"/>
          <w:szCs w:val="22"/>
          <w:lang w:val="es-ES_tradnl"/>
        </w:rPr>
        <w:t xml:space="preserve"> y aquellos</w:t>
      </w:r>
      <w:r w:rsidRPr="005621F4">
        <w:rPr>
          <w:rFonts w:eastAsiaTheme="minorEastAsia" w:cs="Arial"/>
          <w:szCs w:val="22"/>
          <w:lang w:val="es-ES_tradnl"/>
        </w:rPr>
        <w:t xml:space="preserve"> considerados como días inhábiles</w:t>
      </w:r>
      <w:r w:rsidR="00CB7E9A" w:rsidRPr="005621F4">
        <w:rPr>
          <w:rFonts w:eastAsiaTheme="minorEastAsia" w:cs="Arial"/>
          <w:szCs w:val="22"/>
          <w:lang w:val="es-ES_tradnl"/>
        </w:rPr>
        <w:t xml:space="preserve"> </w:t>
      </w:r>
      <w:r w:rsidRPr="005621F4">
        <w:rPr>
          <w:rFonts w:eastAsiaTheme="minorEastAsia" w:cs="Arial"/>
          <w:szCs w:val="22"/>
          <w:lang w:val="es-ES_tradnl"/>
        </w:rPr>
        <w:t xml:space="preserve">en términos del </w:t>
      </w:r>
      <w:bookmarkEnd w:id="27"/>
      <w:r w:rsidRPr="005621F4">
        <w:rPr>
          <w:rFonts w:eastAsiaTheme="minorEastAsia" w:cs="Arial"/>
          <w:szCs w:val="22"/>
          <w:lang w:val="es-ES_tradnl"/>
        </w:rPr>
        <w:t>Calendario oficia</w:t>
      </w:r>
      <w:r w:rsidR="00CB7E9A" w:rsidRPr="005621F4">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5621F4" w:rsidRDefault="00D91CB4" w:rsidP="005621F4">
      <w:pPr>
        <w:rPr>
          <w:rFonts w:eastAsia="Palatino Linotype" w:cs="Palatino Linotype"/>
          <w:szCs w:val="22"/>
        </w:rPr>
      </w:pPr>
    </w:p>
    <w:p w14:paraId="46C0EB3A" w14:textId="520AFABB" w:rsidR="00A53315" w:rsidRPr="005621F4" w:rsidRDefault="00BA55A8" w:rsidP="005621F4">
      <w:pPr>
        <w:pStyle w:val="Ttulo3"/>
        <w:rPr>
          <w:rFonts w:eastAsia="Calibri"/>
          <w:szCs w:val="22"/>
          <w:lang w:eastAsia="es-ES_tradnl"/>
        </w:rPr>
      </w:pPr>
      <w:bookmarkStart w:id="28" w:name="_Toc178766466"/>
      <w:r w:rsidRPr="005621F4">
        <w:rPr>
          <w:rFonts w:eastAsia="Calibri"/>
          <w:szCs w:val="22"/>
          <w:lang w:eastAsia="es-ES_tradnl"/>
        </w:rPr>
        <w:lastRenderedPageBreak/>
        <w:t>d)</w:t>
      </w:r>
      <w:r w:rsidR="00D91CB4" w:rsidRPr="005621F4">
        <w:rPr>
          <w:rFonts w:eastAsia="Calibri"/>
          <w:szCs w:val="22"/>
          <w:lang w:eastAsia="es-ES_tradnl"/>
        </w:rPr>
        <w:t xml:space="preserve"> </w:t>
      </w:r>
      <w:r w:rsidR="00D7596A" w:rsidRPr="005621F4">
        <w:rPr>
          <w:rFonts w:eastAsia="Calibri"/>
          <w:szCs w:val="22"/>
          <w:lang w:eastAsia="es-ES_tradnl"/>
        </w:rPr>
        <w:t>Causal</w:t>
      </w:r>
      <w:r w:rsidR="005D51E9" w:rsidRPr="005621F4">
        <w:rPr>
          <w:rFonts w:eastAsia="Calibri"/>
          <w:szCs w:val="22"/>
          <w:lang w:eastAsia="es-ES_tradnl"/>
        </w:rPr>
        <w:t>es</w:t>
      </w:r>
      <w:r w:rsidR="00D7596A" w:rsidRPr="005621F4">
        <w:rPr>
          <w:rFonts w:eastAsia="Calibri"/>
          <w:szCs w:val="22"/>
          <w:lang w:eastAsia="es-ES_tradnl"/>
        </w:rPr>
        <w:t xml:space="preserve"> de procedencia</w:t>
      </w:r>
      <w:r w:rsidR="001B777A" w:rsidRPr="005621F4">
        <w:rPr>
          <w:rFonts w:eastAsia="Calibri"/>
          <w:szCs w:val="22"/>
          <w:lang w:eastAsia="es-ES_tradnl"/>
        </w:rPr>
        <w:t>.</w:t>
      </w:r>
      <w:bookmarkEnd w:id="28"/>
    </w:p>
    <w:p w14:paraId="190404A6" w14:textId="772A880F" w:rsidR="00BA55A8" w:rsidRPr="005621F4" w:rsidRDefault="00BA55A8" w:rsidP="005621F4">
      <w:pPr>
        <w:rPr>
          <w:szCs w:val="22"/>
        </w:rPr>
      </w:pPr>
      <w:r w:rsidRPr="005621F4">
        <w:rPr>
          <w:rFonts w:cs="Arial"/>
          <w:szCs w:val="22"/>
        </w:rPr>
        <w:t>Resulta procedente la interposición de</w:t>
      </w:r>
      <w:r w:rsidR="008E0766" w:rsidRPr="005621F4">
        <w:rPr>
          <w:rFonts w:cs="Arial"/>
          <w:szCs w:val="22"/>
        </w:rPr>
        <w:t xml:space="preserve"> </w:t>
      </w:r>
      <w:r w:rsidRPr="005621F4">
        <w:rPr>
          <w:rFonts w:cs="Arial"/>
          <w:szCs w:val="22"/>
        </w:rPr>
        <w:t>l</w:t>
      </w:r>
      <w:r w:rsidR="008E0766" w:rsidRPr="005621F4">
        <w:rPr>
          <w:rFonts w:cs="Arial"/>
          <w:szCs w:val="22"/>
        </w:rPr>
        <w:t>os</w:t>
      </w:r>
      <w:r w:rsidRPr="005621F4">
        <w:rPr>
          <w:rFonts w:cs="Arial"/>
          <w:szCs w:val="22"/>
        </w:rPr>
        <w:t xml:space="preserve"> recurso</w:t>
      </w:r>
      <w:r w:rsidR="008E0766" w:rsidRPr="005621F4">
        <w:rPr>
          <w:rFonts w:cs="Arial"/>
          <w:szCs w:val="22"/>
        </w:rPr>
        <w:t>s</w:t>
      </w:r>
      <w:r w:rsidRPr="005621F4">
        <w:rPr>
          <w:rFonts w:cs="Arial"/>
          <w:szCs w:val="22"/>
        </w:rPr>
        <w:t xml:space="preserve"> de revisión, ya que </w:t>
      </w:r>
      <w:r w:rsidRPr="005621F4">
        <w:rPr>
          <w:rFonts w:eastAsia="Calibri" w:cs="Tahoma"/>
          <w:szCs w:val="22"/>
          <w:lang w:eastAsia="es-MX"/>
        </w:rPr>
        <w:t>se actualiza la</w:t>
      </w:r>
      <w:r w:rsidR="008E0766" w:rsidRPr="005621F4">
        <w:rPr>
          <w:rFonts w:eastAsia="Calibri" w:cs="Tahoma"/>
          <w:szCs w:val="22"/>
          <w:lang w:eastAsia="es-MX"/>
        </w:rPr>
        <w:t>s</w:t>
      </w:r>
      <w:r w:rsidRPr="005621F4">
        <w:rPr>
          <w:rFonts w:eastAsia="Calibri" w:cs="Tahoma"/>
          <w:szCs w:val="22"/>
          <w:lang w:eastAsia="es-MX"/>
        </w:rPr>
        <w:t xml:space="preserve"> causal</w:t>
      </w:r>
      <w:r w:rsidR="008E0766" w:rsidRPr="005621F4">
        <w:rPr>
          <w:rFonts w:eastAsia="Calibri" w:cs="Tahoma"/>
          <w:szCs w:val="22"/>
          <w:lang w:eastAsia="es-MX"/>
        </w:rPr>
        <w:t>es</w:t>
      </w:r>
      <w:r w:rsidRPr="005621F4">
        <w:rPr>
          <w:rFonts w:eastAsia="Calibri" w:cs="Tahoma"/>
          <w:szCs w:val="22"/>
          <w:lang w:eastAsia="es-MX"/>
        </w:rPr>
        <w:t xml:space="preserve"> de procedencia señalada</w:t>
      </w:r>
      <w:r w:rsidR="008E0766" w:rsidRPr="005621F4">
        <w:rPr>
          <w:rFonts w:eastAsia="Calibri" w:cs="Tahoma"/>
          <w:szCs w:val="22"/>
          <w:lang w:eastAsia="es-MX"/>
        </w:rPr>
        <w:t>s</w:t>
      </w:r>
      <w:r w:rsidRPr="005621F4">
        <w:rPr>
          <w:rFonts w:eastAsia="Calibri" w:cs="Tahoma"/>
          <w:szCs w:val="22"/>
          <w:lang w:eastAsia="es-MX"/>
        </w:rPr>
        <w:t xml:space="preserve"> en </w:t>
      </w:r>
      <w:r w:rsidR="008E0766" w:rsidRPr="005621F4">
        <w:rPr>
          <w:rFonts w:eastAsia="Calibri" w:cs="Tahoma"/>
          <w:szCs w:val="22"/>
          <w:lang w:eastAsia="es-MX"/>
        </w:rPr>
        <w:t>el artículo 179, fracciones</w:t>
      </w:r>
      <w:r w:rsidRPr="005621F4">
        <w:rPr>
          <w:rFonts w:eastAsia="Calibri" w:cs="Tahoma"/>
          <w:szCs w:val="22"/>
          <w:lang w:eastAsia="es-MX"/>
        </w:rPr>
        <w:t xml:space="preserve"> </w:t>
      </w:r>
      <w:r w:rsidR="00D455DE" w:rsidRPr="005621F4">
        <w:rPr>
          <w:rFonts w:eastAsia="Calibri" w:cs="Tahoma"/>
          <w:szCs w:val="22"/>
          <w:lang w:eastAsia="es-MX"/>
        </w:rPr>
        <w:t>V</w:t>
      </w:r>
      <w:r w:rsidR="00FC24D4" w:rsidRPr="005621F4">
        <w:rPr>
          <w:rFonts w:eastAsia="Calibri" w:cs="Tahoma"/>
          <w:szCs w:val="22"/>
          <w:lang w:eastAsia="es-MX"/>
        </w:rPr>
        <w:t>I</w:t>
      </w:r>
      <w:r w:rsidR="00A1405A" w:rsidRPr="005621F4">
        <w:rPr>
          <w:rFonts w:eastAsia="Calibri" w:cs="Tahoma"/>
          <w:szCs w:val="22"/>
          <w:lang w:eastAsia="es-MX"/>
        </w:rPr>
        <w:t xml:space="preserve"> </w:t>
      </w:r>
      <w:r w:rsidRPr="005621F4">
        <w:rPr>
          <w:rFonts w:cs="Arial"/>
          <w:szCs w:val="22"/>
        </w:rPr>
        <w:t xml:space="preserve">de la </w:t>
      </w:r>
      <w:r w:rsidRPr="005621F4">
        <w:rPr>
          <w:szCs w:val="22"/>
        </w:rPr>
        <w:t>Ley de Transparencia y Acceso a la Información Pública del Estado de México y Municipios.</w:t>
      </w:r>
    </w:p>
    <w:p w14:paraId="0EFF7141" w14:textId="77777777" w:rsidR="00362A11" w:rsidRPr="005621F4" w:rsidRDefault="00362A11" w:rsidP="005621F4">
      <w:pPr>
        <w:rPr>
          <w:szCs w:val="22"/>
        </w:rPr>
      </w:pPr>
    </w:p>
    <w:p w14:paraId="2284D7EB" w14:textId="3928E4AB" w:rsidR="00BA55A8" w:rsidRPr="005621F4" w:rsidRDefault="00362A11" w:rsidP="005621F4">
      <w:pPr>
        <w:pStyle w:val="Ttulo3"/>
        <w:rPr>
          <w:szCs w:val="22"/>
        </w:rPr>
      </w:pPr>
      <w:bookmarkStart w:id="29" w:name="_Toc178766467"/>
      <w:r w:rsidRPr="005621F4">
        <w:rPr>
          <w:szCs w:val="22"/>
        </w:rPr>
        <w:t>e) Requisitos formales para la interposición del recurso</w:t>
      </w:r>
      <w:r w:rsidR="001B777A" w:rsidRPr="005621F4">
        <w:rPr>
          <w:szCs w:val="22"/>
        </w:rPr>
        <w:t>.</w:t>
      </w:r>
      <w:bookmarkEnd w:id="29"/>
    </w:p>
    <w:p w14:paraId="29ABCEB4" w14:textId="77777777" w:rsidR="00D455DE" w:rsidRPr="005621F4" w:rsidRDefault="00D455DE" w:rsidP="005621F4">
      <w:pPr>
        <w:rPr>
          <w:rFonts w:cs="Arial"/>
          <w:sz w:val="24"/>
          <w:szCs w:val="24"/>
          <w:lang w:val="es-ES"/>
        </w:rPr>
      </w:pPr>
      <w:r w:rsidRPr="005621F4">
        <w:rPr>
          <w:sz w:val="24"/>
          <w:szCs w:val="24"/>
          <w:lang w:val="es-ES"/>
        </w:rPr>
        <w:t xml:space="preserve">Es importante mencionar que, de la revisión del expediente electrónico del </w:t>
      </w:r>
      <w:r w:rsidRPr="005621F4">
        <w:rPr>
          <w:bCs/>
          <w:sz w:val="24"/>
          <w:szCs w:val="24"/>
          <w:lang w:val="es-ES"/>
        </w:rPr>
        <w:t>SAIMEX,</w:t>
      </w:r>
      <w:r w:rsidRPr="005621F4">
        <w:rPr>
          <w:sz w:val="24"/>
          <w:szCs w:val="24"/>
          <w:lang w:val="es-ES"/>
        </w:rPr>
        <w:t xml:space="preserve"> se observa que </w:t>
      </w:r>
      <w:r w:rsidRPr="005621F4">
        <w:rPr>
          <w:b/>
          <w:bCs/>
          <w:sz w:val="24"/>
          <w:szCs w:val="24"/>
          <w:lang w:val="es-ES"/>
        </w:rPr>
        <w:t>LA PARTE RECURRENTE</w:t>
      </w:r>
      <w:r w:rsidRPr="005621F4">
        <w:rPr>
          <w:sz w:val="24"/>
          <w:szCs w:val="24"/>
          <w:lang w:val="es-ES"/>
        </w:rPr>
        <w:t xml:space="preserve"> no proporcionó su nombre para ser identificado, lo que en estricto sentido provoca que </w:t>
      </w:r>
      <w:r w:rsidRPr="005621F4">
        <w:rPr>
          <w:rFonts w:cs="Arial"/>
          <w:sz w:val="24"/>
          <w:szCs w:val="24"/>
          <w:lang w:val="es-ES"/>
        </w:rPr>
        <w:t>no</w:t>
      </w:r>
      <w:r w:rsidRPr="005621F4">
        <w:rPr>
          <w:sz w:val="24"/>
          <w:szCs w:val="24"/>
          <w:lang w:val="es-ES"/>
        </w:rPr>
        <w:t xml:space="preserve"> se colmen los requisitos establecidos en el artículo 180 de la Ley de Transparencia; sin embargo, el artículo 15 de </w:t>
      </w:r>
      <w:r w:rsidRPr="005621F4">
        <w:rPr>
          <w:rFonts w:cs="Arial"/>
          <w:sz w:val="24"/>
          <w:szCs w:val="24"/>
          <w:lang w:val="es-ES" w:eastAsia="es-MX"/>
        </w:rPr>
        <w:t xml:space="preserve">Ley de Transparencia y Acceso a la </w:t>
      </w:r>
      <w:r w:rsidRPr="005621F4">
        <w:rPr>
          <w:rFonts w:cs="Arial"/>
          <w:sz w:val="24"/>
          <w:szCs w:val="24"/>
          <w:lang w:val="es-ES"/>
        </w:rPr>
        <w:t>Información</w:t>
      </w:r>
      <w:r w:rsidRPr="005621F4">
        <w:rPr>
          <w:rFonts w:cs="Arial"/>
          <w:sz w:val="24"/>
          <w:szCs w:val="24"/>
          <w:lang w:val="es-ES" w:eastAsia="es-MX"/>
        </w:rPr>
        <w:t xml:space="preserve"> Pública del Estado de México y Municipios </w:t>
      </w:r>
      <w:r w:rsidRPr="005621F4">
        <w:rPr>
          <w:rFonts w:cs="Arial"/>
          <w:iCs/>
          <w:sz w:val="24"/>
          <w:szCs w:val="24"/>
          <w:lang w:val="es-ES"/>
        </w:rPr>
        <w:t xml:space="preserve">prevé que </w:t>
      </w:r>
      <w:r w:rsidRPr="005621F4">
        <w:rPr>
          <w:sz w:val="24"/>
          <w:szCs w:val="24"/>
          <w:lang w:val="es-ES"/>
        </w:rPr>
        <w:t xml:space="preserve">toda persona tendrá acceso a la información </w:t>
      </w:r>
      <w:r w:rsidRPr="005621F4">
        <w:rPr>
          <w:rFonts w:cs="Arial"/>
          <w:sz w:val="24"/>
          <w:szCs w:val="24"/>
          <w:lang w:val="es-ES"/>
        </w:rPr>
        <w:t xml:space="preserve">sin necesidad de acreditar interés alguno o justificar su utilización, de lo que se infiere que </w:t>
      </w:r>
      <w:r w:rsidRPr="005621F4">
        <w:rPr>
          <w:rFonts w:cs="Arial"/>
          <w:b/>
          <w:sz w:val="24"/>
          <w:szCs w:val="24"/>
          <w:u w:val="single"/>
          <w:lang w:val="es-ES"/>
        </w:rPr>
        <w:t xml:space="preserve">el nombre no es un requisito </w:t>
      </w:r>
      <w:r w:rsidRPr="005621F4">
        <w:rPr>
          <w:rFonts w:cs="Arial"/>
          <w:b/>
          <w:iCs/>
          <w:sz w:val="24"/>
          <w:szCs w:val="24"/>
          <w:u w:val="single"/>
          <w:lang w:val="es-ES"/>
        </w:rPr>
        <w:t>indispensable</w:t>
      </w:r>
      <w:r w:rsidRPr="005621F4">
        <w:rPr>
          <w:rFonts w:cs="Arial"/>
          <w:sz w:val="24"/>
          <w:szCs w:val="24"/>
          <w:lang w:val="es-ES"/>
        </w:rPr>
        <w:t xml:space="preserve"> para que las y los ciudadanos ejerzan el derecho de acceso a la información pública. </w:t>
      </w:r>
    </w:p>
    <w:p w14:paraId="3F25A389" w14:textId="77777777" w:rsidR="00D455DE" w:rsidRPr="005621F4" w:rsidRDefault="00D455DE" w:rsidP="005621F4">
      <w:pPr>
        <w:rPr>
          <w:rFonts w:cs="Arial"/>
          <w:sz w:val="24"/>
          <w:szCs w:val="24"/>
          <w:lang w:val="es-ES"/>
        </w:rPr>
      </w:pPr>
    </w:p>
    <w:p w14:paraId="21FF97F0" w14:textId="77777777" w:rsidR="00D455DE" w:rsidRPr="005621F4" w:rsidRDefault="00D455DE" w:rsidP="005621F4">
      <w:pPr>
        <w:rPr>
          <w:sz w:val="24"/>
          <w:szCs w:val="24"/>
          <w:lang w:val="es-ES"/>
        </w:rPr>
      </w:pPr>
      <w:r w:rsidRPr="005621F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5621F4">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5621F4">
        <w:rPr>
          <w:b/>
          <w:bCs/>
          <w:sz w:val="24"/>
          <w:szCs w:val="24"/>
          <w:lang w:val="es-ES"/>
        </w:rPr>
        <w:t>LA PARTE RECURRENTE</w:t>
      </w:r>
      <w:r w:rsidRPr="005621F4">
        <w:rPr>
          <w:rFonts w:cs="Arial"/>
          <w:b/>
          <w:sz w:val="24"/>
          <w:szCs w:val="24"/>
          <w:lang w:val="es-ES"/>
        </w:rPr>
        <w:t>;</w:t>
      </w:r>
      <w:r w:rsidRPr="005621F4">
        <w:rPr>
          <w:sz w:val="24"/>
          <w:szCs w:val="24"/>
          <w:lang w:val="es-ES"/>
        </w:rPr>
        <w:t xml:space="preserve"> por lo que, en el presente caso, al haber sido presentado el recurso de revisión vía </w:t>
      </w:r>
      <w:r w:rsidRPr="005621F4">
        <w:rPr>
          <w:bCs/>
          <w:sz w:val="24"/>
          <w:szCs w:val="24"/>
          <w:lang w:val="es-ES"/>
        </w:rPr>
        <w:t>SAIMEX</w:t>
      </w:r>
      <w:r w:rsidRPr="005621F4">
        <w:rPr>
          <w:sz w:val="24"/>
          <w:szCs w:val="24"/>
          <w:lang w:val="es-ES"/>
        </w:rPr>
        <w:t>, dicho requisito resulta innecesario.</w:t>
      </w:r>
    </w:p>
    <w:p w14:paraId="1DFFC5C1" w14:textId="77777777" w:rsidR="008E0766" w:rsidRPr="005621F4" w:rsidRDefault="008E0766" w:rsidP="005621F4">
      <w:pPr>
        <w:rPr>
          <w:szCs w:val="22"/>
          <w:lang w:val="es-ES"/>
        </w:rPr>
      </w:pPr>
    </w:p>
    <w:p w14:paraId="03F0E49A" w14:textId="77777777" w:rsidR="008E0766" w:rsidRPr="005621F4" w:rsidRDefault="008E0766" w:rsidP="005621F4">
      <w:pPr>
        <w:pStyle w:val="Ttulo3"/>
        <w:rPr>
          <w:szCs w:val="22"/>
        </w:rPr>
      </w:pPr>
      <w:bookmarkStart w:id="30" w:name="_Toc174008777"/>
      <w:bookmarkStart w:id="31" w:name="_Toc178766468"/>
      <w:r w:rsidRPr="005621F4">
        <w:rPr>
          <w:szCs w:val="22"/>
        </w:rPr>
        <w:t>f) Acumulación de los Recursos de Revisión</w:t>
      </w:r>
      <w:bookmarkEnd w:id="30"/>
      <w:bookmarkEnd w:id="31"/>
    </w:p>
    <w:p w14:paraId="78522F63" w14:textId="016153B6" w:rsidR="008E0766" w:rsidRPr="005621F4" w:rsidRDefault="008E0766" w:rsidP="005621F4">
      <w:pPr>
        <w:rPr>
          <w:szCs w:val="22"/>
        </w:rPr>
      </w:pPr>
      <w:r w:rsidRPr="005621F4">
        <w:rPr>
          <w:szCs w:val="22"/>
        </w:rPr>
        <w:t xml:space="preserve">De las constancias que obran en los expedientes acumulados, se advierte que los recursos de revisión </w:t>
      </w:r>
      <w:r w:rsidR="00D455DE" w:rsidRPr="005621F4">
        <w:rPr>
          <w:rFonts w:cs="Tahoma"/>
          <w:b/>
          <w:bCs/>
          <w:szCs w:val="22"/>
        </w:rPr>
        <w:t>000452</w:t>
      </w:r>
      <w:r w:rsidR="00BD792E" w:rsidRPr="005621F4">
        <w:rPr>
          <w:rFonts w:cs="Tahoma"/>
          <w:b/>
          <w:bCs/>
          <w:szCs w:val="22"/>
        </w:rPr>
        <w:t>/INFOEM/IP/RR/2024</w:t>
      </w:r>
      <w:r w:rsidR="00D455DE" w:rsidRPr="005621F4">
        <w:rPr>
          <w:rFonts w:cs="Tahoma"/>
          <w:b/>
          <w:bCs/>
          <w:szCs w:val="22"/>
        </w:rPr>
        <w:t>, 00453</w:t>
      </w:r>
      <w:r w:rsidR="00BD792E" w:rsidRPr="005621F4">
        <w:rPr>
          <w:rFonts w:cs="Tahoma"/>
          <w:b/>
          <w:bCs/>
          <w:szCs w:val="22"/>
        </w:rPr>
        <w:t>/</w:t>
      </w:r>
      <w:r w:rsidR="00D455DE" w:rsidRPr="005621F4">
        <w:rPr>
          <w:rFonts w:cs="Tahoma"/>
          <w:b/>
          <w:bCs/>
          <w:szCs w:val="22"/>
        </w:rPr>
        <w:t xml:space="preserve">INFOEM/IP/RR/2024 </w:t>
      </w:r>
      <w:r w:rsidR="00BD792E" w:rsidRPr="005621F4">
        <w:rPr>
          <w:rFonts w:cs="Tahoma"/>
          <w:szCs w:val="22"/>
        </w:rPr>
        <w:t xml:space="preserve">y </w:t>
      </w:r>
      <w:r w:rsidR="00D455DE" w:rsidRPr="005621F4">
        <w:rPr>
          <w:rFonts w:cs="Tahoma"/>
          <w:b/>
          <w:bCs/>
          <w:szCs w:val="22"/>
        </w:rPr>
        <w:t>00454</w:t>
      </w:r>
      <w:r w:rsidR="00BD792E" w:rsidRPr="005621F4">
        <w:rPr>
          <w:rFonts w:cs="Tahoma"/>
          <w:b/>
          <w:bCs/>
          <w:szCs w:val="22"/>
        </w:rPr>
        <w:t>/INFOEM/IP/RR/2024</w:t>
      </w:r>
      <w:r w:rsidRPr="005621F4">
        <w:rPr>
          <w:rFonts w:cs="Tahoma"/>
          <w:b/>
          <w:bCs/>
          <w:szCs w:val="22"/>
        </w:rPr>
        <w:t>,</w:t>
      </w:r>
      <w:r w:rsidRPr="005621F4">
        <w:rPr>
          <w:b/>
          <w:szCs w:val="22"/>
        </w:rPr>
        <w:t xml:space="preserve"> </w:t>
      </w:r>
      <w:r w:rsidRPr="005621F4">
        <w:rPr>
          <w:szCs w:val="22"/>
        </w:rPr>
        <w:t xml:space="preserve">fueron presentados por la misma </w:t>
      </w:r>
      <w:r w:rsidRPr="005621F4">
        <w:rPr>
          <w:b/>
          <w:szCs w:val="22"/>
        </w:rPr>
        <w:t>PARTE RECURRENTE</w:t>
      </w:r>
      <w:r w:rsidRPr="005621F4">
        <w:rPr>
          <w:szCs w:val="22"/>
        </w:rPr>
        <w:t xml:space="preserve"> respecto de actos u omisiones similares, realizados por el mismo </w:t>
      </w:r>
      <w:r w:rsidRPr="005621F4">
        <w:rPr>
          <w:b/>
          <w:szCs w:val="22"/>
        </w:rPr>
        <w:t>SUJETO OBLIGADO</w:t>
      </w:r>
      <w:r w:rsidRPr="005621F4">
        <w:rPr>
          <w:szCs w:val="22"/>
        </w:rPr>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6E5F30E9" w14:textId="77777777" w:rsidR="00A84BB5" w:rsidRPr="005621F4" w:rsidRDefault="00A84BB5" w:rsidP="005621F4">
      <w:pPr>
        <w:rPr>
          <w:bCs/>
          <w:szCs w:val="22"/>
          <w:lang w:val="es-ES_tradnl"/>
        </w:rPr>
      </w:pPr>
    </w:p>
    <w:p w14:paraId="457548E9" w14:textId="5D058E17" w:rsidR="00C71CEF" w:rsidRPr="005621F4" w:rsidRDefault="00C71CEF" w:rsidP="005621F4">
      <w:pPr>
        <w:pStyle w:val="Ttulo2"/>
        <w:rPr>
          <w:szCs w:val="22"/>
        </w:rPr>
      </w:pPr>
      <w:bookmarkStart w:id="32" w:name="_Toc178766469"/>
      <w:r w:rsidRPr="005621F4">
        <w:rPr>
          <w:szCs w:val="22"/>
        </w:rPr>
        <w:t>SEGUNDO. Estudio de Fondo</w:t>
      </w:r>
      <w:r w:rsidR="001B777A" w:rsidRPr="005621F4">
        <w:rPr>
          <w:szCs w:val="22"/>
        </w:rPr>
        <w:t>.</w:t>
      </w:r>
      <w:bookmarkEnd w:id="32"/>
    </w:p>
    <w:p w14:paraId="2A308F59" w14:textId="0FF373F0" w:rsidR="00C049E2" w:rsidRPr="005621F4" w:rsidRDefault="00C71CEF" w:rsidP="005621F4">
      <w:pPr>
        <w:pStyle w:val="Ttulo3"/>
        <w:rPr>
          <w:szCs w:val="22"/>
        </w:rPr>
      </w:pPr>
      <w:bookmarkStart w:id="33" w:name="_Toc178766470"/>
      <w:r w:rsidRPr="005621F4">
        <w:rPr>
          <w:szCs w:val="22"/>
        </w:rPr>
        <w:t>a</w:t>
      </w:r>
      <w:r w:rsidR="00C049E2" w:rsidRPr="005621F4">
        <w:rPr>
          <w:szCs w:val="22"/>
        </w:rPr>
        <w:t>) Mandato de transparencia y responsabilidad del Sujeto Obligado</w:t>
      </w:r>
      <w:bookmarkEnd w:id="33"/>
    </w:p>
    <w:p w14:paraId="6901A889" w14:textId="59EEDAE1" w:rsidR="00C049E2" w:rsidRPr="005621F4" w:rsidRDefault="00C049E2" w:rsidP="005621F4">
      <w:pPr>
        <w:rPr>
          <w:rFonts w:eastAsia="Palatino Linotype"/>
          <w:szCs w:val="22"/>
        </w:rPr>
      </w:pPr>
      <w:r w:rsidRPr="005621F4">
        <w:rPr>
          <w:rFonts w:eastAsia="Palatino Linotype"/>
          <w:szCs w:val="22"/>
        </w:rPr>
        <w:t xml:space="preserve">El </w:t>
      </w:r>
      <w:r w:rsidR="00717E59" w:rsidRPr="005621F4">
        <w:rPr>
          <w:rFonts w:eastAsia="Palatino Linotype"/>
          <w:szCs w:val="22"/>
        </w:rPr>
        <w:t>d</w:t>
      </w:r>
      <w:r w:rsidRPr="005621F4">
        <w:rPr>
          <w:rFonts w:eastAsia="Palatino Linotype"/>
          <w:szCs w:val="22"/>
        </w:rPr>
        <w:t xml:space="preserve">erecho de </w:t>
      </w:r>
      <w:r w:rsidR="00717E59" w:rsidRPr="005621F4">
        <w:rPr>
          <w:rFonts w:eastAsia="Palatino Linotype"/>
          <w:szCs w:val="22"/>
        </w:rPr>
        <w:t>a</w:t>
      </w:r>
      <w:r w:rsidRPr="005621F4">
        <w:rPr>
          <w:rFonts w:eastAsia="Palatino Linotype"/>
          <w:szCs w:val="22"/>
        </w:rPr>
        <w:t xml:space="preserve">cceso a la </w:t>
      </w:r>
      <w:r w:rsidR="00717E59" w:rsidRPr="005621F4">
        <w:rPr>
          <w:rFonts w:eastAsia="Palatino Linotype"/>
          <w:szCs w:val="22"/>
        </w:rPr>
        <w:t>i</w:t>
      </w:r>
      <w:r w:rsidRPr="005621F4">
        <w:rPr>
          <w:rFonts w:eastAsia="Palatino Linotype"/>
          <w:szCs w:val="22"/>
        </w:rPr>
        <w:t xml:space="preserve">nformación </w:t>
      </w:r>
      <w:r w:rsidR="00717E59" w:rsidRPr="005621F4">
        <w:rPr>
          <w:rFonts w:eastAsia="Palatino Linotype"/>
          <w:szCs w:val="22"/>
        </w:rPr>
        <w:t>p</w:t>
      </w:r>
      <w:r w:rsidRPr="005621F4">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5621F4">
        <w:rPr>
          <w:rFonts w:eastAsia="Palatino Linotype"/>
          <w:szCs w:val="22"/>
        </w:rPr>
        <w:t>:</w:t>
      </w:r>
    </w:p>
    <w:p w14:paraId="7FAB8D32" w14:textId="77777777" w:rsidR="00C049E2" w:rsidRPr="005621F4" w:rsidRDefault="00C049E2" w:rsidP="005621F4">
      <w:pPr>
        <w:rPr>
          <w:rFonts w:eastAsia="Palatino Linotype"/>
          <w:szCs w:val="22"/>
        </w:rPr>
      </w:pPr>
    </w:p>
    <w:p w14:paraId="05320813" w14:textId="77777777" w:rsidR="00C049E2" w:rsidRPr="005621F4" w:rsidRDefault="00C049E2" w:rsidP="005621F4">
      <w:pPr>
        <w:spacing w:line="240" w:lineRule="auto"/>
        <w:ind w:left="567" w:right="539"/>
        <w:rPr>
          <w:rFonts w:eastAsia="Palatino Linotype"/>
          <w:b/>
          <w:i/>
          <w:szCs w:val="22"/>
        </w:rPr>
      </w:pPr>
      <w:r w:rsidRPr="005621F4">
        <w:rPr>
          <w:rFonts w:eastAsia="Palatino Linotype"/>
          <w:b/>
          <w:i/>
          <w:szCs w:val="22"/>
        </w:rPr>
        <w:t>Constitución Política de los Estados Unidos Mexicanos</w:t>
      </w:r>
    </w:p>
    <w:p w14:paraId="6B6C67B6" w14:textId="77777777" w:rsidR="00C049E2" w:rsidRPr="005621F4" w:rsidRDefault="00C049E2" w:rsidP="005621F4">
      <w:pPr>
        <w:spacing w:line="240" w:lineRule="auto"/>
        <w:ind w:left="567" w:right="539"/>
        <w:rPr>
          <w:rFonts w:eastAsia="Palatino Linotype"/>
          <w:b/>
          <w:i/>
          <w:szCs w:val="22"/>
        </w:rPr>
      </w:pPr>
      <w:r w:rsidRPr="005621F4">
        <w:rPr>
          <w:rFonts w:eastAsia="Palatino Linotype"/>
          <w:b/>
          <w:i/>
          <w:szCs w:val="22"/>
        </w:rPr>
        <w:t>“Artículo 6.</w:t>
      </w:r>
    </w:p>
    <w:p w14:paraId="38D3B4C4" w14:textId="77777777" w:rsidR="00C049E2" w:rsidRPr="005621F4" w:rsidRDefault="00C049E2" w:rsidP="005621F4">
      <w:pPr>
        <w:spacing w:line="240" w:lineRule="auto"/>
        <w:ind w:left="567" w:right="539"/>
        <w:rPr>
          <w:rFonts w:eastAsia="Palatino Linotype"/>
          <w:i/>
          <w:szCs w:val="22"/>
        </w:rPr>
      </w:pPr>
      <w:r w:rsidRPr="005621F4">
        <w:rPr>
          <w:rFonts w:eastAsia="Palatino Linotype"/>
          <w:i/>
          <w:szCs w:val="22"/>
        </w:rPr>
        <w:t>(…)</w:t>
      </w:r>
    </w:p>
    <w:p w14:paraId="2CCAA297" w14:textId="6602827B" w:rsidR="00C049E2" w:rsidRPr="005621F4" w:rsidRDefault="00C049E2" w:rsidP="005621F4">
      <w:pPr>
        <w:spacing w:line="240" w:lineRule="auto"/>
        <w:ind w:left="567" w:right="539"/>
        <w:rPr>
          <w:rFonts w:eastAsia="Palatino Linotype"/>
          <w:i/>
          <w:szCs w:val="22"/>
        </w:rPr>
      </w:pPr>
      <w:r w:rsidRPr="005621F4">
        <w:rPr>
          <w:rFonts w:eastAsia="Palatino Linotype"/>
          <w:i/>
          <w:szCs w:val="22"/>
        </w:rPr>
        <w:t>Para efectos de lo dispuesto en el presente artículo se observará lo siguiente:</w:t>
      </w:r>
    </w:p>
    <w:p w14:paraId="74CC3718" w14:textId="77777777" w:rsidR="00C049E2" w:rsidRPr="005621F4" w:rsidRDefault="00C049E2" w:rsidP="005621F4">
      <w:pPr>
        <w:spacing w:line="240" w:lineRule="auto"/>
        <w:ind w:left="567" w:right="539"/>
        <w:rPr>
          <w:rFonts w:eastAsia="Palatino Linotype"/>
          <w:b/>
          <w:i/>
          <w:szCs w:val="22"/>
        </w:rPr>
      </w:pPr>
      <w:r w:rsidRPr="005621F4">
        <w:rPr>
          <w:rFonts w:eastAsia="Palatino Linotype"/>
          <w:b/>
          <w:i/>
          <w:szCs w:val="22"/>
        </w:rPr>
        <w:t>A</w:t>
      </w:r>
      <w:r w:rsidRPr="005621F4">
        <w:rPr>
          <w:rFonts w:eastAsia="Palatino Linotype"/>
          <w:i/>
          <w:szCs w:val="22"/>
        </w:rPr>
        <w:t xml:space="preserve">. </w:t>
      </w:r>
      <w:r w:rsidRPr="005621F4">
        <w:rPr>
          <w:rFonts w:eastAsia="Palatino Linotype"/>
          <w:b/>
          <w:i/>
          <w:szCs w:val="22"/>
        </w:rPr>
        <w:t>Para el ejercicio del derecho de acceso a la información</w:t>
      </w:r>
      <w:r w:rsidRPr="005621F4">
        <w:rPr>
          <w:rFonts w:eastAsia="Palatino Linotype"/>
          <w:i/>
          <w:szCs w:val="22"/>
        </w:rPr>
        <w:t xml:space="preserve">, la Federación y </w:t>
      </w:r>
      <w:r w:rsidRPr="005621F4">
        <w:rPr>
          <w:rFonts w:eastAsia="Palatino Linotype"/>
          <w:b/>
          <w:i/>
          <w:szCs w:val="22"/>
        </w:rPr>
        <w:t>las entidades federativas, en el ámbito de sus respectivas competencias, se regirán por los siguientes principios y bases:</w:t>
      </w:r>
    </w:p>
    <w:p w14:paraId="596A956B" w14:textId="77777777" w:rsidR="00C049E2" w:rsidRPr="005621F4" w:rsidRDefault="00C049E2" w:rsidP="005621F4">
      <w:pPr>
        <w:spacing w:line="240" w:lineRule="auto"/>
        <w:ind w:left="567" w:right="539"/>
        <w:rPr>
          <w:rFonts w:eastAsia="Palatino Linotype"/>
          <w:i/>
          <w:szCs w:val="22"/>
        </w:rPr>
      </w:pPr>
      <w:r w:rsidRPr="005621F4">
        <w:rPr>
          <w:rFonts w:eastAsia="Palatino Linotype"/>
          <w:b/>
          <w:i/>
          <w:szCs w:val="22"/>
        </w:rPr>
        <w:t xml:space="preserve">I. </w:t>
      </w:r>
      <w:r w:rsidRPr="005621F4">
        <w:rPr>
          <w:rFonts w:eastAsia="Palatino Linotype"/>
          <w:b/>
          <w:i/>
          <w:szCs w:val="22"/>
        </w:rPr>
        <w:tab/>
        <w:t>Toda la información en posesión de cualquier</w:t>
      </w:r>
      <w:r w:rsidRPr="005621F4">
        <w:rPr>
          <w:rFonts w:eastAsia="Palatino Linotype"/>
          <w:i/>
          <w:szCs w:val="22"/>
        </w:rPr>
        <w:t xml:space="preserve"> </w:t>
      </w:r>
      <w:r w:rsidRPr="005621F4">
        <w:rPr>
          <w:rFonts w:eastAsia="Palatino Linotype"/>
          <w:b/>
          <w:i/>
          <w:szCs w:val="22"/>
        </w:rPr>
        <w:t>autoridad</w:t>
      </w:r>
      <w:r w:rsidRPr="005621F4">
        <w:rPr>
          <w:rFonts w:eastAsia="Palatino Linotype"/>
          <w:i/>
          <w:szCs w:val="22"/>
        </w:rPr>
        <w:t xml:space="preserve">, entidad, órgano y organismo de los Poderes Ejecutivo, Legislativo y Judicial, órganos autónomos, partidos políticos, fideicomisos y fondos públicos, así como de cualquier persona física, moral o </w:t>
      </w:r>
      <w:r w:rsidRPr="005621F4">
        <w:rPr>
          <w:rFonts w:eastAsia="Palatino Linotype"/>
          <w:i/>
          <w:szCs w:val="22"/>
        </w:rPr>
        <w:lastRenderedPageBreak/>
        <w:t xml:space="preserve">sindicato que reciba y ejerza recursos públicos o realice actos de autoridad en el ámbito federal, estatal y </w:t>
      </w:r>
      <w:r w:rsidRPr="005621F4">
        <w:rPr>
          <w:rFonts w:eastAsia="Palatino Linotype"/>
          <w:b/>
          <w:i/>
          <w:szCs w:val="22"/>
        </w:rPr>
        <w:t>municipal</w:t>
      </w:r>
      <w:r w:rsidRPr="005621F4">
        <w:rPr>
          <w:rFonts w:eastAsia="Palatino Linotype"/>
          <w:i/>
          <w:szCs w:val="22"/>
        </w:rPr>
        <w:t xml:space="preserve">, </w:t>
      </w:r>
      <w:r w:rsidRPr="005621F4">
        <w:rPr>
          <w:rFonts w:eastAsia="Palatino Linotype"/>
          <w:b/>
          <w:i/>
          <w:szCs w:val="22"/>
        </w:rPr>
        <w:t>es pública</w:t>
      </w:r>
      <w:r w:rsidRPr="005621F4">
        <w:rPr>
          <w:rFonts w:eastAsia="Palatino Linotype"/>
          <w:i/>
          <w:szCs w:val="22"/>
        </w:rPr>
        <w:t xml:space="preserve"> y sólo podrá ser reservada temporalmente por razones de interés público y seguridad nacional, en los términos que fijen las leyes. </w:t>
      </w:r>
      <w:r w:rsidRPr="005621F4">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5621F4">
        <w:rPr>
          <w:rFonts w:eastAsia="Palatino Linotype"/>
          <w:i/>
          <w:szCs w:val="22"/>
        </w:rPr>
        <w:t>, la ley determinará los supuestos específicos bajo los cuales procederá la declaración de inexistencia de la información.”</w:t>
      </w:r>
    </w:p>
    <w:p w14:paraId="68F313E4" w14:textId="77777777" w:rsidR="00C049E2" w:rsidRPr="005621F4" w:rsidRDefault="00C049E2" w:rsidP="005621F4">
      <w:pPr>
        <w:spacing w:line="240" w:lineRule="auto"/>
        <w:ind w:left="567" w:right="539"/>
        <w:rPr>
          <w:rFonts w:eastAsia="Palatino Linotype"/>
          <w:b/>
          <w:i/>
          <w:szCs w:val="22"/>
        </w:rPr>
      </w:pPr>
    </w:p>
    <w:p w14:paraId="504F12DB" w14:textId="77777777" w:rsidR="00C049E2" w:rsidRPr="005621F4" w:rsidRDefault="00C049E2" w:rsidP="005621F4">
      <w:pPr>
        <w:spacing w:line="240" w:lineRule="auto"/>
        <w:ind w:left="567" w:right="539"/>
        <w:rPr>
          <w:rFonts w:eastAsia="Palatino Linotype"/>
          <w:b/>
          <w:i/>
          <w:szCs w:val="22"/>
        </w:rPr>
      </w:pPr>
      <w:r w:rsidRPr="005621F4">
        <w:rPr>
          <w:rFonts w:eastAsia="Palatino Linotype"/>
          <w:b/>
          <w:i/>
          <w:szCs w:val="22"/>
        </w:rPr>
        <w:t>Constitución Política del Estado Libre y Soberano de México</w:t>
      </w:r>
    </w:p>
    <w:p w14:paraId="04932D29" w14:textId="77777777" w:rsidR="00C049E2" w:rsidRPr="005621F4" w:rsidRDefault="00C049E2" w:rsidP="005621F4">
      <w:pPr>
        <w:spacing w:line="240" w:lineRule="auto"/>
        <w:ind w:left="567" w:right="539"/>
        <w:rPr>
          <w:rFonts w:eastAsia="Palatino Linotype"/>
          <w:i/>
          <w:szCs w:val="22"/>
        </w:rPr>
      </w:pPr>
      <w:r w:rsidRPr="005621F4">
        <w:rPr>
          <w:rFonts w:eastAsia="Palatino Linotype"/>
          <w:b/>
          <w:i/>
          <w:szCs w:val="22"/>
        </w:rPr>
        <w:t>“Artículo 5</w:t>
      </w:r>
      <w:r w:rsidRPr="005621F4">
        <w:rPr>
          <w:rFonts w:eastAsia="Palatino Linotype"/>
          <w:i/>
          <w:szCs w:val="22"/>
        </w:rPr>
        <w:t xml:space="preserve">.- </w:t>
      </w:r>
    </w:p>
    <w:p w14:paraId="1D3829F4" w14:textId="77777777" w:rsidR="00C049E2" w:rsidRPr="005621F4" w:rsidRDefault="00C049E2" w:rsidP="005621F4">
      <w:pPr>
        <w:spacing w:line="240" w:lineRule="auto"/>
        <w:ind w:left="567" w:right="539"/>
        <w:rPr>
          <w:rFonts w:eastAsia="Palatino Linotype"/>
          <w:i/>
          <w:szCs w:val="22"/>
        </w:rPr>
      </w:pPr>
      <w:r w:rsidRPr="005621F4">
        <w:rPr>
          <w:rFonts w:eastAsia="Palatino Linotype"/>
          <w:i/>
          <w:szCs w:val="22"/>
        </w:rPr>
        <w:t>(…)</w:t>
      </w:r>
    </w:p>
    <w:p w14:paraId="0EAE47FD" w14:textId="77777777" w:rsidR="00C049E2" w:rsidRPr="005621F4" w:rsidRDefault="00C049E2" w:rsidP="005621F4">
      <w:pPr>
        <w:spacing w:line="240" w:lineRule="auto"/>
        <w:ind w:left="567" w:right="539"/>
        <w:rPr>
          <w:rFonts w:eastAsia="Palatino Linotype"/>
          <w:i/>
          <w:szCs w:val="22"/>
        </w:rPr>
      </w:pPr>
      <w:r w:rsidRPr="005621F4">
        <w:rPr>
          <w:rFonts w:eastAsia="Palatino Linotype"/>
          <w:b/>
          <w:i/>
          <w:szCs w:val="22"/>
        </w:rPr>
        <w:t>El derecho a la información será garantizado por el Estado. La ley establecerá las previsiones que permitan asegurar la protección, el respeto y la difusión de este derecho</w:t>
      </w:r>
      <w:r w:rsidRPr="005621F4">
        <w:rPr>
          <w:rFonts w:eastAsia="Palatino Linotype"/>
          <w:i/>
          <w:szCs w:val="22"/>
        </w:rPr>
        <w:t>.</w:t>
      </w:r>
    </w:p>
    <w:p w14:paraId="4F0C804A" w14:textId="77777777" w:rsidR="00C049E2" w:rsidRPr="005621F4" w:rsidRDefault="00C049E2" w:rsidP="005621F4">
      <w:pPr>
        <w:spacing w:line="240" w:lineRule="auto"/>
        <w:ind w:left="567" w:right="539"/>
        <w:rPr>
          <w:rFonts w:eastAsia="Palatino Linotype"/>
          <w:i/>
          <w:szCs w:val="22"/>
        </w:rPr>
      </w:pPr>
      <w:r w:rsidRPr="005621F4">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621F4" w:rsidRDefault="00C049E2" w:rsidP="005621F4">
      <w:pPr>
        <w:spacing w:line="240" w:lineRule="auto"/>
        <w:ind w:left="567" w:right="539"/>
        <w:rPr>
          <w:rFonts w:eastAsia="Palatino Linotype"/>
          <w:i/>
          <w:szCs w:val="22"/>
        </w:rPr>
      </w:pPr>
      <w:r w:rsidRPr="005621F4">
        <w:rPr>
          <w:rFonts w:eastAsia="Palatino Linotype"/>
          <w:b/>
          <w:i/>
          <w:szCs w:val="22"/>
        </w:rPr>
        <w:t>Este derecho se regirá por los principios y bases siguientes</w:t>
      </w:r>
      <w:r w:rsidRPr="005621F4">
        <w:rPr>
          <w:rFonts w:eastAsia="Palatino Linotype"/>
          <w:i/>
          <w:szCs w:val="22"/>
        </w:rPr>
        <w:t>:</w:t>
      </w:r>
    </w:p>
    <w:p w14:paraId="4A3E8CBA" w14:textId="77777777" w:rsidR="00C049E2" w:rsidRPr="005621F4" w:rsidRDefault="00C049E2" w:rsidP="005621F4">
      <w:pPr>
        <w:spacing w:line="240" w:lineRule="auto"/>
        <w:ind w:left="567" w:right="539"/>
        <w:rPr>
          <w:rFonts w:eastAsia="Palatino Linotype"/>
          <w:i/>
          <w:szCs w:val="22"/>
        </w:rPr>
      </w:pPr>
      <w:r w:rsidRPr="005621F4">
        <w:rPr>
          <w:rFonts w:eastAsia="Palatino Linotype"/>
          <w:b/>
          <w:i/>
          <w:szCs w:val="22"/>
        </w:rPr>
        <w:t>I. Toda la información en posesión de cualquier autoridad, entidad, órgano y organismos de los</w:t>
      </w:r>
      <w:r w:rsidRPr="005621F4">
        <w:rPr>
          <w:rFonts w:eastAsia="Palatino Linotype"/>
          <w:i/>
          <w:szCs w:val="22"/>
        </w:rPr>
        <w:t xml:space="preserve"> Poderes Ejecutivo, Legislativo y Judicial, órganos autónomos, partidos políticos, fideicomisos y fondos públicos estatales y </w:t>
      </w:r>
      <w:r w:rsidRPr="005621F4">
        <w:rPr>
          <w:rFonts w:eastAsia="Palatino Linotype"/>
          <w:b/>
          <w:i/>
          <w:szCs w:val="22"/>
        </w:rPr>
        <w:t>municipales</w:t>
      </w:r>
      <w:r w:rsidRPr="005621F4">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621F4">
        <w:rPr>
          <w:rFonts w:eastAsia="Palatino Linotype"/>
          <w:b/>
          <w:i/>
          <w:szCs w:val="22"/>
        </w:rPr>
        <w:t>es pública</w:t>
      </w:r>
      <w:r w:rsidRPr="005621F4">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5621F4">
        <w:rPr>
          <w:rFonts w:eastAsia="Palatino Linotype"/>
          <w:b/>
          <w:i/>
          <w:szCs w:val="22"/>
        </w:rPr>
        <w:t>En la interpretación de este derecho deberá prevalecer el principio de máxima publicidad</w:t>
      </w:r>
      <w:r w:rsidRPr="005621F4">
        <w:rPr>
          <w:rFonts w:eastAsia="Palatino Linotype"/>
          <w:i/>
          <w:szCs w:val="22"/>
        </w:rPr>
        <w:t xml:space="preserve">. </w:t>
      </w:r>
      <w:r w:rsidRPr="005621F4">
        <w:rPr>
          <w:rFonts w:eastAsia="Palatino Linotype"/>
          <w:b/>
          <w:i/>
          <w:szCs w:val="22"/>
        </w:rPr>
        <w:t>Los sujetos obligados deberán documentar todo acto que derive del ejercicio de sus facultades, competencias o funciones</w:t>
      </w:r>
      <w:r w:rsidRPr="005621F4">
        <w:rPr>
          <w:rFonts w:eastAsia="Palatino Linotype"/>
          <w:i/>
          <w:szCs w:val="22"/>
        </w:rPr>
        <w:t>, la ley determinará los supuestos específicos bajo los cuales procederá la declaración de inexistencia de la información.”</w:t>
      </w:r>
    </w:p>
    <w:p w14:paraId="5CA98E37" w14:textId="77777777" w:rsidR="00C049E2" w:rsidRPr="005621F4" w:rsidRDefault="00C049E2" w:rsidP="005621F4">
      <w:pPr>
        <w:rPr>
          <w:rFonts w:eastAsia="Palatino Linotype"/>
          <w:b/>
          <w:i/>
          <w:szCs w:val="22"/>
        </w:rPr>
      </w:pPr>
    </w:p>
    <w:p w14:paraId="6FC1BB3B" w14:textId="3BF4A33D" w:rsidR="00C049E2" w:rsidRPr="005621F4" w:rsidRDefault="00717E59" w:rsidP="005621F4">
      <w:pPr>
        <w:rPr>
          <w:rFonts w:eastAsia="Palatino Linotype"/>
          <w:i/>
          <w:szCs w:val="22"/>
        </w:rPr>
      </w:pPr>
      <w:r w:rsidRPr="005621F4">
        <w:rPr>
          <w:rFonts w:eastAsia="Palatino Linotype"/>
          <w:szCs w:val="22"/>
        </w:rPr>
        <w:t xml:space="preserve">Asimismo, </w:t>
      </w:r>
      <w:r w:rsidR="00C049E2" w:rsidRPr="005621F4">
        <w:rPr>
          <w:rFonts w:eastAsia="Palatino Linotype"/>
          <w:szCs w:val="22"/>
        </w:rPr>
        <w:t>el artículo 150 de la Ley de Transparencia y Acceso a la Información Pública del Estado de México y Municipios</w:t>
      </w:r>
      <w:r w:rsidR="00057B2D" w:rsidRPr="005621F4">
        <w:rPr>
          <w:rFonts w:eastAsia="Palatino Linotype"/>
          <w:szCs w:val="22"/>
        </w:rPr>
        <w:t xml:space="preserve"> </w:t>
      </w:r>
      <w:r w:rsidR="00E9335C" w:rsidRPr="005621F4">
        <w:rPr>
          <w:rFonts w:eastAsia="Palatino Linotype"/>
          <w:szCs w:val="22"/>
        </w:rPr>
        <w:t xml:space="preserve">indica </w:t>
      </w:r>
      <w:r w:rsidR="00057B2D" w:rsidRPr="005621F4">
        <w:rPr>
          <w:rFonts w:eastAsia="Palatino Linotype"/>
          <w:szCs w:val="22"/>
        </w:rPr>
        <w:t>que</w:t>
      </w:r>
      <w:r w:rsidR="00C049E2" w:rsidRPr="005621F4">
        <w:rPr>
          <w:rFonts w:eastAsia="Palatino Linotype"/>
          <w:szCs w:val="22"/>
        </w:rPr>
        <w:t xml:space="preserve"> la solicitud es la garantía primaria del Derecho de Acceso a la Información, además, establece que se regirá </w:t>
      </w:r>
      <w:r w:rsidR="00C049E2" w:rsidRPr="005621F4">
        <w:rPr>
          <w:rFonts w:eastAsia="Palatino Linotype"/>
          <w:i/>
          <w:szCs w:val="22"/>
        </w:rPr>
        <w:t>por los principios de simplicidad, rapidez</w:t>
      </w:r>
      <w:r w:rsidR="005F65B7" w:rsidRPr="005621F4">
        <w:rPr>
          <w:rFonts w:eastAsia="Palatino Linotype"/>
          <w:i/>
          <w:szCs w:val="22"/>
        </w:rPr>
        <w:t>,</w:t>
      </w:r>
      <w:r w:rsidR="00C049E2" w:rsidRPr="005621F4">
        <w:rPr>
          <w:rFonts w:eastAsia="Palatino Linotype"/>
          <w:i/>
          <w:szCs w:val="22"/>
        </w:rPr>
        <w:t xml:space="preserve"> gratuidad del procedimiento, auxilio y orientación a los particulare</w:t>
      </w:r>
      <w:r w:rsidR="001A58B3" w:rsidRPr="005621F4">
        <w:rPr>
          <w:rFonts w:eastAsia="Palatino Linotype"/>
          <w:i/>
          <w:szCs w:val="22"/>
        </w:rPr>
        <w:t>s.</w:t>
      </w:r>
    </w:p>
    <w:p w14:paraId="033466A6" w14:textId="77777777" w:rsidR="001A58B3" w:rsidRPr="005621F4" w:rsidRDefault="001A58B3" w:rsidP="005621F4">
      <w:pPr>
        <w:rPr>
          <w:rFonts w:eastAsia="Palatino Linotype"/>
          <w:i/>
          <w:szCs w:val="22"/>
        </w:rPr>
      </w:pPr>
    </w:p>
    <w:p w14:paraId="04ADA10B" w14:textId="574A944A" w:rsidR="001A58B3" w:rsidRPr="005621F4" w:rsidRDefault="00233F17" w:rsidP="005621F4">
      <w:pPr>
        <w:rPr>
          <w:rFonts w:eastAsia="Palatino Linotype" w:cs="Palatino Linotype"/>
          <w:i/>
          <w:szCs w:val="22"/>
        </w:rPr>
      </w:pPr>
      <w:r w:rsidRPr="005621F4">
        <w:rPr>
          <w:rFonts w:eastAsia="Palatino Linotype" w:cs="Palatino Linotype"/>
          <w:szCs w:val="22"/>
        </w:rPr>
        <w:t xml:space="preserve">Por su parte, el artículo 4 de </w:t>
      </w:r>
      <w:r w:rsidR="001A58B3" w:rsidRPr="005621F4">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621F4">
        <w:rPr>
          <w:rFonts w:eastAsia="Palatino Linotype" w:cs="Palatino Linotype"/>
          <w:szCs w:val="22"/>
        </w:rPr>
        <w:t>.</w:t>
      </w:r>
    </w:p>
    <w:p w14:paraId="1407DBB8" w14:textId="77777777" w:rsidR="001A58B3" w:rsidRPr="005621F4" w:rsidRDefault="001A58B3" w:rsidP="005621F4">
      <w:pPr>
        <w:rPr>
          <w:rFonts w:eastAsia="Palatino Linotype" w:cs="Palatino Linotype"/>
          <w:szCs w:val="22"/>
        </w:rPr>
      </w:pPr>
    </w:p>
    <w:p w14:paraId="7552AA79" w14:textId="5C52E4A4" w:rsidR="001A58B3" w:rsidRPr="005621F4" w:rsidRDefault="001A58B3" w:rsidP="005621F4">
      <w:pPr>
        <w:rPr>
          <w:rFonts w:eastAsia="Palatino Linotype" w:cs="Palatino Linotype"/>
          <w:szCs w:val="22"/>
        </w:rPr>
      </w:pPr>
      <w:r w:rsidRPr="005621F4">
        <w:rPr>
          <w:rFonts w:eastAsia="Palatino Linotype" w:cs="Palatino Linotype"/>
          <w:szCs w:val="22"/>
        </w:rPr>
        <w:t xml:space="preserve">Esto es, que los Sujetos Obligados </w:t>
      </w:r>
      <w:r w:rsidR="00FA5957" w:rsidRPr="005621F4">
        <w:rPr>
          <w:rFonts w:eastAsia="Palatino Linotype" w:cs="Palatino Linotype"/>
          <w:szCs w:val="22"/>
        </w:rPr>
        <w:t>deben</w:t>
      </w:r>
      <w:r w:rsidRPr="005621F4">
        <w:rPr>
          <w:rFonts w:eastAsia="Palatino Linotype" w:cs="Palatino Linotype"/>
          <w:szCs w:val="22"/>
        </w:rPr>
        <w:t xml:space="preserve"> atender las solicitudes de acceso a la información pública que se les </w:t>
      </w:r>
      <w:r w:rsidR="00FA5957" w:rsidRPr="005621F4">
        <w:rPr>
          <w:rFonts w:eastAsia="Palatino Linotype" w:cs="Palatino Linotype"/>
          <w:szCs w:val="22"/>
        </w:rPr>
        <w:t>sean realizadas,</w:t>
      </w:r>
      <w:r w:rsidRPr="005621F4">
        <w:rPr>
          <w:rFonts w:eastAsia="Palatino Linotype" w:cs="Palatino Linotype"/>
          <w:szCs w:val="22"/>
        </w:rPr>
        <w:t xml:space="preserve"> y proporcionar la información pública que obre en su poder</w:t>
      </w:r>
      <w:r w:rsidR="00FA5957" w:rsidRPr="005621F4">
        <w:rPr>
          <w:rFonts w:eastAsia="Palatino Linotype" w:cs="Palatino Linotype"/>
          <w:szCs w:val="22"/>
        </w:rPr>
        <w:t>,</w:t>
      </w:r>
      <w:r w:rsidRPr="005621F4">
        <w:rPr>
          <w:rFonts w:eastAsia="Palatino Linotype" w:cs="Palatino Linotype"/>
          <w:szCs w:val="22"/>
        </w:rPr>
        <w:t xml:space="preserve"> conforme </w:t>
      </w:r>
      <w:r w:rsidR="00FA5957" w:rsidRPr="005621F4">
        <w:rPr>
          <w:rFonts w:eastAsia="Palatino Linotype" w:cs="Palatino Linotype"/>
          <w:szCs w:val="22"/>
        </w:rPr>
        <w:t>a</w:t>
      </w:r>
      <w:r w:rsidRPr="005621F4">
        <w:rPr>
          <w:rFonts w:eastAsia="Palatino Linotype" w:cs="Palatino Linotype"/>
          <w:szCs w:val="22"/>
        </w:rPr>
        <w:t xml:space="preserve">l estado </w:t>
      </w:r>
      <w:r w:rsidR="00FA5957" w:rsidRPr="005621F4">
        <w:rPr>
          <w:rFonts w:eastAsia="Palatino Linotype" w:cs="Palatino Linotype"/>
          <w:szCs w:val="22"/>
        </w:rPr>
        <w:t xml:space="preserve">en </w:t>
      </w:r>
      <w:r w:rsidRPr="005621F4">
        <w:rPr>
          <w:rFonts w:eastAsia="Palatino Linotype" w:cs="Palatino Linotype"/>
          <w:szCs w:val="22"/>
        </w:rPr>
        <w:t>que se encuentr</w:t>
      </w:r>
      <w:r w:rsidR="00FA5957" w:rsidRPr="005621F4">
        <w:rPr>
          <w:rFonts w:eastAsia="Palatino Linotype" w:cs="Palatino Linotype"/>
          <w:szCs w:val="22"/>
        </w:rPr>
        <w:t>e, sin que sea necesario</w:t>
      </w:r>
      <w:r w:rsidRPr="005621F4">
        <w:rPr>
          <w:rFonts w:eastAsia="Palatino Linotype" w:cs="Palatino Linotype"/>
          <w:szCs w:val="22"/>
        </w:rPr>
        <w:t xml:space="preserve"> </w:t>
      </w:r>
      <w:r w:rsidR="00FA5957" w:rsidRPr="005621F4">
        <w:rPr>
          <w:rFonts w:eastAsia="Palatino Linotype" w:cs="Palatino Linotype"/>
          <w:szCs w:val="22"/>
        </w:rPr>
        <w:t>procesar</w:t>
      </w:r>
      <w:r w:rsidRPr="005621F4">
        <w:rPr>
          <w:rFonts w:eastAsia="Palatino Linotype" w:cs="Palatino Linotype"/>
          <w:szCs w:val="22"/>
        </w:rPr>
        <w:t xml:space="preserve"> la misma, ni presentarla conforme al interés del solicitante; </w:t>
      </w:r>
      <w:r w:rsidR="00FA5957" w:rsidRPr="005621F4">
        <w:rPr>
          <w:rFonts w:eastAsia="Palatino Linotype" w:cs="Palatino Linotype"/>
          <w:szCs w:val="22"/>
        </w:rPr>
        <w:t>tal y como</w:t>
      </w:r>
      <w:r w:rsidRPr="005621F4">
        <w:rPr>
          <w:rFonts w:eastAsia="Palatino Linotype" w:cs="Palatino Linotype"/>
          <w:szCs w:val="22"/>
        </w:rPr>
        <w:t xml:space="preserve"> lo establece el artículo 12 de la Ley de Transparencia y Acceso a la Información Pública del Estado de México y Municipios</w:t>
      </w:r>
      <w:r w:rsidR="00970EB3" w:rsidRPr="005621F4">
        <w:rPr>
          <w:rFonts w:eastAsia="Palatino Linotype" w:cs="Palatino Linotype"/>
          <w:szCs w:val="22"/>
        </w:rPr>
        <w:t>.</w:t>
      </w:r>
    </w:p>
    <w:p w14:paraId="73245195" w14:textId="77777777" w:rsidR="00970EB3" w:rsidRPr="005621F4" w:rsidRDefault="00970EB3" w:rsidP="005621F4">
      <w:pPr>
        <w:rPr>
          <w:rFonts w:eastAsia="Palatino Linotype" w:cs="Palatino Linotype"/>
          <w:szCs w:val="22"/>
        </w:rPr>
      </w:pPr>
    </w:p>
    <w:p w14:paraId="7F62D4DF" w14:textId="775730E1" w:rsidR="001A58B3" w:rsidRPr="005621F4" w:rsidRDefault="001A58B3" w:rsidP="005621F4">
      <w:pPr>
        <w:rPr>
          <w:rFonts w:eastAsia="Palatino Linotype" w:cs="Palatino Linotype"/>
          <w:szCs w:val="22"/>
        </w:rPr>
      </w:pPr>
      <w:r w:rsidRPr="005621F4">
        <w:rPr>
          <w:rFonts w:eastAsia="Palatino Linotype" w:cs="Palatino Linotype"/>
          <w:szCs w:val="22"/>
        </w:rPr>
        <w:t>Es decir, que todo sujeto obligado que genere, recopile, administre, procese, archive, posea o conserven, son responsables de la misma</w:t>
      </w:r>
      <w:r w:rsidR="00970EB3" w:rsidRPr="005621F4">
        <w:rPr>
          <w:rFonts w:eastAsia="Palatino Linotype" w:cs="Palatino Linotype"/>
          <w:szCs w:val="22"/>
        </w:rPr>
        <w:t>,</w:t>
      </w:r>
      <w:r w:rsidRPr="005621F4">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5621F4">
        <w:rPr>
          <w:rFonts w:eastAsia="Palatino Linotype" w:cs="Palatino Linotype"/>
          <w:szCs w:val="22"/>
        </w:rPr>
        <w:t>o</w:t>
      </w:r>
      <w:r w:rsidRPr="005621F4">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621F4" w:rsidRDefault="001A58B3" w:rsidP="005621F4">
      <w:pPr>
        <w:rPr>
          <w:rFonts w:eastAsia="Palatino Linotype" w:cs="Palatino Linotype"/>
          <w:szCs w:val="22"/>
        </w:rPr>
      </w:pPr>
    </w:p>
    <w:p w14:paraId="04E42DFE" w14:textId="573F1198" w:rsidR="001A58B3" w:rsidRPr="005621F4" w:rsidRDefault="001A58B3" w:rsidP="005621F4">
      <w:pPr>
        <w:rPr>
          <w:rFonts w:eastAsia="Palatino Linotype" w:cs="Palatino Linotype"/>
          <w:szCs w:val="22"/>
        </w:rPr>
      </w:pPr>
      <w:r w:rsidRPr="005621F4">
        <w:rPr>
          <w:rFonts w:eastAsia="Palatino Linotype" w:cs="Palatino Linotype"/>
          <w:szCs w:val="22"/>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5621F4">
        <w:rPr>
          <w:rFonts w:eastAsia="Palatino Linotype" w:cs="Palatino Linotype"/>
          <w:szCs w:val="22"/>
        </w:rPr>
        <w:lastRenderedPageBreak/>
        <w:t>garantizar el Derecho de Acceso a la Información Pública</w:t>
      </w:r>
      <w:r w:rsidR="00331F35" w:rsidRPr="005621F4">
        <w:rPr>
          <w:rFonts w:eastAsia="Palatino Linotype" w:cs="Palatino Linotype"/>
          <w:szCs w:val="22"/>
        </w:rPr>
        <w:t>, s</w:t>
      </w:r>
      <w:r w:rsidRPr="005621F4">
        <w:rPr>
          <w:rFonts w:eastAsia="Palatino Linotype" w:cs="Palatino Linotype"/>
          <w:szCs w:val="22"/>
        </w:rPr>
        <w:t xml:space="preserve">iempre y cuando no se trate de información reservada o </w:t>
      </w:r>
      <w:r w:rsidR="00331F35" w:rsidRPr="005621F4">
        <w:rPr>
          <w:rFonts w:eastAsia="Palatino Linotype" w:cs="Palatino Linotype"/>
          <w:szCs w:val="22"/>
        </w:rPr>
        <w:t>confidencial.</w:t>
      </w:r>
    </w:p>
    <w:p w14:paraId="40C5219F" w14:textId="77777777" w:rsidR="001A58B3" w:rsidRPr="005621F4" w:rsidRDefault="001A58B3" w:rsidP="005621F4">
      <w:pPr>
        <w:rPr>
          <w:rFonts w:eastAsia="Palatino Linotype" w:cs="Palatino Linotype"/>
          <w:szCs w:val="22"/>
        </w:rPr>
      </w:pPr>
    </w:p>
    <w:p w14:paraId="2E629608" w14:textId="01727E15" w:rsidR="00C049E2" w:rsidRPr="005621F4" w:rsidRDefault="006067C7" w:rsidP="005621F4">
      <w:pPr>
        <w:rPr>
          <w:rFonts w:eastAsia="Palatino Linotype"/>
          <w:szCs w:val="22"/>
        </w:rPr>
      </w:pPr>
      <w:bookmarkStart w:id="34" w:name="_heading=h.2s8eyo1" w:colFirst="0" w:colLast="0"/>
      <w:bookmarkEnd w:id="34"/>
      <w:r w:rsidRPr="005621F4">
        <w:rPr>
          <w:rFonts w:eastAsia="Palatino Linotype"/>
          <w:szCs w:val="22"/>
        </w:rPr>
        <w:t>Con base en lo anterior</w:t>
      </w:r>
      <w:r w:rsidR="00B22A80" w:rsidRPr="005621F4">
        <w:rPr>
          <w:rFonts w:eastAsia="Palatino Linotype"/>
          <w:szCs w:val="22"/>
        </w:rPr>
        <w:t>, se considera que</w:t>
      </w:r>
      <w:r w:rsidR="00C049E2" w:rsidRPr="005621F4">
        <w:rPr>
          <w:rFonts w:eastAsia="Palatino Linotype"/>
          <w:szCs w:val="22"/>
        </w:rPr>
        <w:t xml:space="preserve"> </w:t>
      </w:r>
      <w:r w:rsidR="00B22A80" w:rsidRPr="005621F4">
        <w:rPr>
          <w:rFonts w:eastAsia="Palatino Linotype"/>
          <w:b/>
          <w:bCs/>
          <w:szCs w:val="22"/>
        </w:rPr>
        <w:t>EL</w:t>
      </w:r>
      <w:r w:rsidR="00C049E2" w:rsidRPr="005621F4">
        <w:rPr>
          <w:rFonts w:eastAsia="Palatino Linotype"/>
          <w:szCs w:val="22"/>
        </w:rPr>
        <w:t xml:space="preserve"> </w:t>
      </w:r>
      <w:r w:rsidR="00C049E2" w:rsidRPr="005621F4">
        <w:rPr>
          <w:rFonts w:eastAsia="Palatino Linotype"/>
          <w:b/>
          <w:szCs w:val="22"/>
        </w:rPr>
        <w:t>SUJETO OBLIGADO</w:t>
      </w:r>
      <w:r w:rsidR="00C049E2" w:rsidRPr="005621F4">
        <w:rPr>
          <w:rFonts w:eastAsia="Palatino Linotype"/>
          <w:szCs w:val="22"/>
        </w:rPr>
        <w:t xml:space="preserve"> </w:t>
      </w:r>
      <w:r w:rsidR="00B22A80" w:rsidRPr="005621F4">
        <w:rPr>
          <w:rFonts w:eastAsia="Palatino Linotype"/>
          <w:szCs w:val="22"/>
        </w:rPr>
        <w:t xml:space="preserve">se </w:t>
      </w:r>
      <w:r w:rsidR="00717E59" w:rsidRPr="005621F4">
        <w:rPr>
          <w:rFonts w:eastAsia="Palatino Linotype"/>
          <w:szCs w:val="22"/>
        </w:rPr>
        <w:t>encontraba</w:t>
      </w:r>
      <w:r w:rsidR="00B22A80" w:rsidRPr="005621F4">
        <w:rPr>
          <w:rFonts w:eastAsia="Palatino Linotype"/>
          <w:szCs w:val="22"/>
        </w:rPr>
        <w:t xml:space="preserve"> compelido a</w:t>
      </w:r>
      <w:r w:rsidR="00C049E2" w:rsidRPr="005621F4">
        <w:rPr>
          <w:rFonts w:eastAsia="Palatino Linotype"/>
          <w:szCs w:val="22"/>
        </w:rPr>
        <w:t xml:space="preserve"> atender la solicitud de acceso a la información </w:t>
      </w:r>
      <w:r w:rsidR="00B22A80" w:rsidRPr="005621F4">
        <w:rPr>
          <w:rFonts w:eastAsia="Palatino Linotype"/>
          <w:szCs w:val="22"/>
        </w:rPr>
        <w:t xml:space="preserve">realizada por </w:t>
      </w:r>
      <w:r w:rsidR="00B22A80" w:rsidRPr="005621F4">
        <w:rPr>
          <w:rFonts w:eastAsia="Palatino Linotype"/>
          <w:b/>
          <w:bCs/>
          <w:szCs w:val="22"/>
        </w:rPr>
        <w:t>LA PARTE RECURRENTE</w:t>
      </w:r>
      <w:r w:rsidR="00331F35" w:rsidRPr="005621F4">
        <w:rPr>
          <w:rFonts w:eastAsia="Palatino Linotype"/>
          <w:szCs w:val="22"/>
        </w:rPr>
        <w:t>.</w:t>
      </w:r>
    </w:p>
    <w:p w14:paraId="1611F147" w14:textId="77777777" w:rsidR="00BD5A7C" w:rsidRPr="005621F4" w:rsidRDefault="00BD5A7C" w:rsidP="005621F4">
      <w:pPr>
        <w:rPr>
          <w:rFonts w:eastAsia="Palatino Linotype"/>
          <w:szCs w:val="22"/>
        </w:rPr>
      </w:pPr>
    </w:p>
    <w:p w14:paraId="51A0E8B4" w14:textId="68A3EEF1" w:rsidR="00664420" w:rsidRPr="005621F4" w:rsidRDefault="00C71CEF" w:rsidP="005621F4">
      <w:pPr>
        <w:pStyle w:val="Ttulo3"/>
        <w:rPr>
          <w:rFonts w:eastAsia="Calibri"/>
          <w:szCs w:val="22"/>
          <w:lang w:eastAsia="es-ES_tradnl"/>
        </w:rPr>
      </w:pPr>
      <w:bookmarkStart w:id="35" w:name="_Toc178766471"/>
      <w:r w:rsidRPr="005621F4">
        <w:rPr>
          <w:rFonts w:eastAsia="Calibri"/>
          <w:szCs w:val="22"/>
          <w:lang w:eastAsia="es-ES_tradnl"/>
        </w:rPr>
        <w:t>b)</w:t>
      </w:r>
      <w:r w:rsidR="00A53315" w:rsidRPr="005621F4">
        <w:rPr>
          <w:rFonts w:eastAsia="Calibri"/>
          <w:szCs w:val="22"/>
          <w:lang w:eastAsia="es-ES_tradnl"/>
        </w:rPr>
        <w:t xml:space="preserve"> </w:t>
      </w:r>
      <w:r w:rsidR="00A21A20" w:rsidRPr="005621F4">
        <w:rPr>
          <w:rFonts w:eastAsia="Calibri"/>
          <w:szCs w:val="22"/>
          <w:lang w:eastAsia="es-ES_tradnl"/>
        </w:rPr>
        <w:t>Controversia a resolver</w:t>
      </w:r>
      <w:r w:rsidR="00507B2E" w:rsidRPr="005621F4">
        <w:rPr>
          <w:rFonts w:eastAsia="Calibri"/>
          <w:szCs w:val="22"/>
          <w:lang w:eastAsia="es-ES_tradnl"/>
        </w:rPr>
        <w:t>.</w:t>
      </w:r>
      <w:bookmarkEnd w:id="35"/>
    </w:p>
    <w:p w14:paraId="5DAE2A65" w14:textId="7E1AE281" w:rsidR="00664420" w:rsidRPr="005621F4" w:rsidRDefault="00664420" w:rsidP="005621F4">
      <w:pPr>
        <w:rPr>
          <w:rFonts w:eastAsia="Calibri"/>
          <w:szCs w:val="22"/>
          <w:lang w:eastAsia="es-ES_tradnl"/>
        </w:rPr>
      </w:pPr>
      <w:r w:rsidRPr="005621F4">
        <w:rPr>
          <w:rFonts w:eastAsia="Calibri"/>
          <w:szCs w:val="22"/>
          <w:lang w:eastAsia="es-ES_tradnl"/>
        </w:rPr>
        <w:t xml:space="preserve">Con el objeto de ilustrar la controversia planteada, resulta conveniente precisar que, una vez realizado el estudio de las constancias que integran el expediente en que se actúa, se </w:t>
      </w:r>
      <w:r w:rsidR="003959B2" w:rsidRPr="005621F4">
        <w:rPr>
          <w:rFonts w:eastAsia="Calibri"/>
          <w:szCs w:val="22"/>
          <w:lang w:eastAsia="es-ES_tradnl"/>
        </w:rPr>
        <w:t>entiende</w:t>
      </w:r>
      <w:r w:rsidR="008E17B8" w:rsidRPr="005621F4">
        <w:rPr>
          <w:rFonts w:eastAsia="Calibri"/>
          <w:szCs w:val="22"/>
          <w:lang w:eastAsia="es-ES_tradnl"/>
        </w:rPr>
        <w:t xml:space="preserve"> que</w:t>
      </w:r>
      <w:r w:rsidRPr="005621F4">
        <w:rPr>
          <w:rFonts w:eastAsia="Calibri"/>
          <w:szCs w:val="22"/>
          <w:lang w:eastAsia="es-ES_tradnl"/>
        </w:rPr>
        <w:t xml:space="preserve"> </w:t>
      </w:r>
      <w:r w:rsidR="005D5A50" w:rsidRPr="005621F4">
        <w:rPr>
          <w:rFonts w:eastAsia="Calibri"/>
          <w:b/>
          <w:bCs/>
          <w:szCs w:val="22"/>
          <w:lang w:eastAsia="es-ES_tradnl"/>
        </w:rPr>
        <w:t>LA PARTE RECURRENTE</w:t>
      </w:r>
      <w:r w:rsidRPr="005621F4">
        <w:rPr>
          <w:rFonts w:eastAsia="Calibri"/>
          <w:szCs w:val="22"/>
          <w:lang w:eastAsia="es-ES_tradnl"/>
        </w:rPr>
        <w:t xml:space="preserve"> </w:t>
      </w:r>
      <w:r w:rsidR="008E17B8" w:rsidRPr="005621F4">
        <w:rPr>
          <w:rFonts w:eastAsia="Calibri"/>
          <w:szCs w:val="22"/>
          <w:lang w:eastAsia="es-ES_tradnl"/>
        </w:rPr>
        <w:t xml:space="preserve">requirió </w:t>
      </w:r>
      <w:r w:rsidRPr="005621F4">
        <w:rPr>
          <w:rFonts w:eastAsia="Calibri"/>
          <w:szCs w:val="22"/>
          <w:lang w:eastAsia="es-ES_tradnl"/>
        </w:rPr>
        <w:t>lo siguiente:</w:t>
      </w:r>
    </w:p>
    <w:p w14:paraId="1770231A" w14:textId="77777777" w:rsidR="00A94088" w:rsidRPr="005621F4" w:rsidRDefault="00A94088" w:rsidP="005621F4">
      <w:pPr>
        <w:rPr>
          <w:rFonts w:eastAsia="Calibri"/>
          <w:szCs w:val="22"/>
          <w:lang w:eastAsia="es-ES_tradnl"/>
        </w:rPr>
      </w:pPr>
    </w:p>
    <w:p w14:paraId="0057DE0F" w14:textId="2E002C70" w:rsidR="008E17B8" w:rsidRPr="005621F4" w:rsidRDefault="008E17B8" w:rsidP="005621F4">
      <w:pPr>
        <w:rPr>
          <w:rFonts w:eastAsia="Calibri"/>
          <w:szCs w:val="22"/>
          <w:lang w:eastAsia="es-ES_tradnl"/>
        </w:rPr>
      </w:pPr>
      <w:r w:rsidRPr="005621F4">
        <w:rPr>
          <w:rFonts w:eastAsia="Calibri"/>
          <w:szCs w:val="22"/>
          <w:lang w:eastAsia="es-ES_tradnl"/>
        </w:rPr>
        <w:t xml:space="preserve">Respecto a los operativos realizados al transporte público de enero a diciembre 2023, </w:t>
      </w:r>
      <w:r w:rsidRPr="005621F4">
        <w:rPr>
          <w:rFonts w:eastAsia="Calibri"/>
          <w:b/>
          <w:bCs/>
          <w:szCs w:val="22"/>
          <w:lang w:eastAsia="es-ES_tradnl"/>
        </w:rPr>
        <w:t>en las zonas de operación dos, tres y cuatro</w:t>
      </w:r>
      <w:r w:rsidRPr="005621F4">
        <w:rPr>
          <w:rFonts w:eastAsia="Calibri"/>
          <w:szCs w:val="22"/>
          <w:lang w:eastAsia="es-ES_tradnl"/>
        </w:rPr>
        <w:t>, los documentos donde conste:</w:t>
      </w:r>
    </w:p>
    <w:p w14:paraId="45EE95DA" w14:textId="77777777" w:rsidR="008E17B8" w:rsidRPr="005621F4" w:rsidRDefault="008E17B8" w:rsidP="005621F4">
      <w:pPr>
        <w:rPr>
          <w:rFonts w:eastAsia="Calibri"/>
          <w:szCs w:val="22"/>
          <w:lang w:eastAsia="es-ES_tradnl"/>
        </w:rPr>
      </w:pPr>
    </w:p>
    <w:p w14:paraId="2FEF368B" w14:textId="15BA6C07" w:rsidR="008E17B8" w:rsidRPr="005621F4" w:rsidRDefault="008E17B8" w:rsidP="005621F4">
      <w:pPr>
        <w:pStyle w:val="Prrafodelista"/>
        <w:numPr>
          <w:ilvl w:val="0"/>
          <w:numId w:val="42"/>
        </w:numPr>
        <w:rPr>
          <w:rFonts w:eastAsia="Calibri"/>
          <w:szCs w:val="22"/>
          <w:lang w:eastAsia="es-ES_tradnl"/>
        </w:rPr>
      </w:pPr>
      <w:r w:rsidRPr="005621F4">
        <w:rPr>
          <w:rFonts w:eastAsia="Calibri"/>
          <w:szCs w:val="22"/>
          <w:lang w:eastAsia="es-ES_tradnl"/>
        </w:rPr>
        <w:t>El número de</w:t>
      </w:r>
      <w:r w:rsidR="00507B2E" w:rsidRPr="005621F4">
        <w:rPr>
          <w:rFonts w:eastAsia="Calibri"/>
          <w:szCs w:val="22"/>
          <w:lang w:eastAsia="es-ES_tradnl"/>
        </w:rPr>
        <w:t xml:space="preserve"> operativos realizados al transporte públi</w:t>
      </w:r>
      <w:r w:rsidRPr="005621F4">
        <w:rPr>
          <w:rFonts w:eastAsia="Calibri"/>
          <w:szCs w:val="22"/>
          <w:lang w:eastAsia="es-ES_tradnl"/>
        </w:rPr>
        <w:t>co;</w:t>
      </w:r>
    </w:p>
    <w:p w14:paraId="0DE9F6A7" w14:textId="5F51AC2A" w:rsidR="007B49FA" w:rsidRPr="005621F4" w:rsidRDefault="007B49FA" w:rsidP="005621F4">
      <w:pPr>
        <w:pStyle w:val="Prrafodelista"/>
        <w:numPr>
          <w:ilvl w:val="0"/>
          <w:numId w:val="42"/>
        </w:numPr>
        <w:rPr>
          <w:rFonts w:eastAsia="Calibri"/>
          <w:szCs w:val="22"/>
          <w:lang w:eastAsia="es-ES_tradnl"/>
        </w:rPr>
      </w:pPr>
      <w:r w:rsidRPr="005621F4">
        <w:rPr>
          <w:rFonts w:eastAsia="Calibri"/>
          <w:szCs w:val="22"/>
          <w:lang w:eastAsia="es-ES_tradnl"/>
        </w:rPr>
        <w:t>El resultado de los operativos realizados al transporte público;</w:t>
      </w:r>
    </w:p>
    <w:p w14:paraId="2DB77233" w14:textId="3D22BA37" w:rsidR="00B82493" w:rsidRPr="005621F4" w:rsidRDefault="008E17B8" w:rsidP="005621F4">
      <w:pPr>
        <w:pStyle w:val="Prrafodelista"/>
        <w:numPr>
          <w:ilvl w:val="0"/>
          <w:numId w:val="42"/>
        </w:numPr>
        <w:rPr>
          <w:rFonts w:eastAsia="Calibri"/>
          <w:szCs w:val="22"/>
          <w:lang w:eastAsia="es-ES_tradnl"/>
        </w:rPr>
      </w:pPr>
      <w:r w:rsidRPr="005621F4">
        <w:rPr>
          <w:rFonts w:eastAsia="Calibri"/>
          <w:szCs w:val="22"/>
          <w:lang w:eastAsia="es-ES_tradnl"/>
        </w:rPr>
        <w:t>La relación de los</w:t>
      </w:r>
      <w:r w:rsidR="00507B2E" w:rsidRPr="005621F4">
        <w:rPr>
          <w:rFonts w:eastAsia="Calibri"/>
          <w:szCs w:val="22"/>
          <w:lang w:eastAsia="es-ES_tradnl"/>
        </w:rPr>
        <w:t xml:space="preserve"> vehículos </w:t>
      </w:r>
      <w:r w:rsidRPr="005621F4">
        <w:rPr>
          <w:rFonts w:eastAsia="Calibri"/>
          <w:szCs w:val="22"/>
          <w:lang w:eastAsia="es-ES_tradnl"/>
        </w:rPr>
        <w:t>donde se advierta la</w:t>
      </w:r>
      <w:r w:rsidR="00507B2E" w:rsidRPr="005621F4">
        <w:rPr>
          <w:rFonts w:eastAsia="Calibri"/>
          <w:szCs w:val="22"/>
          <w:lang w:eastAsia="es-ES_tradnl"/>
        </w:rPr>
        <w:t xml:space="preserve"> marca, submarca, </w:t>
      </w:r>
      <w:r w:rsidRPr="005621F4">
        <w:rPr>
          <w:rFonts w:eastAsia="Calibri"/>
          <w:szCs w:val="22"/>
          <w:lang w:eastAsia="es-ES_tradnl"/>
        </w:rPr>
        <w:t>número de placas,</w:t>
      </w:r>
      <w:r w:rsidR="00507B2E" w:rsidRPr="005621F4">
        <w:rPr>
          <w:rFonts w:eastAsia="Calibri"/>
          <w:szCs w:val="22"/>
          <w:lang w:eastAsia="es-ES_tradnl"/>
        </w:rPr>
        <w:t xml:space="preserve"> sanción, motivo </w:t>
      </w:r>
      <w:r w:rsidRPr="005621F4">
        <w:rPr>
          <w:rFonts w:eastAsia="Calibri"/>
          <w:szCs w:val="22"/>
          <w:lang w:eastAsia="es-ES_tradnl"/>
        </w:rPr>
        <w:t>de la detención y</w:t>
      </w:r>
      <w:r w:rsidR="00507B2E" w:rsidRPr="005621F4">
        <w:rPr>
          <w:rFonts w:eastAsia="Calibri"/>
          <w:szCs w:val="22"/>
          <w:lang w:eastAsia="es-ES_tradnl"/>
        </w:rPr>
        <w:t xml:space="preserve"> </w:t>
      </w:r>
      <w:r w:rsidR="00B82493" w:rsidRPr="005621F4">
        <w:rPr>
          <w:rFonts w:eastAsia="Calibri"/>
          <w:szCs w:val="22"/>
          <w:lang w:eastAsia="es-ES_tradnl"/>
        </w:rPr>
        <w:t>lugar al que</w:t>
      </w:r>
      <w:r w:rsidRPr="005621F4">
        <w:rPr>
          <w:rFonts w:eastAsia="Calibri"/>
          <w:szCs w:val="22"/>
          <w:lang w:eastAsia="es-ES_tradnl"/>
        </w:rPr>
        <w:t xml:space="preserve"> fueron trasladados.</w:t>
      </w:r>
    </w:p>
    <w:p w14:paraId="71A4ECEF" w14:textId="77777777" w:rsidR="00B82493" w:rsidRPr="005621F4" w:rsidRDefault="00B82493" w:rsidP="005621F4">
      <w:pPr>
        <w:rPr>
          <w:rFonts w:eastAsia="Calibri"/>
          <w:szCs w:val="22"/>
          <w:lang w:eastAsia="es-ES_tradnl"/>
        </w:rPr>
      </w:pPr>
    </w:p>
    <w:p w14:paraId="7FA066D4" w14:textId="0A9F7E95" w:rsidR="001C411D" w:rsidRPr="005621F4" w:rsidRDefault="001C411D" w:rsidP="005621F4">
      <w:pPr>
        <w:tabs>
          <w:tab w:val="left" w:pos="4962"/>
        </w:tabs>
        <w:contextualSpacing/>
        <w:rPr>
          <w:rFonts w:cs="Calibri"/>
        </w:rPr>
      </w:pPr>
      <w:r w:rsidRPr="005621F4">
        <w:rPr>
          <w:rFonts w:eastAsiaTheme="minorHAnsi" w:cs="Tahoma"/>
          <w:bCs/>
          <w:iCs/>
          <w:szCs w:val="22"/>
          <w:lang w:eastAsia="en-US"/>
        </w:rPr>
        <w:t xml:space="preserve">De manera homologada, en las respuestas de los recursos de revisión </w:t>
      </w:r>
      <w:r w:rsidRPr="005621F4">
        <w:rPr>
          <w:rFonts w:eastAsia="Calibri" w:cs="Tahoma"/>
          <w:szCs w:val="22"/>
          <w:lang w:eastAsia="en-US"/>
        </w:rPr>
        <w:t>se pronunci</w:t>
      </w:r>
      <w:r w:rsidR="003B47E7" w:rsidRPr="005621F4">
        <w:rPr>
          <w:rFonts w:eastAsia="Calibri" w:cs="Tahoma"/>
          <w:szCs w:val="22"/>
          <w:lang w:eastAsia="en-US"/>
        </w:rPr>
        <w:t xml:space="preserve">ó la Subsecretaría de Movilidad, dependencia que señaló su falta de atribuciones para realizar los operativos referidos por el solicitante; por su parte las Direcciones de Movilidad de las Zonas II dos, III tres y IV cuatro, refirieron que en atención a las pretensiones de </w:t>
      </w:r>
      <w:r w:rsidR="003B47E7" w:rsidRPr="005621F4">
        <w:rPr>
          <w:rFonts w:eastAsia="Calibri" w:cs="Tahoma"/>
          <w:b/>
          <w:szCs w:val="22"/>
          <w:lang w:eastAsia="en-US"/>
        </w:rPr>
        <w:t xml:space="preserve">LA PARTE RECURRENTE </w:t>
      </w:r>
      <w:r w:rsidR="003B47E7" w:rsidRPr="005621F4">
        <w:rPr>
          <w:rFonts w:eastAsia="Calibri" w:cs="Tahoma"/>
          <w:szCs w:val="22"/>
          <w:lang w:eastAsia="en-US"/>
        </w:rPr>
        <w:t>se adjunta la información con la que se cuenta</w:t>
      </w:r>
      <w:r w:rsidR="003E6CE9" w:rsidRPr="005621F4">
        <w:rPr>
          <w:rFonts w:eastAsia="Calibri" w:cs="Tahoma"/>
          <w:szCs w:val="22"/>
          <w:lang w:eastAsia="en-US"/>
        </w:rPr>
        <w:t xml:space="preserve">, facilitando diversos listados </w:t>
      </w:r>
      <w:r w:rsidR="00911907" w:rsidRPr="005621F4">
        <w:rPr>
          <w:rFonts w:eastAsia="Calibri" w:cs="Tahoma"/>
          <w:szCs w:val="22"/>
          <w:lang w:eastAsia="en-US"/>
        </w:rPr>
        <w:lastRenderedPageBreak/>
        <w:t>en los que se advierte una relación de operativos realizados frente a los vehículos sancionados, cada uno de manera distinta.</w:t>
      </w:r>
    </w:p>
    <w:p w14:paraId="31DD81D7" w14:textId="2A584A94" w:rsidR="00664420" w:rsidRPr="005621F4" w:rsidRDefault="00CF7586" w:rsidP="005621F4">
      <w:pPr>
        <w:tabs>
          <w:tab w:val="left" w:pos="4962"/>
        </w:tabs>
        <w:contextualSpacing/>
        <w:rPr>
          <w:rFonts w:eastAsiaTheme="minorHAnsi" w:cs="Tahoma"/>
          <w:bCs/>
          <w:iCs/>
          <w:szCs w:val="22"/>
          <w:lang w:eastAsia="en-US"/>
        </w:rPr>
      </w:pPr>
      <w:r w:rsidRPr="005621F4">
        <w:rPr>
          <w:rFonts w:eastAsiaTheme="minorHAnsi" w:cs="Tahoma"/>
          <w:bCs/>
          <w:iCs/>
          <w:szCs w:val="22"/>
          <w:lang w:eastAsia="en-US"/>
        </w:rPr>
        <w:t>Ahora bien, en la interposición de</w:t>
      </w:r>
      <w:r w:rsidR="00012D84" w:rsidRPr="005621F4">
        <w:rPr>
          <w:rFonts w:eastAsiaTheme="minorHAnsi" w:cs="Tahoma"/>
          <w:bCs/>
          <w:iCs/>
          <w:szCs w:val="22"/>
          <w:lang w:eastAsia="en-US"/>
        </w:rPr>
        <w:t xml:space="preserve"> </w:t>
      </w:r>
      <w:r w:rsidRPr="005621F4">
        <w:rPr>
          <w:rFonts w:eastAsiaTheme="minorHAnsi" w:cs="Tahoma"/>
          <w:bCs/>
          <w:iCs/>
          <w:szCs w:val="22"/>
          <w:lang w:eastAsia="en-US"/>
        </w:rPr>
        <w:t>l</w:t>
      </w:r>
      <w:r w:rsidR="00012D84" w:rsidRPr="005621F4">
        <w:rPr>
          <w:rFonts w:eastAsiaTheme="minorHAnsi" w:cs="Tahoma"/>
          <w:bCs/>
          <w:iCs/>
          <w:szCs w:val="22"/>
          <w:lang w:eastAsia="en-US"/>
        </w:rPr>
        <w:t>os</w:t>
      </w:r>
      <w:r w:rsidRPr="005621F4">
        <w:rPr>
          <w:rFonts w:eastAsiaTheme="minorHAnsi" w:cs="Tahoma"/>
          <w:bCs/>
          <w:iCs/>
          <w:szCs w:val="22"/>
          <w:lang w:eastAsia="en-US"/>
        </w:rPr>
        <w:t xml:space="preserve"> recurso</w:t>
      </w:r>
      <w:r w:rsidR="00012D84" w:rsidRPr="005621F4">
        <w:rPr>
          <w:rFonts w:eastAsiaTheme="minorHAnsi" w:cs="Tahoma"/>
          <w:bCs/>
          <w:iCs/>
          <w:szCs w:val="22"/>
          <w:lang w:eastAsia="en-US"/>
        </w:rPr>
        <w:t>s de revisión</w:t>
      </w:r>
      <w:r w:rsidRPr="005621F4">
        <w:rPr>
          <w:rFonts w:eastAsiaTheme="minorHAnsi" w:cs="Tahoma"/>
          <w:bCs/>
          <w:iCs/>
          <w:szCs w:val="22"/>
          <w:lang w:eastAsia="en-US"/>
        </w:rPr>
        <w:t xml:space="preserve"> </w:t>
      </w:r>
      <w:r w:rsidRPr="005621F4">
        <w:rPr>
          <w:rFonts w:eastAsiaTheme="minorHAnsi" w:cs="Tahoma"/>
          <w:b/>
          <w:iCs/>
          <w:szCs w:val="22"/>
          <w:lang w:eastAsia="en-US"/>
        </w:rPr>
        <w:t>LA PARTE RECURRENTE</w:t>
      </w:r>
      <w:r w:rsidR="00664420" w:rsidRPr="005621F4">
        <w:rPr>
          <w:rFonts w:eastAsiaTheme="minorHAnsi" w:cs="Tahoma"/>
          <w:bCs/>
          <w:iCs/>
          <w:szCs w:val="22"/>
          <w:lang w:eastAsia="en-US"/>
        </w:rPr>
        <w:t xml:space="preserve"> se inconformó </w:t>
      </w:r>
      <w:r w:rsidR="005D1A4A" w:rsidRPr="005621F4">
        <w:rPr>
          <w:rFonts w:eastAsiaTheme="minorHAnsi" w:cs="Tahoma"/>
          <w:bCs/>
          <w:iCs/>
          <w:szCs w:val="22"/>
          <w:lang w:eastAsia="en-US"/>
        </w:rPr>
        <w:t xml:space="preserve">sobre la </w:t>
      </w:r>
      <w:r w:rsidR="00911907" w:rsidRPr="005621F4">
        <w:rPr>
          <w:rFonts w:eastAsiaTheme="minorHAnsi" w:cs="Tahoma"/>
          <w:bCs/>
          <w:iCs/>
          <w:szCs w:val="22"/>
          <w:lang w:eastAsia="en-US"/>
        </w:rPr>
        <w:t>entrega de la información que no corresponde a lo solicitado</w:t>
      </w:r>
      <w:r w:rsidR="002E36AB" w:rsidRPr="005621F4">
        <w:rPr>
          <w:rFonts w:eastAsiaTheme="minorHAnsi" w:cs="Tahoma"/>
          <w:bCs/>
          <w:iCs/>
          <w:szCs w:val="22"/>
          <w:lang w:eastAsia="en-US"/>
        </w:rPr>
        <w:t>;</w:t>
      </w:r>
      <w:r w:rsidR="00C158A8" w:rsidRPr="005621F4">
        <w:rPr>
          <w:rFonts w:eastAsiaTheme="minorHAnsi" w:cs="Tahoma"/>
          <w:bCs/>
          <w:iCs/>
          <w:szCs w:val="22"/>
          <w:lang w:eastAsia="en-US"/>
        </w:rPr>
        <w:t xml:space="preserve"> por </w:t>
      </w:r>
      <w:r w:rsidRPr="005621F4">
        <w:rPr>
          <w:rFonts w:eastAsiaTheme="minorHAnsi" w:cs="Tahoma"/>
          <w:bCs/>
          <w:iCs/>
          <w:szCs w:val="22"/>
          <w:lang w:eastAsia="en-US"/>
        </w:rPr>
        <w:t xml:space="preserve">lo cual, el estudio </w:t>
      </w:r>
      <w:r w:rsidR="005B18AF" w:rsidRPr="005621F4">
        <w:rPr>
          <w:rFonts w:eastAsiaTheme="minorHAnsi" w:cs="Tahoma"/>
          <w:bCs/>
          <w:iCs/>
          <w:szCs w:val="22"/>
          <w:lang w:eastAsia="en-US"/>
        </w:rPr>
        <w:t xml:space="preserve">se centrará en determinar si </w:t>
      </w:r>
      <w:r w:rsidR="0017786B" w:rsidRPr="005621F4">
        <w:rPr>
          <w:rFonts w:eastAsiaTheme="minorHAnsi" w:cs="Tahoma"/>
          <w:b/>
          <w:bCs/>
          <w:iCs/>
          <w:szCs w:val="22"/>
          <w:lang w:eastAsia="en-US"/>
        </w:rPr>
        <w:t>EL SUJETO OBLIGADO</w:t>
      </w:r>
      <w:r w:rsidR="00C158A8" w:rsidRPr="005621F4">
        <w:rPr>
          <w:rFonts w:eastAsiaTheme="minorHAnsi" w:cs="Tahoma"/>
          <w:bCs/>
          <w:iCs/>
          <w:szCs w:val="22"/>
          <w:lang w:eastAsia="en-US"/>
        </w:rPr>
        <w:t xml:space="preserve"> </w:t>
      </w:r>
      <w:r w:rsidR="00911907" w:rsidRPr="005621F4">
        <w:rPr>
          <w:rFonts w:eastAsiaTheme="minorHAnsi" w:cs="Tahoma"/>
          <w:bCs/>
          <w:iCs/>
          <w:szCs w:val="22"/>
          <w:lang w:eastAsia="en-US"/>
        </w:rPr>
        <w:t>remitió las documentales proporcionadas por el solicitante.</w:t>
      </w:r>
    </w:p>
    <w:p w14:paraId="69148B12" w14:textId="0F3C9DA2" w:rsidR="00AF48AA" w:rsidRPr="005621F4" w:rsidRDefault="00AF48AA" w:rsidP="005621F4">
      <w:pPr>
        <w:tabs>
          <w:tab w:val="left" w:pos="4962"/>
        </w:tabs>
        <w:contextualSpacing/>
        <w:rPr>
          <w:rFonts w:eastAsiaTheme="minorHAnsi" w:cs="Tahoma"/>
          <w:bCs/>
          <w:iCs/>
          <w:szCs w:val="22"/>
          <w:lang w:eastAsia="en-US"/>
        </w:rPr>
      </w:pPr>
    </w:p>
    <w:p w14:paraId="237809C6" w14:textId="6F8D75D8" w:rsidR="00AF48AA" w:rsidRPr="005621F4" w:rsidRDefault="002F1878" w:rsidP="005621F4">
      <w:pPr>
        <w:tabs>
          <w:tab w:val="left" w:pos="4962"/>
        </w:tabs>
        <w:contextualSpacing/>
        <w:rPr>
          <w:rFonts w:eastAsiaTheme="minorHAnsi" w:cs="Tahoma"/>
          <w:bCs/>
          <w:iCs/>
          <w:szCs w:val="22"/>
          <w:lang w:eastAsia="en-US"/>
        </w:rPr>
      </w:pPr>
      <w:r w:rsidRPr="005621F4">
        <w:rPr>
          <w:rFonts w:eastAsiaTheme="minorHAnsi" w:cs="Tahoma"/>
          <w:bCs/>
          <w:iCs/>
          <w:szCs w:val="22"/>
          <w:lang w:eastAsia="en-US"/>
        </w:rPr>
        <w:t>No pasa desapercibido que</w:t>
      </w:r>
      <w:r w:rsidR="003959B2" w:rsidRPr="005621F4">
        <w:rPr>
          <w:rFonts w:eastAsiaTheme="minorHAnsi" w:cs="Tahoma"/>
          <w:bCs/>
          <w:iCs/>
          <w:szCs w:val="22"/>
          <w:lang w:eastAsia="en-US"/>
        </w:rPr>
        <w:t>,</w:t>
      </w:r>
      <w:r w:rsidRPr="005621F4">
        <w:rPr>
          <w:rFonts w:eastAsiaTheme="minorHAnsi" w:cs="Tahoma"/>
          <w:bCs/>
          <w:iCs/>
          <w:szCs w:val="22"/>
          <w:lang w:eastAsia="en-US"/>
        </w:rPr>
        <w:t xml:space="preserve"> en el apartado de manifestaciones</w:t>
      </w:r>
      <w:r w:rsidR="00AF48AA" w:rsidRPr="005621F4">
        <w:rPr>
          <w:rFonts w:eastAsiaTheme="minorHAnsi" w:cs="Tahoma"/>
          <w:bCs/>
          <w:iCs/>
          <w:szCs w:val="22"/>
          <w:lang w:eastAsia="en-US"/>
        </w:rPr>
        <w:t xml:space="preserve">, </w:t>
      </w:r>
      <w:r w:rsidR="00AF48AA" w:rsidRPr="005621F4">
        <w:rPr>
          <w:rFonts w:eastAsiaTheme="minorHAnsi" w:cs="Tahoma"/>
          <w:b/>
          <w:bCs/>
          <w:iCs/>
          <w:szCs w:val="22"/>
          <w:lang w:eastAsia="en-US"/>
        </w:rPr>
        <w:t>EL SUJETO OBLIGADO</w:t>
      </w:r>
      <w:r w:rsidR="005D1A4A" w:rsidRPr="005621F4">
        <w:rPr>
          <w:rFonts w:eastAsiaTheme="minorHAnsi" w:cs="Tahoma"/>
          <w:bCs/>
          <w:iCs/>
          <w:szCs w:val="22"/>
          <w:lang w:eastAsia="en-US"/>
        </w:rPr>
        <w:t xml:space="preserve"> ratificó </w:t>
      </w:r>
      <w:r w:rsidR="003959B2" w:rsidRPr="005621F4">
        <w:rPr>
          <w:rFonts w:eastAsiaTheme="minorHAnsi" w:cs="Tahoma"/>
          <w:bCs/>
          <w:iCs/>
          <w:szCs w:val="22"/>
          <w:lang w:eastAsia="en-US"/>
        </w:rPr>
        <w:t>sus</w:t>
      </w:r>
      <w:r w:rsidR="005D1A4A" w:rsidRPr="005621F4">
        <w:rPr>
          <w:rFonts w:eastAsiaTheme="minorHAnsi" w:cs="Tahoma"/>
          <w:bCs/>
          <w:iCs/>
          <w:szCs w:val="22"/>
          <w:lang w:eastAsia="en-US"/>
        </w:rPr>
        <w:t xml:space="preserve"> respuestas primigenias; por </w:t>
      </w:r>
      <w:r w:rsidR="00911907" w:rsidRPr="005621F4">
        <w:rPr>
          <w:rFonts w:eastAsiaTheme="minorHAnsi" w:cs="Tahoma"/>
          <w:bCs/>
          <w:iCs/>
          <w:szCs w:val="22"/>
          <w:lang w:eastAsia="en-US"/>
        </w:rPr>
        <w:t>otra parte</w:t>
      </w:r>
      <w:r w:rsidR="00CC761E" w:rsidRPr="005621F4">
        <w:rPr>
          <w:rFonts w:eastAsiaTheme="minorHAnsi" w:cs="Tahoma"/>
          <w:bCs/>
          <w:iCs/>
          <w:szCs w:val="22"/>
          <w:lang w:eastAsia="en-US"/>
        </w:rPr>
        <w:t>, el solicitante omitió remitir pruebas o alegatos conforme a su derecho.</w:t>
      </w:r>
    </w:p>
    <w:p w14:paraId="54282DD8" w14:textId="77777777" w:rsidR="00AF48AA" w:rsidRPr="005621F4" w:rsidRDefault="00AF48AA" w:rsidP="005621F4">
      <w:pPr>
        <w:tabs>
          <w:tab w:val="left" w:pos="4962"/>
        </w:tabs>
        <w:contextualSpacing/>
        <w:rPr>
          <w:rFonts w:eastAsiaTheme="minorHAnsi" w:cs="Tahoma"/>
          <w:bCs/>
          <w:iCs/>
          <w:szCs w:val="22"/>
          <w:lang w:eastAsia="en-US"/>
        </w:rPr>
      </w:pPr>
    </w:p>
    <w:p w14:paraId="414FD2D5" w14:textId="5B7192AA" w:rsidR="00664420" w:rsidRPr="005621F4" w:rsidRDefault="00A21A20" w:rsidP="005621F4">
      <w:pPr>
        <w:pStyle w:val="Ttulo3"/>
        <w:rPr>
          <w:szCs w:val="22"/>
        </w:rPr>
      </w:pPr>
      <w:bookmarkStart w:id="36" w:name="_Toc178766472"/>
      <w:r w:rsidRPr="005621F4">
        <w:rPr>
          <w:szCs w:val="22"/>
        </w:rPr>
        <w:t>c)</w:t>
      </w:r>
      <w:r w:rsidR="00664420" w:rsidRPr="005621F4">
        <w:rPr>
          <w:szCs w:val="22"/>
        </w:rPr>
        <w:t xml:space="preserve"> </w:t>
      </w:r>
      <w:r w:rsidRPr="005621F4">
        <w:rPr>
          <w:szCs w:val="22"/>
        </w:rPr>
        <w:t>Estudio de la controversia</w:t>
      </w:r>
      <w:r w:rsidR="0029336C" w:rsidRPr="005621F4">
        <w:rPr>
          <w:szCs w:val="22"/>
        </w:rPr>
        <w:t>.</w:t>
      </w:r>
      <w:bookmarkEnd w:id="36"/>
    </w:p>
    <w:p w14:paraId="0A6BE81E" w14:textId="20EED017" w:rsidR="00AC5873" w:rsidRPr="005621F4" w:rsidRDefault="007F4A35" w:rsidP="005621F4">
      <w:pPr>
        <w:ind w:right="-93"/>
        <w:rPr>
          <w:szCs w:val="22"/>
        </w:rPr>
      </w:pPr>
      <w:r w:rsidRPr="005621F4">
        <w:rPr>
          <w:szCs w:val="22"/>
        </w:rPr>
        <w:t xml:space="preserve">Una vez precisado lo anterior, </w:t>
      </w:r>
      <w:r w:rsidR="006D451D" w:rsidRPr="005621F4">
        <w:rPr>
          <w:szCs w:val="22"/>
        </w:rPr>
        <w:t>resulta necesario</w:t>
      </w:r>
      <w:r w:rsidRPr="005621F4">
        <w:rPr>
          <w:szCs w:val="22"/>
        </w:rPr>
        <w:t xml:space="preserve"> comenzar con el estudio señalando </w:t>
      </w:r>
      <w:r w:rsidR="005671B4" w:rsidRPr="005621F4">
        <w:rPr>
          <w:szCs w:val="22"/>
        </w:rPr>
        <w:t>que</w:t>
      </w:r>
      <w:r w:rsidR="00A32231" w:rsidRPr="005621F4">
        <w:rPr>
          <w:szCs w:val="22"/>
        </w:rPr>
        <w:t>,</w:t>
      </w:r>
      <w:r w:rsidR="00CC761E" w:rsidRPr="005621F4">
        <w:rPr>
          <w:szCs w:val="22"/>
        </w:rPr>
        <w:t xml:space="preserve"> </w:t>
      </w:r>
      <w:r w:rsidR="00F130F4" w:rsidRPr="005621F4">
        <w:rPr>
          <w:szCs w:val="22"/>
        </w:rPr>
        <w:t>de conformidad con lo establecido en el artículo 55 de la Ley Orgánica de la Administración Pública del Estado de México</w:t>
      </w:r>
      <w:r w:rsidR="003959B2" w:rsidRPr="005621F4">
        <w:rPr>
          <w:szCs w:val="22"/>
        </w:rPr>
        <w:t>,</w:t>
      </w:r>
      <w:r w:rsidR="00F130F4" w:rsidRPr="005621F4">
        <w:rPr>
          <w:szCs w:val="22"/>
        </w:rPr>
        <w:t xml:space="preserve"> 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r w:rsidR="00AC5873" w:rsidRPr="005621F4">
        <w:rPr>
          <w:szCs w:val="22"/>
        </w:rPr>
        <w:t>.</w:t>
      </w:r>
    </w:p>
    <w:p w14:paraId="70AA70D1" w14:textId="77777777" w:rsidR="00AC5873" w:rsidRPr="005621F4" w:rsidRDefault="00AC5873" w:rsidP="005621F4">
      <w:pPr>
        <w:ind w:right="-93"/>
        <w:rPr>
          <w:szCs w:val="22"/>
        </w:rPr>
      </w:pPr>
    </w:p>
    <w:p w14:paraId="556A0BE0" w14:textId="04B1B623" w:rsidR="00F130F4" w:rsidRPr="005621F4" w:rsidRDefault="00AC5873" w:rsidP="005621F4">
      <w:pPr>
        <w:ind w:right="-93"/>
        <w:rPr>
          <w:szCs w:val="22"/>
        </w:rPr>
      </w:pPr>
      <w:r w:rsidRPr="005621F4">
        <w:rPr>
          <w:szCs w:val="22"/>
        </w:rPr>
        <w:t xml:space="preserve">Aunado a lo anterior, la fracción XVII del artículo referido en el párrafo que antecede, señala que la Secretaría tiene como atribución realizar los operativos de control de uso de distractores durante la conducción de vehículos, sistemas de retención infantil, cascos en motociclistas, </w:t>
      </w:r>
      <w:r w:rsidRPr="005621F4">
        <w:rPr>
          <w:szCs w:val="22"/>
        </w:rPr>
        <w:lastRenderedPageBreak/>
        <w:t>control de velocidad y de alcoholimetría, en el ámbito de su competencia y de acuerdo con los lineamientos establecidos por el Sistema Nacional.</w:t>
      </w:r>
    </w:p>
    <w:p w14:paraId="23E76117" w14:textId="77777777" w:rsidR="005211CF" w:rsidRPr="005621F4" w:rsidRDefault="005211CF" w:rsidP="005621F4">
      <w:pPr>
        <w:rPr>
          <w:rFonts w:cs="Tahoma"/>
        </w:rPr>
      </w:pPr>
      <w:r w:rsidRPr="005621F4">
        <w:rPr>
          <w:rFonts w:cs="Tahoma"/>
        </w:rPr>
        <w:t>Al respecto, el artículo 7.4 del Código Administrativo del Estado de México, precisa que a la Secretaría de Movilidad le corresponden las atribuciones relativas al transporte público y mixto, así como la regulación del servicio de pago tarifario anticipado y la operación de Centros de Gestión y Control Común, de los mismos.</w:t>
      </w:r>
    </w:p>
    <w:p w14:paraId="7E847509" w14:textId="77777777" w:rsidR="005211CF" w:rsidRPr="005621F4" w:rsidRDefault="005211CF" w:rsidP="005621F4">
      <w:pPr>
        <w:rPr>
          <w:rFonts w:cs="Tahoma"/>
        </w:rPr>
      </w:pPr>
    </w:p>
    <w:p w14:paraId="3A8AD7A0" w14:textId="77777777" w:rsidR="005211CF" w:rsidRPr="005621F4" w:rsidRDefault="005211CF" w:rsidP="005621F4">
      <w:pPr>
        <w:rPr>
          <w:rFonts w:cs="Tahoma"/>
        </w:rPr>
      </w:pPr>
      <w:r w:rsidRPr="005621F4">
        <w:rPr>
          <w:rFonts w:cs="Tahoma"/>
        </w:rPr>
        <w:t xml:space="preserve">En ese sentido, el artículo 7.68 del Código mencionado, establece que, para la recepción de un vehículo en depósito, el concesionario realizará un inventario del bien depositado y </w:t>
      </w:r>
      <w:r w:rsidRPr="005621F4">
        <w:rPr>
          <w:rFonts w:cs="Tahoma"/>
          <w:b/>
          <w:bCs/>
        </w:rPr>
        <w:t>entregará una copia</w:t>
      </w:r>
      <w:r w:rsidRPr="005621F4">
        <w:rPr>
          <w:rFonts w:cs="Tahoma"/>
        </w:rPr>
        <w:t xml:space="preserve"> al propietario del vehículo y otra </w:t>
      </w:r>
      <w:r w:rsidRPr="005621F4">
        <w:rPr>
          <w:rFonts w:cs="Tahoma"/>
          <w:b/>
          <w:bCs/>
        </w:rPr>
        <w:t>al servidor público responsable de la puesta a disposición</w:t>
      </w:r>
      <w:r w:rsidRPr="005621F4">
        <w:rPr>
          <w:rFonts w:cs="Tahoma"/>
        </w:rPr>
        <w:t xml:space="preserve"> o del operador de la grúa responsable del traslado, que describa: </w:t>
      </w:r>
    </w:p>
    <w:p w14:paraId="7B7EEA9D" w14:textId="77777777" w:rsidR="005211CF" w:rsidRPr="005621F4" w:rsidRDefault="005211CF" w:rsidP="005621F4">
      <w:pPr>
        <w:rPr>
          <w:rFonts w:cs="Tahoma"/>
        </w:rPr>
      </w:pPr>
    </w:p>
    <w:p w14:paraId="4EFB92E7" w14:textId="77777777" w:rsidR="005211CF" w:rsidRPr="005621F4" w:rsidRDefault="005211CF" w:rsidP="005621F4">
      <w:pPr>
        <w:pStyle w:val="Prrafodelista"/>
        <w:numPr>
          <w:ilvl w:val="0"/>
          <w:numId w:val="46"/>
        </w:numPr>
        <w:rPr>
          <w:rFonts w:cs="Tahoma"/>
        </w:rPr>
      </w:pPr>
      <w:r w:rsidRPr="005621F4">
        <w:rPr>
          <w:rFonts w:cs="Tahoma"/>
        </w:rPr>
        <w:t xml:space="preserve">El nombre del servidor público o la persona que realiza la entrega material del vehículo; </w:t>
      </w:r>
    </w:p>
    <w:p w14:paraId="243F8A27" w14:textId="77777777" w:rsidR="005211CF" w:rsidRPr="005621F4" w:rsidRDefault="005211CF" w:rsidP="005621F4">
      <w:pPr>
        <w:pStyle w:val="Prrafodelista"/>
        <w:numPr>
          <w:ilvl w:val="0"/>
          <w:numId w:val="46"/>
        </w:numPr>
        <w:rPr>
          <w:rFonts w:cs="Tahoma"/>
        </w:rPr>
      </w:pPr>
      <w:r w:rsidRPr="005621F4">
        <w:rPr>
          <w:rFonts w:cs="Tahoma"/>
        </w:rPr>
        <w:t>Número de serie y placas de circulación de la grúa que realice el traslado del vehículo depositado y nombre de la compañía permisionaria del servicio de salvamento y arrastre o de la corporación que hubiese hecho el traslado;</w:t>
      </w:r>
    </w:p>
    <w:p w14:paraId="34A3B2AA" w14:textId="77777777" w:rsidR="005211CF" w:rsidRPr="005621F4" w:rsidRDefault="005211CF" w:rsidP="005621F4">
      <w:pPr>
        <w:pStyle w:val="Prrafodelista"/>
        <w:numPr>
          <w:ilvl w:val="0"/>
          <w:numId w:val="46"/>
        </w:numPr>
        <w:rPr>
          <w:rFonts w:cs="Tahoma"/>
        </w:rPr>
      </w:pPr>
      <w:r w:rsidRPr="005621F4">
        <w:rPr>
          <w:rFonts w:cs="Tahoma"/>
        </w:rPr>
        <w:t xml:space="preserve">La fecha y hora de recepción del vehículo; </w:t>
      </w:r>
    </w:p>
    <w:p w14:paraId="0709FBF4" w14:textId="77777777" w:rsidR="005211CF" w:rsidRPr="005621F4" w:rsidRDefault="005211CF" w:rsidP="005621F4">
      <w:pPr>
        <w:pStyle w:val="Prrafodelista"/>
        <w:numPr>
          <w:ilvl w:val="0"/>
          <w:numId w:val="46"/>
        </w:numPr>
        <w:rPr>
          <w:rFonts w:cs="Tahoma"/>
        </w:rPr>
      </w:pPr>
      <w:r w:rsidRPr="005621F4">
        <w:rPr>
          <w:rFonts w:cs="Tahoma"/>
        </w:rPr>
        <w:t xml:space="preserve">Las características generales del vehículo, indicando cuando menos: a) Marca y tipo. b) Año del modelo. c) Color. d) Número de motor. e) Número de serie. f) Número de placas de circulación o del permiso provisional para circular, si los portara. </w:t>
      </w:r>
    </w:p>
    <w:p w14:paraId="25136B1A" w14:textId="77777777" w:rsidR="005211CF" w:rsidRPr="005621F4" w:rsidRDefault="005211CF" w:rsidP="005621F4">
      <w:pPr>
        <w:pStyle w:val="Prrafodelista"/>
        <w:numPr>
          <w:ilvl w:val="0"/>
          <w:numId w:val="46"/>
        </w:numPr>
        <w:rPr>
          <w:rFonts w:cs="Tahoma"/>
        </w:rPr>
      </w:pPr>
      <w:r w:rsidRPr="005621F4">
        <w:rPr>
          <w:rFonts w:cs="Tahoma"/>
        </w:rPr>
        <w:t xml:space="preserve">Nombre y dirección del concesionario responsable de la prestación del servicio de depósito vehicular; </w:t>
      </w:r>
    </w:p>
    <w:p w14:paraId="75008568" w14:textId="77777777" w:rsidR="005211CF" w:rsidRPr="005621F4" w:rsidRDefault="005211CF" w:rsidP="005621F4">
      <w:pPr>
        <w:pStyle w:val="Prrafodelista"/>
        <w:numPr>
          <w:ilvl w:val="0"/>
          <w:numId w:val="46"/>
        </w:numPr>
        <w:rPr>
          <w:rFonts w:cs="Tahoma"/>
        </w:rPr>
      </w:pPr>
      <w:r w:rsidRPr="005621F4">
        <w:rPr>
          <w:rFonts w:cs="Tahoma"/>
        </w:rPr>
        <w:t xml:space="preserve">Nombre y firma autógrafa de la persona que reciba materialmente el vehículo; </w:t>
      </w:r>
    </w:p>
    <w:p w14:paraId="300AD321" w14:textId="77777777" w:rsidR="005211CF" w:rsidRPr="005621F4" w:rsidRDefault="005211CF" w:rsidP="005621F4">
      <w:pPr>
        <w:pStyle w:val="Prrafodelista"/>
        <w:numPr>
          <w:ilvl w:val="0"/>
          <w:numId w:val="46"/>
        </w:numPr>
        <w:rPr>
          <w:rFonts w:cs="Tahoma"/>
        </w:rPr>
      </w:pPr>
      <w:r w:rsidRPr="005621F4">
        <w:rPr>
          <w:rFonts w:cs="Tahoma"/>
        </w:rPr>
        <w:t xml:space="preserve">Descripción del estado físico interior y exterior del vehículo; </w:t>
      </w:r>
    </w:p>
    <w:p w14:paraId="2A5265A4" w14:textId="77777777" w:rsidR="005211CF" w:rsidRPr="005621F4" w:rsidRDefault="005211CF" w:rsidP="005621F4">
      <w:pPr>
        <w:pStyle w:val="Prrafodelista"/>
        <w:numPr>
          <w:ilvl w:val="0"/>
          <w:numId w:val="46"/>
        </w:numPr>
        <w:rPr>
          <w:rFonts w:cs="Tahoma"/>
        </w:rPr>
      </w:pPr>
      <w:r w:rsidRPr="005621F4">
        <w:rPr>
          <w:rFonts w:cs="Tahoma"/>
        </w:rPr>
        <w:lastRenderedPageBreak/>
        <w:t xml:space="preserve">Relación y descripción pormenorizada de los objetos que se encuentren en el interior o exterior del vehículo y que permanecerán en depósito junto con la unidad; </w:t>
      </w:r>
    </w:p>
    <w:p w14:paraId="36121773" w14:textId="77777777" w:rsidR="005211CF" w:rsidRPr="005621F4" w:rsidRDefault="005211CF" w:rsidP="005621F4">
      <w:pPr>
        <w:pStyle w:val="Prrafodelista"/>
        <w:numPr>
          <w:ilvl w:val="0"/>
          <w:numId w:val="46"/>
        </w:numPr>
        <w:rPr>
          <w:rFonts w:cs="Tahoma"/>
        </w:rPr>
      </w:pPr>
      <w:r w:rsidRPr="005621F4">
        <w:rPr>
          <w:rFonts w:cs="Tahoma"/>
          <w:bCs/>
        </w:rPr>
        <w:t>Número de folio que permita individualizar e identificar el recibo.</w:t>
      </w:r>
      <w:r w:rsidRPr="005621F4">
        <w:rPr>
          <w:rFonts w:cs="Tahoma"/>
        </w:rPr>
        <w:t xml:space="preserve"> </w:t>
      </w:r>
    </w:p>
    <w:p w14:paraId="6F1A6C91" w14:textId="77777777" w:rsidR="005211CF" w:rsidRPr="005621F4" w:rsidRDefault="005211CF" w:rsidP="005621F4">
      <w:pPr>
        <w:rPr>
          <w:rFonts w:cs="Tahoma"/>
        </w:rPr>
      </w:pPr>
    </w:p>
    <w:p w14:paraId="63C3F60D" w14:textId="77777777" w:rsidR="005211CF" w:rsidRPr="005621F4" w:rsidRDefault="005211CF" w:rsidP="005621F4">
      <w:pPr>
        <w:rPr>
          <w:rFonts w:cs="Tahoma"/>
          <w:bCs/>
        </w:rPr>
      </w:pPr>
      <w:r w:rsidRPr="005621F4">
        <w:rPr>
          <w:rFonts w:cs="Tahoma"/>
          <w:bCs/>
        </w:rPr>
        <w:t>Además, la Secretaría de Movilidad elaborará y comunicará a los concesionarios, formatos específicos para el recibo a que se refiere este artículo, cuyo uso en este caso, será obligatorio.</w:t>
      </w:r>
    </w:p>
    <w:p w14:paraId="6FC348D5" w14:textId="77777777" w:rsidR="005211CF" w:rsidRPr="005621F4" w:rsidRDefault="005211CF" w:rsidP="005621F4">
      <w:pPr>
        <w:rPr>
          <w:rFonts w:cs="Tahoma"/>
        </w:rPr>
      </w:pPr>
    </w:p>
    <w:p w14:paraId="31CDF3BD" w14:textId="77777777" w:rsidR="005211CF" w:rsidRPr="005621F4" w:rsidRDefault="005211CF" w:rsidP="005621F4">
      <w:pPr>
        <w:rPr>
          <w:rFonts w:cs="Tahoma"/>
        </w:rPr>
      </w:pPr>
      <w:r w:rsidRPr="005621F4">
        <w:rPr>
          <w:rFonts w:cs="Tahoma"/>
        </w:rPr>
        <w:t xml:space="preserve">Asimismo, el artículo 7.79, de la misma normatividad, precisa que las autoridades podrán imponer como medida de seguridad, la </w:t>
      </w:r>
      <w:r w:rsidRPr="005621F4">
        <w:rPr>
          <w:rFonts w:cs="Tahoma"/>
          <w:b/>
          <w:bCs/>
        </w:rPr>
        <w:t>retención</w:t>
      </w:r>
      <w:r w:rsidRPr="005621F4">
        <w:rPr>
          <w:rFonts w:cs="Tahoma"/>
        </w:rPr>
        <w:t xml:space="preserve"> del vehículo cuando se violen flagrantemente las disposiciones de este Libro y las disposiciones que de él emanen, o bien, cuando los vehículos no se encuentren en condiciones para la prestación del servicio público de transporte o pongan en peligro la seguridad de los usuarios del servicio o de terceros. </w:t>
      </w:r>
    </w:p>
    <w:p w14:paraId="450C63EA" w14:textId="77777777" w:rsidR="005211CF" w:rsidRPr="005621F4" w:rsidRDefault="005211CF" w:rsidP="005621F4">
      <w:pPr>
        <w:rPr>
          <w:rFonts w:cs="Tahoma"/>
        </w:rPr>
      </w:pPr>
    </w:p>
    <w:p w14:paraId="0761E213" w14:textId="77777777" w:rsidR="005211CF" w:rsidRPr="005621F4" w:rsidRDefault="005211CF" w:rsidP="005621F4">
      <w:pPr>
        <w:rPr>
          <w:rFonts w:cs="Tahoma"/>
        </w:rPr>
      </w:pPr>
      <w:r w:rsidRPr="005621F4">
        <w:rPr>
          <w:rFonts w:cs="Tahoma"/>
        </w:rPr>
        <w:t>Ahora bien, de conformidad con el artículo 32, de la Ley Orgánica de la Administración Pública del Estado de México, la Secretaría de Movilidad es la dependencia encargada de planear, formular, dirigir, coordinar, gestionar, evaluar, ejecutar y supervisar las políticas, programas,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p>
    <w:p w14:paraId="44EF1AE3" w14:textId="77777777" w:rsidR="005211CF" w:rsidRPr="005621F4" w:rsidRDefault="005211CF" w:rsidP="005621F4">
      <w:pPr>
        <w:ind w:right="-93"/>
        <w:rPr>
          <w:szCs w:val="22"/>
        </w:rPr>
      </w:pPr>
    </w:p>
    <w:p w14:paraId="76C97A2E" w14:textId="2A61368A" w:rsidR="005211CF" w:rsidRPr="005621F4" w:rsidRDefault="00AC5873" w:rsidP="005621F4">
      <w:pPr>
        <w:ind w:right="-93"/>
        <w:rPr>
          <w:szCs w:val="22"/>
        </w:rPr>
      </w:pPr>
      <w:r w:rsidRPr="005621F4">
        <w:rPr>
          <w:szCs w:val="22"/>
        </w:rPr>
        <w:t xml:space="preserve">En ese sentido se tiene que, para para el desahogo de los asuntos de su competencia, la Secretaría se auxilia de diferentes unidades administrativas, dentro de las cuales se encuentran la Subsecretaría de Movilidad, que a su vez contempla las Direcciones Generales de Movilidad I, II, III, IV, Dirección del Registro Estatal de Transporte Público, Dirección General de Vialidad, </w:t>
      </w:r>
      <w:r w:rsidRPr="005621F4">
        <w:rPr>
          <w:szCs w:val="22"/>
        </w:rPr>
        <w:lastRenderedPageBreak/>
        <w:t>Coordinación Jurídica, y de Igualdad de Género y Erradicación de la Violencia y la Coordinación Administrativa</w:t>
      </w:r>
      <w:r w:rsidR="00752412" w:rsidRPr="005621F4">
        <w:rPr>
          <w:szCs w:val="22"/>
        </w:rPr>
        <w:t>.</w:t>
      </w:r>
    </w:p>
    <w:p w14:paraId="21672240" w14:textId="77777777" w:rsidR="00752412" w:rsidRPr="005621F4" w:rsidRDefault="00752412" w:rsidP="005621F4">
      <w:pPr>
        <w:ind w:right="-93"/>
        <w:rPr>
          <w:szCs w:val="22"/>
        </w:rPr>
      </w:pPr>
    </w:p>
    <w:p w14:paraId="01F09FA1" w14:textId="4C4C3909" w:rsidR="0040238C" w:rsidRPr="005621F4" w:rsidRDefault="00752412" w:rsidP="005621F4">
      <w:pPr>
        <w:ind w:right="-93"/>
        <w:rPr>
          <w:szCs w:val="22"/>
        </w:rPr>
      </w:pPr>
      <w:r w:rsidRPr="005621F4">
        <w:rPr>
          <w:szCs w:val="22"/>
        </w:rPr>
        <w:t>Al respecto, es de reiterar que</w:t>
      </w:r>
      <w:r w:rsidR="00E6475E" w:rsidRPr="005621F4">
        <w:rPr>
          <w:szCs w:val="22"/>
        </w:rPr>
        <w:t>,</w:t>
      </w:r>
      <w:r w:rsidRPr="005621F4">
        <w:rPr>
          <w:szCs w:val="22"/>
        </w:rPr>
        <w:t xml:space="preserve"> para dar atención a las solicitudes de mérito, se pronunciaron las Direcciones Generales de Vialidad II, III y IV, y la Subsecretaría de Movilidad; las primeras, como se ha precisado anteriormente, remitieron distintos listados relativos a los operativos referidos por el solicitante y la segunda indicó que no es competente para realizar operativos.</w:t>
      </w:r>
    </w:p>
    <w:p w14:paraId="4B94FA01" w14:textId="77777777" w:rsidR="00752412" w:rsidRPr="005621F4" w:rsidRDefault="00752412" w:rsidP="005621F4">
      <w:pPr>
        <w:ind w:right="-93"/>
        <w:rPr>
          <w:szCs w:val="22"/>
        </w:rPr>
      </w:pPr>
    </w:p>
    <w:p w14:paraId="5552BDA5" w14:textId="3F4930E3" w:rsidR="00752412" w:rsidRPr="005621F4" w:rsidRDefault="00752412" w:rsidP="005621F4">
      <w:pPr>
        <w:ind w:right="-93"/>
        <w:rPr>
          <w:szCs w:val="22"/>
        </w:rPr>
      </w:pPr>
      <w:r w:rsidRPr="005621F4">
        <w:rPr>
          <w:szCs w:val="22"/>
        </w:rPr>
        <w:t>Ante tales consideraciones, de la normatividad que rige al</w:t>
      </w:r>
      <w:r w:rsidRPr="005621F4">
        <w:rPr>
          <w:b/>
          <w:szCs w:val="22"/>
        </w:rPr>
        <w:t xml:space="preserve"> SUJETO OBLIGADO</w:t>
      </w:r>
      <w:r w:rsidRPr="005621F4">
        <w:rPr>
          <w:szCs w:val="22"/>
        </w:rPr>
        <w:t xml:space="preserve"> se advierte que de conformidad con lo previsto en el artículo 10, fracción IV del Reglamento Interior de la Secretaría de Movilidad, la Subsecretaría de Movilidad sí es competente para conocer sobre la información pretendida por </w:t>
      </w:r>
      <w:r w:rsidRPr="005621F4">
        <w:rPr>
          <w:b/>
          <w:szCs w:val="22"/>
        </w:rPr>
        <w:t>LA PARTE RECURRENTE</w:t>
      </w:r>
      <w:r w:rsidR="00E6475E" w:rsidRPr="005621F4">
        <w:rPr>
          <w:b/>
          <w:szCs w:val="22"/>
        </w:rPr>
        <w:t>,</w:t>
      </w:r>
      <w:r w:rsidRPr="005621F4">
        <w:rPr>
          <w:b/>
          <w:szCs w:val="22"/>
        </w:rPr>
        <w:t xml:space="preserve"> </w:t>
      </w:r>
      <w:r w:rsidRPr="005621F4">
        <w:rPr>
          <w:szCs w:val="22"/>
        </w:rPr>
        <w:t xml:space="preserve">toda vez que dicho fragmento normativo señala que dicha unidad administrativa </w:t>
      </w:r>
      <w:r w:rsidRPr="005621F4">
        <w:rPr>
          <w:b/>
          <w:szCs w:val="22"/>
        </w:rPr>
        <w:t>coordina las acciones y la realización de los operativos de verificación e inspección en la prestación del servicio público de transporte de pasajeros</w:t>
      </w:r>
      <w:r w:rsidRPr="005621F4">
        <w:rPr>
          <w:szCs w:val="22"/>
        </w:rPr>
        <w:t>, así como de las condiciones físicas de los equipos, instalaciones y servicios complementarios, además de los de alcoholimetría y los relativos a la prestación de los servicios auxiliares, en el ámbito de su competencia y de acuerdo con los lineamientos establecidos por el Sistema Nacional de Movilidad y Seguridad Vial</w:t>
      </w:r>
      <w:r w:rsidR="00551512" w:rsidRPr="005621F4">
        <w:rPr>
          <w:szCs w:val="22"/>
        </w:rPr>
        <w:t>.</w:t>
      </w:r>
    </w:p>
    <w:p w14:paraId="6915152E" w14:textId="77777777" w:rsidR="00551512" w:rsidRPr="005621F4" w:rsidRDefault="00551512" w:rsidP="005621F4">
      <w:pPr>
        <w:ind w:right="-93"/>
        <w:rPr>
          <w:szCs w:val="22"/>
        </w:rPr>
      </w:pPr>
    </w:p>
    <w:p w14:paraId="0A9D5E0C" w14:textId="43FF5577" w:rsidR="00F90936" w:rsidRPr="005621F4" w:rsidRDefault="00EE7417" w:rsidP="005621F4">
      <w:pPr>
        <w:ind w:right="-93"/>
        <w:rPr>
          <w:szCs w:val="22"/>
        </w:rPr>
      </w:pPr>
      <w:r w:rsidRPr="005621F4">
        <w:rPr>
          <w:szCs w:val="22"/>
        </w:rPr>
        <w:t>En consecuencia</w:t>
      </w:r>
      <w:r w:rsidR="00A94088" w:rsidRPr="005621F4">
        <w:rPr>
          <w:szCs w:val="22"/>
        </w:rPr>
        <w:t>,</w:t>
      </w:r>
      <w:r w:rsidRPr="005621F4">
        <w:rPr>
          <w:szCs w:val="22"/>
        </w:rPr>
        <w:t xml:space="preserve"> se colige que, si bien la Subsecretaría de Movilidad declaró que no realizaba operativos, lo cierto es que </w:t>
      </w:r>
      <w:r w:rsidR="00F90936" w:rsidRPr="005621F4">
        <w:rPr>
          <w:szCs w:val="22"/>
        </w:rPr>
        <w:t xml:space="preserve">las Direcciones de Movilidad de las zonas dos, tres y cuatro, al ser dependientes de </w:t>
      </w:r>
      <w:r w:rsidRPr="005621F4">
        <w:rPr>
          <w:szCs w:val="22"/>
        </w:rPr>
        <w:t>la misma son las unidades que ejecutan las revisiones al transporte público; de tal suerte que</w:t>
      </w:r>
      <w:r w:rsidR="00F90936" w:rsidRPr="005621F4">
        <w:rPr>
          <w:szCs w:val="22"/>
        </w:rPr>
        <w:t xml:space="preserve"> se deben analizar las documentales proporcionadas en respuesta de manera individual, quedando de la siguiente manera:</w:t>
      </w:r>
    </w:p>
    <w:p w14:paraId="3C6DD258" w14:textId="77777777" w:rsidR="00F90936" w:rsidRPr="005621F4" w:rsidRDefault="00F90936" w:rsidP="005621F4">
      <w:pPr>
        <w:ind w:right="-93"/>
        <w:rPr>
          <w:szCs w:val="22"/>
        </w:rPr>
      </w:pPr>
    </w:p>
    <w:p w14:paraId="31F11664" w14:textId="25D1C9C4" w:rsidR="00551512" w:rsidRPr="005621F4" w:rsidRDefault="00F90936" w:rsidP="005621F4">
      <w:pPr>
        <w:ind w:right="-93"/>
        <w:rPr>
          <w:szCs w:val="22"/>
        </w:rPr>
      </w:pPr>
      <w:r w:rsidRPr="005621F4">
        <w:rPr>
          <w:szCs w:val="22"/>
        </w:rPr>
        <w:lastRenderedPageBreak/>
        <w:t xml:space="preserve">Recurso de revisión: </w:t>
      </w:r>
      <w:r w:rsidRPr="005621F4">
        <w:rPr>
          <w:rFonts w:eastAsia="Calibri" w:cs="Tahoma"/>
          <w:b/>
          <w:szCs w:val="22"/>
          <w:lang w:eastAsia="en-US"/>
        </w:rPr>
        <w:t>00452/INFOEM/IP/RR/2024.</w:t>
      </w:r>
    </w:p>
    <w:p w14:paraId="5C2B5E25" w14:textId="60625D37" w:rsidR="00F90936" w:rsidRPr="005621F4" w:rsidRDefault="00F90936" w:rsidP="005621F4">
      <w:pPr>
        <w:ind w:right="-93"/>
        <w:rPr>
          <w:szCs w:val="22"/>
        </w:rPr>
      </w:pPr>
      <w:r w:rsidRPr="005621F4">
        <w:rPr>
          <w:noProof/>
          <w:szCs w:val="22"/>
          <w:lang w:eastAsia="es-MX"/>
        </w:rPr>
        <w:drawing>
          <wp:inline distT="0" distB="0" distL="0" distR="0" wp14:anchorId="389EEC36" wp14:editId="5E6550BA">
            <wp:extent cx="5742940" cy="2695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695575"/>
                    </a:xfrm>
                    <a:prstGeom prst="rect">
                      <a:avLst/>
                    </a:prstGeom>
                  </pic:spPr>
                </pic:pic>
              </a:graphicData>
            </a:graphic>
          </wp:inline>
        </w:drawing>
      </w:r>
    </w:p>
    <w:p w14:paraId="7C363379" w14:textId="77777777" w:rsidR="00F90936" w:rsidRPr="005621F4" w:rsidRDefault="00F90936" w:rsidP="005621F4">
      <w:pPr>
        <w:ind w:right="-93"/>
        <w:rPr>
          <w:szCs w:val="22"/>
        </w:rPr>
      </w:pPr>
    </w:p>
    <w:p w14:paraId="2CA61001" w14:textId="1B74E8DC" w:rsidR="00F90936" w:rsidRPr="005621F4" w:rsidRDefault="00F90936" w:rsidP="005621F4">
      <w:pPr>
        <w:ind w:right="-93"/>
        <w:rPr>
          <w:rFonts w:eastAsia="Calibri" w:cs="Tahoma"/>
          <w:b/>
          <w:szCs w:val="22"/>
          <w:lang w:eastAsia="en-US"/>
        </w:rPr>
      </w:pPr>
      <w:r w:rsidRPr="005621F4">
        <w:rPr>
          <w:szCs w:val="22"/>
        </w:rPr>
        <w:t>Recurso de revisión:</w:t>
      </w:r>
      <w:r w:rsidRPr="005621F4">
        <w:rPr>
          <w:b/>
          <w:szCs w:val="22"/>
        </w:rPr>
        <w:t xml:space="preserve"> </w:t>
      </w:r>
      <w:r w:rsidRPr="005621F4">
        <w:rPr>
          <w:rFonts w:eastAsia="Calibri" w:cs="Tahoma"/>
          <w:b/>
          <w:szCs w:val="22"/>
          <w:lang w:eastAsia="en-US"/>
        </w:rPr>
        <w:t>00453/INFOEM/IP/RR/2024.</w:t>
      </w:r>
    </w:p>
    <w:p w14:paraId="6F15F7D1" w14:textId="5ADCBC24" w:rsidR="00F90936" w:rsidRPr="005621F4" w:rsidRDefault="00F90936" w:rsidP="005621F4">
      <w:pPr>
        <w:ind w:right="-93"/>
        <w:rPr>
          <w:szCs w:val="22"/>
        </w:rPr>
      </w:pPr>
      <w:r w:rsidRPr="005621F4">
        <w:rPr>
          <w:noProof/>
          <w:szCs w:val="22"/>
          <w:lang w:eastAsia="es-MX"/>
        </w:rPr>
        <w:drawing>
          <wp:inline distT="0" distB="0" distL="0" distR="0" wp14:anchorId="612A9DCC" wp14:editId="60B549BD">
            <wp:extent cx="5742940" cy="1657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657350"/>
                    </a:xfrm>
                    <a:prstGeom prst="rect">
                      <a:avLst/>
                    </a:prstGeom>
                  </pic:spPr>
                </pic:pic>
              </a:graphicData>
            </a:graphic>
          </wp:inline>
        </w:drawing>
      </w:r>
    </w:p>
    <w:p w14:paraId="4661AFE7" w14:textId="77744B0A" w:rsidR="00F90936" w:rsidRPr="005621F4" w:rsidRDefault="00F90936" w:rsidP="005621F4">
      <w:pPr>
        <w:ind w:right="-93"/>
        <w:rPr>
          <w:szCs w:val="22"/>
        </w:rPr>
      </w:pPr>
      <w:r w:rsidRPr="005621F4">
        <w:rPr>
          <w:noProof/>
          <w:szCs w:val="22"/>
          <w:lang w:eastAsia="es-MX"/>
        </w:rPr>
        <w:drawing>
          <wp:inline distT="0" distB="0" distL="0" distR="0" wp14:anchorId="436FAF7A" wp14:editId="33452932">
            <wp:extent cx="5742940" cy="1752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1752600"/>
                    </a:xfrm>
                    <a:prstGeom prst="rect">
                      <a:avLst/>
                    </a:prstGeom>
                  </pic:spPr>
                </pic:pic>
              </a:graphicData>
            </a:graphic>
          </wp:inline>
        </w:drawing>
      </w:r>
    </w:p>
    <w:p w14:paraId="7F4A27F2" w14:textId="77777777" w:rsidR="00EE7417" w:rsidRPr="005621F4" w:rsidRDefault="00EE7417" w:rsidP="005621F4">
      <w:pPr>
        <w:ind w:right="-93"/>
        <w:rPr>
          <w:szCs w:val="22"/>
        </w:rPr>
      </w:pPr>
    </w:p>
    <w:p w14:paraId="0CF7A2FE" w14:textId="7706B57A" w:rsidR="00F90936" w:rsidRPr="005621F4" w:rsidRDefault="00F90936" w:rsidP="005621F4">
      <w:pPr>
        <w:ind w:right="-93"/>
        <w:rPr>
          <w:rFonts w:eastAsia="Calibri" w:cs="Tahoma"/>
          <w:b/>
          <w:szCs w:val="22"/>
          <w:lang w:eastAsia="en-US"/>
        </w:rPr>
      </w:pPr>
      <w:r w:rsidRPr="005621F4">
        <w:rPr>
          <w:szCs w:val="22"/>
        </w:rPr>
        <w:t>Recurso de revisión:</w:t>
      </w:r>
      <w:r w:rsidRPr="005621F4">
        <w:rPr>
          <w:b/>
          <w:szCs w:val="22"/>
        </w:rPr>
        <w:t xml:space="preserve"> </w:t>
      </w:r>
      <w:r w:rsidRPr="005621F4">
        <w:rPr>
          <w:rFonts w:eastAsia="Calibri" w:cs="Tahoma"/>
          <w:b/>
          <w:szCs w:val="22"/>
          <w:lang w:eastAsia="en-US"/>
        </w:rPr>
        <w:t>00454/INFOEM/IP/RR/2024.</w:t>
      </w:r>
    </w:p>
    <w:p w14:paraId="1B047419" w14:textId="6073EF3D" w:rsidR="00F90936" w:rsidRPr="005621F4" w:rsidRDefault="00F90936" w:rsidP="005621F4">
      <w:pPr>
        <w:ind w:right="-93"/>
        <w:rPr>
          <w:rFonts w:eastAsia="Calibri" w:cs="Tahoma"/>
          <w:iCs/>
          <w:szCs w:val="22"/>
          <w:lang w:val="es-ES" w:eastAsia="es-ES_tradnl"/>
        </w:rPr>
      </w:pPr>
      <w:r w:rsidRPr="005621F4">
        <w:rPr>
          <w:rFonts w:eastAsia="Calibri" w:cs="Tahoma"/>
          <w:iCs/>
          <w:noProof/>
          <w:szCs w:val="22"/>
          <w:lang w:eastAsia="es-MX"/>
        </w:rPr>
        <w:drawing>
          <wp:inline distT="0" distB="0" distL="0" distR="0" wp14:anchorId="4D808058" wp14:editId="77985590">
            <wp:extent cx="5742940" cy="3708806"/>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2157" cy="3714759"/>
                    </a:xfrm>
                    <a:prstGeom prst="rect">
                      <a:avLst/>
                    </a:prstGeom>
                  </pic:spPr>
                </pic:pic>
              </a:graphicData>
            </a:graphic>
          </wp:inline>
        </w:drawing>
      </w:r>
    </w:p>
    <w:p w14:paraId="2A0479FA" w14:textId="43605F42" w:rsidR="00C10275" w:rsidRPr="005621F4" w:rsidRDefault="00F90936" w:rsidP="005621F4">
      <w:pPr>
        <w:ind w:right="-93"/>
        <w:rPr>
          <w:rFonts w:eastAsia="Calibri" w:cs="Tahoma"/>
          <w:iCs/>
          <w:szCs w:val="22"/>
          <w:lang w:val="es-ES" w:eastAsia="es-ES_tradnl"/>
        </w:rPr>
      </w:pPr>
      <w:r w:rsidRPr="005621F4">
        <w:rPr>
          <w:rFonts w:eastAsia="Calibri" w:cs="Tahoma"/>
          <w:iCs/>
          <w:noProof/>
          <w:szCs w:val="22"/>
          <w:lang w:eastAsia="es-MX"/>
        </w:rPr>
        <w:drawing>
          <wp:inline distT="0" distB="0" distL="0" distR="0" wp14:anchorId="10BEBCE3" wp14:editId="7C0C1E0A">
            <wp:extent cx="5742192" cy="269543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1925" cy="2704696"/>
                    </a:xfrm>
                    <a:prstGeom prst="rect">
                      <a:avLst/>
                    </a:prstGeom>
                  </pic:spPr>
                </pic:pic>
              </a:graphicData>
            </a:graphic>
          </wp:inline>
        </w:drawing>
      </w:r>
    </w:p>
    <w:p w14:paraId="4337675F" w14:textId="665B168E" w:rsidR="00EB262C" w:rsidRPr="005621F4" w:rsidRDefault="00EB262C" w:rsidP="005621F4">
      <w:pPr>
        <w:ind w:right="-93"/>
        <w:rPr>
          <w:rFonts w:eastAsia="Calibri" w:cs="Tahoma"/>
          <w:iCs/>
          <w:szCs w:val="22"/>
          <w:lang w:val="es-ES" w:eastAsia="es-ES_tradnl"/>
        </w:rPr>
      </w:pPr>
    </w:p>
    <w:p w14:paraId="4F7D280B" w14:textId="60546EB5" w:rsidR="00EB262C" w:rsidRPr="005621F4" w:rsidRDefault="00EB262C" w:rsidP="005621F4">
      <w:pPr>
        <w:ind w:right="-93"/>
        <w:rPr>
          <w:rFonts w:eastAsia="Calibri" w:cs="Tahoma"/>
          <w:iCs/>
          <w:szCs w:val="22"/>
          <w:lang w:val="es-ES" w:eastAsia="es-ES_tradnl"/>
        </w:rPr>
      </w:pPr>
      <w:r w:rsidRPr="005621F4">
        <w:rPr>
          <w:rFonts w:eastAsia="Calibri" w:cs="Tahoma"/>
          <w:iCs/>
          <w:szCs w:val="22"/>
          <w:lang w:val="es-ES" w:eastAsia="es-ES_tradnl"/>
        </w:rPr>
        <w:t xml:space="preserve">Es así que posterior al análisis de las respuestas proporcionadas por </w:t>
      </w:r>
      <w:r w:rsidRPr="005621F4">
        <w:rPr>
          <w:rFonts w:eastAsia="Calibri" w:cs="Tahoma"/>
          <w:b/>
          <w:iCs/>
          <w:szCs w:val="22"/>
          <w:lang w:val="es-ES" w:eastAsia="es-ES_tradnl"/>
        </w:rPr>
        <w:t xml:space="preserve">EL SUJETO OBLIGADO, </w:t>
      </w:r>
      <w:r w:rsidR="007B49FA" w:rsidRPr="005621F4">
        <w:rPr>
          <w:rFonts w:eastAsia="Calibri" w:cs="Tahoma"/>
          <w:iCs/>
          <w:szCs w:val="22"/>
          <w:lang w:val="es-ES" w:eastAsia="es-ES_tradnl"/>
        </w:rPr>
        <w:t>se advirtió que se omitieron proporcionar los datos que a continuación se insertan:</w:t>
      </w:r>
    </w:p>
    <w:p w14:paraId="3F8571D7" w14:textId="77777777" w:rsidR="00EB262C" w:rsidRPr="005621F4" w:rsidRDefault="00EB262C" w:rsidP="005621F4">
      <w:pPr>
        <w:ind w:right="-93"/>
        <w:rPr>
          <w:rFonts w:eastAsia="Calibri" w:cs="Tahoma"/>
          <w:iCs/>
          <w:szCs w:val="22"/>
          <w:lang w:val="es-ES" w:eastAsia="es-ES_tradnl"/>
        </w:rPr>
      </w:pPr>
    </w:p>
    <w:tbl>
      <w:tblPr>
        <w:tblStyle w:val="Tablaconcuadrcula"/>
        <w:tblW w:w="0" w:type="auto"/>
        <w:tblLook w:val="04A0" w:firstRow="1" w:lastRow="0" w:firstColumn="1" w:lastColumn="0" w:noHBand="0" w:noVBand="1"/>
      </w:tblPr>
      <w:tblGrid>
        <w:gridCol w:w="988"/>
        <w:gridCol w:w="3528"/>
        <w:gridCol w:w="2259"/>
        <w:gridCol w:w="2259"/>
      </w:tblGrid>
      <w:tr w:rsidR="005621F4" w:rsidRPr="005621F4" w14:paraId="1AE1265A" w14:textId="77777777" w:rsidTr="00290FCA">
        <w:tc>
          <w:tcPr>
            <w:tcW w:w="988" w:type="dxa"/>
            <w:tcBorders>
              <w:top w:val="nil"/>
              <w:left w:val="nil"/>
            </w:tcBorders>
          </w:tcPr>
          <w:p w14:paraId="6610D84D" w14:textId="77777777" w:rsidR="00C10275" w:rsidRPr="005621F4" w:rsidRDefault="00C10275" w:rsidP="005621F4">
            <w:pPr>
              <w:ind w:right="-93"/>
              <w:jc w:val="center"/>
              <w:rPr>
                <w:rFonts w:eastAsia="Calibri" w:cs="Tahoma"/>
                <w:iCs/>
                <w:szCs w:val="22"/>
                <w:lang w:eastAsia="es-ES_tradnl"/>
              </w:rPr>
            </w:pPr>
          </w:p>
        </w:tc>
        <w:tc>
          <w:tcPr>
            <w:tcW w:w="3528" w:type="dxa"/>
            <w:shd w:val="clear" w:color="auto" w:fill="D9D9D9" w:themeFill="background1" w:themeFillShade="D9"/>
            <w:vAlign w:val="center"/>
          </w:tcPr>
          <w:p w14:paraId="2F46F943" w14:textId="718F006C" w:rsidR="00C10275" w:rsidRPr="005621F4" w:rsidRDefault="00C10275" w:rsidP="005621F4">
            <w:pPr>
              <w:spacing w:line="240" w:lineRule="auto"/>
              <w:ind w:right="-93"/>
              <w:jc w:val="center"/>
              <w:rPr>
                <w:rFonts w:eastAsia="Calibri" w:cs="Tahoma"/>
                <w:b/>
                <w:bCs/>
                <w:iCs/>
                <w:szCs w:val="22"/>
                <w:lang w:eastAsia="es-ES_tradnl"/>
              </w:rPr>
            </w:pPr>
            <w:r w:rsidRPr="005621F4">
              <w:rPr>
                <w:rFonts w:eastAsia="Calibri" w:cs="Tahoma"/>
                <w:b/>
                <w:bCs/>
                <w:iCs/>
                <w:szCs w:val="22"/>
                <w:lang w:eastAsia="es-ES_tradnl"/>
              </w:rPr>
              <w:t>Naucalpan</w:t>
            </w:r>
          </w:p>
        </w:tc>
        <w:tc>
          <w:tcPr>
            <w:tcW w:w="2259" w:type="dxa"/>
            <w:shd w:val="clear" w:color="auto" w:fill="D9D9D9" w:themeFill="background1" w:themeFillShade="D9"/>
            <w:vAlign w:val="center"/>
          </w:tcPr>
          <w:p w14:paraId="50D53969" w14:textId="65F9B00A" w:rsidR="00C10275" w:rsidRPr="005621F4" w:rsidRDefault="00C10275" w:rsidP="005621F4">
            <w:pPr>
              <w:spacing w:line="240" w:lineRule="auto"/>
              <w:ind w:right="-93"/>
              <w:jc w:val="center"/>
              <w:rPr>
                <w:rFonts w:eastAsia="Calibri" w:cs="Tahoma"/>
                <w:b/>
                <w:bCs/>
                <w:iCs/>
                <w:szCs w:val="22"/>
                <w:lang w:eastAsia="es-ES_tradnl"/>
              </w:rPr>
            </w:pPr>
            <w:r w:rsidRPr="005621F4">
              <w:rPr>
                <w:rFonts w:eastAsia="Calibri" w:cs="Tahoma"/>
                <w:b/>
                <w:bCs/>
                <w:iCs/>
                <w:szCs w:val="22"/>
                <w:lang w:eastAsia="es-ES_tradnl"/>
              </w:rPr>
              <w:t>Cuautitlán Izcalli</w:t>
            </w:r>
          </w:p>
        </w:tc>
        <w:tc>
          <w:tcPr>
            <w:tcW w:w="2259" w:type="dxa"/>
            <w:shd w:val="clear" w:color="auto" w:fill="D9D9D9" w:themeFill="background1" w:themeFillShade="D9"/>
            <w:vAlign w:val="center"/>
          </w:tcPr>
          <w:p w14:paraId="1F084238" w14:textId="107E7045" w:rsidR="00C10275" w:rsidRPr="005621F4" w:rsidRDefault="00C10275" w:rsidP="005621F4">
            <w:pPr>
              <w:spacing w:line="240" w:lineRule="auto"/>
              <w:ind w:right="-93"/>
              <w:jc w:val="center"/>
              <w:rPr>
                <w:rFonts w:eastAsia="Calibri" w:cs="Tahoma"/>
                <w:b/>
                <w:bCs/>
                <w:iCs/>
                <w:szCs w:val="22"/>
                <w:lang w:eastAsia="es-ES_tradnl"/>
              </w:rPr>
            </w:pPr>
            <w:r w:rsidRPr="005621F4">
              <w:rPr>
                <w:rFonts w:eastAsia="Calibri" w:cs="Tahoma"/>
                <w:b/>
                <w:bCs/>
                <w:iCs/>
                <w:szCs w:val="22"/>
                <w:lang w:eastAsia="es-ES_tradnl"/>
              </w:rPr>
              <w:t>Zumpango</w:t>
            </w:r>
          </w:p>
        </w:tc>
      </w:tr>
      <w:tr w:rsidR="00C10275" w:rsidRPr="005621F4" w14:paraId="74FF48C8" w14:textId="77777777" w:rsidTr="00290FCA">
        <w:tc>
          <w:tcPr>
            <w:tcW w:w="988" w:type="dxa"/>
            <w:vAlign w:val="center"/>
          </w:tcPr>
          <w:p w14:paraId="4A891386" w14:textId="2313E0D8" w:rsidR="00C10275" w:rsidRPr="005621F4" w:rsidRDefault="00C10275" w:rsidP="005621F4">
            <w:pPr>
              <w:ind w:right="-93"/>
              <w:jc w:val="center"/>
              <w:rPr>
                <w:rFonts w:eastAsia="Calibri" w:cs="Tahoma"/>
                <w:b/>
                <w:bCs/>
                <w:iCs/>
                <w:szCs w:val="22"/>
                <w:lang w:eastAsia="es-ES_tradnl"/>
              </w:rPr>
            </w:pPr>
            <w:r w:rsidRPr="005621F4">
              <w:rPr>
                <w:rFonts w:eastAsia="Calibri" w:cs="Tahoma"/>
                <w:b/>
                <w:bCs/>
                <w:iCs/>
                <w:szCs w:val="22"/>
                <w:lang w:eastAsia="es-ES_tradnl"/>
              </w:rPr>
              <w:t>Zona II</w:t>
            </w:r>
          </w:p>
        </w:tc>
        <w:tc>
          <w:tcPr>
            <w:tcW w:w="3528" w:type="dxa"/>
          </w:tcPr>
          <w:p w14:paraId="65918E35" w14:textId="5649A4E0" w:rsidR="00324215" w:rsidRPr="005621F4" w:rsidRDefault="00324215" w:rsidP="005621F4">
            <w:pPr>
              <w:ind w:right="-93"/>
              <w:rPr>
                <w:rFonts w:eastAsia="Calibri"/>
                <w:szCs w:val="22"/>
                <w:lang w:eastAsia="es-ES_tradnl"/>
              </w:rPr>
            </w:pPr>
            <w:r w:rsidRPr="005621F4">
              <w:rPr>
                <w:rFonts w:eastAsia="Calibri" w:cs="Tahoma"/>
                <w:iCs/>
                <w:szCs w:val="22"/>
                <w:lang w:eastAsia="es-ES_tradnl"/>
              </w:rPr>
              <w:t>Se omite pronunciamiento respecto la</w:t>
            </w:r>
            <w:r w:rsidRPr="005621F4">
              <w:rPr>
                <w:rFonts w:eastAsia="Calibri"/>
                <w:szCs w:val="22"/>
                <w:lang w:eastAsia="es-ES_tradnl"/>
              </w:rPr>
              <w:t xml:space="preserve"> submarca, sanción y resultados de los operativos.</w:t>
            </w:r>
          </w:p>
          <w:p w14:paraId="07BEEACD" w14:textId="11473569" w:rsidR="00C10275" w:rsidRPr="005621F4" w:rsidRDefault="00C10275" w:rsidP="005621F4">
            <w:pPr>
              <w:ind w:right="-93"/>
              <w:rPr>
                <w:rFonts w:eastAsia="Calibri" w:cs="Tahoma"/>
                <w:iCs/>
                <w:szCs w:val="22"/>
                <w:lang w:eastAsia="es-ES_tradnl"/>
              </w:rPr>
            </w:pPr>
          </w:p>
        </w:tc>
        <w:tc>
          <w:tcPr>
            <w:tcW w:w="2259" w:type="dxa"/>
          </w:tcPr>
          <w:p w14:paraId="42427C43" w14:textId="02CF4AD2" w:rsidR="00C10275" w:rsidRPr="005621F4" w:rsidRDefault="00324215" w:rsidP="005621F4">
            <w:pPr>
              <w:ind w:right="-93"/>
              <w:rPr>
                <w:rFonts w:eastAsia="Calibri" w:cs="Tahoma"/>
                <w:iCs/>
                <w:szCs w:val="22"/>
                <w:lang w:eastAsia="es-ES_tradnl"/>
              </w:rPr>
            </w:pPr>
            <w:r w:rsidRPr="005621F4">
              <w:rPr>
                <w:rFonts w:eastAsia="Calibri" w:cs="Tahoma"/>
                <w:iCs/>
                <w:szCs w:val="22"/>
                <w:lang w:eastAsia="es-ES_tradnl"/>
              </w:rPr>
              <w:t>Se omite pronunciamiento respecto a los resultados.</w:t>
            </w:r>
          </w:p>
        </w:tc>
        <w:tc>
          <w:tcPr>
            <w:tcW w:w="2259" w:type="dxa"/>
          </w:tcPr>
          <w:p w14:paraId="0BA5DC40" w14:textId="7EDE144C" w:rsidR="00C10275" w:rsidRPr="005621F4" w:rsidRDefault="00C10275" w:rsidP="005621F4">
            <w:pPr>
              <w:ind w:right="-93"/>
              <w:rPr>
                <w:rFonts w:eastAsia="Calibri" w:cs="Tahoma"/>
                <w:iCs/>
                <w:szCs w:val="22"/>
                <w:lang w:eastAsia="es-ES_tradnl"/>
              </w:rPr>
            </w:pPr>
            <w:r w:rsidRPr="005621F4">
              <w:rPr>
                <w:rFonts w:eastAsia="Calibri" w:cs="Tahoma"/>
                <w:iCs/>
                <w:szCs w:val="22"/>
                <w:lang w:eastAsia="es-ES_tradnl"/>
              </w:rPr>
              <w:t>Colma por hechos negativos</w:t>
            </w:r>
          </w:p>
        </w:tc>
      </w:tr>
    </w:tbl>
    <w:p w14:paraId="77414485" w14:textId="77777777" w:rsidR="00C10275" w:rsidRPr="005621F4" w:rsidRDefault="00C10275" w:rsidP="005621F4">
      <w:pPr>
        <w:ind w:right="-93"/>
        <w:rPr>
          <w:rFonts w:eastAsia="Calibri" w:cs="Tahoma"/>
          <w:iCs/>
          <w:szCs w:val="22"/>
          <w:lang w:val="es-ES" w:eastAsia="es-ES_tradnl"/>
        </w:rPr>
      </w:pPr>
    </w:p>
    <w:tbl>
      <w:tblPr>
        <w:tblStyle w:val="Tablaconcuadrcula"/>
        <w:tblW w:w="9067" w:type="dxa"/>
        <w:tblLook w:val="04A0" w:firstRow="1" w:lastRow="0" w:firstColumn="1" w:lastColumn="0" w:noHBand="0" w:noVBand="1"/>
      </w:tblPr>
      <w:tblGrid>
        <w:gridCol w:w="988"/>
        <w:gridCol w:w="3528"/>
        <w:gridCol w:w="4551"/>
      </w:tblGrid>
      <w:tr w:rsidR="005621F4" w:rsidRPr="005621F4" w14:paraId="349A3C90" w14:textId="77777777" w:rsidTr="00290FCA">
        <w:tc>
          <w:tcPr>
            <w:tcW w:w="988" w:type="dxa"/>
            <w:tcBorders>
              <w:top w:val="nil"/>
              <w:left w:val="nil"/>
            </w:tcBorders>
          </w:tcPr>
          <w:p w14:paraId="236FC0E2" w14:textId="77777777" w:rsidR="00C10275" w:rsidRPr="005621F4" w:rsidRDefault="00C10275" w:rsidP="005621F4">
            <w:pPr>
              <w:ind w:right="-93"/>
              <w:jc w:val="center"/>
              <w:rPr>
                <w:rFonts w:eastAsia="Calibri" w:cs="Tahoma"/>
                <w:iCs/>
                <w:szCs w:val="22"/>
                <w:lang w:eastAsia="es-ES_tradnl"/>
              </w:rPr>
            </w:pPr>
          </w:p>
        </w:tc>
        <w:tc>
          <w:tcPr>
            <w:tcW w:w="3528" w:type="dxa"/>
            <w:shd w:val="clear" w:color="auto" w:fill="D9D9D9" w:themeFill="background1" w:themeFillShade="D9"/>
            <w:vAlign w:val="center"/>
          </w:tcPr>
          <w:p w14:paraId="11476C8E" w14:textId="0AA90083" w:rsidR="00C10275" w:rsidRPr="005621F4" w:rsidRDefault="00C10275" w:rsidP="005621F4">
            <w:pPr>
              <w:spacing w:line="240" w:lineRule="auto"/>
              <w:ind w:right="-93"/>
              <w:jc w:val="center"/>
              <w:rPr>
                <w:rFonts w:eastAsia="Calibri" w:cs="Tahoma"/>
                <w:b/>
                <w:bCs/>
                <w:iCs/>
                <w:szCs w:val="22"/>
                <w:lang w:eastAsia="es-ES_tradnl"/>
              </w:rPr>
            </w:pPr>
            <w:r w:rsidRPr="005621F4">
              <w:rPr>
                <w:rFonts w:eastAsia="Calibri" w:cs="Tahoma"/>
                <w:b/>
                <w:bCs/>
                <w:iCs/>
                <w:szCs w:val="22"/>
                <w:lang w:eastAsia="es-ES_tradnl"/>
              </w:rPr>
              <w:t>Texcoco</w:t>
            </w:r>
          </w:p>
        </w:tc>
        <w:tc>
          <w:tcPr>
            <w:tcW w:w="4551" w:type="dxa"/>
            <w:shd w:val="clear" w:color="auto" w:fill="D9D9D9" w:themeFill="background1" w:themeFillShade="D9"/>
            <w:vAlign w:val="center"/>
          </w:tcPr>
          <w:p w14:paraId="7C1C3DE0" w14:textId="46C36E0F" w:rsidR="00C10275" w:rsidRPr="005621F4" w:rsidRDefault="00C10275" w:rsidP="005621F4">
            <w:pPr>
              <w:spacing w:line="240" w:lineRule="auto"/>
              <w:ind w:right="-93"/>
              <w:jc w:val="center"/>
              <w:rPr>
                <w:rFonts w:eastAsia="Calibri" w:cs="Tahoma"/>
                <w:b/>
                <w:bCs/>
                <w:iCs/>
                <w:szCs w:val="22"/>
                <w:lang w:eastAsia="es-ES_tradnl"/>
              </w:rPr>
            </w:pPr>
            <w:r w:rsidRPr="005621F4">
              <w:rPr>
                <w:rFonts w:eastAsia="Calibri" w:cs="Tahoma"/>
                <w:b/>
                <w:bCs/>
                <w:iCs/>
                <w:szCs w:val="22"/>
                <w:lang w:eastAsia="es-ES_tradnl"/>
              </w:rPr>
              <w:t>Ecatepec</w:t>
            </w:r>
          </w:p>
        </w:tc>
      </w:tr>
      <w:tr w:rsidR="00412D96" w:rsidRPr="005621F4" w14:paraId="4C376817" w14:textId="77777777" w:rsidTr="00290FCA">
        <w:tc>
          <w:tcPr>
            <w:tcW w:w="988" w:type="dxa"/>
            <w:vAlign w:val="center"/>
          </w:tcPr>
          <w:p w14:paraId="1C12313D" w14:textId="73F27D98" w:rsidR="00412D96" w:rsidRPr="005621F4" w:rsidRDefault="00412D96" w:rsidP="005621F4">
            <w:pPr>
              <w:ind w:right="-93"/>
              <w:jc w:val="center"/>
              <w:rPr>
                <w:rFonts w:eastAsia="Calibri" w:cs="Tahoma"/>
                <w:b/>
                <w:bCs/>
                <w:iCs/>
                <w:szCs w:val="22"/>
                <w:lang w:eastAsia="es-ES_tradnl"/>
              </w:rPr>
            </w:pPr>
            <w:r w:rsidRPr="005621F4">
              <w:rPr>
                <w:rFonts w:eastAsia="Calibri" w:cs="Tahoma"/>
                <w:b/>
                <w:bCs/>
                <w:iCs/>
                <w:szCs w:val="22"/>
                <w:lang w:eastAsia="es-ES_tradnl"/>
              </w:rPr>
              <w:t>Zona III</w:t>
            </w:r>
          </w:p>
        </w:tc>
        <w:tc>
          <w:tcPr>
            <w:tcW w:w="3528" w:type="dxa"/>
          </w:tcPr>
          <w:p w14:paraId="00F7AB3C" w14:textId="2B8F09D1" w:rsidR="00412D96" w:rsidRPr="005621F4" w:rsidRDefault="00412D96" w:rsidP="005621F4">
            <w:pPr>
              <w:ind w:right="-93"/>
              <w:rPr>
                <w:rFonts w:eastAsia="Calibri" w:cs="Tahoma"/>
                <w:iCs/>
                <w:szCs w:val="22"/>
                <w:lang w:eastAsia="es-ES_tradnl"/>
              </w:rPr>
            </w:pPr>
            <w:r w:rsidRPr="005621F4">
              <w:rPr>
                <w:rFonts w:eastAsia="Calibri" w:cs="Tahoma"/>
                <w:iCs/>
                <w:szCs w:val="22"/>
                <w:lang w:eastAsia="es-ES_tradnl"/>
              </w:rPr>
              <w:t>Se omite pronunciamiento respecto a la marca, submarca, número de placas, sanción, motivo de la sanción y lugar de traslado.</w:t>
            </w:r>
          </w:p>
        </w:tc>
        <w:tc>
          <w:tcPr>
            <w:tcW w:w="4551" w:type="dxa"/>
          </w:tcPr>
          <w:p w14:paraId="3870C782" w14:textId="34CC1D34" w:rsidR="00412D96" w:rsidRPr="005621F4" w:rsidRDefault="00412D96" w:rsidP="005621F4">
            <w:pPr>
              <w:ind w:right="-93"/>
              <w:rPr>
                <w:rFonts w:eastAsia="Calibri" w:cs="Tahoma"/>
                <w:iCs/>
                <w:szCs w:val="22"/>
                <w:lang w:eastAsia="es-ES_tradnl"/>
              </w:rPr>
            </w:pPr>
            <w:r w:rsidRPr="005621F4">
              <w:rPr>
                <w:rFonts w:eastAsia="Calibri" w:cs="Tahoma"/>
                <w:iCs/>
                <w:szCs w:val="22"/>
                <w:lang w:eastAsia="es-ES_tradnl"/>
              </w:rPr>
              <w:t>Se omite pronunciamiento respecto a la marca, submarca, número de placas, sanción, motivo de la sanción y lugar de traslado.</w:t>
            </w:r>
          </w:p>
        </w:tc>
      </w:tr>
    </w:tbl>
    <w:p w14:paraId="1DEE9988" w14:textId="77777777" w:rsidR="00C10275" w:rsidRPr="005621F4" w:rsidRDefault="00C10275" w:rsidP="005621F4">
      <w:pPr>
        <w:ind w:right="-93"/>
        <w:rPr>
          <w:rFonts w:eastAsia="Calibri" w:cs="Tahoma"/>
          <w:iCs/>
          <w:szCs w:val="22"/>
          <w:lang w:val="es-ES" w:eastAsia="es-ES_tradnl"/>
        </w:rPr>
      </w:pPr>
    </w:p>
    <w:tbl>
      <w:tblPr>
        <w:tblStyle w:val="Tablaconcuadrcula"/>
        <w:tblW w:w="9067" w:type="dxa"/>
        <w:tblLook w:val="04A0" w:firstRow="1" w:lastRow="0" w:firstColumn="1" w:lastColumn="0" w:noHBand="0" w:noVBand="1"/>
      </w:tblPr>
      <w:tblGrid>
        <w:gridCol w:w="988"/>
        <w:gridCol w:w="3543"/>
        <w:gridCol w:w="4536"/>
      </w:tblGrid>
      <w:tr w:rsidR="005621F4" w:rsidRPr="005621F4" w14:paraId="1B6AD1D5" w14:textId="77777777" w:rsidTr="00290FCA">
        <w:tc>
          <w:tcPr>
            <w:tcW w:w="988" w:type="dxa"/>
            <w:tcBorders>
              <w:top w:val="nil"/>
              <w:left w:val="nil"/>
            </w:tcBorders>
          </w:tcPr>
          <w:p w14:paraId="04A12176" w14:textId="77777777" w:rsidR="00C10275" w:rsidRPr="005621F4" w:rsidRDefault="00C10275" w:rsidP="005621F4">
            <w:pPr>
              <w:ind w:right="-93"/>
              <w:jc w:val="center"/>
              <w:rPr>
                <w:rFonts w:eastAsia="Calibri" w:cs="Tahoma"/>
                <w:iCs/>
                <w:szCs w:val="22"/>
                <w:lang w:eastAsia="es-ES_tradnl"/>
              </w:rPr>
            </w:pPr>
          </w:p>
        </w:tc>
        <w:tc>
          <w:tcPr>
            <w:tcW w:w="3543" w:type="dxa"/>
            <w:shd w:val="clear" w:color="auto" w:fill="D9D9D9" w:themeFill="background1" w:themeFillShade="D9"/>
            <w:vAlign w:val="center"/>
          </w:tcPr>
          <w:p w14:paraId="348D5CF2" w14:textId="07A96C79" w:rsidR="00C10275" w:rsidRPr="005621F4" w:rsidRDefault="00C10275" w:rsidP="005621F4">
            <w:pPr>
              <w:spacing w:line="240" w:lineRule="auto"/>
              <w:ind w:right="-93"/>
              <w:jc w:val="center"/>
              <w:rPr>
                <w:rFonts w:eastAsia="Calibri" w:cs="Tahoma"/>
                <w:b/>
                <w:bCs/>
                <w:iCs/>
                <w:szCs w:val="22"/>
                <w:lang w:eastAsia="es-ES_tradnl"/>
              </w:rPr>
            </w:pPr>
            <w:r w:rsidRPr="005621F4">
              <w:rPr>
                <w:b/>
                <w:bCs/>
                <w:szCs w:val="22"/>
              </w:rPr>
              <w:t>Nezahualcóyotl</w:t>
            </w:r>
          </w:p>
        </w:tc>
        <w:tc>
          <w:tcPr>
            <w:tcW w:w="4536" w:type="dxa"/>
            <w:shd w:val="clear" w:color="auto" w:fill="D9D9D9" w:themeFill="background1" w:themeFillShade="D9"/>
            <w:vAlign w:val="center"/>
          </w:tcPr>
          <w:p w14:paraId="2E3388C8" w14:textId="0C54E489" w:rsidR="00C10275" w:rsidRPr="005621F4" w:rsidRDefault="00C10275" w:rsidP="005621F4">
            <w:pPr>
              <w:spacing w:line="240" w:lineRule="auto"/>
              <w:ind w:right="-93"/>
              <w:jc w:val="center"/>
              <w:rPr>
                <w:rFonts w:eastAsia="Calibri" w:cs="Tahoma"/>
                <w:b/>
                <w:bCs/>
                <w:iCs/>
                <w:szCs w:val="22"/>
                <w:lang w:eastAsia="es-ES_tradnl"/>
              </w:rPr>
            </w:pPr>
            <w:r w:rsidRPr="005621F4">
              <w:rPr>
                <w:rFonts w:eastAsia="Calibri" w:cs="Tahoma"/>
                <w:b/>
                <w:bCs/>
                <w:iCs/>
                <w:szCs w:val="22"/>
                <w:lang w:eastAsia="es-ES_tradnl"/>
              </w:rPr>
              <w:t>Chalco</w:t>
            </w:r>
          </w:p>
        </w:tc>
      </w:tr>
      <w:tr w:rsidR="00412D96" w:rsidRPr="005621F4" w14:paraId="61F0F4F6" w14:textId="77777777" w:rsidTr="00290FCA">
        <w:tc>
          <w:tcPr>
            <w:tcW w:w="988" w:type="dxa"/>
            <w:vAlign w:val="center"/>
          </w:tcPr>
          <w:p w14:paraId="6C00A1BB" w14:textId="15ABA83B" w:rsidR="00412D96" w:rsidRPr="005621F4" w:rsidRDefault="00412D96" w:rsidP="005621F4">
            <w:pPr>
              <w:ind w:right="-93"/>
              <w:jc w:val="center"/>
              <w:rPr>
                <w:rFonts w:eastAsia="Calibri" w:cs="Tahoma"/>
                <w:b/>
                <w:bCs/>
                <w:iCs/>
                <w:szCs w:val="22"/>
                <w:lang w:eastAsia="es-ES_tradnl"/>
              </w:rPr>
            </w:pPr>
            <w:r w:rsidRPr="005621F4">
              <w:rPr>
                <w:rFonts w:eastAsia="Calibri" w:cs="Tahoma"/>
                <w:b/>
                <w:bCs/>
                <w:iCs/>
                <w:szCs w:val="22"/>
                <w:lang w:eastAsia="es-ES_tradnl"/>
              </w:rPr>
              <w:t>Zona IV</w:t>
            </w:r>
          </w:p>
        </w:tc>
        <w:tc>
          <w:tcPr>
            <w:tcW w:w="8079" w:type="dxa"/>
            <w:gridSpan w:val="2"/>
          </w:tcPr>
          <w:p w14:paraId="7138D30B" w14:textId="5CF137C9" w:rsidR="00412D96" w:rsidRPr="005621F4" w:rsidRDefault="00412D96" w:rsidP="005621F4">
            <w:pPr>
              <w:ind w:right="-93"/>
              <w:rPr>
                <w:rFonts w:eastAsia="Calibri" w:cs="Tahoma"/>
                <w:iCs/>
                <w:szCs w:val="22"/>
                <w:lang w:eastAsia="es-ES_tradnl"/>
              </w:rPr>
            </w:pPr>
            <w:r w:rsidRPr="005621F4">
              <w:rPr>
                <w:rFonts w:eastAsia="Calibri" w:cs="Tahoma"/>
                <w:iCs/>
                <w:szCs w:val="22"/>
                <w:lang w:eastAsia="es-ES_tradnl"/>
              </w:rPr>
              <w:t>Se omite pronunciamiento respecto al número de operativos y resultados; asimismo</w:t>
            </w:r>
            <w:r w:rsidR="00290FCA" w:rsidRPr="005621F4">
              <w:rPr>
                <w:rFonts w:eastAsia="Calibri" w:cs="Tahoma"/>
                <w:iCs/>
                <w:szCs w:val="22"/>
                <w:lang w:eastAsia="es-ES_tradnl"/>
              </w:rPr>
              <w:t>,</w:t>
            </w:r>
            <w:r w:rsidRPr="005621F4">
              <w:rPr>
                <w:rFonts w:eastAsia="Calibri" w:cs="Tahoma"/>
                <w:iCs/>
                <w:szCs w:val="22"/>
                <w:lang w:eastAsia="es-ES_tradnl"/>
              </w:rPr>
              <w:t xml:space="preserve"> no se </w:t>
            </w:r>
            <w:r w:rsidR="00290FCA" w:rsidRPr="005621F4">
              <w:rPr>
                <w:rFonts w:eastAsia="Calibri" w:cs="Tahoma"/>
                <w:iCs/>
                <w:szCs w:val="22"/>
                <w:lang w:eastAsia="es-ES_tradnl"/>
              </w:rPr>
              <w:t>tiene certeza de si la información corresponde a ambas delegaciones regionales.</w:t>
            </w:r>
          </w:p>
        </w:tc>
      </w:tr>
    </w:tbl>
    <w:p w14:paraId="6584A995" w14:textId="77777777" w:rsidR="00C10275" w:rsidRPr="005621F4" w:rsidRDefault="00C10275" w:rsidP="005621F4">
      <w:pPr>
        <w:ind w:right="-93"/>
        <w:rPr>
          <w:rFonts w:eastAsia="Calibri" w:cs="Tahoma"/>
          <w:iCs/>
          <w:szCs w:val="22"/>
          <w:lang w:val="es-ES" w:eastAsia="es-ES_tradnl"/>
        </w:rPr>
      </w:pPr>
    </w:p>
    <w:p w14:paraId="391FEE28" w14:textId="2B6E35F2" w:rsidR="00166E6E" w:rsidRPr="005621F4" w:rsidRDefault="00EE7417" w:rsidP="005621F4">
      <w:pPr>
        <w:ind w:right="-93"/>
        <w:rPr>
          <w:rFonts w:eastAsia="Calibri"/>
          <w:szCs w:val="22"/>
          <w:lang w:eastAsia="es-ES_tradnl"/>
        </w:rPr>
      </w:pPr>
      <w:r w:rsidRPr="005621F4">
        <w:rPr>
          <w:rFonts w:eastAsia="Calibri" w:cs="Tahoma"/>
          <w:iCs/>
          <w:szCs w:val="22"/>
          <w:lang w:val="es-ES" w:eastAsia="es-ES_tradnl"/>
        </w:rPr>
        <w:t xml:space="preserve">Por lo anterior, se desprende que, para dar atención a los tres medios de impugnación se remitió información diversa, siendo la más completa y cercana a las pretensiones de </w:t>
      </w:r>
      <w:r w:rsidRPr="005621F4">
        <w:rPr>
          <w:rFonts w:eastAsia="Calibri" w:cs="Tahoma"/>
          <w:b/>
          <w:iCs/>
          <w:szCs w:val="22"/>
          <w:lang w:val="es-ES" w:eastAsia="es-ES_tradnl"/>
        </w:rPr>
        <w:t xml:space="preserve">LA PARTE RECURRENTE </w:t>
      </w:r>
      <w:r w:rsidRPr="005621F4">
        <w:rPr>
          <w:rFonts w:eastAsia="Calibri" w:cs="Tahoma"/>
          <w:iCs/>
          <w:szCs w:val="22"/>
          <w:lang w:val="es-ES" w:eastAsia="es-ES_tradnl"/>
        </w:rPr>
        <w:t xml:space="preserve">aquella proporcionada por la Dirección General de Movilidad II, dentro del archivo digital denominado </w:t>
      </w:r>
      <w:r w:rsidRPr="005621F4">
        <w:rPr>
          <w:rFonts w:eastAsia="Calibri" w:cs="Tahoma"/>
          <w:i/>
          <w:iCs/>
          <w:szCs w:val="22"/>
          <w:lang w:val="es-ES" w:eastAsia="es-ES_tradnl"/>
        </w:rPr>
        <w:t>“UNIDADES RETENIDAS DEL. CUAUTITLÁN IZCALLI.pdf”</w:t>
      </w:r>
      <w:r w:rsidRPr="005621F4">
        <w:rPr>
          <w:rFonts w:eastAsia="Calibri" w:cs="Tahoma"/>
          <w:iCs/>
          <w:szCs w:val="22"/>
          <w:lang w:val="es-ES" w:eastAsia="es-ES_tradnl"/>
        </w:rPr>
        <w:t xml:space="preserve"> para </w:t>
      </w:r>
      <w:r w:rsidRPr="005621F4">
        <w:rPr>
          <w:rFonts w:eastAsia="Calibri" w:cs="Tahoma"/>
          <w:iCs/>
          <w:szCs w:val="22"/>
          <w:lang w:val="es-ES" w:eastAsia="es-ES_tradnl"/>
        </w:rPr>
        <w:lastRenderedPageBreak/>
        <w:t xml:space="preserve">efectos de dar respuesta en el recurso de revisión </w:t>
      </w:r>
      <w:r w:rsidRPr="005621F4">
        <w:rPr>
          <w:rFonts w:eastAsia="Calibri" w:cs="Tahoma"/>
          <w:b/>
          <w:szCs w:val="22"/>
          <w:lang w:eastAsia="en-US"/>
        </w:rPr>
        <w:t>00454/INFOEM/IP/RR/2024</w:t>
      </w:r>
      <w:r w:rsidR="00166E6E" w:rsidRPr="005621F4">
        <w:rPr>
          <w:rFonts w:eastAsia="Calibri" w:cs="Tahoma"/>
          <w:b/>
          <w:szCs w:val="22"/>
          <w:lang w:eastAsia="en-US"/>
        </w:rPr>
        <w:t xml:space="preserve">, </w:t>
      </w:r>
      <w:r w:rsidR="00166E6E" w:rsidRPr="005621F4">
        <w:rPr>
          <w:rFonts w:eastAsia="Calibri" w:cs="Tahoma"/>
          <w:szCs w:val="22"/>
          <w:lang w:eastAsia="en-US"/>
        </w:rPr>
        <w:t>en este se logra observar sobre la información correspondiente a la delegación de Cuautitlán Izcalli, conforme a la temporalidad precisada por el solicitante</w:t>
      </w:r>
      <w:r w:rsidR="00324215" w:rsidRPr="005621F4">
        <w:rPr>
          <w:rFonts w:eastAsia="Calibri"/>
          <w:szCs w:val="22"/>
          <w:lang w:eastAsia="es-ES_tradnl"/>
        </w:rPr>
        <w:t xml:space="preserve">, únicamente </w:t>
      </w:r>
      <w:r w:rsidR="00F5313F" w:rsidRPr="005621F4">
        <w:rPr>
          <w:rFonts w:eastAsia="Calibri"/>
          <w:szCs w:val="22"/>
          <w:lang w:eastAsia="es-ES_tradnl"/>
        </w:rPr>
        <w:t>se omitió</w:t>
      </w:r>
      <w:r w:rsidR="00324215" w:rsidRPr="005621F4">
        <w:rPr>
          <w:rFonts w:eastAsia="Calibri"/>
          <w:szCs w:val="22"/>
          <w:lang w:eastAsia="es-ES_tradnl"/>
        </w:rPr>
        <w:t xml:space="preserve"> lo relativo a los resultados de los </w:t>
      </w:r>
      <w:r w:rsidR="00EB262C" w:rsidRPr="005621F4">
        <w:rPr>
          <w:rFonts w:eastAsia="Calibri"/>
          <w:szCs w:val="22"/>
          <w:lang w:eastAsia="es-ES_tradnl"/>
        </w:rPr>
        <w:t>operativos</w:t>
      </w:r>
      <w:r w:rsidR="00324215" w:rsidRPr="005621F4">
        <w:rPr>
          <w:rFonts w:eastAsia="Calibri"/>
          <w:szCs w:val="22"/>
          <w:lang w:eastAsia="es-ES_tradnl"/>
        </w:rPr>
        <w:t>.</w:t>
      </w:r>
    </w:p>
    <w:p w14:paraId="000CC880" w14:textId="77777777" w:rsidR="00166E6E" w:rsidRPr="005621F4" w:rsidRDefault="00166E6E" w:rsidP="005621F4">
      <w:pPr>
        <w:ind w:right="-93"/>
        <w:rPr>
          <w:rFonts w:eastAsia="Calibri"/>
          <w:szCs w:val="22"/>
          <w:lang w:eastAsia="es-ES_tradnl"/>
        </w:rPr>
      </w:pPr>
    </w:p>
    <w:p w14:paraId="05747C7E" w14:textId="02B58346" w:rsidR="00166E6E" w:rsidRPr="005621F4" w:rsidRDefault="007B49FA" w:rsidP="005621F4">
      <w:pPr>
        <w:ind w:right="-93"/>
        <w:rPr>
          <w:rFonts w:eastAsia="Calibri" w:cs="Tahoma"/>
          <w:iCs/>
          <w:szCs w:val="22"/>
          <w:lang w:val="es-ES" w:eastAsia="es-ES_tradnl"/>
        </w:rPr>
      </w:pPr>
      <w:r w:rsidRPr="005621F4">
        <w:rPr>
          <w:rFonts w:eastAsia="Calibri"/>
          <w:szCs w:val="22"/>
          <w:lang w:eastAsia="es-ES_tradnl"/>
        </w:rPr>
        <w:t>Ante tales consideraciones</w:t>
      </w:r>
      <w:r w:rsidR="00A94088" w:rsidRPr="005621F4">
        <w:rPr>
          <w:rFonts w:eastAsia="Calibri"/>
          <w:szCs w:val="22"/>
          <w:lang w:eastAsia="es-ES_tradnl"/>
        </w:rPr>
        <w:t xml:space="preserve"> se </w:t>
      </w:r>
      <w:r w:rsidR="00277160" w:rsidRPr="005621F4">
        <w:rPr>
          <w:rFonts w:eastAsia="Calibri"/>
          <w:szCs w:val="22"/>
          <w:lang w:eastAsia="es-ES_tradnl"/>
        </w:rPr>
        <w:t>colige</w:t>
      </w:r>
      <w:r w:rsidR="00A94088" w:rsidRPr="005621F4">
        <w:rPr>
          <w:rFonts w:eastAsia="Calibri"/>
          <w:szCs w:val="22"/>
          <w:lang w:eastAsia="es-ES_tradnl"/>
        </w:rPr>
        <w:t xml:space="preserve"> que</w:t>
      </w:r>
      <w:r w:rsidR="00277160" w:rsidRPr="005621F4">
        <w:rPr>
          <w:rFonts w:eastAsia="Calibri"/>
          <w:szCs w:val="22"/>
          <w:lang w:eastAsia="es-ES_tradnl"/>
        </w:rPr>
        <w:t>,</w:t>
      </w:r>
      <w:r w:rsidR="00A94088" w:rsidRPr="005621F4">
        <w:rPr>
          <w:rFonts w:eastAsia="Calibri"/>
          <w:szCs w:val="22"/>
          <w:lang w:eastAsia="es-ES_tradnl"/>
        </w:rPr>
        <w:t xml:space="preserve"> </w:t>
      </w:r>
      <w:r w:rsidR="00166E6E" w:rsidRPr="005621F4">
        <w:rPr>
          <w:rFonts w:eastAsia="Calibri"/>
          <w:szCs w:val="22"/>
          <w:lang w:eastAsia="es-ES_tradnl"/>
        </w:rPr>
        <w:t xml:space="preserve">las respuestas proporcionadas por </w:t>
      </w:r>
      <w:r w:rsidR="00166E6E" w:rsidRPr="005621F4">
        <w:rPr>
          <w:rFonts w:eastAsia="Calibri"/>
          <w:b/>
          <w:szCs w:val="22"/>
          <w:lang w:eastAsia="es-ES_tradnl"/>
        </w:rPr>
        <w:t xml:space="preserve">EL SUJETO OBLIGADO </w:t>
      </w:r>
      <w:r w:rsidR="00166E6E" w:rsidRPr="005621F4">
        <w:rPr>
          <w:rFonts w:eastAsia="Calibri"/>
          <w:szCs w:val="22"/>
          <w:lang w:eastAsia="es-ES_tradnl"/>
        </w:rPr>
        <w:t>carecen de congruencia</w:t>
      </w:r>
      <w:r w:rsidR="00724762" w:rsidRPr="005621F4">
        <w:rPr>
          <w:rFonts w:eastAsia="Calibri"/>
          <w:szCs w:val="22"/>
          <w:lang w:eastAsia="es-ES_tradnl"/>
        </w:rPr>
        <w:t xml:space="preserve">, </w:t>
      </w:r>
      <w:r w:rsidR="00277160" w:rsidRPr="005621F4">
        <w:rPr>
          <w:rFonts w:eastAsia="Calibri"/>
          <w:szCs w:val="22"/>
          <w:lang w:eastAsia="es-ES_tradnl"/>
        </w:rPr>
        <w:t>toda vez que al tomar en consideración que las unidades administrativas encargadas de dar respuesta a los requerimientos del particular cuentan con las mismas atribuciones y se estima que al ser autoridades homólogas generan la misma información; de tal suerte que para este Instituto se deja en estado de incertidumbre al solicitante</w:t>
      </w:r>
      <w:r w:rsidR="00277160" w:rsidRPr="005621F4">
        <w:rPr>
          <w:rFonts w:eastAsia="Calibri"/>
          <w:b/>
          <w:szCs w:val="22"/>
          <w:lang w:eastAsia="es-ES_tradnl"/>
        </w:rPr>
        <w:t xml:space="preserve"> </w:t>
      </w:r>
      <w:r w:rsidR="00277160" w:rsidRPr="005621F4">
        <w:rPr>
          <w:rFonts w:eastAsia="Calibri"/>
          <w:szCs w:val="22"/>
          <w:lang w:eastAsia="es-ES_tradnl"/>
        </w:rPr>
        <w:t xml:space="preserve">al proporcionarse documentales </w:t>
      </w:r>
      <w:r w:rsidR="00DC6F7D" w:rsidRPr="005621F4">
        <w:rPr>
          <w:rFonts w:eastAsia="Calibri"/>
          <w:szCs w:val="22"/>
          <w:lang w:eastAsia="es-ES_tradnl"/>
        </w:rPr>
        <w:t>que no guardan relación, tratándose de requerimientos que son iguales.</w:t>
      </w:r>
    </w:p>
    <w:p w14:paraId="405D3408" w14:textId="77777777" w:rsidR="00EE7417" w:rsidRPr="005621F4" w:rsidRDefault="00EE7417" w:rsidP="005621F4">
      <w:pPr>
        <w:ind w:right="-93"/>
        <w:rPr>
          <w:rFonts w:eastAsia="Calibri" w:cs="Tahoma"/>
          <w:iCs/>
          <w:szCs w:val="22"/>
          <w:lang w:val="es-ES" w:eastAsia="es-ES_tradnl"/>
        </w:rPr>
      </w:pPr>
    </w:p>
    <w:p w14:paraId="360BFD99" w14:textId="28BBF8C4" w:rsidR="00551512" w:rsidRPr="005621F4" w:rsidRDefault="00724762" w:rsidP="005621F4">
      <w:pPr>
        <w:ind w:right="-93"/>
        <w:rPr>
          <w:rFonts w:eastAsia="Calibri" w:cs="Tahoma"/>
          <w:iCs/>
          <w:szCs w:val="22"/>
          <w:lang w:val="es-ES" w:eastAsia="es-ES_tradnl"/>
        </w:rPr>
      </w:pPr>
      <w:r w:rsidRPr="005621F4">
        <w:rPr>
          <w:rFonts w:eastAsia="Calibri" w:cs="Tahoma"/>
          <w:bCs/>
          <w:szCs w:val="22"/>
          <w:lang w:val="es-ES" w:eastAsia="en-US"/>
        </w:rPr>
        <w:t>S</w:t>
      </w:r>
      <w:r w:rsidR="00551512" w:rsidRPr="005621F4">
        <w:rPr>
          <w:rFonts w:eastAsia="Calibri" w:cs="Tahoma"/>
          <w:bCs/>
          <w:szCs w:val="22"/>
          <w:lang w:val="es-ES" w:eastAsia="en-US"/>
        </w:rPr>
        <w:t>irve por analogía el Criterio 2/17 emitido por el Instituto Nacional de Transparencia, Acceso a la Información y Protección de Datos Personales, señala lo siguiente:</w:t>
      </w:r>
    </w:p>
    <w:p w14:paraId="050CB0F3" w14:textId="77777777" w:rsidR="00551512" w:rsidRPr="005621F4" w:rsidRDefault="00551512" w:rsidP="005621F4">
      <w:pPr>
        <w:ind w:right="-93"/>
        <w:rPr>
          <w:rFonts w:eastAsia="Calibri" w:cs="Tahoma"/>
          <w:bCs/>
          <w:szCs w:val="22"/>
          <w:lang w:val="es-ES" w:eastAsia="en-US"/>
        </w:rPr>
      </w:pPr>
    </w:p>
    <w:p w14:paraId="52ED1000" w14:textId="77777777" w:rsidR="00551512" w:rsidRPr="005621F4" w:rsidRDefault="00551512" w:rsidP="005621F4">
      <w:pPr>
        <w:ind w:left="567" w:right="567"/>
        <w:rPr>
          <w:rFonts w:eastAsia="Calibri" w:cs="Tahoma"/>
          <w:bCs/>
          <w:i/>
          <w:lang w:eastAsia="en-US"/>
        </w:rPr>
      </w:pPr>
      <w:r w:rsidRPr="005621F4">
        <w:rPr>
          <w:rFonts w:eastAsia="Calibri" w:cs="Tahoma"/>
          <w:b/>
          <w:bCs/>
          <w:i/>
          <w:lang w:eastAsia="en-US"/>
        </w:rPr>
        <w:t xml:space="preserve">“Congruencia y exhaustividad. Sus alcances para garantizar el derecho de acceso a la información. </w:t>
      </w:r>
      <w:r w:rsidRPr="005621F4">
        <w:rPr>
          <w:rFonts w:eastAsia="Calibri" w:cs="Tahoma"/>
          <w:bCs/>
          <w:i/>
          <w:lang w:eastAsia="en-US"/>
        </w:rPr>
        <w:t xml:space="preserve">De conformidad con el artículo </w:t>
      </w:r>
      <w:r w:rsidRPr="005621F4">
        <w:rPr>
          <w:rFonts w:eastAsia="Calibri" w:cs="Tahoma"/>
          <w:bCs/>
          <w:i/>
          <w:lang w:val="es-ES_tradnl" w:eastAsia="en-US"/>
        </w:rPr>
        <w:t>3 de la Ley Federal de Procedimiento Administrativo</w:t>
      </w:r>
      <w:r w:rsidRPr="005621F4">
        <w:rPr>
          <w:rFonts w:eastAsia="Calibri" w:cs="Tahoma"/>
          <w:bCs/>
          <w:i/>
          <w:lang w:eastAsia="en-US"/>
        </w:rPr>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5621F4">
        <w:rPr>
          <w:rFonts w:eastAsia="Calibri" w:cs="Tahoma"/>
          <w:b/>
          <w:bCs/>
          <w:i/>
          <w:lang w:eastAsia="en-US"/>
        </w:rPr>
        <w:t>la exhaustividad significa que dicha respuesta se refiera expresamente a cada uno de los puntos solicitados</w:t>
      </w:r>
      <w:r w:rsidRPr="005621F4">
        <w:rPr>
          <w:rFonts w:eastAsia="Calibri" w:cs="Tahoma"/>
          <w:bCs/>
          <w:i/>
          <w:lang w:eastAsia="en-US"/>
        </w:rPr>
        <w:t xml:space="preserve">. Por lo anterior, los sujetos </w:t>
      </w:r>
      <w:r w:rsidRPr="005621F4">
        <w:rPr>
          <w:rFonts w:eastAsia="Calibri" w:cs="Tahoma"/>
          <w:bCs/>
          <w:i/>
          <w:lang w:eastAsia="en-US"/>
        </w:rPr>
        <w:lastRenderedPageBreak/>
        <w:t xml:space="preserve">obligados cumplirán con los principios de congruencia y exhaustividad, cuando las respuestas que emitan guarden una relación lógica con lo solicitado y </w:t>
      </w:r>
      <w:r w:rsidRPr="005621F4">
        <w:rPr>
          <w:rFonts w:eastAsia="Calibri" w:cs="Tahoma"/>
          <w:b/>
          <w:bCs/>
          <w:i/>
          <w:lang w:eastAsia="en-US"/>
        </w:rPr>
        <w:t>atiendan de manera puntual y expresa, cada uno de los contenidos de información.”</w:t>
      </w:r>
    </w:p>
    <w:p w14:paraId="6B8BB2E7" w14:textId="77777777" w:rsidR="00551512" w:rsidRPr="005621F4" w:rsidRDefault="00551512" w:rsidP="005621F4">
      <w:pPr>
        <w:rPr>
          <w:rFonts w:cs="Tahoma"/>
          <w:szCs w:val="24"/>
          <w:lang w:eastAsia="es-MX"/>
        </w:rPr>
      </w:pPr>
    </w:p>
    <w:p w14:paraId="695B3F20" w14:textId="77777777" w:rsidR="00551512" w:rsidRPr="005621F4" w:rsidRDefault="00551512" w:rsidP="005621F4">
      <w:pPr>
        <w:rPr>
          <w:rFonts w:cs="Tahoma"/>
          <w:bCs/>
          <w:szCs w:val="24"/>
          <w:lang w:val="es-ES_tradnl" w:eastAsia="es-MX"/>
        </w:rPr>
      </w:pPr>
      <w:r w:rsidRPr="005621F4">
        <w:rPr>
          <w:rFonts w:cs="Tahoma"/>
          <w:szCs w:val="24"/>
          <w:lang w:eastAsia="es-MX"/>
        </w:rPr>
        <w:t xml:space="preserve">Del citado criterio, se desprende que </w:t>
      </w:r>
      <w:r w:rsidRPr="005621F4">
        <w:rPr>
          <w:rFonts w:cs="Tahoma"/>
          <w:bCs/>
          <w:szCs w:val="24"/>
          <w:lang w:eastAsia="es-MX"/>
        </w:rPr>
        <w:t xml:space="preserve">todo acto administrativo debe apegarse al </w:t>
      </w:r>
      <w:r w:rsidRPr="005621F4">
        <w:rPr>
          <w:rFonts w:cs="Tahoma"/>
          <w:b/>
          <w:bCs/>
          <w:szCs w:val="24"/>
          <w:lang w:eastAsia="es-MX"/>
        </w:rPr>
        <w:t>principio de congruencia y exhaustividad</w:t>
      </w:r>
      <w:r w:rsidRPr="005621F4">
        <w:rPr>
          <w:rFonts w:cs="Tahoma"/>
          <w:bCs/>
          <w:szCs w:val="24"/>
          <w:lang w:eastAsia="es-MX"/>
        </w:rPr>
        <w:t xml:space="preserve">, </w:t>
      </w:r>
      <w:r w:rsidRPr="005621F4">
        <w:rPr>
          <w:rFonts w:cs="Tahoma"/>
          <w:bCs/>
          <w:szCs w:val="24"/>
          <w:lang w:val="es-ES_tradnl" w:eastAsia="es-MX"/>
        </w:rPr>
        <w:t>entendiendo por estos que se pronuncie expresamente sobre cada uno de los puntos requeridos, lo cual en materia de transparencia y acceso a la información pública se traduce en que, las respuestas que emitan los sujetos obligados, así como las resoluciones de los Organismos de Transparencia Estatales, deben guardar una relación lógica con lo solicitado, analizando y decidiendo –de manera íntegra- sobre todos los puntos requeridos, a fin de satisfacer la solicitud correspondiente.</w:t>
      </w:r>
    </w:p>
    <w:p w14:paraId="08F4B6B9" w14:textId="77777777" w:rsidR="00551512" w:rsidRPr="005621F4" w:rsidRDefault="00551512" w:rsidP="005621F4">
      <w:pPr>
        <w:ind w:right="-93"/>
        <w:rPr>
          <w:szCs w:val="22"/>
        </w:rPr>
      </w:pPr>
    </w:p>
    <w:p w14:paraId="4E4346DA" w14:textId="2DDCEA7E" w:rsidR="00724762" w:rsidRPr="005621F4" w:rsidRDefault="00724762" w:rsidP="005621F4">
      <w:pPr>
        <w:ind w:right="-93"/>
        <w:rPr>
          <w:szCs w:val="22"/>
        </w:rPr>
      </w:pPr>
      <w:r w:rsidRPr="005621F4">
        <w:rPr>
          <w:szCs w:val="22"/>
        </w:rPr>
        <w:t>No pasa desapercibido para este Instituto precisar que, conforme a lo establecido en el artículo 13 del antes citado Reglamento Interior de la Secretaría de Movilidad las Direcciones Generales de Movilidad tendrán bajo su adscripción delegaciones regionales con atribuciones en los municipios que a continuación se enlistan:</w:t>
      </w:r>
    </w:p>
    <w:p w14:paraId="0F1CB30E" w14:textId="77777777" w:rsidR="00724762" w:rsidRPr="005621F4" w:rsidRDefault="00724762" w:rsidP="005621F4">
      <w:pPr>
        <w:ind w:right="-93"/>
        <w:rPr>
          <w:szCs w:val="22"/>
        </w:rPr>
      </w:pPr>
    </w:p>
    <w:p w14:paraId="1AF6B9BD" w14:textId="77777777" w:rsidR="00724762" w:rsidRPr="005621F4" w:rsidRDefault="00724762" w:rsidP="005621F4">
      <w:pPr>
        <w:ind w:right="-93"/>
        <w:rPr>
          <w:b/>
          <w:szCs w:val="22"/>
        </w:rPr>
      </w:pPr>
      <w:r w:rsidRPr="005621F4">
        <w:rPr>
          <w:b/>
          <w:szCs w:val="22"/>
        </w:rPr>
        <w:t xml:space="preserve">II. Dirección General de Movilidad Zona II: </w:t>
      </w:r>
    </w:p>
    <w:p w14:paraId="42E43F52" w14:textId="77777777" w:rsidR="00724762" w:rsidRPr="005621F4" w:rsidRDefault="00724762" w:rsidP="005621F4">
      <w:pPr>
        <w:ind w:right="-93"/>
        <w:rPr>
          <w:szCs w:val="22"/>
        </w:rPr>
      </w:pPr>
      <w:r w:rsidRPr="005621F4">
        <w:rPr>
          <w:szCs w:val="22"/>
          <w:u w:val="single"/>
        </w:rPr>
        <w:t>a. Delegación Regional Naucalpan:</w:t>
      </w:r>
      <w:r w:rsidRPr="005621F4">
        <w:rPr>
          <w:szCs w:val="22"/>
        </w:rPr>
        <w:t xml:space="preserve"> Atizapán de Zaragoza, Huixquilucan, Isidro Fabela, Jilotzingo, Naucalpan de Juárez, Nicolás Romero y Tlalnepantla de Baz; </w:t>
      </w:r>
    </w:p>
    <w:p w14:paraId="687FE704" w14:textId="495E0880" w:rsidR="00724762" w:rsidRPr="005621F4" w:rsidRDefault="00724762" w:rsidP="005621F4">
      <w:pPr>
        <w:ind w:right="-93"/>
        <w:rPr>
          <w:szCs w:val="22"/>
        </w:rPr>
      </w:pPr>
      <w:r w:rsidRPr="005621F4">
        <w:rPr>
          <w:szCs w:val="22"/>
          <w:u w:val="single"/>
        </w:rPr>
        <w:t>b. Delegación Regional Cuautitlán Izcalli</w:t>
      </w:r>
      <w:r w:rsidRPr="005621F4">
        <w:rPr>
          <w:szCs w:val="22"/>
        </w:rPr>
        <w:t xml:space="preserve">: Coyotepec, Coacalco de Berriozábal, Cuautitlán, Cuautitlán Izcalli, Huehuetoca, Melchor Ocampo, Teoloyucan, Tepotzotlán, Tultepec, Tultitlán y Villa del Carbón; </w:t>
      </w:r>
    </w:p>
    <w:p w14:paraId="3778FCEE" w14:textId="77777777" w:rsidR="00724762" w:rsidRPr="005621F4" w:rsidRDefault="00724762" w:rsidP="005621F4">
      <w:pPr>
        <w:ind w:right="-93"/>
        <w:rPr>
          <w:szCs w:val="22"/>
        </w:rPr>
      </w:pPr>
      <w:r w:rsidRPr="005621F4">
        <w:rPr>
          <w:szCs w:val="22"/>
          <w:u w:val="single"/>
        </w:rPr>
        <w:t>c. Delegación Regional Zumpango</w:t>
      </w:r>
      <w:r w:rsidRPr="005621F4">
        <w:rPr>
          <w:szCs w:val="22"/>
        </w:rPr>
        <w:t xml:space="preserve">: Apaxco, Hueypoxtla, Jaltenco, Nextlalpan, Tequixquiac, Tonanitla y Zumpango; </w:t>
      </w:r>
    </w:p>
    <w:p w14:paraId="518E1FB1" w14:textId="77777777" w:rsidR="00724762" w:rsidRPr="005621F4" w:rsidRDefault="00724762" w:rsidP="005621F4">
      <w:pPr>
        <w:ind w:right="-93"/>
        <w:rPr>
          <w:szCs w:val="22"/>
        </w:rPr>
      </w:pPr>
    </w:p>
    <w:p w14:paraId="0F57F9D1" w14:textId="77777777" w:rsidR="00724762" w:rsidRPr="005621F4" w:rsidRDefault="00724762" w:rsidP="005621F4">
      <w:pPr>
        <w:ind w:right="-93"/>
        <w:rPr>
          <w:b/>
        </w:rPr>
      </w:pPr>
      <w:r w:rsidRPr="005621F4">
        <w:rPr>
          <w:b/>
          <w:szCs w:val="22"/>
        </w:rPr>
        <w:t>III. Dirección General de Movilidad Zona III:</w:t>
      </w:r>
      <w:r w:rsidRPr="005621F4">
        <w:rPr>
          <w:b/>
        </w:rPr>
        <w:t xml:space="preserve"> </w:t>
      </w:r>
    </w:p>
    <w:p w14:paraId="3143D471" w14:textId="77777777" w:rsidR="00724762" w:rsidRPr="005621F4" w:rsidRDefault="00724762" w:rsidP="005621F4">
      <w:pPr>
        <w:ind w:right="-93"/>
        <w:rPr>
          <w:szCs w:val="22"/>
        </w:rPr>
      </w:pPr>
      <w:r w:rsidRPr="005621F4">
        <w:rPr>
          <w:szCs w:val="22"/>
          <w:u w:val="single"/>
        </w:rPr>
        <w:t>a. Delegación Regional Texcoco</w:t>
      </w:r>
      <w:r w:rsidRPr="005621F4">
        <w:rPr>
          <w:szCs w:val="22"/>
        </w:rPr>
        <w:t xml:space="preserve">: Atenco, Chiautla, Chiconcuac, Papalotla, Tepetlaoxtoc, Texcoco y Tezoyuca; </w:t>
      </w:r>
    </w:p>
    <w:p w14:paraId="4AB0DCB7" w14:textId="1239C600" w:rsidR="00724762" w:rsidRPr="005621F4" w:rsidRDefault="00724762" w:rsidP="005621F4">
      <w:pPr>
        <w:ind w:right="-93"/>
        <w:rPr>
          <w:szCs w:val="22"/>
        </w:rPr>
      </w:pPr>
      <w:r w:rsidRPr="005621F4">
        <w:rPr>
          <w:szCs w:val="22"/>
          <w:u w:val="single"/>
        </w:rPr>
        <w:t>b. Delegación Regional Ecatepec</w:t>
      </w:r>
      <w:r w:rsidRPr="005621F4">
        <w:rPr>
          <w:szCs w:val="22"/>
        </w:rPr>
        <w:t xml:space="preserve">: Acolman, Axapusco, Ecatepec de Morelos, Nopaltepec, Otumba, San Martín de las Pirámides, Tecámac, Temascalapa y Teotihuacán; </w:t>
      </w:r>
    </w:p>
    <w:p w14:paraId="75619754" w14:textId="77777777" w:rsidR="00C10275" w:rsidRPr="005621F4" w:rsidRDefault="00C10275" w:rsidP="005621F4">
      <w:pPr>
        <w:ind w:right="-93"/>
        <w:rPr>
          <w:szCs w:val="22"/>
        </w:rPr>
      </w:pPr>
    </w:p>
    <w:p w14:paraId="4D6DA466" w14:textId="77777777" w:rsidR="00724762" w:rsidRPr="005621F4" w:rsidRDefault="00724762" w:rsidP="005621F4">
      <w:pPr>
        <w:ind w:right="-93"/>
        <w:rPr>
          <w:b/>
          <w:szCs w:val="22"/>
        </w:rPr>
      </w:pPr>
      <w:r w:rsidRPr="005621F4">
        <w:rPr>
          <w:b/>
          <w:szCs w:val="22"/>
        </w:rPr>
        <w:t xml:space="preserve">IV. Dirección General de Movilidad Zona IV: </w:t>
      </w:r>
    </w:p>
    <w:p w14:paraId="39DF8966" w14:textId="77777777" w:rsidR="00724762" w:rsidRPr="005621F4" w:rsidRDefault="00724762" w:rsidP="005621F4">
      <w:pPr>
        <w:ind w:right="-93"/>
        <w:rPr>
          <w:szCs w:val="22"/>
        </w:rPr>
      </w:pPr>
      <w:r w:rsidRPr="005621F4">
        <w:rPr>
          <w:szCs w:val="22"/>
          <w:u w:val="single"/>
        </w:rPr>
        <w:t>a. Delegación Regional Nezahualcóyotl</w:t>
      </w:r>
      <w:r w:rsidRPr="005621F4">
        <w:rPr>
          <w:szCs w:val="22"/>
        </w:rPr>
        <w:t xml:space="preserve">: Chicoloapan, Chimalhuacán, Ixtapaluca, La Paz y Nezahualcóyotl, y </w:t>
      </w:r>
    </w:p>
    <w:p w14:paraId="5B0DCAF2" w14:textId="4FA6EAE4" w:rsidR="00724762" w:rsidRPr="005621F4" w:rsidRDefault="00724762" w:rsidP="005621F4">
      <w:pPr>
        <w:ind w:right="-93"/>
        <w:rPr>
          <w:szCs w:val="22"/>
        </w:rPr>
      </w:pPr>
      <w:r w:rsidRPr="005621F4">
        <w:rPr>
          <w:szCs w:val="22"/>
          <w:u w:val="single"/>
        </w:rPr>
        <w:t>b. Delegación Regional Chalco</w:t>
      </w:r>
      <w:r w:rsidRPr="005621F4">
        <w:rPr>
          <w:szCs w:val="22"/>
        </w:rPr>
        <w:t>: Amecameca, Atlautla, Ayapango, Chalco, Cocotitlán, Ecatzingo, Juchitepec, Ozumba, Temamatla, Tenango del Aire, Tepetlixpa, Tlalmanalco y Valle de Chalco Solidaridad.</w:t>
      </w:r>
    </w:p>
    <w:p w14:paraId="644F717D" w14:textId="77777777" w:rsidR="00724762" w:rsidRPr="005621F4" w:rsidRDefault="00724762" w:rsidP="005621F4">
      <w:pPr>
        <w:ind w:right="-93"/>
        <w:rPr>
          <w:szCs w:val="22"/>
        </w:rPr>
      </w:pPr>
    </w:p>
    <w:p w14:paraId="610F631B" w14:textId="77777777" w:rsidR="00724762" w:rsidRPr="005621F4" w:rsidRDefault="00724762" w:rsidP="005621F4">
      <w:pPr>
        <w:ind w:right="-93"/>
        <w:rPr>
          <w:b/>
          <w:szCs w:val="22"/>
        </w:rPr>
      </w:pPr>
      <w:r w:rsidRPr="005621F4">
        <w:rPr>
          <w:b/>
          <w:szCs w:val="22"/>
        </w:rPr>
        <w:t xml:space="preserve">IV. Dirección General de Movilidad Zona IV: </w:t>
      </w:r>
    </w:p>
    <w:p w14:paraId="7759A327" w14:textId="77777777" w:rsidR="00C05DAD" w:rsidRPr="005621F4" w:rsidRDefault="00724762" w:rsidP="005621F4">
      <w:pPr>
        <w:ind w:right="-93"/>
        <w:rPr>
          <w:szCs w:val="22"/>
        </w:rPr>
      </w:pPr>
      <w:r w:rsidRPr="005621F4">
        <w:rPr>
          <w:szCs w:val="22"/>
          <w:u w:val="single"/>
        </w:rPr>
        <w:t>a. Delegación Regional Nezahualcóyotl</w:t>
      </w:r>
      <w:r w:rsidRPr="005621F4">
        <w:rPr>
          <w:szCs w:val="22"/>
        </w:rPr>
        <w:t xml:space="preserve">: Chicoloapan, Chimalhuacán, Ixtapaluca, La Paz y Nezahualcóyotl, y </w:t>
      </w:r>
    </w:p>
    <w:p w14:paraId="64C59B79" w14:textId="46EA2934" w:rsidR="00B813E4" w:rsidRPr="005621F4" w:rsidRDefault="00724762" w:rsidP="005621F4">
      <w:pPr>
        <w:ind w:right="-93"/>
        <w:rPr>
          <w:szCs w:val="22"/>
        </w:rPr>
      </w:pPr>
      <w:r w:rsidRPr="005621F4">
        <w:rPr>
          <w:szCs w:val="22"/>
          <w:u w:val="single"/>
        </w:rPr>
        <w:t>b. Delegación Regional Chalco</w:t>
      </w:r>
      <w:r w:rsidRPr="005621F4">
        <w:rPr>
          <w:szCs w:val="22"/>
        </w:rPr>
        <w:t>: Amecameca, Atlautla, Ayapango, Chalco, Cocotitlán, Ecatzingo, Juchitepec, Ozumba, Temamatla, Tenango del Aire, Tepetlixpa, Tlalmanalco y Valle de Chalco Solidaridad.</w:t>
      </w:r>
    </w:p>
    <w:p w14:paraId="0BEA4CF9" w14:textId="77777777" w:rsidR="00B813E4" w:rsidRPr="005621F4" w:rsidRDefault="00B813E4" w:rsidP="005621F4">
      <w:pPr>
        <w:ind w:right="-93"/>
        <w:rPr>
          <w:szCs w:val="22"/>
        </w:rPr>
      </w:pPr>
    </w:p>
    <w:p w14:paraId="5905A974" w14:textId="48632883" w:rsidR="00B813E4" w:rsidRPr="005621F4" w:rsidRDefault="00B813E4" w:rsidP="005621F4">
      <w:r w:rsidRPr="005621F4">
        <w:rPr>
          <w:szCs w:val="22"/>
        </w:rPr>
        <w:t xml:space="preserve">Avanzando en el estudio, es importante mencionar que, por lo que hace a la información correspondiente a la zona dos, la Dirección General de Movilidad </w:t>
      </w:r>
      <w:r w:rsidR="00EE0DBB" w:rsidRPr="005621F4">
        <w:rPr>
          <w:szCs w:val="22"/>
        </w:rPr>
        <w:t>señaló</w:t>
      </w:r>
      <w:r w:rsidRPr="005621F4">
        <w:rPr>
          <w:szCs w:val="22"/>
        </w:rPr>
        <w:t xml:space="preserve"> que no se remite información de la delegación regional del municipio de Zumpango, toda vez que no se </w:t>
      </w:r>
      <w:r w:rsidRPr="005621F4">
        <w:rPr>
          <w:szCs w:val="22"/>
        </w:rPr>
        <w:lastRenderedPageBreak/>
        <w:t xml:space="preserve">realizaron operativos al transporte público, </w:t>
      </w:r>
      <w:r w:rsidRPr="005621F4">
        <w:t>por lo que nos encontramos ente un supuesto de hechos negativos.</w:t>
      </w:r>
    </w:p>
    <w:p w14:paraId="4942AFAA" w14:textId="77777777" w:rsidR="00B813E4" w:rsidRPr="005621F4" w:rsidRDefault="00B813E4" w:rsidP="005621F4"/>
    <w:p w14:paraId="1E59F583" w14:textId="77777777" w:rsidR="00B813E4" w:rsidRPr="005621F4" w:rsidRDefault="00B813E4" w:rsidP="005621F4">
      <w:r w:rsidRPr="005621F4">
        <w:t>Sirva de apoyo por analogía la tesis con número de registro 267287 de la sexta época, de la Segunda Sala, publicado en el Semanario Judicial de la Federación, Volumen LII, Tercera Parte, página 101, que a la literalidad menciona lo siguiente:</w:t>
      </w:r>
    </w:p>
    <w:p w14:paraId="7C2C5384" w14:textId="77777777" w:rsidR="00B813E4" w:rsidRPr="005621F4" w:rsidRDefault="00B813E4" w:rsidP="005621F4">
      <w:pPr>
        <w:widowControl w:val="0"/>
        <w:autoSpaceDE w:val="0"/>
        <w:autoSpaceDN w:val="0"/>
        <w:adjustRightInd w:val="0"/>
      </w:pPr>
    </w:p>
    <w:p w14:paraId="4B8CE03F" w14:textId="77777777" w:rsidR="00B813E4" w:rsidRPr="005621F4" w:rsidRDefault="00B813E4" w:rsidP="005621F4">
      <w:pPr>
        <w:widowControl w:val="0"/>
        <w:autoSpaceDE w:val="0"/>
        <w:autoSpaceDN w:val="0"/>
        <w:adjustRightInd w:val="0"/>
        <w:ind w:left="851" w:right="899"/>
        <w:rPr>
          <w:b/>
          <w:i/>
        </w:rPr>
      </w:pPr>
      <w:r w:rsidRPr="005621F4">
        <w:rPr>
          <w:i/>
        </w:rPr>
        <w:t>“</w:t>
      </w:r>
      <w:r w:rsidRPr="005621F4">
        <w:rPr>
          <w:b/>
          <w:i/>
        </w:rPr>
        <w:t>HECHOS NEGATIVOS, NO SON SUSCEPTIBLES DE DEMOSTRACION.</w:t>
      </w:r>
    </w:p>
    <w:p w14:paraId="76839CF0" w14:textId="77777777" w:rsidR="00B813E4" w:rsidRPr="005621F4" w:rsidRDefault="00B813E4" w:rsidP="005621F4">
      <w:pPr>
        <w:widowControl w:val="0"/>
        <w:autoSpaceDE w:val="0"/>
        <w:autoSpaceDN w:val="0"/>
        <w:adjustRightInd w:val="0"/>
        <w:ind w:left="851" w:right="899"/>
        <w:rPr>
          <w:i/>
        </w:rPr>
      </w:pPr>
    </w:p>
    <w:p w14:paraId="32288B0A" w14:textId="77777777" w:rsidR="00B813E4" w:rsidRPr="005621F4" w:rsidRDefault="00B813E4" w:rsidP="005621F4">
      <w:pPr>
        <w:widowControl w:val="0"/>
        <w:autoSpaceDE w:val="0"/>
        <w:autoSpaceDN w:val="0"/>
        <w:adjustRightInd w:val="0"/>
        <w:ind w:left="851" w:right="899"/>
        <w:rPr>
          <w:i/>
        </w:rPr>
      </w:pPr>
      <w:r w:rsidRPr="005621F4">
        <w:rPr>
          <w:i/>
        </w:rPr>
        <w:t xml:space="preserve">Tratándose de un hecho negativo, el Juez no tiene </w:t>
      </w:r>
      <w:proofErr w:type="spellStart"/>
      <w:r w:rsidRPr="005621F4">
        <w:rPr>
          <w:i/>
        </w:rPr>
        <w:t>por que</w:t>
      </w:r>
      <w:proofErr w:type="spellEnd"/>
      <w:r w:rsidRPr="005621F4">
        <w:rPr>
          <w:i/>
        </w:rPr>
        <w:t xml:space="preserve"> invocar prueba alguna de la que se desprenda, ya que es bien sabido que esta clase de hechos no son susceptibles de demostración.”</w:t>
      </w:r>
    </w:p>
    <w:p w14:paraId="586ACF2E" w14:textId="77777777" w:rsidR="00B813E4" w:rsidRPr="005621F4" w:rsidRDefault="00B813E4" w:rsidP="005621F4"/>
    <w:p w14:paraId="149AFBAB" w14:textId="77777777" w:rsidR="00B813E4" w:rsidRPr="005621F4" w:rsidRDefault="00B813E4" w:rsidP="005621F4">
      <w:pPr>
        <w:pStyle w:val="Prrafodelista"/>
        <w:autoSpaceDE w:val="0"/>
        <w:autoSpaceDN w:val="0"/>
        <w:adjustRightInd w:val="0"/>
        <w:ind w:left="0"/>
        <w:rPr>
          <w:rFonts w:cs="Arial"/>
        </w:rPr>
      </w:pPr>
      <w:r w:rsidRPr="005621F4">
        <w:rPr>
          <w:rFonts w:cs="Arial"/>
        </w:rPr>
        <w:t xml:space="preserve">Robustece lo hasta aquí expuesto, lo previsto por el artículo 12, párrafo segundo de la Ley de Transparencia y Acceso a la Información Pública del Estado de México y Municipios y </w:t>
      </w:r>
      <w:r w:rsidRPr="005621F4">
        <w:rPr>
          <w:rFonts w:eastAsia="Palatino Linotype" w:cs="Palatino Linotype"/>
        </w:rPr>
        <w:t>el Criterio 03/17 emitido por el Instituto Nacional de Transparencia, Acceso a la Información y Protección de Datos Personales,</w:t>
      </w:r>
      <w:r w:rsidRPr="005621F4">
        <w:rPr>
          <w:rFonts w:cs="Arial"/>
        </w:rPr>
        <w:t xml:space="preserve"> que la letra establecen lo siguiente:</w:t>
      </w:r>
    </w:p>
    <w:p w14:paraId="18B58E70" w14:textId="77777777" w:rsidR="00B813E4" w:rsidRPr="005621F4" w:rsidRDefault="00B813E4" w:rsidP="005621F4">
      <w:pPr>
        <w:pStyle w:val="Sinespaciado"/>
      </w:pPr>
    </w:p>
    <w:p w14:paraId="082624D3" w14:textId="77777777" w:rsidR="00B813E4" w:rsidRPr="005621F4" w:rsidRDefault="00B813E4" w:rsidP="005621F4">
      <w:pPr>
        <w:ind w:left="851" w:right="567"/>
        <w:rPr>
          <w:rFonts w:cs="Arial"/>
          <w:i/>
        </w:rPr>
      </w:pPr>
      <w:r w:rsidRPr="005621F4">
        <w:rPr>
          <w:rFonts w:cs="Arial"/>
          <w:b/>
          <w:i/>
        </w:rPr>
        <w:t>Artículo 12.</w:t>
      </w:r>
      <w:r w:rsidRPr="005621F4">
        <w:rPr>
          <w:rFonts w:cs="Arial"/>
          <w:i/>
        </w:rPr>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A5F66BA" w14:textId="77777777" w:rsidR="00B813E4" w:rsidRPr="005621F4" w:rsidRDefault="00B813E4" w:rsidP="005621F4"/>
    <w:p w14:paraId="4950692E" w14:textId="62F468E8" w:rsidR="00B813E4" w:rsidRPr="005621F4" w:rsidRDefault="00B813E4" w:rsidP="005621F4">
      <w:pPr>
        <w:ind w:left="851" w:right="567"/>
        <w:rPr>
          <w:rFonts w:eastAsia="Palatino Linotype" w:cs="Palatino Linotype"/>
          <w:i/>
        </w:rPr>
      </w:pPr>
      <w:r w:rsidRPr="005621F4">
        <w:rPr>
          <w:rFonts w:eastAsia="Palatino Linotype" w:cs="Palatino Linotype"/>
          <w:b/>
          <w:i/>
        </w:rPr>
        <w:lastRenderedPageBreak/>
        <w:t xml:space="preserve">“No existe obligación de elaborar documentos ad hoc para atender las solicitudes de acceso a la información. </w:t>
      </w:r>
      <w:r w:rsidRPr="005621F4">
        <w:rPr>
          <w:rFonts w:eastAsia="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007C9E51" w14:textId="77777777" w:rsidR="00C05DAD" w:rsidRPr="005621F4" w:rsidRDefault="00C05DAD" w:rsidP="005621F4">
      <w:pPr>
        <w:ind w:right="-93"/>
        <w:rPr>
          <w:szCs w:val="22"/>
        </w:rPr>
      </w:pPr>
    </w:p>
    <w:p w14:paraId="75D1A12F" w14:textId="426CD5DA" w:rsidR="00551512" w:rsidRPr="005621F4" w:rsidRDefault="00551512" w:rsidP="005621F4">
      <w:pPr>
        <w:rPr>
          <w:rFonts w:eastAsia="Calibri"/>
          <w:szCs w:val="22"/>
          <w:lang w:eastAsia="es-ES_tradnl"/>
        </w:rPr>
      </w:pPr>
      <w:r w:rsidRPr="005621F4">
        <w:rPr>
          <w:szCs w:val="22"/>
        </w:rPr>
        <w:t>Es por lo anterior que, este Instituto estima prudente ordenar previa búsqueda exhaustiva y razonable, el número de operativos realizados</w:t>
      </w:r>
      <w:r w:rsidRPr="005621F4">
        <w:rPr>
          <w:rFonts w:eastAsia="Calibri"/>
          <w:szCs w:val="22"/>
          <w:lang w:eastAsia="es-ES_tradnl"/>
        </w:rPr>
        <w:t xml:space="preserve"> al transporte público</w:t>
      </w:r>
      <w:r w:rsidR="00A94088" w:rsidRPr="005621F4">
        <w:rPr>
          <w:rFonts w:eastAsia="Calibri"/>
          <w:szCs w:val="22"/>
          <w:lang w:eastAsia="es-ES_tradnl"/>
        </w:rPr>
        <w:t xml:space="preserve">, así como </w:t>
      </w:r>
      <w:r w:rsidRPr="005621F4">
        <w:rPr>
          <w:rFonts w:eastAsia="Calibri"/>
          <w:szCs w:val="22"/>
          <w:lang w:eastAsia="es-ES_tradnl"/>
        </w:rPr>
        <w:t>la relación de los vehículos donde se advierta la marca, submarca, número de placas, sanción, motivo de la detención y lugar al que fueron trasladados.</w:t>
      </w:r>
    </w:p>
    <w:p w14:paraId="4497F252" w14:textId="77777777" w:rsidR="00C05DAD" w:rsidRPr="005621F4" w:rsidRDefault="00C05DAD" w:rsidP="005621F4">
      <w:pPr>
        <w:rPr>
          <w:rFonts w:eastAsia="Calibri"/>
          <w:szCs w:val="22"/>
          <w:lang w:eastAsia="es-ES_tradnl"/>
        </w:rPr>
      </w:pPr>
    </w:p>
    <w:p w14:paraId="14380743" w14:textId="375E143A" w:rsidR="00C05DAD" w:rsidRPr="005621F4" w:rsidRDefault="00C05DAD" w:rsidP="005621F4">
      <w:pPr>
        <w:rPr>
          <w:rFonts w:eastAsia="Calibri"/>
          <w:szCs w:val="22"/>
          <w:lang w:eastAsia="es-ES_tradnl"/>
        </w:rPr>
      </w:pPr>
      <w:r w:rsidRPr="005621F4">
        <w:rPr>
          <w:rFonts w:eastAsia="Calibri"/>
          <w:szCs w:val="22"/>
          <w:lang w:eastAsia="es-ES_tradnl"/>
        </w:rPr>
        <w:t>Ahora bien, es importante mencionar que de la normatividad que rigen las actuaciones de la Secretaría de Movilidad, respecto a los operativos que se realizan, no se advierte que se cuente con la obligatoriedad de generar las documentales al grado de desagregación pretendidos por el particular</w:t>
      </w:r>
      <w:r w:rsidR="003D3941" w:rsidRPr="005621F4">
        <w:rPr>
          <w:rFonts w:eastAsia="Calibri"/>
          <w:szCs w:val="22"/>
          <w:lang w:eastAsia="es-ES_tradnl"/>
        </w:rPr>
        <w:t>; por lo que para el caso en que no se cuente con las constancias que se ordenan con las características señaladas en las solicitudes de acceso a la información que dieron origen a los recursos de revisión</w:t>
      </w:r>
      <w:r w:rsidR="00E01754" w:rsidRPr="005621F4">
        <w:rPr>
          <w:rFonts w:eastAsia="Calibri"/>
          <w:szCs w:val="22"/>
          <w:lang w:eastAsia="es-ES_tradnl"/>
        </w:rPr>
        <w:t xml:space="preserve">, bastará con que </w:t>
      </w:r>
      <w:r w:rsidR="00E01754" w:rsidRPr="005621F4">
        <w:rPr>
          <w:rFonts w:eastAsia="Calibri"/>
          <w:b/>
          <w:szCs w:val="22"/>
          <w:lang w:eastAsia="es-ES_tradnl"/>
        </w:rPr>
        <w:t>EL SUJETO OBLGADO</w:t>
      </w:r>
      <w:r w:rsidR="005211CF" w:rsidRPr="005621F4">
        <w:rPr>
          <w:rFonts w:eastAsia="Calibri"/>
          <w:szCs w:val="22"/>
          <w:lang w:eastAsia="es-ES_tradnl"/>
        </w:rPr>
        <w:t xml:space="preserve"> lo haga de </w:t>
      </w:r>
      <w:r w:rsidR="00073B84" w:rsidRPr="005621F4">
        <w:rPr>
          <w:rFonts w:eastAsia="Calibri"/>
          <w:szCs w:val="22"/>
          <w:lang w:eastAsia="es-ES_tradnl"/>
        </w:rPr>
        <w:t>conocimiento</w:t>
      </w:r>
      <w:r w:rsidR="005211CF" w:rsidRPr="005621F4">
        <w:rPr>
          <w:rFonts w:eastAsia="Calibri"/>
          <w:szCs w:val="22"/>
          <w:lang w:eastAsia="es-ES_tradnl"/>
        </w:rPr>
        <w:t xml:space="preserve"> del </w:t>
      </w:r>
      <w:r w:rsidR="00E01754" w:rsidRPr="005621F4">
        <w:rPr>
          <w:rFonts w:eastAsia="Calibri"/>
          <w:szCs w:val="22"/>
          <w:lang w:eastAsia="es-ES_tradnl"/>
        </w:rPr>
        <w:t>particular.</w:t>
      </w:r>
    </w:p>
    <w:p w14:paraId="5A7B4510" w14:textId="77777777" w:rsidR="00551512" w:rsidRPr="005621F4" w:rsidRDefault="00551512" w:rsidP="005621F4">
      <w:pPr>
        <w:rPr>
          <w:szCs w:val="22"/>
        </w:rPr>
      </w:pPr>
    </w:p>
    <w:p w14:paraId="46155DEA" w14:textId="77777777" w:rsidR="00551512" w:rsidRPr="005621F4" w:rsidRDefault="00551512" w:rsidP="005621F4">
      <w:pPr>
        <w:ind w:right="49"/>
        <w:rPr>
          <w:rFonts w:eastAsia="Palatino Linotype" w:cs="Palatino Linotype"/>
          <w:szCs w:val="22"/>
        </w:rPr>
      </w:pPr>
      <w:r w:rsidRPr="005621F4">
        <w:rPr>
          <w:rFonts w:eastAsia="Palatino Linotype" w:cs="Palatino Linotype"/>
          <w:szCs w:val="22"/>
        </w:rPr>
        <w:lastRenderedPageBreak/>
        <w:t>Así las cosas, resulta importante resaltar que el Sujeto Obligado deberá actuar bajo la premisa señalada en el artículo 162 de la Ley de Transparencia local, es decir, deberá requerir a las áreas que se estimen competentes que cuenten con la información o deban tenerla con el objeto de que se realiza una correcta búsqueda de la misma y sea facilitada al particular.</w:t>
      </w:r>
    </w:p>
    <w:p w14:paraId="3CC0B173" w14:textId="77777777" w:rsidR="00551512" w:rsidRPr="005621F4" w:rsidRDefault="00551512" w:rsidP="005621F4">
      <w:pPr>
        <w:contextualSpacing/>
        <w:rPr>
          <w:rFonts w:cs="Arial"/>
          <w:szCs w:val="22"/>
        </w:rPr>
      </w:pPr>
    </w:p>
    <w:p w14:paraId="476461A4" w14:textId="77777777" w:rsidR="00551512" w:rsidRPr="005621F4" w:rsidRDefault="00551512" w:rsidP="005621F4">
      <w:pPr>
        <w:contextualSpacing/>
        <w:rPr>
          <w:rFonts w:cs="Arial"/>
          <w:szCs w:val="22"/>
        </w:rPr>
      </w:pPr>
      <w:r w:rsidRPr="005621F4">
        <w:rPr>
          <w:rFonts w:cs="Arial"/>
          <w:szCs w:val="22"/>
        </w:rPr>
        <w:t>Bajo ese tenor, es importante hacer del conocimiento de las partes que</w:t>
      </w:r>
      <w:r w:rsidRPr="005621F4">
        <w:rPr>
          <w:rFonts w:cs="Arial"/>
          <w:b/>
          <w:szCs w:val="22"/>
        </w:rPr>
        <w:t xml:space="preserve"> </w:t>
      </w:r>
      <w:r w:rsidRPr="005621F4">
        <w:rPr>
          <w:rFonts w:cs="Arial"/>
          <w:szCs w:val="22"/>
        </w:rPr>
        <w:t>el Sujeto Obligado deberá requerir a la dependencia competente la información solicitada por el particular, con la finalidad de proporcionar la información que como ha constado, se encuentra en posesión de la parte solicitada.</w:t>
      </w:r>
    </w:p>
    <w:p w14:paraId="7102BAC0" w14:textId="77777777" w:rsidR="00551512" w:rsidRPr="005621F4" w:rsidRDefault="00551512" w:rsidP="005621F4">
      <w:pPr>
        <w:tabs>
          <w:tab w:val="left" w:pos="709"/>
        </w:tabs>
        <w:rPr>
          <w:rFonts w:eastAsia="Arial Unicode MS" w:cs="Arial"/>
          <w:szCs w:val="22"/>
        </w:rPr>
      </w:pPr>
    </w:p>
    <w:p w14:paraId="10C3405A" w14:textId="77777777" w:rsidR="00551512" w:rsidRPr="005621F4" w:rsidRDefault="00551512" w:rsidP="005621F4">
      <w:pPr>
        <w:widowControl w:val="0"/>
        <w:tabs>
          <w:tab w:val="left" w:pos="1276"/>
        </w:tabs>
        <w:autoSpaceDE w:val="0"/>
        <w:autoSpaceDN w:val="0"/>
        <w:adjustRightInd w:val="0"/>
        <w:rPr>
          <w:rFonts w:eastAsia="Arial Unicode MS" w:cs="Arial"/>
          <w:szCs w:val="22"/>
        </w:rPr>
      </w:pPr>
      <w:r w:rsidRPr="005621F4">
        <w:rPr>
          <w:rFonts w:eastAsia="Arial Unicode MS" w:cs="Arial"/>
          <w:szCs w:val="22"/>
        </w:rPr>
        <w:t>Además,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2D88860D" w14:textId="77777777" w:rsidR="00551512" w:rsidRPr="005621F4" w:rsidRDefault="00551512" w:rsidP="005621F4">
      <w:pPr>
        <w:widowControl w:val="0"/>
        <w:tabs>
          <w:tab w:val="left" w:pos="1276"/>
        </w:tabs>
        <w:autoSpaceDE w:val="0"/>
        <w:autoSpaceDN w:val="0"/>
        <w:adjustRightInd w:val="0"/>
        <w:rPr>
          <w:rFonts w:eastAsia="Arial Unicode MS" w:cs="Arial"/>
          <w:szCs w:val="22"/>
        </w:rPr>
      </w:pPr>
    </w:p>
    <w:p w14:paraId="698B73E4" w14:textId="77777777" w:rsidR="00551512" w:rsidRPr="005621F4" w:rsidRDefault="00551512" w:rsidP="005621F4">
      <w:pPr>
        <w:widowControl w:val="0"/>
        <w:tabs>
          <w:tab w:val="left" w:pos="1276"/>
        </w:tabs>
        <w:autoSpaceDE w:val="0"/>
        <w:autoSpaceDN w:val="0"/>
        <w:adjustRightInd w:val="0"/>
        <w:rPr>
          <w:rFonts w:eastAsia="Arial Unicode MS" w:cs="Arial"/>
          <w:szCs w:val="22"/>
        </w:rPr>
      </w:pPr>
      <w:r w:rsidRPr="005621F4">
        <w:rPr>
          <w:rFonts w:eastAsia="Arial Unicode MS" w:cs="Arial"/>
          <w:szCs w:val="22"/>
        </w:rPr>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18C947AC" w14:textId="77777777" w:rsidR="00551512" w:rsidRPr="005621F4" w:rsidRDefault="00551512" w:rsidP="005621F4">
      <w:pPr>
        <w:pStyle w:val="Ttulo3"/>
        <w:rPr>
          <w:szCs w:val="22"/>
        </w:rPr>
      </w:pPr>
      <w:bookmarkStart w:id="37" w:name="_Toc178766473"/>
      <w:r w:rsidRPr="005621F4">
        <w:rPr>
          <w:szCs w:val="22"/>
        </w:rPr>
        <w:t>d) Versión pública.</w:t>
      </w:r>
      <w:bookmarkEnd w:id="37"/>
    </w:p>
    <w:p w14:paraId="7CCF3E5D" w14:textId="77777777" w:rsidR="00551512" w:rsidRPr="005621F4" w:rsidRDefault="00551512" w:rsidP="005621F4">
      <w:pPr>
        <w:rPr>
          <w:bCs/>
          <w:szCs w:val="22"/>
        </w:rPr>
      </w:pPr>
      <w:r w:rsidRPr="005621F4">
        <w:rPr>
          <w:szCs w:val="22"/>
        </w:rPr>
        <w:t xml:space="preserve">Para el caso de que el o los documentos de los cuales se ordena su entrega contengan datos personales susceptibles de ser testados, deberán ser entregados en </w:t>
      </w:r>
      <w:r w:rsidRPr="005621F4">
        <w:rPr>
          <w:b/>
          <w:szCs w:val="22"/>
        </w:rPr>
        <w:t>versión pública</w:t>
      </w:r>
      <w:r w:rsidRPr="005621F4">
        <w:rPr>
          <w:szCs w:val="22"/>
        </w:rPr>
        <w:t>, pues el</w:t>
      </w:r>
      <w:r w:rsidRPr="005621F4">
        <w:rPr>
          <w:bCs/>
          <w:szCs w:val="22"/>
        </w:rPr>
        <w:t xml:space="preserve"> derecho de acceso a la información tiene como limitante el respeto a la intimidad y a la vida </w:t>
      </w:r>
      <w:r w:rsidRPr="005621F4">
        <w:rPr>
          <w:bCs/>
          <w:szCs w:val="22"/>
        </w:rPr>
        <w:lastRenderedPageBreak/>
        <w:t>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5986E6C" w14:textId="77777777" w:rsidR="00551512" w:rsidRPr="005621F4" w:rsidRDefault="00551512" w:rsidP="005621F4">
      <w:pPr>
        <w:rPr>
          <w:rFonts w:eastAsia="Calibri"/>
          <w:bCs/>
          <w:szCs w:val="22"/>
          <w:lang w:eastAsia="en-US"/>
        </w:rPr>
      </w:pPr>
    </w:p>
    <w:p w14:paraId="33D0E9CB" w14:textId="77777777" w:rsidR="00551512" w:rsidRPr="005621F4" w:rsidRDefault="00551512" w:rsidP="005621F4">
      <w:pPr>
        <w:rPr>
          <w:bCs/>
          <w:szCs w:val="22"/>
        </w:rPr>
      </w:pPr>
      <w:r w:rsidRPr="005621F4">
        <w:rPr>
          <w:bCs/>
          <w:szCs w:val="22"/>
        </w:rPr>
        <w:t>A este respecto, los artículos 3, fracciones IX, XX, XXI y XLV; 51 y 52 de la Ley de Transparencia y Acceso a la Información Pública del Estado de México y Municipios establecen:</w:t>
      </w:r>
    </w:p>
    <w:p w14:paraId="70A5F24D" w14:textId="77777777" w:rsidR="00551512" w:rsidRPr="005621F4" w:rsidRDefault="00551512" w:rsidP="005621F4">
      <w:pPr>
        <w:rPr>
          <w:szCs w:val="22"/>
        </w:rPr>
      </w:pPr>
    </w:p>
    <w:p w14:paraId="294D60D8" w14:textId="77777777" w:rsidR="00551512" w:rsidRPr="005621F4" w:rsidRDefault="00551512" w:rsidP="005621F4">
      <w:pPr>
        <w:pStyle w:val="Puesto"/>
        <w:rPr>
          <w:szCs w:val="22"/>
        </w:rPr>
      </w:pPr>
      <w:r w:rsidRPr="005621F4">
        <w:rPr>
          <w:b/>
          <w:bCs/>
          <w:noProof/>
          <w:szCs w:val="22"/>
        </w:rPr>
        <w:t>“</w:t>
      </w:r>
      <w:r w:rsidRPr="005621F4">
        <w:rPr>
          <w:b/>
          <w:bCs/>
          <w:szCs w:val="22"/>
        </w:rPr>
        <w:t xml:space="preserve">Artículo 3. </w:t>
      </w:r>
      <w:r w:rsidRPr="005621F4">
        <w:rPr>
          <w:szCs w:val="22"/>
        </w:rPr>
        <w:t xml:space="preserve">Para los efectos de la presente Ley se entenderá por: </w:t>
      </w:r>
    </w:p>
    <w:p w14:paraId="18891577" w14:textId="77777777" w:rsidR="00551512" w:rsidRPr="005621F4" w:rsidRDefault="00551512" w:rsidP="005621F4">
      <w:pPr>
        <w:pStyle w:val="Puesto"/>
        <w:rPr>
          <w:szCs w:val="22"/>
        </w:rPr>
      </w:pPr>
      <w:r w:rsidRPr="005621F4">
        <w:rPr>
          <w:b/>
          <w:szCs w:val="22"/>
        </w:rPr>
        <w:t>IX.</w:t>
      </w:r>
      <w:r w:rsidRPr="005621F4">
        <w:rPr>
          <w:szCs w:val="22"/>
        </w:rPr>
        <w:t xml:space="preserve"> </w:t>
      </w:r>
      <w:r w:rsidRPr="005621F4">
        <w:rPr>
          <w:b/>
          <w:szCs w:val="22"/>
        </w:rPr>
        <w:t xml:space="preserve">Datos personales: </w:t>
      </w:r>
      <w:r w:rsidRPr="005621F4">
        <w:rPr>
          <w:szCs w:val="22"/>
        </w:rPr>
        <w:t xml:space="preserve">La información concerniente a una persona, identificada o identificable según lo dispuesto por la Ley de Protección de Datos Personales del Estado de México; </w:t>
      </w:r>
    </w:p>
    <w:p w14:paraId="5E092549" w14:textId="77777777" w:rsidR="00551512" w:rsidRPr="005621F4" w:rsidRDefault="00551512" w:rsidP="005621F4">
      <w:pPr>
        <w:rPr>
          <w:szCs w:val="22"/>
        </w:rPr>
      </w:pPr>
    </w:p>
    <w:p w14:paraId="1FE83E0F" w14:textId="77777777" w:rsidR="00551512" w:rsidRPr="005621F4" w:rsidRDefault="00551512" w:rsidP="005621F4">
      <w:pPr>
        <w:pStyle w:val="Puesto"/>
        <w:rPr>
          <w:szCs w:val="22"/>
        </w:rPr>
      </w:pPr>
      <w:r w:rsidRPr="005621F4">
        <w:rPr>
          <w:b/>
          <w:szCs w:val="22"/>
        </w:rPr>
        <w:t>XX.</w:t>
      </w:r>
      <w:r w:rsidRPr="005621F4">
        <w:rPr>
          <w:szCs w:val="22"/>
        </w:rPr>
        <w:t xml:space="preserve"> </w:t>
      </w:r>
      <w:r w:rsidRPr="005621F4">
        <w:rPr>
          <w:b/>
          <w:szCs w:val="22"/>
        </w:rPr>
        <w:t>Información clasificada:</w:t>
      </w:r>
      <w:r w:rsidRPr="005621F4">
        <w:rPr>
          <w:szCs w:val="22"/>
        </w:rPr>
        <w:t xml:space="preserve"> Aquella considerada por la presente Ley como reservada o confidencial; </w:t>
      </w:r>
    </w:p>
    <w:p w14:paraId="2BA18571" w14:textId="77777777" w:rsidR="00551512" w:rsidRPr="005621F4" w:rsidRDefault="00551512" w:rsidP="005621F4">
      <w:pPr>
        <w:rPr>
          <w:szCs w:val="22"/>
        </w:rPr>
      </w:pPr>
    </w:p>
    <w:p w14:paraId="6E88F82B" w14:textId="77777777" w:rsidR="00551512" w:rsidRPr="005621F4" w:rsidRDefault="00551512" w:rsidP="005621F4">
      <w:pPr>
        <w:pStyle w:val="Puesto"/>
        <w:rPr>
          <w:szCs w:val="22"/>
        </w:rPr>
      </w:pPr>
      <w:r w:rsidRPr="005621F4">
        <w:rPr>
          <w:b/>
          <w:szCs w:val="22"/>
        </w:rPr>
        <w:t>XXI.</w:t>
      </w:r>
      <w:r w:rsidRPr="005621F4">
        <w:rPr>
          <w:szCs w:val="22"/>
        </w:rPr>
        <w:t xml:space="preserve"> </w:t>
      </w:r>
      <w:r w:rsidRPr="005621F4">
        <w:rPr>
          <w:b/>
          <w:szCs w:val="22"/>
        </w:rPr>
        <w:t>Información confidencial</w:t>
      </w:r>
      <w:r w:rsidRPr="005621F4">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A58BB3" w14:textId="77777777" w:rsidR="00551512" w:rsidRPr="005621F4" w:rsidRDefault="00551512" w:rsidP="005621F4">
      <w:pPr>
        <w:rPr>
          <w:szCs w:val="22"/>
        </w:rPr>
      </w:pPr>
    </w:p>
    <w:p w14:paraId="44ED1217" w14:textId="77777777" w:rsidR="00551512" w:rsidRPr="005621F4" w:rsidRDefault="00551512" w:rsidP="005621F4">
      <w:pPr>
        <w:pStyle w:val="Puesto"/>
        <w:rPr>
          <w:szCs w:val="22"/>
        </w:rPr>
      </w:pPr>
      <w:r w:rsidRPr="005621F4">
        <w:rPr>
          <w:b/>
          <w:szCs w:val="22"/>
        </w:rPr>
        <w:t>XLV. Versión pública:</w:t>
      </w:r>
      <w:r w:rsidRPr="005621F4">
        <w:rPr>
          <w:szCs w:val="22"/>
        </w:rPr>
        <w:t xml:space="preserve"> Documento en el que se elimine, suprime o borra la información clasificada como reservada o confidencial para permitir su acceso. </w:t>
      </w:r>
    </w:p>
    <w:p w14:paraId="55DBE1CF" w14:textId="77777777" w:rsidR="00551512" w:rsidRPr="005621F4" w:rsidRDefault="00551512" w:rsidP="005621F4">
      <w:pPr>
        <w:rPr>
          <w:szCs w:val="22"/>
        </w:rPr>
      </w:pPr>
    </w:p>
    <w:p w14:paraId="6F7299CA" w14:textId="77777777" w:rsidR="00551512" w:rsidRPr="005621F4" w:rsidRDefault="00551512" w:rsidP="005621F4">
      <w:pPr>
        <w:pStyle w:val="Puesto"/>
        <w:rPr>
          <w:szCs w:val="22"/>
        </w:rPr>
      </w:pPr>
      <w:r w:rsidRPr="005621F4">
        <w:rPr>
          <w:b/>
          <w:szCs w:val="22"/>
        </w:rPr>
        <w:t>Artículo 51.</w:t>
      </w:r>
      <w:r w:rsidRPr="005621F4">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621F4">
        <w:rPr>
          <w:b/>
          <w:szCs w:val="22"/>
        </w:rPr>
        <w:t xml:space="preserve">y tendrá la </w:t>
      </w:r>
      <w:r w:rsidRPr="005621F4">
        <w:rPr>
          <w:b/>
          <w:szCs w:val="22"/>
        </w:rPr>
        <w:lastRenderedPageBreak/>
        <w:t xml:space="preserve">responsabilidad de verificar en cada caso que la misma no sea confidencial o reservada. </w:t>
      </w:r>
      <w:r w:rsidRPr="005621F4">
        <w:rPr>
          <w:szCs w:val="22"/>
        </w:rPr>
        <w:t>Dicha Unidad contará con las facultades internas necesarias para gestionar la atención a las solicitudes de información en los términos de la Ley General y la presente Ley.</w:t>
      </w:r>
    </w:p>
    <w:p w14:paraId="1A82C130" w14:textId="77777777" w:rsidR="00551512" w:rsidRPr="005621F4" w:rsidRDefault="00551512" w:rsidP="005621F4">
      <w:pPr>
        <w:rPr>
          <w:szCs w:val="22"/>
        </w:rPr>
      </w:pPr>
    </w:p>
    <w:p w14:paraId="253A0A02" w14:textId="77777777" w:rsidR="00551512" w:rsidRPr="005621F4" w:rsidRDefault="00551512" w:rsidP="005621F4">
      <w:pPr>
        <w:pStyle w:val="Puesto"/>
        <w:rPr>
          <w:szCs w:val="22"/>
        </w:rPr>
      </w:pPr>
      <w:r w:rsidRPr="005621F4">
        <w:rPr>
          <w:b/>
          <w:szCs w:val="22"/>
        </w:rPr>
        <w:t>Artículo 52.</w:t>
      </w:r>
      <w:r w:rsidRPr="005621F4">
        <w:rPr>
          <w:szCs w:val="22"/>
        </w:rPr>
        <w:t xml:space="preserve"> Las solicitudes de acceso a la información y las respuestas que se les dé, incluyendo, en su caso, </w:t>
      </w:r>
      <w:r w:rsidRPr="005621F4">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5621F4">
        <w:rPr>
          <w:szCs w:val="22"/>
        </w:rPr>
        <w:t>, siempre y cuando la resolución de referencia se someta a un proceso de disociación, es decir, no haga identificable al titular de tales datos personales.</w:t>
      </w:r>
      <w:r w:rsidRPr="005621F4">
        <w:rPr>
          <w:bCs/>
          <w:noProof/>
          <w:szCs w:val="22"/>
        </w:rPr>
        <w:t xml:space="preserve">” </w:t>
      </w:r>
      <w:r w:rsidRPr="005621F4">
        <w:rPr>
          <w:i w:val="0"/>
          <w:iCs/>
          <w:szCs w:val="22"/>
        </w:rPr>
        <w:t>(Énfasis añadido)</w:t>
      </w:r>
    </w:p>
    <w:p w14:paraId="3E9EB1B6" w14:textId="77777777" w:rsidR="00551512" w:rsidRPr="005621F4" w:rsidRDefault="00551512" w:rsidP="005621F4">
      <w:pPr>
        <w:rPr>
          <w:szCs w:val="22"/>
        </w:rPr>
      </w:pPr>
    </w:p>
    <w:p w14:paraId="69147BCA" w14:textId="77777777" w:rsidR="00551512" w:rsidRPr="005621F4" w:rsidRDefault="00551512" w:rsidP="005621F4">
      <w:pPr>
        <w:rPr>
          <w:szCs w:val="22"/>
        </w:rPr>
      </w:pPr>
      <w:r w:rsidRPr="005621F4">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1DDEB12" w14:textId="77777777" w:rsidR="00551512" w:rsidRPr="005621F4" w:rsidRDefault="00551512" w:rsidP="005621F4">
      <w:pPr>
        <w:rPr>
          <w:szCs w:val="22"/>
        </w:rPr>
      </w:pPr>
    </w:p>
    <w:p w14:paraId="498FE097" w14:textId="77777777" w:rsidR="00551512" w:rsidRPr="005621F4" w:rsidRDefault="00551512" w:rsidP="005621F4">
      <w:pPr>
        <w:pStyle w:val="Puesto"/>
        <w:rPr>
          <w:rFonts w:eastAsia="Arial Unicode MS"/>
          <w:szCs w:val="22"/>
        </w:rPr>
      </w:pPr>
      <w:r w:rsidRPr="005621F4">
        <w:rPr>
          <w:rFonts w:eastAsia="Arial Unicode MS"/>
          <w:b/>
          <w:szCs w:val="22"/>
        </w:rPr>
        <w:t>“Artículo 22.</w:t>
      </w:r>
      <w:r w:rsidRPr="005621F4">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FA7CC89" w14:textId="77777777" w:rsidR="00551512" w:rsidRPr="005621F4" w:rsidRDefault="00551512" w:rsidP="005621F4">
      <w:pPr>
        <w:rPr>
          <w:rFonts w:eastAsia="Arial Unicode MS"/>
          <w:szCs w:val="22"/>
        </w:rPr>
      </w:pPr>
    </w:p>
    <w:p w14:paraId="535E68C7" w14:textId="77777777" w:rsidR="00551512" w:rsidRPr="005621F4" w:rsidRDefault="00551512" w:rsidP="005621F4">
      <w:pPr>
        <w:pStyle w:val="Puesto"/>
        <w:rPr>
          <w:rFonts w:eastAsia="Arial Unicode MS"/>
          <w:szCs w:val="22"/>
        </w:rPr>
      </w:pPr>
      <w:r w:rsidRPr="005621F4">
        <w:rPr>
          <w:rFonts w:eastAsia="Arial Unicode MS"/>
          <w:b/>
          <w:szCs w:val="22"/>
        </w:rPr>
        <w:t>Artículo 38.</w:t>
      </w:r>
      <w:r w:rsidRPr="005621F4">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621F4">
        <w:rPr>
          <w:rFonts w:eastAsia="Arial Unicode MS"/>
          <w:b/>
          <w:szCs w:val="22"/>
        </w:rPr>
        <w:t>”</w:t>
      </w:r>
      <w:r w:rsidRPr="005621F4">
        <w:rPr>
          <w:rFonts w:eastAsia="Arial Unicode MS"/>
          <w:szCs w:val="22"/>
        </w:rPr>
        <w:t xml:space="preserve"> </w:t>
      </w:r>
    </w:p>
    <w:p w14:paraId="67E67F4B" w14:textId="77777777" w:rsidR="00551512" w:rsidRPr="005621F4" w:rsidRDefault="00551512" w:rsidP="005621F4">
      <w:pPr>
        <w:rPr>
          <w:rFonts w:eastAsia="Arial Unicode MS"/>
          <w:i/>
          <w:szCs w:val="22"/>
        </w:rPr>
      </w:pPr>
    </w:p>
    <w:p w14:paraId="10AE5AC2" w14:textId="77777777" w:rsidR="00551512" w:rsidRPr="005621F4" w:rsidRDefault="00551512" w:rsidP="005621F4">
      <w:pPr>
        <w:rPr>
          <w:szCs w:val="22"/>
        </w:rPr>
      </w:pPr>
      <w:r w:rsidRPr="005621F4">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BDC7748" w14:textId="77777777" w:rsidR="00551512" w:rsidRPr="005621F4" w:rsidRDefault="00551512" w:rsidP="005621F4">
      <w:pPr>
        <w:rPr>
          <w:szCs w:val="22"/>
        </w:rPr>
      </w:pPr>
    </w:p>
    <w:p w14:paraId="23D8BE7A" w14:textId="77777777" w:rsidR="00551512" w:rsidRPr="005621F4" w:rsidRDefault="00551512" w:rsidP="005621F4">
      <w:pPr>
        <w:rPr>
          <w:szCs w:val="22"/>
        </w:rPr>
      </w:pPr>
      <w:r w:rsidRPr="005621F4">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621F4">
        <w:rPr>
          <w:rFonts w:eastAsia="Arial Unicode MS"/>
          <w:szCs w:val="22"/>
        </w:rPr>
        <w:t xml:space="preserve"> que debe ser protegida por </w:t>
      </w:r>
      <w:r w:rsidRPr="005621F4">
        <w:rPr>
          <w:rFonts w:eastAsia="Arial Unicode MS"/>
          <w:b/>
          <w:szCs w:val="22"/>
        </w:rPr>
        <w:t>EL SUJETO OBLIGADO,</w:t>
      </w:r>
      <w:r w:rsidRPr="005621F4">
        <w:rPr>
          <w:rFonts w:eastAsia="Arial Unicode MS"/>
          <w:szCs w:val="22"/>
        </w:rPr>
        <w:t xml:space="preserve"> por lo </w:t>
      </w:r>
      <w:r w:rsidRPr="005621F4">
        <w:rPr>
          <w:szCs w:val="22"/>
        </w:rPr>
        <w:t>que, todo dato personal susceptible de clasificación debe ser protegido.</w:t>
      </w:r>
    </w:p>
    <w:p w14:paraId="4D10266F" w14:textId="77777777" w:rsidR="00551512" w:rsidRPr="005621F4" w:rsidRDefault="00551512" w:rsidP="005621F4">
      <w:pPr>
        <w:rPr>
          <w:szCs w:val="22"/>
        </w:rPr>
      </w:pPr>
    </w:p>
    <w:p w14:paraId="7F9F618A" w14:textId="77777777" w:rsidR="00551512" w:rsidRPr="005621F4" w:rsidRDefault="00551512" w:rsidP="005621F4">
      <w:pPr>
        <w:rPr>
          <w:szCs w:val="22"/>
        </w:rPr>
      </w:pPr>
      <w:r w:rsidRPr="005621F4">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06DD695" w14:textId="77777777" w:rsidR="00551512" w:rsidRPr="005621F4" w:rsidRDefault="00551512" w:rsidP="005621F4">
      <w:pPr>
        <w:rPr>
          <w:szCs w:val="22"/>
        </w:rPr>
      </w:pPr>
    </w:p>
    <w:p w14:paraId="30CDD7E3" w14:textId="77777777" w:rsidR="00551512" w:rsidRPr="005621F4" w:rsidRDefault="00551512" w:rsidP="005621F4">
      <w:pPr>
        <w:rPr>
          <w:szCs w:val="22"/>
        </w:rPr>
      </w:pPr>
      <w:r w:rsidRPr="005621F4">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5621F4">
        <w:rPr>
          <w:szCs w:val="22"/>
        </w:rPr>
        <w:lastRenderedPageBreak/>
        <w:t>Desclasificación de la Información, así como para la elaboración de Versiones Públicas, que literalmente expresan:</w:t>
      </w:r>
    </w:p>
    <w:p w14:paraId="63DFFD6C" w14:textId="77777777" w:rsidR="00551512" w:rsidRPr="005621F4" w:rsidRDefault="00551512" w:rsidP="005621F4">
      <w:pPr>
        <w:rPr>
          <w:szCs w:val="22"/>
        </w:rPr>
      </w:pPr>
    </w:p>
    <w:p w14:paraId="230A0FE6" w14:textId="77777777" w:rsidR="00551512" w:rsidRPr="005621F4" w:rsidRDefault="00551512" w:rsidP="005621F4">
      <w:pPr>
        <w:jc w:val="center"/>
        <w:rPr>
          <w:b/>
          <w:i/>
          <w:szCs w:val="22"/>
        </w:rPr>
      </w:pPr>
      <w:r w:rsidRPr="005621F4">
        <w:rPr>
          <w:b/>
          <w:i/>
          <w:szCs w:val="22"/>
          <w:lang w:val="es-ES_tradnl"/>
        </w:rPr>
        <w:t>Ley de Transparencia y Acceso a la Información Pública del Estado de México y Municipios</w:t>
      </w:r>
    </w:p>
    <w:p w14:paraId="5410A11A" w14:textId="77777777" w:rsidR="00551512" w:rsidRPr="005621F4" w:rsidRDefault="00551512" w:rsidP="005621F4">
      <w:pPr>
        <w:rPr>
          <w:szCs w:val="22"/>
        </w:rPr>
      </w:pPr>
    </w:p>
    <w:p w14:paraId="1D014547" w14:textId="77777777" w:rsidR="00551512" w:rsidRPr="005621F4" w:rsidRDefault="00551512" w:rsidP="005621F4">
      <w:pPr>
        <w:pStyle w:val="Puesto"/>
        <w:rPr>
          <w:szCs w:val="22"/>
        </w:rPr>
      </w:pPr>
      <w:r w:rsidRPr="005621F4">
        <w:rPr>
          <w:b/>
          <w:szCs w:val="22"/>
        </w:rPr>
        <w:t xml:space="preserve">“Artículo 49. </w:t>
      </w:r>
      <w:r w:rsidRPr="005621F4">
        <w:rPr>
          <w:szCs w:val="22"/>
        </w:rPr>
        <w:t>Los Comités de Transparencia tendrán las siguientes atribuciones:</w:t>
      </w:r>
    </w:p>
    <w:p w14:paraId="54CB7EAC" w14:textId="77777777" w:rsidR="00551512" w:rsidRPr="005621F4" w:rsidRDefault="00551512" w:rsidP="005621F4">
      <w:pPr>
        <w:pStyle w:val="Puesto"/>
        <w:rPr>
          <w:szCs w:val="22"/>
        </w:rPr>
      </w:pPr>
      <w:r w:rsidRPr="005621F4">
        <w:rPr>
          <w:b/>
          <w:szCs w:val="22"/>
        </w:rPr>
        <w:t>VIII.</w:t>
      </w:r>
      <w:r w:rsidRPr="005621F4">
        <w:rPr>
          <w:szCs w:val="22"/>
        </w:rPr>
        <w:t xml:space="preserve"> Aprobar, modificar o revocar la clasificación de la información;</w:t>
      </w:r>
    </w:p>
    <w:p w14:paraId="1DC76A12" w14:textId="77777777" w:rsidR="00551512" w:rsidRPr="005621F4" w:rsidRDefault="00551512" w:rsidP="005621F4">
      <w:pPr>
        <w:rPr>
          <w:szCs w:val="22"/>
        </w:rPr>
      </w:pPr>
    </w:p>
    <w:p w14:paraId="063D095D" w14:textId="77777777" w:rsidR="00551512" w:rsidRPr="005621F4" w:rsidRDefault="00551512" w:rsidP="005621F4">
      <w:pPr>
        <w:pStyle w:val="Puesto"/>
        <w:rPr>
          <w:szCs w:val="22"/>
        </w:rPr>
      </w:pPr>
      <w:r w:rsidRPr="005621F4">
        <w:rPr>
          <w:b/>
          <w:szCs w:val="22"/>
        </w:rPr>
        <w:t>Artículo 132.</w:t>
      </w:r>
      <w:r w:rsidRPr="005621F4">
        <w:rPr>
          <w:szCs w:val="22"/>
        </w:rPr>
        <w:t xml:space="preserve"> La clasificación de la información se llevará a cabo en el momento en que:</w:t>
      </w:r>
    </w:p>
    <w:p w14:paraId="6E9CD993" w14:textId="77777777" w:rsidR="00551512" w:rsidRPr="005621F4" w:rsidRDefault="00551512" w:rsidP="005621F4">
      <w:pPr>
        <w:pStyle w:val="Puesto"/>
        <w:rPr>
          <w:szCs w:val="22"/>
        </w:rPr>
      </w:pPr>
      <w:r w:rsidRPr="005621F4">
        <w:rPr>
          <w:b/>
          <w:szCs w:val="22"/>
        </w:rPr>
        <w:t>I.</w:t>
      </w:r>
      <w:r w:rsidRPr="005621F4">
        <w:rPr>
          <w:szCs w:val="22"/>
        </w:rPr>
        <w:t xml:space="preserve"> Se reciba una solicitud de acceso a la información;</w:t>
      </w:r>
    </w:p>
    <w:p w14:paraId="1253BD5D" w14:textId="77777777" w:rsidR="00551512" w:rsidRPr="005621F4" w:rsidRDefault="00551512" w:rsidP="005621F4">
      <w:pPr>
        <w:pStyle w:val="Puesto"/>
        <w:rPr>
          <w:szCs w:val="22"/>
        </w:rPr>
      </w:pPr>
      <w:r w:rsidRPr="005621F4">
        <w:rPr>
          <w:b/>
          <w:szCs w:val="22"/>
        </w:rPr>
        <w:t>II.</w:t>
      </w:r>
      <w:r w:rsidRPr="005621F4">
        <w:rPr>
          <w:szCs w:val="22"/>
        </w:rPr>
        <w:t xml:space="preserve"> Se determine mediante resolución de autoridad competente; o</w:t>
      </w:r>
    </w:p>
    <w:p w14:paraId="31944E0F" w14:textId="77777777" w:rsidR="00551512" w:rsidRPr="005621F4" w:rsidRDefault="00551512" w:rsidP="005621F4">
      <w:pPr>
        <w:pStyle w:val="Puesto"/>
        <w:rPr>
          <w:b/>
          <w:szCs w:val="22"/>
        </w:rPr>
      </w:pPr>
      <w:r w:rsidRPr="005621F4">
        <w:rPr>
          <w:b/>
          <w:bCs/>
          <w:szCs w:val="22"/>
        </w:rPr>
        <w:t>III.</w:t>
      </w:r>
      <w:r w:rsidRPr="005621F4">
        <w:rPr>
          <w:szCs w:val="22"/>
        </w:rPr>
        <w:t xml:space="preserve"> Se generen versiones públicas para dar cumplimiento a las obligaciones de transparencia previstas en esta Ley.</w:t>
      </w:r>
      <w:r w:rsidRPr="005621F4">
        <w:rPr>
          <w:b/>
          <w:szCs w:val="22"/>
        </w:rPr>
        <w:t>”</w:t>
      </w:r>
    </w:p>
    <w:p w14:paraId="218374E9" w14:textId="77777777" w:rsidR="00551512" w:rsidRPr="005621F4" w:rsidRDefault="00551512" w:rsidP="005621F4">
      <w:pPr>
        <w:rPr>
          <w:szCs w:val="22"/>
        </w:rPr>
      </w:pPr>
    </w:p>
    <w:p w14:paraId="4B28D1DB" w14:textId="77777777" w:rsidR="00551512" w:rsidRPr="005621F4" w:rsidRDefault="00551512" w:rsidP="005621F4">
      <w:pPr>
        <w:pStyle w:val="Puesto"/>
        <w:rPr>
          <w:szCs w:val="22"/>
        </w:rPr>
      </w:pPr>
      <w:r w:rsidRPr="005621F4">
        <w:rPr>
          <w:b/>
          <w:szCs w:val="22"/>
        </w:rPr>
        <w:t>“Segundo. -</w:t>
      </w:r>
      <w:r w:rsidRPr="005621F4">
        <w:rPr>
          <w:szCs w:val="22"/>
        </w:rPr>
        <w:t xml:space="preserve"> Para efectos de los presentes Lineamientos Generales, se entenderá por:</w:t>
      </w:r>
    </w:p>
    <w:p w14:paraId="780795C6" w14:textId="77777777" w:rsidR="00551512" w:rsidRPr="005621F4" w:rsidRDefault="00551512" w:rsidP="005621F4">
      <w:pPr>
        <w:pStyle w:val="Puesto"/>
        <w:rPr>
          <w:szCs w:val="22"/>
        </w:rPr>
      </w:pPr>
      <w:r w:rsidRPr="005621F4">
        <w:rPr>
          <w:b/>
          <w:szCs w:val="22"/>
        </w:rPr>
        <w:t>XVIII.</w:t>
      </w:r>
      <w:r w:rsidRPr="005621F4">
        <w:rPr>
          <w:szCs w:val="22"/>
        </w:rPr>
        <w:t xml:space="preserve">  </w:t>
      </w:r>
      <w:r w:rsidRPr="005621F4">
        <w:rPr>
          <w:b/>
          <w:szCs w:val="22"/>
        </w:rPr>
        <w:t>Versión pública:</w:t>
      </w:r>
      <w:r w:rsidRPr="005621F4">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609B740" w14:textId="77777777" w:rsidR="00551512" w:rsidRPr="005621F4" w:rsidRDefault="00551512" w:rsidP="005621F4">
      <w:pPr>
        <w:pStyle w:val="Puesto"/>
        <w:rPr>
          <w:szCs w:val="22"/>
        </w:rPr>
      </w:pPr>
    </w:p>
    <w:p w14:paraId="4DC808DC" w14:textId="77777777" w:rsidR="00551512" w:rsidRPr="005621F4" w:rsidRDefault="00551512" w:rsidP="005621F4">
      <w:pPr>
        <w:pStyle w:val="Puesto"/>
        <w:rPr>
          <w:b/>
          <w:szCs w:val="22"/>
          <w:lang w:val="es-ES_tradnl" w:eastAsia="es-MX"/>
        </w:rPr>
      </w:pPr>
      <w:r w:rsidRPr="005621F4">
        <w:rPr>
          <w:b/>
          <w:szCs w:val="22"/>
          <w:lang w:val="es-ES_tradnl" w:eastAsia="es-MX"/>
        </w:rPr>
        <w:t xml:space="preserve">Lineamientos Generales en materia de Clasificación y Desclasificación de la </w:t>
      </w:r>
      <w:r w:rsidRPr="005621F4">
        <w:rPr>
          <w:b/>
          <w:szCs w:val="22"/>
          <w:lang w:val="es-ES_tradnl"/>
        </w:rPr>
        <w:t>Información</w:t>
      </w:r>
    </w:p>
    <w:p w14:paraId="0E08CE5F" w14:textId="77777777" w:rsidR="00551512" w:rsidRPr="005621F4" w:rsidRDefault="00551512" w:rsidP="005621F4">
      <w:pPr>
        <w:pStyle w:val="Puesto"/>
        <w:rPr>
          <w:szCs w:val="22"/>
        </w:rPr>
      </w:pPr>
    </w:p>
    <w:p w14:paraId="02E1BBF3" w14:textId="77777777" w:rsidR="00551512" w:rsidRPr="005621F4" w:rsidRDefault="00551512" w:rsidP="005621F4">
      <w:pPr>
        <w:pStyle w:val="Puesto"/>
        <w:rPr>
          <w:szCs w:val="22"/>
        </w:rPr>
      </w:pPr>
      <w:r w:rsidRPr="005621F4">
        <w:rPr>
          <w:b/>
          <w:szCs w:val="22"/>
        </w:rPr>
        <w:t>Cuarto.</w:t>
      </w:r>
      <w:r w:rsidRPr="005621F4">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8F41DEA" w14:textId="77777777" w:rsidR="00551512" w:rsidRPr="005621F4" w:rsidRDefault="00551512" w:rsidP="005621F4">
      <w:pPr>
        <w:pStyle w:val="Puesto"/>
        <w:rPr>
          <w:szCs w:val="22"/>
        </w:rPr>
      </w:pPr>
      <w:r w:rsidRPr="005621F4">
        <w:rPr>
          <w:szCs w:val="22"/>
        </w:rPr>
        <w:t>Los sujetos obligados deberán aplicar, de manera estricta, las excepciones al derecho de acceso a la información y sólo podrán invocarlas cuando acrediten su procedencia.</w:t>
      </w:r>
    </w:p>
    <w:p w14:paraId="382C5C2C" w14:textId="77777777" w:rsidR="00551512" w:rsidRPr="005621F4" w:rsidRDefault="00551512" w:rsidP="005621F4">
      <w:pPr>
        <w:rPr>
          <w:szCs w:val="22"/>
        </w:rPr>
      </w:pPr>
    </w:p>
    <w:p w14:paraId="18D8DD60" w14:textId="77777777" w:rsidR="00551512" w:rsidRPr="005621F4" w:rsidRDefault="00551512" w:rsidP="005621F4">
      <w:pPr>
        <w:pStyle w:val="Puesto"/>
        <w:rPr>
          <w:szCs w:val="22"/>
        </w:rPr>
      </w:pPr>
      <w:r w:rsidRPr="005621F4">
        <w:rPr>
          <w:b/>
          <w:szCs w:val="22"/>
        </w:rPr>
        <w:t>Quinto.</w:t>
      </w:r>
      <w:r w:rsidRPr="005621F4">
        <w:rPr>
          <w:szCs w:val="22"/>
        </w:rPr>
        <w:t xml:space="preserve"> La carga de la prueba para justificar toda negativa de acceso a la información, por actualizarse cualquiera de los supuestos de clasificación previstos en la Ley General, la Ley </w:t>
      </w:r>
      <w:r w:rsidRPr="005621F4">
        <w:rPr>
          <w:szCs w:val="22"/>
        </w:rPr>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2B17A19" w14:textId="77777777" w:rsidR="00551512" w:rsidRPr="005621F4" w:rsidRDefault="00551512" w:rsidP="005621F4">
      <w:pPr>
        <w:rPr>
          <w:szCs w:val="22"/>
        </w:rPr>
      </w:pPr>
    </w:p>
    <w:p w14:paraId="7DA60332" w14:textId="77777777" w:rsidR="00551512" w:rsidRPr="005621F4" w:rsidRDefault="00551512" w:rsidP="005621F4">
      <w:pPr>
        <w:pStyle w:val="Puesto"/>
        <w:rPr>
          <w:szCs w:val="22"/>
        </w:rPr>
      </w:pPr>
      <w:r w:rsidRPr="005621F4">
        <w:rPr>
          <w:b/>
          <w:szCs w:val="22"/>
        </w:rPr>
        <w:t>Sexto.</w:t>
      </w:r>
      <w:r w:rsidRPr="005621F4">
        <w:rPr>
          <w:szCs w:val="22"/>
        </w:rPr>
        <w:t xml:space="preserve"> Se deroga.</w:t>
      </w:r>
    </w:p>
    <w:p w14:paraId="64D58781" w14:textId="77777777" w:rsidR="00551512" w:rsidRPr="005621F4" w:rsidRDefault="00551512" w:rsidP="005621F4">
      <w:pPr>
        <w:rPr>
          <w:szCs w:val="22"/>
        </w:rPr>
      </w:pPr>
    </w:p>
    <w:p w14:paraId="6EBC40E5" w14:textId="77777777" w:rsidR="00551512" w:rsidRPr="005621F4" w:rsidRDefault="00551512" w:rsidP="005621F4">
      <w:pPr>
        <w:pStyle w:val="Puesto"/>
        <w:rPr>
          <w:szCs w:val="22"/>
        </w:rPr>
      </w:pPr>
      <w:r w:rsidRPr="005621F4">
        <w:rPr>
          <w:b/>
          <w:szCs w:val="22"/>
        </w:rPr>
        <w:t>Séptimo.</w:t>
      </w:r>
      <w:r w:rsidRPr="005621F4">
        <w:rPr>
          <w:szCs w:val="22"/>
        </w:rPr>
        <w:t xml:space="preserve"> La clasificación de la información se llevará a cabo en el momento en que:</w:t>
      </w:r>
    </w:p>
    <w:p w14:paraId="471273A6" w14:textId="77777777" w:rsidR="00551512" w:rsidRPr="005621F4" w:rsidRDefault="00551512" w:rsidP="005621F4">
      <w:pPr>
        <w:pStyle w:val="Puesto"/>
        <w:rPr>
          <w:szCs w:val="22"/>
        </w:rPr>
      </w:pPr>
      <w:r w:rsidRPr="005621F4">
        <w:rPr>
          <w:b/>
          <w:szCs w:val="22"/>
        </w:rPr>
        <w:t>I.</w:t>
      </w:r>
      <w:r w:rsidRPr="005621F4">
        <w:rPr>
          <w:szCs w:val="22"/>
        </w:rPr>
        <w:t xml:space="preserve">        Se reciba una solicitud de acceso a la información;</w:t>
      </w:r>
    </w:p>
    <w:p w14:paraId="29EB74DB" w14:textId="77777777" w:rsidR="00551512" w:rsidRPr="005621F4" w:rsidRDefault="00551512" w:rsidP="005621F4">
      <w:pPr>
        <w:pStyle w:val="Puesto"/>
        <w:rPr>
          <w:szCs w:val="22"/>
        </w:rPr>
      </w:pPr>
      <w:r w:rsidRPr="005621F4">
        <w:rPr>
          <w:b/>
          <w:szCs w:val="22"/>
        </w:rPr>
        <w:t>II.</w:t>
      </w:r>
      <w:r w:rsidRPr="005621F4">
        <w:rPr>
          <w:szCs w:val="22"/>
        </w:rPr>
        <w:t xml:space="preserve">       Se determine mediante resolución del Comité de Transparencia, el órgano garante competente, o en cumplimiento a una sentencia del Poder Judicial; o</w:t>
      </w:r>
    </w:p>
    <w:p w14:paraId="48EECF53" w14:textId="77777777" w:rsidR="00551512" w:rsidRPr="005621F4" w:rsidRDefault="00551512" w:rsidP="005621F4">
      <w:pPr>
        <w:pStyle w:val="Puesto"/>
        <w:rPr>
          <w:szCs w:val="22"/>
        </w:rPr>
      </w:pPr>
      <w:r w:rsidRPr="005621F4">
        <w:rPr>
          <w:b/>
          <w:szCs w:val="22"/>
        </w:rPr>
        <w:t>III.</w:t>
      </w:r>
      <w:r w:rsidRPr="005621F4">
        <w:rPr>
          <w:szCs w:val="22"/>
        </w:rPr>
        <w:t xml:space="preserve">      Se generen versiones públicas para dar cumplimiento a las obligaciones de transparencia previstas en la Ley General, la Ley Federal y las correspondientes de las entidades federativas.</w:t>
      </w:r>
    </w:p>
    <w:p w14:paraId="0C946DDC" w14:textId="77777777" w:rsidR="00551512" w:rsidRPr="005621F4" w:rsidRDefault="00551512" w:rsidP="005621F4">
      <w:pPr>
        <w:pStyle w:val="Puesto"/>
        <w:rPr>
          <w:szCs w:val="22"/>
        </w:rPr>
      </w:pPr>
      <w:r w:rsidRPr="005621F4">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5474812" w14:textId="77777777" w:rsidR="00551512" w:rsidRPr="005621F4" w:rsidRDefault="00551512" w:rsidP="005621F4">
      <w:pPr>
        <w:rPr>
          <w:szCs w:val="22"/>
        </w:rPr>
      </w:pPr>
    </w:p>
    <w:p w14:paraId="0AA4A865" w14:textId="77777777" w:rsidR="00551512" w:rsidRPr="005621F4" w:rsidRDefault="00551512" w:rsidP="005621F4">
      <w:pPr>
        <w:pStyle w:val="Puesto"/>
        <w:rPr>
          <w:szCs w:val="22"/>
        </w:rPr>
      </w:pPr>
      <w:r w:rsidRPr="005621F4">
        <w:rPr>
          <w:b/>
          <w:szCs w:val="22"/>
        </w:rPr>
        <w:t>Octavo.</w:t>
      </w:r>
      <w:r w:rsidRPr="005621F4">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9DCD39A" w14:textId="77777777" w:rsidR="00551512" w:rsidRPr="005621F4" w:rsidRDefault="00551512" w:rsidP="005621F4">
      <w:pPr>
        <w:pStyle w:val="Puesto"/>
        <w:rPr>
          <w:szCs w:val="22"/>
        </w:rPr>
      </w:pPr>
      <w:r w:rsidRPr="005621F4">
        <w:rPr>
          <w:szCs w:val="22"/>
        </w:rPr>
        <w:t>Para motivar la clasificación se deberán señalar las razones o circunstancias especiales que lo llevaron a concluir que el caso particular se ajusta al supuesto previsto por la norma legal invocada como fundamento.</w:t>
      </w:r>
    </w:p>
    <w:p w14:paraId="57AE9B87" w14:textId="77777777" w:rsidR="00551512" w:rsidRPr="005621F4" w:rsidRDefault="00551512" w:rsidP="005621F4">
      <w:pPr>
        <w:pStyle w:val="Puesto"/>
        <w:rPr>
          <w:szCs w:val="22"/>
        </w:rPr>
      </w:pPr>
      <w:r w:rsidRPr="005621F4">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091690D" w14:textId="77777777" w:rsidR="00551512" w:rsidRPr="005621F4" w:rsidRDefault="00551512" w:rsidP="005621F4">
      <w:pPr>
        <w:rPr>
          <w:szCs w:val="22"/>
        </w:rPr>
      </w:pPr>
    </w:p>
    <w:p w14:paraId="4577FDDA" w14:textId="77777777" w:rsidR="00551512" w:rsidRPr="005621F4" w:rsidRDefault="00551512" w:rsidP="005621F4">
      <w:pPr>
        <w:pStyle w:val="Puesto"/>
        <w:rPr>
          <w:szCs w:val="22"/>
        </w:rPr>
      </w:pPr>
      <w:r w:rsidRPr="005621F4">
        <w:rPr>
          <w:b/>
          <w:szCs w:val="22"/>
        </w:rPr>
        <w:t>Noveno.</w:t>
      </w:r>
      <w:r w:rsidRPr="005621F4">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7525DC7" w14:textId="77777777" w:rsidR="00551512" w:rsidRPr="005621F4" w:rsidRDefault="00551512" w:rsidP="005621F4">
      <w:pPr>
        <w:rPr>
          <w:szCs w:val="22"/>
        </w:rPr>
      </w:pPr>
    </w:p>
    <w:p w14:paraId="1DE45D02" w14:textId="77777777" w:rsidR="00551512" w:rsidRPr="005621F4" w:rsidRDefault="00551512" w:rsidP="005621F4">
      <w:pPr>
        <w:pStyle w:val="Puesto"/>
        <w:rPr>
          <w:szCs w:val="22"/>
        </w:rPr>
      </w:pPr>
      <w:r w:rsidRPr="005621F4">
        <w:rPr>
          <w:b/>
          <w:szCs w:val="22"/>
        </w:rPr>
        <w:lastRenderedPageBreak/>
        <w:t>Décimo.</w:t>
      </w:r>
      <w:r w:rsidRPr="005621F4">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CD0D4AA" w14:textId="77777777" w:rsidR="00551512" w:rsidRPr="005621F4" w:rsidRDefault="00551512" w:rsidP="005621F4">
      <w:pPr>
        <w:pStyle w:val="Puesto"/>
        <w:rPr>
          <w:szCs w:val="22"/>
        </w:rPr>
      </w:pPr>
      <w:r w:rsidRPr="005621F4">
        <w:rPr>
          <w:szCs w:val="22"/>
        </w:rPr>
        <w:t>En ausencia de los titulares de las áreas, la información será clasificada o desclasificada por la persona que lo supla, en términos de la normativa que rija la actuación del sujeto obligado.</w:t>
      </w:r>
    </w:p>
    <w:p w14:paraId="527B6DC6" w14:textId="77777777" w:rsidR="00551512" w:rsidRPr="005621F4" w:rsidRDefault="00551512" w:rsidP="005621F4">
      <w:pPr>
        <w:pStyle w:val="Puesto"/>
        <w:rPr>
          <w:b/>
          <w:szCs w:val="22"/>
        </w:rPr>
      </w:pPr>
      <w:r w:rsidRPr="005621F4">
        <w:rPr>
          <w:b/>
          <w:szCs w:val="22"/>
        </w:rPr>
        <w:t>Décimo primero.</w:t>
      </w:r>
      <w:r w:rsidRPr="005621F4">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621F4">
        <w:rPr>
          <w:b/>
          <w:szCs w:val="22"/>
        </w:rPr>
        <w:t>”</w:t>
      </w:r>
    </w:p>
    <w:p w14:paraId="642F33F9" w14:textId="77777777" w:rsidR="00551512" w:rsidRPr="005621F4" w:rsidRDefault="00551512" w:rsidP="005621F4">
      <w:pPr>
        <w:rPr>
          <w:szCs w:val="22"/>
        </w:rPr>
      </w:pPr>
    </w:p>
    <w:p w14:paraId="01E9B8A5" w14:textId="77777777" w:rsidR="00551512" w:rsidRPr="005621F4" w:rsidRDefault="00551512" w:rsidP="005621F4">
      <w:pPr>
        <w:rPr>
          <w:szCs w:val="22"/>
          <w:lang w:eastAsia="es-CO"/>
        </w:rPr>
      </w:pPr>
      <w:r w:rsidRPr="005621F4">
        <w:rPr>
          <w:szCs w:val="22"/>
        </w:rPr>
        <w:t xml:space="preserve">Consecuentemente, se destaca que la versión pública que elabore </w:t>
      </w:r>
      <w:r w:rsidRPr="005621F4">
        <w:rPr>
          <w:b/>
          <w:szCs w:val="22"/>
        </w:rPr>
        <w:t>EL SUJETO OBLIGADO</w:t>
      </w:r>
      <w:r w:rsidRPr="005621F4">
        <w:rPr>
          <w:szCs w:val="22"/>
        </w:rPr>
        <w:t xml:space="preserve"> debe cumplir con las formalidades exigidas en la Ley, por lo que para tal efecto emitirá el </w:t>
      </w:r>
      <w:r w:rsidRPr="005621F4">
        <w:rPr>
          <w:b/>
          <w:szCs w:val="22"/>
        </w:rPr>
        <w:t>Acuerdo del Comité de Transparencia</w:t>
      </w:r>
      <w:r w:rsidRPr="005621F4">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621F4">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E5D359B" w14:textId="77777777" w:rsidR="00551512" w:rsidRPr="005621F4" w:rsidRDefault="00551512" w:rsidP="005621F4">
      <w:pPr>
        <w:contextualSpacing/>
        <w:rPr>
          <w:rFonts w:eastAsia="Calibri" w:cs="Tahoma"/>
          <w:b/>
          <w:bCs/>
          <w:szCs w:val="22"/>
        </w:rPr>
      </w:pPr>
    </w:p>
    <w:p w14:paraId="58DE66D5" w14:textId="77777777" w:rsidR="00551512" w:rsidRPr="005621F4" w:rsidRDefault="00551512" w:rsidP="005621F4">
      <w:pPr>
        <w:pStyle w:val="Ttulo3"/>
        <w:rPr>
          <w:szCs w:val="22"/>
        </w:rPr>
      </w:pPr>
      <w:bookmarkStart w:id="38" w:name="_Toc178766474"/>
      <w:r w:rsidRPr="005621F4">
        <w:rPr>
          <w:szCs w:val="22"/>
        </w:rPr>
        <w:t>e) Conclusión.</w:t>
      </w:r>
      <w:bookmarkEnd w:id="38"/>
    </w:p>
    <w:p w14:paraId="38CB02F7" w14:textId="592B6807" w:rsidR="00D13408" w:rsidRPr="005621F4" w:rsidRDefault="00D13408" w:rsidP="005621F4">
      <w:pPr>
        <w:widowControl w:val="0"/>
        <w:tabs>
          <w:tab w:val="left" w:pos="1701"/>
          <w:tab w:val="left" w:pos="1843"/>
        </w:tabs>
        <w:rPr>
          <w:rFonts w:eastAsia="Calibri" w:cs="Tahoma"/>
          <w:szCs w:val="22"/>
          <w:lang w:eastAsia="en-US"/>
        </w:rPr>
      </w:pPr>
      <w:r w:rsidRPr="005621F4">
        <w:t>Como consecuencia de lo hasta aquí relatado</w:t>
      </w:r>
      <w:r w:rsidRPr="005621F4">
        <w:rPr>
          <w:rFonts w:eastAsia="Palatino Linotype" w:cs="Palatino Linotype"/>
          <w:szCs w:val="22"/>
        </w:rPr>
        <w:t xml:space="preserve">, este Instituto estima que el </w:t>
      </w:r>
      <w:r w:rsidRPr="005621F4">
        <w:rPr>
          <w:rFonts w:eastAsia="Palatino Linotype" w:cs="Palatino Linotype"/>
          <w:b/>
          <w:szCs w:val="22"/>
        </w:rPr>
        <w:t xml:space="preserve">SUJETO </w:t>
      </w:r>
      <w:r w:rsidRPr="005621F4">
        <w:rPr>
          <w:rFonts w:eastAsia="Palatino Linotype" w:cs="Palatino Linotype"/>
          <w:b/>
          <w:szCs w:val="22"/>
        </w:rPr>
        <w:lastRenderedPageBreak/>
        <w:t>OBLIGADO</w:t>
      </w:r>
      <w:r w:rsidRPr="005621F4">
        <w:rPr>
          <w:rFonts w:eastAsia="Palatino Linotype" w:cs="Palatino Linotype"/>
          <w:szCs w:val="22"/>
        </w:rPr>
        <w:t xml:space="preserve"> no realizó una búsqueda exhaustiva y razonable de la información pretendida al advertirse en las respuestas que fueron proporcionadas distintos datos y formatos de las constancias para la totalidad de los medios de impugnación, máxime que la normatividad que rige las actuaciones de las dependencias encargadas de ejecutar los operativos al transporte público es la misma; por lo que al obrar dentro de los expedientes electrónicos al menos un archivo que sí contempla las características de las documentales requeridas por </w:t>
      </w:r>
      <w:r w:rsidRPr="005621F4">
        <w:rPr>
          <w:rFonts w:eastAsia="Palatino Linotype" w:cs="Palatino Linotype"/>
          <w:b/>
          <w:szCs w:val="22"/>
        </w:rPr>
        <w:t xml:space="preserve">LA PARTE RECURRENTE, </w:t>
      </w:r>
      <w:r w:rsidRPr="005621F4">
        <w:rPr>
          <w:rFonts w:eastAsia="Palatino Linotype" w:cs="Palatino Linotype"/>
          <w:szCs w:val="22"/>
        </w:rPr>
        <w:t>se le deja en estado de incertidumbre respecto al resto de la información.</w:t>
      </w:r>
    </w:p>
    <w:p w14:paraId="32F88C34" w14:textId="77777777" w:rsidR="00551512" w:rsidRPr="005621F4" w:rsidRDefault="00551512" w:rsidP="005621F4">
      <w:pPr>
        <w:widowControl w:val="0"/>
        <w:tabs>
          <w:tab w:val="left" w:pos="1701"/>
          <w:tab w:val="left" w:pos="1843"/>
        </w:tabs>
        <w:rPr>
          <w:rFonts w:eastAsia="Calibri" w:cs="Tahoma"/>
          <w:szCs w:val="22"/>
          <w:lang w:eastAsia="en-US"/>
        </w:rPr>
      </w:pPr>
    </w:p>
    <w:p w14:paraId="042781A2" w14:textId="457FEFEE" w:rsidR="00551512" w:rsidRPr="005621F4" w:rsidRDefault="00551512" w:rsidP="005621F4">
      <w:pPr>
        <w:widowControl w:val="0"/>
        <w:tabs>
          <w:tab w:val="left" w:pos="1701"/>
          <w:tab w:val="left" w:pos="1843"/>
        </w:tabs>
      </w:pPr>
      <w:r w:rsidRPr="005621F4">
        <w:t xml:space="preserve">En razón de lo anteriormente expuesto, este Instituto estima que las razones o motivos de inconformidad hechos valer por </w:t>
      </w:r>
      <w:r w:rsidR="00D13408" w:rsidRPr="005621F4">
        <w:rPr>
          <w:b/>
        </w:rPr>
        <w:t>LA PARTE</w:t>
      </w:r>
      <w:r w:rsidRPr="005621F4">
        <w:rPr>
          <w:b/>
        </w:rPr>
        <w:t xml:space="preserve"> RECURRENTE</w:t>
      </w:r>
      <w:r w:rsidRPr="005621F4">
        <w:t xml:space="preserve"> devienen fundados, por lo cual es procedente </w:t>
      </w:r>
      <w:r w:rsidR="0040238C" w:rsidRPr="005621F4">
        <w:rPr>
          <w:b/>
        </w:rPr>
        <w:t>MODIFICAN</w:t>
      </w:r>
      <w:r w:rsidRPr="005621F4">
        <w:t xml:space="preserve"> las respuestas del </w:t>
      </w:r>
      <w:r w:rsidRPr="005621F4">
        <w:rPr>
          <w:b/>
        </w:rPr>
        <w:t>SUJETO OBLIGADO</w:t>
      </w:r>
      <w:r w:rsidRPr="005621F4">
        <w:t>.</w:t>
      </w:r>
    </w:p>
    <w:p w14:paraId="7AA4D60D" w14:textId="77777777" w:rsidR="00551512" w:rsidRPr="005621F4" w:rsidRDefault="00551512" w:rsidP="005621F4">
      <w:pPr>
        <w:ind w:right="-93"/>
        <w:rPr>
          <w:rFonts w:cs="Tahoma"/>
          <w:bCs/>
          <w:szCs w:val="22"/>
        </w:rPr>
      </w:pPr>
    </w:p>
    <w:p w14:paraId="20B4A563" w14:textId="1DD479E9" w:rsidR="00551512" w:rsidRDefault="00551512" w:rsidP="005621F4">
      <w:pPr>
        <w:ind w:right="-93"/>
        <w:rPr>
          <w:rFonts w:cs="Tahoma"/>
          <w:bCs/>
          <w:szCs w:val="22"/>
        </w:rPr>
      </w:pPr>
      <w:r w:rsidRPr="005621F4">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B55985D" w14:textId="1DC314E2" w:rsidR="005621F4" w:rsidRDefault="005621F4" w:rsidP="005621F4">
      <w:pPr>
        <w:ind w:right="-93"/>
        <w:rPr>
          <w:rFonts w:cs="Tahoma"/>
          <w:bCs/>
          <w:szCs w:val="22"/>
        </w:rPr>
      </w:pPr>
    </w:p>
    <w:p w14:paraId="6004E78F" w14:textId="37344166" w:rsidR="005621F4" w:rsidRDefault="005621F4" w:rsidP="005621F4">
      <w:pPr>
        <w:ind w:right="-93"/>
        <w:rPr>
          <w:rFonts w:cs="Tahoma"/>
          <w:bCs/>
          <w:szCs w:val="22"/>
        </w:rPr>
      </w:pPr>
    </w:p>
    <w:p w14:paraId="6ABDC7D5" w14:textId="0DA83828" w:rsidR="005621F4" w:rsidRDefault="005621F4" w:rsidP="005621F4">
      <w:pPr>
        <w:ind w:right="-93"/>
        <w:rPr>
          <w:rFonts w:cs="Tahoma"/>
          <w:bCs/>
          <w:szCs w:val="22"/>
        </w:rPr>
      </w:pPr>
    </w:p>
    <w:p w14:paraId="097F2117" w14:textId="6D251890" w:rsidR="005621F4" w:rsidRDefault="005621F4" w:rsidP="005621F4">
      <w:pPr>
        <w:ind w:right="-93"/>
        <w:rPr>
          <w:rFonts w:cs="Tahoma"/>
          <w:bCs/>
          <w:szCs w:val="22"/>
        </w:rPr>
      </w:pPr>
    </w:p>
    <w:p w14:paraId="432C48C5" w14:textId="14F07C2B" w:rsidR="005621F4" w:rsidRDefault="005621F4" w:rsidP="005621F4">
      <w:pPr>
        <w:ind w:right="-93"/>
        <w:rPr>
          <w:rFonts w:cs="Tahoma"/>
          <w:bCs/>
          <w:szCs w:val="22"/>
        </w:rPr>
      </w:pPr>
    </w:p>
    <w:p w14:paraId="68D845DA" w14:textId="77777777" w:rsidR="005621F4" w:rsidRPr="005621F4" w:rsidRDefault="005621F4" w:rsidP="005621F4">
      <w:pPr>
        <w:ind w:right="-93"/>
        <w:rPr>
          <w:rFonts w:cs="Tahoma"/>
          <w:bCs/>
          <w:szCs w:val="22"/>
        </w:rPr>
      </w:pPr>
    </w:p>
    <w:p w14:paraId="4D3999C3" w14:textId="77777777" w:rsidR="00551512" w:rsidRPr="005621F4" w:rsidRDefault="00551512" w:rsidP="005621F4">
      <w:pPr>
        <w:rPr>
          <w:szCs w:val="22"/>
        </w:rPr>
      </w:pPr>
    </w:p>
    <w:p w14:paraId="35CC9CAA" w14:textId="77777777" w:rsidR="00551512" w:rsidRPr="005621F4" w:rsidRDefault="00551512" w:rsidP="005621F4">
      <w:pPr>
        <w:pStyle w:val="Ttulo1"/>
        <w:rPr>
          <w:szCs w:val="22"/>
        </w:rPr>
      </w:pPr>
      <w:bookmarkStart w:id="39" w:name="_Toc178766475"/>
      <w:r w:rsidRPr="005621F4">
        <w:rPr>
          <w:szCs w:val="22"/>
        </w:rPr>
        <w:lastRenderedPageBreak/>
        <w:t>RESUELVE</w:t>
      </w:r>
      <w:bookmarkEnd w:id="39"/>
    </w:p>
    <w:p w14:paraId="05A302E6" w14:textId="77777777" w:rsidR="00551512" w:rsidRPr="005621F4" w:rsidRDefault="00551512" w:rsidP="005621F4">
      <w:pPr>
        <w:ind w:right="113"/>
        <w:rPr>
          <w:rFonts w:cs="Arial"/>
          <w:b/>
          <w:szCs w:val="22"/>
        </w:rPr>
      </w:pPr>
    </w:p>
    <w:p w14:paraId="59B2DC90" w14:textId="6A063072" w:rsidR="00551512" w:rsidRPr="005621F4" w:rsidRDefault="00551512" w:rsidP="005621F4">
      <w:pPr>
        <w:tabs>
          <w:tab w:val="right" w:pos="8838"/>
        </w:tabs>
        <w:ind w:left="-74" w:right="-105"/>
        <w:rPr>
          <w:rFonts w:eastAsia="Calibri" w:cs="Tahoma"/>
          <w:bCs/>
          <w:szCs w:val="22"/>
          <w:lang w:eastAsia="en-US"/>
        </w:rPr>
      </w:pPr>
      <w:r w:rsidRPr="005621F4">
        <w:rPr>
          <w:b/>
          <w:bCs/>
          <w:szCs w:val="22"/>
        </w:rPr>
        <w:t>PRIMERO.</w:t>
      </w:r>
      <w:r w:rsidRPr="005621F4">
        <w:rPr>
          <w:szCs w:val="22"/>
        </w:rPr>
        <w:t xml:space="preserve"> </w:t>
      </w:r>
      <w:r w:rsidRPr="005621F4">
        <w:rPr>
          <w:rFonts w:cs="Tahoma"/>
          <w:szCs w:val="22"/>
        </w:rPr>
        <w:t xml:space="preserve">Se </w:t>
      </w:r>
      <w:r w:rsidR="0040238C" w:rsidRPr="005621F4">
        <w:rPr>
          <w:rFonts w:cs="Tahoma"/>
          <w:b/>
          <w:bCs/>
          <w:szCs w:val="22"/>
        </w:rPr>
        <w:t>MODIFICAN</w:t>
      </w:r>
      <w:r w:rsidRPr="005621F4">
        <w:rPr>
          <w:rFonts w:cs="Tahoma"/>
          <w:b/>
          <w:bCs/>
          <w:szCs w:val="22"/>
        </w:rPr>
        <w:t xml:space="preserve"> </w:t>
      </w:r>
      <w:r w:rsidRPr="005621F4">
        <w:rPr>
          <w:rFonts w:cs="Tahoma"/>
          <w:szCs w:val="22"/>
        </w:rPr>
        <w:t xml:space="preserve">las respuestas entregadas por el </w:t>
      </w:r>
      <w:r w:rsidRPr="005621F4">
        <w:rPr>
          <w:rFonts w:cs="Tahoma"/>
          <w:b/>
          <w:bCs/>
          <w:szCs w:val="22"/>
        </w:rPr>
        <w:t>SUJETO OBLIGADO</w:t>
      </w:r>
      <w:r w:rsidRPr="005621F4">
        <w:rPr>
          <w:rFonts w:cs="Tahoma"/>
          <w:szCs w:val="22"/>
        </w:rPr>
        <w:t xml:space="preserve"> en las solicitudes de información </w:t>
      </w:r>
      <w:r w:rsidR="0040238C" w:rsidRPr="005621F4">
        <w:rPr>
          <w:rFonts w:cs="Tahoma"/>
          <w:b/>
          <w:bCs/>
          <w:szCs w:val="22"/>
        </w:rPr>
        <w:t>00679/SMOV/IP/2023, 00678/SMOV/IP/2023 y 00677/SMOV/IP/2023</w:t>
      </w:r>
      <w:r w:rsidRPr="005621F4">
        <w:rPr>
          <w:rFonts w:cs="Tahoma"/>
          <w:bCs/>
          <w:szCs w:val="22"/>
        </w:rPr>
        <w:t xml:space="preserve">, </w:t>
      </w:r>
      <w:r w:rsidRPr="005621F4">
        <w:rPr>
          <w:rFonts w:eastAsia="Calibri" w:cs="Tahoma"/>
          <w:bCs/>
          <w:szCs w:val="22"/>
          <w:lang w:eastAsia="en-US"/>
        </w:rPr>
        <w:t xml:space="preserve">por resultar </w:t>
      </w:r>
      <w:r w:rsidRPr="005621F4">
        <w:rPr>
          <w:rFonts w:eastAsia="Calibri" w:cs="Tahoma"/>
          <w:b/>
          <w:bCs/>
          <w:szCs w:val="22"/>
          <w:lang w:eastAsia="en-US"/>
        </w:rPr>
        <w:t>FUNDADAS</w:t>
      </w:r>
      <w:r w:rsidRPr="005621F4">
        <w:rPr>
          <w:rFonts w:eastAsia="Calibri" w:cs="Tahoma"/>
          <w:bCs/>
          <w:szCs w:val="22"/>
          <w:lang w:eastAsia="en-US"/>
        </w:rPr>
        <w:t xml:space="preserve"> las razones o motivos de inconformidad hechos valer por </w:t>
      </w:r>
      <w:r w:rsidRPr="005621F4">
        <w:rPr>
          <w:rFonts w:eastAsia="Calibri" w:cs="Tahoma"/>
          <w:b/>
          <w:szCs w:val="22"/>
          <w:lang w:eastAsia="en-US"/>
        </w:rPr>
        <w:t>LA PARTE RECURRENTE</w:t>
      </w:r>
      <w:r w:rsidRPr="005621F4">
        <w:rPr>
          <w:rFonts w:eastAsia="Calibri" w:cs="Tahoma"/>
          <w:bCs/>
          <w:szCs w:val="22"/>
          <w:lang w:eastAsia="en-US"/>
        </w:rPr>
        <w:t xml:space="preserve"> en </w:t>
      </w:r>
      <w:r w:rsidR="00E01754" w:rsidRPr="005621F4">
        <w:rPr>
          <w:rFonts w:eastAsia="Calibri" w:cs="Tahoma"/>
          <w:bCs/>
          <w:szCs w:val="22"/>
          <w:lang w:eastAsia="en-US"/>
        </w:rPr>
        <w:t>los</w:t>
      </w:r>
      <w:r w:rsidRPr="005621F4">
        <w:rPr>
          <w:rFonts w:eastAsia="Calibri" w:cs="Tahoma"/>
          <w:bCs/>
          <w:szCs w:val="22"/>
          <w:lang w:eastAsia="en-US"/>
        </w:rPr>
        <w:t xml:space="preserve"> Recurso</w:t>
      </w:r>
      <w:r w:rsidR="00E01754" w:rsidRPr="005621F4">
        <w:rPr>
          <w:rFonts w:eastAsia="Calibri" w:cs="Tahoma"/>
          <w:bCs/>
          <w:szCs w:val="22"/>
          <w:lang w:eastAsia="en-US"/>
        </w:rPr>
        <w:t>s</w:t>
      </w:r>
      <w:r w:rsidRPr="005621F4">
        <w:rPr>
          <w:rFonts w:eastAsia="Calibri" w:cs="Tahoma"/>
          <w:bCs/>
          <w:szCs w:val="22"/>
          <w:lang w:eastAsia="en-US"/>
        </w:rPr>
        <w:t xml:space="preserve"> de Revisión </w:t>
      </w:r>
      <w:r w:rsidR="0040238C" w:rsidRPr="005621F4">
        <w:rPr>
          <w:rFonts w:cs="Tahoma"/>
          <w:b/>
          <w:bCs/>
          <w:szCs w:val="22"/>
        </w:rPr>
        <w:t xml:space="preserve">00452/INFOEM/IP/RR/2024, 00453/INFOEM/IP/RR/2024 </w:t>
      </w:r>
      <w:r w:rsidR="0040238C" w:rsidRPr="005621F4">
        <w:rPr>
          <w:rFonts w:cs="Tahoma"/>
          <w:szCs w:val="22"/>
        </w:rPr>
        <w:t xml:space="preserve">y </w:t>
      </w:r>
      <w:r w:rsidR="0040238C" w:rsidRPr="005621F4">
        <w:rPr>
          <w:rFonts w:cs="Tahoma"/>
          <w:b/>
          <w:bCs/>
          <w:szCs w:val="22"/>
        </w:rPr>
        <w:t>00454/INFOEM/IP/RR/2024</w:t>
      </w:r>
      <w:r w:rsidRPr="005621F4">
        <w:rPr>
          <w:rFonts w:eastAsia="Calibri" w:cs="Tahoma"/>
          <w:szCs w:val="22"/>
          <w:lang w:eastAsia="en-US"/>
        </w:rPr>
        <w:t xml:space="preserve">, </w:t>
      </w:r>
      <w:r w:rsidRPr="005621F4">
        <w:rPr>
          <w:rFonts w:eastAsia="Calibri" w:cs="Tahoma"/>
          <w:bCs/>
          <w:szCs w:val="22"/>
          <w:lang w:eastAsia="en-US"/>
        </w:rPr>
        <w:t xml:space="preserve">en términos del considerando </w:t>
      </w:r>
      <w:r w:rsidRPr="005621F4">
        <w:rPr>
          <w:rFonts w:eastAsia="Calibri" w:cs="Tahoma"/>
          <w:b/>
          <w:szCs w:val="22"/>
          <w:lang w:eastAsia="en-US"/>
        </w:rPr>
        <w:t>SEGUNDO</w:t>
      </w:r>
      <w:r w:rsidRPr="005621F4">
        <w:rPr>
          <w:rFonts w:eastAsia="Calibri" w:cs="Tahoma"/>
          <w:bCs/>
          <w:szCs w:val="22"/>
          <w:lang w:eastAsia="en-US"/>
        </w:rPr>
        <w:t xml:space="preserve"> de la presente Resolución.</w:t>
      </w:r>
    </w:p>
    <w:p w14:paraId="3DC46431" w14:textId="77777777" w:rsidR="00551512" w:rsidRPr="005621F4" w:rsidRDefault="00551512" w:rsidP="005621F4">
      <w:pPr>
        <w:widowControl w:val="0"/>
        <w:rPr>
          <w:rFonts w:eastAsia="Calibri" w:cs="Tahoma"/>
          <w:bCs/>
          <w:szCs w:val="22"/>
          <w:lang w:eastAsia="en-US"/>
        </w:rPr>
      </w:pPr>
    </w:p>
    <w:p w14:paraId="32448A83" w14:textId="2189A03A" w:rsidR="00551512" w:rsidRPr="005621F4" w:rsidRDefault="00551512" w:rsidP="005621F4">
      <w:pPr>
        <w:tabs>
          <w:tab w:val="left" w:pos="709"/>
        </w:tabs>
        <w:ind w:right="-93"/>
        <w:rPr>
          <w:rFonts w:eastAsia="Calibri" w:cs="Tahoma"/>
          <w:bCs/>
          <w:szCs w:val="22"/>
          <w:lang w:eastAsia="en-US"/>
        </w:rPr>
      </w:pPr>
      <w:r w:rsidRPr="005621F4">
        <w:rPr>
          <w:rFonts w:eastAsia="Calibri" w:cs="Tahoma"/>
          <w:b/>
          <w:bCs/>
          <w:szCs w:val="22"/>
          <w:lang w:eastAsia="en-US"/>
        </w:rPr>
        <w:t>SEGUNDO.</w:t>
      </w:r>
      <w:r w:rsidRPr="005621F4">
        <w:rPr>
          <w:rFonts w:eastAsia="Calibri" w:cs="Tahoma"/>
          <w:szCs w:val="22"/>
          <w:lang w:eastAsia="es-MX"/>
        </w:rPr>
        <w:t xml:space="preserve"> Se </w:t>
      </w:r>
      <w:r w:rsidRPr="005621F4">
        <w:rPr>
          <w:rFonts w:eastAsia="Calibri" w:cs="Tahoma"/>
          <w:b/>
          <w:szCs w:val="22"/>
          <w:lang w:eastAsia="es-MX"/>
        </w:rPr>
        <w:t xml:space="preserve">ORDENA </w:t>
      </w:r>
      <w:r w:rsidRPr="005621F4">
        <w:rPr>
          <w:rFonts w:eastAsia="Calibri" w:cs="Tahoma"/>
          <w:szCs w:val="22"/>
          <w:lang w:eastAsia="es-MX"/>
        </w:rPr>
        <w:t xml:space="preserve">al </w:t>
      </w:r>
      <w:r w:rsidRPr="005621F4">
        <w:rPr>
          <w:rFonts w:eastAsia="Calibri" w:cs="Tahoma"/>
          <w:b/>
          <w:bCs/>
          <w:szCs w:val="22"/>
          <w:lang w:eastAsia="es-MX"/>
        </w:rPr>
        <w:t>SUJETO OBLIGADO</w:t>
      </w:r>
      <w:r w:rsidRPr="005621F4">
        <w:rPr>
          <w:rFonts w:eastAsia="Calibri" w:cs="Tahoma"/>
          <w:szCs w:val="22"/>
          <w:lang w:eastAsia="es-MX"/>
        </w:rPr>
        <w:t xml:space="preserve"> </w:t>
      </w:r>
      <w:r w:rsidRPr="005621F4">
        <w:rPr>
          <w:rFonts w:eastAsia="Calibri" w:cs="Tahoma"/>
          <w:bCs/>
          <w:szCs w:val="22"/>
          <w:lang w:eastAsia="en-US"/>
        </w:rPr>
        <w:t xml:space="preserve">a efecto de que, previa búsqueda exhaustiva y razonable de la información, entregue a través del </w:t>
      </w:r>
      <w:r w:rsidRPr="005621F4">
        <w:rPr>
          <w:rFonts w:eastAsia="Calibri" w:cs="Tahoma"/>
          <w:b/>
          <w:bCs/>
          <w:szCs w:val="22"/>
          <w:lang w:eastAsia="en-US"/>
        </w:rPr>
        <w:t>SAIMEX</w:t>
      </w:r>
      <w:r w:rsidRPr="005621F4">
        <w:rPr>
          <w:rFonts w:eastAsia="Calibri" w:cs="Tahoma"/>
          <w:bCs/>
          <w:szCs w:val="22"/>
          <w:lang w:eastAsia="en-US"/>
        </w:rPr>
        <w:t>, de ser</w:t>
      </w:r>
      <w:r w:rsidR="0072571E" w:rsidRPr="005621F4">
        <w:rPr>
          <w:rFonts w:eastAsia="Calibri" w:cs="Tahoma"/>
          <w:bCs/>
          <w:szCs w:val="22"/>
          <w:lang w:eastAsia="en-US"/>
        </w:rPr>
        <w:t xml:space="preserve"> procedente en versión pública</w:t>
      </w:r>
      <w:r w:rsidR="003D3941" w:rsidRPr="005621F4">
        <w:rPr>
          <w:rFonts w:eastAsia="Calibri" w:cs="Tahoma"/>
          <w:bCs/>
          <w:szCs w:val="22"/>
          <w:lang w:eastAsia="en-US"/>
        </w:rPr>
        <w:t xml:space="preserve">, </w:t>
      </w:r>
      <w:r w:rsidRPr="005621F4">
        <w:rPr>
          <w:rFonts w:eastAsia="Calibri" w:cs="Tahoma"/>
          <w:bCs/>
          <w:szCs w:val="22"/>
          <w:lang w:eastAsia="en-US"/>
        </w:rPr>
        <w:t>lo siguiente:</w:t>
      </w:r>
    </w:p>
    <w:p w14:paraId="0A828DD9" w14:textId="77777777" w:rsidR="00551512" w:rsidRPr="005621F4" w:rsidRDefault="00551512" w:rsidP="005621F4">
      <w:pPr>
        <w:ind w:right="-93"/>
        <w:rPr>
          <w:rFonts w:eastAsia="Calibri" w:cs="Tahoma"/>
          <w:bCs/>
          <w:szCs w:val="22"/>
          <w:lang w:eastAsia="en-US"/>
        </w:rPr>
      </w:pPr>
    </w:p>
    <w:p w14:paraId="31D7C522" w14:textId="7F7C8C3A" w:rsidR="00DC6F7D" w:rsidRPr="005621F4" w:rsidRDefault="0040238C" w:rsidP="005621F4">
      <w:pPr>
        <w:rPr>
          <w:rFonts w:eastAsia="Calibri"/>
          <w:szCs w:val="22"/>
          <w:lang w:eastAsia="es-ES_tradnl"/>
        </w:rPr>
      </w:pPr>
      <w:r w:rsidRPr="005621F4">
        <w:rPr>
          <w:rFonts w:eastAsia="Calibri"/>
          <w:szCs w:val="22"/>
          <w:lang w:eastAsia="es-ES_tradnl"/>
        </w:rPr>
        <w:t xml:space="preserve">Respecto a los operativos realizados al transporte público de enero a diciembre </w:t>
      </w:r>
      <w:r w:rsidR="004C383A" w:rsidRPr="005621F4">
        <w:rPr>
          <w:rFonts w:eastAsia="Calibri"/>
          <w:szCs w:val="22"/>
          <w:lang w:eastAsia="es-ES_tradnl"/>
        </w:rPr>
        <w:t xml:space="preserve">de </w:t>
      </w:r>
      <w:r w:rsidRPr="005621F4">
        <w:rPr>
          <w:rFonts w:eastAsia="Calibri"/>
          <w:szCs w:val="22"/>
          <w:lang w:eastAsia="es-ES_tradnl"/>
        </w:rPr>
        <w:t>2023</w:t>
      </w:r>
      <w:r w:rsidR="004502AA" w:rsidRPr="005621F4">
        <w:rPr>
          <w:rFonts w:eastAsia="Calibri"/>
          <w:szCs w:val="22"/>
          <w:lang w:eastAsia="es-ES_tradnl"/>
        </w:rPr>
        <w:t xml:space="preserve"> el documento o documentos donde conste</w:t>
      </w:r>
      <w:r w:rsidR="00DC6F7D" w:rsidRPr="005621F4">
        <w:rPr>
          <w:rFonts w:eastAsia="Calibri"/>
          <w:szCs w:val="22"/>
          <w:lang w:eastAsia="es-ES_tradnl"/>
        </w:rPr>
        <w:t>:</w:t>
      </w:r>
    </w:p>
    <w:p w14:paraId="01A53FE7" w14:textId="77777777" w:rsidR="00DC6F7D" w:rsidRPr="005621F4" w:rsidRDefault="00DC6F7D" w:rsidP="005621F4">
      <w:pPr>
        <w:rPr>
          <w:rFonts w:eastAsia="Calibri"/>
          <w:szCs w:val="22"/>
          <w:lang w:eastAsia="es-ES_tradnl"/>
        </w:rPr>
      </w:pPr>
    </w:p>
    <w:p w14:paraId="1ECBA6B7" w14:textId="0FAE65B5" w:rsidR="004502AA" w:rsidRPr="005621F4" w:rsidRDefault="004502AA" w:rsidP="005621F4">
      <w:pPr>
        <w:pStyle w:val="Prrafodelista"/>
        <w:numPr>
          <w:ilvl w:val="0"/>
          <w:numId w:val="47"/>
        </w:numPr>
        <w:ind w:left="426" w:hanging="426"/>
        <w:rPr>
          <w:rFonts w:eastAsia="Calibri"/>
          <w:szCs w:val="22"/>
          <w:lang w:eastAsia="es-ES_tradnl"/>
        </w:rPr>
      </w:pPr>
      <w:r w:rsidRPr="005621F4">
        <w:rPr>
          <w:rFonts w:eastAsia="Calibri"/>
          <w:szCs w:val="22"/>
          <w:lang w:eastAsia="es-ES_tradnl"/>
        </w:rPr>
        <w:t>Para la zona II:</w:t>
      </w:r>
    </w:p>
    <w:p w14:paraId="3FA9BB26" w14:textId="4FEDE417" w:rsidR="004502AA" w:rsidRPr="005621F4" w:rsidRDefault="004502AA" w:rsidP="005621F4">
      <w:pPr>
        <w:pStyle w:val="Prrafodelista"/>
        <w:ind w:left="426"/>
        <w:rPr>
          <w:rFonts w:eastAsia="Calibri"/>
          <w:szCs w:val="22"/>
          <w:lang w:eastAsia="es-ES_tradnl"/>
        </w:rPr>
      </w:pPr>
      <w:r w:rsidRPr="005621F4">
        <w:rPr>
          <w:rFonts w:eastAsia="Calibri"/>
          <w:szCs w:val="22"/>
          <w:lang w:eastAsia="es-ES_tradnl"/>
        </w:rPr>
        <w:t>-Delegación regional de Naucalpan: submarca, sanción y resultados de los operativos</w:t>
      </w:r>
      <w:r w:rsidR="00A1333F" w:rsidRPr="005621F4">
        <w:rPr>
          <w:rFonts w:eastAsia="Calibri"/>
          <w:szCs w:val="22"/>
          <w:lang w:eastAsia="es-ES_tradnl"/>
        </w:rPr>
        <w:t>.</w:t>
      </w:r>
    </w:p>
    <w:p w14:paraId="63015F3A" w14:textId="7E60FDCD" w:rsidR="004502AA" w:rsidRPr="005621F4" w:rsidRDefault="004502AA" w:rsidP="005621F4">
      <w:pPr>
        <w:pStyle w:val="Prrafodelista"/>
        <w:ind w:left="426"/>
        <w:rPr>
          <w:rFonts w:eastAsia="Calibri"/>
          <w:szCs w:val="22"/>
          <w:lang w:eastAsia="es-ES_tradnl"/>
        </w:rPr>
      </w:pPr>
      <w:r w:rsidRPr="005621F4">
        <w:rPr>
          <w:rFonts w:eastAsia="Calibri"/>
          <w:szCs w:val="22"/>
          <w:lang w:eastAsia="es-ES_tradnl"/>
        </w:rPr>
        <w:t>-Cuautitlán Izcalli: resultados de los operativos.</w:t>
      </w:r>
    </w:p>
    <w:p w14:paraId="2E2E5E06" w14:textId="70899B33" w:rsidR="004502AA" w:rsidRPr="005621F4" w:rsidRDefault="004502AA" w:rsidP="005621F4">
      <w:pPr>
        <w:pStyle w:val="Prrafodelista"/>
        <w:numPr>
          <w:ilvl w:val="0"/>
          <w:numId w:val="47"/>
        </w:numPr>
        <w:ind w:left="426" w:hanging="426"/>
        <w:rPr>
          <w:rFonts w:eastAsia="Calibri"/>
          <w:szCs w:val="22"/>
          <w:lang w:eastAsia="es-ES_tradnl"/>
        </w:rPr>
      </w:pPr>
      <w:r w:rsidRPr="005621F4">
        <w:rPr>
          <w:rFonts w:eastAsia="Calibri"/>
          <w:szCs w:val="22"/>
          <w:lang w:eastAsia="es-ES_tradnl"/>
        </w:rPr>
        <w:t xml:space="preserve">Para la zona III: </w:t>
      </w:r>
      <w:r w:rsidRPr="005621F4">
        <w:rPr>
          <w:rFonts w:eastAsia="Calibri" w:cs="Tahoma"/>
          <w:iCs/>
          <w:szCs w:val="22"/>
          <w:lang w:eastAsia="es-ES_tradnl"/>
        </w:rPr>
        <w:t>marca, submarca, número de placas, sanción, motivo de la sanción</w:t>
      </w:r>
      <w:r w:rsidR="00A1333F" w:rsidRPr="005621F4">
        <w:rPr>
          <w:rFonts w:eastAsia="Calibri" w:cs="Tahoma"/>
          <w:iCs/>
          <w:szCs w:val="22"/>
          <w:lang w:eastAsia="es-ES_tradnl"/>
        </w:rPr>
        <w:t xml:space="preserve">, </w:t>
      </w:r>
      <w:r w:rsidRPr="005621F4">
        <w:rPr>
          <w:rFonts w:eastAsia="Calibri" w:cs="Tahoma"/>
          <w:iCs/>
          <w:szCs w:val="22"/>
          <w:lang w:eastAsia="es-ES_tradnl"/>
        </w:rPr>
        <w:t>lugar de traslado</w:t>
      </w:r>
      <w:r w:rsidR="00A1333F" w:rsidRPr="005621F4">
        <w:rPr>
          <w:rFonts w:eastAsia="Calibri" w:cs="Tahoma"/>
          <w:iCs/>
          <w:szCs w:val="22"/>
          <w:lang w:eastAsia="es-ES_tradnl"/>
        </w:rPr>
        <w:t>, así como resultados de los operativos</w:t>
      </w:r>
      <w:r w:rsidRPr="005621F4">
        <w:rPr>
          <w:rFonts w:eastAsia="Calibri" w:cs="Tahoma"/>
          <w:iCs/>
          <w:szCs w:val="22"/>
          <w:lang w:eastAsia="es-ES_tradnl"/>
        </w:rPr>
        <w:t>.</w:t>
      </w:r>
    </w:p>
    <w:p w14:paraId="46AF12A1" w14:textId="25C0B365" w:rsidR="004502AA" w:rsidRPr="005621F4" w:rsidRDefault="004502AA" w:rsidP="005621F4">
      <w:pPr>
        <w:pStyle w:val="Prrafodelista"/>
        <w:numPr>
          <w:ilvl w:val="0"/>
          <w:numId w:val="47"/>
        </w:numPr>
        <w:ind w:left="426" w:hanging="426"/>
        <w:rPr>
          <w:rFonts w:eastAsia="Calibri"/>
          <w:szCs w:val="22"/>
          <w:lang w:eastAsia="es-ES_tradnl"/>
        </w:rPr>
      </w:pPr>
      <w:r w:rsidRPr="005621F4">
        <w:rPr>
          <w:rFonts w:eastAsia="Calibri"/>
          <w:szCs w:val="22"/>
          <w:lang w:eastAsia="es-ES_tradnl"/>
        </w:rPr>
        <w:t xml:space="preserve">Para la zona IV: </w:t>
      </w:r>
      <w:r w:rsidRPr="005621F4">
        <w:rPr>
          <w:rFonts w:eastAsia="Calibri" w:cs="Tahoma"/>
          <w:iCs/>
          <w:szCs w:val="22"/>
          <w:lang w:eastAsia="es-ES_tradnl"/>
        </w:rPr>
        <w:t>número de operativos y resultados, precisando a qué delegación corresponde la información.</w:t>
      </w:r>
    </w:p>
    <w:p w14:paraId="68BBB922" w14:textId="77777777" w:rsidR="004502AA" w:rsidRPr="005621F4" w:rsidRDefault="004502AA" w:rsidP="005621F4">
      <w:pPr>
        <w:widowControl w:val="0"/>
        <w:ind w:right="539"/>
        <w:rPr>
          <w:rFonts w:eastAsia="Calibri" w:cs="Tahoma"/>
          <w:bCs/>
          <w:i/>
          <w:iCs/>
          <w:szCs w:val="22"/>
          <w:lang w:eastAsia="en-US"/>
        </w:rPr>
      </w:pPr>
    </w:p>
    <w:p w14:paraId="145F1AC1" w14:textId="77777777" w:rsidR="00551512" w:rsidRPr="005621F4" w:rsidRDefault="00551512" w:rsidP="005621F4">
      <w:pPr>
        <w:ind w:right="-28"/>
        <w:rPr>
          <w:rFonts w:eastAsia="Calibri" w:cs="Tahoma"/>
          <w:bCs/>
          <w:iCs/>
          <w:szCs w:val="22"/>
          <w:lang w:eastAsia="en-US"/>
        </w:rPr>
      </w:pPr>
      <w:r w:rsidRPr="005621F4">
        <w:rPr>
          <w:rFonts w:eastAsia="Calibri" w:cs="Tahoma"/>
          <w:bCs/>
          <w:iCs/>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6F00F88" w14:textId="77777777" w:rsidR="003D3941" w:rsidRPr="005621F4" w:rsidRDefault="003D3941" w:rsidP="005621F4">
      <w:pPr>
        <w:ind w:right="-28"/>
        <w:rPr>
          <w:rFonts w:eastAsia="Calibri" w:cs="Tahoma"/>
          <w:bCs/>
          <w:iCs/>
          <w:szCs w:val="22"/>
          <w:lang w:eastAsia="en-US"/>
        </w:rPr>
      </w:pPr>
    </w:p>
    <w:p w14:paraId="5D7F896C" w14:textId="6108CDAB" w:rsidR="00551512" w:rsidRPr="005621F4" w:rsidRDefault="003D3941" w:rsidP="005621F4">
      <w:pPr>
        <w:ind w:right="-28"/>
        <w:rPr>
          <w:rFonts w:eastAsia="Calibri" w:cs="Tahoma"/>
          <w:bCs/>
          <w:iCs/>
          <w:szCs w:val="22"/>
          <w:lang w:eastAsia="en-US"/>
        </w:rPr>
      </w:pPr>
      <w:r w:rsidRPr="005621F4">
        <w:rPr>
          <w:rFonts w:eastAsia="Calibri" w:cs="Tahoma"/>
          <w:bCs/>
          <w:iCs/>
          <w:szCs w:val="22"/>
          <w:lang w:eastAsia="en-US"/>
        </w:rPr>
        <w:t xml:space="preserve">Para el caso de que </w:t>
      </w:r>
      <w:r w:rsidRPr="005621F4">
        <w:rPr>
          <w:rFonts w:eastAsia="Calibri" w:cs="Tahoma"/>
          <w:b/>
          <w:bCs/>
          <w:iCs/>
          <w:szCs w:val="22"/>
          <w:lang w:eastAsia="en-US"/>
        </w:rPr>
        <w:t xml:space="preserve">EL SUJETO OBLIGADO </w:t>
      </w:r>
      <w:r w:rsidRPr="005621F4">
        <w:rPr>
          <w:rFonts w:eastAsia="Calibri" w:cs="Tahoma"/>
          <w:bCs/>
          <w:iCs/>
          <w:szCs w:val="22"/>
          <w:lang w:eastAsia="en-US"/>
        </w:rPr>
        <w:t>no genere las documentales al grado de desagregación que se ordenan, deberá de hacerlo de conocimiento del particular de manera fundada y motivada.</w:t>
      </w:r>
    </w:p>
    <w:p w14:paraId="22B1F070" w14:textId="77777777" w:rsidR="003D3941" w:rsidRPr="005621F4" w:rsidRDefault="003D3941" w:rsidP="005621F4">
      <w:pPr>
        <w:ind w:right="-28"/>
        <w:rPr>
          <w:rFonts w:eastAsia="Calibri" w:cs="Tahoma"/>
          <w:bCs/>
          <w:iCs/>
          <w:szCs w:val="22"/>
          <w:lang w:eastAsia="en-US"/>
        </w:rPr>
      </w:pPr>
    </w:p>
    <w:p w14:paraId="00C7E0A9" w14:textId="77777777" w:rsidR="00551512" w:rsidRPr="005621F4" w:rsidRDefault="00551512" w:rsidP="005621F4">
      <w:pPr>
        <w:rPr>
          <w:szCs w:val="22"/>
        </w:rPr>
      </w:pPr>
      <w:r w:rsidRPr="005621F4">
        <w:rPr>
          <w:b/>
          <w:bCs/>
          <w:szCs w:val="22"/>
        </w:rPr>
        <w:t>TERCERO.</w:t>
      </w:r>
      <w:r w:rsidRPr="005621F4">
        <w:rPr>
          <w:szCs w:val="22"/>
        </w:rPr>
        <w:t xml:space="preserve"> Notifíquese la presente resolución al Titular de la Unidad de Transparencia del </w:t>
      </w:r>
      <w:r w:rsidRPr="005621F4">
        <w:rPr>
          <w:b/>
          <w:bCs/>
          <w:szCs w:val="22"/>
        </w:rPr>
        <w:t xml:space="preserve">SUJETO OBLIGADO </w:t>
      </w:r>
      <w:r w:rsidRPr="005621F4">
        <w:rPr>
          <w:szCs w:val="22"/>
        </w:rPr>
        <w:t xml:space="preserve">vía Sistema de Acceso a la Información Mexiquense </w:t>
      </w:r>
      <w:r w:rsidRPr="005621F4">
        <w:rPr>
          <w:b/>
          <w:bCs/>
          <w:szCs w:val="22"/>
        </w:rPr>
        <w:t>(SAIMEX),</w:t>
      </w:r>
      <w:r w:rsidRPr="005621F4">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5621F4">
        <w:rPr>
          <w:b/>
          <w:bCs/>
          <w:szCs w:val="22"/>
        </w:rPr>
        <w:t>diez días hábiles</w:t>
      </w:r>
      <w:r w:rsidRPr="005621F4">
        <w:rPr>
          <w:szCs w:val="22"/>
        </w:rPr>
        <w:t xml:space="preserve">, e informe a este Instituto en un plazo de </w:t>
      </w:r>
      <w:r w:rsidRPr="005621F4">
        <w:rPr>
          <w:b/>
          <w:bCs/>
          <w:szCs w:val="22"/>
        </w:rPr>
        <w:t>tres días hábiles</w:t>
      </w:r>
      <w:r w:rsidRPr="005621F4">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026081" w14:textId="77777777" w:rsidR="00551512" w:rsidRPr="005621F4" w:rsidRDefault="00551512" w:rsidP="005621F4">
      <w:pPr>
        <w:rPr>
          <w:szCs w:val="22"/>
        </w:rPr>
      </w:pPr>
    </w:p>
    <w:p w14:paraId="693CF5AD" w14:textId="4BFC99EE" w:rsidR="00551512" w:rsidRDefault="00551512" w:rsidP="005621F4">
      <w:pPr>
        <w:rPr>
          <w:szCs w:val="22"/>
        </w:rPr>
      </w:pPr>
      <w:r w:rsidRPr="005621F4">
        <w:rPr>
          <w:b/>
          <w:bCs/>
          <w:szCs w:val="22"/>
        </w:rPr>
        <w:t>CUARTO.</w:t>
      </w:r>
      <w:r w:rsidRPr="005621F4">
        <w:rPr>
          <w:szCs w:val="22"/>
        </w:rPr>
        <w:t xml:space="preserve"> Notifíquese a </w:t>
      </w:r>
      <w:r w:rsidRPr="005621F4">
        <w:rPr>
          <w:b/>
          <w:bCs/>
          <w:szCs w:val="22"/>
        </w:rPr>
        <w:t>LA PARTE RECURRENTE</w:t>
      </w:r>
      <w:r w:rsidRPr="005621F4">
        <w:rPr>
          <w:szCs w:val="22"/>
        </w:rPr>
        <w:t xml:space="preserve"> la presente resolución vía Sistema de Acceso a la Información Mexiquense (SAIMEX).</w:t>
      </w:r>
    </w:p>
    <w:p w14:paraId="34AA2238" w14:textId="77777777" w:rsidR="005621F4" w:rsidRPr="005621F4" w:rsidRDefault="005621F4" w:rsidP="005621F4">
      <w:pPr>
        <w:rPr>
          <w:szCs w:val="22"/>
        </w:rPr>
      </w:pPr>
    </w:p>
    <w:p w14:paraId="62A9D7C2" w14:textId="77777777" w:rsidR="00551512" w:rsidRPr="005621F4" w:rsidRDefault="00551512" w:rsidP="005621F4">
      <w:pPr>
        <w:rPr>
          <w:szCs w:val="22"/>
        </w:rPr>
      </w:pPr>
    </w:p>
    <w:p w14:paraId="28C710D5" w14:textId="77777777" w:rsidR="00551512" w:rsidRPr="005621F4" w:rsidRDefault="00551512" w:rsidP="005621F4">
      <w:pPr>
        <w:rPr>
          <w:szCs w:val="22"/>
        </w:rPr>
      </w:pPr>
      <w:r w:rsidRPr="005621F4">
        <w:rPr>
          <w:b/>
          <w:bCs/>
          <w:szCs w:val="22"/>
        </w:rPr>
        <w:lastRenderedPageBreak/>
        <w:t>QUINTO</w:t>
      </w:r>
      <w:r w:rsidRPr="005621F4">
        <w:rPr>
          <w:szCs w:val="22"/>
        </w:rPr>
        <w:t xml:space="preserve">. Hágase del conocimiento a </w:t>
      </w:r>
      <w:r w:rsidRPr="005621F4">
        <w:rPr>
          <w:b/>
          <w:bCs/>
          <w:szCs w:val="22"/>
        </w:rPr>
        <w:t>LA PARTE RECURRENTE</w:t>
      </w:r>
      <w:r w:rsidRPr="005621F4">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7DD8FAC" w14:textId="77777777" w:rsidR="00551512" w:rsidRPr="005621F4" w:rsidRDefault="00551512" w:rsidP="005621F4">
      <w:pPr>
        <w:rPr>
          <w:szCs w:val="22"/>
        </w:rPr>
      </w:pPr>
    </w:p>
    <w:p w14:paraId="09DDA097" w14:textId="77777777" w:rsidR="00551512" w:rsidRPr="005621F4" w:rsidRDefault="00551512" w:rsidP="005621F4">
      <w:pPr>
        <w:rPr>
          <w:szCs w:val="22"/>
        </w:rPr>
      </w:pPr>
      <w:r w:rsidRPr="005621F4">
        <w:rPr>
          <w:b/>
          <w:bCs/>
          <w:szCs w:val="22"/>
        </w:rPr>
        <w:t>SEXTO.</w:t>
      </w:r>
      <w:r w:rsidRPr="005621F4">
        <w:rPr>
          <w:szCs w:val="22"/>
        </w:rPr>
        <w:t xml:space="preserve"> De conformidad con el artículo 198 de la Ley de Transparencia y Acceso a la Información Pública del Estado de México y Municipios, el </w:t>
      </w:r>
      <w:r w:rsidRPr="005621F4">
        <w:rPr>
          <w:b/>
          <w:bCs/>
          <w:szCs w:val="22"/>
        </w:rPr>
        <w:t>SUJETO OBLIGADO</w:t>
      </w:r>
      <w:r w:rsidRPr="005621F4">
        <w:rPr>
          <w:szCs w:val="22"/>
        </w:rPr>
        <w:t xml:space="preserve"> podrá solicitar una ampliación de plazo de manera fundada y motivada, para el cumplimiento de la presente resolución.</w:t>
      </w:r>
    </w:p>
    <w:p w14:paraId="0E8CFEB6" w14:textId="77777777" w:rsidR="000E03AE" w:rsidRPr="005621F4" w:rsidRDefault="000E03AE" w:rsidP="005621F4">
      <w:pPr>
        <w:ind w:right="113"/>
        <w:rPr>
          <w:rFonts w:cs="Arial"/>
          <w:b/>
          <w:szCs w:val="22"/>
        </w:rPr>
      </w:pPr>
    </w:p>
    <w:p w14:paraId="521432EE" w14:textId="7F1301C8" w:rsidR="000E03AE" w:rsidRPr="005621F4" w:rsidRDefault="000E03AE" w:rsidP="005621F4">
      <w:pPr>
        <w:rPr>
          <w:rFonts w:eastAsia="Palatino Linotype" w:cs="Palatino Linotype"/>
          <w:szCs w:val="22"/>
        </w:rPr>
      </w:pPr>
      <w:r w:rsidRPr="005621F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482979" w:rsidRPr="005621F4">
        <w:rPr>
          <w:rFonts w:eastAsia="Palatino Linotype" w:cs="Palatino Linotype"/>
          <w:szCs w:val="22"/>
        </w:rPr>
        <w:t>QUINTA</w:t>
      </w:r>
      <w:r w:rsidRPr="005621F4">
        <w:rPr>
          <w:rFonts w:eastAsia="Palatino Linotype" w:cs="Palatino Linotype"/>
          <w:szCs w:val="22"/>
        </w:rPr>
        <w:t xml:space="preserve"> SESIÓN ORDINARIA, CELEBRADA EL </w:t>
      </w:r>
      <w:r w:rsidR="00482979" w:rsidRPr="005621F4">
        <w:rPr>
          <w:rFonts w:eastAsia="Palatino Linotype" w:cs="Palatino Linotype"/>
          <w:szCs w:val="22"/>
        </w:rPr>
        <w:t>TRES</w:t>
      </w:r>
      <w:r w:rsidRPr="005621F4">
        <w:rPr>
          <w:rFonts w:eastAsia="Palatino Linotype" w:cs="Palatino Linotype"/>
          <w:szCs w:val="22"/>
        </w:rPr>
        <w:t xml:space="preserve"> DE </w:t>
      </w:r>
      <w:r w:rsidR="00482979" w:rsidRPr="005621F4">
        <w:rPr>
          <w:rFonts w:eastAsia="Palatino Linotype" w:cs="Palatino Linotype"/>
          <w:szCs w:val="22"/>
        </w:rPr>
        <w:t>OCTUBRE</w:t>
      </w:r>
      <w:r w:rsidRPr="005621F4">
        <w:rPr>
          <w:rFonts w:eastAsia="Palatino Linotype" w:cs="Palatino Linotype"/>
          <w:szCs w:val="22"/>
        </w:rPr>
        <w:t xml:space="preserve"> DE DOS MIL VEINTICUATRO ANTE EL SECRETARIO TÉCNICO DEL PLENO, ALEXIS TAPIA RAMÍREZ.</w:t>
      </w:r>
    </w:p>
    <w:p w14:paraId="6BF2B1BF" w14:textId="40342A3C" w:rsidR="005621F4" w:rsidRDefault="000E03AE" w:rsidP="005621F4">
      <w:pPr>
        <w:tabs>
          <w:tab w:val="left" w:pos="2325"/>
        </w:tabs>
        <w:rPr>
          <w:sz w:val="14"/>
          <w:szCs w:val="22"/>
        </w:rPr>
      </w:pPr>
      <w:r w:rsidRPr="005621F4">
        <w:rPr>
          <w:sz w:val="14"/>
          <w:szCs w:val="22"/>
        </w:rPr>
        <w:t>SCMM/AGZ/DEMF/DLM</w:t>
      </w:r>
    </w:p>
    <w:p w14:paraId="2C450E79" w14:textId="77777777" w:rsidR="005621F4" w:rsidRDefault="005621F4">
      <w:pPr>
        <w:spacing w:after="160" w:line="259" w:lineRule="auto"/>
        <w:jc w:val="left"/>
        <w:rPr>
          <w:sz w:val="14"/>
          <w:szCs w:val="22"/>
        </w:rPr>
      </w:pPr>
      <w:r>
        <w:rPr>
          <w:sz w:val="14"/>
          <w:szCs w:val="22"/>
        </w:rPr>
        <w:br w:type="page"/>
      </w:r>
    </w:p>
    <w:p w14:paraId="683E7C51" w14:textId="77777777" w:rsidR="000E03AE" w:rsidRPr="005621F4" w:rsidRDefault="000E03AE" w:rsidP="005621F4">
      <w:pPr>
        <w:tabs>
          <w:tab w:val="left" w:pos="2325"/>
        </w:tabs>
        <w:rPr>
          <w:sz w:val="14"/>
          <w:szCs w:val="22"/>
        </w:rPr>
      </w:pPr>
    </w:p>
    <w:p w14:paraId="2E89CBD2" w14:textId="77777777" w:rsidR="00BA3C86" w:rsidRPr="005621F4" w:rsidRDefault="00BA3C86" w:rsidP="005621F4">
      <w:pPr>
        <w:tabs>
          <w:tab w:val="left" w:pos="2325"/>
        </w:tabs>
        <w:rPr>
          <w:sz w:val="14"/>
          <w:szCs w:val="22"/>
        </w:rPr>
      </w:pPr>
    </w:p>
    <w:p w14:paraId="775D1253" w14:textId="77777777" w:rsidR="00BA3C86" w:rsidRPr="005621F4" w:rsidRDefault="00BA3C86" w:rsidP="005621F4">
      <w:pPr>
        <w:tabs>
          <w:tab w:val="left" w:pos="2325"/>
        </w:tabs>
        <w:rPr>
          <w:sz w:val="14"/>
          <w:szCs w:val="22"/>
        </w:rPr>
      </w:pPr>
    </w:p>
    <w:p w14:paraId="4894EE97" w14:textId="77777777" w:rsidR="00BA3C86" w:rsidRPr="005621F4" w:rsidRDefault="00BA3C86" w:rsidP="005621F4">
      <w:pPr>
        <w:tabs>
          <w:tab w:val="left" w:pos="2325"/>
        </w:tabs>
        <w:rPr>
          <w:sz w:val="14"/>
          <w:szCs w:val="22"/>
        </w:rPr>
      </w:pPr>
    </w:p>
    <w:p w14:paraId="1491FB30" w14:textId="77777777" w:rsidR="00BA3C86" w:rsidRPr="005621F4" w:rsidRDefault="00BA3C86" w:rsidP="005621F4">
      <w:pPr>
        <w:tabs>
          <w:tab w:val="left" w:pos="2325"/>
        </w:tabs>
        <w:rPr>
          <w:sz w:val="14"/>
          <w:szCs w:val="22"/>
        </w:rPr>
      </w:pPr>
    </w:p>
    <w:p w14:paraId="3F5E1C3B" w14:textId="77777777" w:rsidR="00BA3C86" w:rsidRPr="005621F4" w:rsidRDefault="00BA3C86" w:rsidP="005621F4">
      <w:pPr>
        <w:tabs>
          <w:tab w:val="left" w:pos="2325"/>
        </w:tabs>
        <w:rPr>
          <w:sz w:val="14"/>
          <w:szCs w:val="22"/>
        </w:rPr>
      </w:pPr>
    </w:p>
    <w:p w14:paraId="186DDB54" w14:textId="77777777" w:rsidR="00BA3C86" w:rsidRPr="005621F4" w:rsidRDefault="00BA3C86" w:rsidP="005621F4">
      <w:pPr>
        <w:tabs>
          <w:tab w:val="left" w:pos="2325"/>
        </w:tabs>
        <w:rPr>
          <w:szCs w:val="22"/>
        </w:rPr>
      </w:pPr>
    </w:p>
    <w:p w14:paraId="5B4ADFF3" w14:textId="77777777" w:rsidR="00A131AC" w:rsidRPr="005621F4" w:rsidRDefault="00A131AC" w:rsidP="005621F4">
      <w:pPr>
        <w:ind w:left="851" w:right="680"/>
        <w:rPr>
          <w:szCs w:val="22"/>
        </w:rPr>
      </w:pPr>
    </w:p>
    <w:sectPr w:rsidR="00A131AC" w:rsidRPr="005621F4"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E910" w14:textId="77777777" w:rsidR="004502AA" w:rsidRDefault="004502AA" w:rsidP="00664420">
      <w:pPr>
        <w:spacing w:line="240" w:lineRule="auto"/>
      </w:pPr>
      <w:r>
        <w:separator/>
      </w:r>
    </w:p>
  </w:endnote>
  <w:endnote w:type="continuationSeparator" w:id="0">
    <w:p w14:paraId="162A9BFF" w14:textId="77777777" w:rsidR="004502AA" w:rsidRDefault="004502A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502AA" w:rsidRDefault="004502AA">
    <w:pPr>
      <w:tabs>
        <w:tab w:val="center" w:pos="4550"/>
        <w:tab w:val="left" w:pos="5818"/>
      </w:tabs>
      <w:ind w:right="260"/>
      <w:jc w:val="right"/>
      <w:rPr>
        <w:color w:val="071320" w:themeColor="text2" w:themeShade="80"/>
        <w:sz w:val="24"/>
        <w:szCs w:val="24"/>
      </w:rPr>
    </w:pPr>
  </w:p>
  <w:p w14:paraId="1BCA7F23" w14:textId="77777777" w:rsidR="004502AA" w:rsidRDefault="004502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502AA" w:rsidRDefault="004502A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81928" w:rsidRPr="00181928">
      <w:rPr>
        <w:noProof/>
        <w:color w:val="0A1D30" w:themeColor="text2" w:themeShade="BF"/>
        <w:sz w:val="24"/>
        <w:szCs w:val="24"/>
        <w:lang w:val="es-ES"/>
      </w:rPr>
      <w:t>41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81928" w:rsidRPr="00181928">
      <w:rPr>
        <w:noProof/>
        <w:color w:val="0A1D30" w:themeColor="text2" w:themeShade="BF"/>
        <w:sz w:val="24"/>
        <w:szCs w:val="24"/>
        <w:lang w:val="es-ES"/>
      </w:rPr>
      <w:t>44</w:t>
    </w:r>
    <w:r>
      <w:rPr>
        <w:color w:val="0A1D30" w:themeColor="text2" w:themeShade="BF"/>
        <w:sz w:val="24"/>
        <w:szCs w:val="24"/>
      </w:rPr>
      <w:fldChar w:fldCharType="end"/>
    </w:r>
  </w:p>
  <w:p w14:paraId="310E15C0" w14:textId="77777777" w:rsidR="004502AA" w:rsidRDefault="004502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A999A" w14:textId="77777777" w:rsidR="004502AA" w:rsidRDefault="004502AA" w:rsidP="00664420">
      <w:pPr>
        <w:spacing w:line="240" w:lineRule="auto"/>
      </w:pPr>
      <w:r>
        <w:separator/>
      </w:r>
    </w:p>
  </w:footnote>
  <w:footnote w:type="continuationSeparator" w:id="0">
    <w:p w14:paraId="51EDB179" w14:textId="77777777" w:rsidR="004502AA" w:rsidRDefault="004502A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502AA" w:rsidRPr="00330DA7" w14:paraId="070A4B18" w14:textId="77777777" w:rsidTr="003F35FD">
      <w:trPr>
        <w:trHeight w:val="144"/>
        <w:jc w:val="right"/>
      </w:trPr>
      <w:tc>
        <w:tcPr>
          <w:tcW w:w="2727" w:type="dxa"/>
        </w:tcPr>
        <w:p w14:paraId="62B7493A" w14:textId="77777777" w:rsidR="004502AA" w:rsidRPr="00330DA7" w:rsidRDefault="004502A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AADC4B7" w:rsidR="004502AA" w:rsidRPr="00A90C72" w:rsidRDefault="004502AA" w:rsidP="00DB6004">
          <w:pPr>
            <w:tabs>
              <w:tab w:val="right" w:pos="8838"/>
            </w:tabs>
            <w:ind w:left="-74" w:right="-105"/>
            <w:rPr>
              <w:rFonts w:eastAsia="Calibri" w:cs="Tahoma"/>
              <w:szCs w:val="22"/>
              <w:lang w:eastAsia="en-US"/>
            </w:rPr>
          </w:pPr>
          <w:r>
            <w:rPr>
              <w:rFonts w:eastAsia="Calibri" w:cs="Tahoma"/>
              <w:szCs w:val="22"/>
              <w:lang w:eastAsia="en-US"/>
            </w:rPr>
            <w:t>00452/</w:t>
          </w:r>
          <w:r w:rsidRPr="00A90C72">
            <w:rPr>
              <w:rFonts w:eastAsia="Calibri" w:cs="Tahoma"/>
              <w:szCs w:val="22"/>
              <w:lang w:eastAsia="en-US"/>
            </w:rPr>
            <w:t>INFOEM/IP/RR</w:t>
          </w:r>
          <w:r>
            <w:rPr>
              <w:rFonts w:eastAsia="Calibri" w:cs="Tahoma"/>
              <w:szCs w:val="22"/>
              <w:lang w:eastAsia="en-US"/>
            </w:rPr>
            <w:t>/2024 y acumulados</w:t>
          </w:r>
        </w:p>
      </w:tc>
    </w:tr>
    <w:tr w:rsidR="004502AA" w:rsidRPr="00330DA7" w14:paraId="4521E058" w14:textId="77777777" w:rsidTr="003F35FD">
      <w:trPr>
        <w:trHeight w:val="283"/>
        <w:jc w:val="right"/>
      </w:trPr>
      <w:tc>
        <w:tcPr>
          <w:tcW w:w="2727" w:type="dxa"/>
        </w:tcPr>
        <w:p w14:paraId="0B68C086" w14:textId="77777777" w:rsidR="004502AA" w:rsidRPr="00330DA7" w:rsidRDefault="004502A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1961E2D" w:rsidR="004502AA" w:rsidRPr="00952DD0" w:rsidRDefault="004502AA" w:rsidP="003F35FD">
          <w:pPr>
            <w:tabs>
              <w:tab w:val="left" w:pos="2834"/>
              <w:tab w:val="right" w:pos="8838"/>
            </w:tabs>
            <w:ind w:left="-108" w:right="-105"/>
            <w:rPr>
              <w:rFonts w:eastAsia="Calibri" w:cs="Tahoma"/>
              <w:szCs w:val="22"/>
              <w:lang w:eastAsia="en-US"/>
            </w:rPr>
          </w:pPr>
          <w:r w:rsidRPr="004D3411">
            <w:rPr>
              <w:rFonts w:eastAsia="Calibri" w:cs="Tahoma"/>
              <w:szCs w:val="22"/>
              <w:lang w:eastAsia="en-US"/>
            </w:rPr>
            <w:t>Secretaría de Movilidad</w:t>
          </w:r>
        </w:p>
      </w:tc>
    </w:tr>
    <w:tr w:rsidR="004502AA" w:rsidRPr="00330DA7" w14:paraId="6331D9B6" w14:textId="77777777" w:rsidTr="003F35FD">
      <w:trPr>
        <w:trHeight w:val="283"/>
        <w:jc w:val="right"/>
      </w:trPr>
      <w:tc>
        <w:tcPr>
          <w:tcW w:w="2727" w:type="dxa"/>
        </w:tcPr>
        <w:p w14:paraId="3FA86BAE" w14:textId="2A92F133" w:rsidR="004502AA" w:rsidRPr="00330DA7" w:rsidRDefault="004502A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4502AA" w:rsidRPr="00EA66FC" w:rsidRDefault="004502A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502AA" w:rsidRPr="00443C6B" w:rsidRDefault="004502A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502AA" w:rsidRPr="00330DA7" w14:paraId="29CFF901" w14:textId="77777777" w:rsidTr="00DB6004">
      <w:trPr>
        <w:trHeight w:val="1435"/>
      </w:trPr>
      <w:tc>
        <w:tcPr>
          <w:tcW w:w="283" w:type="dxa"/>
          <w:shd w:val="clear" w:color="auto" w:fill="auto"/>
        </w:tcPr>
        <w:p w14:paraId="046B9F8F" w14:textId="77777777" w:rsidR="004502AA" w:rsidRPr="00330DA7" w:rsidRDefault="004502AA"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502AA" w:rsidRPr="00330DA7" w14:paraId="04F272D2" w14:textId="77777777" w:rsidTr="00DB6004">
            <w:trPr>
              <w:trHeight w:val="144"/>
            </w:trPr>
            <w:tc>
              <w:tcPr>
                <w:tcW w:w="2727" w:type="dxa"/>
              </w:tcPr>
              <w:p w14:paraId="2FD4DBF6" w14:textId="77777777" w:rsidR="004502AA" w:rsidRPr="00330DA7" w:rsidRDefault="004502AA" w:rsidP="00DB600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67AC5CA" w:rsidR="004502AA" w:rsidRPr="00A90C72" w:rsidRDefault="004502AA" w:rsidP="00DB6004">
                <w:pPr>
                  <w:tabs>
                    <w:tab w:val="right" w:pos="8838"/>
                  </w:tabs>
                  <w:ind w:left="-74" w:right="-105"/>
                  <w:rPr>
                    <w:rFonts w:eastAsia="Calibri" w:cs="Tahoma"/>
                    <w:szCs w:val="22"/>
                    <w:lang w:eastAsia="en-US"/>
                  </w:rPr>
                </w:pPr>
                <w:r>
                  <w:rPr>
                    <w:rFonts w:eastAsia="Calibri" w:cs="Tahoma"/>
                    <w:szCs w:val="22"/>
                    <w:lang w:eastAsia="en-US"/>
                  </w:rPr>
                  <w:t>00452/</w:t>
                </w:r>
                <w:r w:rsidRPr="00A90C72">
                  <w:rPr>
                    <w:rFonts w:eastAsia="Calibri" w:cs="Tahoma"/>
                    <w:szCs w:val="22"/>
                    <w:lang w:eastAsia="en-US"/>
                  </w:rPr>
                  <w:t>INFOEM/IP/RR</w:t>
                </w:r>
                <w:r>
                  <w:rPr>
                    <w:rFonts w:eastAsia="Calibri" w:cs="Tahoma"/>
                    <w:szCs w:val="22"/>
                    <w:lang w:eastAsia="en-US"/>
                  </w:rPr>
                  <w:t>/2024 y acumulados</w:t>
                </w:r>
              </w:p>
            </w:tc>
            <w:tc>
              <w:tcPr>
                <w:tcW w:w="3402" w:type="dxa"/>
              </w:tcPr>
              <w:p w14:paraId="71DEA1CF" w14:textId="77777777" w:rsidR="004502AA" w:rsidRDefault="004502AA" w:rsidP="00DB6004">
                <w:pPr>
                  <w:tabs>
                    <w:tab w:val="right" w:pos="8838"/>
                  </w:tabs>
                  <w:ind w:left="-74" w:right="-105"/>
                  <w:rPr>
                    <w:rFonts w:eastAsia="Calibri" w:cs="Tahoma"/>
                    <w:szCs w:val="22"/>
                    <w:lang w:eastAsia="en-US"/>
                  </w:rPr>
                </w:pPr>
              </w:p>
            </w:tc>
          </w:tr>
          <w:tr w:rsidR="004502AA" w:rsidRPr="00330DA7" w14:paraId="05C58951" w14:textId="77777777" w:rsidTr="00DB6004">
            <w:trPr>
              <w:trHeight w:val="144"/>
            </w:trPr>
            <w:tc>
              <w:tcPr>
                <w:tcW w:w="2727" w:type="dxa"/>
              </w:tcPr>
              <w:p w14:paraId="642B9610" w14:textId="77777777" w:rsidR="004502AA" w:rsidRPr="00330DA7" w:rsidRDefault="004502AA" w:rsidP="00DB600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9CDD302" w:rsidR="004502AA" w:rsidRPr="005F19B1" w:rsidRDefault="004502AA" w:rsidP="004D3411">
                <w:pPr>
                  <w:tabs>
                    <w:tab w:val="left" w:pos="3122"/>
                    <w:tab w:val="right" w:pos="8838"/>
                  </w:tabs>
                  <w:ind w:right="-105"/>
                  <w:rPr>
                    <w:rFonts w:eastAsia="Calibri" w:cs="Tahoma"/>
                    <w:szCs w:val="22"/>
                    <w:lang w:eastAsia="en-US"/>
                  </w:rPr>
                </w:pPr>
              </w:p>
            </w:tc>
            <w:tc>
              <w:tcPr>
                <w:tcW w:w="3402" w:type="dxa"/>
              </w:tcPr>
              <w:p w14:paraId="73F47F53" w14:textId="77777777" w:rsidR="004502AA" w:rsidRPr="005F19B1" w:rsidRDefault="004502AA" w:rsidP="00DB6004">
                <w:pPr>
                  <w:tabs>
                    <w:tab w:val="left" w:pos="3122"/>
                    <w:tab w:val="right" w:pos="8838"/>
                  </w:tabs>
                  <w:ind w:left="-105" w:right="-105"/>
                  <w:rPr>
                    <w:rFonts w:eastAsia="Calibri" w:cs="Tahoma"/>
                    <w:szCs w:val="22"/>
                    <w:lang w:eastAsia="en-US"/>
                  </w:rPr>
                </w:pPr>
              </w:p>
            </w:tc>
          </w:tr>
          <w:bookmarkEnd w:id="2"/>
          <w:tr w:rsidR="004502AA" w:rsidRPr="00330DA7" w14:paraId="00E6CDC1" w14:textId="77777777" w:rsidTr="00DB6004">
            <w:trPr>
              <w:trHeight w:val="283"/>
            </w:trPr>
            <w:tc>
              <w:tcPr>
                <w:tcW w:w="2727" w:type="dxa"/>
              </w:tcPr>
              <w:p w14:paraId="0631AD24" w14:textId="77777777" w:rsidR="004502AA" w:rsidRPr="00330DA7" w:rsidRDefault="004502AA"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765848C" w:rsidR="004502AA" w:rsidRPr="00952DD0" w:rsidRDefault="004502AA" w:rsidP="00DB6004">
                <w:pPr>
                  <w:tabs>
                    <w:tab w:val="left" w:pos="2834"/>
                    <w:tab w:val="right" w:pos="8838"/>
                  </w:tabs>
                  <w:ind w:left="-108" w:right="-105"/>
                  <w:rPr>
                    <w:rFonts w:eastAsia="Calibri" w:cs="Tahoma"/>
                    <w:szCs w:val="22"/>
                    <w:lang w:eastAsia="en-US"/>
                  </w:rPr>
                </w:pPr>
                <w:r w:rsidRPr="004D3411">
                  <w:rPr>
                    <w:rFonts w:eastAsia="Calibri" w:cs="Tahoma"/>
                    <w:szCs w:val="22"/>
                    <w:lang w:eastAsia="en-US"/>
                  </w:rPr>
                  <w:t>Secretaría de Movilidad</w:t>
                </w:r>
              </w:p>
            </w:tc>
            <w:tc>
              <w:tcPr>
                <w:tcW w:w="3402" w:type="dxa"/>
              </w:tcPr>
              <w:p w14:paraId="3A7DA319" w14:textId="77777777" w:rsidR="004502AA" w:rsidRPr="00A90C72" w:rsidRDefault="004502AA" w:rsidP="00DB6004">
                <w:pPr>
                  <w:tabs>
                    <w:tab w:val="left" w:pos="2834"/>
                    <w:tab w:val="right" w:pos="8838"/>
                  </w:tabs>
                  <w:ind w:left="-108" w:right="-105"/>
                  <w:rPr>
                    <w:rFonts w:eastAsia="Calibri" w:cs="Tahoma"/>
                    <w:szCs w:val="22"/>
                    <w:lang w:eastAsia="en-US"/>
                  </w:rPr>
                </w:pPr>
              </w:p>
            </w:tc>
          </w:tr>
          <w:tr w:rsidR="004502AA" w:rsidRPr="00330DA7" w14:paraId="0F6CD8D2" w14:textId="77777777" w:rsidTr="00DB6004">
            <w:trPr>
              <w:trHeight w:val="283"/>
            </w:trPr>
            <w:tc>
              <w:tcPr>
                <w:tcW w:w="2727" w:type="dxa"/>
              </w:tcPr>
              <w:p w14:paraId="31700628" w14:textId="41E81ADF" w:rsidR="004502AA" w:rsidRPr="00330DA7" w:rsidRDefault="004502AA"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4502AA" w:rsidRPr="00EA66FC" w:rsidRDefault="004502AA"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502AA" w:rsidRPr="00330DA7" w:rsidRDefault="004502AA" w:rsidP="00DB6004">
                <w:pPr>
                  <w:tabs>
                    <w:tab w:val="right" w:pos="8838"/>
                  </w:tabs>
                  <w:ind w:left="-108" w:right="-105"/>
                  <w:rPr>
                    <w:rFonts w:eastAsia="Calibri" w:cs="Tahoma"/>
                    <w:szCs w:val="22"/>
                    <w:lang w:eastAsia="en-US"/>
                  </w:rPr>
                </w:pPr>
              </w:p>
            </w:tc>
          </w:tr>
        </w:tbl>
        <w:p w14:paraId="5DC6AC61" w14:textId="77777777" w:rsidR="004502AA" w:rsidRPr="00330DA7" w:rsidRDefault="004502AA" w:rsidP="00DB6004">
          <w:pPr>
            <w:tabs>
              <w:tab w:val="right" w:pos="8838"/>
            </w:tabs>
            <w:ind w:left="-28"/>
            <w:rPr>
              <w:rFonts w:ascii="Arial" w:eastAsia="Calibri" w:hAnsi="Arial" w:cs="Arial"/>
              <w:b/>
              <w:szCs w:val="22"/>
              <w:lang w:eastAsia="en-US"/>
            </w:rPr>
          </w:pPr>
        </w:p>
      </w:tc>
    </w:tr>
  </w:tbl>
  <w:p w14:paraId="2A906731" w14:textId="77777777" w:rsidR="004502AA" w:rsidRPr="00765661" w:rsidRDefault="00181928"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2D5F"/>
    <w:multiLevelType w:val="hybridMultilevel"/>
    <w:tmpl w:val="C1348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B19C0"/>
    <w:multiLevelType w:val="hybridMultilevel"/>
    <w:tmpl w:val="B7782710"/>
    <w:lvl w:ilvl="0" w:tplc="0FC2C35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A24CC1"/>
    <w:multiLevelType w:val="hybridMultilevel"/>
    <w:tmpl w:val="D0721D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8C47B9"/>
    <w:multiLevelType w:val="hybridMultilevel"/>
    <w:tmpl w:val="8A5A4A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2172EE"/>
    <w:multiLevelType w:val="hybridMultilevel"/>
    <w:tmpl w:val="D8FAA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633AC9"/>
    <w:multiLevelType w:val="hybridMultilevel"/>
    <w:tmpl w:val="BC0A6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630D10"/>
    <w:multiLevelType w:val="hybridMultilevel"/>
    <w:tmpl w:val="8E084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7A333F"/>
    <w:multiLevelType w:val="hybridMultilevel"/>
    <w:tmpl w:val="90EE8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5" w15:restartNumberingAfterBreak="0">
    <w:nsid w:val="315374C7"/>
    <w:multiLevelType w:val="hybridMultilevel"/>
    <w:tmpl w:val="3170E9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BC759F"/>
    <w:multiLevelType w:val="hybridMultilevel"/>
    <w:tmpl w:val="90EE8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497735"/>
    <w:multiLevelType w:val="hybridMultilevel"/>
    <w:tmpl w:val="00C27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71548D"/>
    <w:multiLevelType w:val="hybridMultilevel"/>
    <w:tmpl w:val="BCAA5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A21AF8"/>
    <w:multiLevelType w:val="hybridMultilevel"/>
    <w:tmpl w:val="344482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2622ECD"/>
    <w:multiLevelType w:val="hybridMultilevel"/>
    <w:tmpl w:val="D50A7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A10BD4"/>
    <w:multiLevelType w:val="hybridMultilevel"/>
    <w:tmpl w:val="9B745222"/>
    <w:lvl w:ilvl="0" w:tplc="4F1697EA">
      <w:start w:val="1"/>
      <w:numFmt w:val="decimal"/>
      <w:lvlText w:val="%1."/>
      <w:lvlJc w:val="left"/>
      <w:pPr>
        <w:ind w:left="720" w:hanging="360"/>
      </w:pPr>
      <w:rPr>
        <w:rFonts w:eastAsia="Calibr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4D42AF"/>
    <w:multiLevelType w:val="hybridMultilevel"/>
    <w:tmpl w:val="BCAA5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9D63A3"/>
    <w:multiLevelType w:val="hybridMultilevel"/>
    <w:tmpl w:val="BCAA5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6B2468"/>
    <w:multiLevelType w:val="hybridMultilevel"/>
    <w:tmpl w:val="DCE0F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974CCA"/>
    <w:multiLevelType w:val="hybridMultilevel"/>
    <w:tmpl w:val="60B8D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DB61B5"/>
    <w:multiLevelType w:val="hybridMultilevel"/>
    <w:tmpl w:val="827EAA30"/>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F872B3"/>
    <w:multiLevelType w:val="hybridMultilevel"/>
    <w:tmpl w:val="2B04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BE3569"/>
    <w:multiLevelType w:val="hybridMultilevel"/>
    <w:tmpl w:val="344482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D70518"/>
    <w:multiLevelType w:val="hybridMultilevel"/>
    <w:tmpl w:val="21308480"/>
    <w:lvl w:ilvl="0" w:tplc="080A0001">
      <w:start w:val="1"/>
      <w:numFmt w:val="bullet"/>
      <w:lvlText w:val=""/>
      <w:lvlJc w:val="left"/>
      <w:pPr>
        <w:ind w:left="748" w:hanging="360"/>
      </w:pPr>
      <w:rPr>
        <w:rFonts w:ascii="Symbol" w:hAnsi="Symbol" w:hint="default"/>
      </w:rPr>
    </w:lvl>
    <w:lvl w:ilvl="1" w:tplc="080A0003" w:tentative="1">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35" w15:restartNumberingAfterBreak="0">
    <w:nsid w:val="6D686D12"/>
    <w:multiLevelType w:val="hybridMultilevel"/>
    <w:tmpl w:val="7FB6EB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10E674E"/>
    <w:multiLevelType w:val="hybridMultilevel"/>
    <w:tmpl w:val="E3443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172898"/>
    <w:multiLevelType w:val="hybridMultilevel"/>
    <w:tmpl w:val="22B016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655E9B"/>
    <w:multiLevelType w:val="hybridMultilevel"/>
    <w:tmpl w:val="F170EE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DC6D1D"/>
    <w:multiLevelType w:val="hybridMultilevel"/>
    <w:tmpl w:val="BCAA5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C40EE5"/>
    <w:multiLevelType w:val="hybridMultilevel"/>
    <w:tmpl w:val="BC0A6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8752EF"/>
    <w:multiLevelType w:val="hybridMultilevel"/>
    <w:tmpl w:val="E88A7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5E000E"/>
    <w:multiLevelType w:val="hybridMultilevel"/>
    <w:tmpl w:val="664E5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37"/>
  </w:num>
  <w:num w:numId="4">
    <w:abstractNumId w:val="8"/>
  </w:num>
  <w:num w:numId="5">
    <w:abstractNumId w:val="3"/>
  </w:num>
  <w:num w:numId="6">
    <w:abstractNumId w:val="44"/>
  </w:num>
  <w:num w:numId="7">
    <w:abstractNumId w:val="21"/>
  </w:num>
  <w:num w:numId="8">
    <w:abstractNumId w:val="7"/>
  </w:num>
  <w:num w:numId="9">
    <w:abstractNumId w:val="19"/>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13"/>
  </w:num>
  <w:num w:numId="13">
    <w:abstractNumId w:val="1"/>
  </w:num>
  <w:num w:numId="14">
    <w:abstractNumId w:val="6"/>
  </w:num>
  <w:num w:numId="15">
    <w:abstractNumId w:val="22"/>
  </w:num>
  <w:num w:numId="16">
    <w:abstractNumId w:val="25"/>
  </w:num>
  <w:num w:numId="17">
    <w:abstractNumId w:val="2"/>
  </w:num>
  <w:num w:numId="18">
    <w:abstractNumId w:val="39"/>
  </w:num>
  <w:num w:numId="19">
    <w:abstractNumId w:val="38"/>
  </w:num>
  <w:num w:numId="20">
    <w:abstractNumId w:val="43"/>
  </w:num>
  <w:num w:numId="21">
    <w:abstractNumId w:val="11"/>
  </w:num>
  <w:num w:numId="22">
    <w:abstractNumId w:val="32"/>
  </w:num>
  <w:num w:numId="23">
    <w:abstractNumId w:val="0"/>
  </w:num>
  <w:num w:numId="24">
    <w:abstractNumId w:val="10"/>
  </w:num>
  <w:num w:numId="25">
    <w:abstractNumId w:val="42"/>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4"/>
  </w:num>
  <w:num w:numId="29">
    <w:abstractNumId w:val="23"/>
  </w:num>
  <w:num w:numId="30">
    <w:abstractNumId w:val="15"/>
  </w:num>
  <w:num w:numId="31">
    <w:abstractNumId w:val="33"/>
  </w:num>
  <w:num w:numId="32">
    <w:abstractNumId w:val="29"/>
  </w:num>
  <w:num w:numId="33">
    <w:abstractNumId w:val="45"/>
  </w:num>
  <w:num w:numId="34">
    <w:abstractNumId w:val="17"/>
  </w:num>
  <w:num w:numId="35">
    <w:abstractNumId w:val="30"/>
  </w:num>
  <w:num w:numId="36">
    <w:abstractNumId w:val="12"/>
  </w:num>
  <w:num w:numId="37">
    <w:abstractNumId w:val="26"/>
  </w:num>
  <w:num w:numId="38">
    <w:abstractNumId w:val="35"/>
  </w:num>
  <w:num w:numId="39">
    <w:abstractNumId w:val="31"/>
  </w:num>
  <w:num w:numId="40">
    <w:abstractNumId w:val="16"/>
  </w:num>
  <w:num w:numId="41">
    <w:abstractNumId w:val="5"/>
  </w:num>
  <w:num w:numId="42">
    <w:abstractNumId w:val="20"/>
  </w:num>
  <w:num w:numId="43">
    <w:abstractNumId w:val="27"/>
  </w:num>
  <w:num w:numId="44">
    <w:abstractNumId w:val="28"/>
  </w:num>
  <w:num w:numId="45">
    <w:abstractNumId w:val="41"/>
  </w:num>
  <w:num w:numId="46">
    <w:abstractNumId w:val="9"/>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mailingLabels"/>
    <w:dataType w:val="textFile"/>
    <w:activeRecord w:val="-1"/>
  </w:mailMerg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2D84"/>
    <w:rsid w:val="00015208"/>
    <w:rsid w:val="00025464"/>
    <w:rsid w:val="000318BC"/>
    <w:rsid w:val="00033E42"/>
    <w:rsid w:val="00057B2D"/>
    <w:rsid w:val="00073B84"/>
    <w:rsid w:val="0007738C"/>
    <w:rsid w:val="00080071"/>
    <w:rsid w:val="00086B8E"/>
    <w:rsid w:val="0009002D"/>
    <w:rsid w:val="000978F2"/>
    <w:rsid w:val="000B3CAE"/>
    <w:rsid w:val="000C2AA2"/>
    <w:rsid w:val="000C6C4B"/>
    <w:rsid w:val="000D0D67"/>
    <w:rsid w:val="000D21BB"/>
    <w:rsid w:val="000D5D8A"/>
    <w:rsid w:val="000E03AE"/>
    <w:rsid w:val="000E09C4"/>
    <w:rsid w:val="000E2BA7"/>
    <w:rsid w:val="000F17BC"/>
    <w:rsid w:val="000F699F"/>
    <w:rsid w:val="00113060"/>
    <w:rsid w:val="0011350D"/>
    <w:rsid w:val="0012653A"/>
    <w:rsid w:val="00141876"/>
    <w:rsid w:val="0014207B"/>
    <w:rsid w:val="00150C49"/>
    <w:rsid w:val="00160C7E"/>
    <w:rsid w:val="0016371B"/>
    <w:rsid w:val="00166E6E"/>
    <w:rsid w:val="00171216"/>
    <w:rsid w:val="00171D9C"/>
    <w:rsid w:val="0017786B"/>
    <w:rsid w:val="00181928"/>
    <w:rsid w:val="00184503"/>
    <w:rsid w:val="00195748"/>
    <w:rsid w:val="001A58B3"/>
    <w:rsid w:val="001B4FF2"/>
    <w:rsid w:val="001B6006"/>
    <w:rsid w:val="001B777A"/>
    <w:rsid w:val="001C379F"/>
    <w:rsid w:val="001C411D"/>
    <w:rsid w:val="001C48E7"/>
    <w:rsid w:val="001C5C6F"/>
    <w:rsid w:val="001C7688"/>
    <w:rsid w:val="001E1ACD"/>
    <w:rsid w:val="001F3515"/>
    <w:rsid w:val="002129F3"/>
    <w:rsid w:val="00213142"/>
    <w:rsid w:val="0022753A"/>
    <w:rsid w:val="00233005"/>
    <w:rsid w:val="00233F17"/>
    <w:rsid w:val="002352B5"/>
    <w:rsid w:val="00256353"/>
    <w:rsid w:val="00262FF5"/>
    <w:rsid w:val="00277160"/>
    <w:rsid w:val="00277E93"/>
    <w:rsid w:val="002857F5"/>
    <w:rsid w:val="00290FCA"/>
    <w:rsid w:val="00292286"/>
    <w:rsid w:val="0029336C"/>
    <w:rsid w:val="002953E7"/>
    <w:rsid w:val="002A127C"/>
    <w:rsid w:val="002A2C68"/>
    <w:rsid w:val="002A3601"/>
    <w:rsid w:val="002A37A0"/>
    <w:rsid w:val="002B14FB"/>
    <w:rsid w:val="002B2078"/>
    <w:rsid w:val="002B7C6F"/>
    <w:rsid w:val="002D111C"/>
    <w:rsid w:val="002E026D"/>
    <w:rsid w:val="002E12E4"/>
    <w:rsid w:val="002E36AB"/>
    <w:rsid w:val="002E61F8"/>
    <w:rsid w:val="002F13C2"/>
    <w:rsid w:val="002F1878"/>
    <w:rsid w:val="00302209"/>
    <w:rsid w:val="00302476"/>
    <w:rsid w:val="00324215"/>
    <w:rsid w:val="00324BDD"/>
    <w:rsid w:val="00326E80"/>
    <w:rsid w:val="00331F35"/>
    <w:rsid w:val="00335CDF"/>
    <w:rsid w:val="003368DB"/>
    <w:rsid w:val="0034579B"/>
    <w:rsid w:val="00354474"/>
    <w:rsid w:val="00362A11"/>
    <w:rsid w:val="003959B2"/>
    <w:rsid w:val="003A40C1"/>
    <w:rsid w:val="003B47E7"/>
    <w:rsid w:val="003B5D3E"/>
    <w:rsid w:val="003C0D71"/>
    <w:rsid w:val="003C132C"/>
    <w:rsid w:val="003D3941"/>
    <w:rsid w:val="003E6CE9"/>
    <w:rsid w:val="003E7EFE"/>
    <w:rsid w:val="003F01B8"/>
    <w:rsid w:val="003F35FD"/>
    <w:rsid w:val="003F54D8"/>
    <w:rsid w:val="0040238C"/>
    <w:rsid w:val="00412D96"/>
    <w:rsid w:val="0041385B"/>
    <w:rsid w:val="00424882"/>
    <w:rsid w:val="0042646E"/>
    <w:rsid w:val="00437D10"/>
    <w:rsid w:val="00441BFA"/>
    <w:rsid w:val="00444101"/>
    <w:rsid w:val="004502AA"/>
    <w:rsid w:val="00454FBD"/>
    <w:rsid w:val="00463888"/>
    <w:rsid w:val="00482979"/>
    <w:rsid w:val="00491DFF"/>
    <w:rsid w:val="004A4FD1"/>
    <w:rsid w:val="004B69F4"/>
    <w:rsid w:val="004C383A"/>
    <w:rsid w:val="004C6675"/>
    <w:rsid w:val="004C6BC2"/>
    <w:rsid w:val="004D3411"/>
    <w:rsid w:val="004D69A6"/>
    <w:rsid w:val="004D7CD8"/>
    <w:rsid w:val="004D7D89"/>
    <w:rsid w:val="004E5068"/>
    <w:rsid w:val="004F7A00"/>
    <w:rsid w:val="00507B2E"/>
    <w:rsid w:val="00517287"/>
    <w:rsid w:val="005211CF"/>
    <w:rsid w:val="00523F48"/>
    <w:rsid w:val="00526543"/>
    <w:rsid w:val="005365FA"/>
    <w:rsid w:val="00542C3F"/>
    <w:rsid w:val="00543E56"/>
    <w:rsid w:val="00551512"/>
    <w:rsid w:val="005621F4"/>
    <w:rsid w:val="005671B4"/>
    <w:rsid w:val="005723CB"/>
    <w:rsid w:val="0057303D"/>
    <w:rsid w:val="00575400"/>
    <w:rsid w:val="00596665"/>
    <w:rsid w:val="005A060B"/>
    <w:rsid w:val="005A3ED9"/>
    <w:rsid w:val="005A4CD5"/>
    <w:rsid w:val="005B18AF"/>
    <w:rsid w:val="005B329D"/>
    <w:rsid w:val="005B7DDA"/>
    <w:rsid w:val="005D1A4A"/>
    <w:rsid w:val="005D51E9"/>
    <w:rsid w:val="005D5A50"/>
    <w:rsid w:val="005E2E07"/>
    <w:rsid w:val="005E61B9"/>
    <w:rsid w:val="005E7FE0"/>
    <w:rsid w:val="005F0237"/>
    <w:rsid w:val="005F5301"/>
    <w:rsid w:val="005F65B7"/>
    <w:rsid w:val="006067C7"/>
    <w:rsid w:val="0061197D"/>
    <w:rsid w:val="006159AD"/>
    <w:rsid w:val="0064125A"/>
    <w:rsid w:val="00646436"/>
    <w:rsid w:val="00646593"/>
    <w:rsid w:val="00652474"/>
    <w:rsid w:val="00664420"/>
    <w:rsid w:val="00680994"/>
    <w:rsid w:val="006A3961"/>
    <w:rsid w:val="006A646A"/>
    <w:rsid w:val="006B10B0"/>
    <w:rsid w:val="006D451D"/>
    <w:rsid w:val="006E0BED"/>
    <w:rsid w:val="006E25BC"/>
    <w:rsid w:val="006E6BBC"/>
    <w:rsid w:val="006F1FEE"/>
    <w:rsid w:val="006F7768"/>
    <w:rsid w:val="007038F7"/>
    <w:rsid w:val="00703EED"/>
    <w:rsid w:val="00704C76"/>
    <w:rsid w:val="00717E59"/>
    <w:rsid w:val="00720857"/>
    <w:rsid w:val="00724762"/>
    <w:rsid w:val="0072571E"/>
    <w:rsid w:val="00752412"/>
    <w:rsid w:val="00775BFC"/>
    <w:rsid w:val="007803DA"/>
    <w:rsid w:val="00781217"/>
    <w:rsid w:val="007A3459"/>
    <w:rsid w:val="007A381A"/>
    <w:rsid w:val="007B4355"/>
    <w:rsid w:val="007B49FA"/>
    <w:rsid w:val="007B6074"/>
    <w:rsid w:val="007B763C"/>
    <w:rsid w:val="007C65D0"/>
    <w:rsid w:val="007D1C55"/>
    <w:rsid w:val="007D317F"/>
    <w:rsid w:val="007D7135"/>
    <w:rsid w:val="007E02CE"/>
    <w:rsid w:val="007E10BB"/>
    <w:rsid w:val="007F032D"/>
    <w:rsid w:val="007F4A35"/>
    <w:rsid w:val="007F5D06"/>
    <w:rsid w:val="00804A94"/>
    <w:rsid w:val="00805A6E"/>
    <w:rsid w:val="00841A69"/>
    <w:rsid w:val="008476AD"/>
    <w:rsid w:val="00852628"/>
    <w:rsid w:val="00862D50"/>
    <w:rsid w:val="00865CF4"/>
    <w:rsid w:val="00871A57"/>
    <w:rsid w:val="00875996"/>
    <w:rsid w:val="00876DBC"/>
    <w:rsid w:val="00891B79"/>
    <w:rsid w:val="008A6003"/>
    <w:rsid w:val="008A6F88"/>
    <w:rsid w:val="008B1E16"/>
    <w:rsid w:val="008B54A7"/>
    <w:rsid w:val="008C1676"/>
    <w:rsid w:val="008C51A1"/>
    <w:rsid w:val="008E0766"/>
    <w:rsid w:val="008E0778"/>
    <w:rsid w:val="008E1316"/>
    <w:rsid w:val="008E17B8"/>
    <w:rsid w:val="008F1DB1"/>
    <w:rsid w:val="008F595C"/>
    <w:rsid w:val="00910FD2"/>
    <w:rsid w:val="00911907"/>
    <w:rsid w:val="00913FF3"/>
    <w:rsid w:val="00926880"/>
    <w:rsid w:val="00930CF8"/>
    <w:rsid w:val="00931437"/>
    <w:rsid w:val="0093350B"/>
    <w:rsid w:val="00947134"/>
    <w:rsid w:val="00953430"/>
    <w:rsid w:val="00955190"/>
    <w:rsid w:val="00970E07"/>
    <w:rsid w:val="00970EB3"/>
    <w:rsid w:val="00972ECA"/>
    <w:rsid w:val="009766AA"/>
    <w:rsid w:val="00977152"/>
    <w:rsid w:val="00980BB8"/>
    <w:rsid w:val="0098599B"/>
    <w:rsid w:val="00986D2B"/>
    <w:rsid w:val="009A03B4"/>
    <w:rsid w:val="009A2D78"/>
    <w:rsid w:val="009A4E20"/>
    <w:rsid w:val="009A7C10"/>
    <w:rsid w:val="009B2945"/>
    <w:rsid w:val="009C4F06"/>
    <w:rsid w:val="009D38CA"/>
    <w:rsid w:val="009D47ED"/>
    <w:rsid w:val="009E2DEE"/>
    <w:rsid w:val="009F2D06"/>
    <w:rsid w:val="009F797C"/>
    <w:rsid w:val="00A11569"/>
    <w:rsid w:val="00A131AC"/>
    <w:rsid w:val="00A1333F"/>
    <w:rsid w:val="00A1405A"/>
    <w:rsid w:val="00A16D85"/>
    <w:rsid w:val="00A17071"/>
    <w:rsid w:val="00A21A20"/>
    <w:rsid w:val="00A21FF1"/>
    <w:rsid w:val="00A32231"/>
    <w:rsid w:val="00A36A99"/>
    <w:rsid w:val="00A45F98"/>
    <w:rsid w:val="00A53315"/>
    <w:rsid w:val="00A57230"/>
    <w:rsid w:val="00A61853"/>
    <w:rsid w:val="00A70EF0"/>
    <w:rsid w:val="00A7290A"/>
    <w:rsid w:val="00A73ACA"/>
    <w:rsid w:val="00A84BB5"/>
    <w:rsid w:val="00A9208D"/>
    <w:rsid w:val="00A94088"/>
    <w:rsid w:val="00AA27F9"/>
    <w:rsid w:val="00AA6EA9"/>
    <w:rsid w:val="00AC2DB8"/>
    <w:rsid w:val="00AC3CA0"/>
    <w:rsid w:val="00AC5873"/>
    <w:rsid w:val="00AD1D93"/>
    <w:rsid w:val="00AD5B02"/>
    <w:rsid w:val="00AE3DA7"/>
    <w:rsid w:val="00AE73F0"/>
    <w:rsid w:val="00AF03C4"/>
    <w:rsid w:val="00AF48AA"/>
    <w:rsid w:val="00AF7207"/>
    <w:rsid w:val="00B22A80"/>
    <w:rsid w:val="00B22EAC"/>
    <w:rsid w:val="00B328F3"/>
    <w:rsid w:val="00B35E28"/>
    <w:rsid w:val="00B42ED1"/>
    <w:rsid w:val="00B75C74"/>
    <w:rsid w:val="00B813E4"/>
    <w:rsid w:val="00B82493"/>
    <w:rsid w:val="00B83213"/>
    <w:rsid w:val="00BA3C86"/>
    <w:rsid w:val="00BA55A8"/>
    <w:rsid w:val="00BB1A35"/>
    <w:rsid w:val="00BB2ABF"/>
    <w:rsid w:val="00BB64F4"/>
    <w:rsid w:val="00BB7F6C"/>
    <w:rsid w:val="00BC130F"/>
    <w:rsid w:val="00BC5BB6"/>
    <w:rsid w:val="00BC5BF6"/>
    <w:rsid w:val="00BC791A"/>
    <w:rsid w:val="00BD3F4F"/>
    <w:rsid w:val="00BD5A7C"/>
    <w:rsid w:val="00BD7500"/>
    <w:rsid w:val="00BD792E"/>
    <w:rsid w:val="00BE7A1B"/>
    <w:rsid w:val="00BF0221"/>
    <w:rsid w:val="00BF091A"/>
    <w:rsid w:val="00BF4EAD"/>
    <w:rsid w:val="00C02465"/>
    <w:rsid w:val="00C049E2"/>
    <w:rsid w:val="00C0510E"/>
    <w:rsid w:val="00C05CDC"/>
    <w:rsid w:val="00C05DAD"/>
    <w:rsid w:val="00C10275"/>
    <w:rsid w:val="00C10F9B"/>
    <w:rsid w:val="00C12EB7"/>
    <w:rsid w:val="00C158A8"/>
    <w:rsid w:val="00C20A30"/>
    <w:rsid w:val="00C20A78"/>
    <w:rsid w:val="00C2631E"/>
    <w:rsid w:val="00C3649E"/>
    <w:rsid w:val="00C36795"/>
    <w:rsid w:val="00C43BC1"/>
    <w:rsid w:val="00C4421E"/>
    <w:rsid w:val="00C461EC"/>
    <w:rsid w:val="00C507D4"/>
    <w:rsid w:val="00C71CEF"/>
    <w:rsid w:val="00C72DAA"/>
    <w:rsid w:val="00C73E2C"/>
    <w:rsid w:val="00C80B14"/>
    <w:rsid w:val="00C858ED"/>
    <w:rsid w:val="00C95D0A"/>
    <w:rsid w:val="00CA0416"/>
    <w:rsid w:val="00CA1D08"/>
    <w:rsid w:val="00CB14D8"/>
    <w:rsid w:val="00CB7E9A"/>
    <w:rsid w:val="00CC761E"/>
    <w:rsid w:val="00CD0B92"/>
    <w:rsid w:val="00CE29D3"/>
    <w:rsid w:val="00CF2D8B"/>
    <w:rsid w:val="00CF7586"/>
    <w:rsid w:val="00D036D3"/>
    <w:rsid w:val="00D13408"/>
    <w:rsid w:val="00D138E1"/>
    <w:rsid w:val="00D20E78"/>
    <w:rsid w:val="00D2790D"/>
    <w:rsid w:val="00D455DE"/>
    <w:rsid w:val="00D51ECD"/>
    <w:rsid w:val="00D6170E"/>
    <w:rsid w:val="00D67166"/>
    <w:rsid w:val="00D7596A"/>
    <w:rsid w:val="00D76084"/>
    <w:rsid w:val="00D76152"/>
    <w:rsid w:val="00D91CB4"/>
    <w:rsid w:val="00DB1C09"/>
    <w:rsid w:val="00DB6004"/>
    <w:rsid w:val="00DC0B76"/>
    <w:rsid w:val="00DC6F7D"/>
    <w:rsid w:val="00DD1221"/>
    <w:rsid w:val="00DD3012"/>
    <w:rsid w:val="00DE1133"/>
    <w:rsid w:val="00DF4258"/>
    <w:rsid w:val="00E01754"/>
    <w:rsid w:val="00E07263"/>
    <w:rsid w:val="00E16BF5"/>
    <w:rsid w:val="00E220C2"/>
    <w:rsid w:val="00E35C0F"/>
    <w:rsid w:val="00E37A3F"/>
    <w:rsid w:val="00E37D3C"/>
    <w:rsid w:val="00E62E6A"/>
    <w:rsid w:val="00E6475E"/>
    <w:rsid w:val="00E71D5E"/>
    <w:rsid w:val="00E83EF5"/>
    <w:rsid w:val="00E9335C"/>
    <w:rsid w:val="00EA361F"/>
    <w:rsid w:val="00EB262C"/>
    <w:rsid w:val="00EB6157"/>
    <w:rsid w:val="00ED1C1E"/>
    <w:rsid w:val="00ED2ED2"/>
    <w:rsid w:val="00ED4C1D"/>
    <w:rsid w:val="00ED6786"/>
    <w:rsid w:val="00ED6CBD"/>
    <w:rsid w:val="00EE0DBB"/>
    <w:rsid w:val="00EE1C5D"/>
    <w:rsid w:val="00EE2AF2"/>
    <w:rsid w:val="00EE7417"/>
    <w:rsid w:val="00EF16D7"/>
    <w:rsid w:val="00F07EE6"/>
    <w:rsid w:val="00F130F4"/>
    <w:rsid w:val="00F33426"/>
    <w:rsid w:val="00F33CC8"/>
    <w:rsid w:val="00F4481C"/>
    <w:rsid w:val="00F51A4F"/>
    <w:rsid w:val="00F5313F"/>
    <w:rsid w:val="00F701EF"/>
    <w:rsid w:val="00F75D23"/>
    <w:rsid w:val="00F90936"/>
    <w:rsid w:val="00F9111A"/>
    <w:rsid w:val="00FA3644"/>
    <w:rsid w:val="00FA5957"/>
    <w:rsid w:val="00FC0F67"/>
    <w:rsid w:val="00FC23B8"/>
    <w:rsid w:val="00FC24D4"/>
    <w:rsid w:val="00FC3CE0"/>
    <w:rsid w:val="00FC3FCC"/>
    <w:rsid w:val="00FD06A8"/>
    <w:rsid w:val="00FD1DDB"/>
    <w:rsid w:val="00FE181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61197D"/>
    <w:pPr>
      <w:spacing w:line="240" w:lineRule="auto"/>
    </w:pPr>
    <w:rPr>
      <w:sz w:val="20"/>
    </w:rPr>
  </w:style>
  <w:style w:type="character" w:customStyle="1" w:styleId="TextonotapieCar">
    <w:name w:val="Texto nota pie Car"/>
    <w:basedOn w:val="Fuentedeprrafopredeter"/>
    <w:link w:val="Textonotapie"/>
    <w:uiPriority w:val="99"/>
    <w:semiHidden/>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76b08bab-a17d-419c-8fa8-b7b9c3c33fde"/>
    <ds:schemaRef ds:uri="http://purl.org/dc/terms/"/>
  </ds:schemaRefs>
</ds:datastoreItem>
</file>

<file path=customXml/itemProps4.xml><?xml version="1.0" encoding="utf-8"?>
<ds:datastoreItem xmlns:ds="http://schemas.openxmlformats.org/officeDocument/2006/customXml" ds:itemID="{9C4273C8-1C0A-40EC-8CC2-B02949FC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10144</Words>
  <Characters>55792</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2024-10-07T17:46:00Z</cp:lastPrinted>
  <dcterms:created xsi:type="dcterms:W3CDTF">2024-10-02T20:32:00Z</dcterms:created>
  <dcterms:modified xsi:type="dcterms:W3CDTF">2024-10-07T17:54:00Z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