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22E39092" w:rsidR="00AE3DA7" w:rsidRPr="00A50CCF" w:rsidRDefault="00AE3DA7" w:rsidP="00404336">
          <w:pPr>
            <w:pStyle w:val="TtulodeTDC"/>
            <w:spacing w:before="0" w:line="360" w:lineRule="auto"/>
            <w:rPr>
              <w:rFonts w:ascii="Palatino Linotype" w:hAnsi="Palatino Linotype"/>
              <w:color w:val="auto"/>
              <w:sz w:val="24"/>
              <w:szCs w:val="24"/>
              <w:lang w:val="es-ES"/>
            </w:rPr>
          </w:pPr>
          <w:r w:rsidRPr="00A50CCF">
            <w:rPr>
              <w:rFonts w:ascii="Palatino Linotype" w:hAnsi="Palatino Linotype"/>
              <w:color w:val="auto"/>
              <w:sz w:val="24"/>
              <w:szCs w:val="24"/>
              <w:lang w:val="es-ES"/>
            </w:rPr>
            <w:t>Contenido</w:t>
          </w:r>
          <w:r w:rsidR="00B9452E" w:rsidRPr="00A50CCF">
            <w:rPr>
              <w:rFonts w:ascii="Palatino Linotype" w:hAnsi="Palatino Linotype"/>
              <w:color w:val="auto"/>
              <w:sz w:val="24"/>
              <w:szCs w:val="24"/>
              <w:lang w:val="es-ES"/>
            </w:rPr>
            <w:tab/>
          </w:r>
        </w:p>
        <w:p w14:paraId="3A5E2B8C" w14:textId="77777777" w:rsidR="00065341" w:rsidRPr="00A50CCF" w:rsidRDefault="00AE3DA7">
          <w:pPr>
            <w:pStyle w:val="TDC1"/>
            <w:tabs>
              <w:tab w:val="right" w:leader="dot" w:pos="9034"/>
            </w:tabs>
            <w:rPr>
              <w:rFonts w:asciiTheme="minorHAnsi" w:eastAsiaTheme="minorEastAsia" w:hAnsiTheme="minorHAnsi" w:cstheme="minorBidi"/>
              <w:noProof/>
              <w:szCs w:val="22"/>
              <w:lang w:eastAsia="es-MX"/>
            </w:rPr>
          </w:pPr>
          <w:r w:rsidRPr="00A50CCF">
            <w:rPr>
              <w:sz w:val="16"/>
              <w:szCs w:val="16"/>
            </w:rPr>
            <w:fldChar w:fldCharType="begin"/>
          </w:r>
          <w:r w:rsidRPr="00A50CCF">
            <w:rPr>
              <w:sz w:val="16"/>
              <w:szCs w:val="16"/>
            </w:rPr>
            <w:instrText xml:space="preserve"> TOC \o "1-3" \h \z \u </w:instrText>
          </w:r>
          <w:r w:rsidRPr="00A50CCF">
            <w:rPr>
              <w:sz w:val="16"/>
              <w:szCs w:val="16"/>
            </w:rPr>
            <w:fldChar w:fldCharType="separate"/>
          </w:r>
          <w:hyperlink w:anchor="_Toc175217709" w:history="1">
            <w:r w:rsidR="00065341" w:rsidRPr="00A50CCF">
              <w:rPr>
                <w:rStyle w:val="Hipervnculo"/>
                <w:noProof/>
                <w:color w:val="auto"/>
              </w:rPr>
              <w:t>ANTECEDENTES</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_Toc175217709 \h </w:instrText>
            </w:r>
            <w:r w:rsidR="00065341" w:rsidRPr="00A50CCF">
              <w:rPr>
                <w:noProof/>
                <w:webHidden/>
              </w:rPr>
            </w:r>
            <w:r w:rsidR="00065341" w:rsidRPr="00A50CCF">
              <w:rPr>
                <w:noProof/>
                <w:webHidden/>
              </w:rPr>
              <w:fldChar w:fldCharType="separate"/>
            </w:r>
            <w:r w:rsidR="004C0B6A">
              <w:rPr>
                <w:noProof/>
                <w:webHidden/>
              </w:rPr>
              <w:t>1</w:t>
            </w:r>
            <w:r w:rsidR="00065341" w:rsidRPr="00A50CCF">
              <w:rPr>
                <w:noProof/>
                <w:webHidden/>
              </w:rPr>
              <w:fldChar w:fldCharType="end"/>
            </w:r>
          </w:hyperlink>
        </w:p>
        <w:p w14:paraId="49B97785" w14:textId="77777777" w:rsidR="00065341" w:rsidRPr="00A50CCF" w:rsidRDefault="004B64D9">
          <w:pPr>
            <w:pStyle w:val="TDC2"/>
            <w:rPr>
              <w:rFonts w:asciiTheme="minorHAnsi" w:eastAsiaTheme="minorEastAsia" w:hAnsiTheme="minorHAnsi" w:cstheme="minorBidi"/>
              <w:noProof/>
              <w:szCs w:val="22"/>
              <w:lang w:eastAsia="es-MX"/>
            </w:rPr>
          </w:pPr>
          <w:hyperlink w:anchor="_Toc175217710" w:history="1">
            <w:r w:rsidR="00065341" w:rsidRPr="00A50CCF">
              <w:rPr>
                <w:rStyle w:val="Hipervnculo"/>
                <w:noProof/>
                <w:color w:val="auto"/>
              </w:rPr>
              <w:t>DE LA SOLICITUD DE INFORMACIÓN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_Toc175217710 \h </w:instrText>
            </w:r>
            <w:r w:rsidR="00065341" w:rsidRPr="00A50CCF">
              <w:rPr>
                <w:noProof/>
                <w:webHidden/>
              </w:rPr>
            </w:r>
            <w:r w:rsidR="00065341" w:rsidRPr="00A50CCF">
              <w:rPr>
                <w:noProof/>
                <w:webHidden/>
              </w:rPr>
              <w:fldChar w:fldCharType="separate"/>
            </w:r>
            <w:r w:rsidR="004C0B6A">
              <w:rPr>
                <w:noProof/>
                <w:webHidden/>
              </w:rPr>
              <w:t>1</w:t>
            </w:r>
            <w:r w:rsidR="00065341" w:rsidRPr="00A50CCF">
              <w:rPr>
                <w:noProof/>
                <w:webHidden/>
              </w:rPr>
              <w:fldChar w:fldCharType="end"/>
            </w:r>
          </w:hyperlink>
        </w:p>
        <w:p w14:paraId="6B2B051A" w14:textId="77777777" w:rsidR="00065341" w:rsidRPr="00A50CCF" w:rsidRDefault="004B64D9">
          <w:pPr>
            <w:pStyle w:val="TDC3"/>
            <w:rPr>
              <w:rFonts w:asciiTheme="minorHAnsi" w:eastAsiaTheme="minorEastAsia" w:hAnsiTheme="minorHAnsi" w:cstheme="minorBidi"/>
              <w:noProof/>
              <w:szCs w:val="22"/>
              <w:lang w:eastAsia="es-MX"/>
            </w:rPr>
          </w:pPr>
          <w:hyperlink w:anchor="_Toc175217711" w:history="1">
            <w:r w:rsidR="00065341" w:rsidRPr="00A50CCF">
              <w:rPr>
                <w:rStyle w:val="Hipervnculo"/>
                <w:noProof/>
                <w:color w:val="auto"/>
              </w:rPr>
              <w:t>a) Solicitud de información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_Toc175217711 \h </w:instrText>
            </w:r>
            <w:r w:rsidR="00065341" w:rsidRPr="00A50CCF">
              <w:rPr>
                <w:noProof/>
                <w:webHidden/>
              </w:rPr>
            </w:r>
            <w:r w:rsidR="00065341" w:rsidRPr="00A50CCF">
              <w:rPr>
                <w:noProof/>
                <w:webHidden/>
              </w:rPr>
              <w:fldChar w:fldCharType="separate"/>
            </w:r>
            <w:r w:rsidR="004C0B6A">
              <w:rPr>
                <w:noProof/>
                <w:webHidden/>
              </w:rPr>
              <w:t>1</w:t>
            </w:r>
            <w:r w:rsidR="00065341" w:rsidRPr="00A50CCF">
              <w:rPr>
                <w:noProof/>
                <w:webHidden/>
              </w:rPr>
              <w:fldChar w:fldCharType="end"/>
            </w:r>
          </w:hyperlink>
        </w:p>
        <w:p w14:paraId="6C6FA3D7" w14:textId="77777777" w:rsidR="00065341" w:rsidRPr="00A50CCF" w:rsidRDefault="004B64D9">
          <w:pPr>
            <w:pStyle w:val="TDC3"/>
            <w:rPr>
              <w:rFonts w:asciiTheme="minorHAnsi" w:eastAsiaTheme="minorEastAsia" w:hAnsiTheme="minorHAnsi" w:cstheme="minorBidi"/>
              <w:noProof/>
              <w:szCs w:val="22"/>
              <w:lang w:eastAsia="es-MX"/>
            </w:rPr>
          </w:pPr>
          <w:hyperlink w:anchor="_Toc175217712" w:history="1">
            <w:r w:rsidR="00065341" w:rsidRPr="00A50CCF">
              <w:rPr>
                <w:rStyle w:val="Hipervnculo"/>
                <w:noProof/>
                <w:color w:val="auto"/>
              </w:rPr>
              <w:t>b) Turno de la solicitud de información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_Toc175217712 \h </w:instrText>
            </w:r>
            <w:r w:rsidR="00065341" w:rsidRPr="00A50CCF">
              <w:rPr>
                <w:noProof/>
                <w:webHidden/>
              </w:rPr>
            </w:r>
            <w:r w:rsidR="00065341" w:rsidRPr="00A50CCF">
              <w:rPr>
                <w:noProof/>
                <w:webHidden/>
              </w:rPr>
              <w:fldChar w:fldCharType="separate"/>
            </w:r>
            <w:r w:rsidR="004C0B6A">
              <w:rPr>
                <w:noProof/>
                <w:webHidden/>
              </w:rPr>
              <w:t>2</w:t>
            </w:r>
            <w:r w:rsidR="00065341" w:rsidRPr="00A50CCF">
              <w:rPr>
                <w:noProof/>
                <w:webHidden/>
              </w:rPr>
              <w:fldChar w:fldCharType="end"/>
            </w:r>
          </w:hyperlink>
        </w:p>
        <w:p w14:paraId="11ED5071" w14:textId="77777777" w:rsidR="00065341" w:rsidRPr="00A50CCF" w:rsidRDefault="004B64D9">
          <w:pPr>
            <w:pStyle w:val="TDC3"/>
            <w:rPr>
              <w:rFonts w:asciiTheme="minorHAnsi" w:eastAsiaTheme="minorEastAsia" w:hAnsiTheme="minorHAnsi" w:cstheme="minorBidi"/>
              <w:noProof/>
              <w:szCs w:val="22"/>
              <w:lang w:eastAsia="es-MX"/>
            </w:rPr>
          </w:pPr>
          <w:hyperlink w:anchor="_Toc175217713" w:history="1">
            <w:r w:rsidR="00065341" w:rsidRPr="00A50CCF">
              <w:rPr>
                <w:rStyle w:val="Hipervnculo"/>
                <w:noProof/>
                <w:color w:val="auto"/>
                <w:lang w:val="es-ES"/>
              </w:rPr>
              <w:t xml:space="preserve">c) Respuesta </w:t>
            </w:r>
            <w:r w:rsidR="00065341" w:rsidRPr="00A50CCF">
              <w:rPr>
                <w:rStyle w:val="Hipervnculo"/>
                <w:rFonts w:eastAsia="Calibri"/>
                <w:noProof/>
                <w:color w:val="auto"/>
                <w:lang w:eastAsia="en-US"/>
              </w:rPr>
              <w:t>del Sujeto Obligado</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_Toc175217713 \h </w:instrText>
            </w:r>
            <w:r w:rsidR="00065341" w:rsidRPr="00A50CCF">
              <w:rPr>
                <w:noProof/>
                <w:webHidden/>
              </w:rPr>
            </w:r>
            <w:r w:rsidR="00065341" w:rsidRPr="00A50CCF">
              <w:rPr>
                <w:noProof/>
                <w:webHidden/>
              </w:rPr>
              <w:fldChar w:fldCharType="separate"/>
            </w:r>
            <w:r w:rsidR="004C0B6A">
              <w:rPr>
                <w:noProof/>
                <w:webHidden/>
              </w:rPr>
              <w:t>2</w:t>
            </w:r>
            <w:r w:rsidR="00065341" w:rsidRPr="00A50CCF">
              <w:rPr>
                <w:noProof/>
                <w:webHidden/>
              </w:rPr>
              <w:fldChar w:fldCharType="end"/>
            </w:r>
          </w:hyperlink>
        </w:p>
        <w:p w14:paraId="5833B0BA" w14:textId="77777777" w:rsidR="00065341" w:rsidRPr="00A50CCF" w:rsidRDefault="004B64D9">
          <w:pPr>
            <w:pStyle w:val="TDC2"/>
            <w:rPr>
              <w:rFonts w:asciiTheme="minorHAnsi" w:eastAsiaTheme="minorEastAsia" w:hAnsiTheme="minorHAnsi" w:cstheme="minorBidi"/>
              <w:noProof/>
              <w:szCs w:val="22"/>
              <w:lang w:eastAsia="es-MX"/>
            </w:rPr>
          </w:pPr>
          <w:hyperlink w:anchor="_Toc175217714" w:history="1">
            <w:r w:rsidR="00065341" w:rsidRPr="00A50CCF">
              <w:rPr>
                <w:rStyle w:val="Hipervnculo"/>
                <w:noProof/>
                <w:color w:val="auto"/>
              </w:rPr>
              <w:t>DEL RECURSO DE REVISIÓN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_Toc175217714 \h </w:instrText>
            </w:r>
            <w:r w:rsidR="00065341" w:rsidRPr="00A50CCF">
              <w:rPr>
                <w:noProof/>
                <w:webHidden/>
              </w:rPr>
            </w:r>
            <w:r w:rsidR="00065341" w:rsidRPr="00A50CCF">
              <w:rPr>
                <w:noProof/>
                <w:webHidden/>
              </w:rPr>
              <w:fldChar w:fldCharType="separate"/>
            </w:r>
            <w:r w:rsidR="004C0B6A">
              <w:rPr>
                <w:noProof/>
                <w:webHidden/>
              </w:rPr>
              <w:t>2</w:t>
            </w:r>
            <w:r w:rsidR="00065341" w:rsidRPr="00A50CCF">
              <w:rPr>
                <w:noProof/>
                <w:webHidden/>
              </w:rPr>
              <w:fldChar w:fldCharType="end"/>
            </w:r>
          </w:hyperlink>
        </w:p>
        <w:p w14:paraId="520FB9D1" w14:textId="77777777" w:rsidR="00065341" w:rsidRPr="00A50CCF" w:rsidRDefault="004B64D9">
          <w:pPr>
            <w:pStyle w:val="TDC3"/>
            <w:rPr>
              <w:rFonts w:asciiTheme="minorHAnsi" w:eastAsiaTheme="minorEastAsia" w:hAnsiTheme="minorHAnsi" w:cstheme="minorBidi"/>
              <w:noProof/>
              <w:szCs w:val="22"/>
              <w:lang w:eastAsia="es-MX"/>
            </w:rPr>
          </w:pPr>
          <w:hyperlink w:anchor="_Toc175217715" w:history="1">
            <w:r w:rsidR="00065341" w:rsidRPr="00A50CCF">
              <w:rPr>
                <w:rStyle w:val="Hipervnculo"/>
                <w:noProof/>
                <w:color w:val="auto"/>
              </w:rPr>
              <w:t>a) Interposición del Recurso de Revisión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_Toc175217715 \h </w:instrText>
            </w:r>
            <w:r w:rsidR="00065341" w:rsidRPr="00A50CCF">
              <w:rPr>
                <w:noProof/>
                <w:webHidden/>
              </w:rPr>
            </w:r>
            <w:r w:rsidR="00065341" w:rsidRPr="00A50CCF">
              <w:rPr>
                <w:noProof/>
                <w:webHidden/>
              </w:rPr>
              <w:fldChar w:fldCharType="separate"/>
            </w:r>
            <w:r w:rsidR="004C0B6A">
              <w:rPr>
                <w:noProof/>
                <w:webHidden/>
              </w:rPr>
              <w:t>2</w:t>
            </w:r>
            <w:r w:rsidR="00065341" w:rsidRPr="00A50CCF">
              <w:rPr>
                <w:noProof/>
                <w:webHidden/>
              </w:rPr>
              <w:fldChar w:fldCharType="end"/>
            </w:r>
          </w:hyperlink>
        </w:p>
        <w:p w14:paraId="4058767F" w14:textId="77777777" w:rsidR="00065341" w:rsidRPr="00A50CCF" w:rsidRDefault="004B64D9">
          <w:pPr>
            <w:pStyle w:val="TDC3"/>
            <w:rPr>
              <w:rFonts w:asciiTheme="minorHAnsi" w:eastAsiaTheme="minorEastAsia" w:hAnsiTheme="minorHAnsi" w:cstheme="minorBidi"/>
              <w:noProof/>
              <w:szCs w:val="22"/>
              <w:lang w:eastAsia="es-MX"/>
            </w:rPr>
          </w:pPr>
          <w:hyperlink w:anchor="_Toc175217716" w:history="1">
            <w:r w:rsidR="00065341" w:rsidRPr="00A50CCF">
              <w:rPr>
                <w:rStyle w:val="Hipervnculo"/>
                <w:noProof/>
                <w:color w:val="auto"/>
              </w:rPr>
              <w:t>b) Turno del Recurso de Revisión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_Toc175217716 \h </w:instrText>
            </w:r>
            <w:r w:rsidR="00065341" w:rsidRPr="00A50CCF">
              <w:rPr>
                <w:noProof/>
                <w:webHidden/>
              </w:rPr>
            </w:r>
            <w:r w:rsidR="00065341" w:rsidRPr="00A50CCF">
              <w:rPr>
                <w:noProof/>
                <w:webHidden/>
              </w:rPr>
              <w:fldChar w:fldCharType="separate"/>
            </w:r>
            <w:r w:rsidR="004C0B6A">
              <w:rPr>
                <w:noProof/>
                <w:webHidden/>
              </w:rPr>
              <w:t>3</w:t>
            </w:r>
            <w:r w:rsidR="00065341" w:rsidRPr="00A50CCF">
              <w:rPr>
                <w:noProof/>
                <w:webHidden/>
              </w:rPr>
              <w:fldChar w:fldCharType="end"/>
            </w:r>
          </w:hyperlink>
        </w:p>
        <w:p w14:paraId="1CC6AB5F" w14:textId="77777777" w:rsidR="00065341" w:rsidRPr="00A50CCF" w:rsidRDefault="004B64D9">
          <w:pPr>
            <w:pStyle w:val="TDC3"/>
            <w:rPr>
              <w:rFonts w:asciiTheme="minorHAnsi" w:eastAsiaTheme="minorEastAsia" w:hAnsiTheme="minorHAnsi" w:cstheme="minorBidi"/>
              <w:noProof/>
              <w:szCs w:val="22"/>
              <w:lang w:eastAsia="es-MX"/>
            </w:rPr>
          </w:pPr>
          <w:hyperlink w:anchor="_Toc175217717" w:history="1">
            <w:r w:rsidR="00065341" w:rsidRPr="00A50CCF">
              <w:rPr>
                <w:rStyle w:val="Hipervnculo"/>
                <w:noProof/>
                <w:color w:val="auto"/>
              </w:rPr>
              <w:t>c) Admisión del Recurso de Revisión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_Toc175217717 \h </w:instrText>
            </w:r>
            <w:r w:rsidR="00065341" w:rsidRPr="00A50CCF">
              <w:rPr>
                <w:noProof/>
                <w:webHidden/>
              </w:rPr>
            </w:r>
            <w:r w:rsidR="00065341" w:rsidRPr="00A50CCF">
              <w:rPr>
                <w:noProof/>
                <w:webHidden/>
              </w:rPr>
              <w:fldChar w:fldCharType="separate"/>
            </w:r>
            <w:r w:rsidR="004C0B6A">
              <w:rPr>
                <w:noProof/>
                <w:webHidden/>
              </w:rPr>
              <w:t>3</w:t>
            </w:r>
            <w:r w:rsidR="00065341" w:rsidRPr="00A50CCF">
              <w:rPr>
                <w:noProof/>
                <w:webHidden/>
              </w:rPr>
              <w:fldChar w:fldCharType="end"/>
            </w:r>
          </w:hyperlink>
        </w:p>
        <w:p w14:paraId="0CA92F0F" w14:textId="77777777" w:rsidR="00065341" w:rsidRPr="00A50CCF" w:rsidRDefault="004B64D9">
          <w:pPr>
            <w:pStyle w:val="TDC3"/>
            <w:rPr>
              <w:rFonts w:asciiTheme="minorHAnsi" w:eastAsiaTheme="minorEastAsia" w:hAnsiTheme="minorHAnsi" w:cstheme="minorBidi"/>
              <w:noProof/>
              <w:szCs w:val="22"/>
              <w:lang w:eastAsia="es-MX"/>
            </w:rPr>
          </w:pPr>
          <w:hyperlink w:anchor="_Toc175217718" w:history="1">
            <w:r w:rsidR="00065341" w:rsidRPr="00A50CCF">
              <w:rPr>
                <w:rStyle w:val="Hipervnculo"/>
                <w:noProof/>
                <w:color w:val="auto"/>
              </w:rPr>
              <w:t>d) Informe Justificado del Sujeto Obligado</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_Toc175217718 \h </w:instrText>
            </w:r>
            <w:r w:rsidR="00065341" w:rsidRPr="00A50CCF">
              <w:rPr>
                <w:noProof/>
                <w:webHidden/>
              </w:rPr>
            </w:r>
            <w:r w:rsidR="00065341" w:rsidRPr="00A50CCF">
              <w:rPr>
                <w:noProof/>
                <w:webHidden/>
              </w:rPr>
              <w:fldChar w:fldCharType="separate"/>
            </w:r>
            <w:r w:rsidR="004C0B6A">
              <w:rPr>
                <w:noProof/>
                <w:webHidden/>
              </w:rPr>
              <w:t>3</w:t>
            </w:r>
            <w:r w:rsidR="00065341" w:rsidRPr="00A50CCF">
              <w:rPr>
                <w:noProof/>
                <w:webHidden/>
              </w:rPr>
              <w:fldChar w:fldCharType="end"/>
            </w:r>
          </w:hyperlink>
        </w:p>
        <w:p w14:paraId="517F1A3B" w14:textId="77777777" w:rsidR="00065341" w:rsidRPr="00A50CCF" w:rsidRDefault="004B64D9">
          <w:pPr>
            <w:pStyle w:val="TDC3"/>
            <w:rPr>
              <w:rFonts w:asciiTheme="minorHAnsi" w:eastAsiaTheme="minorEastAsia" w:hAnsiTheme="minorHAnsi" w:cstheme="minorBidi"/>
              <w:noProof/>
              <w:szCs w:val="22"/>
              <w:lang w:eastAsia="es-MX"/>
            </w:rPr>
          </w:pPr>
          <w:hyperlink w:anchor="_Toc175217719" w:history="1">
            <w:r w:rsidR="00065341" w:rsidRPr="00A50CCF">
              <w:rPr>
                <w:rStyle w:val="Hipervnculo"/>
                <w:rFonts w:eastAsia="Calibri"/>
                <w:bCs/>
                <w:noProof/>
                <w:color w:val="auto"/>
                <w:lang w:eastAsia="en-US"/>
              </w:rPr>
              <w:t>e)</w:t>
            </w:r>
            <w:r w:rsidR="00065341" w:rsidRPr="00A50CCF">
              <w:rPr>
                <w:rStyle w:val="Hipervnculo"/>
                <w:noProof/>
                <w:color w:val="auto"/>
              </w:rPr>
              <w:t xml:space="preserve"> </w:t>
            </w:r>
            <w:r w:rsidR="00065341" w:rsidRPr="00A50CCF">
              <w:rPr>
                <w:rStyle w:val="Hipervnculo"/>
                <w:noProof/>
                <w:color w:val="auto"/>
                <w:lang w:val="es-ES"/>
              </w:rPr>
              <w:t>Manifestaciones de la Parte Recurrente</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_Toc175217719 \h </w:instrText>
            </w:r>
            <w:r w:rsidR="00065341" w:rsidRPr="00A50CCF">
              <w:rPr>
                <w:noProof/>
                <w:webHidden/>
              </w:rPr>
            </w:r>
            <w:r w:rsidR="00065341" w:rsidRPr="00A50CCF">
              <w:rPr>
                <w:noProof/>
                <w:webHidden/>
              </w:rPr>
              <w:fldChar w:fldCharType="separate"/>
            </w:r>
            <w:r w:rsidR="004C0B6A">
              <w:rPr>
                <w:noProof/>
                <w:webHidden/>
              </w:rPr>
              <w:t>4</w:t>
            </w:r>
            <w:r w:rsidR="00065341" w:rsidRPr="00A50CCF">
              <w:rPr>
                <w:noProof/>
                <w:webHidden/>
              </w:rPr>
              <w:fldChar w:fldCharType="end"/>
            </w:r>
          </w:hyperlink>
        </w:p>
        <w:p w14:paraId="141E23BA" w14:textId="77777777" w:rsidR="00065341" w:rsidRPr="00A50CCF" w:rsidRDefault="004B64D9">
          <w:pPr>
            <w:pStyle w:val="TDC3"/>
            <w:rPr>
              <w:rFonts w:asciiTheme="minorHAnsi" w:eastAsiaTheme="minorEastAsia" w:hAnsiTheme="minorHAnsi" w:cstheme="minorBidi"/>
              <w:noProof/>
              <w:szCs w:val="22"/>
              <w:lang w:eastAsia="es-MX"/>
            </w:rPr>
          </w:pPr>
          <w:hyperlink w:anchor="_Toc175217720" w:history="1">
            <w:r w:rsidR="00065341" w:rsidRPr="00A50CCF">
              <w:rPr>
                <w:rStyle w:val="Hipervnculo"/>
                <w:rFonts w:eastAsia="Calibri"/>
                <w:noProof/>
                <w:color w:val="auto"/>
              </w:rPr>
              <w:t>f) Ampliación de plazo para resolver el Recurso de Revisión.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_Toc175217720 \h </w:instrText>
            </w:r>
            <w:r w:rsidR="00065341" w:rsidRPr="00A50CCF">
              <w:rPr>
                <w:noProof/>
                <w:webHidden/>
              </w:rPr>
            </w:r>
            <w:r w:rsidR="00065341" w:rsidRPr="00A50CCF">
              <w:rPr>
                <w:noProof/>
                <w:webHidden/>
              </w:rPr>
              <w:fldChar w:fldCharType="separate"/>
            </w:r>
            <w:r w:rsidR="004C0B6A">
              <w:rPr>
                <w:noProof/>
                <w:webHidden/>
              </w:rPr>
              <w:t>5</w:t>
            </w:r>
            <w:r w:rsidR="00065341" w:rsidRPr="00A50CCF">
              <w:rPr>
                <w:noProof/>
                <w:webHidden/>
              </w:rPr>
              <w:fldChar w:fldCharType="end"/>
            </w:r>
          </w:hyperlink>
        </w:p>
        <w:p w14:paraId="634D4553" w14:textId="77777777" w:rsidR="00065341" w:rsidRPr="00A50CCF" w:rsidRDefault="004B64D9">
          <w:pPr>
            <w:pStyle w:val="TDC3"/>
            <w:rPr>
              <w:rFonts w:asciiTheme="minorHAnsi" w:eastAsiaTheme="minorEastAsia" w:hAnsiTheme="minorHAnsi" w:cstheme="minorBidi"/>
              <w:noProof/>
              <w:szCs w:val="22"/>
              <w:lang w:eastAsia="es-MX"/>
            </w:rPr>
          </w:pPr>
          <w:hyperlink w:anchor="_Toc175217721" w:history="1">
            <w:r w:rsidR="00065341" w:rsidRPr="00A50CCF">
              <w:rPr>
                <w:rStyle w:val="Hipervnculo"/>
                <w:noProof/>
                <w:color w:val="auto"/>
              </w:rPr>
              <w:t>g) Cierre de instrucción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_Toc175217721 \h </w:instrText>
            </w:r>
            <w:r w:rsidR="00065341" w:rsidRPr="00A50CCF">
              <w:rPr>
                <w:noProof/>
                <w:webHidden/>
              </w:rPr>
            </w:r>
            <w:r w:rsidR="00065341" w:rsidRPr="00A50CCF">
              <w:rPr>
                <w:noProof/>
                <w:webHidden/>
              </w:rPr>
              <w:fldChar w:fldCharType="separate"/>
            </w:r>
            <w:r w:rsidR="004C0B6A">
              <w:rPr>
                <w:noProof/>
                <w:webHidden/>
              </w:rPr>
              <w:t>8</w:t>
            </w:r>
            <w:r w:rsidR="00065341" w:rsidRPr="00A50CCF">
              <w:rPr>
                <w:noProof/>
                <w:webHidden/>
              </w:rPr>
              <w:fldChar w:fldCharType="end"/>
            </w:r>
          </w:hyperlink>
        </w:p>
        <w:p w14:paraId="2669682E" w14:textId="77777777" w:rsidR="00065341" w:rsidRPr="00A50CCF" w:rsidRDefault="004B64D9">
          <w:pPr>
            <w:pStyle w:val="TDC1"/>
            <w:tabs>
              <w:tab w:val="right" w:leader="dot" w:pos="9034"/>
            </w:tabs>
            <w:rPr>
              <w:rFonts w:asciiTheme="minorHAnsi" w:eastAsiaTheme="minorEastAsia" w:hAnsiTheme="minorHAnsi" w:cstheme="minorBidi"/>
              <w:noProof/>
              <w:szCs w:val="22"/>
              <w:lang w:eastAsia="es-MX"/>
            </w:rPr>
          </w:pPr>
          <w:hyperlink w:anchor="_Toc175217722" w:history="1">
            <w:r w:rsidR="00065341" w:rsidRPr="00A50CCF">
              <w:rPr>
                <w:rStyle w:val="Hipervnculo"/>
                <w:rFonts w:eastAsiaTheme="minorHAnsi"/>
                <w:noProof/>
                <w:color w:val="auto"/>
                <w:lang w:eastAsia="en-US"/>
              </w:rPr>
              <w:t>CONSIDERANDOS</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_Toc175217722 \h </w:instrText>
            </w:r>
            <w:r w:rsidR="00065341" w:rsidRPr="00A50CCF">
              <w:rPr>
                <w:noProof/>
                <w:webHidden/>
              </w:rPr>
            </w:r>
            <w:r w:rsidR="00065341" w:rsidRPr="00A50CCF">
              <w:rPr>
                <w:noProof/>
                <w:webHidden/>
              </w:rPr>
              <w:fldChar w:fldCharType="separate"/>
            </w:r>
            <w:r w:rsidR="004C0B6A">
              <w:rPr>
                <w:noProof/>
                <w:webHidden/>
              </w:rPr>
              <w:t>8</w:t>
            </w:r>
            <w:r w:rsidR="00065341" w:rsidRPr="00A50CCF">
              <w:rPr>
                <w:noProof/>
                <w:webHidden/>
              </w:rPr>
              <w:fldChar w:fldCharType="end"/>
            </w:r>
          </w:hyperlink>
        </w:p>
        <w:p w14:paraId="34CE7D2F" w14:textId="77777777" w:rsidR="00065341" w:rsidRPr="00A50CCF" w:rsidRDefault="004B64D9">
          <w:pPr>
            <w:pStyle w:val="TDC2"/>
            <w:rPr>
              <w:rFonts w:asciiTheme="minorHAnsi" w:eastAsiaTheme="minorEastAsia" w:hAnsiTheme="minorHAnsi" w:cstheme="minorBidi"/>
              <w:noProof/>
              <w:szCs w:val="22"/>
              <w:lang w:eastAsia="es-MX"/>
            </w:rPr>
          </w:pPr>
          <w:hyperlink w:anchor="_Toc175217723" w:history="1">
            <w:r w:rsidR="00065341" w:rsidRPr="00A50CCF">
              <w:rPr>
                <w:rStyle w:val="Hipervnculo"/>
                <w:rFonts w:eastAsia="Batang"/>
                <w:noProof/>
                <w:color w:val="auto"/>
              </w:rPr>
              <w:t>PRIMERO. Procedibilidad</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_Toc175217723 \h </w:instrText>
            </w:r>
            <w:r w:rsidR="00065341" w:rsidRPr="00A50CCF">
              <w:rPr>
                <w:noProof/>
                <w:webHidden/>
              </w:rPr>
            </w:r>
            <w:r w:rsidR="00065341" w:rsidRPr="00A50CCF">
              <w:rPr>
                <w:noProof/>
                <w:webHidden/>
              </w:rPr>
              <w:fldChar w:fldCharType="separate"/>
            </w:r>
            <w:r w:rsidR="004C0B6A">
              <w:rPr>
                <w:noProof/>
                <w:webHidden/>
              </w:rPr>
              <w:t>8</w:t>
            </w:r>
            <w:r w:rsidR="00065341" w:rsidRPr="00A50CCF">
              <w:rPr>
                <w:noProof/>
                <w:webHidden/>
              </w:rPr>
              <w:fldChar w:fldCharType="end"/>
            </w:r>
          </w:hyperlink>
        </w:p>
        <w:p w14:paraId="70A5510F" w14:textId="77777777" w:rsidR="00065341" w:rsidRPr="00A50CCF" w:rsidRDefault="004B64D9">
          <w:pPr>
            <w:pStyle w:val="TDC3"/>
            <w:rPr>
              <w:rFonts w:asciiTheme="minorHAnsi" w:eastAsiaTheme="minorEastAsia" w:hAnsiTheme="minorHAnsi" w:cstheme="minorBidi"/>
              <w:noProof/>
              <w:szCs w:val="22"/>
              <w:lang w:eastAsia="es-MX"/>
            </w:rPr>
          </w:pPr>
          <w:hyperlink w:anchor="_Toc175217724" w:history="1">
            <w:r w:rsidR="00065341" w:rsidRPr="00A50CCF">
              <w:rPr>
                <w:rStyle w:val="Hipervnculo"/>
                <w:noProof/>
                <w:color w:val="auto"/>
              </w:rPr>
              <w:t>a) Competencia del Instituto</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_Toc175217724 \h </w:instrText>
            </w:r>
            <w:r w:rsidR="00065341" w:rsidRPr="00A50CCF">
              <w:rPr>
                <w:noProof/>
                <w:webHidden/>
              </w:rPr>
            </w:r>
            <w:r w:rsidR="00065341" w:rsidRPr="00A50CCF">
              <w:rPr>
                <w:noProof/>
                <w:webHidden/>
              </w:rPr>
              <w:fldChar w:fldCharType="separate"/>
            </w:r>
            <w:r w:rsidR="004C0B6A">
              <w:rPr>
                <w:noProof/>
                <w:webHidden/>
              </w:rPr>
              <w:t>8</w:t>
            </w:r>
            <w:r w:rsidR="00065341" w:rsidRPr="00A50CCF">
              <w:rPr>
                <w:noProof/>
                <w:webHidden/>
              </w:rPr>
              <w:fldChar w:fldCharType="end"/>
            </w:r>
          </w:hyperlink>
        </w:p>
        <w:p w14:paraId="11239640" w14:textId="77777777" w:rsidR="00065341" w:rsidRPr="00A50CCF" w:rsidRDefault="004B64D9">
          <w:pPr>
            <w:pStyle w:val="TDC3"/>
            <w:rPr>
              <w:rFonts w:asciiTheme="minorHAnsi" w:eastAsiaTheme="minorEastAsia" w:hAnsiTheme="minorHAnsi" w:cstheme="minorBidi"/>
              <w:noProof/>
              <w:szCs w:val="22"/>
              <w:lang w:eastAsia="es-MX"/>
            </w:rPr>
          </w:pPr>
          <w:hyperlink w:anchor="_Toc175217725" w:history="1">
            <w:r w:rsidR="00065341" w:rsidRPr="00A50CCF">
              <w:rPr>
                <w:rStyle w:val="Hipervnculo"/>
                <w:noProof/>
                <w:color w:val="auto"/>
              </w:rPr>
              <w:t>b) Legitimidad de la parte recurrente</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_Toc175217725 \h </w:instrText>
            </w:r>
            <w:r w:rsidR="00065341" w:rsidRPr="00A50CCF">
              <w:rPr>
                <w:noProof/>
                <w:webHidden/>
              </w:rPr>
            </w:r>
            <w:r w:rsidR="00065341" w:rsidRPr="00A50CCF">
              <w:rPr>
                <w:noProof/>
                <w:webHidden/>
              </w:rPr>
              <w:fldChar w:fldCharType="separate"/>
            </w:r>
            <w:r w:rsidR="004C0B6A">
              <w:rPr>
                <w:noProof/>
                <w:webHidden/>
              </w:rPr>
              <w:t>8</w:t>
            </w:r>
            <w:r w:rsidR="00065341" w:rsidRPr="00A50CCF">
              <w:rPr>
                <w:noProof/>
                <w:webHidden/>
              </w:rPr>
              <w:fldChar w:fldCharType="end"/>
            </w:r>
          </w:hyperlink>
        </w:p>
        <w:p w14:paraId="1D47DB03" w14:textId="77777777" w:rsidR="00065341" w:rsidRPr="00A50CCF" w:rsidRDefault="004B64D9">
          <w:pPr>
            <w:pStyle w:val="TDC3"/>
            <w:rPr>
              <w:rFonts w:asciiTheme="minorHAnsi" w:eastAsiaTheme="minorEastAsia" w:hAnsiTheme="minorHAnsi" w:cstheme="minorBidi"/>
              <w:noProof/>
              <w:szCs w:val="22"/>
              <w:lang w:eastAsia="es-MX"/>
            </w:rPr>
          </w:pPr>
          <w:hyperlink w:anchor="_Toc175217726" w:history="1">
            <w:r w:rsidR="00065341" w:rsidRPr="00A50CCF">
              <w:rPr>
                <w:rStyle w:val="Hipervnculo"/>
                <w:rFonts w:eastAsia="Calibri"/>
                <w:noProof/>
                <w:color w:val="auto"/>
                <w:lang w:eastAsia="es-ES_tradnl"/>
              </w:rPr>
              <w:t>c) Plazo para interponer el recurso</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_Toc175217726 \h </w:instrText>
            </w:r>
            <w:r w:rsidR="00065341" w:rsidRPr="00A50CCF">
              <w:rPr>
                <w:noProof/>
                <w:webHidden/>
              </w:rPr>
            </w:r>
            <w:r w:rsidR="00065341" w:rsidRPr="00A50CCF">
              <w:rPr>
                <w:noProof/>
                <w:webHidden/>
              </w:rPr>
              <w:fldChar w:fldCharType="separate"/>
            </w:r>
            <w:r w:rsidR="004C0B6A">
              <w:rPr>
                <w:noProof/>
                <w:webHidden/>
              </w:rPr>
              <w:t>9</w:t>
            </w:r>
            <w:r w:rsidR="00065341" w:rsidRPr="00A50CCF">
              <w:rPr>
                <w:noProof/>
                <w:webHidden/>
              </w:rPr>
              <w:fldChar w:fldCharType="end"/>
            </w:r>
          </w:hyperlink>
        </w:p>
        <w:p w14:paraId="68A9B9AF" w14:textId="77777777" w:rsidR="00065341" w:rsidRPr="00A50CCF" w:rsidRDefault="004B64D9">
          <w:pPr>
            <w:pStyle w:val="TDC3"/>
            <w:rPr>
              <w:rFonts w:asciiTheme="minorHAnsi" w:eastAsiaTheme="minorEastAsia" w:hAnsiTheme="minorHAnsi" w:cstheme="minorBidi"/>
              <w:noProof/>
              <w:szCs w:val="22"/>
              <w:lang w:eastAsia="es-MX"/>
            </w:rPr>
          </w:pPr>
          <w:hyperlink w:anchor="_Toc175217727" w:history="1">
            <w:r w:rsidR="00065341" w:rsidRPr="00A50CCF">
              <w:rPr>
                <w:rStyle w:val="Hipervnculo"/>
                <w:rFonts w:eastAsia="Calibri"/>
                <w:noProof/>
                <w:color w:val="auto"/>
                <w:lang w:eastAsia="es-ES_tradnl"/>
              </w:rPr>
              <w:t>d) Causal de procedencia</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_Toc175217727 \h </w:instrText>
            </w:r>
            <w:r w:rsidR="00065341" w:rsidRPr="00A50CCF">
              <w:rPr>
                <w:noProof/>
                <w:webHidden/>
              </w:rPr>
            </w:r>
            <w:r w:rsidR="00065341" w:rsidRPr="00A50CCF">
              <w:rPr>
                <w:noProof/>
                <w:webHidden/>
              </w:rPr>
              <w:fldChar w:fldCharType="separate"/>
            </w:r>
            <w:r w:rsidR="004C0B6A">
              <w:rPr>
                <w:noProof/>
                <w:webHidden/>
              </w:rPr>
              <w:t>10</w:t>
            </w:r>
            <w:r w:rsidR="00065341" w:rsidRPr="00A50CCF">
              <w:rPr>
                <w:noProof/>
                <w:webHidden/>
              </w:rPr>
              <w:fldChar w:fldCharType="end"/>
            </w:r>
          </w:hyperlink>
        </w:p>
        <w:p w14:paraId="5245663C" w14:textId="77777777" w:rsidR="00065341" w:rsidRPr="00A50CCF" w:rsidRDefault="004B64D9">
          <w:pPr>
            <w:pStyle w:val="TDC3"/>
            <w:rPr>
              <w:rFonts w:asciiTheme="minorHAnsi" w:eastAsiaTheme="minorEastAsia" w:hAnsiTheme="minorHAnsi" w:cstheme="minorBidi"/>
              <w:noProof/>
              <w:szCs w:val="22"/>
              <w:lang w:eastAsia="es-MX"/>
            </w:rPr>
          </w:pPr>
          <w:hyperlink w:anchor="_Toc175217728" w:history="1">
            <w:r w:rsidR="00065341" w:rsidRPr="00A50CCF">
              <w:rPr>
                <w:rStyle w:val="Hipervnculo"/>
                <w:noProof/>
                <w:color w:val="auto"/>
              </w:rPr>
              <w:t>e) Requisitos formales para la interposición del recurso</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_Toc175217728 \h </w:instrText>
            </w:r>
            <w:r w:rsidR="00065341" w:rsidRPr="00A50CCF">
              <w:rPr>
                <w:noProof/>
                <w:webHidden/>
              </w:rPr>
            </w:r>
            <w:r w:rsidR="00065341" w:rsidRPr="00A50CCF">
              <w:rPr>
                <w:noProof/>
                <w:webHidden/>
              </w:rPr>
              <w:fldChar w:fldCharType="separate"/>
            </w:r>
            <w:r w:rsidR="004C0B6A">
              <w:rPr>
                <w:noProof/>
                <w:webHidden/>
              </w:rPr>
              <w:t>11</w:t>
            </w:r>
            <w:r w:rsidR="00065341" w:rsidRPr="00A50CCF">
              <w:rPr>
                <w:noProof/>
                <w:webHidden/>
              </w:rPr>
              <w:fldChar w:fldCharType="end"/>
            </w:r>
          </w:hyperlink>
        </w:p>
        <w:p w14:paraId="4B6FE8B5" w14:textId="77777777" w:rsidR="00065341" w:rsidRPr="00A50CCF" w:rsidRDefault="004B64D9">
          <w:pPr>
            <w:pStyle w:val="TDC2"/>
            <w:rPr>
              <w:rFonts w:asciiTheme="minorHAnsi" w:eastAsiaTheme="minorEastAsia" w:hAnsiTheme="minorHAnsi" w:cstheme="minorBidi"/>
              <w:noProof/>
              <w:szCs w:val="22"/>
              <w:lang w:eastAsia="es-MX"/>
            </w:rPr>
          </w:pPr>
          <w:hyperlink w:anchor="_Toc175217729" w:history="1">
            <w:r w:rsidR="00065341" w:rsidRPr="00A50CCF">
              <w:rPr>
                <w:rStyle w:val="Hipervnculo"/>
                <w:noProof/>
                <w:color w:val="auto"/>
              </w:rPr>
              <w:t>SEGUNDO. Estudio de Fondo</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_Toc175217729 \h </w:instrText>
            </w:r>
            <w:r w:rsidR="00065341" w:rsidRPr="00A50CCF">
              <w:rPr>
                <w:noProof/>
                <w:webHidden/>
              </w:rPr>
            </w:r>
            <w:r w:rsidR="00065341" w:rsidRPr="00A50CCF">
              <w:rPr>
                <w:noProof/>
                <w:webHidden/>
              </w:rPr>
              <w:fldChar w:fldCharType="separate"/>
            </w:r>
            <w:r w:rsidR="004C0B6A">
              <w:rPr>
                <w:noProof/>
                <w:webHidden/>
              </w:rPr>
              <w:t>12</w:t>
            </w:r>
            <w:r w:rsidR="00065341" w:rsidRPr="00A50CCF">
              <w:rPr>
                <w:noProof/>
                <w:webHidden/>
              </w:rPr>
              <w:fldChar w:fldCharType="end"/>
            </w:r>
          </w:hyperlink>
        </w:p>
        <w:p w14:paraId="1F3F4A96" w14:textId="77777777" w:rsidR="00065341" w:rsidRPr="00A50CCF" w:rsidRDefault="004B64D9">
          <w:pPr>
            <w:pStyle w:val="TDC3"/>
            <w:rPr>
              <w:rFonts w:asciiTheme="minorHAnsi" w:eastAsiaTheme="minorEastAsia" w:hAnsiTheme="minorHAnsi" w:cstheme="minorBidi"/>
              <w:noProof/>
              <w:szCs w:val="22"/>
              <w:lang w:eastAsia="es-MX"/>
            </w:rPr>
          </w:pPr>
          <w:hyperlink w:anchor="_Toc175217730" w:history="1">
            <w:r w:rsidR="00065341" w:rsidRPr="00A50CCF">
              <w:rPr>
                <w:rStyle w:val="Hipervnculo"/>
                <w:noProof/>
                <w:color w:val="auto"/>
              </w:rPr>
              <w:t>a) Mandato de transparencia y responsabilidad del Sujeto Obligado</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_Toc175217730 \h </w:instrText>
            </w:r>
            <w:r w:rsidR="00065341" w:rsidRPr="00A50CCF">
              <w:rPr>
                <w:noProof/>
                <w:webHidden/>
              </w:rPr>
            </w:r>
            <w:r w:rsidR="00065341" w:rsidRPr="00A50CCF">
              <w:rPr>
                <w:noProof/>
                <w:webHidden/>
              </w:rPr>
              <w:fldChar w:fldCharType="separate"/>
            </w:r>
            <w:r w:rsidR="004C0B6A">
              <w:rPr>
                <w:noProof/>
                <w:webHidden/>
              </w:rPr>
              <w:t>12</w:t>
            </w:r>
            <w:r w:rsidR="00065341" w:rsidRPr="00A50CCF">
              <w:rPr>
                <w:noProof/>
                <w:webHidden/>
              </w:rPr>
              <w:fldChar w:fldCharType="end"/>
            </w:r>
          </w:hyperlink>
        </w:p>
        <w:p w14:paraId="5A1D265F" w14:textId="77777777" w:rsidR="00065341" w:rsidRPr="00A50CCF" w:rsidRDefault="004B64D9">
          <w:pPr>
            <w:pStyle w:val="TDC3"/>
            <w:rPr>
              <w:rFonts w:asciiTheme="minorHAnsi" w:eastAsiaTheme="minorEastAsia" w:hAnsiTheme="minorHAnsi" w:cstheme="minorBidi"/>
              <w:noProof/>
              <w:szCs w:val="22"/>
              <w:lang w:eastAsia="es-MX"/>
            </w:rPr>
          </w:pPr>
          <w:hyperlink w:anchor="_Toc175217731" w:history="1">
            <w:r w:rsidR="00065341" w:rsidRPr="00A50CCF">
              <w:rPr>
                <w:rStyle w:val="Hipervnculo"/>
                <w:rFonts w:eastAsia="Calibri"/>
                <w:noProof/>
                <w:color w:val="auto"/>
                <w:lang w:eastAsia="es-ES_tradnl"/>
              </w:rPr>
              <w:t>b) Controversia a resolver</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_Toc175217731 \h </w:instrText>
            </w:r>
            <w:r w:rsidR="00065341" w:rsidRPr="00A50CCF">
              <w:rPr>
                <w:noProof/>
                <w:webHidden/>
              </w:rPr>
            </w:r>
            <w:r w:rsidR="00065341" w:rsidRPr="00A50CCF">
              <w:rPr>
                <w:noProof/>
                <w:webHidden/>
              </w:rPr>
              <w:fldChar w:fldCharType="separate"/>
            </w:r>
            <w:r w:rsidR="004C0B6A">
              <w:rPr>
                <w:noProof/>
                <w:webHidden/>
              </w:rPr>
              <w:t>14</w:t>
            </w:r>
            <w:r w:rsidR="00065341" w:rsidRPr="00A50CCF">
              <w:rPr>
                <w:noProof/>
                <w:webHidden/>
              </w:rPr>
              <w:fldChar w:fldCharType="end"/>
            </w:r>
          </w:hyperlink>
        </w:p>
        <w:p w14:paraId="2B55E819" w14:textId="77777777" w:rsidR="00065341" w:rsidRPr="00A50CCF" w:rsidRDefault="004B64D9">
          <w:pPr>
            <w:pStyle w:val="TDC3"/>
            <w:rPr>
              <w:rFonts w:asciiTheme="minorHAnsi" w:eastAsiaTheme="minorEastAsia" w:hAnsiTheme="minorHAnsi" w:cstheme="minorBidi"/>
              <w:noProof/>
              <w:szCs w:val="22"/>
              <w:lang w:eastAsia="es-MX"/>
            </w:rPr>
          </w:pPr>
          <w:hyperlink w:anchor="_Toc175217732" w:history="1">
            <w:r w:rsidR="00065341" w:rsidRPr="00A50CCF">
              <w:rPr>
                <w:rStyle w:val="Hipervnculo"/>
                <w:noProof/>
                <w:color w:val="auto"/>
              </w:rPr>
              <w:t>c) Estudio de la controversia</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_Toc175217732 \h </w:instrText>
            </w:r>
            <w:r w:rsidR="00065341" w:rsidRPr="00A50CCF">
              <w:rPr>
                <w:noProof/>
                <w:webHidden/>
              </w:rPr>
            </w:r>
            <w:r w:rsidR="00065341" w:rsidRPr="00A50CCF">
              <w:rPr>
                <w:noProof/>
                <w:webHidden/>
              </w:rPr>
              <w:fldChar w:fldCharType="separate"/>
            </w:r>
            <w:r w:rsidR="004C0B6A">
              <w:rPr>
                <w:noProof/>
                <w:webHidden/>
              </w:rPr>
              <w:t>15</w:t>
            </w:r>
            <w:r w:rsidR="00065341" w:rsidRPr="00A50CCF">
              <w:rPr>
                <w:noProof/>
                <w:webHidden/>
              </w:rPr>
              <w:fldChar w:fldCharType="end"/>
            </w:r>
          </w:hyperlink>
        </w:p>
        <w:p w14:paraId="19B5DBE7" w14:textId="77777777" w:rsidR="00065341" w:rsidRPr="00A50CCF" w:rsidRDefault="004B64D9">
          <w:pPr>
            <w:pStyle w:val="TDC3"/>
            <w:rPr>
              <w:rFonts w:asciiTheme="minorHAnsi" w:eastAsiaTheme="minorEastAsia" w:hAnsiTheme="minorHAnsi" w:cstheme="minorBidi"/>
              <w:noProof/>
              <w:szCs w:val="22"/>
              <w:lang w:eastAsia="es-MX"/>
            </w:rPr>
          </w:pPr>
          <w:hyperlink w:anchor="_Toc175217733" w:history="1">
            <w:r w:rsidR="00065341" w:rsidRPr="00A50CCF">
              <w:rPr>
                <w:rStyle w:val="Hipervnculo"/>
                <w:noProof/>
                <w:color w:val="auto"/>
              </w:rPr>
              <w:t>d) Versión pública</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_Toc175217733 \h </w:instrText>
            </w:r>
            <w:r w:rsidR="00065341" w:rsidRPr="00A50CCF">
              <w:rPr>
                <w:noProof/>
                <w:webHidden/>
              </w:rPr>
            </w:r>
            <w:r w:rsidR="00065341" w:rsidRPr="00A50CCF">
              <w:rPr>
                <w:noProof/>
                <w:webHidden/>
              </w:rPr>
              <w:fldChar w:fldCharType="separate"/>
            </w:r>
            <w:r w:rsidR="004C0B6A">
              <w:rPr>
                <w:noProof/>
                <w:webHidden/>
              </w:rPr>
              <w:t>28</w:t>
            </w:r>
            <w:r w:rsidR="00065341" w:rsidRPr="00A50CCF">
              <w:rPr>
                <w:noProof/>
                <w:webHidden/>
              </w:rPr>
              <w:fldChar w:fldCharType="end"/>
            </w:r>
          </w:hyperlink>
        </w:p>
        <w:p w14:paraId="70C1F812" w14:textId="77777777" w:rsidR="00065341" w:rsidRPr="00A50CCF" w:rsidRDefault="004B64D9">
          <w:pPr>
            <w:pStyle w:val="TDC3"/>
            <w:rPr>
              <w:rFonts w:asciiTheme="minorHAnsi" w:eastAsiaTheme="minorEastAsia" w:hAnsiTheme="minorHAnsi" w:cstheme="minorBidi"/>
              <w:noProof/>
              <w:szCs w:val="22"/>
              <w:lang w:eastAsia="es-MX"/>
            </w:rPr>
          </w:pPr>
          <w:hyperlink w:anchor="_Toc175217734" w:history="1">
            <w:r w:rsidR="00065341" w:rsidRPr="00A50CCF">
              <w:rPr>
                <w:rStyle w:val="Hipervnculo"/>
                <w:noProof/>
                <w:color w:val="auto"/>
              </w:rPr>
              <w:t xml:space="preserve">e) Vista al </w:t>
            </w:r>
            <w:r w:rsidR="00065341" w:rsidRPr="00A50CCF">
              <w:rPr>
                <w:rStyle w:val="Hipervnculo"/>
                <w:rFonts w:eastAsia="Palatino Linotype" w:cs="Palatino Linotype"/>
                <w:noProof/>
                <w:color w:val="auto"/>
                <w:lang w:val="es-ES" w:eastAsia="es-MX"/>
              </w:rPr>
              <w:t>Órgano Interno de Control</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_Toc175217734 \h </w:instrText>
            </w:r>
            <w:r w:rsidR="00065341" w:rsidRPr="00A50CCF">
              <w:rPr>
                <w:noProof/>
                <w:webHidden/>
              </w:rPr>
            </w:r>
            <w:r w:rsidR="00065341" w:rsidRPr="00A50CCF">
              <w:rPr>
                <w:noProof/>
                <w:webHidden/>
              </w:rPr>
              <w:fldChar w:fldCharType="separate"/>
            </w:r>
            <w:r w:rsidR="004C0B6A">
              <w:rPr>
                <w:noProof/>
                <w:webHidden/>
              </w:rPr>
              <w:t>37</w:t>
            </w:r>
            <w:r w:rsidR="00065341" w:rsidRPr="00A50CCF">
              <w:rPr>
                <w:noProof/>
                <w:webHidden/>
              </w:rPr>
              <w:fldChar w:fldCharType="end"/>
            </w:r>
          </w:hyperlink>
        </w:p>
        <w:p w14:paraId="5C56AB7F" w14:textId="77777777" w:rsidR="00065341" w:rsidRPr="00A50CCF" w:rsidRDefault="004B64D9">
          <w:pPr>
            <w:pStyle w:val="TDC3"/>
            <w:rPr>
              <w:rFonts w:asciiTheme="minorHAnsi" w:eastAsiaTheme="minorEastAsia" w:hAnsiTheme="minorHAnsi" w:cstheme="minorBidi"/>
              <w:noProof/>
              <w:szCs w:val="22"/>
              <w:lang w:eastAsia="es-MX"/>
            </w:rPr>
          </w:pPr>
          <w:hyperlink w:anchor="_Toc175217735" w:history="1">
            <w:r w:rsidR="00065341" w:rsidRPr="00A50CCF">
              <w:rPr>
                <w:rStyle w:val="Hipervnculo"/>
                <w:noProof/>
                <w:color w:val="auto"/>
              </w:rPr>
              <w:t>f) Conclusión</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_Toc175217735 \h </w:instrText>
            </w:r>
            <w:r w:rsidR="00065341" w:rsidRPr="00A50CCF">
              <w:rPr>
                <w:noProof/>
                <w:webHidden/>
              </w:rPr>
            </w:r>
            <w:r w:rsidR="00065341" w:rsidRPr="00A50CCF">
              <w:rPr>
                <w:noProof/>
                <w:webHidden/>
              </w:rPr>
              <w:fldChar w:fldCharType="separate"/>
            </w:r>
            <w:r w:rsidR="004C0B6A">
              <w:rPr>
                <w:noProof/>
                <w:webHidden/>
              </w:rPr>
              <w:t>38</w:t>
            </w:r>
            <w:r w:rsidR="00065341" w:rsidRPr="00A50CCF">
              <w:rPr>
                <w:noProof/>
                <w:webHidden/>
              </w:rPr>
              <w:fldChar w:fldCharType="end"/>
            </w:r>
          </w:hyperlink>
        </w:p>
        <w:p w14:paraId="03FE02C7" w14:textId="77777777" w:rsidR="00065341" w:rsidRPr="00A50CCF" w:rsidRDefault="004B64D9">
          <w:pPr>
            <w:pStyle w:val="TDC1"/>
            <w:tabs>
              <w:tab w:val="right" w:leader="dot" w:pos="9034"/>
            </w:tabs>
            <w:rPr>
              <w:rFonts w:asciiTheme="minorHAnsi" w:eastAsiaTheme="minorEastAsia" w:hAnsiTheme="minorHAnsi" w:cstheme="minorBidi"/>
              <w:noProof/>
              <w:szCs w:val="22"/>
              <w:lang w:eastAsia="es-MX"/>
            </w:rPr>
          </w:pPr>
          <w:hyperlink w:anchor="_Toc175217736" w:history="1">
            <w:r w:rsidR="00065341" w:rsidRPr="00A50CCF">
              <w:rPr>
                <w:rStyle w:val="Hipervnculo"/>
                <w:noProof/>
                <w:color w:val="auto"/>
              </w:rPr>
              <w:t>RESUELVE</w:t>
            </w:r>
            <w:r w:rsidR="00065341" w:rsidRPr="00A50CCF">
              <w:rPr>
                <w:noProof/>
                <w:webHidden/>
              </w:rPr>
              <w:tab/>
            </w:r>
            <w:r w:rsidR="00065341" w:rsidRPr="00A50CCF">
              <w:rPr>
                <w:noProof/>
                <w:webHidden/>
              </w:rPr>
              <w:fldChar w:fldCharType="begin"/>
            </w:r>
            <w:r w:rsidR="00065341" w:rsidRPr="00A50CCF">
              <w:rPr>
                <w:noProof/>
                <w:webHidden/>
              </w:rPr>
              <w:instrText xml:space="preserve"> PAGEREF _Toc175217736 \h </w:instrText>
            </w:r>
            <w:r w:rsidR="00065341" w:rsidRPr="00A50CCF">
              <w:rPr>
                <w:noProof/>
                <w:webHidden/>
              </w:rPr>
            </w:r>
            <w:r w:rsidR="00065341" w:rsidRPr="00A50CCF">
              <w:rPr>
                <w:noProof/>
                <w:webHidden/>
              </w:rPr>
              <w:fldChar w:fldCharType="separate"/>
            </w:r>
            <w:r w:rsidR="004C0B6A">
              <w:rPr>
                <w:noProof/>
                <w:webHidden/>
              </w:rPr>
              <w:t>38</w:t>
            </w:r>
            <w:r w:rsidR="00065341" w:rsidRPr="00A50CCF">
              <w:rPr>
                <w:noProof/>
                <w:webHidden/>
              </w:rPr>
              <w:fldChar w:fldCharType="end"/>
            </w:r>
          </w:hyperlink>
        </w:p>
        <w:p w14:paraId="0C82FD7A" w14:textId="6DF91369" w:rsidR="009B2945" w:rsidRPr="00A50CCF" w:rsidRDefault="00AE3DA7" w:rsidP="00404336">
          <w:pPr>
            <w:rPr>
              <w:b/>
              <w:bCs/>
              <w:lang w:val="es-ES"/>
            </w:rPr>
          </w:pPr>
          <w:r w:rsidRPr="00A50CCF">
            <w:rPr>
              <w:b/>
              <w:bCs/>
              <w:sz w:val="16"/>
              <w:szCs w:val="16"/>
              <w:lang w:val="es-ES"/>
            </w:rPr>
            <w:fldChar w:fldCharType="end"/>
          </w:r>
        </w:p>
      </w:sdtContent>
    </w:sdt>
    <w:p w14:paraId="603A07E2" w14:textId="77777777" w:rsidR="00646436" w:rsidRPr="00A50CCF" w:rsidRDefault="00646436" w:rsidP="00404336">
      <w:pPr>
        <w:rPr>
          <w:rFonts w:cs="Tahoma"/>
          <w:szCs w:val="22"/>
        </w:rPr>
        <w:sectPr w:rsidR="00646436" w:rsidRPr="00A50CC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D890B97" w:rsidR="00775BFC" w:rsidRPr="00A50CCF" w:rsidRDefault="00775BFC" w:rsidP="00404336">
      <w:r w:rsidRPr="00A50CCF">
        <w:lastRenderedPageBreak/>
        <w:t>Resolución del Pleno del Instituto de Transparencia, Acceso a la Información Pública y Protección de Datos Personales del Estado de México y Municipios, con domicilio en Metepec, Estado de México, de</w:t>
      </w:r>
      <w:r w:rsidR="00994944" w:rsidRPr="00A50CCF">
        <w:t>l</w:t>
      </w:r>
      <w:r w:rsidR="00065341" w:rsidRPr="00A50CCF">
        <w:rPr>
          <w:b/>
        </w:rPr>
        <w:t xml:space="preserve"> veintiocho</w:t>
      </w:r>
      <w:r w:rsidR="00814C80" w:rsidRPr="00A50CCF">
        <w:rPr>
          <w:b/>
        </w:rPr>
        <w:t xml:space="preserve"> de agosto</w:t>
      </w:r>
      <w:r w:rsidR="00994944" w:rsidRPr="00A50CCF">
        <w:rPr>
          <w:b/>
        </w:rPr>
        <w:t xml:space="preserve"> </w:t>
      </w:r>
      <w:r w:rsidRPr="00A50CCF">
        <w:rPr>
          <w:b/>
        </w:rPr>
        <w:t xml:space="preserve">de dos mil </w:t>
      </w:r>
      <w:r w:rsidR="006E0F00" w:rsidRPr="00A50CCF">
        <w:rPr>
          <w:b/>
        </w:rPr>
        <w:t>veinticuatro</w:t>
      </w:r>
      <w:r w:rsidR="00994944" w:rsidRPr="00A50CCF">
        <w:t>.</w:t>
      </w:r>
    </w:p>
    <w:p w14:paraId="0AF3AAC4" w14:textId="77777777" w:rsidR="00775BFC" w:rsidRPr="00A50CCF" w:rsidRDefault="00775BFC" w:rsidP="00404336"/>
    <w:p w14:paraId="40EAE038" w14:textId="76CC6AEC" w:rsidR="00775BFC" w:rsidRPr="00A50CCF" w:rsidRDefault="00775BFC" w:rsidP="00404336">
      <w:r w:rsidRPr="00A50CCF">
        <w:rPr>
          <w:b/>
        </w:rPr>
        <w:t xml:space="preserve">VISTO </w:t>
      </w:r>
      <w:r w:rsidRPr="00A50CCF">
        <w:t xml:space="preserve">el expediente formado con motivo del Recurso de Revisión </w:t>
      </w:r>
      <w:r w:rsidR="00C30B99" w:rsidRPr="00A50CCF">
        <w:rPr>
          <w:rFonts w:eastAsia="Calibri"/>
          <w:b/>
          <w:lang w:eastAsia="en-US"/>
        </w:rPr>
        <w:t xml:space="preserve">03042/INFOEM/IP/RR/2023 </w:t>
      </w:r>
      <w:r w:rsidRPr="00A50CCF">
        <w:t xml:space="preserve">interpuesto por </w:t>
      </w:r>
      <w:r w:rsidR="006827B2" w:rsidRPr="00A50CCF">
        <w:rPr>
          <w:b/>
          <w:bCs/>
        </w:rPr>
        <w:t>una persona de manera anónima</w:t>
      </w:r>
      <w:r w:rsidR="00994944" w:rsidRPr="00A50CCF">
        <w:rPr>
          <w:b/>
          <w:bCs/>
        </w:rPr>
        <w:t xml:space="preserve">, </w:t>
      </w:r>
      <w:r w:rsidRPr="00A50CCF">
        <w:t xml:space="preserve">a quien en lo subsecuente se le denominará </w:t>
      </w:r>
      <w:r w:rsidRPr="00A50CCF">
        <w:rPr>
          <w:b/>
          <w:bCs/>
        </w:rPr>
        <w:t>LA PARTE RECURRENTE</w:t>
      </w:r>
      <w:r w:rsidRPr="00A50CCF">
        <w:t>, en contra de la respuesta emitida por</w:t>
      </w:r>
      <w:r w:rsidR="00DA614F" w:rsidRPr="00A50CCF">
        <w:t xml:space="preserve"> el</w:t>
      </w:r>
      <w:r w:rsidRPr="00A50CCF">
        <w:t xml:space="preserve"> </w:t>
      </w:r>
      <w:r w:rsidR="00C30B99" w:rsidRPr="00A50CCF">
        <w:rPr>
          <w:b/>
          <w:bCs/>
        </w:rPr>
        <w:t>Ayuntamiento de Texcaltitlán</w:t>
      </w:r>
      <w:r w:rsidR="00994944" w:rsidRPr="00A50CCF">
        <w:rPr>
          <w:b/>
          <w:bCs/>
        </w:rPr>
        <w:t xml:space="preserve">, </w:t>
      </w:r>
      <w:r w:rsidRPr="00A50CCF">
        <w:t xml:space="preserve">en adelante </w:t>
      </w:r>
      <w:r w:rsidRPr="00A50CCF">
        <w:rPr>
          <w:b/>
          <w:bCs/>
        </w:rPr>
        <w:t>EL SUJETO OBLIGADO</w:t>
      </w:r>
      <w:r w:rsidRPr="00A50CCF">
        <w:rPr>
          <w:rFonts w:eastAsia="Calibri"/>
          <w:lang w:eastAsia="en-US"/>
        </w:rPr>
        <w:t xml:space="preserve">, </w:t>
      </w:r>
      <w:r w:rsidRPr="00A50CCF">
        <w:t>se emite la presente Resolución con base en los Antecedentes y Considerandos que se exponen a continuación:</w:t>
      </w:r>
    </w:p>
    <w:p w14:paraId="2116968C" w14:textId="77777777" w:rsidR="00775BFC" w:rsidRPr="00A50CCF" w:rsidRDefault="00775BFC" w:rsidP="00404336"/>
    <w:p w14:paraId="5A444FB6" w14:textId="639D3567" w:rsidR="00664420" w:rsidRPr="00A50CCF" w:rsidRDefault="00664420" w:rsidP="00404336">
      <w:pPr>
        <w:pStyle w:val="Ttulo1"/>
      </w:pPr>
      <w:bookmarkStart w:id="3" w:name="_Toc175217709"/>
      <w:r w:rsidRPr="00A50CCF">
        <w:t>ANTECEDENTES</w:t>
      </w:r>
      <w:bookmarkEnd w:id="3"/>
    </w:p>
    <w:p w14:paraId="7CE9E53D" w14:textId="77777777" w:rsidR="00E37A3F" w:rsidRPr="00A50CCF" w:rsidRDefault="00E37A3F" w:rsidP="00404336"/>
    <w:p w14:paraId="09B2D38F" w14:textId="6E49D146" w:rsidR="00664420" w:rsidRPr="00A50CCF" w:rsidRDefault="00E37A3F" w:rsidP="00404336">
      <w:pPr>
        <w:pStyle w:val="Ttulo2"/>
        <w:jc w:val="left"/>
      </w:pPr>
      <w:bookmarkStart w:id="4" w:name="_Toc175217710"/>
      <w:r w:rsidRPr="00A50CCF">
        <w:t>DE LA SOLICITUD DE INFORMACIÓN</w:t>
      </w:r>
      <w:bookmarkEnd w:id="4"/>
    </w:p>
    <w:p w14:paraId="7B7535DF" w14:textId="77777777" w:rsidR="00E37A3F" w:rsidRPr="00A50CCF" w:rsidRDefault="00E37A3F" w:rsidP="00404336"/>
    <w:p w14:paraId="2C6AD1A5" w14:textId="0405B3CD" w:rsidR="00664420" w:rsidRPr="00A50CCF" w:rsidRDefault="00E37A3F" w:rsidP="00404336">
      <w:pPr>
        <w:pStyle w:val="Ttulo3"/>
        <w:spacing w:line="360" w:lineRule="auto"/>
      </w:pPr>
      <w:bookmarkStart w:id="5" w:name="_Toc175217711"/>
      <w:r w:rsidRPr="00A50CCF">
        <w:t xml:space="preserve">a) </w:t>
      </w:r>
      <w:r w:rsidR="006B10B0" w:rsidRPr="00A50CCF">
        <w:t>S</w:t>
      </w:r>
      <w:r w:rsidR="00664420" w:rsidRPr="00A50CCF">
        <w:t xml:space="preserve">olicitud de </w:t>
      </w:r>
      <w:r w:rsidR="006B10B0" w:rsidRPr="00A50CCF">
        <w:t>i</w:t>
      </w:r>
      <w:r w:rsidR="00664420" w:rsidRPr="00A50CCF">
        <w:t>nformación</w:t>
      </w:r>
      <w:bookmarkEnd w:id="5"/>
    </w:p>
    <w:p w14:paraId="06DCD29D" w14:textId="6439D693" w:rsidR="009A2D78" w:rsidRPr="00A50CCF" w:rsidRDefault="006B10B0" w:rsidP="00404336">
      <w:pPr>
        <w:pStyle w:val="Prrafodelista"/>
        <w:tabs>
          <w:tab w:val="left" w:pos="0"/>
        </w:tabs>
        <w:ind w:left="0"/>
        <w:contextualSpacing w:val="0"/>
        <w:rPr>
          <w:rFonts w:cs="Tahoma"/>
        </w:rPr>
      </w:pPr>
      <w:r w:rsidRPr="00A50CCF">
        <w:rPr>
          <w:rFonts w:cs="Tahoma"/>
        </w:rPr>
        <w:t>El</w:t>
      </w:r>
      <w:r w:rsidR="00664420" w:rsidRPr="00A50CCF">
        <w:rPr>
          <w:rFonts w:cs="Tahoma"/>
        </w:rPr>
        <w:t xml:space="preserve"> </w:t>
      </w:r>
      <w:r w:rsidR="00C30B99" w:rsidRPr="00A50CCF">
        <w:rPr>
          <w:rFonts w:cs="Tahoma"/>
          <w:b/>
          <w:bCs/>
        </w:rPr>
        <w:t>cuatro de mayo de dos mil veintitrés</w:t>
      </w:r>
      <w:r w:rsidR="00994944" w:rsidRPr="00A50CCF">
        <w:rPr>
          <w:rFonts w:cs="Tahoma"/>
          <w:b/>
          <w:bCs/>
        </w:rPr>
        <w:t xml:space="preserve"> </w:t>
      </w:r>
      <w:r w:rsidRPr="00A50CCF">
        <w:rPr>
          <w:b/>
          <w:bCs/>
        </w:rPr>
        <w:t>LA PARTE RECURRENTE</w:t>
      </w:r>
      <w:r w:rsidR="00664420" w:rsidRPr="00A50CCF">
        <w:rPr>
          <w:rFonts w:cs="Tahoma"/>
        </w:rPr>
        <w:t xml:space="preserve"> presentó una solicitud de acceso a la información pública </w:t>
      </w:r>
      <w:r w:rsidR="001F3515" w:rsidRPr="00A50CCF">
        <w:rPr>
          <w:rFonts w:cs="Tahoma"/>
        </w:rPr>
        <w:t xml:space="preserve">ante </w:t>
      </w:r>
      <w:r w:rsidR="008E070D" w:rsidRPr="00A50CCF">
        <w:rPr>
          <w:rFonts w:cs="Tahoma"/>
          <w:b/>
          <w:bCs/>
        </w:rPr>
        <w:t>EL</w:t>
      </w:r>
      <w:r w:rsidR="001F3515" w:rsidRPr="00A50CCF">
        <w:rPr>
          <w:rFonts w:cs="Tahoma"/>
        </w:rPr>
        <w:t xml:space="preserve"> </w:t>
      </w:r>
      <w:r w:rsidR="001F3515" w:rsidRPr="00A50CCF">
        <w:rPr>
          <w:rFonts w:cs="Tahoma"/>
          <w:b/>
          <w:bCs/>
        </w:rPr>
        <w:t>SUJETO OBLIGADO</w:t>
      </w:r>
      <w:r w:rsidR="001F3515" w:rsidRPr="00A50CCF">
        <w:rPr>
          <w:rFonts w:cs="Tahoma"/>
        </w:rPr>
        <w:t xml:space="preserve">, </w:t>
      </w:r>
      <w:r w:rsidR="00664420" w:rsidRPr="00A50CCF">
        <w:rPr>
          <w:rFonts w:cs="Tahoma"/>
        </w:rPr>
        <w:t>a través del Sistema de Acceso a la Información Mexiquense</w:t>
      </w:r>
      <w:r w:rsidRPr="00A50CCF">
        <w:rPr>
          <w:rFonts w:cs="Tahoma"/>
        </w:rPr>
        <w:t xml:space="preserve"> </w:t>
      </w:r>
      <w:r w:rsidR="009A2D78" w:rsidRPr="00A50CCF">
        <w:rPr>
          <w:rFonts w:cs="Tahoma"/>
        </w:rPr>
        <w:t>(</w:t>
      </w:r>
      <w:r w:rsidRPr="00A50CCF">
        <w:rPr>
          <w:rFonts w:cs="Tahoma"/>
        </w:rPr>
        <w:t>SAIMEX</w:t>
      </w:r>
      <w:r w:rsidR="009A2D78" w:rsidRPr="00A50CCF">
        <w:rPr>
          <w:rFonts w:cs="Tahoma"/>
        </w:rPr>
        <w:t>). Dicha solicitud quedó</w:t>
      </w:r>
      <w:r w:rsidRPr="00A50CCF">
        <w:rPr>
          <w:rFonts w:cs="Tahoma"/>
        </w:rPr>
        <w:t xml:space="preserve"> registrada c</w:t>
      </w:r>
      <w:r w:rsidR="00664420" w:rsidRPr="00A50CCF">
        <w:rPr>
          <w:rFonts w:cs="Tahoma"/>
        </w:rPr>
        <w:t>on el número de folio</w:t>
      </w:r>
      <w:r w:rsidR="00664420" w:rsidRPr="00A50CCF">
        <w:rPr>
          <w:rFonts w:cs="Tahoma"/>
          <w:b/>
          <w:bCs/>
        </w:rPr>
        <w:t xml:space="preserve"> </w:t>
      </w:r>
      <w:r w:rsidR="00C30B99" w:rsidRPr="00A50CCF">
        <w:rPr>
          <w:rFonts w:cs="Tahoma"/>
          <w:b/>
          <w:bCs/>
        </w:rPr>
        <w:t xml:space="preserve">00017/TEXCALTI/IP/2023 </w:t>
      </w:r>
      <w:r w:rsidR="002A3601" w:rsidRPr="00A50CCF">
        <w:rPr>
          <w:rFonts w:cs="Tahoma"/>
        </w:rPr>
        <w:t xml:space="preserve">y en ella </w:t>
      </w:r>
      <w:r w:rsidR="009A2D78" w:rsidRPr="00A50CCF">
        <w:rPr>
          <w:rFonts w:cs="Tahoma"/>
        </w:rPr>
        <w:t>se requirió la siguiente información:</w:t>
      </w:r>
    </w:p>
    <w:p w14:paraId="0459D6AC" w14:textId="77777777" w:rsidR="00664420" w:rsidRPr="00A50CCF" w:rsidRDefault="00664420" w:rsidP="00404336">
      <w:pPr>
        <w:tabs>
          <w:tab w:val="left" w:pos="4667"/>
        </w:tabs>
        <w:ind w:left="567" w:right="567"/>
        <w:rPr>
          <w:rFonts w:cs="Tahoma"/>
          <w:b/>
          <w:bCs/>
        </w:rPr>
      </w:pPr>
    </w:p>
    <w:p w14:paraId="64B27DE3" w14:textId="57A278AC" w:rsidR="00664420" w:rsidRPr="00A50CCF" w:rsidRDefault="00B539A9" w:rsidP="00065341">
      <w:pPr>
        <w:pStyle w:val="Puesto"/>
      </w:pPr>
      <w:r w:rsidRPr="00A50CCF">
        <w:t>“</w:t>
      </w:r>
      <w:r w:rsidR="00C30B99" w:rsidRPr="00A50CCF">
        <w:t>todas las nóminas de la servidora pública Mayra Esperanza Ortiz Calixto desde su ingreso en el año 2016 cuando se desempeñaba como secretaria, en el hasta el día de hoy como regidora. incluyendo todo tipo de pagos nóminas, bonos, aguinaldo y cualquier otra prestación que ha tenido en su servicio público.</w:t>
      </w:r>
      <w:r w:rsidRPr="00A50CCF">
        <w:t>” (Sic)</w:t>
      </w:r>
    </w:p>
    <w:p w14:paraId="56B84332" w14:textId="77777777" w:rsidR="00B539A9" w:rsidRPr="00A50CCF" w:rsidRDefault="00B539A9" w:rsidP="00B539A9">
      <w:pPr>
        <w:tabs>
          <w:tab w:val="left" w:pos="4667"/>
        </w:tabs>
        <w:spacing w:line="240" w:lineRule="auto"/>
        <w:ind w:left="567" w:right="567"/>
        <w:rPr>
          <w:rFonts w:cs="Tahoma"/>
          <w:bCs/>
          <w:i/>
          <w:szCs w:val="22"/>
        </w:rPr>
      </w:pPr>
    </w:p>
    <w:p w14:paraId="0BD6321D" w14:textId="56D9ABBC" w:rsidR="00664420" w:rsidRPr="00A50CCF" w:rsidRDefault="009A2D78" w:rsidP="00404336">
      <w:pPr>
        <w:tabs>
          <w:tab w:val="left" w:pos="4667"/>
        </w:tabs>
        <w:ind w:left="567" w:right="567"/>
        <w:rPr>
          <w:rFonts w:cs="Tahoma"/>
          <w:bCs/>
          <w:szCs w:val="22"/>
        </w:rPr>
      </w:pPr>
      <w:r w:rsidRPr="00A50CCF">
        <w:rPr>
          <w:rFonts w:cs="Tahoma"/>
          <w:b/>
          <w:bCs/>
          <w:szCs w:val="22"/>
        </w:rPr>
        <w:t>Modalidad de entrega</w:t>
      </w:r>
      <w:r w:rsidRPr="00A50CCF">
        <w:rPr>
          <w:rFonts w:cs="Tahoma"/>
          <w:bCs/>
          <w:szCs w:val="22"/>
        </w:rPr>
        <w:t>: a</w:t>
      </w:r>
      <w:r w:rsidR="00664420" w:rsidRPr="00A50CCF">
        <w:rPr>
          <w:rFonts w:cs="Tahoma"/>
          <w:bCs/>
          <w:i/>
          <w:szCs w:val="22"/>
        </w:rPr>
        <w:t xml:space="preserve"> través del </w:t>
      </w:r>
      <w:r w:rsidR="00664420" w:rsidRPr="00A50CCF">
        <w:rPr>
          <w:rFonts w:cs="Tahoma"/>
          <w:b/>
          <w:bCs/>
          <w:i/>
          <w:szCs w:val="22"/>
        </w:rPr>
        <w:t>SAIMEX</w:t>
      </w:r>
      <w:r w:rsidRPr="00A50CCF">
        <w:rPr>
          <w:rFonts w:cs="Tahoma"/>
          <w:bCs/>
          <w:i/>
          <w:szCs w:val="22"/>
        </w:rPr>
        <w:t>.</w:t>
      </w:r>
    </w:p>
    <w:p w14:paraId="5AC1EE52" w14:textId="34C34E77" w:rsidR="00D036D3" w:rsidRPr="00A50CCF" w:rsidRDefault="00E37A3F" w:rsidP="00404336">
      <w:pPr>
        <w:pStyle w:val="Ttulo3"/>
        <w:spacing w:line="360" w:lineRule="auto"/>
      </w:pPr>
      <w:bookmarkStart w:id="6" w:name="_Toc175217712"/>
      <w:r w:rsidRPr="00A50CCF">
        <w:lastRenderedPageBreak/>
        <w:t xml:space="preserve">b) </w:t>
      </w:r>
      <w:r w:rsidR="00D036D3" w:rsidRPr="00A50CCF">
        <w:t>Turno de la solicitud de información</w:t>
      </w:r>
      <w:bookmarkEnd w:id="6"/>
    </w:p>
    <w:p w14:paraId="01A6995E" w14:textId="593D5F7F" w:rsidR="00994944" w:rsidRPr="00A50CCF" w:rsidRDefault="00D036D3" w:rsidP="00034189">
      <w:r w:rsidRPr="00A50CCF">
        <w:t xml:space="preserve">En cumplimiento al artículo 162 de la Ley de Transparencia y Acceso a la Información Pública del Estado de México y Municipios, el </w:t>
      </w:r>
      <w:r w:rsidR="00C30B99" w:rsidRPr="00A50CCF">
        <w:rPr>
          <w:rFonts w:cs="Tahoma"/>
          <w:b/>
          <w:bCs/>
        </w:rPr>
        <w:t>cuatro de mayo de dos mil veintitrés</w:t>
      </w:r>
      <w:r w:rsidR="00994944" w:rsidRPr="00A50CCF">
        <w:rPr>
          <w:rFonts w:eastAsia="Palatino Linotype" w:cs="Palatino Linotype"/>
          <w:b/>
        </w:rPr>
        <w:t xml:space="preserve">, </w:t>
      </w:r>
      <w:r w:rsidRPr="00A50CCF">
        <w:t xml:space="preserve">el Titular de la Unidad de Transparencia del </w:t>
      </w:r>
      <w:r w:rsidRPr="00A50CCF">
        <w:rPr>
          <w:b/>
        </w:rPr>
        <w:t>SUJETO OBLIGADO</w:t>
      </w:r>
      <w:r w:rsidRPr="00A50CCF">
        <w:t xml:space="preserve"> turnó la solicitud de información a</w:t>
      </w:r>
      <w:r w:rsidR="00034189" w:rsidRPr="00A50CCF">
        <w:t>l</w:t>
      </w:r>
      <w:r w:rsidR="007D1C55" w:rsidRPr="00A50CCF">
        <w:t xml:space="preserve"> </w:t>
      </w:r>
      <w:r w:rsidRPr="00A50CCF">
        <w:t>servidor público habilitado que estimó pertinente</w:t>
      </w:r>
      <w:r w:rsidR="007D1C55" w:rsidRPr="00A50CCF">
        <w:t>.</w:t>
      </w:r>
    </w:p>
    <w:p w14:paraId="4F7CA6CB" w14:textId="77777777" w:rsidR="00034189" w:rsidRPr="00A50CCF" w:rsidRDefault="00034189" w:rsidP="00034189"/>
    <w:p w14:paraId="3212BA4D" w14:textId="5D4E2AC2" w:rsidR="00664420" w:rsidRPr="00A50CCF" w:rsidRDefault="00994944" w:rsidP="00404336">
      <w:pPr>
        <w:pStyle w:val="Ttulo3"/>
        <w:spacing w:line="360" w:lineRule="auto"/>
        <w:rPr>
          <w:rFonts w:eastAsia="Calibri"/>
          <w:lang w:eastAsia="en-US"/>
        </w:rPr>
      </w:pPr>
      <w:bookmarkStart w:id="7" w:name="_Toc175217713"/>
      <w:r w:rsidRPr="00A50CCF">
        <w:rPr>
          <w:lang w:val="es-ES"/>
        </w:rPr>
        <w:t>c</w:t>
      </w:r>
      <w:r w:rsidR="00E37A3F" w:rsidRPr="00A50CCF">
        <w:rPr>
          <w:lang w:val="es-ES"/>
        </w:rPr>
        <w:t xml:space="preserve">) </w:t>
      </w:r>
      <w:r w:rsidR="00664420" w:rsidRPr="00A50CCF">
        <w:rPr>
          <w:lang w:val="es-ES"/>
        </w:rPr>
        <w:t xml:space="preserve">Respuesta </w:t>
      </w:r>
      <w:r w:rsidR="00664420" w:rsidRPr="00A50CCF">
        <w:rPr>
          <w:rFonts w:eastAsia="Calibri"/>
          <w:lang w:eastAsia="en-US"/>
        </w:rPr>
        <w:t>del Sujeto Obligado</w:t>
      </w:r>
      <w:bookmarkEnd w:id="7"/>
    </w:p>
    <w:p w14:paraId="6127D92C" w14:textId="77777777" w:rsidR="00034189" w:rsidRPr="00A50CCF" w:rsidRDefault="00034189" w:rsidP="00034189">
      <w:pPr>
        <w:rPr>
          <w:rFonts w:cs="Arial"/>
        </w:rPr>
      </w:pPr>
      <w:r w:rsidRPr="00A50CCF">
        <w:t xml:space="preserve">De las constancias que obran en el </w:t>
      </w:r>
      <w:r w:rsidRPr="00A50CCF">
        <w:rPr>
          <w:b/>
        </w:rPr>
        <w:t>SAIMEX,</w:t>
      </w:r>
      <w:r w:rsidRPr="00A50CCF">
        <w:t xml:space="preserve"> se advierte que </w:t>
      </w:r>
      <w:r w:rsidRPr="00A50CCF">
        <w:rPr>
          <w:rFonts w:cs="Arial"/>
          <w:b/>
        </w:rPr>
        <w:t>EL SUJETO OBLIGADO</w:t>
      </w:r>
      <w:r w:rsidRPr="00A50CCF">
        <w:rPr>
          <w:rFonts w:cs="Arial"/>
        </w:rPr>
        <w:t xml:space="preserve"> no entregó la respuesta a la solicitud de Información Pública realizada por </w:t>
      </w:r>
      <w:r w:rsidRPr="00A50CCF">
        <w:rPr>
          <w:b/>
          <w:bCs/>
        </w:rPr>
        <w:t>LA PARTE RECURRENTE</w:t>
      </w:r>
      <w:r w:rsidRPr="00A50CCF">
        <w:rPr>
          <w:rFonts w:cs="Arial"/>
        </w:rPr>
        <w:t>.</w:t>
      </w:r>
    </w:p>
    <w:p w14:paraId="52460699" w14:textId="77777777" w:rsidR="00664420" w:rsidRPr="00A50CCF" w:rsidRDefault="00664420" w:rsidP="00404336">
      <w:pPr>
        <w:autoSpaceDE w:val="0"/>
        <w:autoSpaceDN w:val="0"/>
        <w:adjustRightInd w:val="0"/>
        <w:ind w:right="-28"/>
        <w:rPr>
          <w:rFonts w:cs="Tahoma"/>
          <w:bCs/>
          <w:szCs w:val="22"/>
        </w:rPr>
      </w:pPr>
    </w:p>
    <w:p w14:paraId="5A5DAB9E" w14:textId="77777777" w:rsidR="00E37A3F" w:rsidRPr="00A50CCF" w:rsidRDefault="00E37A3F" w:rsidP="00404336">
      <w:pPr>
        <w:pStyle w:val="Ttulo2"/>
        <w:jc w:val="left"/>
      </w:pPr>
      <w:bookmarkStart w:id="8" w:name="_Toc175217714"/>
      <w:r w:rsidRPr="00A50CCF">
        <w:t>DEL RECURSO DE REVISIÓN</w:t>
      </w:r>
      <w:bookmarkEnd w:id="8"/>
    </w:p>
    <w:p w14:paraId="0B17CD08" w14:textId="77777777" w:rsidR="00664420" w:rsidRPr="00A50CCF" w:rsidRDefault="00664420" w:rsidP="00404336">
      <w:pPr>
        <w:autoSpaceDE w:val="0"/>
        <w:autoSpaceDN w:val="0"/>
        <w:adjustRightInd w:val="0"/>
        <w:ind w:right="-28"/>
        <w:rPr>
          <w:rFonts w:cs="Tahoma"/>
          <w:bCs/>
          <w:szCs w:val="22"/>
          <w:lang w:val="es-ES"/>
        </w:rPr>
      </w:pPr>
    </w:p>
    <w:p w14:paraId="2B216813" w14:textId="61ADBB2B" w:rsidR="00664420" w:rsidRPr="00A50CCF" w:rsidRDefault="006E25BC" w:rsidP="00404336">
      <w:pPr>
        <w:pStyle w:val="Ttulo3"/>
        <w:spacing w:line="360" w:lineRule="auto"/>
      </w:pPr>
      <w:bookmarkStart w:id="9" w:name="_Toc175217715"/>
      <w:r w:rsidRPr="00A50CCF">
        <w:rPr>
          <w:szCs w:val="32"/>
        </w:rPr>
        <w:t>a)</w:t>
      </w:r>
      <w:r w:rsidRPr="00A50CCF">
        <w:t xml:space="preserve"> </w:t>
      </w:r>
      <w:r w:rsidR="00664420" w:rsidRPr="00A50CCF">
        <w:t>Interposición del Recurso de Revisión</w:t>
      </w:r>
      <w:bookmarkEnd w:id="9"/>
    </w:p>
    <w:p w14:paraId="6279C622" w14:textId="32C57CBD" w:rsidR="00664420" w:rsidRPr="00A50CCF" w:rsidRDefault="00664420" w:rsidP="00404336">
      <w:pPr>
        <w:autoSpaceDE w:val="0"/>
        <w:autoSpaceDN w:val="0"/>
        <w:adjustRightInd w:val="0"/>
        <w:ind w:right="-28"/>
        <w:rPr>
          <w:rFonts w:cs="Tahoma"/>
          <w:szCs w:val="22"/>
        </w:rPr>
      </w:pPr>
      <w:r w:rsidRPr="00A50CCF">
        <w:rPr>
          <w:rFonts w:cs="Tahoma"/>
          <w:szCs w:val="22"/>
        </w:rPr>
        <w:t xml:space="preserve">El </w:t>
      </w:r>
      <w:r w:rsidR="00C30B99" w:rsidRPr="00A50CCF">
        <w:rPr>
          <w:rFonts w:cs="Tahoma"/>
          <w:b/>
          <w:bCs/>
          <w:szCs w:val="22"/>
        </w:rPr>
        <w:t>treinta y uno de mayo</w:t>
      </w:r>
      <w:r w:rsidR="00C460FB" w:rsidRPr="00A50CCF">
        <w:rPr>
          <w:rFonts w:cs="Tahoma"/>
          <w:b/>
          <w:bCs/>
          <w:szCs w:val="22"/>
        </w:rPr>
        <w:t xml:space="preserve"> </w:t>
      </w:r>
      <w:r w:rsidRPr="00A50CCF">
        <w:rPr>
          <w:rFonts w:cs="Tahoma"/>
          <w:b/>
          <w:bCs/>
          <w:szCs w:val="22"/>
        </w:rPr>
        <w:t xml:space="preserve">de dos mil </w:t>
      </w:r>
      <w:r w:rsidR="00C30B99" w:rsidRPr="00A50CCF">
        <w:rPr>
          <w:rFonts w:cs="Tahoma"/>
          <w:b/>
          <w:bCs/>
          <w:szCs w:val="22"/>
        </w:rPr>
        <w:t>veintitrés</w:t>
      </w:r>
      <w:r w:rsidR="00962628" w:rsidRPr="00A50CCF">
        <w:rPr>
          <w:rFonts w:cs="Tahoma"/>
          <w:b/>
          <w:bCs/>
          <w:szCs w:val="22"/>
        </w:rPr>
        <w:t>,</w:t>
      </w:r>
      <w:r w:rsidR="00C460FB" w:rsidRPr="00A50CCF">
        <w:rPr>
          <w:rFonts w:cs="Tahoma"/>
          <w:b/>
          <w:bCs/>
          <w:szCs w:val="22"/>
        </w:rPr>
        <w:t xml:space="preserve"> </w:t>
      </w:r>
      <w:r w:rsidR="00F75D23" w:rsidRPr="00A50CCF">
        <w:rPr>
          <w:rFonts w:cs="Tahoma"/>
          <w:b/>
          <w:bCs/>
          <w:szCs w:val="22"/>
        </w:rPr>
        <w:t>LA PARTE RECURRENTE</w:t>
      </w:r>
      <w:r w:rsidR="00F75D23" w:rsidRPr="00A50CCF">
        <w:rPr>
          <w:rFonts w:cs="Tahoma"/>
          <w:szCs w:val="22"/>
        </w:rPr>
        <w:t xml:space="preserve"> interpuso el recurso de revisión en contra de la respuesta emitida por </w:t>
      </w:r>
      <w:r w:rsidR="008E070D" w:rsidRPr="00A50CCF">
        <w:rPr>
          <w:rFonts w:cs="Tahoma"/>
          <w:b/>
          <w:bCs/>
          <w:szCs w:val="22"/>
        </w:rPr>
        <w:t>EL</w:t>
      </w:r>
      <w:r w:rsidR="00F75D23" w:rsidRPr="00A50CCF">
        <w:rPr>
          <w:rFonts w:cs="Tahoma"/>
          <w:szCs w:val="22"/>
        </w:rPr>
        <w:t xml:space="preserve"> </w:t>
      </w:r>
      <w:r w:rsidR="00F75D23" w:rsidRPr="00A50CCF">
        <w:rPr>
          <w:rFonts w:cs="Tahoma"/>
          <w:b/>
          <w:bCs/>
          <w:szCs w:val="22"/>
        </w:rPr>
        <w:t>SUJETO OBLIGADO</w:t>
      </w:r>
      <w:r w:rsidR="00953430" w:rsidRPr="00A50CCF">
        <w:rPr>
          <w:rFonts w:cs="Tahoma"/>
          <w:szCs w:val="22"/>
        </w:rPr>
        <w:t xml:space="preserve">, mismo que fue registrado en el SAIMEX con el número de expediente </w:t>
      </w:r>
      <w:r w:rsidR="00C30B99" w:rsidRPr="00A50CCF">
        <w:rPr>
          <w:rFonts w:cs="Tahoma"/>
          <w:b/>
          <w:bCs/>
          <w:szCs w:val="22"/>
        </w:rPr>
        <w:t xml:space="preserve">03042/INFOEM/IP/RR/2023 </w:t>
      </w:r>
      <w:r w:rsidR="00953430" w:rsidRPr="00A50CCF">
        <w:rPr>
          <w:rFonts w:cs="Tahoma"/>
          <w:szCs w:val="22"/>
        </w:rPr>
        <w:t>y en el cual manifiesta lo siguiente</w:t>
      </w:r>
      <w:r w:rsidRPr="00A50CCF">
        <w:rPr>
          <w:rFonts w:cs="Tahoma"/>
          <w:szCs w:val="22"/>
        </w:rPr>
        <w:t>:</w:t>
      </w:r>
    </w:p>
    <w:p w14:paraId="448FA967" w14:textId="77777777" w:rsidR="0073208C" w:rsidRPr="00A50CCF" w:rsidRDefault="0073208C" w:rsidP="00404336">
      <w:pPr>
        <w:tabs>
          <w:tab w:val="left" w:pos="4667"/>
        </w:tabs>
        <w:ind w:right="539"/>
        <w:rPr>
          <w:rFonts w:cs="Tahoma"/>
          <w:szCs w:val="22"/>
        </w:rPr>
      </w:pPr>
    </w:p>
    <w:p w14:paraId="12153283" w14:textId="3E95DBC2" w:rsidR="00664420" w:rsidRPr="00A50CCF" w:rsidRDefault="00664420" w:rsidP="00404336">
      <w:pPr>
        <w:tabs>
          <w:tab w:val="left" w:pos="4667"/>
        </w:tabs>
        <w:ind w:left="567" w:right="539"/>
        <w:rPr>
          <w:rFonts w:cs="Tahoma"/>
          <w:b/>
          <w:iCs/>
        </w:rPr>
      </w:pPr>
      <w:r w:rsidRPr="00A50CCF">
        <w:rPr>
          <w:rFonts w:cs="Tahoma"/>
          <w:b/>
          <w:iCs/>
        </w:rPr>
        <w:t>ACTO IMPUGNADO</w:t>
      </w:r>
    </w:p>
    <w:p w14:paraId="523F8BF4" w14:textId="7B953227" w:rsidR="00664420" w:rsidRPr="00A50CCF" w:rsidRDefault="00E4033C" w:rsidP="00065341">
      <w:pPr>
        <w:pStyle w:val="Puesto"/>
      </w:pPr>
      <w:r w:rsidRPr="00A50CCF">
        <w:t>“</w:t>
      </w:r>
      <w:r w:rsidR="00C30B99" w:rsidRPr="00A50CCF">
        <w:t>No entrego información</w:t>
      </w:r>
      <w:r w:rsidRPr="00A50CCF">
        <w:t>” (Sic)</w:t>
      </w:r>
    </w:p>
    <w:p w14:paraId="6AE8EA9A" w14:textId="77777777" w:rsidR="00664420" w:rsidRPr="00A50CCF" w:rsidRDefault="00664420" w:rsidP="00404336">
      <w:pPr>
        <w:tabs>
          <w:tab w:val="left" w:pos="4667"/>
        </w:tabs>
        <w:ind w:left="567" w:right="539"/>
        <w:rPr>
          <w:rFonts w:cs="Tahoma"/>
          <w:bCs/>
          <w:i/>
        </w:rPr>
      </w:pPr>
    </w:p>
    <w:p w14:paraId="047D036B" w14:textId="161C8403" w:rsidR="00664420" w:rsidRPr="00A50CCF" w:rsidRDefault="00664420" w:rsidP="00404336">
      <w:pPr>
        <w:tabs>
          <w:tab w:val="left" w:pos="4667"/>
        </w:tabs>
        <w:ind w:left="567" w:right="539"/>
        <w:rPr>
          <w:rFonts w:cs="Tahoma"/>
          <w:b/>
          <w:iCs/>
        </w:rPr>
      </w:pPr>
      <w:r w:rsidRPr="00A50CCF">
        <w:rPr>
          <w:rFonts w:cs="Tahoma"/>
          <w:b/>
          <w:iCs/>
        </w:rPr>
        <w:t>RAZONES O MOTIVOS DE LA INCONFORMIDAD</w:t>
      </w:r>
    </w:p>
    <w:p w14:paraId="1DAE2563" w14:textId="7495FF64" w:rsidR="00953430" w:rsidRPr="00A50CCF" w:rsidRDefault="009D5A76" w:rsidP="00065341">
      <w:pPr>
        <w:pStyle w:val="Puesto"/>
      </w:pPr>
      <w:r w:rsidRPr="00A50CCF">
        <w:t>“</w:t>
      </w:r>
      <w:r w:rsidR="00C30B99" w:rsidRPr="00A50CCF">
        <w:t>No entrego información</w:t>
      </w:r>
      <w:r w:rsidRPr="00A50CCF">
        <w:t>”</w:t>
      </w:r>
      <w:r w:rsidR="00CA11CF" w:rsidRPr="00A50CCF">
        <w:t xml:space="preserve"> </w:t>
      </w:r>
      <w:r w:rsidRPr="00A50CCF">
        <w:t>(Sic)</w:t>
      </w:r>
    </w:p>
    <w:p w14:paraId="48FE75EA" w14:textId="4AFD4853" w:rsidR="00664420" w:rsidRPr="00A50CCF" w:rsidRDefault="00664420" w:rsidP="00404336">
      <w:pPr>
        <w:tabs>
          <w:tab w:val="left" w:pos="4667"/>
        </w:tabs>
        <w:ind w:right="567"/>
        <w:rPr>
          <w:rFonts w:cs="Tahoma"/>
          <w:b/>
          <w:bCs/>
        </w:rPr>
      </w:pPr>
    </w:p>
    <w:p w14:paraId="6804DEF1" w14:textId="3C4F6CB5" w:rsidR="00664420" w:rsidRPr="00A50CCF" w:rsidRDefault="006E25BC" w:rsidP="00404336">
      <w:pPr>
        <w:pStyle w:val="Ttulo3"/>
        <w:spacing w:line="360" w:lineRule="auto"/>
      </w:pPr>
      <w:bookmarkStart w:id="10" w:name="_Toc175217716"/>
      <w:r w:rsidRPr="00A50CCF">
        <w:lastRenderedPageBreak/>
        <w:t>b</w:t>
      </w:r>
      <w:r w:rsidR="00664420" w:rsidRPr="00A50CCF">
        <w:t>) Turno del Recurso de Revisión</w:t>
      </w:r>
      <w:bookmarkEnd w:id="10"/>
    </w:p>
    <w:p w14:paraId="1173671B" w14:textId="4A16CBA2" w:rsidR="00C72DAA" w:rsidRPr="00A50CCF" w:rsidRDefault="00C72DAA" w:rsidP="00404336">
      <w:r w:rsidRPr="00A50CCF">
        <w:t>Con fundamento en el artículo 185, fracción I de la Ley de Transparencia y Acceso a la Información Pública del Estado de México y Municipios, el</w:t>
      </w:r>
      <w:r w:rsidRPr="00A50CCF">
        <w:rPr>
          <w:b/>
          <w:bCs/>
        </w:rPr>
        <w:t xml:space="preserve"> </w:t>
      </w:r>
      <w:r w:rsidR="001C1DCE" w:rsidRPr="00A50CCF">
        <w:rPr>
          <w:rFonts w:cs="Tahoma"/>
          <w:b/>
          <w:bCs/>
          <w:szCs w:val="22"/>
        </w:rPr>
        <w:t>treinta y uno de mayo de dos mil veintitrés</w:t>
      </w:r>
      <w:r w:rsidRPr="00A50CCF">
        <w:t xml:space="preserve"> se turnó el recurso de revisión a través del</w:t>
      </w:r>
      <w:r w:rsidRPr="00A50CCF">
        <w:rPr>
          <w:rFonts w:eastAsia="Arial Unicode MS"/>
        </w:rPr>
        <w:t xml:space="preserve"> </w:t>
      </w:r>
      <w:r w:rsidRPr="00A50CCF">
        <w:rPr>
          <w:rFonts w:eastAsia="Arial Unicode MS"/>
          <w:bCs/>
        </w:rPr>
        <w:t>SAIMEX</w:t>
      </w:r>
      <w:r w:rsidRPr="00A50CCF">
        <w:t xml:space="preserve"> a la </w:t>
      </w:r>
      <w:r w:rsidRPr="00A50CCF">
        <w:rPr>
          <w:b/>
        </w:rPr>
        <w:t>Comisionada Sharon Cristina Morales Martínez</w:t>
      </w:r>
      <w:r w:rsidRPr="00A50CCF">
        <w:rPr>
          <w:bCs/>
        </w:rPr>
        <w:t xml:space="preserve">, </w:t>
      </w:r>
      <w:r w:rsidRPr="00A50CCF">
        <w:t xml:space="preserve">a efecto de decretar su admisión o desechamiento. </w:t>
      </w:r>
    </w:p>
    <w:p w14:paraId="18F305CB" w14:textId="77777777" w:rsidR="00664420" w:rsidRPr="00A50CCF" w:rsidRDefault="00664420" w:rsidP="00404336">
      <w:pPr>
        <w:rPr>
          <w:rFonts w:eastAsia="Batang" w:cs="Tahoma"/>
          <w:bCs/>
          <w:szCs w:val="22"/>
        </w:rPr>
      </w:pPr>
    </w:p>
    <w:p w14:paraId="3E31EC2D" w14:textId="295256A1" w:rsidR="00664420" w:rsidRPr="00A50CCF" w:rsidRDefault="006E25BC" w:rsidP="00404336">
      <w:pPr>
        <w:pStyle w:val="Ttulo3"/>
        <w:spacing w:line="360" w:lineRule="auto"/>
      </w:pPr>
      <w:bookmarkStart w:id="11" w:name="_Toc175217717"/>
      <w:r w:rsidRPr="00A50CCF">
        <w:t>c</w:t>
      </w:r>
      <w:r w:rsidR="00664420" w:rsidRPr="00A50CCF">
        <w:t>) Admisión del Recurso de Revisión</w:t>
      </w:r>
      <w:bookmarkEnd w:id="11"/>
    </w:p>
    <w:p w14:paraId="240447D5" w14:textId="2DB68F93" w:rsidR="000E09C4" w:rsidRPr="00A50CCF" w:rsidRDefault="000E09C4" w:rsidP="00404336">
      <w:pPr>
        <w:rPr>
          <w:rFonts w:cs="Arial"/>
        </w:rPr>
      </w:pPr>
      <w:r w:rsidRPr="00A50CCF">
        <w:rPr>
          <w:rFonts w:cs="Arial"/>
        </w:rPr>
        <w:t xml:space="preserve">El </w:t>
      </w:r>
      <w:r w:rsidR="001C1DCE" w:rsidRPr="00A50CCF">
        <w:rPr>
          <w:rFonts w:eastAsia="Palatino Linotype" w:cs="Palatino Linotype"/>
          <w:b/>
        </w:rPr>
        <w:t>primero de junio de dos mil veintitrés</w:t>
      </w:r>
      <w:r w:rsidR="00C460FB" w:rsidRPr="00A50CCF">
        <w:rPr>
          <w:rFonts w:eastAsia="Palatino Linotype" w:cs="Palatino Linotype"/>
          <w:b/>
        </w:rPr>
        <w:t xml:space="preserve"> </w:t>
      </w:r>
      <w:r w:rsidRPr="00A50CCF">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50CCF">
        <w:rPr>
          <w:rFonts w:cs="Arial"/>
        </w:rPr>
        <w:t>, fracción II</w:t>
      </w:r>
      <w:r w:rsidRPr="00A50CCF">
        <w:rPr>
          <w:rFonts w:cs="Arial"/>
        </w:rPr>
        <w:t xml:space="preserve"> de la Ley de Transparencia y Acceso a la Información Pública del Estado de México y Municipios.</w:t>
      </w:r>
    </w:p>
    <w:p w14:paraId="03F21413" w14:textId="77777777" w:rsidR="00C460FB" w:rsidRPr="00A50CCF" w:rsidRDefault="00C460FB" w:rsidP="00404336">
      <w:pPr>
        <w:pStyle w:val="Ttulo3"/>
        <w:spacing w:line="360" w:lineRule="auto"/>
      </w:pPr>
    </w:p>
    <w:p w14:paraId="3B820F58" w14:textId="184E03BC" w:rsidR="00865CF4" w:rsidRPr="00A50CCF" w:rsidRDefault="00C460FB" w:rsidP="00404336">
      <w:pPr>
        <w:pStyle w:val="Ttulo3"/>
        <w:spacing w:line="360" w:lineRule="auto"/>
      </w:pPr>
      <w:bookmarkStart w:id="12" w:name="_Toc175217718"/>
      <w:r w:rsidRPr="00A50CCF">
        <w:t>d</w:t>
      </w:r>
      <w:r w:rsidR="00664420" w:rsidRPr="00A50CCF">
        <w:t xml:space="preserve">) </w:t>
      </w:r>
      <w:r w:rsidR="00865CF4" w:rsidRPr="00A50CCF">
        <w:t>Informe Justificado del Sujeto Obligado</w:t>
      </w:r>
      <w:bookmarkEnd w:id="12"/>
    </w:p>
    <w:p w14:paraId="68F0A07C" w14:textId="7BA63DAF" w:rsidR="00EA2834" w:rsidRPr="00A50CCF" w:rsidRDefault="00EA2834" w:rsidP="00404336">
      <w:pPr>
        <w:rPr>
          <w:rFonts w:cs="Tahoma"/>
          <w:bCs/>
          <w:szCs w:val="24"/>
        </w:rPr>
      </w:pPr>
    </w:p>
    <w:p w14:paraId="752C4BA4" w14:textId="173CF4D3" w:rsidR="00EA2834" w:rsidRPr="00A50CCF" w:rsidRDefault="00EA2834" w:rsidP="00EA2834">
      <w:pPr>
        <w:rPr>
          <w:rFonts w:eastAsia="Calibri" w:cs="Tahoma"/>
          <w:szCs w:val="22"/>
          <w:lang w:eastAsia="en-US"/>
        </w:rPr>
      </w:pPr>
      <w:r w:rsidRPr="00A50CCF">
        <w:rPr>
          <w:rFonts w:cs="Tahoma"/>
          <w:bCs/>
          <w:szCs w:val="24"/>
        </w:rPr>
        <w:t xml:space="preserve">El </w:t>
      </w:r>
      <w:r w:rsidRPr="00A50CCF">
        <w:rPr>
          <w:rFonts w:cs="Tahoma"/>
          <w:b/>
          <w:szCs w:val="24"/>
        </w:rPr>
        <w:t>veintiuno de septiembre de dos mil veintitrés EL SUJETO OBLIGADO</w:t>
      </w:r>
      <w:r w:rsidRPr="00A50CCF">
        <w:rPr>
          <w:rFonts w:cs="Tahoma"/>
          <w:bCs/>
          <w:szCs w:val="24"/>
        </w:rPr>
        <w:t xml:space="preserve"> rindió su informe justificado a través del SAIMEX</w:t>
      </w:r>
      <w:r w:rsidR="00133B4A" w:rsidRPr="00A50CCF">
        <w:rPr>
          <w:rFonts w:cs="Tahoma"/>
          <w:bCs/>
          <w:szCs w:val="24"/>
        </w:rPr>
        <w:t xml:space="preserve">, mediante el </w:t>
      </w:r>
      <w:r w:rsidRPr="00A50CCF">
        <w:rPr>
          <w:rFonts w:eastAsia="Calibri" w:cs="Tahoma"/>
          <w:szCs w:val="22"/>
          <w:lang w:eastAsia="en-US"/>
        </w:rPr>
        <w:t xml:space="preserve">archivo </w:t>
      </w:r>
      <w:r w:rsidRPr="00A50CCF">
        <w:rPr>
          <w:rFonts w:eastAsia="Calibri" w:cs="Tahoma"/>
          <w:i/>
          <w:iCs/>
          <w:szCs w:val="22"/>
          <w:lang w:eastAsia="en-US"/>
        </w:rPr>
        <w:t>“CONTESTACION SOLICITUD INFORMACION.pdf”</w:t>
      </w:r>
      <w:r w:rsidR="00133B4A" w:rsidRPr="00A50CCF">
        <w:rPr>
          <w:rFonts w:eastAsia="Calibri" w:cs="Tahoma"/>
          <w:i/>
          <w:iCs/>
          <w:szCs w:val="22"/>
          <w:lang w:eastAsia="en-US"/>
        </w:rPr>
        <w:t>,</w:t>
      </w:r>
      <w:r w:rsidR="00133B4A" w:rsidRPr="00A50CCF">
        <w:rPr>
          <w:rFonts w:eastAsia="Calibri" w:cs="Tahoma"/>
          <w:szCs w:val="22"/>
          <w:lang w:eastAsia="en-US"/>
        </w:rPr>
        <w:t xml:space="preserve"> </w:t>
      </w:r>
      <w:r w:rsidR="007A482E" w:rsidRPr="00A50CCF">
        <w:rPr>
          <w:rFonts w:eastAsia="Calibri" w:cs="Tahoma"/>
          <w:szCs w:val="22"/>
          <w:lang w:eastAsia="en-US"/>
        </w:rPr>
        <w:t>de cuyo contenido se advierte lo siguiente:</w:t>
      </w:r>
    </w:p>
    <w:p w14:paraId="77351438" w14:textId="77777777" w:rsidR="007A482E" w:rsidRPr="00A50CCF" w:rsidRDefault="007A482E" w:rsidP="00EA2834">
      <w:pPr>
        <w:rPr>
          <w:rFonts w:eastAsia="Calibri" w:cs="Tahoma"/>
          <w:szCs w:val="22"/>
          <w:lang w:eastAsia="en-US"/>
        </w:rPr>
      </w:pPr>
    </w:p>
    <w:p w14:paraId="0D34CA2D" w14:textId="209055F7" w:rsidR="007A482E" w:rsidRPr="00A50CCF" w:rsidRDefault="007A482E" w:rsidP="007A482E">
      <w:pPr>
        <w:pStyle w:val="Prrafodelista"/>
        <w:numPr>
          <w:ilvl w:val="0"/>
          <w:numId w:val="20"/>
        </w:numPr>
        <w:rPr>
          <w:rFonts w:eastAsia="Calibri" w:cs="Tahoma"/>
          <w:szCs w:val="22"/>
          <w:lang w:eastAsia="en-US"/>
        </w:rPr>
      </w:pPr>
      <w:r w:rsidRPr="00A50CCF">
        <w:rPr>
          <w:rFonts w:eastAsia="Calibri" w:cs="Tahoma"/>
          <w:szCs w:val="22"/>
          <w:lang w:eastAsia="en-US"/>
        </w:rPr>
        <w:t xml:space="preserve">El Oficio de número TRANS/00044/2023 del quince de septiembre de dos mil veintitrés, mediante el cual </w:t>
      </w:r>
      <w:r w:rsidRPr="00A50CCF">
        <w:rPr>
          <w:rFonts w:eastAsia="Calibri" w:cs="Tahoma"/>
          <w:b/>
          <w:bCs/>
          <w:szCs w:val="22"/>
          <w:lang w:eastAsia="en-US"/>
        </w:rPr>
        <w:t>EL SUJETO OBLIGADO</w:t>
      </w:r>
      <w:r w:rsidRPr="00A50CCF">
        <w:rPr>
          <w:rFonts w:eastAsia="Calibri" w:cs="Tahoma"/>
          <w:szCs w:val="22"/>
          <w:lang w:eastAsia="en-US"/>
        </w:rPr>
        <w:t xml:space="preserve"> emite su respuesta a diversas solicitudes de entre las cuales destaca el número de folio “00017/TEXCALTI/IP/2023”, adjuntando</w:t>
      </w:r>
      <w:r w:rsidR="008E070D" w:rsidRPr="00A50CCF">
        <w:rPr>
          <w:rFonts w:eastAsia="Calibri" w:cs="Tahoma"/>
          <w:szCs w:val="22"/>
          <w:lang w:eastAsia="en-US"/>
        </w:rPr>
        <w:t xml:space="preserve"> cuarenta y un recibos de nómina del 2022 y 2023 de la servidora p</w:t>
      </w:r>
      <w:r w:rsidR="00133B4A" w:rsidRPr="00A50CCF">
        <w:rPr>
          <w:rFonts w:eastAsia="Calibri" w:cs="Tahoma"/>
          <w:szCs w:val="22"/>
          <w:lang w:eastAsia="en-US"/>
        </w:rPr>
        <w:t>ú</w:t>
      </w:r>
      <w:r w:rsidR="008E070D" w:rsidRPr="00A50CCF">
        <w:rPr>
          <w:rFonts w:eastAsia="Calibri" w:cs="Tahoma"/>
          <w:szCs w:val="22"/>
          <w:lang w:eastAsia="en-US"/>
        </w:rPr>
        <w:t>blica referida en la solicitud</w:t>
      </w:r>
      <w:r w:rsidR="00133B4A" w:rsidRPr="00A50CCF">
        <w:rPr>
          <w:rFonts w:eastAsia="Calibri" w:cs="Tahoma"/>
          <w:szCs w:val="22"/>
          <w:lang w:eastAsia="en-US"/>
        </w:rPr>
        <w:t>;</w:t>
      </w:r>
      <w:r w:rsidR="008E070D" w:rsidRPr="00A50CCF">
        <w:rPr>
          <w:rFonts w:eastAsia="Calibri" w:cs="Tahoma"/>
          <w:szCs w:val="22"/>
          <w:lang w:eastAsia="en-US"/>
        </w:rPr>
        <w:t xml:space="preserve"> as</w:t>
      </w:r>
      <w:r w:rsidR="00133B4A" w:rsidRPr="00A50CCF">
        <w:rPr>
          <w:rFonts w:eastAsia="Calibri" w:cs="Tahoma"/>
          <w:szCs w:val="22"/>
          <w:lang w:eastAsia="en-US"/>
        </w:rPr>
        <w:t>i</w:t>
      </w:r>
      <w:r w:rsidR="008E070D" w:rsidRPr="00A50CCF">
        <w:rPr>
          <w:rFonts w:eastAsia="Calibri" w:cs="Tahoma"/>
          <w:szCs w:val="22"/>
          <w:lang w:eastAsia="en-US"/>
        </w:rPr>
        <w:t>mismo</w:t>
      </w:r>
      <w:r w:rsidRPr="00A50CCF">
        <w:rPr>
          <w:rFonts w:eastAsia="Calibri" w:cs="Tahoma"/>
          <w:szCs w:val="22"/>
          <w:lang w:eastAsia="en-US"/>
        </w:rPr>
        <w:t xml:space="preserve"> </w:t>
      </w:r>
      <w:r w:rsidR="008E070D" w:rsidRPr="00A50CCF">
        <w:rPr>
          <w:rFonts w:eastAsia="Calibri" w:cs="Tahoma"/>
          <w:szCs w:val="22"/>
          <w:lang w:eastAsia="en-US"/>
        </w:rPr>
        <w:t>informa que por cuanto hace al 2016, no se tiene información de las mismas.</w:t>
      </w:r>
    </w:p>
    <w:p w14:paraId="39223AE9" w14:textId="10869CE0" w:rsidR="009E5CF4" w:rsidRPr="00A50CCF" w:rsidRDefault="009E5CF4" w:rsidP="009E5CF4">
      <w:pPr>
        <w:rPr>
          <w:rFonts w:eastAsia="Calibri" w:cs="Tahoma"/>
          <w:szCs w:val="22"/>
          <w:lang w:eastAsia="en-US"/>
        </w:rPr>
      </w:pPr>
      <w:r w:rsidRPr="00A50CCF">
        <w:rPr>
          <w:rFonts w:eastAsia="Calibri" w:cs="Tahoma"/>
          <w:szCs w:val="22"/>
          <w:lang w:eastAsia="en-US"/>
        </w:rPr>
        <w:lastRenderedPageBreak/>
        <w:t xml:space="preserve">Es importante mencionar que este Órgano Garante no puso a la vista de </w:t>
      </w:r>
      <w:r w:rsidRPr="00A50CCF">
        <w:rPr>
          <w:rFonts w:eastAsia="Calibri" w:cs="Tahoma"/>
          <w:b/>
          <w:bCs/>
          <w:szCs w:val="22"/>
          <w:lang w:eastAsia="en-US"/>
        </w:rPr>
        <w:t>LA PARTE RECURRENTE</w:t>
      </w:r>
      <w:r w:rsidRPr="00A50CCF">
        <w:rPr>
          <w:rFonts w:eastAsia="Calibri" w:cs="Tahoma"/>
          <w:szCs w:val="22"/>
          <w:lang w:eastAsia="en-US"/>
        </w:rPr>
        <w:t xml:space="preserve"> el archivo antes mencionado a fin de garantizar la protección de los datos personales, pues se advierte que se dejaron a la vista dados susceptibles de ser clasificados como confidenciales.</w:t>
      </w:r>
    </w:p>
    <w:p w14:paraId="33994FD2" w14:textId="30D6AFE9" w:rsidR="00EA2834" w:rsidRPr="00A50CCF" w:rsidRDefault="00EA2834" w:rsidP="00404336">
      <w:pPr>
        <w:rPr>
          <w:rFonts w:cs="Tahoma"/>
          <w:bCs/>
          <w:szCs w:val="24"/>
        </w:rPr>
      </w:pPr>
    </w:p>
    <w:p w14:paraId="372758FC" w14:textId="5BB8863E" w:rsidR="00EA2834" w:rsidRPr="00A50CCF" w:rsidRDefault="00EA2834" w:rsidP="00404336">
      <w:pPr>
        <w:rPr>
          <w:rFonts w:eastAsia="Calibri" w:cs="Tahoma"/>
          <w:szCs w:val="22"/>
          <w:lang w:eastAsia="en-US"/>
        </w:rPr>
      </w:pPr>
      <w:r w:rsidRPr="00A50CCF">
        <w:rPr>
          <w:rFonts w:cs="Tahoma"/>
          <w:bCs/>
          <w:szCs w:val="24"/>
        </w:rPr>
        <w:t xml:space="preserve">Ahora bien, se advierte que el </w:t>
      </w:r>
      <w:r w:rsidRPr="00A50CCF">
        <w:rPr>
          <w:rFonts w:cs="Tahoma"/>
          <w:b/>
          <w:szCs w:val="24"/>
        </w:rPr>
        <w:t>doce de octubre de dos mil veintitrés, EL SUJETO OBLIGADO</w:t>
      </w:r>
      <w:r w:rsidRPr="00A50CCF">
        <w:rPr>
          <w:rFonts w:cs="Tahoma"/>
          <w:bCs/>
          <w:szCs w:val="24"/>
        </w:rPr>
        <w:t xml:space="preserve"> remitió en alcance a su informe justificado</w:t>
      </w:r>
      <w:r w:rsidR="009E5CF4" w:rsidRPr="00A50CCF">
        <w:rPr>
          <w:rFonts w:cs="Tahoma"/>
          <w:bCs/>
          <w:szCs w:val="24"/>
        </w:rPr>
        <w:t>,</w:t>
      </w:r>
      <w:r w:rsidRPr="00A50CCF">
        <w:rPr>
          <w:rFonts w:cs="Tahoma"/>
          <w:bCs/>
          <w:szCs w:val="24"/>
        </w:rPr>
        <w:t xml:space="preserve"> a través del SAIMEX</w:t>
      </w:r>
      <w:r w:rsidR="009E5CF4" w:rsidRPr="00A50CCF">
        <w:rPr>
          <w:rFonts w:cs="Tahoma"/>
          <w:bCs/>
          <w:szCs w:val="24"/>
        </w:rPr>
        <w:t>,</w:t>
      </w:r>
      <w:r w:rsidRPr="00A50CCF">
        <w:rPr>
          <w:rFonts w:cs="Tahoma"/>
          <w:bCs/>
          <w:szCs w:val="24"/>
        </w:rPr>
        <w:t xml:space="preserve"> </w:t>
      </w:r>
      <w:r w:rsidRPr="00A50CCF">
        <w:rPr>
          <w:rFonts w:eastAsia="Calibri" w:cs="Tahoma"/>
          <w:szCs w:val="22"/>
          <w:lang w:eastAsia="en-US"/>
        </w:rPr>
        <w:t xml:space="preserve">el archivo </w:t>
      </w:r>
      <w:r w:rsidRPr="00A50CCF">
        <w:rPr>
          <w:rFonts w:eastAsia="Calibri" w:cs="Tahoma"/>
          <w:i/>
          <w:iCs/>
          <w:szCs w:val="22"/>
          <w:lang w:eastAsia="en-US"/>
        </w:rPr>
        <w:t xml:space="preserve">“RESPUESTA RECURSO DE REVISION.pdf”, </w:t>
      </w:r>
      <w:r w:rsidRPr="00A50CCF">
        <w:rPr>
          <w:rFonts w:eastAsia="Calibri" w:cs="Tahoma"/>
          <w:szCs w:val="22"/>
          <w:lang w:eastAsia="en-US"/>
        </w:rPr>
        <w:t>de cuyo contenido se adviert</w:t>
      </w:r>
      <w:r w:rsidR="004A548E" w:rsidRPr="00A50CCF">
        <w:rPr>
          <w:rFonts w:eastAsia="Calibri" w:cs="Tahoma"/>
          <w:szCs w:val="22"/>
          <w:lang w:eastAsia="en-US"/>
        </w:rPr>
        <w:t>e lo siguientes:</w:t>
      </w:r>
    </w:p>
    <w:p w14:paraId="3686F221" w14:textId="7203B0CE" w:rsidR="004A548E" w:rsidRPr="00A50CCF" w:rsidRDefault="004A548E" w:rsidP="00404336">
      <w:pPr>
        <w:rPr>
          <w:rFonts w:eastAsia="Calibri" w:cs="Tahoma"/>
          <w:szCs w:val="22"/>
          <w:lang w:eastAsia="en-US"/>
        </w:rPr>
      </w:pPr>
    </w:p>
    <w:p w14:paraId="26AF0F3A" w14:textId="77777777" w:rsidR="00945415" w:rsidRPr="00A50CCF" w:rsidRDefault="004A548E" w:rsidP="004A548E">
      <w:pPr>
        <w:pStyle w:val="Prrafodelista"/>
        <w:numPr>
          <w:ilvl w:val="0"/>
          <w:numId w:val="19"/>
        </w:numPr>
        <w:rPr>
          <w:rFonts w:cs="Tahoma"/>
          <w:bCs/>
          <w:szCs w:val="24"/>
        </w:rPr>
      </w:pPr>
      <w:r w:rsidRPr="00A50CCF">
        <w:rPr>
          <w:rFonts w:cs="Tahoma"/>
          <w:bCs/>
          <w:szCs w:val="24"/>
        </w:rPr>
        <w:t xml:space="preserve"> Oficio número PMT/TRANS/00047/2023, del dos de octubre de dos mil </w:t>
      </w:r>
      <w:r w:rsidR="00945415" w:rsidRPr="00A50CCF">
        <w:rPr>
          <w:rFonts w:cs="Tahoma"/>
          <w:bCs/>
          <w:szCs w:val="24"/>
        </w:rPr>
        <w:t>veintitrés</w:t>
      </w:r>
      <w:r w:rsidRPr="00A50CCF">
        <w:rPr>
          <w:rFonts w:cs="Tahoma"/>
          <w:bCs/>
          <w:szCs w:val="24"/>
        </w:rPr>
        <w:t xml:space="preserve">, mediante cual se pretende dar respuesta </w:t>
      </w:r>
      <w:r w:rsidR="00945415" w:rsidRPr="00A50CCF">
        <w:rPr>
          <w:rFonts w:cs="Tahoma"/>
          <w:bCs/>
          <w:szCs w:val="24"/>
        </w:rPr>
        <w:t>a diversas solicitudes de acceso a la información pública, así como a un par de Recursos de Revisión.</w:t>
      </w:r>
    </w:p>
    <w:p w14:paraId="12A2C05B" w14:textId="722CC290" w:rsidR="004A548E" w:rsidRPr="00A50CCF" w:rsidRDefault="00945415" w:rsidP="004A548E">
      <w:pPr>
        <w:pStyle w:val="Prrafodelista"/>
        <w:numPr>
          <w:ilvl w:val="0"/>
          <w:numId w:val="19"/>
        </w:numPr>
        <w:rPr>
          <w:rFonts w:cs="Tahoma"/>
          <w:bCs/>
          <w:szCs w:val="24"/>
        </w:rPr>
      </w:pPr>
      <w:r w:rsidRPr="00A50CCF">
        <w:rPr>
          <w:rFonts w:cs="Tahoma"/>
          <w:bCs/>
          <w:szCs w:val="24"/>
        </w:rPr>
        <w:t xml:space="preserve">Acta </w:t>
      </w:r>
      <w:r w:rsidR="00CB3B9E" w:rsidRPr="00A50CCF">
        <w:rPr>
          <w:rFonts w:cs="Tahoma"/>
          <w:bCs/>
          <w:szCs w:val="24"/>
        </w:rPr>
        <w:t xml:space="preserve">con número de folio CT/TRANS/00010/2023, </w:t>
      </w:r>
      <w:r w:rsidR="0025235D" w:rsidRPr="00A50CCF">
        <w:rPr>
          <w:rFonts w:cs="Tahoma"/>
          <w:bCs/>
          <w:szCs w:val="24"/>
        </w:rPr>
        <w:t>p</w:t>
      </w:r>
      <w:r w:rsidR="00CB3B9E" w:rsidRPr="00A50CCF">
        <w:rPr>
          <w:rFonts w:cs="Tahoma"/>
          <w:bCs/>
          <w:szCs w:val="24"/>
        </w:rPr>
        <w:t xml:space="preserve">or medio del </w:t>
      </w:r>
      <w:r w:rsidR="0025235D" w:rsidRPr="00A50CCF">
        <w:rPr>
          <w:rFonts w:cs="Tahoma"/>
          <w:bCs/>
          <w:szCs w:val="24"/>
        </w:rPr>
        <w:t>cual se aprueba la clasificación de información confidencial de forma parcial, de los datos personales contenidos en los recibos de nómina remitidos.</w:t>
      </w:r>
    </w:p>
    <w:p w14:paraId="171C7908" w14:textId="6B02C354" w:rsidR="0025235D" w:rsidRPr="00A50CCF" w:rsidRDefault="00273210" w:rsidP="004A548E">
      <w:pPr>
        <w:pStyle w:val="Prrafodelista"/>
        <w:numPr>
          <w:ilvl w:val="0"/>
          <w:numId w:val="19"/>
        </w:numPr>
        <w:rPr>
          <w:rFonts w:cs="Tahoma"/>
          <w:b/>
          <w:szCs w:val="24"/>
        </w:rPr>
      </w:pPr>
      <w:r w:rsidRPr="00A50CCF">
        <w:rPr>
          <w:rFonts w:cs="Tahoma"/>
          <w:bCs/>
          <w:szCs w:val="24"/>
        </w:rPr>
        <w:t xml:space="preserve">De cuyo contenido se advierten 158 documentos de nómina remitidos por </w:t>
      </w:r>
      <w:r w:rsidRPr="00A50CCF">
        <w:rPr>
          <w:rFonts w:cs="Tahoma"/>
          <w:b/>
          <w:szCs w:val="24"/>
        </w:rPr>
        <w:t xml:space="preserve">EL SUJETO OBLIGADO, </w:t>
      </w:r>
      <w:r w:rsidRPr="00A50CCF">
        <w:rPr>
          <w:rFonts w:cs="Tahoma"/>
          <w:bCs/>
          <w:szCs w:val="24"/>
        </w:rPr>
        <w:t>en versión pública.</w:t>
      </w:r>
    </w:p>
    <w:p w14:paraId="7E530F0B" w14:textId="77777777" w:rsidR="00EA2834" w:rsidRPr="00A50CCF" w:rsidRDefault="00EA2834" w:rsidP="00404336">
      <w:pPr>
        <w:rPr>
          <w:rFonts w:cs="Tahoma"/>
          <w:bCs/>
          <w:szCs w:val="24"/>
        </w:rPr>
      </w:pPr>
    </w:p>
    <w:p w14:paraId="6EE37C34" w14:textId="5102DA9B" w:rsidR="00EA2834" w:rsidRPr="00A50CCF" w:rsidRDefault="00EA2834" w:rsidP="00EA2834">
      <w:pPr>
        <w:rPr>
          <w:rFonts w:cs="Tahoma"/>
          <w:bCs/>
          <w:szCs w:val="24"/>
        </w:rPr>
      </w:pPr>
      <w:r w:rsidRPr="00A50CCF">
        <w:rPr>
          <w:rFonts w:cs="Tahoma"/>
          <w:bCs/>
          <w:szCs w:val="24"/>
        </w:rPr>
        <w:t xml:space="preserve">Esta información fue puesta a la vista de </w:t>
      </w:r>
      <w:r w:rsidRPr="00A50CCF">
        <w:rPr>
          <w:rFonts w:cs="Tahoma"/>
          <w:b/>
          <w:szCs w:val="24"/>
        </w:rPr>
        <w:t xml:space="preserve">LA PARTE RECURRENTE </w:t>
      </w:r>
      <w:r w:rsidRPr="00A50CCF">
        <w:rPr>
          <w:rFonts w:cs="Tahoma"/>
          <w:bCs/>
          <w:szCs w:val="24"/>
        </w:rPr>
        <w:t xml:space="preserve">el </w:t>
      </w:r>
      <w:r w:rsidRPr="00A50CCF">
        <w:rPr>
          <w:rFonts w:cs="Tahoma"/>
          <w:b/>
          <w:szCs w:val="24"/>
        </w:rPr>
        <w:t>diez de julio de dos mil veinticuatro</w:t>
      </w:r>
      <w:r w:rsidRPr="00A50CCF">
        <w:rPr>
          <w:rFonts w:cs="Tahoma"/>
          <w:bCs/>
          <w:szCs w:val="24"/>
        </w:rPr>
        <w:t xml:space="preserve"> para que, en un plazo de tres días hábiles, manifestara lo que a su derecho conviniera, de conformidad con lo establecido en el </w:t>
      </w:r>
      <w:r w:rsidRPr="00A50CCF">
        <w:rPr>
          <w:rFonts w:cs="Arial"/>
        </w:rPr>
        <w:t>artículo 185, fracción III de la Ley de Transparencia y Acceso a la Información Pública del Estado de México y Municipios</w:t>
      </w:r>
      <w:r w:rsidRPr="00A50CCF">
        <w:rPr>
          <w:rFonts w:cs="Tahoma"/>
          <w:bCs/>
          <w:szCs w:val="24"/>
        </w:rPr>
        <w:t>.</w:t>
      </w:r>
    </w:p>
    <w:p w14:paraId="31181F86" w14:textId="77777777" w:rsidR="00EA2834" w:rsidRPr="00A50CCF" w:rsidRDefault="00EA2834" w:rsidP="00404336">
      <w:pPr>
        <w:rPr>
          <w:rFonts w:cs="Tahoma"/>
          <w:bCs/>
          <w:szCs w:val="24"/>
        </w:rPr>
      </w:pPr>
    </w:p>
    <w:p w14:paraId="755B7730" w14:textId="0ECAE7DE" w:rsidR="00664420" w:rsidRPr="00A50CCF" w:rsidRDefault="00C460FB" w:rsidP="00404336">
      <w:pPr>
        <w:pStyle w:val="Ttulo3"/>
        <w:spacing w:line="360" w:lineRule="auto"/>
        <w:rPr>
          <w:lang w:val="es-ES"/>
        </w:rPr>
      </w:pPr>
      <w:bookmarkStart w:id="13" w:name="_Toc175217719"/>
      <w:r w:rsidRPr="00A50CCF">
        <w:rPr>
          <w:rFonts w:eastAsia="Calibri"/>
          <w:bCs/>
          <w:lang w:eastAsia="en-US"/>
        </w:rPr>
        <w:t>e</w:t>
      </w:r>
      <w:r w:rsidR="00664420" w:rsidRPr="00A50CCF">
        <w:rPr>
          <w:rFonts w:eastAsia="Calibri"/>
          <w:bCs/>
          <w:lang w:eastAsia="en-US"/>
        </w:rPr>
        <w:t>)</w:t>
      </w:r>
      <w:r w:rsidR="00664420" w:rsidRPr="00A50CCF">
        <w:t xml:space="preserve"> </w:t>
      </w:r>
      <w:r w:rsidR="00865CF4" w:rsidRPr="00A50CCF">
        <w:rPr>
          <w:lang w:val="es-ES"/>
        </w:rPr>
        <w:t>Manifestaciones de la Parte Recurrente</w:t>
      </w:r>
      <w:bookmarkEnd w:id="13"/>
    </w:p>
    <w:p w14:paraId="281432A7" w14:textId="1BACAD63" w:rsidR="004E0438" w:rsidRPr="00A50CCF" w:rsidRDefault="004E0438" w:rsidP="004E0438">
      <w:pPr>
        <w:rPr>
          <w:rFonts w:cs="Tahoma"/>
          <w:bCs/>
          <w:szCs w:val="24"/>
        </w:rPr>
      </w:pPr>
      <w:r w:rsidRPr="00A50CCF">
        <w:rPr>
          <w:rFonts w:cs="Tahoma"/>
          <w:b/>
          <w:szCs w:val="24"/>
        </w:rPr>
        <w:t xml:space="preserve">LA PARTE RECURRENTE </w:t>
      </w:r>
      <w:r w:rsidRPr="00A50CCF">
        <w:rPr>
          <w:rFonts w:cs="Tahoma"/>
          <w:bCs/>
          <w:szCs w:val="24"/>
        </w:rPr>
        <w:t xml:space="preserve">remitió sus manifestaciones a través del SAIMEX el </w:t>
      </w:r>
      <w:r w:rsidRPr="00A50CCF">
        <w:rPr>
          <w:rFonts w:cs="Tahoma"/>
          <w:b/>
          <w:szCs w:val="24"/>
        </w:rPr>
        <w:t>dieciséis de julio de dos mil veinticuatro</w:t>
      </w:r>
      <w:r w:rsidRPr="00A50CCF">
        <w:rPr>
          <w:rFonts w:cs="Tahoma"/>
          <w:bCs/>
          <w:szCs w:val="24"/>
        </w:rPr>
        <w:t xml:space="preserve">, a través del documento electrónico </w:t>
      </w:r>
      <w:r w:rsidRPr="00A50CCF">
        <w:rPr>
          <w:rFonts w:cs="Tahoma"/>
          <w:bCs/>
          <w:i/>
          <w:iCs/>
          <w:szCs w:val="24"/>
        </w:rPr>
        <w:t>“606053.page.pdf”,</w:t>
      </w:r>
      <w:r w:rsidRPr="00A50CCF">
        <w:rPr>
          <w:rFonts w:cs="Tahoma"/>
          <w:bCs/>
          <w:szCs w:val="24"/>
        </w:rPr>
        <w:t xml:space="preserve"> de cuyo </w:t>
      </w:r>
      <w:r w:rsidRPr="00A50CCF">
        <w:rPr>
          <w:rFonts w:cs="Tahoma"/>
          <w:bCs/>
          <w:szCs w:val="24"/>
        </w:rPr>
        <w:lastRenderedPageBreak/>
        <w:t>contenido se advierte el acuse de recibo de la solicitud de información pública generado por el SAIMEX</w:t>
      </w:r>
      <w:r w:rsidR="00EF248B" w:rsidRPr="00A50CCF">
        <w:rPr>
          <w:rFonts w:cs="Tahoma"/>
          <w:bCs/>
          <w:szCs w:val="24"/>
        </w:rPr>
        <w:t>.</w:t>
      </w:r>
    </w:p>
    <w:p w14:paraId="55062C1C" w14:textId="77777777" w:rsidR="00EF248B" w:rsidRPr="00A50CCF" w:rsidRDefault="00EF248B" w:rsidP="004E0438">
      <w:pPr>
        <w:rPr>
          <w:rFonts w:cs="Tahoma"/>
          <w:bCs/>
          <w:szCs w:val="24"/>
        </w:rPr>
      </w:pPr>
    </w:p>
    <w:p w14:paraId="6B09022E" w14:textId="3D777897" w:rsidR="00664420" w:rsidRPr="00A50CCF" w:rsidRDefault="00C460FB" w:rsidP="00404336">
      <w:pPr>
        <w:pStyle w:val="Ttulo3"/>
        <w:spacing w:line="360" w:lineRule="auto"/>
        <w:rPr>
          <w:rFonts w:eastAsia="Calibri"/>
        </w:rPr>
      </w:pPr>
      <w:bookmarkStart w:id="14" w:name="_Toc175217720"/>
      <w:r w:rsidRPr="00A50CCF">
        <w:rPr>
          <w:rFonts w:eastAsia="Calibri"/>
        </w:rPr>
        <w:t>f</w:t>
      </w:r>
      <w:r w:rsidR="00664420" w:rsidRPr="00A50CCF">
        <w:rPr>
          <w:rFonts w:eastAsia="Calibri"/>
        </w:rPr>
        <w:t xml:space="preserve">) </w:t>
      </w:r>
      <w:r w:rsidR="001C1DCE" w:rsidRPr="00A50CCF">
        <w:rPr>
          <w:rFonts w:eastAsia="Calibri"/>
        </w:rPr>
        <w:t>Ampliación de plazo para resolver el Recurso de Revisión</w:t>
      </w:r>
      <w:r w:rsidR="005E4808" w:rsidRPr="00A50CCF">
        <w:rPr>
          <w:rFonts w:eastAsia="Calibri"/>
        </w:rPr>
        <w:t>.</w:t>
      </w:r>
      <w:bookmarkEnd w:id="14"/>
    </w:p>
    <w:p w14:paraId="4D0D136D" w14:textId="138C3805" w:rsidR="00015B3F" w:rsidRPr="00A50CCF" w:rsidRDefault="00015B3F" w:rsidP="00015B3F">
      <w:pPr>
        <w:tabs>
          <w:tab w:val="left" w:pos="3261"/>
        </w:tabs>
        <w:rPr>
          <w:rFonts w:eastAsia="Calibri" w:cs="Tahoma"/>
          <w:szCs w:val="22"/>
        </w:rPr>
      </w:pPr>
      <w:r w:rsidRPr="00A50CCF">
        <w:rPr>
          <w:rFonts w:eastAsia="Calibri" w:cs="Tahoma"/>
          <w:szCs w:val="22"/>
        </w:rPr>
        <w:t>Con fundamento en lo dispuesto en el artículo 181, párrafo tercero, de la Ley de Transparencia y Acceso a la Información Pública del Estado de México y Municipios, el</w:t>
      </w:r>
      <w:r w:rsidRPr="00A50CCF">
        <w:rPr>
          <w:rFonts w:eastAsia="Calibri" w:cs="Tahoma"/>
          <w:b/>
          <w:bCs/>
          <w:szCs w:val="22"/>
        </w:rPr>
        <w:t xml:space="preserve"> siete de febrero de dos mil </w:t>
      </w:r>
      <w:r w:rsidR="00B9452E" w:rsidRPr="00A50CCF">
        <w:rPr>
          <w:rFonts w:eastAsia="Calibri" w:cs="Tahoma"/>
          <w:b/>
          <w:bCs/>
          <w:szCs w:val="22"/>
        </w:rPr>
        <w:t>veinticuatro</w:t>
      </w:r>
      <w:r w:rsidRPr="00A50CCF">
        <w:rPr>
          <w:rFonts w:eastAsia="Calibri" w:cs="Tahoma"/>
          <w:szCs w:val="22"/>
        </w:rPr>
        <w:t xml:space="preserve"> se acordó ampliar por un periodo razonable el plazo para resolver el presente Recurso de Revisión; acuerdo que fue notificado a las partes a través del SAIMEX</w:t>
      </w:r>
      <w:r w:rsidR="00EE31D5" w:rsidRPr="00A50CCF">
        <w:rPr>
          <w:rFonts w:eastAsia="Calibri" w:cs="Tahoma"/>
          <w:szCs w:val="22"/>
        </w:rPr>
        <w:t xml:space="preserve"> en la misma fecha.</w:t>
      </w:r>
    </w:p>
    <w:p w14:paraId="09AF1E02" w14:textId="77777777" w:rsidR="00015B3F" w:rsidRPr="00A50CCF" w:rsidRDefault="00015B3F" w:rsidP="00015B3F">
      <w:pPr>
        <w:tabs>
          <w:tab w:val="left" w:pos="3261"/>
        </w:tabs>
        <w:rPr>
          <w:rFonts w:eastAsia="Calibri" w:cs="Tahoma"/>
          <w:szCs w:val="22"/>
        </w:rPr>
      </w:pPr>
    </w:p>
    <w:p w14:paraId="1E1EEB4D"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335A1C5"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5B8BD044"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DC1A868"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2966603F"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w:t>
      </w:r>
      <w:r w:rsidRPr="00A50CCF">
        <w:rPr>
          <w:rStyle w:val="eop"/>
          <w:rFonts w:cs="Segoe UI"/>
          <w:sz w:val="22"/>
          <w:szCs w:val="22"/>
        </w:rPr>
        <w:lastRenderedPageBreak/>
        <w:t>cuasi jurisdiccionales, tanto por la complejidad de los hechos, como por el número de casos que conocen.</w:t>
      </w:r>
    </w:p>
    <w:p w14:paraId="578708C8"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7268CDD3"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39AD0A71"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3E767561" w14:textId="77777777" w:rsidR="00015B3F" w:rsidRPr="00A50CCF" w:rsidRDefault="00015B3F" w:rsidP="00015B3F">
      <w:pPr>
        <w:pStyle w:val="paragraph"/>
        <w:spacing w:before="0" w:beforeAutospacing="0" w:after="0" w:afterAutospacing="0"/>
        <w:ind w:left="567" w:right="539"/>
        <w:textAlignment w:val="baseline"/>
        <w:rPr>
          <w:rStyle w:val="eop"/>
          <w:rFonts w:cs="Segoe UI"/>
          <w:sz w:val="22"/>
          <w:szCs w:val="22"/>
        </w:rPr>
      </w:pPr>
      <w:r w:rsidRPr="00A50CCF">
        <w:rPr>
          <w:rStyle w:val="eop"/>
          <w:rFonts w:cs="Segoe UI"/>
          <w:b/>
          <w:bCs/>
          <w:sz w:val="22"/>
          <w:szCs w:val="22"/>
        </w:rPr>
        <w:t>Complejidad del asunto:</w:t>
      </w:r>
      <w:r w:rsidRPr="00A50CCF">
        <w:rPr>
          <w:rStyle w:val="eop"/>
          <w:rFonts w:cs="Segoe UI"/>
          <w:sz w:val="22"/>
          <w:szCs w:val="22"/>
        </w:rPr>
        <w:t xml:space="preserve"> La complejidad de la prueba, la pluralidad de sujetos procesales, el tiempo transcurrido, las características y contexto del recurso.</w:t>
      </w:r>
    </w:p>
    <w:p w14:paraId="6181EC65" w14:textId="77777777" w:rsidR="00015B3F" w:rsidRPr="00A50CCF" w:rsidRDefault="00015B3F" w:rsidP="00015B3F">
      <w:pPr>
        <w:pStyle w:val="paragraph"/>
        <w:spacing w:before="0" w:beforeAutospacing="0" w:after="0" w:afterAutospacing="0"/>
        <w:ind w:left="567" w:right="539"/>
        <w:textAlignment w:val="baseline"/>
        <w:rPr>
          <w:rStyle w:val="eop"/>
          <w:rFonts w:cs="Segoe UI"/>
          <w:sz w:val="22"/>
          <w:szCs w:val="22"/>
        </w:rPr>
      </w:pPr>
      <w:r w:rsidRPr="00A50CCF">
        <w:rPr>
          <w:rStyle w:val="eop"/>
          <w:rFonts w:cs="Segoe UI"/>
          <w:b/>
          <w:bCs/>
          <w:sz w:val="22"/>
          <w:szCs w:val="22"/>
        </w:rPr>
        <w:t>Actividad Procesal del interesado:</w:t>
      </w:r>
      <w:r w:rsidRPr="00A50CCF">
        <w:rPr>
          <w:rStyle w:val="eop"/>
          <w:rFonts w:cs="Segoe UI"/>
          <w:sz w:val="22"/>
          <w:szCs w:val="22"/>
        </w:rPr>
        <w:t xml:space="preserve"> Acciones u omisiones del interesado.</w:t>
      </w:r>
    </w:p>
    <w:p w14:paraId="5056B695" w14:textId="77777777" w:rsidR="00015B3F" w:rsidRPr="00A50CCF" w:rsidRDefault="00015B3F" w:rsidP="00015B3F">
      <w:pPr>
        <w:pStyle w:val="paragraph"/>
        <w:spacing w:before="0" w:beforeAutospacing="0" w:after="0" w:afterAutospacing="0"/>
        <w:ind w:left="567" w:right="539"/>
        <w:textAlignment w:val="baseline"/>
        <w:rPr>
          <w:rStyle w:val="eop"/>
          <w:rFonts w:cs="Segoe UI"/>
          <w:sz w:val="22"/>
          <w:szCs w:val="22"/>
        </w:rPr>
      </w:pPr>
      <w:r w:rsidRPr="00A50CCF">
        <w:rPr>
          <w:rStyle w:val="eop"/>
          <w:rFonts w:cs="Segoe UI"/>
          <w:b/>
          <w:bCs/>
          <w:sz w:val="22"/>
          <w:szCs w:val="22"/>
        </w:rPr>
        <w:t>Conducta de la Autoridad:</w:t>
      </w:r>
      <w:r w:rsidRPr="00A50CCF">
        <w:rPr>
          <w:rStyle w:val="eop"/>
          <w:rFonts w:cs="Segoe UI"/>
          <w:sz w:val="22"/>
          <w:szCs w:val="22"/>
        </w:rPr>
        <w:t xml:space="preserve"> Las Acciones u omisiones realizadas en el procedimiento. Así como si la autoridad actuó con la debida diligencia.</w:t>
      </w:r>
    </w:p>
    <w:p w14:paraId="29A74E71" w14:textId="77777777" w:rsidR="00015B3F" w:rsidRPr="00A50CCF" w:rsidRDefault="00015B3F" w:rsidP="00015B3F">
      <w:pPr>
        <w:pStyle w:val="paragraph"/>
        <w:spacing w:before="0" w:beforeAutospacing="0" w:after="0" w:afterAutospacing="0"/>
        <w:ind w:left="567" w:right="539"/>
        <w:textAlignment w:val="baseline"/>
        <w:rPr>
          <w:rStyle w:val="eop"/>
          <w:rFonts w:cs="Segoe UI"/>
          <w:sz w:val="22"/>
          <w:szCs w:val="22"/>
        </w:rPr>
      </w:pPr>
      <w:r w:rsidRPr="00A50CCF">
        <w:rPr>
          <w:rStyle w:val="eop"/>
          <w:rFonts w:cs="Segoe UI"/>
          <w:b/>
          <w:bCs/>
          <w:sz w:val="22"/>
          <w:szCs w:val="22"/>
        </w:rPr>
        <w:t>La afectación generada en la situación jurídica de la persona involucrada en el proceso:</w:t>
      </w:r>
      <w:r w:rsidRPr="00A50CCF">
        <w:rPr>
          <w:rStyle w:val="eop"/>
          <w:rFonts w:cs="Segoe UI"/>
          <w:sz w:val="22"/>
          <w:szCs w:val="22"/>
        </w:rPr>
        <w:t xml:space="preserve"> Violación a sus derechos humanos.</w:t>
      </w:r>
    </w:p>
    <w:p w14:paraId="12791680" w14:textId="77777777" w:rsidR="00015B3F" w:rsidRPr="00A50CCF" w:rsidRDefault="00015B3F" w:rsidP="00015B3F">
      <w:pPr>
        <w:pStyle w:val="paragraph"/>
        <w:spacing w:before="0" w:beforeAutospacing="0" w:after="0" w:afterAutospacing="0"/>
        <w:ind w:left="567" w:right="539"/>
        <w:textAlignment w:val="baseline"/>
        <w:rPr>
          <w:rStyle w:val="eop"/>
          <w:rFonts w:cs="Segoe UI"/>
          <w:sz w:val="22"/>
          <w:szCs w:val="22"/>
        </w:rPr>
      </w:pPr>
    </w:p>
    <w:p w14:paraId="4A60F0FC"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409CE24"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0735DF59"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Argumento que encuentra sustento en la jurisprudencia P./J. 32/92 emitida por el Pleno de la Suprema Corte de Justicia de la Nación de rubro “</w:t>
      </w:r>
      <w:r w:rsidRPr="00A50CCF">
        <w:rPr>
          <w:rStyle w:val="eop"/>
          <w:rFonts w:cs="Segoe UI"/>
          <w:b/>
          <w:bCs/>
          <w:sz w:val="22"/>
          <w:szCs w:val="22"/>
        </w:rPr>
        <w:t xml:space="preserve">TÉRMINOS PROCESALES. PARA DETERMINAR SI UN FUNCIONARIO JUDICIAL ACTUÓ INDEBIDAMENTE POR NO RESPETARLOS SE DEBE ATENDER AL PRESUPUESTO QUE CONSIDERÓ EL </w:t>
      </w:r>
      <w:r w:rsidRPr="00A50CCF">
        <w:rPr>
          <w:rStyle w:val="eop"/>
          <w:rFonts w:cs="Segoe UI"/>
          <w:b/>
          <w:bCs/>
          <w:sz w:val="22"/>
          <w:szCs w:val="22"/>
        </w:rPr>
        <w:lastRenderedPageBreak/>
        <w:t>LEGISLADOR AL FIJARLOS Y LAS CARACTERÍSTICAS DEL CASO</w:t>
      </w:r>
      <w:r w:rsidRPr="00A50CCF">
        <w:rPr>
          <w:rStyle w:val="eop"/>
          <w:rFonts w:cs="Segoe UI"/>
          <w:sz w:val="22"/>
          <w:szCs w:val="22"/>
        </w:rPr>
        <w:t>.”, visible en la Gaceta del Seminario Judicial de la Federación con el registro digital 205635.</w:t>
      </w:r>
    </w:p>
    <w:p w14:paraId="38C60983"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2067B890"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6203B36"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5D8C6AB8"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6EE70875"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303C54C2" w14:textId="77777777" w:rsidR="00015B3F" w:rsidRPr="00A50CCF" w:rsidRDefault="00015B3F" w:rsidP="00065341">
      <w:pPr>
        <w:pStyle w:val="Puesto"/>
        <w:rPr>
          <w:rStyle w:val="eop"/>
          <w:rFonts w:cs="Segoe UI"/>
          <w:sz w:val="20"/>
          <w:szCs w:val="20"/>
        </w:rPr>
      </w:pPr>
      <w:r w:rsidRPr="00A50CCF">
        <w:rPr>
          <w:rStyle w:val="eop"/>
          <w:rFonts w:cs="Segoe UI"/>
          <w:b/>
          <w:bCs/>
          <w:sz w:val="20"/>
          <w:szCs w:val="20"/>
        </w:rPr>
        <w:t>“PLAZO RAZONABLE PARA RESOLVER. DIMENSIÓN Y EFECTOS DE ESTE CONCEPTO CUANDO SE ADUCE EXCESIVA CARGA DE TRABAJO.”</w:t>
      </w:r>
      <w:r w:rsidRPr="00A50CCF">
        <w:rPr>
          <w:rStyle w:val="eop"/>
          <w:rFonts w:cs="Segoe UI"/>
          <w:sz w:val="20"/>
          <w:szCs w:val="20"/>
        </w:rPr>
        <w:t xml:space="preserve"> consultable en el Seminario Judicial de la Federación y su gaceta, con el registro digital 2002351.</w:t>
      </w:r>
    </w:p>
    <w:p w14:paraId="158C71D1" w14:textId="77777777" w:rsidR="00015B3F" w:rsidRPr="00A50CCF" w:rsidRDefault="00015B3F" w:rsidP="00065341">
      <w:pPr>
        <w:pStyle w:val="Puesto"/>
        <w:rPr>
          <w:rStyle w:val="eop"/>
          <w:rFonts w:cs="Segoe UI"/>
          <w:sz w:val="20"/>
          <w:szCs w:val="20"/>
        </w:rPr>
      </w:pPr>
    </w:p>
    <w:p w14:paraId="47F72283" w14:textId="77777777" w:rsidR="00015B3F" w:rsidRPr="00A50CCF" w:rsidRDefault="00015B3F" w:rsidP="00065341">
      <w:pPr>
        <w:pStyle w:val="Puesto"/>
        <w:rPr>
          <w:rStyle w:val="eop"/>
          <w:rFonts w:cs="Segoe UI"/>
          <w:sz w:val="20"/>
          <w:szCs w:val="20"/>
        </w:rPr>
      </w:pPr>
      <w:r w:rsidRPr="00A50CCF">
        <w:rPr>
          <w:rStyle w:val="eop"/>
          <w:rFonts w:cs="Segoe UI"/>
          <w:b/>
          <w:bCs/>
          <w:sz w:val="20"/>
          <w:szCs w:val="20"/>
        </w:rPr>
        <w:t>“PLAZO RAZONABLE PARA RESOLVER. CONCEPTO Y ELEMENTOS QUE LO INTEGRAN A LA LUZ DEL DERECHO INTERNACIONAL DE LOS DERECHOS HUMANOS</w:t>
      </w:r>
      <w:r w:rsidRPr="00A50CCF">
        <w:rPr>
          <w:rStyle w:val="eop"/>
          <w:rFonts w:cs="Segoe UI"/>
          <w:sz w:val="20"/>
          <w:szCs w:val="20"/>
        </w:rPr>
        <w:t>.”, visible en el Seminario Judicial de la Federación y su gaceta, con el registro digital 2002350.</w:t>
      </w:r>
    </w:p>
    <w:p w14:paraId="6EF3CF48"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p>
    <w:p w14:paraId="1A63F93D" w14:textId="77777777" w:rsidR="00015B3F" w:rsidRPr="00A50CCF" w:rsidRDefault="00015B3F" w:rsidP="00015B3F">
      <w:pPr>
        <w:pStyle w:val="paragraph"/>
        <w:spacing w:before="0" w:beforeAutospacing="0" w:after="0" w:afterAutospacing="0"/>
        <w:textAlignment w:val="baseline"/>
        <w:rPr>
          <w:rStyle w:val="eop"/>
          <w:rFonts w:cs="Segoe UI"/>
          <w:sz w:val="22"/>
          <w:szCs w:val="22"/>
        </w:rPr>
      </w:pPr>
      <w:r w:rsidRPr="00A50CCF">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447FF216" w14:textId="77777777" w:rsidR="00015B3F" w:rsidRPr="00A50CCF" w:rsidRDefault="00015B3F" w:rsidP="005E4808">
      <w:pPr>
        <w:rPr>
          <w:rFonts w:eastAsia="Palatino Linotype" w:cs="Palatino Linotype"/>
        </w:rPr>
      </w:pPr>
    </w:p>
    <w:p w14:paraId="0E651988" w14:textId="4C494CA7" w:rsidR="00664420" w:rsidRPr="00A50CCF" w:rsidRDefault="00A225DA" w:rsidP="00404336">
      <w:pPr>
        <w:pStyle w:val="Ttulo3"/>
        <w:spacing w:line="360" w:lineRule="auto"/>
      </w:pPr>
      <w:bookmarkStart w:id="15" w:name="_Toc175217721"/>
      <w:r w:rsidRPr="00A50CCF">
        <w:lastRenderedPageBreak/>
        <w:t>g</w:t>
      </w:r>
      <w:r w:rsidR="00664420" w:rsidRPr="00A50CCF">
        <w:t>) Cierre de instrucción</w:t>
      </w:r>
      <w:bookmarkEnd w:id="15"/>
    </w:p>
    <w:p w14:paraId="79AF95DC" w14:textId="76A9573B" w:rsidR="00664420" w:rsidRPr="00A50CCF" w:rsidRDefault="00BF091A" w:rsidP="00404336">
      <w:r w:rsidRPr="00A50CCF">
        <w:rPr>
          <w:rFonts w:cs="Tahoma"/>
          <w:szCs w:val="22"/>
        </w:rPr>
        <w:t>Al no existir diligencias pendientes por desahogar</w:t>
      </w:r>
      <w:r w:rsidRPr="00A50CCF">
        <w:rPr>
          <w:rFonts w:cs="Arial"/>
        </w:rPr>
        <w:t xml:space="preserve">, el </w:t>
      </w:r>
      <w:r w:rsidR="00065341" w:rsidRPr="00A50CCF">
        <w:rPr>
          <w:rFonts w:cs="Arial"/>
          <w:b/>
        </w:rPr>
        <w:t xml:space="preserve">veintisiete </w:t>
      </w:r>
      <w:r w:rsidR="00E32F5E" w:rsidRPr="00A50CCF">
        <w:rPr>
          <w:rFonts w:cs="Arial"/>
          <w:b/>
        </w:rPr>
        <w:t>de agosto</w:t>
      </w:r>
      <w:r w:rsidR="00A225DA" w:rsidRPr="00A50CCF">
        <w:rPr>
          <w:rFonts w:cs="Arial"/>
          <w:b/>
        </w:rPr>
        <w:t xml:space="preserve"> </w:t>
      </w:r>
      <w:r w:rsidRPr="00A50CCF">
        <w:rPr>
          <w:rFonts w:cs="Arial"/>
          <w:b/>
        </w:rPr>
        <w:t xml:space="preserve">de dos mil </w:t>
      </w:r>
      <w:r w:rsidR="00A225DA" w:rsidRPr="00A50CCF">
        <w:rPr>
          <w:rFonts w:cs="Arial"/>
          <w:b/>
        </w:rPr>
        <w:t xml:space="preserve">veinticuatro </w:t>
      </w:r>
      <w:r w:rsidRPr="00A50CCF">
        <w:rPr>
          <w:rFonts w:cs="Arial"/>
        </w:rPr>
        <w:t xml:space="preserve">la </w:t>
      </w:r>
      <w:r w:rsidRPr="00A50CCF">
        <w:rPr>
          <w:rFonts w:cs="Arial"/>
          <w:b/>
          <w:bCs/>
        </w:rPr>
        <w:t xml:space="preserve">Comisionada </w:t>
      </w:r>
      <w:r w:rsidRPr="00A50CCF">
        <w:rPr>
          <w:b/>
        </w:rPr>
        <w:t xml:space="preserve">Sharon Cristina Morales Martínez </w:t>
      </w:r>
      <w:r w:rsidRPr="00A50CCF">
        <w:rPr>
          <w:rFonts w:cs="Arial"/>
        </w:rPr>
        <w:t>acordó el cierre de instrucción</w:t>
      </w:r>
      <w:r w:rsidR="0011350D" w:rsidRPr="00A50CCF">
        <w:rPr>
          <w:rFonts w:cs="Arial"/>
        </w:rPr>
        <w:t xml:space="preserve"> y</w:t>
      </w:r>
      <w:r w:rsidRPr="00A50CCF">
        <w:rPr>
          <w:rFonts w:cs="Arial"/>
        </w:rPr>
        <w:t xml:space="preserve"> </w:t>
      </w:r>
      <w:r w:rsidR="0011350D" w:rsidRPr="00A50CCF">
        <w:rPr>
          <w:rFonts w:cs="Arial"/>
        </w:rPr>
        <w:t xml:space="preserve">la </w:t>
      </w:r>
      <w:r w:rsidRPr="00A50CCF">
        <w:rPr>
          <w:rFonts w:cs="Arial"/>
        </w:rPr>
        <w:t>remisión del expediente a efecto de ser resuelto, de conformidad con lo establecido en el artículo 185 fracciones VI y VIII de la Ley de Transparencia y Acceso a la Información Pública del Estado de México y Municipios</w:t>
      </w:r>
      <w:r w:rsidRPr="00A50CCF">
        <w:t>.</w:t>
      </w:r>
      <w:r w:rsidR="0011350D" w:rsidRPr="00A50CCF">
        <w:t xml:space="preserve"> Dicho acuerdo </w:t>
      </w:r>
      <w:r w:rsidR="00664420" w:rsidRPr="00A50CCF">
        <w:rPr>
          <w:rFonts w:cs="Tahoma"/>
          <w:szCs w:val="22"/>
        </w:rPr>
        <w:t xml:space="preserve">fue notificado a las partes el mismo día a través del </w:t>
      </w:r>
      <w:r w:rsidR="00664420" w:rsidRPr="00A50CCF">
        <w:rPr>
          <w:rFonts w:cs="Tahoma"/>
          <w:b/>
          <w:bCs/>
          <w:szCs w:val="22"/>
          <w:lang w:val="es-ES"/>
        </w:rPr>
        <w:t>SAIMEX</w:t>
      </w:r>
      <w:r w:rsidR="00664420" w:rsidRPr="00A50CCF">
        <w:rPr>
          <w:rFonts w:cs="Tahoma"/>
          <w:szCs w:val="22"/>
        </w:rPr>
        <w:t>.</w:t>
      </w:r>
    </w:p>
    <w:p w14:paraId="7A9629DE" w14:textId="77777777" w:rsidR="00664420" w:rsidRPr="00A50CCF" w:rsidRDefault="00664420" w:rsidP="00404336">
      <w:pPr>
        <w:pStyle w:val="Ttulo1"/>
        <w:rPr>
          <w:rFonts w:eastAsiaTheme="minorHAnsi"/>
          <w:lang w:eastAsia="en-US"/>
        </w:rPr>
      </w:pPr>
      <w:bookmarkStart w:id="16" w:name="_Toc175217722"/>
      <w:r w:rsidRPr="00A50CCF">
        <w:rPr>
          <w:rFonts w:eastAsiaTheme="minorHAnsi"/>
          <w:lang w:eastAsia="en-US"/>
        </w:rPr>
        <w:t>CONSIDERANDOS</w:t>
      </w:r>
      <w:bookmarkEnd w:id="16"/>
    </w:p>
    <w:p w14:paraId="6DD1243B" w14:textId="77777777" w:rsidR="00664420" w:rsidRPr="00A50CCF" w:rsidRDefault="00664420" w:rsidP="00404336">
      <w:pPr>
        <w:contextualSpacing/>
        <w:jc w:val="center"/>
        <w:rPr>
          <w:rFonts w:eastAsiaTheme="minorHAnsi" w:cs="Tahoma"/>
          <w:b/>
          <w:szCs w:val="22"/>
          <w:lang w:eastAsia="en-US"/>
        </w:rPr>
      </w:pPr>
    </w:p>
    <w:p w14:paraId="0B67CB92" w14:textId="2E307D3B" w:rsidR="00664420" w:rsidRPr="00A50CCF" w:rsidRDefault="00664420" w:rsidP="00404336">
      <w:pPr>
        <w:pStyle w:val="Ttulo2"/>
        <w:rPr>
          <w:rFonts w:eastAsia="Batang"/>
        </w:rPr>
      </w:pPr>
      <w:bookmarkStart w:id="17" w:name="_Toc175217723"/>
      <w:r w:rsidRPr="00A50CCF">
        <w:rPr>
          <w:rFonts w:eastAsia="Batang"/>
        </w:rPr>
        <w:t xml:space="preserve">PRIMERO. </w:t>
      </w:r>
      <w:r w:rsidR="00BA55A8" w:rsidRPr="00A50CCF">
        <w:rPr>
          <w:rFonts w:eastAsia="Batang"/>
        </w:rPr>
        <w:t>Procedibilidad</w:t>
      </w:r>
      <w:bookmarkEnd w:id="17"/>
    </w:p>
    <w:p w14:paraId="39C52BC1" w14:textId="56FCC20D" w:rsidR="00BA55A8" w:rsidRPr="00A50CCF" w:rsidRDefault="00BA55A8" w:rsidP="00404336">
      <w:pPr>
        <w:pStyle w:val="Ttulo3"/>
        <w:spacing w:line="360" w:lineRule="auto"/>
      </w:pPr>
      <w:bookmarkStart w:id="18" w:name="_Toc175217724"/>
      <w:r w:rsidRPr="00A50CCF">
        <w:t>a) Competencia</w:t>
      </w:r>
      <w:r w:rsidR="00150C49" w:rsidRPr="00A50CCF">
        <w:t xml:space="preserve"> del Instituto</w:t>
      </w:r>
      <w:bookmarkEnd w:id="18"/>
    </w:p>
    <w:p w14:paraId="56E64942" w14:textId="6572EDF7" w:rsidR="0011350D" w:rsidRPr="00A50CCF" w:rsidRDefault="0011350D" w:rsidP="00404336">
      <w:pPr>
        <w:rPr>
          <w:rFonts w:cs="Arial"/>
        </w:rPr>
      </w:pPr>
      <w:r w:rsidRPr="00A50CCF">
        <w:t xml:space="preserve">Este Instituto de Transparencia, Acceso a la Información Pública y Protección de Datos Personales del Estado de México y Municipios es competente para conocer y resolver </w:t>
      </w:r>
      <w:r w:rsidR="005F65B7" w:rsidRPr="00A50CCF">
        <w:t xml:space="preserve">el </w:t>
      </w:r>
      <w:r w:rsidRPr="00A50CC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50CCF">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A50CCF" w:rsidRDefault="006946E4" w:rsidP="00404336">
      <w:pPr>
        <w:rPr>
          <w:rFonts w:cs="Arial"/>
        </w:rPr>
      </w:pPr>
    </w:p>
    <w:p w14:paraId="517A2DD6" w14:textId="4169BE4D" w:rsidR="00664420" w:rsidRPr="00A50CCF" w:rsidRDefault="00BA55A8" w:rsidP="00404336">
      <w:pPr>
        <w:pStyle w:val="Ttulo3"/>
        <w:spacing w:line="360" w:lineRule="auto"/>
      </w:pPr>
      <w:bookmarkStart w:id="19" w:name="_Toc175217725"/>
      <w:r w:rsidRPr="00A50CCF">
        <w:t>b)</w:t>
      </w:r>
      <w:r w:rsidR="00664420" w:rsidRPr="00A50CCF">
        <w:t xml:space="preserve"> </w:t>
      </w:r>
      <w:r w:rsidR="00D91CB4" w:rsidRPr="00A50CCF">
        <w:t>Legitimidad</w:t>
      </w:r>
      <w:r w:rsidRPr="00A50CCF">
        <w:t xml:space="preserve"> de la parte recurrente</w:t>
      </w:r>
      <w:bookmarkEnd w:id="19"/>
    </w:p>
    <w:p w14:paraId="26FEA382" w14:textId="0B06695C" w:rsidR="00D91CB4" w:rsidRPr="00A50CCF" w:rsidRDefault="00D91CB4" w:rsidP="00404336">
      <w:pPr>
        <w:rPr>
          <w:rFonts w:eastAsia="Calibri" w:cs="Arial"/>
          <w:lang w:eastAsia="en-US"/>
        </w:rPr>
      </w:pPr>
      <w:r w:rsidRPr="00A50CCF">
        <w:rPr>
          <w:rFonts w:cs="Arial"/>
          <w:bCs/>
        </w:rPr>
        <w:t>El recurso de revisión fue interpuesto por parte legítima, ya que se presentó por la misma persona que formuló la solicitud de acceso a la Información Pública,</w:t>
      </w:r>
      <w:r w:rsidRPr="00A50CCF">
        <w:rPr>
          <w:rFonts w:cs="Arial"/>
          <w:b/>
          <w:bCs/>
        </w:rPr>
        <w:t xml:space="preserve"> </w:t>
      </w:r>
      <w:r w:rsidRPr="00A50CCF">
        <w:rPr>
          <w:rFonts w:cs="Arial"/>
        </w:rPr>
        <w:t>debido a que los datos de acceso</w:t>
      </w:r>
      <w:r w:rsidRPr="00A50CCF">
        <w:rPr>
          <w:rFonts w:cs="Arial"/>
          <w:b/>
          <w:bCs/>
        </w:rPr>
        <w:t xml:space="preserve"> SAIMEX</w:t>
      </w:r>
      <w:r w:rsidRPr="00A50CCF">
        <w:rPr>
          <w:rFonts w:eastAsia="Calibri" w:cs="Arial"/>
          <w:lang w:eastAsia="en-US"/>
        </w:rPr>
        <w:t xml:space="preserve"> son personales e irrepetibles.</w:t>
      </w:r>
    </w:p>
    <w:p w14:paraId="1B7DD6B9" w14:textId="77777777" w:rsidR="00EF248B" w:rsidRPr="00A50CCF" w:rsidRDefault="00EF248B" w:rsidP="00404336">
      <w:pPr>
        <w:rPr>
          <w:rFonts w:cs="Arial"/>
          <w:bCs/>
        </w:rPr>
      </w:pPr>
    </w:p>
    <w:p w14:paraId="496490FC" w14:textId="1A5F3FDB" w:rsidR="00D91CB4" w:rsidRPr="00A50CCF" w:rsidRDefault="00BA55A8" w:rsidP="00404336">
      <w:pPr>
        <w:pStyle w:val="Ttulo3"/>
        <w:spacing w:line="360" w:lineRule="auto"/>
        <w:rPr>
          <w:rFonts w:eastAsia="Calibri"/>
          <w:lang w:eastAsia="es-ES_tradnl"/>
        </w:rPr>
      </w:pPr>
      <w:bookmarkStart w:id="20" w:name="_Toc175217726"/>
      <w:r w:rsidRPr="00A50CCF">
        <w:rPr>
          <w:rFonts w:eastAsia="Calibri"/>
          <w:lang w:eastAsia="es-ES_tradnl"/>
        </w:rPr>
        <w:t>c)</w:t>
      </w:r>
      <w:r w:rsidR="00664420" w:rsidRPr="00A50CCF">
        <w:rPr>
          <w:rFonts w:eastAsia="Calibri"/>
          <w:lang w:eastAsia="es-ES_tradnl"/>
        </w:rPr>
        <w:t xml:space="preserve"> </w:t>
      </w:r>
      <w:r w:rsidR="00D91CB4" w:rsidRPr="00A50CCF">
        <w:rPr>
          <w:rFonts w:eastAsia="Calibri"/>
          <w:lang w:eastAsia="es-ES_tradnl"/>
        </w:rPr>
        <w:t>Plazo para interponer el recurso</w:t>
      </w:r>
      <w:bookmarkEnd w:id="20"/>
    </w:p>
    <w:p w14:paraId="0E973FEB" w14:textId="04ACC421" w:rsidR="004E0438" w:rsidRPr="00A50CCF" w:rsidRDefault="009037AF" w:rsidP="004E0438">
      <w:pPr>
        <w:autoSpaceDE w:val="0"/>
        <w:autoSpaceDN w:val="0"/>
        <w:adjustRightInd w:val="0"/>
        <w:ind w:right="49"/>
        <w:rPr>
          <w:rFonts w:cs="Arial"/>
          <w:lang w:val="es-ES"/>
        </w:rPr>
      </w:pPr>
      <w:r w:rsidRPr="00A50CCF">
        <w:rPr>
          <w:rFonts w:cs="Arial"/>
          <w:lang w:val="es-ES"/>
        </w:rPr>
        <w:t>L</w:t>
      </w:r>
      <w:r w:rsidR="004E0438" w:rsidRPr="00A50CCF">
        <w:rPr>
          <w:rFonts w:cs="Arial"/>
          <w:lang w:val="es-ES"/>
        </w:rPr>
        <w:t xml:space="preserve">a Ley de Transparencia </w:t>
      </w:r>
      <w:r w:rsidR="004E0438" w:rsidRPr="00A50CCF">
        <w:t>y Acceso a la Información Pública del Estado de México y Municipios</w:t>
      </w:r>
      <w:r w:rsidR="004E0438" w:rsidRPr="00A50CCF">
        <w:rPr>
          <w:rFonts w:cs="Arial"/>
          <w:lang w:val="es-ES"/>
        </w:rPr>
        <w:t xml:space="preserve"> describe </w:t>
      </w:r>
      <w:r w:rsidR="00983529" w:rsidRPr="00A50CCF">
        <w:rPr>
          <w:rFonts w:cs="Arial"/>
          <w:lang w:val="es-ES"/>
        </w:rPr>
        <w:t xml:space="preserve">en su artículo 163 lo </w:t>
      </w:r>
      <w:r w:rsidR="004E0438" w:rsidRPr="00A50CCF">
        <w:rPr>
          <w:rFonts w:cs="Arial"/>
          <w:lang w:val="es-ES"/>
        </w:rPr>
        <w:t>siguiente:</w:t>
      </w:r>
    </w:p>
    <w:p w14:paraId="5E5F61EC" w14:textId="77777777" w:rsidR="00EE31D5" w:rsidRPr="00A50CCF" w:rsidRDefault="00EE31D5" w:rsidP="004E0438">
      <w:pPr>
        <w:autoSpaceDE w:val="0"/>
        <w:autoSpaceDN w:val="0"/>
        <w:adjustRightInd w:val="0"/>
        <w:ind w:right="49"/>
        <w:rPr>
          <w:rFonts w:cs="Arial"/>
          <w:lang w:val="es-ES"/>
        </w:rPr>
      </w:pPr>
    </w:p>
    <w:p w14:paraId="5B7BC72D" w14:textId="77777777" w:rsidR="004E0438" w:rsidRPr="00A50CCF" w:rsidRDefault="004E0438" w:rsidP="00065341">
      <w:pPr>
        <w:pStyle w:val="Puesto"/>
        <w:rPr>
          <w:lang w:val="es-ES"/>
        </w:rPr>
      </w:pPr>
      <w:r w:rsidRPr="00A50CCF">
        <w:rPr>
          <w:b/>
          <w:lang w:val="es-ES"/>
        </w:rPr>
        <w:t>“Artículo 163.</w:t>
      </w:r>
      <w:r w:rsidRPr="00A50CCF">
        <w:rPr>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3694FB04" w14:textId="77777777" w:rsidR="004E0438" w:rsidRPr="00A50CCF" w:rsidRDefault="004E0438" w:rsidP="00065341">
      <w:pPr>
        <w:pStyle w:val="Puesto"/>
        <w:rPr>
          <w:lang w:val="es-ES"/>
        </w:rPr>
      </w:pPr>
    </w:p>
    <w:p w14:paraId="0C6E90FD" w14:textId="77777777" w:rsidR="004E0438" w:rsidRPr="00A50CCF" w:rsidRDefault="004E0438" w:rsidP="00065341">
      <w:pPr>
        <w:pStyle w:val="Puesto"/>
        <w:rPr>
          <w:lang w:val="es-ES"/>
        </w:rPr>
      </w:pPr>
      <w:r w:rsidRPr="00A50CCF">
        <w:rPr>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8BCE6CC" w14:textId="77777777" w:rsidR="004E0438" w:rsidRPr="00A50CCF" w:rsidRDefault="004E0438" w:rsidP="004E0438">
      <w:pPr>
        <w:autoSpaceDE w:val="0"/>
        <w:autoSpaceDN w:val="0"/>
        <w:adjustRightInd w:val="0"/>
        <w:spacing w:line="240" w:lineRule="auto"/>
        <w:ind w:left="851" w:right="822"/>
        <w:rPr>
          <w:rFonts w:cs="Arial"/>
          <w:i/>
          <w:sz w:val="24"/>
          <w:szCs w:val="24"/>
          <w:lang w:val="es-ES"/>
        </w:rPr>
      </w:pPr>
    </w:p>
    <w:p w14:paraId="51EECC04" w14:textId="337C2E0C" w:rsidR="004E0438" w:rsidRPr="00A50CCF" w:rsidRDefault="004E0438" w:rsidP="004E0438">
      <w:pPr>
        <w:rPr>
          <w:rFonts w:cs="Arial"/>
          <w:lang w:val="es-ES"/>
        </w:rPr>
      </w:pPr>
      <w:r w:rsidRPr="00A50CCF">
        <w:rPr>
          <w:rFonts w:cs="Arial"/>
          <w:lang w:val="es-ES"/>
        </w:rPr>
        <w:t>Del precepto legal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5115A03A" w14:textId="77777777" w:rsidR="004E0438" w:rsidRPr="00A50CCF" w:rsidRDefault="004E0438" w:rsidP="004E0438">
      <w:pPr>
        <w:rPr>
          <w:rFonts w:cs="Arial"/>
          <w:lang w:val="es-ES"/>
        </w:rPr>
      </w:pPr>
    </w:p>
    <w:p w14:paraId="45B0A4B1" w14:textId="77777777" w:rsidR="004E0438" w:rsidRPr="00A50CCF" w:rsidRDefault="004E0438" w:rsidP="004E0438">
      <w:pPr>
        <w:rPr>
          <w:rFonts w:cs="Arial"/>
          <w:lang w:val="es-ES"/>
        </w:rPr>
      </w:pPr>
      <w:r w:rsidRPr="00A50CCF">
        <w:rPr>
          <w:rFonts w:cs="Arial"/>
          <w:lang w:val="es-ES"/>
        </w:rPr>
        <w:t xml:space="preserve">Derivado de lo anterior, se constituye la figura jurídica de la </w:t>
      </w:r>
      <w:r w:rsidRPr="00A50CCF">
        <w:rPr>
          <w:rFonts w:cs="Arial"/>
          <w:b/>
          <w:lang w:val="es-ES"/>
        </w:rPr>
        <w:t>NEGATIVA FICTA</w:t>
      </w:r>
      <w:r w:rsidRPr="00A50CCF">
        <w:rPr>
          <w:rFonts w:cs="Arial"/>
          <w:lang w:val="es-ES"/>
        </w:rPr>
        <w:t>, la cual consiste en atribuir un efecto negativo al silencio de la autoridad administrativa frente a las instancias y solicitudes que hagan los particulares.</w:t>
      </w:r>
    </w:p>
    <w:p w14:paraId="4BBB6DE4" w14:textId="77777777" w:rsidR="004E0438" w:rsidRPr="00A50CCF" w:rsidRDefault="004E0438" w:rsidP="004E0438">
      <w:pPr>
        <w:spacing w:after="240"/>
        <w:rPr>
          <w:rFonts w:cs="Arial"/>
          <w:szCs w:val="24"/>
          <w:lang w:val="es-ES"/>
        </w:rPr>
      </w:pPr>
      <w:r w:rsidRPr="00A50CCF">
        <w:rPr>
          <w:rFonts w:cs="Arial"/>
          <w:lang w:val="es-ES"/>
        </w:rPr>
        <w:t>Por su parte, el artículo 178 de la Ley de Transparencia local, establece:</w:t>
      </w:r>
    </w:p>
    <w:p w14:paraId="70739952" w14:textId="77777777" w:rsidR="004E0438" w:rsidRPr="00A50CCF" w:rsidRDefault="004E0438" w:rsidP="00065341">
      <w:pPr>
        <w:pStyle w:val="Puesto"/>
        <w:rPr>
          <w:lang w:val="es-ES"/>
        </w:rPr>
      </w:pPr>
      <w:r w:rsidRPr="00A50CCF">
        <w:rPr>
          <w:b/>
          <w:lang w:val="es-ES"/>
        </w:rPr>
        <w:t xml:space="preserve">“Artículo 178. </w:t>
      </w:r>
      <w:r w:rsidRPr="00A50CCF">
        <w:rPr>
          <w:lang w:val="es-ES"/>
        </w:rPr>
        <w:t xml:space="preserve">El solicitante podrá </w:t>
      </w:r>
      <w:r w:rsidRPr="00A50CCF">
        <w:t>interponer</w:t>
      </w:r>
      <w:r w:rsidRPr="00A50CCF">
        <w:rPr>
          <w:lang w:val="es-ES"/>
        </w:rPr>
        <w:t xml:space="preserve">, por sí mismo o a través de su representante, de manera directa o por medios electrónicos, Recurso Revisión ante el Instituto o ante la </w:t>
      </w:r>
      <w:r w:rsidRPr="00A50CCF">
        <w:rPr>
          <w:lang w:val="es-ES"/>
        </w:rPr>
        <w:lastRenderedPageBreak/>
        <w:t>Unidad de Transparencia que haya conocido de la solicitud dentro de los quince días hábiles, siguientes a la fecha de la notificación de la respuesta.</w:t>
      </w:r>
    </w:p>
    <w:p w14:paraId="1DCDC24C" w14:textId="77777777" w:rsidR="004E0438" w:rsidRPr="00A50CCF" w:rsidRDefault="004E0438" w:rsidP="004E0438">
      <w:pPr>
        <w:pStyle w:val="Puesto"/>
        <w:ind w:left="851" w:right="822"/>
        <w:rPr>
          <w:lang w:val="es-ES"/>
        </w:rPr>
      </w:pPr>
    </w:p>
    <w:p w14:paraId="79A39979" w14:textId="77777777" w:rsidR="004E0438" w:rsidRPr="00A50CCF" w:rsidRDefault="004E0438" w:rsidP="00065341">
      <w:pPr>
        <w:pStyle w:val="Puesto"/>
      </w:pPr>
      <w:r w:rsidRPr="00A50CCF">
        <w:rPr>
          <w:b/>
          <w:lang w:val="es-ES"/>
        </w:rPr>
        <w:t xml:space="preserve">A falta de respuesta del sujeto obligado, dentro de los plazos establecidos en esta Ley, a una solicitud de acceso a la Información Pública, el recurso podrá ser interpuesto en cualquier momento, </w:t>
      </w:r>
      <w:r w:rsidRPr="00A50CCF">
        <w:rPr>
          <w:lang w:val="es-ES"/>
        </w:rPr>
        <w:t>acompañado con el documento que pruebe la fecha en que presentó la solicitud.</w:t>
      </w:r>
    </w:p>
    <w:p w14:paraId="1443BC2F" w14:textId="77777777" w:rsidR="004E0438" w:rsidRPr="00A50CCF" w:rsidRDefault="004E0438" w:rsidP="004E0438">
      <w:pPr>
        <w:pStyle w:val="Puesto"/>
        <w:ind w:left="851" w:right="822"/>
        <w:rPr>
          <w:lang w:val="es-ES"/>
        </w:rPr>
      </w:pPr>
    </w:p>
    <w:p w14:paraId="0597090E" w14:textId="77777777" w:rsidR="004E0438" w:rsidRPr="00A50CCF" w:rsidRDefault="004E0438" w:rsidP="00065341">
      <w:pPr>
        <w:pStyle w:val="Puesto"/>
        <w:rPr>
          <w:lang w:val="es-ES"/>
        </w:rPr>
      </w:pPr>
      <w:r w:rsidRPr="00A50CCF">
        <w:rPr>
          <w:lang w:val="es-ES"/>
        </w:rPr>
        <w:t>En el caso de que se interponga ante la Unidad de Transparencia, ésta deberá remitir el Recurso Revisión al Instituto a más tardar al día siguiente de haberlo recibido.”</w:t>
      </w:r>
    </w:p>
    <w:p w14:paraId="0E43177C" w14:textId="77777777" w:rsidR="004E0438" w:rsidRPr="00A50CCF" w:rsidRDefault="004E0438" w:rsidP="00065341">
      <w:pPr>
        <w:pStyle w:val="Puesto"/>
      </w:pPr>
      <w:r w:rsidRPr="00A50CCF">
        <w:rPr>
          <w:lang w:val="es-ES"/>
        </w:rPr>
        <w:t xml:space="preserve">(Énfasis añadido) </w:t>
      </w:r>
    </w:p>
    <w:p w14:paraId="3EE8A8C5" w14:textId="77777777" w:rsidR="004E0438" w:rsidRPr="00A50CCF" w:rsidRDefault="004E0438" w:rsidP="004E0438">
      <w:pPr>
        <w:rPr>
          <w:rFonts w:cs="Arial"/>
          <w:sz w:val="20"/>
          <w:szCs w:val="24"/>
          <w:lang w:val="es-ES"/>
        </w:rPr>
      </w:pPr>
    </w:p>
    <w:p w14:paraId="7E9F544C" w14:textId="77777777" w:rsidR="004E0438" w:rsidRPr="00A50CCF" w:rsidRDefault="004E0438" w:rsidP="004E0438">
      <w:pPr>
        <w:rPr>
          <w:rFonts w:cs="Arial"/>
          <w:b/>
          <w:sz w:val="24"/>
          <w:lang w:val="es-ES"/>
        </w:rPr>
      </w:pPr>
      <w:r w:rsidRPr="00A50CCF">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A50CCF">
        <w:rPr>
          <w:rFonts w:cs="Arial"/>
          <w:b/>
          <w:lang w:val="es-ES"/>
        </w:rPr>
        <w:t>SUJETO OBLIGADO.</w:t>
      </w:r>
    </w:p>
    <w:p w14:paraId="4171D36E" w14:textId="77777777" w:rsidR="004E0438" w:rsidRPr="00A50CCF" w:rsidRDefault="004E0438" w:rsidP="004E0438">
      <w:pPr>
        <w:rPr>
          <w:rFonts w:cs="Arial"/>
          <w:b/>
          <w:lang w:val="es-ES"/>
        </w:rPr>
      </w:pPr>
    </w:p>
    <w:p w14:paraId="106D37EE" w14:textId="1C3F67D2" w:rsidR="00D91CB4" w:rsidRPr="00A50CCF" w:rsidRDefault="004E0438" w:rsidP="004E0438">
      <w:pPr>
        <w:rPr>
          <w:rFonts w:cs="Arial"/>
          <w:lang w:val="es-ES"/>
        </w:rPr>
      </w:pPr>
      <w:r w:rsidRPr="00A50CCF">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A50CCF">
        <w:rPr>
          <w:rFonts w:cs="Tahoma"/>
          <w:b/>
          <w:szCs w:val="24"/>
        </w:rPr>
        <w:t>LA PARTE RECURRENTE</w:t>
      </w:r>
      <w:r w:rsidRPr="00A50CCF">
        <w:rPr>
          <w:rFonts w:cs="Arial"/>
          <w:b/>
          <w:lang w:val="es-ES"/>
        </w:rPr>
        <w:t xml:space="preserve"> </w:t>
      </w:r>
      <w:r w:rsidRPr="00A50CCF">
        <w:rPr>
          <w:rFonts w:cs="Arial"/>
          <w:lang w:val="es-ES"/>
        </w:rPr>
        <w:t>está en libertad de presentar su medio de impugnación en cualquier momento; en consecuencia, se tiene que el presente recurso se interpuso oportunamente.</w:t>
      </w:r>
    </w:p>
    <w:p w14:paraId="477EA048" w14:textId="5FD7BE73" w:rsidR="00986036" w:rsidRPr="00A50CCF" w:rsidRDefault="00986036" w:rsidP="004E0438">
      <w:pPr>
        <w:rPr>
          <w:rFonts w:cs="Arial"/>
          <w:lang w:val="es-ES"/>
        </w:rPr>
      </w:pPr>
    </w:p>
    <w:p w14:paraId="37D7172E" w14:textId="77777777" w:rsidR="00986036" w:rsidRPr="00A50CCF" w:rsidRDefault="00986036" w:rsidP="00986036">
      <w:pPr>
        <w:pStyle w:val="Ttulo3"/>
        <w:rPr>
          <w:rFonts w:eastAsia="Calibri"/>
          <w:lang w:eastAsia="es-ES_tradnl"/>
        </w:rPr>
      </w:pPr>
      <w:bookmarkStart w:id="21" w:name="_Toc173702807"/>
      <w:bookmarkStart w:id="22" w:name="_Toc175217727"/>
      <w:r w:rsidRPr="00A50CCF">
        <w:rPr>
          <w:rFonts w:eastAsia="Calibri"/>
          <w:lang w:eastAsia="es-ES_tradnl"/>
        </w:rPr>
        <w:t>d) Causal de procedencia</w:t>
      </w:r>
      <w:bookmarkEnd w:id="21"/>
      <w:bookmarkEnd w:id="22"/>
      <w:r w:rsidRPr="00A50CCF">
        <w:rPr>
          <w:rFonts w:eastAsia="Calibri"/>
          <w:lang w:eastAsia="es-ES_tradnl"/>
        </w:rPr>
        <w:t xml:space="preserve"> </w:t>
      </w:r>
    </w:p>
    <w:p w14:paraId="51A118A6" w14:textId="77777777" w:rsidR="00986036" w:rsidRPr="00A50CCF" w:rsidRDefault="00986036" w:rsidP="00986036">
      <w:pPr>
        <w:textAlignment w:val="baseline"/>
        <w:rPr>
          <w:rFonts w:cs="Arial"/>
          <w:lang w:val="es-ES" w:eastAsia="es-MX"/>
        </w:rPr>
      </w:pPr>
      <w:r w:rsidRPr="00A50CCF">
        <w:rPr>
          <w:rFonts w:cs="Arial"/>
        </w:rPr>
        <w:t xml:space="preserve">Resulta procedente la interposición del recurso de revisión, ya que </w:t>
      </w:r>
      <w:r w:rsidRPr="00A50CCF">
        <w:rPr>
          <w:rFonts w:eastAsia="Calibri" w:cs="Tahoma"/>
          <w:szCs w:val="22"/>
          <w:lang w:eastAsia="es-MX"/>
        </w:rPr>
        <w:t>se actualizan las causales de procedencia señaladas en el artículo 179, fracciones VII</w:t>
      </w:r>
      <w:r w:rsidRPr="00A50CCF">
        <w:rPr>
          <w:rFonts w:cs="Arial"/>
        </w:rPr>
        <w:t xml:space="preserve"> y XI de la </w:t>
      </w:r>
      <w:r w:rsidRPr="00A50CCF">
        <w:t xml:space="preserve">Ley de Transparencia y Acceso a la Información Pública del Estado de México y Municipios, </w:t>
      </w:r>
      <w:r w:rsidRPr="00A50CCF">
        <w:rPr>
          <w:rFonts w:cs="Arial"/>
          <w:lang w:val="es-ES" w:eastAsia="es-MX"/>
        </w:rPr>
        <w:t>la cual dispone:</w:t>
      </w:r>
    </w:p>
    <w:p w14:paraId="2F173C67" w14:textId="77777777" w:rsidR="00065341" w:rsidRPr="00A50CCF" w:rsidRDefault="00065341" w:rsidP="00986036">
      <w:pPr>
        <w:textAlignment w:val="baseline"/>
        <w:rPr>
          <w:rFonts w:cs="Arial"/>
          <w:lang w:val="es-ES" w:eastAsia="es-MX"/>
        </w:rPr>
      </w:pPr>
    </w:p>
    <w:p w14:paraId="0314BEE6" w14:textId="77777777" w:rsidR="00986036" w:rsidRPr="00A50CCF" w:rsidRDefault="00986036" w:rsidP="00065341">
      <w:pPr>
        <w:pStyle w:val="Puesto"/>
        <w:rPr>
          <w:lang w:val="es-ES"/>
        </w:rPr>
      </w:pPr>
      <w:r w:rsidRPr="00A50CCF">
        <w:rPr>
          <w:lang w:val="es-ES"/>
        </w:rPr>
        <w:lastRenderedPageBreak/>
        <w:t>“</w:t>
      </w:r>
      <w:r w:rsidRPr="00A50CCF">
        <w:rPr>
          <w:b/>
          <w:lang w:val="es-ES"/>
        </w:rPr>
        <w:t>Artículo 179.</w:t>
      </w:r>
      <w:r w:rsidRPr="00A50CCF">
        <w:rPr>
          <w:lang w:val="es-ES"/>
        </w:rPr>
        <w:t xml:space="preserve"> El Recurso Revisión es un medio de protección que la Ley otorga a los particulares, para hacer valer su derecho de acceso a la Información Pública, y procederá en contra de las siguientes causas:</w:t>
      </w:r>
    </w:p>
    <w:p w14:paraId="4DEC20EC" w14:textId="77777777" w:rsidR="00986036" w:rsidRPr="00A50CCF" w:rsidRDefault="00986036" w:rsidP="00065341">
      <w:pPr>
        <w:pStyle w:val="Puesto"/>
        <w:rPr>
          <w:lang w:val="es-ES"/>
        </w:rPr>
      </w:pPr>
      <w:r w:rsidRPr="00A50CCF">
        <w:rPr>
          <w:lang w:val="es-ES"/>
        </w:rPr>
        <w:t>…</w:t>
      </w:r>
    </w:p>
    <w:p w14:paraId="76B7CD62" w14:textId="77777777" w:rsidR="00986036" w:rsidRPr="00A50CCF" w:rsidRDefault="00986036" w:rsidP="00065341">
      <w:pPr>
        <w:pStyle w:val="Puesto"/>
        <w:rPr>
          <w:lang w:val="es-ES"/>
        </w:rPr>
      </w:pPr>
      <w:r w:rsidRPr="00A50CCF">
        <w:rPr>
          <w:b/>
          <w:lang w:val="es-ES"/>
        </w:rPr>
        <w:t>VII. La falta de respuesta a una solicitud de acceso a la información</w:t>
      </w:r>
      <w:r w:rsidRPr="00A50CCF">
        <w:rPr>
          <w:lang w:val="es-ES"/>
        </w:rPr>
        <w:t>;</w:t>
      </w:r>
    </w:p>
    <w:p w14:paraId="58418A33" w14:textId="77777777" w:rsidR="00986036" w:rsidRPr="00A50CCF" w:rsidRDefault="00986036" w:rsidP="00065341">
      <w:pPr>
        <w:pStyle w:val="Puesto"/>
        <w:rPr>
          <w:lang w:val="es-ES"/>
        </w:rPr>
      </w:pPr>
      <w:r w:rsidRPr="00A50CCF">
        <w:rPr>
          <w:lang w:val="es-ES"/>
        </w:rPr>
        <w:t>…”</w:t>
      </w:r>
    </w:p>
    <w:p w14:paraId="655FA0AA" w14:textId="77777777" w:rsidR="00986036" w:rsidRPr="00A50CCF" w:rsidRDefault="00986036" w:rsidP="00065341">
      <w:pPr>
        <w:pStyle w:val="Puesto"/>
        <w:rPr>
          <w:lang w:val="es-ES"/>
        </w:rPr>
      </w:pPr>
      <w:r w:rsidRPr="00A50CCF">
        <w:rPr>
          <w:lang w:val="es-ES"/>
        </w:rPr>
        <w:t>(Énfasis añadido).</w:t>
      </w:r>
    </w:p>
    <w:p w14:paraId="20A3874E" w14:textId="77777777" w:rsidR="00986036" w:rsidRPr="00A50CCF" w:rsidRDefault="00986036" w:rsidP="00986036">
      <w:pPr>
        <w:pStyle w:val="Puesto"/>
        <w:rPr>
          <w:lang w:val="es-ES"/>
        </w:rPr>
      </w:pPr>
    </w:p>
    <w:p w14:paraId="3C8A843E" w14:textId="16BF434C" w:rsidR="00986036" w:rsidRPr="00A50CCF" w:rsidRDefault="00986036" w:rsidP="00986036">
      <w:pPr>
        <w:widowControl w:val="0"/>
        <w:autoSpaceDE w:val="0"/>
        <w:autoSpaceDN w:val="0"/>
        <w:adjustRightInd w:val="0"/>
        <w:rPr>
          <w:rFonts w:cs="Arial"/>
          <w:lang w:val="es-ES"/>
        </w:rPr>
      </w:pPr>
      <w:r w:rsidRPr="00A50CCF">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A50CCF">
        <w:rPr>
          <w:rFonts w:cs="Arial"/>
          <w:b/>
          <w:lang w:val="es-ES"/>
        </w:rPr>
        <w:t>EL SUJETO OBLIGADO</w:t>
      </w:r>
      <w:r w:rsidRPr="00A50CCF">
        <w:rPr>
          <w:rFonts w:cs="Arial"/>
          <w:lang w:val="es-ES"/>
        </w:rPr>
        <w:t xml:space="preserve"> omitió dar respuesta a lo requerido por </w:t>
      </w:r>
      <w:r w:rsidRPr="00A50CCF">
        <w:rPr>
          <w:rFonts w:cs="Arial"/>
          <w:b/>
          <w:lang w:val="es-ES"/>
        </w:rPr>
        <w:t xml:space="preserve">LA RECURRENTE </w:t>
      </w:r>
      <w:r w:rsidRPr="00A50CCF">
        <w:rPr>
          <w:rFonts w:cs="Arial"/>
          <w:lang w:val="es-ES"/>
        </w:rPr>
        <w:t xml:space="preserve">en su solicitud de Información Pública; atento a ello, </w:t>
      </w:r>
      <w:r w:rsidRPr="00A50CCF">
        <w:rPr>
          <w:lang w:val="es-ES"/>
        </w:rPr>
        <w:t xml:space="preserve">este Órgano Garante </w:t>
      </w:r>
      <w:r w:rsidRPr="00A50CCF">
        <w:rPr>
          <w:rFonts w:cs="Arial"/>
          <w:lang w:val="es-ES"/>
        </w:rPr>
        <w:t xml:space="preserve">considera que las razones o motivos de inconformidad son </w:t>
      </w:r>
      <w:r w:rsidRPr="00A50CCF">
        <w:rPr>
          <w:rFonts w:cs="Arial"/>
          <w:b/>
          <w:lang w:val="es-ES"/>
        </w:rPr>
        <w:t>fundados</w:t>
      </w:r>
      <w:r w:rsidRPr="00A50CCF">
        <w:rPr>
          <w:rFonts w:cs="Arial"/>
          <w:lang w:val="es-ES"/>
        </w:rPr>
        <w:t>.</w:t>
      </w:r>
    </w:p>
    <w:p w14:paraId="29000E40" w14:textId="77777777" w:rsidR="00986036" w:rsidRPr="00A50CCF" w:rsidRDefault="00986036" w:rsidP="00986036">
      <w:pPr>
        <w:widowControl w:val="0"/>
        <w:autoSpaceDE w:val="0"/>
        <w:autoSpaceDN w:val="0"/>
        <w:adjustRightInd w:val="0"/>
        <w:rPr>
          <w:rFonts w:cs="Arial"/>
          <w:lang w:val="es-ES"/>
        </w:rPr>
      </w:pPr>
    </w:p>
    <w:p w14:paraId="022F6AEC" w14:textId="77777777" w:rsidR="00986036" w:rsidRPr="00A50CCF" w:rsidRDefault="00986036" w:rsidP="00986036">
      <w:pPr>
        <w:pStyle w:val="Ttulo3"/>
      </w:pPr>
      <w:bookmarkStart w:id="23" w:name="_Toc173702808"/>
      <w:bookmarkStart w:id="24" w:name="_Toc175217728"/>
      <w:r w:rsidRPr="00A50CCF">
        <w:t>e) Requisitos formales para la interposición del recurso</w:t>
      </w:r>
      <w:bookmarkEnd w:id="23"/>
      <w:bookmarkEnd w:id="24"/>
    </w:p>
    <w:p w14:paraId="70257FA7" w14:textId="77777777" w:rsidR="00986036" w:rsidRPr="00A50CCF" w:rsidRDefault="00986036" w:rsidP="00986036">
      <w:pPr>
        <w:rPr>
          <w:rFonts w:cs="Arial"/>
          <w:sz w:val="24"/>
          <w:szCs w:val="24"/>
          <w:lang w:val="es-ES"/>
        </w:rPr>
      </w:pPr>
      <w:r w:rsidRPr="00A50CCF">
        <w:rPr>
          <w:sz w:val="24"/>
          <w:szCs w:val="24"/>
          <w:lang w:val="es-ES"/>
        </w:rPr>
        <w:t xml:space="preserve">Es importante mencionar que, de la revisión del expediente electrónico del </w:t>
      </w:r>
      <w:r w:rsidRPr="00A50CCF">
        <w:rPr>
          <w:bCs/>
          <w:sz w:val="24"/>
          <w:szCs w:val="24"/>
          <w:lang w:val="es-ES"/>
        </w:rPr>
        <w:t>SAIMEX,</w:t>
      </w:r>
      <w:r w:rsidRPr="00A50CCF">
        <w:rPr>
          <w:sz w:val="24"/>
          <w:szCs w:val="24"/>
          <w:lang w:val="es-ES"/>
        </w:rPr>
        <w:t xml:space="preserve"> se observa que </w:t>
      </w:r>
      <w:r w:rsidRPr="00A50CCF">
        <w:rPr>
          <w:b/>
          <w:bCs/>
          <w:sz w:val="24"/>
          <w:szCs w:val="24"/>
          <w:lang w:val="es-ES"/>
        </w:rPr>
        <w:t>LA PARTE RECURRENTE</w:t>
      </w:r>
      <w:r w:rsidRPr="00A50CCF">
        <w:rPr>
          <w:sz w:val="24"/>
          <w:szCs w:val="24"/>
          <w:lang w:val="es-ES"/>
        </w:rPr>
        <w:t xml:space="preserve"> no proporcionó su nombre para ser identificado, lo que en estricto sentido provoca que </w:t>
      </w:r>
      <w:r w:rsidRPr="00A50CCF">
        <w:rPr>
          <w:rFonts w:cs="Arial"/>
          <w:sz w:val="24"/>
          <w:szCs w:val="24"/>
          <w:lang w:val="es-ES"/>
        </w:rPr>
        <w:t>no</w:t>
      </w:r>
      <w:r w:rsidRPr="00A50CCF">
        <w:rPr>
          <w:sz w:val="24"/>
          <w:szCs w:val="24"/>
          <w:lang w:val="es-ES"/>
        </w:rPr>
        <w:t xml:space="preserve"> se colmen los requisitos establecidos en el artículo 180 de la Ley de Transparencia; sin embargo, el artículo 15 de </w:t>
      </w:r>
      <w:r w:rsidRPr="00A50CCF">
        <w:rPr>
          <w:rFonts w:cs="Arial"/>
          <w:sz w:val="24"/>
          <w:szCs w:val="24"/>
          <w:lang w:val="es-ES" w:eastAsia="es-MX"/>
        </w:rPr>
        <w:t xml:space="preserve">Ley de Transparencia y Acceso a la </w:t>
      </w:r>
      <w:r w:rsidRPr="00A50CCF">
        <w:rPr>
          <w:rFonts w:cs="Arial"/>
          <w:sz w:val="24"/>
          <w:szCs w:val="24"/>
          <w:lang w:val="es-ES"/>
        </w:rPr>
        <w:t>Información</w:t>
      </w:r>
      <w:r w:rsidRPr="00A50CCF">
        <w:rPr>
          <w:rFonts w:cs="Arial"/>
          <w:sz w:val="24"/>
          <w:szCs w:val="24"/>
          <w:lang w:val="es-ES" w:eastAsia="es-MX"/>
        </w:rPr>
        <w:t xml:space="preserve"> Pública del Estado de México y Municipios </w:t>
      </w:r>
      <w:r w:rsidRPr="00A50CCF">
        <w:rPr>
          <w:rFonts w:cs="Arial"/>
          <w:iCs/>
          <w:sz w:val="24"/>
          <w:szCs w:val="24"/>
          <w:lang w:val="es-ES"/>
        </w:rPr>
        <w:t xml:space="preserve">prevé que </w:t>
      </w:r>
      <w:r w:rsidRPr="00A50CCF">
        <w:rPr>
          <w:sz w:val="24"/>
          <w:szCs w:val="24"/>
          <w:lang w:val="es-ES"/>
        </w:rPr>
        <w:t xml:space="preserve">toda persona tendrá acceso a la información </w:t>
      </w:r>
      <w:r w:rsidRPr="00A50CCF">
        <w:rPr>
          <w:rFonts w:cs="Arial"/>
          <w:sz w:val="24"/>
          <w:szCs w:val="24"/>
          <w:lang w:val="es-ES"/>
        </w:rPr>
        <w:t xml:space="preserve">sin necesidad de acreditar interés alguno o justificar su utilización, de lo que se infiere que </w:t>
      </w:r>
      <w:r w:rsidRPr="00A50CCF">
        <w:rPr>
          <w:rFonts w:cs="Arial"/>
          <w:b/>
          <w:sz w:val="24"/>
          <w:szCs w:val="24"/>
          <w:u w:val="single"/>
          <w:lang w:val="es-ES"/>
        </w:rPr>
        <w:t xml:space="preserve">el nombre no es un requisito </w:t>
      </w:r>
      <w:r w:rsidRPr="00A50CCF">
        <w:rPr>
          <w:rFonts w:cs="Arial"/>
          <w:b/>
          <w:iCs/>
          <w:sz w:val="24"/>
          <w:szCs w:val="24"/>
          <w:u w:val="single"/>
          <w:lang w:val="es-ES"/>
        </w:rPr>
        <w:t>indispensable</w:t>
      </w:r>
      <w:r w:rsidRPr="00A50CCF">
        <w:rPr>
          <w:rFonts w:cs="Arial"/>
          <w:sz w:val="24"/>
          <w:szCs w:val="24"/>
          <w:lang w:val="es-ES"/>
        </w:rPr>
        <w:t xml:space="preserve"> para que las y los ciudadanos ejerzan el derecho de acceso a la información pública. </w:t>
      </w:r>
    </w:p>
    <w:p w14:paraId="699F120B" w14:textId="77777777" w:rsidR="00986036" w:rsidRPr="00A50CCF" w:rsidRDefault="00986036" w:rsidP="00986036">
      <w:pPr>
        <w:rPr>
          <w:rFonts w:cs="Arial"/>
          <w:sz w:val="24"/>
          <w:szCs w:val="24"/>
          <w:lang w:val="es-ES"/>
        </w:rPr>
      </w:pPr>
    </w:p>
    <w:p w14:paraId="72B228E0" w14:textId="168421D1" w:rsidR="00986036" w:rsidRPr="00A50CCF" w:rsidRDefault="00986036" w:rsidP="00986036">
      <w:pPr>
        <w:rPr>
          <w:rFonts w:eastAsia="Calibri"/>
          <w:lang w:eastAsia="es-ES_tradnl"/>
        </w:rPr>
      </w:pPr>
      <w:r w:rsidRPr="00A50CCF">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A50CCF">
        <w:rPr>
          <w:sz w:val="24"/>
          <w:szCs w:val="24"/>
          <w:lang w:val="es-ES"/>
        </w:rPr>
        <w:t xml:space="preserve"> En adición a lo anterior, el propio artículo 180, </w:t>
      </w:r>
      <w:r w:rsidRPr="00A50CCF">
        <w:rPr>
          <w:sz w:val="24"/>
          <w:szCs w:val="24"/>
          <w:lang w:val="es-ES"/>
        </w:rPr>
        <w:lastRenderedPageBreak/>
        <w:t xml:space="preserve">en su último párrafo, establece que cuando el recurso de revisión se interponga de manera electrónica no será indispensable que contenga algunos requisitos, entre ellos, el nombre de </w:t>
      </w:r>
      <w:r w:rsidRPr="00A50CCF">
        <w:rPr>
          <w:b/>
          <w:bCs/>
          <w:sz w:val="24"/>
          <w:szCs w:val="24"/>
          <w:lang w:val="es-ES"/>
        </w:rPr>
        <w:t>LA PARTE RECURRENTE</w:t>
      </w:r>
      <w:r w:rsidRPr="00A50CCF">
        <w:rPr>
          <w:rFonts w:cs="Arial"/>
          <w:b/>
          <w:sz w:val="24"/>
          <w:szCs w:val="24"/>
          <w:lang w:val="es-ES"/>
        </w:rPr>
        <w:t>;</w:t>
      </w:r>
      <w:r w:rsidRPr="00A50CCF">
        <w:rPr>
          <w:sz w:val="24"/>
          <w:szCs w:val="24"/>
          <w:lang w:val="es-ES"/>
        </w:rPr>
        <w:t xml:space="preserve"> por lo que, en el presente caso, al haber sido presentado el recurso de revisión vía </w:t>
      </w:r>
      <w:r w:rsidRPr="00A50CCF">
        <w:rPr>
          <w:b/>
          <w:sz w:val="24"/>
          <w:szCs w:val="24"/>
          <w:lang w:val="es-ES"/>
        </w:rPr>
        <w:t>SAIMEX</w:t>
      </w:r>
      <w:r w:rsidRPr="00A50CCF">
        <w:rPr>
          <w:sz w:val="24"/>
          <w:szCs w:val="24"/>
          <w:lang w:val="es-ES"/>
        </w:rPr>
        <w:t>, dicho requisito resulta innecesario.</w:t>
      </w:r>
    </w:p>
    <w:p w14:paraId="49076992" w14:textId="77777777" w:rsidR="00D91CB4" w:rsidRPr="00A50CCF" w:rsidRDefault="00D91CB4" w:rsidP="00404336">
      <w:pPr>
        <w:rPr>
          <w:rFonts w:eastAsia="Palatino Linotype" w:cs="Palatino Linotype"/>
        </w:rPr>
      </w:pPr>
    </w:p>
    <w:p w14:paraId="457548E9" w14:textId="3F7AF03B" w:rsidR="00C71CEF" w:rsidRPr="00A50CCF" w:rsidRDefault="00C71CEF" w:rsidP="00404336">
      <w:pPr>
        <w:pStyle w:val="Ttulo2"/>
      </w:pPr>
      <w:bookmarkStart w:id="25" w:name="_Toc175217729"/>
      <w:r w:rsidRPr="00A50CCF">
        <w:t>SEGUNDO. Estudio de Fondo</w:t>
      </w:r>
      <w:bookmarkEnd w:id="25"/>
    </w:p>
    <w:p w14:paraId="2A308F59" w14:textId="0FF373F0" w:rsidR="00C049E2" w:rsidRPr="00A50CCF" w:rsidRDefault="00C71CEF" w:rsidP="00404336">
      <w:pPr>
        <w:pStyle w:val="Ttulo3"/>
        <w:spacing w:line="360" w:lineRule="auto"/>
      </w:pPr>
      <w:bookmarkStart w:id="26" w:name="_Toc175217730"/>
      <w:r w:rsidRPr="00A50CCF">
        <w:t>a</w:t>
      </w:r>
      <w:r w:rsidR="00C049E2" w:rsidRPr="00A50CCF">
        <w:t>) Mandato de transparencia y responsabilidad del Sujeto Obligado</w:t>
      </w:r>
      <w:bookmarkEnd w:id="26"/>
    </w:p>
    <w:p w14:paraId="6901A889" w14:textId="4285895C" w:rsidR="00C049E2" w:rsidRPr="00A50CCF" w:rsidRDefault="00C049E2" w:rsidP="00404336">
      <w:pPr>
        <w:rPr>
          <w:rFonts w:eastAsia="Palatino Linotype"/>
        </w:rPr>
      </w:pPr>
      <w:r w:rsidRPr="00A50CCF">
        <w:rPr>
          <w:rFonts w:eastAsia="Palatino Linotype"/>
        </w:rPr>
        <w:t xml:space="preserve">El </w:t>
      </w:r>
      <w:r w:rsidR="00717E59" w:rsidRPr="00A50CCF">
        <w:rPr>
          <w:rFonts w:eastAsia="Palatino Linotype"/>
        </w:rPr>
        <w:t>d</w:t>
      </w:r>
      <w:r w:rsidRPr="00A50CCF">
        <w:rPr>
          <w:rFonts w:eastAsia="Palatino Linotype"/>
        </w:rPr>
        <w:t xml:space="preserve">erecho de </w:t>
      </w:r>
      <w:r w:rsidR="00717E59" w:rsidRPr="00A50CCF">
        <w:rPr>
          <w:rFonts w:eastAsia="Palatino Linotype"/>
        </w:rPr>
        <w:t>a</w:t>
      </w:r>
      <w:r w:rsidRPr="00A50CCF">
        <w:rPr>
          <w:rFonts w:eastAsia="Palatino Linotype"/>
        </w:rPr>
        <w:t xml:space="preserve">cceso a la </w:t>
      </w:r>
      <w:r w:rsidR="00717E59" w:rsidRPr="00A50CCF">
        <w:rPr>
          <w:rFonts w:eastAsia="Palatino Linotype"/>
        </w:rPr>
        <w:t>i</w:t>
      </w:r>
      <w:r w:rsidRPr="00A50CCF">
        <w:rPr>
          <w:rFonts w:eastAsia="Palatino Linotype"/>
        </w:rPr>
        <w:t xml:space="preserve">nformación </w:t>
      </w:r>
      <w:r w:rsidR="00717E59" w:rsidRPr="00A50CCF">
        <w:rPr>
          <w:rFonts w:eastAsia="Palatino Linotype"/>
        </w:rPr>
        <w:t>p</w:t>
      </w:r>
      <w:r w:rsidRPr="00A50CC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50CCF">
        <w:rPr>
          <w:rFonts w:eastAsia="Palatino Linotype"/>
        </w:rPr>
        <w:t>:</w:t>
      </w:r>
    </w:p>
    <w:p w14:paraId="17F36498" w14:textId="77777777" w:rsidR="003A1C3B" w:rsidRPr="00A50CCF" w:rsidRDefault="003A1C3B" w:rsidP="00404336">
      <w:pPr>
        <w:rPr>
          <w:rFonts w:eastAsia="Palatino Linotype"/>
        </w:rPr>
      </w:pPr>
    </w:p>
    <w:p w14:paraId="05320813" w14:textId="77777777" w:rsidR="00C049E2" w:rsidRPr="00A50CCF" w:rsidRDefault="00C049E2" w:rsidP="006A5AE1">
      <w:pPr>
        <w:spacing w:line="240" w:lineRule="auto"/>
        <w:ind w:left="851" w:right="822"/>
        <w:rPr>
          <w:rFonts w:eastAsia="Palatino Linotype"/>
          <w:b/>
          <w:i/>
        </w:rPr>
      </w:pPr>
      <w:r w:rsidRPr="00A50CCF">
        <w:rPr>
          <w:rFonts w:eastAsia="Palatino Linotype"/>
          <w:b/>
          <w:i/>
        </w:rPr>
        <w:t>Constitución Política de los Estados Unidos Mexicanos</w:t>
      </w:r>
    </w:p>
    <w:p w14:paraId="6B6C67B6" w14:textId="77777777" w:rsidR="00C049E2" w:rsidRPr="00A50CCF" w:rsidRDefault="00C049E2" w:rsidP="006A5AE1">
      <w:pPr>
        <w:spacing w:line="240" w:lineRule="auto"/>
        <w:ind w:left="851" w:right="822"/>
        <w:rPr>
          <w:rFonts w:eastAsia="Palatino Linotype"/>
          <w:b/>
          <w:i/>
        </w:rPr>
      </w:pPr>
      <w:r w:rsidRPr="00A50CCF">
        <w:rPr>
          <w:rFonts w:eastAsia="Palatino Linotype"/>
          <w:b/>
          <w:i/>
        </w:rPr>
        <w:t>“Artículo 6.</w:t>
      </w:r>
    </w:p>
    <w:p w14:paraId="38D3B4C4" w14:textId="77777777" w:rsidR="00C049E2" w:rsidRPr="00A50CCF" w:rsidRDefault="00C049E2" w:rsidP="006A5AE1">
      <w:pPr>
        <w:spacing w:line="240" w:lineRule="auto"/>
        <w:ind w:left="851" w:right="822"/>
        <w:rPr>
          <w:rFonts w:eastAsia="Palatino Linotype"/>
          <w:i/>
        </w:rPr>
      </w:pPr>
      <w:r w:rsidRPr="00A50CCF">
        <w:rPr>
          <w:rFonts w:eastAsia="Palatino Linotype"/>
          <w:i/>
        </w:rPr>
        <w:t>(…)</w:t>
      </w:r>
    </w:p>
    <w:p w14:paraId="2CCAA297" w14:textId="6602827B" w:rsidR="00C049E2" w:rsidRPr="00A50CCF" w:rsidRDefault="00C049E2" w:rsidP="006A5AE1">
      <w:pPr>
        <w:tabs>
          <w:tab w:val="left" w:pos="8222"/>
        </w:tabs>
        <w:spacing w:line="240" w:lineRule="auto"/>
        <w:ind w:left="851" w:right="822"/>
        <w:rPr>
          <w:rFonts w:eastAsia="Palatino Linotype"/>
          <w:i/>
        </w:rPr>
      </w:pPr>
      <w:r w:rsidRPr="00A50CCF">
        <w:rPr>
          <w:rFonts w:eastAsia="Palatino Linotype"/>
          <w:i/>
        </w:rPr>
        <w:t>Para efectos de lo dispuesto en el presente artículo se observará lo siguiente:</w:t>
      </w:r>
    </w:p>
    <w:p w14:paraId="74CC3718" w14:textId="77777777" w:rsidR="00C049E2" w:rsidRPr="00A50CCF" w:rsidRDefault="00C049E2" w:rsidP="004E0438">
      <w:pPr>
        <w:tabs>
          <w:tab w:val="left" w:pos="8222"/>
        </w:tabs>
        <w:spacing w:line="240" w:lineRule="auto"/>
        <w:ind w:left="851" w:right="822"/>
        <w:rPr>
          <w:rFonts w:eastAsia="Palatino Linotype"/>
          <w:b/>
          <w:i/>
        </w:rPr>
      </w:pPr>
      <w:r w:rsidRPr="00A50CCF">
        <w:rPr>
          <w:rFonts w:eastAsia="Palatino Linotype"/>
          <w:b/>
          <w:i/>
        </w:rPr>
        <w:t>A</w:t>
      </w:r>
      <w:r w:rsidRPr="00A50CCF">
        <w:rPr>
          <w:rFonts w:eastAsia="Palatino Linotype"/>
          <w:i/>
        </w:rPr>
        <w:t xml:space="preserve">. </w:t>
      </w:r>
      <w:r w:rsidRPr="00A50CCF">
        <w:rPr>
          <w:rFonts w:eastAsia="Palatino Linotype"/>
          <w:b/>
          <w:i/>
        </w:rPr>
        <w:t>Para el ejercicio del derecho de acceso a la información</w:t>
      </w:r>
      <w:r w:rsidRPr="00A50CCF">
        <w:rPr>
          <w:rFonts w:eastAsia="Palatino Linotype"/>
          <w:i/>
        </w:rPr>
        <w:t xml:space="preserve">, la Federación y </w:t>
      </w:r>
      <w:r w:rsidRPr="00A50CCF">
        <w:rPr>
          <w:rFonts w:eastAsia="Palatino Linotype"/>
          <w:b/>
          <w:i/>
        </w:rPr>
        <w:t>las entidades federativas, en el ámbito de sus respectivas competencias, se regirán por los siguientes principios y bases:</w:t>
      </w:r>
    </w:p>
    <w:p w14:paraId="596A956B" w14:textId="58048D68" w:rsidR="00C049E2" w:rsidRPr="00A50CCF" w:rsidRDefault="00C049E2" w:rsidP="004E0438">
      <w:pPr>
        <w:tabs>
          <w:tab w:val="left" w:pos="8222"/>
        </w:tabs>
        <w:spacing w:line="240" w:lineRule="auto"/>
        <w:ind w:left="851" w:right="822"/>
        <w:rPr>
          <w:rFonts w:eastAsia="Palatino Linotype"/>
          <w:i/>
        </w:rPr>
      </w:pPr>
      <w:r w:rsidRPr="00A50CCF">
        <w:rPr>
          <w:rFonts w:eastAsia="Palatino Linotype"/>
          <w:b/>
          <w:i/>
        </w:rPr>
        <w:t>I. Toda la información en posesión de cualquier</w:t>
      </w:r>
      <w:r w:rsidRPr="00A50CCF">
        <w:rPr>
          <w:rFonts w:eastAsia="Palatino Linotype"/>
          <w:i/>
        </w:rPr>
        <w:t xml:space="preserve"> </w:t>
      </w:r>
      <w:r w:rsidRPr="00A50CCF">
        <w:rPr>
          <w:rFonts w:eastAsia="Palatino Linotype"/>
          <w:b/>
          <w:i/>
        </w:rPr>
        <w:t>autoridad</w:t>
      </w:r>
      <w:r w:rsidRPr="00A50CC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50CCF">
        <w:rPr>
          <w:rFonts w:eastAsia="Palatino Linotype"/>
          <w:b/>
          <w:i/>
        </w:rPr>
        <w:t>municipal</w:t>
      </w:r>
      <w:r w:rsidRPr="00A50CCF">
        <w:rPr>
          <w:rFonts w:eastAsia="Palatino Linotype"/>
          <w:i/>
        </w:rPr>
        <w:t xml:space="preserve">, </w:t>
      </w:r>
      <w:r w:rsidRPr="00A50CCF">
        <w:rPr>
          <w:rFonts w:eastAsia="Palatino Linotype"/>
          <w:b/>
          <w:i/>
        </w:rPr>
        <w:t>es pública</w:t>
      </w:r>
      <w:r w:rsidRPr="00A50CCF">
        <w:rPr>
          <w:rFonts w:eastAsia="Palatino Linotype"/>
          <w:i/>
        </w:rPr>
        <w:t xml:space="preserve"> y sólo podrá ser reservada temporalmente por razones de interés público y seguridad nacional, en los términos que fijen las leyes. </w:t>
      </w:r>
      <w:r w:rsidRPr="00A50CC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50CCF">
        <w:rPr>
          <w:rFonts w:eastAsia="Palatino Linotype"/>
          <w:i/>
        </w:rPr>
        <w:t>, la ley determinará los supuestos específicos bajo los cuales procederá la declaración de inexistencia de la información.”</w:t>
      </w:r>
    </w:p>
    <w:p w14:paraId="68F313E4" w14:textId="6F66CA59" w:rsidR="00C049E2" w:rsidRPr="00A50CCF" w:rsidRDefault="00C049E2" w:rsidP="004E0438">
      <w:pPr>
        <w:tabs>
          <w:tab w:val="left" w:pos="8222"/>
        </w:tabs>
        <w:spacing w:line="240" w:lineRule="auto"/>
        <w:ind w:left="851" w:right="822"/>
        <w:rPr>
          <w:rFonts w:eastAsia="Palatino Linotype"/>
          <w:b/>
          <w:i/>
        </w:rPr>
      </w:pPr>
    </w:p>
    <w:p w14:paraId="504F12DB" w14:textId="77777777" w:rsidR="00C049E2" w:rsidRPr="00A50CCF" w:rsidRDefault="00C049E2" w:rsidP="004E0438">
      <w:pPr>
        <w:tabs>
          <w:tab w:val="left" w:pos="8222"/>
        </w:tabs>
        <w:spacing w:line="240" w:lineRule="auto"/>
        <w:ind w:left="851" w:right="822"/>
        <w:rPr>
          <w:rFonts w:eastAsia="Palatino Linotype"/>
          <w:b/>
          <w:i/>
        </w:rPr>
      </w:pPr>
      <w:r w:rsidRPr="00A50CCF">
        <w:rPr>
          <w:rFonts w:eastAsia="Palatino Linotype"/>
          <w:b/>
          <w:i/>
        </w:rPr>
        <w:t>Constitución Política del Estado Libre y Soberano de México</w:t>
      </w:r>
    </w:p>
    <w:p w14:paraId="04932D29" w14:textId="77777777" w:rsidR="00C049E2" w:rsidRPr="00A50CCF" w:rsidRDefault="00C049E2" w:rsidP="004E0438">
      <w:pPr>
        <w:tabs>
          <w:tab w:val="left" w:pos="8222"/>
        </w:tabs>
        <w:spacing w:line="240" w:lineRule="auto"/>
        <w:ind w:left="851" w:right="822"/>
        <w:rPr>
          <w:rFonts w:eastAsia="Palatino Linotype"/>
          <w:i/>
        </w:rPr>
      </w:pPr>
      <w:r w:rsidRPr="00A50CCF">
        <w:rPr>
          <w:rFonts w:eastAsia="Palatino Linotype"/>
          <w:b/>
          <w:i/>
        </w:rPr>
        <w:t>“Artículo 5</w:t>
      </w:r>
      <w:r w:rsidRPr="00A50CCF">
        <w:rPr>
          <w:rFonts w:eastAsia="Palatino Linotype"/>
          <w:i/>
        </w:rPr>
        <w:t xml:space="preserve">.- </w:t>
      </w:r>
    </w:p>
    <w:p w14:paraId="1D3829F4" w14:textId="77777777" w:rsidR="00C049E2" w:rsidRPr="00A50CCF" w:rsidRDefault="00C049E2" w:rsidP="004E0438">
      <w:pPr>
        <w:tabs>
          <w:tab w:val="left" w:pos="8222"/>
        </w:tabs>
        <w:spacing w:line="240" w:lineRule="auto"/>
        <w:ind w:left="851" w:right="822"/>
        <w:rPr>
          <w:rFonts w:eastAsia="Palatino Linotype"/>
          <w:i/>
        </w:rPr>
      </w:pPr>
      <w:r w:rsidRPr="00A50CCF">
        <w:rPr>
          <w:rFonts w:eastAsia="Palatino Linotype"/>
          <w:i/>
        </w:rPr>
        <w:t>(…)</w:t>
      </w:r>
    </w:p>
    <w:p w14:paraId="0EAE47FD" w14:textId="77777777" w:rsidR="00C049E2" w:rsidRPr="00A50CCF" w:rsidRDefault="00C049E2" w:rsidP="004E0438">
      <w:pPr>
        <w:tabs>
          <w:tab w:val="left" w:pos="8222"/>
        </w:tabs>
        <w:spacing w:line="240" w:lineRule="auto"/>
        <w:ind w:left="851" w:right="822"/>
        <w:rPr>
          <w:rFonts w:eastAsia="Palatino Linotype"/>
          <w:i/>
        </w:rPr>
      </w:pPr>
      <w:r w:rsidRPr="00A50CCF">
        <w:rPr>
          <w:rFonts w:eastAsia="Palatino Linotype"/>
          <w:b/>
          <w:i/>
        </w:rPr>
        <w:lastRenderedPageBreak/>
        <w:t>El derecho a la información será garantizado por el Estado. La ley establecerá las previsiones que permitan asegurar la protección, el respeto y la difusión de este derecho</w:t>
      </w:r>
      <w:r w:rsidRPr="00A50CCF">
        <w:rPr>
          <w:rFonts w:eastAsia="Palatino Linotype"/>
          <w:i/>
        </w:rPr>
        <w:t>.</w:t>
      </w:r>
    </w:p>
    <w:p w14:paraId="4F0C804A" w14:textId="77777777" w:rsidR="00C049E2" w:rsidRPr="00A50CCF" w:rsidRDefault="00C049E2" w:rsidP="004E0438">
      <w:pPr>
        <w:tabs>
          <w:tab w:val="left" w:pos="8222"/>
        </w:tabs>
        <w:spacing w:line="240" w:lineRule="auto"/>
        <w:ind w:left="851" w:right="822"/>
        <w:rPr>
          <w:rFonts w:eastAsia="Palatino Linotype"/>
          <w:i/>
        </w:rPr>
      </w:pPr>
      <w:r w:rsidRPr="00A50CC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50CCF" w:rsidRDefault="00C049E2" w:rsidP="004E0438">
      <w:pPr>
        <w:tabs>
          <w:tab w:val="left" w:pos="8222"/>
        </w:tabs>
        <w:spacing w:line="240" w:lineRule="auto"/>
        <w:ind w:left="851" w:right="822"/>
        <w:rPr>
          <w:rFonts w:eastAsia="Palatino Linotype"/>
          <w:i/>
        </w:rPr>
      </w:pPr>
      <w:r w:rsidRPr="00A50CCF">
        <w:rPr>
          <w:rFonts w:eastAsia="Palatino Linotype"/>
          <w:b/>
          <w:i/>
        </w:rPr>
        <w:t>Este derecho se regirá por los principios y bases siguientes</w:t>
      </w:r>
      <w:r w:rsidRPr="00A50CCF">
        <w:rPr>
          <w:rFonts w:eastAsia="Palatino Linotype"/>
          <w:i/>
        </w:rPr>
        <w:t>:</w:t>
      </w:r>
    </w:p>
    <w:p w14:paraId="4A3E8CBA" w14:textId="77777777" w:rsidR="00C049E2" w:rsidRPr="00A50CCF" w:rsidRDefault="00C049E2" w:rsidP="004E0438">
      <w:pPr>
        <w:tabs>
          <w:tab w:val="left" w:pos="8222"/>
        </w:tabs>
        <w:spacing w:line="240" w:lineRule="auto"/>
        <w:ind w:left="851" w:right="822"/>
        <w:rPr>
          <w:rFonts w:eastAsia="Palatino Linotype"/>
          <w:i/>
        </w:rPr>
      </w:pPr>
      <w:r w:rsidRPr="00A50CCF">
        <w:rPr>
          <w:rFonts w:eastAsia="Palatino Linotype"/>
          <w:b/>
          <w:i/>
        </w:rPr>
        <w:t>I. Toda la información en posesión de cualquier autoridad, entidad, órgano y organismos de los</w:t>
      </w:r>
      <w:r w:rsidRPr="00A50CCF">
        <w:rPr>
          <w:rFonts w:eastAsia="Palatino Linotype"/>
          <w:i/>
        </w:rPr>
        <w:t xml:space="preserve"> Poderes Ejecutivo, Legislativo y Judicial, órganos autónomos, partidos políticos, fideicomisos y fondos públicos estatales y </w:t>
      </w:r>
      <w:r w:rsidRPr="00A50CCF">
        <w:rPr>
          <w:rFonts w:eastAsia="Palatino Linotype"/>
          <w:b/>
          <w:i/>
        </w:rPr>
        <w:t>municipales</w:t>
      </w:r>
      <w:r w:rsidRPr="00A50CC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50CCF">
        <w:rPr>
          <w:rFonts w:eastAsia="Palatino Linotype"/>
          <w:b/>
          <w:i/>
        </w:rPr>
        <w:t>es pública</w:t>
      </w:r>
      <w:r w:rsidRPr="00A50CC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50CCF">
        <w:rPr>
          <w:rFonts w:eastAsia="Palatino Linotype"/>
          <w:b/>
          <w:i/>
        </w:rPr>
        <w:t>En la interpretación de este derecho deberá prevalecer el principio de máxima publicidad</w:t>
      </w:r>
      <w:r w:rsidRPr="00A50CCF">
        <w:rPr>
          <w:rFonts w:eastAsia="Palatino Linotype"/>
          <w:i/>
        </w:rPr>
        <w:t xml:space="preserve">. </w:t>
      </w:r>
      <w:r w:rsidRPr="00A50CCF">
        <w:rPr>
          <w:rFonts w:eastAsia="Palatino Linotype"/>
          <w:b/>
          <w:i/>
        </w:rPr>
        <w:t>Los sujetos obligados deberán documentar todo acto que derive del ejercicio de sus facultades, competencias o funciones</w:t>
      </w:r>
      <w:r w:rsidRPr="00A50CCF">
        <w:rPr>
          <w:rFonts w:eastAsia="Palatino Linotype"/>
          <w:i/>
        </w:rPr>
        <w:t>, la ley determinará los supuestos específicos bajo los cuales procederá la declaración de inexistencia de la información.”</w:t>
      </w:r>
    </w:p>
    <w:p w14:paraId="58A72189" w14:textId="77777777" w:rsidR="006A5AE1" w:rsidRPr="00A50CCF" w:rsidRDefault="006A5AE1" w:rsidP="00404336">
      <w:pPr>
        <w:rPr>
          <w:rFonts w:eastAsia="Palatino Linotype"/>
        </w:rPr>
      </w:pPr>
    </w:p>
    <w:p w14:paraId="6FC1BB3B" w14:textId="41B1AF84" w:rsidR="00C049E2" w:rsidRPr="00A50CCF" w:rsidRDefault="00717E59" w:rsidP="00404336">
      <w:pPr>
        <w:rPr>
          <w:rFonts w:eastAsia="Palatino Linotype"/>
          <w:i/>
        </w:rPr>
      </w:pPr>
      <w:r w:rsidRPr="00A50CCF">
        <w:rPr>
          <w:rFonts w:eastAsia="Palatino Linotype"/>
        </w:rPr>
        <w:t xml:space="preserve">Asimismo, </w:t>
      </w:r>
      <w:r w:rsidR="00C049E2" w:rsidRPr="00A50CCF">
        <w:rPr>
          <w:rFonts w:eastAsia="Palatino Linotype"/>
        </w:rPr>
        <w:t>el artículo 150 de la Ley de Transparencia y Acceso a la Información Pública del Estado de México y Municipios</w:t>
      </w:r>
      <w:r w:rsidR="00057B2D" w:rsidRPr="00A50CCF">
        <w:rPr>
          <w:rFonts w:eastAsia="Palatino Linotype"/>
        </w:rPr>
        <w:t xml:space="preserve"> </w:t>
      </w:r>
      <w:r w:rsidR="00E9335C" w:rsidRPr="00A50CCF">
        <w:rPr>
          <w:rFonts w:eastAsia="Palatino Linotype"/>
        </w:rPr>
        <w:t xml:space="preserve">indica </w:t>
      </w:r>
      <w:r w:rsidR="00057B2D" w:rsidRPr="00A50CCF">
        <w:rPr>
          <w:rFonts w:eastAsia="Palatino Linotype"/>
        </w:rPr>
        <w:t>que</w:t>
      </w:r>
      <w:r w:rsidR="00C049E2" w:rsidRPr="00A50CCF">
        <w:rPr>
          <w:rFonts w:eastAsia="Palatino Linotype"/>
        </w:rPr>
        <w:t xml:space="preserve"> la solicitud es la garantía primaria del Derecho de Acceso a la Información, además, establece que se regirá </w:t>
      </w:r>
      <w:r w:rsidR="00C049E2" w:rsidRPr="00A50CCF">
        <w:rPr>
          <w:rFonts w:eastAsia="Palatino Linotype"/>
          <w:i/>
        </w:rPr>
        <w:t>por los principios de simplicidad, rapidez</w:t>
      </w:r>
      <w:r w:rsidR="005F65B7" w:rsidRPr="00A50CCF">
        <w:rPr>
          <w:rFonts w:eastAsia="Palatino Linotype"/>
          <w:i/>
        </w:rPr>
        <w:t>,</w:t>
      </w:r>
      <w:r w:rsidR="00C049E2" w:rsidRPr="00A50CCF">
        <w:rPr>
          <w:rFonts w:eastAsia="Palatino Linotype"/>
          <w:i/>
        </w:rPr>
        <w:t xml:space="preserve"> gratuidad del procedimiento, auxilio y orientación a los particulare</w:t>
      </w:r>
      <w:r w:rsidR="001A58B3" w:rsidRPr="00A50CCF">
        <w:rPr>
          <w:rFonts w:eastAsia="Palatino Linotype"/>
          <w:i/>
        </w:rPr>
        <w:t>s.</w:t>
      </w:r>
    </w:p>
    <w:p w14:paraId="033466A6" w14:textId="77777777" w:rsidR="001A58B3" w:rsidRPr="00A50CCF" w:rsidRDefault="001A58B3" w:rsidP="00404336">
      <w:pPr>
        <w:rPr>
          <w:rFonts w:eastAsia="Palatino Linotype"/>
          <w:i/>
        </w:rPr>
      </w:pPr>
    </w:p>
    <w:p w14:paraId="04ADA10B" w14:textId="574A944A" w:rsidR="001A58B3" w:rsidRPr="00A50CCF" w:rsidRDefault="00233F17" w:rsidP="00404336">
      <w:pPr>
        <w:rPr>
          <w:rFonts w:eastAsia="Palatino Linotype" w:cs="Palatino Linotype"/>
          <w:i/>
          <w:szCs w:val="22"/>
        </w:rPr>
      </w:pPr>
      <w:r w:rsidRPr="00A50CCF">
        <w:rPr>
          <w:rFonts w:eastAsia="Palatino Linotype" w:cs="Palatino Linotype"/>
        </w:rPr>
        <w:t xml:space="preserve">Por su parte, el artículo 4 de </w:t>
      </w:r>
      <w:r w:rsidR="001A58B3" w:rsidRPr="00A50CC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50CCF">
        <w:rPr>
          <w:rFonts w:eastAsia="Palatino Linotype" w:cs="Palatino Linotype"/>
        </w:rPr>
        <w:t>.</w:t>
      </w:r>
    </w:p>
    <w:p w14:paraId="7552AA79" w14:textId="5C52E4A4" w:rsidR="001A58B3" w:rsidRPr="00A50CCF" w:rsidRDefault="001A58B3" w:rsidP="00404336">
      <w:pPr>
        <w:rPr>
          <w:rFonts w:eastAsia="Palatino Linotype" w:cs="Palatino Linotype"/>
        </w:rPr>
      </w:pPr>
      <w:r w:rsidRPr="00A50CCF">
        <w:rPr>
          <w:rFonts w:eastAsia="Palatino Linotype" w:cs="Palatino Linotype"/>
        </w:rPr>
        <w:t xml:space="preserve">Esto es, que los Sujetos Obligados </w:t>
      </w:r>
      <w:r w:rsidR="00FA5957" w:rsidRPr="00A50CCF">
        <w:rPr>
          <w:rFonts w:eastAsia="Palatino Linotype" w:cs="Palatino Linotype"/>
        </w:rPr>
        <w:t>deben</w:t>
      </w:r>
      <w:r w:rsidRPr="00A50CCF">
        <w:rPr>
          <w:rFonts w:eastAsia="Palatino Linotype" w:cs="Palatino Linotype"/>
        </w:rPr>
        <w:t xml:space="preserve"> atender las solicitudes de acceso a la información pública que se les </w:t>
      </w:r>
      <w:r w:rsidR="00FA5957" w:rsidRPr="00A50CCF">
        <w:rPr>
          <w:rFonts w:eastAsia="Palatino Linotype" w:cs="Palatino Linotype"/>
        </w:rPr>
        <w:t>sean realizadas,</w:t>
      </w:r>
      <w:r w:rsidRPr="00A50CCF">
        <w:rPr>
          <w:rFonts w:eastAsia="Palatino Linotype" w:cs="Palatino Linotype"/>
        </w:rPr>
        <w:t xml:space="preserve"> y proporcionar la información pública que obre en su poder</w:t>
      </w:r>
      <w:r w:rsidR="00FA5957" w:rsidRPr="00A50CCF">
        <w:rPr>
          <w:rFonts w:eastAsia="Palatino Linotype" w:cs="Palatino Linotype"/>
        </w:rPr>
        <w:t>,</w:t>
      </w:r>
      <w:r w:rsidRPr="00A50CCF">
        <w:rPr>
          <w:rFonts w:eastAsia="Palatino Linotype" w:cs="Palatino Linotype"/>
        </w:rPr>
        <w:t xml:space="preserve"> </w:t>
      </w:r>
      <w:r w:rsidRPr="00A50CCF">
        <w:rPr>
          <w:rFonts w:eastAsia="Palatino Linotype" w:cs="Palatino Linotype"/>
        </w:rPr>
        <w:lastRenderedPageBreak/>
        <w:t xml:space="preserve">conforme </w:t>
      </w:r>
      <w:r w:rsidR="00FA5957" w:rsidRPr="00A50CCF">
        <w:rPr>
          <w:rFonts w:eastAsia="Palatino Linotype" w:cs="Palatino Linotype"/>
        </w:rPr>
        <w:t>a</w:t>
      </w:r>
      <w:r w:rsidRPr="00A50CCF">
        <w:rPr>
          <w:rFonts w:eastAsia="Palatino Linotype" w:cs="Palatino Linotype"/>
        </w:rPr>
        <w:t xml:space="preserve">l estado </w:t>
      </w:r>
      <w:r w:rsidR="00FA5957" w:rsidRPr="00A50CCF">
        <w:rPr>
          <w:rFonts w:eastAsia="Palatino Linotype" w:cs="Palatino Linotype"/>
        </w:rPr>
        <w:t xml:space="preserve">en </w:t>
      </w:r>
      <w:r w:rsidRPr="00A50CCF">
        <w:rPr>
          <w:rFonts w:eastAsia="Palatino Linotype" w:cs="Palatino Linotype"/>
        </w:rPr>
        <w:t>que se encuentr</w:t>
      </w:r>
      <w:r w:rsidR="00FA5957" w:rsidRPr="00A50CCF">
        <w:rPr>
          <w:rFonts w:eastAsia="Palatino Linotype" w:cs="Palatino Linotype"/>
        </w:rPr>
        <w:t>e, sin que sea necesario</w:t>
      </w:r>
      <w:r w:rsidRPr="00A50CCF">
        <w:rPr>
          <w:rFonts w:eastAsia="Palatino Linotype" w:cs="Palatino Linotype"/>
        </w:rPr>
        <w:t xml:space="preserve"> </w:t>
      </w:r>
      <w:r w:rsidR="00FA5957" w:rsidRPr="00A50CCF">
        <w:rPr>
          <w:rFonts w:eastAsia="Palatino Linotype" w:cs="Palatino Linotype"/>
        </w:rPr>
        <w:t>procesar</w:t>
      </w:r>
      <w:r w:rsidRPr="00A50CCF">
        <w:rPr>
          <w:rFonts w:eastAsia="Palatino Linotype" w:cs="Palatino Linotype"/>
        </w:rPr>
        <w:t xml:space="preserve"> la misma, ni presentarla conforme al interés del solicitante; </w:t>
      </w:r>
      <w:r w:rsidR="00FA5957" w:rsidRPr="00A50CCF">
        <w:rPr>
          <w:rFonts w:eastAsia="Palatino Linotype" w:cs="Palatino Linotype"/>
        </w:rPr>
        <w:t>tal y como</w:t>
      </w:r>
      <w:r w:rsidRPr="00A50CCF">
        <w:rPr>
          <w:rFonts w:eastAsia="Palatino Linotype" w:cs="Palatino Linotype"/>
        </w:rPr>
        <w:t xml:space="preserve"> lo establece el artículo 12 de la Ley de Transparencia y Acceso a la Información Pública del Estado de México y Municipios</w:t>
      </w:r>
      <w:r w:rsidR="00970EB3" w:rsidRPr="00A50CCF">
        <w:rPr>
          <w:rFonts w:eastAsia="Palatino Linotype" w:cs="Palatino Linotype"/>
        </w:rPr>
        <w:t>.</w:t>
      </w:r>
    </w:p>
    <w:p w14:paraId="73245195" w14:textId="77777777" w:rsidR="00970EB3" w:rsidRPr="00A50CCF" w:rsidRDefault="00970EB3" w:rsidP="00404336">
      <w:pPr>
        <w:rPr>
          <w:rFonts w:eastAsia="Palatino Linotype" w:cs="Palatino Linotype"/>
        </w:rPr>
      </w:pPr>
    </w:p>
    <w:p w14:paraId="7F62D4DF" w14:textId="0726889E" w:rsidR="001A58B3" w:rsidRPr="00A50CCF" w:rsidRDefault="001A58B3" w:rsidP="00404336">
      <w:pPr>
        <w:rPr>
          <w:rFonts w:eastAsia="Palatino Linotype" w:cs="Palatino Linotype"/>
        </w:rPr>
      </w:pPr>
      <w:r w:rsidRPr="00A50CCF">
        <w:rPr>
          <w:rFonts w:eastAsia="Palatino Linotype" w:cs="Palatino Linotype"/>
        </w:rPr>
        <w:t>Es decir, que todo sujeto obligado que genere, recopile, administre, procese, archive, posea o conserven, son responsables de la misma</w:t>
      </w:r>
      <w:r w:rsidR="00970EB3" w:rsidRPr="00A50CCF">
        <w:rPr>
          <w:rFonts w:eastAsia="Palatino Linotype" w:cs="Palatino Linotype"/>
        </w:rPr>
        <w:t>,</w:t>
      </w:r>
      <w:r w:rsidRPr="00A50CC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50CCF">
        <w:rPr>
          <w:rFonts w:eastAsia="Palatino Linotype" w:cs="Palatino Linotype"/>
        </w:rPr>
        <w:t>o</w:t>
      </w:r>
      <w:r w:rsidRPr="00A50CC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C53CBF2" w14:textId="77777777" w:rsidR="00EE31D5" w:rsidRPr="00A50CCF" w:rsidRDefault="00EE31D5" w:rsidP="00404336">
      <w:pPr>
        <w:rPr>
          <w:rFonts w:eastAsia="Palatino Linotype" w:cs="Palatino Linotype"/>
        </w:rPr>
      </w:pPr>
    </w:p>
    <w:p w14:paraId="04E42DFE" w14:textId="573F1198" w:rsidR="001A58B3" w:rsidRPr="00A50CCF" w:rsidRDefault="001A58B3" w:rsidP="00404336">
      <w:pPr>
        <w:rPr>
          <w:rFonts w:eastAsia="Palatino Linotype" w:cs="Palatino Linotype"/>
        </w:rPr>
      </w:pPr>
      <w:r w:rsidRPr="00A50CC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50CCF">
        <w:rPr>
          <w:rFonts w:eastAsia="Palatino Linotype" w:cs="Palatino Linotype"/>
        </w:rPr>
        <w:t>, s</w:t>
      </w:r>
      <w:r w:rsidRPr="00A50CCF">
        <w:rPr>
          <w:rFonts w:eastAsia="Palatino Linotype" w:cs="Palatino Linotype"/>
        </w:rPr>
        <w:t xml:space="preserve">iempre y cuando no se trate de información reservada o </w:t>
      </w:r>
      <w:r w:rsidR="00331F35" w:rsidRPr="00A50CCF">
        <w:rPr>
          <w:rFonts w:eastAsia="Palatino Linotype" w:cs="Palatino Linotype"/>
        </w:rPr>
        <w:t>confidencial.</w:t>
      </w:r>
    </w:p>
    <w:p w14:paraId="40C5219F" w14:textId="77777777" w:rsidR="001A58B3" w:rsidRPr="00A50CCF" w:rsidRDefault="001A58B3" w:rsidP="00404336">
      <w:pPr>
        <w:rPr>
          <w:rFonts w:eastAsia="Palatino Linotype" w:cs="Palatino Linotype"/>
        </w:rPr>
      </w:pPr>
    </w:p>
    <w:p w14:paraId="2E629608" w14:textId="01727E15" w:rsidR="00C049E2" w:rsidRPr="00A50CCF" w:rsidRDefault="006067C7" w:rsidP="00404336">
      <w:pPr>
        <w:rPr>
          <w:rFonts w:eastAsia="Palatino Linotype"/>
        </w:rPr>
      </w:pPr>
      <w:bookmarkStart w:id="27" w:name="_heading=h.2s8eyo1" w:colFirst="0" w:colLast="0"/>
      <w:bookmarkEnd w:id="27"/>
      <w:r w:rsidRPr="00A50CCF">
        <w:rPr>
          <w:rFonts w:eastAsia="Palatino Linotype"/>
        </w:rPr>
        <w:t>Con base en lo anterior</w:t>
      </w:r>
      <w:r w:rsidR="00B22A80" w:rsidRPr="00A50CCF">
        <w:rPr>
          <w:rFonts w:eastAsia="Palatino Linotype"/>
        </w:rPr>
        <w:t>, se considera que</w:t>
      </w:r>
      <w:r w:rsidR="00C049E2" w:rsidRPr="00A50CCF">
        <w:rPr>
          <w:rFonts w:eastAsia="Palatino Linotype"/>
        </w:rPr>
        <w:t xml:space="preserve"> </w:t>
      </w:r>
      <w:r w:rsidR="00B22A80" w:rsidRPr="00A50CCF">
        <w:rPr>
          <w:rFonts w:eastAsia="Palatino Linotype"/>
          <w:b/>
          <w:bCs/>
        </w:rPr>
        <w:t>EL</w:t>
      </w:r>
      <w:r w:rsidR="00C049E2" w:rsidRPr="00A50CCF">
        <w:rPr>
          <w:rFonts w:eastAsia="Palatino Linotype"/>
        </w:rPr>
        <w:t xml:space="preserve"> </w:t>
      </w:r>
      <w:r w:rsidR="00C049E2" w:rsidRPr="00A50CCF">
        <w:rPr>
          <w:rFonts w:eastAsia="Palatino Linotype"/>
          <w:b/>
        </w:rPr>
        <w:t>SUJETO OBLIGADO</w:t>
      </w:r>
      <w:r w:rsidR="00C049E2" w:rsidRPr="00A50CCF">
        <w:rPr>
          <w:rFonts w:eastAsia="Palatino Linotype"/>
        </w:rPr>
        <w:t xml:space="preserve"> </w:t>
      </w:r>
      <w:r w:rsidR="00B22A80" w:rsidRPr="00A50CCF">
        <w:rPr>
          <w:rFonts w:eastAsia="Palatino Linotype"/>
        </w:rPr>
        <w:t xml:space="preserve">se </w:t>
      </w:r>
      <w:r w:rsidR="00717E59" w:rsidRPr="00A50CCF">
        <w:rPr>
          <w:rFonts w:eastAsia="Palatino Linotype"/>
        </w:rPr>
        <w:t>encontraba</w:t>
      </w:r>
      <w:r w:rsidR="00B22A80" w:rsidRPr="00A50CCF">
        <w:rPr>
          <w:rFonts w:eastAsia="Palatino Linotype"/>
        </w:rPr>
        <w:t xml:space="preserve"> compelido a</w:t>
      </w:r>
      <w:r w:rsidR="00C049E2" w:rsidRPr="00A50CCF">
        <w:rPr>
          <w:rFonts w:eastAsia="Palatino Linotype"/>
        </w:rPr>
        <w:t xml:space="preserve"> atender la solicitud de acceso a la información </w:t>
      </w:r>
      <w:r w:rsidR="00B22A80" w:rsidRPr="00A50CCF">
        <w:rPr>
          <w:rFonts w:eastAsia="Palatino Linotype"/>
        </w:rPr>
        <w:t xml:space="preserve">realizada por </w:t>
      </w:r>
      <w:r w:rsidR="00B22A80" w:rsidRPr="00A50CCF">
        <w:rPr>
          <w:rFonts w:eastAsia="Palatino Linotype"/>
          <w:b/>
          <w:bCs/>
        </w:rPr>
        <w:t>LA PARTE RECURRENTE</w:t>
      </w:r>
      <w:r w:rsidR="00331F35" w:rsidRPr="00A50CCF">
        <w:rPr>
          <w:rFonts w:eastAsia="Palatino Linotype"/>
        </w:rPr>
        <w:t>.</w:t>
      </w:r>
    </w:p>
    <w:p w14:paraId="3AFB9FAE" w14:textId="77777777" w:rsidR="00AA26B0" w:rsidRPr="00A50CCF" w:rsidRDefault="00AA26B0" w:rsidP="00404336">
      <w:pPr>
        <w:rPr>
          <w:rFonts w:eastAsia="Palatino Linotype"/>
        </w:rPr>
      </w:pPr>
    </w:p>
    <w:p w14:paraId="51A0E8B4" w14:textId="676DCA47" w:rsidR="00664420" w:rsidRPr="00A50CCF" w:rsidRDefault="00C71CEF" w:rsidP="00404336">
      <w:pPr>
        <w:pStyle w:val="Ttulo3"/>
        <w:spacing w:line="360" w:lineRule="auto"/>
        <w:rPr>
          <w:rFonts w:eastAsia="Calibri"/>
          <w:lang w:eastAsia="es-ES_tradnl"/>
        </w:rPr>
      </w:pPr>
      <w:bookmarkStart w:id="28" w:name="_Toc175217731"/>
      <w:r w:rsidRPr="00A50CCF">
        <w:rPr>
          <w:rFonts w:eastAsia="Calibri"/>
          <w:lang w:eastAsia="es-ES_tradnl"/>
        </w:rPr>
        <w:t>b)</w:t>
      </w:r>
      <w:r w:rsidR="00A53315" w:rsidRPr="00A50CCF">
        <w:rPr>
          <w:rFonts w:eastAsia="Calibri"/>
          <w:lang w:eastAsia="es-ES_tradnl"/>
        </w:rPr>
        <w:t xml:space="preserve"> </w:t>
      </w:r>
      <w:r w:rsidR="00A21A20" w:rsidRPr="00A50CCF">
        <w:rPr>
          <w:rFonts w:eastAsia="Calibri"/>
          <w:lang w:eastAsia="es-ES_tradnl"/>
        </w:rPr>
        <w:t>Controversia a resolver</w:t>
      </w:r>
      <w:bookmarkEnd w:id="28"/>
    </w:p>
    <w:p w14:paraId="5DAE2A65" w14:textId="552BC888" w:rsidR="00664420" w:rsidRPr="00A50CCF" w:rsidRDefault="00AD67E4" w:rsidP="00404336">
      <w:pPr>
        <w:rPr>
          <w:rFonts w:eastAsia="Calibri"/>
          <w:lang w:eastAsia="es-ES_tradnl"/>
        </w:rPr>
      </w:pPr>
      <w:r w:rsidRPr="00A50CCF">
        <w:rPr>
          <w:rFonts w:eastAsia="Calibri"/>
          <w:lang w:eastAsia="es-ES_tradnl"/>
        </w:rPr>
        <w:t>C</w:t>
      </w:r>
      <w:r w:rsidR="00664420" w:rsidRPr="00A50CCF">
        <w:rPr>
          <w:rFonts w:eastAsia="Calibri"/>
          <w:lang w:eastAsia="es-ES_tradnl"/>
        </w:rPr>
        <w:t xml:space="preserve">on el objeto de ilustrar la controversia planteada, resulta conveniente precisar que, una vez realizado el estudio de las constancias que integran el expediente en que se actúa, se desprende que </w:t>
      </w:r>
      <w:r w:rsidR="005D5A50" w:rsidRPr="00A50CCF">
        <w:rPr>
          <w:rFonts w:eastAsia="Calibri"/>
          <w:b/>
          <w:bCs/>
          <w:lang w:eastAsia="es-ES_tradnl"/>
        </w:rPr>
        <w:t>LA PARTE RECURRENTE</w:t>
      </w:r>
      <w:r w:rsidR="00664420" w:rsidRPr="00A50CCF">
        <w:rPr>
          <w:rFonts w:eastAsia="Calibri"/>
          <w:lang w:eastAsia="es-ES_tradnl"/>
        </w:rPr>
        <w:t xml:space="preserve"> </w:t>
      </w:r>
      <w:r w:rsidR="003E1D10" w:rsidRPr="00A50CCF">
        <w:rPr>
          <w:rFonts w:eastAsia="Calibri"/>
          <w:lang w:eastAsia="es-ES_tradnl"/>
        </w:rPr>
        <w:t>requirió</w:t>
      </w:r>
      <w:r w:rsidR="00664420" w:rsidRPr="00A50CCF">
        <w:rPr>
          <w:rFonts w:eastAsia="Calibri"/>
          <w:lang w:eastAsia="es-ES_tradnl"/>
        </w:rPr>
        <w:t xml:space="preserve"> lo siguiente</w:t>
      </w:r>
      <w:r w:rsidR="006A5AE1" w:rsidRPr="00A50CCF">
        <w:rPr>
          <w:rFonts w:eastAsia="Calibri"/>
          <w:lang w:eastAsia="es-ES_tradnl"/>
        </w:rPr>
        <w:t>:</w:t>
      </w:r>
      <w:r w:rsidR="003E1D10" w:rsidRPr="00A50CCF">
        <w:rPr>
          <w:rFonts w:eastAsia="Calibri"/>
          <w:lang w:eastAsia="es-ES_tradnl"/>
        </w:rPr>
        <w:t xml:space="preserve"> </w:t>
      </w:r>
    </w:p>
    <w:p w14:paraId="7D9D559B" w14:textId="3C2AEB17" w:rsidR="00664420" w:rsidRPr="00A50CCF" w:rsidRDefault="00664420" w:rsidP="00404336">
      <w:pPr>
        <w:tabs>
          <w:tab w:val="left" w:pos="4962"/>
        </w:tabs>
        <w:contextualSpacing/>
        <w:rPr>
          <w:rFonts w:eastAsia="Calibri" w:cs="Tahoma"/>
          <w:iCs/>
          <w:szCs w:val="22"/>
          <w:lang w:eastAsia="es-ES_tradnl"/>
        </w:rPr>
      </w:pPr>
    </w:p>
    <w:p w14:paraId="446B514A" w14:textId="45F35DC9" w:rsidR="006A5AE1" w:rsidRPr="00A50CCF" w:rsidRDefault="006A5AE1" w:rsidP="00404336">
      <w:pPr>
        <w:pStyle w:val="Prrafodelista"/>
        <w:numPr>
          <w:ilvl w:val="0"/>
          <w:numId w:val="8"/>
        </w:numPr>
        <w:tabs>
          <w:tab w:val="left" w:pos="4962"/>
        </w:tabs>
        <w:rPr>
          <w:rFonts w:cs="Tahoma"/>
          <w:bCs/>
          <w:iCs/>
          <w:szCs w:val="22"/>
        </w:rPr>
      </w:pPr>
      <w:r w:rsidRPr="00A50CCF">
        <w:rPr>
          <w:rFonts w:cs="Tahoma"/>
          <w:bCs/>
          <w:iCs/>
          <w:szCs w:val="22"/>
        </w:rPr>
        <w:t>L</w:t>
      </w:r>
      <w:r w:rsidR="00AD67E4" w:rsidRPr="00A50CCF">
        <w:rPr>
          <w:rFonts w:cs="Tahoma"/>
          <w:bCs/>
          <w:iCs/>
          <w:szCs w:val="22"/>
        </w:rPr>
        <w:t>os recibos de pago que contenga el pago de nómina, aguinaldo, bonos o cualquier otra prestación de la Servidora Pública referida en la solicitud de información desde 2016 hasta el día de la presentación de la solicitud.</w:t>
      </w:r>
    </w:p>
    <w:p w14:paraId="1D5FEDA2" w14:textId="77777777" w:rsidR="006A5AE1" w:rsidRPr="00A50CCF" w:rsidRDefault="006A5AE1" w:rsidP="00404336">
      <w:pPr>
        <w:tabs>
          <w:tab w:val="left" w:pos="4962"/>
        </w:tabs>
        <w:contextualSpacing/>
        <w:rPr>
          <w:rFonts w:eastAsiaTheme="minorHAnsi" w:cs="Tahoma"/>
          <w:bCs/>
          <w:iCs/>
          <w:szCs w:val="22"/>
          <w:lang w:eastAsia="en-US"/>
        </w:rPr>
      </w:pPr>
    </w:p>
    <w:p w14:paraId="2A191228" w14:textId="5E86C50E" w:rsidR="00A225DA" w:rsidRPr="00A50CCF" w:rsidRDefault="006A5AE1" w:rsidP="006A5AE1">
      <w:pPr>
        <w:tabs>
          <w:tab w:val="left" w:pos="4962"/>
        </w:tabs>
        <w:contextualSpacing/>
        <w:rPr>
          <w:rFonts w:cs="Tahoma"/>
          <w:b/>
          <w:i/>
        </w:rPr>
      </w:pPr>
      <w:r w:rsidRPr="00A50CCF">
        <w:rPr>
          <w:rFonts w:eastAsiaTheme="minorHAnsi" w:cs="Tahoma"/>
          <w:bCs/>
          <w:iCs/>
          <w:szCs w:val="22"/>
          <w:lang w:eastAsia="en-US"/>
        </w:rPr>
        <w:t>Ante la falta de</w:t>
      </w:r>
      <w:r w:rsidR="00664420" w:rsidRPr="00A50CCF">
        <w:rPr>
          <w:rFonts w:eastAsiaTheme="minorHAnsi" w:cs="Tahoma"/>
          <w:bCs/>
          <w:iCs/>
          <w:szCs w:val="22"/>
          <w:lang w:eastAsia="en-US"/>
        </w:rPr>
        <w:t xml:space="preserve"> respuesta</w:t>
      </w:r>
      <w:r w:rsidRPr="00A50CCF">
        <w:rPr>
          <w:rFonts w:eastAsiaTheme="minorHAnsi" w:cs="Tahoma"/>
          <w:bCs/>
          <w:iCs/>
          <w:szCs w:val="22"/>
          <w:lang w:eastAsia="en-US"/>
        </w:rPr>
        <w:t xml:space="preserve"> por parte del</w:t>
      </w:r>
      <w:r w:rsidR="005D5A50" w:rsidRPr="00A50CCF">
        <w:rPr>
          <w:rFonts w:eastAsiaTheme="minorHAnsi" w:cs="Tahoma"/>
          <w:b/>
          <w:iCs/>
          <w:szCs w:val="22"/>
          <w:lang w:eastAsia="en-US"/>
        </w:rPr>
        <w:t xml:space="preserve"> SUJETO OBLIGADO</w:t>
      </w:r>
      <w:r w:rsidRPr="00A50CCF">
        <w:rPr>
          <w:rFonts w:eastAsiaTheme="minorHAnsi" w:cs="Tahoma"/>
          <w:b/>
          <w:iCs/>
          <w:szCs w:val="22"/>
          <w:lang w:eastAsia="en-US"/>
        </w:rPr>
        <w:t>,</w:t>
      </w:r>
      <w:r w:rsidR="00664420" w:rsidRPr="00A50CCF">
        <w:rPr>
          <w:rFonts w:eastAsiaTheme="minorHAnsi" w:cs="Tahoma"/>
          <w:bCs/>
          <w:iCs/>
          <w:szCs w:val="22"/>
          <w:lang w:eastAsia="en-US"/>
        </w:rPr>
        <w:t xml:space="preserve"> </w:t>
      </w:r>
      <w:r w:rsidRPr="00A50CCF">
        <w:rPr>
          <w:rFonts w:eastAsia="Calibri"/>
          <w:b/>
          <w:bCs/>
          <w:lang w:eastAsia="es-ES_tradnl"/>
        </w:rPr>
        <w:t xml:space="preserve">LA PARTE RECURRENTE </w:t>
      </w:r>
      <w:r w:rsidRPr="00A50CCF">
        <w:rPr>
          <w:rFonts w:eastAsia="Calibri"/>
          <w:lang w:eastAsia="es-ES_tradnl"/>
        </w:rPr>
        <w:t>interpuso el medio de impugnación materia del presente estudio, manifestando que “</w:t>
      </w:r>
      <w:r w:rsidR="00AD67E4" w:rsidRPr="00A50CCF">
        <w:rPr>
          <w:rFonts w:cs="Tahoma"/>
          <w:b/>
          <w:i/>
        </w:rPr>
        <w:t>No entrego información</w:t>
      </w:r>
      <w:r w:rsidRPr="00A50CCF">
        <w:rPr>
          <w:rFonts w:cs="Tahoma"/>
          <w:b/>
          <w:i/>
        </w:rPr>
        <w:t>” (Sic)</w:t>
      </w:r>
    </w:p>
    <w:p w14:paraId="7342911C" w14:textId="5BC5D602" w:rsidR="00865542" w:rsidRPr="00A50CCF" w:rsidRDefault="00865542" w:rsidP="006A5AE1">
      <w:pPr>
        <w:tabs>
          <w:tab w:val="left" w:pos="4962"/>
        </w:tabs>
        <w:contextualSpacing/>
        <w:rPr>
          <w:rFonts w:cs="Tahoma"/>
          <w:b/>
          <w:i/>
        </w:rPr>
      </w:pPr>
    </w:p>
    <w:p w14:paraId="4FAFE7DD" w14:textId="76911BAD" w:rsidR="00865542" w:rsidRPr="00A50CCF" w:rsidRDefault="00865542" w:rsidP="006A5AE1">
      <w:pPr>
        <w:tabs>
          <w:tab w:val="left" w:pos="4962"/>
        </w:tabs>
        <w:contextualSpacing/>
        <w:rPr>
          <w:rFonts w:cs="Tahoma"/>
          <w:bCs/>
          <w:iCs/>
        </w:rPr>
      </w:pPr>
      <w:r w:rsidRPr="00A50CCF">
        <w:rPr>
          <w:rFonts w:cs="Tahoma"/>
          <w:bCs/>
          <w:iCs/>
        </w:rPr>
        <w:t>Mediante informe justificado remitió</w:t>
      </w:r>
      <w:r w:rsidR="00DB37D5" w:rsidRPr="00A50CCF">
        <w:rPr>
          <w:rFonts w:cs="Tahoma"/>
          <w:bCs/>
          <w:iCs/>
        </w:rPr>
        <w:t xml:space="preserve"> diversos documentos consistentes en diversos recibos de nómina en versión pública, el acta del comité de transparencia por medio de la cual se aprobó dicha versión pública y los oficios de remisión de la información, con los que pretendió dar respuesta a la solicitud planteada por </w:t>
      </w:r>
      <w:r w:rsidR="00DB37D5" w:rsidRPr="00A50CCF">
        <w:rPr>
          <w:rFonts w:eastAsiaTheme="minorHAnsi" w:cs="Tahoma"/>
          <w:b/>
          <w:iCs/>
          <w:szCs w:val="22"/>
          <w:lang w:eastAsia="en-US"/>
        </w:rPr>
        <w:t>LA PARTE RECURRENTE.</w:t>
      </w:r>
    </w:p>
    <w:p w14:paraId="241B87E9" w14:textId="77777777" w:rsidR="004E21B4" w:rsidRPr="00A50CCF" w:rsidRDefault="004E21B4" w:rsidP="004E21B4">
      <w:pPr>
        <w:tabs>
          <w:tab w:val="left" w:pos="4667"/>
        </w:tabs>
        <w:ind w:left="567" w:right="539"/>
        <w:rPr>
          <w:rFonts w:cs="Tahoma"/>
          <w:bCs/>
          <w:i/>
        </w:rPr>
      </w:pPr>
    </w:p>
    <w:p w14:paraId="414FD2D5" w14:textId="4408E416" w:rsidR="00664420" w:rsidRPr="00A50CCF" w:rsidRDefault="00A21A20" w:rsidP="00404336">
      <w:pPr>
        <w:pStyle w:val="Ttulo3"/>
        <w:spacing w:line="360" w:lineRule="auto"/>
      </w:pPr>
      <w:bookmarkStart w:id="29" w:name="_Toc175217732"/>
      <w:r w:rsidRPr="00A50CCF">
        <w:t>c)</w:t>
      </w:r>
      <w:r w:rsidR="00664420" w:rsidRPr="00A50CCF">
        <w:t xml:space="preserve"> </w:t>
      </w:r>
      <w:r w:rsidRPr="00A50CCF">
        <w:t>Estudio de la controversia</w:t>
      </w:r>
      <w:bookmarkEnd w:id="29"/>
    </w:p>
    <w:p w14:paraId="4696BDD6" w14:textId="095D03F9" w:rsidR="00876496" w:rsidRPr="00A50CCF" w:rsidRDefault="004E21B4" w:rsidP="00404336">
      <w:pPr>
        <w:pStyle w:val="Prrafodelista"/>
        <w:widowControl w:val="0"/>
        <w:autoSpaceDE w:val="0"/>
        <w:autoSpaceDN w:val="0"/>
        <w:adjustRightInd w:val="0"/>
        <w:ind w:left="0"/>
        <w:rPr>
          <w:lang w:val="es-ES_tradnl"/>
        </w:rPr>
      </w:pPr>
      <w:r w:rsidRPr="00A50CCF">
        <w:t>Determinado lo anterior</w:t>
      </w:r>
      <w:r w:rsidR="00876496" w:rsidRPr="00A50CCF">
        <w:t xml:space="preserve">, es importante señalar que </w:t>
      </w:r>
      <w:r w:rsidR="00876496" w:rsidRPr="00A50CCF">
        <w:rPr>
          <w:rFonts w:eastAsiaTheme="minorHAnsi" w:cs="Tahoma"/>
          <w:b/>
          <w:iCs/>
          <w:szCs w:val="22"/>
          <w:lang w:eastAsia="en-US"/>
        </w:rPr>
        <w:t>LA PARTE RECURRENTE</w:t>
      </w:r>
      <w:r w:rsidR="00876496" w:rsidRPr="00A50CCF">
        <w:rPr>
          <w:rFonts w:eastAsiaTheme="minorHAnsi" w:cs="Tahoma"/>
          <w:bCs/>
          <w:iCs/>
          <w:szCs w:val="22"/>
          <w:lang w:eastAsia="en-US"/>
        </w:rPr>
        <w:t xml:space="preserve"> </w:t>
      </w:r>
      <w:r w:rsidR="00227D49" w:rsidRPr="00A50CCF">
        <w:rPr>
          <w:lang w:val="es-ES_tradnl"/>
        </w:rPr>
        <w:t xml:space="preserve">en su solicitud estableció como temporalidad de inicio de la información requerida como el año 2016 a la fecha de la presentación de la solicitud, así mismo del análisis a las documentales remitidas por </w:t>
      </w:r>
      <w:r w:rsidR="00227D49" w:rsidRPr="00A50CCF">
        <w:rPr>
          <w:b/>
          <w:bCs/>
          <w:lang w:val="es-ES_tradnl"/>
        </w:rPr>
        <w:t xml:space="preserve">EL </w:t>
      </w:r>
      <w:r w:rsidR="00227D49" w:rsidRPr="00A50CCF">
        <w:rPr>
          <w:rFonts w:eastAsiaTheme="minorHAnsi" w:cs="Tahoma"/>
          <w:b/>
          <w:iCs/>
          <w:szCs w:val="22"/>
          <w:lang w:eastAsia="en-US"/>
        </w:rPr>
        <w:t xml:space="preserve">SUJETO OBLIGADO, </w:t>
      </w:r>
      <w:r w:rsidR="00227D49" w:rsidRPr="00A50CCF">
        <w:rPr>
          <w:rFonts w:eastAsiaTheme="minorHAnsi" w:cs="Tahoma"/>
          <w:bCs/>
          <w:iCs/>
          <w:szCs w:val="22"/>
          <w:lang w:eastAsia="en-US"/>
        </w:rPr>
        <w:t xml:space="preserve">se advierte que no existió pronunciamiento referente al inicio de la relación laboral, sin embargo en dichas documentales se advierte que esta inicio el dieciséis de febrero de dos mi dieciséis, por lo que la temporalidad </w:t>
      </w:r>
      <w:r w:rsidR="00F33D10" w:rsidRPr="00A50CCF">
        <w:rPr>
          <w:rFonts w:eastAsiaTheme="minorHAnsi" w:cs="Tahoma"/>
          <w:bCs/>
          <w:iCs/>
          <w:szCs w:val="22"/>
          <w:lang w:eastAsia="en-US"/>
        </w:rPr>
        <w:t xml:space="preserve">de la información </w:t>
      </w:r>
      <w:r w:rsidR="00227D49" w:rsidRPr="00A50CCF">
        <w:rPr>
          <w:rFonts w:eastAsiaTheme="minorHAnsi" w:cs="Tahoma"/>
          <w:bCs/>
          <w:iCs/>
          <w:szCs w:val="22"/>
          <w:lang w:eastAsia="en-US"/>
        </w:rPr>
        <w:t xml:space="preserve">quedara delimitada </w:t>
      </w:r>
      <w:r w:rsidR="00F33D10" w:rsidRPr="00A50CCF">
        <w:rPr>
          <w:rFonts w:eastAsiaTheme="minorHAnsi" w:cs="Tahoma"/>
          <w:bCs/>
          <w:iCs/>
          <w:szCs w:val="22"/>
          <w:lang w:eastAsia="en-US"/>
        </w:rPr>
        <w:t>del dieciséis de febrero de dos mil dieciséis al treinta de abril de dos mil veintitrés</w:t>
      </w:r>
      <w:r w:rsidR="00227D49" w:rsidRPr="00A50CCF">
        <w:rPr>
          <w:rFonts w:eastAsiaTheme="minorHAnsi" w:cs="Tahoma"/>
          <w:bCs/>
          <w:iCs/>
          <w:szCs w:val="22"/>
          <w:lang w:eastAsia="en-US"/>
        </w:rPr>
        <w:t>.</w:t>
      </w:r>
    </w:p>
    <w:p w14:paraId="2AE9960D" w14:textId="43ECCC14" w:rsidR="00F33D10" w:rsidRPr="00A50CCF" w:rsidRDefault="007879B8" w:rsidP="00A66442">
      <w:pPr>
        <w:spacing w:before="100" w:beforeAutospacing="1" w:after="100" w:afterAutospacing="1"/>
        <w:rPr>
          <w:b/>
          <w:bCs/>
          <w:lang w:val="es-ES_tradnl"/>
        </w:rPr>
      </w:pPr>
      <w:r w:rsidRPr="00A50CCF">
        <w:rPr>
          <w:lang w:val="es-ES_tradnl"/>
        </w:rPr>
        <w:t xml:space="preserve">Ahora bien este Órgano Garante procede al análisis de la información remitida por </w:t>
      </w:r>
      <w:r w:rsidRPr="00A50CCF">
        <w:rPr>
          <w:b/>
          <w:bCs/>
          <w:lang w:val="es-ES_tradnl"/>
        </w:rPr>
        <w:t xml:space="preserve">EL SUJETO OBLIGADO, </w:t>
      </w:r>
      <w:r w:rsidRPr="00A50CCF">
        <w:rPr>
          <w:lang w:val="es-ES_tradnl"/>
        </w:rPr>
        <w:t>sirva</w:t>
      </w:r>
      <w:r w:rsidRPr="00A50CCF">
        <w:rPr>
          <w:b/>
          <w:bCs/>
          <w:lang w:val="es-ES_tradnl"/>
        </w:rPr>
        <w:t xml:space="preserve"> </w:t>
      </w:r>
      <w:r w:rsidRPr="00A50CCF">
        <w:rPr>
          <w:lang w:val="es-ES_tradnl"/>
        </w:rPr>
        <w:t>la siguiente tabla para una mejor comprensión:</w:t>
      </w:r>
    </w:p>
    <w:tbl>
      <w:tblPr>
        <w:tblStyle w:val="Tablaconcuadrcula"/>
        <w:tblW w:w="9067" w:type="dxa"/>
        <w:jc w:val="center"/>
        <w:tblLayout w:type="fixed"/>
        <w:tblLook w:val="04A0" w:firstRow="1" w:lastRow="0" w:firstColumn="1" w:lastColumn="0" w:noHBand="0" w:noVBand="1"/>
      </w:tblPr>
      <w:tblGrid>
        <w:gridCol w:w="1980"/>
        <w:gridCol w:w="2126"/>
        <w:gridCol w:w="2126"/>
        <w:gridCol w:w="1560"/>
        <w:gridCol w:w="1275"/>
      </w:tblGrid>
      <w:tr w:rsidR="00A50CCF" w:rsidRPr="00A50CCF" w14:paraId="62370242" w14:textId="77777777" w:rsidTr="00065341">
        <w:trPr>
          <w:tblHeader/>
          <w:jc w:val="center"/>
        </w:trPr>
        <w:tc>
          <w:tcPr>
            <w:tcW w:w="1980" w:type="dxa"/>
            <w:shd w:val="clear" w:color="auto" w:fill="000000" w:themeFill="text1"/>
            <w:vAlign w:val="center"/>
          </w:tcPr>
          <w:p w14:paraId="04F9FDBC" w14:textId="77777777" w:rsidR="00E03D9B" w:rsidRPr="00A50CCF" w:rsidRDefault="00E03D9B" w:rsidP="00065341">
            <w:pPr>
              <w:jc w:val="center"/>
              <w:rPr>
                <w:rFonts w:eastAsia="Calibri" w:cs="Arial"/>
                <w:sz w:val="20"/>
              </w:rPr>
            </w:pPr>
            <w:r w:rsidRPr="00A50CCF">
              <w:rPr>
                <w:rFonts w:eastAsia="Calibri" w:cs="Arial"/>
                <w:sz w:val="20"/>
              </w:rPr>
              <w:lastRenderedPageBreak/>
              <w:t>Numero de Solicitud</w:t>
            </w:r>
          </w:p>
        </w:tc>
        <w:tc>
          <w:tcPr>
            <w:tcW w:w="2126" w:type="dxa"/>
            <w:shd w:val="clear" w:color="auto" w:fill="000000" w:themeFill="text1"/>
            <w:vAlign w:val="center"/>
          </w:tcPr>
          <w:p w14:paraId="0587BD63" w14:textId="77777777" w:rsidR="00E03D9B" w:rsidRPr="00A50CCF" w:rsidRDefault="00E03D9B" w:rsidP="00065341">
            <w:pPr>
              <w:jc w:val="center"/>
              <w:rPr>
                <w:rFonts w:eastAsia="Calibri" w:cs="Arial"/>
                <w:sz w:val="20"/>
              </w:rPr>
            </w:pPr>
            <w:r w:rsidRPr="00A50CCF">
              <w:rPr>
                <w:rFonts w:eastAsia="Calibri" w:cs="Arial"/>
                <w:sz w:val="20"/>
              </w:rPr>
              <w:t>Solicitud</w:t>
            </w:r>
          </w:p>
        </w:tc>
        <w:tc>
          <w:tcPr>
            <w:tcW w:w="2126" w:type="dxa"/>
            <w:shd w:val="clear" w:color="auto" w:fill="000000" w:themeFill="text1"/>
            <w:vAlign w:val="center"/>
          </w:tcPr>
          <w:p w14:paraId="43793942" w14:textId="24BBD004" w:rsidR="00E03D9B" w:rsidRPr="00A50CCF" w:rsidRDefault="00E03D9B" w:rsidP="00065341">
            <w:pPr>
              <w:jc w:val="center"/>
              <w:rPr>
                <w:rFonts w:eastAsia="Calibri" w:cs="Arial"/>
                <w:sz w:val="20"/>
              </w:rPr>
            </w:pPr>
            <w:r w:rsidRPr="00A50CCF">
              <w:rPr>
                <w:rFonts w:eastAsia="Calibri" w:cs="Arial"/>
                <w:sz w:val="20"/>
              </w:rPr>
              <w:t>Año de la información remitida vía Informe Justificado</w:t>
            </w:r>
          </w:p>
        </w:tc>
        <w:tc>
          <w:tcPr>
            <w:tcW w:w="1560" w:type="dxa"/>
            <w:shd w:val="clear" w:color="auto" w:fill="000000" w:themeFill="text1"/>
            <w:vAlign w:val="center"/>
          </w:tcPr>
          <w:p w14:paraId="1C967EF5" w14:textId="187AF82C" w:rsidR="00E03D9B" w:rsidRPr="00A50CCF" w:rsidRDefault="00E03D9B" w:rsidP="00065341">
            <w:pPr>
              <w:jc w:val="center"/>
              <w:rPr>
                <w:rFonts w:eastAsia="Calibri" w:cs="Arial"/>
                <w:sz w:val="18"/>
              </w:rPr>
            </w:pPr>
            <w:r w:rsidRPr="00A50CCF">
              <w:rPr>
                <w:rFonts w:eastAsia="Calibri" w:cs="Arial"/>
                <w:sz w:val="18"/>
              </w:rPr>
              <w:t>No. De Recibos</w:t>
            </w:r>
          </w:p>
        </w:tc>
        <w:tc>
          <w:tcPr>
            <w:tcW w:w="1275" w:type="dxa"/>
            <w:shd w:val="clear" w:color="auto" w:fill="000000" w:themeFill="text1"/>
            <w:vAlign w:val="center"/>
          </w:tcPr>
          <w:p w14:paraId="549138A5" w14:textId="77777777" w:rsidR="00E03D9B" w:rsidRPr="00A50CCF" w:rsidRDefault="00E03D9B" w:rsidP="00065341">
            <w:pPr>
              <w:jc w:val="center"/>
              <w:rPr>
                <w:rFonts w:eastAsia="Calibri" w:cs="Arial"/>
                <w:sz w:val="18"/>
              </w:rPr>
            </w:pPr>
            <w:r w:rsidRPr="00A50CCF">
              <w:rPr>
                <w:rFonts w:eastAsia="Calibri" w:cs="Arial"/>
                <w:sz w:val="18"/>
              </w:rPr>
              <w:t>Colma o No Colma</w:t>
            </w:r>
          </w:p>
        </w:tc>
      </w:tr>
      <w:tr w:rsidR="00A50CCF" w:rsidRPr="00A50CCF" w14:paraId="01480D52" w14:textId="77777777" w:rsidTr="00065341">
        <w:trPr>
          <w:jc w:val="center"/>
        </w:trPr>
        <w:tc>
          <w:tcPr>
            <w:tcW w:w="1980" w:type="dxa"/>
            <w:vMerge w:val="restart"/>
          </w:tcPr>
          <w:p w14:paraId="735E8287" w14:textId="251FBD38" w:rsidR="00E03D9B" w:rsidRPr="00A50CCF" w:rsidRDefault="00E03D9B" w:rsidP="00C36610">
            <w:pPr>
              <w:spacing w:line="240" w:lineRule="auto"/>
              <w:jc w:val="center"/>
              <w:rPr>
                <w:rFonts w:eastAsia="Calibri" w:cs="Arial"/>
                <w:sz w:val="14"/>
                <w:szCs w:val="16"/>
              </w:rPr>
            </w:pPr>
            <w:r w:rsidRPr="00A50CCF">
              <w:rPr>
                <w:b/>
                <w:sz w:val="14"/>
                <w:szCs w:val="16"/>
              </w:rPr>
              <w:t>00017/TEXCALTI/IP/2023</w:t>
            </w:r>
          </w:p>
        </w:tc>
        <w:tc>
          <w:tcPr>
            <w:tcW w:w="2126" w:type="dxa"/>
            <w:vMerge w:val="restart"/>
          </w:tcPr>
          <w:p w14:paraId="7D128ED7" w14:textId="5DE74D39" w:rsidR="00E03D9B" w:rsidRPr="00A50CCF" w:rsidRDefault="00E03D9B" w:rsidP="00C36610">
            <w:pPr>
              <w:spacing w:line="240" w:lineRule="auto"/>
              <w:rPr>
                <w:rFonts w:eastAsia="Palatino Linotype" w:cs="Palatino Linotype"/>
                <w:i/>
                <w:sz w:val="16"/>
                <w:szCs w:val="16"/>
              </w:rPr>
            </w:pPr>
            <w:r w:rsidRPr="00A50CCF">
              <w:rPr>
                <w:rFonts w:eastAsia="Palatino Linotype" w:cs="Palatino Linotype"/>
                <w:i/>
                <w:sz w:val="16"/>
                <w:szCs w:val="16"/>
              </w:rPr>
              <w:t>1. Los recibos de pago que contenga el pago de nómina, aguinaldo, bonos o cualquier otra prestación de la Servidora Pública referida en la solicitud de información desde 2016 hasta el día de la presentación de la solicitud</w:t>
            </w:r>
          </w:p>
          <w:p w14:paraId="0BC26C1C" w14:textId="5FBB4A02" w:rsidR="00E03D9B" w:rsidRPr="00A50CCF" w:rsidRDefault="00E03D9B" w:rsidP="00C36610">
            <w:pPr>
              <w:spacing w:line="240" w:lineRule="auto"/>
              <w:rPr>
                <w:rFonts w:eastAsia="Palatino Linotype" w:cs="Palatino Linotype"/>
                <w:i/>
                <w:sz w:val="16"/>
                <w:szCs w:val="16"/>
              </w:rPr>
            </w:pPr>
          </w:p>
        </w:tc>
        <w:tc>
          <w:tcPr>
            <w:tcW w:w="2126" w:type="dxa"/>
          </w:tcPr>
          <w:p w14:paraId="3CBA1369" w14:textId="18D4BB39"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2016</w:t>
            </w:r>
          </w:p>
        </w:tc>
        <w:tc>
          <w:tcPr>
            <w:tcW w:w="1560" w:type="dxa"/>
          </w:tcPr>
          <w:p w14:paraId="4987878C" w14:textId="277B29BD"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Refirió no poseer información respecto a esa anualidad</w:t>
            </w:r>
            <w:r w:rsidR="00C36610" w:rsidRPr="00A50CCF">
              <w:rPr>
                <w:rFonts w:eastAsia="Calibri" w:cs="Arial"/>
                <w:sz w:val="16"/>
                <w:szCs w:val="16"/>
              </w:rPr>
              <w:t>, sin</w:t>
            </w:r>
            <w:r w:rsidR="007B7D67" w:rsidRPr="00A50CCF">
              <w:rPr>
                <w:rFonts w:eastAsia="Calibri" w:cs="Arial"/>
                <w:sz w:val="16"/>
                <w:szCs w:val="16"/>
              </w:rPr>
              <w:t xml:space="preserve"> embargo,</w:t>
            </w:r>
            <w:r w:rsidR="00C36610" w:rsidRPr="00A50CCF">
              <w:rPr>
                <w:rFonts w:eastAsia="Calibri" w:cs="Arial"/>
                <w:sz w:val="16"/>
                <w:szCs w:val="16"/>
              </w:rPr>
              <w:t xml:space="preserve"> entre la documentación remitida, se localizaron 4 recibos de nómina</w:t>
            </w:r>
          </w:p>
        </w:tc>
        <w:tc>
          <w:tcPr>
            <w:tcW w:w="1275" w:type="dxa"/>
          </w:tcPr>
          <w:p w14:paraId="6F67EEFB" w14:textId="3D037990"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 xml:space="preserve">No </w:t>
            </w:r>
            <w:r w:rsidR="00E03D9B" w:rsidRPr="00A50CCF">
              <w:rPr>
                <w:rFonts w:eastAsia="Calibri" w:cs="Arial"/>
                <w:sz w:val="16"/>
                <w:szCs w:val="16"/>
              </w:rPr>
              <w:t>Colma</w:t>
            </w:r>
          </w:p>
        </w:tc>
      </w:tr>
      <w:tr w:rsidR="00A50CCF" w:rsidRPr="00A50CCF" w14:paraId="6EB5EACE" w14:textId="77777777" w:rsidTr="00065341">
        <w:trPr>
          <w:jc w:val="center"/>
        </w:trPr>
        <w:tc>
          <w:tcPr>
            <w:tcW w:w="1980" w:type="dxa"/>
            <w:vMerge/>
          </w:tcPr>
          <w:p w14:paraId="4433B943" w14:textId="77777777" w:rsidR="00E03D9B" w:rsidRPr="00A50CCF" w:rsidRDefault="00E03D9B" w:rsidP="00C36610">
            <w:pPr>
              <w:spacing w:line="240" w:lineRule="auto"/>
              <w:jc w:val="center"/>
              <w:rPr>
                <w:b/>
                <w:sz w:val="16"/>
                <w:szCs w:val="16"/>
              </w:rPr>
            </w:pPr>
          </w:p>
        </w:tc>
        <w:tc>
          <w:tcPr>
            <w:tcW w:w="2126" w:type="dxa"/>
            <w:vMerge/>
          </w:tcPr>
          <w:p w14:paraId="1BBB735C" w14:textId="52CC2775" w:rsidR="00E03D9B" w:rsidRPr="00A50CCF" w:rsidRDefault="00E03D9B" w:rsidP="00C36610">
            <w:pPr>
              <w:spacing w:line="240" w:lineRule="auto"/>
              <w:rPr>
                <w:rFonts w:eastAsia="Palatino Linotype" w:cs="Palatino Linotype"/>
                <w:i/>
                <w:sz w:val="16"/>
                <w:szCs w:val="16"/>
              </w:rPr>
            </w:pPr>
          </w:p>
        </w:tc>
        <w:tc>
          <w:tcPr>
            <w:tcW w:w="2126" w:type="dxa"/>
          </w:tcPr>
          <w:p w14:paraId="5898683E" w14:textId="5807A56B"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2017</w:t>
            </w:r>
          </w:p>
        </w:tc>
        <w:tc>
          <w:tcPr>
            <w:tcW w:w="1560" w:type="dxa"/>
          </w:tcPr>
          <w:p w14:paraId="69E4053D" w14:textId="2BA13528"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5 recibos de nómina,</w:t>
            </w:r>
          </w:p>
        </w:tc>
        <w:tc>
          <w:tcPr>
            <w:tcW w:w="1275" w:type="dxa"/>
          </w:tcPr>
          <w:p w14:paraId="6BA9DDFC" w14:textId="701B75AA"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 xml:space="preserve">No </w:t>
            </w:r>
            <w:r w:rsidR="00E03D9B" w:rsidRPr="00A50CCF">
              <w:rPr>
                <w:rFonts w:eastAsia="Calibri" w:cs="Arial"/>
                <w:sz w:val="16"/>
                <w:szCs w:val="16"/>
              </w:rPr>
              <w:t>Colma</w:t>
            </w:r>
          </w:p>
        </w:tc>
      </w:tr>
      <w:tr w:rsidR="00A50CCF" w:rsidRPr="00A50CCF" w14:paraId="516B9E35" w14:textId="77777777" w:rsidTr="00065341">
        <w:trPr>
          <w:jc w:val="center"/>
        </w:trPr>
        <w:tc>
          <w:tcPr>
            <w:tcW w:w="1980" w:type="dxa"/>
            <w:vMerge/>
          </w:tcPr>
          <w:p w14:paraId="53FDCE28" w14:textId="77777777" w:rsidR="00E03D9B" w:rsidRPr="00A50CCF" w:rsidRDefault="00E03D9B" w:rsidP="00C36610">
            <w:pPr>
              <w:spacing w:line="240" w:lineRule="auto"/>
              <w:jc w:val="center"/>
              <w:rPr>
                <w:b/>
                <w:sz w:val="16"/>
                <w:szCs w:val="16"/>
              </w:rPr>
            </w:pPr>
          </w:p>
        </w:tc>
        <w:tc>
          <w:tcPr>
            <w:tcW w:w="2126" w:type="dxa"/>
            <w:vMerge/>
          </w:tcPr>
          <w:p w14:paraId="4ADAAEF8" w14:textId="7C9B1B8C" w:rsidR="00E03D9B" w:rsidRPr="00A50CCF" w:rsidRDefault="00E03D9B" w:rsidP="00C36610">
            <w:pPr>
              <w:spacing w:line="240" w:lineRule="auto"/>
              <w:rPr>
                <w:rFonts w:eastAsia="Palatino Linotype" w:cs="Palatino Linotype"/>
                <w:i/>
                <w:sz w:val="16"/>
                <w:szCs w:val="16"/>
              </w:rPr>
            </w:pPr>
          </w:p>
        </w:tc>
        <w:tc>
          <w:tcPr>
            <w:tcW w:w="2126" w:type="dxa"/>
          </w:tcPr>
          <w:p w14:paraId="42774326" w14:textId="58493C69"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2018</w:t>
            </w:r>
          </w:p>
        </w:tc>
        <w:tc>
          <w:tcPr>
            <w:tcW w:w="1560" w:type="dxa"/>
          </w:tcPr>
          <w:p w14:paraId="7457E796" w14:textId="56302B39"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3 recibos de nómina,</w:t>
            </w:r>
          </w:p>
        </w:tc>
        <w:tc>
          <w:tcPr>
            <w:tcW w:w="1275" w:type="dxa"/>
          </w:tcPr>
          <w:p w14:paraId="6B5C5D13" w14:textId="241214CE"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 xml:space="preserve">No </w:t>
            </w:r>
            <w:r w:rsidR="00E03D9B" w:rsidRPr="00A50CCF">
              <w:rPr>
                <w:rFonts w:eastAsia="Calibri" w:cs="Arial"/>
                <w:sz w:val="16"/>
                <w:szCs w:val="16"/>
              </w:rPr>
              <w:t>Colma</w:t>
            </w:r>
          </w:p>
        </w:tc>
      </w:tr>
      <w:tr w:rsidR="00A50CCF" w:rsidRPr="00A50CCF" w14:paraId="174207D6" w14:textId="77777777" w:rsidTr="00065341">
        <w:trPr>
          <w:jc w:val="center"/>
        </w:trPr>
        <w:tc>
          <w:tcPr>
            <w:tcW w:w="1980" w:type="dxa"/>
            <w:vMerge/>
          </w:tcPr>
          <w:p w14:paraId="28A13E48" w14:textId="77777777" w:rsidR="00E03D9B" w:rsidRPr="00A50CCF" w:rsidRDefault="00E03D9B" w:rsidP="00C36610">
            <w:pPr>
              <w:spacing w:line="240" w:lineRule="auto"/>
              <w:jc w:val="center"/>
              <w:rPr>
                <w:b/>
                <w:sz w:val="16"/>
                <w:szCs w:val="16"/>
              </w:rPr>
            </w:pPr>
          </w:p>
        </w:tc>
        <w:tc>
          <w:tcPr>
            <w:tcW w:w="2126" w:type="dxa"/>
            <w:vMerge/>
          </w:tcPr>
          <w:p w14:paraId="4CDF20A1" w14:textId="30ABA62D" w:rsidR="00E03D9B" w:rsidRPr="00A50CCF" w:rsidRDefault="00E03D9B" w:rsidP="00C36610">
            <w:pPr>
              <w:spacing w:line="240" w:lineRule="auto"/>
              <w:rPr>
                <w:rFonts w:eastAsia="Palatino Linotype" w:cs="Palatino Linotype"/>
                <w:i/>
                <w:sz w:val="16"/>
                <w:szCs w:val="16"/>
              </w:rPr>
            </w:pPr>
          </w:p>
        </w:tc>
        <w:tc>
          <w:tcPr>
            <w:tcW w:w="2126" w:type="dxa"/>
          </w:tcPr>
          <w:p w14:paraId="26F39D7A" w14:textId="523E203B"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2019</w:t>
            </w:r>
          </w:p>
        </w:tc>
        <w:tc>
          <w:tcPr>
            <w:tcW w:w="1560" w:type="dxa"/>
          </w:tcPr>
          <w:p w14:paraId="6AED14C1" w14:textId="1EED9EDF"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7 recibos de nómina,</w:t>
            </w:r>
          </w:p>
        </w:tc>
        <w:tc>
          <w:tcPr>
            <w:tcW w:w="1275" w:type="dxa"/>
          </w:tcPr>
          <w:p w14:paraId="24421C3D" w14:textId="4BBC1031"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 xml:space="preserve">No </w:t>
            </w:r>
            <w:r w:rsidR="00E03D9B" w:rsidRPr="00A50CCF">
              <w:rPr>
                <w:rFonts w:eastAsia="Calibri" w:cs="Arial"/>
                <w:sz w:val="16"/>
                <w:szCs w:val="16"/>
              </w:rPr>
              <w:t>Colma</w:t>
            </w:r>
          </w:p>
        </w:tc>
      </w:tr>
      <w:tr w:rsidR="00A50CCF" w:rsidRPr="00A50CCF" w14:paraId="083B3DEC" w14:textId="77777777" w:rsidTr="00065341">
        <w:trPr>
          <w:jc w:val="center"/>
        </w:trPr>
        <w:tc>
          <w:tcPr>
            <w:tcW w:w="1980" w:type="dxa"/>
            <w:vMerge/>
          </w:tcPr>
          <w:p w14:paraId="13CBEECF" w14:textId="2DE200D6" w:rsidR="00E03D9B" w:rsidRPr="00A50CCF" w:rsidRDefault="00E03D9B" w:rsidP="00C36610">
            <w:pPr>
              <w:spacing w:line="240" w:lineRule="auto"/>
              <w:jc w:val="center"/>
              <w:rPr>
                <w:b/>
                <w:sz w:val="16"/>
                <w:szCs w:val="16"/>
              </w:rPr>
            </w:pPr>
          </w:p>
        </w:tc>
        <w:tc>
          <w:tcPr>
            <w:tcW w:w="2126" w:type="dxa"/>
            <w:vMerge/>
          </w:tcPr>
          <w:p w14:paraId="11952DA1" w14:textId="77777777" w:rsidR="00E03D9B" w:rsidRPr="00A50CCF" w:rsidRDefault="00E03D9B" w:rsidP="00C36610">
            <w:pPr>
              <w:spacing w:line="240" w:lineRule="auto"/>
              <w:rPr>
                <w:rFonts w:eastAsia="Palatino Linotype" w:cs="Palatino Linotype"/>
                <w:i/>
                <w:sz w:val="16"/>
                <w:szCs w:val="16"/>
              </w:rPr>
            </w:pPr>
          </w:p>
        </w:tc>
        <w:tc>
          <w:tcPr>
            <w:tcW w:w="2126" w:type="dxa"/>
          </w:tcPr>
          <w:p w14:paraId="23043655" w14:textId="421D6DC7"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2020</w:t>
            </w:r>
          </w:p>
        </w:tc>
        <w:tc>
          <w:tcPr>
            <w:tcW w:w="1560" w:type="dxa"/>
          </w:tcPr>
          <w:p w14:paraId="73A5213C" w14:textId="7D8924C2"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5 recibos de nómina,</w:t>
            </w:r>
          </w:p>
        </w:tc>
        <w:tc>
          <w:tcPr>
            <w:tcW w:w="1275" w:type="dxa"/>
          </w:tcPr>
          <w:p w14:paraId="20F8EA24" w14:textId="41D4C2A2"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No Colma</w:t>
            </w:r>
          </w:p>
        </w:tc>
      </w:tr>
      <w:tr w:rsidR="00A50CCF" w:rsidRPr="00A50CCF" w14:paraId="564312FA" w14:textId="77777777" w:rsidTr="00065341">
        <w:trPr>
          <w:jc w:val="center"/>
        </w:trPr>
        <w:tc>
          <w:tcPr>
            <w:tcW w:w="1980" w:type="dxa"/>
            <w:vMerge/>
          </w:tcPr>
          <w:p w14:paraId="2CDC071B" w14:textId="77777777" w:rsidR="00E03D9B" w:rsidRPr="00A50CCF" w:rsidRDefault="00E03D9B" w:rsidP="00C36610">
            <w:pPr>
              <w:spacing w:line="240" w:lineRule="auto"/>
              <w:jc w:val="center"/>
              <w:rPr>
                <w:b/>
                <w:sz w:val="16"/>
                <w:szCs w:val="16"/>
              </w:rPr>
            </w:pPr>
          </w:p>
        </w:tc>
        <w:tc>
          <w:tcPr>
            <w:tcW w:w="2126" w:type="dxa"/>
            <w:vMerge/>
          </w:tcPr>
          <w:p w14:paraId="100957A0" w14:textId="77777777" w:rsidR="00E03D9B" w:rsidRPr="00A50CCF" w:rsidRDefault="00E03D9B" w:rsidP="00C36610">
            <w:pPr>
              <w:spacing w:line="240" w:lineRule="auto"/>
              <w:rPr>
                <w:rFonts w:eastAsia="Palatino Linotype" w:cs="Palatino Linotype"/>
                <w:i/>
                <w:sz w:val="16"/>
                <w:szCs w:val="16"/>
              </w:rPr>
            </w:pPr>
          </w:p>
        </w:tc>
        <w:tc>
          <w:tcPr>
            <w:tcW w:w="2126" w:type="dxa"/>
          </w:tcPr>
          <w:p w14:paraId="51734D2C" w14:textId="7588DC58"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2021</w:t>
            </w:r>
          </w:p>
        </w:tc>
        <w:tc>
          <w:tcPr>
            <w:tcW w:w="1560" w:type="dxa"/>
          </w:tcPr>
          <w:p w14:paraId="4F6465BA" w14:textId="2D526FDC"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4 recibos de nómina,</w:t>
            </w:r>
          </w:p>
        </w:tc>
        <w:tc>
          <w:tcPr>
            <w:tcW w:w="1275" w:type="dxa"/>
          </w:tcPr>
          <w:p w14:paraId="599F7B1E" w14:textId="4B55CEA0" w:rsidR="00E03D9B" w:rsidRPr="00A50CCF" w:rsidRDefault="00C36610" w:rsidP="00C36610">
            <w:pPr>
              <w:spacing w:line="240" w:lineRule="auto"/>
              <w:jc w:val="center"/>
              <w:rPr>
                <w:rFonts w:eastAsia="Calibri" w:cs="Arial"/>
                <w:sz w:val="16"/>
                <w:szCs w:val="16"/>
              </w:rPr>
            </w:pPr>
            <w:r w:rsidRPr="00A50CCF">
              <w:rPr>
                <w:rFonts w:eastAsia="Calibri" w:cs="Arial"/>
                <w:sz w:val="16"/>
                <w:szCs w:val="16"/>
              </w:rPr>
              <w:t>No Colma</w:t>
            </w:r>
          </w:p>
        </w:tc>
      </w:tr>
      <w:tr w:rsidR="00A50CCF" w:rsidRPr="00A50CCF" w14:paraId="1E027A1D" w14:textId="77777777" w:rsidTr="00065341">
        <w:trPr>
          <w:jc w:val="center"/>
        </w:trPr>
        <w:tc>
          <w:tcPr>
            <w:tcW w:w="1980" w:type="dxa"/>
            <w:vMerge/>
          </w:tcPr>
          <w:p w14:paraId="09C80548" w14:textId="77777777" w:rsidR="00E03D9B" w:rsidRPr="00A50CCF" w:rsidRDefault="00E03D9B" w:rsidP="00C36610">
            <w:pPr>
              <w:spacing w:line="240" w:lineRule="auto"/>
              <w:jc w:val="center"/>
              <w:rPr>
                <w:b/>
                <w:sz w:val="16"/>
                <w:szCs w:val="16"/>
              </w:rPr>
            </w:pPr>
          </w:p>
        </w:tc>
        <w:tc>
          <w:tcPr>
            <w:tcW w:w="2126" w:type="dxa"/>
            <w:vMerge/>
          </w:tcPr>
          <w:p w14:paraId="597F4E42" w14:textId="77777777" w:rsidR="00E03D9B" w:rsidRPr="00A50CCF" w:rsidRDefault="00E03D9B" w:rsidP="00C36610">
            <w:pPr>
              <w:spacing w:line="240" w:lineRule="auto"/>
              <w:rPr>
                <w:rFonts w:eastAsia="Palatino Linotype" w:cs="Palatino Linotype"/>
                <w:i/>
                <w:sz w:val="16"/>
                <w:szCs w:val="16"/>
              </w:rPr>
            </w:pPr>
          </w:p>
        </w:tc>
        <w:tc>
          <w:tcPr>
            <w:tcW w:w="2126" w:type="dxa"/>
          </w:tcPr>
          <w:p w14:paraId="03EA0F2D" w14:textId="1BF56B52"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2022</w:t>
            </w:r>
          </w:p>
        </w:tc>
        <w:tc>
          <w:tcPr>
            <w:tcW w:w="1560" w:type="dxa"/>
          </w:tcPr>
          <w:p w14:paraId="4554D29E" w14:textId="6440E114" w:rsidR="00E03D9B" w:rsidRPr="00A50CCF" w:rsidRDefault="007404CC" w:rsidP="00C36610">
            <w:pPr>
              <w:spacing w:line="240" w:lineRule="auto"/>
              <w:jc w:val="center"/>
              <w:rPr>
                <w:rFonts w:eastAsia="Calibri" w:cs="Arial"/>
                <w:sz w:val="16"/>
                <w:szCs w:val="16"/>
              </w:rPr>
            </w:pPr>
            <w:r w:rsidRPr="00A50CCF">
              <w:rPr>
                <w:rFonts w:eastAsia="Calibri" w:cs="Arial"/>
                <w:sz w:val="16"/>
                <w:szCs w:val="16"/>
              </w:rPr>
              <w:t>24 recibos de nómina, los cuales no fueron puestos a la vista por contener datos personales.</w:t>
            </w:r>
          </w:p>
        </w:tc>
        <w:tc>
          <w:tcPr>
            <w:tcW w:w="1275" w:type="dxa"/>
          </w:tcPr>
          <w:p w14:paraId="6220C3C0" w14:textId="154B86B3" w:rsidR="00E03D9B" w:rsidRPr="00A50CCF" w:rsidRDefault="007404CC" w:rsidP="00C36610">
            <w:pPr>
              <w:spacing w:line="240" w:lineRule="auto"/>
              <w:jc w:val="center"/>
              <w:rPr>
                <w:rFonts w:eastAsia="Calibri" w:cs="Arial"/>
                <w:sz w:val="16"/>
                <w:szCs w:val="16"/>
              </w:rPr>
            </w:pPr>
            <w:r w:rsidRPr="00A50CCF">
              <w:rPr>
                <w:rFonts w:eastAsia="Calibri" w:cs="Arial"/>
                <w:sz w:val="16"/>
                <w:szCs w:val="16"/>
              </w:rPr>
              <w:t>No Colma</w:t>
            </w:r>
          </w:p>
        </w:tc>
      </w:tr>
      <w:tr w:rsidR="00E03D9B" w:rsidRPr="00A50CCF" w14:paraId="6DE869F7" w14:textId="77777777" w:rsidTr="00065341">
        <w:trPr>
          <w:jc w:val="center"/>
        </w:trPr>
        <w:tc>
          <w:tcPr>
            <w:tcW w:w="1980" w:type="dxa"/>
            <w:vMerge/>
          </w:tcPr>
          <w:p w14:paraId="0F4C9B10" w14:textId="77777777" w:rsidR="00E03D9B" w:rsidRPr="00A50CCF" w:rsidRDefault="00E03D9B" w:rsidP="00C36610">
            <w:pPr>
              <w:spacing w:line="240" w:lineRule="auto"/>
              <w:jc w:val="center"/>
              <w:rPr>
                <w:b/>
                <w:sz w:val="16"/>
                <w:szCs w:val="16"/>
              </w:rPr>
            </w:pPr>
          </w:p>
        </w:tc>
        <w:tc>
          <w:tcPr>
            <w:tcW w:w="2126" w:type="dxa"/>
            <w:vMerge/>
          </w:tcPr>
          <w:p w14:paraId="08E56A17" w14:textId="77777777" w:rsidR="00E03D9B" w:rsidRPr="00A50CCF" w:rsidRDefault="00E03D9B" w:rsidP="00C36610">
            <w:pPr>
              <w:spacing w:line="240" w:lineRule="auto"/>
              <w:rPr>
                <w:rFonts w:eastAsia="Palatino Linotype" w:cs="Palatino Linotype"/>
                <w:i/>
                <w:sz w:val="16"/>
                <w:szCs w:val="16"/>
              </w:rPr>
            </w:pPr>
          </w:p>
        </w:tc>
        <w:tc>
          <w:tcPr>
            <w:tcW w:w="2126" w:type="dxa"/>
          </w:tcPr>
          <w:p w14:paraId="6423AD73" w14:textId="08521035" w:rsidR="00E03D9B" w:rsidRPr="00A50CCF" w:rsidRDefault="00E03D9B" w:rsidP="00C36610">
            <w:pPr>
              <w:spacing w:line="240" w:lineRule="auto"/>
              <w:jc w:val="center"/>
              <w:rPr>
                <w:rFonts w:eastAsia="Calibri" w:cs="Arial"/>
                <w:sz w:val="16"/>
                <w:szCs w:val="16"/>
              </w:rPr>
            </w:pPr>
            <w:r w:rsidRPr="00A50CCF">
              <w:rPr>
                <w:rFonts w:eastAsia="Calibri" w:cs="Arial"/>
                <w:sz w:val="16"/>
                <w:szCs w:val="16"/>
              </w:rPr>
              <w:t>2023</w:t>
            </w:r>
          </w:p>
        </w:tc>
        <w:tc>
          <w:tcPr>
            <w:tcW w:w="1560" w:type="dxa"/>
          </w:tcPr>
          <w:p w14:paraId="47C1FE5A" w14:textId="0ACC132E" w:rsidR="00E03D9B" w:rsidRPr="00A50CCF" w:rsidRDefault="00E31268" w:rsidP="00C36610">
            <w:pPr>
              <w:spacing w:line="240" w:lineRule="auto"/>
              <w:jc w:val="center"/>
              <w:rPr>
                <w:rFonts w:eastAsia="Calibri" w:cs="Arial"/>
                <w:sz w:val="16"/>
                <w:szCs w:val="16"/>
              </w:rPr>
            </w:pPr>
            <w:r w:rsidRPr="00A50CCF">
              <w:rPr>
                <w:rFonts w:eastAsia="Calibri" w:cs="Arial"/>
                <w:sz w:val="16"/>
                <w:szCs w:val="16"/>
              </w:rPr>
              <w:t>16 recibos de nómina, los cuales no fueron puestos a la vista por contener datos personales.</w:t>
            </w:r>
          </w:p>
        </w:tc>
        <w:tc>
          <w:tcPr>
            <w:tcW w:w="1275" w:type="dxa"/>
          </w:tcPr>
          <w:p w14:paraId="784799E9" w14:textId="7BF6FECC" w:rsidR="00E03D9B" w:rsidRPr="00A50CCF" w:rsidRDefault="00E31268" w:rsidP="00C36610">
            <w:pPr>
              <w:spacing w:line="240" w:lineRule="auto"/>
              <w:jc w:val="center"/>
              <w:rPr>
                <w:rFonts w:eastAsia="Calibri" w:cs="Arial"/>
                <w:sz w:val="16"/>
                <w:szCs w:val="16"/>
              </w:rPr>
            </w:pPr>
            <w:r w:rsidRPr="00A50CCF">
              <w:rPr>
                <w:rFonts w:eastAsia="Calibri" w:cs="Arial"/>
                <w:sz w:val="16"/>
                <w:szCs w:val="16"/>
              </w:rPr>
              <w:t>No Colma</w:t>
            </w:r>
          </w:p>
        </w:tc>
      </w:tr>
    </w:tbl>
    <w:p w14:paraId="4FE13C9D" w14:textId="77777777" w:rsidR="00612BC9" w:rsidRPr="00A50CCF" w:rsidRDefault="00612BC9" w:rsidP="00A66442">
      <w:pPr>
        <w:spacing w:before="100" w:beforeAutospacing="1" w:after="100" w:afterAutospacing="1"/>
        <w:rPr>
          <w:lang w:val="es-ES_tradnl"/>
        </w:rPr>
      </w:pPr>
    </w:p>
    <w:p w14:paraId="47B94564" w14:textId="30EB4856" w:rsidR="00F33D10" w:rsidRPr="00A50CCF" w:rsidRDefault="007879B8" w:rsidP="00A66442">
      <w:pPr>
        <w:spacing w:before="100" w:beforeAutospacing="1" w:after="100" w:afterAutospacing="1"/>
        <w:rPr>
          <w:lang w:val="es-ES_tradnl"/>
        </w:rPr>
      </w:pPr>
      <w:r w:rsidRPr="00A50CCF">
        <w:rPr>
          <w:lang w:val="es-ES_tradnl"/>
        </w:rPr>
        <w:t xml:space="preserve">Del análisis anterior de advierte que </w:t>
      </w:r>
      <w:r w:rsidRPr="00A50CCF">
        <w:rPr>
          <w:b/>
          <w:bCs/>
          <w:lang w:val="es-ES_tradnl"/>
        </w:rPr>
        <w:t xml:space="preserve">EL SUJETO OBLIGADO, </w:t>
      </w:r>
      <w:r w:rsidRPr="00A50CCF">
        <w:rPr>
          <w:lang w:val="es-ES_tradnl"/>
        </w:rPr>
        <w:t xml:space="preserve">remitió información incompleta respecto a la información solicitada pues si bien </w:t>
      </w:r>
      <w:r w:rsidR="00612BC9" w:rsidRPr="00A50CCF">
        <w:rPr>
          <w:lang w:val="es-ES_tradnl"/>
        </w:rPr>
        <w:t xml:space="preserve">es cierto </w:t>
      </w:r>
      <w:r w:rsidRPr="00A50CCF">
        <w:rPr>
          <w:lang w:val="es-ES_tradnl"/>
        </w:rPr>
        <w:t xml:space="preserve">remitió recibos de pago que pudieran colmar con lo peticionado, también </w:t>
      </w:r>
      <w:r w:rsidR="00612BC9" w:rsidRPr="00A50CCF">
        <w:rPr>
          <w:lang w:val="es-ES_tradnl"/>
        </w:rPr>
        <w:t xml:space="preserve">lo es </w:t>
      </w:r>
      <w:r w:rsidRPr="00A50CCF">
        <w:rPr>
          <w:lang w:val="es-ES_tradnl"/>
        </w:rPr>
        <w:t xml:space="preserve">que adjuntó </w:t>
      </w:r>
      <w:r w:rsidR="00612BC9" w:rsidRPr="00A50CCF">
        <w:rPr>
          <w:lang w:val="es-ES_tradnl"/>
        </w:rPr>
        <w:t xml:space="preserve">capturas de la consulta de los </w:t>
      </w:r>
      <w:r w:rsidRPr="00A50CCF">
        <w:rPr>
          <w:lang w:val="es-ES_tradnl"/>
        </w:rPr>
        <w:t xml:space="preserve">CFDI, </w:t>
      </w:r>
      <w:r w:rsidR="00612BC9" w:rsidRPr="00A50CCF">
        <w:rPr>
          <w:lang w:val="es-ES_tradnl"/>
        </w:rPr>
        <w:t xml:space="preserve">generados a través del Servicio de Administración Tributaria, sin que se observe el periodo, concepto de pago y deducciones realizadas, por lo que no se pueden validar los </w:t>
      </w:r>
      <w:r w:rsidR="00612BC9" w:rsidRPr="00A50CCF">
        <w:rPr>
          <w:lang w:val="es-ES_tradnl"/>
        </w:rPr>
        <w:lastRenderedPageBreak/>
        <w:t>mismos pues no son los documentos a los cuales pretende tener acceso el particular, sirva la siguiente imagen de ejemplo:</w:t>
      </w:r>
    </w:p>
    <w:p w14:paraId="30FE72C5" w14:textId="4B752427" w:rsidR="00612BC9" w:rsidRPr="00A50CCF" w:rsidRDefault="00612BC9" w:rsidP="00612BC9">
      <w:pPr>
        <w:spacing w:before="100" w:beforeAutospacing="1" w:after="100" w:afterAutospacing="1"/>
        <w:jc w:val="center"/>
        <w:rPr>
          <w:lang w:val="es-ES_tradnl"/>
        </w:rPr>
      </w:pPr>
      <w:r w:rsidRPr="00A50CCF">
        <w:rPr>
          <w:noProof/>
          <w:lang w:eastAsia="es-MX"/>
        </w:rPr>
        <w:drawing>
          <wp:inline distT="0" distB="0" distL="0" distR="0" wp14:anchorId="2600CB0F" wp14:editId="0C73A45C">
            <wp:extent cx="4603805" cy="3428929"/>
            <wp:effectExtent l="0" t="0" r="635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2054" cy="3435073"/>
                    </a:xfrm>
                    <a:prstGeom prst="rect">
                      <a:avLst/>
                    </a:prstGeom>
                  </pic:spPr>
                </pic:pic>
              </a:graphicData>
            </a:graphic>
          </wp:inline>
        </w:drawing>
      </w:r>
    </w:p>
    <w:p w14:paraId="11EBA974" w14:textId="014C10BB" w:rsidR="00612BC9" w:rsidRPr="00A50CCF" w:rsidRDefault="00612BC9" w:rsidP="00A66442">
      <w:pPr>
        <w:spacing w:before="100" w:beforeAutospacing="1" w:after="100" w:afterAutospacing="1"/>
        <w:rPr>
          <w:lang w:val="es-ES_tradnl"/>
        </w:rPr>
      </w:pPr>
      <w:r w:rsidRPr="00A50CCF">
        <w:rPr>
          <w:lang w:val="es-ES_tradnl"/>
        </w:rPr>
        <w:t>Aunado a esto el Titular de la Unidad de Transparencia refirió que por cuanto hacia a la información del dos mil dieciséis no contaban con información solicitada, sin embargo del análisis a la información proporcionada, este Órgano Colegiado advirtió diversos recibos de esa anualidad por lo que no existe congruencia entre lo r</w:t>
      </w:r>
      <w:r w:rsidR="00D54DE6" w:rsidRPr="00A50CCF">
        <w:rPr>
          <w:lang w:val="es-ES_tradnl"/>
        </w:rPr>
        <w:t>e</w:t>
      </w:r>
      <w:r w:rsidRPr="00A50CCF">
        <w:rPr>
          <w:lang w:val="es-ES_tradnl"/>
        </w:rPr>
        <w:t xml:space="preserve">mitido </w:t>
      </w:r>
      <w:r w:rsidR="00D54DE6" w:rsidRPr="00A50CCF">
        <w:rPr>
          <w:lang w:val="es-ES_tradnl"/>
        </w:rPr>
        <w:t>y lo expresado mediante oficio, finalmente por cuanto hace a la información proporcionada de dos mil veintitrés y dos mil veintidós, esta no fue puesta a la vista por contener información confidencial.</w:t>
      </w:r>
    </w:p>
    <w:p w14:paraId="270C08F0" w14:textId="0EC52E3D" w:rsidR="00F33D10" w:rsidRPr="00A50CCF" w:rsidRDefault="00F33D10" w:rsidP="00612BC9">
      <w:pPr>
        <w:spacing w:before="100" w:beforeAutospacing="1" w:after="100" w:afterAutospacing="1"/>
        <w:jc w:val="center"/>
        <w:rPr>
          <w:lang w:val="es-ES_tradnl"/>
        </w:rPr>
      </w:pPr>
    </w:p>
    <w:p w14:paraId="402C92D4" w14:textId="77777777" w:rsidR="00180310" w:rsidRPr="00A50CCF" w:rsidRDefault="00180310" w:rsidP="00180310">
      <w:pPr>
        <w:rPr>
          <w:lang w:eastAsia="es-MX"/>
        </w:rPr>
      </w:pPr>
      <w:r w:rsidRPr="00A50CCF">
        <w:rPr>
          <w:lang w:eastAsia="es-MX"/>
        </w:rPr>
        <w:t xml:space="preserve">Ahora bien, es importante destacar que </w:t>
      </w:r>
      <w:r w:rsidRPr="00A50CCF">
        <w:rPr>
          <w:b/>
          <w:bCs/>
          <w:lang w:eastAsia="es-MX"/>
        </w:rPr>
        <w:t>EL SUJETO OBLIGADO</w:t>
      </w:r>
      <w:r w:rsidRPr="00A50CCF">
        <w:rPr>
          <w:lang w:eastAsia="es-MX"/>
        </w:rPr>
        <w:t xml:space="preserve"> al momento de responder y especificar que remite la información solicitada asume contar con la información y que la </w:t>
      </w:r>
      <w:r w:rsidRPr="00A50CCF">
        <w:rPr>
          <w:lang w:eastAsia="es-MX"/>
        </w:rPr>
        <w:lastRenderedPageBreak/>
        <w:t xml:space="preserve">genera, posee, recopila, maneja, archiva, conserva o administra en ejercicio de sus funciones de derecho público </w:t>
      </w:r>
      <w:r w:rsidRPr="00A50CCF">
        <w:rPr>
          <w:rFonts w:cs="Arial"/>
        </w:rPr>
        <w:t>y proporcionar la información que obren en su poder conforme el estado que se encuentra y no hacer un procesamiento de la misma, ni presentarla conforme al interés del solicitante</w:t>
      </w:r>
      <w:r w:rsidRPr="00A50CCF">
        <w:rPr>
          <w:lang w:eastAsia="es-MX"/>
        </w:rPr>
        <w:t xml:space="preserve"> motivo por el cual se actualiza el supuesto jurídico, previsto en el artículo 12 de la Ley de Transparencia y Acceso a la Información Pública del Estado de México y Municipios.</w:t>
      </w:r>
    </w:p>
    <w:p w14:paraId="0909A1D1" w14:textId="77777777" w:rsidR="00180310" w:rsidRPr="00A50CCF" w:rsidRDefault="00180310" w:rsidP="00180310">
      <w:pPr>
        <w:rPr>
          <w:lang w:eastAsia="es-MX"/>
        </w:rPr>
      </w:pPr>
    </w:p>
    <w:p w14:paraId="51917763" w14:textId="77777777" w:rsidR="00180310" w:rsidRPr="00A50CCF" w:rsidRDefault="00180310" w:rsidP="00065341">
      <w:pPr>
        <w:pStyle w:val="Puesto"/>
        <w:rPr>
          <w:lang w:eastAsia="es-MX"/>
        </w:rPr>
      </w:pPr>
      <w:r w:rsidRPr="00A50CCF">
        <w:rPr>
          <w:lang w:eastAsia="es-MX"/>
        </w:rPr>
        <w:t>“</w:t>
      </w:r>
      <w:r w:rsidRPr="00A50CCF">
        <w:rPr>
          <w:b/>
          <w:bCs/>
          <w:lang w:eastAsia="es-MX"/>
        </w:rPr>
        <w:t>Artículo 12.</w:t>
      </w:r>
      <w:r w:rsidRPr="00A50CCF">
        <w:rPr>
          <w:lang w:eastAsia="es-MX"/>
        </w:rPr>
        <w:t> Quienes generen, recopilen, administren, manejen, procesen, archiven o conserven información pública serán responsables de la misma en los términos de las disposiciones jurídicas aplicables.</w:t>
      </w:r>
    </w:p>
    <w:p w14:paraId="549DEE1A" w14:textId="77777777" w:rsidR="00180310" w:rsidRPr="00A50CCF" w:rsidRDefault="00180310" w:rsidP="00065341">
      <w:pPr>
        <w:pStyle w:val="Puesto"/>
        <w:rPr>
          <w:lang w:eastAsia="es-MX"/>
        </w:rPr>
      </w:pPr>
    </w:p>
    <w:p w14:paraId="49C42CD1" w14:textId="77777777" w:rsidR="00180310" w:rsidRPr="00A50CCF" w:rsidRDefault="00180310" w:rsidP="00065341">
      <w:pPr>
        <w:pStyle w:val="Puesto"/>
        <w:rPr>
          <w:lang w:eastAsia="es-MX"/>
        </w:rPr>
      </w:pPr>
      <w:r w:rsidRPr="00A50CCF">
        <w:rPr>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5F831CF" w14:textId="77777777" w:rsidR="00180310" w:rsidRPr="00A50CCF" w:rsidRDefault="00180310" w:rsidP="00180310">
      <w:pPr>
        <w:ind w:left="851" w:right="902"/>
        <w:rPr>
          <w:lang w:eastAsia="es-MX"/>
        </w:rPr>
      </w:pPr>
    </w:p>
    <w:p w14:paraId="1D9B8A8C" w14:textId="77777777" w:rsidR="00180310" w:rsidRPr="00A50CCF" w:rsidRDefault="00180310" w:rsidP="00180310">
      <w:pPr>
        <w:ind w:right="-93"/>
        <w:contextualSpacing/>
        <w:rPr>
          <w:lang w:eastAsia="es-MX"/>
        </w:rPr>
      </w:pPr>
      <w:r w:rsidRPr="00A50CCF">
        <w:rPr>
          <w:lang w:eastAsia="es-MX"/>
        </w:rPr>
        <w:t xml:space="preserve">Del precepto anterior se obvia la competencia del </w:t>
      </w:r>
      <w:r w:rsidRPr="00A50CCF">
        <w:rPr>
          <w:b/>
          <w:lang w:eastAsia="es-MX"/>
        </w:rPr>
        <w:t xml:space="preserve">SUJETO OBLIGADO </w:t>
      </w:r>
      <w:r w:rsidRPr="00A50CCF">
        <w:rPr>
          <w:lang w:eastAsia="es-MX"/>
        </w:rPr>
        <w:t>de generar, poseer, recopilar, archivar, manejar, conservar</w:t>
      </w:r>
      <w:r w:rsidRPr="00A50CCF">
        <w:rPr>
          <w:b/>
          <w:lang w:eastAsia="es-MX"/>
        </w:rPr>
        <w:t xml:space="preserve"> </w:t>
      </w:r>
      <w:r w:rsidRPr="00A50CCF">
        <w:rPr>
          <w:lang w:eastAsia="es-MX"/>
        </w:rPr>
        <w:t>o administrar la información, puesto que al entregar la misma se obvia que existe fuente obligacional para generarla, poseerla, archivarla, manejarla, recopilarla o administrarla.</w:t>
      </w:r>
    </w:p>
    <w:p w14:paraId="731EE71C" w14:textId="77777777" w:rsidR="00180310" w:rsidRPr="00A50CCF" w:rsidRDefault="00180310" w:rsidP="00180310">
      <w:pPr>
        <w:contextualSpacing/>
      </w:pPr>
    </w:p>
    <w:p w14:paraId="03951D9A" w14:textId="55A59BA7" w:rsidR="00180310" w:rsidRPr="00A50CCF" w:rsidRDefault="00180310" w:rsidP="00180310">
      <w:pPr>
        <w:contextualSpacing/>
        <w:rPr>
          <w:rFonts w:eastAsia="Palatino Linotype" w:cs="Palatino Linotype"/>
        </w:rPr>
      </w:pPr>
      <w:r w:rsidRPr="00A50CCF">
        <w:rPr>
          <w:rFonts w:cs="Arial"/>
        </w:rPr>
        <w:t xml:space="preserve">Una vez precisa lo anterior, y derivado que </w:t>
      </w:r>
      <w:r w:rsidRPr="00A50CCF">
        <w:rPr>
          <w:rFonts w:cs="Arial"/>
          <w:b/>
        </w:rPr>
        <w:t xml:space="preserve">EL SUJETO OBLIGADO olvidó </w:t>
      </w:r>
      <w:r w:rsidRPr="00A50CCF">
        <w:rPr>
          <w:rFonts w:cs="Arial"/>
        </w:rPr>
        <w:t xml:space="preserve">anexar los recibos de nómina, </w:t>
      </w:r>
      <w:r w:rsidRPr="00A50CCF">
        <w:rPr>
          <w:rFonts w:eastAsia="Palatino Linotype" w:cs="Palatino Linotype"/>
        </w:rPr>
        <w:t xml:space="preserve">resulta importante traer a colación el contenido del artículo 147 de la Constitución Política del Estado Libre y Soberano de México, el cual establece lo siguiente: </w:t>
      </w:r>
    </w:p>
    <w:p w14:paraId="4D513A12" w14:textId="77777777" w:rsidR="007B7D67" w:rsidRPr="00A50CCF" w:rsidRDefault="007B7D67" w:rsidP="00180310">
      <w:pPr>
        <w:contextualSpacing/>
        <w:rPr>
          <w:rFonts w:eastAsia="Palatino Linotype" w:cs="Palatino Linotype"/>
        </w:rPr>
      </w:pPr>
    </w:p>
    <w:p w14:paraId="52117AA9" w14:textId="77777777" w:rsidR="00180310" w:rsidRPr="00A50CCF" w:rsidRDefault="00180310" w:rsidP="00065341">
      <w:pPr>
        <w:pStyle w:val="Puesto"/>
        <w:rPr>
          <w:rFonts w:eastAsia="Palatino Linotype"/>
          <w:b/>
        </w:rPr>
      </w:pPr>
      <w:r w:rsidRPr="00A50CCF">
        <w:rPr>
          <w:rFonts w:eastAsia="Palatino Linotype"/>
        </w:rPr>
        <w:t>“</w:t>
      </w:r>
      <w:r w:rsidRPr="00A50CCF">
        <w:rPr>
          <w:rFonts w:eastAsia="Palatino Linotype"/>
          <w:b/>
        </w:rPr>
        <w:t>Artículo 147.-</w:t>
      </w:r>
      <w:r w:rsidRPr="00A50CCF">
        <w:rPr>
          <w:rFonts w:eastAsia="Palatino Linotype"/>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A50CCF">
        <w:rPr>
          <w:rFonts w:eastAsia="Palatino Linotype"/>
          <w:b/>
        </w:rPr>
        <w:t>así como los miembros de los ayuntamientos</w:t>
      </w:r>
      <w:r w:rsidRPr="00A50CCF">
        <w:rPr>
          <w:rFonts w:eastAsia="Palatino Linotype"/>
        </w:rPr>
        <w:t xml:space="preserve"> y demás servidores públicos municipales </w:t>
      </w:r>
      <w:r w:rsidRPr="00A50CCF">
        <w:rPr>
          <w:rFonts w:eastAsia="Palatino Linotype"/>
          <w:b/>
        </w:rPr>
        <w:t xml:space="preserve">recibirán una retribución </w:t>
      </w:r>
      <w:r w:rsidRPr="00A50CCF">
        <w:rPr>
          <w:rFonts w:eastAsia="Palatino Linotype"/>
          <w:b/>
        </w:rPr>
        <w:lastRenderedPageBreak/>
        <w:t xml:space="preserve">adecuada e irrenunciable por el desempeño de su empleo, cargo o comisión, que será determinada en el presupuesto de egresos que corresponda. </w:t>
      </w:r>
    </w:p>
    <w:p w14:paraId="039B92DE" w14:textId="77777777" w:rsidR="00180310" w:rsidRPr="00A50CCF" w:rsidRDefault="00180310" w:rsidP="00065341">
      <w:pPr>
        <w:pStyle w:val="Puesto"/>
        <w:rPr>
          <w:rFonts w:eastAsia="Palatino Linotype"/>
        </w:rPr>
      </w:pPr>
      <w:r w:rsidRPr="00A50CCF">
        <w:rPr>
          <w:rFonts w:eastAsia="Palatino Linotype"/>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025E1097" w14:textId="77777777" w:rsidR="00180310" w:rsidRPr="00A50CCF" w:rsidRDefault="00180310" w:rsidP="00065341">
      <w:pPr>
        <w:pStyle w:val="Puesto"/>
        <w:rPr>
          <w:rFonts w:eastAsia="Palatino Linotype"/>
        </w:rPr>
      </w:pPr>
      <w:r w:rsidRPr="00A50CCF">
        <w:rPr>
          <w:rFonts w:eastAsia="Palatino Linotype"/>
        </w:rPr>
        <w:t>La remuneración será determinada anual y equitativamente en el Presupuesto de Egresos correspondiente bajo las bases siguientes:</w:t>
      </w:r>
    </w:p>
    <w:p w14:paraId="6DAF1E56" w14:textId="77777777" w:rsidR="00180310" w:rsidRPr="00A50CCF" w:rsidRDefault="00180310" w:rsidP="00065341">
      <w:pPr>
        <w:pStyle w:val="Puesto"/>
        <w:rPr>
          <w:rFonts w:eastAsia="Palatino Linotype"/>
        </w:rPr>
      </w:pPr>
      <w:r w:rsidRPr="00A50CCF">
        <w:rPr>
          <w:rFonts w:eastAsia="Palatino Linotype"/>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722BACE5" w14:textId="77777777" w:rsidR="00180310" w:rsidRPr="00A50CCF" w:rsidRDefault="00180310" w:rsidP="00065341">
      <w:pPr>
        <w:pStyle w:val="Puesto"/>
        <w:rPr>
          <w:rFonts w:eastAsia="Palatino Linotype"/>
        </w:rPr>
      </w:pPr>
      <w:r w:rsidRPr="00A50CCF">
        <w:rPr>
          <w:rFonts w:eastAsia="Palatino Linotype"/>
        </w:rPr>
        <w:t xml:space="preserve">II. Ningún servidor público podrá recibir remuneración, en términos de la fracción anterior, por el desempeño de su función, empleo, cargo o comisión, mayor a la establecida; </w:t>
      </w:r>
    </w:p>
    <w:p w14:paraId="1094D471" w14:textId="77777777" w:rsidR="00180310" w:rsidRPr="00A50CCF" w:rsidRDefault="00180310" w:rsidP="00065341">
      <w:pPr>
        <w:pStyle w:val="Puesto"/>
        <w:rPr>
          <w:rFonts w:eastAsia="Palatino Linotype"/>
        </w:rPr>
      </w:pPr>
      <w:r w:rsidRPr="00A50CCF">
        <w:rPr>
          <w:rFonts w:eastAsia="Palatino Linotype"/>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38A6A148" w14:textId="77777777" w:rsidR="00180310" w:rsidRPr="00A50CCF" w:rsidRDefault="00180310" w:rsidP="00065341">
      <w:pPr>
        <w:pStyle w:val="Puesto"/>
        <w:rPr>
          <w:rFonts w:eastAsia="Palatino Linotype"/>
        </w:rPr>
      </w:pPr>
      <w:r w:rsidRPr="00A50CCF">
        <w:rPr>
          <w:rFonts w:eastAsia="Palatino Linotype"/>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6B8623C4" w14:textId="77777777" w:rsidR="00180310" w:rsidRPr="00A50CCF" w:rsidRDefault="00180310" w:rsidP="00065341">
      <w:pPr>
        <w:pStyle w:val="Puesto"/>
        <w:rPr>
          <w:rFonts w:eastAsia="Palatino Linotype"/>
        </w:rPr>
      </w:pPr>
      <w:r w:rsidRPr="00A50CCF">
        <w:rPr>
          <w:rFonts w:eastAsia="Palatino Linotype"/>
        </w:rPr>
        <w:t>V. Las remuneraciones y sus tabuladores serán públicos, y deberán especificar y diferenciar la totalidad de sus elementos fijos y variables tanto en efectivo como en especie”</w:t>
      </w:r>
    </w:p>
    <w:p w14:paraId="14170387" w14:textId="77777777" w:rsidR="00180310" w:rsidRPr="00A50CCF" w:rsidRDefault="00180310" w:rsidP="00065341">
      <w:pPr>
        <w:pStyle w:val="Puesto"/>
        <w:rPr>
          <w:rFonts w:eastAsia="Palatino Linotype"/>
        </w:rPr>
      </w:pPr>
      <w:r w:rsidRPr="00A50CCF">
        <w:rPr>
          <w:rFonts w:eastAsia="Palatino Linotype"/>
        </w:rPr>
        <w:t>(Énfasis añadido)</w:t>
      </w:r>
    </w:p>
    <w:p w14:paraId="29750021" w14:textId="77777777" w:rsidR="00065341" w:rsidRPr="00A50CCF" w:rsidRDefault="00065341" w:rsidP="00065341">
      <w:pPr>
        <w:rPr>
          <w:rFonts w:eastAsia="Palatino Linotype"/>
        </w:rPr>
      </w:pPr>
    </w:p>
    <w:p w14:paraId="51EF061E" w14:textId="77777777" w:rsidR="00180310" w:rsidRPr="00A50CCF" w:rsidRDefault="00180310" w:rsidP="00180310">
      <w:pPr>
        <w:rPr>
          <w:rFonts w:eastAsia="Palatino Linotype" w:cs="Palatino Linotype"/>
        </w:rPr>
      </w:pPr>
      <w:r w:rsidRPr="00A50CCF">
        <w:rPr>
          <w:rFonts w:eastAsia="Palatino Linotype" w:cs="Palatino Linotype"/>
        </w:rPr>
        <w:t>En este orden de ideas, el artículo 3°, fracción XXXII, del Código Financiero del Estado de México y Municipios</w:t>
      </w:r>
      <w:r w:rsidRPr="00A50CCF">
        <w:rPr>
          <w:rStyle w:val="Refdenotaalpie"/>
          <w:rFonts w:eastAsia="Palatino Linotype" w:cs="Palatino Linotype"/>
        </w:rPr>
        <w:footnoteReference w:id="1"/>
      </w:r>
      <w:r w:rsidRPr="00A50CCF">
        <w:rPr>
          <w:rFonts w:eastAsia="Palatino Linotype" w:cs="Palatino Linotype"/>
        </w:rPr>
        <w:t xml:space="preserve">, establece que la remuneración consiste en los pagos hechos por concepto de sueldo, compensaciones, gratificaciones, habitación, primas, comisiones, </w:t>
      </w:r>
      <w:r w:rsidRPr="00A50CCF">
        <w:rPr>
          <w:rFonts w:eastAsia="Palatino Linotype" w:cs="Palatino Linotype"/>
        </w:rPr>
        <w:lastRenderedPageBreak/>
        <w:t>prestaciones, en especie y cualquier otra percepción o prestación que se entregue al servidor por su trabajo.</w:t>
      </w:r>
    </w:p>
    <w:p w14:paraId="59CA8FF4" w14:textId="77777777" w:rsidR="00180310" w:rsidRPr="00A50CCF" w:rsidRDefault="00180310" w:rsidP="00180310">
      <w:pPr>
        <w:rPr>
          <w:rFonts w:eastAsia="Palatino Linotype" w:cs="Palatino Linotype"/>
        </w:rPr>
      </w:pPr>
    </w:p>
    <w:p w14:paraId="4B01626D" w14:textId="77777777" w:rsidR="00180310" w:rsidRPr="00A50CCF" w:rsidRDefault="00180310" w:rsidP="00180310">
      <w:pPr>
        <w:ind w:right="49"/>
        <w:rPr>
          <w:rFonts w:eastAsia="Palatino Linotype" w:cs="Palatino Linotype"/>
        </w:rPr>
      </w:pPr>
      <w:r w:rsidRPr="00A50CCF">
        <w:rPr>
          <w:rFonts w:eastAsia="Palatino Linotype" w:cs="Palatino Linotype"/>
        </w:rPr>
        <w:t xml:space="preserve">Resulta importante señalar que por cuanto hace a las percepciones, la Ley Federal del Trabajo que en su artículo 84 establece lo siguiente: </w:t>
      </w:r>
    </w:p>
    <w:p w14:paraId="0F29C0D3" w14:textId="77777777" w:rsidR="00180310" w:rsidRPr="00A50CCF" w:rsidRDefault="00180310" w:rsidP="00180310">
      <w:pPr>
        <w:ind w:right="49"/>
        <w:rPr>
          <w:rFonts w:eastAsia="Palatino Linotype" w:cs="Palatino Linotype"/>
        </w:rPr>
      </w:pPr>
    </w:p>
    <w:p w14:paraId="4FD70E3B" w14:textId="77777777" w:rsidR="00180310" w:rsidRPr="00A50CCF" w:rsidRDefault="00180310" w:rsidP="00065341">
      <w:pPr>
        <w:pStyle w:val="Puesto"/>
        <w:rPr>
          <w:rFonts w:eastAsia="Palatino Linotype"/>
          <w:b/>
        </w:rPr>
      </w:pPr>
      <w:bookmarkStart w:id="30" w:name="bookmark=id.gjdgxs" w:colFirst="0" w:colLast="0"/>
      <w:bookmarkEnd w:id="30"/>
      <w:r w:rsidRPr="00A50CCF">
        <w:rPr>
          <w:rFonts w:eastAsia="Palatino Linotype"/>
        </w:rPr>
        <w:t>“</w:t>
      </w:r>
      <w:r w:rsidRPr="00A50CCF">
        <w:rPr>
          <w:rFonts w:eastAsia="Palatino Linotype"/>
          <w:b/>
        </w:rPr>
        <w:t>Artículo 84.- El salario se integra</w:t>
      </w:r>
      <w:r w:rsidRPr="00A50CCF">
        <w:rPr>
          <w:rFonts w:eastAsia="Palatino Linotype"/>
        </w:rPr>
        <w:t xml:space="preserve"> con los pagos hechos en efectivo por cuota diaria, gratificaciones, </w:t>
      </w:r>
      <w:r w:rsidRPr="00A50CCF">
        <w:rPr>
          <w:rFonts w:eastAsia="Palatino Linotype"/>
          <w:b/>
        </w:rPr>
        <w:t>percepciones</w:t>
      </w:r>
      <w:r w:rsidRPr="00A50CCF">
        <w:rPr>
          <w:rFonts w:eastAsia="Palatino Linotype"/>
        </w:rPr>
        <w:t xml:space="preserve">, habitación, primas, comisiones, </w:t>
      </w:r>
      <w:r w:rsidRPr="00A50CCF">
        <w:rPr>
          <w:rFonts w:eastAsia="Palatino Linotype"/>
          <w:b/>
        </w:rPr>
        <w:t>prestaciones en especie y cualquiera otra cantidad o prestación que se entregue al trabajador por su trabajo.”</w:t>
      </w:r>
    </w:p>
    <w:p w14:paraId="0849D464" w14:textId="77777777" w:rsidR="00180310" w:rsidRPr="00A50CCF" w:rsidRDefault="00180310" w:rsidP="00180310">
      <w:pPr>
        <w:ind w:left="567" w:right="900"/>
        <w:rPr>
          <w:rFonts w:eastAsia="Palatino Linotype" w:cs="Palatino Linotype"/>
          <w:b/>
          <w:i/>
        </w:rPr>
      </w:pPr>
    </w:p>
    <w:p w14:paraId="1365A379" w14:textId="77777777" w:rsidR="00180310" w:rsidRPr="00A50CCF" w:rsidRDefault="00180310" w:rsidP="00180310">
      <w:pPr>
        <w:rPr>
          <w:rFonts w:eastAsia="Palatino Linotype" w:cs="Palatino Linotype"/>
        </w:rPr>
      </w:pPr>
      <w:bookmarkStart w:id="31" w:name="_heading=h.gjdgxs" w:colFirst="0" w:colLast="0"/>
      <w:bookmarkEnd w:id="31"/>
      <w:r w:rsidRPr="00A50CCF">
        <w:rPr>
          <w:rFonts w:eastAsia="Palatino Linotype" w:cs="Palatino Linotype"/>
        </w:rPr>
        <w:t xml:space="preserve">De igual forma, la Ley del Trabajo de los Servidores Públicos del Estado y Municipios, en su artículo 220 K, establece los documentos que tiene la obligación de conservar </w:t>
      </w:r>
      <w:r w:rsidRPr="00A50CCF">
        <w:rPr>
          <w:rFonts w:eastAsia="Palatino Linotype" w:cs="Palatino Linotype"/>
          <w:b/>
        </w:rPr>
        <w:t>EL SUJETO OBLIGADO</w:t>
      </w:r>
      <w:r w:rsidRPr="00A50CCF">
        <w:rPr>
          <w:rFonts w:eastAsia="Palatino Linotype" w:cs="Palatino Linotype"/>
        </w:rPr>
        <w:t xml:space="preserve">, entre los que se encuentran los recibos de pagos: </w:t>
      </w:r>
    </w:p>
    <w:p w14:paraId="3D3D13B4" w14:textId="77777777" w:rsidR="00180310" w:rsidRPr="00A50CCF" w:rsidRDefault="00180310" w:rsidP="00180310">
      <w:pPr>
        <w:rPr>
          <w:rFonts w:eastAsia="Palatino Linotype" w:cs="Palatino Linotype"/>
        </w:rPr>
      </w:pPr>
    </w:p>
    <w:p w14:paraId="6B29A373" w14:textId="77777777" w:rsidR="00180310" w:rsidRPr="00A50CCF" w:rsidRDefault="00180310" w:rsidP="00065341">
      <w:pPr>
        <w:pStyle w:val="Puesto"/>
        <w:rPr>
          <w:rFonts w:eastAsia="Palatino Linotype"/>
        </w:rPr>
      </w:pPr>
      <w:r w:rsidRPr="00A50CCF">
        <w:rPr>
          <w:rFonts w:eastAsia="Palatino Linotype"/>
          <w:b/>
        </w:rPr>
        <w:t>“ARTÍCULO 220 K.-</w:t>
      </w:r>
      <w:r w:rsidRPr="00A50CCF">
        <w:rPr>
          <w:rFonts w:eastAsia="Palatino Linotype"/>
        </w:rPr>
        <w:t xml:space="preserve"> La institución o dependencia pública tiene la obligación de conservar y exhibir en el proceso los documentos que a continuación se precisan:</w:t>
      </w:r>
    </w:p>
    <w:p w14:paraId="3770626C" w14:textId="77777777" w:rsidR="00180310" w:rsidRPr="00A50CCF" w:rsidRDefault="00180310" w:rsidP="00065341">
      <w:pPr>
        <w:pStyle w:val="Puesto"/>
        <w:rPr>
          <w:rFonts w:eastAsia="Palatino Linotype"/>
        </w:rPr>
      </w:pPr>
      <w:r w:rsidRPr="00A50CCF">
        <w:rPr>
          <w:rFonts w:eastAsia="Palatino Linotype"/>
        </w:rPr>
        <w:t>I. Contratos, Nombramientos o Formato Único de Movimientos de Personal, cuando no exista Convenio de condiciones generales de trabajo aplicable;</w:t>
      </w:r>
    </w:p>
    <w:p w14:paraId="6D7C9595" w14:textId="77777777" w:rsidR="00180310" w:rsidRPr="00A50CCF" w:rsidRDefault="00180310" w:rsidP="00065341">
      <w:pPr>
        <w:pStyle w:val="Puesto"/>
        <w:rPr>
          <w:rFonts w:eastAsia="Palatino Linotype"/>
          <w:b/>
        </w:rPr>
      </w:pPr>
      <w:r w:rsidRPr="00A50CCF">
        <w:rPr>
          <w:rFonts w:eastAsia="Palatino Linotype"/>
          <w:b/>
        </w:rPr>
        <w:t>II. Recibos de pagos de salarios o las constancias documentales del pago de salario cuando sea por depósito o mediante información electrónica;</w:t>
      </w:r>
    </w:p>
    <w:p w14:paraId="5F8378DA" w14:textId="77777777" w:rsidR="00180310" w:rsidRPr="00A50CCF" w:rsidRDefault="00180310" w:rsidP="00065341">
      <w:pPr>
        <w:pStyle w:val="Puesto"/>
        <w:rPr>
          <w:rFonts w:eastAsia="Palatino Linotype"/>
        </w:rPr>
      </w:pPr>
      <w:r w:rsidRPr="00A50CCF">
        <w:rPr>
          <w:rFonts w:eastAsia="Palatino Linotype"/>
        </w:rPr>
        <w:t>III. Controles de asistencia o la información magnética o electrónica de asistencia de los servidores públicos;</w:t>
      </w:r>
    </w:p>
    <w:p w14:paraId="51C0299F" w14:textId="77777777" w:rsidR="00180310" w:rsidRPr="00A50CCF" w:rsidRDefault="00180310" w:rsidP="00065341">
      <w:pPr>
        <w:pStyle w:val="Puesto"/>
        <w:rPr>
          <w:rFonts w:eastAsia="Palatino Linotype"/>
          <w:b/>
        </w:rPr>
      </w:pPr>
      <w:r w:rsidRPr="00A50CCF">
        <w:rPr>
          <w:rFonts w:eastAsia="Palatino Linotype"/>
          <w:b/>
        </w:rPr>
        <w:t>IV. Recib</w:t>
      </w:r>
      <w:r w:rsidRPr="00A50CCF">
        <w:rPr>
          <w:rStyle w:val="PuestoCar"/>
          <w:b/>
        </w:rPr>
        <w:t>o</w:t>
      </w:r>
      <w:r w:rsidRPr="00A50CCF">
        <w:rPr>
          <w:rFonts w:eastAsia="Palatino Linotype"/>
          <w:b/>
        </w:rPr>
        <w:t>s o las constancias de depósito o del medio de información magnética o electrónica que sean utilizadas para el pago de salarios, prima vacacional, aguinaldo y demás prestaciones establecidas en la presente ley; y</w:t>
      </w:r>
    </w:p>
    <w:p w14:paraId="54099E37" w14:textId="77777777" w:rsidR="00180310" w:rsidRPr="00A50CCF" w:rsidRDefault="00180310" w:rsidP="00065341">
      <w:pPr>
        <w:pStyle w:val="Puesto"/>
        <w:rPr>
          <w:rFonts w:eastAsia="Palatino Linotype"/>
        </w:rPr>
      </w:pPr>
      <w:r w:rsidRPr="00A50CCF">
        <w:rPr>
          <w:rFonts w:eastAsia="Palatino Linotype"/>
        </w:rPr>
        <w:t>V. Los demás que señalen las leyes.</w:t>
      </w:r>
    </w:p>
    <w:p w14:paraId="10077B93" w14:textId="77777777" w:rsidR="00180310" w:rsidRPr="00A50CCF" w:rsidRDefault="00180310" w:rsidP="00065341">
      <w:pPr>
        <w:pStyle w:val="Puesto"/>
        <w:rPr>
          <w:rFonts w:eastAsia="Palatino Linotype"/>
        </w:rPr>
      </w:pPr>
      <w:r w:rsidRPr="00A50CCF">
        <w:rPr>
          <w:rFonts w:eastAsia="Palatino Linotype"/>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w:t>
      </w:r>
      <w:r w:rsidRPr="00A50CCF">
        <w:rPr>
          <w:rFonts w:eastAsia="Palatino Linotype"/>
        </w:rPr>
        <w:lastRenderedPageBreak/>
        <w:t>descubierto por la ciencia y las constancias expedidas por el encargado del área de personal de éstas, harán prueba plena. “</w:t>
      </w:r>
    </w:p>
    <w:p w14:paraId="0A1C76D8" w14:textId="77777777" w:rsidR="00180310" w:rsidRPr="00A50CCF" w:rsidRDefault="00180310" w:rsidP="00180310">
      <w:pPr>
        <w:ind w:left="851" w:right="900"/>
        <w:rPr>
          <w:rFonts w:eastAsia="Palatino Linotype" w:cs="Palatino Linotype"/>
          <w:i/>
        </w:rPr>
      </w:pPr>
    </w:p>
    <w:p w14:paraId="0107F80A" w14:textId="77777777" w:rsidR="00180310" w:rsidRPr="00A50CCF" w:rsidRDefault="00180310" w:rsidP="00180310">
      <w:pPr>
        <w:rPr>
          <w:rFonts w:eastAsia="Palatino Linotype" w:cs="Palatino Linotype"/>
        </w:rPr>
      </w:pPr>
      <w:r w:rsidRPr="00A50CCF">
        <w:rPr>
          <w:rFonts w:eastAsia="Palatino Linotype" w:cs="Palatino Linotype"/>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29C35A9F" w14:textId="77777777" w:rsidR="00180310" w:rsidRPr="00A50CCF" w:rsidRDefault="00180310" w:rsidP="00180310">
      <w:pPr>
        <w:rPr>
          <w:rFonts w:eastAsia="Palatino Linotype" w:cs="Palatino Linotype"/>
        </w:rPr>
      </w:pPr>
    </w:p>
    <w:p w14:paraId="46784813" w14:textId="77777777" w:rsidR="00180310" w:rsidRPr="00A50CCF" w:rsidRDefault="00180310" w:rsidP="00065341">
      <w:pPr>
        <w:pStyle w:val="Puesto"/>
        <w:rPr>
          <w:rFonts w:eastAsia="Palatino Linotype"/>
        </w:rPr>
      </w:pPr>
      <w:r w:rsidRPr="00A50CCF">
        <w:rPr>
          <w:rFonts w:eastAsia="Palatino Linotype"/>
        </w:rPr>
        <w:t>“</w:t>
      </w:r>
      <w:r w:rsidRPr="00A50CCF">
        <w:rPr>
          <w:rFonts w:eastAsia="Palatino Linotype"/>
          <w:b/>
        </w:rPr>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w:t>
      </w:r>
      <w:r w:rsidRPr="00A50CCF">
        <w:rPr>
          <w:rFonts w:eastAsia="Palatino Linotype"/>
        </w:rPr>
        <w:t xml:space="preserve"> 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0F71DCBB" w14:textId="77777777" w:rsidR="00180310" w:rsidRPr="00A50CCF" w:rsidRDefault="00180310" w:rsidP="00180310">
      <w:pPr>
        <w:rPr>
          <w:rFonts w:eastAsia="Palatino Linotype" w:cs="Palatino Linotype"/>
          <w:b/>
          <w:i/>
        </w:rPr>
      </w:pPr>
    </w:p>
    <w:p w14:paraId="1E2DA93C" w14:textId="77777777" w:rsidR="00180310" w:rsidRPr="00A50CCF" w:rsidRDefault="00180310" w:rsidP="00180310">
      <w:pPr>
        <w:rPr>
          <w:rFonts w:eastAsia="Palatino Linotype" w:cs="Palatino Linotype"/>
        </w:rPr>
      </w:pPr>
      <w:r w:rsidRPr="00A50CCF">
        <w:rPr>
          <w:rFonts w:eastAsia="Palatino Linotype" w:cs="Palatino Linotype"/>
        </w:rPr>
        <w:t xml:space="preserve">De la tesis transcrita, se desprende que </w:t>
      </w:r>
      <w:r w:rsidRPr="00A50CCF">
        <w:rPr>
          <w:rFonts w:eastAsia="Palatino Linotype" w:cs="Palatino Linotype"/>
          <w:b/>
        </w:rPr>
        <w:t>en materia burocrática</w:t>
      </w:r>
      <w:r w:rsidRPr="00A50CCF">
        <w:rPr>
          <w:rFonts w:eastAsia="Palatino Linotype" w:cs="Palatino Linotype"/>
        </w:rPr>
        <w:t xml:space="preserve"> </w:t>
      </w:r>
      <w:r w:rsidRPr="00A50CCF">
        <w:rPr>
          <w:rFonts w:eastAsia="Palatino Linotype" w:cs="Palatino Linotype"/>
          <w:b/>
        </w:rPr>
        <w:t>los recibos de pago acreditan los conceptos y montos que en ellos se insertan</w:t>
      </w:r>
      <w:r w:rsidRPr="00A50CCF">
        <w:rPr>
          <w:rFonts w:eastAsia="Palatino Linotype" w:cs="Palatino Linotype"/>
        </w:rPr>
        <w:t xml:space="preserve">, y constituyen prueba para demostrar las percepciones y montos que reciben los servidores públicos. </w:t>
      </w:r>
    </w:p>
    <w:p w14:paraId="58C21838" w14:textId="4726C8AD" w:rsidR="00180310" w:rsidRPr="00A50CCF" w:rsidRDefault="00180310" w:rsidP="00180310">
      <w:pPr>
        <w:pStyle w:val="Citas"/>
        <w:ind w:left="0" w:right="-2"/>
        <w:rPr>
          <w:bCs/>
          <w:i w:val="0"/>
          <w:sz w:val="24"/>
          <w:szCs w:val="24"/>
        </w:rPr>
      </w:pPr>
      <w:r w:rsidRPr="00A50CCF">
        <w:rPr>
          <w:rFonts w:eastAsia="Palatino Linotype" w:cs="Palatino Linotype"/>
          <w:i w:val="0"/>
          <w:sz w:val="24"/>
          <w:szCs w:val="24"/>
        </w:rPr>
        <w:t xml:space="preserve">En consecuencia, este Órgano Garante determina ordenar en </w:t>
      </w:r>
      <w:r w:rsidRPr="00A50CCF">
        <w:rPr>
          <w:rFonts w:eastAsia="Palatino Linotype" w:cs="Palatino Linotype"/>
          <w:b/>
          <w:i w:val="0"/>
          <w:sz w:val="24"/>
          <w:szCs w:val="24"/>
        </w:rPr>
        <w:t xml:space="preserve">versión pública, </w:t>
      </w:r>
      <w:r w:rsidR="000772CC" w:rsidRPr="00A50CCF">
        <w:rPr>
          <w:rFonts w:cs="Tahoma"/>
          <w:bCs/>
          <w:i w:val="0"/>
        </w:rPr>
        <w:t>los recibos de pago que contenga el pago de nómina, aguinaldo, bonos o cualquier otra prestación de la Servidora Pública referida en la solicitud de información desde el dieciséis de febrero de dos mil dieciséis al treinta de abril de dos mil veintitrés</w:t>
      </w:r>
      <w:r w:rsidRPr="00A50CCF">
        <w:rPr>
          <w:bCs/>
          <w:i w:val="0"/>
          <w:sz w:val="24"/>
          <w:szCs w:val="24"/>
        </w:rPr>
        <w:t>.</w:t>
      </w:r>
    </w:p>
    <w:p w14:paraId="63F850EB" w14:textId="76E65680" w:rsidR="00A86DEF" w:rsidRPr="00A50CCF" w:rsidRDefault="00A86DEF" w:rsidP="00065341">
      <w:pPr>
        <w:spacing w:after="240"/>
        <w:ind w:right="-234"/>
        <w:rPr>
          <w:rFonts w:eastAsia="Palatino Linotype" w:cs="Palatino Linotype"/>
        </w:rPr>
      </w:pPr>
      <w:r w:rsidRPr="00A50CCF">
        <w:rPr>
          <w:rFonts w:eastAsia="Palatino Linotype" w:cs="Palatino Linotype"/>
        </w:rPr>
        <w:lastRenderedPageBreak/>
        <w:t xml:space="preserve">Asimismo, no se omite comentar que debido a que la parte </w:t>
      </w:r>
      <w:r w:rsidRPr="00A50CCF">
        <w:rPr>
          <w:rFonts w:eastAsia="Palatino Linotype" w:cs="Palatino Linotype"/>
          <w:b/>
          <w:bCs/>
        </w:rPr>
        <w:t>LA PARTE</w:t>
      </w:r>
      <w:r w:rsidRPr="00A50CCF">
        <w:rPr>
          <w:rFonts w:eastAsia="Palatino Linotype" w:cs="Palatino Linotype"/>
        </w:rPr>
        <w:t xml:space="preserve"> </w:t>
      </w:r>
      <w:r w:rsidRPr="00A50CCF">
        <w:rPr>
          <w:rFonts w:eastAsia="Palatino Linotype" w:cs="Palatino Linotype"/>
          <w:b/>
        </w:rPr>
        <w:t>RECURRENTE</w:t>
      </w:r>
      <w:r w:rsidRPr="00A50CCF">
        <w:rPr>
          <w:rFonts w:eastAsia="Palatino Linotype" w:cs="Palatino Linotype"/>
        </w:rPr>
        <w:t>, solicitó información desde el año dos mil dieciséis, resulta importante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 al tenor de lo siguiente:</w:t>
      </w:r>
    </w:p>
    <w:p w14:paraId="48453331" w14:textId="77777777" w:rsidR="00A86DEF" w:rsidRPr="00A50CCF" w:rsidRDefault="00A86DEF" w:rsidP="00065341">
      <w:pPr>
        <w:pStyle w:val="Puesto"/>
        <w:rPr>
          <w:rFonts w:eastAsia="Palatino Linotype"/>
          <w:b/>
        </w:rPr>
      </w:pPr>
      <w:r w:rsidRPr="00A50CCF">
        <w:rPr>
          <w:rFonts w:eastAsia="Palatino Linotype"/>
          <w:b/>
        </w:rPr>
        <w:t>“Cuarto.</w:t>
      </w:r>
    </w:p>
    <w:p w14:paraId="21C9C741" w14:textId="77777777" w:rsidR="00A86DEF" w:rsidRPr="00A50CCF" w:rsidRDefault="00A86DEF" w:rsidP="00065341">
      <w:pPr>
        <w:pStyle w:val="Puesto"/>
        <w:rPr>
          <w:rFonts w:eastAsia="Palatino Linotype"/>
        </w:rPr>
      </w:pPr>
      <w:r w:rsidRPr="00A50CCF">
        <w:rPr>
          <w:rFonts w:eastAsia="Palatino Linotype"/>
        </w:rPr>
        <w:t>(…)</w:t>
      </w:r>
    </w:p>
    <w:p w14:paraId="54EDC408" w14:textId="77777777" w:rsidR="00A86DEF" w:rsidRPr="00A50CCF" w:rsidRDefault="00A86DEF" w:rsidP="00065341">
      <w:pPr>
        <w:pStyle w:val="Puesto"/>
        <w:rPr>
          <w:rFonts w:eastAsia="Palatino Linotype"/>
        </w:rPr>
      </w:pPr>
      <w:r w:rsidRPr="00A50CCF">
        <w:rPr>
          <w:rFonts w:eastAsia="Palatino Linotype"/>
          <w:b/>
        </w:rPr>
        <w:t>II. Archivo:</w:t>
      </w:r>
      <w:r w:rsidRPr="00A50CCF">
        <w:rPr>
          <w:rFonts w:eastAsia="Palatino Linotype"/>
        </w:rPr>
        <w:t xml:space="preserve"> El conjunto orgánico de documentos en cualquier soporte, que son producidos o</w:t>
      </w:r>
      <w:r w:rsidRPr="00A50CCF">
        <w:rPr>
          <w:rStyle w:val="PuestoCar"/>
        </w:rPr>
        <w:t xml:space="preserve"> </w:t>
      </w:r>
      <w:r w:rsidRPr="00A50CCF">
        <w:rPr>
          <w:rFonts w:eastAsia="Palatino Linotype"/>
        </w:rPr>
        <w:t>recibidos por los sujetos obligados o los particulares en el ejercicio de sus atribuciones o en el desarrollo de sus actividades;</w:t>
      </w:r>
    </w:p>
    <w:p w14:paraId="40864252" w14:textId="77777777" w:rsidR="00A86DEF" w:rsidRPr="00A50CCF" w:rsidRDefault="00A86DEF" w:rsidP="00065341">
      <w:pPr>
        <w:pStyle w:val="Puesto"/>
        <w:rPr>
          <w:rFonts w:eastAsia="Palatino Linotype"/>
        </w:rPr>
      </w:pPr>
      <w:r w:rsidRPr="00A50CCF">
        <w:rPr>
          <w:rFonts w:eastAsia="Palatino Linotype"/>
          <w:b/>
        </w:rPr>
        <w:t>III. Archivo de concentración:</w:t>
      </w:r>
      <w:r w:rsidRPr="00A50CCF">
        <w:rPr>
          <w:rFonts w:eastAsia="Palatino Linotype"/>
        </w:rPr>
        <w:t xml:space="preserve"> La unidad de la administración de documentos cuya consulta es esporádica y que permanecen en ella hasta su transferencia secundaria o baja documental;</w:t>
      </w:r>
    </w:p>
    <w:p w14:paraId="79AB0E57" w14:textId="77777777" w:rsidR="00A86DEF" w:rsidRPr="00A50CCF" w:rsidRDefault="00A86DEF" w:rsidP="00065341">
      <w:pPr>
        <w:pStyle w:val="Puesto"/>
        <w:rPr>
          <w:rFonts w:eastAsia="Palatino Linotype"/>
        </w:rPr>
      </w:pPr>
      <w:r w:rsidRPr="00A50CCF">
        <w:rPr>
          <w:rFonts w:eastAsia="Palatino Linotype"/>
        </w:rPr>
        <w:t>IV. Archivo histórico. La unidad responsable de la administración de los documentos de conservación permanente y que son fuente de acceso público;</w:t>
      </w:r>
    </w:p>
    <w:p w14:paraId="3252158B" w14:textId="77777777" w:rsidR="00A86DEF" w:rsidRPr="00A50CCF" w:rsidRDefault="00A86DEF" w:rsidP="00065341">
      <w:pPr>
        <w:pStyle w:val="Puesto"/>
        <w:rPr>
          <w:rFonts w:eastAsia="Palatino Linotype"/>
        </w:rPr>
      </w:pPr>
      <w:r w:rsidRPr="00A50CCF">
        <w:rPr>
          <w:rFonts w:eastAsia="Palatino Linotype"/>
        </w:rPr>
        <w:t>V. Archivo de trámite: La unidad responsable de la administración de documentos de uso cotidiano y necesario para el ejercicio de las atribuciones de una unidad administrativa, los cuales permanecen en ella hasta su transferencia primaria;</w:t>
      </w:r>
    </w:p>
    <w:p w14:paraId="12114BBE" w14:textId="77777777" w:rsidR="00A86DEF" w:rsidRPr="00A50CCF" w:rsidRDefault="00A86DEF" w:rsidP="00065341">
      <w:pPr>
        <w:pStyle w:val="Puesto"/>
        <w:rPr>
          <w:rFonts w:eastAsia="Palatino Linotype"/>
        </w:rPr>
      </w:pPr>
      <w:r w:rsidRPr="00A50CCF">
        <w:rPr>
          <w:rFonts w:eastAsia="Palatino Linotype"/>
        </w:rPr>
        <w:t>VIII. Baja documental. La eliminación de aquella documentación que haya prescrito en sus valores administrativos, legales, fiscales, contables, y que no contenga valores históricos;</w:t>
      </w:r>
    </w:p>
    <w:p w14:paraId="3C936E1F" w14:textId="77777777" w:rsidR="00A86DEF" w:rsidRPr="00A50CCF" w:rsidRDefault="00A86DEF" w:rsidP="00065341">
      <w:pPr>
        <w:pStyle w:val="Puesto"/>
        <w:rPr>
          <w:rFonts w:eastAsia="Palatino Linotype"/>
        </w:rPr>
      </w:pPr>
      <w:r w:rsidRPr="00A50CCF">
        <w:rPr>
          <w:rFonts w:eastAsia="Palatino Linotype"/>
        </w:rPr>
        <w:t>(…)</w:t>
      </w:r>
    </w:p>
    <w:p w14:paraId="7EF47AA4" w14:textId="77777777" w:rsidR="00A86DEF" w:rsidRPr="00A50CCF" w:rsidRDefault="00A86DEF" w:rsidP="00065341">
      <w:pPr>
        <w:pStyle w:val="Puesto"/>
        <w:rPr>
          <w:rFonts w:eastAsia="Palatino Linotype"/>
        </w:rPr>
      </w:pPr>
      <w:r w:rsidRPr="00A50CCF">
        <w:rPr>
          <w:rFonts w:eastAsia="Palatino Linotype"/>
        </w:rPr>
        <w:t>X. Ciclo vital del documento: La etapas de los documentos desde su producción o recepción hasta su baja o transferencia a un archivo histórico;</w:t>
      </w:r>
    </w:p>
    <w:p w14:paraId="0411EE8D" w14:textId="77777777" w:rsidR="00A86DEF" w:rsidRPr="00A50CCF" w:rsidRDefault="00A86DEF" w:rsidP="00065341">
      <w:pPr>
        <w:pStyle w:val="Puesto"/>
        <w:rPr>
          <w:rFonts w:eastAsia="Palatino Linotype"/>
        </w:rPr>
      </w:pPr>
      <w:r w:rsidRPr="00A50CCF">
        <w:rPr>
          <w:rFonts w:eastAsia="Palatino Linotype"/>
        </w:rPr>
        <w:t>(…)</w:t>
      </w:r>
    </w:p>
    <w:p w14:paraId="3EF94C33" w14:textId="77777777" w:rsidR="00A86DEF" w:rsidRPr="00A50CCF" w:rsidRDefault="00A86DEF" w:rsidP="00065341">
      <w:pPr>
        <w:pStyle w:val="Puesto"/>
        <w:rPr>
          <w:rFonts w:eastAsia="Palatino Linotype"/>
        </w:rPr>
      </w:pPr>
      <w:r w:rsidRPr="00A50CCF">
        <w:rPr>
          <w:rFonts w:eastAsia="Palatino Linotype"/>
        </w:rPr>
        <w:t>XLVIII. Transferencia documental: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2BC3A03B" w14:textId="77777777" w:rsidR="00A86DEF" w:rsidRPr="00A50CCF" w:rsidRDefault="00A86DEF" w:rsidP="00A86DEF">
      <w:pPr>
        <w:spacing w:before="240" w:after="240"/>
        <w:ind w:right="49"/>
        <w:rPr>
          <w:rFonts w:eastAsia="Palatino Linotype" w:cs="Palatino Linotype"/>
        </w:rPr>
      </w:pPr>
      <w:r w:rsidRPr="00A50CCF">
        <w:rPr>
          <w:rFonts w:eastAsia="Palatino Linotype" w:cs="Palatino Linotype"/>
        </w:rPr>
        <w:t xml:space="preserve">Por lo expuesto, se colige que los documentos cuentan con un ciclo vital, entendiéndose como las etapas a las que se someten desde su producción o recepción hasta su baja o transferencia </w:t>
      </w:r>
      <w:r w:rsidRPr="00A50CCF">
        <w:rPr>
          <w:rFonts w:eastAsia="Palatino Linotype" w:cs="Palatino Linotype"/>
        </w:rPr>
        <w:lastRenderedPageBreak/>
        <w:t>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 transferencia secundaria al Archivo Histórico o su baja documental.</w:t>
      </w:r>
    </w:p>
    <w:p w14:paraId="0AE6CD3B" w14:textId="77777777" w:rsidR="00A86DEF" w:rsidRPr="00A50CCF" w:rsidRDefault="00A86DEF" w:rsidP="00A86DEF">
      <w:pPr>
        <w:spacing w:before="240" w:after="240"/>
        <w:ind w:right="49"/>
        <w:rPr>
          <w:rFonts w:eastAsia="Palatino Linotype" w:cs="Palatino Linotype"/>
        </w:rPr>
      </w:pPr>
      <w:r w:rsidRPr="00A50CCF">
        <w:rPr>
          <w:rFonts w:eastAsia="Palatino Linotype" w:cs="Palatino Linotype"/>
        </w:rPr>
        <w:t>A su vez, los Lineamientos para la Valoración, Selección y Baja de los Documentos, Expedientes y Series de Trámite Concluido en los Archivos del Estado de México, que establece lo siguiente:</w:t>
      </w:r>
    </w:p>
    <w:p w14:paraId="535C0316" w14:textId="77777777" w:rsidR="00A86DEF" w:rsidRPr="00A50CCF" w:rsidRDefault="00A86DEF" w:rsidP="00065341">
      <w:pPr>
        <w:pStyle w:val="Puesto"/>
        <w:rPr>
          <w:rFonts w:eastAsia="Palatino Linotype"/>
        </w:rPr>
      </w:pPr>
      <w:r w:rsidRPr="00A50CCF">
        <w:rPr>
          <w:rFonts w:eastAsia="Palatino Linotype"/>
        </w:rPr>
        <w:t>“</w:t>
      </w:r>
      <w:r w:rsidRPr="00A50CCF">
        <w:rPr>
          <w:rFonts w:eastAsia="Palatino Linotype"/>
          <w:b/>
        </w:rPr>
        <w:t>Artículo 20.</w:t>
      </w:r>
      <w:r w:rsidRPr="00A50CCF">
        <w:rPr>
          <w:rFonts w:eastAsia="Palatino Linotype"/>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0BEF34BE" w14:textId="77777777" w:rsidR="00A86DEF" w:rsidRPr="00A50CCF" w:rsidRDefault="00A86DEF" w:rsidP="00065341">
      <w:pPr>
        <w:pStyle w:val="Puesto"/>
        <w:rPr>
          <w:rFonts w:eastAsia="Palatino Linotype"/>
        </w:rPr>
      </w:pPr>
      <w:r w:rsidRPr="00A50CCF">
        <w:rPr>
          <w:rFonts w:eastAsia="Palatino Linotype"/>
        </w:rPr>
        <w:t>El periodo señalado se computará a partir del día siguiente a la fecha del documento con el cual se dé por concluido el asunto por el que los expedientes fueron creados.</w:t>
      </w:r>
    </w:p>
    <w:p w14:paraId="72C71704" w14:textId="77777777" w:rsidR="00A86DEF" w:rsidRPr="00A50CCF" w:rsidRDefault="00A86DEF" w:rsidP="00065341">
      <w:pPr>
        <w:pStyle w:val="Puesto"/>
        <w:rPr>
          <w:rFonts w:eastAsia="Palatino Linotype"/>
        </w:rPr>
      </w:pPr>
      <w:r w:rsidRPr="00A50CCF">
        <w:rPr>
          <w:rFonts w:eastAsia="Palatino Linotype"/>
          <w:b/>
          <w:bCs/>
        </w:rPr>
        <w:t>Artículo 27.-</w:t>
      </w:r>
      <w:r w:rsidRPr="00A50CCF">
        <w:rPr>
          <w:rFonts w:eastAsia="Palatino Linotype"/>
        </w:rPr>
        <w:t xml:space="preserve"> Las Unidades Administrativas al realizar la transferencia de los expedientes de trámite concluido, señalarán en el Inventario correspondiente los plazos de conservación precaucional de éstos en el Archivo de Concentración.</w:t>
      </w:r>
    </w:p>
    <w:p w14:paraId="5ACAE4EB" w14:textId="77777777" w:rsidR="00A86DEF" w:rsidRPr="00A50CCF" w:rsidRDefault="00A86DEF" w:rsidP="00065341">
      <w:pPr>
        <w:pStyle w:val="Puesto"/>
        <w:rPr>
          <w:rFonts w:eastAsia="Palatino Linotype"/>
        </w:rPr>
      </w:pPr>
      <w:r w:rsidRPr="00A50CCF">
        <w:rPr>
          <w:rFonts w:eastAsia="Palatino Linotype"/>
        </w:rPr>
        <w:t>Para determinar el plazo de conservación precaucional deberán considerar el marco legal o administrativo bajo el cual se produjeron o recibieron los documentos y los siguientes períodos:</w:t>
      </w:r>
    </w:p>
    <w:p w14:paraId="34BCFDF0" w14:textId="77777777" w:rsidR="00A86DEF" w:rsidRPr="00A50CCF" w:rsidRDefault="00A86DEF" w:rsidP="00065341">
      <w:pPr>
        <w:pStyle w:val="Puesto"/>
        <w:rPr>
          <w:rFonts w:eastAsia="Palatino Linotype"/>
        </w:rPr>
      </w:pPr>
      <w:r w:rsidRPr="00A50CCF">
        <w:rPr>
          <w:rFonts w:eastAsia="Palatino Linotype"/>
        </w:rPr>
        <w:t>I. 6 años para expedientes con información administrativa;</w:t>
      </w:r>
    </w:p>
    <w:p w14:paraId="5166AF9C" w14:textId="77777777" w:rsidR="00A86DEF" w:rsidRPr="00A50CCF" w:rsidRDefault="00A86DEF" w:rsidP="00065341">
      <w:pPr>
        <w:pStyle w:val="Puesto"/>
        <w:rPr>
          <w:rFonts w:eastAsia="Palatino Linotype"/>
          <w:b/>
        </w:rPr>
      </w:pPr>
      <w:r w:rsidRPr="00A50CCF">
        <w:rPr>
          <w:rFonts w:eastAsia="Palatino Linotype"/>
          <w:b/>
        </w:rPr>
        <w:t>II. 6 años como mínimo para expedientes con información fiscal y presupuestal contable;</w:t>
      </w:r>
    </w:p>
    <w:p w14:paraId="6B6BE230" w14:textId="77777777" w:rsidR="00A86DEF" w:rsidRPr="00A50CCF" w:rsidRDefault="00A86DEF" w:rsidP="00065341">
      <w:pPr>
        <w:pStyle w:val="Puesto"/>
        <w:rPr>
          <w:rFonts w:eastAsia="Palatino Linotype"/>
        </w:rPr>
      </w:pPr>
      <w:r w:rsidRPr="00A50CCF">
        <w:rPr>
          <w:rFonts w:eastAsia="Palatino Linotype"/>
        </w:rPr>
        <w:t>III. 12 años como mínimo para expedientes con información jurídico-legal, obra pública y activo fijo; y</w:t>
      </w:r>
    </w:p>
    <w:p w14:paraId="24D14892" w14:textId="77777777" w:rsidR="00A86DEF" w:rsidRPr="00A50CCF" w:rsidRDefault="00A86DEF" w:rsidP="00065341">
      <w:pPr>
        <w:pStyle w:val="Puesto"/>
        <w:rPr>
          <w:rFonts w:eastAsia="Palatino Linotype"/>
        </w:rPr>
      </w:pPr>
      <w:r w:rsidRPr="00A50CCF">
        <w:rPr>
          <w:rFonts w:eastAsia="Palatino Linotype"/>
        </w:rPr>
        <w:t>IV. Cuando en la legislación se establezcan períodos de conservación mayores a los señalados en las fracciones I, II y III, se considerarán los estipulados en dicha legislación para efectos de realización del proceso de selección final.</w:t>
      </w:r>
    </w:p>
    <w:p w14:paraId="0BD9C9B5" w14:textId="77777777" w:rsidR="00A86DEF" w:rsidRPr="00A50CCF" w:rsidRDefault="00A86DEF" w:rsidP="00065341">
      <w:pPr>
        <w:pStyle w:val="Puesto"/>
        <w:rPr>
          <w:rFonts w:eastAsia="Palatino Linotype"/>
        </w:rPr>
      </w:pPr>
      <w:r w:rsidRPr="00A50CCF">
        <w:rPr>
          <w:rFonts w:eastAsia="Palatino Linotype"/>
        </w:rPr>
        <w:t>V. Cuando las Unidades Administrativas no indique el plazo de conservación precaucional de sus expedientes en el Inventario correspondiente, los Archivos de Concentración podrán rechazar la transferencia de los expedientes.”</w:t>
      </w:r>
    </w:p>
    <w:p w14:paraId="3D1BCEDD" w14:textId="77777777" w:rsidR="00A86DEF" w:rsidRPr="00A50CCF" w:rsidRDefault="00A86DEF" w:rsidP="00A86DEF">
      <w:pPr>
        <w:spacing w:before="240" w:after="240"/>
        <w:rPr>
          <w:rFonts w:eastAsia="Palatino Linotype" w:cs="Palatino Linotype"/>
        </w:rPr>
      </w:pPr>
      <w:r w:rsidRPr="00A50CCF">
        <w:rPr>
          <w:rFonts w:eastAsia="Palatino Linotype" w:cs="Palatino Linotype"/>
        </w:rPr>
        <w:lastRenderedPageBreak/>
        <w:t xml:space="preserve">En apego de lo anterior, se tiene que una vez que los documentos generados se consideran como trámite concluido, pasan a formar parte del Archivo de Trámite por dos años; concluido el plazo, se transfieren al Archivo de Concentración para mantenerse </w:t>
      </w:r>
      <w:r w:rsidRPr="00A50CCF">
        <w:rPr>
          <w:rFonts w:eastAsia="Palatino Linotype" w:cs="Palatino Linotype"/>
          <w:b/>
        </w:rPr>
        <w:t xml:space="preserve">allí por seis años cuando los expedientes contengan información administrativa; y una vez que concluye dicho periodo, los documentos pueden causar baja documental </w:t>
      </w:r>
      <w:r w:rsidRPr="00A50CCF">
        <w:rPr>
          <w:rFonts w:eastAsia="Palatino Linotype" w:cs="Palatino Linotype"/>
        </w:rPr>
        <w:t>o bien, formar parte del Archivo Histórico, es de señalar que para efectuar dicha baja, deberá emitirse el acta de baja documental, el cual se concibe como el documento por el que el Comité de Selección Documental o el titular de la Unidad Administrativa a la cual se encuentre adscrito el Archivo de Trámite, autoriza la baja de los documentos resultantes del proceso de selección preliminar aplicado a los expedientes de trámite concluido, por lo que de no contar con evidencia de la baja documental practicada, es procedente la declaratoria de inexistencia en términos de los artículos 49, fracciones II y XIII, 169 y 170 de la Ley de Transparencia y Acceso a la Información Pública del Estado de México y Municipios.</w:t>
      </w:r>
    </w:p>
    <w:p w14:paraId="6EDBD145" w14:textId="3D0677AB" w:rsidR="00A86DEF" w:rsidRPr="00A50CCF" w:rsidRDefault="00A86DEF" w:rsidP="00A86DEF">
      <w:pPr>
        <w:rPr>
          <w:rFonts w:eastAsia="Palatino Linotype" w:cs="Palatino Linotype"/>
        </w:rPr>
      </w:pPr>
      <w:r w:rsidRPr="00A50CCF">
        <w:rPr>
          <w:rFonts w:eastAsia="Palatino Linotype" w:cs="Palatino Linotype"/>
        </w:rPr>
        <w:t xml:space="preserve">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aquéllas circunstancias de modo, tiempo y lugar que se tomaron en cuenta para llegar a determinar que no obra en sus archivos la información requerida. 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w:t>
      </w:r>
      <w:r w:rsidRPr="00A50CCF">
        <w:rPr>
          <w:rFonts w:eastAsia="Palatino Linotype" w:cs="Palatino Linotype"/>
          <w:b/>
        </w:rPr>
        <w:t>SUJETO OBLIGADO</w:t>
      </w:r>
      <w:r w:rsidRPr="00A50CCF">
        <w:rPr>
          <w:rFonts w:eastAsia="Palatino Linotype" w:cs="Palatino Linotype"/>
        </w:rPr>
        <w:t xml:space="preserve"> correspondiente, de acuerdo a los artículos 47 y 49, fracciones II y III, de la Ley de Transparencia y Acceso a la Información Pública del Estado de México y Municipios:</w:t>
      </w:r>
    </w:p>
    <w:p w14:paraId="3C29A035" w14:textId="77777777" w:rsidR="00A86DEF" w:rsidRPr="00A50CCF" w:rsidRDefault="00A86DEF" w:rsidP="00A86DEF">
      <w:pPr>
        <w:rPr>
          <w:rFonts w:eastAsia="Palatino Linotype" w:cs="Palatino Linotype"/>
        </w:rPr>
      </w:pPr>
    </w:p>
    <w:p w14:paraId="29046369" w14:textId="77777777" w:rsidR="00A86DEF" w:rsidRPr="00A50CCF" w:rsidRDefault="00A86DEF" w:rsidP="00065341">
      <w:pPr>
        <w:pStyle w:val="Puesto"/>
        <w:rPr>
          <w:rFonts w:eastAsia="Palatino Linotype"/>
        </w:rPr>
      </w:pPr>
      <w:r w:rsidRPr="00A50CCF">
        <w:rPr>
          <w:rFonts w:eastAsia="Palatino Linotype"/>
          <w:b/>
        </w:rPr>
        <w:t>“Artículo 47.</w:t>
      </w:r>
      <w:r w:rsidRPr="00A50CCF">
        <w:rPr>
          <w:rFonts w:eastAsia="Palatino Linotype"/>
        </w:rPr>
        <w:t xml:space="preserve"> El Comité de Transparencia será la autoridad máxima al interior del sujeto obligado en materia del derecho de acceso a la información.</w:t>
      </w:r>
    </w:p>
    <w:p w14:paraId="28666ABF" w14:textId="77777777" w:rsidR="00A86DEF" w:rsidRPr="00A50CCF" w:rsidRDefault="00A86DEF" w:rsidP="00A86DEF">
      <w:pPr>
        <w:spacing w:line="240" w:lineRule="auto"/>
        <w:ind w:left="851" w:right="822"/>
        <w:rPr>
          <w:rFonts w:eastAsia="Palatino Linotype" w:cs="Palatino Linotype"/>
          <w:i/>
          <w:szCs w:val="22"/>
        </w:rPr>
      </w:pPr>
    </w:p>
    <w:p w14:paraId="7C19E352" w14:textId="77777777" w:rsidR="00A86DEF" w:rsidRPr="00A50CCF" w:rsidRDefault="00A86DEF" w:rsidP="00065341">
      <w:pPr>
        <w:pStyle w:val="Puesto"/>
        <w:rPr>
          <w:rFonts w:eastAsia="Palatino Linotype"/>
        </w:rPr>
      </w:pPr>
      <w:r w:rsidRPr="00A50CCF">
        <w:rPr>
          <w:rFonts w:eastAsia="Palatino Linotype"/>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0832BB00" w14:textId="77777777" w:rsidR="00A86DEF" w:rsidRPr="00A50CCF" w:rsidRDefault="00A86DEF" w:rsidP="00065341">
      <w:pPr>
        <w:pStyle w:val="Puesto"/>
        <w:rPr>
          <w:rFonts w:eastAsia="Palatino Linotype"/>
        </w:rPr>
      </w:pPr>
    </w:p>
    <w:p w14:paraId="1D3CAC5E" w14:textId="77777777" w:rsidR="00A86DEF" w:rsidRPr="00A50CCF" w:rsidRDefault="00A86DEF" w:rsidP="00065341">
      <w:pPr>
        <w:pStyle w:val="Puesto"/>
        <w:rPr>
          <w:rFonts w:eastAsia="Palatino Linotype"/>
        </w:rPr>
      </w:pPr>
      <w:r w:rsidRPr="00A50CCF">
        <w:rPr>
          <w:rFonts w:eastAsia="Palatino Linotype"/>
        </w:rPr>
        <w:t>El Comité se reunirá en sesión ordinaria o extraordinaria las veces que estime necesario. El tipo de sesión se precisará en la convocatoria emitida.</w:t>
      </w:r>
    </w:p>
    <w:p w14:paraId="3BAD62EC" w14:textId="77777777" w:rsidR="00A86DEF" w:rsidRPr="00A50CCF" w:rsidRDefault="00A86DEF" w:rsidP="00065341">
      <w:pPr>
        <w:pStyle w:val="Puesto"/>
        <w:rPr>
          <w:rFonts w:eastAsia="Palatino Linotype"/>
        </w:rPr>
      </w:pPr>
    </w:p>
    <w:p w14:paraId="05B8CA3C" w14:textId="77777777" w:rsidR="00A86DEF" w:rsidRPr="00A50CCF" w:rsidRDefault="00A86DEF" w:rsidP="00065341">
      <w:pPr>
        <w:pStyle w:val="Puesto"/>
        <w:rPr>
          <w:rFonts w:eastAsia="Palatino Linotype"/>
        </w:rPr>
      </w:pPr>
      <w:r w:rsidRPr="00A50CCF">
        <w:rPr>
          <w:rFonts w:eastAsia="Palatino Linotype"/>
        </w:rPr>
        <w:t>Los integrantes del Comité de Transparencia tendrán acceso a la información para determinar su clasificación, conforme a la normatividad aplicable previamente establecida por los sujetos obligados para el resguardo o salvaguarda de la información.</w:t>
      </w:r>
    </w:p>
    <w:p w14:paraId="1D3312C0" w14:textId="77777777" w:rsidR="00A86DEF" w:rsidRPr="00A50CCF" w:rsidRDefault="00A86DEF" w:rsidP="00065341">
      <w:pPr>
        <w:pStyle w:val="Puesto"/>
        <w:rPr>
          <w:rFonts w:eastAsia="Palatino Linotype"/>
        </w:rPr>
      </w:pPr>
    </w:p>
    <w:p w14:paraId="4B631702" w14:textId="77777777" w:rsidR="00A86DEF" w:rsidRPr="00A50CCF" w:rsidRDefault="00A86DEF" w:rsidP="00065341">
      <w:pPr>
        <w:pStyle w:val="Puesto"/>
        <w:rPr>
          <w:rFonts w:eastAsia="Palatino Linotype"/>
        </w:rPr>
      </w:pPr>
      <w:r w:rsidRPr="00A50CCF">
        <w:rPr>
          <w:rFonts w:eastAsia="Palatino Linotype"/>
        </w:rPr>
        <w:t>En las sesiones y trabajos del Comité, podrán participar como invitados permanentes, los representantes de las áreas que decida el Comité, y contará con derecho de voz, pero no voto.</w:t>
      </w:r>
    </w:p>
    <w:p w14:paraId="3376779A" w14:textId="77777777" w:rsidR="00A86DEF" w:rsidRPr="00A50CCF" w:rsidRDefault="00A86DEF" w:rsidP="00065341">
      <w:pPr>
        <w:pStyle w:val="Puesto"/>
        <w:rPr>
          <w:rFonts w:eastAsia="Palatino Linotype"/>
        </w:rPr>
      </w:pPr>
    </w:p>
    <w:p w14:paraId="62D71A8C" w14:textId="77777777" w:rsidR="00A86DEF" w:rsidRPr="00A50CCF" w:rsidRDefault="00A86DEF" w:rsidP="00065341">
      <w:pPr>
        <w:pStyle w:val="Puesto"/>
        <w:rPr>
          <w:rFonts w:eastAsia="Palatino Linotype"/>
        </w:rPr>
      </w:pPr>
      <w:r w:rsidRPr="00A50CCF">
        <w:rPr>
          <w:rFonts w:eastAsia="Palatino Linotype"/>
        </w:rPr>
        <w:t xml:space="preserve">Los titulares de las unidades administrativas que propongan la reserva, confidencialidad o declaren la </w:t>
      </w:r>
      <w:r w:rsidRPr="00A50CCF">
        <w:rPr>
          <w:rFonts w:eastAsia="Palatino Linotype"/>
          <w:u w:val="single"/>
        </w:rPr>
        <w:t>inexistencia</w:t>
      </w:r>
      <w:r w:rsidRPr="00A50CCF">
        <w:rPr>
          <w:rFonts w:eastAsia="Palatino Linotype"/>
        </w:rPr>
        <w:t xml:space="preserve"> de información, acudirán a las sesiones de dicho Comité donde se discuta la propuesta correspondiente.”</w:t>
      </w:r>
    </w:p>
    <w:p w14:paraId="71225143" w14:textId="77777777" w:rsidR="00A86DEF" w:rsidRPr="00A50CCF" w:rsidRDefault="00A86DEF" w:rsidP="00A86DEF">
      <w:pPr>
        <w:spacing w:line="240" w:lineRule="auto"/>
        <w:ind w:left="851" w:right="822"/>
        <w:rPr>
          <w:rFonts w:eastAsia="Palatino Linotype" w:cs="Palatino Linotype"/>
          <w:i/>
          <w:szCs w:val="22"/>
        </w:rPr>
      </w:pPr>
    </w:p>
    <w:p w14:paraId="4C946077" w14:textId="77777777" w:rsidR="00A86DEF" w:rsidRPr="00A50CCF" w:rsidRDefault="00A86DEF" w:rsidP="00065341">
      <w:pPr>
        <w:pStyle w:val="Puesto"/>
        <w:rPr>
          <w:rFonts w:eastAsia="Palatino Linotype"/>
        </w:rPr>
      </w:pPr>
      <w:r w:rsidRPr="00A50CCF">
        <w:rPr>
          <w:rFonts w:eastAsia="Palatino Linotype"/>
        </w:rPr>
        <w:t>“</w:t>
      </w:r>
      <w:r w:rsidRPr="00A50CCF">
        <w:rPr>
          <w:rFonts w:eastAsia="Palatino Linotype"/>
          <w:b/>
        </w:rPr>
        <w:t>Artículo 49.</w:t>
      </w:r>
      <w:r w:rsidRPr="00A50CCF">
        <w:rPr>
          <w:rFonts w:eastAsia="Palatino Linotype"/>
        </w:rPr>
        <w:t xml:space="preserve"> Los Comités de Transparencia tendrán las siguientes atribuciones:</w:t>
      </w:r>
    </w:p>
    <w:p w14:paraId="73458913" w14:textId="77777777" w:rsidR="00A86DEF" w:rsidRPr="00A50CCF" w:rsidRDefault="00A86DEF" w:rsidP="00065341">
      <w:pPr>
        <w:pStyle w:val="Puesto"/>
        <w:rPr>
          <w:rFonts w:eastAsia="Palatino Linotype"/>
        </w:rPr>
      </w:pPr>
      <w:r w:rsidRPr="00A50CCF">
        <w:rPr>
          <w:rFonts w:eastAsia="Palatino Linotype"/>
        </w:rPr>
        <w:t>(…)</w:t>
      </w:r>
    </w:p>
    <w:p w14:paraId="4DA8818E" w14:textId="77777777" w:rsidR="00A86DEF" w:rsidRPr="00A50CCF" w:rsidRDefault="00A86DEF" w:rsidP="00065341">
      <w:pPr>
        <w:pStyle w:val="Puesto"/>
        <w:rPr>
          <w:rFonts w:eastAsia="Palatino Linotype"/>
        </w:rPr>
      </w:pPr>
      <w:r w:rsidRPr="00A50CCF">
        <w:rPr>
          <w:rFonts w:eastAsia="Palatino Linotype"/>
        </w:rPr>
        <w:t xml:space="preserve">II. Confirmar, modificar o revocar las determinaciones que en materia de ampliación del plazo de respuesta, clasificación de la información y </w:t>
      </w:r>
      <w:r w:rsidRPr="00A50CCF">
        <w:rPr>
          <w:rFonts w:eastAsia="Palatino Linotype"/>
          <w:u w:val="single"/>
        </w:rPr>
        <w:t xml:space="preserve">declaración de inexistencia </w:t>
      </w:r>
      <w:r w:rsidRPr="00A50CCF">
        <w:rPr>
          <w:rFonts w:eastAsia="Palatino Linotype"/>
        </w:rPr>
        <w:t>o de incompetencia realicen los titulares de las áreas de los sujetos obligados;</w:t>
      </w:r>
    </w:p>
    <w:p w14:paraId="547F14E7" w14:textId="77777777" w:rsidR="00A86DEF" w:rsidRPr="00A50CCF" w:rsidRDefault="00A86DEF" w:rsidP="00065341">
      <w:pPr>
        <w:pStyle w:val="Puesto"/>
        <w:rPr>
          <w:rFonts w:eastAsia="Palatino Linotype"/>
        </w:rPr>
      </w:pPr>
      <w:r w:rsidRPr="00A50CCF">
        <w:rPr>
          <w:rFonts w:eastAsia="Palatino Linotype"/>
        </w:rPr>
        <w:t>…</w:t>
      </w:r>
    </w:p>
    <w:p w14:paraId="2A51C679" w14:textId="77777777" w:rsidR="00A86DEF" w:rsidRPr="00A50CCF" w:rsidRDefault="00A86DEF" w:rsidP="00065341">
      <w:pPr>
        <w:pStyle w:val="Puesto"/>
        <w:rPr>
          <w:rFonts w:eastAsia="Palatino Linotype"/>
        </w:rPr>
      </w:pPr>
      <w:r w:rsidRPr="00A50CCF">
        <w:rPr>
          <w:rFonts w:eastAsia="Palatino Linotype"/>
        </w:rPr>
        <w:t>XIII. Dictaminar las declaratorias de inexistencia de la información que les remitan las unidades administrativas y resolver en consecuencia;” (Sic)</w:t>
      </w:r>
    </w:p>
    <w:p w14:paraId="1E37E0A8" w14:textId="77777777" w:rsidR="00A86DEF" w:rsidRPr="00A50CCF" w:rsidRDefault="00A86DEF" w:rsidP="00A86DEF">
      <w:pPr>
        <w:rPr>
          <w:rFonts w:eastAsia="Palatino Linotype" w:cs="Palatino Linotype"/>
          <w:i/>
        </w:rPr>
      </w:pPr>
    </w:p>
    <w:p w14:paraId="60B2588F" w14:textId="77777777" w:rsidR="00A86DEF" w:rsidRPr="00A50CCF" w:rsidRDefault="00A86DEF" w:rsidP="00A86DEF">
      <w:pPr>
        <w:rPr>
          <w:rFonts w:eastAsia="Palatino Linotype" w:cs="Palatino Linotype"/>
        </w:rPr>
      </w:pPr>
      <w:r w:rsidRPr="00A50CCF">
        <w:rPr>
          <w:rFonts w:eastAsia="Palatino Linotype" w:cs="Palatino Linotype"/>
        </w:rPr>
        <w:t xml:space="preserve">Asimismo, el acuerdo de inexistencia deberá apegarse a lo dispuesto por los artículos 169 y 170, de la Ley de la materia que ordenan: </w:t>
      </w:r>
    </w:p>
    <w:p w14:paraId="34FC4363" w14:textId="77777777" w:rsidR="00A86DEF" w:rsidRPr="00A50CCF" w:rsidRDefault="00A86DEF" w:rsidP="00A86DEF">
      <w:pPr>
        <w:rPr>
          <w:rFonts w:eastAsia="Palatino Linotype" w:cs="Palatino Linotype"/>
        </w:rPr>
      </w:pPr>
    </w:p>
    <w:p w14:paraId="4CB1F3D9" w14:textId="77777777" w:rsidR="00A86DEF" w:rsidRPr="00A50CCF" w:rsidRDefault="00A86DEF" w:rsidP="00065341">
      <w:pPr>
        <w:pStyle w:val="Puesto"/>
        <w:rPr>
          <w:rFonts w:eastAsia="Palatino Linotype"/>
        </w:rPr>
      </w:pPr>
      <w:r w:rsidRPr="00A50CCF">
        <w:rPr>
          <w:rFonts w:eastAsia="Palatino Linotype"/>
          <w:b/>
        </w:rPr>
        <w:lastRenderedPageBreak/>
        <w:t>“Artículo 169.</w:t>
      </w:r>
      <w:r w:rsidRPr="00A50CCF">
        <w:rPr>
          <w:rFonts w:eastAsia="Palatino Linotype"/>
        </w:rPr>
        <w:t xml:space="preserve"> Cuando la información no se encuentre en los archivos del sujeto obligado, el Comité de Transparencia:</w:t>
      </w:r>
    </w:p>
    <w:p w14:paraId="61E49F3A" w14:textId="77777777" w:rsidR="00A86DEF" w:rsidRPr="00A50CCF" w:rsidRDefault="00A86DEF" w:rsidP="00A86DEF">
      <w:pPr>
        <w:spacing w:line="240" w:lineRule="auto"/>
        <w:ind w:left="851" w:right="822"/>
        <w:rPr>
          <w:rFonts w:eastAsia="Palatino Linotype" w:cs="Palatino Linotype"/>
          <w:i/>
          <w:szCs w:val="22"/>
        </w:rPr>
      </w:pPr>
    </w:p>
    <w:p w14:paraId="1ABD5448" w14:textId="77777777" w:rsidR="00A86DEF" w:rsidRPr="00A50CCF" w:rsidRDefault="00A86DEF" w:rsidP="00065341">
      <w:pPr>
        <w:pStyle w:val="Puesto"/>
        <w:rPr>
          <w:rFonts w:eastAsia="Palatino Linotype"/>
        </w:rPr>
      </w:pPr>
      <w:r w:rsidRPr="00A50CCF">
        <w:rPr>
          <w:rFonts w:eastAsia="Palatino Linotype"/>
        </w:rPr>
        <w:t>I. Analizará el caso y tomará las medidas necesarias para localizar la información;</w:t>
      </w:r>
    </w:p>
    <w:p w14:paraId="6C570A52" w14:textId="77777777" w:rsidR="00A86DEF" w:rsidRPr="00A50CCF" w:rsidRDefault="00A86DEF" w:rsidP="00065341">
      <w:pPr>
        <w:pStyle w:val="Puesto"/>
        <w:rPr>
          <w:rFonts w:eastAsia="Palatino Linotype"/>
        </w:rPr>
      </w:pPr>
    </w:p>
    <w:p w14:paraId="6233E685" w14:textId="77777777" w:rsidR="00A86DEF" w:rsidRPr="00A50CCF" w:rsidRDefault="00A86DEF" w:rsidP="00065341">
      <w:pPr>
        <w:pStyle w:val="Puesto"/>
        <w:rPr>
          <w:rFonts w:eastAsia="Palatino Linotype"/>
        </w:rPr>
      </w:pPr>
      <w:r w:rsidRPr="00A50CCF">
        <w:rPr>
          <w:rFonts w:eastAsia="Palatino Linotype"/>
        </w:rPr>
        <w:t>II. Expedirá una resolución que confirme la inexistencia del documento;</w:t>
      </w:r>
    </w:p>
    <w:p w14:paraId="7C1F6A88" w14:textId="77777777" w:rsidR="00A86DEF" w:rsidRPr="00A50CCF" w:rsidRDefault="00A86DEF" w:rsidP="00065341">
      <w:pPr>
        <w:pStyle w:val="Puesto"/>
        <w:rPr>
          <w:rFonts w:eastAsia="Palatino Linotype"/>
        </w:rPr>
      </w:pPr>
    </w:p>
    <w:p w14:paraId="5C46EB06" w14:textId="77777777" w:rsidR="00A86DEF" w:rsidRPr="00A50CCF" w:rsidRDefault="00A86DEF" w:rsidP="00065341">
      <w:pPr>
        <w:pStyle w:val="Puesto"/>
        <w:rPr>
          <w:rFonts w:eastAsia="Palatino Linotype"/>
        </w:rPr>
      </w:pPr>
      <w:r w:rsidRPr="00A50CCF">
        <w:rPr>
          <w:rFonts w:eastAsia="Palatino Linotype"/>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7B33CB1" w14:textId="77777777" w:rsidR="00A86DEF" w:rsidRPr="00A50CCF" w:rsidRDefault="00A86DEF" w:rsidP="00065341">
      <w:pPr>
        <w:pStyle w:val="Puesto"/>
        <w:rPr>
          <w:rFonts w:eastAsia="Palatino Linotype"/>
        </w:rPr>
      </w:pPr>
    </w:p>
    <w:p w14:paraId="222C2147" w14:textId="77777777" w:rsidR="00A86DEF" w:rsidRPr="00A50CCF" w:rsidRDefault="00A86DEF" w:rsidP="00065341">
      <w:pPr>
        <w:pStyle w:val="Puesto"/>
        <w:rPr>
          <w:rFonts w:eastAsia="Palatino Linotype"/>
          <w:b/>
        </w:rPr>
      </w:pPr>
      <w:r w:rsidRPr="00A50CCF">
        <w:rPr>
          <w:rFonts w:eastAsia="Palatino Linotype"/>
          <w:b/>
        </w:rPr>
        <w:t>IV. Notificará al órgano interno de control o equivalente del sujeto obligado quien, en su caso, deberá iniciar el procedimiento de responsabilidad administrativa que corresponda.</w:t>
      </w:r>
    </w:p>
    <w:p w14:paraId="12056581" w14:textId="77777777" w:rsidR="00A86DEF" w:rsidRPr="00A50CCF" w:rsidRDefault="00A86DEF" w:rsidP="00A86DEF">
      <w:pPr>
        <w:spacing w:line="240" w:lineRule="auto"/>
        <w:ind w:left="851" w:right="822"/>
        <w:rPr>
          <w:rFonts w:eastAsia="Palatino Linotype" w:cs="Palatino Linotype"/>
          <w:i/>
          <w:szCs w:val="22"/>
        </w:rPr>
      </w:pPr>
    </w:p>
    <w:p w14:paraId="7413CEFE" w14:textId="77777777" w:rsidR="00A86DEF" w:rsidRPr="00A50CCF" w:rsidRDefault="00A86DEF" w:rsidP="00065341">
      <w:pPr>
        <w:pStyle w:val="Puesto"/>
        <w:rPr>
          <w:rFonts w:eastAsia="Palatino Linotype"/>
        </w:rPr>
      </w:pPr>
      <w:r w:rsidRPr="00A50CCF">
        <w:rPr>
          <w:rFonts w:eastAsia="Palatino Linotype"/>
        </w:rPr>
        <w:t>La Unidad de Transparencia deberá notificarlo al solicitante por escrito, en un plazo que no exceda de quince días hábiles contados a partir del día siguiente a la presentación de la solicitud.</w:t>
      </w:r>
    </w:p>
    <w:p w14:paraId="36F8CAE7" w14:textId="77777777" w:rsidR="00A86DEF" w:rsidRPr="00A50CCF" w:rsidRDefault="00A86DEF" w:rsidP="00065341">
      <w:pPr>
        <w:pStyle w:val="Puesto"/>
        <w:rPr>
          <w:rFonts w:eastAsia="Palatino Linotype"/>
        </w:rPr>
      </w:pPr>
    </w:p>
    <w:p w14:paraId="018CD7AA" w14:textId="77777777" w:rsidR="00A86DEF" w:rsidRPr="00A50CCF" w:rsidRDefault="00A86DEF" w:rsidP="00065341">
      <w:pPr>
        <w:pStyle w:val="Puesto"/>
        <w:rPr>
          <w:rFonts w:eastAsia="Palatino Linotype"/>
        </w:rPr>
      </w:pPr>
      <w:r w:rsidRPr="00A50CCF">
        <w:rPr>
          <w:rFonts w:eastAsia="Palatino Linotype"/>
        </w:rPr>
        <w:t>Este plazo podrá ampliarse hasta por otros siete días hábiles, siempre que existan razones para ello, debiendo notificarse por escrito al solicitante.</w:t>
      </w:r>
    </w:p>
    <w:p w14:paraId="133A3CC6" w14:textId="77777777" w:rsidR="00A86DEF" w:rsidRPr="00A50CCF" w:rsidRDefault="00A86DEF" w:rsidP="00065341">
      <w:pPr>
        <w:pStyle w:val="Puesto"/>
        <w:rPr>
          <w:rFonts w:eastAsia="Palatino Linotype"/>
        </w:rPr>
      </w:pPr>
    </w:p>
    <w:p w14:paraId="3C3A2B42" w14:textId="77777777" w:rsidR="00A86DEF" w:rsidRPr="00A50CCF" w:rsidRDefault="00A86DEF" w:rsidP="00065341">
      <w:pPr>
        <w:pStyle w:val="Puesto"/>
        <w:rPr>
          <w:rFonts w:eastAsia="Palatino Linotype"/>
        </w:rPr>
      </w:pPr>
      <w:r w:rsidRPr="00A50CCF">
        <w:rPr>
          <w:rFonts w:eastAsia="Palatino Linotype"/>
          <w:b/>
        </w:rPr>
        <w:t>Artículo 170.</w:t>
      </w:r>
      <w:r w:rsidRPr="00A50CCF">
        <w:rPr>
          <w:rFonts w:eastAsia="Palatino Linotype"/>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(Sic)</w:t>
      </w:r>
    </w:p>
    <w:p w14:paraId="1E9A5237" w14:textId="77777777" w:rsidR="00A86DEF" w:rsidRPr="00A50CCF" w:rsidRDefault="00A86DEF" w:rsidP="00A86DEF">
      <w:pPr>
        <w:ind w:left="567" w:right="567"/>
        <w:rPr>
          <w:rFonts w:eastAsia="Palatino Linotype" w:cs="Palatino Linotype"/>
        </w:rPr>
      </w:pPr>
    </w:p>
    <w:p w14:paraId="2150D1DD" w14:textId="77777777" w:rsidR="00A86DEF" w:rsidRPr="00A50CCF" w:rsidRDefault="00A86DEF" w:rsidP="00A86DEF">
      <w:pPr>
        <w:ind w:right="49"/>
        <w:rPr>
          <w:rFonts w:eastAsia="Palatino Linotype" w:cs="Palatino Linotype"/>
        </w:rPr>
      </w:pPr>
      <w:r w:rsidRPr="00A50CCF">
        <w:rPr>
          <w:rFonts w:eastAsia="Palatino Linotype" w:cs="Palatino Linotype"/>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348FC282" w14:textId="77777777" w:rsidR="00A86DEF" w:rsidRPr="00A50CCF" w:rsidRDefault="00A86DEF" w:rsidP="00A86DEF">
      <w:pPr>
        <w:rPr>
          <w:rFonts w:eastAsia="Palatino Linotype" w:cs="Palatino Linotype"/>
        </w:rPr>
      </w:pPr>
    </w:p>
    <w:p w14:paraId="0A25CA0D" w14:textId="77777777" w:rsidR="00A86DEF" w:rsidRPr="00A50CCF" w:rsidRDefault="00A86DEF" w:rsidP="00A86DEF">
      <w:pPr>
        <w:rPr>
          <w:rFonts w:eastAsia="Palatino Linotype" w:cs="Palatino Linotype"/>
        </w:rPr>
      </w:pPr>
      <w:r w:rsidRPr="00A50CCF">
        <w:rPr>
          <w:rFonts w:eastAsia="Palatino Linotype" w:cs="Palatino Linotype"/>
        </w:rPr>
        <w:lastRenderedPageBreak/>
        <w:t xml:space="preserve">En ese contexto, de conformidad con los </w:t>
      </w:r>
      <w:r w:rsidRPr="00A50CCF">
        <w:rPr>
          <w:rFonts w:eastAsia="Palatino Linotype" w:cs="Palatino Linotype"/>
          <w:b/>
        </w:rPr>
        <w:t>criterios 12/10 y 04/19</w:t>
      </w:r>
      <w:r w:rsidRPr="00A50CCF">
        <w:rPr>
          <w:rFonts w:eastAsia="Palatino Linotype" w:cs="Palatino Linotype"/>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66C4F983" w14:textId="77777777" w:rsidR="00A86DEF" w:rsidRPr="00A50CCF" w:rsidRDefault="00A86DEF" w:rsidP="00A86DEF">
      <w:pPr>
        <w:rPr>
          <w:rFonts w:eastAsia="Palatino Linotype" w:cs="Palatino Linotype"/>
        </w:rPr>
      </w:pPr>
    </w:p>
    <w:p w14:paraId="2DA4F78C" w14:textId="77777777" w:rsidR="00A86DEF" w:rsidRPr="00A50CCF" w:rsidRDefault="00A86DEF" w:rsidP="00A86DEF">
      <w:pPr>
        <w:numPr>
          <w:ilvl w:val="0"/>
          <w:numId w:val="22"/>
        </w:numPr>
        <w:spacing w:after="160"/>
        <w:ind w:left="567" w:hanging="283"/>
        <w:rPr>
          <w:rFonts w:eastAsia="Palatino Linotype" w:cs="Palatino Linotype"/>
        </w:rPr>
      </w:pPr>
      <w:r w:rsidRPr="00A50CCF">
        <w:rPr>
          <w:rFonts w:eastAsia="Palatino Linotype" w:cs="Palatino Linotype"/>
        </w:rPr>
        <w:t>Motivación por las que se buscó la información, en determinadas unidades administrativas;</w:t>
      </w:r>
    </w:p>
    <w:p w14:paraId="2CB99159" w14:textId="77777777" w:rsidR="00A86DEF" w:rsidRPr="00A50CCF" w:rsidRDefault="00A86DEF" w:rsidP="00A86DEF">
      <w:pPr>
        <w:numPr>
          <w:ilvl w:val="0"/>
          <w:numId w:val="22"/>
        </w:numPr>
        <w:spacing w:after="160"/>
        <w:ind w:left="567" w:hanging="283"/>
        <w:rPr>
          <w:rFonts w:eastAsia="Palatino Linotype" w:cs="Palatino Linotype"/>
        </w:rPr>
      </w:pPr>
      <w:r w:rsidRPr="00A50CCF">
        <w:rPr>
          <w:rFonts w:eastAsia="Palatino Linotype" w:cs="Palatino Linotype"/>
        </w:rPr>
        <w:t>Los criterios de búsqueda utilizados, y</w:t>
      </w:r>
    </w:p>
    <w:p w14:paraId="6609D4DA" w14:textId="77777777" w:rsidR="00A86DEF" w:rsidRPr="00A50CCF" w:rsidRDefault="00A86DEF" w:rsidP="00A86DEF">
      <w:pPr>
        <w:numPr>
          <w:ilvl w:val="0"/>
          <w:numId w:val="22"/>
        </w:numPr>
        <w:spacing w:after="160"/>
        <w:ind w:left="567" w:hanging="283"/>
        <w:rPr>
          <w:rFonts w:eastAsia="Palatino Linotype" w:cs="Palatino Linotype"/>
        </w:rPr>
      </w:pPr>
      <w:r w:rsidRPr="00A50CCF">
        <w:rPr>
          <w:rFonts w:eastAsia="Palatino Linotype" w:cs="Palatino Linotype"/>
        </w:rPr>
        <w:t>Las circunstancias que fueron tomadas en cuenta.</w:t>
      </w:r>
    </w:p>
    <w:p w14:paraId="2237A103" w14:textId="77777777" w:rsidR="00A86DEF" w:rsidRPr="00A50CCF" w:rsidRDefault="00A86DEF" w:rsidP="00A86DEF">
      <w:pPr>
        <w:pBdr>
          <w:top w:val="nil"/>
          <w:left w:val="nil"/>
          <w:bottom w:val="nil"/>
          <w:right w:val="nil"/>
          <w:between w:val="nil"/>
        </w:pBdr>
      </w:pPr>
    </w:p>
    <w:p w14:paraId="4B28C68F" w14:textId="77777777" w:rsidR="00A86DEF" w:rsidRPr="00A50CCF" w:rsidRDefault="00A86DEF" w:rsidP="00A86DEF">
      <w:pPr>
        <w:spacing w:after="160"/>
        <w:rPr>
          <w:rFonts w:eastAsia="Palatino Linotype" w:cs="Palatino Linotype"/>
        </w:rPr>
      </w:pPr>
      <w:r w:rsidRPr="00A50CCF">
        <w:rPr>
          <w:rFonts w:eastAsia="Palatino Linotype" w:cs="Palatino Linotype"/>
        </w:rPr>
        <w:t>De tales circunstancias, se considera que para que los Sujetos Obligados justifiquen que realizaron una búsqueda exhaustiva y razonable, deben indicar de manera clara, lo siguiente:</w:t>
      </w:r>
    </w:p>
    <w:p w14:paraId="765626F3" w14:textId="77777777" w:rsidR="00A86DEF" w:rsidRPr="00A50CCF" w:rsidRDefault="00A86DEF" w:rsidP="00A86DEF">
      <w:pPr>
        <w:numPr>
          <w:ilvl w:val="0"/>
          <w:numId w:val="21"/>
        </w:numPr>
        <w:spacing w:after="160"/>
        <w:rPr>
          <w:rFonts w:eastAsia="Palatino Linotype" w:cs="Palatino Linotype"/>
        </w:rPr>
      </w:pPr>
      <w:r w:rsidRPr="00A50CCF">
        <w:rPr>
          <w:rFonts w:eastAsia="Palatino Linotype" w:cs="Palatino Linotype"/>
        </w:rPr>
        <w:t>Las áreas donde se buscó la información;</w:t>
      </w:r>
    </w:p>
    <w:p w14:paraId="622131A9" w14:textId="77777777" w:rsidR="00A86DEF" w:rsidRPr="00A50CCF" w:rsidRDefault="00A86DEF" w:rsidP="00A86DEF">
      <w:pPr>
        <w:numPr>
          <w:ilvl w:val="0"/>
          <w:numId w:val="21"/>
        </w:numPr>
        <w:spacing w:after="160"/>
        <w:rPr>
          <w:rFonts w:eastAsia="Palatino Linotype" w:cs="Palatino Linotype"/>
        </w:rPr>
      </w:pPr>
      <w:r w:rsidRPr="00A50CCF">
        <w:rPr>
          <w:rFonts w:eastAsia="Palatino Linotype" w:cs="Palatino Linotype"/>
        </w:rPr>
        <w:t>Tipo de archivos buscados (físicos o electrónicos);</w:t>
      </w:r>
    </w:p>
    <w:p w14:paraId="2E7B0420" w14:textId="77777777" w:rsidR="00A86DEF" w:rsidRPr="00A50CCF" w:rsidRDefault="00A86DEF" w:rsidP="00A86DEF">
      <w:pPr>
        <w:numPr>
          <w:ilvl w:val="0"/>
          <w:numId w:val="21"/>
        </w:numPr>
        <w:spacing w:after="160"/>
        <w:rPr>
          <w:rFonts w:eastAsia="Palatino Linotype" w:cs="Palatino Linotype"/>
        </w:rPr>
      </w:pPr>
      <w:r w:rsidRPr="00A50CCF">
        <w:rPr>
          <w:rFonts w:eastAsia="Palatino Linotype" w:cs="Palatino Linotype"/>
        </w:rPr>
        <w:t xml:space="preserve">Los criterios de búsqueda utilizados, y </w:t>
      </w:r>
    </w:p>
    <w:p w14:paraId="405A1066" w14:textId="77777777" w:rsidR="00A86DEF" w:rsidRPr="00A50CCF" w:rsidRDefault="00A86DEF" w:rsidP="00A86DEF">
      <w:pPr>
        <w:numPr>
          <w:ilvl w:val="0"/>
          <w:numId w:val="21"/>
        </w:numPr>
        <w:spacing w:after="160"/>
        <w:rPr>
          <w:rFonts w:eastAsia="Palatino Linotype" w:cs="Palatino Linotype"/>
        </w:rPr>
      </w:pPr>
      <w:r w:rsidRPr="00A50CCF">
        <w:rPr>
          <w:rFonts w:eastAsia="Palatino Linotype" w:cs="Palatino Linotype"/>
        </w:rPr>
        <w:t>Las circunstancias que fueron tomadas en cuenta.</w:t>
      </w:r>
    </w:p>
    <w:p w14:paraId="35ED7F2C" w14:textId="5D941018" w:rsidR="00A86DEF" w:rsidRPr="00A50CCF" w:rsidRDefault="00A86DEF" w:rsidP="00065341">
      <w:pPr>
        <w:rPr>
          <w:rFonts w:cs="Arial"/>
        </w:rPr>
      </w:pPr>
      <w:r w:rsidRPr="00A50CCF">
        <w:rPr>
          <w:rFonts w:cs="Arial"/>
        </w:rPr>
        <w:t>En consecuencia, para el caso de que no se localicen los documentos que den cuenta de lo que se ordena</w:t>
      </w:r>
      <w:r w:rsidR="00065341" w:rsidRPr="00A50CCF">
        <w:rPr>
          <w:rFonts w:cs="Arial"/>
        </w:rPr>
        <w:t xml:space="preserve"> por haber causado baja documental</w:t>
      </w:r>
      <w:r w:rsidRPr="00A50CCF">
        <w:rPr>
          <w:rFonts w:cs="Arial"/>
        </w:rPr>
        <w:t>, deberá hacerse entrega del acuerdo en el que se declare la inexistencia.</w:t>
      </w:r>
    </w:p>
    <w:p w14:paraId="33B7D70F" w14:textId="77777777" w:rsidR="00065341" w:rsidRPr="00A50CCF" w:rsidRDefault="00065341" w:rsidP="00A86DEF">
      <w:pPr>
        <w:pStyle w:val="Citas"/>
        <w:ind w:left="0" w:right="-2"/>
        <w:rPr>
          <w:rFonts w:eastAsia="Palatino Linotype" w:cs="Palatino Linotype"/>
        </w:rPr>
      </w:pPr>
    </w:p>
    <w:p w14:paraId="6BAE5187" w14:textId="7D8CDEC0" w:rsidR="000772CC" w:rsidRPr="00A50CCF" w:rsidRDefault="000772CC" w:rsidP="000772CC">
      <w:pPr>
        <w:pStyle w:val="Ttulo3"/>
        <w:spacing w:line="360" w:lineRule="auto"/>
      </w:pPr>
      <w:bookmarkStart w:id="32" w:name="_Toc175217733"/>
      <w:r w:rsidRPr="00A50CCF">
        <w:lastRenderedPageBreak/>
        <w:t>d) Versión pública</w:t>
      </w:r>
      <w:bookmarkEnd w:id="32"/>
    </w:p>
    <w:p w14:paraId="000A78FF" w14:textId="20A834C7" w:rsidR="00180310" w:rsidRPr="00A50CCF" w:rsidRDefault="00180310" w:rsidP="00180310">
      <w:pPr>
        <w:rPr>
          <w:rFonts w:eastAsia="Calibri" w:cs="Calibri"/>
          <w:lang w:eastAsia="es-MX"/>
        </w:rPr>
      </w:pPr>
      <w:r w:rsidRPr="00A50CCF">
        <w:rPr>
          <w:rFonts w:cs="Arial"/>
        </w:rPr>
        <w:t xml:space="preserve">En virtud de lo </w:t>
      </w:r>
      <w:r w:rsidR="00D54DE6" w:rsidRPr="00A50CCF">
        <w:rPr>
          <w:rFonts w:cs="Arial"/>
        </w:rPr>
        <w:t>anterior</w:t>
      </w:r>
      <w:r w:rsidRPr="00A50CCF">
        <w:rPr>
          <w:rFonts w:cs="Arial"/>
        </w:rPr>
        <w:t xml:space="preserve">, y en razón de que </w:t>
      </w:r>
      <w:r w:rsidRPr="00A50CCF">
        <w:rPr>
          <w:rFonts w:cs="Arial"/>
          <w:b/>
        </w:rPr>
        <w:t xml:space="preserve">EL SUJETO OBLIGADO </w:t>
      </w:r>
      <w:r w:rsidRPr="00A50CCF">
        <w:rPr>
          <w:rFonts w:cs="Arial"/>
        </w:rPr>
        <w:t xml:space="preserve">genera, posee y administra la información solicitada por </w:t>
      </w:r>
      <w:r w:rsidRPr="00A50CCF">
        <w:rPr>
          <w:rFonts w:cs="Arial"/>
          <w:b/>
        </w:rPr>
        <w:t xml:space="preserve">EL RECURRENTE, </w:t>
      </w:r>
      <w:r w:rsidRPr="00A50CCF">
        <w:rPr>
          <w:rFonts w:cs="Arial"/>
        </w:rPr>
        <w:t xml:space="preserve">es </w:t>
      </w:r>
      <w:r w:rsidRPr="00A50CCF">
        <w:rPr>
          <w:rFonts w:cs="Arial"/>
          <w:bCs/>
        </w:rPr>
        <w:t>dable</w:t>
      </w:r>
      <w:r w:rsidRPr="00A50CCF">
        <w:rPr>
          <w:rFonts w:cs="Arial"/>
        </w:rPr>
        <w:t xml:space="preserve"> ordenar al </w:t>
      </w:r>
      <w:r w:rsidRPr="00A50CCF">
        <w:rPr>
          <w:rFonts w:cs="Arial"/>
          <w:b/>
        </w:rPr>
        <w:t xml:space="preserve">SUJETO OBLIGADO </w:t>
      </w:r>
      <w:r w:rsidRPr="00A50CCF">
        <w:rPr>
          <w:rFonts w:cs="Arial"/>
        </w:rPr>
        <w:t xml:space="preserve">la entrega en </w:t>
      </w:r>
      <w:r w:rsidRPr="00A50CCF">
        <w:rPr>
          <w:rFonts w:cs="Arial"/>
          <w:b/>
        </w:rPr>
        <w:t>versión pública</w:t>
      </w:r>
      <w:r w:rsidRPr="00A50CCF">
        <w:rPr>
          <w:rFonts w:cs="Arial"/>
        </w:rPr>
        <w:t xml:space="preserve">, </w:t>
      </w:r>
      <w:r w:rsidRPr="00A50CCF">
        <w:rPr>
          <w:rFonts w:eastAsia="Arial Unicode MS" w:cs="Arial"/>
        </w:rPr>
        <w:t>esto es, que omitirá, eliminará o suprimirá la información considerada como</w:t>
      </w:r>
      <w:r w:rsidRPr="00A50CCF">
        <w:t xml:space="preserve"> confidencial, cuyo acceso debe ser restringido, los cuales </w:t>
      </w:r>
      <w:r w:rsidRPr="00A50CCF">
        <w:rPr>
          <w:rFonts w:cs="Arial"/>
        </w:rPr>
        <w:t xml:space="preserve">deben testarse al momento de la elaboración de versiones públicas, </w:t>
      </w:r>
      <w:r w:rsidRPr="00A50CCF">
        <w:rPr>
          <w:rFonts w:eastAsia="Calibri" w:cs="Calibri"/>
          <w:lang w:eastAsia="es-MX"/>
        </w:rPr>
        <w:t xml:space="preserve">como es el caso del </w:t>
      </w:r>
      <w:r w:rsidRPr="00A50CCF">
        <w:rPr>
          <w:rFonts w:eastAsia="Calibri" w:cs="Calibri"/>
          <w:b/>
          <w:lang w:eastAsia="es-MX"/>
        </w:rPr>
        <w:t>Registro Federal de Contribuyentes</w:t>
      </w:r>
      <w:r w:rsidRPr="00A50CCF">
        <w:rPr>
          <w:rFonts w:eastAsia="Calibri" w:cs="Calibri"/>
          <w:lang w:eastAsia="es-MX"/>
        </w:rPr>
        <w:t xml:space="preserve"> (RFC), la </w:t>
      </w:r>
      <w:r w:rsidRPr="00A50CCF">
        <w:rPr>
          <w:rFonts w:eastAsia="Calibri" w:cs="Calibri"/>
          <w:b/>
          <w:lang w:eastAsia="es-MX"/>
        </w:rPr>
        <w:t>Clave Única de Registro de Población</w:t>
      </w:r>
      <w:r w:rsidRPr="00A50CCF">
        <w:rPr>
          <w:rFonts w:eastAsia="Calibri" w:cs="Calibri"/>
          <w:lang w:eastAsia="es-MX"/>
        </w:rPr>
        <w:t xml:space="preserve"> (CURP), la </w:t>
      </w:r>
      <w:r w:rsidRPr="00A50CCF">
        <w:rPr>
          <w:rFonts w:eastAsia="Calibri" w:cs="Calibri"/>
          <w:b/>
          <w:lang w:eastAsia="es-MX"/>
        </w:rPr>
        <w:t>Clave de cualquier tipo de seguridad social</w:t>
      </w:r>
      <w:r w:rsidRPr="00A50CCF">
        <w:rPr>
          <w:rFonts w:eastAsia="Calibri" w:cs="Calibri"/>
          <w:lang w:eastAsia="es-MX"/>
        </w:rPr>
        <w:t xml:space="preserve"> (ISSEMYM, u otros), así como, los </w:t>
      </w:r>
      <w:r w:rsidRPr="00A50CCF">
        <w:rPr>
          <w:rFonts w:eastAsia="Calibri" w:cs="Calibri"/>
          <w:b/>
          <w:lang w:eastAsia="es-MX"/>
        </w:rPr>
        <w:t xml:space="preserve">préstamos o descuentos </w:t>
      </w:r>
      <w:r w:rsidRPr="00A50CCF">
        <w:rPr>
          <w:rFonts w:eastAsia="Calibri" w:cs="Calibri"/>
          <w:lang w:eastAsia="es-MX"/>
        </w:rPr>
        <w:t xml:space="preserve">que se le hagan al servidor público, que no se encuentren relacionados con </w:t>
      </w:r>
      <w:r w:rsidRPr="00A50CCF">
        <w:rPr>
          <w:rFonts w:eastAsia="Calibri" w:cs="Calibri"/>
          <w:b/>
          <w:lang w:eastAsia="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A50CCF">
        <w:rPr>
          <w:rFonts w:eastAsia="Calibri" w:cs="Calibri"/>
          <w:lang w:eastAsia="es-MX"/>
        </w:rPr>
        <w:t>, cuando de estos se desprendan o sean visibles datos personales correspondientes a los servidores públicos.</w:t>
      </w:r>
    </w:p>
    <w:p w14:paraId="2CD0803E" w14:textId="77777777" w:rsidR="00180310" w:rsidRPr="00A50CCF" w:rsidRDefault="00180310" w:rsidP="00180310">
      <w:pPr>
        <w:autoSpaceDE w:val="0"/>
        <w:autoSpaceDN w:val="0"/>
        <w:adjustRightInd w:val="0"/>
        <w:rPr>
          <w:rFonts w:eastAsia="Arial Unicode MS" w:cs="Arial"/>
        </w:rPr>
      </w:pPr>
    </w:p>
    <w:p w14:paraId="55D48771" w14:textId="77777777" w:rsidR="00180310" w:rsidRPr="00A50CCF" w:rsidRDefault="00180310" w:rsidP="00180310">
      <w:r w:rsidRPr="00A50CCF">
        <w:rPr>
          <w:rFonts w:cs="Arial"/>
        </w:rPr>
        <w:t xml:space="preserve">Por cuanto hace al </w:t>
      </w:r>
      <w:r w:rsidRPr="00A50CCF">
        <w:rPr>
          <w:rFonts w:cs="Arial"/>
          <w:b/>
        </w:rPr>
        <w:t>Registro Federal de Contribuyentes</w:t>
      </w:r>
      <w:r w:rsidRPr="00A50CCF">
        <w:rPr>
          <w:rFonts w:cs="Arial"/>
        </w:rPr>
        <w:t xml:space="preserve"> </w:t>
      </w:r>
      <w:r w:rsidRPr="00A50CCF">
        <w:rPr>
          <w:rFonts w:cs="Arial"/>
          <w:b/>
        </w:rPr>
        <w:t>de las personas físicas</w:t>
      </w:r>
      <w:r w:rsidRPr="00A50CCF">
        <w:rPr>
          <w:rFonts w:cs="Arial"/>
        </w:rPr>
        <w:t>,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A50CCF">
        <w:t xml:space="preserve"> y finalmente la homoclave; la cual, para su obtención es necesario acreditar personalidad, fecha de nacimiento entre otros con documentos oficiales.</w:t>
      </w:r>
    </w:p>
    <w:p w14:paraId="555CD503" w14:textId="77777777" w:rsidR="00180310" w:rsidRPr="00A50CCF" w:rsidRDefault="00180310" w:rsidP="00180310"/>
    <w:p w14:paraId="6564C18F" w14:textId="77777777" w:rsidR="00180310" w:rsidRPr="00A50CCF" w:rsidRDefault="00180310" w:rsidP="00180310">
      <w:pPr>
        <w:rPr>
          <w:b/>
          <w:bCs/>
        </w:rPr>
      </w:pPr>
      <w:r w:rsidRPr="00A50CCF">
        <w:rPr>
          <w:rFonts w:cs="Arial"/>
        </w:rPr>
        <w:lastRenderedPageBreak/>
        <w:t xml:space="preserve">Al respecto, es aplicable el Criterio 19/17 de la Segunda Época, emitido por </w:t>
      </w:r>
      <w:r w:rsidRPr="00A50CCF">
        <w:rPr>
          <w:rFonts w:eastAsia="Arial Unicode MS" w:cs="Arial"/>
        </w:rPr>
        <w:t xml:space="preserve">el Instituto Nacional de </w:t>
      </w:r>
      <w:r w:rsidRPr="00A50CCF">
        <w:rPr>
          <w:bCs/>
        </w:rPr>
        <w:t>Transparencia</w:t>
      </w:r>
      <w:r w:rsidRPr="00A50CCF">
        <w:rPr>
          <w:rFonts w:eastAsia="Arial Unicode MS" w:cs="Arial"/>
        </w:rPr>
        <w:t xml:space="preserve">, Acceso a la </w:t>
      </w:r>
      <w:r w:rsidRPr="00A50CCF">
        <w:rPr>
          <w:rFonts w:cs="Arial"/>
        </w:rPr>
        <w:t>Información</w:t>
      </w:r>
      <w:r w:rsidRPr="00A50CCF">
        <w:rPr>
          <w:rFonts w:eastAsia="Arial Unicode MS" w:cs="Arial"/>
        </w:rPr>
        <w:t xml:space="preserve"> y Protección de Datos Personales,</w:t>
      </w:r>
      <w:r w:rsidRPr="00A50CCF">
        <w:rPr>
          <w:bCs/>
        </w:rPr>
        <w:t xml:space="preserve"> que dice:</w:t>
      </w:r>
      <w:r w:rsidRPr="00A50CCF">
        <w:rPr>
          <w:b/>
          <w:bCs/>
        </w:rPr>
        <w:t xml:space="preserve"> </w:t>
      </w:r>
    </w:p>
    <w:p w14:paraId="6562733F" w14:textId="77777777" w:rsidR="00180310" w:rsidRPr="00A50CCF" w:rsidRDefault="00180310" w:rsidP="00180310">
      <w:pPr>
        <w:rPr>
          <w:b/>
          <w:bCs/>
        </w:rPr>
      </w:pPr>
    </w:p>
    <w:p w14:paraId="0CEC3219" w14:textId="77777777" w:rsidR="00180310" w:rsidRPr="00A50CCF" w:rsidRDefault="00180310" w:rsidP="00065341">
      <w:pPr>
        <w:pStyle w:val="Puesto"/>
      </w:pPr>
      <w:r w:rsidRPr="00A50CCF">
        <w:t>“</w:t>
      </w:r>
      <w:r w:rsidRPr="00A50CCF">
        <w:rPr>
          <w:b/>
        </w:rPr>
        <w:t xml:space="preserve">Registro Federal de Contribuyentes (RFC) de personas físicas. </w:t>
      </w:r>
      <w:r w:rsidRPr="00A50CCF">
        <w:t>El RFC es una clave de carácter fiscal, única e irrepetible, que permite identificar al titular, su edad y fecha de nacimiento, por lo que es un dato personal de carácter confidencial.” (Sic)</w:t>
      </w:r>
    </w:p>
    <w:p w14:paraId="5C4AA65F" w14:textId="77777777" w:rsidR="00180310" w:rsidRPr="00A50CCF" w:rsidRDefault="00180310" w:rsidP="00065341">
      <w:pPr>
        <w:pStyle w:val="Puesto"/>
      </w:pPr>
      <w:r w:rsidRPr="00A50CCF">
        <w:t>(Énfasis añadido)</w:t>
      </w:r>
    </w:p>
    <w:p w14:paraId="36DD7AAE" w14:textId="77777777" w:rsidR="00180310" w:rsidRPr="00A50CCF" w:rsidRDefault="00180310" w:rsidP="00180310">
      <w:pPr>
        <w:autoSpaceDE w:val="0"/>
        <w:autoSpaceDN w:val="0"/>
        <w:adjustRightInd w:val="0"/>
        <w:ind w:left="851" w:right="902"/>
        <w:rPr>
          <w:rFonts w:cs="Arial"/>
          <w:szCs w:val="22"/>
        </w:rPr>
      </w:pPr>
    </w:p>
    <w:p w14:paraId="69B83BD3" w14:textId="77777777" w:rsidR="00180310" w:rsidRPr="00A50CCF" w:rsidRDefault="00180310" w:rsidP="00180310">
      <w:pPr>
        <w:rPr>
          <w:rFonts w:cs="Arial"/>
        </w:rPr>
      </w:pPr>
      <w:r w:rsidRPr="00A50CCF">
        <w:rPr>
          <w:rFonts w:cs="Arial"/>
        </w:rPr>
        <w:t xml:space="preserve">De lo anterior, se desprende que el Registro Federal de Contribuyentes se vincula al nombre de su </w:t>
      </w:r>
      <w:r w:rsidRPr="00A50CCF">
        <w:rPr>
          <w:bCs/>
        </w:rPr>
        <w:t>titular</w:t>
      </w:r>
      <w:r w:rsidRPr="00A50CCF">
        <w:rPr>
          <w:rFonts w:cs="Arial"/>
        </w:rPr>
        <w:t xml:space="preserve">, permitiendo identificar la edad de la persona y fecha de nacimiento,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w:t>
      </w:r>
      <w:r w:rsidRPr="00A50CCF">
        <w:t>Municipios</w:t>
      </w:r>
      <w:r w:rsidRPr="00A50CCF">
        <w:rPr>
          <w:rFonts w:cs="Arial"/>
        </w:rPr>
        <w:t xml:space="preserve"> y 4, fracción XI de la Ley de Protección de Datos Personales en Posesión de Sujetos Obligados del Estado de México y Municipios.</w:t>
      </w:r>
    </w:p>
    <w:p w14:paraId="5B921546" w14:textId="77777777" w:rsidR="00065341" w:rsidRPr="00A50CCF" w:rsidRDefault="00065341" w:rsidP="00180310">
      <w:pPr>
        <w:rPr>
          <w:rFonts w:cs="Arial"/>
        </w:rPr>
      </w:pPr>
    </w:p>
    <w:p w14:paraId="23E9DDC9" w14:textId="77777777" w:rsidR="00180310" w:rsidRPr="00A50CCF" w:rsidRDefault="00180310" w:rsidP="00180310">
      <w:pPr>
        <w:rPr>
          <w:rFonts w:cs="Arial"/>
        </w:rPr>
      </w:pPr>
      <w:r w:rsidRPr="00A50CCF">
        <w:rPr>
          <w:rFonts w:cs="Arial"/>
        </w:rPr>
        <w:t xml:space="preserve">Por cuanto hace a la </w:t>
      </w:r>
      <w:r w:rsidRPr="00A50CCF">
        <w:rPr>
          <w:rFonts w:cs="Arial"/>
          <w:b/>
        </w:rPr>
        <w:t xml:space="preserve">Clave Única de Registro de Población, </w:t>
      </w:r>
      <w:r w:rsidRPr="00A50CCF">
        <w:rPr>
          <w:rFonts w:cs="Arial"/>
        </w:rPr>
        <w:t xml:space="preserve">constituye un dato personal, ya que </w:t>
      </w:r>
      <w:r w:rsidRPr="00A50CCF">
        <w:t>tiene</w:t>
      </w:r>
      <w:r w:rsidRPr="00A50CCF">
        <w:rPr>
          <w:rFonts w:cs="Arial"/>
        </w:rPr>
        <w:t xml:space="preserve"> como finalidad registrar a cada una de las personas que integran la población del país, con los datos que permitan certificar y acreditar fehacientemente su identidad, la cual servirá para identificarla de manera individual.</w:t>
      </w:r>
    </w:p>
    <w:p w14:paraId="0E46F81F" w14:textId="77777777" w:rsidR="00065341" w:rsidRPr="00A50CCF" w:rsidRDefault="00065341" w:rsidP="00180310">
      <w:pPr>
        <w:rPr>
          <w:rFonts w:cs="Arial"/>
        </w:rPr>
      </w:pPr>
    </w:p>
    <w:p w14:paraId="1439D673" w14:textId="77777777" w:rsidR="00180310" w:rsidRPr="00A50CCF" w:rsidRDefault="00180310" w:rsidP="00180310">
      <w:pPr>
        <w:rPr>
          <w:rFonts w:cs="Arial"/>
        </w:rPr>
      </w:pPr>
      <w:r w:rsidRPr="00A50CCF">
        <w:rPr>
          <w:rFonts w:cs="Arial"/>
        </w:rPr>
        <w:t xml:space="preserve">Lo </w:t>
      </w:r>
      <w:r w:rsidRPr="00A50CCF">
        <w:t>anterior</w:t>
      </w:r>
      <w:r w:rsidRPr="00A50CCF">
        <w:rPr>
          <w:rFonts w:cs="Arial"/>
        </w:rPr>
        <w:t>, tiene sustento en los artículos 86 y 91 de la Ley General de Población, la cual señala lo siguiente:</w:t>
      </w:r>
    </w:p>
    <w:p w14:paraId="09E4A311" w14:textId="77777777" w:rsidR="00180310" w:rsidRPr="00A50CCF" w:rsidRDefault="00180310" w:rsidP="00180310">
      <w:pPr>
        <w:rPr>
          <w:rFonts w:cs="Arial"/>
        </w:rPr>
      </w:pPr>
    </w:p>
    <w:p w14:paraId="235079E0" w14:textId="77777777" w:rsidR="00180310" w:rsidRPr="00A50CCF" w:rsidRDefault="00180310" w:rsidP="00065341">
      <w:pPr>
        <w:pStyle w:val="Puesto"/>
      </w:pPr>
      <w:r w:rsidRPr="00A50CCF">
        <w:rPr>
          <w:rFonts w:cs="Arial,Bold"/>
          <w:bCs/>
        </w:rPr>
        <w:t>“</w:t>
      </w:r>
      <w:r w:rsidRPr="00A50CCF">
        <w:rPr>
          <w:rFonts w:cs="Arial,Bold"/>
          <w:b/>
          <w:bCs/>
        </w:rPr>
        <w:t xml:space="preserve">Artículo 86. </w:t>
      </w:r>
      <w:r w:rsidRPr="00A50CCF">
        <w:t>El Registro Nacional de Población tiene como finalidad registrar a cada una de las personas que integran la población del país, con los datos que permitan certificar y acreditar fehacientemente su identidad.</w:t>
      </w:r>
    </w:p>
    <w:p w14:paraId="616050C7" w14:textId="77777777" w:rsidR="00180310" w:rsidRPr="00A50CCF" w:rsidRDefault="00180310" w:rsidP="00065341">
      <w:pPr>
        <w:pStyle w:val="Puesto"/>
      </w:pPr>
      <w:r w:rsidRPr="00A50CCF">
        <w:rPr>
          <w:rFonts w:cs="Arial,Bold"/>
          <w:b/>
          <w:bCs/>
        </w:rPr>
        <w:lastRenderedPageBreak/>
        <w:t>Artículo 91.</w:t>
      </w:r>
      <w:r w:rsidRPr="00A50CCF">
        <w:rPr>
          <w:rFonts w:cs="Arial,Bold"/>
          <w:bCs/>
        </w:rPr>
        <w:t xml:space="preserve"> </w:t>
      </w:r>
      <w:r w:rsidRPr="00A50CCF">
        <w:t xml:space="preserve">Al incorporar a una persona en el Registro Nacional de Población, se le asignará una clave que se denominará Clave Única de Registro de Población. Esta servirá para registrarla e identificarla en forma individual.” </w:t>
      </w:r>
    </w:p>
    <w:p w14:paraId="4707CA4B" w14:textId="77777777" w:rsidR="00180310" w:rsidRPr="00A50CCF" w:rsidRDefault="00180310" w:rsidP="00065341">
      <w:pPr>
        <w:pStyle w:val="Puesto"/>
      </w:pPr>
      <w:r w:rsidRPr="00A50CCF">
        <w:t>(Énfasis añadido)</w:t>
      </w:r>
    </w:p>
    <w:p w14:paraId="10E87D96" w14:textId="77777777" w:rsidR="00180310" w:rsidRPr="00A50CCF" w:rsidRDefault="00180310" w:rsidP="00180310">
      <w:pPr>
        <w:autoSpaceDE w:val="0"/>
        <w:autoSpaceDN w:val="0"/>
        <w:adjustRightInd w:val="0"/>
        <w:ind w:left="851" w:right="902"/>
        <w:rPr>
          <w:rFonts w:cs="Arial"/>
          <w:szCs w:val="22"/>
        </w:rPr>
      </w:pPr>
    </w:p>
    <w:p w14:paraId="42268AE8" w14:textId="77777777" w:rsidR="00180310" w:rsidRPr="00A50CCF" w:rsidRDefault="00180310" w:rsidP="00180310">
      <w:r w:rsidRPr="00A50CCF">
        <w:t xml:space="preserve">Ahora bien, la Clave Única de Registro de Población, está integrada de 18 elementos representados por letras y números, que se generan a partir de los datos contenidos en un documento probatorio de </w:t>
      </w:r>
      <w:r w:rsidRPr="00A50CCF">
        <w:rPr>
          <w:bCs/>
        </w:rPr>
        <w:t>identidad</w:t>
      </w:r>
      <w:r w:rsidRPr="00A50CCF">
        <w:t xml:space="preserve"> (acta de nacimiento, carta de naturalización o documento migratorio), la </w:t>
      </w:r>
      <w:r w:rsidRPr="00A50CCF">
        <w:rPr>
          <w:rFonts w:cs="Arial"/>
        </w:rPr>
        <w:t>cual</w:t>
      </w:r>
      <w:r w:rsidRPr="00A50CCF">
        <w:t xml:space="preserve"> se integra de</w:t>
      </w:r>
      <w:r w:rsidRPr="00A50CCF">
        <w:rPr>
          <w:rFonts w:cs="Arial"/>
        </w:rPr>
        <w:t xml:space="preserve"> la primera letra del apellido paterno; seguida de la primera letra Vocal del primer apellido; seguida de la primera letra del segundo apellido y por último la primera letra del nombre; fecha de nacimiento año/mes/día</w:t>
      </w:r>
      <w:r w:rsidRPr="00A50CCF">
        <w:t xml:space="preserve">; sexo; Entidad Federativa de nacimiento; consonantes internas del nombre y apellidos; un diferenciador de homonimia y siglo; y un digito verificador, que garantizan la correcta integración. </w:t>
      </w:r>
    </w:p>
    <w:p w14:paraId="02F9EC21" w14:textId="77777777" w:rsidR="00065341" w:rsidRPr="00A50CCF" w:rsidRDefault="00065341" w:rsidP="00180310"/>
    <w:p w14:paraId="64559532" w14:textId="77777777" w:rsidR="00180310" w:rsidRPr="00A50CCF" w:rsidRDefault="00180310" w:rsidP="00180310">
      <w:pPr>
        <w:rPr>
          <w:rFonts w:cs="Arial"/>
        </w:rPr>
      </w:pPr>
      <w:r w:rsidRPr="00A50CCF">
        <w:rPr>
          <w:rFonts w:cs="Arial"/>
        </w:rPr>
        <w:t xml:space="preserve">Al respecto, el </w:t>
      </w:r>
      <w:r w:rsidRPr="00A50CCF">
        <w:rPr>
          <w:rFonts w:eastAsia="Arial Unicode MS" w:cs="Arial"/>
        </w:rPr>
        <w:t>Instituto Nacional de Transparencia, Acceso a la Información y Protección de Datos Personales (INAI),</w:t>
      </w:r>
      <w:r w:rsidRPr="00A50CCF">
        <w:rPr>
          <w:rFonts w:cs="Arial"/>
        </w:rPr>
        <w:t xml:space="preserve"> a través del Criterio 18/17 de la Segunda Época, señala literalmente lo siguiente:</w:t>
      </w:r>
    </w:p>
    <w:p w14:paraId="42497DCC" w14:textId="77777777" w:rsidR="00180310" w:rsidRPr="00A50CCF" w:rsidRDefault="00180310" w:rsidP="00180310">
      <w:pPr>
        <w:rPr>
          <w:rFonts w:cs="Arial"/>
        </w:rPr>
      </w:pPr>
    </w:p>
    <w:p w14:paraId="186BE4C3" w14:textId="77777777" w:rsidR="00180310" w:rsidRPr="00A50CCF" w:rsidRDefault="00180310" w:rsidP="00065341">
      <w:pPr>
        <w:pStyle w:val="Puesto"/>
      </w:pPr>
      <w:r w:rsidRPr="00A50CCF">
        <w:t>“</w:t>
      </w:r>
      <w:r w:rsidRPr="00A50CCF">
        <w:rPr>
          <w:b/>
        </w:rPr>
        <w:t>Clave Única de Registro de Población (CURP).</w:t>
      </w:r>
      <w:r w:rsidRPr="00A50CCF">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7E33C4A8" w14:textId="77777777" w:rsidR="00180310" w:rsidRPr="00A50CCF" w:rsidRDefault="00180310" w:rsidP="00065341">
      <w:pPr>
        <w:pStyle w:val="Puesto"/>
      </w:pPr>
      <w:r w:rsidRPr="00A50CCF">
        <w:t>(Énfasis añadido)</w:t>
      </w:r>
    </w:p>
    <w:p w14:paraId="48E461B0" w14:textId="77777777" w:rsidR="00065341" w:rsidRPr="00A50CCF" w:rsidRDefault="00065341" w:rsidP="007B7D67">
      <w:pPr>
        <w:autoSpaceDE w:val="0"/>
        <w:autoSpaceDN w:val="0"/>
        <w:adjustRightInd w:val="0"/>
        <w:spacing w:line="240" w:lineRule="auto"/>
        <w:ind w:left="851" w:right="822"/>
        <w:rPr>
          <w:rFonts w:cs="Arial"/>
          <w:szCs w:val="22"/>
        </w:rPr>
      </w:pPr>
    </w:p>
    <w:p w14:paraId="2ED55722" w14:textId="77777777" w:rsidR="00180310" w:rsidRPr="00A50CCF" w:rsidRDefault="00180310" w:rsidP="00180310">
      <w:pPr>
        <w:rPr>
          <w:rFonts w:cs="Arial"/>
        </w:rPr>
      </w:pPr>
      <w:r w:rsidRPr="00A50CCF">
        <w:rPr>
          <w:rFonts w:cs="Arial"/>
        </w:rPr>
        <w:t xml:space="preserve">De lo anterior, se desprende que la </w:t>
      </w:r>
      <w:r w:rsidRPr="00A50CCF">
        <w:t xml:space="preserve">Clave Única de Registro de Población, </w:t>
      </w:r>
      <w:r w:rsidRPr="00A50CCF">
        <w:rPr>
          <w:rFonts w:cs="Arial"/>
        </w:rPr>
        <w:t xml:space="preserve">se encuentra vinculada al nombre y apellidos de la persona, permitiendo identificar fecha y lugar de nacimiento, así como el sexo; datos que únicamente le atañen a su titular, por lo que, ésta constituye un dato </w:t>
      </w:r>
      <w:r w:rsidRPr="00A50CCF">
        <w:rPr>
          <w:bCs/>
        </w:rPr>
        <w:t>personal</w:t>
      </w:r>
      <w:r w:rsidRPr="00A50CCF">
        <w:rPr>
          <w:rFonts w:cs="Arial"/>
        </w:rPr>
        <w:t xml:space="preserve"> que concierne a una persona física identificada e identificable en </w:t>
      </w:r>
      <w:r w:rsidRPr="00A50CCF">
        <w:rPr>
          <w:rFonts w:cs="Arial"/>
        </w:rPr>
        <w:lastRenderedPageBreak/>
        <w:t>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97C70F1" w14:textId="77777777" w:rsidR="00180310" w:rsidRPr="00A50CCF" w:rsidRDefault="00180310" w:rsidP="00180310">
      <w:pPr>
        <w:rPr>
          <w:rFonts w:cs="Arial"/>
        </w:rPr>
      </w:pPr>
    </w:p>
    <w:p w14:paraId="4605B33A" w14:textId="77777777" w:rsidR="00180310" w:rsidRPr="00A50CCF" w:rsidRDefault="00180310" w:rsidP="00180310">
      <w:pPr>
        <w:rPr>
          <w:rFonts w:cs="Arial"/>
        </w:rPr>
      </w:pPr>
      <w:r w:rsidRPr="00A50CCF">
        <w:rPr>
          <w:rFonts w:cs="Arial"/>
        </w:rPr>
        <w:t xml:space="preserve">Por cuanto hace a la </w:t>
      </w:r>
      <w:r w:rsidRPr="00A50CCF">
        <w:rPr>
          <w:rFonts w:cs="Arial"/>
          <w:b/>
        </w:rPr>
        <w:t>Clave de cualquier tipo de seguridad social</w:t>
      </w:r>
      <w:r w:rsidRPr="00A50CCF">
        <w:rPr>
          <w:rFonts w:cs="Arial"/>
        </w:rPr>
        <w:t xml:space="preserve"> (ISSEMYM, u otros), está integrado por una </w:t>
      </w:r>
      <w:r w:rsidRPr="00A50CCF">
        <w:rPr>
          <w:rFonts w:cs="Arial"/>
          <w:bCs/>
        </w:rPr>
        <w:t xml:space="preserve">secuencia de números con los que se identifica a los trabajadores que </w:t>
      </w:r>
      <w:r w:rsidRPr="00A50CCF">
        <w:t>cubren</w:t>
      </w:r>
      <w:r w:rsidRPr="00A50CCF">
        <w:rPr>
          <w:rFonts w:cs="Arial"/>
          <w:bCs/>
        </w:rPr>
        <w:t xml:space="preserve"> las cuotas respectivas, asimismo, lo identifica con la fuente de trabajo; por lo que al ser una clave de </w:t>
      </w:r>
      <w:r w:rsidRPr="00A50CCF">
        <w:rPr>
          <w:rFonts w:cs="Arial"/>
        </w:rPr>
        <w:t>identificación</w:t>
      </w:r>
      <w:r w:rsidRPr="00A50CCF">
        <w:rPr>
          <w:rFonts w:cs="Arial"/>
          <w:bCs/>
        </w:rPr>
        <w:t xml:space="preserve"> de los trabajadores, constituye información confidencial, </w:t>
      </w:r>
      <w:r w:rsidRPr="00A50CCF">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3B9A491" w14:textId="77777777" w:rsidR="00180310" w:rsidRPr="00A50CCF" w:rsidRDefault="00180310" w:rsidP="00180310">
      <w:pPr>
        <w:rPr>
          <w:rFonts w:cs="Arial"/>
        </w:rPr>
      </w:pPr>
    </w:p>
    <w:p w14:paraId="63EB291D" w14:textId="77777777" w:rsidR="00180310" w:rsidRPr="00A50CCF" w:rsidRDefault="00180310" w:rsidP="00180310">
      <w:pPr>
        <w:rPr>
          <w:rFonts w:cs="Arial"/>
        </w:rPr>
      </w:pPr>
      <w:r w:rsidRPr="00A50CCF">
        <w:rPr>
          <w:rFonts w:cs="Arial"/>
        </w:rPr>
        <w:t xml:space="preserve">Respecto de los </w:t>
      </w:r>
      <w:r w:rsidRPr="00A50CCF">
        <w:rPr>
          <w:rFonts w:cs="Arial"/>
          <w:b/>
        </w:rPr>
        <w:t>préstamos o descuentos</w:t>
      </w:r>
      <w:r w:rsidRPr="00A50CCF">
        <w:rPr>
          <w:rFonts w:cs="Arial"/>
        </w:rPr>
        <w:t xml:space="preserve"> </w:t>
      </w:r>
      <w:r w:rsidRPr="00A50CCF">
        <w:rPr>
          <w:rFonts w:cs="Arial"/>
          <w:b/>
        </w:rPr>
        <w:t>de carácter personal</w:t>
      </w:r>
      <w:r w:rsidRPr="00A50CCF">
        <w:rPr>
          <w:rFonts w:cs="Arial"/>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w:t>
      </w:r>
      <w:r w:rsidRPr="00A50CCF">
        <w:t xml:space="preserve"> </w:t>
      </w:r>
      <w:r w:rsidRPr="00A50CCF">
        <w:rPr>
          <w:rFonts w:cs="Arial"/>
        </w:rPr>
        <w:t>protección de información confidencial, porque incide en la intimidad de un individuo</w:t>
      </w:r>
      <w:r w:rsidRPr="00A50CCF">
        <w:t xml:space="preserve"> </w:t>
      </w:r>
      <w:r w:rsidRPr="00A50CCF">
        <w:rPr>
          <w:rFonts w:cs="Arial"/>
        </w:rPr>
        <w:t>identificado.</w:t>
      </w:r>
    </w:p>
    <w:p w14:paraId="4F952097" w14:textId="77777777" w:rsidR="00180310" w:rsidRPr="00A50CCF" w:rsidRDefault="00180310" w:rsidP="00180310">
      <w:pPr>
        <w:rPr>
          <w:rFonts w:cs="Arial"/>
        </w:rPr>
      </w:pPr>
    </w:p>
    <w:p w14:paraId="27101FA4" w14:textId="77777777" w:rsidR="00180310" w:rsidRPr="00A50CCF" w:rsidRDefault="00180310" w:rsidP="00180310">
      <w:pPr>
        <w:rPr>
          <w:rFonts w:cs="Arial"/>
        </w:rPr>
      </w:pPr>
      <w:r w:rsidRPr="00A50CCF">
        <w:rPr>
          <w:rFonts w:cs="Arial"/>
        </w:rPr>
        <w:t xml:space="preserve">Por su </w:t>
      </w:r>
      <w:r w:rsidRPr="00A50CCF">
        <w:t>parte</w:t>
      </w:r>
      <w:r w:rsidRPr="00A50CCF">
        <w:rPr>
          <w:rFonts w:cs="Arial"/>
        </w:rPr>
        <w:t>, el artículo 84 de la Ley del Trabajo de los Servidores Públicos del Estado y Municipios, señala:</w:t>
      </w:r>
    </w:p>
    <w:p w14:paraId="309AA7CD" w14:textId="77777777" w:rsidR="00180310" w:rsidRPr="00A50CCF" w:rsidRDefault="00180310" w:rsidP="00180310">
      <w:pPr>
        <w:rPr>
          <w:rFonts w:cs="Arial"/>
        </w:rPr>
      </w:pPr>
    </w:p>
    <w:p w14:paraId="3824396B" w14:textId="77777777" w:rsidR="00180310" w:rsidRPr="00A50CCF" w:rsidRDefault="00180310" w:rsidP="00065341">
      <w:pPr>
        <w:pStyle w:val="Puesto"/>
        <w:rPr>
          <w:noProof/>
        </w:rPr>
      </w:pPr>
      <w:r w:rsidRPr="00A50CCF">
        <w:rPr>
          <w:noProof/>
        </w:rPr>
        <w:t>“</w:t>
      </w:r>
      <w:r w:rsidRPr="00A50CCF">
        <w:rPr>
          <w:b/>
          <w:noProof/>
        </w:rPr>
        <w:t>ARTICULO 84. Sólo podrán hacerse retenciones, descuentos o deducciones al sueldo de los servidores públicos por concepto de:</w:t>
      </w:r>
    </w:p>
    <w:p w14:paraId="60BB7E75" w14:textId="77777777" w:rsidR="00180310" w:rsidRPr="00A50CCF" w:rsidRDefault="00180310" w:rsidP="007B7D67">
      <w:pPr>
        <w:autoSpaceDE w:val="0"/>
        <w:autoSpaceDN w:val="0"/>
        <w:adjustRightInd w:val="0"/>
        <w:spacing w:line="240" w:lineRule="auto"/>
        <w:ind w:left="851" w:right="822"/>
        <w:rPr>
          <w:rFonts w:cs="Arial"/>
          <w:i/>
          <w:szCs w:val="22"/>
        </w:rPr>
      </w:pPr>
      <w:r w:rsidRPr="00A50CCF">
        <w:rPr>
          <w:rFonts w:cs="Arial"/>
          <w:bCs/>
          <w:i/>
          <w:noProof/>
          <w:szCs w:val="22"/>
        </w:rPr>
        <w:t xml:space="preserve">I. </w:t>
      </w:r>
      <w:r w:rsidRPr="00A50CCF">
        <w:rPr>
          <w:rFonts w:cs="Arial"/>
          <w:i/>
          <w:szCs w:val="22"/>
        </w:rPr>
        <w:t>Gravámenes fiscales relacionados con el sueldo;</w:t>
      </w:r>
    </w:p>
    <w:p w14:paraId="13EF3E60" w14:textId="77777777" w:rsidR="00180310" w:rsidRPr="00A50CCF" w:rsidRDefault="00180310" w:rsidP="00065341">
      <w:pPr>
        <w:pStyle w:val="Puesto"/>
      </w:pPr>
      <w:r w:rsidRPr="00A50CCF">
        <w:rPr>
          <w:b/>
        </w:rPr>
        <w:lastRenderedPageBreak/>
        <w:t>II. Deudas contraídas con las instituciones públicas o dependencias</w:t>
      </w:r>
      <w:r w:rsidRPr="00A50CCF">
        <w:t xml:space="preserve"> por concepto de anticipos de sueldo, pagos hechos con exceso, errores o pérdidas debidamente comprobados;</w:t>
      </w:r>
    </w:p>
    <w:p w14:paraId="5C38A39E" w14:textId="77777777" w:rsidR="00180310" w:rsidRPr="00A50CCF" w:rsidRDefault="00180310" w:rsidP="00065341">
      <w:pPr>
        <w:pStyle w:val="Puesto"/>
        <w:rPr>
          <w:b/>
          <w:bCs/>
          <w:noProof/>
        </w:rPr>
      </w:pPr>
      <w:r w:rsidRPr="00A50CCF">
        <w:rPr>
          <w:b/>
        </w:rPr>
        <w:t>III. Cuotas sindicales</w:t>
      </w:r>
      <w:r w:rsidRPr="00A50CCF">
        <w:rPr>
          <w:b/>
          <w:bCs/>
          <w:noProof/>
        </w:rPr>
        <w:t>;</w:t>
      </w:r>
    </w:p>
    <w:p w14:paraId="03E9CDD4" w14:textId="77777777" w:rsidR="00180310" w:rsidRPr="00A50CCF" w:rsidRDefault="00180310" w:rsidP="00065341">
      <w:pPr>
        <w:pStyle w:val="Puesto"/>
        <w:rPr>
          <w:noProof/>
        </w:rPr>
      </w:pPr>
      <w:r w:rsidRPr="00A50CCF">
        <w:rPr>
          <w:noProof/>
        </w:rPr>
        <w:t xml:space="preserve">IV. Cuotas de </w:t>
      </w:r>
      <w:r w:rsidRPr="00A50CCF">
        <w:t>aportación</w:t>
      </w:r>
      <w:r w:rsidRPr="00A50CCF">
        <w:rPr>
          <w:noProof/>
        </w:rPr>
        <w:t xml:space="preserve"> a fondos para la constitución de cooperativas y de cajas de ahorro, </w:t>
      </w:r>
      <w:r w:rsidRPr="00A50CCF">
        <w:t>siempre</w:t>
      </w:r>
      <w:r w:rsidRPr="00A50CCF">
        <w:rPr>
          <w:noProof/>
        </w:rPr>
        <w:t xml:space="preserve"> que el servidor público hubiese manifestado previamente, de manera expresa, su conformidad;</w:t>
      </w:r>
    </w:p>
    <w:p w14:paraId="3B89E0EF" w14:textId="77777777" w:rsidR="00180310" w:rsidRPr="00A50CCF" w:rsidRDefault="00180310" w:rsidP="00065341">
      <w:pPr>
        <w:pStyle w:val="Puesto"/>
        <w:rPr>
          <w:noProof/>
        </w:rPr>
      </w:pPr>
      <w:r w:rsidRPr="00A50CCF">
        <w:rPr>
          <w:noProof/>
        </w:rPr>
        <w:t xml:space="preserve">V. Descuentos ordenados por el Instituto de Seguridad Social del Estado de México y </w:t>
      </w:r>
      <w:r w:rsidRPr="00A50CCF">
        <w:t>Municipios</w:t>
      </w:r>
      <w:r w:rsidRPr="00A50CCF">
        <w:rPr>
          <w:noProof/>
        </w:rPr>
        <w:t>, con motivo de cuotas y obligaciones contraídas con éste por los servidores públicos;</w:t>
      </w:r>
    </w:p>
    <w:p w14:paraId="3386FD07" w14:textId="77777777" w:rsidR="00180310" w:rsidRPr="00A50CCF" w:rsidRDefault="00180310" w:rsidP="00065341">
      <w:pPr>
        <w:pStyle w:val="Puesto"/>
        <w:rPr>
          <w:b/>
          <w:noProof/>
        </w:rPr>
      </w:pPr>
      <w:r w:rsidRPr="00A50CCF">
        <w:rPr>
          <w:b/>
          <w:noProof/>
        </w:rPr>
        <w:t>VI. Obligaciones a cargo del servidor público con las que haya consentido</w:t>
      </w:r>
      <w:r w:rsidRPr="00A50CCF">
        <w:rPr>
          <w:noProof/>
        </w:rPr>
        <w:t>, derivadas de la adquisición o del uso de habitaciones consideradas como de interés social;</w:t>
      </w:r>
    </w:p>
    <w:p w14:paraId="5CA5C4F7" w14:textId="77777777" w:rsidR="00180310" w:rsidRPr="00A50CCF" w:rsidRDefault="00180310" w:rsidP="007B7D67">
      <w:pPr>
        <w:autoSpaceDE w:val="0"/>
        <w:autoSpaceDN w:val="0"/>
        <w:adjustRightInd w:val="0"/>
        <w:spacing w:line="240" w:lineRule="auto"/>
        <w:ind w:left="851" w:right="822"/>
        <w:rPr>
          <w:rFonts w:cs="Arial"/>
          <w:bCs/>
          <w:i/>
          <w:noProof/>
          <w:szCs w:val="22"/>
        </w:rPr>
      </w:pPr>
      <w:r w:rsidRPr="00A50CCF">
        <w:rPr>
          <w:rFonts w:cs="Arial"/>
          <w:bCs/>
          <w:i/>
          <w:noProof/>
          <w:szCs w:val="22"/>
        </w:rPr>
        <w:t xml:space="preserve">VII. Faltas de </w:t>
      </w:r>
      <w:r w:rsidRPr="00A50CCF">
        <w:rPr>
          <w:rFonts w:cs="Arial"/>
          <w:i/>
          <w:szCs w:val="22"/>
        </w:rPr>
        <w:t>puntualidad</w:t>
      </w:r>
      <w:r w:rsidRPr="00A50CCF">
        <w:rPr>
          <w:rFonts w:cs="Arial"/>
          <w:bCs/>
          <w:i/>
          <w:noProof/>
          <w:szCs w:val="22"/>
        </w:rPr>
        <w:t xml:space="preserve"> o </w:t>
      </w:r>
      <w:r w:rsidRPr="00A50CCF">
        <w:rPr>
          <w:rFonts w:cs="Arial"/>
          <w:i/>
          <w:szCs w:val="22"/>
        </w:rPr>
        <w:t>de</w:t>
      </w:r>
      <w:r w:rsidRPr="00A50CCF">
        <w:rPr>
          <w:rFonts w:cs="Arial"/>
          <w:bCs/>
          <w:i/>
          <w:noProof/>
          <w:szCs w:val="22"/>
        </w:rPr>
        <w:t xml:space="preserve"> asistencia injustificadas;</w:t>
      </w:r>
    </w:p>
    <w:p w14:paraId="5E822640" w14:textId="77777777" w:rsidR="00180310" w:rsidRPr="00A50CCF" w:rsidRDefault="00180310" w:rsidP="00065341">
      <w:pPr>
        <w:pStyle w:val="Puesto"/>
        <w:rPr>
          <w:b/>
          <w:noProof/>
        </w:rPr>
      </w:pPr>
      <w:r w:rsidRPr="00A50CCF">
        <w:rPr>
          <w:b/>
          <w:noProof/>
        </w:rPr>
        <w:t>VIII. Pensiones alimenticias ordenadas por la autoridad judicial; o</w:t>
      </w:r>
    </w:p>
    <w:p w14:paraId="42023C04" w14:textId="77777777" w:rsidR="00180310" w:rsidRPr="00A50CCF" w:rsidRDefault="00180310" w:rsidP="00065341">
      <w:pPr>
        <w:pStyle w:val="Puesto"/>
        <w:rPr>
          <w:b/>
          <w:noProof/>
        </w:rPr>
      </w:pPr>
      <w:r w:rsidRPr="00A50CCF">
        <w:rPr>
          <w:b/>
          <w:noProof/>
        </w:rPr>
        <w:t>IX. Cualquier otro convenido con instituciones de servicios y aceptado por el servidor público.</w:t>
      </w:r>
    </w:p>
    <w:p w14:paraId="6AC54C54" w14:textId="77777777" w:rsidR="00180310" w:rsidRPr="00A50CCF" w:rsidRDefault="00180310" w:rsidP="00065341">
      <w:pPr>
        <w:pStyle w:val="Puesto"/>
      </w:pPr>
      <w:r w:rsidRPr="00A50CCF">
        <w:rPr>
          <w:noProof/>
        </w:rPr>
        <w:t xml:space="preserve">El monto total de las retenciones, descuentos o deducciones no podrá exceder del 30% de la remuneración total, </w:t>
      </w:r>
      <w:r w:rsidRPr="00A50CCF">
        <w:t>excepto</w:t>
      </w:r>
      <w:r w:rsidRPr="00A50CCF">
        <w:rPr>
          <w:noProof/>
        </w:rPr>
        <w:t xml:space="preserve">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w:t>
      </w:r>
      <w:r w:rsidRPr="00A50CCF">
        <w:t>ajustará</w:t>
      </w:r>
      <w:r w:rsidRPr="00A50CCF">
        <w:rPr>
          <w:noProof/>
        </w:rPr>
        <w:t xml:space="preserve"> a lo determinado por la autoridad judicial.” </w:t>
      </w:r>
    </w:p>
    <w:p w14:paraId="2E0E1B6B" w14:textId="77777777" w:rsidR="00180310" w:rsidRPr="00A50CCF" w:rsidRDefault="00180310" w:rsidP="00065341">
      <w:pPr>
        <w:pStyle w:val="Puesto"/>
      </w:pPr>
      <w:r w:rsidRPr="00A50CCF">
        <w:t>(Énfasis añadido)</w:t>
      </w:r>
    </w:p>
    <w:p w14:paraId="6E3E96BC" w14:textId="77777777" w:rsidR="00180310" w:rsidRPr="00A50CCF" w:rsidRDefault="00180310" w:rsidP="00180310">
      <w:pPr>
        <w:autoSpaceDE w:val="0"/>
        <w:autoSpaceDN w:val="0"/>
        <w:adjustRightInd w:val="0"/>
        <w:ind w:left="851" w:right="902"/>
        <w:rPr>
          <w:rFonts w:cs="Arial"/>
          <w:szCs w:val="22"/>
        </w:rPr>
      </w:pPr>
    </w:p>
    <w:p w14:paraId="72299358" w14:textId="77777777" w:rsidR="00180310" w:rsidRPr="00A50CCF" w:rsidRDefault="00180310" w:rsidP="00180310">
      <w:pPr>
        <w:rPr>
          <w:rFonts w:cs="Arial"/>
        </w:rPr>
      </w:pPr>
      <w:r w:rsidRPr="00A50CCF">
        <w:rPr>
          <w:rFonts w:cs="Arial"/>
        </w:rPr>
        <w:t xml:space="preserve">Derivado de lo anterior, la ley establece claramente cuáles son esos descuentos o gravámenes que directamente se relacionan con las obligaciones adquiridas como servidores públicos y aquéllos que </w:t>
      </w:r>
      <w:r w:rsidRPr="00A50CCF">
        <w:rPr>
          <w:rFonts w:cs="Arial"/>
          <w:b/>
        </w:rPr>
        <w:t>únicamente inciden en su vida privada</w:t>
      </w:r>
      <w:r w:rsidRPr="00A50CCF">
        <w:rPr>
          <w:rFonts w:cs="Arial"/>
        </w:rPr>
        <w:t>. De este modo, descuentos por pensiones alimenticias o créditos adquiridos con instituciones privadas o públicas pero que fueron contraídas en forma individual, son información que debe clasificarse como confidencial.</w:t>
      </w:r>
    </w:p>
    <w:p w14:paraId="40068A49" w14:textId="77777777" w:rsidR="00180310" w:rsidRPr="00A50CCF" w:rsidRDefault="00180310" w:rsidP="00180310">
      <w:pPr>
        <w:rPr>
          <w:rFonts w:cs="Arial"/>
        </w:rPr>
      </w:pPr>
    </w:p>
    <w:p w14:paraId="55F3DAF9" w14:textId="77777777" w:rsidR="00180310" w:rsidRPr="00A50CCF" w:rsidRDefault="00180310" w:rsidP="00180310">
      <w:pPr>
        <w:rPr>
          <w:rFonts w:eastAsia="Calibri" w:cs="Calibri"/>
          <w:lang w:eastAsia="es-MX"/>
        </w:rPr>
      </w:pPr>
      <w:r w:rsidRPr="00A50CCF">
        <w:rPr>
          <w:rFonts w:eastAsia="Arial Unicode MS" w:cs="Calibri"/>
          <w:lang w:eastAsia="es-MX"/>
        </w:rPr>
        <w:t xml:space="preserve">Por otra parte, </w:t>
      </w:r>
      <w:r w:rsidRPr="00A50CCF">
        <w:rPr>
          <w:rFonts w:eastAsia="Calibri" w:cs="Calibri"/>
          <w:lang w:eastAsia="es-MX"/>
        </w:rPr>
        <w:t xml:space="preserve">las </w:t>
      </w:r>
      <w:r w:rsidRPr="00A50CCF">
        <w:rPr>
          <w:rFonts w:eastAsia="Calibri" w:cs="Calibri"/>
          <w:b/>
          <w:lang w:eastAsia="es-MX"/>
        </w:rPr>
        <w:t xml:space="preserve">Cadenas Originales </w:t>
      </w:r>
      <w:r w:rsidRPr="00A50CCF">
        <w:rPr>
          <w:rFonts w:eastAsia="Calibri" w:cs="Calibri"/>
          <w:lang w:eastAsia="es-MX"/>
        </w:rPr>
        <w:t xml:space="preserve">y </w:t>
      </w:r>
      <w:r w:rsidRPr="00A50CCF">
        <w:rPr>
          <w:rFonts w:eastAsia="Calibri" w:cs="Calibri"/>
          <w:b/>
          <w:lang w:eastAsia="es-MX"/>
        </w:rPr>
        <w:t>Sellos</w:t>
      </w:r>
      <w:r w:rsidRPr="00A50CCF">
        <w:rPr>
          <w:rFonts w:eastAsia="Calibri" w:cs="Calibri"/>
          <w:lang w:eastAsia="es-MX"/>
        </w:rPr>
        <w:t xml:space="preserve"> </w:t>
      </w:r>
      <w:r w:rsidRPr="00A50CCF">
        <w:rPr>
          <w:rFonts w:eastAsia="Calibri" w:cs="Calibri"/>
          <w:b/>
          <w:lang w:eastAsia="es-MX"/>
        </w:rPr>
        <w:t>Digitales</w:t>
      </w:r>
      <w:r w:rsidRPr="00A50CCF">
        <w:rPr>
          <w:rFonts w:eastAsia="Calibri" w:cs="Calibri"/>
          <w:lang w:eastAsia="es-MX"/>
        </w:rPr>
        <w:t xml:space="preserve"> forman parte del certificado de sello digital, los cuales son documentos electrónicos que de conformidad con el artículo 17-G y 29 del Código Fiscal de la Federación le permiten a la autoridad hacendaria federal garantizar </w:t>
      </w:r>
      <w:r w:rsidRPr="00A50CCF">
        <w:rPr>
          <w:rFonts w:eastAsia="Calibri" w:cs="Calibri"/>
          <w:lang w:eastAsia="es-MX"/>
        </w:rPr>
        <w:lastRenderedPageBreak/>
        <w:t xml:space="preserve">una </w:t>
      </w:r>
      <w:r w:rsidRPr="00A50CCF">
        <w:rPr>
          <w:rFonts w:eastAsia="Calibri" w:cs="Calibri"/>
          <w:b/>
          <w:lang w:eastAsia="es-MX"/>
        </w:rPr>
        <w:t xml:space="preserve">vinculación </w:t>
      </w:r>
      <w:r w:rsidRPr="00A50CCF">
        <w:rPr>
          <w:rFonts w:eastAsia="Calibri" w:cs="Calibri"/>
          <w:lang w:eastAsia="es-MX"/>
        </w:rPr>
        <w:t xml:space="preserve">entre la </w:t>
      </w:r>
      <w:r w:rsidRPr="00A50CCF">
        <w:rPr>
          <w:rFonts w:eastAsia="Calibri" w:cs="Calibri"/>
          <w:b/>
          <w:lang w:eastAsia="es-MX"/>
        </w:rPr>
        <w:t>identidad de un sujeto o entidad</w:t>
      </w:r>
      <w:r w:rsidRPr="00A50CCF">
        <w:rPr>
          <w:rFonts w:eastAsia="Calibri" w:cs="Calibri"/>
          <w:lang w:eastAsia="es-MX"/>
        </w:rPr>
        <w:t xml:space="preserve"> con su clave pública, lo que hace identificable a una persona o entidad, además de que dichos certificados tienen como finalidad o propósito específico firmar digitalmente las facturas electrónicas </w:t>
      </w:r>
      <w:r w:rsidRPr="00A50CCF">
        <w:rPr>
          <w:rFonts w:eastAsia="Calibri" w:cs="Calibri"/>
          <w:b/>
          <w:lang w:eastAsia="es-MX"/>
        </w:rPr>
        <w:t>para acreditar la autoría de los comprobantes fiscales digitales</w:t>
      </w:r>
      <w:r w:rsidRPr="00A50CCF">
        <w:rPr>
          <w:rFonts w:eastAsia="Calibri" w:cs="Calibri"/>
          <w:lang w:eastAsia="es-MX"/>
        </w:rPr>
        <w:t>. En ese tenor se transcriben los artículos señalados con antelación para mejor ilustración:</w:t>
      </w:r>
    </w:p>
    <w:p w14:paraId="0724751A" w14:textId="77777777" w:rsidR="00180310" w:rsidRPr="00A50CCF" w:rsidRDefault="00180310" w:rsidP="00180310">
      <w:pPr>
        <w:rPr>
          <w:rFonts w:eastAsia="Calibri" w:cs="Calibri"/>
          <w:lang w:eastAsia="es-MX"/>
        </w:rPr>
      </w:pPr>
    </w:p>
    <w:p w14:paraId="1CAD167A" w14:textId="77777777" w:rsidR="00180310" w:rsidRPr="00A50CCF" w:rsidRDefault="00180310" w:rsidP="00065341">
      <w:pPr>
        <w:pStyle w:val="Puesto"/>
        <w:rPr>
          <w:rFonts w:eastAsia="Calibri"/>
          <w:noProof/>
          <w:lang w:eastAsia="es-MX"/>
        </w:rPr>
      </w:pPr>
      <w:r w:rsidRPr="00A50CCF">
        <w:rPr>
          <w:rFonts w:eastAsia="Calibri"/>
          <w:b/>
          <w:noProof/>
          <w:lang w:eastAsia="es-MX"/>
        </w:rPr>
        <w:t xml:space="preserve">Artículo 17-G.- </w:t>
      </w:r>
      <w:r w:rsidRPr="00A50CCF">
        <w:rPr>
          <w:rFonts w:eastAsia="Calibri"/>
          <w:noProof/>
          <w:lang w:eastAsia="es-MX"/>
        </w:rPr>
        <w:t xml:space="preserve">Los certificados que emita el Servicio de Administración Tributaria para ser considerados válidos deberán contener los datos siguientes: </w:t>
      </w:r>
    </w:p>
    <w:p w14:paraId="37440A5B" w14:textId="77777777" w:rsidR="00180310" w:rsidRPr="00A50CCF" w:rsidRDefault="00180310" w:rsidP="00065341">
      <w:pPr>
        <w:pStyle w:val="Puesto"/>
        <w:rPr>
          <w:rFonts w:eastAsia="Calibri"/>
          <w:noProof/>
          <w:lang w:eastAsia="es-MX"/>
        </w:rPr>
      </w:pPr>
    </w:p>
    <w:p w14:paraId="484E1C33" w14:textId="77777777" w:rsidR="00180310" w:rsidRPr="00A50CCF" w:rsidRDefault="00180310" w:rsidP="00065341">
      <w:pPr>
        <w:pStyle w:val="Puesto"/>
        <w:rPr>
          <w:rFonts w:eastAsia="Calibri"/>
          <w:noProof/>
          <w:lang w:eastAsia="es-MX"/>
        </w:rPr>
      </w:pPr>
      <w:r w:rsidRPr="00A50CCF">
        <w:rPr>
          <w:rFonts w:eastAsia="Calibri"/>
          <w:noProof/>
          <w:lang w:eastAsia="es-MX"/>
        </w:rPr>
        <w:t>I. La mención de que se expiden como tales. Tratándose de certificados de sellos digitales, se deberán especificar las limitantes que tengan para su uso.</w:t>
      </w:r>
    </w:p>
    <w:p w14:paraId="779CB3E1" w14:textId="77777777" w:rsidR="00180310" w:rsidRPr="00A50CCF" w:rsidRDefault="00180310" w:rsidP="00065341">
      <w:pPr>
        <w:pStyle w:val="Puesto"/>
        <w:rPr>
          <w:rFonts w:eastAsia="Calibri"/>
          <w:noProof/>
          <w:lang w:eastAsia="es-MX"/>
        </w:rPr>
      </w:pPr>
    </w:p>
    <w:p w14:paraId="51ADB965" w14:textId="77777777" w:rsidR="00180310" w:rsidRPr="00A50CCF" w:rsidRDefault="00180310" w:rsidP="00065341">
      <w:pPr>
        <w:pStyle w:val="Puesto"/>
        <w:rPr>
          <w:rFonts w:eastAsia="Calibri"/>
          <w:noProof/>
          <w:lang w:eastAsia="es-MX"/>
        </w:rPr>
      </w:pPr>
      <w:r w:rsidRPr="00A50CCF">
        <w:rPr>
          <w:rFonts w:eastAsia="Calibri"/>
          <w:b/>
          <w:noProof/>
          <w:lang w:eastAsia="es-MX"/>
        </w:rPr>
        <w:t>Artículo 29.</w:t>
      </w:r>
      <w:r w:rsidRPr="00A50CCF">
        <w:rPr>
          <w:rFonts w:eastAsia="Calibri"/>
          <w:noProof/>
          <w:lang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10AE3EDF" w14:textId="77777777" w:rsidR="00180310" w:rsidRPr="00A50CCF" w:rsidRDefault="00180310" w:rsidP="002434F8">
      <w:pPr>
        <w:tabs>
          <w:tab w:val="left" w:pos="8222"/>
        </w:tabs>
        <w:spacing w:line="240" w:lineRule="auto"/>
        <w:ind w:left="851" w:right="822"/>
        <w:rPr>
          <w:rFonts w:eastAsia="Calibri" w:cs="Calibri"/>
          <w:i/>
          <w:noProof/>
          <w:lang w:eastAsia="es-MX"/>
        </w:rPr>
      </w:pPr>
    </w:p>
    <w:p w14:paraId="07AEA910" w14:textId="77777777" w:rsidR="00180310" w:rsidRPr="00A50CCF" w:rsidRDefault="00180310" w:rsidP="00065341">
      <w:pPr>
        <w:pStyle w:val="Puesto"/>
        <w:rPr>
          <w:rFonts w:eastAsia="Calibri"/>
          <w:noProof/>
          <w:lang w:eastAsia="es-MX"/>
        </w:rPr>
      </w:pPr>
      <w:r w:rsidRPr="00A50CCF">
        <w:rPr>
          <w:rFonts w:eastAsia="Calibri"/>
          <w:noProof/>
          <w:lang w:eastAsia="es-MX"/>
        </w:rPr>
        <w:t>Los contribuyentes a que se refiere el párrafo anterior deberán cumplir con las obligaciones siguientes:</w:t>
      </w:r>
    </w:p>
    <w:p w14:paraId="52987931" w14:textId="77777777" w:rsidR="00180310" w:rsidRPr="00A50CCF" w:rsidRDefault="00180310" w:rsidP="00065341">
      <w:pPr>
        <w:pStyle w:val="Puesto"/>
        <w:rPr>
          <w:rFonts w:eastAsia="Calibri"/>
          <w:noProof/>
          <w:lang w:eastAsia="es-MX"/>
        </w:rPr>
      </w:pPr>
    </w:p>
    <w:p w14:paraId="3E6E3759" w14:textId="77777777" w:rsidR="00180310" w:rsidRPr="00A50CCF" w:rsidRDefault="00180310" w:rsidP="00065341">
      <w:pPr>
        <w:pStyle w:val="Puesto"/>
        <w:rPr>
          <w:rFonts w:eastAsia="Calibri"/>
          <w:noProof/>
          <w:lang w:eastAsia="es-MX"/>
        </w:rPr>
      </w:pPr>
      <w:r w:rsidRPr="00A50CCF">
        <w:rPr>
          <w:rFonts w:eastAsia="Calibri"/>
          <w:noProof/>
          <w:lang w:eastAsia="es-MX"/>
        </w:rPr>
        <w:t>(…)</w:t>
      </w:r>
    </w:p>
    <w:p w14:paraId="254E366A" w14:textId="77777777" w:rsidR="00180310" w:rsidRPr="00A50CCF" w:rsidRDefault="00180310" w:rsidP="00065341">
      <w:pPr>
        <w:pStyle w:val="Puesto"/>
        <w:rPr>
          <w:rFonts w:eastAsia="Calibri"/>
          <w:noProof/>
          <w:lang w:eastAsia="es-MX"/>
        </w:rPr>
      </w:pPr>
      <w:r w:rsidRPr="00A50CCF">
        <w:rPr>
          <w:rFonts w:eastAsia="Calibri"/>
          <w:noProof/>
          <w:lang w:eastAsia="es-MX"/>
        </w:rPr>
        <w:t>II. Tramitar ante el Servicio de Administración Tributaria el certificado para el uso de los sellos digitales.</w:t>
      </w:r>
    </w:p>
    <w:p w14:paraId="448A3542" w14:textId="77777777" w:rsidR="00180310" w:rsidRPr="00A50CCF" w:rsidRDefault="00180310" w:rsidP="00065341">
      <w:pPr>
        <w:pStyle w:val="Puesto"/>
        <w:rPr>
          <w:rFonts w:eastAsia="Calibri"/>
          <w:noProof/>
          <w:lang w:eastAsia="es-MX"/>
        </w:rPr>
      </w:pPr>
    </w:p>
    <w:p w14:paraId="0529FA06" w14:textId="77777777" w:rsidR="00180310" w:rsidRPr="00A50CCF" w:rsidRDefault="00180310" w:rsidP="00065341">
      <w:pPr>
        <w:pStyle w:val="Puesto"/>
        <w:rPr>
          <w:rFonts w:eastAsia="Calibri"/>
          <w:noProof/>
          <w:lang w:eastAsia="es-MX"/>
        </w:rPr>
      </w:pPr>
      <w:r w:rsidRPr="00A50CCF">
        <w:rPr>
          <w:rFonts w:eastAsia="Calibri"/>
          <w:noProof/>
          <w:lang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0E627F87" w14:textId="77777777" w:rsidR="002434F8" w:rsidRPr="00A50CCF" w:rsidRDefault="002434F8" w:rsidP="00065341">
      <w:pPr>
        <w:pStyle w:val="Puesto"/>
        <w:rPr>
          <w:rFonts w:cs="Arial"/>
        </w:rPr>
      </w:pPr>
    </w:p>
    <w:p w14:paraId="064272F9" w14:textId="55AAA400" w:rsidR="00180310" w:rsidRPr="00A50CCF" w:rsidRDefault="00180310" w:rsidP="00180310">
      <w:pPr>
        <w:rPr>
          <w:rFonts w:eastAsia="Calibri" w:cs="Calibri"/>
          <w:lang w:eastAsia="es-MX"/>
        </w:rPr>
      </w:pPr>
      <w:r w:rsidRPr="00A50CCF">
        <w:rPr>
          <w:rFonts w:cs="Arial"/>
        </w:rPr>
        <w:t xml:space="preserve">En conclusión, las </w:t>
      </w:r>
      <w:r w:rsidRPr="00A50CCF">
        <w:rPr>
          <w:rFonts w:eastAsia="Calibri" w:cs="Calibri"/>
          <w:b/>
          <w:lang w:eastAsia="es-MX"/>
        </w:rPr>
        <w:t xml:space="preserve">Cadenas Originales </w:t>
      </w:r>
      <w:r w:rsidRPr="00A50CCF">
        <w:rPr>
          <w:rFonts w:eastAsia="Calibri" w:cs="Calibri"/>
          <w:lang w:eastAsia="es-MX"/>
        </w:rPr>
        <w:t xml:space="preserve">y </w:t>
      </w:r>
      <w:r w:rsidRPr="00A50CCF">
        <w:rPr>
          <w:rFonts w:eastAsia="Calibri" w:cs="Calibri"/>
          <w:b/>
          <w:lang w:eastAsia="es-MX"/>
        </w:rPr>
        <w:t>Sellos</w:t>
      </w:r>
      <w:r w:rsidRPr="00A50CCF">
        <w:rPr>
          <w:rFonts w:eastAsia="Calibri" w:cs="Calibri"/>
          <w:lang w:eastAsia="es-MX"/>
        </w:rPr>
        <w:t xml:space="preserve"> </w:t>
      </w:r>
      <w:r w:rsidRPr="00A50CCF">
        <w:rPr>
          <w:rFonts w:eastAsia="Calibri" w:cs="Calibri"/>
          <w:b/>
          <w:lang w:eastAsia="es-MX"/>
        </w:rPr>
        <w:t>Digitales</w:t>
      </w:r>
      <w:r w:rsidRPr="00A50CCF">
        <w:rPr>
          <w:rFonts w:eastAsia="Calibri" w:cs="Calibri"/>
          <w:lang w:eastAsia="es-MX"/>
        </w:rPr>
        <w:t xml:space="preserve"> cuando de la secuencia de números y letras, no se advierta un Registro Federal de </w:t>
      </w:r>
      <w:r w:rsidRPr="00A50CCF">
        <w:rPr>
          <w:rFonts w:eastAsia="Calibri" w:cs="Calibri"/>
          <w:b/>
          <w:bCs/>
          <w:lang w:eastAsia="es-MX"/>
        </w:rPr>
        <w:t xml:space="preserve">Contribuyentes o una Clave Única de Registro </w:t>
      </w:r>
      <w:r w:rsidRPr="00A50CCF">
        <w:rPr>
          <w:rFonts w:eastAsia="Calibri" w:cs="Calibri"/>
          <w:b/>
          <w:bCs/>
          <w:lang w:eastAsia="es-MX"/>
        </w:rPr>
        <w:lastRenderedPageBreak/>
        <w:t xml:space="preserve">de Población, que pueda hacer </w:t>
      </w:r>
      <w:r w:rsidRPr="00A50CCF">
        <w:rPr>
          <w:rFonts w:eastAsia="Calibri" w:cs="Calibri"/>
          <w:lang w:eastAsia="es-MX"/>
        </w:rPr>
        <w:t>identificable al titular del dato personal, no puede tenerse como dato personal y, en consecuencia,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w:t>
      </w:r>
      <w:r w:rsidR="002434F8" w:rsidRPr="00A50CCF">
        <w:rPr>
          <w:rFonts w:eastAsia="Calibri" w:cs="Calibri"/>
          <w:lang w:eastAsia="es-MX"/>
        </w:rPr>
        <w:t xml:space="preserve"> </w:t>
      </w:r>
      <w:r w:rsidRPr="00A50CCF">
        <w:rPr>
          <w:rFonts w:eastAsia="Calibri" w:cs="Calibri"/>
          <w:lang w:eastAsia="es-MX"/>
        </w:rPr>
        <w:t xml:space="preserve">sólo son de utilidad de manera directa a la Secretaria de Hacienda y Crédito Público y si bien, dichas cadenas sí derivan de la información personal de los contribuyentes, estas serán susceptibles de clasificarse. </w:t>
      </w:r>
    </w:p>
    <w:p w14:paraId="3E4170B5" w14:textId="77777777" w:rsidR="00180310" w:rsidRPr="00A50CCF" w:rsidRDefault="00180310" w:rsidP="00180310">
      <w:pPr>
        <w:rPr>
          <w:rFonts w:cs="Arial"/>
        </w:rPr>
      </w:pPr>
    </w:p>
    <w:p w14:paraId="6F8D96B5" w14:textId="77777777" w:rsidR="00180310" w:rsidRPr="00A50CCF" w:rsidRDefault="00180310" w:rsidP="00180310">
      <w:pPr>
        <w:rPr>
          <w:rFonts w:cs="Arial"/>
        </w:rPr>
      </w:pPr>
      <w:r w:rsidRPr="00A50CCF">
        <w:rPr>
          <w:rFonts w:cs="Arial"/>
        </w:rPr>
        <w:t xml:space="preserve">Por lo que hace a los </w:t>
      </w:r>
      <w:r w:rsidRPr="00A50CCF">
        <w:rPr>
          <w:rFonts w:cs="Arial"/>
          <w:b/>
        </w:rPr>
        <w:t>Códigos Bidimensionales</w:t>
      </w:r>
      <w:r w:rsidRPr="00A50CCF">
        <w:rPr>
          <w:rFonts w:cs="Arial"/>
        </w:rPr>
        <w:t xml:space="preserve"> y los denominados </w:t>
      </w:r>
      <w:r w:rsidRPr="00A50CCF">
        <w:rPr>
          <w:rFonts w:cs="Arial"/>
          <w:b/>
        </w:rPr>
        <w:t>Códigos QR</w:t>
      </w:r>
      <w:r w:rsidRPr="00A50CCF">
        <w:rPr>
          <w:rFonts w:cs="Arial"/>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pueden obtener los referidos datos, los cuales pueden corresponder a datos personales como </w:t>
      </w:r>
      <w:r w:rsidRPr="00A50CCF">
        <w:rPr>
          <w:rFonts w:cs="Arial"/>
          <w:b/>
        </w:rPr>
        <w:t>Registro Federal de Contribuyentes</w:t>
      </w:r>
      <w:r w:rsidRPr="00A50CCF">
        <w:rPr>
          <w:rFonts w:cs="Arial"/>
        </w:rPr>
        <w:t xml:space="preserve"> (RFC) y la </w:t>
      </w:r>
      <w:r w:rsidRPr="00A50CCF">
        <w:rPr>
          <w:rFonts w:cs="Arial"/>
          <w:b/>
        </w:rPr>
        <w:t>Clave Única de Registro de Población</w:t>
      </w:r>
      <w:r w:rsidRPr="00A50CCF">
        <w:rPr>
          <w:rFonts w:cs="Arial"/>
        </w:rPr>
        <w:t xml:space="preserve"> (CURP).</w:t>
      </w:r>
    </w:p>
    <w:p w14:paraId="632B0A3B" w14:textId="77777777" w:rsidR="00065341" w:rsidRPr="00A50CCF" w:rsidRDefault="00065341" w:rsidP="00180310">
      <w:pPr>
        <w:rPr>
          <w:rFonts w:cs="Arial"/>
        </w:rPr>
      </w:pPr>
    </w:p>
    <w:p w14:paraId="1D27E116" w14:textId="77777777" w:rsidR="000772CC" w:rsidRPr="00A50CCF" w:rsidRDefault="000772CC" w:rsidP="000772CC">
      <w:pPr>
        <w:rPr>
          <w:rFonts w:cs="Arial"/>
        </w:rPr>
      </w:pPr>
      <w:r w:rsidRPr="00A50CCF">
        <w:rPr>
          <w:rFonts w:cs="Arial"/>
        </w:rPr>
        <w:t xml:space="preserve">Por ende, </w:t>
      </w:r>
      <w:r w:rsidRPr="00A50CCF">
        <w:rPr>
          <w:rFonts w:cs="Arial"/>
          <w:b/>
        </w:rPr>
        <w:t>EL SUJETO OBLIGADO</w:t>
      </w:r>
      <w:r w:rsidRPr="00A50CCF">
        <w:rPr>
          <w:rFonts w:cs="Arial"/>
        </w:rPr>
        <w:t xml:space="preserve"> debe testar los datos confidenciales, sin pasar por alto que la clasificación respectiva tiene que cumplirse a través de la forma y formalidades que la Ley impone; es decir, mediante Acuerdo debidamente fundado y motivado, en </w:t>
      </w:r>
      <w:r w:rsidRPr="00A50CCF">
        <w:rPr>
          <w:rFonts w:cs="Arial"/>
          <w:noProof/>
        </w:rPr>
        <w:t>términos</w:t>
      </w:r>
      <w:r w:rsidRPr="00A50CCF">
        <w:rPr>
          <w:rFonts w:cs="Arial"/>
        </w:rPr>
        <w:t xml:space="preserve"> de los numerales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DF2BE45" w14:textId="77777777" w:rsidR="000772CC" w:rsidRPr="00A50CCF" w:rsidRDefault="000772CC" w:rsidP="000772CC">
      <w:pPr>
        <w:rPr>
          <w:rFonts w:cs="Arial"/>
        </w:rPr>
      </w:pPr>
    </w:p>
    <w:p w14:paraId="047A162A" w14:textId="452EC1CC" w:rsidR="000772CC" w:rsidRPr="00A50CCF" w:rsidRDefault="00065341" w:rsidP="00065341">
      <w:pPr>
        <w:pStyle w:val="Puesto"/>
        <w:jc w:val="center"/>
        <w:rPr>
          <w:b/>
        </w:rPr>
      </w:pPr>
      <w:r w:rsidRPr="00A50CCF">
        <w:rPr>
          <w:b/>
        </w:rPr>
        <w:lastRenderedPageBreak/>
        <w:t>LEY DE TRANSPARENCIA Y ACCESO A LA INFORMACIÓN PÚBLICA DEL ESTADO DE MÉXICO Y MUNICIPIOS</w:t>
      </w:r>
    </w:p>
    <w:p w14:paraId="5AB10C78" w14:textId="77777777" w:rsidR="000772CC" w:rsidRPr="00A50CCF" w:rsidRDefault="000772CC" w:rsidP="000772CC">
      <w:pPr>
        <w:spacing w:line="240" w:lineRule="auto"/>
        <w:ind w:left="851" w:right="822"/>
        <w:jc w:val="center"/>
        <w:rPr>
          <w:rFonts w:cs="Arial"/>
          <w:b/>
          <w:i/>
          <w:szCs w:val="22"/>
        </w:rPr>
      </w:pPr>
    </w:p>
    <w:p w14:paraId="55382ECF" w14:textId="77777777" w:rsidR="000772CC" w:rsidRPr="00A50CCF" w:rsidRDefault="000772CC" w:rsidP="00065341">
      <w:pPr>
        <w:pStyle w:val="Puesto"/>
      </w:pPr>
      <w:r w:rsidRPr="00A50CCF">
        <w:t>“</w:t>
      </w:r>
      <w:r w:rsidRPr="00A50CCF">
        <w:rPr>
          <w:b/>
        </w:rPr>
        <w:t xml:space="preserve">Artículo 49. </w:t>
      </w:r>
      <w:r w:rsidRPr="00A50CCF">
        <w:t>Los Comités de Transparencia tendrán las siguientes atribuciones:</w:t>
      </w:r>
    </w:p>
    <w:p w14:paraId="6768A585" w14:textId="77777777" w:rsidR="000772CC" w:rsidRPr="00A50CCF" w:rsidRDefault="000772CC" w:rsidP="00065341">
      <w:pPr>
        <w:pStyle w:val="Puesto"/>
      </w:pPr>
      <w:r w:rsidRPr="00A50CCF">
        <w:rPr>
          <w:b/>
        </w:rPr>
        <w:t>VIII.</w:t>
      </w:r>
      <w:r w:rsidRPr="00A50CCF">
        <w:t xml:space="preserve"> </w:t>
      </w:r>
      <w:r w:rsidRPr="00A50CCF">
        <w:rPr>
          <w:b/>
        </w:rPr>
        <w:t>Aprobar</w:t>
      </w:r>
      <w:r w:rsidRPr="00A50CCF">
        <w:t>, modificar o revocar la clasificación de la información;</w:t>
      </w:r>
    </w:p>
    <w:p w14:paraId="34A2D5DB" w14:textId="77777777" w:rsidR="000772CC" w:rsidRPr="00A50CCF" w:rsidRDefault="000772CC" w:rsidP="000772CC">
      <w:pPr>
        <w:autoSpaceDE w:val="0"/>
        <w:autoSpaceDN w:val="0"/>
        <w:adjustRightInd w:val="0"/>
        <w:spacing w:line="240" w:lineRule="auto"/>
        <w:ind w:left="851" w:right="822"/>
        <w:rPr>
          <w:rFonts w:cs="Arial"/>
          <w:i/>
          <w:szCs w:val="22"/>
        </w:rPr>
      </w:pPr>
    </w:p>
    <w:p w14:paraId="65F2F3AB" w14:textId="77777777" w:rsidR="000772CC" w:rsidRPr="00A50CCF" w:rsidRDefault="000772CC" w:rsidP="00065341">
      <w:pPr>
        <w:pStyle w:val="Puesto"/>
        <w:rPr>
          <w:b/>
        </w:rPr>
      </w:pPr>
      <w:r w:rsidRPr="00A50CCF">
        <w:rPr>
          <w:b/>
        </w:rPr>
        <w:t>Artículo 132. La clasificación de la información se llevará a cabo en el momento en que:</w:t>
      </w:r>
    </w:p>
    <w:p w14:paraId="347AE168" w14:textId="77777777" w:rsidR="000772CC" w:rsidRPr="00A50CCF" w:rsidRDefault="000772CC" w:rsidP="00065341">
      <w:pPr>
        <w:pStyle w:val="Puesto"/>
      </w:pPr>
      <w:r w:rsidRPr="00A50CCF">
        <w:t>…</w:t>
      </w:r>
    </w:p>
    <w:p w14:paraId="6926170A" w14:textId="77777777" w:rsidR="000772CC" w:rsidRPr="00A50CCF" w:rsidRDefault="000772CC" w:rsidP="00065341">
      <w:pPr>
        <w:pStyle w:val="Puesto"/>
      </w:pPr>
      <w:r w:rsidRPr="00A50CCF">
        <w:rPr>
          <w:b/>
        </w:rPr>
        <w:t>II.</w:t>
      </w:r>
      <w:r w:rsidRPr="00A50CCF">
        <w:t xml:space="preserve"> Se determine mediante resolución de autoridad competente; o</w:t>
      </w:r>
    </w:p>
    <w:p w14:paraId="754EC6AD" w14:textId="77777777" w:rsidR="000772CC" w:rsidRPr="00A50CCF" w:rsidRDefault="000772CC" w:rsidP="00065341">
      <w:pPr>
        <w:pStyle w:val="Puesto"/>
      </w:pPr>
      <w:r w:rsidRPr="00A50CCF">
        <w:rPr>
          <w:b/>
        </w:rPr>
        <w:t>III</w:t>
      </w:r>
      <w:r w:rsidRPr="00A50CCF">
        <w:t xml:space="preserve">. </w:t>
      </w:r>
      <w:r w:rsidRPr="00A50CCF">
        <w:rPr>
          <w:b/>
        </w:rPr>
        <w:t>Se generen versiones públicas para dar cumplimiento a las obligaciones de transparencia previstas en esta Ley</w:t>
      </w:r>
      <w:r w:rsidRPr="00A50CCF">
        <w:t>.”</w:t>
      </w:r>
    </w:p>
    <w:p w14:paraId="6A28D833" w14:textId="77777777" w:rsidR="000772CC" w:rsidRPr="00A50CCF" w:rsidRDefault="000772CC" w:rsidP="000772CC">
      <w:pPr>
        <w:autoSpaceDE w:val="0"/>
        <w:autoSpaceDN w:val="0"/>
        <w:adjustRightInd w:val="0"/>
        <w:spacing w:line="240" w:lineRule="auto"/>
        <w:ind w:left="851" w:right="822"/>
        <w:rPr>
          <w:rFonts w:cs="Arial"/>
          <w:i/>
          <w:szCs w:val="22"/>
        </w:rPr>
      </w:pPr>
    </w:p>
    <w:p w14:paraId="3BFB1862" w14:textId="77777777" w:rsidR="000772CC" w:rsidRPr="00A50CCF" w:rsidRDefault="000772CC" w:rsidP="00065341">
      <w:pPr>
        <w:pStyle w:val="Puesto"/>
        <w:jc w:val="center"/>
        <w:rPr>
          <w:b/>
        </w:rPr>
      </w:pPr>
      <w:r w:rsidRPr="00A50CCF">
        <w:rPr>
          <w:b/>
        </w:rPr>
        <w:t>Lineamientos Generales en materia de Clasificación y Desclasificación de la Información</w:t>
      </w:r>
    </w:p>
    <w:p w14:paraId="2AE34B1C" w14:textId="77777777" w:rsidR="000772CC" w:rsidRPr="00A50CCF" w:rsidRDefault="000772CC" w:rsidP="000772CC">
      <w:pPr>
        <w:spacing w:line="240" w:lineRule="auto"/>
        <w:ind w:left="851" w:right="822"/>
        <w:jc w:val="center"/>
        <w:rPr>
          <w:rFonts w:cs="Arial"/>
          <w:b/>
          <w:i/>
          <w:szCs w:val="22"/>
        </w:rPr>
      </w:pPr>
    </w:p>
    <w:p w14:paraId="6CC52D0A" w14:textId="77777777" w:rsidR="000772CC" w:rsidRPr="00A50CCF" w:rsidRDefault="000772CC" w:rsidP="00065341">
      <w:pPr>
        <w:pStyle w:val="Puesto"/>
      </w:pPr>
      <w:r w:rsidRPr="00A50CCF">
        <w:rPr>
          <w:b/>
        </w:rPr>
        <w:t>“Segundo.-</w:t>
      </w:r>
      <w:r w:rsidRPr="00A50CCF">
        <w:t xml:space="preserve"> Para efectos de los presentes Lineamientos Generales, se entenderá por:</w:t>
      </w:r>
    </w:p>
    <w:p w14:paraId="635DB77D" w14:textId="77777777" w:rsidR="000772CC" w:rsidRPr="00A50CCF" w:rsidRDefault="000772CC" w:rsidP="00065341">
      <w:pPr>
        <w:pStyle w:val="Puesto"/>
      </w:pPr>
      <w:r w:rsidRPr="00A50CCF">
        <w:rPr>
          <w:b/>
        </w:rPr>
        <w:t>XVIII.</w:t>
      </w:r>
      <w:r w:rsidRPr="00A50CCF">
        <w:t xml:space="preserve">  </w:t>
      </w:r>
      <w:r w:rsidRPr="00A50CCF">
        <w:rPr>
          <w:b/>
        </w:rPr>
        <w:t>Versión pública:</w:t>
      </w:r>
      <w:r w:rsidRPr="00A50CC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D55351E" w14:textId="77777777" w:rsidR="000772CC" w:rsidRPr="00A50CCF" w:rsidRDefault="000772CC" w:rsidP="00065341">
      <w:pPr>
        <w:pStyle w:val="Puesto"/>
      </w:pPr>
      <w:r w:rsidRPr="00A50CCF">
        <w:rPr>
          <w:b/>
        </w:rPr>
        <w:t>Cuarto.</w:t>
      </w:r>
      <w:r w:rsidRPr="00A50CC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8E3794B" w14:textId="77777777" w:rsidR="000772CC" w:rsidRPr="00A50CCF" w:rsidRDefault="000772CC" w:rsidP="00065341">
      <w:pPr>
        <w:pStyle w:val="Puesto"/>
      </w:pPr>
      <w:r w:rsidRPr="00A50CCF">
        <w:t>Los sujetos obligados deberán aplicar, de manera estricta, las excepciones al derecho de acceso a la información y sólo podrán invocarlas cuando acrediten su procedencia.</w:t>
      </w:r>
    </w:p>
    <w:p w14:paraId="79B11154" w14:textId="77777777" w:rsidR="000772CC" w:rsidRPr="00A50CCF" w:rsidRDefault="000772CC" w:rsidP="00065341">
      <w:pPr>
        <w:pStyle w:val="Puesto"/>
      </w:pPr>
      <w:r w:rsidRPr="00A50CCF">
        <w:rPr>
          <w:b/>
        </w:rPr>
        <w:t>Quinto.</w:t>
      </w:r>
      <w:r w:rsidRPr="00A50CC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8F2B09D" w14:textId="77777777" w:rsidR="000772CC" w:rsidRPr="00A50CCF" w:rsidRDefault="000772CC" w:rsidP="00065341">
      <w:pPr>
        <w:pStyle w:val="Puesto"/>
      </w:pPr>
      <w:r w:rsidRPr="00A50CCF">
        <w:rPr>
          <w:b/>
        </w:rPr>
        <w:t>Sexto.</w:t>
      </w:r>
      <w:r w:rsidRPr="00A50CCF">
        <w:t xml:space="preserve"> Se deroga.</w:t>
      </w:r>
    </w:p>
    <w:p w14:paraId="316E3C7F" w14:textId="77777777" w:rsidR="000772CC" w:rsidRPr="00A50CCF" w:rsidRDefault="000772CC" w:rsidP="00065341">
      <w:pPr>
        <w:pStyle w:val="Puesto"/>
      </w:pPr>
      <w:r w:rsidRPr="00A50CCF">
        <w:rPr>
          <w:b/>
        </w:rPr>
        <w:t>Séptimo.</w:t>
      </w:r>
      <w:r w:rsidRPr="00A50CCF">
        <w:t xml:space="preserve"> La clasificación de la información se llevará a cabo en el momento en que:</w:t>
      </w:r>
    </w:p>
    <w:p w14:paraId="6D139639" w14:textId="77777777" w:rsidR="000772CC" w:rsidRPr="00A50CCF" w:rsidRDefault="000772CC" w:rsidP="00065341">
      <w:pPr>
        <w:pStyle w:val="Puesto"/>
      </w:pPr>
      <w:r w:rsidRPr="00A50CCF">
        <w:rPr>
          <w:b/>
        </w:rPr>
        <w:t>I.</w:t>
      </w:r>
      <w:r w:rsidRPr="00A50CCF">
        <w:t xml:space="preserve">        Se reciba una solicitud de acceso a la información;</w:t>
      </w:r>
    </w:p>
    <w:p w14:paraId="2376EA7E" w14:textId="77777777" w:rsidR="000772CC" w:rsidRPr="00A50CCF" w:rsidRDefault="000772CC" w:rsidP="00065341">
      <w:pPr>
        <w:pStyle w:val="Puesto"/>
      </w:pPr>
      <w:r w:rsidRPr="00A50CCF">
        <w:rPr>
          <w:b/>
        </w:rPr>
        <w:lastRenderedPageBreak/>
        <w:t>II.</w:t>
      </w:r>
      <w:r w:rsidRPr="00A50CCF">
        <w:t xml:space="preserve">       Se determine mediante resolución del Comité de Transparencia, el órgano garante competente, o en cumplimiento a una sentencia del Poder Judicial; o</w:t>
      </w:r>
    </w:p>
    <w:p w14:paraId="240E98E6" w14:textId="77777777" w:rsidR="000772CC" w:rsidRPr="00A50CCF" w:rsidRDefault="000772CC" w:rsidP="00065341">
      <w:pPr>
        <w:pStyle w:val="Puesto"/>
      </w:pPr>
      <w:r w:rsidRPr="00A50CCF">
        <w:rPr>
          <w:b/>
        </w:rPr>
        <w:t>III.</w:t>
      </w:r>
      <w:r w:rsidRPr="00A50CCF">
        <w:t xml:space="preserve">      Se generen versiones públicas para dar cumplimiento a las obligaciones de transparencia previstas en la Ley General, la Ley Federal y las correspondientes de las entidades federativas.</w:t>
      </w:r>
    </w:p>
    <w:p w14:paraId="5F0C8113" w14:textId="77777777" w:rsidR="000772CC" w:rsidRPr="00A50CCF" w:rsidRDefault="000772CC" w:rsidP="00065341">
      <w:pPr>
        <w:pStyle w:val="Puesto"/>
      </w:pPr>
      <w:r w:rsidRPr="00A50CCF">
        <w:t xml:space="preserve">Los titulares de las áreas deberán revisar la información requerida al momento de la recepción de una solicitud de acceso, para verificar, conforme a su naturaleza, si encuadra en una causal de reserva o de confidencialidad. </w:t>
      </w:r>
    </w:p>
    <w:p w14:paraId="7DC0A7B7" w14:textId="77777777" w:rsidR="000772CC" w:rsidRPr="00A50CCF" w:rsidRDefault="000772CC" w:rsidP="00065341">
      <w:pPr>
        <w:pStyle w:val="Puesto"/>
      </w:pPr>
      <w:r w:rsidRPr="00A50CCF">
        <w:rPr>
          <w:b/>
        </w:rPr>
        <w:t>Octavo.</w:t>
      </w:r>
      <w:r w:rsidRPr="00A50CC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2EF144F" w14:textId="77777777" w:rsidR="000772CC" w:rsidRPr="00A50CCF" w:rsidRDefault="000772CC" w:rsidP="00065341">
      <w:pPr>
        <w:pStyle w:val="Puesto"/>
      </w:pPr>
      <w:r w:rsidRPr="00A50CCF">
        <w:t>Para motivar la clasificación se deberán señalar las razones o circunstancias especiales que lo llevaron a concluir que el caso particular se ajusta al supuesto previsto por la norma legal invocada como fundamento.</w:t>
      </w:r>
    </w:p>
    <w:p w14:paraId="08EB0C38" w14:textId="77777777" w:rsidR="000772CC" w:rsidRPr="00A50CCF" w:rsidRDefault="000772CC" w:rsidP="00065341">
      <w:pPr>
        <w:pStyle w:val="Puesto"/>
      </w:pPr>
      <w:r w:rsidRPr="00A50CC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C407AF0" w14:textId="77777777" w:rsidR="000772CC" w:rsidRPr="00A50CCF" w:rsidRDefault="000772CC" w:rsidP="00065341">
      <w:pPr>
        <w:pStyle w:val="Puesto"/>
      </w:pPr>
      <w:r w:rsidRPr="00A50CCF">
        <w:rPr>
          <w:b/>
        </w:rPr>
        <w:t>Noveno.</w:t>
      </w:r>
      <w:r w:rsidRPr="00A50CC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0B924AE" w14:textId="77777777" w:rsidR="000772CC" w:rsidRPr="00A50CCF" w:rsidRDefault="000772CC" w:rsidP="00065341">
      <w:pPr>
        <w:pStyle w:val="Puesto"/>
      </w:pPr>
      <w:r w:rsidRPr="00A50CCF">
        <w:rPr>
          <w:b/>
        </w:rPr>
        <w:t>Décimo.</w:t>
      </w:r>
      <w:r w:rsidRPr="00A50CC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9C0D25F" w14:textId="77777777" w:rsidR="000772CC" w:rsidRPr="00A50CCF" w:rsidRDefault="000772CC" w:rsidP="00065341">
      <w:pPr>
        <w:pStyle w:val="Puesto"/>
      </w:pPr>
      <w:r w:rsidRPr="00A50CCF">
        <w:t>En ausencia de los titulares de las áreas, la información será clasificada o desclasificada por la persona que lo supla, en términos de la normativa que rija la actuación del sujeto obligado.</w:t>
      </w:r>
    </w:p>
    <w:p w14:paraId="655351F6" w14:textId="77777777" w:rsidR="000772CC" w:rsidRPr="00A50CCF" w:rsidRDefault="000772CC" w:rsidP="00065341">
      <w:pPr>
        <w:pStyle w:val="Puesto"/>
        <w:rPr>
          <w:b/>
        </w:rPr>
      </w:pPr>
      <w:r w:rsidRPr="00A50CCF">
        <w:rPr>
          <w:b/>
        </w:rPr>
        <w:t>Décimo primero.</w:t>
      </w:r>
      <w:r w:rsidRPr="00A50CC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50CCF">
        <w:rPr>
          <w:b/>
        </w:rPr>
        <w:t>”</w:t>
      </w:r>
    </w:p>
    <w:p w14:paraId="487C4733" w14:textId="77777777" w:rsidR="000772CC" w:rsidRPr="00A50CCF" w:rsidRDefault="000772CC" w:rsidP="00065341">
      <w:pPr>
        <w:pStyle w:val="Puesto"/>
      </w:pPr>
      <w:r w:rsidRPr="00A50CCF">
        <w:t>(Énfasis Añadido)</w:t>
      </w:r>
    </w:p>
    <w:p w14:paraId="62C43A87" w14:textId="77777777" w:rsidR="000772CC" w:rsidRPr="00A50CCF" w:rsidRDefault="000772CC" w:rsidP="000772CC">
      <w:pPr>
        <w:ind w:left="851" w:right="902"/>
        <w:rPr>
          <w:rFonts w:cs="Arial"/>
          <w:szCs w:val="22"/>
        </w:rPr>
      </w:pPr>
    </w:p>
    <w:p w14:paraId="1D06466E" w14:textId="77777777" w:rsidR="000772CC" w:rsidRPr="00A50CCF" w:rsidRDefault="000772CC" w:rsidP="000772CC">
      <w:pPr>
        <w:rPr>
          <w:rFonts w:cs="Arial"/>
        </w:rPr>
      </w:pPr>
      <w:r w:rsidRPr="00A50CCF">
        <w:rPr>
          <w:rFonts w:cs="Arial"/>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C8A755" w14:textId="77777777" w:rsidR="000772CC" w:rsidRPr="00A50CCF" w:rsidRDefault="000772CC" w:rsidP="000772CC">
      <w:pPr>
        <w:ind w:right="-93"/>
        <w:rPr>
          <w:rFonts w:cs="Arial"/>
        </w:rPr>
      </w:pPr>
    </w:p>
    <w:p w14:paraId="70C81249" w14:textId="69490814" w:rsidR="000772CC" w:rsidRPr="00A50CCF" w:rsidRDefault="000772CC" w:rsidP="000772CC">
      <w:pPr>
        <w:autoSpaceDE w:val="0"/>
        <w:autoSpaceDN w:val="0"/>
        <w:adjustRightInd w:val="0"/>
        <w:ind w:right="-91"/>
        <w:rPr>
          <w:rFonts w:cs="Arial"/>
          <w:lang w:eastAsia="es-CO"/>
        </w:rPr>
      </w:pPr>
      <w:r w:rsidRPr="00A50CCF">
        <w:rPr>
          <w:rFonts w:cs="Arial"/>
        </w:rPr>
        <w:t xml:space="preserve">Consecuentemente, se destaca que la versión pública que elabore </w:t>
      </w:r>
      <w:r w:rsidRPr="00A50CCF">
        <w:rPr>
          <w:rFonts w:cs="Arial"/>
          <w:b/>
        </w:rPr>
        <w:t>EL SUJETO OBLIGADO</w:t>
      </w:r>
      <w:r w:rsidRPr="00A50CCF">
        <w:rPr>
          <w:rFonts w:cs="Arial"/>
        </w:rPr>
        <w:t xml:space="preserve"> debe cumplir con las formalidades exigidas en la Ley, por lo que para tal efecto emitirá el </w:t>
      </w:r>
      <w:r w:rsidRPr="00A50CCF">
        <w:rPr>
          <w:rFonts w:cs="Arial"/>
          <w:b/>
        </w:rPr>
        <w:t>Acuerdo del Comité de Transparencia</w:t>
      </w:r>
      <w:r w:rsidRPr="00A50CCF">
        <w:rPr>
          <w:rFonts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50CCF">
        <w:rPr>
          <w:rFonts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DCD8DAC" w14:textId="77777777" w:rsidR="00065341" w:rsidRPr="00A50CCF" w:rsidRDefault="00065341" w:rsidP="000772CC">
      <w:pPr>
        <w:autoSpaceDE w:val="0"/>
        <w:autoSpaceDN w:val="0"/>
        <w:adjustRightInd w:val="0"/>
        <w:ind w:right="-91"/>
        <w:rPr>
          <w:rFonts w:cs="Arial"/>
          <w:lang w:eastAsia="es-CO"/>
        </w:rPr>
      </w:pPr>
    </w:p>
    <w:p w14:paraId="44B8DB7F" w14:textId="60B211AE" w:rsidR="00865542" w:rsidRPr="00A50CCF" w:rsidRDefault="000772CC" w:rsidP="00865542">
      <w:pPr>
        <w:pStyle w:val="Ttulo3"/>
        <w:spacing w:line="360" w:lineRule="auto"/>
      </w:pPr>
      <w:bookmarkStart w:id="33" w:name="_Toc173396338"/>
      <w:bookmarkStart w:id="34" w:name="_Toc173398714"/>
      <w:bookmarkStart w:id="35" w:name="_Toc173702815"/>
      <w:bookmarkStart w:id="36" w:name="_Toc175217734"/>
      <w:r w:rsidRPr="00A50CCF">
        <w:t>e</w:t>
      </w:r>
      <w:r w:rsidR="00865542" w:rsidRPr="00A50CCF">
        <w:t xml:space="preserve">) Vista al </w:t>
      </w:r>
      <w:r w:rsidR="00865542" w:rsidRPr="00A50CCF">
        <w:rPr>
          <w:rFonts w:eastAsia="Palatino Linotype" w:cs="Palatino Linotype"/>
          <w:lang w:val="es-ES" w:eastAsia="es-MX"/>
        </w:rPr>
        <w:t>Órgano Interno de Control</w:t>
      </w:r>
      <w:bookmarkEnd w:id="33"/>
      <w:bookmarkEnd w:id="34"/>
      <w:bookmarkEnd w:id="35"/>
      <w:bookmarkEnd w:id="36"/>
    </w:p>
    <w:p w14:paraId="02C979E5" w14:textId="77777777" w:rsidR="00865542" w:rsidRPr="00A50CCF" w:rsidRDefault="00865542" w:rsidP="00065341">
      <w:pPr>
        <w:rPr>
          <w:rFonts w:eastAsia="Palatino Linotype" w:cs="Palatino Linotype"/>
          <w:lang w:val="es-ES" w:eastAsia="es-MX"/>
        </w:rPr>
      </w:pPr>
      <w:r w:rsidRPr="00A50CCF">
        <w:t xml:space="preserve">Finalmente, es de señalar que, atendiendo a que </w:t>
      </w:r>
      <w:r w:rsidRPr="00A50CCF">
        <w:rPr>
          <w:b/>
        </w:rPr>
        <w:t xml:space="preserve">EL SUJETO OBLIGADO </w:t>
      </w:r>
      <w:r w:rsidRPr="00A50CCF">
        <w:t xml:space="preserve">fue omiso en entregar las respuestas a las solicitudes de información pública sujeta a estudio y dado que los Recurso de Revisión materia del presente asunto, no es el medio para investigar y en su caso, sancionar a servidores públicos </w:t>
      </w:r>
      <w:r w:rsidRPr="00A50CCF">
        <w:rPr>
          <w:b/>
        </w:rPr>
        <w:t>por la omisión de la entrega de información pública</w:t>
      </w:r>
      <w:r w:rsidRPr="00A50CCF">
        <w:t>, en atención a lo previsto en el artículo 163 de la Ley de la Materia, que señala el plazo de respuesta y atención a solicitudes de información;</w:t>
      </w:r>
      <w:r w:rsidRPr="00A50CCF">
        <w:rPr>
          <w:rFonts w:eastAsia="Palatino Linotype" w:cs="Palatino Linotype"/>
          <w:lang w:val="es-ES" w:eastAsia="es-MX"/>
        </w:rPr>
        <w:t xml:space="preserve"> motivo por el cual </w:t>
      </w:r>
      <w:r w:rsidRPr="00A50CCF">
        <w:rPr>
          <w:rFonts w:eastAsia="Palatino Linotype" w:cs="Palatino Linotype"/>
          <w:b/>
          <w:lang w:val="es-ES" w:eastAsia="es-MX"/>
        </w:rPr>
        <w:t xml:space="preserve">se ordena girar oficio a la Secretaría Técnica del Pleno de este Instituto para hacer del conocimiento del Órgano Interno de Control competente, para que resuelva lo conducente y determine en su caso el </w:t>
      </w:r>
      <w:r w:rsidRPr="00A50CCF">
        <w:rPr>
          <w:rFonts w:eastAsia="Palatino Linotype" w:cs="Palatino Linotype"/>
          <w:b/>
          <w:lang w:val="es-ES" w:eastAsia="es-MX"/>
        </w:rPr>
        <w:lastRenderedPageBreak/>
        <w:t>grado de responsabilidad en el incumplimiento de las obligaciones establecidas en la misma</w:t>
      </w:r>
      <w:r w:rsidRPr="00A50CCF">
        <w:rPr>
          <w:rFonts w:eastAsia="Palatino Linotype" w:cs="Palatino Linotype"/>
          <w:lang w:val="es-ES" w:eastAsia="es-MX"/>
        </w:rPr>
        <w:t>.</w:t>
      </w:r>
    </w:p>
    <w:p w14:paraId="41C0BBCD" w14:textId="77777777" w:rsidR="00065341" w:rsidRPr="00A50CCF" w:rsidRDefault="00065341" w:rsidP="00065341">
      <w:pPr>
        <w:rPr>
          <w:rFonts w:eastAsia="Palatino Linotype" w:cs="Palatino Linotype"/>
          <w:lang w:val="es-ES" w:eastAsia="es-MX"/>
        </w:rPr>
      </w:pPr>
    </w:p>
    <w:p w14:paraId="0656091B" w14:textId="54CAE7B5" w:rsidR="00865542" w:rsidRPr="00A50CCF" w:rsidRDefault="000772CC" w:rsidP="00D54DE6">
      <w:pPr>
        <w:pStyle w:val="Ttulo3"/>
        <w:spacing w:line="240" w:lineRule="auto"/>
      </w:pPr>
      <w:bookmarkStart w:id="37" w:name="_Toc173396339"/>
      <w:bookmarkStart w:id="38" w:name="_Toc173398715"/>
      <w:bookmarkStart w:id="39" w:name="_Toc173702816"/>
      <w:bookmarkStart w:id="40" w:name="_Toc175217735"/>
      <w:r w:rsidRPr="00A50CCF">
        <w:t>f</w:t>
      </w:r>
      <w:r w:rsidR="00865542" w:rsidRPr="00A50CCF">
        <w:t>) Conclusión</w:t>
      </w:r>
      <w:bookmarkEnd w:id="37"/>
      <w:bookmarkEnd w:id="38"/>
      <w:bookmarkEnd w:id="39"/>
      <w:bookmarkEnd w:id="40"/>
    </w:p>
    <w:p w14:paraId="08450585" w14:textId="50A31AF4" w:rsidR="00D54DE6" w:rsidRPr="00A50CCF" w:rsidRDefault="00865542" w:rsidP="00D54DE6">
      <w:pPr>
        <w:pStyle w:val="Citas"/>
        <w:ind w:left="0" w:right="-2"/>
        <w:rPr>
          <w:bCs/>
          <w:i w:val="0"/>
          <w:sz w:val="24"/>
          <w:szCs w:val="24"/>
        </w:rPr>
      </w:pPr>
      <w:r w:rsidRPr="00A50CCF">
        <w:rPr>
          <w:i w:val="0"/>
          <w:iCs/>
        </w:rPr>
        <w:t xml:space="preserve">En mérito de lo anterior, se determinan </w:t>
      </w:r>
      <w:r w:rsidRPr="00A50CCF">
        <w:rPr>
          <w:b/>
          <w:i w:val="0"/>
          <w:iCs/>
        </w:rPr>
        <w:t>fundadas</w:t>
      </w:r>
      <w:r w:rsidRPr="00A50CCF">
        <w:rPr>
          <w:i w:val="0"/>
          <w:iCs/>
        </w:rPr>
        <w:t xml:space="preserve"> las razones o motivos de inconformidad hechos valer por </w:t>
      </w:r>
      <w:r w:rsidRPr="00A50CCF">
        <w:rPr>
          <w:b/>
          <w:i w:val="0"/>
          <w:iCs/>
          <w:lang w:val="es-ES"/>
        </w:rPr>
        <w:t>EL RECURRENTE</w:t>
      </w:r>
      <w:r w:rsidRPr="00A50CCF">
        <w:rPr>
          <w:i w:val="0"/>
          <w:iCs/>
        </w:rPr>
        <w:t xml:space="preserve">, por lo que el Pleno de este Instituto estima pertinente </w:t>
      </w:r>
      <w:r w:rsidRPr="00A50CCF">
        <w:rPr>
          <w:b/>
          <w:i w:val="0"/>
          <w:iCs/>
        </w:rPr>
        <w:t>ORDENAR</w:t>
      </w:r>
      <w:r w:rsidRPr="00A50CCF">
        <w:rPr>
          <w:i w:val="0"/>
          <w:iCs/>
        </w:rPr>
        <w:t xml:space="preserve"> al </w:t>
      </w:r>
      <w:r w:rsidRPr="00A50CCF">
        <w:rPr>
          <w:b/>
          <w:i w:val="0"/>
          <w:iCs/>
        </w:rPr>
        <w:t>SUJETO OBLIGADO</w:t>
      </w:r>
      <w:r w:rsidRPr="00A50CCF">
        <w:rPr>
          <w:i w:val="0"/>
          <w:iCs/>
        </w:rPr>
        <w:t xml:space="preserve"> </w:t>
      </w:r>
      <w:r w:rsidR="00D54DE6" w:rsidRPr="00A50CCF">
        <w:rPr>
          <w:i w:val="0"/>
          <w:iCs/>
        </w:rPr>
        <w:t xml:space="preserve">de </w:t>
      </w:r>
      <w:r w:rsidRPr="00A50CCF">
        <w:rPr>
          <w:i w:val="0"/>
          <w:iCs/>
        </w:rPr>
        <w:t>respuesta a la solicitud de acceso a la información</w:t>
      </w:r>
      <w:r w:rsidR="00D54DE6" w:rsidRPr="00A50CCF">
        <w:rPr>
          <w:i w:val="0"/>
          <w:iCs/>
        </w:rPr>
        <w:t xml:space="preserve"> y</w:t>
      </w:r>
      <w:r w:rsidRPr="00A50CCF">
        <w:rPr>
          <w:i w:val="0"/>
          <w:iCs/>
        </w:rPr>
        <w:t xml:space="preserve"> </w:t>
      </w:r>
      <w:r w:rsidR="00D54DE6" w:rsidRPr="00A50CCF">
        <w:rPr>
          <w:rFonts w:eastAsia="Palatino Linotype" w:cs="Palatino Linotype"/>
          <w:i w:val="0"/>
          <w:sz w:val="24"/>
          <w:szCs w:val="24"/>
        </w:rPr>
        <w:t xml:space="preserve">determina ordenar en </w:t>
      </w:r>
      <w:r w:rsidR="00D54DE6" w:rsidRPr="00A50CCF">
        <w:rPr>
          <w:rFonts w:eastAsia="Palatino Linotype" w:cs="Palatino Linotype"/>
          <w:b/>
          <w:i w:val="0"/>
          <w:sz w:val="24"/>
          <w:szCs w:val="24"/>
        </w:rPr>
        <w:t xml:space="preserve">versión pública, </w:t>
      </w:r>
      <w:r w:rsidR="00D54DE6" w:rsidRPr="00A50CCF">
        <w:rPr>
          <w:rFonts w:cs="Tahoma"/>
          <w:bCs/>
          <w:i w:val="0"/>
        </w:rPr>
        <w:t xml:space="preserve">los recibos de pago de nómina, aguinaldo, bonos o cualquier otra prestación </w:t>
      </w:r>
      <w:r w:rsidR="00932543" w:rsidRPr="00A50CCF">
        <w:rPr>
          <w:rFonts w:cs="Tahoma"/>
          <w:bCs/>
          <w:i w:val="0"/>
        </w:rPr>
        <w:t>realizada en favor de</w:t>
      </w:r>
      <w:r w:rsidR="00D54DE6" w:rsidRPr="00A50CCF">
        <w:rPr>
          <w:rFonts w:cs="Tahoma"/>
          <w:bCs/>
          <w:i w:val="0"/>
        </w:rPr>
        <w:t xml:space="preserve"> la Servidora Pública referida en la solicitud de información por el periodo comprendido del dieciséis de febrero de dos mil dieciséis al treinta de abril de dos mil veintitrés</w:t>
      </w:r>
      <w:r w:rsidR="00D54DE6" w:rsidRPr="00A50CCF">
        <w:rPr>
          <w:bCs/>
          <w:i w:val="0"/>
          <w:sz w:val="24"/>
          <w:szCs w:val="24"/>
        </w:rPr>
        <w:t>.</w:t>
      </w:r>
    </w:p>
    <w:p w14:paraId="6B187DC8" w14:textId="1119999E" w:rsidR="002568F8" w:rsidRPr="00A50CCF" w:rsidRDefault="002568F8" w:rsidP="00404336">
      <w:pPr>
        <w:ind w:right="-93"/>
        <w:rPr>
          <w:rFonts w:cs="Tahoma"/>
          <w:bCs/>
          <w:szCs w:val="22"/>
        </w:rPr>
      </w:pPr>
      <w:r w:rsidRPr="00A50CC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0D3A55F" w14:textId="77777777" w:rsidR="00A86DEF" w:rsidRPr="00A50CCF" w:rsidRDefault="00A86DEF" w:rsidP="00404336">
      <w:pPr>
        <w:ind w:right="-93"/>
        <w:rPr>
          <w:rFonts w:cs="Tahoma"/>
          <w:bCs/>
          <w:szCs w:val="22"/>
        </w:rPr>
      </w:pPr>
    </w:p>
    <w:p w14:paraId="5C396097" w14:textId="2AC71BBE" w:rsidR="00664420" w:rsidRPr="00A50CCF" w:rsidRDefault="00664420" w:rsidP="00404336">
      <w:pPr>
        <w:pStyle w:val="Ttulo1"/>
      </w:pPr>
      <w:bookmarkStart w:id="41" w:name="_Toc175217736"/>
      <w:r w:rsidRPr="00A50CCF">
        <w:t>RESUELVE</w:t>
      </w:r>
      <w:bookmarkEnd w:id="41"/>
    </w:p>
    <w:p w14:paraId="203B7093" w14:textId="77777777" w:rsidR="00664420" w:rsidRPr="00A50CCF" w:rsidRDefault="00664420" w:rsidP="00404336">
      <w:pPr>
        <w:ind w:right="113"/>
        <w:rPr>
          <w:rFonts w:cs="Arial"/>
          <w:b/>
          <w:szCs w:val="22"/>
        </w:rPr>
      </w:pPr>
    </w:p>
    <w:p w14:paraId="1DE3FDCE" w14:textId="77777777" w:rsidR="00865542" w:rsidRPr="00A50CCF" w:rsidRDefault="00865542" w:rsidP="00865542">
      <w:pPr>
        <w:rPr>
          <w:rFonts w:cs="Arial"/>
        </w:rPr>
      </w:pPr>
      <w:r w:rsidRPr="00A50CCF">
        <w:rPr>
          <w:b/>
          <w:bCs/>
        </w:rPr>
        <w:t>PRIMERO.</w:t>
      </w:r>
      <w:r w:rsidRPr="00A50CCF">
        <w:t xml:space="preserve"> </w:t>
      </w:r>
      <w:r w:rsidRPr="00A50CCF">
        <w:rPr>
          <w:rFonts w:cs="Arial"/>
        </w:rPr>
        <w:t xml:space="preserve">Resultan </w:t>
      </w:r>
      <w:r w:rsidRPr="00A50CCF">
        <w:rPr>
          <w:rFonts w:cs="Arial"/>
          <w:b/>
        </w:rPr>
        <w:t>fundadas</w:t>
      </w:r>
      <w:r w:rsidRPr="00A50CCF">
        <w:rPr>
          <w:rFonts w:cs="Arial"/>
        </w:rPr>
        <w:t xml:space="preserve"> las </w:t>
      </w:r>
      <w:r w:rsidRPr="00A50CCF">
        <w:rPr>
          <w:rFonts w:eastAsia="Calibri" w:cs="Arial"/>
        </w:rPr>
        <w:t>razones</w:t>
      </w:r>
      <w:r w:rsidRPr="00A50CCF">
        <w:rPr>
          <w:rFonts w:cs="Arial"/>
        </w:rPr>
        <w:t xml:space="preserve"> o motivos de inconformidad hechas valer por </w:t>
      </w:r>
      <w:r w:rsidRPr="00A50CCF">
        <w:rPr>
          <w:rFonts w:eastAsia="Calibri" w:cs="Tahoma"/>
          <w:b/>
          <w:szCs w:val="22"/>
          <w:lang w:eastAsia="en-US"/>
        </w:rPr>
        <w:t>LA PARTE RECURRENTE</w:t>
      </w:r>
      <w:r w:rsidRPr="00A50CCF">
        <w:rPr>
          <w:rFonts w:eastAsia="Calibri" w:cs="Tahoma"/>
          <w:bCs/>
          <w:szCs w:val="22"/>
          <w:lang w:eastAsia="en-US"/>
        </w:rPr>
        <w:t>,</w:t>
      </w:r>
      <w:r w:rsidRPr="00A50CCF">
        <w:rPr>
          <w:rFonts w:cs="Arial"/>
        </w:rPr>
        <w:t xml:space="preserve"> en términos del Considerando </w:t>
      </w:r>
      <w:r w:rsidRPr="00A50CCF">
        <w:rPr>
          <w:rFonts w:cs="Arial"/>
          <w:b/>
        </w:rPr>
        <w:t>SEGUNDO</w:t>
      </w:r>
      <w:r w:rsidRPr="00A50CCF">
        <w:rPr>
          <w:rFonts w:cs="Arial"/>
        </w:rPr>
        <w:t xml:space="preserve"> de la presente resolución.</w:t>
      </w:r>
    </w:p>
    <w:p w14:paraId="257CADEA" w14:textId="77777777" w:rsidR="00865542" w:rsidRPr="00A50CCF" w:rsidRDefault="00865542" w:rsidP="00865542">
      <w:pPr>
        <w:widowControl w:val="0"/>
        <w:tabs>
          <w:tab w:val="left" w:pos="1701"/>
        </w:tabs>
        <w:autoSpaceDE w:val="0"/>
        <w:autoSpaceDN w:val="0"/>
        <w:adjustRightInd w:val="0"/>
        <w:rPr>
          <w:rFonts w:eastAsia="Calibri" w:cs="Tahoma"/>
          <w:b/>
          <w:bCs/>
          <w:szCs w:val="22"/>
          <w:lang w:eastAsia="en-US"/>
        </w:rPr>
      </w:pPr>
    </w:p>
    <w:p w14:paraId="006B854A" w14:textId="77777777" w:rsidR="000114F3" w:rsidRPr="00A50CCF" w:rsidRDefault="00865542" w:rsidP="000114F3">
      <w:pPr>
        <w:rPr>
          <w:rFonts w:cs="Arial"/>
          <w:b/>
        </w:rPr>
      </w:pPr>
      <w:r w:rsidRPr="00A50CCF">
        <w:rPr>
          <w:rFonts w:eastAsia="Calibri" w:cs="Tahoma"/>
          <w:b/>
          <w:bCs/>
          <w:szCs w:val="22"/>
          <w:lang w:eastAsia="en-US"/>
        </w:rPr>
        <w:t>SEGUNDO.</w:t>
      </w:r>
      <w:r w:rsidRPr="00A50CCF">
        <w:rPr>
          <w:rFonts w:eastAsia="Calibri" w:cs="Tahoma"/>
          <w:szCs w:val="22"/>
          <w:lang w:eastAsia="es-MX"/>
        </w:rPr>
        <w:t xml:space="preserve"> </w:t>
      </w:r>
      <w:r w:rsidRPr="00A50CCF">
        <w:rPr>
          <w:lang w:eastAsia="es-MX"/>
        </w:rPr>
        <w:t>Se</w:t>
      </w:r>
      <w:r w:rsidRPr="00A50CCF">
        <w:rPr>
          <w:b/>
          <w:bCs/>
          <w:lang w:eastAsia="es-MX"/>
        </w:rPr>
        <w:t xml:space="preserve"> ORDENA </w:t>
      </w:r>
      <w:r w:rsidRPr="00A50CCF">
        <w:rPr>
          <w:lang w:eastAsia="es-MX"/>
        </w:rPr>
        <w:t xml:space="preserve">al </w:t>
      </w:r>
      <w:r w:rsidRPr="00A50CCF">
        <w:rPr>
          <w:b/>
          <w:bCs/>
          <w:lang w:eastAsia="es-MX"/>
        </w:rPr>
        <w:t xml:space="preserve">SUJETO OBLIGADO </w:t>
      </w:r>
      <w:r w:rsidRPr="00A50CCF">
        <w:rPr>
          <w:lang w:eastAsia="es-MX"/>
        </w:rPr>
        <w:t xml:space="preserve">atienda la Solicitud de Acceso a la Información Pública </w:t>
      </w:r>
      <w:r w:rsidRPr="00A50CCF">
        <w:rPr>
          <w:rFonts w:cs="Arial"/>
        </w:rPr>
        <w:t xml:space="preserve">que dio origen al Recurso Revisión número </w:t>
      </w:r>
      <w:r w:rsidRPr="00A50CCF">
        <w:rPr>
          <w:b/>
          <w:lang w:val="es-ES_tradnl"/>
        </w:rPr>
        <w:t xml:space="preserve">03042/INFOEM/IP/RR/2023, </w:t>
      </w:r>
      <w:r w:rsidRPr="00A50CCF">
        <w:rPr>
          <w:lang w:eastAsia="es-MX"/>
        </w:rPr>
        <w:t xml:space="preserve">en términos del Considerando </w:t>
      </w:r>
      <w:r w:rsidRPr="00A50CCF">
        <w:rPr>
          <w:b/>
          <w:bCs/>
          <w:lang w:eastAsia="es-MX"/>
        </w:rPr>
        <w:t xml:space="preserve">SEGUNDO </w:t>
      </w:r>
      <w:r w:rsidR="000114F3" w:rsidRPr="00A50CCF">
        <w:rPr>
          <w:rFonts w:cs="Arial"/>
        </w:rPr>
        <w:t xml:space="preserve">y, haga entrega al </w:t>
      </w:r>
      <w:r w:rsidR="000114F3" w:rsidRPr="00A50CCF">
        <w:rPr>
          <w:rFonts w:cs="Arial"/>
          <w:b/>
        </w:rPr>
        <w:t>RECURRENTE</w:t>
      </w:r>
      <w:r w:rsidR="000114F3" w:rsidRPr="00A50CCF">
        <w:rPr>
          <w:rFonts w:cs="Arial"/>
        </w:rPr>
        <w:t xml:space="preserve">, vía </w:t>
      </w:r>
      <w:r w:rsidR="000114F3" w:rsidRPr="00A50CCF">
        <w:rPr>
          <w:rFonts w:cs="Arial"/>
          <w:b/>
        </w:rPr>
        <w:t xml:space="preserve">SAIMEX, </w:t>
      </w:r>
      <w:r w:rsidR="000114F3" w:rsidRPr="00A50CCF">
        <w:rPr>
          <w:rFonts w:cs="Arial"/>
        </w:rPr>
        <w:t xml:space="preserve">en </w:t>
      </w:r>
      <w:r w:rsidR="000114F3" w:rsidRPr="00A50CCF">
        <w:rPr>
          <w:rFonts w:cs="Arial"/>
          <w:b/>
        </w:rPr>
        <w:t xml:space="preserve">versión pública </w:t>
      </w:r>
      <w:r w:rsidR="000114F3" w:rsidRPr="00A50CCF">
        <w:rPr>
          <w:rFonts w:cs="Arial"/>
        </w:rPr>
        <w:t>lo siguiente:</w:t>
      </w:r>
    </w:p>
    <w:p w14:paraId="25354F48" w14:textId="46C42DD4" w:rsidR="000114F3" w:rsidRPr="00A50CCF" w:rsidRDefault="000114F3" w:rsidP="000114F3">
      <w:pPr>
        <w:pStyle w:val="Prrafodelista"/>
        <w:spacing w:line="240" w:lineRule="auto"/>
        <w:ind w:left="851" w:right="899"/>
        <w:rPr>
          <w:i/>
          <w:szCs w:val="22"/>
        </w:rPr>
      </w:pPr>
      <w:r w:rsidRPr="00A50CCF">
        <w:rPr>
          <w:i/>
          <w:szCs w:val="22"/>
        </w:rPr>
        <w:lastRenderedPageBreak/>
        <w:t xml:space="preserve">Los recibos de pago de nómina, aguinaldo, bonos o cualquier otra prestación </w:t>
      </w:r>
      <w:r w:rsidR="00DF75D7" w:rsidRPr="00A50CCF">
        <w:rPr>
          <w:i/>
          <w:szCs w:val="22"/>
        </w:rPr>
        <w:t>realizada en favor de</w:t>
      </w:r>
      <w:r w:rsidRPr="00A50CCF">
        <w:rPr>
          <w:i/>
          <w:szCs w:val="22"/>
        </w:rPr>
        <w:t xml:space="preserve"> la Servidora Pública referida en la solicitud de información por el periodo comprendido del </w:t>
      </w:r>
      <w:r w:rsidR="0052311D" w:rsidRPr="00A50CCF">
        <w:rPr>
          <w:i/>
          <w:szCs w:val="22"/>
        </w:rPr>
        <w:t>16</w:t>
      </w:r>
      <w:r w:rsidRPr="00A50CCF">
        <w:rPr>
          <w:i/>
          <w:szCs w:val="22"/>
        </w:rPr>
        <w:t xml:space="preserve"> de febrero de </w:t>
      </w:r>
      <w:r w:rsidR="0052311D" w:rsidRPr="00A50CCF">
        <w:rPr>
          <w:i/>
          <w:szCs w:val="22"/>
        </w:rPr>
        <w:t>2016</w:t>
      </w:r>
      <w:r w:rsidRPr="00A50CCF">
        <w:rPr>
          <w:i/>
          <w:szCs w:val="22"/>
        </w:rPr>
        <w:t xml:space="preserve"> al </w:t>
      </w:r>
      <w:r w:rsidR="0052311D" w:rsidRPr="00A50CCF">
        <w:rPr>
          <w:i/>
          <w:szCs w:val="22"/>
        </w:rPr>
        <w:t>30 d</w:t>
      </w:r>
      <w:r w:rsidRPr="00A50CCF">
        <w:rPr>
          <w:i/>
          <w:szCs w:val="22"/>
        </w:rPr>
        <w:t xml:space="preserve">e abril de </w:t>
      </w:r>
      <w:r w:rsidR="0052311D" w:rsidRPr="00A50CCF">
        <w:rPr>
          <w:i/>
          <w:szCs w:val="22"/>
        </w:rPr>
        <w:t>2023</w:t>
      </w:r>
      <w:r w:rsidRPr="00A50CCF">
        <w:rPr>
          <w:i/>
          <w:szCs w:val="22"/>
        </w:rPr>
        <w:t>.</w:t>
      </w:r>
    </w:p>
    <w:p w14:paraId="092F43BE" w14:textId="77777777" w:rsidR="000114F3" w:rsidRPr="00A50CCF" w:rsidRDefault="000114F3" w:rsidP="000114F3">
      <w:pPr>
        <w:pStyle w:val="Prrafodelista"/>
        <w:spacing w:line="240" w:lineRule="auto"/>
        <w:ind w:left="851" w:right="899"/>
        <w:rPr>
          <w:i/>
          <w:szCs w:val="22"/>
        </w:rPr>
      </w:pPr>
    </w:p>
    <w:p w14:paraId="003CFBE1" w14:textId="36D11E1E" w:rsidR="0052311D" w:rsidRPr="00A50CCF" w:rsidRDefault="0052311D" w:rsidP="0052311D">
      <w:pPr>
        <w:ind w:right="-93"/>
        <w:rPr>
          <w:rFonts w:eastAsia="Calibri" w:cs="Tahoma"/>
          <w:bCs/>
          <w:szCs w:val="22"/>
          <w:lang w:eastAsia="en-US"/>
        </w:rPr>
      </w:pPr>
      <w:r w:rsidRPr="00A50CCF">
        <w:rPr>
          <w:rFonts w:eastAsia="Calibri" w:cs="Tahoma"/>
          <w:bCs/>
          <w:szCs w:val="22"/>
          <w:lang w:eastAsia="en-US"/>
        </w:rPr>
        <w:t>Debiendo notificar el Acuerdo de Clasificación de la información que emita el Comité de Transparencia con motivo de la versión pública, en términos del artículo 49, fracción VIII de la Ley de Transparencia y Acceso a la Información Pública del Estado de México y Municipios.</w:t>
      </w:r>
    </w:p>
    <w:p w14:paraId="122067DB" w14:textId="77777777" w:rsidR="0052311D" w:rsidRPr="00A50CCF" w:rsidRDefault="0052311D" w:rsidP="0052311D">
      <w:pPr>
        <w:spacing w:line="240" w:lineRule="auto"/>
        <w:ind w:right="899"/>
        <w:rPr>
          <w:i/>
          <w:szCs w:val="22"/>
        </w:rPr>
      </w:pPr>
    </w:p>
    <w:p w14:paraId="28CBC3EF" w14:textId="62AC9E1F" w:rsidR="0052311D" w:rsidRPr="00A50CCF" w:rsidRDefault="0052311D" w:rsidP="0052311D">
      <w:pPr>
        <w:ind w:right="-93"/>
        <w:rPr>
          <w:rFonts w:eastAsia="Calibri" w:cs="Tahoma"/>
          <w:bCs/>
          <w:szCs w:val="22"/>
          <w:lang w:eastAsia="en-US"/>
        </w:rPr>
      </w:pPr>
      <w:r w:rsidRPr="00A50CCF">
        <w:rPr>
          <w:rFonts w:eastAsia="Calibri" w:cs="Tahoma"/>
          <w:bCs/>
          <w:szCs w:val="22"/>
          <w:lang w:eastAsia="en-US"/>
        </w:rPr>
        <w:t xml:space="preserve">Para el caso de que la información de la que se ordena su entrega no obre en sus archivos por haber causado baja documental </w:t>
      </w:r>
      <w:r w:rsidRPr="00A50CCF">
        <w:rPr>
          <w:rFonts w:eastAsia="Calibri" w:cs="Tahoma"/>
          <w:b/>
          <w:bCs/>
          <w:szCs w:val="22"/>
          <w:lang w:eastAsia="en-US"/>
        </w:rPr>
        <w:t>EL SUJETO OBLIGADO</w:t>
      </w:r>
      <w:r w:rsidRPr="00A50CCF">
        <w:rPr>
          <w:rFonts w:eastAsia="Calibri" w:cs="Tahoma"/>
          <w:bCs/>
          <w:szCs w:val="22"/>
          <w:lang w:eastAsia="en-US"/>
        </w:rPr>
        <w:t xml:space="preserve"> deberá emitir el Acuerdo de Inexistencia en términos de los artículos 49, fracciones II y XIII, 169 y 170 de la Ley de Transparencia y Acceso a la Información Pública del Estado de México y Municipios.</w:t>
      </w:r>
    </w:p>
    <w:p w14:paraId="2C287201" w14:textId="77777777" w:rsidR="0052311D" w:rsidRPr="00A50CCF" w:rsidRDefault="0052311D" w:rsidP="0052311D"/>
    <w:p w14:paraId="2C46C63B" w14:textId="77777777" w:rsidR="00865542" w:rsidRPr="00A50CCF" w:rsidRDefault="00865542" w:rsidP="00865542">
      <w:pPr>
        <w:widowControl w:val="0"/>
        <w:tabs>
          <w:tab w:val="left" w:pos="1701"/>
        </w:tabs>
        <w:autoSpaceDE w:val="0"/>
        <w:autoSpaceDN w:val="0"/>
        <w:adjustRightInd w:val="0"/>
        <w:rPr>
          <w:szCs w:val="17"/>
          <w:lang w:eastAsia="es-ES_tradnl"/>
        </w:rPr>
      </w:pPr>
      <w:r w:rsidRPr="00A50CCF">
        <w:rPr>
          <w:b/>
          <w:bCs/>
        </w:rPr>
        <w:t>TERCERO.</w:t>
      </w:r>
      <w:r w:rsidRPr="00A50CCF">
        <w:t xml:space="preserve"> </w:t>
      </w:r>
      <w:r w:rsidRPr="00A50CCF">
        <w:rPr>
          <w:rFonts w:eastAsia="Calibri" w:cs="Arial"/>
          <w:b/>
          <w:bCs/>
        </w:rPr>
        <w:t>N</w:t>
      </w:r>
      <w:r w:rsidRPr="00A50CCF">
        <w:rPr>
          <w:b/>
          <w:szCs w:val="17"/>
          <w:lang w:eastAsia="es-ES_tradnl"/>
        </w:rPr>
        <w:t xml:space="preserve">otifíquese </w:t>
      </w:r>
      <w:r w:rsidRPr="00A50CCF">
        <w:rPr>
          <w:szCs w:val="17"/>
          <w:lang w:eastAsia="es-ES_tradnl"/>
        </w:rPr>
        <w:t>vía Sistema de Acceso a la Información Mexiquense (</w:t>
      </w:r>
      <w:r w:rsidRPr="00A50CCF">
        <w:rPr>
          <w:b/>
          <w:szCs w:val="17"/>
          <w:lang w:eastAsia="es-ES_tradnl"/>
        </w:rPr>
        <w:t>SAIMEX)</w:t>
      </w:r>
      <w:r w:rsidRPr="00A50CCF">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A50CCF">
        <w:rPr>
          <w:b/>
          <w:bCs/>
          <w:szCs w:val="17"/>
          <w:lang w:eastAsia="es-ES_tradnl"/>
        </w:rPr>
        <w:t>diez días hábiles</w:t>
      </w:r>
      <w:r w:rsidRPr="00A50CCF">
        <w:rPr>
          <w:szCs w:val="17"/>
          <w:lang w:eastAsia="es-ES_tradnl"/>
        </w:rPr>
        <w:t xml:space="preserve">, e informe a este Instituto en un plazo de </w:t>
      </w:r>
      <w:r w:rsidRPr="00A50CCF">
        <w:rPr>
          <w:b/>
          <w:bCs/>
          <w:szCs w:val="17"/>
          <w:lang w:eastAsia="es-ES_tradnl"/>
        </w:rPr>
        <w:t xml:space="preserve">tres días hábiles </w:t>
      </w:r>
      <w:r w:rsidRPr="00A50CCF">
        <w:rPr>
          <w:szCs w:val="17"/>
          <w:lang w:eastAsia="es-ES_tradnl"/>
        </w:rPr>
        <w:t xml:space="preserve">siguientes sobre el cumplimiento dado a la presente y, se le </w:t>
      </w:r>
      <w:r w:rsidRPr="00A50CCF">
        <w:rPr>
          <w:b/>
          <w:szCs w:val="17"/>
          <w:lang w:eastAsia="es-ES_tradnl"/>
        </w:rPr>
        <w:t>apercibe</w:t>
      </w:r>
      <w:r w:rsidRPr="00A50CCF">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4EADA74" w14:textId="77777777" w:rsidR="00315FF8" w:rsidRPr="00A50CCF" w:rsidRDefault="00315FF8" w:rsidP="00865542">
      <w:pPr>
        <w:widowControl w:val="0"/>
        <w:tabs>
          <w:tab w:val="left" w:pos="1701"/>
        </w:tabs>
        <w:autoSpaceDE w:val="0"/>
        <w:autoSpaceDN w:val="0"/>
        <w:adjustRightInd w:val="0"/>
        <w:rPr>
          <w:szCs w:val="17"/>
          <w:lang w:eastAsia="es-ES_tradnl"/>
        </w:rPr>
      </w:pPr>
    </w:p>
    <w:p w14:paraId="659CAD84" w14:textId="77777777" w:rsidR="00865542" w:rsidRPr="00A50CCF" w:rsidRDefault="00865542" w:rsidP="00865542">
      <w:pPr>
        <w:rPr>
          <w:rFonts w:cs="Arial"/>
        </w:rPr>
      </w:pPr>
      <w:r w:rsidRPr="00A50CCF">
        <w:rPr>
          <w:b/>
          <w:bCs/>
        </w:rPr>
        <w:t>CUARTO</w:t>
      </w:r>
      <w:r w:rsidRPr="00A50CCF">
        <w:t xml:space="preserve">. </w:t>
      </w:r>
      <w:r w:rsidRPr="00A50CCF">
        <w:rPr>
          <w:b/>
          <w:szCs w:val="17"/>
          <w:lang w:eastAsia="es-ES_tradnl"/>
        </w:rPr>
        <w:t>Notifíquese</w:t>
      </w:r>
      <w:r w:rsidRPr="00A50CCF">
        <w:rPr>
          <w:szCs w:val="17"/>
          <w:lang w:eastAsia="es-ES_tradnl"/>
        </w:rPr>
        <w:t xml:space="preserve"> a </w:t>
      </w:r>
      <w:r w:rsidRPr="00A50CCF">
        <w:rPr>
          <w:rFonts w:eastAsia="Calibri" w:cs="Tahoma"/>
          <w:b/>
          <w:szCs w:val="22"/>
          <w:lang w:eastAsia="en-US"/>
        </w:rPr>
        <w:t>LA PARTE RECURRENTE</w:t>
      </w:r>
      <w:r w:rsidRPr="00A50CCF">
        <w:rPr>
          <w:szCs w:val="17"/>
          <w:lang w:eastAsia="es-ES_tradnl"/>
        </w:rPr>
        <w:t xml:space="preserve"> la </w:t>
      </w:r>
      <w:r w:rsidRPr="00A50CCF">
        <w:rPr>
          <w:rFonts w:cs="Arial"/>
        </w:rPr>
        <w:t>presente</w:t>
      </w:r>
      <w:r w:rsidRPr="00A50CCF">
        <w:rPr>
          <w:szCs w:val="17"/>
          <w:lang w:eastAsia="es-ES_tradnl"/>
        </w:rPr>
        <w:t xml:space="preserve"> </w:t>
      </w:r>
      <w:r w:rsidRPr="00A50CCF">
        <w:rPr>
          <w:shd w:val="clear" w:color="auto" w:fill="FFFFFF"/>
        </w:rPr>
        <w:t xml:space="preserve">resolución </w:t>
      </w:r>
      <w:r w:rsidRPr="00A50CCF">
        <w:rPr>
          <w:szCs w:val="17"/>
          <w:lang w:eastAsia="es-ES_tradnl"/>
        </w:rPr>
        <w:t xml:space="preserve">vía </w:t>
      </w:r>
      <w:r w:rsidRPr="00A50CCF">
        <w:rPr>
          <w:rFonts w:cs="Arial"/>
        </w:rPr>
        <w:t>Sistema de Acceso a la Información Mexiquense (</w:t>
      </w:r>
      <w:r w:rsidRPr="00A50CCF">
        <w:rPr>
          <w:rFonts w:cs="Arial"/>
          <w:b/>
          <w:bCs/>
        </w:rPr>
        <w:t>SAIMEX)</w:t>
      </w:r>
      <w:r w:rsidRPr="00A50CCF">
        <w:rPr>
          <w:rFonts w:cs="Arial"/>
        </w:rPr>
        <w:t>.</w:t>
      </w:r>
    </w:p>
    <w:p w14:paraId="46B99804" w14:textId="77777777" w:rsidR="00865542" w:rsidRPr="00A50CCF" w:rsidRDefault="00865542" w:rsidP="00865542">
      <w:pPr>
        <w:rPr>
          <w:rFonts w:cs="Arial"/>
        </w:rPr>
      </w:pPr>
    </w:p>
    <w:p w14:paraId="59099CFB" w14:textId="55748DD4" w:rsidR="00865542" w:rsidRPr="00A50CCF" w:rsidRDefault="00865542" w:rsidP="00865542">
      <w:pPr>
        <w:widowControl w:val="0"/>
        <w:tabs>
          <w:tab w:val="left" w:pos="1276"/>
        </w:tabs>
        <w:autoSpaceDE w:val="0"/>
        <w:autoSpaceDN w:val="0"/>
        <w:adjustRightInd w:val="0"/>
        <w:ind w:right="49"/>
        <w:rPr>
          <w:szCs w:val="17"/>
          <w:lang w:eastAsia="es-ES_tradnl"/>
        </w:rPr>
      </w:pPr>
      <w:r w:rsidRPr="00A50CCF">
        <w:rPr>
          <w:rFonts w:cs="Arial"/>
          <w:b/>
          <w:bCs/>
          <w:szCs w:val="22"/>
          <w:lang w:eastAsia="es-MX"/>
        </w:rPr>
        <w:t>QUINTO.</w:t>
      </w:r>
      <w:r w:rsidRPr="00A50CCF">
        <w:rPr>
          <w:szCs w:val="22"/>
          <w:lang w:eastAsia="es-ES_tradnl"/>
        </w:rPr>
        <w:t xml:space="preserve"> </w:t>
      </w:r>
      <w:r w:rsidRPr="00A50CCF">
        <w:rPr>
          <w:b/>
          <w:szCs w:val="22"/>
          <w:lang w:eastAsia="es-ES_tradnl"/>
        </w:rPr>
        <w:t>Hágase</w:t>
      </w:r>
      <w:r w:rsidRPr="00A50CCF">
        <w:rPr>
          <w:szCs w:val="22"/>
          <w:lang w:eastAsia="es-ES_tradnl"/>
        </w:rPr>
        <w:t xml:space="preserve"> </w:t>
      </w:r>
      <w:r w:rsidRPr="00A50CCF">
        <w:rPr>
          <w:b/>
          <w:szCs w:val="22"/>
          <w:lang w:eastAsia="es-ES_tradnl"/>
        </w:rPr>
        <w:t>del conocimiento</w:t>
      </w:r>
      <w:r w:rsidRPr="00A50CCF">
        <w:rPr>
          <w:b/>
          <w:szCs w:val="17"/>
          <w:lang w:eastAsia="es-ES_tradnl"/>
        </w:rPr>
        <w:t xml:space="preserve"> a</w:t>
      </w:r>
      <w:r w:rsidRPr="00A50CCF">
        <w:rPr>
          <w:szCs w:val="17"/>
          <w:lang w:eastAsia="es-ES_tradnl"/>
        </w:rPr>
        <w:t xml:space="preserve"> </w:t>
      </w:r>
      <w:r w:rsidRPr="00A50CCF">
        <w:rPr>
          <w:rFonts w:eastAsia="Calibri" w:cs="Tahoma"/>
          <w:b/>
          <w:szCs w:val="22"/>
          <w:lang w:eastAsia="en-US"/>
        </w:rPr>
        <w:t>LA PARTE RECURRENTE,</w:t>
      </w:r>
      <w:r w:rsidRPr="00A50CCF">
        <w:rPr>
          <w:szCs w:val="17"/>
          <w:lang w:eastAsia="es-ES_tradnl"/>
        </w:rPr>
        <w:t xml:space="preserve"> que, de conformidad </w:t>
      </w:r>
      <w:r w:rsidRPr="00A50CCF">
        <w:rPr>
          <w:rFonts w:cs="Arial"/>
        </w:rPr>
        <w:t>con</w:t>
      </w:r>
      <w:r w:rsidRPr="00A50CCF">
        <w:rPr>
          <w:szCs w:val="17"/>
          <w:lang w:eastAsia="es-ES_tradnl"/>
        </w:rPr>
        <w:t xml:space="preserve"> </w:t>
      </w:r>
      <w:r w:rsidRPr="00A50CCF">
        <w:rPr>
          <w:szCs w:val="17"/>
          <w:lang w:eastAsia="es-ES_tradnl"/>
        </w:rPr>
        <w:lastRenderedPageBreak/>
        <w:t xml:space="preserve">lo </w:t>
      </w:r>
      <w:r w:rsidRPr="00A50CCF">
        <w:rPr>
          <w:rFonts w:cs="Arial"/>
        </w:rPr>
        <w:t>establecido</w:t>
      </w:r>
      <w:r w:rsidRPr="00A50CCF">
        <w:rPr>
          <w:szCs w:val="17"/>
          <w:lang w:eastAsia="es-ES_tradnl"/>
        </w:rPr>
        <w:t xml:space="preserve"> en el artículo 196 de la Ley de </w:t>
      </w:r>
      <w:r w:rsidRPr="00A50CCF">
        <w:rPr>
          <w:rFonts w:cs="Arial"/>
        </w:rPr>
        <w:t>Transparencia</w:t>
      </w:r>
      <w:r w:rsidRPr="00A50CCF">
        <w:rPr>
          <w:szCs w:val="17"/>
          <w:lang w:eastAsia="es-ES_tradnl"/>
        </w:rPr>
        <w:t xml:space="preserve"> y </w:t>
      </w:r>
      <w:r w:rsidRPr="00A50CCF">
        <w:rPr>
          <w:rFonts w:cs="Arial"/>
        </w:rPr>
        <w:t>Acceso</w:t>
      </w:r>
      <w:r w:rsidRPr="00A50CCF">
        <w:rPr>
          <w:szCs w:val="17"/>
          <w:lang w:eastAsia="es-ES_tradnl"/>
        </w:rPr>
        <w:t xml:space="preserve"> a la Información </w:t>
      </w:r>
      <w:r w:rsidRPr="00A50CCF">
        <w:rPr>
          <w:lang w:eastAsia="es-ES_tradnl"/>
        </w:rPr>
        <w:t>Pública</w:t>
      </w:r>
      <w:r w:rsidRPr="00A50CCF">
        <w:rPr>
          <w:szCs w:val="17"/>
          <w:lang w:eastAsia="es-ES_tradnl"/>
        </w:rPr>
        <w:t xml:space="preserve"> del Estado de México y Municipios, podrá impugnarla vía Juicio de Amparo en los términos de las leyes aplicables.</w:t>
      </w:r>
    </w:p>
    <w:p w14:paraId="7371E57D" w14:textId="0DCB8FDC" w:rsidR="00A86DEF" w:rsidRPr="00A50CCF" w:rsidRDefault="00A86DEF" w:rsidP="00865542">
      <w:pPr>
        <w:widowControl w:val="0"/>
        <w:tabs>
          <w:tab w:val="left" w:pos="1276"/>
        </w:tabs>
        <w:autoSpaceDE w:val="0"/>
        <w:autoSpaceDN w:val="0"/>
        <w:adjustRightInd w:val="0"/>
        <w:ind w:right="49"/>
        <w:rPr>
          <w:szCs w:val="17"/>
          <w:lang w:eastAsia="es-ES_tradnl"/>
        </w:rPr>
      </w:pPr>
    </w:p>
    <w:p w14:paraId="5E115556" w14:textId="77777777" w:rsidR="00865542" w:rsidRPr="00A50CCF" w:rsidRDefault="00865542" w:rsidP="00865542">
      <w:pPr>
        <w:widowControl w:val="0"/>
        <w:tabs>
          <w:tab w:val="left" w:pos="1701"/>
        </w:tabs>
        <w:autoSpaceDE w:val="0"/>
        <w:autoSpaceDN w:val="0"/>
        <w:adjustRightInd w:val="0"/>
        <w:ind w:right="49"/>
        <w:rPr>
          <w:szCs w:val="24"/>
          <w:lang w:eastAsia="es-MX"/>
        </w:rPr>
      </w:pPr>
      <w:r w:rsidRPr="00A50CCF">
        <w:rPr>
          <w:rFonts w:cs="Arial"/>
          <w:b/>
          <w:bCs/>
          <w:szCs w:val="22"/>
          <w:lang w:eastAsia="es-MX"/>
        </w:rPr>
        <w:t>SEXTO.</w:t>
      </w:r>
      <w:r w:rsidRPr="00A50CCF">
        <w:rPr>
          <w:szCs w:val="22"/>
          <w:lang w:eastAsia="es-ES_tradnl"/>
        </w:rPr>
        <w:t xml:space="preserve"> </w:t>
      </w:r>
      <w:r w:rsidRPr="00A50CCF">
        <w:rPr>
          <w:b/>
          <w:szCs w:val="22"/>
          <w:lang w:eastAsia="es-ES_tradnl"/>
        </w:rPr>
        <w:t>Hágase del conocimiento</w:t>
      </w:r>
      <w:r w:rsidRPr="00A50CCF">
        <w:rPr>
          <w:b/>
          <w:szCs w:val="17"/>
          <w:lang w:eastAsia="es-ES_tradnl"/>
        </w:rPr>
        <w:t xml:space="preserve"> a </w:t>
      </w:r>
      <w:r w:rsidRPr="00A50CCF">
        <w:rPr>
          <w:rFonts w:eastAsia="Calibri" w:cs="Tahoma"/>
          <w:b/>
          <w:szCs w:val="22"/>
          <w:lang w:eastAsia="en-US"/>
        </w:rPr>
        <w:t>LA PARTE RECURRENTE</w:t>
      </w:r>
      <w:r w:rsidRPr="00A50CCF">
        <w:rPr>
          <w:szCs w:val="17"/>
          <w:lang w:eastAsia="es-ES_tradnl"/>
        </w:rPr>
        <w:t xml:space="preserve">, que las respuestas que dé </w:t>
      </w:r>
      <w:r w:rsidRPr="00A50CCF">
        <w:rPr>
          <w:b/>
          <w:szCs w:val="17"/>
          <w:lang w:eastAsia="es-ES_tradnl"/>
        </w:rPr>
        <w:t>EL SUJETO OBLIGADO</w:t>
      </w:r>
      <w:r w:rsidRPr="00A50CCF">
        <w:rPr>
          <w:szCs w:val="17"/>
          <w:lang w:eastAsia="es-ES_tradnl"/>
        </w:rPr>
        <w:t xml:space="preserve"> derivadas de la presente resolución son susceptibles de ser impugnadas nuevamente, mediante Recurso de Revisión, ante el Instituto, en términos del artículo 179, último párrafo de la Ley </w:t>
      </w:r>
      <w:r w:rsidRPr="00A50CCF">
        <w:rPr>
          <w:lang w:eastAsia="es-MX"/>
        </w:rPr>
        <w:t>de Transparencia y Acceso a la Información Pública del Estado de México y Municipios.</w:t>
      </w:r>
    </w:p>
    <w:p w14:paraId="5A03A473" w14:textId="77777777" w:rsidR="00865542" w:rsidRPr="00A50CCF" w:rsidRDefault="00865542" w:rsidP="00865542">
      <w:pPr>
        <w:widowControl w:val="0"/>
        <w:tabs>
          <w:tab w:val="left" w:pos="1701"/>
        </w:tabs>
        <w:autoSpaceDE w:val="0"/>
        <w:autoSpaceDN w:val="0"/>
        <w:adjustRightInd w:val="0"/>
        <w:ind w:right="49"/>
        <w:rPr>
          <w:lang w:eastAsia="es-MX"/>
        </w:rPr>
      </w:pPr>
    </w:p>
    <w:p w14:paraId="7CC365BD" w14:textId="77777777" w:rsidR="00315FF8" w:rsidRPr="00A50CCF" w:rsidRDefault="00865542" w:rsidP="00404336">
      <w:pPr>
        <w:rPr>
          <w:szCs w:val="17"/>
          <w:lang w:eastAsia="es-ES_tradnl"/>
        </w:rPr>
      </w:pPr>
      <w:r w:rsidRPr="00A50CCF">
        <w:rPr>
          <w:rFonts w:cs="Arial"/>
          <w:b/>
          <w:bCs/>
          <w:szCs w:val="22"/>
          <w:lang w:eastAsia="es-MX"/>
        </w:rPr>
        <w:t>SÉPTIMO</w:t>
      </w:r>
      <w:r w:rsidRPr="00A50CCF">
        <w:rPr>
          <w:rFonts w:eastAsia="Calibri" w:cs="Arial"/>
          <w:b/>
          <w:bCs/>
          <w:szCs w:val="22"/>
        </w:rPr>
        <w:t>.</w:t>
      </w:r>
      <w:r w:rsidRPr="00A50CCF">
        <w:rPr>
          <w:rFonts w:eastAsia="Calibri" w:cs="Arial"/>
          <w:b/>
          <w:bCs/>
        </w:rPr>
        <w:t xml:space="preserve"> </w:t>
      </w:r>
      <w:r w:rsidRPr="00A50CCF">
        <w:rPr>
          <w:b/>
          <w:szCs w:val="17"/>
          <w:lang w:eastAsia="es-ES_tradnl"/>
        </w:rPr>
        <w:t>Gírese oficio</w:t>
      </w:r>
      <w:r w:rsidRPr="00A50CCF">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A50CCF">
        <w:rPr>
          <w:b/>
          <w:szCs w:val="17"/>
          <w:lang w:eastAsia="es-ES_tradnl"/>
        </w:rPr>
        <w:t>SEGUNDO</w:t>
      </w:r>
      <w:r w:rsidRPr="00A50CCF">
        <w:rPr>
          <w:bCs/>
          <w:szCs w:val="17"/>
          <w:lang w:eastAsia="es-ES_tradnl"/>
        </w:rPr>
        <w:t xml:space="preserve"> de la presente resolución</w:t>
      </w:r>
      <w:r w:rsidRPr="00A50CCF">
        <w:rPr>
          <w:szCs w:val="17"/>
          <w:lang w:eastAsia="es-ES_tradnl"/>
        </w:rPr>
        <w:t>.</w:t>
      </w:r>
    </w:p>
    <w:p w14:paraId="2B4FBE84" w14:textId="77777777" w:rsidR="00315FF8" w:rsidRPr="00A50CCF" w:rsidRDefault="00315FF8" w:rsidP="00404336">
      <w:pPr>
        <w:rPr>
          <w:szCs w:val="17"/>
          <w:lang w:eastAsia="es-ES_tradnl"/>
        </w:rPr>
      </w:pPr>
    </w:p>
    <w:p w14:paraId="719A5C63" w14:textId="565B9E44" w:rsidR="00664420" w:rsidRPr="00A50CCF" w:rsidRDefault="00664420" w:rsidP="00404336">
      <w:pPr>
        <w:rPr>
          <w:szCs w:val="17"/>
          <w:lang w:eastAsia="es-ES_tradnl"/>
        </w:rPr>
      </w:pPr>
      <w:r w:rsidRPr="00A50CC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50CCF">
        <w:rPr>
          <w:rFonts w:eastAsia="Palatino Linotype" w:cs="Palatino Linotype"/>
          <w:szCs w:val="22"/>
        </w:rPr>
        <w:t>TRIGÉSIMA</w:t>
      </w:r>
      <w:r w:rsidRPr="00A50CCF">
        <w:rPr>
          <w:rFonts w:eastAsia="Palatino Linotype" w:cs="Palatino Linotype"/>
          <w:szCs w:val="22"/>
        </w:rPr>
        <w:t xml:space="preserve"> SESIÓN ORDINARIA, CELEBRADA EL </w:t>
      </w:r>
      <w:r w:rsidR="00A50CCF">
        <w:rPr>
          <w:rFonts w:eastAsia="Palatino Linotype" w:cs="Palatino Linotype"/>
          <w:szCs w:val="22"/>
        </w:rPr>
        <w:t>VEINTIOCHO</w:t>
      </w:r>
      <w:r w:rsidR="0059544D" w:rsidRPr="00A50CCF">
        <w:rPr>
          <w:rFonts w:eastAsia="Palatino Linotype" w:cs="Palatino Linotype"/>
          <w:szCs w:val="22"/>
        </w:rPr>
        <w:t xml:space="preserve"> DE AGOSTO</w:t>
      </w:r>
      <w:r w:rsidR="00424FF4" w:rsidRPr="00A50CCF">
        <w:rPr>
          <w:rFonts w:eastAsia="Palatino Linotype" w:cs="Palatino Linotype"/>
          <w:szCs w:val="22"/>
        </w:rPr>
        <w:t xml:space="preserve"> </w:t>
      </w:r>
      <w:r w:rsidRPr="00A50CCF">
        <w:rPr>
          <w:rFonts w:eastAsia="Palatino Linotype" w:cs="Palatino Linotype"/>
          <w:szCs w:val="22"/>
        </w:rPr>
        <w:t xml:space="preserve">DE DOS MIL </w:t>
      </w:r>
      <w:r w:rsidR="00424FF4" w:rsidRPr="00A50CCF">
        <w:rPr>
          <w:rFonts w:eastAsia="Palatino Linotype" w:cs="Palatino Linotype"/>
          <w:szCs w:val="22"/>
        </w:rPr>
        <w:t>VEINTICUATRO</w:t>
      </w:r>
      <w:r w:rsidRPr="00A50CCF">
        <w:rPr>
          <w:rFonts w:eastAsia="Palatino Linotype" w:cs="Palatino Linotype"/>
          <w:szCs w:val="22"/>
        </w:rPr>
        <w:t xml:space="preserve"> ANTE EL SECRETARIO TÉCNICO DEL PLENO, ALEXIS TAPIA RAMÍREZ.</w:t>
      </w:r>
    </w:p>
    <w:p w14:paraId="7072FC1E" w14:textId="585D3D53" w:rsidR="007476F0" w:rsidRPr="00A50CCF" w:rsidRDefault="007476F0" w:rsidP="00404336">
      <w:pPr>
        <w:ind w:right="-93"/>
        <w:rPr>
          <w:rFonts w:eastAsia="Calibri" w:cs="Tahoma"/>
          <w:bCs/>
          <w:sz w:val="20"/>
          <w:lang w:val="es-419" w:eastAsia="en-US"/>
        </w:rPr>
      </w:pPr>
      <w:r w:rsidRPr="00A50CCF">
        <w:rPr>
          <w:rFonts w:eastAsia="Calibri" w:cs="Tahoma"/>
          <w:bCs/>
          <w:sz w:val="20"/>
          <w:lang w:val="es-ES_tradnl" w:eastAsia="en-US"/>
        </w:rPr>
        <w:t>SCMM/AGZ/DEMF/</w:t>
      </w:r>
      <w:r w:rsidR="00B539A9" w:rsidRPr="00A50CCF">
        <w:rPr>
          <w:rFonts w:eastAsia="Calibri" w:cs="Tahoma"/>
          <w:bCs/>
          <w:sz w:val="20"/>
          <w:lang w:val="es-419" w:eastAsia="en-US"/>
        </w:rPr>
        <w:t>CMP</w:t>
      </w:r>
    </w:p>
    <w:p w14:paraId="49D72DA3" w14:textId="77777777" w:rsidR="00664420" w:rsidRPr="00A50CCF" w:rsidRDefault="00664420" w:rsidP="00404336">
      <w:pPr>
        <w:ind w:right="-93"/>
        <w:rPr>
          <w:rFonts w:eastAsia="Calibri" w:cs="Tahoma"/>
          <w:bCs/>
          <w:szCs w:val="22"/>
          <w:lang w:eastAsia="en-US"/>
        </w:rPr>
      </w:pPr>
    </w:p>
    <w:p w14:paraId="5EFEA0CD" w14:textId="77777777" w:rsidR="00664420" w:rsidRPr="00A50CCF" w:rsidRDefault="00664420" w:rsidP="00404336">
      <w:pPr>
        <w:ind w:right="-93"/>
        <w:rPr>
          <w:rFonts w:eastAsia="Calibri" w:cs="Tahoma"/>
          <w:szCs w:val="22"/>
          <w:lang w:val="es-ES"/>
        </w:rPr>
      </w:pPr>
    </w:p>
    <w:p w14:paraId="696BC976" w14:textId="77777777" w:rsidR="00664420" w:rsidRPr="00A50CCF" w:rsidRDefault="00664420" w:rsidP="00404336">
      <w:pPr>
        <w:ind w:right="-93"/>
        <w:rPr>
          <w:rFonts w:eastAsia="Calibri" w:cs="Tahoma"/>
          <w:bCs/>
          <w:szCs w:val="22"/>
          <w:lang w:val="es-ES" w:eastAsia="en-US"/>
        </w:rPr>
      </w:pPr>
    </w:p>
    <w:p w14:paraId="671CB0C5" w14:textId="77777777" w:rsidR="00664420" w:rsidRPr="00A50CCF" w:rsidRDefault="00664420" w:rsidP="00404336">
      <w:pPr>
        <w:ind w:right="-93"/>
        <w:rPr>
          <w:rFonts w:eastAsia="Calibri" w:cs="Tahoma"/>
          <w:bCs/>
          <w:szCs w:val="22"/>
          <w:lang w:val="es-ES_tradnl" w:eastAsia="en-US"/>
        </w:rPr>
      </w:pPr>
    </w:p>
    <w:p w14:paraId="52B66DE7" w14:textId="77777777" w:rsidR="00664420" w:rsidRPr="00A50CCF" w:rsidRDefault="00664420" w:rsidP="00404336">
      <w:pPr>
        <w:ind w:right="-93"/>
        <w:rPr>
          <w:rFonts w:eastAsia="Calibri" w:cs="Tahoma"/>
          <w:bCs/>
          <w:szCs w:val="22"/>
          <w:lang w:val="es-ES_tradnl" w:eastAsia="en-US"/>
        </w:rPr>
      </w:pPr>
    </w:p>
    <w:p w14:paraId="3BA305D1" w14:textId="77777777" w:rsidR="00664420" w:rsidRPr="00A50CCF" w:rsidRDefault="00664420" w:rsidP="00404336">
      <w:pPr>
        <w:ind w:right="-93"/>
        <w:rPr>
          <w:rFonts w:eastAsia="Calibri" w:cs="Tahoma"/>
          <w:bCs/>
          <w:szCs w:val="22"/>
          <w:lang w:val="es-ES_tradnl" w:eastAsia="en-US"/>
        </w:rPr>
      </w:pPr>
    </w:p>
    <w:p w14:paraId="78230707" w14:textId="77777777" w:rsidR="00664420" w:rsidRPr="00A50CCF" w:rsidRDefault="00664420" w:rsidP="00404336">
      <w:pPr>
        <w:ind w:right="-93"/>
        <w:rPr>
          <w:rFonts w:eastAsia="Calibri" w:cs="Tahoma"/>
          <w:bCs/>
          <w:szCs w:val="22"/>
          <w:lang w:val="es-ES_tradnl" w:eastAsia="en-US"/>
        </w:rPr>
      </w:pPr>
    </w:p>
    <w:p w14:paraId="72D18B28" w14:textId="77777777" w:rsidR="00664420" w:rsidRPr="00A50CCF" w:rsidRDefault="00664420" w:rsidP="00404336">
      <w:pPr>
        <w:ind w:right="-93"/>
        <w:rPr>
          <w:rFonts w:eastAsia="Calibri" w:cs="Tahoma"/>
          <w:bCs/>
          <w:szCs w:val="22"/>
          <w:lang w:val="es-ES_tradnl" w:eastAsia="en-US"/>
        </w:rPr>
      </w:pPr>
    </w:p>
    <w:p w14:paraId="6BD461DC" w14:textId="77777777" w:rsidR="00664420" w:rsidRPr="00A50CCF" w:rsidRDefault="00664420" w:rsidP="00404336">
      <w:pPr>
        <w:tabs>
          <w:tab w:val="center" w:pos="4568"/>
        </w:tabs>
        <w:ind w:right="-93"/>
        <w:rPr>
          <w:rFonts w:eastAsia="Calibri" w:cs="Tahoma"/>
          <w:bCs/>
          <w:szCs w:val="22"/>
          <w:lang w:eastAsia="en-US"/>
        </w:rPr>
      </w:pPr>
    </w:p>
    <w:p w14:paraId="4DBB1727" w14:textId="77777777" w:rsidR="00664420" w:rsidRPr="00A50CCF" w:rsidRDefault="00664420" w:rsidP="00404336">
      <w:pPr>
        <w:tabs>
          <w:tab w:val="center" w:pos="4568"/>
        </w:tabs>
        <w:ind w:right="-93"/>
        <w:rPr>
          <w:rFonts w:eastAsia="Calibri" w:cs="Tahoma"/>
          <w:bCs/>
          <w:szCs w:val="22"/>
          <w:lang w:eastAsia="en-US"/>
        </w:rPr>
      </w:pPr>
    </w:p>
    <w:p w14:paraId="1D74121B" w14:textId="77777777" w:rsidR="00664420" w:rsidRPr="00A50CCF" w:rsidRDefault="00664420" w:rsidP="00404336">
      <w:pPr>
        <w:tabs>
          <w:tab w:val="center" w:pos="4568"/>
        </w:tabs>
        <w:ind w:right="-93"/>
        <w:rPr>
          <w:rFonts w:eastAsia="Calibri" w:cs="Tahoma"/>
          <w:bCs/>
          <w:szCs w:val="22"/>
          <w:lang w:eastAsia="en-US"/>
        </w:rPr>
      </w:pPr>
    </w:p>
    <w:p w14:paraId="08E74E9C" w14:textId="77777777" w:rsidR="00664420" w:rsidRPr="00A50CCF" w:rsidRDefault="00664420" w:rsidP="00404336">
      <w:pPr>
        <w:tabs>
          <w:tab w:val="center" w:pos="4568"/>
        </w:tabs>
        <w:ind w:right="-93"/>
        <w:rPr>
          <w:rFonts w:eastAsia="Calibri" w:cs="Tahoma"/>
          <w:bCs/>
          <w:szCs w:val="22"/>
          <w:lang w:eastAsia="en-US"/>
        </w:rPr>
      </w:pPr>
    </w:p>
    <w:p w14:paraId="2CBF5E03" w14:textId="77777777" w:rsidR="00664420" w:rsidRPr="00A50CCF" w:rsidRDefault="00664420" w:rsidP="00404336">
      <w:pPr>
        <w:tabs>
          <w:tab w:val="center" w:pos="4568"/>
        </w:tabs>
        <w:ind w:right="-93"/>
        <w:rPr>
          <w:rFonts w:eastAsia="Calibri" w:cs="Tahoma"/>
          <w:bCs/>
          <w:szCs w:val="22"/>
          <w:lang w:eastAsia="en-US"/>
        </w:rPr>
      </w:pPr>
    </w:p>
    <w:p w14:paraId="44865A6D" w14:textId="77777777" w:rsidR="00664420" w:rsidRPr="00A50CCF" w:rsidRDefault="00664420" w:rsidP="00404336">
      <w:pPr>
        <w:tabs>
          <w:tab w:val="center" w:pos="4568"/>
        </w:tabs>
        <w:ind w:right="-93"/>
        <w:rPr>
          <w:rFonts w:eastAsia="Calibri" w:cs="Tahoma"/>
          <w:bCs/>
          <w:szCs w:val="22"/>
          <w:lang w:eastAsia="en-US"/>
        </w:rPr>
      </w:pPr>
    </w:p>
    <w:p w14:paraId="7147F06B" w14:textId="77777777" w:rsidR="00664420" w:rsidRPr="00A50CCF" w:rsidRDefault="00664420" w:rsidP="00404336">
      <w:pPr>
        <w:tabs>
          <w:tab w:val="center" w:pos="4568"/>
        </w:tabs>
        <w:ind w:right="-93"/>
        <w:rPr>
          <w:rFonts w:eastAsia="Calibri" w:cs="Tahoma"/>
          <w:bCs/>
          <w:szCs w:val="22"/>
          <w:lang w:eastAsia="en-US"/>
        </w:rPr>
      </w:pPr>
    </w:p>
    <w:p w14:paraId="6FDF3D7E" w14:textId="77777777" w:rsidR="00664420" w:rsidRPr="00A50CCF" w:rsidRDefault="00664420" w:rsidP="00404336">
      <w:pPr>
        <w:tabs>
          <w:tab w:val="center" w:pos="4568"/>
        </w:tabs>
        <w:ind w:right="-93"/>
        <w:rPr>
          <w:rFonts w:eastAsia="Calibri" w:cs="Tahoma"/>
          <w:bCs/>
          <w:szCs w:val="22"/>
          <w:lang w:eastAsia="en-US"/>
        </w:rPr>
      </w:pPr>
    </w:p>
    <w:p w14:paraId="6246F818" w14:textId="77777777" w:rsidR="00664420" w:rsidRPr="00A50CCF" w:rsidRDefault="00664420" w:rsidP="00404336">
      <w:pPr>
        <w:tabs>
          <w:tab w:val="center" w:pos="4568"/>
        </w:tabs>
        <w:ind w:right="-93"/>
        <w:rPr>
          <w:rFonts w:eastAsia="Calibri" w:cs="Tahoma"/>
          <w:bCs/>
          <w:szCs w:val="22"/>
          <w:lang w:eastAsia="en-US"/>
        </w:rPr>
      </w:pPr>
    </w:p>
    <w:p w14:paraId="57A88B28" w14:textId="77777777" w:rsidR="00664420" w:rsidRPr="00A50CCF" w:rsidRDefault="00664420" w:rsidP="00404336">
      <w:pPr>
        <w:tabs>
          <w:tab w:val="center" w:pos="4568"/>
        </w:tabs>
        <w:ind w:right="-93"/>
        <w:rPr>
          <w:rFonts w:eastAsia="Calibri" w:cs="Tahoma"/>
          <w:bCs/>
          <w:szCs w:val="22"/>
          <w:lang w:eastAsia="en-US"/>
        </w:rPr>
      </w:pPr>
    </w:p>
    <w:p w14:paraId="77EF6095" w14:textId="77777777" w:rsidR="00664420" w:rsidRPr="00A50CCF" w:rsidRDefault="00664420" w:rsidP="00404336">
      <w:pPr>
        <w:tabs>
          <w:tab w:val="center" w:pos="4568"/>
        </w:tabs>
        <w:ind w:right="-93"/>
        <w:rPr>
          <w:rFonts w:eastAsia="Calibri" w:cs="Tahoma"/>
          <w:bCs/>
          <w:szCs w:val="22"/>
          <w:lang w:eastAsia="en-US"/>
        </w:rPr>
      </w:pPr>
    </w:p>
    <w:p w14:paraId="35593947" w14:textId="77777777" w:rsidR="00664420" w:rsidRPr="00A50CCF" w:rsidRDefault="00664420" w:rsidP="00404336">
      <w:pPr>
        <w:tabs>
          <w:tab w:val="center" w:pos="4568"/>
        </w:tabs>
        <w:ind w:right="-93"/>
        <w:rPr>
          <w:rFonts w:eastAsia="Calibri" w:cs="Tahoma"/>
          <w:bCs/>
          <w:szCs w:val="22"/>
          <w:lang w:eastAsia="en-US"/>
        </w:rPr>
      </w:pPr>
    </w:p>
    <w:p w14:paraId="3AF72A17" w14:textId="77777777" w:rsidR="00664420" w:rsidRPr="00A50CCF" w:rsidRDefault="00664420" w:rsidP="00404336">
      <w:pPr>
        <w:tabs>
          <w:tab w:val="center" w:pos="4568"/>
        </w:tabs>
        <w:ind w:right="-93"/>
        <w:rPr>
          <w:rFonts w:eastAsia="Calibri" w:cs="Tahoma"/>
          <w:bCs/>
          <w:szCs w:val="22"/>
          <w:lang w:eastAsia="en-US"/>
        </w:rPr>
      </w:pPr>
    </w:p>
    <w:p w14:paraId="37169144" w14:textId="77777777" w:rsidR="00664420" w:rsidRPr="00A50CCF" w:rsidRDefault="00664420" w:rsidP="00404336">
      <w:pPr>
        <w:tabs>
          <w:tab w:val="center" w:pos="4568"/>
        </w:tabs>
        <w:ind w:right="-93"/>
        <w:rPr>
          <w:rFonts w:eastAsia="Calibri" w:cs="Tahoma"/>
          <w:bCs/>
          <w:szCs w:val="22"/>
          <w:lang w:eastAsia="en-US"/>
        </w:rPr>
      </w:pPr>
    </w:p>
    <w:p w14:paraId="77CFC088" w14:textId="77777777" w:rsidR="00664420" w:rsidRPr="00A50CCF" w:rsidRDefault="00664420" w:rsidP="00404336">
      <w:pPr>
        <w:tabs>
          <w:tab w:val="center" w:pos="4568"/>
        </w:tabs>
        <w:ind w:right="-93"/>
        <w:rPr>
          <w:rFonts w:eastAsia="Calibri" w:cs="Tahoma"/>
          <w:bCs/>
          <w:szCs w:val="22"/>
          <w:lang w:eastAsia="en-US"/>
        </w:rPr>
      </w:pPr>
    </w:p>
    <w:p w14:paraId="781A11A5" w14:textId="77777777" w:rsidR="00664420" w:rsidRPr="00A50CCF" w:rsidRDefault="00664420" w:rsidP="00404336">
      <w:pPr>
        <w:tabs>
          <w:tab w:val="center" w:pos="4568"/>
        </w:tabs>
        <w:ind w:right="-93"/>
        <w:rPr>
          <w:rFonts w:eastAsia="Calibri" w:cs="Tahoma"/>
          <w:bCs/>
          <w:szCs w:val="22"/>
          <w:lang w:eastAsia="en-US"/>
        </w:rPr>
      </w:pPr>
    </w:p>
    <w:p w14:paraId="5B4ADFF3" w14:textId="6C473A75" w:rsidR="00A131AC" w:rsidRPr="00A50CCF" w:rsidRDefault="00A131AC" w:rsidP="00404336"/>
    <w:sectPr w:rsidR="00A131AC" w:rsidRPr="00A50CCF" w:rsidSect="00A535B4">
      <w:footerReference w:type="default" r:id="rId15"/>
      <w:pgSz w:w="12240" w:h="15840"/>
      <w:pgMar w:top="1985"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03B61" w14:textId="77777777" w:rsidR="004B64D9" w:rsidRDefault="004B64D9" w:rsidP="00664420">
      <w:pPr>
        <w:spacing w:line="240" w:lineRule="auto"/>
      </w:pPr>
      <w:r>
        <w:separator/>
      </w:r>
    </w:p>
  </w:endnote>
  <w:endnote w:type="continuationSeparator" w:id="0">
    <w:p w14:paraId="2D7DAAFA" w14:textId="77777777" w:rsidR="004B64D9" w:rsidRDefault="004B64D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65341" w:rsidRDefault="00065341">
    <w:pPr>
      <w:tabs>
        <w:tab w:val="center" w:pos="4550"/>
        <w:tab w:val="left" w:pos="5818"/>
      </w:tabs>
      <w:ind w:right="260"/>
      <w:jc w:val="right"/>
      <w:rPr>
        <w:color w:val="071320" w:themeColor="text2" w:themeShade="80"/>
        <w:sz w:val="24"/>
        <w:szCs w:val="24"/>
      </w:rPr>
    </w:pPr>
  </w:p>
  <w:p w14:paraId="1BCA7F23" w14:textId="77777777" w:rsidR="00065341" w:rsidRDefault="000653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65341" w:rsidRDefault="0006534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C0B6A" w:rsidRPr="004C0B6A">
      <w:rPr>
        <w:noProof/>
        <w:color w:val="0A1D30" w:themeColor="text2" w:themeShade="BF"/>
        <w:sz w:val="24"/>
        <w:szCs w:val="24"/>
        <w:lang w:val="es-ES"/>
      </w:rPr>
      <w:t>41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C0B6A" w:rsidRPr="004C0B6A">
      <w:rPr>
        <w:noProof/>
        <w:color w:val="0A1D30" w:themeColor="text2" w:themeShade="BF"/>
        <w:sz w:val="24"/>
        <w:szCs w:val="24"/>
        <w:lang w:val="es-ES"/>
      </w:rPr>
      <w:t>43</w:t>
    </w:r>
    <w:r>
      <w:rPr>
        <w:color w:val="0A1D30" w:themeColor="text2" w:themeShade="BF"/>
        <w:sz w:val="24"/>
        <w:szCs w:val="24"/>
      </w:rPr>
      <w:fldChar w:fldCharType="end"/>
    </w:r>
  </w:p>
  <w:p w14:paraId="310E15C0" w14:textId="77777777" w:rsidR="00065341" w:rsidRDefault="000653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4407A" w14:textId="77777777" w:rsidR="004B64D9" w:rsidRDefault="004B64D9" w:rsidP="00664420">
      <w:pPr>
        <w:spacing w:line="240" w:lineRule="auto"/>
      </w:pPr>
      <w:r>
        <w:separator/>
      </w:r>
    </w:p>
  </w:footnote>
  <w:footnote w:type="continuationSeparator" w:id="0">
    <w:p w14:paraId="561C884A" w14:textId="77777777" w:rsidR="004B64D9" w:rsidRDefault="004B64D9" w:rsidP="00664420">
      <w:pPr>
        <w:spacing w:line="240" w:lineRule="auto"/>
      </w:pPr>
      <w:r>
        <w:continuationSeparator/>
      </w:r>
    </w:p>
  </w:footnote>
  <w:footnote w:id="1">
    <w:p w14:paraId="25DB9E7C" w14:textId="77777777" w:rsidR="00065341" w:rsidRPr="00D4288F" w:rsidRDefault="00065341" w:rsidP="00180310">
      <w:pPr>
        <w:pStyle w:val="Textonotapie"/>
        <w:rPr>
          <w:rFonts w:ascii="Palatino Linotype" w:hAnsi="Palatino Linotype"/>
          <w:i/>
          <w:sz w:val="18"/>
          <w:szCs w:val="18"/>
        </w:rPr>
      </w:pPr>
      <w:r>
        <w:rPr>
          <w:rStyle w:val="Refdenotaalpie"/>
        </w:rPr>
        <w:footnoteRef/>
      </w:r>
      <w:r>
        <w:t xml:space="preserve"> </w:t>
      </w:r>
      <w:r w:rsidRPr="00D4288F">
        <w:rPr>
          <w:rFonts w:ascii="Palatino Linotype" w:hAnsi="Palatino Linotype"/>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65341" w:rsidRPr="00330DA7" w14:paraId="070A4B18" w14:textId="77777777" w:rsidTr="003F35FD">
      <w:trPr>
        <w:trHeight w:val="144"/>
        <w:jc w:val="right"/>
      </w:trPr>
      <w:tc>
        <w:tcPr>
          <w:tcW w:w="2727" w:type="dxa"/>
        </w:tcPr>
        <w:p w14:paraId="62B7493A" w14:textId="77777777" w:rsidR="00065341" w:rsidRPr="00330DA7" w:rsidRDefault="0006534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DB9BF81" w:rsidR="00065341" w:rsidRPr="00A90C72" w:rsidRDefault="00065341" w:rsidP="003F35FD">
          <w:pPr>
            <w:tabs>
              <w:tab w:val="right" w:pos="8838"/>
            </w:tabs>
            <w:ind w:left="-74" w:right="-105"/>
            <w:rPr>
              <w:rFonts w:eastAsia="Calibri" w:cs="Tahoma"/>
              <w:szCs w:val="22"/>
              <w:lang w:eastAsia="en-US"/>
            </w:rPr>
          </w:pPr>
          <w:r w:rsidRPr="00C30B99">
            <w:rPr>
              <w:rFonts w:eastAsia="Calibri" w:cs="Tahoma"/>
              <w:szCs w:val="22"/>
              <w:lang w:eastAsia="en-US"/>
            </w:rPr>
            <w:t>03042/INFOEM/IP/RR/2023</w:t>
          </w:r>
        </w:p>
      </w:tc>
    </w:tr>
    <w:tr w:rsidR="00065341" w:rsidRPr="00330DA7" w14:paraId="4521E058" w14:textId="77777777" w:rsidTr="003F35FD">
      <w:trPr>
        <w:trHeight w:val="283"/>
        <w:jc w:val="right"/>
      </w:trPr>
      <w:tc>
        <w:tcPr>
          <w:tcW w:w="2727" w:type="dxa"/>
        </w:tcPr>
        <w:p w14:paraId="0B68C086" w14:textId="77777777" w:rsidR="00065341" w:rsidRPr="00330DA7" w:rsidRDefault="0006534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841DCF9" w:rsidR="00065341" w:rsidRPr="00952DD0" w:rsidRDefault="00065341" w:rsidP="003F35FD">
          <w:pPr>
            <w:tabs>
              <w:tab w:val="left" w:pos="2834"/>
              <w:tab w:val="right" w:pos="8838"/>
            </w:tabs>
            <w:ind w:left="-108" w:right="-105"/>
            <w:rPr>
              <w:rFonts w:eastAsia="Calibri" w:cs="Tahoma"/>
              <w:szCs w:val="22"/>
              <w:lang w:eastAsia="en-US"/>
            </w:rPr>
          </w:pPr>
          <w:r w:rsidRPr="00C30B99">
            <w:rPr>
              <w:rFonts w:eastAsia="Calibri" w:cs="Tahoma"/>
              <w:szCs w:val="22"/>
              <w:lang w:eastAsia="en-US"/>
            </w:rPr>
            <w:t>Ayuntamiento de Texcaltitlán</w:t>
          </w:r>
        </w:p>
      </w:tc>
    </w:tr>
    <w:tr w:rsidR="00065341" w:rsidRPr="00330DA7" w14:paraId="6331D9B6" w14:textId="77777777" w:rsidTr="003F35FD">
      <w:trPr>
        <w:trHeight w:val="283"/>
        <w:jc w:val="right"/>
      </w:trPr>
      <w:tc>
        <w:tcPr>
          <w:tcW w:w="2727" w:type="dxa"/>
        </w:tcPr>
        <w:p w14:paraId="3FA86BAE" w14:textId="3F00F5D4" w:rsidR="00065341" w:rsidRPr="00330DA7" w:rsidRDefault="0006534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65341" w:rsidRPr="00EA66FC" w:rsidRDefault="0006534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65341" w:rsidRPr="00443C6B" w:rsidRDefault="0006534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65341" w:rsidRPr="00330DA7" w14:paraId="29CFF901" w14:textId="77777777" w:rsidTr="00065341">
      <w:trPr>
        <w:trHeight w:val="1435"/>
      </w:trPr>
      <w:tc>
        <w:tcPr>
          <w:tcW w:w="283" w:type="dxa"/>
          <w:shd w:val="clear" w:color="auto" w:fill="auto"/>
        </w:tcPr>
        <w:p w14:paraId="046B9F8F" w14:textId="77777777" w:rsidR="00065341" w:rsidRPr="00330DA7" w:rsidRDefault="00065341" w:rsidP="0006534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65341" w:rsidRPr="00330DA7" w14:paraId="04F272D2" w14:textId="77777777" w:rsidTr="00065341">
            <w:trPr>
              <w:trHeight w:val="144"/>
            </w:trPr>
            <w:tc>
              <w:tcPr>
                <w:tcW w:w="2727" w:type="dxa"/>
              </w:tcPr>
              <w:p w14:paraId="2FD4DBF6" w14:textId="77777777" w:rsidR="00065341" w:rsidRPr="00330DA7" w:rsidRDefault="00065341" w:rsidP="0006534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0EFBB55" w:rsidR="00065341" w:rsidRPr="00A90C72" w:rsidRDefault="00065341" w:rsidP="00065341">
                <w:pPr>
                  <w:tabs>
                    <w:tab w:val="right" w:pos="8838"/>
                  </w:tabs>
                  <w:ind w:left="-74" w:right="-105"/>
                  <w:rPr>
                    <w:rFonts w:eastAsia="Calibri" w:cs="Tahoma"/>
                    <w:szCs w:val="22"/>
                    <w:lang w:eastAsia="en-US"/>
                  </w:rPr>
                </w:pPr>
                <w:r w:rsidRPr="00C30B99">
                  <w:rPr>
                    <w:rFonts w:eastAsia="Calibri" w:cs="Tahoma"/>
                    <w:szCs w:val="22"/>
                    <w:lang w:eastAsia="en-US"/>
                  </w:rPr>
                  <w:t>03042/INFOEM/IP/RR/2023</w:t>
                </w:r>
              </w:p>
            </w:tc>
            <w:tc>
              <w:tcPr>
                <w:tcW w:w="3402" w:type="dxa"/>
              </w:tcPr>
              <w:p w14:paraId="71DEA1CF" w14:textId="77777777" w:rsidR="00065341" w:rsidRDefault="00065341" w:rsidP="00065341">
                <w:pPr>
                  <w:tabs>
                    <w:tab w:val="right" w:pos="8838"/>
                  </w:tabs>
                  <w:ind w:left="-74" w:right="-105"/>
                  <w:rPr>
                    <w:rFonts w:eastAsia="Calibri" w:cs="Tahoma"/>
                    <w:szCs w:val="22"/>
                    <w:lang w:eastAsia="en-US"/>
                  </w:rPr>
                </w:pPr>
              </w:p>
            </w:tc>
          </w:tr>
          <w:tr w:rsidR="00065341" w:rsidRPr="00330DA7" w14:paraId="05C58951" w14:textId="77777777" w:rsidTr="00065341">
            <w:trPr>
              <w:trHeight w:val="144"/>
            </w:trPr>
            <w:tc>
              <w:tcPr>
                <w:tcW w:w="2727" w:type="dxa"/>
              </w:tcPr>
              <w:p w14:paraId="642B9610" w14:textId="77777777" w:rsidR="00065341" w:rsidRPr="00330DA7" w:rsidRDefault="00065341" w:rsidP="0006534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243B445" w:rsidR="00065341" w:rsidRPr="005F19B1" w:rsidRDefault="00065341" w:rsidP="00065341">
                <w:pPr>
                  <w:tabs>
                    <w:tab w:val="left" w:pos="3122"/>
                    <w:tab w:val="right" w:pos="8838"/>
                  </w:tabs>
                  <w:ind w:left="-105" w:right="-105"/>
                  <w:rPr>
                    <w:rFonts w:eastAsia="Calibri" w:cs="Tahoma"/>
                    <w:szCs w:val="22"/>
                    <w:lang w:eastAsia="en-US"/>
                  </w:rPr>
                </w:pPr>
              </w:p>
            </w:tc>
            <w:tc>
              <w:tcPr>
                <w:tcW w:w="3402" w:type="dxa"/>
              </w:tcPr>
              <w:p w14:paraId="73F47F53" w14:textId="77777777" w:rsidR="00065341" w:rsidRPr="005F19B1" w:rsidRDefault="00065341" w:rsidP="00065341">
                <w:pPr>
                  <w:tabs>
                    <w:tab w:val="left" w:pos="3122"/>
                    <w:tab w:val="right" w:pos="8838"/>
                  </w:tabs>
                  <w:ind w:left="-105" w:right="-105"/>
                  <w:rPr>
                    <w:rFonts w:eastAsia="Calibri" w:cs="Tahoma"/>
                    <w:szCs w:val="22"/>
                    <w:lang w:eastAsia="en-US"/>
                  </w:rPr>
                </w:pPr>
              </w:p>
            </w:tc>
          </w:tr>
          <w:bookmarkEnd w:id="2"/>
          <w:tr w:rsidR="00065341" w:rsidRPr="00330DA7" w14:paraId="00E6CDC1" w14:textId="77777777" w:rsidTr="00065341">
            <w:trPr>
              <w:trHeight w:val="283"/>
            </w:trPr>
            <w:tc>
              <w:tcPr>
                <w:tcW w:w="2727" w:type="dxa"/>
              </w:tcPr>
              <w:p w14:paraId="0631AD24" w14:textId="77777777" w:rsidR="00065341" w:rsidRPr="00330DA7" w:rsidRDefault="00065341" w:rsidP="0006534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0D0DF80" w:rsidR="00065341" w:rsidRPr="00952DD0" w:rsidRDefault="00065341" w:rsidP="00065341">
                <w:pPr>
                  <w:tabs>
                    <w:tab w:val="left" w:pos="2834"/>
                    <w:tab w:val="right" w:pos="8838"/>
                  </w:tabs>
                  <w:ind w:left="-108" w:right="-105"/>
                  <w:rPr>
                    <w:rFonts w:eastAsia="Calibri" w:cs="Tahoma"/>
                    <w:szCs w:val="22"/>
                    <w:lang w:eastAsia="en-US"/>
                  </w:rPr>
                </w:pPr>
                <w:r w:rsidRPr="00C30B99">
                  <w:rPr>
                    <w:rFonts w:eastAsia="Calibri" w:cs="Tahoma"/>
                    <w:szCs w:val="22"/>
                    <w:lang w:eastAsia="en-US"/>
                  </w:rPr>
                  <w:t>Ayuntamiento de Texcaltitlán</w:t>
                </w:r>
              </w:p>
            </w:tc>
            <w:tc>
              <w:tcPr>
                <w:tcW w:w="3402" w:type="dxa"/>
              </w:tcPr>
              <w:p w14:paraId="3A7DA319" w14:textId="77777777" w:rsidR="00065341" w:rsidRPr="00A90C72" w:rsidRDefault="00065341" w:rsidP="00065341">
                <w:pPr>
                  <w:tabs>
                    <w:tab w:val="left" w:pos="2834"/>
                    <w:tab w:val="right" w:pos="8838"/>
                  </w:tabs>
                  <w:ind w:left="-108" w:right="-105"/>
                  <w:rPr>
                    <w:rFonts w:eastAsia="Calibri" w:cs="Tahoma"/>
                    <w:szCs w:val="22"/>
                    <w:lang w:eastAsia="en-US"/>
                  </w:rPr>
                </w:pPr>
              </w:p>
            </w:tc>
          </w:tr>
          <w:tr w:rsidR="00065341" w:rsidRPr="00330DA7" w14:paraId="0F6CD8D2" w14:textId="77777777" w:rsidTr="00065341">
            <w:trPr>
              <w:trHeight w:val="283"/>
            </w:trPr>
            <w:tc>
              <w:tcPr>
                <w:tcW w:w="2727" w:type="dxa"/>
              </w:tcPr>
              <w:p w14:paraId="31700628" w14:textId="1FB15CC6" w:rsidR="00065341" w:rsidRPr="00330DA7" w:rsidRDefault="00065341" w:rsidP="00065341">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65341" w:rsidRPr="00EA66FC" w:rsidRDefault="00065341" w:rsidP="0006534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65341" w:rsidRPr="00330DA7" w:rsidRDefault="00065341" w:rsidP="00065341">
                <w:pPr>
                  <w:tabs>
                    <w:tab w:val="right" w:pos="8838"/>
                  </w:tabs>
                  <w:ind w:left="-108" w:right="-105"/>
                  <w:rPr>
                    <w:rFonts w:eastAsia="Calibri" w:cs="Tahoma"/>
                    <w:szCs w:val="22"/>
                    <w:lang w:eastAsia="en-US"/>
                  </w:rPr>
                </w:pPr>
              </w:p>
            </w:tc>
          </w:tr>
        </w:tbl>
        <w:p w14:paraId="5DC6AC61" w14:textId="77777777" w:rsidR="00065341" w:rsidRPr="00330DA7" w:rsidRDefault="00065341" w:rsidP="00065341">
          <w:pPr>
            <w:tabs>
              <w:tab w:val="right" w:pos="8838"/>
            </w:tabs>
            <w:ind w:left="-28"/>
            <w:rPr>
              <w:rFonts w:ascii="Arial" w:eastAsia="Calibri" w:hAnsi="Arial" w:cs="Arial"/>
              <w:b/>
              <w:szCs w:val="22"/>
              <w:lang w:eastAsia="en-US"/>
            </w:rPr>
          </w:pPr>
        </w:p>
      </w:tc>
    </w:tr>
  </w:tbl>
  <w:p w14:paraId="2A906731" w14:textId="77777777" w:rsidR="00065341" w:rsidRPr="00765661" w:rsidRDefault="004B64D9" w:rsidP="00065341">
    <w:pPr>
      <w:pStyle w:val="Encabezado"/>
      <w:tabs>
        <w:tab w:val="clear" w:pos="4419"/>
        <w:tab w:val="clear" w:pos="8838"/>
        <w:tab w:val="left" w:pos="2957"/>
      </w:tabs>
      <w:rPr>
        <w:szCs w:val="22"/>
      </w:rPr>
    </w:pPr>
    <w:r>
      <w:rPr>
        <w:noProof/>
        <w:sz w:val="36"/>
        <w:szCs w:val="22"/>
        <w:lang w:eastAsia="es-MX"/>
      </w:rPr>
      <w:pict w14:anchorId="2E2B4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7pt;height:11.7pt" o:bullet="t">
        <v:imagedata r:id="rId1" o:title="mso3AA5"/>
      </v:shape>
    </w:pict>
  </w:numPicBullet>
  <w:abstractNum w:abstractNumId="0" w15:restartNumberingAfterBreak="0">
    <w:nsid w:val="02047E3C"/>
    <w:multiLevelType w:val="multilevel"/>
    <w:tmpl w:val="2640D8E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652A2"/>
    <w:multiLevelType w:val="hybridMultilevel"/>
    <w:tmpl w:val="D2E06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51DEA"/>
    <w:multiLevelType w:val="hybridMultilevel"/>
    <w:tmpl w:val="416061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423A65F8"/>
    <w:multiLevelType w:val="multilevel"/>
    <w:tmpl w:val="6BEEF56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A83C51"/>
    <w:multiLevelType w:val="hybridMultilevel"/>
    <w:tmpl w:val="63C61A4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210EE2"/>
    <w:multiLevelType w:val="hybridMultilevel"/>
    <w:tmpl w:val="6944D826"/>
    <w:lvl w:ilvl="0" w:tplc="18024A7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8"/>
  </w:num>
  <w:num w:numId="4">
    <w:abstractNumId w:val="6"/>
  </w:num>
  <w:num w:numId="5">
    <w:abstractNumId w:val="3"/>
  </w:num>
  <w:num w:numId="6">
    <w:abstractNumId w:val="19"/>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4"/>
  </w:num>
  <w:num w:numId="16">
    <w:abstractNumId w:val="2"/>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5"/>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4F3"/>
    <w:rsid w:val="00015B3F"/>
    <w:rsid w:val="0002500A"/>
    <w:rsid w:val="000318BC"/>
    <w:rsid w:val="00034189"/>
    <w:rsid w:val="000437DB"/>
    <w:rsid w:val="00057B2D"/>
    <w:rsid w:val="00065341"/>
    <w:rsid w:val="000748E2"/>
    <w:rsid w:val="000772CC"/>
    <w:rsid w:val="000C57E2"/>
    <w:rsid w:val="000D0D67"/>
    <w:rsid w:val="000D459D"/>
    <w:rsid w:val="000E052E"/>
    <w:rsid w:val="000E09C4"/>
    <w:rsid w:val="000F7982"/>
    <w:rsid w:val="0011350D"/>
    <w:rsid w:val="00131852"/>
    <w:rsid w:val="00133B4A"/>
    <w:rsid w:val="00141876"/>
    <w:rsid w:val="00150C49"/>
    <w:rsid w:val="00161923"/>
    <w:rsid w:val="00180310"/>
    <w:rsid w:val="001920BB"/>
    <w:rsid w:val="001A58B3"/>
    <w:rsid w:val="001A633B"/>
    <w:rsid w:val="001C1DCE"/>
    <w:rsid w:val="001C7688"/>
    <w:rsid w:val="001F3515"/>
    <w:rsid w:val="00227D49"/>
    <w:rsid w:val="0023177F"/>
    <w:rsid w:val="00233005"/>
    <w:rsid w:val="002338D4"/>
    <w:rsid w:val="00233F17"/>
    <w:rsid w:val="002434F8"/>
    <w:rsid w:val="0025235D"/>
    <w:rsid w:val="002567D4"/>
    <w:rsid w:val="002568F8"/>
    <w:rsid w:val="00273210"/>
    <w:rsid w:val="002A3601"/>
    <w:rsid w:val="002B7C6F"/>
    <w:rsid w:val="002C2588"/>
    <w:rsid w:val="00302476"/>
    <w:rsid w:val="00315FF8"/>
    <w:rsid w:val="00331F35"/>
    <w:rsid w:val="003351C7"/>
    <w:rsid w:val="0034218F"/>
    <w:rsid w:val="00362A11"/>
    <w:rsid w:val="00380417"/>
    <w:rsid w:val="003A1C3B"/>
    <w:rsid w:val="003A40C1"/>
    <w:rsid w:val="003B184E"/>
    <w:rsid w:val="003C30E8"/>
    <w:rsid w:val="003E1D10"/>
    <w:rsid w:val="003F35FD"/>
    <w:rsid w:val="00404336"/>
    <w:rsid w:val="0040558E"/>
    <w:rsid w:val="0041385B"/>
    <w:rsid w:val="00424FF4"/>
    <w:rsid w:val="00441BFA"/>
    <w:rsid w:val="00454FBD"/>
    <w:rsid w:val="004A548E"/>
    <w:rsid w:val="004B64D9"/>
    <w:rsid w:val="004C0B6A"/>
    <w:rsid w:val="004C67FD"/>
    <w:rsid w:val="004D7CD8"/>
    <w:rsid w:val="004E0438"/>
    <w:rsid w:val="004E21B4"/>
    <w:rsid w:val="004E5068"/>
    <w:rsid w:val="004F68B4"/>
    <w:rsid w:val="004F7A00"/>
    <w:rsid w:val="0052311D"/>
    <w:rsid w:val="00536156"/>
    <w:rsid w:val="005365FA"/>
    <w:rsid w:val="005723CB"/>
    <w:rsid w:val="00575400"/>
    <w:rsid w:val="005941FB"/>
    <w:rsid w:val="0059544D"/>
    <w:rsid w:val="005A0A5F"/>
    <w:rsid w:val="005A5C89"/>
    <w:rsid w:val="005B18AF"/>
    <w:rsid w:val="005D5A50"/>
    <w:rsid w:val="005E4808"/>
    <w:rsid w:val="005F2B08"/>
    <w:rsid w:val="005F5301"/>
    <w:rsid w:val="005F65B7"/>
    <w:rsid w:val="006067C7"/>
    <w:rsid w:val="00612BC9"/>
    <w:rsid w:val="00615506"/>
    <w:rsid w:val="006159AD"/>
    <w:rsid w:val="00646436"/>
    <w:rsid w:val="00664420"/>
    <w:rsid w:val="00670479"/>
    <w:rsid w:val="006827B2"/>
    <w:rsid w:val="00685AD3"/>
    <w:rsid w:val="006946E4"/>
    <w:rsid w:val="006A5AE1"/>
    <w:rsid w:val="006B10B0"/>
    <w:rsid w:val="006E0F00"/>
    <w:rsid w:val="006E2391"/>
    <w:rsid w:val="006E25BC"/>
    <w:rsid w:val="006E6BBC"/>
    <w:rsid w:val="006F7768"/>
    <w:rsid w:val="00717E59"/>
    <w:rsid w:val="0073208C"/>
    <w:rsid w:val="007404CC"/>
    <w:rsid w:val="007451FE"/>
    <w:rsid w:val="007476F0"/>
    <w:rsid w:val="00761BE2"/>
    <w:rsid w:val="00775BFC"/>
    <w:rsid w:val="007879B8"/>
    <w:rsid w:val="007A482E"/>
    <w:rsid w:val="007B6074"/>
    <w:rsid w:val="007B7D67"/>
    <w:rsid w:val="007C5C93"/>
    <w:rsid w:val="007D1C55"/>
    <w:rsid w:val="007D317F"/>
    <w:rsid w:val="007D644B"/>
    <w:rsid w:val="007F5D06"/>
    <w:rsid w:val="00810A7B"/>
    <w:rsid w:val="00814C80"/>
    <w:rsid w:val="0084341B"/>
    <w:rsid w:val="00865542"/>
    <w:rsid w:val="00865CF4"/>
    <w:rsid w:val="00876496"/>
    <w:rsid w:val="00876DBC"/>
    <w:rsid w:val="008A0392"/>
    <w:rsid w:val="008A6003"/>
    <w:rsid w:val="008A6F88"/>
    <w:rsid w:val="008B09E4"/>
    <w:rsid w:val="008B1E16"/>
    <w:rsid w:val="008C48EE"/>
    <w:rsid w:val="008E070D"/>
    <w:rsid w:val="00900C44"/>
    <w:rsid w:val="009037AF"/>
    <w:rsid w:val="00910FD2"/>
    <w:rsid w:val="00931437"/>
    <w:rsid w:val="00932543"/>
    <w:rsid w:val="00945415"/>
    <w:rsid w:val="00953430"/>
    <w:rsid w:val="009569D0"/>
    <w:rsid w:val="009578F9"/>
    <w:rsid w:val="00962628"/>
    <w:rsid w:val="00970EB3"/>
    <w:rsid w:val="00970F47"/>
    <w:rsid w:val="00983529"/>
    <w:rsid w:val="00986036"/>
    <w:rsid w:val="00994944"/>
    <w:rsid w:val="009950D7"/>
    <w:rsid w:val="009A2D78"/>
    <w:rsid w:val="009A7C10"/>
    <w:rsid w:val="009B2403"/>
    <w:rsid w:val="009B2945"/>
    <w:rsid w:val="009D0146"/>
    <w:rsid w:val="009D5A76"/>
    <w:rsid w:val="009D616C"/>
    <w:rsid w:val="009E5CF4"/>
    <w:rsid w:val="009F797C"/>
    <w:rsid w:val="00A01929"/>
    <w:rsid w:val="00A131AC"/>
    <w:rsid w:val="00A13DF8"/>
    <w:rsid w:val="00A16D85"/>
    <w:rsid w:val="00A17059"/>
    <w:rsid w:val="00A203C6"/>
    <w:rsid w:val="00A21A20"/>
    <w:rsid w:val="00A225DA"/>
    <w:rsid w:val="00A46118"/>
    <w:rsid w:val="00A50CCF"/>
    <w:rsid w:val="00A53315"/>
    <w:rsid w:val="00A535B4"/>
    <w:rsid w:val="00A54AFF"/>
    <w:rsid w:val="00A65695"/>
    <w:rsid w:val="00A66442"/>
    <w:rsid w:val="00A713F6"/>
    <w:rsid w:val="00A820F2"/>
    <w:rsid w:val="00A86DEF"/>
    <w:rsid w:val="00A9208D"/>
    <w:rsid w:val="00AA26B0"/>
    <w:rsid w:val="00AA6EA9"/>
    <w:rsid w:val="00AC2DB8"/>
    <w:rsid w:val="00AC3CA0"/>
    <w:rsid w:val="00AD67E4"/>
    <w:rsid w:val="00AE3DA7"/>
    <w:rsid w:val="00AF03C4"/>
    <w:rsid w:val="00B22689"/>
    <w:rsid w:val="00B22A80"/>
    <w:rsid w:val="00B539A9"/>
    <w:rsid w:val="00B62B67"/>
    <w:rsid w:val="00B71DBD"/>
    <w:rsid w:val="00B9452E"/>
    <w:rsid w:val="00BA55A8"/>
    <w:rsid w:val="00BB2ABF"/>
    <w:rsid w:val="00BB64F4"/>
    <w:rsid w:val="00BD3F4F"/>
    <w:rsid w:val="00BE7138"/>
    <w:rsid w:val="00BF0221"/>
    <w:rsid w:val="00BF091A"/>
    <w:rsid w:val="00C049E2"/>
    <w:rsid w:val="00C2269A"/>
    <w:rsid w:val="00C30B99"/>
    <w:rsid w:val="00C36610"/>
    <w:rsid w:val="00C36795"/>
    <w:rsid w:val="00C460FB"/>
    <w:rsid w:val="00C461EC"/>
    <w:rsid w:val="00C507D4"/>
    <w:rsid w:val="00C556C5"/>
    <w:rsid w:val="00C71CEF"/>
    <w:rsid w:val="00C72DAA"/>
    <w:rsid w:val="00CA11CF"/>
    <w:rsid w:val="00CB3B9E"/>
    <w:rsid w:val="00CD0B92"/>
    <w:rsid w:val="00CD1AFD"/>
    <w:rsid w:val="00CE29D3"/>
    <w:rsid w:val="00CF2D8B"/>
    <w:rsid w:val="00CF6209"/>
    <w:rsid w:val="00CF7586"/>
    <w:rsid w:val="00D036D3"/>
    <w:rsid w:val="00D2790D"/>
    <w:rsid w:val="00D51ECD"/>
    <w:rsid w:val="00D54DE6"/>
    <w:rsid w:val="00D6170E"/>
    <w:rsid w:val="00D91CB4"/>
    <w:rsid w:val="00DA614F"/>
    <w:rsid w:val="00DB37D5"/>
    <w:rsid w:val="00DD5F50"/>
    <w:rsid w:val="00DD6EF3"/>
    <w:rsid w:val="00DE1133"/>
    <w:rsid w:val="00DF03AD"/>
    <w:rsid w:val="00DF75D7"/>
    <w:rsid w:val="00E03D9B"/>
    <w:rsid w:val="00E06F53"/>
    <w:rsid w:val="00E14CE6"/>
    <w:rsid w:val="00E16BF5"/>
    <w:rsid w:val="00E31268"/>
    <w:rsid w:val="00E32F5E"/>
    <w:rsid w:val="00E37A3F"/>
    <w:rsid w:val="00E4033C"/>
    <w:rsid w:val="00E46A1B"/>
    <w:rsid w:val="00E54E41"/>
    <w:rsid w:val="00E62E6A"/>
    <w:rsid w:val="00E83EF5"/>
    <w:rsid w:val="00E9335C"/>
    <w:rsid w:val="00E937AE"/>
    <w:rsid w:val="00EA0D03"/>
    <w:rsid w:val="00EA2834"/>
    <w:rsid w:val="00ED1C1E"/>
    <w:rsid w:val="00EE31D5"/>
    <w:rsid w:val="00EF248B"/>
    <w:rsid w:val="00F07EE6"/>
    <w:rsid w:val="00F1385D"/>
    <w:rsid w:val="00F33CC8"/>
    <w:rsid w:val="00F33D10"/>
    <w:rsid w:val="00F446F4"/>
    <w:rsid w:val="00F6606F"/>
    <w:rsid w:val="00F75D23"/>
    <w:rsid w:val="00F96248"/>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D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customStyle="1" w:styleId="Citas">
    <w:name w:val="Citas"/>
    <w:basedOn w:val="Normal"/>
    <w:qFormat/>
    <w:rsid w:val="00180310"/>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4752">
      <w:bodyDiv w:val="1"/>
      <w:marLeft w:val="0"/>
      <w:marRight w:val="0"/>
      <w:marTop w:val="0"/>
      <w:marBottom w:val="0"/>
      <w:divBdr>
        <w:top w:val="none" w:sz="0" w:space="0" w:color="auto"/>
        <w:left w:val="none" w:sz="0" w:space="0" w:color="auto"/>
        <w:bottom w:val="none" w:sz="0" w:space="0" w:color="auto"/>
        <w:right w:val="none" w:sz="0" w:space="0" w:color="auto"/>
      </w:divBdr>
    </w:div>
    <w:div w:id="299072909">
      <w:bodyDiv w:val="1"/>
      <w:marLeft w:val="0"/>
      <w:marRight w:val="0"/>
      <w:marTop w:val="0"/>
      <w:marBottom w:val="0"/>
      <w:divBdr>
        <w:top w:val="none" w:sz="0" w:space="0" w:color="auto"/>
        <w:left w:val="none" w:sz="0" w:space="0" w:color="auto"/>
        <w:bottom w:val="none" w:sz="0" w:space="0" w:color="auto"/>
        <w:right w:val="none" w:sz="0" w:space="0" w:color="auto"/>
      </w:divBdr>
    </w:div>
    <w:div w:id="363822619">
      <w:bodyDiv w:val="1"/>
      <w:marLeft w:val="0"/>
      <w:marRight w:val="0"/>
      <w:marTop w:val="0"/>
      <w:marBottom w:val="0"/>
      <w:divBdr>
        <w:top w:val="none" w:sz="0" w:space="0" w:color="auto"/>
        <w:left w:val="none" w:sz="0" w:space="0" w:color="auto"/>
        <w:bottom w:val="none" w:sz="0" w:space="0" w:color="auto"/>
        <w:right w:val="none" w:sz="0" w:space="0" w:color="auto"/>
      </w:divBdr>
    </w:div>
    <w:div w:id="434441427">
      <w:bodyDiv w:val="1"/>
      <w:marLeft w:val="0"/>
      <w:marRight w:val="0"/>
      <w:marTop w:val="0"/>
      <w:marBottom w:val="0"/>
      <w:divBdr>
        <w:top w:val="none" w:sz="0" w:space="0" w:color="auto"/>
        <w:left w:val="none" w:sz="0" w:space="0" w:color="auto"/>
        <w:bottom w:val="none" w:sz="0" w:space="0" w:color="auto"/>
        <w:right w:val="none" w:sz="0" w:space="0" w:color="auto"/>
      </w:divBdr>
    </w:div>
    <w:div w:id="978269397">
      <w:bodyDiv w:val="1"/>
      <w:marLeft w:val="0"/>
      <w:marRight w:val="0"/>
      <w:marTop w:val="0"/>
      <w:marBottom w:val="0"/>
      <w:divBdr>
        <w:top w:val="none" w:sz="0" w:space="0" w:color="auto"/>
        <w:left w:val="none" w:sz="0" w:space="0" w:color="auto"/>
        <w:bottom w:val="none" w:sz="0" w:space="0" w:color="auto"/>
        <w:right w:val="none" w:sz="0" w:space="0" w:color="auto"/>
      </w:divBdr>
    </w:div>
    <w:div w:id="998389165">
      <w:bodyDiv w:val="1"/>
      <w:marLeft w:val="0"/>
      <w:marRight w:val="0"/>
      <w:marTop w:val="0"/>
      <w:marBottom w:val="0"/>
      <w:divBdr>
        <w:top w:val="none" w:sz="0" w:space="0" w:color="auto"/>
        <w:left w:val="none" w:sz="0" w:space="0" w:color="auto"/>
        <w:bottom w:val="none" w:sz="0" w:space="0" w:color="auto"/>
        <w:right w:val="none" w:sz="0" w:space="0" w:color="auto"/>
      </w:divBdr>
    </w:div>
    <w:div w:id="1457064477">
      <w:bodyDiv w:val="1"/>
      <w:marLeft w:val="0"/>
      <w:marRight w:val="0"/>
      <w:marTop w:val="0"/>
      <w:marBottom w:val="0"/>
      <w:divBdr>
        <w:top w:val="none" w:sz="0" w:space="0" w:color="auto"/>
        <w:left w:val="none" w:sz="0" w:space="0" w:color="auto"/>
        <w:bottom w:val="none" w:sz="0" w:space="0" w:color="auto"/>
        <w:right w:val="none" w:sz="0" w:space="0" w:color="auto"/>
      </w:divBdr>
    </w:div>
    <w:div w:id="15462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2ADA6-7B56-4EE4-848F-B8461058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11918</Words>
  <Characters>65555</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2024-08-30T01:28:00Z</cp:lastPrinted>
  <dcterms:created xsi:type="dcterms:W3CDTF">2024-08-22T17:25:00Z</dcterms:created>
  <dcterms:modified xsi:type="dcterms:W3CDTF">2024-08-30T01:28:00Z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