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C8BAC" w14:textId="320F8F6C"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536544">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D007C6" w:rsidRPr="00536544">
        <w:rPr>
          <w:rFonts w:ascii="Palatino Linotype" w:eastAsia="Palatino Linotype" w:hAnsi="Palatino Linotype" w:cs="Palatino Linotype"/>
          <w:sz w:val="24"/>
          <w:szCs w:val="24"/>
        </w:rPr>
        <w:t>diecisiete de enero</w:t>
      </w:r>
      <w:r w:rsidRPr="00536544">
        <w:rPr>
          <w:rFonts w:ascii="Palatino Linotype" w:eastAsia="Palatino Linotype" w:hAnsi="Palatino Linotype" w:cs="Palatino Linotype"/>
          <w:sz w:val="24"/>
          <w:szCs w:val="24"/>
        </w:rPr>
        <w:t xml:space="preserve"> de dos mil veinticuatro. </w:t>
      </w:r>
    </w:p>
    <w:p w14:paraId="32670B2B"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3624479D" w14:textId="1603BAC1"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Visto el expediente relativo al recurso de revisión </w:t>
      </w:r>
      <w:r w:rsidRPr="00536544">
        <w:rPr>
          <w:rFonts w:ascii="Palatino Linotype" w:eastAsia="Palatino Linotype" w:hAnsi="Palatino Linotype" w:cs="Palatino Linotype"/>
          <w:b/>
          <w:sz w:val="24"/>
          <w:szCs w:val="24"/>
        </w:rPr>
        <w:t>02474/INFOEM/IP/RR/2023</w:t>
      </w:r>
      <w:r w:rsidRPr="00536544">
        <w:rPr>
          <w:rFonts w:ascii="Palatino Linotype" w:eastAsia="Palatino Linotype" w:hAnsi="Palatino Linotype" w:cs="Palatino Linotype"/>
          <w:sz w:val="24"/>
          <w:szCs w:val="24"/>
        </w:rPr>
        <w:t xml:space="preserve">, interpuesto por </w:t>
      </w:r>
      <w:r w:rsidR="00144684">
        <w:rPr>
          <w:rFonts w:ascii="Palatino Linotype" w:eastAsia="Palatino Linotype" w:hAnsi="Palatino Linotype" w:cs="Palatino Linotype"/>
          <w:b/>
        </w:rPr>
        <w:t>XXXXXXX XXXXXXXXX XXXXXXXXXX</w:t>
      </w:r>
      <w:r w:rsidRPr="00536544">
        <w:rPr>
          <w:rFonts w:ascii="Palatino Linotype" w:eastAsia="Palatino Linotype" w:hAnsi="Palatino Linotype" w:cs="Palatino Linotype"/>
          <w:sz w:val="24"/>
          <w:szCs w:val="24"/>
        </w:rPr>
        <w:t xml:space="preserve">, a quien en lo sucesivo se le denominará </w:t>
      </w:r>
      <w:r w:rsidRPr="00536544">
        <w:rPr>
          <w:rFonts w:ascii="Palatino Linotype" w:eastAsia="Palatino Linotype" w:hAnsi="Palatino Linotype" w:cs="Palatino Linotype"/>
          <w:b/>
          <w:sz w:val="24"/>
          <w:szCs w:val="24"/>
        </w:rPr>
        <w:t>la parte Recurrente</w:t>
      </w:r>
      <w:r w:rsidRPr="00536544">
        <w:rPr>
          <w:rFonts w:ascii="Palatino Linotype" w:eastAsia="Palatino Linotype" w:hAnsi="Palatino Linotype" w:cs="Palatino Linotype"/>
          <w:sz w:val="24"/>
          <w:szCs w:val="24"/>
        </w:rPr>
        <w:t>, en contra de la respuesta a su solicitud de información identificada con número de folio</w:t>
      </w:r>
      <w:r w:rsidRPr="00536544">
        <w:rPr>
          <w:rFonts w:ascii="Palatino Linotype" w:eastAsia="Palatino Linotype" w:hAnsi="Palatino Linotype" w:cs="Palatino Linotype"/>
          <w:b/>
          <w:sz w:val="24"/>
          <w:szCs w:val="24"/>
        </w:rPr>
        <w:t xml:space="preserve"> 00180/NAUCALPA/IP/2023</w:t>
      </w:r>
      <w:r w:rsidRPr="00536544">
        <w:rPr>
          <w:rFonts w:ascii="Palatino Linotype" w:eastAsia="Palatino Linotype" w:hAnsi="Palatino Linotype" w:cs="Palatino Linotype"/>
          <w:sz w:val="24"/>
          <w:szCs w:val="24"/>
        </w:rPr>
        <w:t xml:space="preserve">, proporcionada por el </w:t>
      </w:r>
      <w:r w:rsidRPr="00536544">
        <w:rPr>
          <w:rFonts w:ascii="Palatino Linotype" w:eastAsia="Palatino Linotype" w:hAnsi="Palatino Linotype" w:cs="Palatino Linotype"/>
          <w:b/>
          <w:sz w:val="24"/>
          <w:szCs w:val="24"/>
        </w:rPr>
        <w:t>Ayuntamiento de Naucalpan de Juárez</w:t>
      </w:r>
      <w:r w:rsidRPr="00536544">
        <w:rPr>
          <w:rFonts w:ascii="Palatino Linotype" w:eastAsia="Palatino Linotype" w:hAnsi="Palatino Linotype" w:cs="Palatino Linotype"/>
          <w:sz w:val="24"/>
          <w:szCs w:val="24"/>
        </w:rPr>
        <w:t xml:space="preserve">, en lo sucesivo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se procede a dictar la presente resolución, con base en los siguientes:</w:t>
      </w:r>
    </w:p>
    <w:p w14:paraId="28DC2775"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20E269AE" w14:textId="77777777" w:rsidR="008A31EA" w:rsidRPr="00536544" w:rsidRDefault="008F2A0D" w:rsidP="00536544">
      <w:pPr>
        <w:shd w:val="clear" w:color="auto" w:fill="FFFFFF" w:themeFill="background1"/>
        <w:spacing w:after="0" w:line="360" w:lineRule="auto"/>
        <w:ind w:right="49"/>
        <w:jc w:val="center"/>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I.</w:t>
      </w:r>
      <w:r w:rsidRPr="00536544">
        <w:rPr>
          <w:rFonts w:ascii="Palatino Linotype" w:eastAsia="Palatino Linotype" w:hAnsi="Palatino Linotype" w:cs="Palatino Linotype"/>
          <w:b/>
          <w:sz w:val="24"/>
          <w:szCs w:val="24"/>
        </w:rPr>
        <w:tab/>
        <w:t>A N T E C E D E N T E S</w:t>
      </w:r>
    </w:p>
    <w:p w14:paraId="28FCF834" w14:textId="77777777" w:rsidR="008A31EA" w:rsidRPr="00536544" w:rsidRDefault="008A31EA" w:rsidP="00536544">
      <w:pPr>
        <w:pBdr>
          <w:top w:val="nil"/>
          <w:left w:val="nil"/>
          <w:bottom w:val="nil"/>
          <w:right w:val="nil"/>
          <w:between w:val="nil"/>
        </w:pBdr>
        <w:shd w:val="clear" w:color="auto" w:fill="FFFFFF" w:themeFill="background1"/>
        <w:tabs>
          <w:tab w:val="left" w:pos="284"/>
        </w:tabs>
        <w:spacing w:after="0" w:line="360" w:lineRule="auto"/>
        <w:ind w:right="49"/>
        <w:jc w:val="both"/>
        <w:rPr>
          <w:rFonts w:ascii="Palatino Linotype" w:eastAsia="Palatino Linotype" w:hAnsi="Palatino Linotype" w:cs="Palatino Linotype"/>
          <w:sz w:val="24"/>
          <w:szCs w:val="24"/>
        </w:rPr>
      </w:pPr>
      <w:bookmarkStart w:id="1" w:name="_heading=h.2et92p0" w:colFirst="0" w:colLast="0"/>
      <w:bookmarkEnd w:id="1"/>
    </w:p>
    <w:p w14:paraId="0BCA9B04" w14:textId="77777777" w:rsidR="008A31EA" w:rsidRPr="00536544" w:rsidRDefault="008F2A0D" w:rsidP="00536544">
      <w:pPr>
        <w:numPr>
          <w:ilvl w:val="0"/>
          <w:numId w:val="2"/>
        </w:numPr>
        <w:pBdr>
          <w:top w:val="nil"/>
          <w:left w:val="nil"/>
          <w:bottom w:val="nil"/>
          <w:right w:val="nil"/>
          <w:between w:val="nil"/>
        </w:pBdr>
        <w:shd w:val="clear" w:color="auto" w:fill="FFFFFF" w:themeFill="background1"/>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2" w:name="_heading=h.1fob9te" w:colFirst="0" w:colLast="0"/>
      <w:bookmarkEnd w:id="2"/>
      <w:r w:rsidRPr="00536544">
        <w:rPr>
          <w:rFonts w:ascii="Palatino Linotype" w:eastAsia="Palatino Linotype" w:hAnsi="Palatino Linotype" w:cs="Palatino Linotype"/>
          <w:b/>
          <w:sz w:val="24"/>
          <w:szCs w:val="24"/>
        </w:rPr>
        <w:t>Solicitud de acceso a la información.</w:t>
      </w:r>
      <w:r w:rsidRPr="00536544">
        <w:rPr>
          <w:rFonts w:ascii="Palatino Linotype" w:eastAsia="Palatino Linotype" w:hAnsi="Palatino Linotype" w:cs="Palatino Linotype"/>
          <w:sz w:val="24"/>
          <w:szCs w:val="24"/>
        </w:rPr>
        <w:t xml:space="preserve"> Con fecha </w:t>
      </w:r>
      <w:r w:rsidRPr="00536544">
        <w:rPr>
          <w:rFonts w:ascii="Palatino Linotype" w:eastAsia="Palatino Linotype" w:hAnsi="Palatino Linotype" w:cs="Palatino Linotype"/>
          <w:b/>
          <w:sz w:val="24"/>
          <w:szCs w:val="24"/>
        </w:rPr>
        <w:t>veintisiete de marzo de dos mil veintitrés</w:t>
      </w:r>
      <w:r w:rsidRPr="00536544">
        <w:rPr>
          <w:rFonts w:ascii="Palatino Linotype" w:eastAsia="Palatino Linotype" w:hAnsi="Palatino Linotype" w:cs="Palatino Linotype"/>
          <w:sz w:val="24"/>
          <w:szCs w:val="24"/>
        </w:rPr>
        <w:t>, la persona solicitante formuló solicitud de acceso a información pública al</w:t>
      </w:r>
      <w:r w:rsidRPr="00536544">
        <w:rPr>
          <w:rFonts w:ascii="Palatino Linotype" w:eastAsia="Palatino Linotype" w:hAnsi="Palatino Linotype" w:cs="Palatino Linotype"/>
          <w:b/>
          <w:sz w:val="24"/>
          <w:szCs w:val="24"/>
        </w:rPr>
        <w:t xml:space="preserve"> Sujeto Obligado</w:t>
      </w:r>
      <w:r w:rsidRPr="00536544">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76A99DCD" w14:textId="77777777" w:rsidR="008A31EA" w:rsidRPr="00536544" w:rsidRDefault="008A31EA" w:rsidP="00536544">
      <w:pPr>
        <w:shd w:val="clear" w:color="auto" w:fill="FFFFFF" w:themeFill="background1"/>
        <w:tabs>
          <w:tab w:val="left" w:pos="8505"/>
        </w:tabs>
        <w:spacing w:after="0" w:line="360" w:lineRule="auto"/>
        <w:ind w:left="567" w:right="560"/>
        <w:jc w:val="both"/>
        <w:rPr>
          <w:rFonts w:ascii="Palatino Linotype" w:eastAsia="Palatino Linotype" w:hAnsi="Palatino Linotype" w:cs="Palatino Linotype"/>
          <w:i/>
        </w:rPr>
      </w:pPr>
      <w:bookmarkStart w:id="3" w:name="_heading=h.30j0zll" w:colFirst="0" w:colLast="0"/>
      <w:bookmarkEnd w:id="3"/>
    </w:p>
    <w:p w14:paraId="6417A7E6" w14:textId="77777777" w:rsidR="008A31EA" w:rsidRPr="00536544" w:rsidRDefault="008F2A0D" w:rsidP="00536544">
      <w:pPr>
        <w:shd w:val="clear" w:color="auto" w:fill="FFFFFF" w:themeFill="background1"/>
        <w:tabs>
          <w:tab w:val="left" w:pos="8505"/>
        </w:tabs>
        <w:spacing w:after="0" w:line="276" w:lineRule="auto"/>
        <w:ind w:left="567" w:right="560"/>
        <w:jc w:val="both"/>
        <w:rPr>
          <w:rFonts w:ascii="Palatino Linotype" w:eastAsia="Palatino Linotype" w:hAnsi="Palatino Linotype" w:cs="Palatino Linotype"/>
          <w:i/>
        </w:rPr>
      </w:pPr>
      <w:r w:rsidRPr="00536544">
        <w:rPr>
          <w:rFonts w:ascii="Palatino Linotype" w:eastAsia="Palatino Linotype" w:hAnsi="Palatino Linotype" w:cs="Palatino Linotype"/>
          <w:i/>
        </w:rPr>
        <w:t xml:space="preserve">“Buenas Tardes, Solicito se me informe mediante copia simple de la documental oficial todas y cada una de las actuaciones que el Gobierno Municipal de Naucalpan de Juárez, ha realizado para frenar la obra que se ejecuta en el triángulo de Lomas Verdes, Av. Aseo de Lomas Verdes y Súper Avenida Lomas Verdes, entre el Centro Cívico y la 3a. Sección de Lomas Verdes. </w:t>
      </w:r>
      <w:proofErr w:type="gramStart"/>
      <w:r w:rsidRPr="00536544">
        <w:rPr>
          <w:rFonts w:ascii="Palatino Linotype" w:eastAsia="Palatino Linotype" w:hAnsi="Palatino Linotype" w:cs="Palatino Linotype"/>
          <w:i/>
        </w:rPr>
        <w:t>ya</w:t>
      </w:r>
      <w:proofErr w:type="gramEnd"/>
      <w:r w:rsidRPr="00536544">
        <w:rPr>
          <w:rFonts w:ascii="Palatino Linotype" w:eastAsia="Palatino Linotype" w:hAnsi="Palatino Linotype" w:cs="Palatino Linotype"/>
          <w:i/>
        </w:rPr>
        <w:t xml:space="preserve"> que éste es vía pública y NO UN PREDIO particular. Así mismo las acciones para recuperar el bien del Dominio Público (Vía Pública). SALUDOS.” (Sic)</w:t>
      </w:r>
    </w:p>
    <w:p w14:paraId="7A910814" w14:textId="77777777" w:rsidR="008A31EA" w:rsidRPr="00536544" w:rsidRDefault="008A31EA" w:rsidP="00536544">
      <w:pPr>
        <w:shd w:val="clear" w:color="auto" w:fill="FFFFFF" w:themeFill="background1"/>
        <w:tabs>
          <w:tab w:val="left" w:pos="8505"/>
        </w:tabs>
        <w:spacing w:after="0" w:line="360" w:lineRule="auto"/>
        <w:ind w:left="567" w:right="560"/>
        <w:jc w:val="both"/>
        <w:rPr>
          <w:rFonts w:ascii="Palatino Linotype" w:eastAsia="Palatino Linotype" w:hAnsi="Palatino Linotype" w:cs="Palatino Linotype"/>
          <w:i/>
        </w:rPr>
      </w:pPr>
    </w:p>
    <w:p w14:paraId="28EFEC31"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Modalidad elegida para la entrega de la información:</w:t>
      </w:r>
      <w:r w:rsidRPr="00536544">
        <w:rPr>
          <w:rFonts w:ascii="Palatino Linotype" w:eastAsia="Palatino Linotype" w:hAnsi="Palatino Linotype" w:cs="Palatino Linotype"/>
          <w:sz w:val="24"/>
          <w:szCs w:val="24"/>
        </w:rPr>
        <w:t xml:space="preserve"> a través del Sistema de Acceso a la Información Mexiquense (SAIMEX). </w:t>
      </w:r>
    </w:p>
    <w:p w14:paraId="1744D045"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45F6B0F2" w14:textId="77777777" w:rsidR="008A31EA" w:rsidRPr="00536544" w:rsidRDefault="008F2A0D" w:rsidP="00536544">
      <w:pPr>
        <w:numPr>
          <w:ilvl w:val="0"/>
          <w:numId w:val="2"/>
        </w:numPr>
        <w:pBdr>
          <w:top w:val="nil"/>
          <w:left w:val="nil"/>
          <w:bottom w:val="nil"/>
          <w:right w:val="nil"/>
          <w:between w:val="nil"/>
        </w:pBdr>
        <w:shd w:val="clear" w:color="auto" w:fill="FFFFFF" w:themeFill="background1"/>
        <w:tabs>
          <w:tab w:val="left" w:pos="284"/>
        </w:tabs>
        <w:spacing w:after="0" w:line="360" w:lineRule="auto"/>
        <w:ind w:left="0" w:right="49" w:firstLine="0"/>
        <w:jc w:val="both"/>
        <w:rPr>
          <w:rFonts w:ascii="Palatino Linotype" w:eastAsia="Palatino Linotype" w:hAnsi="Palatino Linotype" w:cs="Palatino Linotype"/>
          <w:sz w:val="28"/>
          <w:szCs w:val="28"/>
        </w:rPr>
      </w:pPr>
      <w:r w:rsidRPr="00536544">
        <w:rPr>
          <w:rFonts w:ascii="Palatino Linotype" w:eastAsia="Palatino Linotype" w:hAnsi="Palatino Linotype" w:cs="Palatino Linotype"/>
          <w:b/>
          <w:sz w:val="24"/>
          <w:szCs w:val="24"/>
        </w:rPr>
        <w:t xml:space="preserve">Prórroga. </w:t>
      </w:r>
      <w:r w:rsidRPr="00536544">
        <w:rPr>
          <w:rFonts w:ascii="Palatino Linotype" w:eastAsia="Palatino Linotype" w:hAnsi="Palatino Linotype" w:cs="Palatino Linotype"/>
          <w:sz w:val="24"/>
          <w:szCs w:val="24"/>
        </w:rPr>
        <w:t xml:space="preserve">El </w:t>
      </w:r>
      <w:r w:rsidRPr="00536544">
        <w:rPr>
          <w:rFonts w:ascii="Palatino Linotype" w:eastAsia="Palatino Linotype" w:hAnsi="Palatino Linotype" w:cs="Palatino Linotype"/>
          <w:b/>
          <w:sz w:val="24"/>
          <w:szCs w:val="24"/>
        </w:rPr>
        <w:t xml:space="preserve">veinticuatro de abril de dos mil veintitrés, </w:t>
      </w:r>
      <w:r w:rsidRPr="00536544">
        <w:rPr>
          <w:rFonts w:ascii="Palatino Linotype" w:eastAsia="Palatino Linotype" w:hAnsi="Palatino Linotype" w:cs="Palatino Linotype"/>
          <w:sz w:val="24"/>
          <w:szCs w:val="24"/>
        </w:rPr>
        <w:t xml:space="preserve">el </w:t>
      </w:r>
      <w:r w:rsidRPr="00536544">
        <w:rPr>
          <w:rFonts w:ascii="Palatino Linotype" w:eastAsia="Palatino Linotype" w:hAnsi="Palatino Linotype" w:cs="Palatino Linotype"/>
          <w:b/>
          <w:sz w:val="24"/>
          <w:szCs w:val="24"/>
        </w:rPr>
        <w:t xml:space="preserve">Sujeto Obligado </w:t>
      </w:r>
      <w:r w:rsidRPr="00536544">
        <w:rPr>
          <w:rFonts w:ascii="Palatino Linotype" w:eastAsia="Palatino Linotype" w:hAnsi="Palatino Linotype" w:cs="Palatino Linotype"/>
          <w:sz w:val="24"/>
          <w:szCs w:val="24"/>
        </w:rPr>
        <w:t xml:space="preserve">informó que el plazo de quince días hábiles para atender la solicitud de mérito fue prorrogado por siete días más en virtud de las siguientes razones: </w:t>
      </w:r>
    </w:p>
    <w:p w14:paraId="23EF1180" w14:textId="77777777" w:rsidR="008A31EA" w:rsidRPr="00536544" w:rsidRDefault="008F2A0D" w:rsidP="00536544">
      <w:pPr>
        <w:shd w:val="clear" w:color="auto" w:fill="FFFFFF" w:themeFill="background1"/>
        <w:spacing w:before="240" w:after="240" w:line="276" w:lineRule="auto"/>
        <w:ind w:left="567" w:right="701"/>
        <w:jc w:val="both"/>
        <w:rPr>
          <w:rFonts w:ascii="Palatino Linotype" w:eastAsia="Palatino Linotype" w:hAnsi="Palatino Linotype" w:cs="Palatino Linotype"/>
          <w:i/>
        </w:rPr>
      </w:pPr>
      <w:r w:rsidRPr="00536544">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57F3052" w14:textId="77777777" w:rsidR="008A31EA" w:rsidRPr="00536544" w:rsidRDefault="008F2A0D" w:rsidP="00536544">
      <w:pPr>
        <w:shd w:val="clear" w:color="auto" w:fill="FFFFFF" w:themeFill="background1"/>
        <w:spacing w:before="240" w:after="240" w:line="276" w:lineRule="auto"/>
        <w:ind w:left="567" w:right="701"/>
        <w:jc w:val="both"/>
        <w:rPr>
          <w:rFonts w:ascii="Palatino Linotype" w:eastAsia="Palatino Linotype" w:hAnsi="Palatino Linotype" w:cs="Palatino Linotype"/>
          <w:i/>
        </w:rPr>
      </w:pPr>
      <w:r w:rsidRPr="00536544">
        <w:rPr>
          <w:rFonts w:ascii="Palatino Linotype" w:eastAsia="Palatino Linotype" w:hAnsi="Palatino Linotype" w:cs="Palatino Linotype"/>
          <w:i/>
        </w:rPr>
        <w:t>Se aprueba ampliación de plazo de 07 días hábiles.” (Sic)</w:t>
      </w:r>
    </w:p>
    <w:p w14:paraId="1B6D84F2" w14:textId="77777777" w:rsidR="008A31EA" w:rsidRPr="00536544" w:rsidRDefault="008F2A0D" w:rsidP="00536544">
      <w:pPr>
        <w:shd w:val="clear" w:color="auto" w:fill="FFFFFF" w:themeFill="background1"/>
        <w:spacing w:before="240" w:after="24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De esta manera, como refiere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536544">
        <w:rPr>
          <w:rFonts w:ascii="Palatino Linotype" w:eastAsia="Palatino Linotype" w:hAnsi="Palatino Linotype" w:cs="Palatino Linotype"/>
          <w:b/>
          <w:sz w:val="24"/>
          <w:szCs w:val="24"/>
        </w:rPr>
        <w:t>NO se observaron las formalidades que establece la Ley de la materia</w:t>
      </w:r>
      <w:r w:rsidRPr="00536544">
        <w:rPr>
          <w:rFonts w:ascii="Palatino Linotype" w:eastAsia="Palatino Linotype" w:hAnsi="Palatino Linotype" w:cs="Palatino Linotype"/>
          <w:sz w:val="24"/>
          <w:szCs w:val="24"/>
        </w:rPr>
        <w:t>, pues no se anexó el Acuerdo del Comité de Transparencia de dicho ente público, mediante el cual se aprobara la ampliación del plazo para dar atención a la solicitud de información.</w:t>
      </w:r>
    </w:p>
    <w:p w14:paraId="5391F282" w14:textId="77777777" w:rsidR="008A31EA" w:rsidRPr="00536544" w:rsidRDefault="008A31EA" w:rsidP="00536544">
      <w:pPr>
        <w:pBdr>
          <w:top w:val="nil"/>
          <w:left w:val="nil"/>
          <w:bottom w:val="nil"/>
          <w:right w:val="nil"/>
          <w:between w:val="nil"/>
        </w:pBdr>
        <w:shd w:val="clear" w:color="auto" w:fill="FFFFFF" w:themeFill="background1"/>
        <w:tabs>
          <w:tab w:val="left" w:pos="284"/>
        </w:tabs>
        <w:spacing w:after="0" w:line="360" w:lineRule="auto"/>
        <w:ind w:right="49"/>
        <w:jc w:val="both"/>
        <w:rPr>
          <w:rFonts w:ascii="Palatino Linotype" w:eastAsia="Palatino Linotype" w:hAnsi="Palatino Linotype" w:cs="Palatino Linotype"/>
          <w:sz w:val="24"/>
          <w:szCs w:val="24"/>
        </w:rPr>
      </w:pPr>
    </w:p>
    <w:p w14:paraId="211140B7" w14:textId="77777777" w:rsidR="008A31EA" w:rsidRPr="00536544" w:rsidRDefault="008F2A0D" w:rsidP="00536544">
      <w:pPr>
        <w:numPr>
          <w:ilvl w:val="0"/>
          <w:numId w:val="2"/>
        </w:numPr>
        <w:pBdr>
          <w:top w:val="nil"/>
          <w:left w:val="nil"/>
          <w:bottom w:val="nil"/>
          <w:right w:val="nil"/>
          <w:between w:val="nil"/>
        </w:pBdr>
        <w:shd w:val="clear" w:color="auto" w:fill="FFFFFF" w:themeFill="background1"/>
        <w:tabs>
          <w:tab w:val="left" w:pos="284"/>
        </w:tabs>
        <w:spacing w:after="0" w:line="360" w:lineRule="auto"/>
        <w:ind w:left="0" w:right="49" w:firstLine="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Respuesta.</w:t>
      </w:r>
      <w:r w:rsidRPr="00536544">
        <w:rPr>
          <w:rFonts w:ascii="Palatino Linotype" w:eastAsia="Palatino Linotype" w:hAnsi="Palatino Linotype" w:cs="Palatino Linotype"/>
          <w:sz w:val="24"/>
          <w:szCs w:val="24"/>
        </w:rPr>
        <w:t xml:space="preserve"> En fecha </w:t>
      </w:r>
      <w:r w:rsidRPr="00536544">
        <w:rPr>
          <w:rFonts w:ascii="Palatino Linotype" w:eastAsia="Palatino Linotype" w:hAnsi="Palatino Linotype" w:cs="Palatino Linotype"/>
          <w:b/>
          <w:sz w:val="24"/>
          <w:szCs w:val="24"/>
        </w:rPr>
        <w:t>cuatro de mayo de dos mil veintitrés</w:t>
      </w:r>
      <w:r w:rsidRPr="00536544">
        <w:rPr>
          <w:rFonts w:ascii="Palatino Linotype" w:eastAsia="Palatino Linotype" w:hAnsi="Palatino Linotype" w:cs="Palatino Linotype"/>
          <w:sz w:val="24"/>
          <w:szCs w:val="24"/>
        </w:rPr>
        <w:t xml:space="preserve">, el </w:t>
      </w:r>
      <w:r w:rsidRPr="00536544">
        <w:rPr>
          <w:rFonts w:ascii="Palatino Linotype" w:eastAsia="Palatino Linotype" w:hAnsi="Palatino Linotype" w:cs="Palatino Linotype"/>
          <w:b/>
          <w:sz w:val="24"/>
          <w:szCs w:val="24"/>
        </w:rPr>
        <w:t xml:space="preserve">Sujeto Obligado </w:t>
      </w:r>
      <w:r w:rsidRPr="00536544">
        <w:rPr>
          <w:rFonts w:ascii="Palatino Linotype" w:eastAsia="Palatino Linotype" w:hAnsi="Palatino Linotype" w:cs="Palatino Linotype"/>
          <w:sz w:val="24"/>
          <w:szCs w:val="24"/>
        </w:rPr>
        <w:t xml:space="preserve">remitió respuesta a la solicitud de información, al tenor de lo siguiente: </w:t>
      </w:r>
    </w:p>
    <w:p w14:paraId="2DEC7E01"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64AAB7D0" w14:textId="77777777" w:rsidR="008A31EA" w:rsidRPr="00536544" w:rsidRDefault="008F2A0D"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r w:rsidRPr="00536544">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5AA366" w14:textId="77777777" w:rsidR="008A31EA" w:rsidRPr="00536544" w:rsidRDefault="008A31EA"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p>
    <w:p w14:paraId="243B24B2" w14:textId="77777777" w:rsidR="008A31EA" w:rsidRPr="00536544" w:rsidRDefault="008F2A0D"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r w:rsidRPr="00536544">
        <w:rPr>
          <w:rFonts w:ascii="Palatino Linotype" w:eastAsia="Palatino Linotype" w:hAnsi="Palatino Linotype" w:cs="Palatino Linotype"/>
          <w:i/>
        </w:rPr>
        <w:t xml:space="preserve">Con fundamento en lo dispuesto por los artículos 6 apartado A fracción I de la Constitución Política de los Estados Unidos Mexicanos; 5 de la Constitución Política del Estado Libre y Soberano de México; 8.1 y 8.3 fracción IV y 8.11 fracción XV del Reglamento Orgánico de la Administración Pública Municipal de Naucalpan de Juárez, Estado de México, en relación con los numerales 1, 2 fracciones II y V, 3, 4, 11, 41 y 46 de la Ley de Transparencia y Acceso a la Información Pública del Estado de México, le informó lo siguiente: Que </w:t>
      </w:r>
      <w:r w:rsidRPr="00536544">
        <w:rPr>
          <w:rFonts w:ascii="Palatino Linotype" w:eastAsia="Palatino Linotype" w:hAnsi="Palatino Linotype" w:cs="Palatino Linotype"/>
          <w:b/>
          <w:i/>
        </w:rPr>
        <w:t>después de haber revisado las obras públicas correspondientes a los años 2022 y 2023, no se tiene registro de trabajos de esta zona,</w:t>
      </w:r>
      <w:r w:rsidRPr="00536544">
        <w:rPr>
          <w:rFonts w:ascii="Palatino Linotype" w:eastAsia="Palatino Linotype" w:hAnsi="Palatino Linotype" w:cs="Palatino Linotype"/>
          <w:i/>
        </w:rPr>
        <w:t xml:space="preserve"> es importante señalar que esta Dirección General de Obras Públicas no tiene dentro de sus facultades realizar actividades tendientes a “recuperar” espacios públicos, solo la de ejecutar, coordinar y supervisar los planes y programas de obra pública de este Municipio y servicios relacionadas con las mismas.” (Sic)</w:t>
      </w:r>
    </w:p>
    <w:p w14:paraId="0BFB93B0" w14:textId="77777777" w:rsidR="008A31EA" w:rsidRPr="00536544" w:rsidRDefault="008A31EA" w:rsidP="00536544">
      <w:pPr>
        <w:shd w:val="clear" w:color="auto" w:fill="FFFFFF" w:themeFill="background1"/>
        <w:spacing w:after="0" w:line="360" w:lineRule="auto"/>
        <w:ind w:right="560"/>
        <w:jc w:val="both"/>
        <w:rPr>
          <w:rFonts w:ascii="Palatino Linotype" w:eastAsia="Palatino Linotype" w:hAnsi="Palatino Linotype" w:cs="Palatino Linotype"/>
          <w:i/>
        </w:rPr>
      </w:pPr>
    </w:p>
    <w:p w14:paraId="4D5D844E" w14:textId="77777777" w:rsidR="008A31EA" w:rsidRPr="00536544" w:rsidRDefault="008F2A0D" w:rsidP="00536544">
      <w:pPr>
        <w:shd w:val="clear" w:color="auto" w:fill="FFFFFF" w:themeFill="background1"/>
        <w:spacing w:after="0" w:line="360" w:lineRule="auto"/>
        <w:ind w:right="-7"/>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Adjunto a la respuesta, el </w:t>
      </w:r>
      <w:r w:rsidRPr="00536544">
        <w:rPr>
          <w:rFonts w:ascii="Palatino Linotype" w:eastAsia="Palatino Linotype" w:hAnsi="Palatino Linotype" w:cs="Palatino Linotype"/>
          <w:b/>
          <w:sz w:val="24"/>
          <w:szCs w:val="24"/>
        </w:rPr>
        <w:t xml:space="preserve">Sujeto Obligado </w:t>
      </w:r>
      <w:r w:rsidRPr="00536544">
        <w:rPr>
          <w:rFonts w:ascii="Palatino Linotype" w:eastAsia="Palatino Linotype" w:hAnsi="Palatino Linotype" w:cs="Palatino Linotype"/>
          <w:sz w:val="24"/>
          <w:szCs w:val="24"/>
        </w:rPr>
        <w:t>aportó el siguiente archivo electrónico denominado “</w:t>
      </w:r>
      <w:r w:rsidRPr="00536544">
        <w:rPr>
          <w:rFonts w:ascii="Palatino Linotype" w:eastAsia="Palatino Linotype" w:hAnsi="Palatino Linotype" w:cs="Palatino Linotype"/>
          <w:b/>
          <w:i/>
          <w:sz w:val="24"/>
          <w:szCs w:val="24"/>
        </w:rPr>
        <w:t>DGOP-SPYC-032-2023.pdf</w:t>
      </w:r>
      <w:r w:rsidRPr="00536544">
        <w:rPr>
          <w:rFonts w:ascii="Palatino Linotype" w:eastAsia="Palatino Linotype" w:hAnsi="Palatino Linotype" w:cs="Palatino Linotype"/>
          <w:sz w:val="24"/>
          <w:szCs w:val="24"/>
        </w:rPr>
        <w:t>” que contiene la siguiente información:</w:t>
      </w:r>
    </w:p>
    <w:p w14:paraId="17A9751D" w14:textId="77777777" w:rsidR="008A31EA" w:rsidRPr="00536544" w:rsidRDefault="008A31EA" w:rsidP="00536544">
      <w:pPr>
        <w:shd w:val="clear" w:color="auto" w:fill="FFFFFF" w:themeFill="background1"/>
        <w:spacing w:after="0" w:line="360" w:lineRule="auto"/>
        <w:ind w:right="-7"/>
        <w:jc w:val="both"/>
        <w:rPr>
          <w:rFonts w:ascii="Palatino Linotype" w:eastAsia="Palatino Linotype" w:hAnsi="Palatino Linotype" w:cs="Palatino Linotype"/>
          <w:sz w:val="24"/>
          <w:szCs w:val="24"/>
        </w:rPr>
      </w:pPr>
    </w:p>
    <w:p w14:paraId="5AFE85AB" w14:textId="77777777" w:rsidR="008A31EA" w:rsidRPr="00536544" w:rsidRDefault="008F2A0D" w:rsidP="00536544">
      <w:pPr>
        <w:numPr>
          <w:ilvl w:val="0"/>
          <w:numId w:val="6"/>
        </w:numPr>
        <w:pBdr>
          <w:top w:val="nil"/>
          <w:left w:val="nil"/>
          <w:bottom w:val="nil"/>
          <w:right w:val="nil"/>
          <w:between w:val="nil"/>
        </w:pBdr>
        <w:shd w:val="clear" w:color="auto" w:fill="FFFFFF" w:themeFill="background1"/>
        <w:spacing w:after="0" w:line="360" w:lineRule="auto"/>
        <w:ind w:right="-7"/>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Oficio número DGOP/</w:t>
      </w:r>
      <w:proofErr w:type="spellStart"/>
      <w:r w:rsidRPr="00536544">
        <w:rPr>
          <w:rFonts w:ascii="Palatino Linotype" w:eastAsia="Palatino Linotype" w:hAnsi="Palatino Linotype" w:cs="Palatino Linotype"/>
          <w:sz w:val="24"/>
          <w:szCs w:val="24"/>
        </w:rPr>
        <w:t>SPyC</w:t>
      </w:r>
      <w:proofErr w:type="spellEnd"/>
      <w:r w:rsidRPr="00536544">
        <w:rPr>
          <w:rFonts w:ascii="Palatino Linotype" w:eastAsia="Palatino Linotype" w:hAnsi="Palatino Linotype" w:cs="Palatino Linotype"/>
          <w:sz w:val="24"/>
          <w:szCs w:val="24"/>
        </w:rPr>
        <w:t xml:space="preserve">/032/2023 del 21 de abril de 2023, a través del cual la Encargada del Despacho de la Subdirección de Planeación y Control informa que con relación a la información requerida en la solicitud de información, después de haber revisado las obras públicas correspondientes a los años 2022 y 2023, no se tenía registro de trabajos de esa zona, y que la Dirección General de Obras Públicas </w:t>
      </w:r>
      <w:r w:rsidRPr="00536544">
        <w:rPr>
          <w:rFonts w:ascii="Palatino Linotype" w:eastAsia="Palatino Linotype" w:hAnsi="Palatino Linotype" w:cs="Palatino Linotype"/>
          <w:sz w:val="24"/>
          <w:szCs w:val="24"/>
        </w:rPr>
        <w:lastRenderedPageBreak/>
        <w:t>no tiene dentro de sus facultades realizar actividades tendientes a recuperar espacios públicos, sólo la de ejecutar, coordinar y supervisar los planes y programas de obra pública del Municipio y servicios relacionados con las mismas.</w:t>
      </w:r>
    </w:p>
    <w:p w14:paraId="715ACA6F" w14:textId="77777777" w:rsidR="008A31EA" w:rsidRPr="00536544" w:rsidRDefault="008A31EA" w:rsidP="00536544">
      <w:pPr>
        <w:pBdr>
          <w:top w:val="nil"/>
          <w:left w:val="nil"/>
          <w:bottom w:val="nil"/>
          <w:right w:val="nil"/>
          <w:between w:val="nil"/>
        </w:pBdr>
        <w:shd w:val="clear" w:color="auto" w:fill="FFFFFF" w:themeFill="background1"/>
        <w:tabs>
          <w:tab w:val="left" w:pos="284"/>
        </w:tabs>
        <w:spacing w:after="0" w:line="360" w:lineRule="auto"/>
        <w:ind w:right="49"/>
        <w:jc w:val="both"/>
        <w:rPr>
          <w:rFonts w:ascii="Palatino Linotype" w:eastAsia="Palatino Linotype" w:hAnsi="Palatino Linotype" w:cs="Palatino Linotype"/>
          <w:sz w:val="16"/>
          <w:szCs w:val="16"/>
        </w:rPr>
      </w:pPr>
    </w:p>
    <w:p w14:paraId="4314F1F2" w14:textId="77777777" w:rsidR="008A31EA" w:rsidRPr="00536544" w:rsidRDefault="008F2A0D" w:rsidP="00536544">
      <w:pPr>
        <w:numPr>
          <w:ilvl w:val="0"/>
          <w:numId w:val="2"/>
        </w:numPr>
        <w:pBdr>
          <w:top w:val="nil"/>
          <w:left w:val="nil"/>
          <w:bottom w:val="nil"/>
          <w:right w:val="nil"/>
          <w:between w:val="nil"/>
        </w:pBdr>
        <w:shd w:val="clear" w:color="auto" w:fill="FFFFFF" w:themeFill="background1"/>
        <w:tabs>
          <w:tab w:val="left" w:pos="284"/>
        </w:tabs>
        <w:spacing w:after="0" w:line="360" w:lineRule="auto"/>
        <w:ind w:left="0" w:right="49" w:firstLine="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Recurso de revisión.</w:t>
      </w:r>
      <w:r w:rsidRPr="00536544">
        <w:rPr>
          <w:rFonts w:ascii="Palatino Linotype" w:eastAsia="Palatino Linotype" w:hAnsi="Palatino Linotype" w:cs="Palatino Linotype"/>
          <w:sz w:val="24"/>
          <w:szCs w:val="24"/>
        </w:rPr>
        <w:t xml:space="preserve"> Derivado de la respuesta del </w:t>
      </w:r>
      <w:r w:rsidRPr="00536544">
        <w:rPr>
          <w:rFonts w:ascii="Palatino Linotype" w:eastAsia="Palatino Linotype" w:hAnsi="Palatino Linotype" w:cs="Palatino Linotype"/>
          <w:b/>
          <w:sz w:val="24"/>
          <w:szCs w:val="24"/>
        </w:rPr>
        <w:t xml:space="preserve">Sujeto Obligado, </w:t>
      </w:r>
      <w:r w:rsidRPr="00536544">
        <w:rPr>
          <w:rFonts w:ascii="Palatino Linotype" w:eastAsia="Palatino Linotype" w:hAnsi="Palatino Linotype" w:cs="Palatino Linotype"/>
          <w:sz w:val="24"/>
          <w:szCs w:val="24"/>
        </w:rPr>
        <w:t xml:space="preserve">el Particular interpuso Recurso de Revisión a través del </w:t>
      </w:r>
      <w:r w:rsidRPr="00536544">
        <w:rPr>
          <w:rFonts w:ascii="Palatino Linotype" w:eastAsia="Palatino Linotype" w:hAnsi="Palatino Linotype" w:cs="Palatino Linotype"/>
          <w:b/>
          <w:sz w:val="24"/>
          <w:szCs w:val="24"/>
        </w:rPr>
        <w:t>SAIMEX</w:t>
      </w:r>
      <w:r w:rsidRPr="00536544">
        <w:rPr>
          <w:rFonts w:ascii="Palatino Linotype" w:eastAsia="Palatino Linotype" w:hAnsi="Palatino Linotype" w:cs="Palatino Linotype"/>
          <w:sz w:val="24"/>
          <w:szCs w:val="24"/>
        </w:rPr>
        <w:t xml:space="preserve"> en fecha </w:t>
      </w:r>
      <w:r w:rsidRPr="00536544">
        <w:rPr>
          <w:rFonts w:ascii="Palatino Linotype" w:eastAsia="Palatino Linotype" w:hAnsi="Palatino Linotype" w:cs="Palatino Linotype"/>
          <w:b/>
          <w:sz w:val="24"/>
          <w:szCs w:val="24"/>
        </w:rPr>
        <w:t>ocho de mayo de dos mil veintitrés</w:t>
      </w:r>
      <w:r w:rsidRPr="00536544">
        <w:rPr>
          <w:rFonts w:ascii="Palatino Linotype" w:eastAsia="Palatino Linotype" w:hAnsi="Palatino Linotype" w:cs="Palatino Linotype"/>
          <w:sz w:val="24"/>
          <w:szCs w:val="24"/>
        </w:rPr>
        <w:t>, a través del cual expresó lo siguiente:</w:t>
      </w:r>
    </w:p>
    <w:p w14:paraId="1592A0DE" w14:textId="77777777" w:rsidR="008A31EA" w:rsidRPr="00536544" w:rsidRDefault="008A31EA" w:rsidP="00536544">
      <w:pPr>
        <w:pBdr>
          <w:top w:val="nil"/>
          <w:left w:val="nil"/>
          <w:bottom w:val="nil"/>
          <w:right w:val="nil"/>
          <w:between w:val="nil"/>
        </w:pBdr>
        <w:shd w:val="clear" w:color="auto" w:fill="FFFFFF" w:themeFill="background1"/>
        <w:tabs>
          <w:tab w:val="left" w:pos="851"/>
        </w:tabs>
        <w:spacing w:after="0" w:line="360" w:lineRule="auto"/>
        <w:ind w:left="567" w:right="701"/>
        <w:jc w:val="both"/>
        <w:rPr>
          <w:rFonts w:ascii="Palatino Linotype" w:eastAsia="Palatino Linotype" w:hAnsi="Palatino Linotype" w:cs="Palatino Linotype"/>
          <w:b/>
          <w:sz w:val="24"/>
          <w:szCs w:val="24"/>
        </w:rPr>
      </w:pPr>
    </w:p>
    <w:p w14:paraId="353210DB" w14:textId="77777777" w:rsidR="008A31EA" w:rsidRPr="00536544" w:rsidRDefault="008F2A0D" w:rsidP="00536544">
      <w:pPr>
        <w:pBdr>
          <w:top w:val="nil"/>
          <w:left w:val="nil"/>
          <w:bottom w:val="nil"/>
          <w:right w:val="nil"/>
          <w:between w:val="nil"/>
        </w:pBdr>
        <w:shd w:val="clear" w:color="auto" w:fill="FFFFFF" w:themeFill="background1"/>
        <w:tabs>
          <w:tab w:val="left" w:pos="851"/>
        </w:tabs>
        <w:spacing w:after="0" w:line="276" w:lineRule="auto"/>
        <w:ind w:left="567" w:right="701"/>
        <w:jc w:val="both"/>
        <w:rPr>
          <w:rFonts w:ascii="Palatino Linotype" w:eastAsia="Palatino Linotype" w:hAnsi="Palatino Linotype" w:cs="Palatino Linotype"/>
          <w:i/>
        </w:rPr>
      </w:pPr>
      <w:r w:rsidRPr="00536544">
        <w:rPr>
          <w:rFonts w:ascii="Palatino Linotype" w:eastAsia="Palatino Linotype" w:hAnsi="Palatino Linotype" w:cs="Palatino Linotype"/>
          <w:b/>
          <w:sz w:val="24"/>
          <w:szCs w:val="24"/>
        </w:rPr>
        <w:t xml:space="preserve">Acto impugnado. </w:t>
      </w:r>
      <w:r w:rsidRPr="00536544">
        <w:rPr>
          <w:rFonts w:ascii="Palatino Linotype" w:eastAsia="Palatino Linotype" w:hAnsi="Palatino Linotype" w:cs="Palatino Linotype"/>
          <w:i/>
        </w:rPr>
        <w:t>“LA RESPUESTA A MI SOLICITUD DE INFORMACIÓN PÚBLICA CONTENIDA EN EL OFICIO N° DGOP-SPYC-032-2023 DE FECHA: 21 DE ABRIL DE 2023</w:t>
      </w:r>
      <w:r w:rsidRPr="00536544">
        <w:rPr>
          <w:rFonts w:ascii="Palatino Linotype" w:eastAsia="Palatino Linotype" w:hAnsi="Palatino Linotype" w:cs="Palatino Linotype"/>
          <w:i/>
          <w:sz w:val="24"/>
          <w:szCs w:val="24"/>
        </w:rPr>
        <w:t xml:space="preserve">” </w:t>
      </w:r>
      <w:r w:rsidRPr="00536544">
        <w:rPr>
          <w:rFonts w:ascii="Palatino Linotype" w:eastAsia="Palatino Linotype" w:hAnsi="Palatino Linotype" w:cs="Palatino Linotype"/>
          <w:i/>
        </w:rPr>
        <w:t>(Sic)</w:t>
      </w:r>
    </w:p>
    <w:p w14:paraId="5CBD81D7" w14:textId="77777777" w:rsidR="008A31EA" w:rsidRPr="00536544" w:rsidRDefault="008A31EA" w:rsidP="00536544">
      <w:pPr>
        <w:pBdr>
          <w:top w:val="nil"/>
          <w:left w:val="nil"/>
          <w:bottom w:val="nil"/>
          <w:right w:val="nil"/>
          <w:between w:val="nil"/>
        </w:pBdr>
        <w:shd w:val="clear" w:color="auto" w:fill="FFFFFF" w:themeFill="background1"/>
        <w:tabs>
          <w:tab w:val="left" w:pos="993"/>
        </w:tabs>
        <w:spacing w:after="0" w:line="276" w:lineRule="auto"/>
        <w:ind w:left="567" w:right="701"/>
        <w:jc w:val="both"/>
        <w:rPr>
          <w:rFonts w:ascii="Palatino Linotype" w:eastAsia="Palatino Linotype" w:hAnsi="Palatino Linotype" w:cs="Palatino Linotype"/>
          <w:b/>
          <w:sz w:val="24"/>
          <w:szCs w:val="24"/>
        </w:rPr>
      </w:pPr>
    </w:p>
    <w:p w14:paraId="6D2AFE9A" w14:textId="77777777" w:rsidR="008A31EA" w:rsidRPr="00536544" w:rsidRDefault="008F2A0D" w:rsidP="00536544">
      <w:pPr>
        <w:pBdr>
          <w:top w:val="nil"/>
          <w:left w:val="nil"/>
          <w:bottom w:val="nil"/>
          <w:right w:val="nil"/>
          <w:between w:val="nil"/>
        </w:pBdr>
        <w:shd w:val="clear" w:color="auto" w:fill="FFFFFF" w:themeFill="background1"/>
        <w:tabs>
          <w:tab w:val="left" w:pos="709"/>
          <w:tab w:val="left" w:pos="851"/>
        </w:tabs>
        <w:spacing w:after="0" w:line="276" w:lineRule="auto"/>
        <w:ind w:left="567" w:right="701"/>
        <w:jc w:val="both"/>
        <w:rPr>
          <w:rFonts w:ascii="Palatino Linotype" w:eastAsia="Palatino Linotype" w:hAnsi="Palatino Linotype" w:cs="Palatino Linotype"/>
          <w:i/>
        </w:rPr>
      </w:pPr>
      <w:r w:rsidRPr="00536544">
        <w:rPr>
          <w:rFonts w:ascii="Palatino Linotype" w:eastAsia="Palatino Linotype" w:hAnsi="Palatino Linotype" w:cs="Palatino Linotype"/>
          <w:b/>
          <w:sz w:val="24"/>
          <w:szCs w:val="24"/>
        </w:rPr>
        <w:t xml:space="preserve">Razones o motivos de la inconformidad: </w:t>
      </w:r>
      <w:r w:rsidRPr="00536544">
        <w:rPr>
          <w:rFonts w:ascii="Palatino Linotype" w:eastAsia="Palatino Linotype" w:hAnsi="Palatino Linotype" w:cs="Palatino Linotype"/>
          <w:i/>
        </w:rPr>
        <w:t>“EL AYUNTAMIENTO RESPONDIÓ COMO SI MI SOLICITUD VERSARA SOBRE OBRA PÚBLICA QUE EJECUTA EL AYUNTAMIENTO, CUANDO ME REFIERO EXCLUSIVAMENTE A UNA OBRA ILEGAL Y VIOLATORIA QUE EJECUTAN PARTICULARES, AÚN CONTANDO CON LICENCIA DE CONSTRUCCIÓN, YA QUE EJECUTAN OBRA EN UN ÁREA VERDE MUNICIPAL Y NO EN UN PREDIO PARTICULAR. POR LO QUE LA RESPUESTA LA SOLICITÉ DEL AYUNTAMIENTO Y LAS DEPENDENCIAS INVOLUCRADAS EN FRENAR DICHA OBRA Y EN CANCELAR LAS LICENCIAS Y EN RECUPERAR EL PREDIO COMO PROPIEDAD MUNICIPAL (ÁREA VERDE).... Y EL AYUNTAMIENTO ME DA LA VUELTA EVADIENDO, TURNANDO MI PETICIÓN COMO SI ÉSTA SE TRATARA DE OBRA PÚBLICA Y NO ES ASÍ</w:t>
      </w:r>
      <w:r w:rsidRPr="00536544">
        <w:rPr>
          <w:rFonts w:ascii="Palatino Linotype" w:eastAsia="Palatino Linotype" w:hAnsi="Palatino Linotype" w:cs="Palatino Linotype"/>
          <w:i/>
          <w:sz w:val="24"/>
          <w:szCs w:val="24"/>
        </w:rPr>
        <w:t xml:space="preserve">” </w:t>
      </w:r>
      <w:r w:rsidRPr="00536544">
        <w:rPr>
          <w:rFonts w:ascii="Palatino Linotype" w:eastAsia="Palatino Linotype" w:hAnsi="Palatino Linotype" w:cs="Palatino Linotype"/>
          <w:i/>
        </w:rPr>
        <w:t>(Sic)</w:t>
      </w:r>
    </w:p>
    <w:p w14:paraId="2576508F" w14:textId="77777777" w:rsidR="008A31EA" w:rsidRPr="00536544" w:rsidRDefault="008A31EA" w:rsidP="00536544">
      <w:pPr>
        <w:pBdr>
          <w:top w:val="nil"/>
          <w:left w:val="nil"/>
          <w:bottom w:val="nil"/>
          <w:right w:val="nil"/>
          <w:between w:val="nil"/>
        </w:pBdr>
        <w:shd w:val="clear" w:color="auto" w:fill="FFFFFF" w:themeFill="background1"/>
        <w:tabs>
          <w:tab w:val="left" w:pos="709"/>
          <w:tab w:val="left" w:pos="851"/>
        </w:tabs>
        <w:spacing w:after="0" w:line="276" w:lineRule="auto"/>
        <w:ind w:left="567" w:right="701"/>
        <w:jc w:val="both"/>
        <w:rPr>
          <w:rFonts w:ascii="Palatino Linotype" w:eastAsia="Palatino Linotype" w:hAnsi="Palatino Linotype" w:cs="Palatino Linotype"/>
          <w:i/>
        </w:rPr>
      </w:pPr>
    </w:p>
    <w:p w14:paraId="46FD461B" w14:textId="77777777" w:rsidR="008A31EA" w:rsidRPr="00536544" w:rsidRDefault="008F2A0D" w:rsidP="00536544">
      <w:pPr>
        <w:numPr>
          <w:ilvl w:val="0"/>
          <w:numId w:val="2"/>
        </w:numPr>
        <w:pBdr>
          <w:top w:val="nil"/>
          <w:left w:val="nil"/>
          <w:bottom w:val="nil"/>
          <w:right w:val="nil"/>
          <w:between w:val="nil"/>
        </w:pBdr>
        <w:shd w:val="clear" w:color="auto" w:fill="FFFFFF" w:themeFill="background1"/>
        <w:tabs>
          <w:tab w:val="left" w:pos="284"/>
        </w:tabs>
        <w:spacing w:after="0" w:line="360" w:lineRule="auto"/>
        <w:ind w:left="0" w:right="49" w:firstLine="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Turno.</w:t>
      </w:r>
      <w:r w:rsidRPr="00536544">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536544">
        <w:rPr>
          <w:rFonts w:ascii="Palatino Linotype" w:eastAsia="Palatino Linotype" w:hAnsi="Palatino Linotype" w:cs="Palatino Linotype"/>
          <w:b/>
          <w:sz w:val="24"/>
          <w:szCs w:val="24"/>
        </w:rPr>
        <w:t>02474/INFOEM/IP/RR/2023</w:t>
      </w:r>
      <w:r w:rsidRPr="00536544">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w:t>
      </w:r>
      <w:r w:rsidRPr="00536544">
        <w:rPr>
          <w:rFonts w:ascii="Palatino Linotype" w:eastAsia="Palatino Linotype" w:hAnsi="Palatino Linotype" w:cs="Palatino Linotype"/>
          <w:sz w:val="24"/>
          <w:szCs w:val="24"/>
        </w:rPr>
        <w:lastRenderedPageBreak/>
        <w:t xml:space="preserve">Personales del Estado de México y Municipios, a la </w:t>
      </w:r>
      <w:r w:rsidRPr="00536544">
        <w:rPr>
          <w:rFonts w:ascii="Palatino Linotype" w:eastAsia="Palatino Linotype" w:hAnsi="Palatino Linotype" w:cs="Palatino Linotype"/>
          <w:b/>
          <w:sz w:val="24"/>
          <w:szCs w:val="24"/>
        </w:rPr>
        <w:t>Comisionada Guadalupe Ramírez Peña</w:t>
      </w:r>
      <w:r w:rsidRPr="00536544">
        <w:rPr>
          <w:rFonts w:ascii="Palatino Linotype" w:eastAsia="Palatino Linotype" w:hAnsi="Palatino Linotype" w:cs="Palatino Linotype"/>
          <w:sz w:val="24"/>
          <w:szCs w:val="24"/>
        </w:rPr>
        <w:t xml:space="preserve"> para su análisis, estudio, elaboración del proyecto y presentación ante el Pleno de este Instituto.</w:t>
      </w:r>
    </w:p>
    <w:p w14:paraId="7D775092"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655AFE47" w14:textId="77777777" w:rsidR="008A31EA" w:rsidRPr="00536544" w:rsidRDefault="008F2A0D" w:rsidP="00536544">
      <w:pPr>
        <w:numPr>
          <w:ilvl w:val="0"/>
          <w:numId w:val="2"/>
        </w:numPr>
        <w:pBdr>
          <w:top w:val="nil"/>
          <w:left w:val="nil"/>
          <w:bottom w:val="nil"/>
          <w:right w:val="nil"/>
          <w:between w:val="nil"/>
        </w:pBdr>
        <w:shd w:val="clear" w:color="auto" w:fill="FFFFFF" w:themeFill="background1"/>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Admisión del recurso de revisión</w:t>
      </w:r>
      <w:r w:rsidRPr="00536544">
        <w:rPr>
          <w:rFonts w:ascii="Palatino Linotype" w:eastAsia="Palatino Linotype" w:hAnsi="Palatino Linotype" w:cs="Palatino Linotype"/>
          <w:sz w:val="24"/>
          <w:szCs w:val="24"/>
        </w:rPr>
        <w:t xml:space="preserve">: En fecha </w:t>
      </w:r>
      <w:r w:rsidRPr="00536544">
        <w:rPr>
          <w:rFonts w:ascii="Palatino Linotype" w:eastAsia="Palatino Linotype" w:hAnsi="Palatino Linotype" w:cs="Palatino Linotype"/>
          <w:b/>
          <w:sz w:val="24"/>
          <w:szCs w:val="24"/>
        </w:rPr>
        <w:t>once de mayo de dos mil veintitrés</w:t>
      </w:r>
      <w:r w:rsidRPr="00536544">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presentara su informe justificado. </w:t>
      </w:r>
    </w:p>
    <w:p w14:paraId="6ED9D2C4"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35779567" w14:textId="03390910" w:rsidR="008A31EA" w:rsidRPr="00536544" w:rsidRDefault="008F2A0D" w:rsidP="00536544">
      <w:pPr>
        <w:numPr>
          <w:ilvl w:val="0"/>
          <w:numId w:val="2"/>
        </w:numPr>
        <w:pBdr>
          <w:top w:val="nil"/>
          <w:left w:val="nil"/>
          <w:bottom w:val="nil"/>
          <w:right w:val="nil"/>
          <w:between w:val="nil"/>
        </w:pBdr>
        <w:shd w:val="clear" w:color="auto" w:fill="FFFFFF" w:themeFill="background1"/>
        <w:tabs>
          <w:tab w:val="left" w:pos="284"/>
        </w:tabs>
        <w:spacing w:after="0" w:line="360" w:lineRule="auto"/>
        <w:ind w:left="0" w:right="49" w:firstLine="0"/>
        <w:jc w:val="both"/>
        <w:rPr>
          <w:rFonts w:ascii="Palatino Linotype" w:eastAsia="Palatino Linotype" w:hAnsi="Palatino Linotype" w:cs="Palatino Linotype"/>
          <w:b/>
        </w:rPr>
      </w:pPr>
      <w:r w:rsidRPr="00536544">
        <w:rPr>
          <w:rFonts w:ascii="Palatino Linotype" w:eastAsia="Palatino Linotype" w:hAnsi="Palatino Linotype" w:cs="Palatino Linotype"/>
          <w:b/>
          <w:sz w:val="24"/>
          <w:szCs w:val="24"/>
        </w:rPr>
        <w:t xml:space="preserve">Informe Justificado. </w:t>
      </w:r>
      <w:r w:rsidR="00187E17" w:rsidRPr="00536544">
        <w:rPr>
          <w:rFonts w:ascii="Palatino Linotype" w:eastAsia="Palatino Linotype" w:hAnsi="Palatino Linotype" w:cs="Palatino Linotype"/>
          <w:sz w:val="24"/>
          <w:szCs w:val="24"/>
        </w:rPr>
        <w:t xml:space="preserve">En fechas </w:t>
      </w:r>
      <w:r w:rsidR="00187E17" w:rsidRPr="00536544">
        <w:rPr>
          <w:rFonts w:ascii="Palatino Linotype" w:eastAsia="Palatino Linotype" w:hAnsi="Palatino Linotype" w:cs="Palatino Linotype"/>
          <w:b/>
          <w:sz w:val="24"/>
          <w:szCs w:val="24"/>
        </w:rPr>
        <w:t>treinta y uno de mayo y ocho de junio</w:t>
      </w:r>
      <w:r w:rsidR="00187E17" w:rsidRPr="00536544">
        <w:rPr>
          <w:rFonts w:ascii="Palatino Linotype" w:eastAsia="Palatino Linotype" w:hAnsi="Palatino Linotype" w:cs="Palatino Linotype"/>
          <w:sz w:val="24"/>
          <w:szCs w:val="24"/>
        </w:rPr>
        <w:t xml:space="preserve"> </w:t>
      </w:r>
      <w:r w:rsidRPr="00536544">
        <w:rPr>
          <w:rFonts w:ascii="Palatino Linotype" w:eastAsia="Palatino Linotype" w:hAnsi="Palatino Linotype" w:cs="Palatino Linotype"/>
          <w:b/>
          <w:sz w:val="24"/>
          <w:szCs w:val="24"/>
        </w:rPr>
        <w:t>de dos mil veintitrés</w:t>
      </w:r>
      <w:r w:rsidRPr="00536544">
        <w:rPr>
          <w:rFonts w:ascii="Palatino Linotype" w:eastAsia="Palatino Linotype" w:hAnsi="Palatino Linotype" w:cs="Palatino Linotype"/>
          <w:sz w:val="24"/>
          <w:szCs w:val="24"/>
        </w:rPr>
        <w:t xml:space="preserve">, el </w:t>
      </w:r>
      <w:r w:rsidRPr="00536544">
        <w:rPr>
          <w:rFonts w:ascii="Palatino Linotype" w:eastAsia="Palatino Linotype" w:hAnsi="Palatino Linotype" w:cs="Palatino Linotype"/>
          <w:b/>
          <w:sz w:val="24"/>
          <w:szCs w:val="24"/>
        </w:rPr>
        <w:t xml:space="preserve">Sujeto Obligado </w:t>
      </w:r>
      <w:r w:rsidRPr="00536544">
        <w:rPr>
          <w:rFonts w:ascii="Palatino Linotype" w:eastAsia="Palatino Linotype" w:hAnsi="Palatino Linotype" w:cs="Palatino Linotype"/>
          <w:sz w:val="24"/>
          <w:szCs w:val="24"/>
        </w:rPr>
        <w:t>remitió su informe justificado, a través de los archivos electrónicos que contienen la siguiente información:</w:t>
      </w:r>
    </w:p>
    <w:p w14:paraId="47AB4EFC" w14:textId="77777777" w:rsidR="008A31EA" w:rsidRPr="00536544" w:rsidRDefault="008A31EA" w:rsidP="00536544">
      <w:pPr>
        <w:pBdr>
          <w:top w:val="nil"/>
          <w:left w:val="nil"/>
          <w:bottom w:val="nil"/>
          <w:right w:val="nil"/>
          <w:between w:val="nil"/>
        </w:pBdr>
        <w:shd w:val="clear" w:color="auto" w:fill="FFFFFF" w:themeFill="background1"/>
        <w:tabs>
          <w:tab w:val="left" w:pos="284"/>
        </w:tabs>
        <w:spacing w:after="0" w:line="360" w:lineRule="auto"/>
        <w:ind w:right="49"/>
        <w:jc w:val="both"/>
        <w:rPr>
          <w:rFonts w:ascii="Palatino Linotype" w:eastAsia="Palatino Linotype" w:hAnsi="Palatino Linotype" w:cs="Palatino Linotype"/>
          <w:b/>
        </w:rPr>
      </w:pPr>
    </w:p>
    <w:p w14:paraId="1201E6BA" w14:textId="77777777" w:rsidR="008A31EA" w:rsidRPr="00536544" w:rsidRDefault="008F2A0D" w:rsidP="00536544">
      <w:pPr>
        <w:numPr>
          <w:ilvl w:val="0"/>
          <w:numId w:val="6"/>
        </w:numPr>
        <w:pBdr>
          <w:top w:val="nil"/>
          <w:left w:val="nil"/>
          <w:bottom w:val="nil"/>
          <w:right w:val="nil"/>
          <w:between w:val="nil"/>
        </w:pBdr>
        <w:shd w:val="clear" w:color="auto" w:fill="FFFFFF" w:themeFill="background1"/>
        <w:spacing w:after="0" w:line="276" w:lineRule="auto"/>
        <w:jc w:val="both"/>
        <w:rPr>
          <w:rFonts w:ascii="Palatino Linotype" w:eastAsia="Palatino Linotype" w:hAnsi="Palatino Linotype" w:cs="Palatino Linotype"/>
          <w:b/>
          <w:i/>
        </w:rPr>
      </w:pPr>
      <w:r w:rsidRPr="00536544">
        <w:rPr>
          <w:rFonts w:ascii="Palatino Linotype" w:eastAsia="Palatino Linotype" w:hAnsi="Palatino Linotype" w:cs="Palatino Linotype"/>
          <w:b/>
          <w:i/>
        </w:rPr>
        <w:t xml:space="preserve">DGDU-II-143-2023.pdf: </w:t>
      </w:r>
      <w:r w:rsidRPr="00536544">
        <w:rPr>
          <w:rFonts w:ascii="Palatino Linotype" w:eastAsia="Palatino Linotype" w:hAnsi="Palatino Linotype" w:cs="Palatino Linotype"/>
        </w:rPr>
        <w:t>Oficio número DGDU/II/143/2023 del 29 de mayo de 2023, a través del cual el Encargado del Despacho de la Dirección General de Desarrollo Urbano rinde informe justificado dentro del medio de impugnación que nos ocupa, en el que medularmente manifiesta que respecto de la información requerida la Dirección General de Desarrollo Urbano cuenta con un antecedente de procedimiento administrativo  común con número de expediente SJ/072/2022, no obstante solicita al Comité de Transparencia la aprobación del proyecto de reserva por un periodo de dos años.</w:t>
      </w:r>
    </w:p>
    <w:p w14:paraId="6DFD247E" w14:textId="77777777" w:rsidR="008A31EA" w:rsidRPr="00536544" w:rsidRDefault="008A31EA" w:rsidP="00536544">
      <w:pPr>
        <w:pBdr>
          <w:top w:val="nil"/>
          <w:left w:val="nil"/>
          <w:bottom w:val="nil"/>
          <w:right w:val="nil"/>
          <w:between w:val="nil"/>
        </w:pBdr>
        <w:shd w:val="clear" w:color="auto" w:fill="FFFFFF" w:themeFill="background1"/>
        <w:spacing w:after="0" w:line="276" w:lineRule="auto"/>
        <w:ind w:left="360"/>
        <w:rPr>
          <w:rFonts w:ascii="Palatino Linotype" w:eastAsia="Palatino Linotype" w:hAnsi="Palatino Linotype" w:cs="Palatino Linotype"/>
          <w:b/>
          <w:i/>
        </w:rPr>
      </w:pPr>
    </w:p>
    <w:p w14:paraId="236DD516" w14:textId="77777777" w:rsidR="008A31EA" w:rsidRPr="00536544" w:rsidRDefault="008F2A0D" w:rsidP="00536544">
      <w:pPr>
        <w:numPr>
          <w:ilvl w:val="0"/>
          <w:numId w:val="6"/>
        </w:numPr>
        <w:pBdr>
          <w:top w:val="nil"/>
          <w:left w:val="nil"/>
          <w:bottom w:val="nil"/>
          <w:right w:val="nil"/>
          <w:between w:val="nil"/>
        </w:pBdr>
        <w:shd w:val="clear" w:color="auto" w:fill="FFFFFF" w:themeFill="background1"/>
        <w:spacing w:line="276" w:lineRule="auto"/>
        <w:jc w:val="both"/>
        <w:rPr>
          <w:rFonts w:ascii="Palatino Linotype" w:eastAsia="Palatino Linotype" w:hAnsi="Palatino Linotype" w:cs="Palatino Linotype"/>
          <w:b/>
          <w:i/>
        </w:rPr>
      </w:pPr>
      <w:r w:rsidRPr="00536544">
        <w:rPr>
          <w:rFonts w:ascii="Palatino Linotype" w:eastAsia="Palatino Linotype" w:hAnsi="Palatino Linotype" w:cs="Palatino Linotype"/>
          <w:b/>
          <w:i/>
        </w:rPr>
        <w:t>Acta 13° Sesión Extraordinaria_020623 (1).</w:t>
      </w:r>
      <w:proofErr w:type="spellStart"/>
      <w:r w:rsidRPr="00536544">
        <w:rPr>
          <w:rFonts w:ascii="Palatino Linotype" w:eastAsia="Palatino Linotype" w:hAnsi="Palatino Linotype" w:cs="Palatino Linotype"/>
          <w:b/>
          <w:i/>
        </w:rPr>
        <w:t>pdf</w:t>
      </w:r>
      <w:proofErr w:type="spellEnd"/>
      <w:r w:rsidRPr="00536544">
        <w:rPr>
          <w:rFonts w:ascii="Palatino Linotype" w:eastAsia="Palatino Linotype" w:hAnsi="Palatino Linotype" w:cs="Palatino Linotype"/>
          <w:b/>
          <w:i/>
        </w:rPr>
        <w:t xml:space="preserve">: </w:t>
      </w:r>
      <w:r w:rsidRPr="00536544">
        <w:rPr>
          <w:rFonts w:ascii="Palatino Linotype" w:eastAsia="Palatino Linotype" w:hAnsi="Palatino Linotype" w:cs="Palatino Linotype"/>
        </w:rPr>
        <w:t xml:space="preserve">Acta de la Décima Tercera Sesión Extraordinaria del Comité de Transparencia del H. Ayuntamiento de Naucalpan de Juárez, número CT/NAU/ACTA-EXT-00013/2023 del 02 de junio de3 2023, en cuyo punto 5 del orden del día se llevó a cabo el análisis, discusión y, en su caso aprobación por parte del Comité de Transparencia del proyecto de acuerdo a través de cual la Dirección General de </w:t>
      </w:r>
      <w:r w:rsidRPr="00536544">
        <w:rPr>
          <w:rFonts w:ascii="Palatino Linotype" w:eastAsia="Palatino Linotype" w:hAnsi="Palatino Linotype" w:cs="Palatino Linotype"/>
        </w:rPr>
        <w:lastRenderedPageBreak/>
        <w:t>Desarrollo Urbano propone la Reserva del Expediente relacionado con el procedimiento administrativo común SJ/072/2022, para la atención del recurso de revisión que nos ocupa.</w:t>
      </w:r>
    </w:p>
    <w:p w14:paraId="47946244" w14:textId="77777777" w:rsidR="008A31EA" w:rsidRPr="00536544" w:rsidRDefault="008A31EA" w:rsidP="00536544">
      <w:pPr>
        <w:pBdr>
          <w:top w:val="nil"/>
          <w:left w:val="nil"/>
          <w:bottom w:val="nil"/>
          <w:right w:val="nil"/>
          <w:between w:val="nil"/>
        </w:pBdr>
        <w:shd w:val="clear" w:color="auto" w:fill="FFFFFF" w:themeFill="background1"/>
        <w:tabs>
          <w:tab w:val="left" w:pos="284"/>
        </w:tabs>
        <w:spacing w:after="0" w:line="360" w:lineRule="auto"/>
        <w:ind w:right="49"/>
        <w:jc w:val="both"/>
        <w:rPr>
          <w:rFonts w:ascii="Palatino Linotype" w:eastAsia="Palatino Linotype" w:hAnsi="Palatino Linotype" w:cs="Palatino Linotype"/>
          <w:b/>
        </w:rPr>
      </w:pPr>
    </w:p>
    <w:p w14:paraId="228AAA2A"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Documentos que se hicieron del conocimiento de la parte </w:t>
      </w:r>
      <w:r w:rsidRPr="00536544">
        <w:rPr>
          <w:rFonts w:ascii="Palatino Linotype" w:eastAsia="Palatino Linotype" w:hAnsi="Palatino Linotype" w:cs="Palatino Linotype"/>
          <w:b/>
          <w:sz w:val="24"/>
          <w:szCs w:val="24"/>
        </w:rPr>
        <w:t xml:space="preserve">Recurrente </w:t>
      </w:r>
      <w:r w:rsidRPr="00536544">
        <w:rPr>
          <w:rFonts w:ascii="Palatino Linotype" w:eastAsia="Palatino Linotype" w:hAnsi="Palatino Linotype" w:cs="Palatino Linotype"/>
          <w:sz w:val="24"/>
          <w:szCs w:val="24"/>
        </w:rPr>
        <w:t xml:space="preserve">en fecha </w:t>
      </w:r>
      <w:r w:rsidRPr="00536544">
        <w:rPr>
          <w:rFonts w:ascii="Palatino Linotype" w:eastAsia="Palatino Linotype" w:hAnsi="Palatino Linotype" w:cs="Palatino Linotype"/>
          <w:b/>
          <w:sz w:val="24"/>
          <w:szCs w:val="24"/>
          <w:highlight w:val="white"/>
        </w:rPr>
        <w:t>catorce de noviembre de dos mil veintitrés</w:t>
      </w:r>
      <w:r w:rsidRPr="00536544">
        <w:rPr>
          <w:rFonts w:ascii="Palatino Linotype" w:eastAsia="Palatino Linotype" w:hAnsi="Palatino Linotype" w:cs="Palatino Linotype"/>
          <w:sz w:val="24"/>
          <w:szCs w:val="24"/>
        </w:rPr>
        <w:t xml:space="preserve">, a efecto de que manifestara lo que a su derecho resultara conveniente; sin embargo, la parte </w:t>
      </w:r>
      <w:r w:rsidRPr="00536544">
        <w:rPr>
          <w:rFonts w:ascii="Palatino Linotype" w:eastAsia="Palatino Linotype" w:hAnsi="Palatino Linotype" w:cs="Palatino Linotype"/>
          <w:b/>
          <w:sz w:val="24"/>
          <w:szCs w:val="24"/>
        </w:rPr>
        <w:t>Recurrente</w:t>
      </w:r>
      <w:r w:rsidRPr="00536544">
        <w:rPr>
          <w:rFonts w:ascii="Palatino Linotype" w:eastAsia="Palatino Linotype" w:hAnsi="Palatino Linotype" w:cs="Palatino Linotype"/>
          <w:sz w:val="24"/>
          <w:szCs w:val="24"/>
        </w:rPr>
        <w:t xml:space="preserve"> durante el periodo de manifestaciones fue omisa en ejercer dicha prerrogativa.</w:t>
      </w:r>
    </w:p>
    <w:p w14:paraId="3CAED078"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b/>
        </w:rPr>
      </w:pPr>
    </w:p>
    <w:p w14:paraId="198062D0" w14:textId="77777777" w:rsidR="008A31EA" w:rsidRPr="00536544" w:rsidRDefault="008F2A0D" w:rsidP="00536544">
      <w:pPr>
        <w:numPr>
          <w:ilvl w:val="0"/>
          <w:numId w:val="2"/>
        </w:numPr>
        <w:pBdr>
          <w:top w:val="nil"/>
          <w:left w:val="nil"/>
          <w:bottom w:val="nil"/>
          <w:right w:val="nil"/>
          <w:between w:val="nil"/>
        </w:pBdr>
        <w:shd w:val="clear" w:color="auto" w:fill="FFFFFF" w:themeFill="background1"/>
        <w:tabs>
          <w:tab w:val="left" w:pos="360"/>
        </w:tabs>
        <w:spacing w:after="0" w:line="360" w:lineRule="auto"/>
        <w:ind w:left="0" w:right="49" w:firstLine="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Ampliación de plazo:</w:t>
      </w:r>
      <w:r w:rsidRPr="00536544">
        <w:rPr>
          <w:rFonts w:ascii="Palatino Linotype" w:eastAsia="Palatino Linotype" w:hAnsi="Palatino Linotype" w:cs="Palatino Linotype"/>
          <w:sz w:val="24"/>
          <w:szCs w:val="24"/>
        </w:rPr>
        <w:t xml:space="preserve"> El</w:t>
      </w:r>
      <w:r w:rsidRPr="00536544">
        <w:rPr>
          <w:rFonts w:ascii="Palatino Linotype" w:eastAsia="Palatino Linotype" w:hAnsi="Palatino Linotype" w:cs="Palatino Linotype"/>
          <w:b/>
          <w:sz w:val="24"/>
          <w:szCs w:val="24"/>
        </w:rPr>
        <w:t xml:space="preserve"> </w:t>
      </w:r>
      <w:r w:rsidRPr="00536544">
        <w:rPr>
          <w:rFonts w:ascii="Palatino Linotype" w:eastAsia="Palatino Linotype" w:hAnsi="Palatino Linotype" w:cs="Palatino Linotype"/>
          <w:b/>
          <w:sz w:val="24"/>
          <w:szCs w:val="24"/>
          <w:highlight w:val="white"/>
        </w:rPr>
        <w:t>catorce de noviembre de dos mil veintitrés</w:t>
      </w:r>
      <w:r w:rsidRPr="00536544">
        <w:rPr>
          <w:rFonts w:ascii="Palatino Linotype" w:eastAsia="Palatino Linotype" w:hAnsi="Palatino Linotype" w:cs="Palatino Linotype"/>
          <w:sz w:val="24"/>
          <w:szCs w:val="24"/>
          <w:highlight w:val="white"/>
        </w:rPr>
        <w:t>,</w:t>
      </w:r>
      <w:r w:rsidRPr="00536544">
        <w:rPr>
          <w:rFonts w:ascii="Palatino Linotype" w:eastAsia="Palatino Linotype" w:hAnsi="Palatino Linotype" w:cs="Palatino Linotype"/>
          <w:sz w:val="24"/>
          <w:szCs w:val="24"/>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D5B8985"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4E599CEF" w14:textId="77777777" w:rsidR="00826316" w:rsidRPr="00536544" w:rsidRDefault="00826316"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FFBF7D1"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 </w:t>
      </w:r>
    </w:p>
    <w:p w14:paraId="005F1539"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536544">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5ABDEEC4"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 </w:t>
      </w:r>
    </w:p>
    <w:p w14:paraId="437DC4D9"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F5936C"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4A2560DD"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01D4D5"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3C4E9AFD"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E9CAAD0"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4B51AB4E" w14:textId="77777777" w:rsidR="008A31EA" w:rsidRPr="00536544" w:rsidRDefault="008F2A0D" w:rsidP="00536544">
      <w:pPr>
        <w:shd w:val="clear" w:color="auto" w:fill="FFFFFF" w:themeFill="background1"/>
        <w:tabs>
          <w:tab w:val="left" w:pos="709"/>
        </w:tabs>
        <w:spacing w:after="0" w:line="360" w:lineRule="auto"/>
        <w:ind w:left="567" w:right="560"/>
        <w:jc w:val="both"/>
        <w:rPr>
          <w:rFonts w:ascii="Palatino Linotype" w:eastAsia="Palatino Linotype" w:hAnsi="Palatino Linotype" w:cs="Palatino Linotype"/>
        </w:rPr>
      </w:pPr>
      <w:r w:rsidRPr="00536544">
        <w:rPr>
          <w:rFonts w:ascii="Palatino Linotype" w:eastAsia="Palatino Linotype" w:hAnsi="Palatino Linotype" w:cs="Palatino Linotype"/>
          <w:b/>
          <w:sz w:val="24"/>
          <w:szCs w:val="24"/>
        </w:rPr>
        <w:t>a</w:t>
      </w:r>
      <w:r w:rsidRPr="00536544">
        <w:rPr>
          <w:rFonts w:ascii="Palatino Linotype" w:eastAsia="Palatino Linotype" w:hAnsi="Palatino Linotype" w:cs="Palatino Linotype"/>
          <w:b/>
        </w:rPr>
        <w:t>)    Complejidad del asunto:</w:t>
      </w:r>
      <w:r w:rsidRPr="00536544">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17259C97" w14:textId="77777777" w:rsidR="008A31EA" w:rsidRPr="00536544" w:rsidRDefault="008F2A0D" w:rsidP="00536544">
      <w:pPr>
        <w:shd w:val="clear" w:color="auto" w:fill="FFFFFF" w:themeFill="background1"/>
        <w:tabs>
          <w:tab w:val="left" w:pos="709"/>
        </w:tabs>
        <w:spacing w:after="0" w:line="360" w:lineRule="auto"/>
        <w:ind w:left="567" w:right="560"/>
        <w:jc w:val="both"/>
        <w:rPr>
          <w:rFonts w:ascii="Palatino Linotype" w:eastAsia="Palatino Linotype" w:hAnsi="Palatino Linotype" w:cs="Palatino Linotype"/>
        </w:rPr>
      </w:pPr>
      <w:r w:rsidRPr="00536544">
        <w:rPr>
          <w:rFonts w:ascii="Palatino Linotype" w:eastAsia="Palatino Linotype" w:hAnsi="Palatino Linotype" w:cs="Palatino Linotype"/>
          <w:b/>
        </w:rPr>
        <w:t>b)   Actividad Procesal del interesado</w:t>
      </w:r>
      <w:r w:rsidRPr="00536544">
        <w:rPr>
          <w:rFonts w:ascii="Palatino Linotype" w:eastAsia="Palatino Linotype" w:hAnsi="Palatino Linotype" w:cs="Palatino Linotype"/>
        </w:rPr>
        <w:t>: Acciones u omisiones del interesado.</w:t>
      </w:r>
    </w:p>
    <w:p w14:paraId="18F50AC0" w14:textId="77777777" w:rsidR="008A31EA" w:rsidRPr="00536544" w:rsidRDefault="008F2A0D" w:rsidP="00536544">
      <w:pPr>
        <w:shd w:val="clear" w:color="auto" w:fill="FFFFFF" w:themeFill="background1"/>
        <w:tabs>
          <w:tab w:val="left" w:pos="851"/>
        </w:tabs>
        <w:spacing w:after="0" w:line="360" w:lineRule="auto"/>
        <w:ind w:left="567" w:right="560"/>
        <w:jc w:val="both"/>
        <w:rPr>
          <w:rFonts w:ascii="Palatino Linotype" w:eastAsia="Palatino Linotype" w:hAnsi="Palatino Linotype" w:cs="Palatino Linotype"/>
        </w:rPr>
      </w:pPr>
      <w:r w:rsidRPr="00536544">
        <w:rPr>
          <w:rFonts w:ascii="Palatino Linotype" w:eastAsia="Palatino Linotype" w:hAnsi="Palatino Linotype" w:cs="Palatino Linotype"/>
          <w:b/>
        </w:rPr>
        <w:t>c)  Conducta de la Autoridad:</w:t>
      </w:r>
      <w:r w:rsidRPr="00536544">
        <w:rPr>
          <w:rFonts w:ascii="Palatino Linotype" w:eastAsia="Palatino Linotype" w:hAnsi="Palatino Linotype" w:cs="Palatino Linotype"/>
        </w:rPr>
        <w:t xml:space="preserve"> Las Acciones u omisiones realizadas en el procedimiento. Así como si la autoridad actuó con la debida diligencia.</w:t>
      </w:r>
    </w:p>
    <w:p w14:paraId="0BAA1C94" w14:textId="77777777" w:rsidR="008A31EA" w:rsidRPr="00536544" w:rsidRDefault="008F2A0D" w:rsidP="00536544">
      <w:pPr>
        <w:shd w:val="clear" w:color="auto" w:fill="FFFFFF" w:themeFill="background1"/>
        <w:tabs>
          <w:tab w:val="left" w:pos="851"/>
        </w:tabs>
        <w:spacing w:after="0" w:line="360" w:lineRule="auto"/>
        <w:ind w:left="567" w:right="560"/>
        <w:jc w:val="both"/>
        <w:rPr>
          <w:rFonts w:ascii="Palatino Linotype" w:eastAsia="Palatino Linotype" w:hAnsi="Palatino Linotype" w:cs="Palatino Linotype"/>
        </w:rPr>
      </w:pPr>
      <w:r w:rsidRPr="00536544">
        <w:rPr>
          <w:rFonts w:ascii="Palatino Linotype" w:eastAsia="Palatino Linotype" w:hAnsi="Palatino Linotype" w:cs="Palatino Linotype"/>
          <w:b/>
        </w:rPr>
        <w:t>d) La afectación generada en la situación jurídica de la persona involucrada en el proceso:</w:t>
      </w:r>
      <w:r w:rsidRPr="00536544">
        <w:rPr>
          <w:rFonts w:ascii="Palatino Linotype" w:eastAsia="Palatino Linotype" w:hAnsi="Palatino Linotype" w:cs="Palatino Linotype"/>
        </w:rPr>
        <w:t xml:space="preserve"> Violación a sus derechos humanos.</w:t>
      </w:r>
    </w:p>
    <w:p w14:paraId="18170F6B" w14:textId="77777777" w:rsidR="008A31EA" w:rsidRPr="00536544" w:rsidRDefault="008A31EA" w:rsidP="00536544">
      <w:pPr>
        <w:shd w:val="clear" w:color="auto" w:fill="FFFFFF" w:themeFill="background1"/>
        <w:tabs>
          <w:tab w:val="left" w:pos="851"/>
        </w:tabs>
        <w:spacing w:after="0" w:line="360" w:lineRule="auto"/>
        <w:ind w:left="567" w:right="560"/>
        <w:jc w:val="both"/>
        <w:rPr>
          <w:rFonts w:ascii="Palatino Linotype" w:eastAsia="Palatino Linotype" w:hAnsi="Palatino Linotype" w:cs="Palatino Linotype"/>
        </w:rPr>
      </w:pPr>
    </w:p>
    <w:p w14:paraId="47B73172"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F0B762"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 </w:t>
      </w:r>
    </w:p>
    <w:p w14:paraId="02B803B2"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Argumento que encuentra sustento en la jurisprudencia P</w:t>
      </w:r>
      <w:proofErr w:type="gramStart"/>
      <w:r w:rsidRPr="00536544">
        <w:rPr>
          <w:rFonts w:ascii="Palatino Linotype" w:eastAsia="Palatino Linotype" w:hAnsi="Palatino Linotype" w:cs="Palatino Linotype"/>
          <w:sz w:val="24"/>
          <w:szCs w:val="24"/>
        </w:rPr>
        <w:t>./</w:t>
      </w:r>
      <w:proofErr w:type="gramEnd"/>
      <w:r w:rsidRPr="00536544">
        <w:rPr>
          <w:rFonts w:ascii="Palatino Linotype" w:eastAsia="Palatino Linotype" w:hAnsi="Palatino Linotype" w:cs="Palatino Linotype"/>
          <w:sz w:val="24"/>
          <w:szCs w:val="24"/>
        </w:rPr>
        <w:t>J. 32/92 emitida por el Pleno de la Suprema Corte de Justicia de la Nación de rubro “</w:t>
      </w:r>
      <w:r w:rsidRPr="00536544">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536544">
        <w:rPr>
          <w:rFonts w:ascii="Palatino Linotype" w:eastAsia="Palatino Linotype" w:hAnsi="Palatino Linotype" w:cs="Palatino Linotype"/>
          <w:sz w:val="24"/>
          <w:szCs w:val="24"/>
        </w:rPr>
        <w:t>, visible en la Gaceta del Seminario Judicial de la Federación con el registro digital 205635.</w:t>
      </w:r>
    </w:p>
    <w:p w14:paraId="68727604"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 </w:t>
      </w:r>
    </w:p>
    <w:p w14:paraId="0A2653B2"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536544">
        <w:rPr>
          <w:rFonts w:ascii="Palatino Linotype" w:eastAsia="Palatino Linotype" w:hAnsi="Palatino Linotype" w:cs="Palatino Linotype"/>
          <w:sz w:val="24"/>
          <w:szCs w:val="24"/>
        </w:rPr>
        <w:lastRenderedPageBreak/>
        <w:t>términos legales previamente establecidos por la Ley, por tratarse de causas de fuerza mayor.</w:t>
      </w:r>
    </w:p>
    <w:p w14:paraId="7B658EC7"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02237490"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53B6CFD"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 </w:t>
      </w:r>
    </w:p>
    <w:p w14:paraId="73D0F3FC" w14:textId="77777777" w:rsidR="008A31EA" w:rsidRPr="00536544" w:rsidRDefault="008F2A0D" w:rsidP="00536544">
      <w:pPr>
        <w:shd w:val="clear" w:color="auto" w:fill="FFFFFF" w:themeFill="background1"/>
        <w:spacing w:after="0" w:line="276" w:lineRule="auto"/>
        <w:ind w:left="567" w:right="560"/>
        <w:jc w:val="both"/>
        <w:rPr>
          <w:rFonts w:ascii="Palatino Linotype" w:eastAsia="Palatino Linotype" w:hAnsi="Palatino Linotype" w:cs="Palatino Linotype"/>
        </w:rPr>
      </w:pPr>
      <w:r w:rsidRPr="00536544">
        <w:rPr>
          <w:rFonts w:ascii="Palatino Linotype" w:eastAsia="Palatino Linotype" w:hAnsi="Palatino Linotype" w:cs="Palatino Linotype"/>
          <w:b/>
        </w:rPr>
        <w:t xml:space="preserve"> “PLAZO RAZONABLE PARA RESOLVER. DIMENSIÓN Y EFECTOS DE ESTE CONCEPTO CUANDO SE ADUCE EXCESIVA CARGA DE TRABAJO.”</w:t>
      </w:r>
      <w:r w:rsidRPr="00536544">
        <w:rPr>
          <w:rFonts w:ascii="Palatino Linotype" w:eastAsia="Palatino Linotype" w:hAnsi="Palatino Linotype" w:cs="Palatino Linotype"/>
        </w:rPr>
        <w:t xml:space="preserve"> consultable en el Seminario Judicial de la Federación y su gaceta, con el registro digital 2002351.</w:t>
      </w:r>
    </w:p>
    <w:p w14:paraId="322D05BB" w14:textId="77777777" w:rsidR="008A31EA" w:rsidRPr="00536544" w:rsidRDefault="008F2A0D" w:rsidP="00536544">
      <w:pPr>
        <w:shd w:val="clear" w:color="auto" w:fill="FFFFFF" w:themeFill="background1"/>
        <w:spacing w:after="0" w:line="276" w:lineRule="auto"/>
        <w:ind w:left="567" w:right="560"/>
        <w:jc w:val="both"/>
        <w:rPr>
          <w:rFonts w:ascii="Palatino Linotype" w:eastAsia="Palatino Linotype" w:hAnsi="Palatino Linotype" w:cs="Palatino Linotype"/>
        </w:rPr>
      </w:pPr>
      <w:r w:rsidRPr="00536544">
        <w:rPr>
          <w:rFonts w:ascii="Palatino Linotype" w:eastAsia="Palatino Linotype" w:hAnsi="Palatino Linotype" w:cs="Palatino Linotype"/>
        </w:rPr>
        <w:t xml:space="preserve"> </w:t>
      </w:r>
    </w:p>
    <w:p w14:paraId="0441A217" w14:textId="77777777" w:rsidR="008A31EA" w:rsidRPr="00536544" w:rsidRDefault="008F2A0D" w:rsidP="00536544">
      <w:pPr>
        <w:shd w:val="clear" w:color="auto" w:fill="FFFFFF" w:themeFill="background1"/>
        <w:spacing w:after="0" w:line="276" w:lineRule="auto"/>
        <w:ind w:left="567" w:right="560"/>
        <w:jc w:val="both"/>
        <w:rPr>
          <w:rFonts w:ascii="Palatino Linotype" w:eastAsia="Palatino Linotype" w:hAnsi="Palatino Linotype" w:cs="Palatino Linotype"/>
        </w:rPr>
      </w:pPr>
      <w:r w:rsidRPr="00536544">
        <w:rPr>
          <w:rFonts w:ascii="Palatino Linotype" w:eastAsia="Palatino Linotype" w:hAnsi="Palatino Linotype" w:cs="Palatino Linotype"/>
          <w:b/>
        </w:rPr>
        <w:t>“PLAZO RAZONABLE PARA RESOLVER. CONCEPTO Y ELEMENTOS QUE LO INTEGRAN A LA LUZ DEL DERECHO INTERNACIONAL DE LOS DERECHOS HUMANOS.”,</w:t>
      </w:r>
      <w:r w:rsidRPr="00536544">
        <w:rPr>
          <w:rFonts w:ascii="Palatino Linotype" w:eastAsia="Palatino Linotype" w:hAnsi="Palatino Linotype" w:cs="Palatino Linotype"/>
        </w:rPr>
        <w:t xml:space="preserve"> visible en el Seminario Judicial de la Federación y su gaceta, con el registro digital 2002350.</w:t>
      </w:r>
    </w:p>
    <w:p w14:paraId="64F406F3"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00BB73C5"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254F7BA"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00B06607" w14:textId="77777777" w:rsidR="008A31EA" w:rsidRPr="00536544" w:rsidRDefault="008F2A0D" w:rsidP="00536544">
      <w:pPr>
        <w:numPr>
          <w:ilvl w:val="0"/>
          <w:numId w:val="2"/>
        </w:numPr>
        <w:pBdr>
          <w:top w:val="nil"/>
          <w:left w:val="nil"/>
          <w:bottom w:val="nil"/>
          <w:right w:val="nil"/>
          <w:between w:val="nil"/>
        </w:pBdr>
        <w:shd w:val="clear" w:color="auto" w:fill="FFFFFF" w:themeFill="background1"/>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Cierre de instrucción</w:t>
      </w:r>
      <w:r w:rsidRPr="00536544">
        <w:rPr>
          <w:rFonts w:ascii="Palatino Linotype" w:eastAsia="Palatino Linotype" w:hAnsi="Palatino Linotype" w:cs="Palatino Linotype"/>
          <w:sz w:val="24"/>
          <w:szCs w:val="24"/>
        </w:rPr>
        <w:t xml:space="preserve">. En fecha </w:t>
      </w:r>
      <w:r w:rsidRPr="00536544">
        <w:rPr>
          <w:rFonts w:ascii="Palatino Linotype" w:eastAsia="Palatino Linotype" w:hAnsi="Palatino Linotype" w:cs="Palatino Linotype"/>
          <w:b/>
          <w:sz w:val="24"/>
          <w:szCs w:val="24"/>
        </w:rPr>
        <w:t>catorce de diciembre de dos mil veintitrés</w:t>
      </w:r>
      <w:r w:rsidRPr="00536544">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0A46D627"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5A924975"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lastRenderedPageBreak/>
        <w:t xml:space="preserve">Debido a que fue debidamente sustanciado el expediente electrónico y no existe diligencia pendiente de desahogo, se emite la Resolución que conforme a Derecho proceda, de acuerdo con los siguientes: </w:t>
      </w:r>
    </w:p>
    <w:p w14:paraId="3918EC70"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0C3363DA" w14:textId="77777777" w:rsidR="008A31EA" w:rsidRPr="00536544" w:rsidRDefault="008F2A0D" w:rsidP="00536544">
      <w:pPr>
        <w:shd w:val="clear" w:color="auto" w:fill="FFFFFF" w:themeFill="background1"/>
        <w:spacing w:after="0" w:line="360" w:lineRule="auto"/>
        <w:ind w:right="49"/>
        <w:jc w:val="center"/>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II.</w:t>
      </w:r>
      <w:r w:rsidRPr="00536544">
        <w:rPr>
          <w:rFonts w:ascii="Palatino Linotype" w:eastAsia="Palatino Linotype" w:hAnsi="Palatino Linotype" w:cs="Palatino Linotype"/>
          <w:b/>
          <w:sz w:val="24"/>
          <w:szCs w:val="24"/>
        </w:rPr>
        <w:tab/>
        <w:t>C O N S I D E R A N D O:</w:t>
      </w:r>
    </w:p>
    <w:p w14:paraId="2A8A4989"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1633CE1C"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Primero. Competencia.</w:t>
      </w:r>
      <w:r w:rsidRPr="00536544">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C76CAA2"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5448871C"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 xml:space="preserve">Segundo. Oportunidad y </w:t>
      </w:r>
      <w:proofErr w:type="spellStart"/>
      <w:r w:rsidRPr="00536544">
        <w:rPr>
          <w:rFonts w:ascii="Palatino Linotype" w:eastAsia="Palatino Linotype" w:hAnsi="Palatino Linotype" w:cs="Palatino Linotype"/>
          <w:b/>
          <w:sz w:val="24"/>
          <w:szCs w:val="24"/>
        </w:rPr>
        <w:t>Procedibilidad</w:t>
      </w:r>
      <w:proofErr w:type="spellEnd"/>
      <w:r w:rsidRPr="00536544">
        <w:rPr>
          <w:rFonts w:ascii="Palatino Linotype" w:eastAsia="Palatino Linotype" w:hAnsi="Palatino Linotype" w:cs="Palatino Linotype"/>
          <w:b/>
          <w:sz w:val="24"/>
          <w:szCs w:val="24"/>
        </w:rPr>
        <w:t xml:space="preserve"> del Recurso de Revisión</w:t>
      </w:r>
      <w:r w:rsidRPr="00536544">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536544">
        <w:rPr>
          <w:rFonts w:ascii="Palatino Linotype" w:eastAsia="Palatino Linotype" w:hAnsi="Palatino Linotype" w:cs="Palatino Linotype"/>
          <w:sz w:val="24"/>
          <w:szCs w:val="24"/>
        </w:rPr>
        <w:t>procedibilidad</w:t>
      </w:r>
      <w:proofErr w:type="spellEnd"/>
      <w:r w:rsidRPr="00536544">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14:paraId="7D742A57"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rPr>
      </w:pPr>
    </w:p>
    <w:p w14:paraId="6C893E65"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536544">
        <w:rPr>
          <w:rFonts w:ascii="Palatino Linotype" w:eastAsia="Palatino Linotype" w:hAnsi="Palatino Linotype" w:cs="Palatino Linotype"/>
          <w:sz w:val="24"/>
          <w:szCs w:val="24"/>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remitió su respuesta en fecha </w:t>
      </w:r>
      <w:r w:rsidRPr="00536544">
        <w:rPr>
          <w:rFonts w:ascii="Palatino Linotype" w:eastAsia="Palatino Linotype" w:hAnsi="Palatino Linotype" w:cs="Palatino Linotype"/>
          <w:b/>
          <w:sz w:val="24"/>
          <w:szCs w:val="24"/>
        </w:rPr>
        <w:t>cuatro de mayo de dos mil veintitrés</w:t>
      </w:r>
      <w:r w:rsidRPr="00536544">
        <w:rPr>
          <w:rFonts w:ascii="Palatino Linotype" w:eastAsia="Palatino Linotype" w:hAnsi="Palatino Linotype" w:cs="Palatino Linotype"/>
          <w:sz w:val="24"/>
          <w:szCs w:val="24"/>
        </w:rPr>
        <w:t>,</w:t>
      </w:r>
      <w:r w:rsidRPr="00536544">
        <w:rPr>
          <w:rFonts w:ascii="Palatino Linotype" w:eastAsia="Palatino Linotype" w:hAnsi="Palatino Linotype" w:cs="Palatino Linotype"/>
          <w:b/>
          <w:sz w:val="24"/>
          <w:szCs w:val="24"/>
        </w:rPr>
        <w:t xml:space="preserve"> </w:t>
      </w:r>
      <w:r w:rsidRPr="00536544">
        <w:rPr>
          <w:rFonts w:ascii="Palatino Linotype" w:eastAsia="Palatino Linotype" w:hAnsi="Palatino Linotype" w:cs="Palatino Linotype"/>
          <w:sz w:val="24"/>
          <w:szCs w:val="24"/>
        </w:rPr>
        <w:t xml:space="preserve">mientras que el recurso de revisión interpuesto por la parte </w:t>
      </w:r>
      <w:r w:rsidRPr="00536544">
        <w:rPr>
          <w:rFonts w:ascii="Palatino Linotype" w:eastAsia="Palatino Linotype" w:hAnsi="Palatino Linotype" w:cs="Palatino Linotype"/>
          <w:b/>
          <w:sz w:val="24"/>
          <w:szCs w:val="24"/>
        </w:rPr>
        <w:t>Recurrente</w:t>
      </w:r>
      <w:r w:rsidRPr="00536544">
        <w:rPr>
          <w:rFonts w:ascii="Palatino Linotype" w:eastAsia="Palatino Linotype" w:hAnsi="Palatino Linotype" w:cs="Palatino Linotype"/>
          <w:sz w:val="24"/>
          <w:szCs w:val="24"/>
        </w:rPr>
        <w:t xml:space="preserve"> se tuvo por presentado el </w:t>
      </w:r>
      <w:r w:rsidRPr="00536544">
        <w:rPr>
          <w:rFonts w:ascii="Palatino Linotype" w:eastAsia="Palatino Linotype" w:hAnsi="Palatino Linotype" w:cs="Palatino Linotype"/>
          <w:b/>
          <w:sz w:val="24"/>
          <w:szCs w:val="24"/>
        </w:rPr>
        <w:t>ocho de mayo de dos mil veintitrés</w:t>
      </w:r>
      <w:r w:rsidRPr="00536544">
        <w:rPr>
          <w:rFonts w:ascii="Palatino Linotype" w:eastAsia="Palatino Linotype" w:hAnsi="Palatino Linotype" w:cs="Palatino Linotype"/>
          <w:sz w:val="24"/>
          <w:szCs w:val="24"/>
        </w:rPr>
        <w:t>, esto es al primer día hábil siguiente a la fecha en que se tuvo conocimiento de la respuesta; por lo que, se concluye que el presente recurso de revisión se encuentra dentro de los márgenes temporales previstos en las disposiciones legales referidas.</w:t>
      </w:r>
    </w:p>
    <w:p w14:paraId="682B8D05"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69CDDB0C"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sz w:val="24"/>
          <w:szCs w:val="24"/>
        </w:rPr>
        <w:t xml:space="preserve">Así también, por cuanto hace a la </w:t>
      </w:r>
      <w:proofErr w:type="spellStart"/>
      <w:r w:rsidRPr="00536544">
        <w:rPr>
          <w:rFonts w:ascii="Palatino Linotype" w:eastAsia="Palatino Linotype" w:hAnsi="Palatino Linotype" w:cs="Palatino Linotype"/>
          <w:sz w:val="24"/>
          <w:szCs w:val="24"/>
        </w:rPr>
        <w:t>procedibilidad</w:t>
      </w:r>
      <w:proofErr w:type="spellEnd"/>
      <w:r w:rsidRPr="00536544">
        <w:rPr>
          <w:rFonts w:ascii="Palatino Linotype" w:eastAsia="Palatino Linotype" w:hAnsi="Palatino Linotype" w:cs="Palatino Linotype"/>
          <w:sz w:val="24"/>
          <w:szCs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536544">
        <w:rPr>
          <w:rFonts w:ascii="Palatino Linotype" w:eastAsia="Palatino Linotype" w:hAnsi="Palatino Linotype" w:cs="Palatino Linotype"/>
          <w:b/>
          <w:sz w:val="24"/>
          <w:szCs w:val="24"/>
        </w:rPr>
        <w:t>SAIMEX.</w:t>
      </w:r>
    </w:p>
    <w:p w14:paraId="19593A39"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p>
    <w:p w14:paraId="0F1B4E8A"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sz w:val="24"/>
          <w:szCs w:val="24"/>
        </w:rPr>
        <w:t xml:space="preserve">Así también, por cuanto hace a la </w:t>
      </w:r>
      <w:proofErr w:type="spellStart"/>
      <w:r w:rsidRPr="00536544">
        <w:rPr>
          <w:rFonts w:ascii="Palatino Linotype" w:eastAsia="Palatino Linotype" w:hAnsi="Palatino Linotype" w:cs="Palatino Linotype"/>
          <w:sz w:val="24"/>
          <w:szCs w:val="24"/>
        </w:rPr>
        <w:t>procedibilidad</w:t>
      </w:r>
      <w:proofErr w:type="spellEnd"/>
      <w:r w:rsidRPr="00536544">
        <w:rPr>
          <w:rFonts w:ascii="Palatino Linotype" w:eastAsia="Palatino Linotype" w:hAnsi="Palatino Linotype" w:cs="Palatino Linotype"/>
          <w:sz w:val="24"/>
          <w:szCs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536544">
        <w:rPr>
          <w:rFonts w:ascii="Palatino Linotype" w:eastAsia="Palatino Linotype" w:hAnsi="Palatino Linotype" w:cs="Palatino Linotype"/>
          <w:b/>
          <w:sz w:val="24"/>
          <w:szCs w:val="24"/>
        </w:rPr>
        <w:t>SAIMEX.</w:t>
      </w:r>
    </w:p>
    <w:p w14:paraId="25A0AF98"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07D1B2F"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lastRenderedPageBreak/>
        <w:t xml:space="preserve">Finalmente, se advierte que resulta procedente la interposición del recurso, según lo manifestado por la parte </w:t>
      </w:r>
      <w:r w:rsidRPr="00536544">
        <w:rPr>
          <w:rFonts w:ascii="Palatino Linotype" w:eastAsia="Palatino Linotype" w:hAnsi="Palatino Linotype" w:cs="Palatino Linotype"/>
          <w:b/>
          <w:sz w:val="24"/>
          <w:szCs w:val="24"/>
        </w:rPr>
        <w:t>Recurrente</w:t>
      </w:r>
      <w:r w:rsidRPr="00536544">
        <w:rPr>
          <w:rFonts w:ascii="Palatino Linotype" w:eastAsia="Palatino Linotype" w:hAnsi="Palatino Linotype" w:cs="Palatino Linotype"/>
          <w:sz w:val="24"/>
          <w:szCs w:val="24"/>
        </w:rPr>
        <w:t xml:space="preserve"> en sus motivos de inconformidad, de acuerdo con el artículo 179, fracción I del ordenamiento legal citado, que a la letra dice: </w:t>
      </w:r>
    </w:p>
    <w:p w14:paraId="7A88A00E"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rPr>
      </w:pPr>
    </w:p>
    <w:p w14:paraId="66712BF3" w14:textId="77777777" w:rsidR="008A31EA" w:rsidRPr="00536544" w:rsidRDefault="008F2A0D" w:rsidP="00536544">
      <w:pPr>
        <w:shd w:val="clear" w:color="auto" w:fill="FFFFFF" w:themeFill="background1"/>
        <w:spacing w:after="0" w:line="276" w:lineRule="auto"/>
        <w:ind w:left="567" w:right="902"/>
        <w:jc w:val="both"/>
        <w:rPr>
          <w:rFonts w:ascii="Palatino Linotype" w:eastAsia="Palatino Linotype" w:hAnsi="Palatino Linotype" w:cs="Palatino Linotype"/>
          <w:i/>
        </w:rPr>
      </w:pPr>
      <w:r w:rsidRPr="00536544">
        <w:rPr>
          <w:rFonts w:ascii="Palatino Linotype" w:eastAsia="Palatino Linotype" w:hAnsi="Palatino Linotype" w:cs="Palatino Linotype"/>
          <w:i/>
        </w:rPr>
        <w:t>“</w:t>
      </w:r>
      <w:r w:rsidRPr="00536544">
        <w:rPr>
          <w:rFonts w:ascii="Palatino Linotype" w:eastAsia="Palatino Linotype" w:hAnsi="Palatino Linotype" w:cs="Palatino Linotype"/>
          <w:b/>
          <w:i/>
        </w:rPr>
        <w:t>Artículo 179.</w:t>
      </w:r>
      <w:r w:rsidRPr="00536544">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EAFF4A7" w14:textId="77777777" w:rsidR="008A31EA" w:rsidRPr="00536544" w:rsidRDefault="008A31EA" w:rsidP="00536544">
      <w:pPr>
        <w:shd w:val="clear" w:color="auto" w:fill="FFFFFF" w:themeFill="background1"/>
        <w:spacing w:after="0" w:line="276" w:lineRule="auto"/>
        <w:ind w:left="567" w:right="902"/>
        <w:jc w:val="both"/>
        <w:rPr>
          <w:rFonts w:ascii="Palatino Linotype" w:eastAsia="Palatino Linotype" w:hAnsi="Palatino Linotype" w:cs="Palatino Linotype"/>
          <w:i/>
        </w:rPr>
      </w:pPr>
    </w:p>
    <w:p w14:paraId="5F49694E"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567" w:right="902"/>
        <w:jc w:val="both"/>
        <w:rPr>
          <w:rFonts w:ascii="Palatino Linotype" w:eastAsia="Palatino Linotype" w:hAnsi="Palatino Linotype" w:cs="Palatino Linotype"/>
          <w:b/>
          <w:i/>
        </w:rPr>
      </w:pPr>
      <w:r w:rsidRPr="00536544">
        <w:rPr>
          <w:rFonts w:ascii="Palatino Linotype" w:eastAsia="Palatino Linotype" w:hAnsi="Palatino Linotype" w:cs="Palatino Linotype"/>
          <w:b/>
          <w:i/>
        </w:rPr>
        <w:t>I. La negativa a la información solicitada;</w:t>
      </w:r>
    </w:p>
    <w:p w14:paraId="1E59CFD9"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567" w:right="902"/>
        <w:jc w:val="both"/>
        <w:rPr>
          <w:rFonts w:ascii="Palatino Linotype" w:eastAsia="Palatino Linotype" w:hAnsi="Palatino Linotype" w:cs="Palatino Linotype"/>
          <w:i/>
        </w:rPr>
      </w:pPr>
      <w:r w:rsidRPr="00536544">
        <w:rPr>
          <w:rFonts w:ascii="Palatino Linotype" w:eastAsia="Palatino Linotype" w:hAnsi="Palatino Linotype" w:cs="Palatino Linotype"/>
          <w:i/>
        </w:rPr>
        <w:t>[…]”</w:t>
      </w:r>
    </w:p>
    <w:p w14:paraId="76876AA1"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left="567" w:right="902"/>
        <w:jc w:val="both"/>
        <w:rPr>
          <w:rFonts w:ascii="Palatino Linotype" w:eastAsia="Palatino Linotype" w:hAnsi="Palatino Linotype" w:cs="Palatino Linotype"/>
          <w:i/>
          <w:sz w:val="24"/>
          <w:szCs w:val="24"/>
        </w:rPr>
      </w:pPr>
    </w:p>
    <w:p w14:paraId="4412A889"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 xml:space="preserve">Tercero. Materia de la revisión. </w:t>
      </w:r>
      <w:r w:rsidRPr="00536544">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536544">
        <w:rPr>
          <w:rFonts w:ascii="Palatino Linotype" w:eastAsia="Palatino Linotype" w:hAnsi="Palatino Linotype" w:cs="Palatino Linotype"/>
          <w:b/>
          <w:sz w:val="24"/>
          <w:szCs w:val="24"/>
        </w:rPr>
        <w:t>verificar si la respuesta e informe justificado otorgados por el Sujeto Obligado son adecuados y suficientes para satisfacer el derecho de acceso a la información pública de la parte Recurrente,</w:t>
      </w:r>
      <w:r w:rsidRPr="00536544">
        <w:rPr>
          <w:rFonts w:ascii="Palatino Linotype" w:eastAsia="Palatino Linotype" w:hAnsi="Palatino Linotype" w:cs="Palatino Linotype"/>
          <w:sz w:val="24"/>
          <w:szCs w:val="24"/>
        </w:rPr>
        <w:t xml:space="preserve"> o en su defecto, en caso de ser procedente, ordenar la entrega de información oportuna.</w:t>
      </w:r>
    </w:p>
    <w:p w14:paraId="1AD867F6"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B191A30"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 xml:space="preserve">Cuarto. Estudio del asunto. </w:t>
      </w:r>
      <w:r w:rsidRPr="00536544">
        <w:rPr>
          <w:rFonts w:ascii="Palatino Linotype" w:eastAsia="Palatino Linotype" w:hAnsi="Palatino Linotype" w:cs="Palatino Linotype"/>
          <w:sz w:val="24"/>
          <w:szCs w:val="24"/>
        </w:rPr>
        <w:t xml:space="preserve">Antes de entrar al análisis de los pronunciamientos del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D0E8AC4"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jc w:val="both"/>
      </w:pPr>
    </w:p>
    <w:p w14:paraId="01EE4744"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0"/>
        <w:jc w:val="both"/>
      </w:pPr>
      <w:r w:rsidRPr="00536544">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36544">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D30A8D0"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0"/>
        <w:jc w:val="both"/>
      </w:pPr>
      <w:r w:rsidRPr="00536544">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EC8F461"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0"/>
        <w:jc w:val="both"/>
      </w:pPr>
      <w:r w:rsidRPr="00536544">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36544">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E53FC4A"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0"/>
        <w:jc w:val="both"/>
      </w:pPr>
      <w:r w:rsidRPr="00536544">
        <w:rPr>
          <w:rFonts w:ascii="Palatino Linotype" w:eastAsia="Palatino Linotype" w:hAnsi="Palatino Linotype" w:cs="Palatino Linotype"/>
          <w:i/>
        </w:rPr>
        <w:t>[…]</w:t>
      </w:r>
    </w:p>
    <w:p w14:paraId="37026E90"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901"/>
        <w:jc w:val="both"/>
      </w:pPr>
      <w:r w:rsidRPr="00536544">
        <w:rPr>
          <w:rFonts w:ascii="Palatino Linotype" w:eastAsia="Palatino Linotype" w:hAnsi="Palatino Linotype" w:cs="Palatino Linotype"/>
          <w:b/>
          <w:i/>
        </w:rPr>
        <w:t>“Artículo 6o.</w:t>
      </w:r>
    </w:p>
    <w:p w14:paraId="73584F52"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901"/>
        <w:jc w:val="both"/>
      </w:pPr>
      <w:r w:rsidRPr="00536544">
        <w:rPr>
          <w:rFonts w:ascii="Palatino Linotype" w:eastAsia="Palatino Linotype" w:hAnsi="Palatino Linotype" w:cs="Palatino Linotype"/>
          <w:i/>
        </w:rPr>
        <w:t>[...]</w:t>
      </w:r>
    </w:p>
    <w:p w14:paraId="1DE7E1CB"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1"/>
        <w:jc w:val="both"/>
      </w:pPr>
      <w:r w:rsidRPr="00536544">
        <w:rPr>
          <w:rFonts w:ascii="Palatino Linotype" w:eastAsia="Palatino Linotype" w:hAnsi="Palatino Linotype" w:cs="Palatino Linotype"/>
          <w:b/>
          <w:i/>
        </w:rPr>
        <w:t xml:space="preserve">A. Para el ejercicio del derecho de acceso a la información, la Federación y </w:t>
      </w:r>
      <w:r w:rsidRPr="00536544">
        <w:rPr>
          <w:rFonts w:ascii="Palatino Linotype" w:eastAsia="Palatino Linotype" w:hAnsi="Palatino Linotype" w:cs="Palatino Linotype"/>
          <w:b/>
          <w:i/>
          <w:u w:val="single"/>
        </w:rPr>
        <w:t>las entidades federativas</w:t>
      </w:r>
      <w:r w:rsidRPr="00536544">
        <w:rPr>
          <w:rFonts w:ascii="Palatino Linotype" w:eastAsia="Palatino Linotype" w:hAnsi="Palatino Linotype" w:cs="Palatino Linotype"/>
          <w:b/>
          <w:i/>
        </w:rPr>
        <w:t>,</w:t>
      </w:r>
      <w:r w:rsidRPr="00536544">
        <w:rPr>
          <w:rFonts w:ascii="Palatino Linotype" w:eastAsia="Palatino Linotype" w:hAnsi="Palatino Linotype" w:cs="Palatino Linotype"/>
          <w:i/>
        </w:rPr>
        <w:t xml:space="preserve"> en el ámbito de sus respectivas competencias, se regirán por los siguientes principios y bases:</w:t>
      </w:r>
    </w:p>
    <w:p w14:paraId="63CDFCE4"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1"/>
        <w:jc w:val="both"/>
      </w:pPr>
      <w:r w:rsidRPr="00536544">
        <w:rPr>
          <w:rFonts w:ascii="Palatino Linotype" w:eastAsia="Palatino Linotype" w:hAnsi="Palatino Linotype" w:cs="Palatino Linotype"/>
          <w:i/>
        </w:rPr>
        <w:t> </w:t>
      </w:r>
      <w:r w:rsidRPr="00536544">
        <w:rPr>
          <w:rFonts w:ascii="Palatino Linotype" w:eastAsia="Palatino Linotype" w:hAnsi="Palatino Linotype" w:cs="Palatino Linotype"/>
          <w:b/>
          <w:i/>
        </w:rPr>
        <w:t xml:space="preserve">I. </w:t>
      </w:r>
      <w:r w:rsidRPr="00536544">
        <w:rPr>
          <w:rFonts w:ascii="Palatino Linotype" w:eastAsia="Palatino Linotype" w:hAnsi="Palatino Linotype" w:cs="Palatino Linotype"/>
          <w:b/>
          <w:i/>
          <w:u w:val="single"/>
        </w:rPr>
        <w:t>Toda la información en posesión de cualquier autoridad, entidad, órgano y organismo de los Poderes</w:t>
      </w:r>
      <w:r w:rsidRPr="00536544">
        <w:rPr>
          <w:rFonts w:ascii="Palatino Linotype" w:eastAsia="Palatino Linotype" w:hAnsi="Palatino Linotype" w:cs="Palatino Linotype"/>
          <w:i/>
        </w:rPr>
        <w:t xml:space="preserve"> Ejecutivo, Legislativo </w:t>
      </w:r>
      <w:r w:rsidRPr="00536544">
        <w:rPr>
          <w:rFonts w:ascii="Palatino Linotype" w:eastAsia="Palatino Linotype" w:hAnsi="Palatino Linotype" w:cs="Palatino Linotype"/>
          <w:b/>
          <w:i/>
          <w:u w:val="single"/>
        </w:rPr>
        <w:t>y Judicial</w:t>
      </w:r>
      <w:r w:rsidRPr="00536544">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36544">
        <w:rPr>
          <w:rFonts w:ascii="Palatino Linotype" w:eastAsia="Palatino Linotype" w:hAnsi="Palatino Linotype" w:cs="Palatino Linotype"/>
          <w:b/>
          <w:i/>
        </w:rPr>
        <w:t>es pública y sólo podrá ser reservada temporalmente por razones de interés público y seguridad nacional,</w:t>
      </w:r>
      <w:r w:rsidRPr="00536544">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06B8FFD"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1"/>
        <w:jc w:val="both"/>
      </w:pPr>
      <w:r w:rsidRPr="00536544">
        <w:rPr>
          <w:rFonts w:ascii="Palatino Linotype" w:eastAsia="Palatino Linotype" w:hAnsi="Palatino Linotype" w:cs="Palatino Linotype"/>
          <w:i/>
        </w:rPr>
        <w:lastRenderedPageBreak/>
        <w:t> </w:t>
      </w:r>
      <w:r w:rsidRPr="00536544">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97FE2F4"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1"/>
        <w:jc w:val="both"/>
      </w:pPr>
      <w:r w:rsidRPr="00536544">
        <w:rPr>
          <w:rFonts w:ascii="Palatino Linotype" w:eastAsia="Palatino Linotype" w:hAnsi="Palatino Linotype" w:cs="Palatino Linotype"/>
          <w:i/>
        </w:rPr>
        <w:t> </w:t>
      </w:r>
      <w:r w:rsidRPr="00536544">
        <w:rPr>
          <w:rFonts w:ascii="Palatino Linotype" w:eastAsia="Palatino Linotype" w:hAnsi="Palatino Linotype" w:cs="Palatino Linotype"/>
          <w:b/>
          <w:i/>
        </w:rPr>
        <w:t xml:space="preserve">III. </w:t>
      </w:r>
      <w:r w:rsidRPr="00536544">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36544">
        <w:rPr>
          <w:rFonts w:ascii="Palatino Linotype" w:eastAsia="Palatino Linotype" w:hAnsi="Palatino Linotype" w:cs="Palatino Linotype"/>
          <w:i/>
        </w:rPr>
        <w:t xml:space="preserve"> a sus datos personales o a la rectificación de éstos.</w:t>
      </w:r>
    </w:p>
    <w:p w14:paraId="6A32A931"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1"/>
        <w:jc w:val="both"/>
      </w:pPr>
      <w:r w:rsidRPr="00536544">
        <w:rPr>
          <w:rFonts w:ascii="Palatino Linotype" w:eastAsia="Palatino Linotype" w:hAnsi="Palatino Linotype" w:cs="Palatino Linotype"/>
          <w:i/>
        </w:rPr>
        <w:t> </w:t>
      </w:r>
      <w:r w:rsidRPr="00536544">
        <w:rPr>
          <w:rFonts w:ascii="Palatino Linotype" w:eastAsia="Palatino Linotype" w:hAnsi="Palatino Linotype" w:cs="Palatino Linotype"/>
          <w:b/>
          <w:i/>
        </w:rPr>
        <w:t xml:space="preserve">IV. </w:t>
      </w:r>
      <w:r w:rsidRPr="00536544">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491B4FD"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1"/>
        <w:jc w:val="both"/>
      </w:pPr>
      <w:r w:rsidRPr="00536544">
        <w:rPr>
          <w:rFonts w:ascii="Palatino Linotype" w:eastAsia="Palatino Linotype" w:hAnsi="Palatino Linotype" w:cs="Palatino Linotype"/>
          <w:b/>
          <w:i/>
        </w:rPr>
        <w:t xml:space="preserve">V. </w:t>
      </w:r>
      <w:r w:rsidRPr="00536544">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4D90EDF"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1"/>
        <w:jc w:val="both"/>
      </w:pPr>
      <w:r w:rsidRPr="00536544">
        <w:rPr>
          <w:rFonts w:ascii="Palatino Linotype" w:eastAsia="Palatino Linotype" w:hAnsi="Palatino Linotype" w:cs="Palatino Linotype"/>
          <w:i/>
        </w:rPr>
        <w:t> </w:t>
      </w:r>
      <w:r w:rsidRPr="00536544">
        <w:rPr>
          <w:rFonts w:ascii="Palatino Linotype" w:eastAsia="Palatino Linotype" w:hAnsi="Palatino Linotype" w:cs="Palatino Linotype"/>
          <w:b/>
          <w:i/>
        </w:rPr>
        <w:t xml:space="preserve">VI. </w:t>
      </w:r>
      <w:r w:rsidRPr="00536544">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261C6D5C" w14:textId="77777777" w:rsidR="008A31EA" w:rsidRPr="00536544" w:rsidRDefault="008F2A0D" w:rsidP="00536544">
      <w:pPr>
        <w:pBdr>
          <w:top w:val="nil"/>
          <w:left w:val="nil"/>
          <w:bottom w:val="nil"/>
          <w:right w:val="nil"/>
          <w:between w:val="nil"/>
        </w:pBdr>
        <w:shd w:val="clear" w:color="auto" w:fill="FFFFFF" w:themeFill="background1"/>
        <w:spacing w:after="0" w:line="276" w:lineRule="auto"/>
        <w:ind w:left="851" w:right="851"/>
        <w:jc w:val="both"/>
        <w:rPr>
          <w:rFonts w:ascii="Palatino Linotype" w:eastAsia="Palatino Linotype" w:hAnsi="Palatino Linotype" w:cs="Palatino Linotype"/>
          <w:i/>
        </w:rPr>
      </w:pPr>
      <w:r w:rsidRPr="00536544">
        <w:rPr>
          <w:rFonts w:ascii="Palatino Linotype" w:eastAsia="Palatino Linotype" w:hAnsi="Palatino Linotype" w:cs="Palatino Linotype"/>
          <w:i/>
        </w:rPr>
        <w:t> </w:t>
      </w:r>
      <w:r w:rsidRPr="00536544">
        <w:rPr>
          <w:rFonts w:ascii="Palatino Linotype" w:eastAsia="Palatino Linotype" w:hAnsi="Palatino Linotype" w:cs="Palatino Linotype"/>
          <w:b/>
          <w:i/>
        </w:rPr>
        <w:t xml:space="preserve">VII. </w:t>
      </w:r>
      <w:r w:rsidRPr="00536544">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2B9C2EED" w14:textId="77777777" w:rsidR="008A31EA" w:rsidRPr="00536544" w:rsidRDefault="008A31EA" w:rsidP="00536544">
      <w:pPr>
        <w:pBdr>
          <w:top w:val="nil"/>
          <w:left w:val="nil"/>
          <w:bottom w:val="nil"/>
          <w:right w:val="nil"/>
          <w:between w:val="nil"/>
        </w:pBdr>
        <w:shd w:val="clear" w:color="auto" w:fill="FFFFFF" w:themeFill="background1"/>
        <w:spacing w:after="0" w:line="276" w:lineRule="auto"/>
        <w:ind w:left="851" w:right="851"/>
        <w:jc w:val="both"/>
      </w:pPr>
    </w:p>
    <w:p w14:paraId="21C0FF09"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04B3F2"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jc w:val="both"/>
        <w:rPr>
          <w:sz w:val="24"/>
          <w:szCs w:val="24"/>
        </w:rPr>
      </w:pPr>
    </w:p>
    <w:p w14:paraId="4377FCD1"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i/>
        </w:rPr>
        <w:lastRenderedPageBreak/>
        <w:t>“</w:t>
      </w:r>
      <w:r w:rsidRPr="00536544">
        <w:rPr>
          <w:rFonts w:ascii="Palatino Linotype" w:eastAsia="Palatino Linotype" w:hAnsi="Palatino Linotype" w:cs="Palatino Linotype"/>
          <w:b/>
          <w:i/>
        </w:rPr>
        <w:t>Artículo 4</w:t>
      </w:r>
      <w:r w:rsidRPr="0053654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2AB6B7" w14:textId="77777777" w:rsidR="008A31EA" w:rsidRPr="00536544" w:rsidRDefault="008A31EA"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p>
    <w:p w14:paraId="1AB06DB0"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36544">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6CBF4B" w14:textId="77777777" w:rsidR="008A31EA" w:rsidRPr="00536544" w:rsidRDefault="008A31EA"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p>
    <w:p w14:paraId="4FF38F97"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536544">
        <w:rPr>
          <w:rFonts w:ascii="Palatino Linotype" w:eastAsia="Palatino Linotype" w:hAnsi="Palatino Linotype" w:cs="Palatino Linotype"/>
          <w:i/>
        </w:rPr>
        <w:t>.”</w:t>
      </w:r>
    </w:p>
    <w:p w14:paraId="4DD86AB2"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rPr>
      </w:pPr>
    </w:p>
    <w:p w14:paraId="02821C83"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48C8C01"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EE3E7F8"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b/>
          <w:i/>
        </w:rPr>
        <w:t>“Artículo 12.-</w:t>
      </w:r>
      <w:r w:rsidRPr="0053654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846EB42" w14:textId="77777777" w:rsidR="008A31EA" w:rsidRPr="00536544" w:rsidRDefault="008A31EA"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p>
    <w:p w14:paraId="53BC3ED5"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b/>
          <w:i/>
        </w:rPr>
      </w:pPr>
      <w:r w:rsidRPr="00536544">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536544">
        <w:rPr>
          <w:rFonts w:ascii="Palatino Linotype" w:eastAsia="Palatino Linotype" w:hAnsi="Palatino Linotype" w:cs="Palatino Linotype"/>
          <w:i/>
        </w:rPr>
        <w:t xml:space="preserve">. </w:t>
      </w:r>
      <w:r w:rsidRPr="00536544">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77C354F5" w14:textId="77777777" w:rsidR="008A31EA" w:rsidRPr="00536544" w:rsidRDefault="008A31EA" w:rsidP="00536544">
      <w:pPr>
        <w:shd w:val="clear" w:color="auto" w:fill="FFFFFF" w:themeFill="background1"/>
        <w:spacing w:after="0" w:line="360" w:lineRule="auto"/>
        <w:ind w:left="567" w:right="616"/>
        <w:jc w:val="both"/>
        <w:rPr>
          <w:rFonts w:ascii="Palatino Linotype" w:eastAsia="Palatino Linotype" w:hAnsi="Palatino Linotype" w:cs="Palatino Linotype"/>
          <w:i/>
          <w:sz w:val="24"/>
          <w:szCs w:val="24"/>
        </w:rPr>
      </w:pPr>
    </w:p>
    <w:p w14:paraId="1B9F2435" w14:textId="77777777" w:rsidR="008A31EA" w:rsidRPr="00536544" w:rsidRDefault="008F2A0D"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33CB9A1"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0BAA2E0F"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536544">
        <w:rPr>
          <w:rFonts w:ascii="Palatino Linotype" w:eastAsia="Palatino Linotype" w:hAnsi="Palatino Linotype" w:cs="Palatino Linotype"/>
          <w:b/>
          <w:sz w:val="24"/>
          <w:szCs w:val="24"/>
        </w:rPr>
        <w:t xml:space="preserve"> </w:t>
      </w:r>
    </w:p>
    <w:p w14:paraId="1AB59D63"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p>
    <w:p w14:paraId="4463B1B0"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i/>
        </w:rPr>
        <w:t>“</w:t>
      </w:r>
      <w:r w:rsidRPr="00536544">
        <w:rPr>
          <w:rFonts w:ascii="Palatino Linotype" w:eastAsia="Palatino Linotype" w:hAnsi="Palatino Linotype" w:cs="Palatino Linotype"/>
          <w:b/>
          <w:i/>
        </w:rPr>
        <w:t>No existe obligación de elaborar documentos ad hoc para atender las solicitudes de acceso a la información.</w:t>
      </w:r>
      <w:r w:rsidRPr="00536544">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FA474CB"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rPr>
      </w:pPr>
    </w:p>
    <w:p w14:paraId="23217101"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F9045C"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rPr>
      </w:pPr>
    </w:p>
    <w:p w14:paraId="702924D2" w14:textId="77777777" w:rsidR="008A31EA"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5767F9A" w14:textId="77777777" w:rsidR="008A31EA" w:rsidRPr="00536544" w:rsidRDefault="008A31EA"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p w14:paraId="5E0A25C3"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6579C8E" w14:textId="77777777" w:rsidR="008A31EA" w:rsidRPr="00536544" w:rsidRDefault="008A31EA" w:rsidP="00536544">
      <w:pPr>
        <w:shd w:val="clear" w:color="auto" w:fill="FFFFFF" w:themeFill="background1"/>
        <w:spacing w:after="0" w:line="360" w:lineRule="auto"/>
        <w:ind w:left="851" w:right="899"/>
        <w:jc w:val="both"/>
        <w:rPr>
          <w:rFonts w:ascii="Palatino Linotype" w:eastAsia="Palatino Linotype" w:hAnsi="Palatino Linotype" w:cs="Palatino Linotype"/>
          <w:i/>
        </w:rPr>
      </w:pPr>
    </w:p>
    <w:p w14:paraId="2A1DD0F3"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i/>
        </w:rPr>
        <w:t>“</w:t>
      </w:r>
      <w:r w:rsidRPr="00536544">
        <w:rPr>
          <w:rFonts w:ascii="Palatino Linotype" w:eastAsia="Palatino Linotype" w:hAnsi="Palatino Linotype" w:cs="Palatino Linotype"/>
          <w:b/>
          <w:i/>
        </w:rPr>
        <w:t xml:space="preserve">Artículo 3. </w:t>
      </w:r>
      <w:r w:rsidRPr="00536544">
        <w:rPr>
          <w:rFonts w:ascii="Palatino Linotype" w:eastAsia="Palatino Linotype" w:hAnsi="Palatino Linotype" w:cs="Palatino Linotype"/>
          <w:i/>
        </w:rPr>
        <w:t>Para los efectos de la presente Ley se entenderá por:</w:t>
      </w:r>
    </w:p>
    <w:p w14:paraId="54E5BA31"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i/>
        </w:rPr>
        <w:t>…</w:t>
      </w:r>
    </w:p>
    <w:p w14:paraId="0C24C152"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b/>
          <w:i/>
        </w:rPr>
        <w:t>XI. Documento:</w:t>
      </w:r>
      <w:r w:rsidRPr="00536544">
        <w:rPr>
          <w:rFonts w:ascii="Palatino Linotype" w:eastAsia="Palatino Linotype" w:hAnsi="Palatino Linotype" w:cs="Palatino Linotype"/>
          <w:i/>
        </w:rPr>
        <w:t xml:space="preserve"> Los expedientes, reportes, estudios, actas</w:t>
      </w:r>
      <w:r w:rsidRPr="00536544">
        <w:rPr>
          <w:rFonts w:ascii="Palatino Linotype" w:eastAsia="Palatino Linotype" w:hAnsi="Palatino Linotype" w:cs="Palatino Linotype"/>
          <w:b/>
          <w:i/>
        </w:rPr>
        <w:t>,</w:t>
      </w:r>
      <w:r w:rsidRPr="00536544">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9192042" w14:textId="77777777" w:rsidR="008A31EA" w:rsidRPr="00536544" w:rsidRDefault="008A31EA" w:rsidP="00536544">
      <w:pPr>
        <w:shd w:val="clear" w:color="auto" w:fill="FFFFFF" w:themeFill="background1"/>
        <w:spacing w:after="0" w:line="360" w:lineRule="auto"/>
        <w:ind w:left="851" w:right="899"/>
        <w:jc w:val="both"/>
        <w:rPr>
          <w:rFonts w:ascii="Palatino Linotype" w:eastAsia="Palatino Linotype" w:hAnsi="Palatino Linotype" w:cs="Palatino Linotype"/>
          <w:sz w:val="24"/>
          <w:szCs w:val="24"/>
        </w:rPr>
      </w:pPr>
    </w:p>
    <w:p w14:paraId="53F76A07"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5AB77AB"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E1AAEE4"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b/>
          <w:i/>
        </w:rPr>
      </w:pPr>
      <w:r w:rsidRPr="00536544">
        <w:rPr>
          <w:rFonts w:ascii="Palatino Linotype" w:eastAsia="Palatino Linotype" w:hAnsi="Palatino Linotype" w:cs="Palatino Linotype"/>
          <w:b/>
        </w:rPr>
        <w:t>“</w:t>
      </w:r>
      <w:r w:rsidRPr="00536544">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53654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B43D84"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i/>
        </w:rPr>
        <w:t>En consecuencia el acceso a la información se refiere a que se cumplan cualquiera de los siguientes tres supuestos:</w:t>
      </w:r>
    </w:p>
    <w:p w14:paraId="2DA8BEE1"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i/>
        </w:rPr>
      </w:pPr>
      <w:r w:rsidRPr="00536544">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DAF93FB"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b/>
          <w:i/>
        </w:rPr>
      </w:pPr>
      <w:r w:rsidRPr="00536544">
        <w:rPr>
          <w:rFonts w:ascii="Palatino Linotype" w:eastAsia="Palatino Linotype" w:hAnsi="Palatino Linotype" w:cs="Palatino Linotype"/>
          <w:b/>
          <w:i/>
        </w:rPr>
        <w:lastRenderedPageBreak/>
        <w:t>2) Que se trate de información registrada en cualquier soporte documental, que en ejercicio de las atribuciones conferidas, sea administrada por los Sujetos Obligados, y</w:t>
      </w:r>
    </w:p>
    <w:p w14:paraId="13CCE0A6" w14:textId="77777777" w:rsidR="008A31EA" w:rsidRPr="00536544" w:rsidRDefault="008F2A0D" w:rsidP="00536544">
      <w:pPr>
        <w:shd w:val="clear" w:color="auto" w:fill="FFFFFF" w:themeFill="background1"/>
        <w:spacing w:after="0" w:line="276" w:lineRule="auto"/>
        <w:ind w:left="567" w:right="616"/>
        <w:jc w:val="both"/>
        <w:rPr>
          <w:rFonts w:ascii="Palatino Linotype" w:eastAsia="Palatino Linotype" w:hAnsi="Palatino Linotype" w:cs="Palatino Linotype"/>
          <w:b/>
          <w:i/>
        </w:rPr>
      </w:pPr>
      <w:r w:rsidRPr="00536544">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35D2F953" w14:textId="77777777" w:rsidR="008A31EA" w:rsidRPr="00536544" w:rsidRDefault="008A31EA" w:rsidP="00536544">
      <w:pPr>
        <w:shd w:val="clear" w:color="auto" w:fill="FFFFFF" w:themeFill="background1"/>
        <w:spacing w:after="0" w:line="276" w:lineRule="auto"/>
        <w:ind w:left="567" w:right="616"/>
        <w:jc w:val="both"/>
        <w:rPr>
          <w:rFonts w:ascii="Palatino Linotype" w:eastAsia="Palatino Linotype" w:hAnsi="Palatino Linotype" w:cs="Palatino Linotype"/>
          <w:b/>
          <w:i/>
        </w:rPr>
      </w:pPr>
    </w:p>
    <w:p w14:paraId="79B3C7C1"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De ahí que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36544">
        <w:rPr>
          <w:rFonts w:ascii="Palatino Linotype" w:eastAsia="Palatino Linotype" w:hAnsi="Palatino Linotype" w:cs="Palatino Linotype"/>
          <w:sz w:val="24"/>
          <w:szCs w:val="24"/>
          <w:vertAlign w:val="superscript"/>
        </w:rPr>
        <w:footnoteReference w:id="1"/>
      </w:r>
      <w:r w:rsidRPr="00536544">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36544">
        <w:rPr>
          <w:rFonts w:ascii="Palatino Linotype" w:eastAsia="Palatino Linotype" w:hAnsi="Palatino Linotype" w:cs="Palatino Linotype"/>
          <w:sz w:val="24"/>
          <w:szCs w:val="24"/>
          <w:vertAlign w:val="superscript"/>
        </w:rPr>
        <w:footnoteReference w:id="2"/>
      </w:r>
      <w:r w:rsidRPr="00536544">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010338D1"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3A76D95" w14:textId="77777777" w:rsidR="008A31EA" w:rsidRPr="00536544" w:rsidRDefault="008F2A0D" w:rsidP="00536544">
      <w:pPr>
        <w:numPr>
          <w:ilvl w:val="0"/>
          <w:numId w:val="12"/>
        </w:numPr>
        <w:pBdr>
          <w:top w:val="nil"/>
          <w:left w:val="nil"/>
          <w:bottom w:val="nil"/>
          <w:right w:val="nil"/>
          <w:between w:val="nil"/>
        </w:pBdr>
        <w:shd w:val="clear" w:color="auto" w:fill="FFFFFF" w:themeFill="background1"/>
        <w:spacing w:after="0" w:line="360" w:lineRule="auto"/>
        <w:ind w:right="-150"/>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De la solicitud de información, respuesta e informe justificado del Sujeto Obligado:</w:t>
      </w:r>
    </w:p>
    <w:p w14:paraId="7923EE27"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150"/>
        <w:jc w:val="both"/>
        <w:rPr>
          <w:rFonts w:ascii="Palatino Linotype" w:eastAsia="Palatino Linotype" w:hAnsi="Palatino Linotype" w:cs="Palatino Linotype"/>
          <w:sz w:val="14"/>
          <w:szCs w:val="14"/>
        </w:rPr>
      </w:pPr>
    </w:p>
    <w:p w14:paraId="727451AA"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ind w:right="-15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Dicho lo anterior, en el caso se analizará el agravio hecho valer por la parte </w:t>
      </w:r>
      <w:r w:rsidRPr="00536544">
        <w:rPr>
          <w:rFonts w:ascii="Palatino Linotype" w:eastAsia="Palatino Linotype" w:hAnsi="Palatino Linotype" w:cs="Palatino Linotype"/>
          <w:b/>
          <w:sz w:val="24"/>
          <w:szCs w:val="24"/>
        </w:rPr>
        <w:t>Recurrente</w:t>
      </w:r>
      <w:r w:rsidRPr="00536544">
        <w:rPr>
          <w:rFonts w:ascii="Palatino Linotype" w:eastAsia="Palatino Linotype" w:hAnsi="Palatino Linotype" w:cs="Palatino Linotype"/>
          <w:sz w:val="24"/>
          <w:szCs w:val="24"/>
        </w:rPr>
        <w:t xml:space="preserve"> que actualiza la causal de procedencia prevista en la fracción I del artículo 179 de la Ley de Transparencia y Acceso a la Información del Estado de México y Municipios, relativa a </w:t>
      </w:r>
      <w:r w:rsidRPr="00536544">
        <w:rPr>
          <w:rFonts w:ascii="Palatino Linotype" w:eastAsia="Palatino Linotype" w:hAnsi="Palatino Linotype" w:cs="Palatino Linotype"/>
          <w:b/>
          <w:sz w:val="24"/>
          <w:szCs w:val="24"/>
          <w:u w:val="single"/>
        </w:rPr>
        <w:t>la negativa a la información solicitada.</w:t>
      </w:r>
    </w:p>
    <w:p w14:paraId="736DDE91"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150"/>
        <w:jc w:val="both"/>
        <w:rPr>
          <w:rFonts w:ascii="Palatino Linotype" w:eastAsia="Palatino Linotype" w:hAnsi="Palatino Linotype" w:cs="Palatino Linotype"/>
          <w:sz w:val="24"/>
          <w:szCs w:val="24"/>
        </w:rPr>
      </w:pPr>
    </w:p>
    <w:p w14:paraId="59004B99"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ind w:right="-15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En principio, resulta conveniente recordar que la pretensión de la parte </w:t>
      </w:r>
      <w:r w:rsidRPr="00536544">
        <w:rPr>
          <w:rFonts w:ascii="Palatino Linotype" w:eastAsia="Palatino Linotype" w:hAnsi="Palatino Linotype" w:cs="Palatino Linotype"/>
          <w:b/>
          <w:sz w:val="24"/>
          <w:szCs w:val="24"/>
        </w:rPr>
        <w:t>Recurrente</w:t>
      </w:r>
      <w:r w:rsidRPr="00536544">
        <w:rPr>
          <w:rFonts w:ascii="Palatino Linotype" w:eastAsia="Palatino Linotype" w:hAnsi="Palatino Linotype" w:cs="Palatino Linotype"/>
          <w:sz w:val="24"/>
          <w:szCs w:val="24"/>
        </w:rPr>
        <w:t xml:space="preserve"> es obtener la siguiente información:</w:t>
      </w:r>
    </w:p>
    <w:p w14:paraId="7B610E36"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150"/>
        <w:jc w:val="both"/>
        <w:rPr>
          <w:rFonts w:ascii="Palatino Linotype" w:eastAsia="Palatino Linotype" w:hAnsi="Palatino Linotype" w:cs="Palatino Linotype"/>
          <w:sz w:val="24"/>
          <w:szCs w:val="24"/>
        </w:rPr>
      </w:pPr>
    </w:p>
    <w:p w14:paraId="556B2175" w14:textId="77777777" w:rsidR="008A31EA" w:rsidRPr="00536544" w:rsidRDefault="008F2A0D" w:rsidP="00536544">
      <w:pPr>
        <w:numPr>
          <w:ilvl w:val="0"/>
          <w:numId w:val="6"/>
        </w:numPr>
        <w:pBdr>
          <w:top w:val="nil"/>
          <w:left w:val="nil"/>
          <w:bottom w:val="nil"/>
          <w:right w:val="nil"/>
          <w:between w:val="nil"/>
        </w:pBdr>
        <w:shd w:val="clear" w:color="auto" w:fill="FFFFFF" w:themeFill="background1"/>
        <w:spacing w:after="0" w:line="360" w:lineRule="auto"/>
        <w:ind w:right="-7"/>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La documentación oficial de las actuaciones que el Gobierno de Naucalpan de Juárez para frenar la obra que se ejecuta en el triángulo de Lomas Verdes, Av. Aseo de Lomas Verdes y Súper Avenida Lomas Verdes, entre el Centro Cívico y la 3a. Sección de Lomas Verdes; así como, las acciones para recuperar dicho bien de dominio público.</w:t>
      </w:r>
    </w:p>
    <w:p w14:paraId="09EF5874"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right="-150"/>
        <w:jc w:val="both"/>
        <w:rPr>
          <w:rFonts w:ascii="Palatino Linotype" w:eastAsia="Palatino Linotype" w:hAnsi="Palatino Linotype" w:cs="Palatino Linotype"/>
          <w:sz w:val="24"/>
          <w:szCs w:val="24"/>
        </w:rPr>
      </w:pPr>
    </w:p>
    <w:p w14:paraId="3E21108A"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ind w:right="-15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En respuesta,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por conducto de la Encargada del Despacho de la Subdirección de Planeación y Control informa que con relación a la información requerida en la solicitud de información, después de haber revisado las obras públicas correspondientes a los años 2022 y 2023, no se tenía registro de trabajos de esa zona, y que la Dirección General de Obras Públicas no tiene dentro de sus facultades realizar actividades tendientes a recuperar espacios públicos, sólo la de ejecutar, coordinar y supervisar los planes y programas de obra pública del Municipio y servicios relacionados con las mismas.</w:t>
      </w:r>
    </w:p>
    <w:p w14:paraId="15845308"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bookmarkStart w:id="5" w:name="_heading=h.1y810tw" w:colFirst="0" w:colLast="0"/>
      <w:bookmarkEnd w:id="5"/>
    </w:p>
    <w:p w14:paraId="107205AB"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lastRenderedPageBreak/>
        <w:t xml:space="preserve">Inconforme con la respuesta, la parte </w:t>
      </w:r>
      <w:r w:rsidRPr="00536544">
        <w:rPr>
          <w:rFonts w:ascii="Palatino Linotype" w:eastAsia="Palatino Linotype" w:hAnsi="Palatino Linotype" w:cs="Palatino Linotype"/>
          <w:b/>
          <w:sz w:val="24"/>
          <w:szCs w:val="24"/>
        </w:rPr>
        <w:t>Recurrente</w:t>
      </w:r>
      <w:r w:rsidRPr="00536544">
        <w:rPr>
          <w:rFonts w:ascii="Palatino Linotype" w:eastAsia="Palatino Linotype" w:hAnsi="Palatino Linotype" w:cs="Palatino Linotype"/>
          <w:sz w:val="24"/>
          <w:szCs w:val="24"/>
        </w:rPr>
        <w:t xml:space="preserve"> promovió el presente recurso de revisión, a través del cual a manera de motivos de inconformidad se advierte que se adolece sustancialmente de que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niega la información requerida, insistiendo en que lo que requiere es información relativa a una obra ilegal y violatoria que están ejecutando particulares en un área verde municipal y no en un predio particular, aún y cuando cuenten con licencia.</w:t>
      </w:r>
    </w:p>
    <w:p w14:paraId="01502799"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p>
    <w:p w14:paraId="7B0BCE14"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Así, durante el periodo de manifestaciones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rindió su informe justificado por conducto del Encargado del Despacho de la Dirección General de Desarrollo Urbano, en el que medularmente manifestó que respecto de la información requerida la Dirección General de Desarrollo Urbano </w:t>
      </w:r>
      <w:r w:rsidRPr="00536544">
        <w:rPr>
          <w:rFonts w:ascii="Palatino Linotype" w:eastAsia="Palatino Linotype" w:hAnsi="Palatino Linotype" w:cs="Palatino Linotype"/>
          <w:b/>
          <w:sz w:val="24"/>
          <w:szCs w:val="24"/>
        </w:rPr>
        <w:t>cuenta con un antecedente de procedimiento administrativo común</w:t>
      </w:r>
      <w:r w:rsidRPr="00536544">
        <w:rPr>
          <w:rFonts w:ascii="Palatino Linotype" w:eastAsia="Palatino Linotype" w:hAnsi="Palatino Linotype" w:cs="Palatino Linotype"/>
          <w:sz w:val="24"/>
          <w:szCs w:val="24"/>
        </w:rPr>
        <w:t xml:space="preserve"> con número de expediente </w:t>
      </w:r>
      <w:r w:rsidRPr="00536544">
        <w:rPr>
          <w:rFonts w:ascii="Palatino Linotype" w:eastAsia="Palatino Linotype" w:hAnsi="Palatino Linotype" w:cs="Palatino Linotype"/>
          <w:b/>
          <w:sz w:val="24"/>
          <w:szCs w:val="24"/>
        </w:rPr>
        <w:t>SJ/072/2022</w:t>
      </w:r>
      <w:r w:rsidRPr="00536544">
        <w:rPr>
          <w:rFonts w:ascii="Palatino Linotype" w:eastAsia="Palatino Linotype" w:hAnsi="Palatino Linotype" w:cs="Palatino Linotype"/>
          <w:sz w:val="24"/>
          <w:szCs w:val="24"/>
        </w:rPr>
        <w:t>, no obstante solicitó al Comité de Transparencia la aprobación del proyecto de reserva por un periodo de dos años; adjuntando para tal efecto el Acta de la Décima Tercera Sesión Extraordinaria del Comité de Transparencia del H. Ayuntamiento de Naucalpan de Juárez, número CT/NAU/ACTA-EXT-00013/2023 del 02 de junio de 2023, en cuyo punto 5 del orden del día se llevó a cabo el análisis, discusión y, en su caso aprobación por parte del Comité de Transparencia del proyecto de acuerdo a través de cual la Dirección General de Desarrollo Urbano propone la Reserva del Expediente relacionado con el procedimiento administrativo común SJ/072/2022.</w:t>
      </w:r>
    </w:p>
    <w:p w14:paraId="0EEDC9A2"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p>
    <w:p w14:paraId="535D0E50" w14:textId="77777777" w:rsidR="008A31EA" w:rsidRPr="00536544" w:rsidRDefault="008F2A0D"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Documentos a través de los cuales el ente público rindió su informe justificado, mismos que se pusieron a la vista de la parte </w:t>
      </w:r>
      <w:r w:rsidRPr="00536544">
        <w:rPr>
          <w:rFonts w:ascii="Palatino Linotype" w:eastAsia="Palatino Linotype" w:hAnsi="Palatino Linotype" w:cs="Palatino Linotype"/>
          <w:b/>
          <w:sz w:val="24"/>
          <w:szCs w:val="24"/>
        </w:rPr>
        <w:t>Recurrente</w:t>
      </w:r>
      <w:r w:rsidRPr="00536544">
        <w:rPr>
          <w:rFonts w:ascii="Palatino Linotype" w:eastAsia="Palatino Linotype" w:hAnsi="Palatino Linotype" w:cs="Palatino Linotype"/>
          <w:sz w:val="24"/>
          <w:szCs w:val="24"/>
        </w:rPr>
        <w:t xml:space="preserve"> a fin de que manifestara lo </w:t>
      </w:r>
      <w:r w:rsidRPr="00536544">
        <w:rPr>
          <w:rFonts w:ascii="Palatino Linotype" w:eastAsia="Palatino Linotype" w:hAnsi="Palatino Linotype" w:cs="Palatino Linotype"/>
          <w:sz w:val="24"/>
          <w:szCs w:val="24"/>
        </w:rPr>
        <w:lastRenderedPageBreak/>
        <w:t>que a su derecho resultara conveniente; no obstante, fue omisa en ejercer dicha prerrogativa.</w:t>
      </w:r>
    </w:p>
    <w:p w14:paraId="33FAF153"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p>
    <w:p w14:paraId="3D08C3F6"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Precisado lo anterior, y atendiendo a que el </w:t>
      </w:r>
      <w:r w:rsidRPr="00536544">
        <w:rPr>
          <w:rFonts w:ascii="Palatino Linotype" w:eastAsia="Palatino Linotype" w:hAnsi="Palatino Linotype" w:cs="Palatino Linotype"/>
          <w:b/>
          <w:sz w:val="24"/>
          <w:szCs w:val="24"/>
        </w:rPr>
        <w:t xml:space="preserve">Sujeto Obligado </w:t>
      </w:r>
      <w:r w:rsidRPr="00536544">
        <w:rPr>
          <w:rFonts w:ascii="Palatino Linotype" w:eastAsia="Palatino Linotype" w:hAnsi="Palatino Linotype" w:cs="Palatino Linotype"/>
          <w:sz w:val="24"/>
          <w:szCs w:val="24"/>
        </w:rPr>
        <w:t>por conducto del</w:t>
      </w:r>
      <w:r w:rsidRPr="00536544">
        <w:rPr>
          <w:rFonts w:ascii="Palatino Linotype" w:eastAsia="Palatino Linotype" w:hAnsi="Palatino Linotype" w:cs="Palatino Linotype"/>
          <w:b/>
          <w:sz w:val="24"/>
          <w:szCs w:val="24"/>
        </w:rPr>
        <w:t xml:space="preserve"> </w:t>
      </w:r>
      <w:r w:rsidRPr="00536544">
        <w:rPr>
          <w:rFonts w:ascii="Palatino Linotype" w:eastAsia="Palatino Linotype" w:hAnsi="Palatino Linotype" w:cs="Palatino Linotype"/>
          <w:sz w:val="24"/>
          <w:szCs w:val="24"/>
        </w:rPr>
        <w:t>Encargado de la Dirección General de Desarrollo Urbano, rindió informe justificado en el que se pronunció sobre la información requerida no obstante que la clasificó como información reservada, resulta dable señalar las atribuciones que tiene dicha área, conforme el Bando Municipal 2023 del Ayuntamiento de Naucalpan de Juárez, quien de acuerdo con el artículo 83, dispone que dicha Dirección es la encargada de:</w:t>
      </w:r>
    </w:p>
    <w:p w14:paraId="145280CC" w14:textId="77777777" w:rsidR="008A31EA" w:rsidRPr="00536544" w:rsidRDefault="008A31EA"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p>
    <w:p w14:paraId="3C23D013" w14:textId="77777777" w:rsidR="008A31EA" w:rsidRPr="00536544" w:rsidRDefault="008F2A0D"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r w:rsidRPr="00536544">
        <w:rPr>
          <w:rFonts w:ascii="Palatino Linotype" w:eastAsia="Palatino Linotype" w:hAnsi="Palatino Linotype" w:cs="Palatino Linotype"/>
          <w:i/>
        </w:rPr>
        <w:t xml:space="preserve">“Artículo 83. La Dirección General de Desarrollo Urbano, es la Dependencia de la Administración Pública Municipal, encargada de planear, ordenar y regular, los asentamientos humanos en el territorio municipal, el desarrollo urbano, la infraestructura vial local a cargo del Municipio y los anuncios, para lo cual podrá concertar y acordar acciones con las autoridades de la Federación, de los Estados, de la Ciudad de México u otros municipios, debiendo vigilar el cumplimiento de las disposiciones jurídicas que regulan esas materias. </w:t>
      </w:r>
    </w:p>
    <w:p w14:paraId="44F24B0F" w14:textId="77777777" w:rsidR="008A31EA" w:rsidRPr="00536544" w:rsidRDefault="008A31EA"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p>
    <w:p w14:paraId="1E365658" w14:textId="77777777" w:rsidR="008A31EA" w:rsidRPr="00536544" w:rsidRDefault="008F2A0D"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r w:rsidRPr="00536544">
        <w:rPr>
          <w:rFonts w:ascii="Palatino Linotype" w:eastAsia="Palatino Linotype" w:hAnsi="Palatino Linotype" w:cs="Palatino Linotype"/>
          <w:i/>
        </w:rPr>
        <w:t xml:space="preserve">A través de las unidades administrativas a su cargo, </w:t>
      </w:r>
      <w:r w:rsidRPr="00536544">
        <w:rPr>
          <w:rFonts w:ascii="Palatino Linotype" w:eastAsia="Palatino Linotype" w:hAnsi="Palatino Linotype" w:cs="Palatino Linotype"/>
          <w:b/>
          <w:i/>
        </w:rPr>
        <w:t>detecta, registra, previene y evita la proliferación y consolidación de asentamientos humanos irregulares en zonas no aptas para el desarrollo humano,</w:t>
      </w:r>
      <w:r w:rsidRPr="00536544">
        <w:rPr>
          <w:rFonts w:ascii="Palatino Linotype" w:eastAsia="Palatino Linotype" w:hAnsi="Palatino Linotype" w:cs="Palatino Linotype"/>
          <w:i/>
        </w:rPr>
        <w:t xml:space="preserve"> que se encuentran bajo la jurisdicción de este Municipio. </w:t>
      </w:r>
    </w:p>
    <w:p w14:paraId="259B23EB" w14:textId="77777777" w:rsidR="008A31EA" w:rsidRPr="00536544" w:rsidRDefault="008A31EA"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p>
    <w:p w14:paraId="4BBDBFD1" w14:textId="77777777" w:rsidR="008A31EA" w:rsidRPr="00536544" w:rsidRDefault="008F2A0D"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r w:rsidRPr="00536544">
        <w:rPr>
          <w:rFonts w:ascii="Palatino Linotype" w:eastAsia="Palatino Linotype" w:hAnsi="Palatino Linotype" w:cs="Palatino Linotype"/>
          <w:i/>
        </w:rPr>
        <w:t xml:space="preserve">En el territorio municipal quedan excluidas del desarrollo urbano, las áreas consideradas en el Plan de Desarrollo Urbano como no urbanizables, así como aquellas áreas urbanizables no programadas, hasta que sea aprobado el plan parcial correspondiente, en términos de las disposiciones jurídicas aplicables, quedando estrictamente prohibida la formación de nuevos asentamientos humanos en esas áreas. </w:t>
      </w:r>
    </w:p>
    <w:p w14:paraId="49749FC6" w14:textId="77777777" w:rsidR="008A31EA" w:rsidRPr="00536544" w:rsidRDefault="008A31EA"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p>
    <w:p w14:paraId="1A224985" w14:textId="77777777" w:rsidR="008A31EA" w:rsidRPr="00536544" w:rsidRDefault="008F2A0D"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r w:rsidRPr="00536544">
        <w:rPr>
          <w:rFonts w:ascii="Palatino Linotype" w:eastAsia="Palatino Linotype" w:hAnsi="Palatino Linotype" w:cs="Palatino Linotype"/>
          <w:b/>
          <w:i/>
        </w:rPr>
        <w:lastRenderedPageBreak/>
        <w:t>La Dirección General de Desarrollo Urbano a través de las Unidades Administrativas a su cargo, deberá establecer medidas y ejecutar acciones para prevenir, evitar, controlar, restringir e intervenir en los diversos asentamientos humanos irregulares que se ubiquen y detecten en el territorio municipal, medidas y acciones que se llevarán a cabo conforme a las disposiciones jurídicas aplicables</w:t>
      </w:r>
      <w:r w:rsidRPr="00536544">
        <w:rPr>
          <w:rFonts w:ascii="Palatino Linotype" w:eastAsia="Palatino Linotype" w:hAnsi="Palatino Linotype" w:cs="Palatino Linotype"/>
          <w:i/>
        </w:rPr>
        <w:t>.(…)”</w:t>
      </w:r>
    </w:p>
    <w:p w14:paraId="306B3DF2" w14:textId="77777777" w:rsidR="008A31EA" w:rsidRPr="00536544" w:rsidRDefault="008A31EA" w:rsidP="00536544">
      <w:pPr>
        <w:shd w:val="clear" w:color="auto" w:fill="FFFFFF" w:themeFill="background1"/>
        <w:spacing w:after="0" w:line="276" w:lineRule="auto"/>
        <w:ind w:left="567" w:right="560"/>
        <w:jc w:val="both"/>
        <w:rPr>
          <w:rFonts w:ascii="Palatino Linotype" w:eastAsia="Palatino Linotype" w:hAnsi="Palatino Linotype" w:cs="Palatino Linotype"/>
          <w:i/>
        </w:rPr>
      </w:pPr>
    </w:p>
    <w:p w14:paraId="1D344375" w14:textId="77777777" w:rsidR="008A31EA" w:rsidRPr="00536544" w:rsidRDefault="008F2A0D" w:rsidP="00536544">
      <w:pPr>
        <w:shd w:val="clear" w:color="auto" w:fill="FFFFFF" w:themeFill="background1"/>
        <w:spacing w:after="0" w:line="276" w:lineRule="auto"/>
        <w:ind w:left="567" w:right="560"/>
        <w:jc w:val="right"/>
        <w:rPr>
          <w:rFonts w:ascii="Palatino Linotype" w:eastAsia="Palatino Linotype" w:hAnsi="Palatino Linotype" w:cs="Palatino Linotype"/>
        </w:rPr>
      </w:pPr>
      <w:r w:rsidRPr="00536544">
        <w:rPr>
          <w:rFonts w:ascii="Palatino Linotype" w:eastAsia="Palatino Linotype" w:hAnsi="Palatino Linotype" w:cs="Palatino Linotype"/>
        </w:rPr>
        <w:t>(Énfasis añadido)</w:t>
      </w:r>
    </w:p>
    <w:p w14:paraId="790CB179"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7016437"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sz w:val="24"/>
          <w:szCs w:val="24"/>
        </w:rPr>
        <w:t xml:space="preserve">Como se desprende de lo anterior, la Dirección General de Desarrollo Urbano, es la encargada de detectar, registrar, prevenir y evitar la proliferación y consolidación de asentamientos humanos irregulares en zonas no aptas para el desarrollo humano; así como de, establecer medidas y ejecutar acciones para prevenir, evitar, controlar, restringir e intervenir en los diversos asentamientos humanos irregulares que se ubiquen y detecten en el territorio municipal, medidas y acciones que se llevarán a cabo conforme a las disposiciones jurídicas aplicables; </w:t>
      </w:r>
      <w:r w:rsidRPr="00536544">
        <w:rPr>
          <w:rFonts w:ascii="Palatino Linotype" w:eastAsia="Palatino Linotype" w:hAnsi="Palatino Linotype" w:cs="Palatino Linotype"/>
          <w:b/>
          <w:sz w:val="24"/>
          <w:szCs w:val="24"/>
        </w:rPr>
        <w:t>atribuciones de las que se desprende que el ente público puede conocer de la información que solicita la hoy parte Recurrente.</w:t>
      </w:r>
    </w:p>
    <w:p w14:paraId="0B6E9C87"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D7794FA"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Dicho lo anterior, a fin de conocer el contexto y las razones por las que la parte solicitante requirió la información, es de indicar que este Instituto localizó una nota periodística del 09 de diciembre de 2022 denominada “Inician acciones para recuperar predios de «Los Triángulos» de Lomas Verdes” que trata habla acerca de cómo el gobierno de Naucalpan, en coordinación con representantes de siete comunidades, inició acciones legales para recuperar dos predios de la Cuarta Sección de Lomas </w:t>
      </w:r>
      <w:r w:rsidRPr="00536544">
        <w:rPr>
          <w:rFonts w:ascii="Palatino Linotype" w:eastAsia="Palatino Linotype" w:hAnsi="Palatino Linotype" w:cs="Palatino Linotype"/>
          <w:sz w:val="24"/>
          <w:szCs w:val="24"/>
        </w:rPr>
        <w:lastRenderedPageBreak/>
        <w:t>Verdes, conocidos como ‘Los Triángulos’, considerados como áreas verdes pero que están en posesión de particulares.</w:t>
      </w:r>
    </w:p>
    <w:p w14:paraId="5F9AFB8F"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57B17464" w14:textId="6472207D"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Para pronta referencia, se inserta la siguiente</w:t>
      </w:r>
      <w:r w:rsidR="00826316" w:rsidRPr="00536544">
        <w:rPr>
          <w:rFonts w:ascii="Palatino Linotype" w:eastAsia="Palatino Linotype" w:hAnsi="Palatino Linotype" w:cs="Palatino Linotype"/>
          <w:sz w:val="24"/>
          <w:szCs w:val="24"/>
        </w:rPr>
        <w:t xml:space="preserve"> </w:t>
      </w:r>
      <w:proofErr w:type="spellStart"/>
      <w:r w:rsidR="00826316" w:rsidRPr="00536544">
        <w:rPr>
          <w:rFonts w:ascii="Palatino Linotype" w:eastAsia="Palatino Linotype" w:hAnsi="Palatino Linotype" w:cs="Palatino Linotype"/>
          <w:sz w:val="24"/>
          <w:szCs w:val="24"/>
        </w:rPr>
        <w:t>imágen</w:t>
      </w:r>
      <w:proofErr w:type="spellEnd"/>
      <w:r w:rsidRPr="00536544">
        <w:rPr>
          <w:rFonts w:ascii="Palatino Linotype" w:eastAsia="Palatino Linotype" w:hAnsi="Palatino Linotype" w:cs="Palatino Linotype"/>
          <w:sz w:val="24"/>
          <w:szCs w:val="24"/>
        </w:rPr>
        <w:t>:</w:t>
      </w:r>
    </w:p>
    <w:p w14:paraId="4DCAF931"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EC6B6F8"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noProof/>
          <w:sz w:val="24"/>
          <w:szCs w:val="24"/>
        </w:rPr>
        <w:drawing>
          <wp:inline distT="0" distB="0" distL="0" distR="0" wp14:anchorId="15CCA839" wp14:editId="790C04D7">
            <wp:extent cx="5759564" cy="4676775"/>
            <wp:effectExtent l="19050" t="19050" r="12700" b="9525"/>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8"/>
                    <a:srcRect b="7160"/>
                    <a:stretch/>
                  </pic:blipFill>
                  <pic:spPr bwMode="auto">
                    <a:xfrm>
                      <a:off x="0" y="0"/>
                      <a:ext cx="5760187" cy="4677281"/>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66570F" w14:textId="1B5478CD"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926A3CD" w14:textId="565E93C8"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5A66E901" w14:textId="77777777" w:rsidR="008A31EA" w:rsidRPr="00536544" w:rsidRDefault="008F2A0D" w:rsidP="00536544">
      <w:pPr>
        <w:shd w:val="clear" w:color="auto" w:fill="FFFFFF" w:themeFill="background1"/>
        <w:spacing w:after="0" w:line="360" w:lineRule="auto"/>
        <w:ind w:right="-93"/>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sz w:val="24"/>
          <w:szCs w:val="24"/>
        </w:rPr>
        <w:lastRenderedPageBreak/>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536544">
        <w:rPr>
          <w:rFonts w:ascii="Palatino Linotype" w:eastAsia="Palatino Linotype" w:hAnsi="Palatino Linotype" w:cs="Palatino Linotype"/>
          <w:b/>
          <w:i/>
          <w:sz w:val="24"/>
          <w:szCs w:val="24"/>
        </w:rPr>
        <w:t>“NOTAS PERIODISTICAS, EL CONOCIMIENTO QUE DE ELLAS SE OBTIENE NO CONSTITUYE ‘UN HECHO PUBLICO Y NOTORIO’”</w:t>
      </w:r>
      <w:r w:rsidRPr="00536544">
        <w:rPr>
          <w:rFonts w:ascii="Palatino Linotype" w:eastAsia="Palatino Linotype" w:hAnsi="Palatino Linotype" w:cs="Palatino Linotype"/>
          <w:sz w:val="24"/>
          <w:szCs w:val="24"/>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536544">
        <w:rPr>
          <w:rFonts w:ascii="Palatino Linotype" w:eastAsia="Palatino Linotype" w:hAnsi="Palatino Linotype" w:cs="Palatino Linotype"/>
          <w:b/>
          <w:sz w:val="24"/>
          <w:szCs w:val="24"/>
        </w:rPr>
        <w:t>indicios.</w:t>
      </w:r>
    </w:p>
    <w:p w14:paraId="3905BD2E"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b/>
          <w:sz w:val="24"/>
          <w:szCs w:val="24"/>
        </w:rPr>
      </w:pPr>
    </w:p>
    <w:p w14:paraId="2C37642E"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Bajo esa premisa como indicio de la nota periodística nos permite observar que el Gobierno Municipal de Naucalpan de Juárez, inició acciones legales para recuperar dos predios de la Cuarta Sección de Lomas Verdes, conocidos como ‘Los Triángulos’, considerados como áreas verdes pero que están en posesión de particulares.</w:t>
      </w:r>
    </w:p>
    <w:p w14:paraId="640B03B6"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4A13B835" w14:textId="49E62B1B"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Dicho  lo anterior, retomando la clasificación como información reservada que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vía informe justificado realizó respecto del procedimiento administrativo común SJ/072/2022 </w:t>
      </w:r>
      <w:r w:rsidR="00C33EAC" w:rsidRPr="00536544">
        <w:rPr>
          <w:rFonts w:ascii="Palatino Linotype" w:eastAsia="Palatino Linotype" w:hAnsi="Palatino Linotype" w:cs="Palatino Linotype"/>
          <w:sz w:val="24"/>
          <w:szCs w:val="24"/>
        </w:rPr>
        <w:t xml:space="preserve">que se encuentra relacionado con la información </w:t>
      </w:r>
      <w:r w:rsidR="00C33EAC" w:rsidRPr="00536544">
        <w:rPr>
          <w:rFonts w:ascii="Palatino Linotype" w:eastAsia="Palatino Linotype" w:hAnsi="Palatino Linotype" w:cs="Palatino Linotype"/>
          <w:sz w:val="24"/>
          <w:szCs w:val="24"/>
        </w:rPr>
        <w:lastRenderedPageBreak/>
        <w:t xml:space="preserve">solicitada por la persona solicitante; a criterio de este Órgano Garante </w:t>
      </w:r>
      <w:r w:rsidRPr="00536544">
        <w:rPr>
          <w:rFonts w:ascii="Palatino Linotype" w:eastAsia="Palatino Linotype" w:hAnsi="Palatino Linotype" w:cs="Palatino Linotype"/>
          <w:sz w:val="24"/>
          <w:szCs w:val="24"/>
        </w:rPr>
        <w:t>conviene analizar la reserva de dicha información, partiendo de las siguientes consideraciones:</w:t>
      </w:r>
    </w:p>
    <w:p w14:paraId="718E9BBF"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06F9EE11"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sz w:val="24"/>
          <w:szCs w:val="24"/>
        </w:rPr>
        <w:t xml:space="preserve">En principio, es de indicar que conforme al artículo 20 de la Ley de Transparencia y Acceso a la Información Pública del Estado de México y Municipios, </w:t>
      </w:r>
      <w:r w:rsidRPr="00536544">
        <w:rPr>
          <w:rFonts w:ascii="Palatino Linotype" w:eastAsia="Palatino Linotype" w:hAnsi="Palatino Linotype" w:cs="Palatino Linotype"/>
          <w:b/>
          <w:sz w:val="24"/>
          <w:szCs w:val="24"/>
        </w:rPr>
        <w:t>ante la negativa de acceso a la información o su inexistencia, el sujeto obligado deberá demostrar que encuentra en alguna de las excepciones establecidas en la normatividad aplicable.</w:t>
      </w:r>
    </w:p>
    <w:p w14:paraId="3D2EC96F"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46F27733"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En ese sentido, según Trujillo, Humberto (2019), en el “Diccionario de Transparencia y Acceso a la Información Pública” (p. 201), </w:t>
      </w:r>
      <w:r w:rsidRPr="00536544">
        <w:rPr>
          <w:rFonts w:ascii="Palatino Linotype" w:eastAsia="Palatino Linotype" w:hAnsi="Palatino Linotype" w:cs="Palatino Linotype"/>
          <w:b/>
          <w:sz w:val="24"/>
          <w:szCs w:val="24"/>
        </w:rPr>
        <w:t xml:space="preserve">la negativa de acceso a la información </w:t>
      </w:r>
      <w:r w:rsidRPr="00536544">
        <w:rPr>
          <w:rFonts w:ascii="Palatino Linotype" w:eastAsia="Palatino Linotype" w:hAnsi="Palatino Linotype" w:cs="Palatino Linotype"/>
          <w:sz w:val="24"/>
          <w:szCs w:val="24"/>
        </w:rPr>
        <w:t xml:space="preserve">ocurre cuando de manera fundada y motivada, una autoridad la niega o la limita, por alguna de las siguientes razones: </w:t>
      </w:r>
    </w:p>
    <w:p w14:paraId="5ED3AB21"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958F564" w14:textId="77777777" w:rsidR="008A31EA" w:rsidRPr="00536544" w:rsidRDefault="008F2A0D" w:rsidP="00536544">
      <w:pPr>
        <w:numPr>
          <w:ilvl w:val="0"/>
          <w:numId w:val="9"/>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b/>
        </w:rPr>
      </w:pPr>
      <w:r w:rsidRPr="00536544">
        <w:rPr>
          <w:rFonts w:ascii="Palatino Linotype" w:eastAsia="Palatino Linotype" w:hAnsi="Palatino Linotype" w:cs="Palatino Linotype"/>
          <w:b/>
        </w:rPr>
        <w:t xml:space="preserve">La inexistencia de la información (p. 171): </w:t>
      </w:r>
      <w:r w:rsidRPr="00536544">
        <w:rPr>
          <w:rFonts w:ascii="Palatino Linotype" w:eastAsia="Palatino Linotype" w:hAnsi="Palatino Linotype" w:cs="Palatino Linotype"/>
        </w:rPr>
        <w:t>Sucede cuando la información solicitada no se encuentra en los archivos públicos o clasificados de los entes sujetos a las Leyes de Transparencia.</w:t>
      </w:r>
    </w:p>
    <w:p w14:paraId="64CAE673" w14:textId="77777777" w:rsidR="008A31EA" w:rsidRPr="00536544" w:rsidRDefault="008F2A0D" w:rsidP="00536544">
      <w:pPr>
        <w:numPr>
          <w:ilvl w:val="0"/>
          <w:numId w:val="9"/>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b/>
        </w:rPr>
      </w:pPr>
      <w:r w:rsidRPr="00536544">
        <w:rPr>
          <w:rFonts w:ascii="Palatino Linotype" w:eastAsia="Palatino Linotype" w:hAnsi="Palatino Linotype" w:cs="Palatino Linotype"/>
          <w:b/>
        </w:rPr>
        <w:t xml:space="preserve">La incompetencia del Sujeto Obligado (p. 171): </w:t>
      </w:r>
      <w:r w:rsidRPr="00536544">
        <w:rPr>
          <w:rFonts w:ascii="Palatino Linotype" w:eastAsia="Palatino Linotype" w:hAnsi="Palatino Linotype" w:cs="Palatino Linotype"/>
        </w:rPr>
        <w:t>Ocurre cuando el Sujeto Obligado carece de atribuciones para poseer la información peticionada.</w:t>
      </w:r>
    </w:p>
    <w:p w14:paraId="56F7C3FC" w14:textId="77777777" w:rsidR="008A31EA" w:rsidRPr="00536544" w:rsidRDefault="008F2A0D" w:rsidP="00536544">
      <w:pPr>
        <w:numPr>
          <w:ilvl w:val="0"/>
          <w:numId w:val="9"/>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rPr>
        <w:t xml:space="preserve">La clasificación de la información (p. 70): </w:t>
      </w:r>
      <w:r w:rsidRPr="00536544">
        <w:rPr>
          <w:rFonts w:ascii="Palatino Linotype" w:eastAsia="Palatino Linotype" w:hAnsi="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r w:rsidRPr="00536544">
        <w:rPr>
          <w:rFonts w:ascii="Palatino Linotype" w:eastAsia="Palatino Linotype" w:hAnsi="Palatino Linotype" w:cs="Palatino Linotype"/>
          <w:sz w:val="24"/>
          <w:szCs w:val="24"/>
        </w:rPr>
        <w:t>.</w:t>
      </w:r>
    </w:p>
    <w:p w14:paraId="7A267E33"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31C45AB2"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sz w:val="24"/>
          <w:szCs w:val="24"/>
        </w:rPr>
        <w:lastRenderedPageBreak/>
        <w:t xml:space="preserve">En ese orden de ideas y en atención a lo anterior, es de señalar que las excepciones al derecho de acceso a la información, consisten en que la documentación sea inexistente, </w:t>
      </w:r>
      <w:r w:rsidRPr="00536544">
        <w:rPr>
          <w:rFonts w:ascii="Palatino Linotype" w:eastAsia="Palatino Linotype" w:hAnsi="Palatino Linotype" w:cs="Palatino Linotype"/>
          <w:b/>
          <w:sz w:val="24"/>
          <w:szCs w:val="24"/>
        </w:rPr>
        <w:t>se encuentre clasificada</w:t>
      </w:r>
      <w:r w:rsidRPr="00536544">
        <w:rPr>
          <w:rFonts w:ascii="Palatino Linotype" w:eastAsia="Palatino Linotype" w:hAnsi="Palatino Linotype" w:cs="Palatino Linotype"/>
          <w:sz w:val="24"/>
          <w:szCs w:val="24"/>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536544">
        <w:rPr>
          <w:rFonts w:ascii="Palatino Linotype" w:eastAsia="Palatino Linotype" w:hAnsi="Palatino Linotype" w:cs="Palatino Linotype"/>
          <w:b/>
          <w:sz w:val="24"/>
          <w:szCs w:val="24"/>
        </w:rPr>
        <w:t>confidenciales o reservados.</w:t>
      </w:r>
    </w:p>
    <w:p w14:paraId="54D8355B"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p>
    <w:p w14:paraId="0583C3F8"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Así, en los artículos 122, 128 y 130 de la Ley Transparencia y Acceso a la Información Pública del Estado de México y Municipios, se prevé que </w:t>
      </w:r>
      <w:r w:rsidRPr="00536544">
        <w:rPr>
          <w:rFonts w:ascii="Palatino Linotype" w:eastAsia="Palatino Linotype" w:hAnsi="Palatino Linotype" w:cs="Palatino Linotype"/>
          <w:b/>
          <w:sz w:val="24"/>
          <w:szCs w:val="24"/>
        </w:rPr>
        <w:t xml:space="preserve">la clasificación </w:t>
      </w:r>
      <w:r w:rsidRPr="00536544">
        <w:rPr>
          <w:rFonts w:ascii="Palatino Linotype" w:eastAsia="Palatino Linotype" w:hAnsi="Palatino Linotype" w:cs="Palatino Linotype"/>
          <w:sz w:val="24"/>
          <w:szCs w:val="24"/>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B01C7C1"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E58F59A"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Por lo cual, en los casos en que se niegue el acceso a la información, por actualizarse alguno de los supuestos de clasificación, </w:t>
      </w:r>
      <w:r w:rsidRPr="00536544">
        <w:rPr>
          <w:rFonts w:ascii="Palatino Linotype" w:eastAsia="Palatino Linotype" w:hAnsi="Palatino Linotype" w:cs="Palatino Linotype"/>
          <w:b/>
          <w:sz w:val="24"/>
          <w:szCs w:val="24"/>
        </w:rPr>
        <w:t xml:space="preserve">el Comité de Transparencia deberá confirmar, modificar o revocar la decisión; </w:t>
      </w:r>
      <w:r w:rsidRPr="00536544">
        <w:rPr>
          <w:rFonts w:ascii="Palatino Linotype" w:eastAsia="Palatino Linotype" w:hAnsi="Palatino Linotype" w:cs="Palatino Linotype"/>
          <w:sz w:val="24"/>
          <w:szCs w:val="24"/>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35D30184"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AEE066E"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sz w:val="24"/>
          <w:szCs w:val="24"/>
        </w:rPr>
        <w:t xml:space="preserve">Por su parte, según </w:t>
      </w:r>
      <w:proofErr w:type="spellStart"/>
      <w:r w:rsidRPr="00536544">
        <w:rPr>
          <w:rFonts w:ascii="Palatino Linotype" w:eastAsia="Palatino Linotype" w:hAnsi="Palatino Linotype" w:cs="Palatino Linotype"/>
          <w:sz w:val="24"/>
          <w:szCs w:val="24"/>
        </w:rPr>
        <w:t>Bonifaz</w:t>
      </w:r>
      <w:proofErr w:type="spellEnd"/>
      <w:r w:rsidRPr="00536544">
        <w:rPr>
          <w:rFonts w:ascii="Palatino Linotype" w:eastAsia="Palatino Linotype" w:hAnsi="Palatino Linotype" w:cs="Palatino Linotype"/>
          <w:sz w:val="24"/>
          <w:szCs w:val="24"/>
        </w:rPr>
        <w:t xml:space="preserve">, Leticia (2016), en la “Ley General de Transparencia y Acceso a la Información Pública Comentada” (p. 342), la </w:t>
      </w:r>
      <w:r w:rsidRPr="00536544">
        <w:rPr>
          <w:rFonts w:ascii="Palatino Linotype" w:eastAsia="Palatino Linotype" w:hAnsi="Palatino Linotype" w:cs="Palatino Linotype"/>
          <w:b/>
          <w:sz w:val="24"/>
          <w:szCs w:val="24"/>
        </w:rPr>
        <w:t>clasificación de la información</w:t>
      </w:r>
      <w:r w:rsidRPr="00536544">
        <w:rPr>
          <w:rFonts w:ascii="Palatino Linotype" w:eastAsia="Palatino Linotype" w:hAnsi="Palatino Linotype" w:cs="Palatino Linotype"/>
          <w:sz w:val="24"/>
          <w:szCs w:val="24"/>
        </w:rPr>
        <w:t xml:space="preserve">, ocurre cuando la autoridad niega el acceso a esta, por ser confidencial o </w:t>
      </w:r>
      <w:r w:rsidRPr="00536544">
        <w:rPr>
          <w:rFonts w:ascii="Palatino Linotype" w:eastAsia="Palatino Linotype" w:hAnsi="Palatino Linotype" w:cs="Palatino Linotype"/>
          <w:sz w:val="24"/>
          <w:szCs w:val="24"/>
        </w:rPr>
        <w:lastRenderedPageBreak/>
        <w:t xml:space="preserve">reservada, para lo cual, los sujetos obligados, deberán realizar el proceso de clasificación, a la luz de los principios y disposiciones establecidas en las Leyes de Transparencia, fundando y motivando, </w:t>
      </w:r>
      <w:r w:rsidRPr="00536544">
        <w:rPr>
          <w:rFonts w:ascii="Palatino Linotype" w:eastAsia="Palatino Linotype" w:hAnsi="Palatino Linotype" w:cs="Palatino Linotype"/>
          <w:b/>
          <w:sz w:val="24"/>
          <w:szCs w:val="24"/>
        </w:rPr>
        <w:t>de manera adecuada la negativa de información.</w:t>
      </w:r>
    </w:p>
    <w:p w14:paraId="1879B63B"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p>
    <w:p w14:paraId="1050AA1D"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Conforme a lo anterior, en el presente caso, el Sujeto Obligado por conducto del Encargado del Despacho de la Dirección General de Desarrollo Urbano, no señaló que era inexistente la información; al contrario, precisó que no podía proporcionarla al ser reservada; esto es, aludió a una clasificación; al respecto, el </w:t>
      </w:r>
      <w:r w:rsidRPr="00536544">
        <w:rPr>
          <w:rFonts w:ascii="Palatino Linotype" w:eastAsia="Palatino Linotype" w:hAnsi="Palatino Linotype" w:cs="Palatino Linotype"/>
          <w:b/>
          <w:sz w:val="24"/>
          <w:szCs w:val="24"/>
        </w:rPr>
        <w:t>Criterio 29/10</w:t>
      </w:r>
      <w:r w:rsidRPr="00536544">
        <w:rPr>
          <w:rFonts w:ascii="Palatino Linotype" w:eastAsia="Palatino Linotype" w:hAnsi="Palatino Linotype" w:cs="Palatino Linotype"/>
          <w:sz w:val="24"/>
          <w:szCs w:val="24"/>
        </w:rPr>
        <w:t>, emitido por el Pleno del entonces Instituto Federal de Acceso a la Información y Protección de Datos, precisa lo siguiente:</w:t>
      </w:r>
    </w:p>
    <w:p w14:paraId="019AC240"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91ACF11" w14:textId="77777777" w:rsidR="008A31EA" w:rsidRPr="00536544" w:rsidRDefault="008F2A0D" w:rsidP="00536544">
      <w:pPr>
        <w:shd w:val="clear" w:color="auto" w:fill="FFFFFF" w:themeFill="background1"/>
        <w:spacing w:after="0" w:line="276" w:lineRule="auto"/>
        <w:ind w:left="567" w:right="567"/>
        <w:jc w:val="both"/>
        <w:rPr>
          <w:rFonts w:ascii="Palatino Linotype" w:eastAsia="Palatino Linotype" w:hAnsi="Palatino Linotype" w:cs="Palatino Linotype"/>
          <w:i/>
        </w:rPr>
      </w:pPr>
      <w:r w:rsidRPr="00536544">
        <w:rPr>
          <w:rFonts w:ascii="Palatino Linotype" w:eastAsia="Palatino Linotype" w:hAnsi="Palatino Linotype" w:cs="Palatino Linotype"/>
          <w:b/>
          <w:i/>
        </w:rPr>
        <w:t>“La clasificación y la inexistencia de información son conceptos que no pueden coexistir.</w:t>
      </w:r>
      <w:r w:rsidRPr="00536544">
        <w:rPr>
          <w:rFonts w:ascii="Palatino Linotype" w:eastAsia="Palatino Linotype" w:hAnsi="Palatino Linotype" w:cs="Palatino Linotype"/>
          <w:i/>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04869366" w14:textId="77777777" w:rsidR="008A31EA" w:rsidRPr="00536544" w:rsidRDefault="008A31EA" w:rsidP="00536544">
      <w:pPr>
        <w:shd w:val="clear" w:color="auto" w:fill="FFFFFF" w:themeFill="background1"/>
        <w:spacing w:after="0" w:line="360" w:lineRule="auto"/>
        <w:rPr>
          <w:rFonts w:ascii="Palatino Linotype" w:eastAsia="Palatino Linotype" w:hAnsi="Palatino Linotype" w:cs="Palatino Linotype"/>
          <w:sz w:val="24"/>
          <w:szCs w:val="24"/>
        </w:rPr>
      </w:pPr>
    </w:p>
    <w:p w14:paraId="39D17554"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u w:val="single"/>
        </w:rPr>
      </w:pPr>
      <w:r w:rsidRPr="00536544">
        <w:rPr>
          <w:rFonts w:ascii="Palatino Linotype" w:eastAsia="Palatino Linotype" w:hAnsi="Palatino Linotype" w:cs="Palatino Linotype"/>
          <w:b/>
          <w:sz w:val="24"/>
          <w:szCs w:val="24"/>
          <w:u w:val="single"/>
        </w:rPr>
        <w:t xml:space="preserve">Del citado criterio, se advierte que la clasificación y la inexistencia no coexisten entre sí, en virtud de que la primera implica la existencia de un documento o </w:t>
      </w:r>
      <w:r w:rsidRPr="00536544">
        <w:rPr>
          <w:rFonts w:ascii="Palatino Linotype" w:eastAsia="Palatino Linotype" w:hAnsi="Palatino Linotype" w:cs="Palatino Linotype"/>
          <w:b/>
          <w:sz w:val="24"/>
          <w:szCs w:val="24"/>
          <w:u w:val="single"/>
        </w:rPr>
        <w:lastRenderedPageBreak/>
        <w:t>documentos determinados, mientras que la segunda conlleva a la ausencia de los mismos en los archivos de la dependencia o entidad de que se trate.</w:t>
      </w:r>
    </w:p>
    <w:p w14:paraId="338EDB5D"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0A8257A7"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Conforme a lo anterior, se negó el acceso a la información peticionada por la parte </w:t>
      </w:r>
      <w:r w:rsidRPr="00536544">
        <w:rPr>
          <w:rFonts w:ascii="Palatino Linotype" w:eastAsia="Palatino Linotype" w:hAnsi="Palatino Linotype" w:cs="Palatino Linotype"/>
          <w:b/>
          <w:sz w:val="24"/>
          <w:szCs w:val="24"/>
        </w:rPr>
        <w:t>Recurrente</w:t>
      </w:r>
      <w:r w:rsidRPr="00536544">
        <w:rPr>
          <w:rFonts w:ascii="Palatino Linotype" w:eastAsia="Palatino Linotype" w:hAnsi="Palatino Linotype" w:cs="Palatino Linotype"/>
          <w:sz w:val="24"/>
          <w:szCs w:val="24"/>
        </w:rPr>
        <w:t xml:space="preserve">, al considerar que estaba clasificada; tan es así, que proporcionó el Acta de la Décima Tercera Sesión Extraordinaria del Comité de Transparencia del H. Ayuntamiento de Naucalpan de Juárez, número CT/NAU/ACTA-EXT-00013/2023 del 02 de junio de 2023, donde confirmó la clasificación de la información solicitada, como reservada, en términos del artículo 140, fracción X de la Ley de Transparencia y Acceso al a Información Pública del Estado de México y Municipios; como a continuación se muestra de la siguiente digitalización del Acta de mérito:  </w:t>
      </w:r>
    </w:p>
    <w:p w14:paraId="4569657A"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noProof/>
          <w:sz w:val="24"/>
          <w:szCs w:val="24"/>
        </w:rPr>
        <w:drawing>
          <wp:inline distT="0" distB="0" distL="0" distR="0" wp14:anchorId="5C522EE7" wp14:editId="57DE4BBA">
            <wp:extent cx="5572903" cy="2314898"/>
            <wp:effectExtent l="3175" t="3175" r="3175" b="317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72903" cy="2314898"/>
                    </a:xfrm>
                    <a:prstGeom prst="rect">
                      <a:avLst/>
                    </a:prstGeom>
                    <a:ln w="3175">
                      <a:solidFill>
                        <a:srgbClr val="000000"/>
                      </a:solidFill>
                      <a:prstDash val="solid"/>
                    </a:ln>
                  </pic:spPr>
                </pic:pic>
              </a:graphicData>
            </a:graphic>
          </wp:inline>
        </w:drawing>
      </w:r>
    </w:p>
    <w:p w14:paraId="7766E1EB"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sz w:val="24"/>
          <w:szCs w:val="24"/>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w:t>
      </w:r>
      <w:r w:rsidRPr="00536544">
        <w:rPr>
          <w:rFonts w:ascii="Palatino Linotype" w:eastAsia="Palatino Linotype" w:hAnsi="Palatino Linotype" w:cs="Palatino Linotype"/>
          <w:sz w:val="24"/>
          <w:szCs w:val="24"/>
        </w:rPr>
        <w:lastRenderedPageBreak/>
        <w:t xml:space="preserve">o expedientes; por lo que, la clasificación de información se llevará a cabo mediante un </w:t>
      </w:r>
      <w:r w:rsidRPr="00536544">
        <w:rPr>
          <w:rFonts w:ascii="Palatino Linotype" w:eastAsia="Palatino Linotype" w:hAnsi="Palatino Linotype" w:cs="Palatino Linotype"/>
          <w:b/>
          <w:sz w:val="24"/>
          <w:szCs w:val="24"/>
        </w:rPr>
        <w:t>análisis caso por caso.</w:t>
      </w:r>
    </w:p>
    <w:p w14:paraId="40F5E417"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p>
    <w:p w14:paraId="343C199A"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Además, el artículo 131 de la Ley referida, así como el Quinto de los Lineamientos Generales, establecen que los sujetos obligados </w:t>
      </w:r>
      <w:r w:rsidRPr="00536544">
        <w:rPr>
          <w:rFonts w:ascii="Palatino Linotype" w:eastAsia="Palatino Linotype" w:hAnsi="Palatino Linotype" w:cs="Palatino Linotype"/>
          <w:b/>
          <w:sz w:val="24"/>
          <w:szCs w:val="24"/>
        </w:rPr>
        <w:t>deberán fundar y motivar</w:t>
      </w:r>
      <w:r w:rsidRPr="00536544">
        <w:rPr>
          <w:rFonts w:ascii="Palatino Linotype" w:eastAsia="Palatino Linotype" w:hAnsi="Palatino Linotype" w:cs="Palatino Linotype"/>
          <w:sz w:val="24"/>
          <w:szCs w:val="24"/>
        </w:rPr>
        <w:t xml:space="preserve"> debidamente la clasificación de la información.</w:t>
      </w:r>
    </w:p>
    <w:p w14:paraId="00AEFB39"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53E857C1"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Al respecto, el Octavo de los Lineamientos Generales, precisa lo siguiente:</w:t>
      </w:r>
    </w:p>
    <w:p w14:paraId="137B5ABD"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E54B882" w14:textId="77777777" w:rsidR="008A31EA" w:rsidRPr="00536544" w:rsidRDefault="008F2A0D" w:rsidP="00536544">
      <w:pPr>
        <w:numPr>
          <w:ilvl w:val="0"/>
          <w:numId w:val="10"/>
        </w:numPr>
        <w:shd w:val="clear" w:color="auto" w:fill="FFFFFF" w:themeFill="background1"/>
        <w:spacing w:after="0" w:line="360" w:lineRule="auto"/>
        <w:jc w:val="both"/>
        <w:rPr>
          <w:rFonts w:ascii="Palatino Linotype" w:eastAsia="Palatino Linotype" w:hAnsi="Palatino Linotype" w:cs="Palatino Linotype"/>
        </w:rPr>
      </w:pPr>
      <w:r w:rsidRPr="00536544">
        <w:rPr>
          <w:rFonts w:ascii="Palatino Linotype" w:eastAsia="Palatino Linotype" w:hAnsi="Palatino Linotype" w:cs="Palatino Linotype"/>
          <w:b/>
        </w:rPr>
        <w:t>Para fundar la clasificación</w:t>
      </w:r>
      <w:r w:rsidRPr="00536544">
        <w:rPr>
          <w:rFonts w:ascii="Palatino Linotype" w:eastAsia="Palatino Linotype" w:hAnsi="Palatino Linotype" w:cs="Palatino Linotype"/>
        </w:rPr>
        <w:t xml:space="preserve"> de la información se deberán señalar el artículo, fracción, inciso, párrafo o numeral de la Ley aplicable;</w:t>
      </w:r>
    </w:p>
    <w:p w14:paraId="133747BE" w14:textId="77777777" w:rsidR="008A31EA" w:rsidRPr="00536544" w:rsidRDefault="008F2A0D" w:rsidP="00536544">
      <w:pPr>
        <w:numPr>
          <w:ilvl w:val="0"/>
          <w:numId w:val="10"/>
        </w:numPr>
        <w:shd w:val="clear" w:color="auto" w:fill="FFFFFF" w:themeFill="background1"/>
        <w:spacing w:after="0" w:line="360" w:lineRule="auto"/>
        <w:jc w:val="both"/>
        <w:rPr>
          <w:rFonts w:ascii="Palatino Linotype" w:eastAsia="Palatino Linotype" w:hAnsi="Palatino Linotype" w:cs="Palatino Linotype"/>
        </w:rPr>
      </w:pPr>
      <w:r w:rsidRPr="00536544">
        <w:rPr>
          <w:rFonts w:ascii="Palatino Linotype" w:eastAsia="Palatino Linotype" w:hAnsi="Palatino Linotype" w:cs="Palatino Linotype"/>
          <w:b/>
        </w:rPr>
        <w:t>Para motivar la clasificación</w:t>
      </w:r>
      <w:r w:rsidRPr="00536544">
        <w:rPr>
          <w:rFonts w:ascii="Palatino Linotype" w:eastAsia="Palatino Linotype" w:hAnsi="Palatino Linotype" w:cs="Palatino Linotype"/>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4AC808E2"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left="720"/>
        <w:rPr>
          <w:rFonts w:ascii="Palatino Linotype" w:eastAsia="Palatino Linotype" w:hAnsi="Palatino Linotype" w:cs="Palatino Linotype"/>
          <w:sz w:val="24"/>
          <w:szCs w:val="24"/>
        </w:rPr>
      </w:pPr>
    </w:p>
    <w:p w14:paraId="77099D2A"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w:t>
      </w:r>
      <w:r w:rsidRPr="00536544">
        <w:rPr>
          <w:rFonts w:ascii="Palatino Linotype" w:eastAsia="Palatino Linotype" w:hAnsi="Palatino Linotype" w:cs="Palatino Linotype"/>
          <w:sz w:val="24"/>
          <w:szCs w:val="24"/>
        </w:rPr>
        <w:lastRenderedPageBreak/>
        <w:t>Federación, Tomo XIV, noviembre de mil novecientos noventa y cuatro, (p. 450), que establece lo siguiente:</w:t>
      </w:r>
    </w:p>
    <w:p w14:paraId="46DF5702"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0119C039" w14:textId="77777777" w:rsidR="008A31EA" w:rsidRPr="00536544" w:rsidRDefault="008F2A0D" w:rsidP="00536544">
      <w:pPr>
        <w:shd w:val="clear" w:color="auto" w:fill="FFFFFF" w:themeFill="background1"/>
        <w:spacing w:after="0" w:line="276" w:lineRule="auto"/>
        <w:ind w:left="567" w:right="567"/>
        <w:jc w:val="both"/>
        <w:rPr>
          <w:rFonts w:ascii="Palatino Linotype" w:eastAsia="Palatino Linotype" w:hAnsi="Palatino Linotype" w:cs="Palatino Linotype"/>
          <w:i/>
        </w:rPr>
      </w:pPr>
      <w:r w:rsidRPr="00536544">
        <w:rPr>
          <w:rFonts w:ascii="Palatino Linotype" w:eastAsia="Palatino Linotype" w:hAnsi="Palatino Linotype" w:cs="Palatino Linotype"/>
          <w:b/>
          <w:i/>
        </w:rPr>
        <w:t xml:space="preserve">“FUNDAMENTACION Y MOTIVACION, CONCEPTO DE. </w:t>
      </w:r>
      <w:r w:rsidRPr="00536544">
        <w:rPr>
          <w:rFonts w:ascii="Palatino Linotype" w:eastAsia="Palatino Linotype" w:hAnsi="Palatino Linotype" w:cs="Palatino Linotype"/>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53EFEBAD" w14:textId="77777777" w:rsidR="008A31EA" w:rsidRPr="00536544" w:rsidRDefault="008A31EA" w:rsidP="00536544">
      <w:pPr>
        <w:shd w:val="clear" w:color="auto" w:fill="FFFFFF" w:themeFill="background1"/>
        <w:spacing w:after="0" w:line="276" w:lineRule="auto"/>
        <w:ind w:left="567" w:right="567"/>
        <w:jc w:val="both"/>
        <w:rPr>
          <w:rFonts w:ascii="Palatino Linotype" w:eastAsia="Palatino Linotype" w:hAnsi="Palatino Linotype" w:cs="Palatino Linotype"/>
          <w:i/>
        </w:rPr>
      </w:pPr>
    </w:p>
    <w:p w14:paraId="363122B1"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Conforme a lo anterior, se advierte lo siguiente:</w:t>
      </w:r>
    </w:p>
    <w:p w14:paraId="160CB340"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18"/>
          <w:szCs w:val="18"/>
        </w:rPr>
      </w:pPr>
    </w:p>
    <w:p w14:paraId="004554A7" w14:textId="77777777" w:rsidR="008A31EA" w:rsidRPr="00536544" w:rsidRDefault="008F2A0D" w:rsidP="00536544">
      <w:pPr>
        <w:numPr>
          <w:ilvl w:val="0"/>
          <w:numId w:val="3"/>
        </w:num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 xml:space="preserve">Fundamentación: </w:t>
      </w:r>
      <w:r w:rsidRPr="00536544">
        <w:rPr>
          <w:rFonts w:ascii="Palatino Linotype" w:eastAsia="Palatino Linotype" w:hAnsi="Palatino Linotype" w:cs="Palatino Linotype"/>
          <w:sz w:val="24"/>
          <w:szCs w:val="24"/>
        </w:rPr>
        <w:t>Obligación de la autoridad que emite un acto, para citar los preceptos legales, sustantivos y adjetivos, en que se apoye para la determinación tomada.</w:t>
      </w:r>
    </w:p>
    <w:p w14:paraId="7ECD3932" w14:textId="77777777" w:rsidR="008A31EA" w:rsidRPr="00536544" w:rsidRDefault="008F2A0D" w:rsidP="00536544">
      <w:pPr>
        <w:numPr>
          <w:ilvl w:val="0"/>
          <w:numId w:val="3"/>
        </w:num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 xml:space="preserve">Motivación: </w:t>
      </w:r>
      <w:r w:rsidRPr="00536544">
        <w:rPr>
          <w:rFonts w:ascii="Palatino Linotype" w:eastAsia="Palatino Linotype" w:hAnsi="Palatino Linotype" w:cs="Palatino Linotype"/>
          <w:sz w:val="24"/>
          <w:szCs w:val="24"/>
        </w:rPr>
        <w:t>Razonamientos lógico-jurídicos sobre porque se consideró en el caso en concreto, que se ajusta a la hipótesis normativa.</w:t>
      </w:r>
    </w:p>
    <w:p w14:paraId="22182BA7"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144F6A88"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En ese orden de ideas, el Trigésimo tercero de los Lineamientos Generales, establece la forma en que se debe fundamentar y motivar la reserva de la información, es decir, a través de los siguientes pasos:</w:t>
      </w:r>
    </w:p>
    <w:p w14:paraId="45B6941C"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085CD290" w14:textId="77777777" w:rsidR="008A31EA" w:rsidRPr="00536544" w:rsidRDefault="008F2A0D" w:rsidP="00536544">
      <w:pPr>
        <w:numPr>
          <w:ilvl w:val="0"/>
          <w:numId w:val="4"/>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Se deberá citar la fracción y, en su caso, la causal aplicable de las Ley General de Transparencia y Acceso a la Información Pública o, en el presente caso, de la Ley </w:t>
      </w:r>
      <w:r w:rsidRPr="00536544">
        <w:rPr>
          <w:rFonts w:ascii="Palatino Linotype" w:eastAsia="Palatino Linotype" w:hAnsi="Palatino Linotype" w:cs="Palatino Linotype"/>
          <w:sz w:val="24"/>
          <w:szCs w:val="24"/>
        </w:rPr>
        <w:lastRenderedPageBreak/>
        <w:t xml:space="preserve">de Transparencia y Acceso a la Información Pública del Estado de México y Municipios, vinculándola con el Lineamiento específico; </w:t>
      </w:r>
    </w:p>
    <w:p w14:paraId="6C06905D" w14:textId="77777777" w:rsidR="008A31EA" w:rsidRPr="00536544" w:rsidRDefault="008F2A0D" w:rsidP="00536544">
      <w:pPr>
        <w:numPr>
          <w:ilvl w:val="0"/>
          <w:numId w:val="4"/>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Se deberá demostrar que la publicidad de la información generaría un riesgo de perjuicio, que rebasa el interés público;</w:t>
      </w:r>
    </w:p>
    <w:p w14:paraId="52DD2683" w14:textId="77777777" w:rsidR="008A31EA" w:rsidRPr="00536544" w:rsidRDefault="008F2A0D" w:rsidP="00536544">
      <w:pPr>
        <w:numPr>
          <w:ilvl w:val="0"/>
          <w:numId w:val="4"/>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Se acreditará el vínculo entre la difusión de la información y la afectación del interés jurídico tutelado;</w:t>
      </w:r>
    </w:p>
    <w:p w14:paraId="091B4AA2" w14:textId="77777777" w:rsidR="008A31EA" w:rsidRPr="00536544" w:rsidRDefault="008F2A0D" w:rsidP="00536544">
      <w:pPr>
        <w:numPr>
          <w:ilvl w:val="0"/>
          <w:numId w:val="4"/>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Se precisará las razones objetivas por las que la apertura de la información generaría una afectación, por medio del riesgo real, demostrable e identificable;</w:t>
      </w:r>
    </w:p>
    <w:p w14:paraId="770AD08F" w14:textId="77777777" w:rsidR="008A31EA" w:rsidRPr="00536544" w:rsidRDefault="008F2A0D" w:rsidP="00536544">
      <w:pPr>
        <w:numPr>
          <w:ilvl w:val="0"/>
          <w:numId w:val="4"/>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Se deberán señalar las circunstancias de modo, tiempo y lugar del daño, y</w:t>
      </w:r>
    </w:p>
    <w:p w14:paraId="74F0087D" w14:textId="77777777" w:rsidR="008A31EA" w:rsidRPr="00536544" w:rsidRDefault="008F2A0D" w:rsidP="00536544">
      <w:pPr>
        <w:numPr>
          <w:ilvl w:val="0"/>
          <w:numId w:val="4"/>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Se elegirá la opción de excepción al acceso a la información que menos restrinja, la cual será adecuada y proporcional para la protección del interés público.</w:t>
      </w:r>
    </w:p>
    <w:p w14:paraId="37829E12"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8F6D95B"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Ahora bien, toda vez que, el Comité de Transparencia reservó la información solicitada en apego a la fracción X del 140 de la Ley de Transparencia Local, se procede a analizar dichas causales, al tenor de lo siguiente: </w:t>
      </w:r>
    </w:p>
    <w:p w14:paraId="20FD301B"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C2B508E"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u w:val="single"/>
        </w:rPr>
      </w:pPr>
      <w:r w:rsidRPr="00536544">
        <w:rPr>
          <w:rFonts w:ascii="Palatino Linotype" w:eastAsia="Palatino Linotype" w:hAnsi="Palatino Linotype" w:cs="Palatino Linotype"/>
          <w:sz w:val="24"/>
          <w:szCs w:val="24"/>
        </w:rPr>
        <w:t xml:space="preserve">De acuerdo con lo que establece el artículo 140, fracción X, de la Ley de Transparencia y Acceso a la Información Pública del Estado de México y Municipios, </w:t>
      </w:r>
      <w:r w:rsidRPr="00536544">
        <w:rPr>
          <w:rFonts w:ascii="Palatino Linotype" w:eastAsia="Palatino Linotype" w:hAnsi="Palatino Linotype" w:cs="Palatino Linotype"/>
          <w:b/>
          <w:sz w:val="24"/>
          <w:szCs w:val="24"/>
          <w:u w:val="single"/>
        </w:rPr>
        <w:t>será información reservada, aquella en la que el daño que pueda producirse con la publicación de la información sea mayor que el interés público de conocer la información de referencia, siempre que esté directamente relacionado con procesos o procedimientos administrativos o judiciales que no hayan quedado firme.</w:t>
      </w:r>
    </w:p>
    <w:p w14:paraId="14BE1BC6"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5C3C39A5"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En ese sentido, los Lineamientos Generales prevén lo siguiente:</w:t>
      </w:r>
    </w:p>
    <w:p w14:paraId="0D7C4A0F" w14:textId="77777777" w:rsidR="008A31EA" w:rsidRPr="00536544" w:rsidRDefault="008A31EA" w:rsidP="00536544">
      <w:pPr>
        <w:shd w:val="clear" w:color="auto" w:fill="FFFFFF" w:themeFill="background1"/>
        <w:spacing w:after="0" w:line="360" w:lineRule="auto"/>
        <w:ind w:left="567" w:right="985"/>
        <w:jc w:val="both"/>
        <w:rPr>
          <w:rFonts w:ascii="Palatino Linotype" w:eastAsia="Palatino Linotype" w:hAnsi="Palatino Linotype" w:cs="Palatino Linotype"/>
          <w:b/>
          <w:i/>
        </w:rPr>
      </w:pPr>
    </w:p>
    <w:p w14:paraId="7431D020" w14:textId="77777777" w:rsidR="008A31EA" w:rsidRPr="00536544" w:rsidRDefault="008F2A0D" w:rsidP="00536544">
      <w:pPr>
        <w:shd w:val="clear" w:color="auto" w:fill="FFFFFF" w:themeFill="background1"/>
        <w:spacing w:after="0" w:line="360" w:lineRule="auto"/>
        <w:ind w:left="567" w:right="985"/>
        <w:jc w:val="both"/>
        <w:rPr>
          <w:rFonts w:ascii="Palatino Linotype" w:eastAsia="Palatino Linotype" w:hAnsi="Palatino Linotype" w:cs="Palatino Linotype"/>
          <w:i/>
        </w:rPr>
      </w:pPr>
      <w:r w:rsidRPr="00536544">
        <w:rPr>
          <w:rFonts w:ascii="Palatino Linotype" w:eastAsia="Palatino Linotype" w:hAnsi="Palatino Linotype" w:cs="Palatino Linotype"/>
          <w:b/>
          <w:i/>
        </w:rPr>
        <w:t>“Vigésimo noveno.</w:t>
      </w:r>
      <w:r w:rsidRPr="00536544">
        <w:rPr>
          <w:rFonts w:ascii="Palatino Linotype" w:eastAsia="Palatino Linotype" w:hAnsi="Palatino Linotype" w:cs="Palatino Linotype"/>
          <w:i/>
        </w:rPr>
        <w:t> De conformidad con el artículo 113, fracción X de la Ley General, podrá considerarse como información reservada, aquella que de divulgarse afecte el debido proceso al actualizarse los siguientes elementos:</w:t>
      </w:r>
    </w:p>
    <w:p w14:paraId="360A620C" w14:textId="77777777" w:rsidR="008A31EA" w:rsidRPr="00536544" w:rsidRDefault="008F2A0D" w:rsidP="00536544">
      <w:pPr>
        <w:shd w:val="clear" w:color="auto" w:fill="FFFFFF" w:themeFill="background1"/>
        <w:spacing w:after="0" w:line="360" w:lineRule="auto"/>
        <w:ind w:left="567" w:right="985"/>
        <w:jc w:val="both"/>
        <w:rPr>
          <w:rFonts w:ascii="Palatino Linotype" w:eastAsia="Palatino Linotype" w:hAnsi="Palatino Linotype" w:cs="Palatino Linotype"/>
          <w:i/>
        </w:rPr>
      </w:pPr>
      <w:r w:rsidRPr="00536544">
        <w:rPr>
          <w:rFonts w:ascii="Palatino Linotype" w:eastAsia="Palatino Linotype" w:hAnsi="Palatino Linotype" w:cs="Palatino Linotype"/>
          <w:b/>
          <w:i/>
        </w:rPr>
        <w:t>I.</w:t>
      </w:r>
      <w:r w:rsidRPr="00536544">
        <w:rPr>
          <w:rFonts w:ascii="Palatino Linotype" w:eastAsia="Palatino Linotype" w:hAnsi="Palatino Linotype" w:cs="Palatino Linotype"/>
          <w:i/>
        </w:rPr>
        <w:t>        La existencia de un procedimiento judicial, administrativo o arbitral en trámite;</w:t>
      </w:r>
    </w:p>
    <w:p w14:paraId="47603B1A" w14:textId="77777777" w:rsidR="008A31EA" w:rsidRPr="00536544" w:rsidRDefault="008F2A0D" w:rsidP="00536544">
      <w:pPr>
        <w:shd w:val="clear" w:color="auto" w:fill="FFFFFF" w:themeFill="background1"/>
        <w:spacing w:after="0" w:line="360" w:lineRule="auto"/>
        <w:ind w:left="567" w:right="985"/>
        <w:jc w:val="both"/>
        <w:rPr>
          <w:rFonts w:ascii="Palatino Linotype" w:eastAsia="Palatino Linotype" w:hAnsi="Palatino Linotype" w:cs="Palatino Linotype"/>
          <w:i/>
        </w:rPr>
      </w:pPr>
      <w:r w:rsidRPr="00536544">
        <w:rPr>
          <w:rFonts w:ascii="Palatino Linotype" w:eastAsia="Palatino Linotype" w:hAnsi="Palatino Linotype" w:cs="Palatino Linotype"/>
          <w:b/>
          <w:i/>
        </w:rPr>
        <w:t>II.</w:t>
      </w:r>
      <w:r w:rsidRPr="00536544">
        <w:rPr>
          <w:rFonts w:ascii="Palatino Linotype" w:eastAsia="Palatino Linotype" w:hAnsi="Palatino Linotype" w:cs="Palatino Linotype"/>
          <w:i/>
        </w:rPr>
        <w:t>       Que el sujeto obligado sea parte en ese procedimiento;</w:t>
      </w:r>
    </w:p>
    <w:p w14:paraId="51C83EFE" w14:textId="77777777" w:rsidR="008A31EA" w:rsidRPr="00536544" w:rsidRDefault="008F2A0D" w:rsidP="00536544">
      <w:pPr>
        <w:shd w:val="clear" w:color="auto" w:fill="FFFFFF" w:themeFill="background1"/>
        <w:spacing w:after="0" w:line="360" w:lineRule="auto"/>
        <w:ind w:left="567" w:right="985"/>
        <w:jc w:val="both"/>
        <w:rPr>
          <w:rFonts w:ascii="Palatino Linotype" w:eastAsia="Palatino Linotype" w:hAnsi="Palatino Linotype" w:cs="Palatino Linotype"/>
          <w:i/>
        </w:rPr>
      </w:pPr>
      <w:r w:rsidRPr="00536544">
        <w:rPr>
          <w:rFonts w:ascii="Palatino Linotype" w:eastAsia="Palatino Linotype" w:hAnsi="Palatino Linotype" w:cs="Palatino Linotype"/>
          <w:b/>
          <w:i/>
        </w:rPr>
        <w:t>III.</w:t>
      </w:r>
      <w:r w:rsidRPr="00536544">
        <w:rPr>
          <w:rFonts w:ascii="Palatino Linotype" w:eastAsia="Palatino Linotype" w:hAnsi="Palatino Linotype" w:cs="Palatino Linotype"/>
          <w:i/>
        </w:rPr>
        <w:t>      Que la información no sea conocida por la contraparte antes de la presentación de la misma en el proceso, y</w:t>
      </w:r>
    </w:p>
    <w:p w14:paraId="0A257B5B" w14:textId="77777777" w:rsidR="008A31EA" w:rsidRPr="00536544" w:rsidRDefault="008F2A0D" w:rsidP="00536544">
      <w:pPr>
        <w:shd w:val="clear" w:color="auto" w:fill="FFFFFF" w:themeFill="background1"/>
        <w:spacing w:after="0" w:line="360" w:lineRule="auto"/>
        <w:ind w:left="567" w:right="985"/>
        <w:jc w:val="both"/>
        <w:rPr>
          <w:rFonts w:ascii="Palatino Linotype" w:eastAsia="Palatino Linotype" w:hAnsi="Palatino Linotype" w:cs="Palatino Linotype"/>
          <w:i/>
        </w:rPr>
      </w:pPr>
      <w:r w:rsidRPr="00536544">
        <w:rPr>
          <w:rFonts w:ascii="Palatino Linotype" w:eastAsia="Palatino Linotype" w:hAnsi="Palatino Linotype" w:cs="Palatino Linotype"/>
          <w:b/>
          <w:i/>
        </w:rPr>
        <w:t>IV.</w:t>
      </w:r>
      <w:r w:rsidRPr="00536544">
        <w:rPr>
          <w:rFonts w:ascii="Palatino Linotype" w:eastAsia="Palatino Linotype" w:hAnsi="Palatino Linotype" w:cs="Palatino Linotype"/>
          <w:i/>
        </w:rPr>
        <w:t>      Que con su divulgación se afecte la oportunidad de llevar a cabo alguna de las garantías del debido proceso.”</w:t>
      </w:r>
    </w:p>
    <w:p w14:paraId="5AFA06CF"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44E4083E"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De la normatividad citada, se desprende que el supuesto de clasificación invocado por el sujeto obligado, prevé que como información reservada podrá clasificarse aquella que de divulgarse afecte el debido proceso, por lo cual, para considerar que se actualiza dicha causal es necesario que se configuren los siguientes elementos:</w:t>
      </w:r>
    </w:p>
    <w:p w14:paraId="7B1D1294"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55EB2BA" w14:textId="77777777" w:rsidR="008A31EA" w:rsidRPr="00536544" w:rsidRDefault="008F2A0D" w:rsidP="00536544">
      <w:pPr>
        <w:shd w:val="clear" w:color="auto" w:fill="FFFFFF" w:themeFill="background1"/>
        <w:spacing w:after="0" w:line="360" w:lineRule="auto"/>
        <w:ind w:left="72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I.</w:t>
      </w:r>
      <w:r w:rsidRPr="00536544">
        <w:rPr>
          <w:rFonts w:ascii="Palatino Linotype" w:eastAsia="Palatino Linotype" w:hAnsi="Palatino Linotype" w:cs="Palatino Linotype"/>
          <w:sz w:val="24"/>
          <w:szCs w:val="24"/>
        </w:rPr>
        <w:t>        La existencia de un procedimiento judicial, administrativo o arbitral en trámite;</w:t>
      </w:r>
    </w:p>
    <w:p w14:paraId="3CFB3FE5" w14:textId="77777777" w:rsidR="008A31EA" w:rsidRPr="00536544" w:rsidRDefault="008F2A0D" w:rsidP="00536544">
      <w:pPr>
        <w:shd w:val="clear" w:color="auto" w:fill="FFFFFF" w:themeFill="background1"/>
        <w:spacing w:after="0" w:line="360" w:lineRule="auto"/>
        <w:ind w:left="72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II.</w:t>
      </w:r>
      <w:r w:rsidRPr="00536544">
        <w:rPr>
          <w:rFonts w:ascii="Palatino Linotype" w:eastAsia="Palatino Linotype" w:hAnsi="Palatino Linotype" w:cs="Palatino Linotype"/>
          <w:sz w:val="24"/>
          <w:szCs w:val="24"/>
        </w:rPr>
        <w:t>       Que el sujeto obligado sea parte en ese procedimiento;</w:t>
      </w:r>
    </w:p>
    <w:p w14:paraId="0DCF021F" w14:textId="77777777" w:rsidR="008A31EA" w:rsidRPr="00536544" w:rsidRDefault="008F2A0D" w:rsidP="00536544">
      <w:pPr>
        <w:shd w:val="clear" w:color="auto" w:fill="FFFFFF" w:themeFill="background1"/>
        <w:spacing w:after="0" w:line="360" w:lineRule="auto"/>
        <w:ind w:left="72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III.</w:t>
      </w:r>
      <w:r w:rsidRPr="00536544">
        <w:rPr>
          <w:rFonts w:ascii="Palatino Linotype" w:eastAsia="Palatino Linotype" w:hAnsi="Palatino Linotype" w:cs="Palatino Linotype"/>
          <w:sz w:val="24"/>
          <w:szCs w:val="24"/>
        </w:rPr>
        <w:t>      Que la información no sea conocida por la contraparte antes de la presentación de la misma en el proceso, y</w:t>
      </w:r>
    </w:p>
    <w:p w14:paraId="59910F24" w14:textId="77777777" w:rsidR="008A31EA" w:rsidRPr="00536544" w:rsidRDefault="008F2A0D" w:rsidP="00536544">
      <w:pPr>
        <w:shd w:val="clear" w:color="auto" w:fill="FFFFFF" w:themeFill="background1"/>
        <w:spacing w:after="0" w:line="360" w:lineRule="auto"/>
        <w:ind w:left="720"/>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IV.</w:t>
      </w:r>
      <w:r w:rsidRPr="00536544">
        <w:rPr>
          <w:rFonts w:ascii="Palatino Linotype" w:eastAsia="Palatino Linotype" w:hAnsi="Palatino Linotype" w:cs="Palatino Linotype"/>
          <w:sz w:val="24"/>
          <w:szCs w:val="24"/>
        </w:rPr>
        <w:t xml:space="preserve">      Que con su divulgación se afecte la oportunidad de llevar a cabo </w:t>
      </w:r>
      <w:proofErr w:type="gramStart"/>
      <w:r w:rsidRPr="00536544">
        <w:rPr>
          <w:rFonts w:ascii="Palatino Linotype" w:eastAsia="Palatino Linotype" w:hAnsi="Palatino Linotype" w:cs="Palatino Linotype"/>
          <w:sz w:val="24"/>
          <w:szCs w:val="24"/>
        </w:rPr>
        <w:t>alguna</w:t>
      </w:r>
      <w:proofErr w:type="gramEnd"/>
      <w:r w:rsidRPr="00536544">
        <w:rPr>
          <w:rFonts w:ascii="Palatino Linotype" w:eastAsia="Palatino Linotype" w:hAnsi="Palatino Linotype" w:cs="Palatino Linotype"/>
          <w:sz w:val="24"/>
          <w:szCs w:val="24"/>
        </w:rPr>
        <w:t xml:space="preserve"> de las garantías del debido proceso.</w:t>
      </w:r>
    </w:p>
    <w:p w14:paraId="2CFEB48B"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4260F184"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lastRenderedPageBreak/>
        <w:t>Con base en lo expuesto, se advierte que la información susceptible de clasificarse como reservada bajo el supuesto aludido por el sujeto obligado, es aquella cuya difusión</w:t>
      </w:r>
      <w:r w:rsidRPr="00536544">
        <w:t xml:space="preserve"> </w:t>
      </w:r>
      <w:r w:rsidRPr="00536544">
        <w:rPr>
          <w:rFonts w:ascii="Palatino Linotype" w:eastAsia="Palatino Linotype" w:hAnsi="Palatino Linotype" w:cs="Palatino Linotype"/>
          <w:sz w:val="24"/>
          <w:szCs w:val="24"/>
        </w:rPr>
        <w:t xml:space="preserve">afecte el debido proceso, ante la existencia de un procedimiento judicial, administrativo o arbitral en trámite, en donde el Sujeto Obligado es parte. </w:t>
      </w:r>
    </w:p>
    <w:p w14:paraId="1C1E3790"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4E464449"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Por lo cual, se procede analizar cada uno de los requisitos señalados en los Lineamientos Generales, con la finalidad de verificar si se configura la hipótesis de reserva en estudio:</w:t>
      </w:r>
    </w:p>
    <w:p w14:paraId="78B68E77"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0E84654B" w14:textId="77777777" w:rsidR="008A31EA" w:rsidRPr="00536544" w:rsidRDefault="008F2A0D" w:rsidP="00536544">
      <w:pPr>
        <w:numPr>
          <w:ilvl w:val="0"/>
          <w:numId w:val="7"/>
        </w:numPr>
        <w:shd w:val="clear" w:color="auto" w:fill="FFFFFF" w:themeFill="background1"/>
        <w:spacing w:after="0" w:line="360" w:lineRule="auto"/>
        <w:jc w:val="both"/>
        <w:rPr>
          <w:rFonts w:ascii="Palatino Linotype" w:eastAsia="Palatino Linotype" w:hAnsi="Palatino Linotype" w:cs="Palatino Linotype"/>
          <w:b/>
        </w:rPr>
      </w:pPr>
      <w:r w:rsidRPr="00536544">
        <w:rPr>
          <w:rFonts w:ascii="Palatino Linotype" w:eastAsia="Palatino Linotype" w:hAnsi="Palatino Linotype" w:cs="Palatino Linotype"/>
          <w:b/>
        </w:rPr>
        <w:t>La existencia de un procedimiento judicial, administrativo o arbitral en trámite.</w:t>
      </w:r>
    </w:p>
    <w:p w14:paraId="082E9DAE"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p>
    <w:p w14:paraId="7F63CEDC" w14:textId="7D4A5D85"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Al respecto, en el presente caso, el procedimiento administrativo común SJ/072/2022,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indicó que el mismo se clasificaba como información reservada por considerarse que dicho documento constituye</w:t>
      </w:r>
      <w:r w:rsidR="004013C3" w:rsidRPr="00536544">
        <w:rPr>
          <w:rFonts w:ascii="Palatino Linotype" w:eastAsia="Palatino Linotype" w:hAnsi="Palatino Linotype" w:cs="Palatino Linotype"/>
          <w:sz w:val="24"/>
          <w:szCs w:val="24"/>
        </w:rPr>
        <w:t>n</w:t>
      </w:r>
      <w:r w:rsidR="00676AD4" w:rsidRPr="00536544">
        <w:rPr>
          <w:rFonts w:ascii="Palatino Linotype" w:eastAsia="Palatino Linotype" w:hAnsi="Palatino Linotype" w:cs="Palatino Linotype"/>
          <w:sz w:val="24"/>
          <w:szCs w:val="24"/>
        </w:rPr>
        <w:t xml:space="preserve"> las </w:t>
      </w:r>
      <w:r w:rsidRPr="00536544">
        <w:rPr>
          <w:rFonts w:ascii="Palatino Linotype" w:eastAsia="Palatino Linotype" w:hAnsi="Palatino Linotype" w:cs="Palatino Linotype"/>
          <w:sz w:val="24"/>
          <w:szCs w:val="24"/>
        </w:rPr>
        <w:t>actuaciones que el Gobierno de Naucalpan de Juárez para frenar la obra que se ejecuta en el triángulo de Lomas Verdes, Av. Aseo de Lomas Verdes y Súper Avenida Lomas Verdes, entre el Centro Cívico y la 3a. Sección de Lomas Verdes; así como, las acciones para recuperar dicho bien de dominio público.</w:t>
      </w:r>
    </w:p>
    <w:p w14:paraId="3303C608"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32D10157"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Procedimiento administrativo común que, en materia administrativa, se encuentra regulado por el Código de procedimientos administrativos del Estado de México.</w:t>
      </w:r>
    </w:p>
    <w:p w14:paraId="172D37AE"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3CBDD638"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lastRenderedPageBreak/>
        <w:t xml:space="preserve">Por lo que, es necesario analizar, si corresponde a aquellos seguido en forma de juicio y determinar, si se actualiza el </w:t>
      </w:r>
      <w:r w:rsidRPr="00536544">
        <w:rPr>
          <w:rFonts w:ascii="Palatino Linotype" w:eastAsia="Palatino Linotype" w:hAnsi="Palatino Linotype" w:cs="Palatino Linotype"/>
          <w:b/>
          <w:sz w:val="24"/>
          <w:szCs w:val="24"/>
        </w:rPr>
        <w:t>primer elemento</w:t>
      </w:r>
      <w:r w:rsidRPr="00536544">
        <w:rPr>
          <w:rFonts w:ascii="Palatino Linotype" w:eastAsia="Palatino Linotype" w:hAnsi="Palatino Linotype" w:cs="Palatino Linotype"/>
          <w:sz w:val="24"/>
          <w:szCs w:val="24"/>
        </w:rPr>
        <w:t>,</w:t>
      </w:r>
      <w:r w:rsidRPr="00536544">
        <w:rPr>
          <w:rFonts w:ascii="Palatino Linotype" w:eastAsia="Palatino Linotype" w:hAnsi="Palatino Linotype" w:cs="Palatino Linotype"/>
          <w:b/>
          <w:sz w:val="24"/>
          <w:szCs w:val="24"/>
        </w:rPr>
        <w:t xml:space="preserve"> </w:t>
      </w:r>
      <w:r w:rsidRPr="00536544">
        <w:rPr>
          <w:rFonts w:ascii="Palatino Linotype" w:eastAsia="Palatino Linotype" w:hAnsi="Palatino Linotype" w:cs="Palatino Linotype"/>
          <w:sz w:val="24"/>
          <w:szCs w:val="24"/>
        </w:rPr>
        <w:t>para actualizar la causal de clasificación en estudio.</w:t>
      </w:r>
    </w:p>
    <w:p w14:paraId="59CFEB2C"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187DE61B"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En relación con lo anterior, es menester precisar que para que se trate de un</w:t>
      </w:r>
      <w:r w:rsidRPr="00536544">
        <w:rPr>
          <w:rFonts w:ascii="Palatino Linotype" w:eastAsia="Palatino Linotype" w:hAnsi="Palatino Linotype" w:cs="Palatino Linotype"/>
          <w:b/>
          <w:sz w:val="24"/>
          <w:szCs w:val="24"/>
        </w:rPr>
        <w:t xml:space="preserve"> </w:t>
      </w:r>
      <w:r w:rsidRPr="00536544">
        <w:rPr>
          <w:rFonts w:ascii="Palatino Linotype" w:eastAsia="Palatino Linotype" w:hAnsi="Palatino Linotype" w:cs="Palatino Linotype"/>
          <w:sz w:val="24"/>
          <w:szCs w:val="24"/>
        </w:rPr>
        <w:t xml:space="preserve">juicio o procedimiento administrativo materialmente jurisdiccional, debe cumplirse con lo dispuesto en los Lineamientos Generales, así como lo sostenido por la Segunda Sala de la Suprema Corte de Justicia de la Nación, en la Tesis 2a./J. 22/2003, consistente en que un </w:t>
      </w:r>
      <w:r w:rsidRPr="00536544">
        <w:rPr>
          <w:rFonts w:ascii="Palatino Linotype" w:eastAsia="Palatino Linotype" w:hAnsi="Palatino Linotype" w:cs="Palatino Linotype"/>
          <w:i/>
          <w:sz w:val="24"/>
          <w:szCs w:val="24"/>
        </w:rPr>
        <w:t>“procedimiento en forma de juicio”,</w:t>
      </w:r>
      <w:r w:rsidRPr="00536544">
        <w:rPr>
          <w:rFonts w:ascii="Palatino Linotype" w:eastAsia="Palatino Linotype" w:hAnsi="Palatino Linotype" w:cs="Palatino Linotype"/>
          <w:sz w:val="24"/>
          <w:szCs w:val="24"/>
        </w:rPr>
        <w:t xml:space="preserve"> debe entenderse </w:t>
      </w:r>
      <w:r w:rsidRPr="00536544">
        <w:rPr>
          <w:rFonts w:ascii="Palatino Linotype" w:eastAsia="Palatino Linotype" w:hAnsi="Palatino Linotype" w:cs="Palatino Linotype"/>
          <w:i/>
          <w:sz w:val="24"/>
          <w:szCs w:val="24"/>
        </w:rPr>
        <w:t>lato sensu</w:t>
      </w:r>
      <w:r w:rsidRPr="00536544">
        <w:rPr>
          <w:rFonts w:ascii="Palatino Linotype" w:eastAsia="Palatino Linotype" w:hAnsi="Palatino Linotype" w:cs="Palatino Linotype"/>
          <w:sz w:val="24"/>
          <w:szCs w:val="24"/>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536544">
        <w:rPr>
          <w:rFonts w:ascii="Palatino Linotype" w:eastAsia="Palatino Linotype" w:hAnsi="Palatino Linotype" w:cs="Palatino Linotype"/>
          <w:b/>
          <w:sz w:val="24"/>
          <w:szCs w:val="24"/>
        </w:rPr>
        <w:t xml:space="preserve"> </w:t>
      </w:r>
      <w:r w:rsidRPr="00536544">
        <w:rPr>
          <w:rFonts w:ascii="Palatino Linotype" w:eastAsia="Palatino Linotype" w:hAnsi="Palatino Linotype" w:cs="Palatino Linotype"/>
          <w:sz w:val="24"/>
          <w:szCs w:val="24"/>
        </w:rPr>
        <w:t>tal como se muestra a continuación:</w:t>
      </w:r>
    </w:p>
    <w:p w14:paraId="30F15B99"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3653C27E" w14:textId="77777777" w:rsidR="008A31EA" w:rsidRPr="00536544" w:rsidRDefault="008F2A0D" w:rsidP="00536544">
      <w:pPr>
        <w:shd w:val="clear" w:color="auto" w:fill="FFFFFF" w:themeFill="background1"/>
        <w:spacing w:after="0" w:line="276" w:lineRule="auto"/>
        <w:ind w:left="567" w:right="567"/>
        <w:jc w:val="both"/>
        <w:rPr>
          <w:rFonts w:ascii="Palatino Linotype" w:eastAsia="Palatino Linotype" w:hAnsi="Palatino Linotype" w:cs="Palatino Linotype"/>
          <w:i/>
        </w:rPr>
      </w:pPr>
      <w:r w:rsidRPr="00536544">
        <w:rPr>
          <w:rFonts w:ascii="Palatino Linotype" w:eastAsia="Palatino Linotype" w:hAnsi="Palatino Linotype" w:cs="Palatino Linotype"/>
        </w:rPr>
        <w:t>“</w:t>
      </w:r>
      <w:r w:rsidRPr="00536544">
        <w:rPr>
          <w:rFonts w:ascii="Palatino Linotype" w:eastAsia="Palatino Linotype" w:hAnsi="Palatino Linotype" w:cs="Palatino Linotype"/>
          <w:b/>
          <w:i/>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536544">
        <w:rPr>
          <w:rFonts w:ascii="Palatino Linotype" w:eastAsia="Palatino Linotype" w:hAnsi="Palatino Linotype" w:cs="Palatino Linotype"/>
          <w:i/>
        </w:rPr>
        <w:t xml:space="preserve">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536544">
        <w:rPr>
          <w:rFonts w:ascii="Palatino Linotype" w:eastAsia="Palatino Linotype" w:hAnsi="Palatino Linotype" w:cs="Palatino Linotype"/>
          <w:i/>
        </w:rPr>
        <w:t>expeditez</w:t>
      </w:r>
      <w:proofErr w:type="spellEnd"/>
      <w:r w:rsidRPr="00536544">
        <w:rPr>
          <w:rFonts w:ascii="Palatino Linotype" w:eastAsia="Palatino Linotype" w:hAnsi="Palatino Linotype" w:cs="Palatino Linotype"/>
          <w:i/>
        </w:rPr>
        <w:t xml:space="preserve"> de las diligencias procedimentales. Tal es la estructura que dicha Ley adopta en el amparo directo, así como en los procedimientos de ejecución y en los </w:t>
      </w:r>
      <w:r w:rsidRPr="00536544">
        <w:rPr>
          <w:rFonts w:ascii="Palatino Linotype" w:eastAsia="Palatino Linotype" w:hAnsi="Palatino Linotype" w:cs="Palatino Linotype"/>
          <w:i/>
        </w:rPr>
        <w:lastRenderedPageBreak/>
        <w:t xml:space="preserve">procedimientos de remate, como lo establece en sus artículos </w:t>
      </w:r>
      <w:hyperlink r:id="rId10">
        <w:r w:rsidRPr="00536544">
          <w:rPr>
            <w:i/>
          </w:rPr>
          <w:t>158</w:t>
        </w:r>
      </w:hyperlink>
      <w:r w:rsidRPr="00536544">
        <w:rPr>
          <w:rFonts w:ascii="Palatino Linotype" w:eastAsia="Palatino Linotype" w:hAnsi="Palatino Linotype" w:cs="Palatino Linotype"/>
          <w:i/>
        </w:rPr>
        <w:t xml:space="preserve"> y </w:t>
      </w:r>
      <w:hyperlink r:id="rId11">
        <w:r w:rsidRPr="00536544">
          <w:rPr>
            <w:i/>
          </w:rPr>
          <w:t>114, fracción III</w:t>
        </w:r>
      </w:hyperlink>
      <w:r w:rsidRPr="00536544">
        <w:rPr>
          <w:rFonts w:ascii="Palatino Linotype" w:eastAsia="Palatino Linotype" w:hAnsi="Palatino Linotype" w:cs="Palatino Linotype"/>
          <w:i/>
        </w:rPr>
        <w:t>,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14:paraId="4659214F"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p>
    <w:p w14:paraId="645F9CC1"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430D75C6"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66C08B7" w14:textId="77777777" w:rsidR="008A31EA" w:rsidRPr="00536544" w:rsidRDefault="008F2A0D" w:rsidP="00536544">
      <w:pPr>
        <w:shd w:val="clear" w:color="auto" w:fill="FFFFFF" w:themeFill="background1"/>
        <w:spacing w:after="0" w:line="276" w:lineRule="auto"/>
        <w:ind w:left="567" w:right="567"/>
        <w:jc w:val="both"/>
        <w:rPr>
          <w:rFonts w:ascii="Palatino Linotype" w:eastAsia="Palatino Linotype" w:hAnsi="Palatino Linotype" w:cs="Palatino Linotype"/>
          <w:i/>
        </w:rPr>
      </w:pPr>
      <w:r w:rsidRPr="00536544">
        <w:rPr>
          <w:rFonts w:ascii="Palatino Linotype" w:eastAsia="Palatino Linotype" w:hAnsi="Palatino Linotype" w:cs="Palatino Linotype"/>
          <w:b/>
          <w:i/>
        </w:rPr>
        <w:t xml:space="preserve">“FORMALIDADES ESENCIALES DEL PROCEDIMIENTO. SON LAS QUE GARANTIZAN UNA ADECUADA Y OPORTUNA DEFENSA PREVIA AL ACTO PRIVATIVO. </w:t>
      </w:r>
      <w:r w:rsidRPr="00536544">
        <w:rPr>
          <w:rFonts w:ascii="Palatino Linotype" w:eastAsia="Palatino Linotype" w:hAnsi="Palatino Linotype" w:cs="Palatino Linotype"/>
          <w:i/>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14:paraId="299741E1"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AC70FB5"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lastRenderedPageBreak/>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31B26AB9"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4B4F820" w14:textId="77777777" w:rsidR="008A31EA" w:rsidRPr="00536544" w:rsidRDefault="008F2A0D" w:rsidP="00536544">
      <w:pPr>
        <w:numPr>
          <w:ilvl w:val="0"/>
          <w:numId w:val="11"/>
        </w:numPr>
        <w:shd w:val="clear" w:color="auto" w:fill="FFFFFF" w:themeFill="background1"/>
        <w:spacing w:after="0" w:line="360" w:lineRule="auto"/>
        <w:ind w:left="851"/>
        <w:jc w:val="both"/>
        <w:rPr>
          <w:rFonts w:ascii="Palatino Linotype" w:eastAsia="Palatino Linotype" w:hAnsi="Palatino Linotype" w:cs="Palatino Linotype"/>
        </w:rPr>
      </w:pPr>
      <w:r w:rsidRPr="00536544">
        <w:rPr>
          <w:rFonts w:ascii="Palatino Linotype" w:eastAsia="Palatino Linotype" w:hAnsi="Palatino Linotype" w:cs="Palatino Linotype"/>
        </w:rPr>
        <w:t>La notificación del inicio del procedimiento y sus consecuencias;</w:t>
      </w:r>
    </w:p>
    <w:p w14:paraId="4D9FB0F3" w14:textId="77777777" w:rsidR="008A31EA" w:rsidRPr="00536544" w:rsidRDefault="008F2A0D" w:rsidP="00536544">
      <w:pPr>
        <w:numPr>
          <w:ilvl w:val="0"/>
          <w:numId w:val="11"/>
        </w:numPr>
        <w:shd w:val="clear" w:color="auto" w:fill="FFFFFF" w:themeFill="background1"/>
        <w:spacing w:after="0" w:line="360" w:lineRule="auto"/>
        <w:ind w:left="851"/>
        <w:jc w:val="both"/>
        <w:rPr>
          <w:rFonts w:ascii="Palatino Linotype" w:eastAsia="Palatino Linotype" w:hAnsi="Palatino Linotype" w:cs="Palatino Linotype"/>
        </w:rPr>
      </w:pPr>
      <w:r w:rsidRPr="00536544">
        <w:rPr>
          <w:rFonts w:ascii="Palatino Linotype" w:eastAsia="Palatino Linotype" w:hAnsi="Palatino Linotype" w:cs="Palatino Linotype"/>
        </w:rPr>
        <w:t xml:space="preserve">La oportunidad de ofrecer y desahogar pruebas; </w:t>
      </w:r>
    </w:p>
    <w:p w14:paraId="02544581" w14:textId="77777777" w:rsidR="008A31EA" w:rsidRPr="00536544" w:rsidRDefault="008F2A0D" w:rsidP="00536544">
      <w:pPr>
        <w:numPr>
          <w:ilvl w:val="0"/>
          <w:numId w:val="11"/>
        </w:numPr>
        <w:shd w:val="clear" w:color="auto" w:fill="FFFFFF" w:themeFill="background1"/>
        <w:spacing w:after="0" w:line="360" w:lineRule="auto"/>
        <w:ind w:left="851"/>
        <w:jc w:val="both"/>
        <w:rPr>
          <w:rFonts w:ascii="Palatino Linotype" w:eastAsia="Palatino Linotype" w:hAnsi="Palatino Linotype" w:cs="Palatino Linotype"/>
        </w:rPr>
      </w:pPr>
      <w:r w:rsidRPr="00536544">
        <w:rPr>
          <w:rFonts w:ascii="Palatino Linotype" w:eastAsia="Palatino Linotype" w:hAnsi="Palatino Linotype" w:cs="Palatino Linotype"/>
        </w:rPr>
        <w:t>La oportunidad de alegar; y</w:t>
      </w:r>
    </w:p>
    <w:p w14:paraId="75FB1690" w14:textId="77777777" w:rsidR="008A31EA" w:rsidRPr="00536544" w:rsidRDefault="008F2A0D" w:rsidP="00536544">
      <w:pPr>
        <w:numPr>
          <w:ilvl w:val="0"/>
          <w:numId w:val="11"/>
        </w:numPr>
        <w:shd w:val="clear" w:color="auto" w:fill="FFFFFF" w:themeFill="background1"/>
        <w:spacing w:after="0" w:line="360" w:lineRule="auto"/>
        <w:ind w:left="851"/>
        <w:jc w:val="both"/>
        <w:rPr>
          <w:rFonts w:ascii="Palatino Linotype" w:eastAsia="Palatino Linotype" w:hAnsi="Palatino Linotype" w:cs="Palatino Linotype"/>
        </w:rPr>
      </w:pPr>
      <w:r w:rsidRPr="00536544">
        <w:rPr>
          <w:rFonts w:ascii="Palatino Linotype" w:eastAsia="Palatino Linotype" w:hAnsi="Palatino Linotype" w:cs="Palatino Linotype"/>
        </w:rPr>
        <w:t>El dictado de una resolución que dirima las cuestiones debatidas.</w:t>
      </w:r>
    </w:p>
    <w:p w14:paraId="3C9D9511"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046C763C"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Por lo que hace a la notificación del inicio del procedimiento y sus consecuencias, es la etapa en la que se hace del conocimiento de una de las partes que se ha instaurado un procedimiento en su contra; por lo que hace la oportunidad de ofrecer y desahogar 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 </w:t>
      </w:r>
    </w:p>
    <w:p w14:paraId="50009318"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4117DB82"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En ese sentido, a efecto de corroborar si en efecto el procedimiento administrativo común se trata de un procedimiento administrativo seguido en forma de juicio, es necesario traer a colación la normatividad que las regula. </w:t>
      </w:r>
    </w:p>
    <w:p w14:paraId="4B4CD142"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5D04B24F"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lastRenderedPageBreak/>
        <w:t>En el caso, el procedimiento administrativo común del cual el Sujeto Obligado realizó la reserva de la información, se encuentra regulado por el Código de Procedimientos Administrativos del Estado de México, y a dicho del ente público el mismo se encuentra radicado en la Dirección General de Desarrollo Urbano, el cual conforme el artículo 115 de dicho código, se advierte que inicia con una petición, la cual podrá ser formulada por los particulares en cualquier tiempo mientras no se hayan extinguido los derechos que invocan.</w:t>
      </w:r>
    </w:p>
    <w:p w14:paraId="183958AB"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6B0B5509"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Consecuentemente, de conformidad con lo señalado por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en el Acta a través del cual llevó a cabo la clasificación de la información requerida como reservada, en fecha 07 de marzo de 2022, se llevó a cabo una visita de verificación, y se llevaron a cabo diversas actuaciones; no obstante, su estado actual es “</w:t>
      </w:r>
      <w:proofErr w:type="spellStart"/>
      <w:r w:rsidRPr="00536544">
        <w:rPr>
          <w:rFonts w:ascii="Palatino Linotype" w:eastAsia="Palatino Linotype" w:hAnsi="Palatino Linotype" w:cs="Palatino Linotype"/>
          <w:i/>
          <w:sz w:val="24"/>
          <w:szCs w:val="24"/>
        </w:rPr>
        <w:t>subjudice</w:t>
      </w:r>
      <w:proofErr w:type="spellEnd"/>
      <w:r w:rsidRPr="00536544">
        <w:rPr>
          <w:rFonts w:ascii="Palatino Linotype" w:eastAsia="Palatino Linotype" w:hAnsi="Palatino Linotype" w:cs="Palatino Linotype"/>
          <w:sz w:val="24"/>
          <w:szCs w:val="24"/>
        </w:rPr>
        <w:t>”, pendiente de sentencia, como se advierte de la foja 22 a la 23:</w:t>
      </w:r>
    </w:p>
    <w:p w14:paraId="2CCA2DF6" w14:textId="77777777" w:rsidR="008A31EA" w:rsidRPr="00536544" w:rsidRDefault="008F2A0D" w:rsidP="00536544">
      <w:pPr>
        <w:shd w:val="clear" w:color="auto" w:fill="FFFFFF" w:themeFill="background1"/>
        <w:spacing w:after="0" w:line="360" w:lineRule="auto"/>
        <w:jc w:val="center"/>
        <w:rPr>
          <w:rFonts w:ascii="Palatino Linotype" w:eastAsia="Palatino Linotype" w:hAnsi="Palatino Linotype" w:cs="Palatino Linotype"/>
          <w:sz w:val="24"/>
          <w:szCs w:val="24"/>
        </w:rPr>
      </w:pPr>
      <w:r w:rsidRPr="00536544">
        <w:rPr>
          <w:rFonts w:ascii="Palatino Linotype" w:eastAsia="Palatino Linotype" w:hAnsi="Palatino Linotype" w:cs="Palatino Linotype"/>
          <w:noProof/>
          <w:sz w:val="24"/>
          <w:szCs w:val="24"/>
        </w:rPr>
        <w:drawing>
          <wp:inline distT="0" distB="0" distL="0" distR="0" wp14:anchorId="060C096C" wp14:editId="16D22876">
            <wp:extent cx="3897314" cy="1442306"/>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61859"/>
                    <a:stretch>
                      <a:fillRect/>
                    </a:stretch>
                  </pic:blipFill>
                  <pic:spPr>
                    <a:xfrm>
                      <a:off x="0" y="0"/>
                      <a:ext cx="3897314" cy="1442306"/>
                    </a:xfrm>
                    <a:prstGeom prst="rect">
                      <a:avLst/>
                    </a:prstGeom>
                    <a:ln/>
                  </pic:spPr>
                </pic:pic>
              </a:graphicData>
            </a:graphic>
          </wp:inline>
        </w:drawing>
      </w:r>
    </w:p>
    <w:p w14:paraId="6351FB39"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5B1FB723" w14:textId="77777777" w:rsidR="008A31EA" w:rsidRPr="00536544" w:rsidRDefault="008F2A0D" w:rsidP="00536544">
      <w:pPr>
        <w:shd w:val="clear" w:color="auto" w:fill="FFFFFF" w:themeFill="background1"/>
        <w:spacing w:after="0" w:line="360" w:lineRule="auto"/>
        <w:jc w:val="center"/>
        <w:rPr>
          <w:rFonts w:ascii="Palatino Linotype" w:eastAsia="Palatino Linotype" w:hAnsi="Palatino Linotype" w:cs="Palatino Linotype"/>
          <w:sz w:val="24"/>
          <w:szCs w:val="24"/>
        </w:rPr>
      </w:pPr>
      <w:r w:rsidRPr="00536544">
        <w:rPr>
          <w:rFonts w:ascii="Palatino Linotype" w:eastAsia="Palatino Linotype" w:hAnsi="Palatino Linotype" w:cs="Palatino Linotype"/>
          <w:noProof/>
          <w:sz w:val="24"/>
          <w:szCs w:val="24"/>
        </w:rPr>
        <w:drawing>
          <wp:inline distT="0" distB="0" distL="0" distR="0" wp14:anchorId="17670180" wp14:editId="65B13BAD">
            <wp:extent cx="3896269" cy="1042854"/>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79461"/>
                    <a:stretch>
                      <a:fillRect/>
                    </a:stretch>
                  </pic:blipFill>
                  <pic:spPr>
                    <a:xfrm>
                      <a:off x="0" y="0"/>
                      <a:ext cx="3896269" cy="1042854"/>
                    </a:xfrm>
                    <a:prstGeom prst="rect">
                      <a:avLst/>
                    </a:prstGeom>
                    <a:ln/>
                  </pic:spPr>
                </pic:pic>
              </a:graphicData>
            </a:graphic>
          </wp:inline>
        </w:drawing>
      </w:r>
    </w:p>
    <w:p w14:paraId="6AC19619"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lastRenderedPageBreak/>
        <w:t>Al respecto, el artículo 128 del Código de referencia, precisa que las autoridades administrativas podrán realizar visitas de verificación, por el personal debidamente autorizado.</w:t>
      </w:r>
    </w:p>
    <w:p w14:paraId="1FA83BDD"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140D4DA7"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Conforme a lo anterior, se logra observar que el Procedimiento Administrativo común, cumple con las </w:t>
      </w:r>
      <w:r w:rsidRPr="00536544">
        <w:rPr>
          <w:rFonts w:ascii="Palatino Linotype" w:eastAsia="Palatino Linotype" w:hAnsi="Palatino Linotype" w:cs="Palatino Linotype"/>
          <w:b/>
          <w:sz w:val="24"/>
          <w:szCs w:val="24"/>
        </w:rPr>
        <w:t>formalidades esenciales de un procedimiento seguido en forma de juicio</w:t>
      </w:r>
      <w:r w:rsidRPr="00536544">
        <w:rPr>
          <w:rFonts w:ascii="Palatino Linotype" w:eastAsia="Palatino Linotype" w:hAnsi="Palatino Linotype" w:cs="Palatino Linotype"/>
          <w:sz w:val="24"/>
          <w:szCs w:val="24"/>
        </w:rPr>
        <w:t xml:space="preserve">; ya que se encuentra integrado por etapas procesales, que incluye la notificación a la parte infractora, la posibilidad de ofrecer pruebas y alegatos (garantía de audiencia), además, que es sustanciado ante una autoridad, la cual emite una resolución al concluir dicho procedimiento estableciendo si existe responsabilidad o no, así como, la posible sanción. </w:t>
      </w:r>
    </w:p>
    <w:p w14:paraId="5D68B444"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14D8822D"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Al respecto, conforme a lo señalado por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el procedimiento administrativo común SJ/072/2022, se encontraba pendiente de resolución hasta en tanto se resolvieran dos diversos procedimientos administrativos 487/2021 y 787/2022 que se encuentran radicados ante la Segunda Sala Regional del Tribunal de Justicia Administrativa del Estado de México;</w:t>
      </w:r>
      <w:r w:rsidRPr="00536544">
        <w:rPr>
          <w:rFonts w:ascii="Palatino Linotype" w:eastAsia="Palatino Linotype" w:hAnsi="Palatino Linotype" w:cs="Palatino Linotype"/>
          <w:b/>
          <w:sz w:val="24"/>
          <w:szCs w:val="24"/>
        </w:rPr>
        <w:t xml:space="preserve"> </w:t>
      </w:r>
      <w:r w:rsidRPr="00536544">
        <w:rPr>
          <w:rFonts w:ascii="Palatino Linotype" w:eastAsia="Palatino Linotype" w:hAnsi="Palatino Linotype" w:cs="Palatino Linotype"/>
          <w:sz w:val="24"/>
          <w:szCs w:val="24"/>
        </w:rPr>
        <w:t>por lo que, es claro que se acredita el primer elemento, pues a la fecha de la solicitud de información, existía un procedimiento administrativo seguido en forma de juicio, en trámite.</w:t>
      </w:r>
    </w:p>
    <w:p w14:paraId="5106BA49"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p>
    <w:p w14:paraId="0A25565E" w14:textId="77777777" w:rsidR="008A31EA" w:rsidRPr="00536544" w:rsidRDefault="008F2A0D" w:rsidP="00536544">
      <w:pPr>
        <w:numPr>
          <w:ilvl w:val="0"/>
          <w:numId w:val="7"/>
        </w:numPr>
        <w:pBdr>
          <w:top w:val="nil"/>
          <w:left w:val="nil"/>
          <w:bottom w:val="nil"/>
          <w:right w:val="nil"/>
          <w:between w:val="nil"/>
        </w:pBdr>
        <w:shd w:val="clear" w:color="auto" w:fill="FFFFFF" w:themeFill="background1"/>
        <w:spacing w:after="0" w:line="360" w:lineRule="auto"/>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Que el sujeto obligado sea parte en ese procedimiento:</w:t>
      </w:r>
    </w:p>
    <w:p w14:paraId="556F1170"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 </w:t>
      </w:r>
    </w:p>
    <w:p w14:paraId="20FCE5DB"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Ahora bien, por lo que hace al requisito de que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sea parte en el procedimiento, es de indicar que dicho ente público mediante el Acta de la Décima </w:t>
      </w:r>
      <w:r w:rsidRPr="00536544">
        <w:rPr>
          <w:rFonts w:ascii="Palatino Linotype" w:eastAsia="Palatino Linotype" w:hAnsi="Palatino Linotype" w:cs="Palatino Linotype"/>
          <w:sz w:val="24"/>
          <w:szCs w:val="24"/>
        </w:rPr>
        <w:lastRenderedPageBreak/>
        <w:t>Tercera Sesión Extraordinaria del Comité de Transparencia del H. Ayuntamiento de Naucalpan de Juárez, número CT/NAU/ACTA-EXT-00013/2023, indicó sobre dicho requisito de manera expresa que el Ayuntamiento de Naucalpan de Juárez figura como parte dentro del procedimiento administrativo común antes indicado, por lo que se acredita el cumplimiento de dicho requisito.</w:t>
      </w:r>
    </w:p>
    <w:p w14:paraId="210AD92E"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left="720"/>
        <w:jc w:val="both"/>
        <w:rPr>
          <w:rFonts w:ascii="Palatino Linotype" w:eastAsia="Palatino Linotype" w:hAnsi="Palatino Linotype" w:cs="Palatino Linotype"/>
        </w:rPr>
      </w:pPr>
    </w:p>
    <w:p w14:paraId="383A6C4A" w14:textId="77777777" w:rsidR="008A31EA" w:rsidRPr="00536544" w:rsidRDefault="008F2A0D" w:rsidP="00536544">
      <w:pPr>
        <w:numPr>
          <w:ilvl w:val="0"/>
          <w:numId w:val="7"/>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Que la información no sea conocida por la contraparte antes de la presentación de la misma en el proceso.</w:t>
      </w:r>
    </w:p>
    <w:p w14:paraId="34591DAA"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 </w:t>
      </w:r>
    </w:p>
    <w:p w14:paraId="59D3C0DF"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Al respecto, el </w:t>
      </w:r>
      <w:r w:rsidRPr="00536544">
        <w:rPr>
          <w:rFonts w:ascii="Palatino Linotype" w:eastAsia="Palatino Linotype" w:hAnsi="Palatino Linotype" w:cs="Palatino Linotype"/>
          <w:b/>
          <w:sz w:val="24"/>
          <w:szCs w:val="24"/>
        </w:rPr>
        <w:t xml:space="preserve">Sujeto Obligado </w:t>
      </w:r>
      <w:r w:rsidRPr="00536544">
        <w:rPr>
          <w:rFonts w:ascii="Palatino Linotype" w:eastAsia="Palatino Linotype" w:hAnsi="Palatino Linotype" w:cs="Palatino Linotype"/>
          <w:sz w:val="24"/>
          <w:szCs w:val="24"/>
        </w:rPr>
        <w:t>en la referida Acta de la Décima Tercera Sesión Extraordinaria del Comité de Transparencia, indicó que sobre dicho requisito la información no se puede dar a conocer porque vulneraría la condición del expediente del procedimiento administrativo, al no encontrarse firme.</w:t>
      </w:r>
    </w:p>
    <w:p w14:paraId="2B9B1B1B"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86BAA74" w14:textId="77777777" w:rsidR="008A31EA" w:rsidRPr="00536544" w:rsidRDefault="008F2A0D" w:rsidP="00536544">
      <w:pPr>
        <w:numPr>
          <w:ilvl w:val="0"/>
          <w:numId w:val="7"/>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 xml:space="preserve">Que la información con su divulgación se afecte la oportunidad de llevar a cabo </w:t>
      </w:r>
      <w:proofErr w:type="gramStart"/>
      <w:r w:rsidRPr="00536544">
        <w:rPr>
          <w:rFonts w:ascii="Palatino Linotype" w:eastAsia="Palatino Linotype" w:hAnsi="Palatino Linotype" w:cs="Palatino Linotype"/>
          <w:b/>
          <w:sz w:val="24"/>
          <w:szCs w:val="24"/>
        </w:rPr>
        <w:t>alguna</w:t>
      </w:r>
      <w:proofErr w:type="gramEnd"/>
      <w:r w:rsidRPr="00536544">
        <w:rPr>
          <w:rFonts w:ascii="Palatino Linotype" w:eastAsia="Palatino Linotype" w:hAnsi="Palatino Linotype" w:cs="Palatino Linotype"/>
          <w:b/>
          <w:sz w:val="24"/>
          <w:szCs w:val="24"/>
        </w:rPr>
        <w:t xml:space="preserve"> de las garantías del debido proceso.</w:t>
      </w:r>
    </w:p>
    <w:p w14:paraId="55772790"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5735B03A"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Sobre dicho requisito, en la referida Acta de la Décima Tercera Sesión Extraordinaria del Comité de Transparencia, el </w:t>
      </w:r>
      <w:r w:rsidRPr="00536544">
        <w:rPr>
          <w:rFonts w:ascii="Palatino Linotype" w:eastAsia="Palatino Linotype" w:hAnsi="Palatino Linotype" w:cs="Palatino Linotype"/>
          <w:b/>
          <w:sz w:val="24"/>
          <w:szCs w:val="24"/>
        </w:rPr>
        <w:t xml:space="preserve">Sujeto Obligado </w:t>
      </w:r>
      <w:r w:rsidRPr="00536544">
        <w:rPr>
          <w:rFonts w:ascii="Palatino Linotype" w:eastAsia="Palatino Linotype" w:hAnsi="Palatino Linotype" w:cs="Palatino Linotype"/>
          <w:sz w:val="24"/>
          <w:szCs w:val="24"/>
        </w:rPr>
        <w:t xml:space="preserve">indicó que de divulgarse la información se afectaría la oportunidad de llevar a cabo </w:t>
      </w:r>
      <w:proofErr w:type="gramStart"/>
      <w:r w:rsidRPr="00536544">
        <w:rPr>
          <w:rFonts w:ascii="Palatino Linotype" w:eastAsia="Palatino Linotype" w:hAnsi="Palatino Linotype" w:cs="Palatino Linotype"/>
          <w:sz w:val="24"/>
          <w:szCs w:val="24"/>
        </w:rPr>
        <w:t>alguna</w:t>
      </w:r>
      <w:proofErr w:type="gramEnd"/>
      <w:r w:rsidRPr="00536544">
        <w:rPr>
          <w:rFonts w:ascii="Palatino Linotype" w:eastAsia="Palatino Linotype" w:hAnsi="Palatino Linotype" w:cs="Palatino Linotype"/>
          <w:sz w:val="24"/>
          <w:szCs w:val="24"/>
        </w:rPr>
        <w:t xml:space="preserve"> de las garantías del debido proceso atendiendo que el mismo se encuentra </w:t>
      </w:r>
      <w:proofErr w:type="spellStart"/>
      <w:r w:rsidRPr="00536544">
        <w:rPr>
          <w:rFonts w:ascii="Palatino Linotype" w:eastAsia="Palatino Linotype" w:hAnsi="Palatino Linotype" w:cs="Palatino Linotype"/>
          <w:sz w:val="24"/>
          <w:szCs w:val="24"/>
        </w:rPr>
        <w:t>subjudice</w:t>
      </w:r>
      <w:proofErr w:type="spellEnd"/>
      <w:r w:rsidRPr="00536544">
        <w:rPr>
          <w:rFonts w:ascii="Palatino Linotype" w:eastAsia="Palatino Linotype" w:hAnsi="Palatino Linotype" w:cs="Palatino Linotype"/>
          <w:sz w:val="24"/>
          <w:szCs w:val="24"/>
        </w:rPr>
        <w:t>.</w:t>
      </w:r>
    </w:p>
    <w:p w14:paraId="41B69702"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14CBFDD2"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Respecto lo anterior, es de recordar que el debido proceso es el derecho que tiene toda persona para ejercer su defensa y ser oída dentro de un procedimiento, con las debidas </w:t>
      </w:r>
      <w:r w:rsidRPr="00536544">
        <w:rPr>
          <w:rFonts w:ascii="Palatino Linotype" w:eastAsia="Palatino Linotype" w:hAnsi="Palatino Linotype" w:cs="Palatino Linotype"/>
          <w:sz w:val="24"/>
          <w:szCs w:val="24"/>
        </w:rPr>
        <w:lastRenderedPageBreak/>
        <w:t xml:space="preserve">oportunidades y dentro de un plazo razonable, por la autoridad competente previo al reconocimiento o restricción de sus derechos y obligaciones; por lo que, en el caso, atendiendo a que la información solicitada está relacionada con un procedimiento administrativo común en el que atendiendo los indicios de notas periodísticas, es para recuperación de predios, ineludiblemente las partes particulares y servidores públicos que intervienen en el mismo, hasta en tanto dentro del procedimiento no se emita resolución y esta quede firme; se considera que, cualquier divulgación de las actuaciones que forman parte del procedimiento podrían afectar las defensas de las partes; </w:t>
      </w:r>
      <w:r w:rsidRPr="00536544">
        <w:rPr>
          <w:rFonts w:ascii="Palatino Linotype" w:eastAsia="Palatino Linotype" w:hAnsi="Palatino Linotype" w:cs="Palatino Linotype"/>
          <w:b/>
          <w:sz w:val="24"/>
          <w:szCs w:val="24"/>
        </w:rPr>
        <w:t>de ahí que el cuarto requisito para reservar la información se advierte que se cumple.</w:t>
      </w:r>
    </w:p>
    <w:p w14:paraId="70D52FD0"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3D982630" w14:textId="185F3CE3"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u w:val="single"/>
        </w:rPr>
      </w:pPr>
      <w:r w:rsidRPr="00536544">
        <w:rPr>
          <w:rFonts w:ascii="Palatino Linotype" w:eastAsia="Palatino Linotype" w:hAnsi="Palatino Linotype" w:cs="Palatino Linotype"/>
          <w:sz w:val="24"/>
          <w:szCs w:val="24"/>
        </w:rPr>
        <w:t xml:space="preserve">Por tales circunstancias, se considera que </w:t>
      </w:r>
      <w:r w:rsidRPr="00536544">
        <w:rPr>
          <w:rFonts w:ascii="Palatino Linotype" w:eastAsia="Palatino Linotype" w:hAnsi="Palatino Linotype" w:cs="Palatino Linotype"/>
          <w:b/>
          <w:sz w:val="24"/>
          <w:szCs w:val="24"/>
          <w:u w:val="single"/>
        </w:rPr>
        <w:t xml:space="preserve">el expediente del procedimiento administrativo común SJ/072/2022, que el Gobierno de Naucalpan de Juárez </w:t>
      </w:r>
      <w:r w:rsidR="00C33EAC" w:rsidRPr="00536544">
        <w:rPr>
          <w:rFonts w:ascii="Palatino Linotype" w:eastAsia="Palatino Linotype" w:hAnsi="Palatino Linotype" w:cs="Palatino Linotype"/>
          <w:b/>
          <w:sz w:val="24"/>
          <w:szCs w:val="24"/>
          <w:u w:val="single"/>
        </w:rPr>
        <w:t>instauró</w:t>
      </w:r>
      <w:r w:rsidRPr="00536544">
        <w:rPr>
          <w:rFonts w:ascii="Palatino Linotype" w:eastAsia="Palatino Linotype" w:hAnsi="Palatino Linotype" w:cs="Palatino Linotype"/>
          <w:b/>
          <w:sz w:val="24"/>
          <w:szCs w:val="24"/>
          <w:u w:val="single"/>
        </w:rPr>
        <w:t xml:space="preserve"> para frenar la obra que se ejecuta en el triángulo de Lomas Verdes, Av. Aseo de Lomas Verdes y Súper Avenida Lomas Verdes, entre el Centro Cívico y</w:t>
      </w:r>
      <w:r w:rsidR="00C33EAC" w:rsidRPr="00536544">
        <w:rPr>
          <w:rFonts w:ascii="Palatino Linotype" w:eastAsia="Palatino Linotype" w:hAnsi="Palatino Linotype" w:cs="Palatino Linotype"/>
          <w:b/>
          <w:sz w:val="24"/>
          <w:szCs w:val="24"/>
          <w:u w:val="single"/>
        </w:rPr>
        <w:t xml:space="preserve"> la 3a. Sección de Lomas Verdes</w:t>
      </w:r>
      <w:r w:rsidRPr="00536544">
        <w:rPr>
          <w:rFonts w:ascii="Palatino Linotype" w:eastAsia="Palatino Linotype" w:hAnsi="Palatino Linotype" w:cs="Palatino Linotype"/>
          <w:b/>
          <w:sz w:val="24"/>
          <w:szCs w:val="24"/>
          <w:u w:val="single"/>
        </w:rPr>
        <w:t>; actualiza la causal de reserva establecida en el artículo 140, fracción X, Ley de Transparencia y Acceso a la Información Pública del Estado de México y Municipios, pues a la fecha de la solicitud de información el mismo se encuentra en trámite.</w:t>
      </w:r>
    </w:p>
    <w:p w14:paraId="10FDE15F"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76BBBC7F" w14:textId="77777777" w:rsidR="008A31EA" w:rsidRPr="00536544" w:rsidRDefault="008F2A0D" w:rsidP="00536544">
      <w:pPr>
        <w:shd w:val="clear" w:color="auto" w:fill="FFFFFF" w:themeFill="background1"/>
        <w:tabs>
          <w:tab w:val="left" w:pos="4962"/>
        </w:tabs>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Por otro lado, cabe traer a colación el artículo 141 de la Ley de Transparencia y Acceso a la Información Pública del Estado de México y Municipios, establece que las causales de reserva se deberán fundar y motivar, a través de la aplicación de la prueba de daño </w:t>
      </w:r>
      <w:r w:rsidRPr="00536544">
        <w:rPr>
          <w:rFonts w:ascii="Palatino Linotype" w:eastAsia="Palatino Linotype" w:hAnsi="Palatino Linotype" w:cs="Palatino Linotype"/>
          <w:sz w:val="24"/>
          <w:szCs w:val="24"/>
        </w:rPr>
        <w:lastRenderedPageBreak/>
        <w:t>establecida en el artículo 129 de dicho ordenamiento, que se debe justificar de la siguiente manera:</w:t>
      </w:r>
    </w:p>
    <w:p w14:paraId="1B3B3CD0" w14:textId="77777777" w:rsidR="008A31EA" w:rsidRPr="00536544" w:rsidRDefault="008A31EA" w:rsidP="00536544">
      <w:pPr>
        <w:shd w:val="clear" w:color="auto" w:fill="FFFFFF" w:themeFill="background1"/>
        <w:tabs>
          <w:tab w:val="left" w:pos="4962"/>
        </w:tabs>
        <w:spacing w:after="0" w:line="360" w:lineRule="auto"/>
        <w:jc w:val="both"/>
        <w:rPr>
          <w:rFonts w:ascii="Palatino Linotype" w:eastAsia="Palatino Linotype" w:hAnsi="Palatino Linotype" w:cs="Palatino Linotype"/>
        </w:rPr>
      </w:pPr>
    </w:p>
    <w:p w14:paraId="4A98C7F6" w14:textId="77777777" w:rsidR="008A31EA" w:rsidRPr="00536544" w:rsidRDefault="008F2A0D" w:rsidP="00536544">
      <w:pPr>
        <w:numPr>
          <w:ilvl w:val="0"/>
          <w:numId w:val="8"/>
        </w:numPr>
        <w:shd w:val="clear" w:color="auto" w:fill="FFFFFF" w:themeFill="background1"/>
        <w:tabs>
          <w:tab w:val="left" w:pos="4962"/>
        </w:tabs>
        <w:spacing w:after="0" w:line="360" w:lineRule="auto"/>
        <w:ind w:left="851" w:hanging="437"/>
        <w:jc w:val="both"/>
        <w:rPr>
          <w:rFonts w:ascii="Palatino Linotype" w:eastAsia="Palatino Linotype" w:hAnsi="Palatino Linotype" w:cs="Palatino Linotype"/>
        </w:rPr>
      </w:pPr>
      <w:r w:rsidRPr="00536544">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623BFE62" w14:textId="77777777" w:rsidR="008A31EA" w:rsidRPr="00536544" w:rsidRDefault="008F2A0D" w:rsidP="00536544">
      <w:pPr>
        <w:numPr>
          <w:ilvl w:val="0"/>
          <w:numId w:val="8"/>
        </w:numPr>
        <w:shd w:val="clear" w:color="auto" w:fill="FFFFFF" w:themeFill="background1"/>
        <w:tabs>
          <w:tab w:val="left" w:pos="4962"/>
        </w:tabs>
        <w:spacing w:after="0" w:line="360" w:lineRule="auto"/>
        <w:ind w:left="851" w:hanging="437"/>
        <w:jc w:val="both"/>
        <w:rPr>
          <w:rFonts w:ascii="Palatino Linotype" w:eastAsia="Palatino Linotype" w:hAnsi="Palatino Linotype" w:cs="Palatino Linotype"/>
        </w:rPr>
      </w:pPr>
      <w:r w:rsidRPr="00536544">
        <w:rPr>
          <w:rFonts w:ascii="Palatino Linotype" w:eastAsia="Palatino Linotype" w:hAnsi="Palatino Linotype" w:cs="Palatino Linotype"/>
        </w:rPr>
        <w:t>El riesgo de perjuicio supera el interés público general de que se difunda.</w:t>
      </w:r>
    </w:p>
    <w:p w14:paraId="329AE386" w14:textId="77777777" w:rsidR="008A31EA" w:rsidRPr="00536544" w:rsidRDefault="008F2A0D" w:rsidP="00536544">
      <w:pPr>
        <w:numPr>
          <w:ilvl w:val="0"/>
          <w:numId w:val="8"/>
        </w:numPr>
        <w:shd w:val="clear" w:color="auto" w:fill="FFFFFF" w:themeFill="background1"/>
        <w:tabs>
          <w:tab w:val="left" w:pos="4962"/>
        </w:tabs>
        <w:spacing w:after="0" w:line="360" w:lineRule="auto"/>
        <w:ind w:left="851" w:hanging="437"/>
        <w:jc w:val="both"/>
        <w:rPr>
          <w:rFonts w:ascii="Palatino Linotype" w:eastAsia="Palatino Linotype" w:hAnsi="Palatino Linotype" w:cs="Palatino Linotype"/>
        </w:rPr>
      </w:pPr>
      <w:r w:rsidRPr="00536544">
        <w:rPr>
          <w:rFonts w:ascii="Palatino Linotype" w:eastAsia="Palatino Linotype" w:hAnsi="Palatino Linotype" w:cs="Palatino Linotype"/>
        </w:rPr>
        <w:t>Que la limitación se adecua al principio de proporcionalidad y representa el medio menos restrictivo disponible para evitar el perjuicio.</w:t>
      </w:r>
    </w:p>
    <w:p w14:paraId="7B17510F"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488DB44B"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En ese sentido, es de recordar que el Sujeto Obligado remitió el Acta de la Décima Tercera Sesión Extraordinaria del Comité de Transparencia del H. Ayuntamiento de Naucalpan de Juárez, número CT/NAU/ACTA-EXT-00013/2023, por lo que, a fin de establecer si esta cumple con las formalidades exigidas por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y 141, de la Ley de Transparencia y Acceso a la Información Pública del Estado de México y Municipios, se analizará lo siguiente: </w:t>
      </w:r>
    </w:p>
    <w:p w14:paraId="7F4A8738"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45"/>
        <w:gridCol w:w="2170"/>
      </w:tblGrid>
      <w:tr w:rsidR="00536544" w:rsidRPr="00536544" w14:paraId="3330EF70"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693277B6"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sz w:val="18"/>
                <w:szCs w:val="18"/>
              </w:rPr>
              <w:t>Elementos del acuerdo de clasificación</w:t>
            </w:r>
          </w:p>
        </w:tc>
        <w:tc>
          <w:tcPr>
            <w:tcW w:w="5245" w:type="dxa"/>
            <w:tcBorders>
              <w:top w:val="single" w:sz="4" w:space="0" w:color="000000"/>
              <w:left w:val="single" w:sz="4" w:space="0" w:color="000000"/>
              <w:bottom w:val="single" w:sz="4" w:space="0" w:color="000000"/>
              <w:right w:val="single" w:sz="4" w:space="0" w:color="000000"/>
            </w:tcBorders>
            <w:shd w:val="clear" w:color="auto" w:fill="7B7B7B"/>
          </w:tcPr>
          <w:p w14:paraId="5027716F"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rPr>
              <w:t>Contenido</w:t>
            </w:r>
          </w:p>
        </w:tc>
        <w:tc>
          <w:tcPr>
            <w:tcW w:w="2170" w:type="dxa"/>
            <w:tcBorders>
              <w:top w:val="single" w:sz="4" w:space="0" w:color="000000"/>
              <w:left w:val="single" w:sz="4" w:space="0" w:color="000000"/>
              <w:bottom w:val="single" w:sz="4" w:space="0" w:color="000000"/>
              <w:right w:val="single" w:sz="4" w:space="0" w:color="000000"/>
            </w:tcBorders>
            <w:shd w:val="clear" w:color="auto" w:fill="7B7B7B"/>
          </w:tcPr>
          <w:p w14:paraId="143793E2"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rPr>
              <w:t>Cumple</w:t>
            </w:r>
          </w:p>
        </w:tc>
      </w:tr>
      <w:tr w:rsidR="00536544" w:rsidRPr="00536544" w14:paraId="332F0875" w14:textId="77777777">
        <w:tc>
          <w:tcPr>
            <w:tcW w:w="1413" w:type="dxa"/>
            <w:tcBorders>
              <w:top w:val="single" w:sz="4" w:space="0" w:color="000000"/>
              <w:left w:val="single" w:sz="4" w:space="0" w:color="000000"/>
              <w:bottom w:val="single" w:sz="4" w:space="0" w:color="000000"/>
              <w:right w:val="single" w:sz="4" w:space="0" w:color="000000"/>
            </w:tcBorders>
          </w:tcPr>
          <w:p w14:paraId="775E6736"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sz w:val="18"/>
                <w:szCs w:val="18"/>
              </w:rPr>
            </w:pPr>
            <w:r w:rsidRPr="00536544">
              <w:rPr>
                <w:rFonts w:ascii="Palatino Linotype" w:eastAsia="Palatino Linotype" w:hAnsi="Palatino Linotype" w:cs="Palatino Linotype"/>
                <w:b/>
                <w:sz w:val="18"/>
                <w:szCs w:val="18"/>
              </w:rPr>
              <w:t>Número de folio de la solicitud</w:t>
            </w:r>
          </w:p>
        </w:tc>
        <w:tc>
          <w:tcPr>
            <w:tcW w:w="5245" w:type="dxa"/>
            <w:tcBorders>
              <w:top w:val="single" w:sz="4" w:space="0" w:color="000000"/>
              <w:left w:val="single" w:sz="4" w:space="0" w:color="000000"/>
              <w:bottom w:val="single" w:sz="4" w:space="0" w:color="000000"/>
              <w:right w:val="single" w:sz="4" w:space="0" w:color="000000"/>
            </w:tcBorders>
          </w:tcPr>
          <w:p w14:paraId="7BAA866A" w14:textId="77777777" w:rsidR="008A31EA" w:rsidRPr="00536544" w:rsidRDefault="008F2A0D" w:rsidP="00536544">
            <w:pPr>
              <w:shd w:val="clear" w:color="auto" w:fill="FFFFFF" w:themeFill="background1"/>
              <w:spacing w:after="0" w:line="276" w:lineRule="auto"/>
            </w:pPr>
            <w:r w:rsidRPr="00536544">
              <w:rPr>
                <w:noProof/>
              </w:rPr>
              <w:drawing>
                <wp:inline distT="0" distB="0" distL="0" distR="0" wp14:anchorId="5B4B542E" wp14:editId="73E95DF9">
                  <wp:extent cx="3574188" cy="876453"/>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574188" cy="876453"/>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57F37DD4"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rPr>
              <w:t>Sí</w:t>
            </w:r>
          </w:p>
        </w:tc>
      </w:tr>
      <w:tr w:rsidR="00536544" w:rsidRPr="00536544" w14:paraId="7BC99070" w14:textId="77777777">
        <w:tc>
          <w:tcPr>
            <w:tcW w:w="1413" w:type="dxa"/>
            <w:tcBorders>
              <w:top w:val="single" w:sz="4" w:space="0" w:color="000000"/>
              <w:left w:val="single" w:sz="4" w:space="0" w:color="000000"/>
              <w:bottom w:val="single" w:sz="4" w:space="0" w:color="000000"/>
              <w:right w:val="single" w:sz="4" w:space="0" w:color="000000"/>
            </w:tcBorders>
          </w:tcPr>
          <w:p w14:paraId="2E642D32"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sz w:val="18"/>
                <w:szCs w:val="18"/>
              </w:rPr>
            </w:pPr>
            <w:r w:rsidRPr="00536544">
              <w:rPr>
                <w:rFonts w:ascii="Palatino Linotype" w:eastAsia="Palatino Linotype" w:hAnsi="Palatino Linotype" w:cs="Palatino Linotype"/>
                <w:b/>
                <w:sz w:val="18"/>
                <w:szCs w:val="18"/>
              </w:rPr>
              <w:lastRenderedPageBreak/>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tcPr>
          <w:p w14:paraId="5426B5F3"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rPr>
            </w:pPr>
            <w:r w:rsidRPr="00536544">
              <w:rPr>
                <w:rFonts w:ascii="Palatino Linotype" w:eastAsia="Palatino Linotype" w:hAnsi="Palatino Linotype" w:cs="Palatino Linotype"/>
                <w:noProof/>
              </w:rPr>
              <w:drawing>
                <wp:inline distT="0" distB="0" distL="0" distR="0" wp14:anchorId="5AC6FD8F" wp14:editId="1EFA4A91">
                  <wp:extent cx="3560211" cy="1110142"/>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560211" cy="1110142"/>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6C1EFC7F"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sz w:val="18"/>
                <w:szCs w:val="18"/>
              </w:rPr>
            </w:pPr>
            <w:r w:rsidRPr="00536544">
              <w:rPr>
                <w:rFonts w:ascii="Palatino Linotype" w:eastAsia="Palatino Linotype" w:hAnsi="Palatino Linotype" w:cs="Palatino Linotype"/>
                <w:b/>
              </w:rPr>
              <w:t>Sí</w:t>
            </w:r>
          </w:p>
        </w:tc>
      </w:tr>
      <w:tr w:rsidR="00536544" w:rsidRPr="00536544" w14:paraId="5BACEBF8" w14:textId="77777777">
        <w:tc>
          <w:tcPr>
            <w:tcW w:w="1413" w:type="dxa"/>
            <w:tcBorders>
              <w:top w:val="single" w:sz="4" w:space="0" w:color="000000"/>
              <w:left w:val="single" w:sz="4" w:space="0" w:color="000000"/>
              <w:bottom w:val="single" w:sz="4" w:space="0" w:color="000000"/>
              <w:right w:val="single" w:sz="4" w:space="0" w:color="000000"/>
            </w:tcBorders>
          </w:tcPr>
          <w:p w14:paraId="7EB72613"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sz w:val="18"/>
                <w:szCs w:val="18"/>
              </w:rPr>
            </w:pPr>
            <w:r w:rsidRPr="00536544">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245" w:type="dxa"/>
            <w:tcBorders>
              <w:top w:val="single" w:sz="4" w:space="0" w:color="000000"/>
              <w:left w:val="single" w:sz="4" w:space="0" w:color="000000"/>
              <w:bottom w:val="single" w:sz="4" w:space="0" w:color="000000"/>
              <w:right w:val="single" w:sz="4" w:space="0" w:color="000000"/>
            </w:tcBorders>
          </w:tcPr>
          <w:p w14:paraId="533C9DD0" w14:textId="77777777" w:rsidR="008A31EA" w:rsidRPr="00536544" w:rsidRDefault="008A31EA" w:rsidP="00536544">
            <w:pPr>
              <w:shd w:val="clear" w:color="auto" w:fill="FFFFFF" w:themeFill="background1"/>
              <w:spacing w:after="0" w:line="276" w:lineRule="auto"/>
            </w:pPr>
          </w:p>
          <w:p w14:paraId="577F1897" w14:textId="77777777" w:rsidR="008A31EA" w:rsidRPr="00536544" w:rsidRDefault="008F2A0D" w:rsidP="00536544">
            <w:pPr>
              <w:shd w:val="clear" w:color="auto" w:fill="FFFFFF" w:themeFill="background1"/>
              <w:spacing w:after="0" w:line="276" w:lineRule="auto"/>
            </w:pPr>
            <w:r w:rsidRPr="00536544">
              <w:rPr>
                <w:noProof/>
              </w:rPr>
              <w:drawing>
                <wp:inline distT="0" distB="0" distL="0" distR="0" wp14:anchorId="030B5A92" wp14:editId="659E47DD">
                  <wp:extent cx="3106827" cy="2391063"/>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106827" cy="2391063"/>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41DF4580"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rPr>
              <w:t>Parcialmente</w:t>
            </w:r>
          </w:p>
          <w:p w14:paraId="2D7A27E0" w14:textId="77777777" w:rsidR="008A31EA" w:rsidRPr="00536544" w:rsidRDefault="008A31EA" w:rsidP="00536544">
            <w:pPr>
              <w:shd w:val="clear" w:color="auto" w:fill="FFFFFF" w:themeFill="background1"/>
              <w:spacing w:after="0" w:line="276" w:lineRule="auto"/>
              <w:jc w:val="center"/>
              <w:rPr>
                <w:rFonts w:ascii="Palatino Linotype" w:eastAsia="Palatino Linotype" w:hAnsi="Palatino Linotype" w:cs="Palatino Linotype"/>
                <w:b/>
              </w:rPr>
            </w:pPr>
          </w:p>
          <w:p w14:paraId="42589730" w14:textId="77777777" w:rsidR="008A31EA" w:rsidRPr="00536544" w:rsidRDefault="008F2A0D" w:rsidP="00536544">
            <w:pPr>
              <w:shd w:val="clear" w:color="auto" w:fill="FFFFFF" w:themeFill="background1"/>
              <w:spacing w:after="0" w:line="276" w:lineRule="auto"/>
              <w:jc w:val="both"/>
              <w:rPr>
                <w:rFonts w:ascii="Palatino Linotype" w:eastAsia="Palatino Linotype" w:hAnsi="Palatino Linotype" w:cs="Palatino Linotype"/>
              </w:rPr>
            </w:pPr>
            <w:r w:rsidRPr="00536544">
              <w:rPr>
                <w:rFonts w:ascii="Palatino Linotype" w:eastAsia="Palatino Linotype" w:hAnsi="Palatino Linotype" w:cs="Palatino Linotype"/>
              </w:rPr>
              <w:t xml:space="preserve">En virtud de que, el Sujeto Obligado únicamente señaló la causal aplicable de conformidad con el artículo 140, fracción X de La Ley de Transparencia Local, vinculándola con el Lineamiento vigésimo noveno. </w:t>
            </w:r>
          </w:p>
        </w:tc>
      </w:tr>
      <w:tr w:rsidR="00536544" w:rsidRPr="00536544" w14:paraId="3F2725A0" w14:textId="77777777">
        <w:tc>
          <w:tcPr>
            <w:tcW w:w="1413" w:type="dxa"/>
            <w:tcBorders>
              <w:top w:val="single" w:sz="4" w:space="0" w:color="000000"/>
              <w:left w:val="single" w:sz="4" w:space="0" w:color="000000"/>
              <w:bottom w:val="single" w:sz="4" w:space="0" w:color="000000"/>
              <w:right w:val="single" w:sz="4" w:space="0" w:color="000000"/>
            </w:tcBorders>
          </w:tcPr>
          <w:p w14:paraId="13E579A4"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sz w:val="18"/>
                <w:szCs w:val="18"/>
              </w:rPr>
            </w:pPr>
            <w:r w:rsidRPr="00536544">
              <w:rPr>
                <w:rFonts w:ascii="Palatino Linotype" w:eastAsia="Palatino Linotype" w:hAnsi="Palatino Linotype" w:cs="Palatino Linotype"/>
                <w:b/>
                <w:sz w:val="18"/>
                <w:szCs w:val="18"/>
              </w:rPr>
              <w:t>Fundamento y Motivación Legal</w:t>
            </w:r>
          </w:p>
        </w:tc>
        <w:tc>
          <w:tcPr>
            <w:tcW w:w="5245" w:type="dxa"/>
            <w:tcBorders>
              <w:top w:val="single" w:sz="4" w:space="0" w:color="000000"/>
              <w:left w:val="single" w:sz="4" w:space="0" w:color="000000"/>
              <w:bottom w:val="single" w:sz="4" w:space="0" w:color="000000"/>
              <w:right w:val="single" w:sz="4" w:space="0" w:color="000000"/>
            </w:tcBorders>
          </w:tcPr>
          <w:p w14:paraId="6578354F" w14:textId="77777777" w:rsidR="008A31EA" w:rsidRPr="00536544" w:rsidRDefault="008A31EA" w:rsidP="00536544">
            <w:pPr>
              <w:shd w:val="clear" w:color="auto" w:fill="FFFFFF" w:themeFill="background1"/>
              <w:spacing w:after="0" w:line="276" w:lineRule="auto"/>
            </w:pPr>
          </w:p>
          <w:p w14:paraId="4FA20265" w14:textId="77777777" w:rsidR="008A31EA" w:rsidRPr="00536544" w:rsidRDefault="008F2A0D" w:rsidP="00536544">
            <w:pPr>
              <w:shd w:val="clear" w:color="auto" w:fill="FFFFFF" w:themeFill="background1"/>
              <w:spacing w:after="0" w:line="276" w:lineRule="auto"/>
            </w:pPr>
            <w:r w:rsidRPr="00536544">
              <w:rPr>
                <w:noProof/>
              </w:rPr>
              <w:lastRenderedPageBreak/>
              <w:drawing>
                <wp:inline distT="0" distB="0" distL="0" distR="0" wp14:anchorId="0437C54E" wp14:editId="6A98E78C">
                  <wp:extent cx="3197832" cy="3490299"/>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197832" cy="3490299"/>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1542CFB6" w14:textId="77777777" w:rsidR="008A31EA" w:rsidRPr="00536544" w:rsidRDefault="008F2A0D" w:rsidP="00536544">
            <w:pPr>
              <w:shd w:val="clear" w:color="auto" w:fill="FFFFFF" w:themeFill="background1"/>
              <w:spacing w:after="0"/>
              <w:jc w:val="center"/>
              <w:rPr>
                <w:rFonts w:ascii="Palatino Linotype" w:eastAsia="Palatino Linotype" w:hAnsi="Palatino Linotype" w:cs="Palatino Linotype"/>
                <w:sz w:val="18"/>
                <w:szCs w:val="18"/>
              </w:rPr>
            </w:pPr>
            <w:r w:rsidRPr="00536544">
              <w:rPr>
                <w:rFonts w:ascii="Palatino Linotype" w:eastAsia="Palatino Linotype" w:hAnsi="Palatino Linotype" w:cs="Palatino Linotype"/>
                <w:b/>
              </w:rPr>
              <w:lastRenderedPageBreak/>
              <w:t>Si</w:t>
            </w:r>
          </w:p>
        </w:tc>
      </w:tr>
      <w:tr w:rsidR="00536544" w:rsidRPr="00536544" w14:paraId="7E37EC06" w14:textId="77777777">
        <w:tc>
          <w:tcPr>
            <w:tcW w:w="1413" w:type="dxa"/>
            <w:tcBorders>
              <w:top w:val="single" w:sz="4" w:space="0" w:color="000000"/>
              <w:left w:val="single" w:sz="4" w:space="0" w:color="000000"/>
              <w:bottom w:val="single" w:sz="4" w:space="0" w:color="000000"/>
              <w:right w:val="single" w:sz="4" w:space="0" w:color="000000"/>
            </w:tcBorders>
          </w:tcPr>
          <w:p w14:paraId="5BDB40EB" w14:textId="77777777" w:rsidR="008A31EA" w:rsidRPr="00536544" w:rsidRDefault="008F2A0D" w:rsidP="00536544">
            <w:pPr>
              <w:shd w:val="clear" w:color="auto" w:fill="FFFFFF" w:themeFill="background1"/>
              <w:spacing w:after="0" w:line="276" w:lineRule="auto"/>
              <w:rPr>
                <w:rFonts w:ascii="Palatino Linotype" w:eastAsia="Palatino Linotype" w:hAnsi="Palatino Linotype" w:cs="Palatino Linotype"/>
                <w:b/>
                <w:sz w:val="16"/>
                <w:szCs w:val="16"/>
              </w:rPr>
            </w:pPr>
            <w:r w:rsidRPr="00536544">
              <w:rPr>
                <w:rFonts w:ascii="Palatino Linotype" w:eastAsia="Palatino Linotype" w:hAnsi="Palatino Linotype" w:cs="Palatino Linotype"/>
                <w:b/>
                <w:sz w:val="16"/>
                <w:szCs w:val="16"/>
              </w:rPr>
              <w:t>Conexión entre los fundamentos y motivos que dieron origen a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05565064" w14:textId="77777777" w:rsidR="008A31EA" w:rsidRPr="00536544" w:rsidRDefault="008F2A0D" w:rsidP="00536544">
            <w:pPr>
              <w:shd w:val="clear" w:color="auto" w:fill="FFFFFF" w:themeFill="background1"/>
              <w:spacing w:after="0" w:line="276" w:lineRule="auto"/>
            </w:pPr>
            <w:r w:rsidRPr="00536544">
              <w:rPr>
                <w:noProof/>
              </w:rPr>
              <w:drawing>
                <wp:inline distT="0" distB="0" distL="0" distR="0" wp14:anchorId="06F7D821" wp14:editId="6D2B1D89">
                  <wp:extent cx="3197812" cy="667892"/>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197812" cy="667892"/>
                          </a:xfrm>
                          <a:prstGeom prst="rect">
                            <a:avLst/>
                          </a:prstGeom>
                          <a:ln/>
                        </pic:spPr>
                      </pic:pic>
                    </a:graphicData>
                  </a:graphic>
                </wp:inline>
              </w:drawing>
            </w:r>
          </w:p>
          <w:p w14:paraId="5B56B7B6" w14:textId="77777777" w:rsidR="008A31EA" w:rsidRPr="00536544" w:rsidRDefault="008F2A0D" w:rsidP="00536544">
            <w:pPr>
              <w:shd w:val="clear" w:color="auto" w:fill="FFFFFF" w:themeFill="background1"/>
              <w:spacing w:after="0" w:line="276" w:lineRule="auto"/>
            </w:pPr>
            <w:r w:rsidRPr="00536544">
              <w:rPr>
                <w:noProof/>
              </w:rPr>
              <w:drawing>
                <wp:inline distT="0" distB="0" distL="0" distR="0" wp14:anchorId="2A190FC6" wp14:editId="1E7EF446">
                  <wp:extent cx="3206033" cy="2354433"/>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206033" cy="2354433"/>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28D2A17A"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sz w:val="18"/>
                <w:szCs w:val="18"/>
              </w:rPr>
            </w:pPr>
            <w:r w:rsidRPr="00536544">
              <w:rPr>
                <w:rFonts w:ascii="Palatino Linotype" w:eastAsia="Palatino Linotype" w:hAnsi="Palatino Linotype" w:cs="Palatino Linotype"/>
                <w:b/>
                <w:sz w:val="18"/>
                <w:szCs w:val="18"/>
              </w:rPr>
              <w:t xml:space="preserve">Parcialmente </w:t>
            </w:r>
          </w:p>
          <w:p w14:paraId="33898F6D" w14:textId="77777777" w:rsidR="008A31EA" w:rsidRPr="00536544" w:rsidRDefault="008A31EA" w:rsidP="00536544">
            <w:pPr>
              <w:shd w:val="clear" w:color="auto" w:fill="FFFFFF" w:themeFill="background1"/>
              <w:spacing w:after="0" w:line="276" w:lineRule="auto"/>
              <w:rPr>
                <w:rFonts w:ascii="Palatino Linotype" w:eastAsia="Palatino Linotype" w:hAnsi="Palatino Linotype" w:cs="Palatino Linotype"/>
                <w:b/>
                <w:sz w:val="18"/>
                <w:szCs w:val="18"/>
              </w:rPr>
            </w:pPr>
          </w:p>
          <w:p w14:paraId="3F5014BA" w14:textId="77777777" w:rsidR="008A31EA" w:rsidRPr="00536544" w:rsidRDefault="008F2A0D" w:rsidP="00536544">
            <w:pPr>
              <w:shd w:val="clear" w:color="auto" w:fill="FFFFFF" w:themeFill="background1"/>
              <w:spacing w:after="0" w:line="276" w:lineRule="auto"/>
              <w:jc w:val="both"/>
              <w:rPr>
                <w:rFonts w:ascii="Palatino Linotype" w:eastAsia="Palatino Linotype" w:hAnsi="Palatino Linotype" w:cs="Palatino Linotype"/>
              </w:rPr>
            </w:pPr>
            <w:r w:rsidRPr="00536544">
              <w:rPr>
                <w:rFonts w:ascii="Palatino Linotype" w:eastAsia="Palatino Linotype" w:hAnsi="Palatino Linotype" w:cs="Palatino Linotype"/>
                <w:sz w:val="18"/>
                <w:szCs w:val="18"/>
              </w:rPr>
              <w:t>Pues si bien se analizan conforme la normatividad los cuatro elementos para que proceda la causal de reserva de la información de la fracción X del artículo 140 de la Ley de Transparencia Local, no se motiva debidamente el cumplimiento de los requisitos relativos a;</w:t>
            </w:r>
            <w:r w:rsidRPr="00536544">
              <w:rPr>
                <w:sz w:val="18"/>
                <w:szCs w:val="18"/>
              </w:rPr>
              <w:t xml:space="preserve"> </w:t>
            </w:r>
            <w:r w:rsidRPr="00536544">
              <w:rPr>
                <w:rFonts w:ascii="Palatino Linotype" w:eastAsia="Palatino Linotype" w:hAnsi="Palatino Linotype" w:cs="Palatino Linotype"/>
                <w:sz w:val="18"/>
                <w:szCs w:val="18"/>
              </w:rPr>
              <w:t xml:space="preserve">Que la información no sea conocida por la contraparte antes de la presentación de la misma en el proceso, y Que con su divulgación </w:t>
            </w:r>
            <w:r w:rsidRPr="00536544">
              <w:rPr>
                <w:rFonts w:ascii="Palatino Linotype" w:eastAsia="Palatino Linotype" w:hAnsi="Palatino Linotype" w:cs="Palatino Linotype"/>
                <w:sz w:val="18"/>
                <w:szCs w:val="18"/>
              </w:rPr>
              <w:lastRenderedPageBreak/>
              <w:t>se afecte la oportunidad de llevar a cabo alguna de las garantías del debido proceso, pues sólo se refiere en términos generales que se cumplen con los mismos sin establecer un razonamiento lógico jurídico que justifique la actualización de cada elemento.</w:t>
            </w:r>
          </w:p>
        </w:tc>
      </w:tr>
      <w:tr w:rsidR="00536544" w:rsidRPr="00536544" w14:paraId="746812D4"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426694D2"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rPr>
              <w:lastRenderedPageBreak/>
              <w:t>Elementos de la prueba de daño</w:t>
            </w:r>
          </w:p>
        </w:tc>
      </w:tr>
      <w:tr w:rsidR="00536544" w:rsidRPr="00536544" w14:paraId="73414F23" w14:textId="77777777">
        <w:tc>
          <w:tcPr>
            <w:tcW w:w="1413" w:type="dxa"/>
            <w:tcBorders>
              <w:top w:val="single" w:sz="4" w:space="0" w:color="000000"/>
              <w:left w:val="single" w:sz="4" w:space="0" w:color="000000"/>
              <w:bottom w:val="single" w:sz="4" w:space="0" w:color="000000"/>
              <w:right w:val="single" w:sz="4" w:space="0" w:color="000000"/>
            </w:tcBorders>
          </w:tcPr>
          <w:p w14:paraId="57A74759" w14:textId="77777777" w:rsidR="008A31EA" w:rsidRPr="00536544" w:rsidRDefault="008F2A0D" w:rsidP="00536544">
            <w:pPr>
              <w:shd w:val="clear" w:color="auto" w:fill="FFFFFF" w:themeFill="background1"/>
              <w:spacing w:after="0" w:line="256" w:lineRule="auto"/>
              <w:jc w:val="center"/>
              <w:rPr>
                <w:rFonts w:ascii="Palatino Linotype" w:eastAsia="Palatino Linotype" w:hAnsi="Palatino Linotype" w:cs="Palatino Linotype"/>
                <w:b/>
                <w:sz w:val="16"/>
                <w:szCs w:val="16"/>
              </w:rPr>
            </w:pPr>
            <w:r w:rsidRPr="00536544">
              <w:rPr>
                <w:rFonts w:ascii="Palatino Linotype" w:eastAsia="Palatino Linotype" w:hAnsi="Palatino Linotype" w:cs="Palatino Linotype"/>
                <w:b/>
                <w:sz w:val="16"/>
                <w:szCs w:val="16"/>
              </w:rPr>
              <w:t>Riesgo Real, Demostrable e Identificable</w:t>
            </w:r>
          </w:p>
          <w:p w14:paraId="476916BF"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sz w:val="16"/>
                <w:szCs w:val="16"/>
              </w:rPr>
              <w:t>(Modo, Tiempo y Lugar)</w:t>
            </w:r>
          </w:p>
        </w:tc>
        <w:tc>
          <w:tcPr>
            <w:tcW w:w="5245" w:type="dxa"/>
            <w:tcBorders>
              <w:top w:val="single" w:sz="4" w:space="0" w:color="000000"/>
              <w:left w:val="single" w:sz="4" w:space="0" w:color="000000"/>
              <w:bottom w:val="single" w:sz="4" w:space="0" w:color="000000"/>
              <w:right w:val="single" w:sz="4" w:space="0" w:color="000000"/>
            </w:tcBorders>
          </w:tcPr>
          <w:p w14:paraId="259A6911" w14:textId="77777777" w:rsidR="008A31EA" w:rsidRPr="00536544" w:rsidRDefault="008F2A0D" w:rsidP="00536544">
            <w:pPr>
              <w:shd w:val="clear" w:color="auto" w:fill="FFFFFF" w:themeFill="background1"/>
              <w:spacing w:after="0" w:line="276" w:lineRule="auto"/>
            </w:pPr>
            <w:r w:rsidRPr="00536544">
              <w:rPr>
                <w:noProof/>
              </w:rPr>
              <w:drawing>
                <wp:inline distT="0" distB="0" distL="0" distR="0" wp14:anchorId="076DF700" wp14:editId="20A97F1D">
                  <wp:extent cx="3193415" cy="236093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193415" cy="2360930"/>
                          </a:xfrm>
                          <a:prstGeom prst="rect">
                            <a:avLst/>
                          </a:prstGeom>
                          <a:ln/>
                        </pic:spPr>
                      </pic:pic>
                    </a:graphicData>
                  </a:graphic>
                </wp:inline>
              </w:drawing>
            </w:r>
          </w:p>
          <w:p w14:paraId="2FBD7630" w14:textId="77777777" w:rsidR="008A31EA" w:rsidRPr="00536544" w:rsidRDefault="008A31EA" w:rsidP="00536544">
            <w:pPr>
              <w:shd w:val="clear" w:color="auto" w:fill="FFFFFF" w:themeFill="background1"/>
              <w:spacing w:after="0" w:line="276" w:lineRule="auto"/>
            </w:pPr>
          </w:p>
          <w:p w14:paraId="126BCE15" w14:textId="77777777" w:rsidR="008A31EA" w:rsidRPr="00536544" w:rsidRDefault="008A31EA" w:rsidP="00536544">
            <w:pPr>
              <w:shd w:val="clear" w:color="auto" w:fill="FFFFFF" w:themeFill="background1"/>
              <w:spacing w:after="0" w:line="276" w:lineRule="auto"/>
            </w:pPr>
          </w:p>
          <w:p w14:paraId="4CCDA969" w14:textId="77777777" w:rsidR="008A31EA" w:rsidRPr="00536544" w:rsidRDefault="008A31EA" w:rsidP="00536544">
            <w:pPr>
              <w:shd w:val="clear" w:color="auto" w:fill="FFFFFF" w:themeFill="background1"/>
              <w:spacing w:after="0" w:line="276" w:lineRule="auto"/>
            </w:pPr>
          </w:p>
          <w:p w14:paraId="08E8FA50" w14:textId="77777777" w:rsidR="008A31EA" w:rsidRPr="00536544" w:rsidRDefault="008A31EA" w:rsidP="00536544">
            <w:pPr>
              <w:shd w:val="clear" w:color="auto" w:fill="FFFFFF" w:themeFill="background1"/>
              <w:spacing w:after="0" w:line="276" w:lineRule="auto"/>
              <w:jc w:val="center"/>
              <w:rPr>
                <w:rFonts w:ascii="Palatino Linotype" w:eastAsia="Palatino Linotype" w:hAnsi="Palatino Linotype" w:cs="Palatino Linotype"/>
                <w:b/>
              </w:rPr>
            </w:pPr>
          </w:p>
          <w:p w14:paraId="6CD78861" w14:textId="77777777" w:rsidR="008A31EA" w:rsidRPr="00536544" w:rsidRDefault="008A31EA" w:rsidP="00536544">
            <w:pPr>
              <w:shd w:val="clear" w:color="auto" w:fill="FFFFFF" w:themeFill="background1"/>
              <w:spacing w:after="0" w:line="276" w:lineRule="auto"/>
              <w:jc w:val="center"/>
              <w:rPr>
                <w:rFonts w:ascii="Palatino Linotype" w:eastAsia="Palatino Linotype" w:hAnsi="Palatino Linotype" w:cs="Palatino Linotype"/>
                <w:b/>
              </w:rPr>
            </w:pPr>
          </w:p>
          <w:p w14:paraId="2397EFB8" w14:textId="77777777" w:rsidR="008A31EA" w:rsidRPr="00536544" w:rsidRDefault="008A31EA" w:rsidP="00536544">
            <w:pPr>
              <w:shd w:val="clear" w:color="auto" w:fill="FFFFFF" w:themeFill="background1"/>
              <w:spacing w:after="0" w:line="276" w:lineRule="auto"/>
              <w:jc w:val="center"/>
              <w:rPr>
                <w:rFonts w:ascii="Palatino Linotype" w:eastAsia="Palatino Linotype" w:hAnsi="Palatino Linotype" w:cs="Palatino Linotype"/>
                <w:b/>
              </w:rPr>
            </w:pPr>
          </w:p>
          <w:p w14:paraId="16D430B3" w14:textId="77777777" w:rsidR="008A31EA" w:rsidRPr="00536544" w:rsidRDefault="008A31EA" w:rsidP="00536544">
            <w:pPr>
              <w:shd w:val="clear" w:color="auto" w:fill="FFFFFF" w:themeFill="background1"/>
              <w:spacing w:after="0" w:line="276" w:lineRule="auto"/>
              <w:jc w:val="center"/>
              <w:rPr>
                <w:rFonts w:ascii="Palatino Linotype" w:eastAsia="Palatino Linotype" w:hAnsi="Palatino Linotype" w:cs="Palatino Linotype"/>
                <w:b/>
              </w:rPr>
            </w:pPr>
          </w:p>
          <w:p w14:paraId="655D081C" w14:textId="77777777" w:rsidR="008A31EA" w:rsidRPr="00536544" w:rsidRDefault="008F2A0D" w:rsidP="00536544">
            <w:pPr>
              <w:shd w:val="clear" w:color="auto" w:fill="FFFFFF" w:themeFill="background1"/>
              <w:tabs>
                <w:tab w:val="left" w:pos="2610"/>
                <w:tab w:val="center" w:pos="2798"/>
              </w:tabs>
              <w:spacing w:after="0" w:line="276" w:lineRule="auto"/>
              <w:rPr>
                <w:rFonts w:ascii="Palatino Linotype" w:eastAsia="Palatino Linotype" w:hAnsi="Palatino Linotype" w:cs="Palatino Linotype"/>
                <w:b/>
              </w:rPr>
            </w:pPr>
            <w:r w:rsidRPr="00536544">
              <w:rPr>
                <w:rFonts w:ascii="Palatino Linotype" w:eastAsia="Palatino Linotype" w:hAnsi="Palatino Linotype" w:cs="Palatino Linotype"/>
                <w:b/>
              </w:rPr>
              <w:tab/>
            </w:r>
          </w:p>
        </w:tc>
        <w:tc>
          <w:tcPr>
            <w:tcW w:w="2170" w:type="dxa"/>
            <w:tcBorders>
              <w:top w:val="single" w:sz="4" w:space="0" w:color="000000"/>
              <w:left w:val="single" w:sz="4" w:space="0" w:color="000000"/>
              <w:bottom w:val="single" w:sz="4" w:space="0" w:color="000000"/>
              <w:right w:val="single" w:sz="4" w:space="0" w:color="000000"/>
            </w:tcBorders>
          </w:tcPr>
          <w:p w14:paraId="3D0D0625"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sz w:val="18"/>
                <w:szCs w:val="18"/>
              </w:rPr>
            </w:pPr>
            <w:r w:rsidRPr="00536544">
              <w:rPr>
                <w:rFonts w:ascii="Palatino Linotype" w:eastAsia="Palatino Linotype" w:hAnsi="Palatino Linotype" w:cs="Palatino Linotype"/>
                <w:b/>
                <w:sz w:val="18"/>
                <w:szCs w:val="18"/>
              </w:rPr>
              <w:t>NO</w:t>
            </w:r>
          </w:p>
          <w:p w14:paraId="37B18977" w14:textId="77777777" w:rsidR="008A31EA" w:rsidRPr="00536544" w:rsidRDefault="008F2A0D" w:rsidP="00536544">
            <w:pPr>
              <w:shd w:val="clear" w:color="auto" w:fill="FFFFFF" w:themeFill="background1"/>
              <w:spacing w:after="0" w:line="276" w:lineRule="auto"/>
              <w:jc w:val="both"/>
              <w:rPr>
                <w:rFonts w:ascii="Palatino Linotype" w:eastAsia="Palatino Linotype" w:hAnsi="Palatino Linotype" w:cs="Palatino Linotype"/>
                <w:sz w:val="18"/>
                <w:szCs w:val="18"/>
              </w:rPr>
            </w:pPr>
            <w:r w:rsidRPr="00536544">
              <w:rPr>
                <w:rFonts w:ascii="Palatino Linotype" w:eastAsia="Palatino Linotype" w:hAnsi="Palatino Linotype" w:cs="Palatino Linotype"/>
                <w:sz w:val="18"/>
                <w:szCs w:val="18"/>
              </w:rPr>
              <w:t>Debido a que no se exponen los argumentos tendientes a demostrar el</w:t>
            </w:r>
            <w:r w:rsidRPr="00536544">
              <w:rPr>
                <w:sz w:val="24"/>
                <w:szCs w:val="24"/>
              </w:rPr>
              <w:t xml:space="preserve"> </w:t>
            </w:r>
            <w:r w:rsidRPr="00536544">
              <w:rPr>
                <w:rFonts w:ascii="Palatino Linotype" w:eastAsia="Palatino Linotype" w:hAnsi="Palatino Linotype" w:cs="Palatino Linotype"/>
                <w:sz w:val="18"/>
                <w:szCs w:val="18"/>
              </w:rPr>
              <w:t>Riesgo Real, Demostrable e Identificable</w:t>
            </w:r>
          </w:p>
          <w:p w14:paraId="30F373C5" w14:textId="77777777" w:rsidR="008A31EA" w:rsidRPr="00536544" w:rsidRDefault="008F2A0D" w:rsidP="00536544">
            <w:pPr>
              <w:shd w:val="clear" w:color="auto" w:fill="FFFFFF" w:themeFill="background1"/>
              <w:spacing w:after="0" w:line="276" w:lineRule="auto"/>
              <w:jc w:val="both"/>
              <w:rPr>
                <w:rFonts w:ascii="Palatino Linotype" w:eastAsia="Palatino Linotype" w:hAnsi="Palatino Linotype" w:cs="Palatino Linotype"/>
                <w:sz w:val="18"/>
                <w:szCs w:val="18"/>
              </w:rPr>
            </w:pPr>
            <w:r w:rsidRPr="00536544">
              <w:rPr>
                <w:rFonts w:ascii="Palatino Linotype" w:eastAsia="Palatino Linotype" w:hAnsi="Palatino Linotype" w:cs="Palatino Linotype"/>
                <w:sz w:val="18"/>
                <w:szCs w:val="18"/>
              </w:rPr>
              <w:t xml:space="preserve">(Modo, Tiempo y Lugar). </w:t>
            </w:r>
          </w:p>
          <w:p w14:paraId="06AD28BB" w14:textId="77777777" w:rsidR="008A31EA" w:rsidRPr="00536544" w:rsidRDefault="008A31EA" w:rsidP="00536544">
            <w:pPr>
              <w:shd w:val="clear" w:color="auto" w:fill="FFFFFF" w:themeFill="background1"/>
              <w:spacing w:after="0" w:line="276" w:lineRule="auto"/>
              <w:jc w:val="center"/>
              <w:rPr>
                <w:rFonts w:ascii="Palatino Linotype" w:eastAsia="Palatino Linotype" w:hAnsi="Palatino Linotype" w:cs="Palatino Linotype"/>
                <w:b/>
                <w:sz w:val="16"/>
                <w:szCs w:val="16"/>
              </w:rPr>
            </w:pPr>
          </w:p>
          <w:p w14:paraId="3C005172" w14:textId="77777777" w:rsidR="008A31EA" w:rsidRPr="00536544" w:rsidRDefault="008A31EA" w:rsidP="00536544">
            <w:pPr>
              <w:shd w:val="clear" w:color="auto" w:fill="FFFFFF" w:themeFill="background1"/>
              <w:spacing w:after="0" w:line="276" w:lineRule="auto"/>
              <w:jc w:val="center"/>
              <w:rPr>
                <w:rFonts w:ascii="Palatino Linotype" w:eastAsia="Palatino Linotype" w:hAnsi="Palatino Linotype" w:cs="Palatino Linotype"/>
                <w:sz w:val="18"/>
                <w:szCs w:val="18"/>
              </w:rPr>
            </w:pPr>
          </w:p>
        </w:tc>
      </w:tr>
      <w:tr w:rsidR="00536544" w:rsidRPr="00536544" w14:paraId="2BC1F715" w14:textId="77777777">
        <w:tc>
          <w:tcPr>
            <w:tcW w:w="1413" w:type="dxa"/>
            <w:tcBorders>
              <w:top w:val="single" w:sz="4" w:space="0" w:color="000000"/>
              <w:left w:val="single" w:sz="4" w:space="0" w:color="000000"/>
              <w:bottom w:val="single" w:sz="4" w:space="0" w:color="000000"/>
              <w:right w:val="single" w:sz="4" w:space="0" w:color="000000"/>
            </w:tcBorders>
          </w:tcPr>
          <w:p w14:paraId="2B85F1EB"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sz w:val="16"/>
                <w:szCs w:val="16"/>
              </w:rPr>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4C9E961E"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noProof/>
              </w:rPr>
              <w:drawing>
                <wp:inline distT="0" distB="0" distL="0" distR="0" wp14:anchorId="217E3349" wp14:editId="01823065">
                  <wp:extent cx="3221827" cy="477547"/>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221827" cy="477547"/>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7AF1DD41"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rPr>
              <w:t xml:space="preserve">Sí </w:t>
            </w:r>
          </w:p>
        </w:tc>
      </w:tr>
      <w:tr w:rsidR="008A31EA" w:rsidRPr="00536544" w14:paraId="7F45251F" w14:textId="77777777">
        <w:tc>
          <w:tcPr>
            <w:tcW w:w="1413" w:type="dxa"/>
            <w:tcBorders>
              <w:top w:val="single" w:sz="4" w:space="0" w:color="000000"/>
              <w:left w:val="single" w:sz="4" w:space="0" w:color="000000"/>
              <w:bottom w:val="single" w:sz="4" w:space="0" w:color="000000"/>
              <w:right w:val="single" w:sz="4" w:space="0" w:color="000000"/>
            </w:tcBorders>
          </w:tcPr>
          <w:p w14:paraId="4B30ACD5"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b/>
              </w:rPr>
            </w:pPr>
            <w:r w:rsidRPr="00536544">
              <w:rPr>
                <w:rFonts w:ascii="Palatino Linotype" w:eastAsia="Palatino Linotype" w:hAnsi="Palatino Linotype" w:cs="Palatino Linotype"/>
                <w:b/>
                <w:sz w:val="16"/>
                <w:szCs w:val="16"/>
              </w:rPr>
              <w:lastRenderedPageBreak/>
              <w:t>Autoridades competentes.</w:t>
            </w:r>
          </w:p>
        </w:tc>
        <w:tc>
          <w:tcPr>
            <w:tcW w:w="5245" w:type="dxa"/>
            <w:tcBorders>
              <w:top w:val="single" w:sz="4" w:space="0" w:color="000000"/>
              <w:left w:val="single" w:sz="4" w:space="0" w:color="000000"/>
              <w:bottom w:val="single" w:sz="4" w:space="0" w:color="000000"/>
              <w:right w:val="single" w:sz="4" w:space="0" w:color="000000"/>
            </w:tcBorders>
          </w:tcPr>
          <w:p w14:paraId="256336CE" w14:textId="77777777" w:rsidR="008A31EA" w:rsidRPr="00536544" w:rsidRDefault="008A31EA" w:rsidP="00536544">
            <w:pPr>
              <w:shd w:val="clear" w:color="auto" w:fill="FFFFFF" w:themeFill="background1"/>
              <w:spacing w:after="0" w:line="276" w:lineRule="auto"/>
              <w:jc w:val="center"/>
            </w:pPr>
          </w:p>
          <w:p w14:paraId="6A3A44FD" w14:textId="77777777" w:rsidR="008A31EA" w:rsidRPr="00536544" w:rsidRDefault="008F2A0D" w:rsidP="00536544">
            <w:pPr>
              <w:shd w:val="clear" w:color="auto" w:fill="FFFFFF" w:themeFill="background1"/>
              <w:spacing w:after="0" w:line="276" w:lineRule="auto"/>
              <w:jc w:val="center"/>
            </w:pPr>
            <w:r w:rsidRPr="00536544">
              <w:rPr>
                <w:noProof/>
              </w:rPr>
              <w:drawing>
                <wp:inline distT="0" distB="0" distL="0" distR="0" wp14:anchorId="7A8740FE" wp14:editId="31D55A38">
                  <wp:extent cx="3193415" cy="195770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193415" cy="1957705"/>
                          </a:xfrm>
                          <a:prstGeom prst="rect">
                            <a:avLst/>
                          </a:prstGeom>
                          <a:ln/>
                        </pic:spPr>
                      </pic:pic>
                    </a:graphicData>
                  </a:graphic>
                </wp:inline>
              </w:drawing>
            </w:r>
          </w:p>
          <w:p w14:paraId="58759B0A" w14:textId="77777777" w:rsidR="008A31EA" w:rsidRPr="00536544" w:rsidRDefault="008A31EA" w:rsidP="00536544">
            <w:pPr>
              <w:shd w:val="clear" w:color="auto" w:fill="FFFFFF" w:themeFill="background1"/>
              <w:spacing w:after="0" w:line="276" w:lineRule="auto"/>
              <w:jc w:val="center"/>
            </w:pPr>
          </w:p>
        </w:tc>
        <w:tc>
          <w:tcPr>
            <w:tcW w:w="2170" w:type="dxa"/>
            <w:tcBorders>
              <w:top w:val="single" w:sz="4" w:space="0" w:color="000000"/>
              <w:left w:val="single" w:sz="4" w:space="0" w:color="000000"/>
              <w:bottom w:val="single" w:sz="4" w:space="0" w:color="000000"/>
              <w:right w:val="single" w:sz="4" w:space="0" w:color="000000"/>
            </w:tcBorders>
          </w:tcPr>
          <w:p w14:paraId="32C9B583" w14:textId="77777777" w:rsidR="008A31EA" w:rsidRPr="00536544" w:rsidRDefault="008F2A0D" w:rsidP="00536544">
            <w:pPr>
              <w:shd w:val="clear" w:color="auto" w:fill="FFFFFF" w:themeFill="background1"/>
              <w:spacing w:after="0" w:line="276" w:lineRule="auto"/>
              <w:jc w:val="center"/>
              <w:rPr>
                <w:rFonts w:ascii="Palatino Linotype" w:eastAsia="Palatino Linotype" w:hAnsi="Palatino Linotype" w:cs="Palatino Linotype"/>
                <w:sz w:val="18"/>
                <w:szCs w:val="18"/>
              </w:rPr>
            </w:pPr>
            <w:r w:rsidRPr="00536544">
              <w:rPr>
                <w:rFonts w:ascii="Palatino Linotype" w:eastAsia="Palatino Linotype" w:hAnsi="Palatino Linotype" w:cs="Palatino Linotype"/>
                <w:b/>
              </w:rPr>
              <w:t>Sí</w:t>
            </w:r>
          </w:p>
        </w:tc>
      </w:tr>
    </w:tbl>
    <w:p w14:paraId="1AAE21DB"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5559152"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 xml:space="preserve">De lo anterior, el Sujeto Obligado, si bien, a través del acuerdo emitido por su Comité de Transparencia realizó la prueba de daño; </w:t>
      </w:r>
      <w:r w:rsidRPr="00536544">
        <w:rPr>
          <w:rFonts w:ascii="Palatino Linotype" w:eastAsia="Palatino Linotype" w:hAnsi="Palatino Linotype" w:cs="Palatino Linotype"/>
          <w:b/>
          <w:sz w:val="24"/>
          <w:szCs w:val="24"/>
          <w:u w:val="single"/>
        </w:rPr>
        <w:t>no acreditó cabalmente las razones por las cuales la apertura de la información generaría una afectación al procedimiento en trámite</w:t>
      </w:r>
      <w:r w:rsidRPr="00536544">
        <w:rPr>
          <w:rFonts w:ascii="Palatino Linotype" w:eastAsia="Palatino Linotype" w:hAnsi="Palatino Linotype" w:cs="Palatino Linotype"/>
          <w:sz w:val="24"/>
          <w:szCs w:val="24"/>
        </w:rPr>
        <w:t xml:space="preserve">, por lo que, se colige que, el Acta de la Décima Tercera Sesión Extraordinaria del Comité de Transparencia del H. Ayuntamiento de Naucalpan de Juárez, número CT/NAU/ACTA-EXT-00013/2023, no se encuentra debidamente fundada y motivada. </w:t>
      </w:r>
    </w:p>
    <w:p w14:paraId="5EB4CA8F" w14:textId="77777777" w:rsidR="008A31EA" w:rsidRPr="00536544" w:rsidRDefault="008A31EA" w:rsidP="00536544">
      <w:pPr>
        <w:shd w:val="clear" w:color="auto" w:fill="FFFFFF" w:themeFill="background1"/>
        <w:tabs>
          <w:tab w:val="left" w:pos="4962"/>
        </w:tabs>
        <w:spacing w:after="0" w:line="360" w:lineRule="auto"/>
        <w:jc w:val="both"/>
        <w:rPr>
          <w:rFonts w:ascii="Palatino Linotype" w:eastAsia="Palatino Linotype" w:hAnsi="Palatino Linotype" w:cs="Palatino Linotype"/>
          <w:sz w:val="24"/>
          <w:szCs w:val="24"/>
        </w:rPr>
      </w:pPr>
    </w:p>
    <w:p w14:paraId="16D729A4" w14:textId="4436B216" w:rsidR="004223AC" w:rsidRPr="00536544" w:rsidRDefault="008F2A0D"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Por consiguiente, este Organismo Garante determina que el acuerdo CT/NAU/ACTA-EXT-0013/2023/59 a través del cual se confirmó la clasificación de la información en su modalidad de reservada, por dos años, del expediente del procedimiento administrativo común SJ/072/2022,</w:t>
      </w:r>
      <w:r w:rsidR="004223AC" w:rsidRPr="00536544">
        <w:rPr>
          <w:rFonts w:ascii="Palatino Linotype" w:eastAsia="Palatino Linotype" w:hAnsi="Palatino Linotype" w:cs="Palatino Linotype"/>
          <w:sz w:val="24"/>
          <w:szCs w:val="24"/>
        </w:rPr>
        <w:t xml:space="preserve"> que el Gobierno de Naucalpan de Juárez instauró para frenar la obra que se ejecuta en el triángulo de Lomas Verdes, Av. Aseo de Lomas Verdes y Súper Avenida Lomas Verdes, entre el Centro Cívico y la 3a. Sección de Lomas Verdes,</w:t>
      </w:r>
      <w:r w:rsidRPr="00536544">
        <w:rPr>
          <w:rFonts w:ascii="Palatino Linotype" w:eastAsia="Palatino Linotype" w:hAnsi="Palatino Linotype" w:cs="Palatino Linotype"/>
          <w:sz w:val="24"/>
          <w:szCs w:val="24"/>
        </w:rPr>
        <w:t xml:space="preserve"> </w:t>
      </w:r>
      <w:r w:rsidRPr="00536544">
        <w:rPr>
          <w:rFonts w:ascii="Palatino Linotype" w:eastAsia="Palatino Linotype" w:hAnsi="Palatino Linotype" w:cs="Palatino Linotype"/>
          <w:b/>
          <w:sz w:val="24"/>
          <w:szCs w:val="24"/>
          <w:u w:val="single"/>
        </w:rPr>
        <w:t>no se encu</w:t>
      </w:r>
      <w:bookmarkStart w:id="6" w:name="_GoBack"/>
      <w:bookmarkEnd w:id="6"/>
      <w:r w:rsidRPr="00536544">
        <w:rPr>
          <w:rFonts w:ascii="Palatino Linotype" w:eastAsia="Palatino Linotype" w:hAnsi="Palatino Linotype" w:cs="Palatino Linotype"/>
          <w:b/>
          <w:sz w:val="24"/>
          <w:szCs w:val="24"/>
          <w:u w:val="single"/>
        </w:rPr>
        <w:t>entra debidamente fundado y motivado</w:t>
      </w:r>
      <w:r w:rsidRPr="00536544">
        <w:rPr>
          <w:rFonts w:ascii="Palatino Linotype" w:eastAsia="Palatino Linotype" w:hAnsi="Palatino Linotype" w:cs="Palatino Linotype"/>
          <w:sz w:val="24"/>
          <w:szCs w:val="24"/>
        </w:rPr>
        <w:t xml:space="preserve">, en términos de lo </w:t>
      </w:r>
      <w:r w:rsidRPr="00536544">
        <w:rPr>
          <w:rFonts w:ascii="Palatino Linotype" w:eastAsia="Palatino Linotype" w:hAnsi="Palatino Linotype" w:cs="Palatino Linotype"/>
          <w:sz w:val="24"/>
          <w:szCs w:val="24"/>
        </w:rPr>
        <w:lastRenderedPageBreak/>
        <w:t>dispuesto en los artículos 128 y 129, de la Ley de Transparencia y Acceso a la Información Pública del Estado de México y Municipios, razones por las cuales devienen</w:t>
      </w:r>
      <w:r w:rsidRPr="00536544">
        <w:rPr>
          <w:rFonts w:ascii="Palatino Linotype" w:eastAsia="Palatino Linotype" w:hAnsi="Palatino Linotype" w:cs="Palatino Linotype"/>
          <w:b/>
          <w:sz w:val="24"/>
          <w:szCs w:val="24"/>
        </w:rPr>
        <w:t xml:space="preserve"> parcialmente fundados </w:t>
      </w:r>
      <w:r w:rsidRPr="00536544">
        <w:rPr>
          <w:rFonts w:ascii="Palatino Linotype" w:eastAsia="Palatino Linotype" w:hAnsi="Palatino Linotype" w:cs="Palatino Linotype"/>
          <w:sz w:val="24"/>
          <w:szCs w:val="24"/>
        </w:rPr>
        <w:t xml:space="preserve">los motivos de inconformidad hechos valer por la parte Recurrente y, por lo tanto, resulta procedente </w:t>
      </w:r>
      <w:r w:rsidRPr="00536544">
        <w:rPr>
          <w:rFonts w:ascii="Palatino Linotype" w:eastAsia="Palatino Linotype" w:hAnsi="Palatino Linotype" w:cs="Palatino Linotype"/>
          <w:b/>
          <w:sz w:val="24"/>
          <w:szCs w:val="24"/>
        </w:rPr>
        <w:t xml:space="preserve">Revocar </w:t>
      </w:r>
      <w:r w:rsidRPr="00536544">
        <w:rPr>
          <w:rFonts w:ascii="Palatino Linotype" w:eastAsia="Palatino Linotype" w:hAnsi="Palatino Linotype" w:cs="Palatino Linotype"/>
          <w:sz w:val="24"/>
          <w:szCs w:val="24"/>
        </w:rPr>
        <w:t>la respuesta emitida por el Sujeto Obligado, en términos de la fracción III del artículo 186 de la Ley de Transparencia y Acceso a la Información Pública de</w:t>
      </w:r>
      <w:r w:rsidR="00591C86" w:rsidRPr="00536544">
        <w:rPr>
          <w:rFonts w:ascii="Palatino Linotype" w:eastAsia="Palatino Linotype" w:hAnsi="Palatino Linotype" w:cs="Palatino Linotype"/>
          <w:sz w:val="24"/>
          <w:szCs w:val="24"/>
        </w:rPr>
        <w:t xml:space="preserve">l Estado de México y Municipios, </w:t>
      </w:r>
      <w:r w:rsidR="004223AC" w:rsidRPr="00536544">
        <w:rPr>
          <w:rFonts w:ascii="Palatino Linotype" w:eastAsia="Palatino Linotype" w:hAnsi="Palatino Linotype" w:cs="Palatino Linotype"/>
          <w:sz w:val="24"/>
          <w:szCs w:val="24"/>
        </w:rPr>
        <w:t>y ordenar que en cumplimiento a la presente resolución entregue lo siguiente:</w:t>
      </w:r>
    </w:p>
    <w:p w14:paraId="015AD155" w14:textId="77777777" w:rsidR="004223AC" w:rsidRPr="00536544" w:rsidRDefault="004223AC"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p>
    <w:p w14:paraId="6CF54950" w14:textId="77777777" w:rsidR="004223AC" w:rsidRPr="00536544" w:rsidRDefault="004223AC" w:rsidP="00536544">
      <w:pPr>
        <w:numPr>
          <w:ilvl w:val="0"/>
          <w:numId w:val="5"/>
        </w:num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El acuerdo de clasificación emitido por el Comité de Transparencia, en donde de manera debidamente fundada y motivada, a través de una prueba de daño, confirme la clasificación como reservada, en términos del artículo 140, fracción X de la Ley de Transparencia y Acceso a la Información Pública del Estado de México y Municipios, del expediente del procedimiento administrativo común SJ/072/2022.</w:t>
      </w:r>
    </w:p>
    <w:p w14:paraId="141D6D78" w14:textId="77777777" w:rsidR="004223AC" w:rsidRPr="00536544" w:rsidRDefault="004223AC" w:rsidP="00536544">
      <w:pPr>
        <w:pBdr>
          <w:top w:val="nil"/>
          <w:left w:val="nil"/>
          <w:bottom w:val="nil"/>
          <w:right w:val="nil"/>
          <w:between w:val="nil"/>
        </w:pBdr>
        <w:shd w:val="clear" w:color="auto" w:fill="FFFFFF" w:themeFill="background1"/>
        <w:spacing w:after="0" w:line="360" w:lineRule="auto"/>
        <w:jc w:val="both"/>
        <w:rPr>
          <w:rFonts w:ascii="Palatino Linotype" w:eastAsia="Palatino Linotype" w:hAnsi="Palatino Linotype" w:cs="Palatino Linotype"/>
          <w:sz w:val="24"/>
          <w:szCs w:val="24"/>
        </w:rPr>
      </w:pPr>
    </w:p>
    <w:p w14:paraId="6840B652"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159F4441"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1A0A2AA3" w14:textId="77777777" w:rsidR="008A31EA" w:rsidRPr="00536544" w:rsidRDefault="008F2A0D" w:rsidP="00536544">
      <w:pPr>
        <w:numPr>
          <w:ilvl w:val="0"/>
          <w:numId w:val="1"/>
        </w:numPr>
        <w:pBdr>
          <w:top w:val="nil"/>
          <w:left w:val="nil"/>
          <w:bottom w:val="nil"/>
          <w:right w:val="nil"/>
          <w:between w:val="nil"/>
        </w:pBdr>
        <w:shd w:val="clear" w:color="auto" w:fill="FFFFFF" w:themeFill="background1"/>
        <w:spacing w:after="0" w:line="360" w:lineRule="auto"/>
        <w:jc w:val="center"/>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R E S U E L V E:</w:t>
      </w:r>
    </w:p>
    <w:p w14:paraId="13126B76" w14:textId="77777777" w:rsidR="008A31EA" w:rsidRPr="00536544" w:rsidRDefault="008A31EA" w:rsidP="00536544">
      <w:pPr>
        <w:pBdr>
          <w:top w:val="nil"/>
          <w:left w:val="nil"/>
          <w:bottom w:val="nil"/>
          <w:right w:val="nil"/>
          <w:between w:val="nil"/>
        </w:pBdr>
        <w:shd w:val="clear" w:color="auto" w:fill="FFFFFF" w:themeFill="background1"/>
        <w:spacing w:after="0" w:line="360" w:lineRule="auto"/>
        <w:ind w:left="1080"/>
        <w:rPr>
          <w:rFonts w:ascii="Palatino Linotype" w:eastAsia="Palatino Linotype" w:hAnsi="Palatino Linotype" w:cs="Palatino Linotype"/>
          <w:b/>
          <w:sz w:val="24"/>
          <w:szCs w:val="24"/>
        </w:rPr>
      </w:pPr>
    </w:p>
    <w:p w14:paraId="44B142D7"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r w:rsidRPr="00536544">
        <w:rPr>
          <w:rFonts w:ascii="Palatino Linotype" w:eastAsia="Palatino Linotype" w:hAnsi="Palatino Linotype" w:cs="Palatino Linotype"/>
          <w:b/>
          <w:sz w:val="24"/>
          <w:szCs w:val="24"/>
        </w:rPr>
        <w:t xml:space="preserve">Primero. </w:t>
      </w:r>
      <w:r w:rsidRPr="00536544">
        <w:rPr>
          <w:rFonts w:ascii="Palatino Linotype" w:eastAsia="Palatino Linotype" w:hAnsi="Palatino Linotype" w:cs="Palatino Linotype"/>
          <w:sz w:val="24"/>
          <w:szCs w:val="24"/>
        </w:rPr>
        <w:t xml:space="preserve">Resultan parcialmente </w:t>
      </w:r>
      <w:r w:rsidRPr="00536544">
        <w:rPr>
          <w:rFonts w:ascii="Palatino Linotype" w:eastAsia="Palatino Linotype" w:hAnsi="Palatino Linotype" w:cs="Palatino Linotype"/>
          <w:b/>
          <w:sz w:val="24"/>
          <w:szCs w:val="24"/>
        </w:rPr>
        <w:t>fundadas</w:t>
      </w:r>
      <w:r w:rsidRPr="00536544">
        <w:rPr>
          <w:rFonts w:ascii="Palatino Linotype" w:eastAsia="Palatino Linotype" w:hAnsi="Palatino Linotype" w:cs="Palatino Linotype"/>
          <w:sz w:val="24"/>
          <w:szCs w:val="24"/>
        </w:rPr>
        <w:t xml:space="preserve"> las</w:t>
      </w:r>
      <w:r w:rsidRPr="00536544">
        <w:rPr>
          <w:rFonts w:ascii="Palatino Linotype" w:eastAsia="Palatino Linotype" w:hAnsi="Palatino Linotype" w:cs="Palatino Linotype"/>
          <w:b/>
          <w:sz w:val="24"/>
          <w:szCs w:val="24"/>
        </w:rPr>
        <w:t xml:space="preserve"> </w:t>
      </w:r>
      <w:r w:rsidRPr="00536544">
        <w:rPr>
          <w:rFonts w:ascii="Palatino Linotype" w:eastAsia="Palatino Linotype" w:hAnsi="Palatino Linotype" w:cs="Palatino Linotype"/>
          <w:sz w:val="24"/>
          <w:szCs w:val="24"/>
        </w:rPr>
        <w:t xml:space="preserve">razones o motivos de inconformidad hechos valer por la parte </w:t>
      </w:r>
      <w:r w:rsidRPr="00536544">
        <w:rPr>
          <w:rFonts w:ascii="Palatino Linotype" w:eastAsia="Palatino Linotype" w:hAnsi="Palatino Linotype" w:cs="Palatino Linotype"/>
          <w:b/>
          <w:sz w:val="24"/>
          <w:szCs w:val="24"/>
        </w:rPr>
        <w:t>Recurrente</w:t>
      </w:r>
      <w:r w:rsidRPr="00536544">
        <w:rPr>
          <w:rFonts w:ascii="Palatino Linotype" w:eastAsia="Palatino Linotype" w:hAnsi="Palatino Linotype" w:cs="Palatino Linotype"/>
          <w:sz w:val="24"/>
          <w:szCs w:val="24"/>
        </w:rPr>
        <w:t xml:space="preserve"> en el Recurso de Revisión </w:t>
      </w:r>
      <w:r w:rsidRPr="00536544">
        <w:rPr>
          <w:rFonts w:ascii="Palatino Linotype" w:eastAsia="Palatino Linotype" w:hAnsi="Palatino Linotype" w:cs="Palatino Linotype"/>
          <w:b/>
          <w:sz w:val="24"/>
          <w:szCs w:val="24"/>
        </w:rPr>
        <w:lastRenderedPageBreak/>
        <w:t xml:space="preserve">02474/INFOEM/IP/RR/2023; </w:t>
      </w:r>
      <w:r w:rsidRPr="00536544">
        <w:rPr>
          <w:rFonts w:ascii="Palatino Linotype" w:eastAsia="Palatino Linotype" w:hAnsi="Palatino Linotype" w:cs="Palatino Linotype"/>
          <w:sz w:val="24"/>
          <w:szCs w:val="24"/>
        </w:rPr>
        <w:t xml:space="preserve">por lo que, en términos del Considerando </w:t>
      </w:r>
      <w:r w:rsidRPr="00536544">
        <w:rPr>
          <w:rFonts w:ascii="Palatino Linotype" w:eastAsia="Palatino Linotype" w:hAnsi="Palatino Linotype" w:cs="Palatino Linotype"/>
          <w:b/>
          <w:sz w:val="24"/>
          <w:szCs w:val="24"/>
        </w:rPr>
        <w:t>Cuarto</w:t>
      </w:r>
      <w:r w:rsidRPr="00536544">
        <w:rPr>
          <w:rFonts w:ascii="Palatino Linotype" w:eastAsia="Palatino Linotype" w:hAnsi="Palatino Linotype" w:cs="Palatino Linotype"/>
          <w:sz w:val="24"/>
          <w:szCs w:val="24"/>
        </w:rPr>
        <w:t xml:space="preserve"> de la presente resolución se </w:t>
      </w:r>
      <w:r w:rsidRPr="00536544">
        <w:rPr>
          <w:rFonts w:ascii="Palatino Linotype" w:eastAsia="Palatino Linotype" w:hAnsi="Palatino Linotype" w:cs="Palatino Linotype"/>
          <w:b/>
          <w:sz w:val="24"/>
          <w:szCs w:val="24"/>
        </w:rPr>
        <w:t xml:space="preserve">Revoca </w:t>
      </w:r>
      <w:r w:rsidRPr="00536544">
        <w:rPr>
          <w:rFonts w:ascii="Palatino Linotype" w:eastAsia="Palatino Linotype" w:hAnsi="Palatino Linotype" w:cs="Palatino Linotype"/>
          <w:sz w:val="24"/>
          <w:szCs w:val="24"/>
        </w:rPr>
        <w:t xml:space="preserve">la respuesta emitida por el </w:t>
      </w:r>
      <w:r w:rsidRPr="00536544">
        <w:rPr>
          <w:rFonts w:ascii="Palatino Linotype" w:eastAsia="Palatino Linotype" w:hAnsi="Palatino Linotype" w:cs="Palatino Linotype"/>
          <w:b/>
          <w:sz w:val="24"/>
          <w:szCs w:val="24"/>
        </w:rPr>
        <w:t xml:space="preserve">Sujeto Obligado. </w:t>
      </w:r>
    </w:p>
    <w:p w14:paraId="5F5E1C0D"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b/>
          <w:sz w:val="24"/>
          <w:szCs w:val="24"/>
        </w:rPr>
      </w:pPr>
    </w:p>
    <w:p w14:paraId="386718C8"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t xml:space="preserve">Segundo. </w:t>
      </w:r>
      <w:r w:rsidRPr="00536544">
        <w:rPr>
          <w:rFonts w:ascii="Palatino Linotype" w:eastAsia="Palatino Linotype" w:hAnsi="Palatino Linotype" w:cs="Palatino Linotype"/>
          <w:sz w:val="24"/>
          <w:szCs w:val="24"/>
        </w:rPr>
        <w:t xml:space="preserve">Se </w:t>
      </w:r>
      <w:r w:rsidRPr="00536544">
        <w:rPr>
          <w:rFonts w:ascii="Palatino Linotype" w:eastAsia="Palatino Linotype" w:hAnsi="Palatino Linotype" w:cs="Palatino Linotype"/>
          <w:b/>
          <w:sz w:val="24"/>
          <w:szCs w:val="24"/>
        </w:rPr>
        <w:t>ordena</w:t>
      </w:r>
      <w:r w:rsidRPr="00536544">
        <w:rPr>
          <w:rFonts w:ascii="Palatino Linotype" w:eastAsia="Palatino Linotype" w:hAnsi="Palatino Linotype" w:cs="Palatino Linotype"/>
          <w:sz w:val="24"/>
          <w:szCs w:val="24"/>
        </w:rPr>
        <w:t xml:space="preserve"> al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que, en términos del Considerando </w:t>
      </w:r>
      <w:r w:rsidRPr="00536544">
        <w:rPr>
          <w:rFonts w:ascii="Palatino Linotype" w:eastAsia="Palatino Linotype" w:hAnsi="Palatino Linotype" w:cs="Palatino Linotype"/>
          <w:b/>
          <w:sz w:val="24"/>
          <w:szCs w:val="24"/>
        </w:rPr>
        <w:t>Cuarto</w:t>
      </w:r>
      <w:r w:rsidRPr="00536544">
        <w:rPr>
          <w:rFonts w:ascii="Palatino Linotype" w:eastAsia="Palatino Linotype" w:hAnsi="Palatino Linotype" w:cs="Palatino Linotype"/>
          <w:sz w:val="24"/>
          <w:szCs w:val="24"/>
        </w:rPr>
        <w:t xml:space="preserve">, haga entrega vía Sistema de Acceso a la Información Mexiquense, de lo siguiente: </w:t>
      </w:r>
    </w:p>
    <w:p w14:paraId="662E865F"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21E5E2EC" w14:textId="77777777" w:rsidR="008A31EA" w:rsidRPr="00536544" w:rsidRDefault="008F2A0D" w:rsidP="00536544">
      <w:pPr>
        <w:numPr>
          <w:ilvl w:val="0"/>
          <w:numId w:val="5"/>
        </w:num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sz w:val="24"/>
          <w:szCs w:val="24"/>
        </w:rPr>
        <w:t>El acuerdo de clasificación emitido por el Comité de Transparencia, en donde de manera debidamente fundada y motivada, a través de una prueba de daño, confirme la clasificación como reservada, en términos del artículo 140, fracción X de la Ley de Transparencia y Acceso a la Información Pública del Estado de México y Municipios, del expediente del procedimiento administrativo común SJ/072/2022.</w:t>
      </w:r>
    </w:p>
    <w:p w14:paraId="0B3F4D9B" w14:textId="77777777" w:rsidR="008A31EA" w:rsidRPr="00536544" w:rsidRDefault="008A31EA" w:rsidP="00536544">
      <w:pPr>
        <w:shd w:val="clear" w:color="auto" w:fill="FFFFFF" w:themeFill="background1"/>
        <w:tabs>
          <w:tab w:val="left" w:pos="284"/>
        </w:tabs>
        <w:spacing w:after="0" w:line="276" w:lineRule="auto"/>
        <w:ind w:left="284" w:right="-93"/>
        <w:jc w:val="both"/>
        <w:rPr>
          <w:rFonts w:ascii="Palatino Linotype" w:eastAsia="Palatino Linotype" w:hAnsi="Palatino Linotype" w:cs="Palatino Linotype"/>
          <w:b/>
        </w:rPr>
      </w:pPr>
    </w:p>
    <w:p w14:paraId="1690ECEE" w14:textId="77777777" w:rsidR="008A31EA" w:rsidRPr="00536544" w:rsidRDefault="008F2A0D" w:rsidP="00536544">
      <w:pPr>
        <w:shd w:val="clear" w:color="auto" w:fill="FFFFFF" w:themeFill="background1"/>
        <w:spacing w:after="0" w:line="360" w:lineRule="auto"/>
        <w:jc w:val="both"/>
        <w:rPr>
          <w:sz w:val="24"/>
          <w:szCs w:val="24"/>
        </w:rPr>
      </w:pPr>
      <w:r w:rsidRPr="00536544">
        <w:rPr>
          <w:rFonts w:ascii="Palatino Linotype" w:eastAsia="Palatino Linotype" w:hAnsi="Palatino Linotype" w:cs="Palatino Linotype"/>
          <w:b/>
          <w:sz w:val="24"/>
          <w:szCs w:val="24"/>
        </w:rPr>
        <w:t>Tercero.</w:t>
      </w:r>
      <w:r w:rsidRPr="00536544">
        <w:rPr>
          <w:rFonts w:ascii="Palatino Linotype" w:eastAsia="Palatino Linotype" w:hAnsi="Palatino Linotype" w:cs="Palatino Linotype"/>
          <w:b/>
          <w:sz w:val="32"/>
          <w:szCs w:val="32"/>
        </w:rPr>
        <w:t xml:space="preserve">  </w:t>
      </w:r>
      <w:r w:rsidRPr="00536544">
        <w:rPr>
          <w:rFonts w:ascii="Palatino Linotype" w:eastAsia="Palatino Linotype" w:hAnsi="Palatino Linotype" w:cs="Palatino Linotype"/>
          <w:b/>
          <w:sz w:val="24"/>
          <w:szCs w:val="24"/>
        </w:rPr>
        <w:t>Notifíquese,</w:t>
      </w:r>
      <w:r w:rsidRPr="00536544">
        <w:rPr>
          <w:rFonts w:ascii="Palatino Linotype" w:eastAsia="Palatino Linotype" w:hAnsi="Palatino Linotype" w:cs="Palatino Linotype"/>
          <w:b/>
          <w:sz w:val="32"/>
          <w:szCs w:val="32"/>
        </w:rPr>
        <w:t xml:space="preserve"> </w:t>
      </w:r>
      <w:r w:rsidRPr="00536544">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536544">
        <w:rPr>
          <w:sz w:val="24"/>
          <w:szCs w:val="24"/>
        </w:rPr>
        <w:t>.</w:t>
      </w:r>
    </w:p>
    <w:p w14:paraId="50DE3416" w14:textId="77777777" w:rsidR="008A31EA" w:rsidRPr="00536544" w:rsidRDefault="008A31EA" w:rsidP="00536544">
      <w:pPr>
        <w:shd w:val="clear" w:color="auto" w:fill="FFFFFF" w:themeFill="background1"/>
        <w:spacing w:after="0" w:line="360" w:lineRule="auto"/>
        <w:jc w:val="both"/>
        <w:rPr>
          <w:sz w:val="24"/>
          <w:szCs w:val="24"/>
        </w:rPr>
      </w:pPr>
    </w:p>
    <w:p w14:paraId="778110B9" w14:textId="77777777" w:rsidR="008A31EA" w:rsidRPr="00536544" w:rsidRDefault="008F2A0D" w:rsidP="00536544">
      <w:pPr>
        <w:shd w:val="clear" w:color="auto" w:fill="FFFFFF" w:themeFill="background1"/>
        <w:spacing w:after="0" w:line="360" w:lineRule="auto"/>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b/>
          <w:sz w:val="24"/>
          <w:szCs w:val="24"/>
        </w:rPr>
        <w:lastRenderedPageBreak/>
        <w:t>Cuarto.</w:t>
      </w:r>
      <w:r w:rsidRPr="00536544">
        <w:rPr>
          <w:rFonts w:ascii="Palatino Linotype" w:eastAsia="Palatino Linotype" w:hAnsi="Palatino Linotype" w:cs="Palatino Linotype"/>
          <w:b/>
          <w:sz w:val="32"/>
          <w:szCs w:val="32"/>
        </w:rPr>
        <w:t xml:space="preserve"> </w:t>
      </w:r>
      <w:r w:rsidRPr="00536544">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536544">
        <w:rPr>
          <w:rFonts w:ascii="Palatino Linotype" w:eastAsia="Palatino Linotype" w:hAnsi="Palatino Linotype" w:cs="Palatino Linotype"/>
          <w:b/>
          <w:sz w:val="24"/>
          <w:szCs w:val="24"/>
        </w:rPr>
        <w:t>Sujeto Obligado</w:t>
      </w:r>
      <w:r w:rsidRPr="00536544">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D6B7627" w14:textId="77777777" w:rsidR="008A31EA" w:rsidRPr="00536544" w:rsidRDefault="008A31EA" w:rsidP="00536544">
      <w:pPr>
        <w:shd w:val="clear" w:color="auto" w:fill="FFFFFF" w:themeFill="background1"/>
        <w:spacing w:after="0" w:line="360" w:lineRule="auto"/>
        <w:jc w:val="both"/>
        <w:rPr>
          <w:rFonts w:ascii="Palatino Linotype" w:eastAsia="Palatino Linotype" w:hAnsi="Palatino Linotype" w:cs="Palatino Linotype"/>
          <w:sz w:val="24"/>
          <w:szCs w:val="24"/>
        </w:rPr>
      </w:pPr>
    </w:p>
    <w:p w14:paraId="3B8A31B1" w14:textId="73B03750" w:rsidR="00676AD4" w:rsidRPr="00536544" w:rsidRDefault="008F2A0D" w:rsidP="00536544">
      <w:pPr>
        <w:shd w:val="clear" w:color="auto" w:fill="FFFFFF" w:themeFill="background1"/>
        <w:spacing w:after="0" w:line="360" w:lineRule="auto"/>
        <w:ind w:right="49"/>
        <w:jc w:val="both"/>
        <w:rPr>
          <w:rFonts w:ascii="Palatino Linotype" w:eastAsia="Palatino Linotype" w:hAnsi="Palatino Linotype" w:cs="Palatino Linotype"/>
          <w:sz w:val="25"/>
          <w:szCs w:val="25"/>
        </w:rPr>
      </w:pPr>
      <w:r w:rsidRPr="00536544">
        <w:rPr>
          <w:rFonts w:ascii="Palatino Linotype" w:eastAsia="Palatino Linotype" w:hAnsi="Palatino Linotype" w:cs="Palatino Linotype"/>
          <w:b/>
          <w:sz w:val="24"/>
          <w:szCs w:val="24"/>
        </w:rPr>
        <w:t xml:space="preserve">Quinto. </w:t>
      </w:r>
      <w:r w:rsidR="00676AD4" w:rsidRPr="00536544">
        <w:rPr>
          <w:rFonts w:ascii="Palatino Linotype" w:eastAsia="Palatino Linotype" w:hAnsi="Palatino Linotype" w:cs="Palatino Linotype"/>
          <w:b/>
          <w:highlight w:val="white"/>
        </w:rPr>
        <w:t>Notifíquese vía SAIMEX</w:t>
      </w:r>
      <w:r w:rsidR="00676AD4" w:rsidRPr="00536544">
        <w:rPr>
          <w:rFonts w:ascii="Palatino Linotype" w:eastAsia="Palatino Linotype" w:hAnsi="Palatino Linotype" w:cs="Palatino Linotype"/>
        </w:rPr>
        <w:t xml:space="preserve">  a la parte </w:t>
      </w:r>
      <w:r w:rsidR="00676AD4" w:rsidRPr="00536544">
        <w:rPr>
          <w:rFonts w:ascii="Palatino Linotype" w:eastAsia="Palatino Linotype" w:hAnsi="Palatino Linotype" w:cs="Palatino Linotype"/>
          <w:b/>
        </w:rPr>
        <w:t>Recurrente</w:t>
      </w:r>
      <w:r w:rsidR="00676AD4" w:rsidRPr="00536544">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1CC24D9" w14:textId="77777777" w:rsidR="00676AD4" w:rsidRPr="00536544" w:rsidRDefault="00676AD4" w:rsidP="00536544">
      <w:pPr>
        <w:shd w:val="clear" w:color="auto" w:fill="FFFFFF" w:themeFill="background1"/>
        <w:spacing w:after="0" w:line="360" w:lineRule="auto"/>
        <w:ind w:right="49"/>
        <w:jc w:val="both"/>
        <w:rPr>
          <w:rFonts w:ascii="Palatino Linotype" w:eastAsia="Palatino Linotype" w:hAnsi="Palatino Linotype" w:cs="Palatino Linotype"/>
          <w:sz w:val="24"/>
          <w:szCs w:val="24"/>
        </w:rPr>
      </w:pPr>
    </w:p>
    <w:bookmarkStart w:id="7" w:name="_heading=h.tyjcwt" w:colFirst="0" w:colLast="0"/>
    <w:bookmarkEnd w:id="7"/>
    <w:p w14:paraId="771C4251" w14:textId="5AE6145A" w:rsidR="008A31EA" w:rsidRPr="00536544" w:rsidRDefault="00EB5E81"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r w:rsidRPr="00536544">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47A7B702" wp14:editId="53B647C3">
                <wp:simplePos x="0" y="0"/>
                <wp:positionH relativeFrom="column">
                  <wp:posOffset>5715</wp:posOffset>
                </wp:positionH>
                <wp:positionV relativeFrom="paragraph">
                  <wp:posOffset>2670175</wp:posOffset>
                </wp:positionV>
                <wp:extent cx="5695950" cy="99060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695950" cy="99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068321"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210.25pt" to="448.95pt,2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" strokecolor="#4f81bd [3204]" strokeweight="2pt">
                <v:shadow on="t" color="black" opacity="24903f" origin=",.5" offset="0,.55556mm"/>
              </v:line>
            </w:pict>
          </mc:Fallback>
        </mc:AlternateContent>
      </w:r>
      <w:r w:rsidR="008F2A0D" w:rsidRPr="00536544">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w:t>
      </w:r>
      <w:r w:rsidRPr="00536544">
        <w:rPr>
          <w:rFonts w:ascii="Palatino Linotype" w:eastAsia="Palatino Linotype" w:hAnsi="Palatino Linotype" w:cs="Palatino Linotype"/>
          <w:sz w:val="24"/>
          <w:szCs w:val="24"/>
        </w:rPr>
        <w:t>; MARÍA DEL ROSARIO MEJÍA AYALA;</w:t>
      </w:r>
      <w:r w:rsidR="008F2A0D" w:rsidRPr="00536544">
        <w:rPr>
          <w:rFonts w:ascii="Palatino Linotype" w:eastAsia="Palatino Linotype" w:hAnsi="Palatino Linotype" w:cs="Palatino Linotype"/>
          <w:sz w:val="24"/>
          <w:szCs w:val="24"/>
        </w:rPr>
        <w:t xml:space="preserve"> S</w:t>
      </w:r>
      <w:r w:rsidRPr="00536544">
        <w:rPr>
          <w:rFonts w:ascii="Palatino Linotype" w:eastAsia="Palatino Linotype" w:hAnsi="Palatino Linotype" w:cs="Palatino Linotype"/>
          <w:sz w:val="24"/>
          <w:szCs w:val="24"/>
        </w:rPr>
        <w:t>HARON CRISTINA MORALES MARTÍNEZ;</w:t>
      </w:r>
      <w:r w:rsidR="008F2A0D" w:rsidRPr="00536544">
        <w:rPr>
          <w:rFonts w:ascii="Palatino Linotype" w:eastAsia="Palatino Linotype" w:hAnsi="Palatino Linotype" w:cs="Palatino Linotype"/>
          <w:sz w:val="24"/>
          <w:szCs w:val="24"/>
        </w:rPr>
        <w:t xml:space="preserve"> LUIS GUSTAVO PARRA NORIEGA</w:t>
      </w:r>
      <w:r w:rsidRPr="00536544">
        <w:rPr>
          <w:rFonts w:ascii="Palatino Linotype" w:eastAsia="Palatino Linotype" w:hAnsi="Palatino Linotype" w:cs="Palatino Linotype"/>
          <w:sz w:val="24"/>
          <w:szCs w:val="24"/>
        </w:rPr>
        <w:t>, EMITIENDO VOTO PARTICULAR;</w:t>
      </w:r>
      <w:r w:rsidR="008F2A0D" w:rsidRPr="00536544">
        <w:rPr>
          <w:rFonts w:ascii="Palatino Linotype" w:eastAsia="Palatino Linotype" w:hAnsi="Palatino Linotype" w:cs="Palatino Linotype"/>
          <w:sz w:val="24"/>
          <w:szCs w:val="24"/>
        </w:rPr>
        <w:t xml:space="preserve"> Y</w:t>
      </w:r>
      <w:r w:rsidRPr="00536544">
        <w:rPr>
          <w:rFonts w:ascii="Palatino Linotype" w:eastAsia="Palatino Linotype" w:hAnsi="Palatino Linotype" w:cs="Palatino Linotype"/>
          <w:sz w:val="24"/>
          <w:szCs w:val="24"/>
        </w:rPr>
        <w:t>,</w:t>
      </w:r>
      <w:r w:rsidR="008F2A0D" w:rsidRPr="00536544">
        <w:rPr>
          <w:rFonts w:ascii="Palatino Linotype" w:eastAsia="Palatino Linotype" w:hAnsi="Palatino Linotype" w:cs="Palatino Linotype"/>
          <w:sz w:val="24"/>
          <w:szCs w:val="24"/>
        </w:rPr>
        <w:t xml:space="preserve"> GUADALUPE RAMÍREZ PEÑA; EN LA PRIMERA SESIÓN ORDINARIA CELEBRADA EL DIE</w:t>
      </w:r>
      <w:r w:rsidR="00676AD4" w:rsidRPr="00536544">
        <w:rPr>
          <w:rFonts w:ascii="Palatino Linotype" w:eastAsia="Palatino Linotype" w:hAnsi="Palatino Linotype" w:cs="Palatino Linotype"/>
          <w:sz w:val="24"/>
          <w:szCs w:val="24"/>
        </w:rPr>
        <w:t>CISITE</w:t>
      </w:r>
      <w:r w:rsidR="008F2A0D" w:rsidRPr="00536544">
        <w:rPr>
          <w:rFonts w:ascii="Palatino Linotype" w:eastAsia="Palatino Linotype" w:hAnsi="Palatino Linotype" w:cs="Palatino Linotype"/>
          <w:sz w:val="24"/>
          <w:szCs w:val="24"/>
        </w:rPr>
        <w:t xml:space="preserve"> DE ENERO DE DOS MIL VEINTICUATRO, ANTE EL SECRETARIO TÉCNICO DEL PLENO ALEXIS TAPIA RAMÍREZ. </w:t>
      </w:r>
    </w:p>
    <w:p w14:paraId="122926FF"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4FC9CAFE"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0B7D619F"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6416C117"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57FA6F43"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3D8B4A5C"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23B09047"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479BBA00"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3C3B7368"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4FC73BB7"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294ABAA4"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32E6F348"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610FD27E"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370B1499"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3F220FD8"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p w14:paraId="18C69847" w14:textId="77777777" w:rsidR="008A31EA" w:rsidRPr="00536544" w:rsidRDefault="008A31EA" w:rsidP="00536544">
      <w:pPr>
        <w:shd w:val="clear" w:color="auto" w:fill="FFFFFF" w:themeFill="background1"/>
        <w:spacing w:after="0" w:line="360" w:lineRule="auto"/>
        <w:ind w:right="-93"/>
        <w:jc w:val="both"/>
        <w:rPr>
          <w:rFonts w:ascii="Palatino Linotype" w:eastAsia="Palatino Linotype" w:hAnsi="Palatino Linotype" w:cs="Palatino Linotype"/>
          <w:sz w:val="24"/>
          <w:szCs w:val="24"/>
        </w:rPr>
      </w:pPr>
    </w:p>
    <w:sectPr w:rsidR="008A31EA" w:rsidRPr="00536544">
      <w:headerReference w:type="default" r:id="rId22"/>
      <w:footerReference w:type="default" r:id="rId23"/>
      <w:headerReference w:type="first" r:id="rId24"/>
      <w:footerReference w:type="first" r:id="rId2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9863C" w14:textId="77777777" w:rsidR="0050114E" w:rsidRDefault="0050114E">
      <w:pPr>
        <w:spacing w:after="0" w:line="240" w:lineRule="auto"/>
      </w:pPr>
      <w:r>
        <w:separator/>
      </w:r>
    </w:p>
  </w:endnote>
  <w:endnote w:type="continuationSeparator" w:id="0">
    <w:p w14:paraId="5FCC9A6B" w14:textId="77777777" w:rsidR="0050114E" w:rsidRDefault="0050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560D0" w14:textId="77777777" w:rsidR="008A31EA" w:rsidRDefault="008F2A0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44684">
      <w:rPr>
        <w:b/>
        <w:noProof/>
        <w:color w:val="000000"/>
        <w:sz w:val="24"/>
        <w:szCs w:val="24"/>
      </w:rPr>
      <w:t>19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44684">
      <w:rPr>
        <w:b/>
        <w:noProof/>
        <w:color w:val="000000"/>
        <w:sz w:val="24"/>
        <w:szCs w:val="24"/>
      </w:rPr>
      <w:t>50</w:t>
    </w:r>
    <w:r>
      <w:rPr>
        <w:b/>
        <w:color w:val="000000"/>
        <w:sz w:val="24"/>
        <w:szCs w:val="24"/>
      </w:rPr>
      <w:fldChar w:fldCharType="end"/>
    </w:r>
  </w:p>
  <w:p w14:paraId="2F0FDC56" w14:textId="77777777" w:rsidR="008A31EA" w:rsidRDefault="008A31E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0CC72" w14:textId="77777777" w:rsidR="008A31EA" w:rsidRDefault="008F2A0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4468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44684">
      <w:rPr>
        <w:b/>
        <w:noProof/>
        <w:color w:val="000000"/>
        <w:sz w:val="24"/>
        <w:szCs w:val="24"/>
      </w:rPr>
      <w:t>50</w:t>
    </w:r>
    <w:r>
      <w:rPr>
        <w:b/>
        <w:color w:val="000000"/>
        <w:sz w:val="24"/>
        <w:szCs w:val="24"/>
      </w:rPr>
      <w:fldChar w:fldCharType="end"/>
    </w:r>
  </w:p>
  <w:p w14:paraId="2A9029D3" w14:textId="77777777" w:rsidR="008A31EA" w:rsidRDefault="008A31E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C5BB6" w14:textId="77777777" w:rsidR="0050114E" w:rsidRDefault="0050114E">
      <w:pPr>
        <w:spacing w:after="0" w:line="240" w:lineRule="auto"/>
      </w:pPr>
      <w:r>
        <w:separator/>
      </w:r>
    </w:p>
  </w:footnote>
  <w:footnote w:type="continuationSeparator" w:id="0">
    <w:p w14:paraId="0B481849" w14:textId="77777777" w:rsidR="0050114E" w:rsidRDefault="0050114E">
      <w:pPr>
        <w:spacing w:after="0" w:line="240" w:lineRule="auto"/>
      </w:pPr>
      <w:r>
        <w:continuationSeparator/>
      </w:r>
    </w:p>
  </w:footnote>
  <w:footnote w:id="1">
    <w:p w14:paraId="7C5698BB" w14:textId="77777777" w:rsidR="008A31EA" w:rsidRDefault="008F2A0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12E30BA" w14:textId="77777777" w:rsidR="008A31EA" w:rsidRDefault="008F2A0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A08B7" w14:textId="77777777" w:rsidR="008A31EA" w:rsidRDefault="008F2A0D">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7FB0EAC" wp14:editId="056EC430">
          <wp:simplePos x="0" y="0"/>
          <wp:positionH relativeFrom="column">
            <wp:posOffset>-746120</wp:posOffset>
          </wp:positionH>
          <wp:positionV relativeFrom="paragraph">
            <wp:posOffset>-448305</wp:posOffset>
          </wp:positionV>
          <wp:extent cx="7809876" cy="10165823"/>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8A31EA" w14:paraId="7287CEEB" w14:textId="77777777">
      <w:tc>
        <w:tcPr>
          <w:tcW w:w="2551" w:type="dxa"/>
          <w:vAlign w:val="center"/>
        </w:tcPr>
        <w:p w14:paraId="651D1B5C"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8AF922F"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02474/INFOEM/IP/RR/2023</w:t>
          </w:r>
        </w:p>
      </w:tc>
    </w:tr>
    <w:tr w:rsidR="008A31EA" w14:paraId="74ADB111" w14:textId="77777777">
      <w:trPr>
        <w:trHeight w:val="228"/>
      </w:trPr>
      <w:tc>
        <w:tcPr>
          <w:tcW w:w="2551" w:type="dxa"/>
          <w:vAlign w:val="center"/>
        </w:tcPr>
        <w:p w14:paraId="5F19EFE6"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115455E" w14:textId="77777777" w:rsidR="008A31EA" w:rsidRDefault="008A31E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2812CF76" w14:textId="77777777" w:rsidR="008A31EA" w:rsidRDefault="008F2A0D">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Naucalpan de Juárez</w:t>
          </w:r>
        </w:p>
      </w:tc>
    </w:tr>
    <w:tr w:rsidR="008A31EA" w14:paraId="554BBF7E" w14:textId="77777777">
      <w:tc>
        <w:tcPr>
          <w:tcW w:w="2551" w:type="dxa"/>
          <w:vAlign w:val="center"/>
        </w:tcPr>
        <w:p w14:paraId="466EBE4B"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1870EB3"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5FE3624" w14:textId="77777777" w:rsidR="008A31EA" w:rsidRDefault="008A31E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DA8FA" w14:textId="77777777" w:rsidR="008A31EA" w:rsidRDefault="008F2A0D">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56927E7" wp14:editId="2E2C80D1">
          <wp:simplePos x="0" y="0"/>
          <wp:positionH relativeFrom="column">
            <wp:posOffset>-713100</wp:posOffset>
          </wp:positionH>
          <wp:positionV relativeFrom="paragraph">
            <wp:posOffset>-154935</wp:posOffset>
          </wp:positionV>
          <wp:extent cx="7809876" cy="1016582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8A31EA" w14:paraId="763759AE" w14:textId="77777777">
      <w:tc>
        <w:tcPr>
          <w:tcW w:w="2551" w:type="dxa"/>
          <w:vAlign w:val="center"/>
        </w:tcPr>
        <w:p w14:paraId="05884615"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7F53D23"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02474/INFOEM/IP/RR/2023</w:t>
          </w:r>
        </w:p>
      </w:tc>
    </w:tr>
    <w:tr w:rsidR="008A31EA" w14:paraId="267F54AB" w14:textId="77777777">
      <w:tc>
        <w:tcPr>
          <w:tcW w:w="2551" w:type="dxa"/>
          <w:vAlign w:val="center"/>
        </w:tcPr>
        <w:p w14:paraId="44784C9D"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6200C29" w14:textId="2D363C8D" w:rsidR="008A31EA" w:rsidRDefault="00144684" w:rsidP="0014468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 XXXXXXXXX XXXXXXXXXX</w:t>
          </w:r>
        </w:p>
      </w:tc>
    </w:tr>
    <w:tr w:rsidR="008A31EA" w14:paraId="086AE14C" w14:textId="77777777">
      <w:trPr>
        <w:trHeight w:val="228"/>
      </w:trPr>
      <w:tc>
        <w:tcPr>
          <w:tcW w:w="2551" w:type="dxa"/>
          <w:vAlign w:val="center"/>
        </w:tcPr>
        <w:p w14:paraId="7DDFDA71"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FCC1558" w14:textId="77777777" w:rsidR="008A31EA" w:rsidRDefault="008A31E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235B80DA" w14:textId="77777777" w:rsidR="008A31EA" w:rsidRDefault="008F2A0D">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Naucalpan de Juárez</w:t>
          </w:r>
        </w:p>
      </w:tc>
    </w:tr>
    <w:tr w:rsidR="008A31EA" w14:paraId="096CEC0F" w14:textId="77777777">
      <w:tc>
        <w:tcPr>
          <w:tcW w:w="2551" w:type="dxa"/>
          <w:vAlign w:val="center"/>
        </w:tcPr>
        <w:p w14:paraId="0751D9A2"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A16D817" w14:textId="77777777" w:rsidR="008A31EA" w:rsidRDefault="008F2A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2A8BF09" w14:textId="77777777" w:rsidR="008A31EA" w:rsidRDefault="008F2A0D">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55D6"/>
    <w:multiLevelType w:val="multilevel"/>
    <w:tmpl w:val="532AF1A0"/>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0223D8"/>
    <w:multiLevelType w:val="multilevel"/>
    <w:tmpl w:val="7BAAAEF8"/>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3D7DF7"/>
    <w:multiLevelType w:val="multilevel"/>
    <w:tmpl w:val="89E4757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247F25"/>
    <w:multiLevelType w:val="multilevel"/>
    <w:tmpl w:val="0B4496F2"/>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717CD3"/>
    <w:multiLevelType w:val="multilevel"/>
    <w:tmpl w:val="FEFEDF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3F335F6"/>
    <w:multiLevelType w:val="multilevel"/>
    <w:tmpl w:val="B6C8C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7640D6"/>
    <w:multiLevelType w:val="multilevel"/>
    <w:tmpl w:val="2B9417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4B64EA5"/>
    <w:multiLevelType w:val="multilevel"/>
    <w:tmpl w:val="C87CE59A"/>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BDF6E56"/>
    <w:multiLevelType w:val="multilevel"/>
    <w:tmpl w:val="392A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277458"/>
    <w:multiLevelType w:val="multilevel"/>
    <w:tmpl w:val="318C41BE"/>
    <w:lvl w:ilvl="0">
      <w:start w:val="1"/>
      <w:numFmt w:val="lowerRoman"/>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3F04FA"/>
    <w:multiLevelType w:val="multilevel"/>
    <w:tmpl w:val="3C5E54D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F0C314B"/>
    <w:multiLevelType w:val="multilevel"/>
    <w:tmpl w:val="98322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5"/>
  </w:num>
  <w:num w:numId="4">
    <w:abstractNumId w:val="4"/>
  </w:num>
  <w:num w:numId="5">
    <w:abstractNumId w:val="6"/>
  </w:num>
  <w:num w:numId="6">
    <w:abstractNumId w:val="0"/>
  </w:num>
  <w:num w:numId="7">
    <w:abstractNumId w:val="1"/>
  </w:num>
  <w:num w:numId="8">
    <w:abstractNumId w:val="10"/>
  </w:num>
  <w:num w:numId="9">
    <w:abstractNumId w:val="11"/>
  </w:num>
  <w:num w:numId="10">
    <w:abstractNumId w:val="8"/>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1EA"/>
    <w:rsid w:val="001315FE"/>
    <w:rsid w:val="00144684"/>
    <w:rsid w:val="00187E17"/>
    <w:rsid w:val="002D5394"/>
    <w:rsid w:val="004013C3"/>
    <w:rsid w:val="004223AC"/>
    <w:rsid w:val="00437E49"/>
    <w:rsid w:val="004F3073"/>
    <w:rsid w:val="0050114E"/>
    <w:rsid w:val="00536544"/>
    <w:rsid w:val="00591C86"/>
    <w:rsid w:val="00676AD4"/>
    <w:rsid w:val="006D54EB"/>
    <w:rsid w:val="00701E76"/>
    <w:rsid w:val="00770607"/>
    <w:rsid w:val="00797664"/>
    <w:rsid w:val="00826316"/>
    <w:rsid w:val="008321ED"/>
    <w:rsid w:val="008A31EA"/>
    <w:rsid w:val="008F035B"/>
    <w:rsid w:val="008F2A0D"/>
    <w:rsid w:val="009B3A5A"/>
    <w:rsid w:val="00AA0BC9"/>
    <w:rsid w:val="00AC3BE7"/>
    <w:rsid w:val="00C33EAC"/>
    <w:rsid w:val="00D007C6"/>
    <w:rsid w:val="00EA46BA"/>
    <w:rsid w:val="00EB5E81"/>
    <w:rsid w:val="00EB6ABF"/>
    <w:rsid w:val="00F01CC0"/>
    <w:rsid w:val="00FD2E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CB5FE"/>
  <w15:docId w15:val="{41D84338-EC9C-4748-A3AD-FCD39BE9B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1">
    <w:basedOn w:val="TableNormal"/>
    <w:pPr>
      <w:spacing w:after="0" w:line="240" w:lineRule="auto"/>
    </w:pPr>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1446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4684"/>
  </w:style>
  <w:style w:type="paragraph" w:styleId="Piedepgina">
    <w:name w:val="footer"/>
    <w:basedOn w:val="Normal"/>
    <w:link w:val="PiedepginaCar"/>
    <w:uiPriority w:val="99"/>
    <w:unhideWhenUsed/>
    <w:rsid w:val="001446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4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KBXSjdQwTueJVk9pnFZKTRpcZw==">CgMxLjAyCGguZ2pkZ3hzMgloLjJldDkycDAyCWguMWZvYjl0ZTIJaC4zMGowemxsMgloLjN6bnlzaDcyCWguMXk4MTB0dzIIaC50eWpjd3Q4AHIhMXNCTU9ndERYSEFrLVF5WXIzNlpmTENJcDJybjVEdVRX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11222</Words>
  <Characters>61726</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INFOEM563</cp:lastModifiedBy>
  <cp:revision>2</cp:revision>
  <cp:lastPrinted>2024-01-19T16:14:00Z</cp:lastPrinted>
  <dcterms:created xsi:type="dcterms:W3CDTF">2024-01-23T23:02:00Z</dcterms:created>
  <dcterms:modified xsi:type="dcterms:W3CDTF">2024-01-23T23:02:00Z</dcterms:modified>
</cp:coreProperties>
</file>