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278" w:rsidRDefault="00233278" w:rsidP="006C67F7">
      <w:pPr>
        <w:shd w:val="clear" w:color="auto" w:fill="FFFFFF"/>
        <w:spacing w:line="360" w:lineRule="auto"/>
        <w:jc w:val="both"/>
        <w:rPr>
          <w:rFonts w:ascii="Palatino Linotype" w:hAnsi="Palatino Linotype" w:cs="Arial"/>
          <w:color w:val="000000"/>
        </w:rPr>
      </w:pPr>
    </w:p>
    <w:p w:rsidR="00C81B8A" w:rsidRPr="00037B15" w:rsidRDefault="00C81B8A" w:rsidP="006C67F7">
      <w:pPr>
        <w:shd w:val="clear" w:color="auto" w:fill="FFFFFF"/>
        <w:spacing w:line="360" w:lineRule="auto"/>
        <w:jc w:val="both"/>
        <w:rPr>
          <w:rFonts w:ascii="Palatino Linotype" w:hAnsi="Palatino Linotype" w:cs="Arial"/>
          <w:color w:val="000000"/>
        </w:rPr>
      </w:pPr>
      <w:r w:rsidRPr="00037B15">
        <w:rPr>
          <w:rFonts w:ascii="Palatino Linotype" w:hAnsi="Palatino Linotype" w:cs="Arial"/>
          <w:color w:val="000000"/>
        </w:rPr>
        <w:t xml:space="preserve">Resolución del Pleno del Instituto de Transparencia, Acceso a la Información Pública y Protección de Datos Personales del Estado de México y Municipios, con domicilio en Metepec, Estado de México, a </w:t>
      </w:r>
      <w:r>
        <w:rPr>
          <w:rFonts w:ascii="Palatino Linotype" w:hAnsi="Palatino Linotype" w:cs="Arial"/>
          <w:b/>
          <w:color w:val="000000"/>
        </w:rPr>
        <w:t>trece</w:t>
      </w:r>
      <w:r w:rsidRPr="00BE5048">
        <w:rPr>
          <w:rFonts w:ascii="Palatino Linotype" w:hAnsi="Palatino Linotype" w:cs="Arial"/>
          <w:b/>
          <w:color w:val="000000"/>
        </w:rPr>
        <w:t xml:space="preserve"> de </w:t>
      </w:r>
      <w:r>
        <w:rPr>
          <w:rFonts w:ascii="Palatino Linotype" w:hAnsi="Palatino Linotype" w:cs="Arial"/>
          <w:b/>
          <w:color w:val="000000"/>
        </w:rPr>
        <w:t>noviembre</w:t>
      </w:r>
      <w:r w:rsidRPr="00BE5048">
        <w:rPr>
          <w:rFonts w:ascii="Palatino Linotype" w:hAnsi="Palatino Linotype" w:cs="Arial"/>
          <w:b/>
          <w:color w:val="000000"/>
        </w:rPr>
        <w:t xml:space="preserve"> </w:t>
      </w:r>
      <w:r>
        <w:rPr>
          <w:rFonts w:ascii="Palatino Linotype" w:hAnsi="Palatino Linotype" w:cs="Arial"/>
          <w:b/>
          <w:color w:val="000000"/>
        </w:rPr>
        <w:t xml:space="preserve">de </w:t>
      </w:r>
      <w:r w:rsidRPr="00BE5048">
        <w:rPr>
          <w:rFonts w:ascii="Palatino Linotype" w:hAnsi="Palatino Linotype" w:cs="Arial"/>
          <w:b/>
          <w:color w:val="000000"/>
        </w:rPr>
        <w:t>dos mil veinticuatro</w:t>
      </w:r>
      <w:r w:rsidRPr="00037B15">
        <w:rPr>
          <w:rFonts w:ascii="Palatino Linotype" w:hAnsi="Palatino Linotype" w:cs="Arial"/>
          <w:color w:val="000000"/>
        </w:rPr>
        <w:t>.</w:t>
      </w:r>
    </w:p>
    <w:p w:rsidR="00C81B8A" w:rsidRPr="00037B15" w:rsidRDefault="00C81B8A" w:rsidP="006C67F7">
      <w:pPr>
        <w:tabs>
          <w:tab w:val="left" w:pos="1701"/>
        </w:tabs>
        <w:spacing w:line="360" w:lineRule="auto"/>
        <w:jc w:val="both"/>
        <w:rPr>
          <w:rFonts w:ascii="Palatino Linotype" w:hAnsi="Palatino Linotype" w:cs="Arial"/>
          <w:color w:val="000000"/>
        </w:rPr>
      </w:pPr>
    </w:p>
    <w:p w:rsidR="00C81B8A" w:rsidRPr="00037B15" w:rsidRDefault="00C81B8A" w:rsidP="006C67F7">
      <w:pPr>
        <w:tabs>
          <w:tab w:val="left" w:pos="1701"/>
        </w:tabs>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b/>
          <w:lang w:eastAsia="en-US"/>
        </w:rPr>
        <w:t>VISTO</w:t>
      </w:r>
      <w:r w:rsidRPr="00037B15">
        <w:rPr>
          <w:rFonts w:ascii="Palatino Linotype" w:eastAsiaTheme="minorHAnsi" w:hAnsi="Palatino Linotype" w:cs="Arial"/>
          <w:lang w:eastAsia="en-US"/>
        </w:rPr>
        <w:t xml:space="preserve"> el expediente electrónico formado con motivo del recurso de revisión número </w:t>
      </w:r>
      <w:bookmarkStart w:id="0" w:name="_GoBack"/>
      <w:r>
        <w:rPr>
          <w:rFonts w:ascii="Palatino Linotype" w:eastAsiaTheme="minorHAnsi" w:hAnsi="Palatino Linotype" w:cs="Arial"/>
          <w:b/>
          <w:lang w:eastAsia="en-US"/>
        </w:rPr>
        <w:t>05565</w:t>
      </w:r>
      <w:r w:rsidRPr="00037B15">
        <w:rPr>
          <w:rFonts w:ascii="Palatino Linotype" w:eastAsiaTheme="minorHAnsi" w:hAnsi="Palatino Linotype" w:cs="Arial"/>
          <w:b/>
          <w:bCs/>
        </w:rPr>
        <w:t>/INFOEM/IP/RR/202</w:t>
      </w:r>
      <w:r>
        <w:rPr>
          <w:rFonts w:ascii="Palatino Linotype" w:eastAsiaTheme="minorHAnsi" w:hAnsi="Palatino Linotype" w:cs="Arial"/>
          <w:b/>
          <w:bCs/>
        </w:rPr>
        <w:t>4</w:t>
      </w:r>
      <w:bookmarkEnd w:id="0"/>
      <w:r w:rsidRPr="00037B15">
        <w:rPr>
          <w:rFonts w:ascii="Palatino Linotype" w:eastAsiaTheme="minorHAnsi" w:hAnsi="Palatino Linotype" w:cs="Arial"/>
          <w:lang w:eastAsia="en-US"/>
        </w:rPr>
        <w:t xml:space="preserve">, </w:t>
      </w:r>
      <w:r w:rsidRPr="00037B15">
        <w:rPr>
          <w:rFonts w:ascii="Palatino Linotype" w:hAnsi="Palatino Linotype" w:cs="Arial"/>
        </w:rPr>
        <w:t xml:space="preserve">interpuesto por </w:t>
      </w:r>
      <w:r>
        <w:rPr>
          <w:rFonts w:ascii="Palatino Linotype" w:hAnsi="Palatino Linotype" w:cs="Arial"/>
          <w:b/>
        </w:rPr>
        <w:t>no proporcionó nombre</w:t>
      </w:r>
      <w:r>
        <w:rPr>
          <w:rFonts w:ascii="Palatino Linotype" w:hAnsi="Palatino Linotype" w:cs="Arial"/>
        </w:rPr>
        <w:t>,</w:t>
      </w:r>
      <w:r w:rsidRPr="00037B15">
        <w:rPr>
          <w:rFonts w:ascii="Palatino Linotype" w:hAnsi="Palatino Linotype" w:cs="Arial"/>
        </w:rPr>
        <w:t xml:space="preserve"> en lo sucesivo </w:t>
      </w:r>
      <w:r>
        <w:rPr>
          <w:rFonts w:ascii="Palatino Linotype" w:hAnsi="Palatino Linotype" w:cs="Arial"/>
          <w:b/>
        </w:rPr>
        <w:t>la parte Recurrente</w:t>
      </w:r>
      <w:r w:rsidRPr="00037B15">
        <w:rPr>
          <w:rFonts w:ascii="Palatino Linotype" w:eastAsiaTheme="minorHAnsi" w:hAnsi="Palatino Linotype" w:cs="Arial"/>
          <w:lang w:eastAsia="en-US"/>
        </w:rPr>
        <w:t xml:space="preserve">, en contra de la respuesta del </w:t>
      </w:r>
      <w:r w:rsidRPr="00C81B8A">
        <w:rPr>
          <w:rFonts w:ascii="Palatino Linotype" w:eastAsiaTheme="minorHAnsi" w:hAnsi="Palatino Linotype" w:cs="Arial"/>
          <w:b/>
          <w:lang w:eastAsia="en-US"/>
        </w:rPr>
        <w:t>Secretaría de Seguridad</w:t>
      </w:r>
      <w:r w:rsidRPr="00037B15">
        <w:rPr>
          <w:rFonts w:ascii="Palatino Linotype" w:eastAsiaTheme="minorHAnsi" w:hAnsi="Palatino Linotype" w:cs="Arial"/>
          <w:lang w:eastAsia="en-US"/>
        </w:rPr>
        <w:t>,</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en lo subsecuente</w:t>
      </w:r>
      <w:r w:rsidRPr="00037B15">
        <w:rPr>
          <w:rFonts w:ascii="Palatino Linotype" w:eastAsiaTheme="minorHAnsi" w:hAnsi="Palatino Linotype" w:cs="Arial"/>
          <w:b/>
          <w:lang w:eastAsia="en-US"/>
        </w:rPr>
        <w:t xml:space="preserve"> </w:t>
      </w:r>
      <w:r w:rsidRPr="00CC215B">
        <w:rPr>
          <w:rFonts w:ascii="Palatino Linotype" w:eastAsiaTheme="minorHAnsi" w:hAnsi="Palatino Linotype" w:cs="Arial"/>
          <w:lang w:eastAsia="en-US"/>
        </w:rPr>
        <w:t xml:space="preserve">el </w:t>
      </w:r>
      <w:r w:rsidRPr="00037B15">
        <w:rPr>
          <w:rFonts w:ascii="Palatino Linotype" w:eastAsiaTheme="minorHAnsi" w:hAnsi="Palatino Linotype" w:cs="Arial"/>
          <w:b/>
          <w:lang w:eastAsia="en-US"/>
        </w:rPr>
        <w:t xml:space="preserve">Sujeto Obligado, </w:t>
      </w:r>
      <w:r w:rsidRPr="00037B15">
        <w:rPr>
          <w:rFonts w:ascii="Palatino Linotype" w:eastAsiaTheme="minorHAnsi" w:hAnsi="Palatino Linotype" w:cs="Arial"/>
          <w:lang w:eastAsia="en-US"/>
        </w:rPr>
        <w:t>se procede a dictar la presente resolución.</w:t>
      </w:r>
    </w:p>
    <w:p w:rsidR="00C81B8A" w:rsidRPr="00037B15" w:rsidRDefault="00C81B8A" w:rsidP="006C67F7">
      <w:pPr>
        <w:tabs>
          <w:tab w:val="left" w:pos="1701"/>
        </w:tabs>
        <w:spacing w:line="360" w:lineRule="auto"/>
        <w:jc w:val="both"/>
        <w:rPr>
          <w:rFonts w:ascii="Palatino Linotype" w:eastAsiaTheme="minorHAnsi" w:hAnsi="Palatino Linotype" w:cs="Arial"/>
          <w:b/>
          <w:sz w:val="20"/>
          <w:lang w:eastAsia="en-US"/>
        </w:rPr>
      </w:pPr>
    </w:p>
    <w:p w:rsidR="00C81B8A" w:rsidRPr="00037B15" w:rsidRDefault="00C81B8A" w:rsidP="006C67F7">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A N T E C E D E N T E S</w:t>
      </w:r>
    </w:p>
    <w:p w:rsidR="00C81B8A" w:rsidRPr="00037B15" w:rsidRDefault="00C81B8A" w:rsidP="006C67F7">
      <w:pPr>
        <w:spacing w:line="360" w:lineRule="auto"/>
        <w:jc w:val="center"/>
        <w:rPr>
          <w:rFonts w:ascii="Palatino Linotype" w:eastAsiaTheme="minorHAnsi" w:hAnsi="Palatino Linotype" w:cs="Arial"/>
          <w:b/>
          <w:sz w:val="16"/>
          <w:lang w:eastAsia="en-US"/>
        </w:rPr>
      </w:pPr>
    </w:p>
    <w:p w:rsidR="00C81B8A" w:rsidRPr="00037B15" w:rsidRDefault="00C81B8A" w:rsidP="006C67F7">
      <w:pPr>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PRIMERO. De la solicitud de información.</w:t>
      </w:r>
    </w:p>
    <w:p w:rsidR="00C81B8A" w:rsidRPr="00037B15" w:rsidRDefault="00C81B8A" w:rsidP="006C67F7">
      <w:pPr>
        <w:spacing w:line="360" w:lineRule="auto"/>
        <w:jc w:val="both"/>
        <w:rPr>
          <w:rFonts w:ascii="Palatino Linotype" w:eastAsiaTheme="minorHAnsi" w:hAnsi="Palatino Linotype" w:cs="Arial"/>
          <w:szCs w:val="22"/>
          <w:lang w:eastAsia="en-US"/>
        </w:rPr>
      </w:pPr>
      <w:r w:rsidRPr="00037B15">
        <w:rPr>
          <w:rFonts w:ascii="Palatino Linotype" w:eastAsiaTheme="minorHAnsi" w:hAnsi="Palatino Linotype" w:cs="Arial"/>
          <w:szCs w:val="22"/>
          <w:lang w:eastAsia="en-US"/>
        </w:rPr>
        <w:t xml:space="preserve">En fecha </w:t>
      </w:r>
      <w:r>
        <w:rPr>
          <w:rFonts w:ascii="Palatino Linotype" w:eastAsiaTheme="minorHAnsi" w:hAnsi="Palatino Linotype" w:cs="Arial"/>
          <w:b/>
          <w:szCs w:val="22"/>
          <w:lang w:eastAsia="en-US"/>
        </w:rPr>
        <w:t xml:space="preserve">nueve </w:t>
      </w:r>
      <w:r w:rsidRPr="00A86565">
        <w:rPr>
          <w:rFonts w:ascii="Palatino Linotype" w:eastAsiaTheme="minorHAnsi" w:hAnsi="Palatino Linotype" w:cs="Arial"/>
          <w:b/>
          <w:szCs w:val="22"/>
          <w:lang w:eastAsia="en-US"/>
        </w:rPr>
        <w:t xml:space="preserve">de </w:t>
      </w:r>
      <w:r>
        <w:rPr>
          <w:rFonts w:ascii="Palatino Linotype" w:eastAsiaTheme="minorHAnsi" w:hAnsi="Palatino Linotype" w:cs="Arial"/>
          <w:b/>
          <w:szCs w:val="22"/>
          <w:lang w:eastAsia="en-US"/>
        </w:rPr>
        <w:t>agosto</w:t>
      </w:r>
      <w:r w:rsidRPr="00A86565">
        <w:rPr>
          <w:rFonts w:ascii="Palatino Linotype" w:eastAsiaTheme="minorHAnsi" w:hAnsi="Palatino Linotype" w:cs="Arial"/>
          <w:b/>
          <w:szCs w:val="22"/>
          <w:lang w:eastAsia="en-US"/>
        </w:rPr>
        <w:t xml:space="preserve"> de dos mil veinti</w:t>
      </w:r>
      <w:r>
        <w:rPr>
          <w:rFonts w:ascii="Palatino Linotype" w:eastAsiaTheme="minorHAnsi" w:hAnsi="Palatino Linotype" w:cs="Arial"/>
          <w:b/>
          <w:szCs w:val="22"/>
          <w:lang w:eastAsia="en-US"/>
        </w:rPr>
        <w:t>cuatro</w:t>
      </w:r>
      <w:r w:rsidRPr="00037B15">
        <w:rPr>
          <w:rFonts w:ascii="Palatino Linotype" w:eastAsiaTheme="minorHAnsi" w:hAnsi="Palatino Linotype" w:cs="Arial"/>
          <w:szCs w:val="22"/>
          <w:lang w:eastAsia="en-US"/>
        </w:rPr>
        <w:t xml:space="preserve">, </w:t>
      </w:r>
      <w:r>
        <w:rPr>
          <w:rFonts w:ascii="Palatino Linotype" w:eastAsiaTheme="minorHAnsi" w:hAnsi="Palatino Linotype" w:cs="Arial"/>
          <w:b/>
          <w:szCs w:val="22"/>
          <w:lang w:eastAsia="en-US"/>
        </w:rPr>
        <w:t>la parte</w:t>
      </w:r>
      <w:r>
        <w:rPr>
          <w:rFonts w:ascii="Palatino Linotype" w:eastAsiaTheme="minorHAnsi" w:hAnsi="Palatino Linotype" w:cs="Arial"/>
          <w:szCs w:val="22"/>
          <w:lang w:eastAsia="en-US"/>
        </w:rPr>
        <w:t xml:space="preserve"> </w:t>
      </w:r>
      <w:r w:rsidRPr="00037B15">
        <w:rPr>
          <w:rFonts w:ascii="Palatino Linotype" w:eastAsiaTheme="minorHAnsi" w:hAnsi="Palatino Linotype" w:cs="Arial"/>
          <w:b/>
          <w:szCs w:val="22"/>
          <w:lang w:eastAsia="en-US"/>
        </w:rPr>
        <w:t>Recurrente</w:t>
      </w:r>
      <w:r w:rsidRPr="00037B15">
        <w:rPr>
          <w:rFonts w:ascii="Palatino Linotype" w:eastAsiaTheme="minorHAnsi" w:hAnsi="Palatino Linotype" w:cs="Arial"/>
          <w:szCs w:val="22"/>
          <w:lang w:eastAsia="en-US"/>
        </w:rPr>
        <w:t xml:space="preserve">, </w:t>
      </w:r>
      <w:r w:rsidRPr="00657CA6">
        <w:rPr>
          <w:rFonts w:ascii="Palatino Linotype" w:eastAsiaTheme="minorHAnsi" w:hAnsi="Palatino Linotype" w:cs="Arial"/>
          <w:szCs w:val="22"/>
          <w:lang w:eastAsia="en-US"/>
        </w:rPr>
        <w:t xml:space="preserve">presentó a través Sistema de Acceso a la Información Mexiquense </w:t>
      </w:r>
      <w:r w:rsidRPr="00657CA6">
        <w:rPr>
          <w:rFonts w:ascii="Palatino Linotype" w:eastAsiaTheme="minorHAnsi" w:hAnsi="Palatino Linotype" w:cs="Arial"/>
          <w:b/>
          <w:szCs w:val="22"/>
          <w:lang w:eastAsia="en-US"/>
        </w:rPr>
        <w:t>(SAIMEX)</w:t>
      </w:r>
      <w:r w:rsidRPr="00657CA6">
        <w:rPr>
          <w:rFonts w:ascii="Palatino Linotype" w:eastAsiaTheme="minorHAnsi" w:hAnsi="Palatino Linotype" w:cs="Arial"/>
          <w:szCs w:val="22"/>
          <w:lang w:eastAsia="en-US"/>
        </w:rPr>
        <w:t xml:space="preserve">, </w:t>
      </w:r>
      <w:r w:rsidRPr="00037B15">
        <w:rPr>
          <w:rFonts w:ascii="Palatino Linotype" w:eastAsiaTheme="minorHAnsi" w:hAnsi="Palatino Linotype" w:cs="Arial"/>
          <w:szCs w:val="22"/>
          <w:lang w:eastAsia="en-US"/>
        </w:rPr>
        <w:t xml:space="preserve">ante el </w:t>
      </w:r>
      <w:r w:rsidRPr="00037B15">
        <w:rPr>
          <w:rFonts w:ascii="Palatino Linotype" w:eastAsiaTheme="minorHAnsi" w:hAnsi="Palatino Linotype" w:cs="Arial"/>
          <w:b/>
          <w:szCs w:val="22"/>
          <w:lang w:eastAsia="en-US"/>
        </w:rPr>
        <w:t>Sujeto Obligado</w:t>
      </w:r>
      <w:r w:rsidRPr="00037B15">
        <w:rPr>
          <w:rFonts w:ascii="Palatino Linotype" w:eastAsiaTheme="minorHAnsi" w:hAnsi="Palatino Linotype" w:cs="Arial"/>
          <w:szCs w:val="22"/>
          <w:lang w:eastAsia="en-US"/>
        </w:rPr>
        <w:t xml:space="preserve">, la solicitud de acceso a la información pública, a la que se le asignó el número de expediente </w:t>
      </w:r>
      <w:r w:rsidRPr="00C81B8A">
        <w:rPr>
          <w:rFonts w:ascii="Palatino Linotype" w:eastAsiaTheme="minorHAnsi" w:hAnsi="Palatino Linotype" w:cs="Arial"/>
          <w:b/>
          <w:szCs w:val="22"/>
          <w:lang w:eastAsia="en-US"/>
        </w:rPr>
        <w:t>00414/SSEM/IP/2024</w:t>
      </w:r>
      <w:r w:rsidRPr="00037B15">
        <w:rPr>
          <w:rFonts w:ascii="Palatino Linotype" w:eastAsiaTheme="minorHAnsi" w:hAnsi="Palatino Linotype" w:cs="Arial"/>
          <w:szCs w:val="22"/>
          <w:lang w:eastAsia="en-US"/>
        </w:rPr>
        <w:t>, mediante la cual solicitó lo siguiente:</w:t>
      </w:r>
    </w:p>
    <w:p w:rsidR="00C81B8A" w:rsidRPr="00037B15" w:rsidRDefault="00C81B8A" w:rsidP="006C67F7">
      <w:pPr>
        <w:pStyle w:val="Sinespaciado"/>
        <w:rPr>
          <w:rFonts w:eastAsiaTheme="minorHAnsi"/>
          <w:lang w:eastAsia="en-US"/>
        </w:rPr>
      </w:pPr>
    </w:p>
    <w:p w:rsidR="00C81B8A" w:rsidRDefault="00C81B8A" w:rsidP="006C67F7">
      <w:pPr>
        <w:spacing w:line="360" w:lineRule="auto"/>
        <w:ind w:left="284" w:right="332"/>
        <w:jc w:val="both"/>
        <w:rPr>
          <w:rFonts w:ascii="Palatino Linotype" w:hAnsi="Palatino Linotype"/>
          <w:i/>
          <w:sz w:val="22"/>
          <w:szCs w:val="22"/>
          <w:lang w:val="es-ES_tradnl"/>
        </w:rPr>
      </w:pPr>
      <w:r w:rsidRPr="00037B15">
        <w:rPr>
          <w:rFonts w:ascii="Palatino Linotype" w:hAnsi="Palatino Linotype"/>
          <w:i/>
          <w:sz w:val="22"/>
          <w:szCs w:val="22"/>
        </w:rPr>
        <w:t>“</w:t>
      </w:r>
      <w:r w:rsidRPr="00C81B8A">
        <w:rPr>
          <w:rFonts w:ascii="Palatino Linotype" w:hAnsi="Palatino Linotype"/>
          <w:i/>
          <w:sz w:val="22"/>
          <w:szCs w:val="22"/>
        </w:rPr>
        <w:t xml:space="preserve">REQUIERO EL NOMBRE DE LAS BASES DE DATOS REGISTRADAS, ASÍ COMO EL NÚMERO DE REGISTROS DEL PRIMER SEMESTRE, ASIMISMO, SOLICITO EL ACTA DEL COMITÉ DONDE </w:t>
      </w:r>
      <w:proofErr w:type="spellStart"/>
      <w:r w:rsidRPr="00C81B8A">
        <w:rPr>
          <w:rFonts w:ascii="Palatino Linotype" w:hAnsi="Palatino Linotype"/>
          <w:i/>
          <w:sz w:val="22"/>
          <w:szCs w:val="22"/>
        </w:rPr>
        <w:t>DONDE</w:t>
      </w:r>
      <w:proofErr w:type="spellEnd"/>
      <w:r w:rsidRPr="00C81B8A">
        <w:rPr>
          <w:rFonts w:ascii="Palatino Linotype" w:hAnsi="Palatino Linotype"/>
          <w:i/>
          <w:sz w:val="22"/>
          <w:szCs w:val="22"/>
        </w:rPr>
        <w:t xml:space="preserve"> SE NOMBRAN A LOS HABILITADOS, ASÍ COMO DEL NOMBRAMIENTO DE LOS INTEGRANTES DEL COMITÉ DE TRANSPARENCIA DE LA SECRTARÍA</w:t>
      </w:r>
      <w:r w:rsidRPr="00037B15">
        <w:rPr>
          <w:rFonts w:ascii="Palatino Linotype" w:hAnsi="Palatino Linotype"/>
          <w:i/>
          <w:sz w:val="22"/>
          <w:szCs w:val="22"/>
        </w:rPr>
        <w:t>”</w:t>
      </w:r>
      <w:r w:rsidRPr="00037B15">
        <w:rPr>
          <w:rFonts w:ascii="Palatino Linotype" w:hAnsi="Palatino Linotype"/>
          <w:i/>
          <w:sz w:val="22"/>
          <w:szCs w:val="22"/>
          <w:lang w:val="es-ES_tradnl"/>
        </w:rPr>
        <w:t xml:space="preserve"> (Sic).</w:t>
      </w:r>
    </w:p>
    <w:p w:rsidR="00C81B8A" w:rsidRPr="00037B15" w:rsidRDefault="00C81B8A" w:rsidP="006C67F7">
      <w:pPr>
        <w:ind w:left="284" w:right="332"/>
        <w:jc w:val="both"/>
        <w:rPr>
          <w:rFonts w:ascii="Palatino Linotype" w:hAnsi="Palatino Linotype"/>
          <w:i/>
          <w:sz w:val="22"/>
          <w:szCs w:val="22"/>
          <w:lang w:val="es-ES_tradnl"/>
        </w:rPr>
      </w:pPr>
    </w:p>
    <w:p w:rsidR="00C81B8A" w:rsidRDefault="00C81B8A" w:rsidP="006C67F7">
      <w:pPr>
        <w:tabs>
          <w:tab w:val="left" w:pos="5647"/>
        </w:tabs>
        <w:spacing w:line="360" w:lineRule="auto"/>
        <w:ind w:right="49"/>
        <w:jc w:val="both"/>
        <w:rPr>
          <w:rFonts w:ascii="Palatino Linotype" w:eastAsiaTheme="minorHAnsi" w:hAnsi="Palatino Linotype" w:cstheme="minorBidi"/>
          <w:color w:val="000000"/>
          <w:lang w:eastAsia="en-US"/>
        </w:rPr>
      </w:pPr>
      <w:r w:rsidRPr="00037B15">
        <w:rPr>
          <w:rFonts w:ascii="Palatino Linotype" w:hAnsi="Palatino Linotype"/>
          <w:b/>
          <w:lang w:val="es-ES_tradnl"/>
        </w:rPr>
        <w:t>MODALIDAD DE ENTREGA:</w:t>
      </w:r>
      <w:r w:rsidRPr="00037B15">
        <w:rPr>
          <w:rFonts w:ascii="Palatino Linotype" w:hAnsi="Palatino Linotype"/>
          <w:lang w:val="es-ES_tradnl"/>
        </w:rPr>
        <w:t xml:space="preserve"> </w:t>
      </w:r>
      <w:r w:rsidRPr="00037B15">
        <w:rPr>
          <w:rFonts w:ascii="Palatino Linotype" w:eastAsiaTheme="minorHAnsi" w:hAnsi="Palatino Linotype" w:cstheme="minorBidi"/>
          <w:color w:val="000000"/>
          <w:lang w:eastAsia="en-US"/>
        </w:rPr>
        <w:t xml:space="preserve">A través del </w:t>
      </w:r>
      <w:r w:rsidRPr="00037B15">
        <w:rPr>
          <w:rFonts w:ascii="Palatino Linotype" w:eastAsiaTheme="minorHAnsi" w:hAnsi="Palatino Linotype" w:cstheme="minorBidi"/>
          <w:b/>
          <w:color w:val="000000"/>
          <w:lang w:eastAsia="en-US"/>
        </w:rPr>
        <w:t>SAIMEX</w:t>
      </w:r>
      <w:r w:rsidRPr="00037B15">
        <w:rPr>
          <w:rFonts w:ascii="Palatino Linotype" w:eastAsiaTheme="minorHAnsi" w:hAnsi="Palatino Linotype" w:cstheme="minorBidi"/>
          <w:color w:val="000000"/>
          <w:lang w:eastAsia="en-US"/>
        </w:rPr>
        <w:t>.</w:t>
      </w:r>
    </w:p>
    <w:p w:rsidR="00C81B8A" w:rsidRDefault="00C81B8A" w:rsidP="006C67F7">
      <w:pPr>
        <w:spacing w:line="360" w:lineRule="auto"/>
        <w:ind w:right="334"/>
        <w:jc w:val="both"/>
        <w:rPr>
          <w:rFonts w:ascii="Palatino Linotype" w:hAnsi="Palatino Linotype" w:cs="Arial"/>
          <w:b/>
        </w:rPr>
      </w:pPr>
    </w:p>
    <w:p w:rsidR="00C81B8A" w:rsidRDefault="00C81B8A" w:rsidP="006C67F7">
      <w:pPr>
        <w:spacing w:line="360" w:lineRule="auto"/>
        <w:ind w:right="334"/>
        <w:jc w:val="both"/>
        <w:rPr>
          <w:rFonts w:ascii="Palatino Linotype" w:hAnsi="Palatino Linotype" w:cs="Arial"/>
          <w:b/>
        </w:rPr>
      </w:pPr>
    </w:p>
    <w:p w:rsidR="00C81B8A" w:rsidRDefault="00C81B8A" w:rsidP="006C67F7">
      <w:pPr>
        <w:spacing w:line="360" w:lineRule="auto"/>
        <w:jc w:val="both"/>
        <w:rPr>
          <w:rFonts w:ascii="Palatino Linotype" w:hAnsi="Palatino Linotype" w:cs="Arial"/>
          <w:b/>
          <w:sz w:val="28"/>
        </w:rPr>
      </w:pPr>
      <w:r w:rsidRPr="00CA1D2B">
        <w:rPr>
          <w:rFonts w:ascii="Palatino Linotype" w:hAnsi="Palatino Linotype" w:cs="Arial"/>
          <w:b/>
          <w:sz w:val="28"/>
        </w:rPr>
        <w:t xml:space="preserve">SEGUNDO. </w:t>
      </w:r>
      <w:r>
        <w:rPr>
          <w:rFonts w:ascii="Palatino Linotype" w:hAnsi="Palatino Linotype" w:cs="Arial"/>
          <w:b/>
          <w:sz w:val="28"/>
          <w:szCs w:val="20"/>
        </w:rPr>
        <w:t>De la respuesta del Sujeto Obligado.</w:t>
      </w:r>
    </w:p>
    <w:p w:rsidR="00C81B8A" w:rsidRDefault="00C81B8A" w:rsidP="006C67F7">
      <w:pPr>
        <w:pStyle w:val="Sinespaciado"/>
        <w:spacing w:line="360" w:lineRule="auto"/>
        <w:jc w:val="both"/>
        <w:rPr>
          <w:rFonts w:ascii="Palatino Linotype" w:hAnsi="Palatino Linotype" w:cs="Arial"/>
        </w:rPr>
      </w:pPr>
      <w:r>
        <w:rPr>
          <w:rFonts w:ascii="Palatino Linotype" w:hAnsi="Palatino Linotype" w:cs="Arial"/>
        </w:rPr>
        <w:t xml:space="preserve">De las constancias del expediente electrónico </w:t>
      </w:r>
      <w:r>
        <w:rPr>
          <w:rFonts w:ascii="Palatino Linotype" w:hAnsi="Palatino Linotype" w:cs="Arial"/>
          <w:b/>
        </w:rPr>
        <w:t xml:space="preserve">SAIMEX, </w:t>
      </w:r>
      <w:r>
        <w:rPr>
          <w:rFonts w:ascii="Palatino Linotype" w:hAnsi="Palatino Linotype" w:cs="Arial"/>
        </w:rPr>
        <w:t xml:space="preserve">se advierte que </w:t>
      </w:r>
      <w:r>
        <w:rPr>
          <w:rFonts w:ascii="Palatino Linotype" w:hAnsi="Palatino Linotype"/>
        </w:rPr>
        <w:t xml:space="preserve">en fecha </w:t>
      </w:r>
      <w:r w:rsidR="00233278">
        <w:rPr>
          <w:rFonts w:ascii="Palatino Linotype" w:hAnsi="Palatino Linotype" w:cs="Arial"/>
          <w:b/>
        </w:rPr>
        <w:t>treinta</w:t>
      </w:r>
      <w:r>
        <w:rPr>
          <w:rFonts w:ascii="Palatino Linotype" w:hAnsi="Palatino Linotype" w:cs="Arial"/>
          <w:b/>
        </w:rPr>
        <w:t xml:space="preserve"> de agosto de dos mil veinticuatro</w:t>
      </w:r>
      <w:r>
        <w:rPr>
          <w:rFonts w:ascii="Palatino Linotype" w:hAnsi="Palatino Linotype" w:cs="Arial"/>
        </w:rPr>
        <w:t xml:space="preserve"> el </w:t>
      </w:r>
      <w:r>
        <w:rPr>
          <w:rFonts w:ascii="Palatino Linotype" w:hAnsi="Palatino Linotype" w:cs="Arial"/>
          <w:b/>
        </w:rPr>
        <w:t>Sujeto Obligado</w:t>
      </w:r>
      <w:r>
        <w:rPr>
          <w:rFonts w:ascii="Palatino Linotype" w:hAnsi="Palatino Linotype" w:cs="Arial"/>
        </w:rPr>
        <w:t xml:space="preserve"> dio respuesta a la solicitud de información, en los siguientes términos:</w:t>
      </w:r>
    </w:p>
    <w:p w:rsidR="00C81B8A" w:rsidRPr="00037B15" w:rsidRDefault="00C81B8A" w:rsidP="006C67F7"/>
    <w:p w:rsidR="00233278" w:rsidRPr="00233278" w:rsidRDefault="00C81B8A" w:rsidP="006C67F7">
      <w:pPr>
        <w:spacing w:line="276" w:lineRule="auto"/>
        <w:ind w:left="567" w:right="567"/>
        <w:jc w:val="both"/>
        <w:rPr>
          <w:rFonts w:ascii="Palatino Linotype" w:hAnsi="Palatino Linotype"/>
          <w:i/>
          <w:sz w:val="22"/>
          <w:szCs w:val="22"/>
        </w:rPr>
      </w:pPr>
      <w:r w:rsidRPr="00037B15">
        <w:rPr>
          <w:rFonts w:ascii="Palatino Linotype" w:hAnsi="Palatino Linotype"/>
          <w:i/>
          <w:sz w:val="22"/>
          <w:szCs w:val="22"/>
        </w:rPr>
        <w:t>“</w:t>
      </w:r>
      <w:r w:rsidR="00233278" w:rsidRPr="00233278">
        <w:rPr>
          <w:rFonts w:ascii="Palatino Linotype" w:hAnsi="Palatino Linotype"/>
          <w:i/>
          <w:sz w:val="22"/>
          <w:szCs w:val="22"/>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w:t>
      </w:r>
    </w:p>
    <w:p w:rsidR="00233278" w:rsidRPr="00233278" w:rsidRDefault="00233278" w:rsidP="006C67F7">
      <w:pPr>
        <w:spacing w:line="276" w:lineRule="auto"/>
        <w:ind w:left="567" w:right="567"/>
        <w:jc w:val="both"/>
        <w:rPr>
          <w:rFonts w:ascii="Palatino Linotype" w:hAnsi="Palatino Linotype"/>
          <w:i/>
          <w:sz w:val="22"/>
          <w:szCs w:val="22"/>
        </w:rPr>
      </w:pPr>
      <w:r w:rsidRPr="00233278">
        <w:rPr>
          <w:rFonts w:ascii="Palatino Linotype" w:hAnsi="Palatino Linotype"/>
          <w:i/>
          <w:sz w:val="22"/>
          <w:szCs w:val="22"/>
        </w:rPr>
        <w:t>ATENTAMENTE</w:t>
      </w:r>
    </w:p>
    <w:p w:rsidR="00C81B8A" w:rsidRDefault="00233278" w:rsidP="006C67F7">
      <w:pPr>
        <w:spacing w:line="276" w:lineRule="auto"/>
        <w:ind w:left="567" w:right="567"/>
        <w:jc w:val="both"/>
        <w:rPr>
          <w:rFonts w:ascii="Palatino Linotype" w:hAnsi="Palatino Linotype"/>
          <w:i/>
          <w:sz w:val="22"/>
          <w:szCs w:val="22"/>
        </w:rPr>
      </w:pPr>
      <w:r w:rsidRPr="00233278">
        <w:rPr>
          <w:rFonts w:ascii="Palatino Linotype" w:hAnsi="Palatino Linotype"/>
          <w:i/>
          <w:sz w:val="22"/>
          <w:szCs w:val="22"/>
        </w:rPr>
        <w:t>Mtro. Guillermo Juan de Dios Sánchez Aguirre</w:t>
      </w:r>
      <w:r w:rsidR="00C81B8A" w:rsidRPr="00037B15">
        <w:rPr>
          <w:rFonts w:ascii="Palatino Linotype" w:hAnsi="Palatino Linotype"/>
          <w:i/>
          <w:sz w:val="22"/>
          <w:szCs w:val="22"/>
        </w:rPr>
        <w:t>” (Sic).</w:t>
      </w:r>
    </w:p>
    <w:p w:rsidR="00233278" w:rsidRPr="00037B15" w:rsidRDefault="00233278" w:rsidP="006C67F7">
      <w:pPr>
        <w:spacing w:line="276" w:lineRule="auto"/>
        <w:ind w:left="567" w:right="567"/>
        <w:jc w:val="both"/>
        <w:rPr>
          <w:rFonts w:ascii="Palatino Linotype" w:hAnsi="Palatino Linotype"/>
          <w:i/>
          <w:sz w:val="22"/>
          <w:szCs w:val="22"/>
        </w:rPr>
      </w:pPr>
    </w:p>
    <w:p w:rsidR="00C81B8A" w:rsidRPr="00037B15" w:rsidRDefault="00C81B8A" w:rsidP="006C67F7">
      <w:pPr>
        <w:ind w:right="567"/>
        <w:jc w:val="both"/>
        <w:rPr>
          <w:rFonts w:ascii="Palatino Linotype" w:hAnsi="Palatino Linotype"/>
          <w:i/>
          <w:sz w:val="14"/>
          <w:szCs w:val="22"/>
        </w:rPr>
      </w:pPr>
    </w:p>
    <w:p w:rsidR="00233278" w:rsidRPr="00233278" w:rsidRDefault="00233278" w:rsidP="006C67F7">
      <w:pPr>
        <w:pStyle w:val="Sinespaciado"/>
        <w:spacing w:line="360" w:lineRule="auto"/>
        <w:jc w:val="both"/>
        <w:rPr>
          <w:rFonts w:ascii="Palatino Linotype" w:hAnsi="Palatino Linotype" w:cs="Arial"/>
        </w:rPr>
      </w:pPr>
      <w:r w:rsidRPr="00233278">
        <w:rPr>
          <w:rFonts w:ascii="Palatino Linotype" w:hAnsi="Palatino Linotype" w:cs="Arial"/>
        </w:rPr>
        <w:t>El Sujeto Obligado adjuntó l</w:t>
      </w:r>
      <w:r>
        <w:rPr>
          <w:rFonts w:ascii="Palatino Linotype" w:hAnsi="Palatino Linotype" w:cs="Arial"/>
        </w:rPr>
        <w:t>os</w:t>
      </w:r>
      <w:r w:rsidRPr="00233278">
        <w:rPr>
          <w:rFonts w:ascii="Palatino Linotype" w:hAnsi="Palatino Linotype" w:cs="Arial"/>
        </w:rPr>
        <w:t xml:space="preserve"> archivo</w:t>
      </w:r>
      <w:r>
        <w:rPr>
          <w:rFonts w:ascii="Palatino Linotype" w:hAnsi="Palatino Linotype" w:cs="Arial"/>
        </w:rPr>
        <w:t>s</w:t>
      </w:r>
      <w:r w:rsidRPr="00233278">
        <w:rPr>
          <w:rFonts w:ascii="Palatino Linotype" w:hAnsi="Palatino Linotype" w:cs="Arial"/>
        </w:rPr>
        <w:t xml:space="preserve"> electrónico</w:t>
      </w:r>
      <w:r>
        <w:rPr>
          <w:rFonts w:ascii="Palatino Linotype" w:hAnsi="Palatino Linotype" w:cs="Arial"/>
        </w:rPr>
        <w:t>s</w:t>
      </w:r>
      <w:r w:rsidRPr="00233278">
        <w:rPr>
          <w:rFonts w:ascii="Palatino Linotype" w:hAnsi="Palatino Linotype" w:cs="Arial"/>
        </w:rPr>
        <w:t xml:space="preserve"> denominado</w:t>
      </w:r>
      <w:r>
        <w:rPr>
          <w:rFonts w:ascii="Palatino Linotype" w:hAnsi="Palatino Linotype" w:cs="Arial"/>
        </w:rPr>
        <w:t>s</w:t>
      </w:r>
      <w:r w:rsidRPr="00233278">
        <w:rPr>
          <w:rFonts w:ascii="Palatino Linotype" w:hAnsi="Palatino Linotype" w:cs="Arial"/>
        </w:rPr>
        <w:t xml:space="preserve"> </w:t>
      </w:r>
      <w:r w:rsidRPr="00233278">
        <w:rPr>
          <w:rFonts w:ascii="Palatino Linotype" w:hAnsi="Palatino Linotype" w:cs="Arial"/>
          <w:i/>
        </w:rPr>
        <w:t xml:space="preserve">“Acta </w:t>
      </w:r>
      <w:proofErr w:type="spellStart"/>
      <w:r w:rsidRPr="00233278">
        <w:rPr>
          <w:rFonts w:ascii="Palatino Linotype" w:hAnsi="Palatino Linotype" w:cs="Arial"/>
          <w:i/>
        </w:rPr>
        <w:t>Vigesima</w:t>
      </w:r>
      <w:proofErr w:type="spellEnd"/>
      <w:r w:rsidRPr="00233278">
        <w:rPr>
          <w:rFonts w:ascii="Palatino Linotype" w:hAnsi="Palatino Linotype" w:cs="Arial"/>
          <w:i/>
        </w:rPr>
        <w:t xml:space="preserve"> Novena.pdf</w:t>
      </w:r>
      <w:r>
        <w:rPr>
          <w:rFonts w:ascii="Palatino Linotype" w:hAnsi="Palatino Linotype" w:cs="Arial"/>
          <w:i/>
        </w:rPr>
        <w:t>”, “</w:t>
      </w:r>
      <w:r w:rsidRPr="00233278">
        <w:rPr>
          <w:rFonts w:ascii="Palatino Linotype" w:hAnsi="Palatino Linotype" w:cs="Arial"/>
          <w:i/>
        </w:rPr>
        <w:t>Anexo Dos Acta.pdf</w:t>
      </w:r>
      <w:r>
        <w:rPr>
          <w:rFonts w:ascii="Palatino Linotype" w:hAnsi="Palatino Linotype" w:cs="Arial"/>
          <w:i/>
        </w:rPr>
        <w:t>”, “</w:t>
      </w:r>
      <w:r w:rsidRPr="00233278">
        <w:rPr>
          <w:rFonts w:ascii="Palatino Linotype" w:hAnsi="Palatino Linotype" w:cs="Arial"/>
          <w:i/>
        </w:rPr>
        <w:t>Respuesta 414.pdf</w:t>
      </w:r>
      <w:r>
        <w:rPr>
          <w:rFonts w:ascii="Palatino Linotype" w:hAnsi="Palatino Linotype" w:cs="Arial"/>
          <w:i/>
        </w:rPr>
        <w:t>” y “</w:t>
      </w:r>
      <w:r w:rsidRPr="00233278">
        <w:rPr>
          <w:rFonts w:ascii="Palatino Linotype" w:hAnsi="Palatino Linotype" w:cs="Arial"/>
          <w:i/>
        </w:rPr>
        <w:t xml:space="preserve">VIGÉSIMA SEXTA EXTRA-2024.pdf”, </w:t>
      </w:r>
      <w:r w:rsidRPr="00233278">
        <w:rPr>
          <w:rFonts w:ascii="Palatino Linotype" w:hAnsi="Palatino Linotype" w:cs="Arial"/>
        </w:rPr>
        <w:t>mismo</w:t>
      </w:r>
      <w:r>
        <w:rPr>
          <w:rFonts w:ascii="Palatino Linotype" w:hAnsi="Palatino Linotype" w:cs="Arial"/>
        </w:rPr>
        <w:t>s</w:t>
      </w:r>
      <w:r w:rsidRPr="00233278">
        <w:rPr>
          <w:rFonts w:ascii="Palatino Linotype" w:hAnsi="Palatino Linotype" w:cs="Arial"/>
        </w:rPr>
        <w:t xml:space="preserve"> que no se reproduce</w:t>
      </w:r>
      <w:r>
        <w:rPr>
          <w:rFonts w:ascii="Palatino Linotype" w:hAnsi="Palatino Linotype" w:cs="Arial"/>
        </w:rPr>
        <w:t>s</w:t>
      </w:r>
      <w:r w:rsidRPr="00233278">
        <w:rPr>
          <w:rFonts w:ascii="Palatino Linotype" w:hAnsi="Palatino Linotype" w:cs="Arial"/>
        </w:rPr>
        <w:t xml:space="preserve"> por ser del conocimiento de las partes, sin embargo, será materia de estudio en el </w:t>
      </w:r>
      <w:r w:rsidRPr="00233278">
        <w:rPr>
          <w:rFonts w:ascii="Palatino Linotype" w:hAnsi="Palatino Linotype" w:cs="Arial"/>
          <w:b/>
        </w:rPr>
        <w:t>CONSIDERADO</w:t>
      </w:r>
      <w:r w:rsidRPr="00233278">
        <w:rPr>
          <w:rFonts w:ascii="Palatino Linotype" w:hAnsi="Palatino Linotype" w:cs="Arial"/>
        </w:rPr>
        <w:t xml:space="preserve"> respectivo.</w:t>
      </w:r>
    </w:p>
    <w:p w:rsidR="00C81B8A" w:rsidRDefault="00C81B8A" w:rsidP="006C67F7">
      <w:pPr>
        <w:spacing w:line="360" w:lineRule="auto"/>
        <w:jc w:val="both"/>
        <w:rPr>
          <w:rFonts w:ascii="Palatino Linotype" w:eastAsiaTheme="minorHAnsi" w:hAnsi="Palatino Linotype" w:cs="Arial"/>
          <w:b/>
          <w:lang w:eastAsia="en-US"/>
        </w:rPr>
      </w:pPr>
    </w:p>
    <w:p w:rsidR="00C81B8A" w:rsidRPr="00037B15" w:rsidRDefault="00C81B8A" w:rsidP="006C67F7">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TERCER</w:t>
      </w:r>
      <w:r w:rsidRPr="00037B15">
        <w:rPr>
          <w:rFonts w:ascii="Palatino Linotype" w:eastAsiaTheme="minorHAnsi" w:hAnsi="Palatino Linotype" w:cs="Arial"/>
          <w:b/>
          <w:sz w:val="28"/>
          <w:lang w:eastAsia="en-US"/>
        </w:rPr>
        <w:t>O. Del recurso de revisión.</w:t>
      </w:r>
    </w:p>
    <w:p w:rsidR="00C81B8A" w:rsidRDefault="00C81B8A" w:rsidP="006C67F7">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Inconforme con la respuesta por parte del </w:t>
      </w:r>
      <w:r w:rsidRPr="00037B15">
        <w:rPr>
          <w:rFonts w:ascii="Palatino Linotype" w:eastAsiaTheme="minorHAnsi" w:hAnsi="Palatino Linotype" w:cs="Arial"/>
          <w:b/>
          <w:lang w:eastAsia="en-US"/>
        </w:rPr>
        <w:t>Sujeto Obligado</w:t>
      </w:r>
      <w:r w:rsidRPr="00037B15">
        <w:rPr>
          <w:rFonts w:ascii="Palatino Linotype" w:eastAsiaTheme="minorHAnsi" w:hAnsi="Palatino Linotype" w:cs="Arial"/>
          <w:lang w:eastAsia="en-US"/>
        </w:rPr>
        <w:t xml:space="preserve">, </w:t>
      </w:r>
      <w:r>
        <w:rPr>
          <w:rFonts w:ascii="Palatino Linotype" w:eastAsiaTheme="minorHAnsi" w:hAnsi="Palatino Linotype" w:cs="Arial"/>
          <w:lang w:eastAsia="en-US"/>
        </w:rPr>
        <w:t>la</w:t>
      </w:r>
      <w:r w:rsidRPr="00037B15">
        <w:rPr>
          <w:rFonts w:ascii="Palatino Linotype" w:eastAsiaTheme="minorHAnsi" w:hAnsi="Palatino Linotype" w:cs="Arial"/>
          <w:lang w:eastAsia="en-US"/>
        </w:rPr>
        <w:t xml:space="preserve"> ahora </w:t>
      </w:r>
      <w:r w:rsidRPr="00037B15">
        <w:rPr>
          <w:rFonts w:ascii="Palatino Linotype" w:eastAsiaTheme="minorHAnsi" w:hAnsi="Palatino Linotype" w:cs="Arial"/>
          <w:b/>
          <w:lang w:eastAsia="en-US"/>
        </w:rPr>
        <w:t>Recurrente</w:t>
      </w:r>
      <w:r w:rsidRPr="00037B15">
        <w:rPr>
          <w:rFonts w:ascii="Palatino Linotype" w:eastAsiaTheme="minorHAnsi" w:hAnsi="Palatino Linotype" w:cs="Arial"/>
          <w:lang w:eastAsia="en-US"/>
        </w:rPr>
        <w:t xml:space="preserve"> interpuso el presente recurso de revisión en fecha </w:t>
      </w:r>
      <w:r w:rsidR="00233278">
        <w:rPr>
          <w:rFonts w:ascii="Palatino Linotype" w:eastAsiaTheme="minorHAnsi" w:hAnsi="Palatino Linotype" w:cs="Arial"/>
          <w:b/>
          <w:lang w:eastAsia="en-US"/>
        </w:rPr>
        <w:t>nueve</w:t>
      </w:r>
      <w:r>
        <w:rPr>
          <w:rFonts w:ascii="Palatino Linotype" w:eastAsiaTheme="minorHAnsi" w:hAnsi="Palatino Linotype" w:cs="Arial"/>
          <w:b/>
          <w:lang w:eastAsia="en-US"/>
        </w:rPr>
        <w:t xml:space="preserve"> </w:t>
      </w:r>
      <w:r w:rsidRPr="00A86565">
        <w:rPr>
          <w:rFonts w:ascii="Palatino Linotype" w:eastAsiaTheme="minorHAnsi" w:hAnsi="Palatino Linotype" w:cs="Arial"/>
          <w:b/>
          <w:lang w:eastAsia="en-US"/>
        </w:rPr>
        <w:t xml:space="preserve">de </w:t>
      </w:r>
      <w:r w:rsidR="00233278">
        <w:rPr>
          <w:rFonts w:ascii="Palatino Linotype" w:eastAsiaTheme="minorHAnsi" w:hAnsi="Palatino Linotype" w:cs="Arial"/>
          <w:b/>
          <w:lang w:eastAsia="en-US"/>
        </w:rPr>
        <w:t>septiembre</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el cual fue registrado</w:t>
      </w:r>
      <w:r w:rsidRPr="00037B15">
        <w:rPr>
          <w:rFonts w:ascii="Palatino Linotype" w:eastAsiaTheme="minorHAnsi" w:hAnsi="Palatino Linotype" w:cs="Arial"/>
          <w:b/>
          <w:lang w:eastAsia="en-US"/>
        </w:rPr>
        <w:t xml:space="preserve"> </w:t>
      </w:r>
      <w:r w:rsidRPr="00037B15">
        <w:rPr>
          <w:rFonts w:ascii="Palatino Linotype" w:eastAsiaTheme="minorHAnsi" w:hAnsi="Palatino Linotype" w:cs="Arial"/>
          <w:lang w:eastAsia="en-US"/>
        </w:rPr>
        <w:t xml:space="preserve">en el sistema electrónico con el expediente número </w:t>
      </w:r>
      <w:r w:rsidRPr="00AB11F1">
        <w:rPr>
          <w:rFonts w:ascii="Palatino Linotype" w:eastAsiaTheme="minorHAnsi" w:hAnsi="Palatino Linotype" w:cs="Arial"/>
          <w:b/>
          <w:lang w:eastAsia="en-US"/>
        </w:rPr>
        <w:t>0</w:t>
      </w:r>
      <w:r>
        <w:rPr>
          <w:rFonts w:ascii="Palatino Linotype" w:eastAsiaTheme="minorHAnsi" w:hAnsi="Palatino Linotype" w:cs="Arial"/>
          <w:b/>
          <w:lang w:eastAsia="en-US"/>
        </w:rPr>
        <w:t>5</w:t>
      </w:r>
      <w:r w:rsidR="00233278">
        <w:rPr>
          <w:rFonts w:ascii="Palatino Linotype" w:eastAsiaTheme="minorHAnsi" w:hAnsi="Palatino Linotype" w:cs="Arial"/>
          <w:b/>
          <w:lang w:eastAsia="en-US"/>
        </w:rPr>
        <w:t>56</w:t>
      </w:r>
      <w:r>
        <w:rPr>
          <w:rFonts w:ascii="Palatino Linotype" w:eastAsiaTheme="minorHAnsi" w:hAnsi="Palatino Linotype" w:cs="Arial"/>
          <w:b/>
          <w:lang w:eastAsia="en-US"/>
        </w:rPr>
        <w:t>5</w:t>
      </w:r>
      <w:r w:rsidRPr="00037B15">
        <w:rPr>
          <w:rFonts w:ascii="Palatino Linotype" w:eastAsiaTheme="minorHAnsi" w:hAnsi="Palatino Linotype" w:cs="Arial"/>
          <w:b/>
          <w:bCs/>
        </w:rPr>
        <w:t>/INFOEM/IP/RR/202</w:t>
      </w:r>
      <w:r>
        <w:rPr>
          <w:rFonts w:ascii="Palatino Linotype" w:eastAsiaTheme="minorHAnsi" w:hAnsi="Palatino Linotype" w:cs="Arial"/>
          <w:b/>
          <w:bCs/>
        </w:rPr>
        <w:t>4</w:t>
      </w:r>
      <w:r w:rsidRPr="00037B15">
        <w:rPr>
          <w:rFonts w:ascii="Palatino Linotype" w:eastAsiaTheme="minorHAnsi" w:hAnsi="Palatino Linotype" w:cs="Arial"/>
          <w:lang w:eastAsia="en-US"/>
        </w:rPr>
        <w:t>, en el cual aduce, las siguientes manifestaciones:</w:t>
      </w:r>
    </w:p>
    <w:p w:rsidR="00C81B8A" w:rsidRPr="00037B15" w:rsidRDefault="00C81B8A" w:rsidP="006C67F7"/>
    <w:p w:rsidR="00C81B8A" w:rsidRDefault="00C81B8A" w:rsidP="006C67F7">
      <w:pPr>
        <w:numPr>
          <w:ilvl w:val="0"/>
          <w:numId w:val="1"/>
        </w:numPr>
        <w:spacing w:line="259" w:lineRule="auto"/>
        <w:jc w:val="both"/>
        <w:rPr>
          <w:rFonts w:ascii="Palatino Linotype" w:hAnsi="Palatino Linotype" w:cs="Arial"/>
          <w:b/>
          <w:sz w:val="26"/>
          <w:szCs w:val="26"/>
        </w:rPr>
      </w:pPr>
      <w:r w:rsidRPr="00037B15">
        <w:rPr>
          <w:rFonts w:ascii="Palatino Linotype" w:hAnsi="Palatino Linotype" w:cs="Arial"/>
          <w:b/>
          <w:sz w:val="26"/>
          <w:szCs w:val="26"/>
        </w:rPr>
        <w:t xml:space="preserve">Acto Impugnado: </w:t>
      </w:r>
    </w:p>
    <w:p w:rsidR="00C81B8A" w:rsidRDefault="00C81B8A" w:rsidP="006C67F7">
      <w:pPr>
        <w:spacing w:line="259" w:lineRule="auto"/>
        <w:ind w:left="720"/>
        <w:jc w:val="both"/>
        <w:rPr>
          <w:rFonts w:ascii="Palatino Linotype" w:eastAsiaTheme="minorHAnsi" w:hAnsi="Palatino Linotype" w:cstheme="minorBidi"/>
          <w:i/>
          <w:color w:val="000000"/>
          <w:sz w:val="22"/>
          <w:szCs w:val="22"/>
          <w:lang w:eastAsia="en-US"/>
        </w:rPr>
      </w:pPr>
      <w:r w:rsidRPr="00037B15">
        <w:rPr>
          <w:rFonts w:ascii="Palatino Linotype" w:eastAsiaTheme="minorHAnsi" w:hAnsi="Palatino Linotype" w:cstheme="minorBidi"/>
          <w:i/>
          <w:color w:val="000000"/>
          <w:sz w:val="22"/>
          <w:szCs w:val="22"/>
          <w:lang w:eastAsia="en-US"/>
        </w:rPr>
        <w:t>“</w:t>
      </w:r>
      <w:r w:rsidR="00233278" w:rsidRPr="00233278">
        <w:rPr>
          <w:rFonts w:ascii="Palatino Linotype" w:eastAsiaTheme="minorHAnsi" w:hAnsi="Palatino Linotype" w:cstheme="minorBidi"/>
          <w:i/>
          <w:color w:val="000000"/>
          <w:sz w:val="22"/>
          <w:szCs w:val="22"/>
          <w:lang w:eastAsia="en-US"/>
        </w:rPr>
        <w:t>LA CLASIFICACIÓN DE LAS BASES DE DATOS</w:t>
      </w:r>
      <w:r w:rsidRPr="00037B15">
        <w:rPr>
          <w:rFonts w:ascii="Palatino Linotype" w:eastAsiaTheme="minorHAnsi" w:hAnsi="Palatino Linotype" w:cstheme="minorBidi"/>
          <w:i/>
          <w:color w:val="000000"/>
          <w:sz w:val="22"/>
          <w:szCs w:val="22"/>
          <w:lang w:eastAsia="en-US"/>
        </w:rPr>
        <w:t>” (Sic).</w:t>
      </w:r>
    </w:p>
    <w:p w:rsidR="00C81B8A" w:rsidRPr="00037B15" w:rsidRDefault="00C81B8A" w:rsidP="006C67F7">
      <w:pPr>
        <w:spacing w:line="259" w:lineRule="auto"/>
        <w:ind w:left="720"/>
        <w:jc w:val="both"/>
        <w:rPr>
          <w:rFonts w:ascii="Palatino Linotype" w:hAnsi="Palatino Linotype" w:cs="Arial"/>
          <w:b/>
          <w:sz w:val="26"/>
          <w:szCs w:val="26"/>
        </w:rPr>
      </w:pPr>
    </w:p>
    <w:p w:rsidR="00C81B8A" w:rsidRPr="00304479" w:rsidRDefault="00C81B8A" w:rsidP="006C67F7">
      <w:pPr>
        <w:pStyle w:val="Prrafodelista"/>
        <w:numPr>
          <w:ilvl w:val="0"/>
          <w:numId w:val="1"/>
        </w:numPr>
        <w:jc w:val="both"/>
        <w:rPr>
          <w:rFonts w:ascii="Palatino Linotype" w:hAnsi="Palatino Linotype"/>
          <w:i/>
          <w:sz w:val="26"/>
          <w:szCs w:val="26"/>
        </w:rPr>
      </w:pPr>
      <w:r w:rsidRPr="00037B15">
        <w:rPr>
          <w:rFonts w:ascii="Palatino Linotype" w:hAnsi="Palatino Linotype" w:cs="Arial"/>
          <w:b/>
          <w:sz w:val="26"/>
          <w:szCs w:val="26"/>
        </w:rPr>
        <w:t>Razones o Motivos de Inconformidad</w:t>
      </w:r>
      <w:r w:rsidRPr="00037B15">
        <w:rPr>
          <w:rFonts w:ascii="Palatino Linotype" w:hAnsi="Palatino Linotype" w:cs="Arial"/>
          <w:sz w:val="26"/>
          <w:szCs w:val="26"/>
        </w:rPr>
        <w:t xml:space="preserve">: </w:t>
      </w:r>
    </w:p>
    <w:p w:rsidR="00C81B8A" w:rsidRPr="00304479" w:rsidRDefault="00C81B8A" w:rsidP="006C67F7">
      <w:pPr>
        <w:pStyle w:val="Prrafodelista"/>
        <w:ind w:left="720"/>
        <w:jc w:val="both"/>
        <w:rPr>
          <w:rFonts w:ascii="Palatino Linotype" w:hAnsi="Palatino Linotype"/>
          <w:i/>
          <w:sz w:val="26"/>
          <w:szCs w:val="26"/>
        </w:rPr>
      </w:pPr>
      <w:r w:rsidRPr="00037B15">
        <w:rPr>
          <w:rFonts w:ascii="Palatino Linotype" w:eastAsiaTheme="minorHAnsi" w:hAnsi="Palatino Linotype" w:cs="Arial"/>
          <w:i/>
          <w:sz w:val="22"/>
          <w:szCs w:val="22"/>
          <w:lang w:eastAsia="en-US"/>
        </w:rPr>
        <w:lastRenderedPageBreak/>
        <w:t>“</w:t>
      </w:r>
      <w:r w:rsidR="00233278" w:rsidRPr="00233278">
        <w:rPr>
          <w:rFonts w:ascii="Palatino Linotype" w:eastAsiaTheme="minorHAnsi" w:hAnsi="Palatino Linotype" w:cstheme="minorBidi"/>
          <w:b/>
          <w:i/>
          <w:color w:val="000000"/>
          <w:sz w:val="22"/>
          <w:szCs w:val="22"/>
          <w:lang w:eastAsia="en-US"/>
        </w:rPr>
        <w:t>LAS BASES DE DATOS</w:t>
      </w:r>
      <w:r w:rsidR="00233278" w:rsidRPr="00233278">
        <w:rPr>
          <w:rFonts w:ascii="Palatino Linotype" w:eastAsiaTheme="minorHAnsi" w:hAnsi="Palatino Linotype" w:cstheme="minorBidi"/>
          <w:i/>
          <w:color w:val="000000"/>
          <w:sz w:val="22"/>
          <w:szCs w:val="22"/>
          <w:lang w:eastAsia="en-US"/>
        </w:rPr>
        <w:t>, COMO LA LEY DE LA MATERIA LO REFIERE CONTIENEN DATOS PERSONALES, NO INFORMACIÓN QUE REQUIERA LA PRUBA DE DAÑO, QUE PUDIERA PONER EN RIESGO LA SEGURIDAD PÚBLICA CON SU DIVULGACIÓN. POR OTRA PARTE, SI EL NOMBRE DE LAS BASES DE DATOS FUERA RESERVADA, POR QUÉ EN SU PÁGINA EN EL APARTADO DE AVISOS DE PRIVACIDAD ESTÁ EL NOMBRE DE LAS BASES DE DATOS, LA DIRECCIÓN DE TRANSPARENCIA DESCONOCE LO QUE PUBLICAN O BIEN PECA DE INGENUA, O BIEN DECONOCE LAS LEYES, EL MOTIVO DE SOLICITARLAS ES PARA FINES ESTADÍSTICOS. POR TODO LO ANTERIOR SOLICITO AL INFOEM ANALIZAR SU ABSURDA E INCONGRUENTE CLASIFICACIÓN, YA QUE SI TRATAN DE CLASIFICAR LAS BASES DE DATOS QUE ES INFORMACIÓN CONFIDENCIAL Y LA CLASIFICAN COMO RESERVADA. FALTA DE CONOCIMIENTO DEL PERSONAL DE TRANSPARENCIA QUE TRATA DE CLASIFICAR ALGO QUE ES PÚBLICO</w:t>
      </w:r>
      <w:r w:rsidRPr="00037B15">
        <w:rPr>
          <w:rFonts w:ascii="Palatino Linotype" w:eastAsiaTheme="minorHAnsi" w:hAnsi="Palatino Linotype" w:cstheme="minorBidi"/>
          <w:i/>
          <w:color w:val="000000"/>
          <w:sz w:val="22"/>
          <w:szCs w:val="22"/>
          <w:lang w:eastAsia="en-US"/>
        </w:rPr>
        <w:t>” (Sic)</w:t>
      </w:r>
    </w:p>
    <w:p w:rsidR="00C81B8A" w:rsidRPr="00037B15" w:rsidRDefault="00C81B8A" w:rsidP="006C67F7">
      <w:pPr>
        <w:spacing w:line="360" w:lineRule="auto"/>
        <w:jc w:val="both"/>
        <w:rPr>
          <w:rFonts w:ascii="Palatino Linotype" w:eastAsiaTheme="minorHAnsi" w:hAnsi="Palatino Linotype" w:cs="Arial"/>
          <w:b/>
          <w:lang w:eastAsia="en-US"/>
        </w:rPr>
      </w:pPr>
    </w:p>
    <w:p w:rsidR="00C81B8A" w:rsidRPr="00037B15" w:rsidRDefault="00C81B8A" w:rsidP="006C67F7">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SEX</w:t>
      </w:r>
      <w:r w:rsidRPr="00037B15">
        <w:rPr>
          <w:rFonts w:ascii="Palatino Linotype" w:eastAsiaTheme="minorHAnsi" w:hAnsi="Palatino Linotype" w:cs="Arial"/>
          <w:b/>
          <w:sz w:val="28"/>
          <w:lang w:eastAsia="en-US"/>
        </w:rPr>
        <w:t>TO. Del turno del recurso de revisión.</w:t>
      </w:r>
    </w:p>
    <w:p w:rsidR="00C81B8A" w:rsidRPr="00037B15" w:rsidRDefault="00C81B8A" w:rsidP="006C67F7">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Medio de impugnación que le fue turnado al Comisionado Presidente </w:t>
      </w:r>
      <w:r w:rsidRPr="00037B15">
        <w:rPr>
          <w:rFonts w:ascii="Palatino Linotype" w:eastAsiaTheme="minorHAnsi" w:hAnsi="Palatino Linotype" w:cs="Arial"/>
          <w:b/>
          <w:lang w:eastAsia="en-US"/>
        </w:rPr>
        <w:t>José Martínez Vilchis</w:t>
      </w:r>
      <w:r w:rsidRPr="00037B15">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00233278">
        <w:rPr>
          <w:rFonts w:ascii="Palatino Linotype" w:eastAsiaTheme="minorHAnsi" w:hAnsi="Palatino Linotype" w:cs="Arial"/>
          <w:b/>
          <w:lang w:eastAsia="en-US"/>
        </w:rPr>
        <w:t xml:space="preserve">trece </w:t>
      </w:r>
      <w:r w:rsidRPr="00A86565">
        <w:rPr>
          <w:rFonts w:ascii="Palatino Linotype" w:eastAsiaTheme="minorHAnsi" w:hAnsi="Palatino Linotype" w:cs="Arial"/>
          <w:b/>
          <w:lang w:eastAsia="en-US"/>
        </w:rPr>
        <w:t xml:space="preserve">de </w:t>
      </w:r>
      <w:r>
        <w:rPr>
          <w:rFonts w:ascii="Palatino Linotype" w:eastAsiaTheme="minorHAnsi" w:hAnsi="Palatino Linotype" w:cs="Arial"/>
          <w:b/>
          <w:lang w:eastAsia="en-US"/>
        </w:rPr>
        <w:t>septiembre</w:t>
      </w:r>
      <w:r w:rsidRPr="00A86565">
        <w:rPr>
          <w:rFonts w:ascii="Palatino Linotype" w:eastAsiaTheme="minorHAnsi" w:hAnsi="Palatino Linotype" w:cs="Arial"/>
          <w:b/>
          <w:lang w:eastAsia="en-US"/>
        </w:rPr>
        <w:t xml:space="preserve"> de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rsidR="00C81B8A" w:rsidRPr="00AE33E3" w:rsidRDefault="00C81B8A" w:rsidP="006C67F7">
      <w:pPr>
        <w:spacing w:line="360" w:lineRule="auto"/>
        <w:jc w:val="both"/>
        <w:rPr>
          <w:rFonts w:ascii="Palatino Linotype" w:eastAsiaTheme="minorHAnsi" w:hAnsi="Palatino Linotype" w:cs="Arial"/>
          <w:b/>
          <w:lang w:eastAsia="en-US"/>
        </w:rPr>
      </w:pPr>
    </w:p>
    <w:p w:rsidR="00C81B8A" w:rsidRPr="00037B15" w:rsidRDefault="00C81B8A" w:rsidP="006C67F7">
      <w:pPr>
        <w:spacing w:line="360" w:lineRule="auto"/>
        <w:jc w:val="both"/>
        <w:rPr>
          <w:rFonts w:ascii="Palatino Linotype" w:eastAsiaTheme="minorHAnsi" w:hAnsi="Palatino Linotype" w:cs="Arial"/>
          <w:b/>
          <w:sz w:val="28"/>
          <w:lang w:eastAsia="en-US"/>
        </w:rPr>
      </w:pPr>
      <w:r>
        <w:rPr>
          <w:rFonts w:ascii="Palatino Linotype" w:eastAsiaTheme="minorHAnsi" w:hAnsi="Palatino Linotype" w:cs="Arial"/>
          <w:b/>
          <w:sz w:val="28"/>
          <w:lang w:eastAsia="en-US"/>
        </w:rPr>
        <w:t>SÉPTIM</w:t>
      </w:r>
      <w:r w:rsidRPr="00037B15">
        <w:rPr>
          <w:rFonts w:ascii="Palatino Linotype" w:eastAsiaTheme="minorHAnsi" w:hAnsi="Palatino Linotype" w:cs="Arial"/>
          <w:b/>
          <w:sz w:val="28"/>
          <w:lang w:eastAsia="en-US"/>
        </w:rPr>
        <w:t>O. De la etapa de manifestaciones y/o alegatos.</w:t>
      </w:r>
    </w:p>
    <w:p w:rsidR="00C81B8A" w:rsidRPr="000B61B4" w:rsidRDefault="00C81B8A" w:rsidP="006C67F7">
      <w:pPr>
        <w:spacing w:line="360" w:lineRule="auto"/>
        <w:jc w:val="both"/>
        <w:rPr>
          <w:rFonts w:ascii="Palatino Linotype" w:hAnsi="Palatino Linotype" w:cs="Arial"/>
        </w:rPr>
      </w:pPr>
      <w:r w:rsidRPr="00037B15">
        <w:rPr>
          <w:rFonts w:ascii="Palatino Linotype" w:eastAsiaTheme="minorHAnsi" w:hAnsi="Palatino Linotype" w:cs="Arial"/>
          <w:lang w:eastAsia="en-US"/>
        </w:rPr>
        <w:t xml:space="preserve">Una vez transcurrido el término legal referido </w:t>
      </w:r>
      <w:r>
        <w:rPr>
          <w:rFonts w:ascii="Palatino Linotype" w:eastAsiaTheme="minorHAnsi" w:hAnsi="Palatino Linotype" w:cs="Arial"/>
          <w:b/>
          <w:lang w:eastAsia="en-US"/>
        </w:rPr>
        <w:t>e</w:t>
      </w:r>
      <w:r w:rsidRPr="00037B15">
        <w:rPr>
          <w:rFonts w:ascii="Palatino Linotype" w:eastAsiaTheme="minorHAnsi" w:hAnsi="Palatino Linotype" w:cs="Arial"/>
          <w:b/>
          <w:lang w:eastAsia="en-US"/>
        </w:rPr>
        <w:t>l Sujeto Obligado</w:t>
      </w:r>
      <w:r w:rsidRPr="00037B15">
        <w:rPr>
          <w:rFonts w:ascii="Palatino Linotype" w:eastAsiaTheme="minorHAnsi" w:hAnsi="Palatino Linotype" w:cs="Arial"/>
          <w:lang w:eastAsia="en-US"/>
        </w:rPr>
        <w:t xml:space="preserve"> </w:t>
      </w:r>
      <w:r w:rsidR="00233278">
        <w:rPr>
          <w:rFonts w:ascii="Palatino Linotype" w:eastAsiaTheme="minorHAnsi" w:hAnsi="Palatino Linotype" w:cs="Arial"/>
          <w:lang w:eastAsia="en-US"/>
        </w:rPr>
        <w:t>rindi</w:t>
      </w:r>
      <w:r>
        <w:rPr>
          <w:rFonts w:ascii="Palatino Linotype" w:eastAsiaTheme="minorHAnsi" w:hAnsi="Palatino Linotype" w:cs="Arial"/>
          <w:lang w:eastAsia="en-US"/>
        </w:rPr>
        <w:t>ó</w:t>
      </w:r>
      <w:r w:rsidRPr="00037B15">
        <w:rPr>
          <w:rFonts w:ascii="Palatino Linotype" w:eastAsiaTheme="minorHAnsi" w:hAnsi="Palatino Linotype" w:cs="Arial"/>
          <w:lang w:eastAsia="en-US"/>
        </w:rPr>
        <w:t xml:space="preserve"> </w:t>
      </w:r>
      <w:r w:rsidR="00233278">
        <w:rPr>
          <w:rFonts w:ascii="Palatino Linotype" w:eastAsiaTheme="minorHAnsi" w:hAnsi="Palatino Linotype" w:cs="Arial"/>
          <w:lang w:eastAsia="en-US"/>
        </w:rPr>
        <w:t>s</w:t>
      </w:r>
      <w:r w:rsidRPr="00037B15">
        <w:rPr>
          <w:rFonts w:ascii="Palatino Linotype" w:eastAsiaTheme="minorHAnsi" w:hAnsi="Palatino Linotype" w:cs="Arial"/>
          <w:lang w:eastAsia="en-US"/>
        </w:rPr>
        <w:t>u informe justificado</w:t>
      </w:r>
      <w:r w:rsidR="00233278">
        <w:rPr>
          <w:rFonts w:ascii="Palatino Linotype" w:eastAsiaTheme="minorHAnsi" w:hAnsi="Palatino Linotype" w:cs="Arial"/>
          <w:lang w:eastAsia="en-US"/>
        </w:rPr>
        <w:t xml:space="preserve"> el </w:t>
      </w:r>
      <w:r w:rsidR="00233278" w:rsidRPr="00233278">
        <w:rPr>
          <w:rFonts w:ascii="Palatino Linotype" w:eastAsiaTheme="minorHAnsi" w:hAnsi="Palatino Linotype" w:cs="Arial"/>
          <w:b/>
          <w:lang w:eastAsia="en-US"/>
        </w:rPr>
        <w:t>veinticinco de septiembre de dos mil veinticuatro</w:t>
      </w:r>
      <w:r w:rsidR="00233278">
        <w:rPr>
          <w:rFonts w:ascii="Palatino Linotype" w:eastAsiaTheme="minorHAnsi" w:hAnsi="Palatino Linotype" w:cs="Arial"/>
          <w:lang w:eastAsia="en-US"/>
        </w:rPr>
        <w:t>, a través del archivo electrónico denominado “</w:t>
      </w:r>
      <w:r w:rsidR="00233278" w:rsidRPr="00233278">
        <w:rPr>
          <w:rFonts w:ascii="Palatino Linotype" w:eastAsiaTheme="minorHAnsi" w:hAnsi="Palatino Linotype" w:cs="Arial"/>
          <w:lang w:eastAsia="en-US"/>
        </w:rPr>
        <w:t>Informe Justificado 5565.pdf</w:t>
      </w:r>
      <w:r w:rsidR="00233278">
        <w:rPr>
          <w:rFonts w:ascii="Palatino Linotype" w:eastAsiaTheme="minorHAnsi" w:hAnsi="Palatino Linotype" w:cs="Arial"/>
          <w:lang w:eastAsia="en-US"/>
        </w:rPr>
        <w:t xml:space="preserve">”, el cual fue puesto a la vista de la parte Recurrente el </w:t>
      </w:r>
      <w:r w:rsidR="00233278" w:rsidRPr="00233278">
        <w:rPr>
          <w:rFonts w:ascii="Palatino Linotype" w:eastAsiaTheme="minorHAnsi" w:hAnsi="Palatino Linotype" w:cs="Arial"/>
          <w:b/>
          <w:lang w:eastAsia="en-US"/>
        </w:rPr>
        <w:t>dieciséis de octubre de dos mil veinticuatro</w:t>
      </w:r>
      <w:r>
        <w:rPr>
          <w:rFonts w:ascii="Palatino Linotype" w:eastAsiaTheme="minorHAnsi" w:hAnsi="Palatino Linotype" w:cs="Arial"/>
          <w:lang w:eastAsia="en-US"/>
        </w:rPr>
        <w:t xml:space="preserve">. </w:t>
      </w:r>
      <w:r>
        <w:rPr>
          <w:rFonts w:ascii="Palatino Linotype" w:hAnsi="Palatino Linotype" w:cs="Arial"/>
        </w:rPr>
        <w:t>Asimismo, se advierte qu</w:t>
      </w:r>
      <w:r w:rsidRPr="000B61B4">
        <w:rPr>
          <w:rFonts w:ascii="Palatino Linotype" w:hAnsi="Palatino Linotype" w:cs="Arial"/>
        </w:rPr>
        <w:t xml:space="preserve">e </w:t>
      </w:r>
      <w:r w:rsidRPr="00C050A9">
        <w:rPr>
          <w:rFonts w:ascii="Palatino Linotype" w:hAnsi="Palatino Linotype" w:cs="Arial"/>
        </w:rPr>
        <w:t>l</w:t>
      </w:r>
      <w:r>
        <w:rPr>
          <w:rFonts w:ascii="Palatino Linotype" w:hAnsi="Palatino Linotype" w:cs="Arial"/>
        </w:rPr>
        <w:t xml:space="preserve">a </w:t>
      </w:r>
      <w:r w:rsidR="00233278">
        <w:rPr>
          <w:rFonts w:ascii="Palatino Linotype" w:hAnsi="Palatino Linotype" w:cs="Arial"/>
        </w:rPr>
        <w:t xml:space="preserve">parte </w:t>
      </w:r>
      <w:r w:rsidRPr="000B61B4">
        <w:rPr>
          <w:rFonts w:ascii="Palatino Linotype" w:hAnsi="Palatino Linotype" w:cs="Arial"/>
          <w:b/>
        </w:rPr>
        <w:t>Recurrente</w:t>
      </w:r>
      <w:r w:rsidRPr="000B61B4">
        <w:rPr>
          <w:rFonts w:ascii="Palatino Linotype" w:hAnsi="Palatino Linotype" w:cs="Arial"/>
        </w:rPr>
        <w:t xml:space="preserve">, </w:t>
      </w:r>
      <w:r>
        <w:rPr>
          <w:rFonts w:ascii="Palatino Linotype" w:hAnsi="Palatino Linotype" w:cs="Arial"/>
        </w:rPr>
        <w:t xml:space="preserve">no realizó alegatos, ni remitió </w:t>
      </w:r>
      <w:r w:rsidRPr="000B61B4">
        <w:rPr>
          <w:rFonts w:ascii="Palatino Linotype" w:hAnsi="Palatino Linotype" w:cs="Arial"/>
        </w:rPr>
        <w:t>pruebas o manifestaciones.</w:t>
      </w:r>
    </w:p>
    <w:p w:rsidR="00C81B8A" w:rsidRPr="000A1E7A" w:rsidRDefault="00C81B8A" w:rsidP="006C67F7">
      <w:pPr>
        <w:tabs>
          <w:tab w:val="left" w:pos="3206"/>
        </w:tabs>
        <w:spacing w:line="360" w:lineRule="auto"/>
        <w:jc w:val="both"/>
        <w:rPr>
          <w:rFonts w:ascii="Palatino Linotype" w:eastAsiaTheme="minorHAnsi" w:hAnsi="Palatino Linotype" w:cs="Arial"/>
          <w:b/>
          <w:lang w:eastAsia="en-US"/>
        </w:rPr>
      </w:pPr>
    </w:p>
    <w:p w:rsidR="00C81B8A" w:rsidRPr="00037B15" w:rsidRDefault="00C81B8A" w:rsidP="006C67F7">
      <w:pPr>
        <w:tabs>
          <w:tab w:val="left" w:pos="3206"/>
        </w:tabs>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lastRenderedPageBreak/>
        <w:t>O</w:t>
      </w:r>
      <w:r>
        <w:rPr>
          <w:rFonts w:ascii="Palatino Linotype" w:eastAsiaTheme="minorHAnsi" w:hAnsi="Palatino Linotype" w:cs="Arial"/>
          <w:b/>
          <w:sz w:val="28"/>
          <w:lang w:eastAsia="en-US"/>
        </w:rPr>
        <w:t>CTAVO</w:t>
      </w:r>
      <w:r w:rsidRPr="00037B15">
        <w:rPr>
          <w:rFonts w:ascii="Palatino Linotype" w:eastAsiaTheme="minorHAnsi" w:hAnsi="Palatino Linotype" w:cs="Arial"/>
          <w:b/>
          <w:sz w:val="28"/>
          <w:lang w:eastAsia="en-US"/>
        </w:rPr>
        <w:t>. Del cierre de instrucción.</w:t>
      </w:r>
      <w:r w:rsidRPr="00037B15">
        <w:rPr>
          <w:rFonts w:ascii="Palatino Linotype" w:eastAsiaTheme="minorHAnsi" w:hAnsi="Palatino Linotype" w:cs="Arial"/>
          <w:b/>
          <w:sz w:val="28"/>
          <w:lang w:eastAsia="en-US"/>
        </w:rPr>
        <w:tab/>
      </w:r>
    </w:p>
    <w:p w:rsidR="00C81B8A" w:rsidRPr="00037B15" w:rsidRDefault="00C81B8A" w:rsidP="006C67F7">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U</w:t>
      </w:r>
      <w:r w:rsidRPr="00037B15">
        <w:rPr>
          <w:rFonts w:ascii="Palatino Linotype" w:eastAsiaTheme="minorHAnsi" w:hAnsi="Palatino Linotype" w:cs="Arial"/>
          <w:lang w:eastAsia="en-US"/>
        </w:rPr>
        <w:t xml:space="preserve">na vez transcurrido el término legal, </w:t>
      </w:r>
      <w:r>
        <w:rPr>
          <w:rFonts w:ascii="Palatino Linotype" w:eastAsiaTheme="minorHAnsi" w:hAnsi="Palatino Linotype" w:cs="Arial"/>
          <w:lang w:eastAsia="en-US"/>
        </w:rPr>
        <w:t>se</w:t>
      </w:r>
      <w:r w:rsidRPr="00037B15">
        <w:rPr>
          <w:rFonts w:ascii="Palatino Linotype" w:eastAsiaTheme="minorHAnsi" w:hAnsi="Palatino Linotype" w:cs="Arial"/>
          <w:lang w:eastAsia="en-US"/>
        </w:rPr>
        <w:t xml:space="preserve"> decret</w:t>
      </w:r>
      <w:r>
        <w:rPr>
          <w:rFonts w:ascii="Palatino Linotype" w:eastAsiaTheme="minorHAnsi" w:hAnsi="Palatino Linotype" w:cs="Arial"/>
          <w:lang w:eastAsia="en-US"/>
        </w:rPr>
        <w:t>ó</w:t>
      </w:r>
      <w:r w:rsidRPr="00037B15">
        <w:rPr>
          <w:rFonts w:ascii="Palatino Linotype" w:eastAsiaTheme="minorHAnsi" w:hAnsi="Palatino Linotype" w:cs="Arial"/>
          <w:lang w:eastAsia="en-US"/>
        </w:rPr>
        <w:t xml:space="preserve"> el cierre de instrucción en fecha </w:t>
      </w:r>
      <w:r w:rsidR="00233278">
        <w:rPr>
          <w:rFonts w:ascii="Palatino Linotype" w:eastAsiaTheme="minorHAnsi" w:hAnsi="Palatino Linotype" w:cs="Arial"/>
          <w:b/>
          <w:lang w:eastAsia="en-US"/>
        </w:rPr>
        <w:t xml:space="preserve">veintitrés </w:t>
      </w:r>
      <w:r>
        <w:rPr>
          <w:rFonts w:ascii="Palatino Linotype" w:eastAsiaTheme="minorHAnsi" w:hAnsi="Palatino Linotype" w:cs="Arial"/>
          <w:b/>
          <w:lang w:eastAsia="en-US"/>
        </w:rPr>
        <w:t xml:space="preserve">de </w:t>
      </w:r>
      <w:r w:rsidR="00233278">
        <w:rPr>
          <w:rFonts w:ascii="Palatino Linotype" w:eastAsiaTheme="minorHAnsi" w:hAnsi="Palatino Linotype" w:cs="Arial"/>
          <w:b/>
          <w:lang w:eastAsia="en-US"/>
        </w:rPr>
        <w:t>oc</w:t>
      </w:r>
      <w:r>
        <w:rPr>
          <w:rFonts w:ascii="Palatino Linotype" w:eastAsiaTheme="minorHAnsi" w:hAnsi="Palatino Linotype" w:cs="Arial"/>
          <w:b/>
          <w:lang w:eastAsia="en-US"/>
        </w:rPr>
        <w:t>t</w:t>
      </w:r>
      <w:r w:rsidR="00233278">
        <w:rPr>
          <w:rFonts w:ascii="Palatino Linotype" w:eastAsiaTheme="minorHAnsi" w:hAnsi="Palatino Linotype" w:cs="Arial"/>
          <w:b/>
          <w:lang w:eastAsia="en-US"/>
        </w:rPr>
        <w:t>u</w:t>
      </w:r>
      <w:r>
        <w:rPr>
          <w:rFonts w:ascii="Palatino Linotype" w:eastAsiaTheme="minorHAnsi" w:hAnsi="Palatino Linotype" w:cs="Arial"/>
          <w:b/>
          <w:lang w:eastAsia="en-US"/>
        </w:rPr>
        <w:t>bre</w:t>
      </w:r>
      <w:r w:rsidRPr="00C031B6">
        <w:rPr>
          <w:rFonts w:ascii="Palatino Linotype" w:eastAsiaTheme="minorHAnsi" w:hAnsi="Palatino Linotype" w:cs="Arial"/>
          <w:b/>
          <w:lang w:eastAsia="en-US"/>
        </w:rPr>
        <w:t xml:space="preserve"> del año en dos mil veinti</w:t>
      </w:r>
      <w:r>
        <w:rPr>
          <w:rFonts w:ascii="Palatino Linotype" w:eastAsiaTheme="minorHAnsi" w:hAnsi="Palatino Linotype" w:cs="Arial"/>
          <w:b/>
          <w:lang w:eastAsia="en-US"/>
        </w:rPr>
        <w:t>cuatro</w:t>
      </w:r>
      <w:r w:rsidRPr="00037B15">
        <w:rPr>
          <w:rFonts w:ascii="Palatino Linotype" w:eastAsiaTheme="minorHAnsi" w:hAnsi="Palatino Linotype" w:cs="Arial"/>
          <w:lang w:eastAsia="en-US"/>
        </w:rPr>
        <w:t xml:space="preserve">, en términos del artículo 185, </w:t>
      </w:r>
      <w:r>
        <w:rPr>
          <w:rFonts w:ascii="Palatino Linotype" w:eastAsiaTheme="minorHAnsi" w:hAnsi="Palatino Linotype" w:cs="Arial"/>
          <w:lang w:eastAsia="en-US"/>
        </w:rPr>
        <w:t>f</w:t>
      </w:r>
      <w:r w:rsidRPr="00037B15">
        <w:rPr>
          <w:rFonts w:ascii="Palatino Linotype" w:eastAsiaTheme="minorHAnsi" w:hAnsi="Palatino Linotype" w:cs="Arial"/>
          <w:lang w:eastAsia="en-US"/>
        </w:rPr>
        <w:t>racción VI, de la Ley de Transparencia y Acceso a la Información Pública del Estado de México y Municipios, iniciando el término legal para dictar resolución definitiva del asunto.</w:t>
      </w:r>
    </w:p>
    <w:p w:rsidR="00C81B8A" w:rsidRDefault="00C81B8A" w:rsidP="006C67F7">
      <w:pPr>
        <w:spacing w:line="360" w:lineRule="auto"/>
        <w:jc w:val="both"/>
        <w:rPr>
          <w:rFonts w:ascii="Palatino Linotype" w:eastAsiaTheme="minorHAnsi" w:hAnsi="Palatino Linotype" w:cs="Arial"/>
          <w:lang w:eastAsia="en-US"/>
        </w:rPr>
      </w:pPr>
    </w:p>
    <w:p w:rsidR="00C81B8A" w:rsidRPr="00C220D0" w:rsidRDefault="00C81B8A" w:rsidP="006C67F7">
      <w:pPr>
        <w:pStyle w:val="Sinespaciado"/>
        <w:spacing w:line="360" w:lineRule="auto"/>
        <w:jc w:val="both"/>
        <w:rPr>
          <w:rFonts w:ascii="Palatino Linotype" w:hAnsi="Palatino Linotype" w:cs="Arial"/>
          <w:b/>
          <w:sz w:val="28"/>
          <w:szCs w:val="28"/>
        </w:rPr>
      </w:pPr>
      <w:r>
        <w:rPr>
          <w:rFonts w:ascii="Palatino Linotype" w:hAnsi="Palatino Linotype" w:cs="Arial"/>
          <w:b/>
          <w:sz w:val="28"/>
        </w:rPr>
        <w:t>NOVEN</w:t>
      </w:r>
      <w:r w:rsidRPr="00667998">
        <w:rPr>
          <w:rFonts w:ascii="Palatino Linotype" w:hAnsi="Palatino Linotype" w:cs="Arial"/>
          <w:b/>
          <w:sz w:val="28"/>
        </w:rPr>
        <w:t xml:space="preserve">O. </w:t>
      </w:r>
      <w:r w:rsidRPr="00667998">
        <w:rPr>
          <w:rFonts w:ascii="Palatino Linotype" w:hAnsi="Palatino Linotype" w:cs="Arial"/>
          <w:b/>
          <w:sz w:val="28"/>
          <w:szCs w:val="28"/>
        </w:rPr>
        <w:t>De</w:t>
      </w:r>
      <w:r>
        <w:rPr>
          <w:rFonts w:ascii="Palatino Linotype" w:hAnsi="Palatino Linotype" w:cs="Arial"/>
          <w:b/>
          <w:sz w:val="28"/>
          <w:szCs w:val="28"/>
        </w:rPr>
        <w:t xml:space="preserve"> </w:t>
      </w:r>
      <w:r w:rsidRPr="00667998">
        <w:rPr>
          <w:rFonts w:ascii="Palatino Linotype" w:hAnsi="Palatino Linotype" w:cs="Arial"/>
          <w:b/>
          <w:sz w:val="28"/>
          <w:szCs w:val="28"/>
        </w:rPr>
        <w:t xml:space="preserve">la </w:t>
      </w:r>
      <w:r>
        <w:rPr>
          <w:rFonts w:ascii="Palatino Linotype" w:hAnsi="Palatino Linotype" w:cs="Arial"/>
          <w:b/>
          <w:sz w:val="28"/>
          <w:szCs w:val="28"/>
        </w:rPr>
        <w:t>ampliación del término para resolver</w:t>
      </w:r>
      <w:r w:rsidRPr="00667998">
        <w:rPr>
          <w:rFonts w:ascii="Palatino Linotype" w:hAnsi="Palatino Linotype" w:cs="Arial"/>
          <w:b/>
          <w:sz w:val="28"/>
          <w:szCs w:val="28"/>
        </w:rPr>
        <w:t>.</w:t>
      </w:r>
    </w:p>
    <w:p w:rsidR="00C81B8A" w:rsidRDefault="00C81B8A" w:rsidP="006C67F7">
      <w:pPr>
        <w:spacing w:line="360" w:lineRule="auto"/>
        <w:jc w:val="both"/>
        <w:rPr>
          <w:rFonts w:ascii="Palatino Linotype" w:hAnsi="Palatino Linotype" w:cs="Arial"/>
        </w:rPr>
      </w:pPr>
      <w:r w:rsidRPr="0076590D">
        <w:rPr>
          <w:rFonts w:ascii="Palatino Linotype" w:hAnsi="Palatino Linotype" w:cs="Arial"/>
        </w:rPr>
        <w:t>De las constancias que integran el expediente electrónico, se advierte que han transcurrido los términos de Ley, para la emisión de la resolución en el presente recurso de revisión, por lo que en</w:t>
      </w:r>
      <w:r w:rsidRPr="00667998">
        <w:rPr>
          <w:rFonts w:ascii="Palatino Linotype" w:hAnsi="Palatino Linotype" w:cs="Arial"/>
        </w:rPr>
        <w:t xml:space="preserve"> fecha </w:t>
      </w:r>
      <w:r w:rsidR="00233278">
        <w:rPr>
          <w:rFonts w:ascii="Palatino Linotype" w:hAnsi="Palatino Linotype" w:cs="Arial"/>
          <w:b/>
        </w:rPr>
        <w:t>cuatro</w:t>
      </w:r>
      <w:r>
        <w:rPr>
          <w:rFonts w:ascii="Palatino Linotype" w:hAnsi="Palatino Linotype" w:cs="Arial"/>
          <w:b/>
        </w:rPr>
        <w:t xml:space="preserve"> de </w:t>
      </w:r>
      <w:r w:rsidR="00233278">
        <w:rPr>
          <w:rFonts w:ascii="Palatino Linotype" w:hAnsi="Palatino Linotype" w:cs="Arial"/>
          <w:b/>
        </w:rPr>
        <w:t>noviem</w:t>
      </w:r>
      <w:r>
        <w:rPr>
          <w:rFonts w:ascii="Palatino Linotype" w:hAnsi="Palatino Linotype" w:cs="Arial"/>
          <w:b/>
        </w:rPr>
        <w:t xml:space="preserve">bre </w:t>
      </w:r>
      <w:r w:rsidRPr="002C133B">
        <w:rPr>
          <w:rFonts w:ascii="Palatino Linotype" w:hAnsi="Palatino Linotype" w:cs="Arial"/>
          <w:b/>
        </w:rPr>
        <w:t>del año dos mil veinti</w:t>
      </w:r>
      <w:r>
        <w:rPr>
          <w:rFonts w:ascii="Palatino Linotype" w:hAnsi="Palatino Linotype" w:cs="Arial"/>
          <w:b/>
        </w:rPr>
        <w:t>cuatro</w:t>
      </w:r>
      <w:r w:rsidRPr="00667998">
        <w:rPr>
          <w:rFonts w:ascii="Palatino Linotype" w:hAnsi="Palatino Linotype" w:cs="Arial"/>
        </w:rPr>
        <w:t xml:space="preserve">, </w:t>
      </w:r>
      <w:r w:rsidRPr="0076590D">
        <w:rPr>
          <w:rFonts w:ascii="Palatino Linotype" w:hAnsi="Palatino Linotype" w:cs="Arial"/>
        </w:rPr>
        <w:t>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C81B8A" w:rsidRPr="00AE33E3" w:rsidRDefault="00C81B8A" w:rsidP="006C67F7">
      <w:pPr>
        <w:spacing w:line="360" w:lineRule="auto"/>
        <w:jc w:val="both"/>
        <w:rPr>
          <w:rFonts w:ascii="Palatino Linotype" w:eastAsiaTheme="minorHAnsi" w:hAnsi="Palatino Linotype" w:cs="Arial"/>
          <w:b/>
          <w:lang w:eastAsia="en-US"/>
        </w:rPr>
      </w:pPr>
    </w:p>
    <w:p w:rsidR="00C81B8A" w:rsidRPr="00037B15" w:rsidRDefault="00C81B8A" w:rsidP="006C67F7">
      <w:pPr>
        <w:spacing w:line="360" w:lineRule="auto"/>
        <w:jc w:val="center"/>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C O N S I D E R A N D O </w:t>
      </w:r>
    </w:p>
    <w:p w:rsidR="00C81B8A" w:rsidRPr="00AE33E3" w:rsidRDefault="00C81B8A" w:rsidP="006C67F7">
      <w:pPr>
        <w:spacing w:line="360" w:lineRule="auto"/>
        <w:jc w:val="center"/>
        <w:rPr>
          <w:rFonts w:ascii="Palatino Linotype" w:eastAsiaTheme="minorHAnsi" w:hAnsi="Palatino Linotype" w:cs="Arial"/>
          <w:b/>
          <w:lang w:eastAsia="en-US"/>
        </w:rPr>
      </w:pPr>
    </w:p>
    <w:p w:rsidR="00C81B8A" w:rsidRPr="00037B15" w:rsidRDefault="00C81B8A" w:rsidP="006C67F7">
      <w:pPr>
        <w:spacing w:line="360" w:lineRule="auto"/>
        <w:jc w:val="both"/>
        <w:rPr>
          <w:rFonts w:ascii="Palatino Linotype" w:eastAsiaTheme="minorHAnsi" w:hAnsi="Palatino Linotype" w:cs="Arial"/>
          <w:sz w:val="28"/>
          <w:lang w:eastAsia="en-US"/>
        </w:rPr>
      </w:pPr>
      <w:r w:rsidRPr="00037B15">
        <w:rPr>
          <w:rFonts w:ascii="Palatino Linotype" w:eastAsiaTheme="minorHAnsi" w:hAnsi="Palatino Linotype" w:cs="Arial"/>
          <w:b/>
          <w:sz w:val="28"/>
          <w:lang w:eastAsia="en-US"/>
        </w:rPr>
        <w:t>PRIMERO. De la competencia</w:t>
      </w:r>
      <w:r w:rsidRPr="00037B15">
        <w:rPr>
          <w:rFonts w:ascii="Palatino Linotype" w:eastAsiaTheme="minorHAnsi" w:hAnsi="Palatino Linotype" w:cs="Arial"/>
          <w:sz w:val="28"/>
          <w:lang w:eastAsia="en-US"/>
        </w:rPr>
        <w:t>.</w:t>
      </w:r>
    </w:p>
    <w:p w:rsidR="00C81B8A" w:rsidRPr="00037B15" w:rsidRDefault="00C81B8A" w:rsidP="006C67F7">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w:t>
      </w:r>
      <w:r>
        <w:rPr>
          <w:rFonts w:ascii="Palatino Linotype" w:eastAsiaTheme="minorHAnsi" w:hAnsi="Palatino Linotype" w:cs="Arial"/>
          <w:lang w:eastAsia="en-US"/>
        </w:rPr>
        <w:t xml:space="preserve">segundo, </w:t>
      </w:r>
      <w:r w:rsidRPr="00037B15">
        <w:rPr>
          <w:rFonts w:ascii="Palatino Linotype" w:eastAsiaTheme="minorHAnsi" w:hAnsi="Palatino Linotype" w:cs="Arial"/>
          <w:lang w:eastAsia="en-US"/>
        </w:rPr>
        <w:t xml:space="preserve">trigésimo </w:t>
      </w:r>
      <w:r>
        <w:rPr>
          <w:rFonts w:ascii="Palatino Linotype" w:eastAsiaTheme="minorHAnsi" w:hAnsi="Palatino Linotype" w:cs="Arial"/>
          <w:lang w:eastAsia="en-US"/>
        </w:rPr>
        <w:t>tercero y trigésimo</w:t>
      </w:r>
      <w:r w:rsidRPr="0010168B">
        <w:rPr>
          <w:rFonts w:ascii="Palatino Linotype" w:eastAsiaTheme="minorHAnsi" w:hAnsi="Palatino Linotype" w:cs="Arial"/>
          <w:lang w:eastAsia="en-US"/>
        </w:rPr>
        <w:t xml:space="preserve"> </w:t>
      </w:r>
      <w:r>
        <w:rPr>
          <w:rFonts w:ascii="Palatino Linotype" w:eastAsiaTheme="minorHAnsi" w:hAnsi="Palatino Linotype" w:cs="Arial"/>
          <w:lang w:eastAsia="en-US"/>
        </w:rPr>
        <w:t>cuart</w:t>
      </w:r>
      <w:r w:rsidRPr="00037B15">
        <w:rPr>
          <w:rFonts w:ascii="Palatino Linotype" w:eastAsiaTheme="minorHAnsi" w:hAnsi="Palatino Linotype" w:cs="Arial"/>
          <w:lang w:eastAsia="en-US"/>
        </w:rPr>
        <w:t xml:space="preserve">o, fracciones IV y V, de la Constitución Política del Estado Libre y Soberano de México; artículos 1, 2 fracción II, </w:t>
      </w:r>
      <w:r w:rsidRPr="00037B15">
        <w:rPr>
          <w:rFonts w:ascii="Palatino Linotype" w:eastAsiaTheme="minorHAnsi" w:hAnsi="Palatino Linotype" w:cs="Arial"/>
          <w:lang w:eastAsia="en-US"/>
        </w:rPr>
        <w:lastRenderedPageBreak/>
        <w:t>13, 29, 36 fracciones I y II, 176, 178, 179, 181 párrafo tercero y 185 de la Ley de Transparencia y Acceso a la Información Pública del Estado de México y Municipios;</w:t>
      </w:r>
      <w:r>
        <w:rPr>
          <w:rFonts w:ascii="Palatino Linotype" w:eastAsiaTheme="minorHAnsi" w:hAnsi="Palatino Linotype" w:cs="Arial"/>
          <w:lang w:eastAsia="en-US"/>
        </w:rPr>
        <w:t xml:space="preserve"> 6, </w:t>
      </w:r>
      <w:r w:rsidRPr="00584F17">
        <w:rPr>
          <w:rFonts w:ascii="Palatino Linotype" w:hAnsi="Palatino Linotype"/>
        </w:rPr>
        <w:t>9 fracciones I y XXI</w:t>
      </w:r>
      <w:r>
        <w:rPr>
          <w:rFonts w:ascii="Palatino Linotype" w:hAnsi="Palatino Linotype"/>
        </w:rPr>
        <w:t>II</w:t>
      </w:r>
      <w:r w:rsidRPr="00584F17">
        <w:rPr>
          <w:rFonts w:ascii="Palatino Linotype" w:hAnsi="Palatino Linotype"/>
        </w:rPr>
        <w:t xml:space="preserve">, y 11 </w:t>
      </w:r>
      <w:r>
        <w:rPr>
          <w:rFonts w:ascii="Palatino Linotype" w:hAnsi="Palatino Linotype"/>
        </w:rPr>
        <w:t>d</w:t>
      </w:r>
      <w:r w:rsidRPr="00037B15">
        <w:rPr>
          <w:rFonts w:ascii="Palatino Linotype" w:eastAsiaTheme="minorHAnsi" w:hAnsi="Palatino Linotype" w:cs="Arial"/>
          <w:lang w:eastAsia="en-US"/>
        </w:rPr>
        <w:t>el Reglamento Interior del Instituto de Transparencia, Acceso a la Información Pública y Protección de Datos Personales del Estado de México y Municipios.</w:t>
      </w:r>
    </w:p>
    <w:p w:rsidR="00C81B8A" w:rsidRPr="00580D96" w:rsidRDefault="00C81B8A" w:rsidP="006C67F7">
      <w:pPr>
        <w:autoSpaceDE w:val="0"/>
        <w:autoSpaceDN w:val="0"/>
        <w:adjustRightInd w:val="0"/>
        <w:spacing w:line="360" w:lineRule="auto"/>
        <w:jc w:val="both"/>
        <w:rPr>
          <w:rFonts w:ascii="Palatino Linotype" w:eastAsiaTheme="minorHAnsi" w:hAnsi="Palatino Linotype" w:cs="Arial"/>
          <w:b/>
          <w:lang w:eastAsia="en-US"/>
        </w:rPr>
      </w:pPr>
    </w:p>
    <w:p w:rsidR="00C81B8A" w:rsidRPr="00037B15" w:rsidRDefault="00C81B8A" w:rsidP="006C67F7">
      <w:pPr>
        <w:autoSpaceDE w:val="0"/>
        <w:autoSpaceDN w:val="0"/>
        <w:adjustRightInd w:val="0"/>
        <w:spacing w:line="360" w:lineRule="auto"/>
        <w:jc w:val="both"/>
        <w:rPr>
          <w:rFonts w:ascii="Palatino Linotype" w:eastAsiaTheme="minorHAnsi" w:hAnsi="Palatino Linotype" w:cs="Arial"/>
          <w:b/>
          <w:sz w:val="28"/>
          <w:lang w:eastAsia="en-US"/>
        </w:rPr>
      </w:pPr>
      <w:r w:rsidRPr="00037B15">
        <w:rPr>
          <w:rFonts w:ascii="Palatino Linotype" w:eastAsiaTheme="minorHAnsi" w:hAnsi="Palatino Linotype" w:cs="Arial"/>
          <w:b/>
          <w:sz w:val="28"/>
          <w:lang w:eastAsia="en-US"/>
        </w:rPr>
        <w:t xml:space="preserve">SEGUNDO. De los alcances del Recurso de Revisión. </w:t>
      </w:r>
    </w:p>
    <w:p w:rsidR="00C81B8A" w:rsidRPr="00037B15" w:rsidRDefault="00C81B8A" w:rsidP="006C67F7">
      <w:pPr>
        <w:autoSpaceDE w:val="0"/>
        <w:autoSpaceDN w:val="0"/>
        <w:adjustRightInd w:val="0"/>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81B8A" w:rsidRPr="009E1B50" w:rsidRDefault="00C81B8A" w:rsidP="006C67F7">
      <w:pPr>
        <w:pStyle w:val="Prrafodelista"/>
        <w:autoSpaceDE w:val="0"/>
        <w:autoSpaceDN w:val="0"/>
        <w:adjustRightInd w:val="0"/>
        <w:spacing w:line="360" w:lineRule="auto"/>
        <w:ind w:left="0"/>
        <w:jc w:val="both"/>
        <w:rPr>
          <w:rFonts w:ascii="Palatino Linotype" w:hAnsi="Palatino Linotype" w:cs="Arial"/>
          <w:b/>
        </w:rPr>
      </w:pPr>
    </w:p>
    <w:p w:rsidR="00003BB1" w:rsidRPr="00CA1D2B" w:rsidRDefault="00C81B8A" w:rsidP="006C67F7">
      <w:pPr>
        <w:pStyle w:val="Prrafodelista"/>
        <w:autoSpaceDE w:val="0"/>
        <w:autoSpaceDN w:val="0"/>
        <w:adjustRightInd w:val="0"/>
        <w:spacing w:line="360" w:lineRule="auto"/>
        <w:ind w:left="0"/>
        <w:jc w:val="both"/>
        <w:rPr>
          <w:rFonts w:ascii="Palatino Linotype" w:hAnsi="Palatino Linotype" w:cs="Arial"/>
          <w:b/>
        </w:rPr>
      </w:pPr>
      <w:r w:rsidRPr="00CA1D2B">
        <w:rPr>
          <w:rFonts w:ascii="Palatino Linotype" w:hAnsi="Palatino Linotype" w:cs="Arial"/>
          <w:b/>
          <w:sz w:val="28"/>
        </w:rPr>
        <w:t xml:space="preserve">TERCERO. </w:t>
      </w:r>
      <w:r w:rsidR="00003BB1" w:rsidRPr="00CA1D2B">
        <w:rPr>
          <w:rFonts w:ascii="Palatino Linotype" w:hAnsi="Palatino Linotype" w:cs="Arial"/>
          <w:b/>
          <w:sz w:val="28"/>
          <w:szCs w:val="28"/>
        </w:rPr>
        <w:t>Cuestiones de previo y especial pronunciamiento.</w:t>
      </w:r>
    </w:p>
    <w:p w:rsidR="00233278" w:rsidRDefault="00233278" w:rsidP="006C67F7">
      <w:pPr>
        <w:spacing w:line="360" w:lineRule="auto"/>
        <w:jc w:val="both"/>
        <w:rPr>
          <w:rFonts w:ascii="Palatino Linotype" w:hAnsi="Palatino Linotype"/>
          <w:lang w:val="es-ES" w:eastAsia="es-ES"/>
        </w:rPr>
      </w:pPr>
      <w:r>
        <w:rPr>
          <w:rFonts w:ascii="Palatino Linotype" w:hAnsi="Palatino Linotype" w:cs="Arial"/>
          <w:lang w:val="es-ES" w:eastAsia="es-ES"/>
        </w:rPr>
        <w:t xml:space="preserve">El Recurso de Revisión en estudio contiene los elementos normativos de validez exigidos en </w:t>
      </w:r>
      <w:r>
        <w:rPr>
          <w:rFonts w:ascii="Palatino Linotype" w:hAnsi="Palatino Linotype"/>
          <w:lang w:val="es-ES" w:eastAsia="es-ES"/>
        </w:rPr>
        <w:t xml:space="preserve">la Ley de Transparencia y </w:t>
      </w:r>
      <w:r>
        <w:rPr>
          <w:rFonts w:ascii="Palatino Linotype" w:hAnsi="Palatino Linotype" w:cs="Arial"/>
          <w:lang w:val="es-ES_tradnl" w:eastAsia="es-ES"/>
        </w:rPr>
        <w:t>Acceso a la Información Pública del Estado de México y Municipios</w:t>
      </w:r>
      <w:r>
        <w:rPr>
          <w:rFonts w:ascii="Palatino Linotype" w:hAnsi="Palatino Linotype"/>
          <w:lang w:val="es-ES" w:eastAsia="es-ES"/>
        </w:rPr>
        <w:t>, establecidos en el artículo 180 que enuncia:</w:t>
      </w:r>
    </w:p>
    <w:p w:rsidR="00233278" w:rsidRPr="008561F1" w:rsidRDefault="00233278" w:rsidP="006C67F7">
      <w:pPr>
        <w:spacing w:line="360" w:lineRule="auto"/>
        <w:jc w:val="both"/>
        <w:rPr>
          <w:rFonts w:ascii="Palatino Linotype" w:hAnsi="Palatino Linotype"/>
          <w:szCs w:val="36"/>
          <w:lang w:val="es-ES" w:eastAsia="es-ES"/>
        </w:rPr>
      </w:pPr>
    </w:p>
    <w:p w:rsidR="00233278" w:rsidRDefault="00233278" w:rsidP="006C67F7">
      <w:pPr>
        <w:ind w:left="567" w:right="567"/>
        <w:jc w:val="both"/>
        <w:rPr>
          <w:rFonts w:ascii="Palatino Linotype" w:hAnsi="Palatino Linotype" w:cs="Arial"/>
          <w:i/>
          <w:lang w:val="es-ES" w:eastAsia="es-ES"/>
        </w:rPr>
      </w:pPr>
      <w:r>
        <w:rPr>
          <w:rFonts w:ascii="Palatino Linotype" w:hAnsi="Palatino Linotype" w:cs="Arial"/>
          <w:b/>
          <w:i/>
          <w:lang w:val="es-ES" w:eastAsia="es-ES"/>
        </w:rPr>
        <w:t xml:space="preserve">“Artículo 180. </w:t>
      </w:r>
      <w:r>
        <w:rPr>
          <w:rFonts w:ascii="Palatino Linotype" w:hAnsi="Palatino Linotype" w:cs="Arial"/>
          <w:i/>
          <w:lang w:val="es-ES" w:eastAsia="es-ES"/>
        </w:rPr>
        <w:t>El recurso de revisión contendrá:</w:t>
      </w:r>
    </w:p>
    <w:p w:rsidR="00233278" w:rsidRDefault="00233278" w:rsidP="006C67F7">
      <w:pPr>
        <w:ind w:left="567" w:right="567"/>
        <w:jc w:val="both"/>
        <w:rPr>
          <w:rFonts w:ascii="Palatino Linotype" w:hAnsi="Palatino Linotype" w:cs="Arial"/>
          <w:i/>
          <w:lang w:val="es-ES" w:eastAsia="es-ES"/>
        </w:rPr>
      </w:pPr>
      <w:r>
        <w:rPr>
          <w:rFonts w:ascii="Palatino Linotype" w:hAnsi="Palatino Linotype" w:cs="Arial"/>
          <w:i/>
          <w:lang w:val="es-ES" w:eastAsia="es-ES"/>
        </w:rPr>
        <w:t>I. El sujeto obligado ante la cual se presentó la solicitud;</w:t>
      </w:r>
    </w:p>
    <w:p w:rsidR="00233278" w:rsidRDefault="00233278" w:rsidP="006C67F7">
      <w:pPr>
        <w:ind w:left="567" w:right="567"/>
        <w:jc w:val="both"/>
        <w:rPr>
          <w:rFonts w:ascii="Palatino Linotype" w:hAnsi="Palatino Linotype" w:cs="Arial"/>
          <w:i/>
          <w:lang w:val="es-ES" w:eastAsia="es-ES"/>
        </w:rPr>
      </w:pPr>
      <w:r>
        <w:rPr>
          <w:rFonts w:ascii="Palatino Linotype" w:hAnsi="Palatino Linotype" w:cs="Arial"/>
          <w:b/>
          <w:i/>
          <w:lang w:val="es-ES" w:eastAsia="es-ES"/>
        </w:rPr>
        <w:t>II. El nombre del solicitante que recurre</w:t>
      </w:r>
      <w:r>
        <w:rPr>
          <w:rFonts w:ascii="Palatino Linotype" w:hAnsi="Palatino Linotype" w:cs="Arial"/>
          <w:i/>
          <w:lang w:val="es-ES" w:eastAsia="es-ES"/>
        </w:rPr>
        <w:t xml:space="preserve"> o de su representante y, en su caso, del tercero interesado, así como la dirección o medio que señale para recibir notificaciones;</w:t>
      </w:r>
    </w:p>
    <w:p w:rsidR="00233278" w:rsidRDefault="00233278" w:rsidP="006C67F7">
      <w:pPr>
        <w:ind w:left="567" w:right="567"/>
        <w:jc w:val="both"/>
        <w:rPr>
          <w:rFonts w:ascii="Palatino Linotype" w:hAnsi="Palatino Linotype" w:cs="Arial"/>
          <w:i/>
          <w:lang w:val="es-ES" w:eastAsia="es-ES"/>
        </w:rPr>
      </w:pPr>
      <w:r>
        <w:rPr>
          <w:rFonts w:ascii="Palatino Linotype" w:hAnsi="Palatino Linotype" w:cs="Arial"/>
          <w:i/>
          <w:lang w:val="es-ES" w:eastAsia="es-ES"/>
        </w:rPr>
        <w:t>III. El número de folio de respuesta de la solicitud de acceso;</w:t>
      </w:r>
    </w:p>
    <w:p w:rsidR="00233278" w:rsidRDefault="00233278" w:rsidP="006C67F7">
      <w:pPr>
        <w:ind w:left="567" w:right="567"/>
        <w:jc w:val="both"/>
        <w:rPr>
          <w:rFonts w:ascii="Palatino Linotype" w:hAnsi="Palatino Linotype" w:cs="Arial"/>
          <w:i/>
          <w:lang w:val="es-ES" w:eastAsia="es-ES"/>
        </w:rPr>
      </w:pPr>
      <w:r>
        <w:rPr>
          <w:rFonts w:ascii="Palatino Linotype" w:hAnsi="Palatino Linotype" w:cs="Arial"/>
          <w:i/>
          <w:lang w:val="es-ES" w:eastAsia="es-ES"/>
        </w:rPr>
        <w:lastRenderedPageBreak/>
        <w:t>IV. La fecha en que fue notificada la respuesta al solicitante o tuvo conocimiento del acto reclamado, o de presentación de la solicitud, en caso de falta de respuesta;</w:t>
      </w:r>
    </w:p>
    <w:p w:rsidR="00233278" w:rsidRDefault="00233278" w:rsidP="006C67F7">
      <w:pPr>
        <w:ind w:left="567" w:right="567"/>
        <w:jc w:val="both"/>
        <w:rPr>
          <w:rFonts w:ascii="Palatino Linotype" w:hAnsi="Palatino Linotype" w:cs="Arial"/>
          <w:i/>
          <w:lang w:val="es-ES" w:eastAsia="es-ES"/>
        </w:rPr>
      </w:pPr>
      <w:r>
        <w:rPr>
          <w:rFonts w:ascii="Palatino Linotype" w:hAnsi="Palatino Linotype" w:cs="Arial"/>
          <w:i/>
          <w:lang w:val="es-ES" w:eastAsia="es-ES"/>
        </w:rPr>
        <w:t>V. El acto que se recurre;</w:t>
      </w:r>
    </w:p>
    <w:p w:rsidR="00233278" w:rsidRDefault="00233278" w:rsidP="006C67F7">
      <w:pPr>
        <w:ind w:left="567" w:right="567"/>
        <w:jc w:val="both"/>
        <w:rPr>
          <w:rFonts w:ascii="Palatino Linotype" w:hAnsi="Palatino Linotype" w:cs="Arial"/>
          <w:i/>
          <w:lang w:val="es-ES" w:eastAsia="es-ES"/>
        </w:rPr>
      </w:pPr>
      <w:r>
        <w:rPr>
          <w:rFonts w:ascii="Palatino Linotype" w:hAnsi="Palatino Linotype" w:cs="Arial"/>
          <w:i/>
          <w:lang w:val="es-ES" w:eastAsia="es-ES"/>
        </w:rPr>
        <w:t>VI. Las razones o motivos de inconformidad;</w:t>
      </w:r>
    </w:p>
    <w:p w:rsidR="00233278" w:rsidRDefault="00233278" w:rsidP="006C67F7">
      <w:pPr>
        <w:ind w:left="567" w:right="567"/>
        <w:jc w:val="both"/>
        <w:rPr>
          <w:rFonts w:ascii="Palatino Linotype" w:hAnsi="Palatino Linotype" w:cs="Arial"/>
          <w:i/>
          <w:lang w:val="es-ES" w:eastAsia="es-ES"/>
        </w:rPr>
      </w:pPr>
      <w:r>
        <w:rPr>
          <w:rFonts w:ascii="Palatino Linotype" w:hAnsi="Palatino Linotype" w:cs="Arial"/>
          <w:i/>
          <w:lang w:val="es-ES" w:eastAsia="es-ES"/>
        </w:rPr>
        <w:t>VII. La copia de la respuesta que se impugna y, en su caso, de la notificación correspondiente, en el caso de respuesta de la solicitud; y</w:t>
      </w:r>
    </w:p>
    <w:p w:rsidR="00233278" w:rsidRDefault="00233278" w:rsidP="006C67F7">
      <w:pPr>
        <w:ind w:left="567" w:right="567"/>
        <w:jc w:val="both"/>
        <w:rPr>
          <w:rFonts w:ascii="Palatino Linotype" w:hAnsi="Palatino Linotype" w:cs="Arial"/>
          <w:i/>
          <w:lang w:val="es-ES" w:eastAsia="es-ES"/>
        </w:rPr>
      </w:pPr>
      <w:r>
        <w:rPr>
          <w:rFonts w:ascii="Palatino Linotype" w:hAnsi="Palatino Linotype" w:cs="Arial"/>
          <w:i/>
          <w:lang w:val="es-ES" w:eastAsia="es-ES"/>
        </w:rPr>
        <w:t>VIII. Firma del recurrente, en su caso, cuando se presente por escrito, requisito sin el cual se dará trámite al recurso.</w:t>
      </w:r>
    </w:p>
    <w:p w:rsidR="00233278" w:rsidRDefault="00233278" w:rsidP="006C67F7">
      <w:pPr>
        <w:ind w:left="567" w:right="567"/>
        <w:jc w:val="both"/>
        <w:rPr>
          <w:rFonts w:ascii="Palatino Linotype" w:hAnsi="Palatino Linotype" w:cs="Arial"/>
          <w:i/>
          <w:lang w:val="es-ES" w:eastAsia="es-ES"/>
        </w:rPr>
      </w:pPr>
    </w:p>
    <w:p w:rsidR="00233278" w:rsidRDefault="00233278" w:rsidP="006C67F7">
      <w:pPr>
        <w:ind w:left="567" w:right="567"/>
        <w:jc w:val="both"/>
        <w:rPr>
          <w:rFonts w:ascii="Palatino Linotype" w:hAnsi="Palatino Linotype" w:cs="Arial"/>
          <w:i/>
          <w:lang w:val="es-ES" w:eastAsia="es-ES"/>
        </w:rPr>
      </w:pPr>
      <w:r>
        <w:rPr>
          <w:rFonts w:ascii="Palatino Linotype" w:hAnsi="Palatino Linotype" w:cs="Arial"/>
          <w:i/>
          <w:lang w:val="es-ES" w:eastAsia="es-ES"/>
        </w:rPr>
        <w:t>Adicionalmente, se podrán anexar las pruebas y demás elementos que considere procedentes someter a juicio del Instituto.</w:t>
      </w:r>
    </w:p>
    <w:p w:rsidR="00233278" w:rsidRDefault="00233278" w:rsidP="006C67F7">
      <w:pPr>
        <w:ind w:left="567" w:right="567"/>
        <w:jc w:val="both"/>
        <w:rPr>
          <w:rFonts w:ascii="Palatino Linotype" w:hAnsi="Palatino Linotype" w:cs="Arial"/>
          <w:i/>
          <w:lang w:val="es-ES" w:eastAsia="es-ES"/>
        </w:rPr>
      </w:pPr>
    </w:p>
    <w:p w:rsidR="00233278" w:rsidRDefault="00233278" w:rsidP="006C67F7">
      <w:pPr>
        <w:ind w:left="567" w:right="567"/>
        <w:jc w:val="both"/>
        <w:rPr>
          <w:rFonts w:ascii="Palatino Linotype" w:hAnsi="Palatino Linotype" w:cs="Arial"/>
          <w:i/>
          <w:lang w:val="es-ES" w:eastAsia="es-ES"/>
        </w:rPr>
      </w:pPr>
      <w:r>
        <w:rPr>
          <w:rFonts w:ascii="Palatino Linotype" w:hAnsi="Palatino Linotype" w:cs="Arial"/>
          <w:i/>
          <w:lang w:val="es-ES" w:eastAsia="es-ES"/>
        </w:rPr>
        <w:t>En ningún caso será necesario que el particular ratifique el recurso de revisión interpuesto.</w:t>
      </w:r>
    </w:p>
    <w:p w:rsidR="00233278" w:rsidRDefault="00233278" w:rsidP="006C67F7">
      <w:pPr>
        <w:ind w:left="567" w:right="567"/>
        <w:jc w:val="both"/>
        <w:rPr>
          <w:rFonts w:ascii="Palatino Linotype" w:hAnsi="Palatino Linotype" w:cs="Arial"/>
          <w:i/>
          <w:lang w:val="es-ES" w:eastAsia="es-ES"/>
        </w:rPr>
      </w:pPr>
    </w:p>
    <w:p w:rsidR="00233278" w:rsidRDefault="00233278" w:rsidP="006C67F7">
      <w:pPr>
        <w:ind w:left="567" w:right="567"/>
        <w:jc w:val="both"/>
        <w:rPr>
          <w:rFonts w:ascii="Palatino Linotype" w:hAnsi="Palatino Linotype" w:cs="Arial"/>
          <w:i/>
          <w:lang w:val="es-ES" w:eastAsia="es-ES"/>
        </w:rPr>
      </w:pPr>
      <w:r>
        <w:rPr>
          <w:rFonts w:ascii="Palatino Linotype" w:hAnsi="Palatino Linotype" w:cs="Arial"/>
          <w:b/>
          <w:i/>
          <w:lang w:val="es-ES" w:eastAsia="es-ES"/>
        </w:rPr>
        <w:t>En caso de que el recurso se interponga de manera electrónica no será indispensable que contengan los requisitos establecidos en las fracciones II</w:t>
      </w:r>
      <w:r>
        <w:rPr>
          <w:rFonts w:ascii="Palatino Linotype" w:hAnsi="Palatino Linotype" w:cs="Arial"/>
          <w:i/>
          <w:lang w:val="es-ES" w:eastAsia="es-ES"/>
        </w:rPr>
        <w:t>, IV, VII y VIII.”</w:t>
      </w:r>
    </w:p>
    <w:p w:rsidR="00233278" w:rsidRDefault="00233278" w:rsidP="006C67F7">
      <w:pPr>
        <w:ind w:left="567" w:right="567"/>
        <w:jc w:val="right"/>
        <w:rPr>
          <w:rFonts w:ascii="Palatino Linotype" w:hAnsi="Palatino Linotype" w:cs="Arial"/>
          <w:i/>
          <w:sz w:val="20"/>
          <w:lang w:val="es-ES" w:eastAsia="es-ES"/>
        </w:rPr>
      </w:pPr>
      <w:r>
        <w:rPr>
          <w:rFonts w:ascii="Palatino Linotype" w:hAnsi="Palatino Linotype" w:cs="Arial"/>
          <w:i/>
          <w:sz w:val="20"/>
          <w:lang w:val="es-ES" w:eastAsia="es-ES"/>
        </w:rPr>
        <w:t>[Énfasis añadido]</w:t>
      </w:r>
    </w:p>
    <w:p w:rsidR="00233278" w:rsidRDefault="00233278" w:rsidP="006C67F7">
      <w:pPr>
        <w:spacing w:line="276" w:lineRule="auto"/>
        <w:ind w:left="851"/>
        <w:jc w:val="right"/>
        <w:rPr>
          <w:rFonts w:ascii="Palatino Linotype" w:hAnsi="Palatino Linotype" w:cs="Arial"/>
          <w:b/>
          <w:i/>
          <w:lang w:val="es-ES" w:eastAsia="es-ES"/>
        </w:rPr>
      </w:pPr>
    </w:p>
    <w:p w:rsidR="00233278" w:rsidRDefault="00233278" w:rsidP="006C67F7">
      <w:pPr>
        <w:spacing w:line="360" w:lineRule="auto"/>
        <w:jc w:val="both"/>
        <w:rPr>
          <w:rFonts w:ascii="Palatino Linotype" w:eastAsia="Calibri" w:hAnsi="Palatino Linotype" w:cs="Arial"/>
          <w:lang w:val="es-ES" w:eastAsia="es-ES"/>
        </w:rPr>
      </w:pPr>
      <w:r>
        <w:rPr>
          <w:rFonts w:ascii="Palatino Linotype" w:eastAsia="Calibri" w:hAnsi="Palatino Linotype" w:cs="Segoe UI"/>
          <w:lang w:val="es-ES" w:eastAsia="es-ES"/>
        </w:rPr>
        <w:t xml:space="preserve">Cabe señalar que </w:t>
      </w:r>
      <w:r>
        <w:rPr>
          <w:rFonts w:ascii="Palatino Linotype" w:eastAsia="Calibri" w:hAnsi="Palatino Linotype" w:cs="Segoe UI"/>
          <w:b/>
          <w:lang w:val="es-ES" w:eastAsia="es-ES"/>
        </w:rPr>
        <w:t>la parte Recurrente</w:t>
      </w:r>
      <w:r>
        <w:rPr>
          <w:rFonts w:ascii="Palatino Linotype" w:eastAsia="Calibri" w:hAnsi="Palatino Linotype" w:cs="Segoe UI"/>
          <w:lang w:val="es-ES" w:eastAsia="es-ES"/>
        </w:rPr>
        <w:t xml:space="preserve"> ejerció de manera anónima su derecho de acceso a la información pública</w:t>
      </w:r>
      <w:r>
        <w:rPr>
          <w:rFonts w:ascii="Palatino Linotype" w:eastAsia="Calibri" w:hAnsi="Palatino Linotype"/>
          <w:lang w:val="es-ES" w:eastAsia="es-ES"/>
        </w:rPr>
        <w:t xml:space="preserve">, sin embargo, no es motivo para desechar las </w:t>
      </w:r>
      <w:r>
        <w:rPr>
          <w:rFonts w:ascii="Palatino Linotype" w:eastAsia="Calibri" w:hAnsi="Palatino Linotype" w:cs="Arial"/>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233278" w:rsidRDefault="00233278" w:rsidP="006C67F7">
      <w:pPr>
        <w:spacing w:line="360" w:lineRule="auto"/>
        <w:jc w:val="both"/>
        <w:rPr>
          <w:rFonts w:ascii="Palatino Linotype" w:eastAsia="Calibri" w:hAnsi="Palatino Linotype" w:cs="Arial"/>
          <w:lang w:val="es-ES" w:eastAsia="es-ES"/>
        </w:rPr>
      </w:pPr>
    </w:p>
    <w:p w:rsidR="00233278" w:rsidRDefault="00233278" w:rsidP="006C67F7">
      <w:pPr>
        <w:ind w:left="567" w:right="567"/>
        <w:jc w:val="both"/>
        <w:rPr>
          <w:rFonts w:ascii="Palatino Linotype" w:eastAsia="Calibri" w:hAnsi="Palatino Linotype" w:cs="Arial"/>
          <w:i/>
          <w:lang w:val="es-ES" w:eastAsia="es-ES"/>
        </w:rPr>
      </w:pPr>
      <w:r>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233278" w:rsidRDefault="00233278" w:rsidP="006C67F7">
      <w:pPr>
        <w:spacing w:line="360" w:lineRule="auto"/>
        <w:jc w:val="both"/>
        <w:rPr>
          <w:rFonts w:ascii="Palatino Linotype" w:eastAsia="Calibri" w:hAnsi="Palatino Linotype"/>
          <w:lang w:val="es-ES" w:eastAsia="es-ES"/>
        </w:rPr>
      </w:pPr>
    </w:p>
    <w:p w:rsidR="00233278" w:rsidRDefault="00233278" w:rsidP="006C67F7">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 xml:space="preserve">Robusteciendo lo anterior se encuentra lo dispuesto en los artículos 6, Apartado A, fracciones III y IV, de la Constitución Política de los Estados Unidos Mexicanos y 5 </w:t>
      </w:r>
      <w:r>
        <w:rPr>
          <w:rFonts w:ascii="Palatino Linotype" w:eastAsia="Calibri" w:hAnsi="Palatino Linotype"/>
          <w:lang w:val="es-ES" w:eastAsia="es-ES"/>
        </w:rPr>
        <w:lastRenderedPageBreak/>
        <w:t xml:space="preserve">párrafos </w:t>
      </w:r>
      <w:r>
        <w:rPr>
          <w:rFonts w:ascii="Palatino Linotype" w:eastAsia="Calibri" w:hAnsi="Palatino Linotype" w:cs="Arial"/>
          <w:lang w:val="es-ES" w:eastAsia="es-ES"/>
        </w:rPr>
        <w:t>vigésimo, vigésimo primero</w:t>
      </w:r>
      <w:r>
        <w:rPr>
          <w:rFonts w:ascii="Palatino Linotype" w:hAnsi="Palatino Linotype" w:cs="Arial"/>
          <w:lang w:val="es-ES" w:eastAsia="es-ES"/>
        </w:rPr>
        <w:t xml:space="preserve"> y vigésimo segundo</w:t>
      </w:r>
      <w:r>
        <w:rPr>
          <w:rFonts w:ascii="Palatino Linotype" w:eastAsia="Calibri" w:hAnsi="Palatino Linotype"/>
          <w:lang w:val="es-ES" w:eastAsia="es-ES"/>
        </w:rPr>
        <w:t>, de la Constitución Política del Estado Libre y Soberano de México, se establece lo siguiente:</w:t>
      </w:r>
    </w:p>
    <w:p w:rsidR="00233278" w:rsidRDefault="00233278" w:rsidP="006C67F7">
      <w:pPr>
        <w:ind w:left="567" w:right="567"/>
        <w:jc w:val="center"/>
        <w:rPr>
          <w:rFonts w:ascii="Palatino Linotype" w:eastAsia="Calibri" w:hAnsi="Palatino Linotype"/>
          <w:b/>
          <w:i/>
          <w:lang w:val="es-ES" w:eastAsia="es-ES"/>
        </w:rPr>
      </w:pPr>
      <w:r>
        <w:rPr>
          <w:rFonts w:ascii="Palatino Linotype" w:eastAsia="Calibri" w:hAnsi="Palatino Linotype"/>
          <w:b/>
          <w:i/>
          <w:lang w:val="es-ES" w:eastAsia="es-ES"/>
        </w:rPr>
        <w:t>Constitución Política de los Estados Unidos Mexicanos</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6</w:t>
      </w:r>
      <w:r>
        <w:rPr>
          <w:rFonts w:ascii="Palatino Linotype" w:eastAsia="Calibri" w:hAnsi="Palatino Linotype"/>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Para efectos de lo dispuesto en el presente artículo se observará lo siguiente: </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A. Para el ejercicio del derecho de acceso a la información, la Federación, los Estados y el Distrito Federal, en el ámbito de sus respectivas competencias, se regirán por los siguientes principios y bases:</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III. Toda persona, sin necesidad de acreditar interés alguno o justificar su utilización, tendrá acceso gratuito a la información pública, a sus datos personales o a la rectificación de éstos. </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233278" w:rsidRDefault="00233278" w:rsidP="006C67F7">
      <w:pPr>
        <w:ind w:left="567" w:right="567"/>
        <w:jc w:val="both"/>
        <w:rPr>
          <w:rFonts w:ascii="Palatino Linotype" w:eastAsia="Calibri" w:hAnsi="Palatino Linotype"/>
          <w:i/>
          <w:lang w:val="es-ES" w:eastAsia="es-ES"/>
        </w:rPr>
      </w:pPr>
    </w:p>
    <w:p w:rsidR="00233278" w:rsidRDefault="00233278" w:rsidP="006C67F7">
      <w:pPr>
        <w:ind w:left="567" w:right="567"/>
        <w:jc w:val="center"/>
        <w:rPr>
          <w:rFonts w:ascii="Palatino Linotype" w:eastAsia="Calibri" w:hAnsi="Palatino Linotype"/>
          <w:b/>
          <w:i/>
          <w:lang w:val="es-ES" w:eastAsia="es-ES"/>
        </w:rPr>
      </w:pPr>
      <w:r>
        <w:rPr>
          <w:rFonts w:ascii="Palatino Linotype" w:eastAsia="Calibri" w:hAnsi="Palatino Linotype"/>
          <w:b/>
          <w:i/>
          <w:lang w:val="es-ES" w:eastAsia="es-ES"/>
        </w:rPr>
        <w:t>Constitución Política del Estado Libre y Soberano de México</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5</w:t>
      </w:r>
      <w:r>
        <w:rPr>
          <w:rFonts w:ascii="Palatino Linotype" w:eastAsia="Calibri" w:hAnsi="Palatino Linotype"/>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Toda persona en el Estado de México, tiene derecho al libre acceso a la información plural y oportuna, así como a buscar recibir y difundir información e ideas de toda índole por cualquier medio de expresión.</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 (…)</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El derecho a la información será garantizado por el Estado. La ley establecerá las previsiones que permitan asegurar la protección, el respeto y la difusión de este derecho. </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33278" w:rsidRDefault="00233278" w:rsidP="006C67F7">
      <w:pPr>
        <w:ind w:left="567" w:right="567"/>
        <w:jc w:val="both"/>
        <w:rPr>
          <w:rFonts w:ascii="Palatino Linotype" w:eastAsia="Calibri" w:hAnsi="Palatino Linotype"/>
          <w:i/>
          <w:lang w:val="es-ES" w:eastAsia="es-ES"/>
        </w:rPr>
      </w:pP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III. Toda persona, sin necesidad de acreditar interés alguno o justificar su utilización, tendrá acceso gratuito a la información pública, a sus datos personales o a la rectificación de éstos;</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IV. Se establecerán mecanismos de acceso a la información y procedimientos de revisión expeditos que se sustanciarán ante el organismo autónomo especializado e imparcial que establece esta Constitución.</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233278" w:rsidRDefault="00233278" w:rsidP="006C67F7">
      <w:pPr>
        <w:spacing w:line="360" w:lineRule="auto"/>
        <w:jc w:val="both"/>
        <w:rPr>
          <w:rFonts w:ascii="Palatino Linotype" w:eastAsia="Calibri" w:hAnsi="Palatino Linotype"/>
          <w:lang w:val="es-ES" w:eastAsia="es-ES"/>
        </w:rPr>
      </w:pPr>
    </w:p>
    <w:p w:rsidR="00233278" w:rsidRDefault="00233278" w:rsidP="006C67F7">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Por otra parte, del contenido del artículo 1 de la Constitución Política de los Estados Unidos Mexicanos, se destaca lo siguiente:</w:t>
      </w:r>
    </w:p>
    <w:p w:rsidR="00233278" w:rsidRDefault="00233278" w:rsidP="006C67F7">
      <w:pPr>
        <w:rPr>
          <w:rFonts w:eastAsia="Calibri"/>
          <w:lang w:eastAsia="es-ES"/>
        </w:rPr>
      </w:pP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w:t>
      </w:r>
      <w:r>
        <w:rPr>
          <w:rFonts w:ascii="Palatino Linotype" w:eastAsia="Calibri" w:hAnsi="Palatino Linotype"/>
          <w:b/>
          <w:i/>
          <w:lang w:val="es-ES" w:eastAsia="es-ES"/>
        </w:rPr>
        <w:t>Artículo 1o</w:t>
      </w:r>
      <w:r>
        <w:rPr>
          <w:rFonts w:ascii="Palatino Linotype" w:eastAsia="Calibri" w:hAnsi="Palatino Linotype"/>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Las normas relativas a los derechos humanos se interpretarán de conformidad con esta Constitución y con los tratados internacionales de la materia favoreciendo en todo tiempo a las personas la protección más amplia.</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rsidR="00233278" w:rsidRDefault="00233278" w:rsidP="006C67F7">
      <w:pPr>
        <w:ind w:left="567" w:right="567"/>
        <w:jc w:val="both"/>
        <w:rPr>
          <w:rFonts w:ascii="Palatino Linotype" w:eastAsia="Calibri" w:hAnsi="Palatino Linotype"/>
          <w:i/>
          <w:lang w:val="es-ES" w:eastAsia="es-ES"/>
        </w:rPr>
      </w:pPr>
      <w:r>
        <w:rPr>
          <w:rFonts w:ascii="Palatino Linotype" w:eastAsia="Calibri" w:hAnsi="Palatino Linotype"/>
          <w:i/>
          <w:lang w:val="es-ES" w:eastAsia="es-ES"/>
        </w:rPr>
        <w:t>En consecuencia, el Estado deberá prevenir, investigar, sancionar y reparar las violaciones a los derechos humanos, en los términos que establezca la ley.”</w:t>
      </w:r>
    </w:p>
    <w:p w:rsidR="00233278" w:rsidRDefault="00233278" w:rsidP="006C67F7">
      <w:pPr>
        <w:spacing w:line="360" w:lineRule="auto"/>
        <w:jc w:val="both"/>
        <w:rPr>
          <w:rFonts w:ascii="Palatino Linotype" w:eastAsia="Calibri" w:hAnsi="Palatino Linotype"/>
          <w:lang w:val="es-ES" w:eastAsia="es-ES"/>
        </w:rPr>
      </w:pPr>
    </w:p>
    <w:p w:rsidR="00233278" w:rsidRDefault="00233278" w:rsidP="006C67F7">
      <w:pPr>
        <w:spacing w:line="360" w:lineRule="auto"/>
        <w:jc w:val="both"/>
        <w:rPr>
          <w:rFonts w:ascii="Palatino Linotype" w:eastAsia="Calibri" w:hAnsi="Palatino Linotype"/>
          <w:lang w:val="es-ES" w:eastAsia="es-ES"/>
        </w:rPr>
      </w:pPr>
      <w:r>
        <w:rPr>
          <w:rFonts w:ascii="Palatino Linotype" w:eastAsia="Calibri" w:hAnsi="Palatino Linotype"/>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Pr>
          <w:rFonts w:ascii="Palatino Linotype" w:eastAsia="Calibri" w:hAnsi="Palatino Linotype"/>
          <w:b/>
          <w:u w:val="single"/>
          <w:lang w:val="es-ES" w:eastAsia="es-ES"/>
        </w:rPr>
        <w:t>incluso, la solicitud de acceso a la información pueda ser anónima o no contener un nombre que identifique al solicitante o que permita tener certeza sobre su identidad</w:t>
      </w:r>
      <w:r>
        <w:rPr>
          <w:rFonts w:ascii="Palatino Linotype" w:eastAsia="Calibri" w:hAnsi="Palatino Linotype"/>
          <w:lang w:val="es-ES" w:eastAsia="es-ES"/>
        </w:rPr>
        <w:t>.</w:t>
      </w:r>
    </w:p>
    <w:p w:rsidR="00233278" w:rsidRDefault="00233278" w:rsidP="006C67F7">
      <w:pPr>
        <w:autoSpaceDE w:val="0"/>
        <w:autoSpaceDN w:val="0"/>
        <w:adjustRightInd w:val="0"/>
        <w:spacing w:line="360" w:lineRule="auto"/>
        <w:jc w:val="both"/>
        <w:rPr>
          <w:rFonts w:ascii="Palatino Linotype" w:eastAsia="Calibri" w:hAnsi="Palatino Linotype" w:cs="Arial"/>
          <w:lang w:val="es-ES" w:eastAsia="es-ES"/>
        </w:rPr>
      </w:pPr>
    </w:p>
    <w:p w:rsidR="00233278" w:rsidRDefault="00233278" w:rsidP="006C67F7">
      <w:pPr>
        <w:autoSpaceDE w:val="0"/>
        <w:autoSpaceDN w:val="0"/>
        <w:adjustRightInd w:val="0"/>
        <w:spacing w:line="360" w:lineRule="auto"/>
        <w:jc w:val="both"/>
        <w:rPr>
          <w:rFonts w:ascii="Palatino Linotype" w:eastAsia="Calibri" w:hAnsi="Palatino Linotype" w:cs="Arial"/>
          <w:lang w:val="es-ES" w:eastAsia="es-ES"/>
        </w:rPr>
      </w:pPr>
      <w:r>
        <w:rPr>
          <w:rFonts w:ascii="Palatino Linotype" w:eastAsia="Calibri" w:hAnsi="Palatino Linotype" w:cs="Arial"/>
          <w:lang w:val="es-ES" w:eastAsia="es-ES"/>
        </w:rPr>
        <w:t xml:space="preserve">En conclusión, se cubrieron los requisitos de procedencia y </w:t>
      </w:r>
      <w:proofErr w:type="spellStart"/>
      <w:r>
        <w:rPr>
          <w:rFonts w:ascii="Palatino Linotype" w:eastAsia="Calibri" w:hAnsi="Palatino Linotype" w:cs="Arial"/>
          <w:lang w:val="es-ES" w:eastAsia="es-ES"/>
        </w:rPr>
        <w:t>procedibilidad</w:t>
      </w:r>
      <w:proofErr w:type="spellEnd"/>
      <w:r>
        <w:rPr>
          <w:rFonts w:ascii="Palatino Linotype" w:eastAsia="Calibri" w:hAnsi="Palatino Linotype" w:cs="Arial"/>
          <w:lang w:val="es-ES" w:eastAsia="es-ES"/>
        </w:rPr>
        <w:t xml:space="preserve"> y conforme a las constancias que obran en el expediente.</w:t>
      </w:r>
    </w:p>
    <w:p w:rsidR="00233278" w:rsidRDefault="00233278" w:rsidP="006C67F7">
      <w:pPr>
        <w:autoSpaceDE w:val="0"/>
        <w:autoSpaceDN w:val="0"/>
        <w:adjustRightInd w:val="0"/>
        <w:spacing w:line="360" w:lineRule="auto"/>
        <w:jc w:val="both"/>
        <w:rPr>
          <w:rFonts w:ascii="Palatino Linotype" w:eastAsia="Calibri" w:hAnsi="Palatino Linotype" w:cs="Arial"/>
          <w:lang w:val="es-ES" w:eastAsia="es-ES"/>
        </w:rPr>
      </w:pPr>
    </w:p>
    <w:p w:rsidR="00C81B8A" w:rsidRDefault="00233278" w:rsidP="006C67F7">
      <w:pPr>
        <w:spacing w:line="360" w:lineRule="auto"/>
        <w:jc w:val="both"/>
        <w:rPr>
          <w:rFonts w:ascii="Palatino Linotype" w:hAnsi="Palatino Linotype" w:cs="Arial"/>
          <w:b/>
          <w:sz w:val="28"/>
        </w:rPr>
      </w:pPr>
      <w:r>
        <w:rPr>
          <w:rFonts w:ascii="Palatino Linotype" w:hAnsi="Palatino Linotype" w:cs="Arial"/>
          <w:b/>
          <w:sz w:val="28"/>
        </w:rPr>
        <w:t xml:space="preserve">CUARTO. </w:t>
      </w:r>
      <w:r w:rsidR="00C81B8A">
        <w:rPr>
          <w:rFonts w:ascii="Palatino Linotype" w:hAnsi="Palatino Linotype" w:cs="Arial"/>
          <w:b/>
          <w:sz w:val="28"/>
        </w:rPr>
        <w:t>De las causas de improcedencia.</w:t>
      </w:r>
    </w:p>
    <w:p w:rsidR="00C81B8A" w:rsidRPr="00667998" w:rsidRDefault="00C81B8A" w:rsidP="006C67F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w:t>
      </w:r>
      <w:proofErr w:type="spellStart"/>
      <w:r w:rsidRPr="00667998">
        <w:rPr>
          <w:rFonts w:ascii="Palatino Linotype" w:hAnsi="Palatino Linotype" w:cs="Arial"/>
        </w:rPr>
        <w:t>procedibilidad</w:t>
      </w:r>
      <w:proofErr w:type="spellEnd"/>
      <w:r w:rsidRPr="00667998">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C81B8A" w:rsidRDefault="00C81B8A" w:rsidP="006C67F7">
      <w:pPr>
        <w:pStyle w:val="Prrafodelista"/>
        <w:autoSpaceDE w:val="0"/>
        <w:autoSpaceDN w:val="0"/>
        <w:adjustRightInd w:val="0"/>
        <w:spacing w:line="360" w:lineRule="auto"/>
        <w:ind w:left="0"/>
        <w:jc w:val="both"/>
        <w:rPr>
          <w:rFonts w:ascii="Palatino Linotype" w:hAnsi="Palatino Linotype" w:cs="Arial"/>
        </w:rPr>
      </w:pPr>
    </w:p>
    <w:p w:rsidR="00C81B8A" w:rsidRDefault="00C81B8A" w:rsidP="006C67F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w:t>
      </w:r>
      <w:proofErr w:type="spellStart"/>
      <w:r w:rsidRPr="00667998">
        <w:rPr>
          <w:rFonts w:ascii="Palatino Linotype" w:hAnsi="Palatino Linotype" w:cs="Arial"/>
        </w:rPr>
        <w:t>Resolutor</w:t>
      </w:r>
      <w:proofErr w:type="spellEnd"/>
      <w:r w:rsidRPr="00667998">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w:t>
      </w:r>
      <w:r w:rsidRPr="00667998">
        <w:rPr>
          <w:rFonts w:ascii="Palatino Linotype" w:hAnsi="Palatino Linotype" w:cs="Arial"/>
        </w:rPr>
        <w:lastRenderedPageBreak/>
        <w:t>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rsidR="00C81B8A" w:rsidRDefault="00C81B8A" w:rsidP="006C67F7">
      <w:pPr>
        <w:pStyle w:val="Prrafodelista"/>
        <w:autoSpaceDE w:val="0"/>
        <w:autoSpaceDN w:val="0"/>
        <w:adjustRightInd w:val="0"/>
        <w:spacing w:line="360" w:lineRule="auto"/>
        <w:ind w:left="0"/>
        <w:jc w:val="both"/>
        <w:rPr>
          <w:rFonts w:ascii="Palatino Linotype" w:hAnsi="Palatino Linotype" w:cs="Arial"/>
        </w:rPr>
      </w:pPr>
    </w:p>
    <w:p w:rsidR="00C81B8A" w:rsidRDefault="00C81B8A" w:rsidP="006C67F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del Estado de México y Municipios, encontrándose actualizados todos los supuestos procesales para atender el fondo del asunto, en los términos del considerando posterior. </w:t>
      </w:r>
    </w:p>
    <w:p w:rsidR="00C81B8A" w:rsidRPr="000A1E7A" w:rsidRDefault="00C81B8A" w:rsidP="006C67F7">
      <w:pPr>
        <w:pStyle w:val="Prrafodelista"/>
        <w:autoSpaceDE w:val="0"/>
        <w:autoSpaceDN w:val="0"/>
        <w:adjustRightInd w:val="0"/>
        <w:spacing w:line="360" w:lineRule="auto"/>
        <w:ind w:left="0"/>
        <w:jc w:val="both"/>
        <w:rPr>
          <w:rFonts w:ascii="Palatino Linotype" w:hAnsi="Palatino Linotype" w:cs="Arial"/>
          <w:b/>
        </w:rPr>
      </w:pPr>
    </w:p>
    <w:p w:rsidR="00C81B8A" w:rsidRDefault="00233278" w:rsidP="006C67F7">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w:t>
      </w:r>
      <w:r w:rsidR="00C81B8A">
        <w:rPr>
          <w:rFonts w:ascii="Palatino Linotype" w:hAnsi="Palatino Linotype" w:cs="Arial"/>
          <w:b/>
          <w:sz w:val="28"/>
        </w:rPr>
        <w:t>T</w:t>
      </w:r>
      <w:r w:rsidR="00C81B8A" w:rsidRPr="00037B15">
        <w:rPr>
          <w:rFonts w:ascii="Palatino Linotype" w:hAnsi="Palatino Linotype" w:cs="Arial"/>
          <w:b/>
          <w:sz w:val="28"/>
        </w:rPr>
        <w:t xml:space="preserve">O. </w:t>
      </w:r>
      <w:r w:rsidR="00C81B8A" w:rsidRPr="00667998">
        <w:rPr>
          <w:rFonts w:ascii="Palatino Linotype" w:hAnsi="Palatino Linotype" w:cs="Arial"/>
          <w:b/>
          <w:sz w:val="28"/>
        </w:rPr>
        <w:t>Estudio y resolución del asunto.</w:t>
      </w:r>
    </w:p>
    <w:p w:rsidR="00C81B8A" w:rsidRPr="00667998" w:rsidRDefault="00C81B8A" w:rsidP="006C67F7">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C81B8A" w:rsidRDefault="00C81B8A" w:rsidP="006C67F7">
      <w:pPr>
        <w:spacing w:line="360" w:lineRule="auto"/>
        <w:jc w:val="both"/>
        <w:rPr>
          <w:rFonts w:ascii="Palatino Linotype" w:hAnsi="Palatino Linotype"/>
        </w:rPr>
      </w:pPr>
    </w:p>
    <w:p w:rsidR="00C81B8A" w:rsidRDefault="00C81B8A" w:rsidP="006C67F7">
      <w:pPr>
        <w:spacing w:line="360" w:lineRule="auto"/>
        <w:jc w:val="both"/>
        <w:rPr>
          <w:rFonts w:ascii="Palatino Linotype" w:hAnsi="Palatino Linotype"/>
        </w:rPr>
      </w:pPr>
      <w:r w:rsidRPr="00BE7582">
        <w:rPr>
          <w:rFonts w:ascii="Palatino Linotype" w:hAnsi="Palatino Linotype"/>
        </w:rPr>
        <w:t xml:space="preserve">Con el propósito de resolver el presente medio de impugnación, es </w:t>
      </w:r>
      <w:r>
        <w:rPr>
          <w:rFonts w:ascii="Palatino Linotype" w:hAnsi="Palatino Linotype"/>
        </w:rPr>
        <w:t xml:space="preserve">conveniente recordar que la </w:t>
      </w:r>
      <w:r w:rsidR="000A05E2">
        <w:rPr>
          <w:rFonts w:ascii="Palatino Linotype" w:hAnsi="Palatino Linotype"/>
        </w:rPr>
        <w:t xml:space="preserve">parte </w:t>
      </w:r>
      <w:r w:rsidRPr="00BE7582">
        <w:rPr>
          <w:rFonts w:ascii="Palatino Linotype" w:hAnsi="Palatino Linotype"/>
        </w:rPr>
        <w:t>Recurrente solicitó al Sujeto Obligado</w:t>
      </w:r>
      <w:r>
        <w:rPr>
          <w:rFonts w:ascii="Palatino Linotype" w:hAnsi="Palatino Linotype"/>
        </w:rPr>
        <w:t xml:space="preserve"> </w:t>
      </w:r>
      <w:r w:rsidRPr="00BE7582">
        <w:rPr>
          <w:rFonts w:ascii="Palatino Linotype" w:hAnsi="Palatino Linotype"/>
        </w:rPr>
        <w:t>lo siguiente:</w:t>
      </w:r>
    </w:p>
    <w:p w:rsidR="00C81B8A" w:rsidRDefault="00C81B8A" w:rsidP="006C67F7">
      <w:pPr>
        <w:spacing w:line="360" w:lineRule="auto"/>
        <w:jc w:val="both"/>
        <w:rPr>
          <w:rFonts w:ascii="Palatino Linotype" w:hAnsi="Palatino Linotype"/>
        </w:rPr>
      </w:pPr>
    </w:p>
    <w:p w:rsidR="00C81B8A" w:rsidRPr="001E6BD5" w:rsidRDefault="00233278" w:rsidP="006C67F7">
      <w:pPr>
        <w:pStyle w:val="Prrafodelista"/>
        <w:numPr>
          <w:ilvl w:val="0"/>
          <w:numId w:val="4"/>
        </w:numPr>
        <w:spacing w:line="360" w:lineRule="auto"/>
        <w:jc w:val="both"/>
        <w:rPr>
          <w:rFonts w:ascii="Palatino Linotype" w:eastAsia="Arial Unicode MS" w:hAnsi="Palatino Linotype" w:cs="Arial"/>
        </w:rPr>
      </w:pPr>
      <w:bookmarkStart w:id="1" w:name="_Hlk82038749"/>
      <w:bookmarkStart w:id="2" w:name="_Hlk82011256"/>
      <w:r>
        <w:rPr>
          <w:rFonts w:ascii="Palatino Linotype" w:hAnsi="Palatino Linotype"/>
          <w:color w:val="000000"/>
        </w:rPr>
        <w:t>N</w:t>
      </w:r>
      <w:r w:rsidR="00FD473F">
        <w:rPr>
          <w:rFonts w:ascii="Palatino Linotype" w:hAnsi="Palatino Linotype"/>
          <w:color w:val="000000"/>
        </w:rPr>
        <w:t>ombre de las b</w:t>
      </w:r>
      <w:r w:rsidRPr="00233278">
        <w:rPr>
          <w:rFonts w:ascii="Palatino Linotype" w:hAnsi="Palatino Linotype"/>
          <w:color w:val="000000"/>
        </w:rPr>
        <w:t xml:space="preserve">ases de </w:t>
      </w:r>
      <w:r w:rsidR="00FD473F">
        <w:rPr>
          <w:rFonts w:ascii="Palatino Linotype" w:hAnsi="Palatino Linotype"/>
          <w:color w:val="000000"/>
        </w:rPr>
        <w:t>d</w:t>
      </w:r>
      <w:r w:rsidRPr="00233278">
        <w:rPr>
          <w:rFonts w:ascii="Palatino Linotype" w:hAnsi="Palatino Linotype"/>
          <w:color w:val="000000"/>
        </w:rPr>
        <w:t>atos registradas, así como el número de registros del primer semestre</w:t>
      </w:r>
      <w:r w:rsidR="00C81B8A">
        <w:rPr>
          <w:rFonts w:ascii="Palatino Linotype" w:hAnsi="Palatino Linotype"/>
          <w:color w:val="000000"/>
        </w:rPr>
        <w:t>;</w:t>
      </w:r>
    </w:p>
    <w:p w:rsidR="00FD473F" w:rsidRPr="00FD473F" w:rsidRDefault="00FD473F" w:rsidP="006C67F7">
      <w:pPr>
        <w:pStyle w:val="Prrafodelista"/>
        <w:numPr>
          <w:ilvl w:val="0"/>
          <w:numId w:val="4"/>
        </w:numPr>
        <w:spacing w:line="360" w:lineRule="auto"/>
        <w:jc w:val="both"/>
        <w:rPr>
          <w:rFonts w:ascii="Palatino Linotype" w:eastAsia="Arial Unicode MS" w:hAnsi="Palatino Linotype" w:cs="Arial"/>
        </w:rPr>
      </w:pPr>
      <w:r>
        <w:rPr>
          <w:rFonts w:ascii="Palatino Linotype" w:hAnsi="Palatino Linotype"/>
          <w:color w:val="000000"/>
        </w:rPr>
        <w:t>El Acta del C</w:t>
      </w:r>
      <w:r w:rsidRPr="00FD473F">
        <w:rPr>
          <w:rFonts w:ascii="Palatino Linotype" w:hAnsi="Palatino Linotype"/>
          <w:color w:val="000000"/>
        </w:rPr>
        <w:t>omité don</w:t>
      </w:r>
      <w:r>
        <w:rPr>
          <w:rFonts w:ascii="Palatino Linotype" w:hAnsi="Palatino Linotype"/>
          <w:color w:val="000000"/>
        </w:rPr>
        <w:t>de se nombran a los habilitados;</w:t>
      </w:r>
    </w:p>
    <w:p w:rsidR="00C81B8A" w:rsidRPr="00FD473F" w:rsidRDefault="00FD473F" w:rsidP="006C67F7">
      <w:pPr>
        <w:pStyle w:val="Prrafodelista"/>
        <w:numPr>
          <w:ilvl w:val="0"/>
          <w:numId w:val="4"/>
        </w:numPr>
        <w:spacing w:line="360" w:lineRule="auto"/>
        <w:jc w:val="both"/>
        <w:rPr>
          <w:rFonts w:ascii="Palatino Linotype" w:eastAsia="Arial Unicode MS" w:hAnsi="Palatino Linotype" w:cs="Arial"/>
        </w:rPr>
      </w:pPr>
      <w:r>
        <w:rPr>
          <w:rFonts w:ascii="Palatino Linotype" w:hAnsi="Palatino Linotype"/>
          <w:color w:val="000000"/>
        </w:rPr>
        <w:t>N</w:t>
      </w:r>
      <w:r w:rsidRPr="00FD473F">
        <w:rPr>
          <w:rFonts w:ascii="Palatino Linotype" w:hAnsi="Palatino Linotype"/>
          <w:color w:val="000000"/>
        </w:rPr>
        <w:t xml:space="preserve">ombramiento de los integrantes del comité de transparencia de la </w:t>
      </w:r>
      <w:r>
        <w:rPr>
          <w:rFonts w:ascii="Palatino Linotype" w:hAnsi="Palatino Linotype"/>
          <w:color w:val="000000"/>
        </w:rPr>
        <w:t>S</w:t>
      </w:r>
      <w:r w:rsidRPr="00FD473F">
        <w:rPr>
          <w:rFonts w:ascii="Palatino Linotype" w:hAnsi="Palatino Linotype"/>
          <w:color w:val="000000"/>
        </w:rPr>
        <w:t>ecretaría</w:t>
      </w:r>
      <w:r>
        <w:rPr>
          <w:rFonts w:ascii="Palatino Linotype" w:hAnsi="Palatino Linotype"/>
          <w:color w:val="000000"/>
        </w:rPr>
        <w:t xml:space="preserve">. </w:t>
      </w:r>
    </w:p>
    <w:p w:rsidR="00FD473F" w:rsidRPr="001E6BD5" w:rsidRDefault="00FD473F" w:rsidP="006C67F7">
      <w:pPr>
        <w:pStyle w:val="Prrafodelista"/>
        <w:spacing w:line="360" w:lineRule="auto"/>
        <w:ind w:left="720"/>
        <w:jc w:val="both"/>
        <w:rPr>
          <w:rFonts w:ascii="Palatino Linotype" w:eastAsia="Arial Unicode MS" w:hAnsi="Palatino Linotype" w:cs="Arial"/>
        </w:rPr>
      </w:pPr>
    </w:p>
    <w:p w:rsidR="00C81B8A" w:rsidRDefault="00C81B8A" w:rsidP="006C67F7">
      <w:pPr>
        <w:spacing w:line="360" w:lineRule="auto"/>
        <w:jc w:val="both"/>
        <w:rPr>
          <w:rFonts w:ascii="Palatino Linotype" w:hAnsi="Palatino Linotype" w:cs="Arial"/>
        </w:rPr>
      </w:pPr>
      <w:r w:rsidRPr="00462CFA">
        <w:rPr>
          <w:rFonts w:ascii="Palatino Linotype" w:eastAsia="Arial Unicode MS" w:hAnsi="Palatino Linotype" w:cs="Arial"/>
        </w:rPr>
        <w:t>En atención a los requerimientos de información planteado</w:t>
      </w:r>
      <w:r>
        <w:rPr>
          <w:rFonts w:ascii="Palatino Linotype" w:eastAsia="Arial Unicode MS" w:hAnsi="Palatino Linotype" w:cs="Arial"/>
        </w:rPr>
        <w:t>s</w:t>
      </w:r>
      <w:r w:rsidRPr="00462CFA">
        <w:rPr>
          <w:rFonts w:ascii="Palatino Linotype" w:eastAsia="Arial Unicode MS" w:hAnsi="Palatino Linotype" w:cs="Arial"/>
        </w:rPr>
        <w:t xml:space="preserve"> por el particular, el Sujeto Obligado, </w:t>
      </w:r>
      <w:r w:rsidR="00FD473F">
        <w:rPr>
          <w:rFonts w:ascii="Palatino Linotype" w:eastAsia="Arial Unicode MS" w:hAnsi="Palatino Linotype" w:cs="Arial"/>
        </w:rPr>
        <w:t xml:space="preserve">adjunto a su respuesta los archivos electrónicos denominados </w:t>
      </w:r>
      <w:r w:rsidR="00FD473F" w:rsidRPr="00233278">
        <w:rPr>
          <w:rFonts w:ascii="Palatino Linotype" w:hAnsi="Palatino Linotype" w:cs="Arial"/>
          <w:i/>
        </w:rPr>
        <w:t xml:space="preserve">“Acta </w:t>
      </w:r>
      <w:proofErr w:type="spellStart"/>
      <w:r w:rsidR="00FD473F" w:rsidRPr="00233278">
        <w:rPr>
          <w:rFonts w:ascii="Palatino Linotype" w:hAnsi="Palatino Linotype" w:cs="Arial"/>
          <w:i/>
        </w:rPr>
        <w:t>Vigesima</w:t>
      </w:r>
      <w:proofErr w:type="spellEnd"/>
      <w:r w:rsidR="00FD473F" w:rsidRPr="00233278">
        <w:rPr>
          <w:rFonts w:ascii="Palatino Linotype" w:hAnsi="Palatino Linotype" w:cs="Arial"/>
          <w:i/>
        </w:rPr>
        <w:t xml:space="preserve"> Novena.pdf</w:t>
      </w:r>
      <w:r w:rsidR="00FD473F">
        <w:rPr>
          <w:rFonts w:ascii="Palatino Linotype" w:hAnsi="Palatino Linotype" w:cs="Arial"/>
          <w:i/>
        </w:rPr>
        <w:t>”, “</w:t>
      </w:r>
      <w:r w:rsidR="00FD473F" w:rsidRPr="00233278">
        <w:rPr>
          <w:rFonts w:ascii="Palatino Linotype" w:hAnsi="Palatino Linotype" w:cs="Arial"/>
          <w:i/>
        </w:rPr>
        <w:t>Anexo Dos Acta.pdf</w:t>
      </w:r>
      <w:r w:rsidR="00FD473F">
        <w:rPr>
          <w:rFonts w:ascii="Palatino Linotype" w:hAnsi="Palatino Linotype" w:cs="Arial"/>
          <w:i/>
        </w:rPr>
        <w:t>”, “</w:t>
      </w:r>
      <w:r w:rsidR="00FD473F" w:rsidRPr="00233278">
        <w:rPr>
          <w:rFonts w:ascii="Palatino Linotype" w:hAnsi="Palatino Linotype" w:cs="Arial"/>
          <w:i/>
        </w:rPr>
        <w:t>Respuesta 414.pdf</w:t>
      </w:r>
      <w:r w:rsidR="00FD473F">
        <w:rPr>
          <w:rFonts w:ascii="Palatino Linotype" w:hAnsi="Palatino Linotype" w:cs="Arial"/>
          <w:i/>
        </w:rPr>
        <w:t>” y “</w:t>
      </w:r>
      <w:r w:rsidR="00FD473F" w:rsidRPr="00233278">
        <w:rPr>
          <w:rFonts w:ascii="Palatino Linotype" w:hAnsi="Palatino Linotype" w:cs="Arial"/>
          <w:i/>
        </w:rPr>
        <w:t>VIGÉSIMA SEXTA EXTRA-2024.pdf”</w:t>
      </w:r>
      <w:r w:rsidR="00FD473F">
        <w:rPr>
          <w:rFonts w:ascii="Palatino Linotype" w:hAnsi="Palatino Linotype" w:cs="Arial"/>
        </w:rPr>
        <w:t>, a través de los cuales se advierte lo siguiente:</w:t>
      </w:r>
    </w:p>
    <w:p w:rsidR="00FD473F" w:rsidRPr="00FD473F" w:rsidRDefault="00FD473F" w:rsidP="006C67F7">
      <w:pPr>
        <w:spacing w:line="360" w:lineRule="auto"/>
        <w:jc w:val="both"/>
        <w:rPr>
          <w:rFonts w:ascii="Palatino Linotype" w:eastAsia="Arial Unicode MS" w:hAnsi="Palatino Linotype" w:cs="Arial"/>
        </w:rPr>
      </w:pPr>
    </w:p>
    <w:p w:rsidR="00FD473F" w:rsidRPr="00CD7C1D" w:rsidRDefault="00A351FF" w:rsidP="006C67F7">
      <w:pPr>
        <w:pStyle w:val="Prrafodelista"/>
        <w:numPr>
          <w:ilvl w:val="0"/>
          <w:numId w:val="5"/>
        </w:numPr>
        <w:spacing w:line="360" w:lineRule="auto"/>
        <w:jc w:val="both"/>
        <w:rPr>
          <w:rFonts w:ascii="Palatino Linotype" w:eastAsia="Arial Unicode MS" w:hAnsi="Palatino Linotype" w:cs="Arial"/>
        </w:rPr>
      </w:pPr>
      <w:r w:rsidRPr="00A351FF">
        <w:rPr>
          <w:rFonts w:ascii="Palatino Linotype" w:hAnsi="Palatino Linotype" w:cs="Arial"/>
          <w:b/>
        </w:rPr>
        <w:t xml:space="preserve">Acta </w:t>
      </w:r>
      <w:proofErr w:type="spellStart"/>
      <w:r w:rsidRPr="00A351FF">
        <w:rPr>
          <w:rFonts w:ascii="Palatino Linotype" w:hAnsi="Palatino Linotype" w:cs="Arial"/>
          <w:b/>
        </w:rPr>
        <w:t>Vigesima</w:t>
      </w:r>
      <w:proofErr w:type="spellEnd"/>
      <w:r w:rsidRPr="00A351FF">
        <w:rPr>
          <w:rFonts w:ascii="Palatino Linotype" w:hAnsi="Palatino Linotype" w:cs="Arial"/>
          <w:b/>
        </w:rPr>
        <w:t xml:space="preserve"> Novena.pdf</w:t>
      </w:r>
      <w:r w:rsidRPr="00A351FF">
        <w:rPr>
          <w:rFonts w:ascii="Palatino Linotype" w:hAnsi="Palatino Linotype" w:cs="Arial"/>
        </w:rPr>
        <w:t>:</w:t>
      </w:r>
      <w:r>
        <w:rPr>
          <w:rFonts w:ascii="Palatino Linotype" w:hAnsi="Palatino Linotype" w:cs="Arial"/>
        </w:rPr>
        <w:t xml:space="preserve"> Documento consistente en el Acta de la Vigésima Novena Sesión Extraordinaria 2024 del Comité de Transparencia del Sujeto </w:t>
      </w:r>
      <w:r>
        <w:rPr>
          <w:rFonts w:ascii="Palatino Linotype" w:hAnsi="Palatino Linotype" w:cs="Arial"/>
        </w:rPr>
        <w:lastRenderedPageBreak/>
        <w:t>Obligado</w:t>
      </w:r>
      <w:r w:rsidR="00CD7C1D">
        <w:rPr>
          <w:rFonts w:ascii="Palatino Linotype" w:hAnsi="Palatino Linotype" w:cs="Arial"/>
        </w:rPr>
        <w:t>,</w:t>
      </w:r>
      <w:r w:rsidR="0012624B">
        <w:rPr>
          <w:rFonts w:ascii="Palatino Linotype" w:hAnsi="Palatino Linotype" w:cs="Arial"/>
        </w:rPr>
        <w:t xml:space="preserve"> de fecha veintitrés de agosto de dos mil veinticuatro,</w:t>
      </w:r>
      <w:r w:rsidR="00CD7C1D">
        <w:rPr>
          <w:rFonts w:ascii="Palatino Linotype" w:hAnsi="Palatino Linotype" w:cs="Arial"/>
        </w:rPr>
        <w:t xml:space="preserve"> a través de la cual se </w:t>
      </w:r>
      <w:r w:rsidR="0012624B">
        <w:rPr>
          <w:rFonts w:ascii="Palatino Linotype" w:hAnsi="Palatino Linotype" w:cs="Arial"/>
        </w:rPr>
        <w:t xml:space="preserve">advierte como punto número III, la </w:t>
      </w:r>
      <w:r w:rsidR="0012624B" w:rsidRPr="00AE07E4">
        <w:rPr>
          <w:rFonts w:ascii="Palatino Linotype" w:hAnsi="Palatino Linotype" w:cs="Arial"/>
          <w:b/>
        </w:rPr>
        <w:t>ratificación de los Servidores Públicos Habilitados de la Secretaría de Seguridad</w:t>
      </w:r>
      <w:r w:rsidR="0012624B">
        <w:rPr>
          <w:rFonts w:ascii="Palatino Linotype" w:hAnsi="Palatino Linotype" w:cs="Arial"/>
        </w:rPr>
        <w:t xml:space="preserve">, en la que se muestra el listado de los Servidores Públicos Habilitados del Sujeto Obligado; asimismo se </w:t>
      </w:r>
      <w:r w:rsidR="00CD7C1D">
        <w:rPr>
          <w:rFonts w:ascii="Palatino Linotype" w:hAnsi="Palatino Linotype" w:cs="Arial"/>
        </w:rPr>
        <w:t xml:space="preserve">aprobó </w:t>
      </w:r>
      <w:r w:rsidR="0012624B">
        <w:rPr>
          <w:rFonts w:ascii="Palatino Linotype" w:hAnsi="Palatino Linotype" w:cs="Arial"/>
        </w:rPr>
        <w:t xml:space="preserve">en el punto número V, </w:t>
      </w:r>
      <w:r w:rsidR="00CD7C1D">
        <w:rPr>
          <w:rFonts w:ascii="Palatino Linotype" w:hAnsi="Palatino Linotype" w:cs="Arial"/>
        </w:rPr>
        <w:t>la</w:t>
      </w:r>
      <w:r w:rsidR="0012624B">
        <w:rPr>
          <w:rFonts w:ascii="Palatino Linotype" w:hAnsi="Palatino Linotype" w:cs="Arial"/>
        </w:rPr>
        <w:t xml:space="preserve"> información correspondiente </w:t>
      </w:r>
      <w:r w:rsidR="0012624B" w:rsidRPr="00AE07E4">
        <w:rPr>
          <w:rFonts w:ascii="Palatino Linotype" w:hAnsi="Palatino Linotype" w:cs="Arial"/>
          <w:b/>
        </w:rPr>
        <w:t>a</w:t>
      </w:r>
      <w:r w:rsidR="00CD7C1D" w:rsidRPr="00AE07E4">
        <w:rPr>
          <w:rFonts w:ascii="Palatino Linotype" w:hAnsi="Palatino Linotype" w:cs="Arial"/>
          <w:b/>
        </w:rPr>
        <w:t>l nombre de las bases de datos de la Secretaria de Seguridad, así como su número de registros</w:t>
      </w:r>
      <w:r w:rsidR="00CD7C1D">
        <w:rPr>
          <w:rFonts w:ascii="Palatino Linotype" w:hAnsi="Palatino Linotype" w:cs="Arial"/>
        </w:rPr>
        <w:t xml:space="preserve"> del primer semestre</w:t>
      </w:r>
      <w:r w:rsidR="0012624B" w:rsidRPr="0012624B">
        <w:rPr>
          <w:rFonts w:ascii="Palatino Linotype" w:hAnsi="Palatino Linotype" w:cs="Arial"/>
        </w:rPr>
        <w:t xml:space="preserve"> </w:t>
      </w:r>
      <w:r w:rsidR="0012624B" w:rsidRPr="00AE07E4">
        <w:rPr>
          <w:rFonts w:ascii="Palatino Linotype" w:hAnsi="Palatino Linotype" w:cs="Arial"/>
          <w:b/>
        </w:rPr>
        <w:t>como información reservada</w:t>
      </w:r>
      <w:r w:rsidR="0012624B">
        <w:rPr>
          <w:rFonts w:ascii="Palatino Linotype" w:hAnsi="Palatino Linotype" w:cs="Arial"/>
        </w:rPr>
        <w:t>, por un término de cinco años</w:t>
      </w:r>
      <w:r w:rsidR="00CD7C1D">
        <w:rPr>
          <w:rFonts w:ascii="Palatino Linotype" w:hAnsi="Palatino Linotype" w:cs="Arial"/>
        </w:rPr>
        <w:t>.</w:t>
      </w:r>
    </w:p>
    <w:p w:rsidR="00CD7C1D" w:rsidRPr="00CD7C1D" w:rsidRDefault="00CD7C1D" w:rsidP="006C67F7">
      <w:pPr>
        <w:pStyle w:val="Prrafodelista"/>
        <w:spacing w:line="360" w:lineRule="auto"/>
        <w:ind w:left="720"/>
        <w:jc w:val="both"/>
        <w:rPr>
          <w:rFonts w:ascii="Palatino Linotype" w:eastAsia="Arial Unicode MS" w:hAnsi="Palatino Linotype" w:cs="Arial"/>
        </w:rPr>
      </w:pPr>
    </w:p>
    <w:p w:rsidR="00CD7C1D" w:rsidRPr="0012624B" w:rsidRDefault="00CD7C1D" w:rsidP="006C67F7">
      <w:pPr>
        <w:pStyle w:val="Prrafodelista"/>
        <w:numPr>
          <w:ilvl w:val="0"/>
          <w:numId w:val="5"/>
        </w:numPr>
        <w:spacing w:line="360" w:lineRule="auto"/>
        <w:jc w:val="both"/>
        <w:rPr>
          <w:rFonts w:ascii="Palatino Linotype" w:eastAsia="Arial Unicode MS" w:hAnsi="Palatino Linotype" w:cs="Arial"/>
        </w:rPr>
      </w:pPr>
      <w:r w:rsidRPr="00CD7C1D">
        <w:rPr>
          <w:rFonts w:ascii="Palatino Linotype" w:hAnsi="Palatino Linotype" w:cs="Arial"/>
          <w:b/>
        </w:rPr>
        <w:t>Anexo Dos Acta.pdf</w:t>
      </w:r>
      <w:r w:rsidRPr="00CD7C1D">
        <w:rPr>
          <w:rFonts w:ascii="Palatino Linotype" w:hAnsi="Palatino Linotype" w:cs="Arial"/>
        </w:rPr>
        <w:t>:</w:t>
      </w:r>
      <w:r>
        <w:rPr>
          <w:rFonts w:ascii="Palatino Linotype" w:hAnsi="Palatino Linotype" w:cs="Arial"/>
        </w:rPr>
        <w:t xml:space="preserve"> Documento consistente en el Acuerdo SS/CT/EXT/XXIX/003/2024, a través del cual se advierte la prueba de daño, por la que se decide reservar la información relacionada con </w:t>
      </w:r>
      <w:r w:rsidRPr="00CD7C1D">
        <w:rPr>
          <w:rFonts w:ascii="Palatino Linotype" w:hAnsi="Palatino Linotype" w:cs="Arial"/>
        </w:rPr>
        <w:t>el nombre de las bases de datos de la Secretaria de Seguridad, así como su número d</w:t>
      </w:r>
      <w:r>
        <w:rPr>
          <w:rFonts w:ascii="Palatino Linotype" w:hAnsi="Palatino Linotype" w:cs="Arial"/>
        </w:rPr>
        <w:t>e registros del primer semestre, por un periodo de cinco años</w:t>
      </w:r>
      <w:r w:rsidR="0012624B">
        <w:rPr>
          <w:rFonts w:ascii="Palatino Linotype" w:hAnsi="Palatino Linotype" w:cs="Arial"/>
        </w:rPr>
        <w:t>, por los integrantes del Comité de Transparencia del Sujeto Obligado.</w:t>
      </w:r>
    </w:p>
    <w:p w:rsidR="0012624B" w:rsidRPr="0012624B" w:rsidRDefault="0012624B" w:rsidP="006C67F7">
      <w:pPr>
        <w:pStyle w:val="Prrafodelista"/>
        <w:rPr>
          <w:rFonts w:ascii="Palatino Linotype" w:eastAsia="Arial Unicode MS" w:hAnsi="Palatino Linotype" w:cs="Arial"/>
        </w:rPr>
      </w:pPr>
    </w:p>
    <w:p w:rsidR="0012624B" w:rsidRPr="00E51DEF" w:rsidRDefault="0012624B" w:rsidP="006C67F7">
      <w:pPr>
        <w:pStyle w:val="Prrafodelista"/>
        <w:numPr>
          <w:ilvl w:val="0"/>
          <w:numId w:val="5"/>
        </w:numPr>
        <w:spacing w:line="360" w:lineRule="auto"/>
        <w:jc w:val="both"/>
        <w:rPr>
          <w:rFonts w:ascii="Palatino Linotype" w:eastAsia="Arial Unicode MS" w:hAnsi="Palatino Linotype" w:cs="Arial"/>
        </w:rPr>
      </w:pPr>
      <w:r w:rsidRPr="0012624B">
        <w:rPr>
          <w:rFonts w:ascii="Palatino Linotype" w:hAnsi="Palatino Linotype" w:cs="Arial"/>
          <w:b/>
        </w:rPr>
        <w:t>Respuesta 414.pdf:</w:t>
      </w:r>
      <w:r w:rsidRPr="0012624B">
        <w:rPr>
          <w:rFonts w:ascii="Palatino Linotype" w:hAnsi="Palatino Linotype" w:cs="Arial"/>
        </w:rPr>
        <w:t xml:space="preserve"> </w:t>
      </w:r>
      <w:r>
        <w:rPr>
          <w:rFonts w:ascii="Palatino Linotype" w:hAnsi="Palatino Linotype" w:cs="Arial"/>
        </w:rPr>
        <w:t xml:space="preserve">Documento consistente en oficio de fecha veintinueve de agosto de dos mil veinticuatro, a través del cual el Encargado de la Unidad de Información, Planeación, Programación y Evaluación y de la Unidad de Transparencia, informó al solicitante </w:t>
      </w:r>
      <w:r w:rsidR="00E51DEF">
        <w:rPr>
          <w:rFonts w:ascii="Palatino Linotype" w:hAnsi="Palatino Linotype" w:cs="Arial"/>
        </w:rPr>
        <w:t>de las respuestas proporcionadas a cada uno de sus requerimientos.</w:t>
      </w:r>
    </w:p>
    <w:p w:rsidR="00E51DEF" w:rsidRPr="00E51DEF" w:rsidRDefault="00E51DEF" w:rsidP="006C67F7">
      <w:pPr>
        <w:pStyle w:val="Prrafodelista"/>
        <w:rPr>
          <w:rFonts w:ascii="Palatino Linotype" w:eastAsia="Arial Unicode MS" w:hAnsi="Palatino Linotype" w:cs="Arial"/>
        </w:rPr>
      </w:pPr>
    </w:p>
    <w:p w:rsidR="00E51DEF" w:rsidRPr="00E51DEF" w:rsidRDefault="00E51DEF" w:rsidP="006C67F7">
      <w:pPr>
        <w:pStyle w:val="Prrafodelista"/>
        <w:numPr>
          <w:ilvl w:val="0"/>
          <w:numId w:val="5"/>
        </w:numPr>
        <w:spacing w:line="360" w:lineRule="auto"/>
        <w:jc w:val="both"/>
        <w:rPr>
          <w:rFonts w:ascii="Palatino Linotype" w:eastAsia="Arial Unicode MS" w:hAnsi="Palatino Linotype" w:cs="Arial"/>
        </w:rPr>
      </w:pPr>
      <w:r w:rsidRPr="00E51DEF">
        <w:rPr>
          <w:rFonts w:ascii="Palatino Linotype" w:hAnsi="Palatino Linotype" w:cs="Arial"/>
        </w:rPr>
        <w:t>VIGÉSIMA SEXTA EXTRA-2024.pdf:</w:t>
      </w:r>
      <w:r>
        <w:rPr>
          <w:rFonts w:ascii="Palatino Linotype" w:hAnsi="Palatino Linotype" w:cs="Arial"/>
        </w:rPr>
        <w:t xml:space="preserve"> Documento consistente en el Acta</w:t>
      </w:r>
      <w:r w:rsidRPr="00E51DEF">
        <w:t xml:space="preserve"> </w:t>
      </w:r>
      <w:r w:rsidRPr="00E51DEF">
        <w:rPr>
          <w:rFonts w:ascii="Palatino Linotype" w:hAnsi="Palatino Linotype" w:cs="Arial"/>
        </w:rPr>
        <w:t xml:space="preserve">Vigésima </w:t>
      </w:r>
      <w:r>
        <w:rPr>
          <w:rFonts w:ascii="Palatino Linotype" w:hAnsi="Palatino Linotype" w:cs="Arial"/>
        </w:rPr>
        <w:t>Sext</w:t>
      </w:r>
      <w:r w:rsidRPr="00E51DEF">
        <w:rPr>
          <w:rFonts w:ascii="Palatino Linotype" w:hAnsi="Palatino Linotype" w:cs="Arial"/>
        </w:rPr>
        <w:t>a Sesión Extraordinaria 2024 del Comité de Transparencia del Sujeto Obligado, de fecha s</w:t>
      </w:r>
      <w:r>
        <w:rPr>
          <w:rFonts w:ascii="Palatino Linotype" w:hAnsi="Palatino Linotype" w:cs="Arial"/>
        </w:rPr>
        <w:t>eis</w:t>
      </w:r>
      <w:r w:rsidRPr="00E51DEF">
        <w:rPr>
          <w:rFonts w:ascii="Palatino Linotype" w:hAnsi="Palatino Linotype" w:cs="Arial"/>
        </w:rPr>
        <w:t xml:space="preserve"> de agosto de dos mil veinticuatro, a través de la cual se </w:t>
      </w:r>
      <w:r>
        <w:rPr>
          <w:rFonts w:ascii="Palatino Linotype" w:hAnsi="Palatino Linotype" w:cs="Arial"/>
        </w:rPr>
        <w:t>indica</w:t>
      </w:r>
      <w:r w:rsidRPr="00E51DEF">
        <w:rPr>
          <w:rFonts w:ascii="Palatino Linotype" w:hAnsi="Palatino Linotype" w:cs="Arial"/>
        </w:rPr>
        <w:t xml:space="preserve"> como punto número III, la ratificación de los </w:t>
      </w:r>
      <w:r>
        <w:rPr>
          <w:rFonts w:ascii="Palatino Linotype" w:hAnsi="Palatino Linotype" w:cs="Arial"/>
        </w:rPr>
        <w:t>integrantes del Comité de Transparencia</w:t>
      </w:r>
      <w:r w:rsidRPr="00E51DEF">
        <w:rPr>
          <w:rFonts w:ascii="Palatino Linotype" w:hAnsi="Palatino Linotype" w:cs="Arial"/>
        </w:rPr>
        <w:t xml:space="preserve"> de la Secretaría de Seguridad, en la que se muestra el </w:t>
      </w:r>
      <w:r w:rsidRPr="00E51DEF">
        <w:rPr>
          <w:rFonts w:ascii="Palatino Linotype" w:hAnsi="Palatino Linotype" w:cs="Arial"/>
        </w:rPr>
        <w:lastRenderedPageBreak/>
        <w:t xml:space="preserve">listado de los </w:t>
      </w:r>
      <w:r>
        <w:rPr>
          <w:rFonts w:ascii="Palatino Linotype" w:hAnsi="Palatino Linotype" w:cs="Arial"/>
        </w:rPr>
        <w:t xml:space="preserve">nombres de los </w:t>
      </w:r>
      <w:r w:rsidRPr="00E51DEF">
        <w:rPr>
          <w:rFonts w:ascii="Palatino Linotype" w:hAnsi="Palatino Linotype" w:cs="Arial"/>
        </w:rPr>
        <w:t xml:space="preserve">Servidores Públicos integrantes del Comité de Transparencia </w:t>
      </w:r>
      <w:r>
        <w:rPr>
          <w:rFonts w:ascii="Palatino Linotype" w:hAnsi="Palatino Linotype" w:cs="Arial"/>
        </w:rPr>
        <w:t>del Sujeto Obligado</w:t>
      </w:r>
      <w:r w:rsidRPr="00E51DEF">
        <w:rPr>
          <w:rFonts w:ascii="Palatino Linotype" w:hAnsi="Palatino Linotype" w:cs="Arial"/>
        </w:rPr>
        <w:t>.</w:t>
      </w:r>
    </w:p>
    <w:p w:rsidR="00A351FF" w:rsidRPr="00A351FF" w:rsidRDefault="00A351FF" w:rsidP="006C67F7">
      <w:pPr>
        <w:spacing w:line="360" w:lineRule="auto"/>
        <w:jc w:val="both"/>
        <w:rPr>
          <w:rFonts w:ascii="Palatino Linotype" w:eastAsia="Arial Unicode MS" w:hAnsi="Palatino Linotype" w:cs="Arial"/>
        </w:rPr>
      </w:pPr>
    </w:p>
    <w:p w:rsidR="00C81B8A" w:rsidRDefault="00C81B8A" w:rsidP="006C67F7">
      <w:pPr>
        <w:spacing w:line="360" w:lineRule="auto"/>
        <w:ind w:right="141"/>
        <w:jc w:val="both"/>
        <w:rPr>
          <w:rFonts w:ascii="Palatino Linotype" w:hAnsi="Palatino Linotype" w:cs="Arial"/>
          <w:bCs/>
        </w:rPr>
      </w:pPr>
      <w:r w:rsidRPr="00BC334D">
        <w:rPr>
          <w:rFonts w:ascii="Palatino Linotype" w:hAnsi="Palatino Linotype" w:cs="Arial"/>
          <w:bCs/>
        </w:rPr>
        <w:t>Derivado de la respuesta emitida por el</w:t>
      </w:r>
      <w:r w:rsidRPr="00BC334D">
        <w:rPr>
          <w:rFonts w:ascii="Palatino Linotype" w:hAnsi="Palatino Linotype" w:cs="Arial"/>
          <w:b/>
          <w:bCs/>
        </w:rPr>
        <w:t xml:space="preserve"> Sujeto Obligado</w:t>
      </w:r>
      <w:r w:rsidRPr="00BC334D">
        <w:rPr>
          <w:rFonts w:ascii="Palatino Linotype" w:hAnsi="Palatino Linotype" w:cs="Arial"/>
          <w:bCs/>
        </w:rPr>
        <w:t xml:space="preserve">, </w:t>
      </w:r>
      <w:r w:rsidRPr="00BF1471">
        <w:rPr>
          <w:rFonts w:ascii="Palatino Linotype" w:hAnsi="Palatino Linotype" w:cs="Arial"/>
        </w:rPr>
        <w:t>la parte</w:t>
      </w:r>
      <w:r w:rsidRPr="00BC334D">
        <w:rPr>
          <w:rFonts w:ascii="Palatino Linotype" w:hAnsi="Palatino Linotype" w:cs="Arial"/>
          <w:b/>
        </w:rPr>
        <w:t xml:space="preserve"> </w:t>
      </w:r>
      <w:r w:rsidRPr="00BC334D">
        <w:rPr>
          <w:rFonts w:ascii="Palatino Linotype" w:hAnsi="Palatino Linotype" w:cs="Arial"/>
          <w:b/>
          <w:bCs/>
        </w:rPr>
        <w:t>Recurrente</w:t>
      </w:r>
      <w:r w:rsidRPr="00BC334D">
        <w:rPr>
          <w:rFonts w:ascii="Palatino Linotype" w:hAnsi="Palatino Linotype" w:cs="Arial"/>
          <w:bCs/>
        </w:rPr>
        <w:t>, interpuso el presente recurso de revisión, señalando como razones o motivos de inconformidad, lo siguiente:</w:t>
      </w:r>
    </w:p>
    <w:p w:rsidR="00C81B8A" w:rsidRPr="00BC334D" w:rsidRDefault="00C81B8A" w:rsidP="006C67F7">
      <w:pPr>
        <w:spacing w:line="360" w:lineRule="auto"/>
        <w:ind w:right="141"/>
        <w:jc w:val="both"/>
        <w:rPr>
          <w:rFonts w:ascii="Palatino Linotype" w:hAnsi="Palatino Linotype" w:cs="Arial"/>
          <w:bCs/>
        </w:rPr>
      </w:pPr>
    </w:p>
    <w:p w:rsidR="00C81B8A" w:rsidRPr="00BC334D" w:rsidRDefault="00C81B8A" w:rsidP="006C67F7">
      <w:pPr>
        <w:spacing w:line="360" w:lineRule="auto"/>
        <w:ind w:right="190"/>
        <w:jc w:val="both"/>
        <w:rPr>
          <w:rFonts w:ascii="Palatino Linotype" w:hAnsi="Palatino Linotype" w:cs="Arial"/>
          <w:i/>
        </w:rPr>
      </w:pPr>
      <w:r w:rsidRPr="00BC334D">
        <w:rPr>
          <w:rFonts w:ascii="Palatino Linotype" w:eastAsia="Arial Unicode MS" w:hAnsi="Palatino Linotype" w:cs="Arial"/>
          <w:i/>
        </w:rPr>
        <w:t>“</w:t>
      </w:r>
      <w:r w:rsidR="00FD473F" w:rsidRPr="00FD473F">
        <w:rPr>
          <w:rFonts w:ascii="Palatino Linotype" w:eastAsia="Arial Unicode MS" w:hAnsi="Palatino Linotype" w:cs="Arial"/>
          <w:b/>
          <w:i/>
        </w:rPr>
        <w:t>LAS BASES DE DATOS</w:t>
      </w:r>
      <w:r w:rsidR="00FD473F" w:rsidRPr="00FD473F">
        <w:rPr>
          <w:rFonts w:ascii="Palatino Linotype" w:eastAsia="Arial Unicode MS" w:hAnsi="Palatino Linotype" w:cs="Arial"/>
          <w:i/>
        </w:rPr>
        <w:t xml:space="preserve">, COMO LA LEY DE LA MATERIA LO REFIERE CONTIENEN DATOS PERSONALES, NO INFORMACIÓN QUE REQUIERA LA PRUBA DE DAÑO, QUE PUDIERA PONER EN RIESGO LA SEGURIDAD PÚBLICA CON SU DIVULGACIÓN. POR OTRA PARTE, SI EL NOMBRE DE LAS BASES DE DATOS FUERA RESERVADA, POR QUÉ EN SU PÁGINA EN EL APARTADO DE AVISOS DE PRIVACIDAD ESTÁ EL NOMBRE DE LAS BASES DE DATOS, LA DIRECCIÓN DE TRANSPARENCIA DESCONOCE LO QUE PUBLICAN O BIEN PECA DE INGENUA, O BIEN DECONOCE LAS LEYES, EL MOTIVO DE SOLICITARLAS ES PARA FINES ESTADÍSTICOS. POR TODO LO ANTERIOR SOLICITO AL INFOEM ANALIZAR SU ABSURDA E INCONGRUENTE CLASIFICACIÓN, </w:t>
      </w:r>
      <w:r w:rsidR="00FD473F" w:rsidRPr="00FD473F">
        <w:rPr>
          <w:rFonts w:ascii="Palatino Linotype" w:eastAsia="Arial Unicode MS" w:hAnsi="Palatino Linotype" w:cs="Arial"/>
          <w:b/>
          <w:i/>
        </w:rPr>
        <w:t>YA QUE SI TRATAN DE CLASIFICAR LAS BASES DE DATOS QUE ES INFORMACIÓN CONFIDENCIAL Y LA CLASIFICAN COMO RESERVADA</w:t>
      </w:r>
      <w:r w:rsidR="00FD473F" w:rsidRPr="00FD473F">
        <w:rPr>
          <w:rFonts w:ascii="Palatino Linotype" w:eastAsia="Arial Unicode MS" w:hAnsi="Palatino Linotype" w:cs="Arial"/>
          <w:i/>
        </w:rPr>
        <w:t>. FALTA DE CONOCIMIENTO DEL PERSONAL DE TRANSPARENCIA QUE TRATA DE CLASIFICAR ALGO QUE ES PÚBLICO</w:t>
      </w:r>
      <w:r w:rsidRPr="00BC334D">
        <w:rPr>
          <w:rFonts w:ascii="Palatino Linotype" w:hAnsi="Palatino Linotype" w:cs="Arial"/>
          <w:i/>
        </w:rPr>
        <w:t>” (Sic).</w:t>
      </w:r>
    </w:p>
    <w:p w:rsidR="00C81B8A" w:rsidRDefault="00C81B8A" w:rsidP="006C67F7">
      <w:pPr>
        <w:spacing w:line="360" w:lineRule="auto"/>
        <w:jc w:val="both"/>
        <w:rPr>
          <w:rFonts w:ascii="Palatino Linotype" w:eastAsia="Arial Unicode MS" w:hAnsi="Palatino Linotype" w:cs="Arial"/>
        </w:rPr>
      </w:pPr>
    </w:p>
    <w:p w:rsidR="00C81B8A" w:rsidRDefault="00FD473F" w:rsidP="006C67F7">
      <w:pPr>
        <w:pStyle w:val="Sinespaciado"/>
        <w:spacing w:line="360" w:lineRule="auto"/>
        <w:jc w:val="both"/>
        <w:rPr>
          <w:rFonts w:ascii="Palatino Linotype" w:hAnsi="Palatino Linotype" w:cs="Arial"/>
        </w:rPr>
      </w:pPr>
      <w:r>
        <w:rPr>
          <w:rFonts w:ascii="Palatino Linotype" w:hAnsi="Palatino Linotype" w:cs="Arial"/>
        </w:rPr>
        <w:t xml:space="preserve">Posteriormente el Sujeto Obligado remitió su informe justificado a través del archivo electrónico denominado </w:t>
      </w:r>
      <w:r w:rsidRPr="00FD473F">
        <w:rPr>
          <w:rFonts w:ascii="Palatino Linotype" w:hAnsi="Palatino Linotype" w:cs="Arial"/>
        </w:rPr>
        <w:tab/>
      </w:r>
      <w:r w:rsidRPr="00FD473F">
        <w:rPr>
          <w:rFonts w:ascii="Palatino Linotype" w:hAnsi="Palatino Linotype" w:cs="Arial"/>
          <w:i/>
        </w:rPr>
        <w:t>“Informe Justificado 5565.pdf”</w:t>
      </w:r>
      <w:r>
        <w:rPr>
          <w:rFonts w:ascii="Palatino Linotype" w:hAnsi="Palatino Linotype" w:cs="Arial"/>
        </w:rPr>
        <w:t xml:space="preserve">, a través del cual el Encargado de la Unidad de Información, Planeación, Programación y Evaluación y de la Unidad </w:t>
      </w:r>
      <w:r>
        <w:rPr>
          <w:rFonts w:ascii="Palatino Linotype" w:hAnsi="Palatino Linotype" w:cs="Arial"/>
        </w:rPr>
        <w:lastRenderedPageBreak/>
        <w:t xml:space="preserve">de Transparencia, rinde su informe justificado a través de las constancias que integran el expediente electrónico del SAIMEX, en el que medularmente ratifica su respuesta. </w:t>
      </w:r>
    </w:p>
    <w:p w:rsidR="00C81B8A" w:rsidRDefault="00C81B8A" w:rsidP="006C67F7"/>
    <w:p w:rsidR="00C81B8A" w:rsidRPr="00BC334D" w:rsidRDefault="00C81B8A" w:rsidP="006C67F7">
      <w:pPr>
        <w:tabs>
          <w:tab w:val="left" w:pos="709"/>
        </w:tabs>
        <w:spacing w:line="360" w:lineRule="auto"/>
        <w:ind w:right="51"/>
        <w:jc w:val="both"/>
        <w:rPr>
          <w:rFonts w:ascii="Palatino Linotype" w:hAnsi="Palatino Linotype" w:cs="Arial"/>
        </w:rPr>
      </w:pPr>
      <w:r w:rsidRPr="00BC334D">
        <w:rPr>
          <w:rFonts w:ascii="Palatino Linotype" w:hAnsi="Palatino Linotype" w:cs="Arial"/>
        </w:rPr>
        <w:t xml:space="preserve">Correlativo a lo anterior, se concluye que en la especie será motivo de análisis si efectivamente, la respuesta otorgada por parte del </w:t>
      </w:r>
      <w:r w:rsidRPr="00BC334D">
        <w:rPr>
          <w:rFonts w:ascii="Palatino Linotype" w:hAnsi="Palatino Linotype" w:cs="Arial"/>
          <w:b/>
        </w:rPr>
        <w:t>Sujeto Obligado</w:t>
      </w:r>
      <w:r w:rsidRPr="00BC334D">
        <w:rPr>
          <w:rFonts w:ascii="Palatino Linotype" w:hAnsi="Palatino Linotype" w:cs="Arial"/>
        </w:rPr>
        <w:t xml:space="preserve"> satisface los requisitos establecidos por la Ley de la materia.</w:t>
      </w:r>
    </w:p>
    <w:p w:rsidR="00C81B8A" w:rsidRPr="00BC334D" w:rsidRDefault="00C81B8A" w:rsidP="006C67F7">
      <w:pPr>
        <w:tabs>
          <w:tab w:val="left" w:pos="709"/>
        </w:tabs>
        <w:spacing w:line="360" w:lineRule="auto"/>
        <w:ind w:right="51"/>
        <w:jc w:val="both"/>
        <w:rPr>
          <w:rFonts w:ascii="Palatino Linotype" w:hAnsi="Palatino Linotype" w:cs="Arial"/>
        </w:rPr>
      </w:pPr>
    </w:p>
    <w:p w:rsidR="00C81B8A" w:rsidRPr="00BC334D" w:rsidRDefault="00C81B8A" w:rsidP="006C67F7">
      <w:pPr>
        <w:autoSpaceDE w:val="0"/>
        <w:autoSpaceDN w:val="0"/>
        <w:adjustRightInd w:val="0"/>
        <w:spacing w:line="360" w:lineRule="auto"/>
        <w:jc w:val="both"/>
        <w:rPr>
          <w:rFonts w:ascii="Palatino Linotype" w:hAnsi="Palatino Linotype"/>
        </w:rPr>
      </w:pPr>
      <w:r w:rsidRPr="00BC334D">
        <w:rPr>
          <w:rFonts w:ascii="Palatino Linotype" w:hAnsi="Palatino Linotype"/>
        </w:rPr>
        <w:t xml:space="preserve">Señalado lo anterior, es de precisar que se obvia el análisis de la competencia por parte del Sujeto Obligado, para generar, administrar o poseer la información solicitada, dado que éste ha asumido la misma, mediante los documentos remitidos en respuesta a la solicitud de información. </w:t>
      </w:r>
    </w:p>
    <w:p w:rsidR="00C81B8A" w:rsidRPr="00BC334D" w:rsidRDefault="00C81B8A" w:rsidP="006C67F7">
      <w:pPr>
        <w:autoSpaceDE w:val="0"/>
        <w:autoSpaceDN w:val="0"/>
        <w:adjustRightInd w:val="0"/>
        <w:spacing w:line="360" w:lineRule="auto"/>
        <w:jc w:val="both"/>
        <w:rPr>
          <w:rFonts w:ascii="Palatino Linotype" w:hAnsi="Palatino Linotype"/>
        </w:rPr>
      </w:pPr>
    </w:p>
    <w:p w:rsidR="00C81B8A" w:rsidRPr="00BC334D" w:rsidRDefault="00C81B8A" w:rsidP="006C67F7">
      <w:pPr>
        <w:autoSpaceDE w:val="0"/>
        <w:autoSpaceDN w:val="0"/>
        <w:adjustRightInd w:val="0"/>
        <w:spacing w:line="360" w:lineRule="auto"/>
        <w:jc w:val="both"/>
        <w:rPr>
          <w:rFonts w:ascii="Palatino Linotype" w:hAnsi="Palatino Linotype"/>
        </w:rPr>
      </w:pPr>
      <w:r w:rsidRPr="00BC334D">
        <w:rPr>
          <w:rFonts w:ascii="Palatino Linotype" w:hAnsi="Palatino Linotype"/>
        </w:rPr>
        <w:t>En efecto, el hecho de que el Sujeto Obligado haya asumido la información implica que la genera, posee o administra, en ejercicio de sus funciones de derecho público, es decir, no niega la existencia de la información solicitada, por el contrario, se pronuncia respecto de la información requerida, es por ello por lo que se reitera, se asume que posee la información; por lo tanto, el estudio en específico se obvia dado que a nada práctico llevaría el alcance del mismo.</w:t>
      </w:r>
    </w:p>
    <w:p w:rsidR="00C81B8A" w:rsidRPr="00BC334D" w:rsidRDefault="00C81B8A" w:rsidP="006C67F7">
      <w:pPr>
        <w:autoSpaceDE w:val="0"/>
        <w:autoSpaceDN w:val="0"/>
        <w:adjustRightInd w:val="0"/>
        <w:spacing w:line="360" w:lineRule="auto"/>
        <w:ind w:right="-91"/>
        <w:jc w:val="both"/>
        <w:rPr>
          <w:rFonts w:ascii="Palatino Linotype" w:hAnsi="Palatino Linotype" w:cs="Arial"/>
          <w:color w:val="000000"/>
        </w:rPr>
      </w:pPr>
    </w:p>
    <w:p w:rsidR="00C81B8A" w:rsidRPr="00BC334D" w:rsidRDefault="00C81B8A" w:rsidP="006C67F7">
      <w:pPr>
        <w:autoSpaceDE w:val="0"/>
        <w:autoSpaceDN w:val="0"/>
        <w:adjustRightInd w:val="0"/>
        <w:spacing w:line="360" w:lineRule="auto"/>
        <w:ind w:right="-91"/>
        <w:jc w:val="both"/>
        <w:rPr>
          <w:rFonts w:ascii="Palatino Linotype" w:hAnsi="Palatino Linotype" w:cs="Arial"/>
          <w:color w:val="000000"/>
        </w:rPr>
      </w:pPr>
      <w:r w:rsidRPr="00BC334D">
        <w:rPr>
          <w:rFonts w:ascii="Palatino Linotype" w:hAnsi="Palatino Linotype" w:cs="Arial"/>
          <w:color w:val="000000"/>
        </w:rPr>
        <w:t xml:space="preserve">En ese sentido, 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w:t>
      </w:r>
      <w:r w:rsidRPr="00BC334D">
        <w:rPr>
          <w:rFonts w:ascii="Palatino Linotype" w:hAnsi="Palatino Linotype" w:cs="Arial"/>
          <w:color w:val="000000"/>
        </w:rPr>
        <w:lastRenderedPageBreak/>
        <w:t>se aprecia en el Artículo 6, apartado A, numeral I de la Constitución Política de los Estados Unidos Mexicanos que a la letra establece:</w:t>
      </w:r>
    </w:p>
    <w:p w:rsidR="00C81B8A" w:rsidRPr="00BC334D" w:rsidRDefault="00C81B8A" w:rsidP="006C67F7">
      <w:pPr>
        <w:autoSpaceDE w:val="0"/>
        <w:autoSpaceDN w:val="0"/>
        <w:adjustRightInd w:val="0"/>
        <w:spacing w:line="360" w:lineRule="auto"/>
        <w:ind w:right="-91"/>
        <w:jc w:val="both"/>
        <w:rPr>
          <w:rFonts w:ascii="Palatino Linotype" w:hAnsi="Palatino Linotype" w:cs="Arial"/>
          <w:color w:val="000000"/>
        </w:rPr>
      </w:pPr>
    </w:p>
    <w:p w:rsidR="00C81B8A" w:rsidRPr="00BC334D" w:rsidRDefault="00C81B8A" w:rsidP="006C67F7">
      <w:pPr>
        <w:ind w:left="567" w:right="567"/>
        <w:jc w:val="both"/>
        <w:rPr>
          <w:rFonts w:ascii="Palatino Linotype" w:hAnsi="Palatino Linotype" w:cs="Arial"/>
          <w:bCs/>
          <w:i/>
        </w:rPr>
      </w:pPr>
      <w:r w:rsidRPr="00BC334D">
        <w:rPr>
          <w:rFonts w:ascii="Palatino Linotype" w:hAnsi="Palatino Linotype" w:cs="Arial"/>
          <w:bCs/>
          <w:i/>
        </w:rPr>
        <w:t>“</w:t>
      </w:r>
      <w:r w:rsidRPr="00BC334D">
        <w:rPr>
          <w:rFonts w:ascii="Palatino Linotype" w:hAnsi="Palatino Linotype" w:cs="Arial"/>
          <w:b/>
          <w:bCs/>
          <w:i/>
        </w:rPr>
        <w:t>Artículo 6</w:t>
      </w:r>
    </w:p>
    <w:p w:rsidR="00C81B8A" w:rsidRPr="00BC334D" w:rsidRDefault="00C81B8A" w:rsidP="006C67F7">
      <w:pPr>
        <w:ind w:left="567" w:right="567"/>
        <w:jc w:val="both"/>
        <w:rPr>
          <w:rFonts w:ascii="Palatino Linotype" w:hAnsi="Palatino Linotype" w:cs="Arial"/>
          <w:bCs/>
          <w:i/>
        </w:rPr>
      </w:pPr>
      <w:r w:rsidRPr="00BC334D">
        <w:rPr>
          <w:rFonts w:ascii="Palatino Linotype" w:hAnsi="Palatino Linotype" w:cs="Arial"/>
          <w:bCs/>
          <w:i/>
        </w:rPr>
        <w:t>…</w:t>
      </w:r>
    </w:p>
    <w:p w:rsidR="00C81B8A" w:rsidRPr="00BC334D" w:rsidRDefault="00C81B8A" w:rsidP="006C67F7">
      <w:pPr>
        <w:ind w:left="567" w:right="567"/>
        <w:jc w:val="both"/>
        <w:rPr>
          <w:rFonts w:ascii="Palatino Linotype" w:hAnsi="Palatino Linotype" w:cs="Arial"/>
          <w:bCs/>
          <w:i/>
        </w:rPr>
      </w:pPr>
      <w:r w:rsidRPr="00BC334D">
        <w:rPr>
          <w:rFonts w:ascii="Palatino Linotype" w:hAnsi="Palatino Linotype" w:cs="Arial"/>
          <w:bCs/>
          <w:i/>
        </w:rPr>
        <w:t>Para el ejercicio del derecho de acceso a la información, la Federación, los Estados y el Distrito Federal, en el ámbito de sus respectivas competencias, se regirán por los siguientes principios y bases:</w:t>
      </w:r>
    </w:p>
    <w:p w:rsidR="00C81B8A" w:rsidRPr="00BC334D" w:rsidRDefault="00C81B8A" w:rsidP="006C67F7">
      <w:pPr>
        <w:ind w:left="567" w:right="567"/>
        <w:jc w:val="both"/>
        <w:rPr>
          <w:rFonts w:ascii="Palatino Linotype" w:hAnsi="Palatino Linotype" w:cs="Arial"/>
          <w:bCs/>
          <w:i/>
        </w:rPr>
      </w:pPr>
    </w:p>
    <w:p w:rsidR="00C81B8A" w:rsidRPr="00BC334D" w:rsidRDefault="00C81B8A" w:rsidP="006C67F7">
      <w:pPr>
        <w:tabs>
          <w:tab w:val="left" w:pos="709"/>
        </w:tabs>
        <w:ind w:left="567" w:right="567"/>
        <w:jc w:val="both"/>
        <w:rPr>
          <w:rFonts w:ascii="Palatino Linotype" w:hAnsi="Palatino Linotype" w:cs="Arial"/>
          <w:bCs/>
          <w:i/>
        </w:rPr>
      </w:pPr>
      <w:r w:rsidRPr="00BC334D">
        <w:rPr>
          <w:rFonts w:ascii="Palatino Linotype" w:hAnsi="Palatino Linotype" w:cs="Arial"/>
          <w:bCs/>
          <w:i/>
        </w:rPr>
        <w:t xml:space="preserve">I. </w:t>
      </w:r>
      <w:r w:rsidRPr="00BC334D">
        <w:rPr>
          <w:rFonts w:ascii="Palatino Linotype" w:hAnsi="Palatino Linotype" w:cs="Arial"/>
          <w:bCs/>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81B8A" w:rsidRPr="00BC334D" w:rsidRDefault="00C81B8A" w:rsidP="006C67F7">
      <w:pPr>
        <w:tabs>
          <w:tab w:val="left" w:pos="2703"/>
        </w:tabs>
        <w:spacing w:line="360" w:lineRule="auto"/>
        <w:jc w:val="both"/>
        <w:rPr>
          <w:rFonts w:ascii="Palatino Linotype" w:hAnsi="Palatino Linotype" w:cs="Arial"/>
        </w:rPr>
      </w:pPr>
      <w:r>
        <w:rPr>
          <w:rFonts w:ascii="Palatino Linotype" w:hAnsi="Palatino Linotype" w:cs="Arial"/>
        </w:rPr>
        <w:tab/>
      </w:r>
    </w:p>
    <w:p w:rsidR="00C81B8A" w:rsidRPr="00BC334D" w:rsidRDefault="00C81B8A" w:rsidP="006C67F7">
      <w:pPr>
        <w:tabs>
          <w:tab w:val="left" w:pos="709"/>
        </w:tabs>
        <w:spacing w:line="360" w:lineRule="auto"/>
        <w:jc w:val="both"/>
        <w:rPr>
          <w:rFonts w:ascii="Palatino Linotype" w:hAnsi="Palatino Linotype" w:cs="Arial"/>
        </w:rPr>
      </w:pPr>
      <w:r w:rsidRPr="00BC334D">
        <w:rPr>
          <w:rFonts w:ascii="Palatino Linotype" w:hAnsi="Palatino Linotype" w:cs="Arial"/>
        </w:rPr>
        <w:t xml:space="preserve">Ahora bien, en atención a lo dispuesto por los artículos 3, fracción XI y 12 </w:t>
      </w:r>
      <w:r w:rsidRPr="00BC334D">
        <w:rPr>
          <w:rFonts w:ascii="Palatino Linotype" w:hAnsi="Palatino Linotype" w:cs="Arial"/>
          <w:bCs/>
        </w:rPr>
        <w:t>de la Ley de Transparencia y Acceso a la Información Pública del Estado de México y Municipios</w:t>
      </w:r>
      <w:r w:rsidRPr="00BC334D">
        <w:rPr>
          <w:rFonts w:ascii="Palatino Linotype" w:hAnsi="Palatino Linotype" w:cs="Arial"/>
        </w:rPr>
        <w:t>, los cuales son del tenor literal siguiente:</w:t>
      </w:r>
    </w:p>
    <w:p w:rsidR="00C81B8A" w:rsidRPr="00BC334D" w:rsidRDefault="00C81B8A" w:rsidP="006C67F7">
      <w:pPr>
        <w:tabs>
          <w:tab w:val="left" w:pos="709"/>
        </w:tabs>
        <w:spacing w:line="360" w:lineRule="auto"/>
        <w:jc w:val="both"/>
        <w:rPr>
          <w:rFonts w:ascii="Palatino Linotype" w:hAnsi="Palatino Linotype" w:cs="Arial"/>
        </w:rPr>
      </w:pPr>
    </w:p>
    <w:p w:rsidR="00C81B8A" w:rsidRPr="00BC334D" w:rsidRDefault="00C81B8A" w:rsidP="006C67F7">
      <w:pPr>
        <w:ind w:left="567" w:right="567"/>
        <w:jc w:val="both"/>
        <w:rPr>
          <w:rFonts w:ascii="Palatino Linotype" w:hAnsi="Palatino Linotype" w:cs="Arial"/>
          <w:i/>
        </w:rPr>
      </w:pPr>
      <w:r w:rsidRPr="00BC334D">
        <w:rPr>
          <w:rFonts w:ascii="Palatino Linotype" w:hAnsi="Palatino Linotype" w:cs="Arial"/>
          <w:b/>
          <w:bCs/>
          <w:i/>
        </w:rPr>
        <w:t xml:space="preserve">“Artículo 3.- </w:t>
      </w:r>
      <w:r w:rsidRPr="00BC334D">
        <w:rPr>
          <w:rFonts w:ascii="Palatino Linotype" w:hAnsi="Palatino Linotype" w:cs="Arial"/>
          <w:i/>
        </w:rPr>
        <w:t>Para los efectos de la presente Ley se entenderá por:</w:t>
      </w:r>
    </w:p>
    <w:p w:rsidR="00C81B8A" w:rsidRPr="00BC334D" w:rsidRDefault="00C81B8A" w:rsidP="006C67F7">
      <w:pPr>
        <w:ind w:left="567" w:right="567"/>
        <w:jc w:val="both"/>
        <w:rPr>
          <w:rFonts w:ascii="Palatino Linotype" w:hAnsi="Palatino Linotype" w:cs="Arial"/>
          <w:i/>
        </w:rPr>
      </w:pPr>
      <w:r w:rsidRPr="00BC334D">
        <w:rPr>
          <w:rFonts w:ascii="Palatino Linotype" w:hAnsi="Palatino Linotype" w:cs="Arial"/>
          <w:i/>
        </w:rPr>
        <w:t>…</w:t>
      </w:r>
    </w:p>
    <w:p w:rsidR="00C81B8A" w:rsidRPr="00BC334D" w:rsidRDefault="00C81B8A" w:rsidP="006C67F7">
      <w:pPr>
        <w:ind w:left="567" w:right="567"/>
        <w:jc w:val="both"/>
        <w:rPr>
          <w:rFonts w:ascii="Palatino Linotype" w:hAnsi="Palatino Linotype" w:cs="Arial"/>
          <w:i/>
        </w:rPr>
      </w:pPr>
      <w:r w:rsidRPr="00BC334D">
        <w:rPr>
          <w:rFonts w:ascii="Palatino Linotype" w:hAnsi="Palatino Linotype" w:cs="Arial"/>
          <w:b/>
          <w:i/>
        </w:rPr>
        <w:t>XI.</w:t>
      </w:r>
      <w:r w:rsidRPr="00BC334D">
        <w:rPr>
          <w:rFonts w:ascii="Palatino Linotype" w:hAnsi="Palatino Linotype" w:cs="Arial"/>
          <w:i/>
        </w:rPr>
        <w:t xml:space="preserve"> </w:t>
      </w:r>
      <w:r w:rsidRPr="00BC334D">
        <w:rPr>
          <w:rFonts w:ascii="Palatino Linotype" w:hAnsi="Palatino Linotype" w:cs="Arial"/>
          <w:b/>
          <w:i/>
        </w:rPr>
        <w:t>Documento:</w:t>
      </w:r>
      <w:r w:rsidRPr="00BC334D">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w:t>
      </w:r>
      <w:r w:rsidRPr="00BC334D">
        <w:rPr>
          <w:rFonts w:ascii="Palatino Linotype" w:hAnsi="Palatino Linotype" w:cs="Arial"/>
          <w:b/>
          <w:i/>
          <w:u w:val="single"/>
        </w:rPr>
        <w:t>cualquier otro registro que documente el ejercicio de las facultades, funciones y competencias de los sujetos obligados, sus servidores públicos e integrantes, sin importar su fuente o fecha de elaboración.</w:t>
      </w:r>
      <w:r w:rsidRPr="00BC334D">
        <w:rPr>
          <w:rFonts w:ascii="Palatino Linotype" w:hAnsi="Palatino Linotype" w:cs="Arial"/>
          <w:i/>
        </w:rPr>
        <w:t xml:space="preserve"> Los documentos podrán estar en cualquier medio, sea escrito, impreso, sonoro, visual, electrónico, informático u holográfico;</w:t>
      </w:r>
    </w:p>
    <w:p w:rsidR="00C81B8A" w:rsidRPr="00BC334D" w:rsidRDefault="00C81B8A" w:rsidP="006C67F7">
      <w:pPr>
        <w:ind w:left="567" w:right="567"/>
        <w:jc w:val="both"/>
        <w:rPr>
          <w:rFonts w:ascii="Palatino Linotype" w:hAnsi="Palatino Linotype" w:cs="Arial"/>
          <w:i/>
        </w:rPr>
      </w:pPr>
    </w:p>
    <w:p w:rsidR="00C81B8A" w:rsidRPr="00BC334D" w:rsidRDefault="00C81B8A" w:rsidP="006C67F7">
      <w:pPr>
        <w:autoSpaceDE w:val="0"/>
        <w:autoSpaceDN w:val="0"/>
        <w:adjustRightInd w:val="0"/>
        <w:ind w:left="567" w:right="567"/>
        <w:jc w:val="both"/>
        <w:rPr>
          <w:rFonts w:ascii="Palatino Linotype" w:hAnsi="Palatino Linotype" w:cs="Arial"/>
          <w:bCs/>
          <w:i/>
        </w:rPr>
      </w:pPr>
      <w:r w:rsidRPr="00BC334D">
        <w:rPr>
          <w:rFonts w:ascii="Palatino Linotype" w:hAnsi="Palatino Linotype" w:cs="Arial"/>
          <w:b/>
          <w:bCs/>
          <w:i/>
        </w:rPr>
        <w:t>Artículo 4.</w:t>
      </w:r>
      <w:r w:rsidRPr="00BC334D">
        <w:rPr>
          <w:rFonts w:ascii="Palatino Linotype" w:hAnsi="Palatino Linotype" w:cs="Arial"/>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C81B8A" w:rsidRPr="00BC334D" w:rsidRDefault="00C81B8A" w:rsidP="006C67F7">
      <w:pPr>
        <w:autoSpaceDE w:val="0"/>
        <w:autoSpaceDN w:val="0"/>
        <w:adjustRightInd w:val="0"/>
        <w:ind w:left="567" w:right="567"/>
        <w:jc w:val="both"/>
        <w:rPr>
          <w:rFonts w:ascii="Palatino Linotype" w:hAnsi="Palatino Linotype" w:cs="Arial"/>
          <w:bCs/>
          <w:i/>
        </w:rPr>
      </w:pPr>
      <w:r w:rsidRPr="00BC334D">
        <w:rPr>
          <w:rFonts w:ascii="Palatino Linotype" w:hAnsi="Palatino Linotype" w:cs="Arial"/>
          <w:b/>
          <w:bCs/>
          <w:i/>
          <w:u w:val="single"/>
        </w:rPr>
        <w:t>Toda la información generada, obtenida, adquirida, transformada, administrada o en posesión de los sujetos obligados es pública y accesible de manera permanente a cualquier persona,</w:t>
      </w:r>
      <w:r w:rsidRPr="00BC334D">
        <w:rPr>
          <w:rFonts w:ascii="Palatino Linotype" w:hAnsi="Palatino Linotype" w:cs="Arial"/>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81B8A" w:rsidRPr="00BC334D" w:rsidRDefault="00C81B8A" w:rsidP="006C67F7">
      <w:pPr>
        <w:autoSpaceDE w:val="0"/>
        <w:autoSpaceDN w:val="0"/>
        <w:adjustRightInd w:val="0"/>
        <w:ind w:left="567" w:right="567"/>
        <w:jc w:val="both"/>
        <w:rPr>
          <w:rFonts w:ascii="Palatino Linotype" w:hAnsi="Palatino Linotype" w:cs="Arial"/>
          <w:bCs/>
          <w:i/>
        </w:rPr>
      </w:pPr>
      <w:r w:rsidRPr="00BC334D">
        <w:rPr>
          <w:rFonts w:ascii="Palatino Linotype" w:hAnsi="Palatino Linotype" w:cs="Arial"/>
          <w:bCs/>
          <w:i/>
        </w:rPr>
        <w:t>Los sujetos obligados deben poner en práctica, políticas y programas de acceso a la información que se apeguen a criterios de publicidad, veracidad, oportunidad, precisión y suficiencia en beneficio de los solicitantes.</w:t>
      </w:r>
    </w:p>
    <w:p w:rsidR="00C81B8A" w:rsidRPr="00BC334D" w:rsidRDefault="00C81B8A" w:rsidP="006C67F7">
      <w:pPr>
        <w:ind w:left="567" w:right="567"/>
        <w:jc w:val="both"/>
        <w:rPr>
          <w:rFonts w:ascii="Palatino Linotype" w:hAnsi="Palatino Linotype" w:cs="Arial"/>
          <w:i/>
        </w:rPr>
      </w:pPr>
    </w:p>
    <w:p w:rsidR="00C81B8A" w:rsidRPr="00BC334D" w:rsidRDefault="00C81B8A" w:rsidP="006C67F7">
      <w:pPr>
        <w:ind w:left="567" w:right="567"/>
        <w:jc w:val="both"/>
        <w:rPr>
          <w:rFonts w:ascii="Palatino Linotype" w:hAnsi="Palatino Linotype" w:cs="Arial"/>
          <w:i/>
        </w:rPr>
      </w:pPr>
      <w:r w:rsidRPr="00BC334D">
        <w:rPr>
          <w:rFonts w:ascii="Palatino Linotype" w:hAnsi="Palatino Linotype" w:cs="Arial"/>
          <w:b/>
          <w:i/>
        </w:rPr>
        <w:t>Artículo 12.</w:t>
      </w:r>
      <w:r w:rsidRPr="00BC334D">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C81B8A" w:rsidRPr="00BC334D" w:rsidRDefault="00C81B8A" w:rsidP="006C67F7">
      <w:pPr>
        <w:ind w:left="567" w:right="567"/>
        <w:jc w:val="both"/>
        <w:rPr>
          <w:rFonts w:ascii="Palatino Linotype" w:hAnsi="Palatino Linotype" w:cs="Arial"/>
          <w:i/>
        </w:rPr>
      </w:pPr>
    </w:p>
    <w:p w:rsidR="00C81B8A" w:rsidRPr="00BC334D" w:rsidRDefault="00C81B8A" w:rsidP="006C67F7">
      <w:pPr>
        <w:ind w:left="567" w:right="567"/>
        <w:jc w:val="both"/>
        <w:rPr>
          <w:rFonts w:ascii="Palatino Linotype" w:hAnsi="Palatino Linotype" w:cs="Arial"/>
          <w:i/>
          <w:u w:val="single"/>
        </w:rPr>
      </w:pPr>
      <w:r w:rsidRPr="00BC334D">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BC334D">
        <w:rPr>
          <w:rFonts w:ascii="Palatino Linotype" w:hAnsi="Palatino Linotype" w:cs="Arial"/>
          <w:i/>
        </w:rPr>
        <w:t>.”</w:t>
      </w:r>
    </w:p>
    <w:p w:rsidR="00C81B8A" w:rsidRPr="00BC334D" w:rsidRDefault="00C81B8A" w:rsidP="006C67F7">
      <w:pPr>
        <w:ind w:left="567" w:right="567"/>
        <w:jc w:val="right"/>
        <w:rPr>
          <w:rFonts w:ascii="Palatino Linotype" w:hAnsi="Palatino Linotype" w:cs="Arial"/>
        </w:rPr>
      </w:pPr>
    </w:p>
    <w:p w:rsidR="00C81B8A" w:rsidRPr="00BC334D" w:rsidRDefault="00C81B8A" w:rsidP="006C67F7">
      <w:pPr>
        <w:ind w:left="567" w:right="567"/>
        <w:jc w:val="right"/>
        <w:rPr>
          <w:rFonts w:ascii="Palatino Linotype" w:hAnsi="Palatino Linotype" w:cs="Arial"/>
        </w:rPr>
      </w:pPr>
      <w:r w:rsidRPr="00BC334D">
        <w:rPr>
          <w:rFonts w:ascii="Palatino Linotype" w:hAnsi="Palatino Linotype" w:cs="Arial"/>
        </w:rPr>
        <w:t>[Énfasis añadido]</w:t>
      </w:r>
    </w:p>
    <w:p w:rsidR="00C81B8A" w:rsidRDefault="00C81B8A" w:rsidP="006C67F7">
      <w:pPr>
        <w:spacing w:line="360" w:lineRule="auto"/>
        <w:jc w:val="both"/>
        <w:rPr>
          <w:rFonts w:ascii="Palatino Linotype" w:hAnsi="Palatino Linotype" w:cs="Arial"/>
        </w:rPr>
      </w:pPr>
    </w:p>
    <w:p w:rsidR="00C81B8A" w:rsidRPr="00BC334D" w:rsidRDefault="00C81B8A" w:rsidP="006C67F7">
      <w:pPr>
        <w:spacing w:line="360" w:lineRule="auto"/>
        <w:jc w:val="both"/>
        <w:rPr>
          <w:rFonts w:ascii="Palatino Linotype" w:hAnsi="Palatino Linotype" w:cs="Arial"/>
        </w:rPr>
      </w:pPr>
      <w:r w:rsidRPr="00BC334D">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C81B8A" w:rsidRDefault="00C81B8A" w:rsidP="006C67F7">
      <w:pPr>
        <w:spacing w:line="360" w:lineRule="auto"/>
        <w:ind w:right="190"/>
        <w:jc w:val="both"/>
        <w:rPr>
          <w:rFonts w:ascii="Palatino Linotype" w:hAnsi="Palatino Linotype" w:cs="Arial"/>
        </w:rPr>
      </w:pPr>
    </w:p>
    <w:p w:rsidR="00C81B8A" w:rsidRPr="00A63145" w:rsidRDefault="00C81B8A" w:rsidP="006C67F7">
      <w:pPr>
        <w:spacing w:line="360" w:lineRule="auto"/>
        <w:jc w:val="both"/>
        <w:rPr>
          <w:rFonts w:ascii="Palatino Linotype" w:eastAsia="Calibri" w:hAnsi="Palatino Linotype"/>
        </w:rPr>
      </w:pPr>
      <w:r w:rsidRPr="00A63145">
        <w:rPr>
          <w:rFonts w:ascii="Palatino Linotype" w:eastAsia="Calibri" w:hAnsi="Palatino Linotype"/>
        </w:rPr>
        <w:t xml:space="preserve">Por otro lado, no debe soslayarse el hecho de que </w:t>
      </w:r>
      <w:r w:rsidRPr="00A63145">
        <w:rPr>
          <w:rFonts w:ascii="Palatino Linotype" w:eastAsia="Calibri" w:hAnsi="Palatino Linotype"/>
          <w:b/>
        </w:rPr>
        <w:t>l</w:t>
      </w:r>
      <w:r w:rsidR="000A05E2">
        <w:rPr>
          <w:rFonts w:ascii="Palatino Linotype" w:eastAsia="Calibri" w:hAnsi="Palatino Linotype"/>
          <w:b/>
        </w:rPr>
        <w:t>a parte</w:t>
      </w:r>
      <w:r w:rsidRPr="00A63145">
        <w:rPr>
          <w:rFonts w:ascii="Palatino Linotype" w:eastAsia="Calibri" w:hAnsi="Palatino Linotype"/>
          <w:b/>
        </w:rPr>
        <w:t xml:space="preserve"> Recurrente</w:t>
      </w:r>
      <w:r w:rsidRPr="00A63145">
        <w:rPr>
          <w:rFonts w:ascii="Palatino Linotype" w:eastAsia="Calibri" w:hAnsi="Palatino Linotype"/>
        </w:rPr>
        <w:t xml:space="preserve"> no impugnó el total del contenido de la respuesta dada por el Sujeto Obligado, ello en virtud de que señaló expresamente la negativa de proporcionar la información relacionada a</w:t>
      </w:r>
      <w:r>
        <w:rPr>
          <w:rFonts w:ascii="Palatino Linotype" w:eastAsia="Calibri" w:hAnsi="Palatino Linotype"/>
        </w:rPr>
        <w:t xml:space="preserve"> </w:t>
      </w:r>
      <w:r w:rsidRPr="00A63145">
        <w:rPr>
          <w:rFonts w:ascii="Palatino Linotype" w:eastAsia="Calibri" w:hAnsi="Palatino Linotype"/>
        </w:rPr>
        <w:t>l</w:t>
      </w:r>
      <w:r w:rsidR="000A05E2">
        <w:rPr>
          <w:rFonts w:ascii="Palatino Linotype" w:eastAsia="Calibri" w:hAnsi="Palatino Linotype"/>
        </w:rPr>
        <w:t>a</w:t>
      </w:r>
      <w:r>
        <w:rPr>
          <w:rFonts w:ascii="Palatino Linotype" w:eastAsia="Calibri" w:hAnsi="Palatino Linotype"/>
        </w:rPr>
        <w:t xml:space="preserve">s </w:t>
      </w:r>
      <w:r w:rsidRPr="00A63145">
        <w:rPr>
          <w:rFonts w:ascii="Palatino Linotype" w:eastAsia="Calibri" w:hAnsi="Palatino Linotype"/>
        </w:rPr>
        <w:t xml:space="preserve"> </w:t>
      </w:r>
      <w:r w:rsidR="000A05E2">
        <w:rPr>
          <w:rFonts w:ascii="Palatino Linotype" w:eastAsia="Calibri" w:hAnsi="Palatino Linotype"/>
        </w:rPr>
        <w:t>bases de datos</w:t>
      </w:r>
      <w:r>
        <w:rPr>
          <w:rFonts w:ascii="Palatino Linotype" w:eastAsia="Calibri" w:hAnsi="Palatino Linotype"/>
        </w:rPr>
        <w:t>,</w:t>
      </w:r>
      <w:r w:rsidRPr="00A63145">
        <w:rPr>
          <w:rFonts w:ascii="Palatino Linotype" w:eastAsia="Calibri" w:hAnsi="Palatino Linotype"/>
        </w:rPr>
        <w:t xml:space="preserve"> al manifestar textualmente lo siguiente: </w:t>
      </w:r>
      <w:r w:rsidRPr="00A63145">
        <w:rPr>
          <w:rFonts w:ascii="Palatino Linotype" w:eastAsia="Calibri" w:hAnsi="Palatino Linotype"/>
          <w:i/>
        </w:rPr>
        <w:t>“</w:t>
      </w:r>
      <w:r w:rsidR="000A05E2" w:rsidRPr="000A05E2">
        <w:rPr>
          <w:rFonts w:ascii="Palatino Linotype" w:eastAsia="Calibri" w:hAnsi="Palatino Linotype"/>
          <w:b/>
          <w:bCs/>
          <w:i/>
        </w:rPr>
        <w:t>LAS BASES DE DATOS</w:t>
      </w:r>
      <w:r w:rsidR="000A05E2" w:rsidRPr="000A05E2">
        <w:rPr>
          <w:rFonts w:ascii="Palatino Linotype" w:eastAsia="Calibri" w:hAnsi="Palatino Linotype"/>
          <w:bCs/>
          <w:i/>
        </w:rPr>
        <w:t xml:space="preserve">, COMO LA LEY DE LA MATERIA LO REFIERE CONTIENEN DATOS PERSONALES, NO INFORMACIÓN QUE REQUIERA LA PRUBA DE DAÑO, QUE PUDIERA PONER EN RIESGO LA SEGURIDAD PÚBLICA CON SU DIVULGACIÓN. POR OTRA PARTE, SI EL NOMBRE DE LAS BASES DE DATOS FUERA RESERVADA, POR QUÉ EN SU PÁGINA EN EL APARTADO DE AVISOS DE PRIVACIDAD ESTÁ EL NOMBRE DE LAS BASES DE DATOS, </w:t>
      </w:r>
      <w:r w:rsidR="000A05E2" w:rsidRPr="006C67F7">
        <w:rPr>
          <w:rFonts w:ascii="Palatino Linotype" w:eastAsia="Calibri" w:hAnsi="Palatino Linotype"/>
          <w:b/>
          <w:bCs/>
          <w:i/>
          <w:u w:val="single"/>
        </w:rPr>
        <w:t>LA DIRECCIÓN DE TRANSPARENCIA DESCONOCE LO QUE PUBLICAN O BIEN PECA DE INGENUA, O BIEN DECONOCE LAS LEYES</w:t>
      </w:r>
      <w:r w:rsidR="000A05E2" w:rsidRPr="000A05E2">
        <w:rPr>
          <w:rFonts w:ascii="Palatino Linotype" w:eastAsia="Calibri" w:hAnsi="Palatino Linotype"/>
          <w:bCs/>
          <w:i/>
        </w:rPr>
        <w:t xml:space="preserve">, EL MOTIVO DE SOLICITARLAS ES PARA FINES ESTADÍSTICOS. POR TODO LO ANTERIOR SOLICITO AL INFOEM ANALIZAR SU ABSURDA E INCONGRUENTE CLASIFICACIÓN, </w:t>
      </w:r>
      <w:r w:rsidR="000A05E2" w:rsidRPr="000A05E2">
        <w:rPr>
          <w:rFonts w:ascii="Palatino Linotype" w:eastAsia="Calibri" w:hAnsi="Palatino Linotype"/>
          <w:b/>
          <w:bCs/>
          <w:i/>
        </w:rPr>
        <w:t>YA QUE SI TRATAN DE CLASIFICAR LAS BASES DE DATOS QUE ES INFORMACIÓN CONFIDENCIAL Y LA CLASIFICAN COMO RESERVADA</w:t>
      </w:r>
      <w:r w:rsidR="000A05E2" w:rsidRPr="000A05E2">
        <w:rPr>
          <w:rFonts w:ascii="Palatino Linotype" w:eastAsia="Calibri" w:hAnsi="Palatino Linotype"/>
          <w:bCs/>
          <w:i/>
        </w:rPr>
        <w:t>. FALTA DE CONOCIMIENTO DEL PERSONAL DE TRANSPARENCIA QUE TRATA DE CLASIFICAR ALGO QUE ES PÚBLICO</w:t>
      </w:r>
      <w:r w:rsidRPr="00602ACB">
        <w:rPr>
          <w:rFonts w:ascii="Palatino Linotype" w:eastAsia="Calibri" w:hAnsi="Palatino Linotype"/>
          <w:i/>
        </w:rPr>
        <w:t>”</w:t>
      </w:r>
      <w:r w:rsidRPr="00A63145">
        <w:rPr>
          <w:rFonts w:ascii="Palatino Linotype" w:eastAsia="Calibri" w:hAnsi="Palatino Linotype"/>
          <w:i/>
        </w:rPr>
        <w:t xml:space="preserve"> (sic)</w:t>
      </w:r>
    </w:p>
    <w:p w:rsidR="006C67F7" w:rsidRPr="00A63145" w:rsidRDefault="006C67F7" w:rsidP="006C67F7">
      <w:pPr>
        <w:spacing w:line="360" w:lineRule="auto"/>
        <w:jc w:val="both"/>
        <w:rPr>
          <w:rFonts w:ascii="Palatino Linotype" w:eastAsia="Calibri" w:hAnsi="Palatino Linotype"/>
        </w:rPr>
      </w:pPr>
    </w:p>
    <w:p w:rsidR="00C81B8A" w:rsidRPr="00A63145" w:rsidRDefault="00C81B8A" w:rsidP="006C67F7">
      <w:pPr>
        <w:spacing w:line="360" w:lineRule="auto"/>
        <w:jc w:val="both"/>
        <w:rPr>
          <w:rFonts w:ascii="Palatino Linotype" w:eastAsia="Calibri" w:hAnsi="Palatino Linotype"/>
        </w:rPr>
      </w:pPr>
      <w:r w:rsidRPr="00A63145">
        <w:rPr>
          <w:rFonts w:ascii="Palatino Linotype" w:eastAsia="Calibri" w:hAnsi="Palatino Linotype"/>
        </w:rPr>
        <w:t xml:space="preserve">En este tenor, se estima que </w:t>
      </w:r>
      <w:r w:rsidRPr="00A63145">
        <w:rPr>
          <w:rFonts w:ascii="Palatino Linotype" w:eastAsia="Calibri" w:hAnsi="Palatino Linotype"/>
          <w:b/>
        </w:rPr>
        <w:t>l</w:t>
      </w:r>
      <w:r>
        <w:rPr>
          <w:rFonts w:ascii="Palatino Linotype" w:eastAsia="Calibri" w:hAnsi="Palatino Linotype"/>
          <w:b/>
        </w:rPr>
        <w:t xml:space="preserve">a </w:t>
      </w:r>
      <w:r w:rsidR="000A05E2">
        <w:rPr>
          <w:rFonts w:ascii="Palatino Linotype" w:eastAsia="Calibri" w:hAnsi="Palatino Linotype"/>
          <w:b/>
        </w:rPr>
        <w:t xml:space="preserve">parte </w:t>
      </w:r>
      <w:r w:rsidRPr="00A63145">
        <w:rPr>
          <w:rFonts w:ascii="Palatino Linotype" w:eastAsia="Calibri" w:hAnsi="Palatino Linotype"/>
          <w:b/>
        </w:rPr>
        <w:t>Recurrente</w:t>
      </w:r>
      <w:r w:rsidRPr="00A63145">
        <w:rPr>
          <w:rFonts w:ascii="Palatino Linotype" w:eastAsia="Calibri" w:hAnsi="Palatino Linotype"/>
        </w:rPr>
        <w:t xml:space="preserve"> está conforme con l</w:t>
      </w:r>
      <w:r>
        <w:rPr>
          <w:rFonts w:ascii="Palatino Linotype" w:eastAsia="Calibri" w:hAnsi="Palatino Linotype"/>
        </w:rPr>
        <w:t>a</w:t>
      </w:r>
      <w:r w:rsidRPr="00A63145">
        <w:rPr>
          <w:rFonts w:ascii="Palatino Linotype" w:eastAsia="Calibri" w:hAnsi="Palatino Linotype"/>
        </w:rPr>
        <w:t xml:space="preserve"> </w:t>
      </w:r>
      <w:r>
        <w:rPr>
          <w:rFonts w:ascii="Palatino Linotype" w:eastAsia="Calibri" w:hAnsi="Palatino Linotype"/>
        </w:rPr>
        <w:t>información relacionada con</w:t>
      </w:r>
      <w:r w:rsidRPr="002D6B0F">
        <w:t xml:space="preserve"> </w:t>
      </w:r>
      <w:r w:rsidR="000A05E2">
        <w:rPr>
          <w:rFonts w:ascii="Palatino Linotype" w:eastAsia="Calibri" w:hAnsi="Palatino Linotype"/>
        </w:rPr>
        <w:t>el Acta donde se nombran a los habilitados así como el nombramiento</w:t>
      </w:r>
      <w:r w:rsidR="000A05E2" w:rsidRPr="000A05E2">
        <w:t xml:space="preserve"> </w:t>
      </w:r>
      <w:r w:rsidR="000A05E2" w:rsidRPr="000A05E2">
        <w:rPr>
          <w:rFonts w:ascii="Palatino Linotype" w:eastAsia="Calibri" w:hAnsi="Palatino Linotype"/>
        </w:rPr>
        <w:t>de los integrantes del comité de transparencia de la Secretaría</w:t>
      </w:r>
      <w:r w:rsidR="000A05E2">
        <w:rPr>
          <w:rFonts w:ascii="Palatino Linotype" w:eastAsia="Calibri" w:hAnsi="Palatino Linotype"/>
        </w:rPr>
        <w:t xml:space="preserve"> de Seguridad</w:t>
      </w:r>
      <w:r w:rsidRPr="00A63145">
        <w:rPr>
          <w:rFonts w:ascii="Palatino Linotype" w:eastAsia="Calibri" w:hAnsi="Palatino Linotype"/>
        </w:rPr>
        <w:t xml:space="preserve">; por lo que el motivo de su inconformidad radica en que no se entregó la información relacionada </w:t>
      </w:r>
      <w:r w:rsidR="000A05E2">
        <w:rPr>
          <w:rFonts w:ascii="Palatino Linotype" w:eastAsia="Calibri" w:hAnsi="Palatino Linotype"/>
        </w:rPr>
        <w:t>las bases de datos</w:t>
      </w:r>
      <w:r w:rsidRPr="00A63145">
        <w:rPr>
          <w:rFonts w:ascii="Palatino Linotype" w:eastAsia="Calibri" w:hAnsi="Palatino Linotype"/>
        </w:rPr>
        <w:t xml:space="preserve">, por lo que puede colegirse que la respuesta fue parcialmente consentida. </w:t>
      </w:r>
    </w:p>
    <w:p w:rsidR="00C81B8A" w:rsidRPr="00A63145" w:rsidRDefault="00C81B8A" w:rsidP="006C67F7">
      <w:pPr>
        <w:spacing w:line="360" w:lineRule="auto"/>
        <w:jc w:val="both"/>
        <w:rPr>
          <w:rFonts w:ascii="Palatino Linotype" w:eastAsia="Calibri" w:hAnsi="Palatino Linotype"/>
        </w:rPr>
      </w:pPr>
    </w:p>
    <w:p w:rsidR="00C81B8A" w:rsidRPr="00A63145" w:rsidRDefault="00C81B8A" w:rsidP="006C67F7">
      <w:pPr>
        <w:spacing w:line="360" w:lineRule="auto"/>
        <w:jc w:val="both"/>
        <w:rPr>
          <w:rFonts w:ascii="Palatino Linotype" w:eastAsia="Calibri" w:hAnsi="Palatino Linotype" w:cs="Arial"/>
        </w:rPr>
      </w:pPr>
      <w:r w:rsidRPr="00A63145">
        <w:rPr>
          <w:rFonts w:ascii="Palatino Linotype" w:eastAsia="Calibri" w:hAnsi="Palatino Linotype" w:cs="Arial"/>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C81B8A" w:rsidRPr="00A63145" w:rsidRDefault="00C81B8A" w:rsidP="006C67F7">
      <w:pPr>
        <w:spacing w:line="360" w:lineRule="auto"/>
        <w:jc w:val="both"/>
        <w:rPr>
          <w:rFonts w:ascii="Palatino Linotype" w:eastAsia="Calibri" w:hAnsi="Palatino Linotype" w:cs="Arial"/>
        </w:rPr>
      </w:pPr>
    </w:p>
    <w:p w:rsidR="00C81B8A" w:rsidRPr="00A63145" w:rsidRDefault="00C81B8A" w:rsidP="006C67F7">
      <w:pPr>
        <w:ind w:left="567" w:right="567"/>
        <w:jc w:val="both"/>
        <w:rPr>
          <w:rFonts w:ascii="Palatino Linotype" w:eastAsia="Calibri" w:hAnsi="Palatino Linotype"/>
          <w:i/>
        </w:rPr>
      </w:pPr>
      <w:r w:rsidRPr="00A63145">
        <w:rPr>
          <w:rFonts w:ascii="Palatino Linotype" w:eastAsia="Calibri" w:hAnsi="Palatino Linotype"/>
          <w:b/>
          <w:i/>
        </w:rPr>
        <w:t>REVISIÓN EN AMPARO. LOS RESOLUTIVOS NO COMBATIDOS DEBEN DECLARARSE FIRMES</w:t>
      </w:r>
      <w:r w:rsidRPr="00A63145">
        <w:rPr>
          <w:rFonts w:ascii="Palatino Linotype" w:eastAsia="Calibri"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C81B8A" w:rsidRPr="00A63145" w:rsidRDefault="00C81B8A" w:rsidP="006C67F7">
      <w:pPr>
        <w:spacing w:line="360" w:lineRule="auto"/>
        <w:jc w:val="both"/>
        <w:rPr>
          <w:rFonts w:ascii="Palatino Linotype" w:eastAsia="Calibri" w:hAnsi="Palatino Linotype"/>
        </w:rPr>
      </w:pPr>
    </w:p>
    <w:p w:rsidR="00C81B8A" w:rsidRPr="00A63145" w:rsidRDefault="00C81B8A" w:rsidP="006C67F7">
      <w:pPr>
        <w:spacing w:line="360" w:lineRule="auto"/>
        <w:jc w:val="both"/>
        <w:rPr>
          <w:rFonts w:ascii="Palatino Linotype" w:eastAsia="Calibri" w:hAnsi="Palatino Linotype"/>
        </w:rPr>
      </w:pPr>
      <w:r w:rsidRPr="00A63145">
        <w:rPr>
          <w:rFonts w:ascii="Palatino Linotype" w:eastAsia="Calibri" w:hAnsi="Palatino Linotype"/>
        </w:rPr>
        <w:t xml:space="preserve">Así, la parte de la solicitud sobre la que no se expresó inconformidad, </w:t>
      </w:r>
      <w:r>
        <w:rPr>
          <w:rFonts w:ascii="Palatino Linotype" w:eastAsia="Calibri" w:hAnsi="Palatino Linotype"/>
        </w:rPr>
        <w:t xml:space="preserve">debe declararse consentida por </w:t>
      </w:r>
      <w:r w:rsidRPr="00A63145">
        <w:rPr>
          <w:rFonts w:ascii="Palatino Linotype" w:eastAsia="Calibri" w:hAnsi="Palatino Linotype"/>
        </w:rPr>
        <w:t>l</w:t>
      </w:r>
      <w:r>
        <w:rPr>
          <w:rFonts w:ascii="Palatino Linotype" w:eastAsia="Calibri" w:hAnsi="Palatino Linotype"/>
        </w:rPr>
        <w:t xml:space="preserve">a </w:t>
      </w:r>
      <w:r w:rsidRPr="00A63145">
        <w:rPr>
          <w:rFonts w:ascii="Palatino Linotype" w:eastAsia="Calibri" w:hAnsi="Palatino Linotype"/>
        </w:rPr>
        <w:t>hoy</w:t>
      </w:r>
      <w:r>
        <w:rPr>
          <w:rFonts w:ascii="Palatino Linotype" w:eastAsia="Calibri" w:hAnsi="Palatino Linotype"/>
        </w:rPr>
        <w:t xml:space="preserve"> parte</w:t>
      </w:r>
      <w:r w:rsidRPr="00A63145">
        <w:rPr>
          <w:rFonts w:ascii="Palatino Linotype" w:eastAsia="Calibri" w:hAnsi="Palatino Linotype"/>
        </w:rPr>
        <w:t xml:space="preserve"> Recurrente,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rsidR="00C81B8A" w:rsidRPr="00A63145" w:rsidRDefault="00C81B8A" w:rsidP="006C67F7">
      <w:pPr>
        <w:spacing w:line="360" w:lineRule="auto"/>
        <w:jc w:val="both"/>
        <w:rPr>
          <w:rFonts w:ascii="Palatino Linotype" w:eastAsia="Calibri" w:hAnsi="Palatino Linotype"/>
        </w:rPr>
      </w:pPr>
    </w:p>
    <w:p w:rsidR="00C81B8A" w:rsidRPr="00A63145" w:rsidRDefault="00C81B8A" w:rsidP="006C67F7">
      <w:pPr>
        <w:ind w:left="567" w:right="567"/>
        <w:jc w:val="both"/>
        <w:rPr>
          <w:rFonts w:ascii="Palatino Linotype" w:eastAsia="Calibri" w:hAnsi="Palatino Linotype"/>
          <w:i/>
        </w:rPr>
      </w:pPr>
      <w:r w:rsidRPr="00A63145">
        <w:rPr>
          <w:rFonts w:ascii="Palatino Linotype" w:eastAsia="Calibri" w:hAnsi="Palatino Linotype"/>
          <w:b/>
          <w:i/>
        </w:rPr>
        <w:t>ACTOS CONSENTIDOS. SON LOS QUE NO SE IMPUGNAN MEDIANTE EL RECURSO IDÓNEO.</w:t>
      </w:r>
      <w:r w:rsidRPr="00A63145">
        <w:rPr>
          <w:rFonts w:ascii="Palatino Linotype" w:eastAsia="Calibri" w:hAnsi="Palatino Linotype"/>
          <w:i/>
        </w:rPr>
        <w:t xml:space="preserve"> Debe reputarse como consentido el acto que no se </w:t>
      </w:r>
      <w:r w:rsidRPr="00A63145">
        <w:rPr>
          <w:rFonts w:ascii="Palatino Linotype" w:eastAsia="Calibri" w:hAnsi="Palatino Linotype"/>
          <w:i/>
        </w:rPr>
        <w:lastRenderedPageBreak/>
        <w:t>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C81B8A" w:rsidRDefault="00C81B8A" w:rsidP="006C67F7">
      <w:pPr>
        <w:pStyle w:val="Prrafodelista"/>
        <w:autoSpaceDE w:val="0"/>
        <w:autoSpaceDN w:val="0"/>
        <w:adjustRightInd w:val="0"/>
        <w:spacing w:line="360" w:lineRule="auto"/>
        <w:ind w:left="0"/>
        <w:jc w:val="both"/>
        <w:rPr>
          <w:rFonts w:ascii="Palatino Linotype" w:eastAsia="Calibri" w:hAnsi="Palatino Linotype"/>
        </w:rPr>
      </w:pPr>
    </w:p>
    <w:p w:rsidR="006C67F7" w:rsidRPr="00B23DC1" w:rsidRDefault="006C67F7" w:rsidP="006C67F7">
      <w:pPr>
        <w:pStyle w:val="Prrafodelista"/>
        <w:autoSpaceDE w:val="0"/>
        <w:autoSpaceDN w:val="0"/>
        <w:adjustRightInd w:val="0"/>
        <w:spacing w:line="360" w:lineRule="auto"/>
        <w:ind w:left="0"/>
        <w:jc w:val="both"/>
        <w:rPr>
          <w:rFonts w:ascii="Palatino Linotype" w:eastAsia="Calibri" w:hAnsi="Palatino Linotype"/>
        </w:rPr>
      </w:pPr>
      <w:r w:rsidRPr="00B23DC1">
        <w:rPr>
          <w:rFonts w:ascii="Palatino Linotype" w:eastAsia="Calibri" w:hAnsi="Palatino Linotype"/>
        </w:rPr>
        <w:t xml:space="preserve">Correlativo a lo anterior, en relación a las razones o motivos de inconformidad expresados por la parte Recurrente, específicamente donde se advierte: </w:t>
      </w:r>
    </w:p>
    <w:p w:rsidR="006C67F7" w:rsidRPr="00B23DC1" w:rsidRDefault="006C67F7" w:rsidP="006C67F7">
      <w:pPr>
        <w:pStyle w:val="Prrafodelista"/>
        <w:autoSpaceDE w:val="0"/>
        <w:autoSpaceDN w:val="0"/>
        <w:adjustRightInd w:val="0"/>
        <w:spacing w:line="360" w:lineRule="auto"/>
        <w:ind w:left="0"/>
        <w:jc w:val="both"/>
        <w:rPr>
          <w:rFonts w:ascii="Palatino Linotype" w:eastAsia="Calibri" w:hAnsi="Palatino Linotype"/>
          <w:i/>
          <w:sz w:val="40"/>
        </w:rPr>
      </w:pPr>
      <w:r w:rsidRPr="00B23DC1">
        <w:rPr>
          <w:rFonts w:ascii="Palatino Linotype" w:hAnsi="Palatino Linotype"/>
          <w:i/>
          <w:color w:val="000000"/>
          <w:sz w:val="22"/>
          <w:szCs w:val="14"/>
        </w:rPr>
        <w:t>“… LA DIRECCIÓN DE TRANSPARENCIA DESCONOCE LO QUE PUBLICAN O BIEN PECA DE INGENUA, O BIEN DECONOCE LAS LEYES</w:t>
      </w:r>
      <w:proofErr w:type="gramStart"/>
      <w:r w:rsidRPr="00B23DC1">
        <w:rPr>
          <w:rFonts w:ascii="Palatino Linotype" w:hAnsi="Palatino Linotype"/>
          <w:i/>
          <w:color w:val="000000"/>
          <w:sz w:val="22"/>
          <w:szCs w:val="14"/>
        </w:rPr>
        <w:t>, …</w:t>
      </w:r>
      <w:proofErr w:type="gramEnd"/>
      <w:r w:rsidRPr="00B23DC1">
        <w:rPr>
          <w:rFonts w:ascii="Palatino Linotype" w:hAnsi="Palatino Linotype"/>
          <w:i/>
          <w:color w:val="000000"/>
          <w:sz w:val="22"/>
          <w:szCs w:val="14"/>
        </w:rPr>
        <w:t>” (Sic)</w:t>
      </w:r>
    </w:p>
    <w:p w:rsidR="006C67F7" w:rsidRPr="00B23DC1" w:rsidRDefault="006C67F7" w:rsidP="006C67F7">
      <w:pPr>
        <w:pStyle w:val="Prrafodelista"/>
        <w:autoSpaceDE w:val="0"/>
        <w:autoSpaceDN w:val="0"/>
        <w:adjustRightInd w:val="0"/>
        <w:spacing w:line="360" w:lineRule="auto"/>
        <w:ind w:left="0"/>
        <w:jc w:val="both"/>
        <w:rPr>
          <w:rFonts w:ascii="Palatino Linotype" w:eastAsia="Calibri" w:hAnsi="Palatino Linotype"/>
        </w:rPr>
      </w:pPr>
    </w:p>
    <w:p w:rsidR="006C67F7" w:rsidRPr="00B23DC1" w:rsidRDefault="006C67F7" w:rsidP="006C67F7">
      <w:pPr>
        <w:autoSpaceDE w:val="0"/>
        <w:autoSpaceDN w:val="0"/>
        <w:adjustRightInd w:val="0"/>
        <w:spacing w:line="360" w:lineRule="auto"/>
        <w:jc w:val="both"/>
        <w:rPr>
          <w:rFonts w:ascii="Palatino Linotype" w:eastAsia="MS Mincho" w:hAnsi="Palatino Linotype" w:cstheme="majorBidi"/>
          <w:b/>
          <w:i/>
          <w:lang w:val="es-ES_tradnl"/>
        </w:rPr>
      </w:pPr>
      <w:r w:rsidRPr="00B23DC1">
        <w:rPr>
          <w:rFonts w:ascii="Palatino Linotype" w:hAnsi="Palatino Linotype"/>
          <w:lang w:val="es-ES_tradnl"/>
        </w:rPr>
        <w:t xml:space="preserve">A este respecto,  con relación al derecho de petición, el Maestro </w:t>
      </w:r>
      <w:r w:rsidRPr="00B23DC1">
        <w:rPr>
          <w:rFonts w:ascii="Palatino Linotype" w:eastAsia="MS Mincho" w:hAnsi="Palatino Linotype" w:cstheme="majorBidi"/>
          <w:lang w:val="es-ES_tradnl"/>
        </w:rPr>
        <w:t>Ignacio Burgoa Orihuela refiere: “…</w:t>
      </w:r>
      <w:r w:rsidRPr="00B23DC1">
        <w:rPr>
          <w:rFonts w:ascii="Palatino Linotype" w:eastAsia="MS Mincho" w:hAnsi="Palatino Linotype" w:cstheme="majorBidi"/>
          <w:i/>
          <w:lang w:val="es-ES_tradnl"/>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B23DC1">
        <w:rPr>
          <w:rFonts w:ascii="Palatino Linotype" w:eastAsia="MS Mincho" w:hAnsi="Palatino Linotype" w:cstheme="majorBidi"/>
          <w:i/>
          <w:vertAlign w:val="superscript"/>
          <w:lang w:val="es-ES_tradnl"/>
        </w:rPr>
        <w:footnoteReference w:id="2"/>
      </w:r>
      <w:r w:rsidRPr="00B23DC1">
        <w:rPr>
          <w:rFonts w:ascii="Palatino Linotype" w:eastAsia="MS Mincho" w:hAnsi="Palatino Linotype" w:cstheme="majorBidi"/>
          <w:i/>
          <w:lang w:val="es-ES_tradnl"/>
        </w:rPr>
        <w:t xml:space="preserve">  “</w:t>
      </w:r>
      <w:r w:rsidRPr="00B23DC1">
        <w:rPr>
          <w:rFonts w:ascii="Palatino Linotype" w:eastAsia="MS Mincho" w:hAnsi="Palatino Linotype" w:cstheme="majorBidi"/>
          <w:b/>
          <w:i/>
          <w:lang w:val="es-ES_tradnl"/>
        </w:rPr>
        <w:t>[Sic]</w:t>
      </w:r>
    </w:p>
    <w:p w:rsidR="006C67F7" w:rsidRPr="00B23DC1" w:rsidRDefault="006C67F7" w:rsidP="006C67F7">
      <w:pPr>
        <w:autoSpaceDE w:val="0"/>
        <w:autoSpaceDN w:val="0"/>
        <w:adjustRightInd w:val="0"/>
        <w:spacing w:line="360" w:lineRule="auto"/>
        <w:jc w:val="both"/>
        <w:rPr>
          <w:rFonts w:ascii="Palatino Linotype" w:eastAsia="MS Mincho" w:hAnsi="Palatino Linotype" w:cstheme="majorBidi"/>
          <w:b/>
          <w:i/>
          <w:lang w:val="es-ES_tradnl"/>
        </w:rPr>
      </w:pPr>
    </w:p>
    <w:p w:rsidR="006C67F7" w:rsidRPr="00B23DC1" w:rsidRDefault="006C67F7" w:rsidP="006C67F7">
      <w:pPr>
        <w:pStyle w:val="Sinespaciado"/>
        <w:spacing w:line="360" w:lineRule="auto"/>
        <w:jc w:val="both"/>
        <w:rPr>
          <w:rFonts w:ascii="Palatino Linotype" w:hAnsi="Palatino Linotype"/>
          <w:b/>
          <w:lang w:val="es-ES_tradnl"/>
        </w:rPr>
      </w:pPr>
      <w:r w:rsidRPr="00B23DC1">
        <w:rPr>
          <w:rFonts w:ascii="Palatino Linotype" w:hAnsi="Palatino Linotype"/>
          <w:lang w:val="es-ES_tradnl"/>
        </w:rPr>
        <w:t xml:space="preserve">Por su parte, David Cienfuegos Salgado, concibe al derecho de petición como </w:t>
      </w:r>
      <w:r w:rsidRPr="00B23DC1">
        <w:rPr>
          <w:rFonts w:ascii="Palatino Linotype" w:hAnsi="Palatino Linotype"/>
          <w:i/>
          <w:lang w:val="es-ES_tradnl"/>
        </w:rPr>
        <w:t>“el derecho de toda persona a ser escuchado por quienes ejercen el poder público.</w:t>
      </w:r>
      <w:r w:rsidRPr="00B23DC1">
        <w:rPr>
          <w:rFonts w:ascii="Palatino Linotype" w:hAnsi="Palatino Linotype"/>
          <w:i/>
          <w:vertAlign w:val="superscript"/>
          <w:lang w:val="es-ES_tradnl"/>
        </w:rPr>
        <w:footnoteReference w:id="3"/>
      </w:r>
      <w:r w:rsidRPr="00B23DC1">
        <w:rPr>
          <w:rFonts w:ascii="Palatino Linotype" w:hAnsi="Palatino Linotype"/>
          <w:i/>
          <w:lang w:val="es-ES_tradnl"/>
        </w:rPr>
        <w:t xml:space="preserve">” </w:t>
      </w:r>
      <w:r w:rsidRPr="00B23DC1">
        <w:rPr>
          <w:rFonts w:ascii="Palatino Linotype" w:hAnsi="Palatino Linotype"/>
          <w:b/>
          <w:i/>
          <w:lang w:val="es-ES_tradnl"/>
        </w:rPr>
        <w:t>[Sic]</w:t>
      </w:r>
    </w:p>
    <w:p w:rsidR="006C67F7" w:rsidRPr="00B23DC1" w:rsidRDefault="006C67F7" w:rsidP="006C67F7">
      <w:pPr>
        <w:pStyle w:val="Sinespaciado"/>
        <w:spacing w:line="360" w:lineRule="auto"/>
        <w:jc w:val="both"/>
        <w:rPr>
          <w:rFonts w:ascii="Palatino Linotype" w:hAnsi="Palatino Linotype"/>
          <w:lang w:val="es-ES_tradnl"/>
        </w:rPr>
      </w:pPr>
    </w:p>
    <w:p w:rsidR="006C67F7" w:rsidRPr="00B23DC1" w:rsidRDefault="006C67F7" w:rsidP="006C67F7">
      <w:pPr>
        <w:pStyle w:val="Sinespaciado"/>
        <w:spacing w:line="360" w:lineRule="auto"/>
        <w:jc w:val="both"/>
        <w:rPr>
          <w:rFonts w:ascii="Palatino Linotype" w:hAnsi="Palatino Linotype"/>
          <w:lang w:val="es-ES_tradnl"/>
        </w:rPr>
      </w:pPr>
      <w:r w:rsidRPr="00B23DC1">
        <w:rPr>
          <w:rFonts w:ascii="Palatino Linotype" w:hAnsi="Palatino Linotype"/>
          <w:lang w:val="es-ES_tradnl"/>
        </w:rPr>
        <w:t>Además, el derecho a la información pública y la prerrogativa constitucional relativa al acceso, rectificación, cancelación u oposición de datos personales constituyen una prerrogativa a acceder a documentación en poder de los Sujetos Obligados, no así a realizar cuestionamientos, o manifestaciones subjetivas.</w:t>
      </w:r>
    </w:p>
    <w:p w:rsidR="006C67F7" w:rsidRPr="00A96388" w:rsidRDefault="006C67F7" w:rsidP="006C67F7">
      <w:pPr>
        <w:tabs>
          <w:tab w:val="left" w:pos="709"/>
        </w:tabs>
        <w:spacing w:line="360" w:lineRule="auto"/>
        <w:ind w:right="51"/>
        <w:jc w:val="both"/>
        <w:rPr>
          <w:rFonts w:ascii="Palatino Linotype" w:hAnsi="Palatino Linotype"/>
          <w:highlight w:val="yellow"/>
        </w:rPr>
      </w:pPr>
    </w:p>
    <w:p w:rsidR="006C67F7" w:rsidRPr="00B23DC1" w:rsidRDefault="006C67F7" w:rsidP="006C67F7">
      <w:pPr>
        <w:tabs>
          <w:tab w:val="left" w:pos="709"/>
        </w:tabs>
        <w:spacing w:line="360" w:lineRule="auto"/>
        <w:ind w:right="51"/>
        <w:jc w:val="both"/>
        <w:rPr>
          <w:rFonts w:ascii="Palatino Linotype" w:hAnsi="Palatino Linotype"/>
        </w:rPr>
      </w:pPr>
      <w:r w:rsidRPr="00B23DC1">
        <w:rPr>
          <w:rFonts w:ascii="Palatino Linotype" w:hAnsi="Palatino Linotype"/>
        </w:rPr>
        <w:t xml:space="preserve">Visto de esta forma, el extracto de la solicitud </w:t>
      </w:r>
      <w:r w:rsidRPr="00B23DC1">
        <w:rPr>
          <w:rFonts w:ascii="Palatino Linotype" w:hAnsi="Palatino Linotype"/>
          <w:b/>
          <w:bCs/>
        </w:rPr>
        <w:t xml:space="preserve">00414/SSEM/IP/2024 </w:t>
      </w:r>
      <w:r w:rsidRPr="00B23DC1">
        <w:rPr>
          <w:rFonts w:ascii="Palatino Linotype" w:hAnsi="Palatino Linotype"/>
        </w:rPr>
        <w:t>referido con antelación se trata de manifestaciones subjetivas y derecho de petición, los cuales no son susceptibles de ser atendidos por la vía interpuesta.</w:t>
      </w:r>
    </w:p>
    <w:p w:rsidR="006C67F7" w:rsidRDefault="006C67F7" w:rsidP="006C67F7">
      <w:pPr>
        <w:pStyle w:val="Prrafodelista"/>
        <w:autoSpaceDE w:val="0"/>
        <w:autoSpaceDN w:val="0"/>
        <w:adjustRightInd w:val="0"/>
        <w:spacing w:line="360" w:lineRule="auto"/>
        <w:ind w:left="0"/>
        <w:jc w:val="both"/>
        <w:rPr>
          <w:rFonts w:ascii="Palatino Linotype" w:eastAsia="Calibri" w:hAnsi="Palatino Linotype"/>
        </w:rPr>
      </w:pPr>
    </w:p>
    <w:p w:rsidR="00C81B8A" w:rsidRDefault="00C81B8A" w:rsidP="006C67F7">
      <w:pPr>
        <w:pStyle w:val="Prrafodelista"/>
        <w:autoSpaceDE w:val="0"/>
        <w:autoSpaceDN w:val="0"/>
        <w:adjustRightInd w:val="0"/>
        <w:spacing w:line="360" w:lineRule="auto"/>
        <w:ind w:left="0"/>
        <w:jc w:val="both"/>
        <w:rPr>
          <w:rFonts w:ascii="Palatino Linotype" w:hAnsi="Palatino Linotype"/>
        </w:rPr>
      </w:pPr>
      <w:r w:rsidRPr="00BC334D">
        <w:rPr>
          <w:rFonts w:ascii="Palatino Linotype" w:eastAsia="Calibri" w:hAnsi="Palatino Linotype"/>
        </w:rPr>
        <w:t xml:space="preserve">Así, una vez establecido que el motivo de inconformidad </w:t>
      </w:r>
      <w:r>
        <w:rPr>
          <w:rFonts w:ascii="Palatino Linotype" w:eastAsia="Calibri" w:hAnsi="Palatino Linotype"/>
        </w:rPr>
        <w:t>de la</w:t>
      </w:r>
      <w:r w:rsidR="000A05E2">
        <w:rPr>
          <w:rFonts w:ascii="Palatino Linotype" w:eastAsia="Calibri" w:hAnsi="Palatino Linotype"/>
        </w:rPr>
        <w:t xml:space="preserve"> parte</w:t>
      </w:r>
      <w:r>
        <w:rPr>
          <w:rFonts w:ascii="Palatino Linotype" w:eastAsia="Calibri" w:hAnsi="Palatino Linotype"/>
        </w:rPr>
        <w:t xml:space="preserve"> </w:t>
      </w:r>
      <w:r w:rsidRPr="00BC334D">
        <w:rPr>
          <w:rFonts w:ascii="Palatino Linotype" w:eastAsia="Calibri" w:hAnsi="Palatino Linotype"/>
        </w:rPr>
        <w:t xml:space="preserve">Recurrente es la negativa de proporcionar la información requerida, se infiere que la </w:t>
      </w:r>
      <w:proofErr w:type="spellStart"/>
      <w:r w:rsidRPr="00BC334D">
        <w:rPr>
          <w:rFonts w:ascii="Palatino Linotype" w:eastAsia="Calibri" w:hAnsi="Palatino Linotype"/>
          <w:i/>
        </w:rPr>
        <w:t>litis</w:t>
      </w:r>
      <w:proofErr w:type="spellEnd"/>
      <w:r w:rsidRPr="00BC334D">
        <w:rPr>
          <w:rFonts w:ascii="Palatino Linotype" w:eastAsia="Calibri" w:hAnsi="Palatino Linotype"/>
          <w:i/>
        </w:rPr>
        <w:t xml:space="preserve"> </w:t>
      </w:r>
      <w:r w:rsidRPr="00BC334D">
        <w:rPr>
          <w:rFonts w:ascii="Palatino Linotype" w:eastAsia="Calibri" w:hAnsi="Palatino Linotype"/>
        </w:rPr>
        <w:t>radica en establecer si el Sujeto Obligado entregó</w:t>
      </w:r>
      <w:r w:rsidRPr="00BC334D">
        <w:rPr>
          <w:rFonts w:ascii="Palatino Linotype" w:hAnsi="Palatino Linotype"/>
        </w:rPr>
        <w:t xml:space="preserve"> los documentos en donde conste, lo siguiente:</w:t>
      </w:r>
    </w:p>
    <w:p w:rsidR="00C81B8A" w:rsidRPr="00BC334D" w:rsidRDefault="00C81B8A" w:rsidP="006C67F7">
      <w:pPr>
        <w:pStyle w:val="Prrafodelista"/>
        <w:autoSpaceDE w:val="0"/>
        <w:autoSpaceDN w:val="0"/>
        <w:adjustRightInd w:val="0"/>
        <w:spacing w:line="360" w:lineRule="auto"/>
        <w:ind w:left="0"/>
        <w:jc w:val="both"/>
        <w:rPr>
          <w:rFonts w:ascii="Palatino Linotype" w:hAnsi="Palatino Linotype"/>
        </w:rPr>
      </w:pPr>
    </w:p>
    <w:p w:rsidR="00C81B8A" w:rsidRPr="00DC26CE" w:rsidRDefault="000A05E2" w:rsidP="006C67F7">
      <w:pPr>
        <w:pStyle w:val="Prrafodelista"/>
        <w:numPr>
          <w:ilvl w:val="0"/>
          <w:numId w:val="2"/>
        </w:numPr>
        <w:spacing w:line="360" w:lineRule="auto"/>
        <w:jc w:val="both"/>
        <w:rPr>
          <w:rFonts w:ascii="Palatino Linotype" w:eastAsia="Arial Unicode MS" w:hAnsi="Palatino Linotype" w:cs="Arial"/>
        </w:rPr>
      </w:pPr>
      <w:r w:rsidRPr="000A05E2">
        <w:rPr>
          <w:rFonts w:ascii="Palatino Linotype" w:hAnsi="Palatino Linotype"/>
          <w:color w:val="000000"/>
        </w:rPr>
        <w:t>Nombre de las bases de datos registradas, así como el número de registros del primer semestre</w:t>
      </w:r>
      <w:r w:rsidR="00C81B8A">
        <w:rPr>
          <w:rFonts w:ascii="Palatino Linotype" w:hAnsi="Palatino Linotype"/>
          <w:color w:val="000000"/>
        </w:rPr>
        <w:t>.</w:t>
      </w:r>
    </w:p>
    <w:p w:rsidR="00C81B8A" w:rsidRDefault="00C81B8A" w:rsidP="006C67F7">
      <w:pPr>
        <w:spacing w:line="360" w:lineRule="auto"/>
        <w:jc w:val="both"/>
        <w:rPr>
          <w:rFonts w:ascii="Palatino Linotype" w:eastAsia="Arial Unicode MS" w:hAnsi="Palatino Linotype" w:cs="Arial"/>
        </w:rPr>
      </w:pPr>
    </w:p>
    <w:tbl>
      <w:tblPr>
        <w:tblStyle w:val="Tabladecuadrcula5oscura"/>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110"/>
        <w:gridCol w:w="1843"/>
      </w:tblGrid>
      <w:tr w:rsidR="00C81B8A" w:rsidRPr="00DC1986" w:rsidTr="00CD7C1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Borders>
              <w:top w:val="none" w:sz="0" w:space="0" w:color="auto"/>
              <w:left w:val="none" w:sz="0" w:space="0" w:color="auto"/>
              <w:right w:val="none" w:sz="0" w:space="0" w:color="auto"/>
            </w:tcBorders>
            <w:shd w:val="clear" w:color="auto" w:fill="D9D9D9" w:themeFill="background1" w:themeFillShade="D9"/>
            <w:vAlign w:val="center"/>
          </w:tcPr>
          <w:p w:rsidR="00C81B8A" w:rsidRDefault="00C81B8A" w:rsidP="006C67F7">
            <w:pPr>
              <w:jc w:val="center"/>
              <w:rPr>
                <w:rFonts w:ascii="Palatino Linotype" w:eastAsiaTheme="minorHAnsi" w:hAnsi="Palatino Linotype" w:cs="TimesNewRomanPS-ItalicMT"/>
                <w:iCs/>
                <w:color w:val="auto"/>
                <w:lang w:eastAsia="en-US"/>
              </w:rPr>
            </w:pPr>
          </w:p>
          <w:p w:rsidR="00C81B8A" w:rsidRPr="001D5D0B" w:rsidRDefault="00C81B8A" w:rsidP="006C67F7">
            <w:pPr>
              <w:jc w:val="center"/>
              <w:rPr>
                <w:rFonts w:ascii="Palatino Linotype" w:eastAsiaTheme="minorHAnsi" w:hAnsi="Palatino Linotype" w:cs="TimesNewRomanPS-ItalicMT"/>
                <w:iCs/>
                <w:color w:val="auto"/>
                <w:lang w:eastAsia="en-US"/>
              </w:rPr>
            </w:pPr>
            <w:r w:rsidRPr="001D5D0B">
              <w:rPr>
                <w:rFonts w:ascii="Palatino Linotype" w:eastAsiaTheme="minorHAnsi" w:hAnsi="Palatino Linotype" w:cs="TimesNewRomanPS-ItalicMT"/>
                <w:iCs/>
                <w:color w:val="auto"/>
                <w:lang w:eastAsia="en-US"/>
              </w:rPr>
              <w:t>Solicitud de Información</w:t>
            </w:r>
          </w:p>
        </w:tc>
        <w:tc>
          <w:tcPr>
            <w:tcW w:w="4110" w:type="dxa"/>
            <w:tcBorders>
              <w:top w:val="none" w:sz="0" w:space="0" w:color="auto"/>
              <w:left w:val="none" w:sz="0" w:space="0" w:color="auto"/>
              <w:right w:val="none" w:sz="0" w:space="0" w:color="auto"/>
            </w:tcBorders>
            <w:shd w:val="clear" w:color="auto" w:fill="D9D9D9" w:themeFill="background1" w:themeFillShade="D9"/>
            <w:vAlign w:val="center"/>
          </w:tcPr>
          <w:p w:rsidR="00C81B8A" w:rsidRPr="00DC1986" w:rsidRDefault="00C81B8A" w:rsidP="006C67F7">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DC1986">
              <w:rPr>
                <w:rFonts w:ascii="Palatino Linotype" w:eastAsiaTheme="minorHAnsi" w:hAnsi="Palatino Linotype" w:cs="TimesNewRomanPS-ItalicMT"/>
                <w:iCs/>
                <w:color w:val="auto"/>
                <w:lang w:eastAsia="en-US"/>
              </w:rPr>
              <w:t>Respuesta</w:t>
            </w:r>
          </w:p>
        </w:tc>
        <w:tc>
          <w:tcPr>
            <w:tcW w:w="1843" w:type="dxa"/>
            <w:tcBorders>
              <w:top w:val="none" w:sz="0" w:space="0" w:color="auto"/>
              <w:left w:val="none" w:sz="0" w:space="0" w:color="auto"/>
              <w:right w:val="none" w:sz="0" w:space="0" w:color="auto"/>
            </w:tcBorders>
            <w:shd w:val="clear" w:color="auto" w:fill="D9D9D9" w:themeFill="background1" w:themeFillShade="D9"/>
            <w:vAlign w:val="center"/>
          </w:tcPr>
          <w:p w:rsidR="00C81B8A" w:rsidRPr="00DC1986" w:rsidRDefault="00C81B8A" w:rsidP="006C67F7">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eastAsia="en-US"/>
              </w:rPr>
            </w:pPr>
            <w:r w:rsidRPr="00DC1986">
              <w:rPr>
                <w:rFonts w:ascii="Palatino Linotype" w:eastAsiaTheme="minorHAnsi" w:hAnsi="Palatino Linotype" w:cs="TimesNewRomanPS-ItalicMT"/>
                <w:iCs/>
                <w:color w:val="auto"/>
                <w:lang w:eastAsia="en-US"/>
              </w:rPr>
              <w:t>Cumplimiento</w:t>
            </w:r>
          </w:p>
        </w:tc>
      </w:tr>
      <w:tr w:rsidR="00C81B8A" w:rsidRPr="00DC1986" w:rsidTr="00CD7C1D">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shd w:val="clear" w:color="auto" w:fill="auto"/>
            <w:vAlign w:val="center"/>
          </w:tcPr>
          <w:p w:rsidR="00C81B8A" w:rsidRPr="001D5D0B" w:rsidRDefault="000A05E2" w:rsidP="006C67F7">
            <w:pPr>
              <w:jc w:val="both"/>
              <w:rPr>
                <w:rFonts w:ascii="Palatino Linotype" w:eastAsiaTheme="minorHAnsi" w:hAnsi="Palatino Linotype" w:cs="TimesNewRomanPS-ItalicMT"/>
                <w:b w:val="0"/>
                <w:iCs/>
                <w:color w:val="auto"/>
                <w:sz w:val="20"/>
                <w:lang w:eastAsia="en-US"/>
              </w:rPr>
            </w:pPr>
            <w:r w:rsidRPr="000A05E2">
              <w:rPr>
                <w:rFonts w:ascii="Palatino Linotype" w:eastAsiaTheme="minorHAnsi" w:hAnsi="Palatino Linotype" w:cs="TimesNewRomanPS-ItalicMT"/>
                <w:b w:val="0"/>
                <w:iCs/>
                <w:color w:val="auto"/>
                <w:sz w:val="20"/>
                <w:lang w:eastAsia="en-US"/>
              </w:rPr>
              <w:t>1.</w:t>
            </w:r>
            <w:r w:rsidRPr="000A05E2">
              <w:rPr>
                <w:rFonts w:ascii="Palatino Linotype" w:eastAsiaTheme="minorHAnsi" w:hAnsi="Palatino Linotype" w:cs="TimesNewRomanPS-ItalicMT"/>
                <w:b w:val="0"/>
                <w:iCs/>
                <w:color w:val="auto"/>
                <w:sz w:val="20"/>
                <w:lang w:eastAsia="en-US"/>
              </w:rPr>
              <w:tab/>
              <w:t>Nombre de las bases de datos registradas, así como el número de registros del primer semestre;</w:t>
            </w:r>
          </w:p>
        </w:tc>
        <w:tc>
          <w:tcPr>
            <w:tcW w:w="4110" w:type="dxa"/>
            <w:shd w:val="clear" w:color="auto" w:fill="FFFFFF" w:themeFill="background1"/>
            <w:vAlign w:val="center"/>
          </w:tcPr>
          <w:p w:rsidR="00C81B8A" w:rsidRPr="00DC1986" w:rsidRDefault="000A05E2" w:rsidP="006C67F7">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eastAsia="en-US"/>
              </w:rPr>
            </w:pPr>
            <w:r>
              <w:rPr>
                <w:rFonts w:ascii="Palatino Linotype" w:eastAsiaTheme="minorHAnsi" w:hAnsi="Palatino Linotype" w:cs="TimesNewRomanPS-ItalicMT"/>
                <w:iCs/>
                <w:sz w:val="20"/>
                <w:lang w:eastAsia="en-US"/>
              </w:rPr>
              <w:t xml:space="preserve">El Sujeto Obligado remitió el archivo electrónico denominado </w:t>
            </w:r>
            <w:r w:rsidRPr="000A05E2">
              <w:rPr>
                <w:rFonts w:ascii="Palatino Linotype" w:eastAsiaTheme="minorHAnsi" w:hAnsi="Palatino Linotype" w:cs="TimesNewRomanPS-ItalicMT"/>
                <w:i/>
                <w:iCs/>
                <w:sz w:val="20"/>
                <w:lang w:eastAsia="en-US"/>
              </w:rPr>
              <w:t xml:space="preserve">“Acta </w:t>
            </w:r>
            <w:proofErr w:type="spellStart"/>
            <w:r w:rsidRPr="000A05E2">
              <w:rPr>
                <w:rFonts w:ascii="Palatino Linotype" w:eastAsiaTheme="minorHAnsi" w:hAnsi="Palatino Linotype" w:cs="TimesNewRomanPS-ItalicMT"/>
                <w:i/>
                <w:iCs/>
                <w:sz w:val="20"/>
                <w:lang w:eastAsia="en-US"/>
              </w:rPr>
              <w:t>Vigesima</w:t>
            </w:r>
            <w:proofErr w:type="spellEnd"/>
            <w:r w:rsidRPr="000A05E2">
              <w:rPr>
                <w:rFonts w:ascii="Palatino Linotype" w:eastAsiaTheme="minorHAnsi" w:hAnsi="Palatino Linotype" w:cs="TimesNewRomanPS-ItalicMT"/>
                <w:i/>
                <w:iCs/>
                <w:sz w:val="20"/>
                <w:lang w:eastAsia="en-US"/>
              </w:rPr>
              <w:t xml:space="preserve"> Novena.pdf</w:t>
            </w:r>
            <w:r>
              <w:rPr>
                <w:rFonts w:ascii="Palatino Linotype" w:eastAsiaTheme="minorHAnsi" w:hAnsi="Palatino Linotype" w:cs="TimesNewRomanPS-ItalicMT"/>
                <w:iCs/>
                <w:sz w:val="20"/>
                <w:lang w:eastAsia="en-US"/>
              </w:rPr>
              <w:t>”</w:t>
            </w:r>
            <w:r w:rsidRPr="000A05E2">
              <w:rPr>
                <w:rFonts w:ascii="Palatino Linotype" w:eastAsiaTheme="minorHAnsi" w:hAnsi="Palatino Linotype" w:cs="TimesNewRomanPS-ItalicMT"/>
                <w:iCs/>
                <w:sz w:val="20"/>
                <w:lang w:eastAsia="en-US"/>
              </w:rPr>
              <w:t xml:space="preserve"> </w:t>
            </w:r>
            <w:r>
              <w:rPr>
                <w:rFonts w:ascii="Palatino Linotype" w:eastAsiaTheme="minorHAnsi" w:hAnsi="Palatino Linotype" w:cs="TimesNewRomanPS-ItalicMT"/>
                <w:iCs/>
                <w:sz w:val="20"/>
                <w:lang w:eastAsia="en-US"/>
              </w:rPr>
              <w:t>el cual consisten en el</w:t>
            </w:r>
            <w:r w:rsidRPr="000A05E2">
              <w:rPr>
                <w:rFonts w:ascii="Palatino Linotype" w:eastAsiaTheme="minorHAnsi" w:hAnsi="Palatino Linotype" w:cs="TimesNewRomanPS-ItalicMT"/>
                <w:iCs/>
                <w:sz w:val="20"/>
                <w:lang w:eastAsia="en-US"/>
              </w:rPr>
              <w:t xml:space="preserve"> Acta de la Vigésima Novena Sesión Extraordinaria 2024 del Comité de Transparencia del Sujeto Obligado, de fecha veintitrés de agosto de dos mil veinticuatro, a través de la cual se aprobó en el punto número V, la información correspondiente al nombre de las bases de datos de la Secretaria de Seguridad, así como su número de registros del primer semestre </w:t>
            </w:r>
            <w:r w:rsidRPr="000A05E2">
              <w:rPr>
                <w:rFonts w:ascii="Palatino Linotype" w:eastAsiaTheme="minorHAnsi" w:hAnsi="Palatino Linotype" w:cs="TimesNewRomanPS-ItalicMT"/>
                <w:b/>
                <w:iCs/>
                <w:sz w:val="20"/>
                <w:lang w:eastAsia="en-US"/>
              </w:rPr>
              <w:t>como información reservada, por un término de cinco años</w:t>
            </w:r>
            <w:r w:rsidRPr="000A05E2">
              <w:rPr>
                <w:rFonts w:ascii="Palatino Linotype" w:eastAsiaTheme="minorHAnsi" w:hAnsi="Palatino Linotype" w:cs="TimesNewRomanPS-ItalicMT"/>
                <w:iCs/>
                <w:sz w:val="20"/>
                <w:lang w:eastAsia="en-US"/>
              </w:rPr>
              <w:t>.</w:t>
            </w:r>
            <w:r w:rsidR="00223794">
              <w:rPr>
                <w:rFonts w:ascii="Palatino Linotype" w:eastAsiaTheme="minorHAnsi" w:hAnsi="Palatino Linotype" w:cs="TimesNewRomanPS-ItalicMT"/>
                <w:iCs/>
                <w:sz w:val="20"/>
                <w:lang w:eastAsia="en-US"/>
              </w:rPr>
              <w:t xml:space="preserve"> Asimismo del archivo electrónico denominado </w:t>
            </w:r>
            <w:r w:rsidR="00223794" w:rsidRPr="00223794">
              <w:rPr>
                <w:rFonts w:ascii="Palatino Linotype" w:eastAsiaTheme="minorHAnsi" w:hAnsi="Palatino Linotype" w:cs="TimesNewRomanPS-ItalicMT"/>
                <w:i/>
                <w:iCs/>
                <w:sz w:val="20"/>
                <w:lang w:eastAsia="en-US"/>
              </w:rPr>
              <w:t>“Anexo Dos Acta.pdf”,</w:t>
            </w:r>
            <w:r w:rsidR="00223794">
              <w:rPr>
                <w:rFonts w:ascii="Palatino Linotype" w:eastAsiaTheme="minorHAnsi" w:hAnsi="Palatino Linotype" w:cs="TimesNewRomanPS-ItalicMT"/>
                <w:iCs/>
                <w:sz w:val="20"/>
                <w:lang w:eastAsia="en-US"/>
              </w:rPr>
              <w:t xml:space="preserve"> el cual consiste en el </w:t>
            </w:r>
            <w:r w:rsidR="00223794" w:rsidRPr="00223794">
              <w:rPr>
                <w:rFonts w:ascii="Palatino Linotype" w:eastAsiaTheme="minorHAnsi" w:hAnsi="Palatino Linotype" w:cs="TimesNewRomanPS-ItalicMT"/>
                <w:iCs/>
                <w:sz w:val="20"/>
                <w:lang w:eastAsia="en-US"/>
              </w:rPr>
              <w:t xml:space="preserve">Acuerdo SS/CT/EXT/XXIX/003/2024, a través del cual se advierte la prueba de daño, por la que se </w:t>
            </w:r>
            <w:r w:rsidR="00223794" w:rsidRPr="00223794">
              <w:rPr>
                <w:rFonts w:ascii="Palatino Linotype" w:eastAsiaTheme="minorHAnsi" w:hAnsi="Palatino Linotype" w:cs="TimesNewRomanPS-ItalicMT"/>
                <w:iCs/>
                <w:sz w:val="20"/>
                <w:lang w:eastAsia="en-US"/>
              </w:rPr>
              <w:lastRenderedPageBreak/>
              <w:t>decide reservar la información relacionada con el nombre de las bases de datos de la Secretaria de Seguridad, así como su número de registros del primer semestre, por un periodo de cinco años, por los integrantes del Comité de Transparencia del Sujeto Obligado.</w:t>
            </w:r>
          </w:p>
        </w:tc>
        <w:tc>
          <w:tcPr>
            <w:tcW w:w="1843" w:type="dxa"/>
            <w:shd w:val="clear" w:color="auto" w:fill="FFFFFF" w:themeFill="background1"/>
            <w:vAlign w:val="center"/>
          </w:tcPr>
          <w:p w:rsidR="00C81B8A" w:rsidRPr="00DC1986" w:rsidRDefault="00C81B8A" w:rsidP="006C67F7">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
                <w:iCs/>
                <w:lang w:eastAsia="en-US"/>
              </w:rPr>
            </w:pPr>
            <w:r>
              <w:rPr>
                <w:rFonts w:ascii="Palatino Linotype" w:eastAsiaTheme="minorHAnsi" w:hAnsi="Palatino Linotype" w:cs="TimesNewRomanPS-ItalicMT"/>
                <w:b/>
                <w:i/>
                <w:iCs/>
                <w:lang w:eastAsia="en-US"/>
              </w:rPr>
              <w:lastRenderedPageBreak/>
              <w:t>No</w:t>
            </w:r>
          </w:p>
        </w:tc>
      </w:tr>
      <w:tr w:rsidR="00C81B8A" w:rsidRPr="00DC1986" w:rsidTr="000A05E2">
        <w:trPr>
          <w:trHeight w:val="678"/>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bottom w:val="single" w:sz="4" w:space="0" w:color="auto"/>
            </w:tcBorders>
            <w:shd w:val="clear" w:color="auto" w:fill="auto"/>
            <w:vAlign w:val="center"/>
          </w:tcPr>
          <w:p w:rsidR="00C81B8A" w:rsidRPr="001D5D0B" w:rsidRDefault="000A05E2" w:rsidP="006C67F7">
            <w:pPr>
              <w:jc w:val="both"/>
              <w:rPr>
                <w:rFonts w:ascii="Palatino Linotype" w:eastAsiaTheme="minorHAnsi" w:hAnsi="Palatino Linotype" w:cs="TimesNewRomanPS-ItalicMT"/>
                <w:b w:val="0"/>
                <w:iCs/>
                <w:color w:val="auto"/>
                <w:sz w:val="20"/>
                <w:lang w:eastAsia="en-US"/>
              </w:rPr>
            </w:pPr>
            <w:r w:rsidRPr="000A05E2">
              <w:rPr>
                <w:rFonts w:ascii="Palatino Linotype" w:eastAsiaTheme="minorHAnsi" w:hAnsi="Palatino Linotype" w:cs="TimesNewRomanPS-ItalicMT"/>
                <w:b w:val="0"/>
                <w:iCs/>
                <w:color w:val="auto"/>
                <w:sz w:val="20"/>
                <w:lang w:eastAsia="en-US"/>
              </w:rPr>
              <w:t>2.</w:t>
            </w:r>
            <w:r w:rsidRPr="000A05E2">
              <w:rPr>
                <w:rFonts w:ascii="Palatino Linotype" w:eastAsiaTheme="minorHAnsi" w:hAnsi="Palatino Linotype" w:cs="TimesNewRomanPS-ItalicMT"/>
                <w:b w:val="0"/>
                <w:iCs/>
                <w:color w:val="auto"/>
                <w:sz w:val="20"/>
                <w:lang w:eastAsia="en-US"/>
              </w:rPr>
              <w:tab/>
              <w:t>El Acta del Comité donde se nombran a los habilitados;</w:t>
            </w:r>
          </w:p>
        </w:tc>
        <w:tc>
          <w:tcPr>
            <w:tcW w:w="4110" w:type="dxa"/>
            <w:tcBorders>
              <w:bottom w:val="single" w:sz="4" w:space="0" w:color="auto"/>
            </w:tcBorders>
            <w:shd w:val="clear" w:color="auto" w:fill="FFFFFF" w:themeFill="background1"/>
            <w:vAlign w:val="center"/>
          </w:tcPr>
          <w:p w:rsidR="00C81B8A" w:rsidRPr="00DC1986" w:rsidRDefault="000A05E2" w:rsidP="006C67F7">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 xml:space="preserve">El Sujeto Obligado remitió el archivo electrónico denominado </w:t>
            </w:r>
            <w:r w:rsidRPr="000A05E2">
              <w:rPr>
                <w:rFonts w:ascii="Palatino Linotype" w:eastAsiaTheme="minorHAnsi" w:hAnsi="Palatino Linotype" w:cs="TimesNewRomanPS-ItalicMT"/>
                <w:i/>
                <w:iCs/>
                <w:sz w:val="20"/>
                <w:lang w:eastAsia="en-US"/>
              </w:rPr>
              <w:t xml:space="preserve">“Acta </w:t>
            </w:r>
            <w:proofErr w:type="spellStart"/>
            <w:r w:rsidRPr="000A05E2">
              <w:rPr>
                <w:rFonts w:ascii="Palatino Linotype" w:eastAsiaTheme="minorHAnsi" w:hAnsi="Palatino Linotype" w:cs="TimesNewRomanPS-ItalicMT"/>
                <w:i/>
                <w:iCs/>
                <w:sz w:val="20"/>
                <w:lang w:eastAsia="en-US"/>
              </w:rPr>
              <w:t>Vigesima</w:t>
            </w:r>
            <w:proofErr w:type="spellEnd"/>
            <w:r w:rsidRPr="000A05E2">
              <w:rPr>
                <w:rFonts w:ascii="Palatino Linotype" w:eastAsiaTheme="minorHAnsi" w:hAnsi="Palatino Linotype" w:cs="TimesNewRomanPS-ItalicMT"/>
                <w:i/>
                <w:iCs/>
                <w:sz w:val="20"/>
                <w:lang w:eastAsia="en-US"/>
              </w:rPr>
              <w:t xml:space="preserve"> Novena.pdf</w:t>
            </w:r>
            <w:r>
              <w:rPr>
                <w:rFonts w:ascii="Palatino Linotype" w:eastAsiaTheme="minorHAnsi" w:hAnsi="Palatino Linotype" w:cs="TimesNewRomanPS-ItalicMT"/>
                <w:iCs/>
                <w:sz w:val="20"/>
                <w:lang w:eastAsia="en-US"/>
              </w:rPr>
              <w:t>”</w:t>
            </w:r>
            <w:r w:rsidRPr="000A05E2">
              <w:rPr>
                <w:rFonts w:ascii="Palatino Linotype" w:eastAsiaTheme="minorHAnsi" w:hAnsi="Palatino Linotype" w:cs="TimesNewRomanPS-ItalicMT"/>
                <w:iCs/>
                <w:sz w:val="20"/>
                <w:lang w:eastAsia="en-US"/>
              </w:rPr>
              <w:t xml:space="preserve"> </w:t>
            </w:r>
            <w:r>
              <w:rPr>
                <w:rFonts w:ascii="Palatino Linotype" w:eastAsiaTheme="minorHAnsi" w:hAnsi="Palatino Linotype" w:cs="TimesNewRomanPS-ItalicMT"/>
                <w:iCs/>
                <w:sz w:val="20"/>
                <w:lang w:eastAsia="en-US"/>
              </w:rPr>
              <w:t>el cual consisten en el</w:t>
            </w:r>
            <w:r w:rsidRPr="000A05E2">
              <w:rPr>
                <w:rFonts w:ascii="Palatino Linotype" w:eastAsiaTheme="minorHAnsi" w:hAnsi="Palatino Linotype" w:cs="TimesNewRomanPS-ItalicMT"/>
                <w:iCs/>
                <w:sz w:val="20"/>
                <w:lang w:eastAsia="en-US"/>
              </w:rPr>
              <w:t xml:space="preserve"> Acta de la Vigésima Novena Sesión Extraordinaria 2024 del Comité de Transparencia del Sujeto Obligado, de fecha veintitrés de agosto de dos mil veinticuatro, a través de la cual se advierte como punto número III, la </w:t>
            </w:r>
            <w:r w:rsidRPr="000A05E2">
              <w:rPr>
                <w:rFonts w:ascii="Palatino Linotype" w:eastAsiaTheme="minorHAnsi" w:hAnsi="Palatino Linotype" w:cs="TimesNewRomanPS-ItalicMT"/>
                <w:b/>
                <w:iCs/>
                <w:sz w:val="20"/>
                <w:lang w:eastAsia="en-US"/>
              </w:rPr>
              <w:t>ratificación de los Servidores Públicos Habilitados de la Secretaría de Seguridad</w:t>
            </w:r>
            <w:r w:rsidRPr="000A05E2">
              <w:rPr>
                <w:rFonts w:ascii="Palatino Linotype" w:eastAsiaTheme="minorHAnsi" w:hAnsi="Palatino Linotype" w:cs="TimesNewRomanPS-ItalicMT"/>
                <w:iCs/>
                <w:sz w:val="20"/>
                <w:lang w:eastAsia="en-US"/>
              </w:rPr>
              <w:t>, en la que se muestra el listado de los</w:t>
            </w:r>
            <w:r>
              <w:rPr>
                <w:rFonts w:ascii="Palatino Linotype" w:eastAsiaTheme="minorHAnsi" w:hAnsi="Palatino Linotype" w:cs="TimesNewRomanPS-ItalicMT"/>
                <w:iCs/>
                <w:sz w:val="20"/>
                <w:lang w:eastAsia="en-US"/>
              </w:rPr>
              <w:t xml:space="preserve"> nombres de los</w:t>
            </w:r>
            <w:r w:rsidRPr="000A05E2">
              <w:rPr>
                <w:rFonts w:ascii="Palatino Linotype" w:eastAsiaTheme="minorHAnsi" w:hAnsi="Palatino Linotype" w:cs="TimesNewRomanPS-ItalicMT"/>
                <w:iCs/>
                <w:sz w:val="20"/>
                <w:lang w:eastAsia="en-US"/>
              </w:rPr>
              <w:t xml:space="preserve"> Servidores Públicos </w:t>
            </w:r>
            <w:r>
              <w:rPr>
                <w:rFonts w:ascii="Palatino Linotype" w:eastAsiaTheme="minorHAnsi" w:hAnsi="Palatino Linotype" w:cs="TimesNewRomanPS-ItalicMT"/>
                <w:iCs/>
                <w:sz w:val="20"/>
                <w:lang w:eastAsia="en-US"/>
              </w:rPr>
              <w:t>Habilitados del Sujeto Obligado.</w:t>
            </w:r>
          </w:p>
        </w:tc>
        <w:tc>
          <w:tcPr>
            <w:tcW w:w="1843" w:type="dxa"/>
            <w:tcBorders>
              <w:bottom w:val="single" w:sz="4" w:space="0" w:color="auto"/>
            </w:tcBorders>
            <w:shd w:val="clear" w:color="auto" w:fill="FFFFFF" w:themeFill="background1"/>
            <w:vAlign w:val="center"/>
          </w:tcPr>
          <w:p w:rsidR="00C81B8A" w:rsidRDefault="00C81B8A" w:rsidP="006C67F7">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p w:rsidR="00C81B8A" w:rsidRDefault="00C81B8A" w:rsidP="006C67F7">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p w:rsidR="00C81B8A" w:rsidRDefault="00C81B8A" w:rsidP="006C67F7">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p w:rsidR="00C81B8A" w:rsidRDefault="00C81B8A" w:rsidP="006C67F7">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Sí</w:t>
            </w:r>
          </w:p>
          <w:p w:rsidR="00C81B8A" w:rsidRPr="00DC1986" w:rsidRDefault="00C81B8A" w:rsidP="006C67F7">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r w:rsidRPr="006078CF">
              <w:rPr>
                <w:rFonts w:ascii="Palatino Linotype" w:eastAsiaTheme="minorHAnsi" w:hAnsi="Palatino Linotype" w:cs="TimesNewRomanPS-ItalicMT"/>
                <w:b/>
                <w:i/>
                <w:iCs/>
                <w:lang w:eastAsia="en-US"/>
              </w:rPr>
              <w:t>(actos consentidos)</w:t>
            </w:r>
          </w:p>
          <w:p w:rsidR="00C81B8A" w:rsidRPr="00DC1986" w:rsidRDefault="00C81B8A" w:rsidP="006C67F7">
            <w:pPr>
              <w:jc w:val="center"/>
              <w:cnfStyle w:val="000000000000" w:firstRow="0"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b/>
                <w:i/>
                <w:iCs/>
                <w:lang w:eastAsia="en-US"/>
              </w:rPr>
            </w:pPr>
          </w:p>
        </w:tc>
      </w:tr>
      <w:tr w:rsidR="00C81B8A" w:rsidRPr="00DC1986" w:rsidTr="000A05E2">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bottom w:val="single" w:sz="4" w:space="0" w:color="auto"/>
            </w:tcBorders>
            <w:shd w:val="clear" w:color="auto" w:fill="auto"/>
            <w:vAlign w:val="center"/>
          </w:tcPr>
          <w:p w:rsidR="00C81B8A" w:rsidRPr="001D5D0B" w:rsidRDefault="000A05E2" w:rsidP="006C67F7">
            <w:pPr>
              <w:jc w:val="both"/>
              <w:rPr>
                <w:rFonts w:ascii="Palatino Linotype" w:eastAsiaTheme="minorHAnsi" w:hAnsi="Palatino Linotype" w:cs="TimesNewRomanPS-ItalicMT"/>
                <w:b w:val="0"/>
                <w:iCs/>
                <w:color w:val="auto"/>
                <w:sz w:val="20"/>
                <w:lang w:eastAsia="en-US"/>
              </w:rPr>
            </w:pPr>
            <w:r w:rsidRPr="000A05E2">
              <w:rPr>
                <w:rFonts w:ascii="Palatino Linotype" w:eastAsiaTheme="minorHAnsi" w:hAnsi="Palatino Linotype" w:cs="TimesNewRomanPS-ItalicMT"/>
                <w:b w:val="0"/>
                <w:iCs/>
                <w:color w:val="auto"/>
                <w:sz w:val="20"/>
                <w:lang w:eastAsia="en-US"/>
              </w:rPr>
              <w:t>3.</w:t>
            </w:r>
            <w:r w:rsidRPr="000A05E2">
              <w:rPr>
                <w:rFonts w:ascii="Palatino Linotype" w:eastAsiaTheme="minorHAnsi" w:hAnsi="Palatino Linotype" w:cs="TimesNewRomanPS-ItalicMT"/>
                <w:b w:val="0"/>
                <w:iCs/>
                <w:color w:val="auto"/>
                <w:sz w:val="20"/>
                <w:lang w:eastAsia="en-US"/>
              </w:rPr>
              <w:tab/>
              <w:t>Nombramiento de los integrantes del comité de transparencia de la Secretaría.</w:t>
            </w:r>
          </w:p>
        </w:tc>
        <w:tc>
          <w:tcPr>
            <w:tcW w:w="4110" w:type="dxa"/>
            <w:tcBorders>
              <w:bottom w:val="single" w:sz="4" w:space="0" w:color="auto"/>
            </w:tcBorders>
            <w:shd w:val="clear" w:color="auto" w:fill="FFFFFF" w:themeFill="background1"/>
            <w:vAlign w:val="center"/>
          </w:tcPr>
          <w:p w:rsidR="00C81B8A" w:rsidRPr="00DC1986" w:rsidRDefault="000A05E2" w:rsidP="006C67F7">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0"/>
                <w:lang w:eastAsia="en-US"/>
              </w:rPr>
            </w:pPr>
            <w:r>
              <w:rPr>
                <w:rFonts w:ascii="Palatino Linotype" w:eastAsiaTheme="minorHAnsi" w:hAnsi="Palatino Linotype" w:cs="TimesNewRomanPS-ItalicMT"/>
                <w:iCs/>
                <w:sz w:val="20"/>
                <w:lang w:eastAsia="en-US"/>
              </w:rPr>
              <w:t xml:space="preserve">El Sujeto Obligado remitió el archivo electrónico denominado </w:t>
            </w:r>
            <w:r w:rsidRPr="000A05E2">
              <w:rPr>
                <w:rFonts w:ascii="Palatino Linotype" w:eastAsiaTheme="minorHAnsi" w:hAnsi="Palatino Linotype" w:cs="TimesNewRomanPS-ItalicMT"/>
                <w:i/>
                <w:iCs/>
                <w:sz w:val="20"/>
                <w:lang w:eastAsia="en-US"/>
              </w:rPr>
              <w:t>“VIGÉSIMA SEXTA EXTRA-2024.pdf</w:t>
            </w:r>
            <w:r>
              <w:rPr>
                <w:rFonts w:ascii="Palatino Linotype" w:eastAsiaTheme="minorHAnsi" w:hAnsi="Palatino Linotype" w:cs="TimesNewRomanPS-ItalicMT"/>
                <w:iCs/>
                <w:sz w:val="20"/>
                <w:lang w:eastAsia="en-US"/>
              </w:rPr>
              <w:t>”</w:t>
            </w:r>
            <w:r w:rsidRPr="000A05E2">
              <w:rPr>
                <w:rFonts w:ascii="Palatino Linotype" w:eastAsiaTheme="minorHAnsi" w:hAnsi="Palatino Linotype" w:cs="TimesNewRomanPS-ItalicMT"/>
                <w:iCs/>
                <w:sz w:val="20"/>
                <w:lang w:eastAsia="en-US"/>
              </w:rPr>
              <w:t xml:space="preserve">, a través de la cual se </w:t>
            </w:r>
            <w:r w:rsidR="00F97C11">
              <w:rPr>
                <w:rFonts w:ascii="Palatino Linotype" w:eastAsiaTheme="minorHAnsi" w:hAnsi="Palatino Linotype" w:cs="TimesNewRomanPS-ItalicMT"/>
                <w:iCs/>
                <w:sz w:val="20"/>
                <w:lang w:eastAsia="en-US"/>
              </w:rPr>
              <w:t xml:space="preserve">advierte </w:t>
            </w:r>
            <w:r w:rsidRPr="000A05E2">
              <w:rPr>
                <w:rFonts w:ascii="Palatino Linotype" w:eastAsiaTheme="minorHAnsi" w:hAnsi="Palatino Linotype" w:cs="TimesNewRomanPS-ItalicMT"/>
                <w:iCs/>
                <w:sz w:val="20"/>
                <w:lang w:eastAsia="en-US"/>
              </w:rPr>
              <w:t>la ratificación de los integrantes del Comité de Transparencia de la Secretaría de Seguridad, en la que se muestra el listado de los nombres de los Servidores Públicos integrantes del Comité de Transparencia del Sujeto Obligado.</w:t>
            </w:r>
          </w:p>
        </w:tc>
        <w:tc>
          <w:tcPr>
            <w:tcW w:w="1843" w:type="dxa"/>
            <w:tcBorders>
              <w:bottom w:val="single" w:sz="4" w:space="0" w:color="auto"/>
            </w:tcBorders>
            <w:shd w:val="clear" w:color="auto" w:fill="FFFFFF" w:themeFill="background1"/>
            <w:vAlign w:val="center"/>
          </w:tcPr>
          <w:p w:rsidR="00C81B8A" w:rsidRDefault="00C81B8A" w:rsidP="006C67F7">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Pr>
                <w:rFonts w:ascii="Palatino Linotype" w:eastAsiaTheme="minorHAnsi" w:hAnsi="Palatino Linotype" w:cs="TimesNewRomanPS-ItalicMT"/>
                <w:b/>
                <w:i/>
                <w:iCs/>
                <w:lang w:eastAsia="en-US"/>
              </w:rPr>
              <w:t>Sí</w:t>
            </w:r>
          </w:p>
          <w:p w:rsidR="00C81B8A" w:rsidRPr="00DC1986" w:rsidRDefault="00C81B8A" w:rsidP="006C67F7">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r w:rsidRPr="006078CF">
              <w:rPr>
                <w:rFonts w:ascii="Palatino Linotype" w:eastAsiaTheme="minorHAnsi" w:hAnsi="Palatino Linotype" w:cs="TimesNewRomanPS-ItalicMT"/>
                <w:b/>
                <w:i/>
                <w:iCs/>
                <w:lang w:eastAsia="en-US"/>
              </w:rPr>
              <w:t>(actos consentidos)</w:t>
            </w:r>
          </w:p>
          <w:p w:rsidR="00C81B8A" w:rsidRPr="00DC1986" w:rsidRDefault="00C81B8A" w:rsidP="006C67F7">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
                <w:iCs/>
                <w:lang w:eastAsia="en-US"/>
              </w:rPr>
            </w:pPr>
          </w:p>
        </w:tc>
      </w:tr>
      <w:bookmarkEnd w:id="1"/>
      <w:bookmarkEnd w:id="2"/>
    </w:tbl>
    <w:p w:rsidR="00C81B8A" w:rsidRDefault="00C81B8A" w:rsidP="006C67F7">
      <w:pPr>
        <w:spacing w:line="360" w:lineRule="auto"/>
        <w:jc w:val="both"/>
        <w:rPr>
          <w:rFonts w:ascii="Palatino Linotype" w:hAnsi="Palatino Linotype"/>
          <w:highlight w:val="yellow"/>
        </w:rPr>
      </w:pPr>
    </w:p>
    <w:p w:rsidR="00C81B8A" w:rsidRDefault="00C81B8A" w:rsidP="006C67F7">
      <w:pPr>
        <w:tabs>
          <w:tab w:val="left" w:pos="709"/>
        </w:tabs>
        <w:spacing w:line="360" w:lineRule="auto"/>
        <w:ind w:right="51"/>
        <w:jc w:val="both"/>
        <w:rPr>
          <w:rFonts w:ascii="Palatino Linotype" w:hAnsi="Palatino Linotype"/>
        </w:rPr>
      </w:pPr>
      <w:r w:rsidRPr="00836EB7">
        <w:rPr>
          <w:rFonts w:ascii="Palatino Linotype" w:hAnsi="Palatino Linotype"/>
        </w:rPr>
        <w:t xml:space="preserve">Es así vez que </w:t>
      </w:r>
      <w:r>
        <w:rPr>
          <w:rFonts w:ascii="Palatino Linotype" w:hAnsi="Palatino Linotype"/>
        </w:rPr>
        <w:t>podemos concluir</w:t>
      </w:r>
      <w:r w:rsidRPr="00836EB7">
        <w:rPr>
          <w:rFonts w:ascii="Palatino Linotype" w:hAnsi="Palatino Linotype"/>
        </w:rPr>
        <w:t xml:space="preserve"> del</w:t>
      </w:r>
      <w:r>
        <w:rPr>
          <w:rFonts w:ascii="Palatino Linotype" w:hAnsi="Palatino Linotype"/>
        </w:rPr>
        <w:t xml:space="preserve"> cuadro anterior</w:t>
      </w:r>
      <w:r w:rsidRPr="00836EB7">
        <w:rPr>
          <w:rFonts w:ascii="Palatino Linotype" w:hAnsi="Palatino Linotype"/>
        </w:rPr>
        <w:t xml:space="preserve">, que </w:t>
      </w:r>
      <w:r>
        <w:rPr>
          <w:rFonts w:ascii="Palatino Linotype" w:hAnsi="Palatino Linotype"/>
        </w:rPr>
        <w:t xml:space="preserve">se tienen por atendidos </w:t>
      </w:r>
      <w:r w:rsidRPr="005E6E36">
        <w:rPr>
          <w:rFonts w:ascii="Palatino Linotype" w:hAnsi="Palatino Linotype"/>
        </w:rPr>
        <w:t>l</w:t>
      </w:r>
      <w:r>
        <w:rPr>
          <w:rFonts w:ascii="Palatino Linotype" w:hAnsi="Palatino Linotype"/>
        </w:rPr>
        <w:t>os</w:t>
      </w:r>
      <w:r w:rsidRPr="005E6E36">
        <w:rPr>
          <w:rFonts w:ascii="Palatino Linotype" w:hAnsi="Palatino Linotype"/>
        </w:rPr>
        <w:t xml:space="preserve"> requerimiento</w:t>
      </w:r>
      <w:r>
        <w:rPr>
          <w:rFonts w:ascii="Palatino Linotype" w:hAnsi="Palatino Linotype"/>
        </w:rPr>
        <w:t>s</w:t>
      </w:r>
      <w:r w:rsidRPr="005E6E36">
        <w:rPr>
          <w:rFonts w:ascii="Palatino Linotype" w:hAnsi="Palatino Linotype"/>
        </w:rPr>
        <w:t xml:space="preserve"> marcado</w:t>
      </w:r>
      <w:r w:rsidR="00F97C11">
        <w:rPr>
          <w:rFonts w:ascii="Palatino Linotype" w:hAnsi="Palatino Linotype"/>
        </w:rPr>
        <w:t>s</w:t>
      </w:r>
      <w:r w:rsidRPr="005E6E36">
        <w:rPr>
          <w:rFonts w:ascii="Palatino Linotype" w:hAnsi="Palatino Linotype"/>
        </w:rPr>
        <w:t xml:space="preserve"> con </w:t>
      </w:r>
      <w:r>
        <w:rPr>
          <w:rFonts w:ascii="Palatino Linotype" w:hAnsi="Palatino Linotype"/>
        </w:rPr>
        <w:t>los</w:t>
      </w:r>
      <w:r w:rsidRPr="005E6E36">
        <w:rPr>
          <w:rFonts w:ascii="Palatino Linotype" w:hAnsi="Palatino Linotype"/>
        </w:rPr>
        <w:t xml:space="preserve"> numeral</w:t>
      </w:r>
      <w:r>
        <w:rPr>
          <w:rFonts w:ascii="Palatino Linotype" w:hAnsi="Palatino Linotype"/>
        </w:rPr>
        <w:t xml:space="preserve">es </w:t>
      </w:r>
      <w:r w:rsidRPr="00A83AB8">
        <w:rPr>
          <w:rFonts w:ascii="Palatino Linotype" w:hAnsi="Palatino Linotype"/>
          <w:b/>
        </w:rPr>
        <w:t>dos</w:t>
      </w:r>
      <w:r w:rsidRPr="00245E77">
        <w:rPr>
          <w:rFonts w:ascii="Palatino Linotype" w:hAnsi="Palatino Linotype"/>
          <w:b/>
        </w:rPr>
        <w:t xml:space="preserve"> (</w:t>
      </w:r>
      <w:r>
        <w:rPr>
          <w:rFonts w:ascii="Palatino Linotype" w:hAnsi="Palatino Linotype"/>
          <w:b/>
        </w:rPr>
        <w:t>2</w:t>
      </w:r>
      <w:r w:rsidRPr="00245E77">
        <w:rPr>
          <w:rFonts w:ascii="Palatino Linotype" w:hAnsi="Palatino Linotype"/>
          <w:b/>
        </w:rPr>
        <w:t>)</w:t>
      </w:r>
      <w:r w:rsidR="00F97C11">
        <w:rPr>
          <w:rFonts w:ascii="Palatino Linotype" w:hAnsi="Palatino Linotype"/>
        </w:rPr>
        <w:t xml:space="preserve"> y</w:t>
      </w:r>
      <w:r>
        <w:rPr>
          <w:rFonts w:ascii="Palatino Linotype" w:hAnsi="Palatino Linotype"/>
        </w:rPr>
        <w:t xml:space="preserve"> </w:t>
      </w:r>
      <w:r>
        <w:rPr>
          <w:rFonts w:ascii="Palatino Linotype" w:hAnsi="Palatino Linotype"/>
          <w:b/>
        </w:rPr>
        <w:t>tres</w:t>
      </w:r>
      <w:r w:rsidRPr="00836EB7">
        <w:rPr>
          <w:rFonts w:ascii="Palatino Linotype" w:hAnsi="Palatino Linotype"/>
          <w:b/>
        </w:rPr>
        <w:t xml:space="preserve"> (</w:t>
      </w:r>
      <w:r>
        <w:rPr>
          <w:rFonts w:ascii="Palatino Linotype" w:hAnsi="Palatino Linotype"/>
          <w:b/>
        </w:rPr>
        <w:t>3</w:t>
      </w:r>
      <w:r w:rsidRPr="00836EB7">
        <w:rPr>
          <w:rFonts w:ascii="Palatino Linotype" w:hAnsi="Palatino Linotype"/>
          <w:b/>
        </w:rPr>
        <w:t xml:space="preserve">), </w:t>
      </w:r>
      <w:r w:rsidRPr="005E6E36">
        <w:rPr>
          <w:rFonts w:ascii="Palatino Linotype" w:hAnsi="Palatino Linotype"/>
        </w:rPr>
        <w:t>en virtud de que fue</w:t>
      </w:r>
      <w:r>
        <w:rPr>
          <w:rFonts w:ascii="Palatino Linotype" w:hAnsi="Palatino Linotype"/>
        </w:rPr>
        <w:t xml:space="preserve">ron </w:t>
      </w:r>
      <w:r w:rsidRPr="005E6E36">
        <w:rPr>
          <w:rFonts w:ascii="Palatino Linotype" w:hAnsi="Palatino Linotype"/>
        </w:rPr>
        <w:t xml:space="preserve">consentidos por </w:t>
      </w:r>
      <w:r w:rsidRPr="005E6E36">
        <w:rPr>
          <w:rFonts w:ascii="Palatino Linotype" w:hAnsi="Palatino Linotype"/>
          <w:b/>
          <w:bCs/>
        </w:rPr>
        <w:t>l</w:t>
      </w:r>
      <w:r>
        <w:rPr>
          <w:rFonts w:ascii="Palatino Linotype" w:hAnsi="Palatino Linotype"/>
          <w:b/>
          <w:bCs/>
        </w:rPr>
        <w:t>a</w:t>
      </w:r>
      <w:r w:rsidRPr="005E6E36">
        <w:rPr>
          <w:rFonts w:ascii="Palatino Linotype" w:hAnsi="Palatino Linotype"/>
          <w:b/>
          <w:bCs/>
        </w:rPr>
        <w:t xml:space="preserve"> </w:t>
      </w:r>
      <w:r w:rsidR="00F97C11">
        <w:rPr>
          <w:rFonts w:ascii="Palatino Linotype" w:hAnsi="Palatino Linotype"/>
          <w:b/>
          <w:bCs/>
        </w:rPr>
        <w:t xml:space="preserve">parte </w:t>
      </w:r>
      <w:r w:rsidRPr="005E6E36">
        <w:rPr>
          <w:rFonts w:ascii="Palatino Linotype" w:hAnsi="Palatino Linotype"/>
          <w:b/>
          <w:bCs/>
        </w:rPr>
        <w:t>Recurrente,</w:t>
      </w:r>
      <w:r w:rsidRPr="005E6E36">
        <w:rPr>
          <w:rFonts w:ascii="Palatino Linotype" w:hAnsi="Palatino Linotype"/>
        </w:rPr>
        <w:t xml:space="preserve"> </w:t>
      </w:r>
      <w:r>
        <w:rPr>
          <w:rFonts w:ascii="Palatino Linotype" w:hAnsi="Palatino Linotype"/>
        </w:rPr>
        <w:t xml:space="preserve">y atendidos por el Sujeto Obligado, </w:t>
      </w:r>
      <w:r w:rsidRPr="005E6E36">
        <w:rPr>
          <w:rFonts w:ascii="Palatino Linotype" w:hAnsi="Palatino Linotype"/>
        </w:rPr>
        <w:t>al no formar parte de sus razones o motivos de inconformidad.</w:t>
      </w:r>
      <w:r>
        <w:rPr>
          <w:rFonts w:ascii="Palatino Linotype" w:hAnsi="Palatino Linotype"/>
        </w:rPr>
        <w:t xml:space="preserve"> </w:t>
      </w:r>
    </w:p>
    <w:p w:rsidR="00C81B8A" w:rsidRDefault="00C81B8A" w:rsidP="006C67F7">
      <w:pPr>
        <w:tabs>
          <w:tab w:val="left" w:pos="709"/>
        </w:tabs>
        <w:spacing w:line="360" w:lineRule="auto"/>
        <w:ind w:right="51"/>
        <w:jc w:val="both"/>
        <w:rPr>
          <w:rFonts w:ascii="Palatino Linotype" w:eastAsia="Calibri" w:hAnsi="Palatino Linotype"/>
        </w:rPr>
      </w:pPr>
    </w:p>
    <w:p w:rsidR="00223794" w:rsidRDefault="00223794" w:rsidP="006C67F7">
      <w:pPr>
        <w:spacing w:line="360" w:lineRule="auto"/>
        <w:jc w:val="both"/>
        <w:rPr>
          <w:rFonts w:ascii="Palatino Linotype" w:hAnsi="Palatino Linotype"/>
          <w:color w:val="000000"/>
        </w:rPr>
      </w:pPr>
      <w:r>
        <w:rPr>
          <w:rFonts w:ascii="Palatino Linotype" w:hAnsi="Palatino Linotype"/>
          <w:color w:val="000000"/>
        </w:rPr>
        <w:t xml:space="preserve">Primeramente se analizara </w:t>
      </w:r>
      <w:r w:rsidRPr="00AD4638">
        <w:rPr>
          <w:rFonts w:ascii="Palatino Linotype" w:hAnsi="Palatino Linotype"/>
          <w:color w:val="000000"/>
        </w:rPr>
        <w:t>los argumentos vertidos</w:t>
      </w:r>
      <w:r>
        <w:rPr>
          <w:rFonts w:ascii="Palatino Linotype" w:hAnsi="Palatino Linotype"/>
          <w:color w:val="000000"/>
        </w:rPr>
        <w:t>,</w:t>
      </w:r>
      <w:r w:rsidRPr="00AD4638">
        <w:rPr>
          <w:rFonts w:ascii="Palatino Linotype" w:hAnsi="Palatino Linotype"/>
          <w:color w:val="000000"/>
        </w:rPr>
        <w:t xml:space="preserve"> aprobado</w:t>
      </w:r>
      <w:r>
        <w:rPr>
          <w:rFonts w:ascii="Palatino Linotype" w:hAnsi="Palatino Linotype"/>
          <w:color w:val="000000"/>
        </w:rPr>
        <w:t>s</w:t>
      </w:r>
      <w:r w:rsidRPr="00AD4638">
        <w:rPr>
          <w:rFonts w:ascii="Palatino Linotype" w:hAnsi="Palatino Linotype"/>
          <w:color w:val="000000"/>
        </w:rPr>
        <w:t xml:space="preserve"> en </w:t>
      </w:r>
      <w:r>
        <w:rPr>
          <w:rFonts w:ascii="Palatino Linotype" w:hAnsi="Palatino Linotype"/>
          <w:color w:val="000000"/>
        </w:rPr>
        <w:t>e</w:t>
      </w:r>
      <w:r w:rsidRPr="00AD4638">
        <w:rPr>
          <w:rFonts w:ascii="Palatino Linotype" w:hAnsi="Palatino Linotype"/>
          <w:color w:val="000000"/>
        </w:rPr>
        <w:t>l</w:t>
      </w:r>
      <w:r>
        <w:rPr>
          <w:rFonts w:ascii="Palatino Linotype" w:hAnsi="Palatino Linotype"/>
          <w:color w:val="000000"/>
        </w:rPr>
        <w:t xml:space="preserve"> </w:t>
      </w:r>
      <w:r w:rsidRPr="00223794">
        <w:rPr>
          <w:rFonts w:ascii="Palatino Linotype" w:hAnsi="Palatino Linotype"/>
          <w:color w:val="000000"/>
        </w:rPr>
        <w:t>Acuerdo SS/CT/EXT/XXIX/003/2024, a través del cual se advierte la prueba de daño, por la que se decide reservar la información relacionada con el nombre de las bases de datos de la Secretaria de Seguridad, así como su número de registros del primer semestre, por un periodo de cinco años, por los integrantes del Comité de Tr</w:t>
      </w:r>
      <w:r>
        <w:rPr>
          <w:rFonts w:ascii="Palatino Linotype" w:hAnsi="Palatino Linotype"/>
          <w:color w:val="000000"/>
        </w:rPr>
        <w:t>ansparencia del Sujeto Obligado</w:t>
      </w:r>
      <w:r w:rsidRPr="00AD4638">
        <w:rPr>
          <w:rFonts w:ascii="Palatino Linotype" w:hAnsi="Palatino Linotype"/>
          <w:color w:val="000000"/>
        </w:rPr>
        <w:t>, de la información para dar respuesta a la solicitud de información, el cual indica lo siguiente:</w:t>
      </w:r>
    </w:p>
    <w:p w:rsidR="00223794" w:rsidRDefault="00223794" w:rsidP="006C67F7">
      <w:pPr>
        <w:spacing w:line="360" w:lineRule="auto"/>
        <w:jc w:val="both"/>
        <w:rPr>
          <w:rFonts w:ascii="Palatino Linotype" w:hAnsi="Palatino Linotype"/>
          <w:color w:val="000000"/>
        </w:rPr>
      </w:pPr>
    </w:p>
    <w:tbl>
      <w:tblPr>
        <w:tblStyle w:val="Tablaconcuadrcula"/>
        <w:tblW w:w="9072" w:type="dxa"/>
        <w:tblLayout w:type="fixed"/>
        <w:tblLook w:val="04A0" w:firstRow="1" w:lastRow="0" w:firstColumn="1" w:lastColumn="0" w:noHBand="0" w:noVBand="1"/>
      </w:tblPr>
      <w:tblGrid>
        <w:gridCol w:w="1560"/>
        <w:gridCol w:w="1417"/>
        <w:gridCol w:w="6095"/>
      </w:tblGrid>
      <w:tr w:rsidR="00223794" w:rsidRPr="00644D13" w:rsidTr="006C67F7">
        <w:tc>
          <w:tcPr>
            <w:tcW w:w="1560" w:type="dxa"/>
            <w:tcBorders>
              <w:top w:val="nil"/>
              <w:left w:val="nil"/>
            </w:tcBorders>
          </w:tcPr>
          <w:p w:rsidR="00223794" w:rsidRPr="00644D13" w:rsidRDefault="00223794" w:rsidP="006C67F7">
            <w:pPr>
              <w:pStyle w:val="Prrafodelista"/>
              <w:ind w:left="47"/>
              <w:rPr>
                <w:b/>
                <w:sz w:val="20"/>
                <w:szCs w:val="20"/>
              </w:rPr>
            </w:pPr>
          </w:p>
        </w:tc>
        <w:tc>
          <w:tcPr>
            <w:tcW w:w="1417" w:type="dxa"/>
            <w:tcBorders>
              <w:bottom w:val="single" w:sz="4" w:space="0" w:color="auto"/>
            </w:tcBorders>
            <w:shd w:val="clear" w:color="auto" w:fill="BFBFBF" w:themeFill="background1" w:themeFillShade="BF"/>
            <w:vAlign w:val="bottom"/>
          </w:tcPr>
          <w:p w:rsidR="00223794" w:rsidRPr="00644D13" w:rsidRDefault="00223794" w:rsidP="006C67F7">
            <w:pPr>
              <w:pStyle w:val="Prrafodelista"/>
              <w:ind w:left="47"/>
              <w:jc w:val="center"/>
              <w:rPr>
                <w:b/>
                <w:sz w:val="20"/>
                <w:szCs w:val="20"/>
              </w:rPr>
            </w:pPr>
            <w:r w:rsidRPr="00644D13">
              <w:rPr>
                <w:b/>
                <w:szCs w:val="20"/>
              </w:rPr>
              <w:t>Cumplió:</w:t>
            </w:r>
          </w:p>
        </w:tc>
        <w:tc>
          <w:tcPr>
            <w:tcW w:w="6095" w:type="dxa"/>
            <w:tcBorders>
              <w:bottom w:val="single" w:sz="4" w:space="0" w:color="auto"/>
            </w:tcBorders>
            <w:shd w:val="clear" w:color="auto" w:fill="BFBFBF" w:themeFill="background1" w:themeFillShade="BF"/>
            <w:vAlign w:val="bottom"/>
          </w:tcPr>
          <w:p w:rsidR="00223794" w:rsidRPr="00644D13" w:rsidRDefault="00223794" w:rsidP="006C67F7">
            <w:pPr>
              <w:pStyle w:val="Prrafodelista"/>
              <w:ind w:left="47"/>
              <w:jc w:val="center"/>
              <w:rPr>
                <w:b/>
              </w:rPr>
            </w:pPr>
            <w:r w:rsidRPr="00644D13">
              <w:rPr>
                <w:b/>
              </w:rPr>
              <w:t>Contenido</w:t>
            </w:r>
          </w:p>
        </w:tc>
      </w:tr>
      <w:tr w:rsidR="00223794" w:rsidRPr="00644D13" w:rsidTr="006C67F7">
        <w:tc>
          <w:tcPr>
            <w:tcW w:w="1560" w:type="dxa"/>
            <w:vAlign w:val="center"/>
          </w:tcPr>
          <w:p w:rsidR="00223794" w:rsidRPr="00644D13" w:rsidRDefault="00223794" w:rsidP="006C67F7">
            <w:pPr>
              <w:jc w:val="center"/>
              <w:rPr>
                <w:rFonts w:ascii="Palatino Linotype" w:hAnsi="Palatino Linotype"/>
                <w:b/>
                <w:sz w:val="16"/>
                <w:szCs w:val="16"/>
              </w:rPr>
            </w:pPr>
            <w:r w:rsidRPr="00644D13">
              <w:rPr>
                <w:rFonts w:ascii="Palatino Linotype" w:hAnsi="Palatino Linotype"/>
                <w:b/>
                <w:sz w:val="16"/>
                <w:szCs w:val="16"/>
              </w:rPr>
              <w:t>Número de folio de la solicitud</w:t>
            </w:r>
          </w:p>
        </w:tc>
        <w:tc>
          <w:tcPr>
            <w:tcW w:w="1417" w:type="dxa"/>
            <w:tcBorders>
              <w:top w:val="single" w:sz="4" w:space="0" w:color="auto"/>
            </w:tcBorders>
            <w:vAlign w:val="center"/>
          </w:tcPr>
          <w:p w:rsidR="00223794" w:rsidRPr="00644D13" w:rsidRDefault="00223794" w:rsidP="006C67F7">
            <w:pPr>
              <w:ind w:left="47"/>
              <w:jc w:val="center"/>
              <w:rPr>
                <w:rFonts w:ascii="Palatino Linotype" w:hAnsi="Palatino Linotype"/>
                <w:b/>
              </w:rPr>
            </w:pPr>
            <w:r w:rsidRPr="00644D13">
              <w:rPr>
                <w:rFonts w:ascii="Palatino Linotype" w:hAnsi="Palatino Linotype"/>
                <w:b/>
              </w:rPr>
              <w:t>Sí</w:t>
            </w:r>
          </w:p>
        </w:tc>
        <w:tc>
          <w:tcPr>
            <w:tcW w:w="6095" w:type="dxa"/>
            <w:tcBorders>
              <w:top w:val="single" w:sz="4" w:space="0" w:color="auto"/>
            </w:tcBorders>
            <w:vAlign w:val="center"/>
          </w:tcPr>
          <w:p w:rsidR="00223794" w:rsidRPr="00644D13" w:rsidRDefault="00223794" w:rsidP="006C67F7">
            <w:pPr>
              <w:ind w:left="-115"/>
              <w:jc w:val="center"/>
              <w:rPr>
                <w:rFonts w:ascii="Palatino Linotype" w:hAnsi="Palatino Linotype"/>
                <w:sz w:val="2"/>
              </w:rPr>
            </w:pPr>
          </w:p>
          <w:p w:rsidR="00223794" w:rsidRPr="00644D13" w:rsidRDefault="002E441B" w:rsidP="006C67F7">
            <w:pPr>
              <w:ind w:left="-115"/>
              <w:jc w:val="center"/>
              <w:rPr>
                <w:rFonts w:ascii="Palatino Linotype" w:hAnsi="Palatino Linotype"/>
              </w:rPr>
            </w:pPr>
            <w:r>
              <w:rPr>
                <w:rFonts w:ascii="Palatino Linotype" w:hAnsi="Palatino Linotype"/>
                <w:noProof/>
              </w:rPr>
              <mc:AlternateContent>
                <mc:Choice Requires="wps">
                  <w:drawing>
                    <wp:anchor distT="0" distB="0" distL="114300" distR="114300" simplePos="0" relativeHeight="251665408" behindDoc="0" locked="0" layoutInCell="1" allowOverlap="1" wp14:anchorId="482E2D9E" wp14:editId="2E98D97F">
                      <wp:simplePos x="0" y="0"/>
                      <wp:positionH relativeFrom="column">
                        <wp:posOffset>1637030</wp:posOffset>
                      </wp:positionH>
                      <wp:positionV relativeFrom="paragraph">
                        <wp:posOffset>209550</wp:posOffset>
                      </wp:positionV>
                      <wp:extent cx="755015" cy="94615"/>
                      <wp:effectExtent l="0" t="0" r="26035" b="19685"/>
                      <wp:wrapNone/>
                      <wp:docPr id="6" name="Rectángulo 6"/>
                      <wp:cNvGraphicFramePr/>
                      <a:graphic xmlns:a="http://schemas.openxmlformats.org/drawingml/2006/main">
                        <a:graphicData uri="http://schemas.microsoft.com/office/word/2010/wordprocessingShape">
                          <wps:wsp>
                            <wps:cNvSpPr/>
                            <wps:spPr>
                              <a:xfrm>
                                <a:off x="0" y="0"/>
                                <a:ext cx="755015" cy="9489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6D8A83D7" id="Rectángulo 6" o:spid="_x0000_s1026" style="position:absolute;margin-left:128.9pt;margin-top:16.5pt;width:59.45pt;height: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" filled="f" strokecolor="red" strokeweight="1.5pt"/>
                  </w:pict>
                </mc:Fallback>
              </mc:AlternateContent>
            </w:r>
            <w:r>
              <w:rPr>
                <w:noProof/>
              </w:rPr>
              <w:drawing>
                <wp:inline distT="0" distB="0" distL="0" distR="0" wp14:anchorId="7FFDF195" wp14:editId="4C29DC50">
                  <wp:extent cx="3147097" cy="238540"/>
                  <wp:effectExtent l="95250" t="76200" r="91440" b="857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952" t="45451" r="2870" b="48865"/>
                          <a:stretch/>
                        </pic:blipFill>
                        <pic:spPr bwMode="auto">
                          <a:xfrm>
                            <a:off x="0" y="0"/>
                            <a:ext cx="3199142" cy="2424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223794" w:rsidRPr="00644D13" w:rsidTr="006C67F7">
        <w:tc>
          <w:tcPr>
            <w:tcW w:w="1560" w:type="dxa"/>
            <w:vAlign w:val="center"/>
          </w:tcPr>
          <w:p w:rsidR="00223794" w:rsidRPr="00644D13" w:rsidRDefault="00223794" w:rsidP="006C67F7">
            <w:pPr>
              <w:jc w:val="center"/>
              <w:rPr>
                <w:rFonts w:ascii="Palatino Linotype" w:hAnsi="Palatino Linotype"/>
                <w:b/>
                <w:sz w:val="16"/>
                <w:szCs w:val="16"/>
              </w:rPr>
            </w:pPr>
            <w:r w:rsidRPr="00644D13">
              <w:rPr>
                <w:rFonts w:ascii="Palatino Linotype" w:hAnsi="Palatino Linotype"/>
                <w:b/>
                <w:sz w:val="16"/>
                <w:szCs w:val="16"/>
              </w:rPr>
              <w:t>Referencia de la información solicitada</w:t>
            </w:r>
          </w:p>
        </w:tc>
        <w:tc>
          <w:tcPr>
            <w:tcW w:w="1417" w:type="dxa"/>
            <w:vAlign w:val="center"/>
          </w:tcPr>
          <w:p w:rsidR="00223794" w:rsidRPr="00644D13" w:rsidRDefault="00223794" w:rsidP="006C67F7">
            <w:pPr>
              <w:ind w:left="47"/>
              <w:jc w:val="center"/>
              <w:rPr>
                <w:rFonts w:ascii="Palatino Linotype" w:hAnsi="Palatino Linotype"/>
                <w:b/>
              </w:rPr>
            </w:pPr>
            <w:r w:rsidRPr="00644D13">
              <w:rPr>
                <w:rFonts w:ascii="Palatino Linotype" w:hAnsi="Palatino Linotype"/>
                <w:b/>
              </w:rPr>
              <w:t>Sí</w:t>
            </w:r>
          </w:p>
        </w:tc>
        <w:tc>
          <w:tcPr>
            <w:tcW w:w="6095" w:type="dxa"/>
            <w:vAlign w:val="center"/>
          </w:tcPr>
          <w:p w:rsidR="00223794" w:rsidRDefault="00E55B09" w:rsidP="006C67F7">
            <w:pPr>
              <w:ind w:left="-115"/>
              <w:jc w:val="center"/>
              <w:rPr>
                <w:rFonts w:ascii="Palatino Linotype" w:hAnsi="Palatino Linotype"/>
              </w:rPr>
            </w:pPr>
            <w:r>
              <w:rPr>
                <w:rFonts w:ascii="Palatino Linotype" w:hAnsi="Palatino Linotype"/>
                <w:noProof/>
              </w:rPr>
              <mc:AlternateContent>
                <mc:Choice Requires="wps">
                  <w:drawing>
                    <wp:anchor distT="0" distB="0" distL="114300" distR="114300" simplePos="0" relativeHeight="251667456" behindDoc="0" locked="0" layoutInCell="1" allowOverlap="1" wp14:anchorId="45B2F870" wp14:editId="7DF1BA27">
                      <wp:simplePos x="0" y="0"/>
                      <wp:positionH relativeFrom="column">
                        <wp:posOffset>372745</wp:posOffset>
                      </wp:positionH>
                      <wp:positionV relativeFrom="paragraph">
                        <wp:posOffset>345440</wp:posOffset>
                      </wp:positionV>
                      <wp:extent cx="3009900" cy="206375"/>
                      <wp:effectExtent l="0" t="0" r="19050" b="22225"/>
                      <wp:wrapNone/>
                      <wp:docPr id="5" name="Rectángulo 5"/>
                      <wp:cNvGraphicFramePr/>
                      <a:graphic xmlns:a="http://schemas.openxmlformats.org/drawingml/2006/main">
                        <a:graphicData uri="http://schemas.microsoft.com/office/word/2010/wordprocessingShape">
                          <wps:wsp>
                            <wps:cNvSpPr/>
                            <wps:spPr>
                              <a:xfrm>
                                <a:off x="0" y="0"/>
                                <a:ext cx="3009900" cy="20673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3FDAAE6A" id="Rectángulo 5" o:spid="_x0000_s1026" style="position:absolute;margin-left:29.35pt;margin-top:27.2pt;width:237pt;height:1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" filled="f" strokecolor="red" strokeweight="1.5pt"/>
                  </w:pict>
                </mc:Fallback>
              </mc:AlternateContent>
            </w:r>
            <w:r>
              <w:rPr>
                <w:noProof/>
              </w:rPr>
              <w:drawing>
                <wp:inline distT="0" distB="0" distL="0" distR="0" wp14:anchorId="7BEB8BA3" wp14:editId="1658E5D4">
                  <wp:extent cx="3126032" cy="504825"/>
                  <wp:effectExtent l="95250" t="76200" r="93980" b="666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326" t="36287" r="5596" b="51920"/>
                          <a:stretch/>
                        </pic:blipFill>
                        <pic:spPr bwMode="auto">
                          <a:xfrm>
                            <a:off x="0" y="0"/>
                            <a:ext cx="3134316" cy="50616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23794" w:rsidRPr="00644D13" w:rsidRDefault="00223794" w:rsidP="006C67F7">
            <w:pPr>
              <w:jc w:val="center"/>
              <w:rPr>
                <w:rFonts w:ascii="Palatino Linotype" w:hAnsi="Palatino Linotype"/>
                <w:b/>
              </w:rPr>
            </w:pPr>
          </w:p>
        </w:tc>
      </w:tr>
      <w:tr w:rsidR="00223794" w:rsidRPr="00644D13" w:rsidTr="006C67F7">
        <w:tc>
          <w:tcPr>
            <w:tcW w:w="1560" w:type="dxa"/>
            <w:vAlign w:val="center"/>
          </w:tcPr>
          <w:p w:rsidR="00223794" w:rsidRPr="00644D13" w:rsidRDefault="00223794" w:rsidP="006C67F7">
            <w:pPr>
              <w:jc w:val="both"/>
              <w:rPr>
                <w:rFonts w:ascii="Palatino Linotype" w:hAnsi="Palatino Linotype"/>
                <w:b/>
                <w:sz w:val="16"/>
                <w:szCs w:val="16"/>
              </w:rPr>
            </w:pPr>
            <w:r w:rsidRPr="00644D13">
              <w:rPr>
                <w:rFonts w:ascii="Palatino Linotype" w:hAnsi="Palatino Linotype"/>
                <w:b/>
                <w:sz w:val="16"/>
                <w:szCs w:val="16"/>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rsidR="00223794" w:rsidRPr="00644D13" w:rsidRDefault="00223794" w:rsidP="006C67F7">
            <w:pPr>
              <w:ind w:left="47"/>
              <w:jc w:val="center"/>
              <w:rPr>
                <w:rFonts w:ascii="Palatino Linotype" w:hAnsi="Palatino Linotype"/>
                <w:b/>
              </w:rPr>
            </w:pPr>
            <w:r w:rsidRPr="00644D13">
              <w:rPr>
                <w:rFonts w:ascii="Palatino Linotype" w:hAnsi="Palatino Linotype"/>
                <w:b/>
              </w:rPr>
              <w:t>Sí</w:t>
            </w:r>
          </w:p>
        </w:tc>
        <w:tc>
          <w:tcPr>
            <w:tcW w:w="6095" w:type="dxa"/>
            <w:vAlign w:val="center"/>
          </w:tcPr>
          <w:p w:rsidR="00223794" w:rsidRDefault="00223794" w:rsidP="006C67F7">
            <w:pPr>
              <w:jc w:val="center"/>
            </w:pPr>
          </w:p>
          <w:p w:rsidR="00223794" w:rsidRPr="00644D13" w:rsidRDefault="00E55B09" w:rsidP="006C67F7">
            <w:pPr>
              <w:jc w:val="center"/>
            </w:pPr>
            <w:r>
              <w:rPr>
                <w:rFonts w:ascii="Palatino Linotype" w:hAnsi="Palatino Linotype"/>
                <w:noProof/>
              </w:rPr>
              <mc:AlternateContent>
                <mc:Choice Requires="wps">
                  <w:drawing>
                    <wp:anchor distT="0" distB="0" distL="114300" distR="114300" simplePos="0" relativeHeight="251662336" behindDoc="0" locked="0" layoutInCell="1" allowOverlap="1" wp14:anchorId="44417EDF" wp14:editId="1FAD1BC9">
                      <wp:simplePos x="0" y="0"/>
                      <wp:positionH relativeFrom="column">
                        <wp:posOffset>651510</wp:posOffset>
                      </wp:positionH>
                      <wp:positionV relativeFrom="paragraph">
                        <wp:posOffset>83185</wp:posOffset>
                      </wp:positionV>
                      <wp:extent cx="2447925" cy="1692910"/>
                      <wp:effectExtent l="0" t="0" r="28575" b="21590"/>
                      <wp:wrapNone/>
                      <wp:docPr id="10" name="Rectángulo 10"/>
                      <wp:cNvGraphicFramePr/>
                      <a:graphic xmlns:a="http://schemas.openxmlformats.org/drawingml/2006/main">
                        <a:graphicData uri="http://schemas.microsoft.com/office/word/2010/wordprocessingShape">
                          <wps:wsp>
                            <wps:cNvSpPr/>
                            <wps:spPr>
                              <a:xfrm>
                                <a:off x="0" y="0"/>
                                <a:ext cx="2448450" cy="16929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2F37D289" id="Rectángulo 10" o:spid="_x0000_s1026" style="position:absolute;margin-left:51.3pt;margin-top:6.55pt;width:192.75pt;height:1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" filled="f" strokecolor="red" strokeweight="1.5pt"/>
                  </w:pict>
                </mc:Fallback>
              </mc:AlternateContent>
            </w:r>
            <w:r>
              <w:rPr>
                <w:noProof/>
              </w:rPr>
              <w:drawing>
                <wp:inline distT="0" distB="0" distL="0" distR="0" wp14:anchorId="47596AEF" wp14:editId="76946A20">
                  <wp:extent cx="2515070" cy="1828800"/>
                  <wp:effectExtent l="95250" t="95250" r="95250" b="952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526" t="27651" r="6490" b="21956"/>
                          <a:stretch/>
                        </pic:blipFill>
                        <pic:spPr bwMode="auto">
                          <a:xfrm>
                            <a:off x="0" y="0"/>
                            <a:ext cx="2527610" cy="183791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223794" w:rsidRPr="00644D13" w:rsidTr="006C67F7">
        <w:tc>
          <w:tcPr>
            <w:tcW w:w="1560" w:type="dxa"/>
            <w:vAlign w:val="center"/>
          </w:tcPr>
          <w:p w:rsidR="00223794" w:rsidRPr="00644D13" w:rsidRDefault="00223794" w:rsidP="006C67F7">
            <w:pPr>
              <w:tabs>
                <w:tab w:val="left" w:pos="317"/>
              </w:tabs>
              <w:jc w:val="center"/>
              <w:rPr>
                <w:rFonts w:ascii="Palatino Linotype" w:hAnsi="Palatino Linotype"/>
                <w:b/>
                <w:sz w:val="16"/>
                <w:szCs w:val="16"/>
              </w:rPr>
            </w:pPr>
            <w:r w:rsidRPr="00644D13">
              <w:rPr>
                <w:rFonts w:ascii="Palatino Linotype" w:hAnsi="Palatino Linotype"/>
                <w:b/>
                <w:sz w:val="16"/>
                <w:szCs w:val="16"/>
              </w:rPr>
              <w:t>Fundamento y Motivación Legal</w:t>
            </w:r>
          </w:p>
        </w:tc>
        <w:tc>
          <w:tcPr>
            <w:tcW w:w="1417" w:type="dxa"/>
            <w:vAlign w:val="center"/>
          </w:tcPr>
          <w:p w:rsidR="00223794" w:rsidRPr="00644D13" w:rsidRDefault="00223794" w:rsidP="006C67F7">
            <w:pPr>
              <w:ind w:left="47"/>
              <w:jc w:val="center"/>
              <w:rPr>
                <w:rFonts w:ascii="Palatino Linotype" w:hAnsi="Palatino Linotype"/>
                <w:b/>
              </w:rPr>
            </w:pPr>
            <w:r w:rsidRPr="00644D13">
              <w:rPr>
                <w:rFonts w:ascii="Palatino Linotype" w:hAnsi="Palatino Linotype"/>
                <w:b/>
              </w:rPr>
              <w:t>Sí.</w:t>
            </w:r>
          </w:p>
        </w:tc>
        <w:tc>
          <w:tcPr>
            <w:tcW w:w="6095" w:type="dxa"/>
            <w:vAlign w:val="center"/>
          </w:tcPr>
          <w:p w:rsidR="00223794" w:rsidRPr="00644D13" w:rsidRDefault="00223794" w:rsidP="006C67F7">
            <w:pPr>
              <w:jc w:val="center"/>
              <w:rPr>
                <w:rFonts w:ascii="Palatino Linotype" w:hAnsi="Palatino Linotype"/>
                <w:b/>
                <w:sz w:val="2"/>
              </w:rPr>
            </w:pPr>
          </w:p>
          <w:p w:rsidR="00223794" w:rsidRPr="00644D13" w:rsidRDefault="00E55B09" w:rsidP="006C67F7">
            <w:pPr>
              <w:ind w:left="47"/>
              <w:jc w:val="center"/>
            </w:pPr>
            <w:r>
              <w:rPr>
                <w:noProof/>
              </w:rPr>
              <w:lastRenderedPageBreak/>
              <w:drawing>
                <wp:inline distT="0" distB="0" distL="0" distR="0" wp14:anchorId="156C8E5B" wp14:editId="18C1D4B1">
                  <wp:extent cx="2587904" cy="3307743"/>
                  <wp:effectExtent l="95250" t="114300" r="98425" b="1212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786" t="20448" r="10543" b="9861"/>
                          <a:stretch/>
                        </pic:blipFill>
                        <pic:spPr bwMode="auto">
                          <a:xfrm>
                            <a:off x="0" y="0"/>
                            <a:ext cx="2623109" cy="33527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23794" w:rsidRPr="00644D13" w:rsidRDefault="00223794" w:rsidP="006C67F7">
            <w:pPr>
              <w:ind w:left="47"/>
              <w:jc w:val="center"/>
              <w:rPr>
                <w:rFonts w:ascii="Palatino Linotype" w:hAnsi="Palatino Linotype"/>
                <w:b/>
                <w:sz w:val="2"/>
              </w:rPr>
            </w:pPr>
          </w:p>
        </w:tc>
      </w:tr>
      <w:tr w:rsidR="00223794" w:rsidRPr="00644D13" w:rsidTr="006C67F7">
        <w:tc>
          <w:tcPr>
            <w:tcW w:w="1560" w:type="dxa"/>
            <w:vAlign w:val="center"/>
          </w:tcPr>
          <w:p w:rsidR="00223794" w:rsidRPr="00644D13" w:rsidRDefault="00223794" w:rsidP="006C67F7">
            <w:pPr>
              <w:jc w:val="center"/>
              <w:rPr>
                <w:rFonts w:ascii="Palatino Linotype" w:hAnsi="Palatino Linotype"/>
                <w:b/>
                <w:sz w:val="16"/>
                <w:szCs w:val="16"/>
              </w:rPr>
            </w:pPr>
            <w:r w:rsidRPr="00644D13">
              <w:rPr>
                <w:rFonts w:ascii="Palatino Linotype" w:hAnsi="Palatino Linotype"/>
                <w:b/>
                <w:sz w:val="16"/>
                <w:szCs w:val="16"/>
              </w:rPr>
              <w:lastRenderedPageBreak/>
              <w:t>Conexión entre los fundamentos y motivos que dieron origen a la Reserva de la información</w:t>
            </w:r>
          </w:p>
        </w:tc>
        <w:tc>
          <w:tcPr>
            <w:tcW w:w="1417" w:type="dxa"/>
            <w:vAlign w:val="center"/>
          </w:tcPr>
          <w:p w:rsidR="00223794" w:rsidRPr="00644D13" w:rsidRDefault="00223794" w:rsidP="006C67F7">
            <w:pPr>
              <w:pStyle w:val="Prrafodelista"/>
              <w:ind w:left="29" w:firstLine="18"/>
              <w:jc w:val="center"/>
              <w:rPr>
                <w:b/>
              </w:rPr>
            </w:pPr>
            <w:r>
              <w:rPr>
                <w:b/>
              </w:rPr>
              <w:t>No</w:t>
            </w:r>
          </w:p>
        </w:tc>
        <w:tc>
          <w:tcPr>
            <w:tcW w:w="6095" w:type="dxa"/>
            <w:vAlign w:val="center"/>
          </w:tcPr>
          <w:p w:rsidR="00223794" w:rsidRPr="007B1465" w:rsidRDefault="00223794" w:rsidP="006C67F7">
            <w:pPr>
              <w:pBdr>
                <w:top w:val="nil"/>
                <w:left w:val="nil"/>
                <w:bottom w:val="nil"/>
                <w:right w:val="nil"/>
                <w:between w:val="nil"/>
              </w:pBdr>
              <w:ind w:left="29" w:firstLine="18"/>
              <w:jc w:val="both"/>
              <w:rPr>
                <w:rFonts w:ascii="Palatino Linotype" w:eastAsia="Palatino Linotype" w:hAnsi="Palatino Linotype" w:cs="Palatino Linotype"/>
                <w:color w:val="000000"/>
                <w:sz w:val="22"/>
                <w:szCs w:val="22"/>
              </w:rPr>
            </w:pPr>
            <w:r w:rsidRPr="007B1465">
              <w:rPr>
                <w:rFonts w:ascii="Palatino Linotype" w:eastAsia="Palatino Linotype" w:hAnsi="Palatino Linotype" w:cs="Palatino Linotype"/>
                <w:color w:val="000000"/>
                <w:sz w:val="22"/>
                <w:szCs w:val="22"/>
              </w:rPr>
              <w:t>No hay relación entre los preceptos legales, en concordancia con la ponderación aplicable sobre la reserva de información</w:t>
            </w:r>
          </w:p>
          <w:p w:rsidR="00223794" w:rsidRPr="00644D13" w:rsidRDefault="00223794" w:rsidP="006C67F7">
            <w:pPr>
              <w:pStyle w:val="Prrafodelista"/>
              <w:ind w:left="29" w:firstLine="18"/>
              <w:jc w:val="center"/>
              <w:rPr>
                <w:sz w:val="2"/>
              </w:rPr>
            </w:pPr>
          </w:p>
        </w:tc>
      </w:tr>
      <w:tr w:rsidR="00223794" w:rsidRPr="00644D13" w:rsidTr="006C67F7">
        <w:tc>
          <w:tcPr>
            <w:tcW w:w="9072" w:type="dxa"/>
            <w:gridSpan w:val="3"/>
            <w:shd w:val="clear" w:color="auto" w:fill="D9D9D9" w:themeFill="background1" w:themeFillShade="D9"/>
            <w:vAlign w:val="center"/>
          </w:tcPr>
          <w:p w:rsidR="00223794" w:rsidRPr="00644D13" w:rsidRDefault="00223794" w:rsidP="006C67F7">
            <w:pPr>
              <w:pStyle w:val="Prrafodelista"/>
              <w:ind w:left="29" w:firstLine="18"/>
              <w:jc w:val="center"/>
            </w:pPr>
            <w:r w:rsidRPr="00644D13">
              <w:rPr>
                <w:b/>
              </w:rPr>
              <w:t>Prueba de Daño</w:t>
            </w:r>
          </w:p>
        </w:tc>
      </w:tr>
      <w:tr w:rsidR="00223794" w:rsidRPr="00644D13" w:rsidTr="006C67F7">
        <w:tc>
          <w:tcPr>
            <w:tcW w:w="1560" w:type="dxa"/>
            <w:vAlign w:val="center"/>
          </w:tcPr>
          <w:p w:rsidR="00223794" w:rsidRPr="00644D13" w:rsidRDefault="00223794" w:rsidP="006C67F7">
            <w:pPr>
              <w:jc w:val="center"/>
              <w:rPr>
                <w:rFonts w:ascii="Palatino Linotype" w:hAnsi="Palatino Linotype"/>
                <w:b/>
                <w:sz w:val="16"/>
                <w:szCs w:val="16"/>
              </w:rPr>
            </w:pPr>
            <w:r w:rsidRPr="00644D13">
              <w:rPr>
                <w:rFonts w:ascii="Palatino Linotype" w:hAnsi="Palatino Linotype"/>
                <w:b/>
                <w:sz w:val="16"/>
                <w:szCs w:val="16"/>
              </w:rPr>
              <w:t>Riesgo Real, Demostrable e Identificable</w:t>
            </w:r>
          </w:p>
          <w:p w:rsidR="00223794" w:rsidRPr="00644D13" w:rsidRDefault="00223794" w:rsidP="006C67F7">
            <w:pPr>
              <w:jc w:val="center"/>
              <w:rPr>
                <w:rFonts w:ascii="Palatino Linotype" w:hAnsi="Palatino Linotype"/>
                <w:b/>
                <w:sz w:val="16"/>
                <w:szCs w:val="16"/>
              </w:rPr>
            </w:pPr>
            <w:r w:rsidRPr="00644D13">
              <w:rPr>
                <w:rFonts w:ascii="Palatino Linotype" w:hAnsi="Palatino Linotype"/>
                <w:b/>
                <w:sz w:val="16"/>
                <w:szCs w:val="16"/>
              </w:rPr>
              <w:t>(Modo, Tiempo y Lugar)</w:t>
            </w:r>
          </w:p>
        </w:tc>
        <w:tc>
          <w:tcPr>
            <w:tcW w:w="1417" w:type="dxa"/>
            <w:vAlign w:val="center"/>
          </w:tcPr>
          <w:p w:rsidR="00223794" w:rsidRPr="00644D13" w:rsidRDefault="007A498B" w:rsidP="006C67F7">
            <w:pPr>
              <w:pStyle w:val="Prrafodelista"/>
              <w:ind w:left="29" w:firstLine="18"/>
              <w:jc w:val="center"/>
              <w:rPr>
                <w:b/>
              </w:rPr>
            </w:pPr>
            <w:r w:rsidRPr="00B23DC1">
              <w:rPr>
                <w:b/>
              </w:rPr>
              <w:t>No</w:t>
            </w:r>
          </w:p>
        </w:tc>
        <w:tc>
          <w:tcPr>
            <w:tcW w:w="6095" w:type="dxa"/>
            <w:vAlign w:val="center"/>
          </w:tcPr>
          <w:p w:rsidR="00223794" w:rsidRPr="00644D13" w:rsidRDefault="00223794" w:rsidP="006C67F7">
            <w:pPr>
              <w:pStyle w:val="Prrafodelista"/>
              <w:ind w:left="29" w:firstLine="18"/>
              <w:jc w:val="center"/>
              <w:rPr>
                <w:sz w:val="2"/>
              </w:rPr>
            </w:pPr>
          </w:p>
          <w:p w:rsidR="00223794" w:rsidRDefault="002E441B" w:rsidP="006C67F7">
            <w:pPr>
              <w:pStyle w:val="Prrafodelista"/>
              <w:ind w:left="29" w:firstLine="18"/>
              <w:jc w:val="center"/>
              <w:rPr>
                <w:sz w:val="2"/>
              </w:rPr>
            </w:pPr>
            <w:r>
              <w:rPr>
                <w:noProof/>
              </w:rPr>
              <w:drawing>
                <wp:inline distT="0" distB="0" distL="0" distR="0" wp14:anchorId="37DDEBDC" wp14:editId="57AE3302">
                  <wp:extent cx="2604475" cy="381662"/>
                  <wp:effectExtent l="38100" t="95250" r="100965" b="3746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193" t="25015" r="13731" b="68713"/>
                          <a:stretch/>
                        </pic:blipFill>
                        <pic:spPr bwMode="auto">
                          <a:xfrm>
                            <a:off x="0" y="0"/>
                            <a:ext cx="2751256" cy="403171"/>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2E441B" w:rsidRDefault="002E441B" w:rsidP="006C67F7">
            <w:pPr>
              <w:pStyle w:val="Prrafodelista"/>
              <w:ind w:left="29" w:firstLine="18"/>
              <w:jc w:val="center"/>
              <w:rPr>
                <w:sz w:val="2"/>
              </w:rPr>
            </w:pPr>
          </w:p>
          <w:p w:rsidR="002E441B" w:rsidRDefault="002E441B" w:rsidP="006C67F7">
            <w:pPr>
              <w:pStyle w:val="Prrafodelista"/>
              <w:ind w:left="29" w:firstLine="18"/>
              <w:jc w:val="center"/>
              <w:rPr>
                <w:sz w:val="2"/>
              </w:rPr>
            </w:pPr>
          </w:p>
          <w:p w:rsidR="002E441B" w:rsidRDefault="002E441B" w:rsidP="006C67F7">
            <w:pPr>
              <w:pStyle w:val="Prrafodelista"/>
              <w:ind w:left="29" w:firstLine="18"/>
              <w:jc w:val="center"/>
              <w:rPr>
                <w:sz w:val="2"/>
              </w:rPr>
            </w:pPr>
          </w:p>
          <w:p w:rsidR="002E441B" w:rsidRDefault="002E441B" w:rsidP="006C67F7">
            <w:pPr>
              <w:pStyle w:val="Prrafodelista"/>
              <w:ind w:left="29" w:firstLine="18"/>
              <w:jc w:val="center"/>
              <w:rPr>
                <w:sz w:val="2"/>
              </w:rPr>
            </w:pPr>
          </w:p>
          <w:p w:rsidR="002E441B" w:rsidRDefault="002E441B" w:rsidP="006C67F7">
            <w:pPr>
              <w:pStyle w:val="Prrafodelista"/>
              <w:ind w:left="29" w:firstLine="18"/>
              <w:jc w:val="center"/>
              <w:rPr>
                <w:sz w:val="2"/>
              </w:rPr>
            </w:pPr>
          </w:p>
          <w:p w:rsidR="002E441B" w:rsidRDefault="002E441B" w:rsidP="006C67F7">
            <w:pPr>
              <w:pStyle w:val="Prrafodelista"/>
              <w:ind w:left="29" w:firstLine="18"/>
              <w:jc w:val="center"/>
              <w:rPr>
                <w:sz w:val="2"/>
              </w:rPr>
            </w:pPr>
          </w:p>
          <w:p w:rsidR="002E441B" w:rsidRPr="00644D13" w:rsidRDefault="002E441B" w:rsidP="006C67F7">
            <w:pPr>
              <w:pStyle w:val="Prrafodelista"/>
              <w:ind w:left="29" w:firstLine="18"/>
              <w:jc w:val="center"/>
              <w:rPr>
                <w:sz w:val="2"/>
              </w:rPr>
            </w:pPr>
            <w:r>
              <w:rPr>
                <w:noProof/>
              </w:rPr>
              <w:drawing>
                <wp:inline distT="0" distB="0" distL="0" distR="0" wp14:anchorId="37DDEBDC" wp14:editId="57AE3302">
                  <wp:extent cx="2556427" cy="2045265"/>
                  <wp:effectExtent l="38100" t="38100" r="92075" b="889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193" t="46496" r="13731" b="19262"/>
                          <a:stretch/>
                        </pic:blipFill>
                        <pic:spPr bwMode="auto">
                          <a:xfrm>
                            <a:off x="0" y="0"/>
                            <a:ext cx="2593991" cy="207531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223794" w:rsidRPr="00644D13" w:rsidTr="006C67F7">
        <w:tc>
          <w:tcPr>
            <w:tcW w:w="1560" w:type="dxa"/>
            <w:vAlign w:val="center"/>
          </w:tcPr>
          <w:p w:rsidR="00223794" w:rsidRPr="00644D13" w:rsidRDefault="00223794" w:rsidP="006C67F7">
            <w:pPr>
              <w:jc w:val="center"/>
              <w:rPr>
                <w:rFonts w:ascii="Palatino Linotype" w:hAnsi="Palatino Linotype"/>
                <w:b/>
                <w:sz w:val="16"/>
                <w:szCs w:val="16"/>
              </w:rPr>
            </w:pPr>
            <w:r w:rsidRPr="00644D13">
              <w:rPr>
                <w:rFonts w:ascii="Palatino Linotype" w:hAnsi="Palatino Linotype"/>
                <w:b/>
                <w:sz w:val="16"/>
                <w:szCs w:val="16"/>
              </w:rPr>
              <w:t>Temporalidad de la Reserva de la información</w:t>
            </w:r>
          </w:p>
        </w:tc>
        <w:tc>
          <w:tcPr>
            <w:tcW w:w="1417" w:type="dxa"/>
            <w:vAlign w:val="center"/>
          </w:tcPr>
          <w:p w:rsidR="00223794" w:rsidRPr="00644D13" w:rsidRDefault="00223794" w:rsidP="006C67F7">
            <w:pPr>
              <w:pStyle w:val="Prrafodelista"/>
              <w:ind w:left="29" w:firstLine="18"/>
              <w:jc w:val="center"/>
              <w:rPr>
                <w:b/>
              </w:rPr>
            </w:pPr>
            <w:r w:rsidRPr="00644D13">
              <w:rPr>
                <w:b/>
              </w:rPr>
              <w:t>Sí</w:t>
            </w:r>
          </w:p>
        </w:tc>
        <w:tc>
          <w:tcPr>
            <w:tcW w:w="6095" w:type="dxa"/>
            <w:vAlign w:val="center"/>
          </w:tcPr>
          <w:p w:rsidR="00223794" w:rsidRPr="00644D13" w:rsidRDefault="00223794" w:rsidP="006C67F7">
            <w:pPr>
              <w:pStyle w:val="Prrafodelista"/>
              <w:ind w:left="29" w:firstLine="18"/>
              <w:jc w:val="center"/>
              <w:rPr>
                <w:sz w:val="2"/>
              </w:rPr>
            </w:pPr>
          </w:p>
          <w:p w:rsidR="00223794" w:rsidRPr="00644D13" w:rsidRDefault="00C9181B" w:rsidP="006C67F7">
            <w:pPr>
              <w:pStyle w:val="Prrafodelista"/>
              <w:ind w:left="29" w:firstLine="18"/>
              <w:jc w:val="center"/>
              <w:rPr>
                <w:sz w:val="2"/>
              </w:rPr>
            </w:pPr>
            <w:r>
              <w:rPr>
                <w:noProof/>
              </w:rPr>
              <w:lastRenderedPageBreak/>
              <mc:AlternateContent>
                <mc:Choice Requires="wps">
                  <w:drawing>
                    <wp:anchor distT="0" distB="0" distL="114300" distR="114300" simplePos="0" relativeHeight="251663360" behindDoc="0" locked="0" layoutInCell="1" allowOverlap="1" wp14:anchorId="66BE6128" wp14:editId="30A23764">
                      <wp:simplePos x="0" y="0"/>
                      <wp:positionH relativeFrom="column">
                        <wp:posOffset>1339215</wp:posOffset>
                      </wp:positionH>
                      <wp:positionV relativeFrom="paragraph">
                        <wp:posOffset>569595</wp:posOffset>
                      </wp:positionV>
                      <wp:extent cx="341630" cy="86360"/>
                      <wp:effectExtent l="0" t="0" r="20320" b="27940"/>
                      <wp:wrapNone/>
                      <wp:docPr id="16" name="Rectángulo 16"/>
                      <wp:cNvGraphicFramePr/>
                      <a:graphic xmlns:a="http://schemas.openxmlformats.org/drawingml/2006/main">
                        <a:graphicData uri="http://schemas.microsoft.com/office/word/2010/wordprocessingShape">
                          <wps:wsp>
                            <wps:cNvSpPr/>
                            <wps:spPr>
                              <a:xfrm>
                                <a:off x="0" y="0"/>
                                <a:ext cx="341630" cy="8696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331D58D1" id="Rectángulo 16" o:spid="_x0000_s1026" style="position:absolute;margin-left:105.45pt;margin-top:44.85pt;width:26.9pt;height: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" filled="f" strokecolor="red" strokeweight="1.5pt"/>
                  </w:pict>
                </mc:Fallback>
              </mc:AlternateContent>
            </w:r>
            <w:r>
              <w:rPr>
                <w:noProof/>
              </w:rPr>
              <w:drawing>
                <wp:inline distT="0" distB="0" distL="0" distR="0" wp14:anchorId="45E43FB8" wp14:editId="606D41BF">
                  <wp:extent cx="3013443" cy="1073426"/>
                  <wp:effectExtent l="95250" t="76200" r="92075" b="698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4313" t="42044" r="2601" b="30671"/>
                          <a:stretch/>
                        </pic:blipFill>
                        <pic:spPr bwMode="auto">
                          <a:xfrm>
                            <a:off x="0" y="0"/>
                            <a:ext cx="3061362" cy="10904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r w:rsidR="00223794" w:rsidRPr="00644D13" w:rsidTr="00C9181B">
        <w:trPr>
          <w:trHeight w:val="2726"/>
        </w:trPr>
        <w:tc>
          <w:tcPr>
            <w:tcW w:w="1560" w:type="dxa"/>
            <w:vAlign w:val="center"/>
          </w:tcPr>
          <w:p w:rsidR="00223794" w:rsidRPr="00644D13" w:rsidRDefault="00223794" w:rsidP="006C67F7">
            <w:pPr>
              <w:tabs>
                <w:tab w:val="left" w:pos="317"/>
              </w:tabs>
              <w:jc w:val="center"/>
              <w:rPr>
                <w:rFonts w:ascii="Palatino Linotype" w:hAnsi="Palatino Linotype"/>
                <w:b/>
                <w:sz w:val="16"/>
                <w:szCs w:val="16"/>
              </w:rPr>
            </w:pPr>
            <w:r w:rsidRPr="00644D13">
              <w:rPr>
                <w:rFonts w:ascii="Palatino Linotype" w:hAnsi="Palatino Linotype"/>
                <w:b/>
                <w:sz w:val="16"/>
                <w:szCs w:val="16"/>
              </w:rPr>
              <w:lastRenderedPageBreak/>
              <w:t>Autoridades competentes.</w:t>
            </w:r>
          </w:p>
        </w:tc>
        <w:tc>
          <w:tcPr>
            <w:tcW w:w="1417" w:type="dxa"/>
            <w:vAlign w:val="center"/>
          </w:tcPr>
          <w:p w:rsidR="00223794" w:rsidRPr="00644D13" w:rsidRDefault="00223794" w:rsidP="006C67F7">
            <w:pPr>
              <w:pStyle w:val="Prrafodelista"/>
              <w:ind w:left="29" w:firstLine="18"/>
              <w:jc w:val="center"/>
              <w:rPr>
                <w:b/>
              </w:rPr>
            </w:pPr>
            <w:r w:rsidRPr="00644D13">
              <w:rPr>
                <w:b/>
              </w:rPr>
              <w:t>Sí</w:t>
            </w:r>
          </w:p>
        </w:tc>
        <w:tc>
          <w:tcPr>
            <w:tcW w:w="6095" w:type="dxa"/>
          </w:tcPr>
          <w:p w:rsidR="00223794" w:rsidRPr="00644D13" w:rsidRDefault="00223794" w:rsidP="006C67F7">
            <w:pPr>
              <w:rPr>
                <w:sz w:val="8"/>
              </w:rPr>
            </w:pPr>
          </w:p>
          <w:p w:rsidR="00223794" w:rsidRPr="00644D13" w:rsidRDefault="00C9181B" w:rsidP="006C67F7">
            <w:pPr>
              <w:jc w:val="center"/>
            </w:pPr>
            <w:r>
              <w:rPr>
                <w:noProof/>
              </w:rPr>
              <w:drawing>
                <wp:inline distT="0" distB="0" distL="0" distR="0" wp14:anchorId="322C14A6" wp14:editId="4B2B64CB">
                  <wp:extent cx="3008667" cy="1478942"/>
                  <wp:effectExtent l="95250" t="95250" r="96520" b="1022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382" t="49981" r="7329" b="17433"/>
                          <a:stretch/>
                        </pic:blipFill>
                        <pic:spPr bwMode="auto">
                          <a:xfrm>
                            <a:off x="0" y="0"/>
                            <a:ext cx="3048567" cy="14985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rsidR="00C81B8A" w:rsidRDefault="00C81B8A" w:rsidP="006C67F7">
      <w:pPr>
        <w:spacing w:line="360" w:lineRule="auto"/>
        <w:jc w:val="both"/>
        <w:rPr>
          <w:rFonts w:ascii="Palatino Linotype" w:hAnsi="Palatino Linotype" w:cs="Arial"/>
        </w:rPr>
      </w:pPr>
    </w:p>
    <w:p w:rsidR="004F0D86" w:rsidRPr="007B1465" w:rsidRDefault="004F0D86" w:rsidP="006C67F7">
      <w:pPr>
        <w:widowControl w:val="0"/>
        <w:spacing w:line="360" w:lineRule="auto"/>
        <w:jc w:val="both"/>
        <w:rPr>
          <w:rFonts w:ascii="Palatino Linotype" w:eastAsia="Palatino Linotype" w:hAnsi="Palatino Linotype" w:cs="Palatino Linotype"/>
        </w:rPr>
      </w:pPr>
      <w:r w:rsidRPr="007B1465">
        <w:rPr>
          <w:rFonts w:ascii="Palatino Linotype" w:eastAsia="Palatino Linotype" w:hAnsi="Palatino Linotype" w:cs="Palatino Linotype"/>
        </w:rPr>
        <w:t xml:space="preserve">Es así que del análisis realizado sobre el acuerdo que pretende clasificar la información como reservada, se deduce que el mismo carece de la debida fundamentación y motivación que llevó al Sujeto Obligado a clasificar la información, </w:t>
      </w:r>
      <w:r>
        <w:rPr>
          <w:rFonts w:ascii="Palatino Linotype" w:eastAsia="Palatino Linotype" w:hAnsi="Palatino Linotype" w:cs="Palatino Linotype"/>
        </w:rPr>
        <w:t>asimismo</w:t>
      </w:r>
      <w:r w:rsidRPr="007B1465">
        <w:rPr>
          <w:rFonts w:ascii="Palatino Linotype" w:eastAsia="Palatino Linotype" w:hAnsi="Palatino Linotype" w:cs="Palatino Linotype"/>
        </w:rPr>
        <w:t xml:space="preserve"> la prueba de daño no contiene los elementos suficientes que den certeza sobre lo que se pretende realizar.</w:t>
      </w:r>
    </w:p>
    <w:p w:rsidR="00223794" w:rsidRDefault="00223794" w:rsidP="006C67F7">
      <w:pPr>
        <w:spacing w:line="360" w:lineRule="auto"/>
        <w:jc w:val="both"/>
        <w:rPr>
          <w:rFonts w:ascii="Palatino Linotype" w:hAnsi="Palatino Linotype" w:cs="Arial"/>
        </w:rPr>
      </w:pPr>
    </w:p>
    <w:p w:rsidR="004F0D86" w:rsidRPr="007B1465" w:rsidRDefault="004F0D86" w:rsidP="006C67F7">
      <w:pPr>
        <w:widowControl w:val="0"/>
        <w:spacing w:line="360" w:lineRule="auto"/>
        <w:jc w:val="both"/>
        <w:rPr>
          <w:rFonts w:ascii="Palatino Linotype" w:eastAsia="Palatino Linotype" w:hAnsi="Palatino Linotype" w:cs="Palatino Linotype"/>
        </w:rPr>
      </w:pPr>
      <w:r w:rsidRPr="007B1465">
        <w:rPr>
          <w:rFonts w:ascii="Palatino Linotype" w:eastAsia="Palatino Linotype" w:hAnsi="Palatino Linotype" w:cs="Palatino Linotype"/>
        </w:rPr>
        <w:t xml:space="preserve">Aunado a lo anterior, esta Ponencia </w:t>
      </w:r>
      <w:proofErr w:type="spellStart"/>
      <w:r w:rsidRPr="007B1465">
        <w:rPr>
          <w:rFonts w:ascii="Palatino Linotype" w:eastAsia="Palatino Linotype" w:hAnsi="Palatino Linotype" w:cs="Palatino Linotype"/>
        </w:rPr>
        <w:t>Resolutora</w:t>
      </w:r>
      <w:proofErr w:type="spellEnd"/>
      <w:r w:rsidRPr="007B1465">
        <w:rPr>
          <w:rFonts w:ascii="Palatino Linotype" w:eastAsia="Palatino Linotype" w:hAnsi="Palatino Linotype" w:cs="Palatino Linotype"/>
        </w:rPr>
        <w:t xml:space="preserve"> considera que la información requerida, no conlleva a un riesgo grave sobre el </w:t>
      </w:r>
      <w:r>
        <w:rPr>
          <w:rFonts w:ascii="Palatino Linotype" w:eastAsia="Palatino Linotype" w:hAnsi="Palatino Linotype" w:cs="Palatino Linotype"/>
        </w:rPr>
        <w:t>nombre de la base de datos registradas, así como el número de registros del primer semestre,</w:t>
      </w:r>
      <w:r w:rsidRPr="007B1465">
        <w:rPr>
          <w:rFonts w:ascii="Palatino Linotype" w:eastAsia="Palatino Linotype" w:hAnsi="Palatino Linotype" w:cs="Palatino Linotype"/>
        </w:rPr>
        <w:t xml:space="preserve"> referido por </w:t>
      </w:r>
      <w:r>
        <w:rPr>
          <w:rFonts w:ascii="Palatino Linotype" w:eastAsia="Palatino Linotype" w:hAnsi="Palatino Linotype" w:cs="Palatino Linotype"/>
        </w:rPr>
        <w:t>el Sujeto</w:t>
      </w:r>
      <w:r w:rsidRPr="007B1465">
        <w:rPr>
          <w:rFonts w:ascii="Palatino Linotype" w:eastAsia="Palatino Linotype" w:hAnsi="Palatino Linotype" w:cs="Palatino Linotype"/>
        </w:rPr>
        <w:t xml:space="preserve"> </w:t>
      </w:r>
      <w:r>
        <w:rPr>
          <w:rFonts w:ascii="Palatino Linotype" w:eastAsia="Palatino Linotype" w:hAnsi="Palatino Linotype" w:cs="Palatino Linotype"/>
        </w:rPr>
        <w:t>Obligado</w:t>
      </w:r>
      <w:r w:rsidRPr="007B1465">
        <w:rPr>
          <w:rFonts w:ascii="Palatino Linotype" w:eastAsia="Palatino Linotype" w:hAnsi="Palatino Linotype" w:cs="Palatino Linotype"/>
        </w:rPr>
        <w:t xml:space="preserve">, ya que del </w:t>
      </w:r>
      <w:r>
        <w:rPr>
          <w:rFonts w:ascii="Palatino Linotype" w:eastAsia="Palatino Linotype" w:hAnsi="Palatino Linotype" w:cs="Palatino Linotype"/>
        </w:rPr>
        <w:t>análisis</w:t>
      </w:r>
      <w:r w:rsidRPr="007B1465">
        <w:rPr>
          <w:rFonts w:ascii="Palatino Linotype" w:eastAsia="Palatino Linotype" w:hAnsi="Palatino Linotype" w:cs="Palatino Linotype"/>
        </w:rPr>
        <w:t xml:space="preserve"> realizad</w:t>
      </w:r>
      <w:r>
        <w:rPr>
          <w:rFonts w:ascii="Palatino Linotype" w:eastAsia="Palatino Linotype" w:hAnsi="Palatino Linotype" w:cs="Palatino Linotype"/>
        </w:rPr>
        <w:t>o</w:t>
      </w:r>
      <w:r w:rsidRPr="007B1465">
        <w:rPr>
          <w:rFonts w:ascii="Palatino Linotype" w:eastAsia="Palatino Linotype" w:hAnsi="Palatino Linotype" w:cs="Palatino Linotype"/>
        </w:rPr>
        <w:t xml:space="preserve"> sobre los puntos inmersos en la solicitud de información, es posible puntualizar que los mismos consisten </w:t>
      </w:r>
      <w:r w:rsidRPr="006C67F7">
        <w:rPr>
          <w:rFonts w:ascii="Palatino Linotype" w:eastAsia="Palatino Linotype" w:hAnsi="Palatino Linotype" w:cs="Palatino Linotype"/>
        </w:rPr>
        <w:t xml:space="preserve">en </w:t>
      </w:r>
      <w:r w:rsidR="001B007F" w:rsidRPr="006C67F7">
        <w:rPr>
          <w:rFonts w:ascii="Palatino Linotype" w:eastAsia="Palatino Linotype" w:hAnsi="Palatino Linotype" w:cs="Palatino Linotype"/>
        </w:rPr>
        <w:t>los nombres de las bases de datos y los números de registros</w:t>
      </w:r>
      <w:r w:rsidRPr="006C67F7">
        <w:rPr>
          <w:rFonts w:ascii="Palatino Linotype" w:eastAsia="Palatino Linotype" w:hAnsi="Palatino Linotype" w:cs="Palatino Linotype"/>
        </w:rPr>
        <w:t xml:space="preserve">, mas no </w:t>
      </w:r>
      <w:r w:rsidR="001B007F" w:rsidRPr="006C67F7">
        <w:rPr>
          <w:rFonts w:ascii="Palatino Linotype" w:eastAsia="Palatino Linotype" w:hAnsi="Palatino Linotype" w:cs="Palatino Linotype"/>
        </w:rPr>
        <w:t>a las medidas de seguridad</w:t>
      </w:r>
      <w:r w:rsidRPr="006C67F7">
        <w:rPr>
          <w:rFonts w:ascii="Palatino Linotype" w:eastAsia="Palatino Linotype" w:hAnsi="Palatino Linotype" w:cs="Palatino Linotype"/>
        </w:rPr>
        <w:t>.</w:t>
      </w:r>
    </w:p>
    <w:p w:rsidR="004F0D86" w:rsidRDefault="004F0D86" w:rsidP="006C67F7">
      <w:pPr>
        <w:spacing w:line="360" w:lineRule="auto"/>
        <w:rPr>
          <w:rFonts w:ascii="Palatino Linotype" w:hAnsi="Palatino Linotype"/>
          <w:color w:val="000000"/>
        </w:rPr>
      </w:pPr>
    </w:p>
    <w:p w:rsidR="001B007F" w:rsidRDefault="001B007F" w:rsidP="006C67F7">
      <w:pPr>
        <w:spacing w:line="360" w:lineRule="auto"/>
        <w:jc w:val="both"/>
        <w:rPr>
          <w:rFonts w:ascii="Palatino Linotype" w:hAnsi="Palatino Linotype" w:cs="Arial"/>
        </w:rPr>
      </w:pPr>
    </w:p>
    <w:p w:rsidR="001B007F" w:rsidRDefault="001B007F" w:rsidP="006C67F7">
      <w:pPr>
        <w:spacing w:line="360" w:lineRule="auto"/>
        <w:jc w:val="both"/>
        <w:rPr>
          <w:rFonts w:ascii="Palatino Linotype" w:hAnsi="Palatino Linotype" w:cs="Arial"/>
        </w:rPr>
      </w:pPr>
    </w:p>
    <w:p w:rsidR="001B007F" w:rsidRDefault="001B007F" w:rsidP="006C67F7">
      <w:pPr>
        <w:spacing w:line="360" w:lineRule="auto"/>
        <w:jc w:val="both"/>
        <w:rPr>
          <w:rFonts w:ascii="Palatino Linotype" w:hAnsi="Palatino Linotype" w:cs="Arial"/>
        </w:rPr>
      </w:pPr>
    </w:p>
    <w:p w:rsidR="004F0D86" w:rsidRPr="008E157A" w:rsidRDefault="004F0D86" w:rsidP="006C67F7">
      <w:pPr>
        <w:spacing w:line="360" w:lineRule="auto"/>
        <w:jc w:val="both"/>
        <w:rPr>
          <w:rFonts w:ascii="Palatino Linotype" w:hAnsi="Palatino Linotype" w:cs="Arial"/>
        </w:rPr>
      </w:pPr>
      <w:r w:rsidRPr="00850504">
        <w:rPr>
          <w:rFonts w:ascii="Palatino Linotype" w:hAnsi="Palatino Linotype" w:cs="Arial"/>
        </w:rPr>
        <w:t>Hechas las precisiones anteriores y en relación a lo peticionado por l</w:t>
      </w:r>
      <w:r w:rsidR="001B007F">
        <w:rPr>
          <w:rFonts w:ascii="Palatino Linotype" w:hAnsi="Palatino Linotype" w:cs="Arial"/>
        </w:rPr>
        <w:t>a</w:t>
      </w:r>
      <w:r w:rsidRPr="00850504">
        <w:rPr>
          <w:rFonts w:ascii="Palatino Linotype" w:hAnsi="Palatino Linotype" w:cs="Arial"/>
        </w:rPr>
        <w:t xml:space="preserve"> particular </w:t>
      </w:r>
      <w:r>
        <w:rPr>
          <w:rFonts w:ascii="Palatino Linotype" w:hAnsi="Palatino Linotype" w:cs="Arial"/>
        </w:rPr>
        <w:t xml:space="preserve">de conformidad con lo establecido en la </w:t>
      </w:r>
      <w:r w:rsidRPr="008E157A">
        <w:rPr>
          <w:rFonts w:ascii="Palatino Linotype" w:hAnsi="Palatino Linotype" w:cs="Arial"/>
        </w:rPr>
        <w:t>Ley General de Protección de Datos Personales en Posesión de Sujetos Obligados, la cual, tiene por objeto establecer las bases, principios y procedimientos para garantizar el derecho que tiene toda persona a la protección de sus datos personales, en posesión de sujetos obligados; además, uno de sus objetivos es proteger los datos personales en posesión de cualquier autoridad, entidad, órgano y organismo de los Poderes Ejecutivo, Legislativo y Judicial, órganos autónomos, partidos políticos, fideicomisos y fondos públicos, de la Federación, las Entidades Federativas y los municipios, con la finalidad de regular su debido tratamiento, en términos de los artículos 1 párrafo cuarto, y 2 fracción V de dicha Ley.</w:t>
      </w:r>
    </w:p>
    <w:p w:rsidR="004F0D86" w:rsidRPr="008E157A" w:rsidRDefault="004F0D86" w:rsidP="006C67F7">
      <w:pPr>
        <w:spacing w:line="360" w:lineRule="auto"/>
        <w:jc w:val="both"/>
        <w:rPr>
          <w:rFonts w:ascii="Palatino Linotype" w:hAnsi="Palatino Linotype" w:cs="Arial"/>
        </w:rPr>
      </w:pPr>
    </w:p>
    <w:p w:rsidR="004F0D86" w:rsidRPr="008E157A" w:rsidRDefault="004F0D86" w:rsidP="006C67F7">
      <w:pPr>
        <w:spacing w:line="360" w:lineRule="auto"/>
        <w:jc w:val="both"/>
        <w:rPr>
          <w:rFonts w:ascii="Palatino Linotype" w:hAnsi="Palatino Linotype" w:cs="Arial"/>
        </w:rPr>
      </w:pPr>
      <w:r>
        <w:rPr>
          <w:rFonts w:ascii="Palatino Linotype" w:hAnsi="Palatino Linotype" w:cs="Arial"/>
        </w:rPr>
        <w:t>En ese sentido</w:t>
      </w:r>
      <w:r w:rsidRPr="008E157A">
        <w:rPr>
          <w:rFonts w:ascii="Palatino Linotype" w:hAnsi="Palatino Linotype" w:cs="Arial"/>
        </w:rPr>
        <w:t xml:space="preserve">, el marco normativo en estudio, instaura para los responsables del tratamiento de datos personales, el deber de establecer y </w:t>
      </w:r>
      <w:r w:rsidRPr="008E157A">
        <w:rPr>
          <w:rFonts w:ascii="Palatino Linotype" w:hAnsi="Palatino Linotype" w:cs="Arial"/>
          <w:b/>
          <w:bCs/>
        </w:rPr>
        <w:t xml:space="preserve">mantener medidas de seguridad </w:t>
      </w:r>
      <w:r w:rsidRPr="008E157A">
        <w:rPr>
          <w:rFonts w:ascii="Palatino Linotype" w:hAnsi="Palatino Linotype" w:cs="Arial"/>
        </w:rPr>
        <w:t xml:space="preserve">de carácter administrativo, físico y técnico para la protección de datos personales, con el objetivo de garantizar la confidencialidad, integridad y disponibilidad de los mismos; lo anterior, con la finalidad de evitar que se pueda causar algún daño, pérdida, alteración, destrucción, uso, acceso o tratamiento no autorizado de conformidad con el artículo 31 de la Ley antes citada. </w:t>
      </w:r>
    </w:p>
    <w:p w:rsidR="004F0D86" w:rsidRPr="008E157A" w:rsidRDefault="004F0D86" w:rsidP="006C67F7">
      <w:pPr>
        <w:spacing w:line="360" w:lineRule="auto"/>
        <w:jc w:val="both"/>
        <w:rPr>
          <w:rFonts w:ascii="Palatino Linotype" w:hAnsi="Palatino Linotype" w:cs="Arial"/>
        </w:rPr>
      </w:pPr>
    </w:p>
    <w:p w:rsidR="004F0D86" w:rsidRPr="008E157A" w:rsidRDefault="004F0D86" w:rsidP="006C67F7">
      <w:pPr>
        <w:spacing w:line="360" w:lineRule="auto"/>
        <w:jc w:val="both"/>
        <w:rPr>
          <w:rFonts w:ascii="Palatino Linotype" w:hAnsi="Palatino Linotype" w:cs="Arial"/>
        </w:rPr>
      </w:pPr>
      <w:r w:rsidRPr="008E157A">
        <w:rPr>
          <w:rFonts w:ascii="Palatino Linotype" w:hAnsi="Palatino Linotype" w:cs="Arial"/>
        </w:rPr>
        <w:t xml:space="preserve">Cabe mencionar, que las medidas de seguridad que el responsable ha de establecer y mantener para el tratamiento de datos personales, deberán ser documentadas y contenidas en el denominado </w:t>
      </w:r>
      <w:r w:rsidRPr="008E157A">
        <w:rPr>
          <w:rFonts w:ascii="Palatino Linotype" w:hAnsi="Palatino Linotype" w:cs="Arial"/>
          <w:b/>
          <w:bCs/>
        </w:rPr>
        <w:t>documento de seguridad</w:t>
      </w:r>
      <w:r w:rsidRPr="008E157A">
        <w:rPr>
          <w:rFonts w:ascii="Palatino Linotype" w:hAnsi="Palatino Linotype" w:cs="Arial"/>
        </w:rPr>
        <w:t xml:space="preserve">, entendiendo a esté como el instrumento que describe y da cuenta de manera general sobre las medidas de seguridad técnicas, físicas y administrativas adoptadas por el responsable para </w:t>
      </w:r>
      <w:r w:rsidRPr="008E157A">
        <w:rPr>
          <w:rFonts w:ascii="Palatino Linotype" w:hAnsi="Palatino Linotype" w:cs="Arial"/>
        </w:rPr>
        <w:lastRenderedPageBreak/>
        <w:t>garantizar la confidencialidad, integridad y disponibilidad de los datos, que se encuentren en su posesión, destacando que se incluye en las políticas y procedimientos para la gestión, soporte y revisión de la seguridad de la información a nivel organizacional, establecidas como medidas de seguridad administrativas; para lo cual, el Responsable tiene el deber de establecer controles o mecanismos, cuya finalidad sea que toda persona que intervenga en el tratamiento de los datos personales, guarde la correspondiente confidencialidad legal en términos de los artículos 3 fracción XXI y 42 de la Ley General del Protección de Datos Personales.</w:t>
      </w:r>
    </w:p>
    <w:p w:rsidR="004F0D86" w:rsidRPr="008E157A" w:rsidRDefault="004F0D86" w:rsidP="006C67F7">
      <w:pPr>
        <w:spacing w:line="360" w:lineRule="auto"/>
        <w:jc w:val="both"/>
        <w:rPr>
          <w:rFonts w:ascii="Palatino Linotype" w:hAnsi="Palatino Linotype" w:cs="Arial"/>
        </w:rPr>
      </w:pPr>
    </w:p>
    <w:p w:rsidR="004F0D86" w:rsidRPr="008E157A" w:rsidRDefault="004F0D86" w:rsidP="006C67F7">
      <w:pPr>
        <w:spacing w:line="360" w:lineRule="auto"/>
        <w:jc w:val="both"/>
        <w:rPr>
          <w:rFonts w:ascii="Palatino Linotype" w:hAnsi="Palatino Linotype" w:cs="Arial"/>
        </w:rPr>
      </w:pPr>
      <w:r w:rsidRPr="008E157A">
        <w:rPr>
          <w:rFonts w:ascii="Palatino Linotype" w:hAnsi="Palatino Linotype" w:cs="Arial"/>
        </w:rPr>
        <w:t xml:space="preserve">En tal tesitura, resulta oportuno remitirnos a la Ley de Protección de Datos Personales en Posesión de Sujetos Obligados del Estado de México y Municipios, dicho marco normativo es de orden público, interés social y observancia obligatoria en el Estado de México y sus Municipios, destacando que incorpora en sus finalidades, promover la adopción de medidas de seguridad que garanticen la integridad, disponibilidad y confidencialidad de los datos personales que se encuentre en posesión de los sujetos obligados; por lo que, se incorpora la obligación de establecer mecanismos que garanticen la implementación de las medidas de seguridad que correspondan. </w:t>
      </w:r>
    </w:p>
    <w:p w:rsidR="004F0D86" w:rsidRPr="008E157A" w:rsidRDefault="004F0D86" w:rsidP="006C67F7">
      <w:pPr>
        <w:spacing w:line="360" w:lineRule="auto"/>
        <w:jc w:val="both"/>
        <w:rPr>
          <w:rFonts w:ascii="Palatino Linotype" w:hAnsi="Palatino Linotype" w:cs="Arial"/>
        </w:rPr>
      </w:pPr>
    </w:p>
    <w:p w:rsidR="004F0D86" w:rsidRPr="008E157A" w:rsidRDefault="004F0D86" w:rsidP="006C67F7">
      <w:pPr>
        <w:spacing w:line="360" w:lineRule="auto"/>
        <w:jc w:val="both"/>
        <w:rPr>
          <w:rFonts w:ascii="Palatino Linotype" w:hAnsi="Palatino Linotype" w:cs="Arial"/>
        </w:rPr>
      </w:pPr>
      <w:r w:rsidRPr="008E157A">
        <w:rPr>
          <w:rFonts w:ascii="Palatino Linotype" w:hAnsi="Palatino Linotype" w:cs="Arial"/>
        </w:rPr>
        <w:t xml:space="preserve">En tal virtud, se establece la obligatoriedad por parte de los responsables de proteger a las personas y su dignidad, mediante un adecuado tratamiento de sus datos personales; lo cual, será posible mediante la adopción de las medidas de seguridad contempladas en la Ley de Protección de Datos Personales en Posesión de Sujetos Obligados del Estado de México y Municipios. Sin embargo, no se omite señalar que las medidas de seguridad establecidas en la Ley constituyen los mínimos exigibles; por tanto, el responsable que lleve a cabo el tratamiento de datos personales deberá adoptar </w:t>
      </w:r>
      <w:r w:rsidRPr="008E157A">
        <w:rPr>
          <w:rFonts w:ascii="Palatino Linotype" w:hAnsi="Palatino Linotype" w:cs="Arial"/>
        </w:rPr>
        <w:lastRenderedPageBreak/>
        <w:t xml:space="preserve">las medidas de seguridad adicionales que estime necesarias, con el propósito de brindar a los Sistemas y/o Bases de Datos Personales, una mayor garantía en su resguardo, tal y como lo enuncian los artículos 6 segundo párrafo y 43 de la citada Ley, como se advierte enseguida: </w:t>
      </w:r>
    </w:p>
    <w:p w:rsidR="004F0D86" w:rsidRPr="008E157A" w:rsidRDefault="004F0D86" w:rsidP="006C67F7">
      <w:pPr>
        <w:spacing w:line="360" w:lineRule="auto"/>
        <w:jc w:val="both"/>
        <w:rPr>
          <w:rFonts w:ascii="Palatino Linotype" w:hAnsi="Palatino Linotype" w:cs="Arial"/>
        </w:rPr>
      </w:pP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b/>
          <w:bCs/>
          <w:i/>
          <w:iCs/>
        </w:rPr>
        <w:t>Derecho a la privacidad y limitaciones a la protección de datos personales</w:t>
      </w:r>
      <w:r w:rsidRPr="008E157A">
        <w:rPr>
          <w:rFonts w:ascii="Palatino Linotype" w:hAnsi="Palatino Linotype" w:cs="Arial"/>
          <w:i/>
          <w:iCs/>
        </w:rPr>
        <w:t xml:space="preserve"> </w:t>
      </w:r>
    </w:p>
    <w:p w:rsidR="004F0D86" w:rsidRPr="008E157A" w:rsidRDefault="004F0D86" w:rsidP="006C67F7">
      <w:pPr>
        <w:ind w:left="567" w:right="567"/>
        <w:jc w:val="both"/>
        <w:rPr>
          <w:rFonts w:ascii="Palatino Linotype" w:hAnsi="Palatino Linotype" w:cs="Arial"/>
          <w:i/>
          <w:iCs/>
        </w:rPr>
      </w:pP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b/>
          <w:bCs/>
          <w:i/>
          <w:iCs/>
        </w:rPr>
        <w:t>Artículo 6</w:t>
      </w:r>
      <w:r w:rsidRPr="008E157A">
        <w:rPr>
          <w:rFonts w:ascii="Palatino Linotype" w:hAnsi="Palatino Linotype" w:cs="Arial"/>
          <w:i/>
          <w:iCs/>
        </w:rPr>
        <w:t xml:space="preserve">. El Estado garantizará la privacidad de los individuos y velará porque no se incurra en conductas que puedan afectarla arbitrariamente. </w:t>
      </w:r>
    </w:p>
    <w:p w:rsidR="004F0D86" w:rsidRPr="008E157A" w:rsidRDefault="004F0D86" w:rsidP="006C67F7">
      <w:pPr>
        <w:ind w:left="567" w:right="567"/>
        <w:jc w:val="both"/>
        <w:rPr>
          <w:rFonts w:ascii="Palatino Linotype" w:hAnsi="Palatino Linotype" w:cs="Arial"/>
          <w:b/>
          <w:bCs/>
          <w:i/>
          <w:iCs/>
        </w:rPr>
      </w:pPr>
      <w:r w:rsidRPr="008E157A">
        <w:rPr>
          <w:rFonts w:ascii="Palatino Linotype" w:hAnsi="Palatino Linotype" w:cs="Arial"/>
          <w:b/>
          <w:bCs/>
          <w:i/>
          <w:iCs/>
        </w:rPr>
        <w:t xml:space="preserve">Los responsables aplicarán las medidas establecidas en esta Ley para la protección de las personas y su dignidad, respecto al tratamiento de sus datos personales. </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El derecho a la protección de los datos personales solamente se limitará por razones de seguridad pública en términos de la Ley en la materia, disposiciones de orden público, salud pública o para proteger los derechos de terceros.</w:t>
      </w:r>
    </w:p>
    <w:p w:rsidR="004F0D86" w:rsidRPr="008E157A" w:rsidRDefault="004F0D86" w:rsidP="006C67F7">
      <w:pPr>
        <w:ind w:left="567" w:right="567"/>
        <w:jc w:val="both"/>
        <w:rPr>
          <w:rFonts w:ascii="Palatino Linotype" w:hAnsi="Palatino Linotype" w:cs="Arial"/>
          <w:i/>
          <w:iCs/>
        </w:rPr>
      </w:pPr>
    </w:p>
    <w:p w:rsidR="004F0D86" w:rsidRPr="008E157A" w:rsidRDefault="004F0D86" w:rsidP="006C67F7">
      <w:pPr>
        <w:ind w:left="567" w:right="567"/>
        <w:jc w:val="center"/>
        <w:rPr>
          <w:rFonts w:ascii="Palatino Linotype" w:hAnsi="Palatino Linotype" w:cs="Arial"/>
          <w:b/>
          <w:bCs/>
          <w:i/>
          <w:iCs/>
        </w:rPr>
      </w:pPr>
      <w:r w:rsidRPr="008E157A">
        <w:rPr>
          <w:rFonts w:ascii="Palatino Linotype" w:hAnsi="Palatino Linotype" w:cs="Arial"/>
          <w:b/>
          <w:bCs/>
          <w:i/>
          <w:iCs/>
        </w:rPr>
        <w:t>CAPÍTULO SEGUNDO</w:t>
      </w:r>
    </w:p>
    <w:p w:rsidR="004F0D86" w:rsidRPr="008E157A" w:rsidRDefault="004F0D86" w:rsidP="006C67F7">
      <w:pPr>
        <w:ind w:left="567" w:right="567"/>
        <w:jc w:val="center"/>
        <w:rPr>
          <w:rFonts w:ascii="Palatino Linotype" w:hAnsi="Palatino Linotype" w:cs="Arial"/>
          <w:b/>
          <w:bCs/>
          <w:i/>
          <w:iCs/>
        </w:rPr>
      </w:pPr>
      <w:r w:rsidRPr="008E157A">
        <w:rPr>
          <w:rFonts w:ascii="Palatino Linotype" w:hAnsi="Palatino Linotype" w:cs="Arial"/>
          <w:b/>
          <w:bCs/>
          <w:i/>
          <w:iCs/>
        </w:rPr>
        <w:t>DE LAS MEDIDAS DE SEGURIDAD</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b/>
          <w:bCs/>
          <w:i/>
          <w:iCs/>
        </w:rPr>
        <w:t>Naturaleza de las medidas de seguridad y registro del nivel de seguridad</w:t>
      </w:r>
      <w:r w:rsidRPr="008E157A">
        <w:rPr>
          <w:rFonts w:ascii="Palatino Linotype" w:hAnsi="Palatino Linotype" w:cs="Arial"/>
          <w:i/>
          <w:iCs/>
        </w:rPr>
        <w:t xml:space="preserve"> </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b/>
          <w:bCs/>
          <w:i/>
          <w:iCs/>
        </w:rPr>
        <w:t>Artículo 43.</w:t>
      </w:r>
      <w:r w:rsidRPr="008E157A">
        <w:rPr>
          <w:rFonts w:ascii="Palatino Linotype" w:hAnsi="Palatino Linotype" w:cs="Arial"/>
          <w:i/>
          <w:iCs/>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b/>
          <w:bCs/>
          <w:i/>
          <w:iCs/>
          <w:u w:val="single"/>
        </w:rPr>
        <w:t>Por la naturaleza de la información, las medidas de seguridad que se adopten serán consideradas confidenciales</w:t>
      </w:r>
      <w:r w:rsidRPr="008E157A">
        <w:rPr>
          <w:rFonts w:ascii="Palatino Linotype" w:hAnsi="Palatino Linotype" w:cs="Arial"/>
          <w:i/>
          <w:iCs/>
        </w:rPr>
        <w:t xml:space="preserve"> y únicamente se comunicará al Instituto, para su registro, el nivel de seguridad aplicable. </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lastRenderedPageBreak/>
        <w:t xml:space="preserve">En el supuesto de actualización de estos datos, la modificación respectiva se notificará al Instituto en sus oficinas o en el portal que para tal efecto se cree, dentro de los treinta días hábiles siguientes a la fecha en que se efectuó. </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El responsable o el encargado, designarán a una o un administrador, quien tendrá bajo su responsabilidad directa la base y sistema de datos personales.</w:t>
      </w:r>
    </w:p>
    <w:p w:rsidR="004F0D86" w:rsidRPr="008E157A" w:rsidRDefault="004F0D86" w:rsidP="006C67F7">
      <w:pPr>
        <w:spacing w:line="360" w:lineRule="auto"/>
        <w:ind w:left="567" w:right="567"/>
        <w:jc w:val="both"/>
        <w:rPr>
          <w:rFonts w:ascii="Palatino Linotype" w:hAnsi="Palatino Linotype" w:cs="Arial"/>
        </w:rPr>
      </w:pPr>
    </w:p>
    <w:p w:rsidR="004F0D86" w:rsidRPr="008E157A" w:rsidRDefault="004F0D86" w:rsidP="006C67F7">
      <w:pPr>
        <w:spacing w:line="360" w:lineRule="auto"/>
        <w:jc w:val="both"/>
        <w:rPr>
          <w:rFonts w:ascii="Palatino Linotype" w:hAnsi="Palatino Linotype" w:cs="Arial"/>
        </w:rPr>
      </w:pPr>
      <w:r w:rsidRPr="008E157A">
        <w:rPr>
          <w:rFonts w:ascii="Palatino Linotype" w:hAnsi="Palatino Linotype" w:cs="Arial"/>
        </w:rPr>
        <w:t>Así mismo, es preciso destacar que, en el marco normativo en materia de protección de datos personales, determina el deber de seguridad en sus artículos 38 y 39, cuya observancia obligatoria es para los responsables del tratamiento de la información, ya que deben adoptar, establecer, mantener y documentar las medidas de seguridad de carácter administrativo, físico y técnico, con la finalidad de garantizar la integridad, confidencialidad y disponibilidad de la información personal, mediante acciones y controles que eviten algún tipo de daño, alteración, pérdida, destrucción, uso, transferencia, acceso o cualquier otro tratamiento no autorizado o ilícito; para ello, las medidas de seguridad, han de ser apropiadas al tratamiento de los datos personales que se lleve a cabo y debe considerar su naturaleza, deberes y riesgos a los que serán</w:t>
      </w:r>
      <w:r>
        <w:rPr>
          <w:rFonts w:ascii="Palatino Linotype" w:hAnsi="Palatino Linotype" w:cs="Arial"/>
        </w:rPr>
        <w:t xml:space="preserve"> </w:t>
      </w:r>
      <w:r w:rsidRPr="008E157A">
        <w:rPr>
          <w:rFonts w:ascii="Palatino Linotype" w:hAnsi="Palatino Linotype" w:cs="Arial"/>
        </w:rPr>
        <w:t>sometidos, para lograr tener un nivel adecuado de seguridad.</w:t>
      </w:r>
    </w:p>
    <w:p w:rsidR="004F0D86" w:rsidRPr="008E157A" w:rsidRDefault="004F0D86" w:rsidP="006C67F7">
      <w:pPr>
        <w:spacing w:line="360" w:lineRule="auto"/>
        <w:jc w:val="both"/>
        <w:rPr>
          <w:rFonts w:ascii="Palatino Linotype" w:hAnsi="Palatino Linotype" w:cs="Arial"/>
        </w:rPr>
      </w:pPr>
    </w:p>
    <w:p w:rsidR="004F0D86" w:rsidRPr="008E157A" w:rsidRDefault="004F0D86" w:rsidP="006C67F7">
      <w:pPr>
        <w:spacing w:line="360" w:lineRule="auto"/>
        <w:jc w:val="both"/>
        <w:rPr>
          <w:rFonts w:ascii="Palatino Linotype" w:hAnsi="Palatino Linotype" w:cs="Arial"/>
        </w:rPr>
      </w:pPr>
      <w:r w:rsidRPr="008E157A">
        <w:rPr>
          <w:rFonts w:ascii="Palatino Linotype" w:hAnsi="Palatino Linotype" w:cs="Arial"/>
        </w:rPr>
        <w:t xml:space="preserve">En este orden de ideas, nuestra legislación define que las medidas de seguridad son aquellas acciones, actividades, controles o mecanismos administrativos, técnicos y físicos que permiten proteger los datos personales, las cuales se encuentran documentadas y contenidas en un instrumento denominado </w:t>
      </w:r>
      <w:r w:rsidRPr="008E157A">
        <w:rPr>
          <w:rFonts w:ascii="Palatino Linotype" w:hAnsi="Palatino Linotype" w:cs="Arial"/>
          <w:b/>
          <w:bCs/>
        </w:rPr>
        <w:t>Documento de Seguridad</w:t>
      </w:r>
      <w:r w:rsidRPr="008E157A">
        <w:rPr>
          <w:rFonts w:ascii="Palatino Linotype" w:hAnsi="Palatino Linotype" w:cs="Arial"/>
        </w:rPr>
        <w:t xml:space="preserve">, dicho instrumento describe de manera general las medidas de seguridad adoptadas para garantizar la confidencialidad, integridad y disponibilidad de la información contenida en los sistemas y/o bases de datos, destacando que es de observancia obligatoria para los responsables, encargados y demás personas que lleven </w:t>
      </w:r>
      <w:r w:rsidRPr="008E157A">
        <w:rPr>
          <w:rFonts w:ascii="Palatino Linotype" w:hAnsi="Palatino Linotype" w:cs="Arial"/>
        </w:rPr>
        <w:lastRenderedPageBreak/>
        <w:t>a cabo algún tratamiento de datos personales; por lo que, su elaboración y aprobación debe atender a lo que establecen los artículos 4 fracción XVIII, 48 y 49 de la Ley.</w:t>
      </w:r>
    </w:p>
    <w:p w:rsidR="001B007F" w:rsidRDefault="001B007F" w:rsidP="006C67F7">
      <w:pPr>
        <w:spacing w:line="360" w:lineRule="auto"/>
        <w:jc w:val="both"/>
        <w:rPr>
          <w:rFonts w:ascii="Palatino Linotype" w:hAnsi="Palatino Linotype" w:cs="Arial"/>
        </w:rPr>
      </w:pPr>
    </w:p>
    <w:p w:rsidR="004F0D86" w:rsidRPr="008E157A" w:rsidRDefault="004F0D86" w:rsidP="006C67F7">
      <w:pPr>
        <w:spacing w:line="360" w:lineRule="auto"/>
        <w:jc w:val="both"/>
        <w:rPr>
          <w:rFonts w:ascii="Palatino Linotype" w:hAnsi="Palatino Linotype" w:cs="Arial"/>
        </w:rPr>
      </w:pPr>
      <w:r w:rsidRPr="008E157A">
        <w:rPr>
          <w:rFonts w:ascii="Palatino Linotype" w:hAnsi="Palatino Linotype" w:cs="Arial"/>
        </w:rPr>
        <w:t xml:space="preserve">Ahora bien, </w:t>
      </w:r>
      <w:r w:rsidRPr="008E157A">
        <w:rPr>
          <w:rFonts w:ascii="Palatino Linotype" w:hAnsi="Palatino Linotype" w:cs="Arial"/>
          <w:b/>
          <w:bCs/>
        </w:rPr>
        <w:t>el Documento de Seguridad</w:t>
      </w:r>
      <w:r w:rsidRPr="008E157A">
        <w:rPr>
          <w:rFonts w:ascii="Palatino Linotype" w:hAnsi="Palatino Linotype" w:cs="Arial"/>
        </w:rPr>
        <w:t xml:space="preserve"> al ser una política para la gestión, soporte y</w:t>
      </w:r>
    </w:p>
    <w:p w:rsidR="004F0D86" w:rsidRPr="008E157A" w:rsidRDefault="004F0D86" w:rsidP="006C67F7">
      <w:pPr>
        <w:spacing w:line="360" w:lineRule="auto"/>
        <w:jc w:val="both"/>
        <w:rPr>
          <w:rFonts w:ascii="Palatino Linotype" w:hAnsi="Palatino Linotype" w:cs="Arial"/>
        </w:rPr>
      </w:pPr>
      <w:proofErr w:type="gramStart"/>
      <w:r w:rsidRPr="008E157A">
        <w:rPr>
          <w:rFonts w:ascii="Palatino Linotype" w:hAnsi="Palatino Linotype" w:cs="Arial"/>
        </w:rPr>
        <w:t>revisión</w:t>
      </w:r>
      <w:proofErr w:type="gramEnd"/>
      <w:r w:rsidRPr="008E157A">
        <w:rPr>
          <w:rFonts w:ascii="Palatino Linotype" w:hAnsi="Palatino Linotype" w:cs="Arial"/>
        </w:rPr>
        <w:t xml:space="preserve"> de la seguridad de la información en la organización de los Responsables, es</w:t>
      </w:r>
    </w:p>
    <w:p w:rsidR="004F0D86" w:rsidRPr="008E157A" w:rsidRDefault="004F0D86" w:rsidP="006C67F7">
      <w:pPr>
        <w:spacing w:line="360" w:lineRule="auto"/>
        <w:jc w:val="both"/>
        <w:rPr>
          <w:rFonts w:ascii="Palatino Linotype" w:hAnsi="Palatino Linotype" w:cs="Arial"/>
        </w:rPr>
      </w:pPr>
      <w:r w:rsidRPr="008E157A">
        <w:rPr>
          <w:rFonts w:ascii="Palatino Linotype" w:hAnsi="Palatino Linotype" w:cs="Arial"/>
        </w:rPr>
        <w:t xml:space="preserve">considerada una medida de seguridad de carácter administrativa; por lo cual, </w:t>
      </w:r>
      <w:r w:rsidRPr="008E157A">
        <w:rPr>
          <w:rFonts w:ascii="Palatino Linotype" w:hAnsi="Palatino Linotype" w:cs="Arial"/>
          <w:b/>
          <w:bCs/>
        </w:rPr>
        <w:t>esté debe considerarse como información de carácter confidencial, solo en cuanto hace a dichas medidas de seguridad</w:t>
      </w:r>
      <w:r w:rsidRPr="008E157A">
        <w:rPr>
          <w:rFonts w:ascii="Palatino Linotype" w:hAnsi="Palatino Linotype" w:cs="Arial"/>
        </w:rPr>
        <w:t>, como lo determina el segundo párrafo del artículo 43 antes referido, reiterando que tal y como lo establece dicho precepto legal, este documento contiene información confidencial, debido a la naturaleza de la información que contiene, ya que al conjuntar las medidas de seguridad aplicables a los tratamientos que llevan a cabo los Sujetos Obligados, estas no pueden ser información de carácter público; además, se ha de considerar que al constituir una medida de seguridad de carácter general, su aplicación es obligatoria a todos los sistemas y/o bases de datos personales que se encuentren en posesión de los Responsables por cada tratamiento que realiza para llevar a cabo sus actividades.</w:t>
      </w:r>
    </w:p>
    <w:p w:rsidR="004F0D86" w:rsidRPr="008E157A" w:rsidRDefault="004F0D86" w:rsidP="006C67F7">
      <w:pPr>
        <w:spacing w:line="360" w:lineRule="auto"/>
        <w:jc w:val="both"/>
        <w:rPr>
          <w:rFonts w:ascii="Palatino Linotype" w:hAnsi="Palatino Linotype" w:cs="Arial"/>
        </w:rPr>
      </w:pPr>
    </w:p>
    <w:p w:rsidR="004F0D86" w:rsidRDefault="004F0D86" w:rsidP="006C67F7">
      <w:pPr>
        <w:spacing w:line="360" w:lineRule="auto"/>
        <w:jc w:val="both"/>
        <w:rPr>
          <w:rFonts w:ascii="Palatino Linotype" w:hAnsi="Palatino Linotype" w:cs="Arial"/>
        </w:rPr>
      </w:pPr>
      <w:r w:rsidRPr="008E157A">
        <w:rPr>
          <w:rFonts w:ascii="Palatino Linotype" w:hAnsi="Palatino Linotype" w:cs="Arial"/>
        </w:rPr>
        <w:t>En este sentido, la Ley señala puntualmente que el documento de seguridad es una medida de seguridad administrativa de carácter general, ya que este debe incluir todos los sistemas y/o bases de datos personales que poseen los Sujetos Obligados.</w:t>
      </w:r>
    </w:p>
    <w:p w:rsidR="004F0D86" w:rsidRPr="008E157A" w:rsidRDefault="004F0D86" w:rsidP="006C67F7">
      <w:pPr>
        <w:spacing w:line="360" w:lineRule="auto"/>
        <w:jc w:val="both"/>
        <w:rPr>
          <w:rFonts w:ascii="Palatino Linotype" w:hAnsi="Palatino Linotype" w:cs="Arial"/>
        </w:rPr>
      </w:pPr>
    </w:p>
    <w:p w:rsidR="004F0D86" w:rsidRPr="008E157A" w:rsidRDefault="004F0D86" w:rsidP="006C67F7">
      <w:pPr>
        <w:spacing w:line="360" w:lineRule="auto"/>
        <w:jc w:val="both"/>
        <w:rPr>
          <w:rFonts w:ascii="Palatino Linotype" w:hAnsi="Palatino Linotype" w:cs="Arial"/>
        </w:rPr>
      </w:pPr>
      <w:r w:rsidRPr="008E157A">
        <w:rPr>
          <w:rFonts w:ascii="Palatino Linotype" w:hAnsi="Palatino Linotype" w:cs="Arial"/>
        </w:rPr>
        <w:t xml:space="preserve">De igual manera, es preciso mencionar que el </w:t>
      </w:r>
      <w:r w:rsidRPr="008E157A">
        <w:rPr>
          <w:rFonts w:ascii="Palatino Linotype" w:hAnsi="Palatino Linotype" w:cs="Arial"/>
          <w:b/>
          <w:bCs/>
        </w:rPr>
        <w:t>Documento de Seguridad</w:t>
      </w:r>
      <w:r w:rsidRPr="008E157A">
        <w:rPr>
          <w:rFonts w:ascii="Palatino Linotype" w:hAnsi="Palatino Linotype" w:cs="Arial"/>
        </w:rPr>
        <w:t xml:space="preserve"> es un instrumento dinámico de aplicación para todos aquellos que intervengan en el tratamiento de datos personales, debido a la información que </w:t>
      </w:r>
      <w:bookmarkStart w:id="3" w:name="_Hlk33086748"/>
      <w:r w:rsidRPr="008E157A">
        <w:rPr>
          <w:rFonts w:ascii="Palatino Linotype" w:hAnsi="Palatino Linotype" w:cs="Arial"/>
        </w:rPr>
        <w:t xml:space="preserve">contiene; además, su divulgación integra, puede traer consigo el daño, alteración, pérdida, destrucción, uso, </w:t>
      </w:r>
      <w:r w:rsidRPr="008E157A">
        <w:rPr>
          <w:rFonts w:ascii="Palatino Linotype" w:hAnsi="Palatino Linotype" w:cs="Arial"/>
        </w:rPr>
        <w:lastRenderedPageBreak/>
        <w:t>transferencia, acceso o tratamiento no autorizado y en su caso ilícito, poniendo en riesgo la integridad, disponibilidad y confidencialidad de los datos personales</w:t>
      </w:r>
      <w:bookmarkEnd w:id="3"/>
      <w:r w:rsidRPr="008E157A">
        <w:rPr>
          <w:rFonts w:ascii="Palatino Linotype" w:hAnsi="Palatino Linotype" w:cs="Arial"/>
        </w:rPr>
        <w:t>, e incluso poner en riesgo a las personas y su dignidad, por algún tipo de divulgación.</w:t>
      </w:r>
    </w:p>
    <w:p w:rsidR="004F0D86" w:rsidRDefault="004F0D86" w:rsidP="006C67F7">
      <w:pPr>
        <w:spacing w:line="360" w:lineRule="auto"/>
        <w:jc w:val="both"/>
        <w:rPr>
          <w:rFonts w:ascii="Palatino Linotype" w:hAnsi="Palatino Linotype" w:cs="Arial"/>
        </w:rPr>
      </w:pPr>
    </w:p>
    <w:p w:rsidR="004F0D86" w:rsidRDefault="004F0D86" w:rsidP="006C67F7">
      <w:pPr>
        <w:spacing w:line="360" w:lineRule="auto"/>
        <w:jc w:val="both"/>
        <w:rPr>
          <w:rFonts w:ascii="Palatino Linotype" w:hAnsi="Palatino Linotype" w:cs="Arial"/>
        </w:rPr>
      </w:pPr>
      <w:r w:rsidRPr="008E157A">
        <w:rPr>
          <w:rFonts w:ascii="Palatino Linotype" w:hAnsi="Palatino Linotype" w:cs="Arial"/>
        </w:rPr>
        <w:t xml:space="preserve">Debido a lo anterior, es obligación del responsable, encargado, administrador, usuarios, guardar el secreto y sigilo correspondiente, conservando en todo momento la confidencialidad de los procesos, aun después de cumplida la finalidad del tratamiento. </w:t>
      </w:r>
    </w:p>
    <w:p w:rsidR="004F0D86" w:rsidRDefault="004F0D86" w:rsidP="006C67F7">
      <w:pPr>
        <w:spacing w:line="360" w:lineRule="auto"/>
        <w:jc w:val="both"/>
        <w:rPr>
          <w:rFonts w:ascii="Palatino Linotype" w:hAnsi="Palatino Linotype" w:cs="Arial"/>
        </w:rPr>
      </w:pPr>
    </w:p>
    <w:p w:rsidR="004F0D86" w:rsidRPr="008E157A" w:rsidRDefault="004F0D86" w:rsidP="006C67F7">
      <w:pPr>
        <w:spacing w:line="360" w:lineRule="auto"/>
        <w:jc w:val="both"/>
        <w:rPr>
          <w:rFonts w:ascii="Palatino Linotype" w:hAnsi="Palatino Linotype" w:cs="Arial"/>
        </w:rPr>
      </w:pPr>
      <w:r w:rsidRPr="008E157A">
        <w:rPr>
          <w:rFonts w:ascii="Palatino Linotype" w:hAnsi="Palatino Linotype" w:cs="Arial"/>
        </w:rPr>
        <w:t>Aunado a lo anterior, se establecen mecanismos o controles para que aquellas personas que intervengan en el tratamiento de los datos personales guarden la debida confidencialidad de estos, aun finalizadas sus relaciones con los sujetos obligados, tal como lo enuncia el artículo 40 de la Ley.</w:t>
      </w:r>
    </w:p>
    <w:p w:rsidR="004F0D86" w:rsidRPr="008E157A" w:rsidRDefault="004F0D86" w:rsidP="006C67F7">
      <w:pPr>
        <w:spacing w:line="360" w:lineRule="auto"/>
        <w:jc w:val="both"/>
        <w:rPr>
          <w:rFonts w:ascii="Palatino Linotype" w:hAnsi="Palatino Linotype" w:cs="Arial"/>
        </w:rPr>
      </w:pPr>
    </w:p>
    <w:p w:rsidR="004F0D86" w:rsidRPr="008E157A" w:rsidRDefault="004F0D86" w:rsidP="006C67F7">
      <w:pPr>
        <w:spacing w:line="360" w:lineRule="auto"/>
        <w:jc w:val="both"/>
        <w:rPr>
          <w:rFonts w:ascii="Palatino Linotype" w:hAnsi="Palatino Linotype" w:cs="Arial"/>
        </w:rPr>
      </w:pPr>
      <w:r w:rsidRPr="008E157A">
        <w:rPr>
          <w:rFonts w:ascii="Palatino Linotype" w:hAnsi="Palatino Linotype" w:cs="Arial"/>
        </w:rPr>
        <w:t xml:space="preserve">En este orden de ideas, se concluye que la Ley de Protección de Datos Personales en Posesión de Sujetos Obligados del Estado de México y Municipios, </w:t>
      </w:r>
      <w:r w:rsidRPr="008E157A">
        <w:rPr>
          <w:rFonts w:ascii="Palatino Linotype" w:hAnsi="Palatino Linotype" w:cs="Arial"/>
          <w:b/>
          <w:bCs/>
        </w:rPr>
        <w:t>determina que el Documento de Seguridad no puede ser entregado de forma íntegra al público en general</w:t>
      </w:r>
      <w:r w:rsidRPr="008E157A">
        <w:rPr>
          <w:rFonts w:ascii="Palatino Linotype" w:hAnsi="Palatino Linotype" w:cs="Arial"/>
        </w:rPr>
        <w:t>, ya que contiene datos que no constituyen información de interés público en términos del artículo 3 fracción XXII de la Ley de Transparencia y Acceso a la Información Pública del Estado de México y Municipios, debido a que dicha información no resulta relevante o beneficiosa para la sociedad, ni tampoco su divulgación resulta útil para que el público comprenda las actividades que lleve a cabo el responsable del tratamiento.</w:t>
      </w:r>
    </w:p>
    <w:p w:rsidR="004F0D86" w:rsidRPr="008E157A" w:rsidRDefault="004F0D86" w:rsidP="006C67F7">
      <w:pPr>
        <w:spacing w:line="360" w:lineRule="auto"/>
        <w:jc w:val="both"/>
        <w:rPr>
          <w:rFonts w:ascii="Palatino Linotype" w:hAnsi="Palatino Linotype" w:cs="Arial"/>
        </w:rPr>
      </w:pPr>
    </w:p>
    <w:p w:rsidR="000E1312" w:rsidRDefault="000E1312" w:rsidP="006C67F7">
      <w:pPr>
        <w:spacing w:line="360" w:lineRule="auto"/>
        <w:jc w:val="both"/>
        <w:rPr>
          <w:rFonts w:ascii="Palatino Linotype" w:hAnsi="Palatino Linotype" w:cs="Arial"/>
        </w:rPr>
      </w:pPr>
    </w:p>
    <w:p w:rsidR="000E1312" w:rsidRDefault="000E1312" w:rsidP="006C67F7">
      <w:pPr>
        <w:spacing w:line="360" w:lineRule="auto"/>
        <w:jc w:val="both"/>
        <w:rPr>
          <w:rFonts w:ascii="Palatino Linotype" w:hAnsi="Palatino Linotype" w:cs="Arial"/>
        </w:rPr>
      </w:pPr>
    </w:p>
    <w:p w:rsidR="004F0D86" w:rsidRPr="008E157A" w:rsidRDefault="004F0D86" w:rsidP="006C67F7">
      <w:pPr>
        <w:spacing w:line="360" w:lineRule="auto"/>
        <w:jc w:val="both"/>
        <w:rPr>
          <w:rFonts w:ascii="Palatino Linotype" w:hAnsi="Palatino Linotype" w:cs="Arial"/>
        </w:rPr>
      </w:pPr>
      <w:r w:rsidRPr="008E157A">
        <w:rPr>
          <w:rFonts w:ascii="Palatino Linotype" w:hAnsi="Palatino Linotype" w:cs="Arial"/>
        </w:rPr>
        <w:t xml:space="preserve">Abonando a lo anterior, se precisa que en términos del artículo 4 fracciones XXXI, XXXII y XXXIII de la Ley de Protección de Datos Personales en Posesión de Sujetos Obligados del Estado de México y Municipios, las medidas que contiene el </w:t>
      </w:r>
      <w:r w:rsidRPr="008E157A">
        <w:rPr>
          <w:rFonts w:ascii="Palatino Linotype" w:hAnsi="Palatino Linotype" w:cs="Arial"/>
          <w:b/>
          <w:bCs/>
        </w:rPr>
        <w:t>Documento de Seguridad</w:t>
      </w:r>
      <w:r w:rsidRPr="008E157A">
        <w:rPr>
          <w:rFonts w:ascii="Palatino Linotype" w:hAnsi="Palatino Linotype" w:cs="Arial"/>
        </w:rPr>
        <w:t xml:space="preserve"> son las siguientes:</w:t>
      </w:r>
    </w:p>
    <w:p w:rsidR="004F0D86" w:rsidRPr="008E157A" w:rsidRDefault="004F0D86" w:rsidP="006C67F7">
      <w:pPr>
        <w:spacing w:line="360" w:lineRule="auto"/>
        <w:jc w:val="both"/>
        <w:rPr>
          <w:rFonts w:ascii="Palatino Linotype" w:hAnsi="Palatino Linotype" w:cs="Arial"/>
        </w:rPr>
      </w:pP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w:t>
      </w:r>
      <w:r w:rsidRPr="008E157A">
        <w:rPr>
          <w:rFonts w:ascii="Palatino Linotype" w:hAnsi="Palatino Linotype" w:cs="Arial"/>
          <w:b/>
          <w:bCs/>
          <w:i/>
          <w:iCs/>
        </w:rPr>
        <w:t>Artículo 4</w:t>
      </w:r>
      <w:r w:rsidRPr="008E157A">
        <w:rPr>
          <w:rFonts w:ascii="Palatino Linotype" w:hAnsi="Palatino Linotype" w:cs="Arial"/>
          <w:i/>
          <w:iCs/>
        </w:rPr>
        <w:t>. Para los efectos de esta Ley se entenderá por:</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b/>
          <w:bCs/>
          <w:i/>
          <w:iCs/>
        </w:rPr>
        <w:t>XXXI. Medidas de seguridad administrativas</w:t>
      </w:r>
      <w:r w:rsidRPr="008E157A">
        <w:rPr>
          <w:rFonts w:ascii="Palatino Linotype" w:hAnsi="Palatino Linotype" w:cs="Arial"/>
          <w:i/>
          <w:iCs/>
        </w:rPr>
        <w:t>: a las políticas y procedimientos para la gestión, soporte y revisión de la seguridad de la información a nivel organizacional, la identificación, clasificación y borrado seguro de la información, así como la sensibilización, y capacitación del personal, en materia de protección de datos personales.</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b/>
          <w:bCs/>
          <w:i/>
          <w:iCs/>
        </w:rPr>
        <w:t>XXXII. Medidas de seguridad físicas</w:t>
      </w:r>
      <w:r w:rsidRPr="008E157A">
        <w:rPr>
          <w:rFonts w:ascii="Palatino Linotype" w:hAnsi="Palatino Linotype" w:cs="Arial"/>
          <w:i/>
          <w:iCs/>
        </w:rPr>
        <w:t>: a las acciones y mecanismos para proteger el entorno físico de los datos personales y de los recursos involucrados en su tratamiento. De manera enunciativa más no limitativa, se considerarán las actividades siguientes:</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a) Prevenir el acceso no autorizado al perímetro de la organización, sus instalaciones físicas, áreas críticas, recursos e información.</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b) Prevenir el daño o interferencia a las instalaciones físicas, áreas críticas de la organización, recursos e información.</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c) Proteger los recursos móviles, portátiles y cualquier soporte físico o electrónico que pueda salir de la organización.</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d) Proveer a los equipos que contienen o almacenan datos personales de un mantenimiento eficaz que asegure su disponibilidad e integridad.</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b/>
          <w:bCs/>
          <w:i/>
          <w:iCs/>
        </w:rPr>
        <w:t>XXXIII, Medidas de seguridad técnicas</w:t>
      </w:r>
      <w:r w:rsidRPr="008E157A">
        <w:rPr>
          <w:rFonts w:ascii="Palatino Linotype" w:hAnsi="Palatino Linotype" w:cs="Arial"/>
          <w:i/>
          <w:iCs/>
        </w:rPr>
        <w:t>: a las acciones y mecanismos que se valen de la tecnología relacionada con hardware y software para proteger el entorno digital de los datos personales y los recursos involucrados en su tratamiento. De manera enunciativa más no limitativa, se considerarán las actividades siguientes:</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a) Prevenir que el acceso a los sistemas y bases de datos o a la información, así como a los recursos, sea por usuarios identificados y autorizados.</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b) Generar un esquema de privilegios para que el usuario lleve a cabo las actividades que requiere con motivo de sus funciones.</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c) Revisar la configuración de seguridad en la adquisición, operación, desarrollo y mantenimiento del software y hardware.</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lastRenderedPageBreak/>
        <w:t>d) Gestionar las comunicaciones, operaciones y medios de almacenamiento de los recursos informáticos en el tratamiento de datos personales.</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w:t>
      </w:r>
    </w:p>
    <w:p w:rsidR="001B007F" w:rsidRDefault="001B007F" w:rsidP="006C67F7">
      <w:pPr>
        <w:spacing w:line="360" w:lineRule="auto"/>
        <w:jc w:val="both"/>
        <w:rPr>
          <w:rFonts w:ascii="Palatino Linotype" w:hAnsi="Palatino Linotype" w:cs="Arial"/>
        </w:rPr>
      </w:pPr>
    </w:p>
    <w:p w:rsidR="004F0D86" w:rsidRPr="008E157A" w:rsidRDefault="004F0D86" w:rsidP="006C67F7">
      <w:pPr>
        <w:spacing w:line="360" w:lineRule="auto"/>
        <w:jc w:val="both"/>
        <w:rPr>
          <w:rFonts w:ascii="Palatino Linotype" w:hAnsi="Palatino Linotype" w:cs="Arial"/>
        </w:rPr>
      </w:pPr>
      <w:r w:rsidRPr="008E157A">
        <w:rPr>
          <w:rFonts w:ascii="Palatino Linotype" w:hAnsi="Palatino Linotype" w:cs="Arial"/>
        </w:rPr>
        <w:t>Por todo lo antes expuesto, resulta oportuno describir los elementos mínimos contenidos en el documento de seguridad</w:t>
      </w:r>
      <w:r>
        <w:rPr>
          <w:rFonts w:ascii="Palatino Linotype" w:hAnsi="Palatino Linotype" w:cs="Arial"/>
        </w:rPr>
        <w:t>,</w:t>
      </w:r>
      <w:r w:rsidRPr="008E157A">
        <w:rPr>
          <w:rFonts w:ascii="Palatino Linotype" w:hAnsi="Palatino Linotype" w:cs="Arial"/>
        </w:rPr>
        <w:t xml:space="preserve"> establecidos en el artículo 49 de la Ley, que se mencionan a continuación:</w:t>
      </w:r>
    </w:p>
    <w:p w:rsidR="004F0D86" w:rsidRPr="008E157A" w:rsidRDefault="004F0D86" w:rsidP="006C67F7">
      <w:pPr>
        <w:spacing w:line="360" w:lineRule="auto"/>
        <w:jc w:val="both"/>
        <w:rPr>
          <w:rFonts w:ascii="Palatino Linotype" w:hAnsi="Palatino Linotype" w:cs="Arial"/>
        </w:rPr>
      </w:pP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w:t>
      </w:r>
      <w:r w:rsidRPr="008E157A">
        <w:rPr>
          <w:rFonts w:ascii="Palatino Linotype" w:hAnsi="Palatino Linotype" w:cs="Arial"/>
          <w:b/>
          <w:bCs/>
          <w:i/>
          <w:iCs/>
        </w:rPr>
        <w:t xml:space="preserve">Artículo 49. </w:t>
      </w:r>
      <w:r w:rsidRPr="008E157A">
        <w:rPr>
          <w:rFonts w:ascii="Palatino Linotype" w:hAnsi="Palatino Linotype" w:cs="Arial"/>
          <w:b/>
          <w:bCs/>
          <w:i/>
          <w:iCs/>
          <w:u w:val="single"/>
        </w:rPr>
        <w:t>El documento de seguridad deberá contener como mínimo lo siguiente</w:t>
      </w:r>
      <w:r w:rsidRPr="008E157A">
        <w:rPr>
          <w:rFonts w:ascii="Palatino Linotype" w:hAnsi="Palatino Linotype" w:cs="Arial"/>
          <w:i/>
          <w:iCs/>
        </w:rPr>
        <w:t>:</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b/>
          <w:bCs/>
          <w:i/>
          <w:iCs/>
        </w:rPr>
        <w:t>I</w:t>
      </w:r>
      <w:r w:rsidRPr="008E157A">
        <w:rPr>
          <w:rFonts w:ascii="Palatino Linotype" w:hAnsi="Palatino Linotype" w:cs="Arial"/>
          <w:i/>
          <w:iCs/>
        </w:rPr>
        <w:t>. Respecto de los sistemas de datos personales:</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 xml:space="preserve">a) </w:t>
      </w:r>
      <w:bookmarkStart w:id="4" w:name="_Hlk33086301"/>
      <w:r w:rsidRPr="008E157A">
        <w:rPr>
          <w:rFonts w:ascii="Palatino Linotype" w:hAnsi="Palatino Linotype" w:cs="Arial"/>
          <w:i/>
          <w:iCs/>
        </w:rPr>
        <w:t>El nombre.</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b) El nombre, cargo y adscripción del administrador de cada sistema y base de datos.</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c) Las funciones y obligaciones del responsable, encargado o encargados y todas las personas que traten datos personales.</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d) El folio del registro del sistema y base de datos</w:t>
      </w:r>
      <w:bookmarkEnd w:id="4"/>
      <w:r w:rsidRPr="008E157A">
        <w:rPr>
          <w:rFonts w:ascii="Palatino Linotype" w:hAnsi="Palatino Linotype" w:cs="Arial"/>
          <w:i/>
          <w:iCs/>
        </w:rPr>
        <w:t>.</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e) El inventario o la especificación detallada del tipo de datos personales contenidos.</w:t>
      </w:r>
    </w:p>
    <w:p w:rsidR="004F0D86" w:rsidRPr="008E157A" w:rsidRDefault="004F0D86" w:rsidP="006C67F7">
      <w:pPr>
        <w:ind w:left="567" w:right="567"/>
        <w:jc w:val="both"/>
        <w:rPr>
          <w:rFonts w:ascii="Palatino Linotype" w:hAnsi="Palatino Linotype" w:cs="Arial"/>
          <w:b/>
          <w:bCs/>
          <w:i/>
          <w:iCs/>
          <w:u w:val="single"/>
        </w:rPr>
      </w:pPr>
      <w:r w:rsidRPr="008E157A">
        <w:rPr>
          <w:rFonts w:ascii="Palatino Linotype" w:hAnsi="Palatino Linotype" w:cs="Arial"/>
          <w:b/>
          <w:bCs/>
          <w:i/>
          <w:iCs/>
          <w:u w:val="single"/>
        </w:rPr>
        <w:t>f) La estructura y descripción de los sistemas y bases de datos personales, lo cual consiste en precisar y describir el tipo de soporte, así como las características del lugar donde se resguardan.</w:t>
      </w:r>
    </w:p>
    <w:p w:rsidR="004F0D86" w:rsidRPr="008E157A" w:rsidRDefault="004F0D86" w:rsidP="006C67F7">
      <w:pPr>
        <w:ind w:left="567" w:right="567"/>
        <w:jc w:val="both"/>
        <w:rPr>
          <w:rFonts w:ascii="Palatino Linotype" w:hAnsi="Palatino Linotype" w:cs="Arial"/>
          <w:i/>
          <w:iCs/>
        </w:rPr>
      </w:pP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b/>
          <w:bCs/>
          <w:i/>
          <w:iCs/>
        </w:rPr>
        <w:t>II</w:t>
      </w:r>
      <w:r w:rsidRPr="008E157A">
        <w:rPr>
          <w:rFonts w:ascii="Palatino Linotype" w:hAnsi="Palatino Linotype" w:cs="Arial"/>
          <w:i/>
          <w:iCs/>
        </w:rPr>
        <w:t xml:space="preserve">. </w:t>
      </w:r>
      <w:r w:rsidRPr="008E157A">
        <w:rPr>
          <w:rFonts w:ascii="Palatino Linotype" w:hAnsi="Palatino Linotype" w:cs="Arial"/>
          <w:b/>
          <w:bCs/>
          <w:i/>
          <w:iCs/>
          <w:u w:val="single"/>
        </w:rPr>
        <w:t>Respecto de las medidas de seguridad implementadas deberá incluir lo siguiente</w:t>
      </w:r>
      <w:r w:rsidRPr="008E157A">
        <w:rPr>
          <w:rFonts w:ascii="Palatino Linotype" w:hAnsi="Palatino Linotype" w:cs="Arial"/>
          <w:i/>
          <w:iCs/>
        </w:rPr>
        <w:t>:</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a) Transferencia y remisiones.</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b) Resguardo de soportes físicos y electrónicos.</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c) Bitácoras para accesos, operación cotidiana y violaciones a la seguridad de los datos personales.</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d) El análisis de riesgos.</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e) El análisis de brecha.</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f) Gestión de incidentes.</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g) Acceso a las instalaciones.</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h) Identificación y autenticación.</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i) Procedimientos de respaldo y recuperación de datos.</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j) Plan de contingencia.</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k) Auditorías.</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lastRenderedPageBreak/>
        <w:t>l) Supresión y borrado seguro de datos.</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m) El plan de trabajo.</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n) Los mecanismos de monitoreo y revisión de las medidas de seguridad.</w:t>
      </w:r>
    </w:p>
    <w:p w:rsidR="004F0D86" w:rsidRPr="008E157A" w:rsidRDefault="004F0D86" w:rsidP="006C67F7">
      <w:pPr>
        <w:ind w:left="567" w:right="567"/>
        <w:jc w:val="both"/>
        <w:rPr>
          <w:rFonts w:ascii="Palatino Linotype" w:hAnsi="Palatino Linotype" w:cs="Arial"/>
          <w:i/>
          <w:iCs/>
        </w:rPr>
      </w:pPr>
      <w:r w:rsidRPr="008E157A">
        <w:rPr>
          <w:rFonts w:ascii="Palatino Linotype" w:hAnsi="Palatino Linotype" w:cs="Arial"/>
          <w:i/>
          <w:iCs/>
        </w:rPr>
        <w:t>o) El programa general de capacitación."</w:t>
      </w:r>
    </w:p>
    <w:p w:rsidR="004F0D86" w:rsidRPr="008E157A" w:rsidRDefault="004F0D86" w:rsidP="006C67F7">
      <w:pPr>
        <w:spacing w:line="360" w:lineRule="auto"/>
        <w:jc w:val="both"/>
        <w:rPr>
          <w:rFonts w:ascii="Palatino Linotype" w:hAnsi="Palatino Linotype" w:cs="Arial"/>
        </w:rPr>
      </w:pPr>
    </w:p>
    <w:p w:rsidR="004F0D86" w:rsidRDefault="004F0D86" w:rsidP="006C67F7">
      <w:pPr>
        <w:spacing w:line="360" w:lineRule="auto"/>
        <w:jc w:val="both"/>
        <w:rPr>
          <w:rFonts w:ascii="Palatino Linotype" w:hAnsi="Palatino Linotype" w:cs="Arial"/>
        </w:rPr>
      </w:pPr>
      <w:r w:rsidRPr="008E157A">
        <w:rPr>
          <w:rFonts w:ascii="Palatino Linotype" w:hAnsi="Palatino Linotype" w:cs="Arial"/>
        </w:rPr>
        <w:t xml:space="preserve">En consecuencia, si bien es cierto que, el marco normativo señala que </w:t>
      </w:r>
      <w:r w:rsidRPr="008E157A">
        <w:rPr>
          <w:rFonts w:ascii="Palatino Linotype" w:hAnsi="Palatino Linotype" w:cs="Arial"/>
          <w:b/>
          <w:bCs/>
        </w:rPr>
        <w:t>el documento de seguridad contiene información con la cual su divulgación puede traer consigo el daño, alteración, pérdida, destrucción, uso, transferencia, acceso o tratamiento no autorizado y en su caso ilícito, poniendo en riesgo la integridad, disponibilidad y confidencialidad de los datos personales, también lo es que contiene datos que son susceptibles de ser entregados, previa elaboración de la versión pública, los cuales de manera enunciativa mas no limitativa son e</w:t>
      </w:r>
      <w:r w:rsidRPr="008E157A">
        <w:rPr>
          <w:rFonts w:ascii="Palatino Linotype" w:hAnsi="Palatino Linotype" w:cs="Arial"/>
        </w:rPr>
        <w:t xml:space="preserve">l nombre, cargo y adscripción del administrador de cada sistema y base de datos, las funciones y obligaciones del responsable, encargado o encargados y todas las personas que traten datos personales, así como el folio del registro del sistema y </w:t>
      </w:r>
      <w:r w:rsidRPr="00BC7F41">
        <w:rPr>
          <w:rFonts w:ascii="Palatino Linotype" w:hAnsi="Palatino Linotype" w:cs="Arial"/>
          <w:b/>
          <w:bCs/>
          <w:u w:val="single"/>
        </w:rPr>
        <w:t>la estructura y descripción de los sistemas y bases de datos personales</w:t>
      </w:r>
      <w:r>
        <w:rPr>
          <w:rFonts w:ascii="Palatino Linotype" w:hAnsi="Palatino Linotype" w:cs="Arial"/>
        </w:rPr>
        <w:t>.</w:t>
      </w:r>
    </w:p>
    <w:p w:rsidR="004F0D86" w:rsidRPr="00207C17" w:rsidRDefault="004F0D86" w:rsidP="006C67F7">
      <w:pPr>
        <w:autoSpaceDE w:val="0"/>
        <w:autoSpaceDN w:val="0"/>
        <w:adjustRightInd w:val="0"/>
        <w:spacing w:line="360" w:lineRule="auto"/>
        <w:rPr>
          <w:rFonts w:ascii="Palatino Linotype" w:hAnsi="Palatino Linotype"/>
          <w:lang w:val="es-ES" w:eastAsia="es-ES"/>
        </w:rPr>
      </w:pPr>
    </w:p>
    <w:p w:rsidR="004F0D86" w:rsidRPr="00207C17" w:rsidRDefault="004F0D86" w:rsidP="006C67F7">
      <w:pPr>
        <w:numPr>
          <w:ilvl w:val="0"/>
          <w:numId w:val="6"/>
        </w:numPr>
        <w:spacing w:line="360" w:lineRule="auto"/>
        <w:ind w:left="709" w:right="49"/>
        <w:contextualSpacing/>
        <w:jc w:val="both"/>
        <w:rPr>
          <w:rFonts w:ascii="Palatino Linotype" w:hAnsi="Palatino Linotype"/>
          <w:b/>
          <w:color w:val="000000" w:themeColor="text1"/>
          <w:u w:val="single"/>
          <w:lang w:val="es-ES" w:eastAsia="es-ES"/>
        </w:rPr>
      </w:pPr>
      <w:r w:rsidRPr="00207C17">
        <w:rPr>
          <w:rFonts w:ascii="Palatino Linotype" w:hAnsi="Palatino Linotype"/>
          <w:b/>
          <w:i/>
          <w:lang w:val="es-ES" w:eastAsia="es-ES"/>
        </w:rPr>
        <w:t>DEL ACUERDO DE CLASIFICACIÓN.</w:t>
      </w:r>
      <w:bookmarkStart w:id="5" w:name="_Toc485631704"/>
      <w:bookmarkStart w:id="6" w:name="_Toc496643629"/>
      <w:bookmarkStart w:id="7" w:name="_Toc514868040"/>
      <w:r w:rsidRPr="00207C17">
        <w:rPr>
          <w:rFonts w:ascii="Palatino Linotype" w:hAnsi="Palatino Linotype"/>
          <w:b/>
          <w:i/>
          <w:lang w:val="es-ES" w:eastAsia="es-ES"/>
        </w:rPr>
        <w:t xml:space="preserve"> FORMALIDADES PARA EMITIR EL ACUERDO DE CLASIFICACIÓN.</w:t>
      </w:r>
      <w:bookmarkEnd w:id="5"/>
      <w:bookmarkEnd w:id="6"/>
      <w:bookmarkEnd w:id="7"/>
    </w:p>
    <w:p w:rsidR="004F0D86" w:rsidRPr="00207C17" w:rsidRDefault="004F0D86" w:rsidP="006C67F7">
      <w:pPr>
        <w:tabs>
          <w:tab w:val="left" w:pos="7770"/>
        </w:tabs>
        <w:spacing w:line="360" w:lineRule="auto"/>
        <w:jc w:val="both"/>
        <w:rPr>
          <w:rFonts w:ascii="Palatino Linotype" w:hAnsi="Palatino Linotype" w:cs="Arial"/>
          <w:color w:val="000000" w:themeColor="text1"/>
          <w:sz w:val="2"/>
          <w:lang w:val="es-ES" w:eastAsia="es-ES"/>
        </w:rPr>
      </w:pPr>
    </w:p>
    <w:p w:rsidR="004F0D86" w:rsidRPr="00207C17" w:rsidRDefault="004F0D86" w:rsidP="006C67F7">
      <w:pPr>
        <w:spacing w:line="360" w:lineRule="auto"/>
        <w:contextualSpacing/>
        <w:jc w:val="both"/>
        <w:rPr>
          <w:rFonts w:ascii="Palatino Linotype" w:hAnsi="Palatino Linotype" w:cs="Arial"/>
          <w:color w:val="000000" w:themeColor="text1"/>
        </w:rPr>
      </w:pPr>
      <w:r w:rsidRPr="00207C17">
        <w:rPr>
          <w:rFonts w:ascii="Palatino Linotype" w:hAnsi="Palatino Linotype" w:cs="Arial"/>
          <w:color w:val="000000" w:themeColor="text1"/>
        </w:rPr>
        <w:t xml:space="preserve">Los </w:t>
      </w:r>
      <w:r w:rsidRPr="00207C17">
        <w:rPr>
          <w:rFonts w:ascii="Palatino Linotype" w:hAnsi="Palatino Linotype"/>
          <w:color w:val="000000" w:themeColor="text1"/>
        </w:rPr>
        <w:t>artículos</w:t>
      </w:r>
      <w:r w:rsidRPr="00207C17">
        <w:rPr>
          <w:rFonts w:ascii="Palatino Linotype" w:hAnsi="Palatino Linotype" w:cs="Arial"/>
          <w:color w:val="000000" w:themeColor="text1"/>
        </w:rPr>
        <w:t xml:space="preserve"> 122 y 100 de la </w:t>
      </w:r>
      <w:r w:rsidRPr="00207C17">
        <w:rPr>
          <w:rFonts w:ascii="Palatino Linotype" w:hAnsi="Palatino Linotype" w:cs="Arial"/>
          <w:b/>
          <w:color w:val="000000" w:themeColor="text1"/>
        </w:rPr>
        <w:t>Ley de Transparencia y Acceso a la Información Pública del Estado de México y Municipios</w:t>
      </w:r>
      <w:r w:rsidRPr="00207C17">
        <w:rPr>
          <w:rFonts w:ascii="Palatino Linotype" w:hAnsi="Palatino Linotype" w:cs="Arial"/>
          <w:color w:val="000000" w:themeColor="text1"/>
        </w:rPr>
        <w:t xml:space="preserve"> y de la </w:t>
      </w:r>
      <w:r w:rsidRPr="00207C17">
        <w:rPr>
          <w:rFonts w:ascii="Palatino Linotype" w:hAnsi="Palatino Linotype"/>
          <w:b/>
          <w:color w:val="000000" w:themeColor="text1"/>
        </w:rPr>
        <w:t>Ley General de Transparencia y Acceso a la Información Pública</w:t>
      </w:r>
      <w:r w:rsidRPr="00207C17">
        <w:rPr>
          <w:rFonts w:ascii="Palatino Linotype" w:hAnsi="Palatino Linotype" w:cs="Arial"/>
          <w:color w:val="000000" w:themeColor="text1"/>
        </w:rPr>
        <w:t xml:space="preserve">,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w:t>
      </w:r>
      <w:r w:rsidRPr="00207C17">
        <w:rPr>
          <w:rFonts w:ascii="Palatino Linotype" w:hAnsi="Palatino Linotype" w:cs="Arial"/>
          <w:color w:val="000000" w:themeColor="text1"/>
        </w:rPr>
        <w:lastRenderedPageBreak/>
        <w:t>fotografía, entre otros) que forme parte de algún documento o el documento que se pretende reservar, señalando el supuesto de clasificación (confidencialidad o reserva).</w:t>
      </w:r>
    </w:p>
    <w:p w:rsidR="004F0D86" w:rsidRPr="00207C17" w:rsidRDefault="004F0D86" w:rsidP="006C67F7">
      <w:pPr>
        <w:spacing w:line="360" w:lineRule="auto"/>
        <w:contextualSpacing/>
        <w:jc w:val="both"/>
        <w:rPr>
          <w:rFonts w:ascii="Palatino Linotype" w:hAnsi="Palatino Linotype" w:cs="Arial"/>
          <w:color w:val="000000" w:themeColor="text1"/>
          <w:lang w:val="es-ES" w:eastAsia="es-ES"/>
        </w:rPr>
      </w:pPr>
    </w:p>
    <w:p w:rsidR="004F0D86" w:rsidRPr="00207C17" w:rsidRDefault="004F0D86" w:rsidP="006C67F7">
      <w:pPr>
        <w:spacing w:line="360" w:lineRule="auto"/>
        <w:contextualSpacing/>
        <w:jc w:val="both"/>
        <w:rPr>
          <w:rFonts w:ascii="Palatino Linotype" w:hAnsi="Palatino Linotype" w:cs="Arial"/>
          <w:color w:val="000000" w:themeColor="text1"/>
        </w:rPr>
      </w:pPr>
      <w:r w:rsidRPr="00207C17">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4F0D86" w:rsidRPr="00207C17" w:rsidRDefault="004F0D86" w:rsidP="006C67F7">
      <w:pPr>
        <w:spacing w:line="360" w:lineRule="auto"/>
        <w:contextualSpacing/>
        <w:jc w:val="both"/>
        <w:rPr>
          <w:rFonts w:ascii="Palatino Linotype" w:hAnsi="Palatino Linotype" w:cs="Arial"/>
          <w:color w:val="000000" w:themeColor="text1"/>
        </w:rPr>
      </w:pPr>
    </w:p>
    <w:p w:rsidR="004F0D86" w:rsidRPr="00207C17" w:rsidRDefault="004F0D86" w:rsidP="006C67F7">
      <w:pPr>
        <w:spacing w:line="360" w:lineRule="auto"/>
        <w:contextualSpacing/>
        <w:jc w:val="both"/>
        <w:rPr>
          <w:rFonts w:ascii="Palatino Linotype" w:hAnsi="Palatino Linotype" w:cs="Arial"/>
          <w:color w:val="000000" w:themeColor="text1"/>
        </w:rPr>
      </w:pPr>
      <w:r w:rsidRPr="00207C17">
        <w:rPr>
          <w:rFonts w:ascii="Palatino Linotype" w:hAnsi="Palatino Linotype" w:cs="Arial"/>
          <w:color w:val="000000" w:themeColor="text1"/>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4F0D86" w:rsidRDefault="004F0D86" w:rsidP="006C67F7">
      <w:pPr>
        <w:spacing w:line="360" w:lineRule="auto"/>
        <w:contextualSpacing/>
        <w:jc w:val="both"/>
        <w:rPr>
          <w:rFonts w:ascii="Palatino Linotype" w:hAnsi="Palatino Linotype" w:cs="Arial"/>
          <w:color w:val="000000" w:themeColor="text1"/>
        </w:rPr>
      </w:pPr>
    </w:p>
    <w:p w:rsidR="004F0D86" w:rsidRPr="00207C17" w:rsidRDefault="004F0D86" w:rsidP="006C67F7">
      <w:pPr>
        <w:spacing w:line="360" w:lineRule="auto"/>
        <w:contextualSpacing/>
        <w:jc w:val="both"/>
        <w:rPr>
          <w:rFonts w:ascii="Palatino Linotype" w:hAnsi="Palatino Linotype" w:cs="Arial"/>
          <w:color w:val="000000" w:themeColor="text1"/>
          <w:sz w:val="28"/>
        </w:rPr>
      </w:pPr>
      <w:r w:rsidRPr="00207C17">
        <w:rPr>
          <w:rFonts w:ascii="Palatino Linotype" w:hAnsi="Palatino Linotype" w:cs="Arial"/>
          <w:color w:val="000000" w:themeColor="text1"/>
        </w:rPr>
        <w:t xml:space="preserve">Por lo tanto el Comité de Transparencia, según lo dispuesto en los artículos 128 y 103 de la </w:t>
      </w:r>
      <w:r w:rsidRPr="00207C17">
        <w:rPr>
          <w:rFonts w:ascii="Palatino Linotype" w:hAnsi="Palatino Linotype" w:cs="Arial"/>
          <w:b/>
          <w:color w:val="000000" w:themeColor="text1"/>
        </w:rPr>
        <w:t>Ley de Transparencia y Acceso a la Información Pública del Estado de México y Municipios</w:t>
      </w:r>
      <w:r w:rsidRPr="00207C17">
        <w:rPr>
          <w:rFonts w:ascii="Palatino Linotype" w:hAnsi="Palatino Linotype" w:cs="Arial"/>
          <w:color w:val="000000" w:themeColor="text1"/>
        </w:rPr>
        <w:t xml:space="preserve"> y de la </w:t>
      </w:r>
      <w:r w:rsidRPr="00207C17">
        <w:rPr>
          <w:rFonts w:ascii="Palatino Linotype" w:hAnsi="Palatino Linotype"/>
          <w:b/>
          <w:color w:val="000000" w:themeColor="text1"/>
        </w:rPr>
        <w:t>Ley General de Transparencia y Acceso a la Información Pública</w:t>
      </w:r>
      <w:r w:rsidRPr="00207C17">
        <w:rPr>
          <w:rFonts w:ascii="Palatino Linotype" w:hAnsi="Palatino Linotype"/>
          <w:color w:val="000000" w:themeColor="text1"/>
        </w:rPr>
        <w:t>,</w:t>
      </w:r>
      <w:r w:rsidRPr="00207C17">
        <w:rPr>
          <w:rFonts w:ascii="Palatino Linotype" w:hAnsi="Palatino Linotype" w:cs="Arial"/>
          <w:color w:val="000000" w:themeColor="text1"/>
        </w:rPr>
        <w:t xml:space="preserve"> respectivamente, y </w:t>
      </w:r>
      <w:r w:rsidRPr="00207C17">
        <w:rPr>
          <w:rFonts w:ascii="Palatino Linotype" w:hAnsi="Palatino Linotype"/>
          <w:color w:val="000000" w:themeColor="text1"/>
        </w:rPr>
        <w:t xml:space="preserve">la fracción III del numeral Segundo de los </w:t>
      </w:r>
      <w:r w:rsidRPr="00207C17">
        <w:rPr>
          <w:rFonts w:ascii="Palatino Linotype" w:hAnsi="Palatino Linotype" w:cs="Arial"/>
          <w:b/>
          <w:color w:val="000000" w:themeColor="text1"/>
        </w:rPr>
        <w:t>Lineamientos generales en materia de clasificación y desclasificación de la información, así como para la elaboración de versiones públicas</w:t>
      </w:r>
      <w:r w:rsidRPr="00207C17">
        <w:rPr>
          <w:rFonts w:ascii="Palatino Linotype" w:hAnsi="Palatino Linotype" w:cs="Arial"/>
          <w:color w:val="000000" w:themeColor="text1"/>
        </w:rPr>
        <w:t>, en adelante los Lineamientos Generales,</w:t>
      </w:r>
      <w:r w:rsidRPr="00207C17">
        <w:rPr>
          <w:rFonts w:ascii="Palatino Linotype" w:hAnsi="Palatino Linotype"/>
          <w:color w:val="000000" w:themeColor="text1"/>
        </w:rPr>
        <w:t xml:space="preserve"> </w:t>
      </w:r>
      <w:r w:rsidRPr="00207C17">
        <w:rPr>
          <w:rFonts w:ascii="Palatino Linotype" w:hAnsi="Palatino Linotype" w:cs="Arial"/>
          <w:color w:val="000000" w:themeColor="text1"/>
        </w:rPr>
        <w:t xml:space="preserve">cuenta con las facultades para confirmar, modificar o revocar la clasificación de la información que ha hecho el titular del área que administra la información. Por lo tanto, </w:t>
      </w:r>
      <w:r w:rsidRPr="00207C17">
        <w:rPr>
          <w:rFonts w:ascii="Palatino Linotype" w:hAnsi="Palatino Linotype" w:cs="Arial"/>
          <w:color w:val="000000" w:themeColor="text1"/>
        </w:rPr>
        <w:lastRenderedPageBreak/>
        <w:t>el Comité no aprueba la clasificación, sino que revisa lo que ha hecho el titular del área y confirma, modifica o revoca la decisión a través de un acuerdo.</w:t>
      </w:r>
    </w:p>
    <w:p w:rsidR="004F0D86" w:rsidRPr="00207C17" w:rsidRDefault="004F0D86" w:rsidP="006C67F7">
      <w:pPr>
        <w:rPr>
          <w:lang w:eastAsia="es-ES"/>
        </w:rPr>
      </w:pPr>
    </w:p>
    <w:p w:rsidR="001B007F" w:rsidRDefault="001B007F" w:rsidP="006C67F7">
      <w:pPr>
        <w:spacing w:line="360" w:lineRule="auto"/>
        <w:contextualSpacing/>
        <w:jc w:val="both"/>
        <w:rPr>
          <w:rFonts w:ascii="Palatino Linotype" w:hAnsi="Palatino Linotype" w:cs="Arial"/>
          <w:color w:val="000000" w:themeColor="text1"/>
        </w:rPr>
      </w:pPr>
    </w:p>
    <w:p w:rsidR="004F0D86" w:rsidRPr="00207C17" w:rsidRDefault="004F0D86" w:rsidP="006C67F7">
      <w:pPr>
        <w:spacing w:line="360" w:lineRule="auto"/>
        <w:contextualSpacing/>
        <w:jc w:val="both"/>
        <w:rPr>
          <w:rFonts w:ascii="Palatino Linotype" w:hAnsi="Palatino Linotype" w:cs="Arial"/>
          <w:color w:val="000000" w:themeColor="text1"/>
          <w:sz w:val="32"/>
        </w:rPr>
      </w:pPr>
      <w:r w:rsidRPr="00207C17">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por lo que no está por demás señalar que los artículos 45 y 46 de la </w:t>
      </w:r>
      <w:r w:rsidRPr="00207C17">
        <w:rPr>
          <w:rFonts w:ascii="Palatino Linotype" w:hAnsi="Palatino Linotype" w:cs="Arial"/>
          <w:b/>
          <w:color w:val="000000" w:themeColor="text1"/>
        </w:rPr>
        <w:t>Ley de Transparencia y Acceso a la Información Pública del Estado de México y Municipios</w:t>
      </w:r>
      <w:r w:rsidRPr="00207C17">
        <w:rPr>
          <w:rFonts w:ascii="Palatino Linotype" w:hAnsi="Palatino Linotype" w:cs="Arial"/>
          <w:color w:val="000000" w:themeColor="text1"/>
        </w:rPr>
        <w:t>, claramente señalan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4F0D86" w:rsidRPr="00207C17" w:rsidRDefault="004F0D86" w:rsidP="006C67F7">
      <w:pPr>
        <w:spacing w:line="360" w:lineRule="auto"/>
        <w:contextualSpacing/>
        <w:jc w:val="both"/>
        <w:rPr>
          <w:rFonts w:ascii="Palatino Linotype" w:hAnsi="Palatino Linotype" w:cs="Arial"/>
          <w:color w:val="000000" w:themeColor="text1"/>
          <w:sz w:val="20"/>
        </w:rPr>
      </w:pPr>
    </w:p>
    <w:p w:rsidR="004F0D86" w:rsidRPr="00207C17" w:rsidRDefault="004F0D86" w:rsidP="006C67F7">
      <w:pPr>
        <w:spacing w:line="360" w:lineRule="auto"/>
        <w:contextualSpacing/>
        <w:jc w:val="both"/>
        <w:rPr>
          <w:rFonts w:ascii="Palatino Linotype" w:hAnsi="Palatino Linotype"/>
          <w:color w:val="000000" w:themeColor="text1"/>
        </w:rPr>
      </w:pPr>
      <w:r w:rsidRPr="00207C17">
        <w:rPr>
          <w:rFonts w:ascii="Palatino Linotype" w:hAnsi="Palatino Linotype"/>
          <w:color w:val="000000" w:themeColor="text1"/>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bookmarkStart w:id="8" w:name="_Toc485631705"/>
      <w:bookmarkStart w:id="9" w:name="_Toc496643630"/>
      <w:bookmarkStart w:id="10" w:name="_Toc514868041"/>
      <w:bookmarkStart w:id="11" w:name="_Toc516161530"/>
    </w:p>
    <w:p w:rsidR="004F0D86" w:rsidRPr="00207C17" w:rsidRDefault="004F0D86" w:rsidP="006C67F7">
      <w:pPr>
        <w:spacing w:line="360" w:lineRule="auto"/>
        <w:contextualSpacing/>
        <w:jc w:val="both"/>
        <w:rPr>
          <w:rFonts w:ascii="Palatino Linotype" w:hAnsi="Palatino Linotype"/>
          <w:color w:val="000000" w:themeColor="text1"/>
          <w:sz w:val="20"/>
        </w:rPr>
      </w:pPr>
    </w:p>
    <w:p w:rsidR="004F0D86" w:rsidRPr="00207C17" w:rsidRDefault="004F0D86" w:rsidP="006C67F7">
      <w:pPr>
        <w:numPr>
          <w:ilvl w:val="0"/>
          <w:numId w:val="7"/>
        </w:numPr>
        <w:spacing w:line="360" w:lineRule="auto"/>
        <w:contextualSpacing/>
        <w:jc w:val="both"/>
        <w:rPr>
          <w:rFonts w:ascii="Palatino Linotype" w:hAnsi="Palatino Linotype" w:cs="Arial"/>
          <w:b/>
          <w:i/>
          <w:color w:val="000000" w:themeColor="text1"/>
          <w:sz w:val="36"/>
          <w:lang w:val="es-ES" w:eastAsia="es-ES"/>
        </w:rPr>
      </w:pPr>
      <w:r w:rsidRPr="00207C17">
        <w:rPr>
          <w:rFonts w:ascii="Palatino Linotype" w:hAnsi="Palatino Linotype"/>
          <w:b/>
          <w:i/>
          <w:lang w:val="es-ES" w:eastAsia="es-ES"/>
        </w:rPr>
        <w:t>Requisitos de fondo del acuerdo de clasificación.</w:t>
      </w:r>
      <w:bookmarkEnd w:id="8"/>
      <w:bookmarkEnd w:id="9"/>
      <w:bookmarkEnd w:id="10"/>
      <w:bookmarkEnd w:id="11"/>
    </w:p>
    <w:p w:rsidR="004F0D86" w:rsidRPr="00207C17" w:rsidRDefault="004F0D86" w:rsidP="006C67F7">
      <w:pPr>
        <w:spacing w:line="360" w:lineRule="auto"/>
        <w:contextualSpacing/>
        <w:jc w:val="both"/>
        <w:rPr>
          <w:rFonts w:ascii="Palatino Linotype" w:hAnsi="Palatino Linotype" w:cs="Arial"/>
          <w:color w:val="000000" w:themeColor="text1"/>
          <w:sz w:val="18"/>
        </w:rPr>
      </w:pPr>
      <w:r w:rsidRPr="00207C17">
        <w:rPr>
          <w:rFonts w:ascii="Palatino Linotype" w:hAnsi="Palatino Linotype" w:cs="Arial"/>
          <w:color w:val="000000" w:themeColor="text1"/>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4F0D86" w:rsidRDefault="004F0D86" w:rsidP="006C67F7">
      <w:pPr>
        <w:spacing w:line="360" w:lineRule="auto"/>
        <w:contextualSpacing/>
        <w:jc w:val="both"/>
        <w:rPr>
          <w:rFonts w:ascii="Palatino Linotype" w:hAnsi="Palatino Linotype"/>
          <w:color w:val="000000" w:themeColor="text1"/>
        </w:rPr>
      </w:pPr>
    </w:p>
    <w:p w:rsidR="004F0D86" w:rsidRPr="00207C17" w:rsidRDefault="004F0D86" w:rsidP="006C67F7">
      <w:pPr>
        <w:spacing w:line="360" w:lineRule="auto"/>
        <w:contextualSpacing/>
        <w:jc w:val="both"/>
        <w:rPr>
          <w:rFonts w:ascii="Palatino Linotype" w:hAnsi="Palatino Linotype" w:cs="Arial"/>
          <w:color w:val="000000" w:themeColor="text1"/>
          <w:sz w:val="44"/>
        </w:rPr>
      </w:pPr>
      <w:r w:rsidRPr="00207C17">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4F0D86" w:rsidRPr="00207C17" w:rsidRDefault="004F0D86" w:rsidP="006C67F7">
      <w:pPr>
        <w:spacing w:line="360" w:lineRule="auto"/>
        <w:contextualSpacing/>
        <w:jc w:val="both"/>
        <w:rPr>
          <w:rFonts w:ascii="Palatino Linotype" w:hAnsi="Palatino Linotype" w:cs="Arial"/>
          <w:color w:val="000000" w:themeColor="text1"/>
          <w:sz w:val="20"/>
        </w:rPr>
      </w:pPr>
    </w:p>
    <w:p w:rsidR="004F0D86" w:rsidRPr="00207C17" w:rsidRDefault="004F0D86" w:rsidP="006C67F7">
      <w:pPr>
        <w:spacing w:line="360" w:lineRule="auto"/>
        <w:contextualSpacing/>
        <w:jc w:val="both"/>
        <w:rPr>
          <w:rFonts w:ascii="Palatino Linotype" w:hAnsi="Palatino Linotype" w:cs="Arial"/>
          <w:color w:val="000000" w:themeColor="text1"/>
          <w:sz w:val="44"/>
        </w:rPr>
      </w:pPr>
      <w:r w:rsidRPr="00207C17">
        <w:rPr>
          <w:rFonts w:ascii="Palatino Linotype" w:hAnsi="Palatino Linotype" w:cs="Arial"/>
          <w:color w:val="000000" w:themeColor="text1"/>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w:t>
      </w:r>
      <w:r w:rsidRPr="00207C17">
        <w:rPr>
          <w:rFonts w:ascii="Palatino Linotype" w:hAnsi="Palatino Linotype" w:cs="Arial"/>
          <w:color w:val="000000" w:themeColor="text1"/>
        </w:rPr>
        <w:lastRenderedPageBreak/>
        <w:t>son ciertos, normalmente a partir del análisis de las pruebas, lo cual se debe exteriorizar en una argumentación o juicio de hecho....”.</w:t>
      </w:r>
      <w:r w:rsidRPr="00207C17">
        <w:rPr>
          <w:rFonts w:ascii="Palatino Linotype" w:hAnsi="Palatino Linotype" w:cs="Arial"/>
          <w:color w:val="000000" w:themeColor="text1"/>
          <w:vertAlign w:val="superscript"/>
        </w:rPr>
        <w:footnoteReference w:id="4"/>
      </w:r>
    </w:p>
    <w:p w:rsidR="004F0D86" w:rsidRDefault="004F0D86" w:rsidP="006C67F7">
      <w:pPr>
        <w:spacing w:line="360" w:lineRule="auto"/>
        <w:contextualSpacing/>
        <w:jc w:val="both"/>
        <w:rPr>
          <w:rFonts w:ascii="Palatino Linotype" w:hAnsi="Palatino Linotype" w:cs="Arial"/>
          <w:color w:val="000000" w:themeColor="text1"/>
        </w:rPr>
      </w:pPr>
    </w:p>
    <w:p w:rsidR="004F0D86" w:rsidRPr="00207C17" w:rsidRDefault="004F0D86" w:rsidP="006C67F7">
      <w:pPr>
        <w:spacing w:line="360" w:lineRule="auto"/>
        <w:contextualSpacing/>
        <w:jc w:val="both"/>
        <w:rPr>
          <w:rFonts w:ascii="Palatino Linotype" w:hAnsi="Palatino Linotype" w:cs="Arial"/>
          <w:color w:val="000000" w:themeColor="text1"/>
          <w:sz w:val="48"/>
        </w:rPr>
      </w:pPr>
      <w:r w:rsidRPr="00207C17">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rsidR="004F0D86" w:rsidRPr="00207C17" w:rsidRDefault="004F0D86" w:rsidP="006C67F7">
      <w:pPr>
        <w:spacing w:line="360" w:lineRule="auto"/>
        <w:ind w:right="618"/>
        <w:contextualSpacing/>
        <w:jc w:val="both"/>
        <w:rPr>
          <w:rFonts w:ascii="Palatino Linotype" w:hAnsi="Palatino Linotype" w:cs="Arial"/>
          <w:color w:val="000000" w:themeColor="text1"/>
          <w:sz w:val="18"/>
        </w:rPr>
      </w:pPr>
    </w:p>
    <w:p w:rsidR="004F0D86" w:rsidRPr="00207C17" w:rsidRDefault="004F0D86" w:rsidP="006C67F7">
      <w:pPr>
        <w:ind w:left="567" w:right="618"/>
        <w:contextualSpacing/>
        <w:jc w:val="both"/>
        <w:rPr>
          <w:rFonts w:ascii="Palatino Linotype" w:hAnsi="Palatino Linotype" w:cs="Arial"/>
          <w:i/>
          <w:color w:val="000000" w:themeColor="text1"/>
        </w:rPr>
      </w:pPr>
      <w:r w:rsidRPr="00207C17">
        <w:rPr>
          <w:rFonts w:ascii="Palatino Linotype" w:hAnsi="Palatino Linotype" w:cs="Arial"/>
          <w:b/>
          <w:i/>
          <w:color w:val="000000" w:themeColor="text1"/>
        </w:rPr>
        <w:t>FUNDAMENTACIÓN Y MOTIVACIÓN.</w:t>
      </w:r>
      <w:r w:rsidRPr="00207C17">
        <w:rPr>
          <w:rFonts w:ascii="Palatino Linotype" w:hAnsi="Palatino Linotype" w:cs="Arial"/>
          <w:i/>
          <w:color w:val="000000" w:themeColor="text1"/>
        </w:rPr>
        <w:t xml:space="preserve"> La </w:t>
      </w:r>
      <w:r w:rsidRPr="00207C17">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207C17">
        <w:rPr>
          <w:rFonts w:ascii="Palatino Linotype" w:hAnsi="Palatino Linotype" w:cs="Arial"/>
          <w:i/>
          <w:color w:val="000000" w:themeColor="text1"/>
        </w:rPr>
        <w:t>.</w:t>
      </w:r>
    </w:p>
    <w:p w:rsidR="004F0D86" w:rsidRPr="00207C17" w:rsidRDefault="004F0D86" w:rsidP="006C67F7">
      <w:pPr>
        <w:ind w:left="567" w:right="618"/>
        <w:contextualSpacing/>
        <w:jc w:val="both"/>
        <w:rPr>
          <w:rFonts w:ascii="Palatino Linotype" w:hAnsi="Palatino Linotype" w:cs="Arial"/>
          <w:i/>
          <w:color w:val="000000" w:themeColor="text1"/>
        </w:rPr>
      </w:pPr>
    </w:p>
    <w:p w:rsidR="004F0D86" w:rsidRPr="00207C17" w:rsidRDefault="004F0D86" w:rsidP="006C67F7">
      <w:pPr>
        <w:ind w:left="567" w:right="618"/>
        <w:contextualSpacing/>
        <w:jc w:val="both"/>
        <w:rPr>
          <w:rFonts w:ascii="Palatino Linotype" w:hAnsi="Palatino Linotype" w:cs="Arial"/>
          <w:i/>
          <w:color w:val="000000" w:themeColor="text1"/>
          <w:sz w:val="20"/>
        </w:rPr>
      </w:pPr>
      <w:r w:rsidRPr="00207C17">
        <w:rPr>
          <w:rFonts w:ascii="Palatino Linotype" w:hAnsi="Palatino Linotype" w:cs="Arial"/>
          <w:i/>
          <w:color w:val="000000" w:themeColor="text1"/>
          <w:sz w:val="20"/>
        </w:rPr>
        <w:t>SEGUNDO TRIBUNAL COLEGIADO DEL SEXTO CIRCUITO.</w:t>
      </w:r>
    </w:p>
    <w:p w:rsidR="004F0D86" w:rsidRPr="00207C17" w:rsidRDefault="004F0D86" w:rsidP="006C67F7">
      <w:pPr>
        <w:ind w:left="567" w:right="618"/>
        <w:contextualSpacing/>
        <w:jc w:val="both"/>
        <w:rPr>
          <w:rFonts w:ascii="Palatino Linotype" w:hAnsi="Palatino Linotype" w:cs="Arial"/>
          <w:i/>
          <w:color w:val="000000" w:themeColor="text1"/>
          <w:sz w:val="20"/>
        </w:rPr>
      </w:pPr>
      <w:r w:rsidRPr="00207C17">
        <w:rPr>
          <w:rFonts w:ascii="Palatino Linotype" w:hAnsi="Palatino Linotype" w:cs="Arial"/>
          <w:i/>
          <w:color w:val="000000" w:themeColor="text1"/>
          <w:sz w:val="20"/>
        </w:rPr>
        <w:t>Amparo directo 194/88. Bufete Industrial Construcciones, S.A. de C.V. 28 de junio de 1988. Unanimidad de votos. Ponente: Gustavo Calvillo Rangel. Secretario: Jorge Alberto González Álvarez.</w:t>
      </w:r>
    </w:p>
    <w:p w:rsidR="004F0D86" w:rsidRPr="00207C17" w:rsidRDefault="004F0D86" w:rsidP="006C67F7">
      <w:pPr>
        <w:ind w:left="567" w:right="618"/>
        <w:contextualSpacing/>
        <w:jc w:val="both"/>
        <w:rPr>
          <w:rFonts w:ascii="Palatino Linotype" w:hAnsi="Palatino Linotype" w:cs="Arial"/>
          <w:i/>
          <w:color w:val="000000" w:themeColor="text1"/>
          <w:sz w:val="20"/>
        </w:rPr>
      </w:pPr>
      <w:r w:rsidRPr="00207C17">
        <w:rPr>
          <w:rFonts w:ascii="Palatino Linotype" w:hAnsi="Palatino Linotype" w:cs="Arial"/>
          <w:i/>
          <w:color w:val="000000" w:themeColor="text1"/>
          <w:sz w:val="20"/>
        </w:rPr>
        <w:t xml:space="preserve">Revisión fiscal 103/88. Instituto Mexicano del Seguro Social. 18 de octubre de 1988. Unanimidad de votos. Ponente: Arnoldo Nájera Virgen. Secretario: Alejandro </w:t>
      </w:r>
      <w:proofErr w:type="spellStart"/>
      <w:r w:rsidRPr="00207C17">
        <w:rPr>
          <w:rFonts w:ascii="Palatino Linotype" w:hAnsi="Palatino Linotype" w:cs="Arial"/>
          <w:i/>
          <w:color w:val="000000" w:themeColor="text1"/>
          <w:sz w:val="20"/>
        </w:rPr>
        <w:t>Esponda</w:t>
      </w:r>
      <w:proofErr w:type="spellEnd"/>
      <w:r w:rsidRPr="00207C17">
        <w:rPr>
          <w:rFonts w:ascii="Palatino Linotype" w:hAnsi="Palatino Linotype" w:cs="Arial"/>
          <w:i/>
          <w:color w:val="000000" w:themeColor="text1"/>
          <w:sz w:val="20"/>
        </w:rPr>
        <w:t xml:space="preserve"> Rincón.</w:t>
      </w:r>
    </w:p>
    <w:p w:rsidR="004F0D86" w:rsidRPr="00207C17" w:rsidRDefault="004F0D86" w:rsidP="006C67F7">
      <w:pPr>
        <w:ind w:left="567" w:right="618"/>
        <w:contextualSpacing/>
        <w:jc w:val="both"/>
        <w:rPr>
          <w:rFonts w:ascii="Palatino Linotype" w:hAnsi="Palatino Linotype" w:cs="Arial"/>
          <w:i/>
          <w:color w:val="000000" w:themeColor="text1"/>
          <w:sz w:val="20"/>
        </w:rPr>
      </w:pPr>
      <w:r w:rsidRPr="00207C17">
        <w:rPr>
          <w:rFonts w:ascii="Palatino Linotype" w:hAnsi="Palatino Linotype" w:cs="Arial"/>
          <w:i/>
          <w:color w:val="000000" w:themeColor="text1"/>
          <w:sz w:val="20"/>
        </w:rPr>
        <w:t xml:space="preserve">Amparo en revisión 333/88. </w:t>
      </w:r>
      <w:proofErr w:type="spellStart"/>
      <w:r w:rsidRPr="00207C17">
        <w:rPr>
          <w:rFonts w:ascii="Palatino Linotype" w:hAnsi="Palatino Linotype" w:cs="Arial"/>
          <w:i/>
          <w:color w:val="000000" w:themeColor="text1"/>
          <w:sz w:val="20"/>
        </w:rPr>
        <w:t>Adilia</w:t>
      </w:r>
      <w:proofErr w:type="spellEnd"/>
      <w:r w:rsidRPr="00207C17">
        <w:rPr>
          <w:rFonts w:ascii="Palatino Linotype" w:hAnsi="Palatino Linotype" w:cs="Arial"/>
          <w:i/>
          <w:color w:val="000000" w:themeColor="text1"/>
          <w:sz w:val="20"/>
        </w:rPr>
        <w:t xml:space="preserve"> Romero. 26 de octubre de 1988. Unanimidad de votos. Ponente: Arnoldo Nájera Virgen. Secretario: Enrique Crispín Campos Ramírez.</w:t>
      </w:r>
    </w:p>
    <w:p w:rsidR="004F0D86" w:rsidRPr="00207C17" w:rsidRDefault="004F0D86" w:rsidP="006C67F7">
      <w:pPr>
        <w:ind w:left="567" w:right="618"/>
        <w:contextualSpacing/>
        <w:jc w:val="both"/>
        <w:rPr>
          <w:rFonts w:ascii="Palatino Linotype" w:hAnsi="Palatino Linotype" w:cs="Arial"/>
          <w:i/>
          <w:color w:val="000000" w:themeColor="text1"/>
          <w:sz w:val="20"/>
        </w:rPr>
      </w:pPr>
      <w:r w:rsidRPr="00207C17">
        <w:rPr>
          <w:rFonts w:ascii="Palatino Linotype" w:hAnsi="Palatino Linotype" w:cs="Arial"/>
          <w:i/>
          <w:color w:val="000000" w:themeColor="text1"/>
          <w:sz w:val="20"/>
        </w:rPr>
        <w:t xml:space="preserve">Amparo en revisión 597/95. Emilio Maurer Bretón. 15 de noviembre de 1995. Unanimidad de votos. Ponente: Clementina Ramírez Moguel </w:t>
      </w:r>
      <w:proofErr w:type="spellStart"/>
      <w:r w:rsidRPr="00207C17">
        <w:rPr>
          <w:rFonts w:ascii="Palatino Linotype" w:hAnsi="Palatino Linotype" w:cs="Arial"/>
          <w:i/>
          <w:color w:val="000000" w:themeColor="text1"/>
          <w:sz w:val="20"/>
        </w:rPr>
        <w:t>Goyzueta</w:t>
      </w:r>
      <w:proofErr w:type="spellEnd"/>
      <w:r w:rsidRPr="00207C17">
        <w:rPr>
          <w:rFonts w:ascii="Palatino Linotype" w:hAnsi="Palatino Linotype" w:cs="Arial"/>
          <w:i/>
          <w:color w:val="000000" w:themeColor="text1"/>
          <w:sz w:val="20"/>
        </w:rPr>
        <w:t>. Secretario: Gonzalo Carrera Molina.</w:t>
      </w:r>
    </w:p>
    <w:p w:rsidR="004F0D86" w:rsidRPr="00207C17" w:rsidRDefault="004F0D86" w:rsidP="006C67F7">
      <w:pPr>
        <w:ind w:left="567" w:right="618"/>
        <w:contextualSpacing/>
        <w:jc w:val="both"/>
        <w:rPr>
          <w:rFonts w:ascii="Palatino Linotype" w:hAnsi="Palatino Linotype" w:cs="Arial"/>
          <w:i/>
          <w:color w:val="000000" w:themeColor="text1"/>
          <w:sz w:val="20"/>
        </w:rPr>
      </w:pPr>
      <w:r w:rsidRPr="00207C17">
        <w:rPr>
          <w:rFonts w:ascii="Palatino Linotype" w:hAnsi="Palatino Linotype" w:cs="Arial"/>
          <w:i/>
          <w:color w:val="000000" w:themeColor="text1"/>
          <w:sz w:val="20"/>
        </w:rPr>
        <w:t xml:space="preserve">Amparo directo 7/96. Pedro Vicente López Miro. 21 de febrero de 1996. Unanimidad de votos. Ponente: María Eugenia Estela Martínez Cardiel. Secretario: Enrique </w:t>
      </w:r>
      <w:proofErr w:type="spellStart"/>
      <w:r w:rsidRPr="00207C17">
        <w:rPr>
          <w:rFonts w:ascii="Palatino Linotype" w:hAnsi="Palatino Linotype" w:cs="Arial"/>
          <w:i/>
          <w:color w:val="000000" w:themeColor="text1"/>
          <w:sz w:val="20"/>
        </w:rPr>
        <w:t>Baigts</w:t>
      </w:r>
      <w:proofErr w:type="spellEnd"/>
      <w:r w:rsidRPr="00207C17">
        <w:rPr>
          <w:rFonts w:ascii="Palatino Linotype" w:hAnsi="Palatino Linotype" w:cs="Arial"/>
          <w:i/>
          <w:color w:val="000000" w:themeColor="text1"/>
          <w:sz w:val="20"/>
        </w:rPr>
        <w:t xml:space="preserve"> Muñoz.</w:t>
      </w:r>
      <w:r w:rsidRPr="00207C17">
        <w:rPr>
          <w:rFonts w:ascii="Palatino Linotype" w:hAnsi="Palatino Linotype" w:cs="Arial"/>
          <w:i/>
          <w:color w:val="000000" w:themeColor="text1"/>
          <w:sz w:val="20"/>
          <w:vertAlign w:val="superscript"/>
        </w:rPr>
        <w:footnoteReference w:id="5"/>
      </w:r>
    </w:p>
    <w:p w:rsidR="004F0D86" w:rsidRPr="00442901" w:rsidRDefault="004F0D86" w:rsidP="006C67F7">
      <w:pPr>
        <w:spacing w:line="360" w:lineRule="auto"/>
        <w:ind w:left="567"/>
        <w:contextualSpacing/>
        <w:jc w:val="both"/>
        <w:rPr>
          <w:rFonts w:ascii="Palatino Linotype" w:hAnsi="Palatino Linotype" w:cs="Arial"/>
          <w:i/>
          <w:color w:val="000000" w:themeColor="text1"/>
          <w:lang w:val="es-ES"/>
        </w:rPr>
      </w:pPr>
    </w:p>
    <w:p w:rsidR="004F0D86" w:rsidRPr="00207C17" w:rsidRDefault="004F0D86" w:rsidP="006C67F7">
      <w:pPr>
        <w:shd w:val="clear" w:color="auto" w:fill="FFFFFF"/>
        <w:spacing w:line="360" w:lineRule="auto"/>
        <w:contextualSpacing/>
        <w:jc w:val="both"/>
        <w:rPr>
          <w:rFonts w:ascii="Palatino Linotype" w:hAnsi="Palatino Linotype" w:cs="Arial"/>
          <w:color w:val="000000" w:themeColor="text1"/>
        </w:rPr>
      </w:pPr>
      <w:r w:rsidRPr="00207C17">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4F0D86" w:rsidRPr="00442901" w:rsidRDefault="004F0D86" w:rsidP="006C67F7">
      <w:pPr>
        <w:shd w:val="clear" w:color="auto" w:fill="FFFFFF"/>
        <w:spacing w:line="360" w:lineRule="auto"/>
        <w:contextualSpacing/>
        <w:jc w:val="both"/>
        <w:rPr>
          <w:rFonts w:ascii="Palatino Linotype" w:hAnsi="Palatino Linotype" w:cs="Arial"/>
          <w:color w:val="000000" w:themeColor="text1"/>
        </w:rPr>
      </w:pPr>
    </w:p>
    <w:p w:rsidR="004F0D86" w:rsidRPr="00207C17" w:rsidRDefault="004F0D86" w:rsidP="006C67F7">
      <w:pPr>
        <w:shd w:val="clear" w:color="auto" w:fill="FFFFFF"/>
        <w:spacing w:line="360" w:lineRule="auto"/>
        <w:contextualSpacing/>
        <w:jc w:val="both"/>
        <w:rPr>
          <w:rFonts w:ascii="Palatino Linotype" w:hAnsi="Palatino Linotype" w:cs="Arial"/>
          <w:color w:val="000000" w:themeColor="text1"/>
        </w:rPr>
      </w:pPr>
      <w:r w:rsidRPr="00207C17">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4F0D86" w:rsidRPr="00442901" w:rsidRDefault="004F0D86" w:rsidP="006C67F7">
      <w:pPr>
        <w:shd w:val="clear" w:color="auto" w:fill="FFFFFF"/>
        <w:spacing w:line="360" w:lineRule="auto"/>
        <w:contextualSpacing/>
        <w:jc w:val="both"/>
        <w:rPr>
          <w:rFonts w:ascii="Palatino Linotype" w:hAnsi="Palatino Linotype" w:cs="Arial"/>
          <w:color w:val="000000" w:themeColor="text1"/>
        </w:rPr>
      </w:pPr>
    </w:p>
    <w:p w:rsidR="004F0D86" w:rsidRPr="00207C17" w:rsidRDefault="004F0D86" w:rsidP="006C67F7">
      <w:pPr>
        <w:shd w:val="clear" w:color="auto" w:fill="FFFFFF"/>
        <w:spacing w:line="360" w:lineRule="auto"/>
        <w:contextualSpacing/>
        <w:jc w:val="both"/>
        <w:rPr>
          <w:rFonts w:ascii="Palatino Linotype" w:hAnsi="Palatino Linotype"/>
          <w:color w:val="000000" w:themeColor="text1"/>
        </w:rPr>
      </w:pPr>
      <w:r w:rsidRPr="00207C17">
        <w:rPr>
          <w:rFonts w:ascii="Palatino Linotype" w:hAnsi="Palatino Linotype" w:cs="Arial"/>
          <w:color w:val="000000" w:themeColor="text1"/>
        </w:rPr>
        <w:t xml:space="preserve">En otras palabras, </w:t>
      </w:r>
      <w:r w:rsidRPr="00207C17">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207C17">
        <w:rPr>
          <w:rFonts w:ascii="Palatino Linotype" w:hAnsi="Palatino Linotype"/>
          <w:b/>
          <w:color w:val="000000" w:themeColor="text1"/>
        </w:rPr>
        <w:t>Sujeto Obligado</w:t>
      </w:r>
      <w:r w:rsidRPr="00207C17">
        <w:rPr>
          <w:rFonts w:ascii="Palatino Linotype" w:hAnsi="Palatino Linotype"/>
          <w:color w:val="000000" w:themeColor="text1"/>
        </w:rPr>
        <w:t xml:space="preserve">. Dicho acuerdo deberá de contener los </w:t>
      </w:r>
      <w:r w:rsidRPr="00207C17">
        <w:rPr>
          <w:rFonts w:ascii="Palatino Linotype" w:hAnsi="Palatino Linotype"/>
          <w:b/>
          <w:color w:val="000000" w:themeColor="text1"/>
        </w:rPr>
        <w:t>razonamientos lógicos</w:t>
      </w:r>
      <w:r w:rsidRPr="00207C17">
        <w:rPr>
          <w:rFonts w:ascii="Palatino Linotype" w:hAnsi="Palatino Linotype"/>
          <w:color w:val="000000" w:themeColor="text1"/>
        </w:rPr>
        <w:t xml:space="preserve"> mediante los cuales se </w:t>
      </w:r>
      <w:r w:rsidRPr="00207C17">
        <w:rPr>
          <w:rFonts w:ascii="Palatino Linotype" w:hAnsi="Palatino Linotype"/>
          <w:b/>
          <w:color w:val="000000" w:themeColor="text1"/>
        </w:rPr>
        <w:t xml:space="preserve">demuestre </w:t>
      </w:r>
      <w:r w:rsidRPr="00207C17">
        <w:rPr>
          <w:rFonts w:ascii="Palatino Linotype" w:hAnsi="Palatino Linotype"/>
          <w:color w:val="000000" w:themeColor="text1"/>
        </w:rPr>
        <w:t>que la información corresponde a algunas de las hipótesis jurídicas previstas en los artículos 122 y 143 de la ley, o en el caso concreto</w:t>
      </w:r>
      <w:r w:rsidRPr="00207C17">
        <w:t xml:space="preserve"> del </w:t>
      </w:r>
      <w:r w:rsidRPr="00207C17">
        <w:rPr>
          <w:rFonts w:ascii="Palatino Linotype" w:hAnsi="Palatino Linotype"/>
          <w:color w:val="000000" w:themeColor="text1"/>
        </w:rPr>
        <w:t>artículo 4 fracciones XXX, XXXI, XXXII y XXXIII, 43 y 49 de la Ley de Protección de Datos Personales en Posesión de Sujetos Obligados del Estado de México y Municipios explicando claramente las causas excepcionales que justifican la restricción al derecho.</w:t>
      </w:r>
    </w:p>
    <w:p w:rsidR="004F0D86" w:rsidRPr="00442901" w:rsidRDefault="004F0D86" w:rsidP="006C67F7">
      <w:pPr>
        <w:shd w:val="clear" w:color="auto" w:fill="FFFFFF"/>
        <w:spacing w:line="360" w:lineRule="auto"/>
        <w:contextualSpacing/>
        <w:jc w:val="both"/>
        <w:rPr>
          <w:rFonts w:ascii="Palatino Linotype" w:hAnsi="Palatino Linotype" w:cs="Arial"/>
          <w:color w:val="000000" w:themeColor="text1"/>
        </w:rPr>
      </w:pPr>
    </w:p>
    <w:p w:rsidR="004F0D86" w:rsidRPr="00207C17" w:rsidRDefault="004F0D86" w:rsidP="006C67F7">
      <w:pPr>
        <w:shd w:val="clear" w:color="auto" w:fill="FFFFFF"/>
        <w:spacing w:line="360" w:lineRule="auto"/>
        <w:contextualSpacing/>
        <w:jc w:val="both"/>
        <w:rPr>
          <w:rFonts w:ascii="Palatino Linotype" w:hAnsi="Palatino Linotype" w:cs="Arial"/>
          <w:color w:val="000000" w:themeColor="text1"/>
        </w:rPr>
      </w:pPr>
      <w:r w:rsidRPr="00207C17">
        <w:rPr>
          <w:rFonts w:ascii="Palatino Linotype" w:hAnsi="Palatino Linotype"/>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23794" w:rsidRDefault="00223794" w:rsidP="006C67F7">
      <w:pPr>
        <w:spacing w:line="360" w:lineRule="auto"/>
        <w:jc w:val="both"/>
        <w:rPr>
          <w:rFonts w:ascii="Palatino Linotype" w:hAnsi="Palatino Linotype" w:cs="Arial"/>
        </w:rPr>
      </w:pPr>
    </w:p>
    <w:p w:rsidR="00223794" w:rsidRDefault="00223794" w:rsidP="006C67F7">
      <w:pPr>
        <w:spacing w:line="360" w:lineRule="auto"/>
        <w:jc w:val="both"/>
        <w:rPr>
          <w:rFonts w:ascii="Palatino Linotype" w:hAnsi="Palatino Linotype" w:cs="Arial"/>
        </w:rPr>
      </w:pPr>
    </w:p>
    <w:p w:rsidR="00C81B8A" w:rsidRPr="00B704A7" w:rsidRDefault="00C81B8A" w:rsidP="006C67F7">
      <w:pPr>
        <w:spacing w:line="360" w:lineRule="auto"/>
        <w:jc w:val="both"/>
        <w:rPr>
          <w:rFonts w:ascii="Palatino Linotype" w:hAnsi="Palatino Linotype"/>
        </w:rPr>
      </w:pPr>
      <w:r w:rsidRPr="00B704A7">
        <w:rPr>
          <w:rFonts w:ascii="Palatino Linotype" w:hAnsi="Palatino Linotype" w:cs="Arial"/>
        </w:rPr>
        <w:t>Final</w:t>
      </w:r>
      <w:r w:rsidRPr="00B704A7">
        <w:rPr>
          <w:rFonts w:ascii="Palatino Linotype" w:hAnsi="Palatino Linotype"/>
        </w:rPr>
        <w:t>mente, y en mérito de lo expuesto en líneas anteriores, resultan</w:t>
      </w:r>
      <w:r>
        <w:rPr>
          <w:rFonts w:ascii="Palatino Linotype" w:hAnsi="Palatino Linotype"/>
        </w:rPr>
        <w:t xml:space="preserve"> </w:t>
      </w:r>
      <w:r w:rsidRPr="00B704A7">
        <w:rPr>
          <w:rFonts w:ascii="Palatino Linotype" w:hAnsi="Palatino Linotype"/>
        </w:rPr>
        <w:t xml:space="preserve">fundados los motivos de inconformidad vertidos por </w:t>
      </w:r>
      <w:r>
        <w:rPr>
          <w:rFonts w:ascii="Palatino Linotype" w:hAnsi="Palatino Linotype"/>
          <w:b/>
          <w:bCs/>
        </w:rPr>
        <w:t>l</w:t>
      </w:r>
      <w:r w:rsidR="001B007F">
        <w:rPr>
          <w:rFonts w:ascii="Palatino Linotype" w:hAnsi="Palatino Linotype"/>
          <w:b/>
          <w:bCs/>
        </w:rPr>
        <w:t>a parte</w:t>
      </w:r>
      <w:r>
        <w:rPr>
          <w:rFonts w:ascii="Palatino Linotype" w:hAnsi="Palatino Linotype"/>
          <w:b/>
          <w:bCs/>
        </w:rPr>
        <w:t xml:space="preserve"> </w:t>
      </w:r>
      <w:r w:rsidRPr="00B704A7">
        <w:rPr>
          <w:rFonts w:ascii="Palatino Linotype" w:hAnsi="Palatino Linotype"/>
          <w:b/>
        </w:rPr>
        <w:t>Recurrente</w:t>
      </w:r>
      <w:r w:rsidRPr="00B704A7">
        <w:rPr>
          <w:rFonts w:ascii="Palatino Linotype" w:hAnsi="Palatino Linotype"/>
        </w:rPr>
        <w:t xml:space="preserve">, por ello con fundamento en la </w:t>
      </w:r>
      <w:r w:rsidRPr="00B704A7">
        <w:rPr>
          <w:rFonts w:ascii="Palatino Linotype" w:hAnsi="Palatino Linotype"/>
          <w:i/>
        </w:rPr>
        <w:t>primera hipótesis</w:t>
      </w:r>
      <w:r w:rsidRPr="00B704A7">
        <w:rPr>
          <w:rFonts w:ascii="Palatino Linotype" w:hAnsi="Palatino Linotype"/>
        </w:rPr>
        <w:t xml:space="preserve"> del artículo 186, fracción III, de la Ley de Transparencia y Acceso a la Información Pública del Estado de México y Municipios, se </w:t>
      </w:r>
      <w:r w:rsidRPr="00CB5EA9">
        <w:rPr>
          <w:rFonts w:ascii="Palatino Linotype" w:hAnsi="Palatino Linotype"/>
          <w:b/>
          <w:bCs/>
        </w:rPr>
        <w:t>MODIFI</w:t>
      </w:r>
      <w:r w:rsidRPr="00CB5EA9">
        <w:rPr>
          <w:rFonts w:ascii="Palatino Linotype" w:hAnsi="Palatino Linotype"/>
          <w:b/>
        </w:rPr>
        <w:t>CA</w:t>
      </w:r>
      <w:r w:rsidRPr="00B704A7">
        <w:rPr>
          <w:rFonts w:ascii="Palatino Linotype" w:hAnsi="Palatino Linotype"/>
          <w:b/>
        </w:rPr>
        <w:t xml:space="preserve"> </w:t>
      </w:r>
      <w:r w:rsidRPr="00B704A7">
        <w:rPr>
          <w:rFonts w:ascii="Palatino Linotype" w:hAnsi="Palatino Linotype"/>
        </w:rPr>
        <w:t xml:space="preserve">la respuesta a la solicitud de información </w:t>
      </w:r>
      <w:r w:rsidR="001B007F" w:rsidRPr="001B007F">
        <w:rPr>
          <w:rFonts w:ascii="Palatino Linotype" w:hAnsi="Palatino Linotype" w:cs="Arial"/>
          <w:b/>
        </w:rPr>
        <w:t>00414/SSEM/IP/2024</w:t>
      </w:r>
      <w:r w:rsidRPr="00B704A7">
        <w:rPr>
          <w:rFonts w:ascii="Palatino Linotype" w:hAnsi="Palatino Linotype" w:cs="Arial"/>
          <w:b/>
        </w:rPr>
        <w:t xml:space="preserve">, </w:t>
      </w:r>
      <w:r w:rsidRPr="00B704A7">
        <w:rPr>
          <w:rFonts w:ascii="Palatino Linotype" w:hAnsi="Palatino Linotype"/>
        </w:rPr>
        <w:t>que ha sido materia del presente fallo.</w:t>
      </w:r>
    </w:p>
    <w:p w:rsidR="00C81B8A" w:rsidRPr="00B704A7" w:rsidRDefault="00C81B8A" w:rsidP="006C67F7">
      <w:pPr>
        <w:spacing w:line="276" w:lineRule="auto"/>
        <w:jc w:val="both"/>
        <w:rPr>
          <w:rFonts w:ascii="Palatino Linotype" w:hAnsi="Palatino Linotype"/>
        </w:rPr>
      </w:pPr>
    </w:p>
    <w:p w:rsidR="00C81B8A" w:rsidRPr="00B704A7" w:rsidRDefault="00C81B8A" w:rsidP="006C67F7">
      <w:pPr>
        <w:spacing w:line="276" w:lineRule="auto"/>
        <w:jc w:val="both"/>
        <w:rPr>
          <w:rFonts w:ascii="Palatino Linotype" w:hAnsi="Palatino Linotype"/>
        </w:rPr>
      </w:pPr>
      <w:r w:rsidRPr="00B704A7">
        <w:rPr>
          <w:rFonts w:ascii="Palatino Linotype" w:hAnsi="Palatino Linotype"/>
        </w:rPr>
        <w:t>Por lo antes expuesto y fundado es de resolverse y;</w:t>
      </w:r>
    </w:p>
    <w:p w:rsidR="00C81B8A" w:rsidRDefault="00C81B8A" w:rsidP="006C67F7">
      <w:pPr>
        <w:spacing w:line="276" w:lineRule="auto"/>
        <w:jc w:val="center"/>
        <w:rPr>
          <w:rFonts w:ascii="Palatino Linotype" w:hAnsi="Palatino Linotype"/>
          <w:b/>
          <w:sz w:val="28"/>
        </w:rPr>
      </w:pPr>
    </w:p>
    <w:p w:rsidR="00C81B8A" w:rsidRPr="00B704A7" w:rsidRDefault="00C81B8A" w:rsidP="006C67F7">
      <w:pPr>
        <w:spacing w:line="276" w:lineRule="auto"/>
        <w:jc w:val="center"/>
        <w:rPr>
          <w:rFonts w:ascii="Palatino Linotype" w:hAnsi="Palatino Linotype"/>
          <w:b/>
          <w:sz w:val="28"/>
        </w:rPr>
      </w:pPr>
      <w:r w:rsidRPr="00B704A7">
        <w:rPr>
          <w:rFonts w:ascii="Palatino Linotype" w:hAnsi="Palatino Linotype"/>
          <w:b/>
          <w:sz w:val="28"/>
        </w:rPr>
        <w:t>S E    R E S U E L V E</w:t>
      </w:r>
    </w:p>
    <w:p w:rsidR="00C81B8A" w:rsidRPr="00077F62" w:rsidRDefault="00C81B8A" w:rsidP="006C67F7">
      <w:pPr>
        <w:rPr>
          <w:sz w:val="28"/>
        </w:rPr>
      </w:pPr>
    </w:p>
    <w:p w:rsidR="00C81B8A" w:rsidRPr="00B704A7" w:rsidRDefault="00C81B8A" w:rsidP="006C67F7">
      <w:pPr>
        <w:spacing w:line="360" w:lineRule="auto"/>
        <w:jc w:val="both"/>
        <w:rPr>
          <w:rFonts w:ascii="Palatino Linotype" w:hAnsi="Palatino Linotype" w:cs="Arial"/>
          <w:b/>
        </w:rPr>
      </w:pPr>
      <w:r w:rsidRPr="00B704A7">
        <w:rPr>
          <w:rFonts w:ascii="Palatino Linotype" w:hAnsi="Palatino Linotype" w:cs="Arial"/>
          <w:b/>
          <w:sz w:val="28"/>
          <w:lang w:val="es-ES_tradnl"/>
        </w:rPr>
        <w:t>PRIMERO.</w:t>
      </w:r>
      <w:r w:rsidRPr="00B704A7">
        <w:rPr>
          <w:rFonts w:ascii="Palatino Linotype" w:hAnsi="Palatino Linotype" w:cs="Arial"/>
          <w:sz w:val="28"/>
          <w:lang w:val="es-ES_tradnl"/>
        </w:rPr>
        <w:t xml:space="preserve"> </w:t>
      </w:r>
      <w:r w:rsidRPr="00B704A7">
        <w:rPr>
          <w:rFonts w:ascii="Palatino Linotype" w:eastAsia="Arial Unicode MS" w:hAnsi="Palatino Linotype" w:cs="Arial"/>
        </w:rPr>
        <w:t>Se</w:t>
      </w:r>
      <w:r w:rsidRPr="00B704A7">
        <w:rPr>
          <w:rFonts w:ascii="Palatino Linotype" w:hAnsi="Palatino Linotype" w:cs="Arial"/>
          <w:lang w:val="es-ES_tradnl"/>
        </w:rPr>
        <w:t xml:space="preserve"> </w:t>
      </w:r>
      <w:r w:rsidRPr="00CB5EA9">
        <w:rPr>
          <w:rFonts w:ascii="Palatino Linotype" w:hAnsi="Palatino Linotype" w:cs="Arial"/>
          <w:b/>
          <w:lang w:val="es-419"/>
        </w:rPr>
        <w:t>MODIFICA</w:t>
      </w:r>
      <w:r w:rsidRPr="00B704A7">
        <w:rPr>
          <w:rFonts w:ascii="Palatino Linotype" w:hAnsi="Palatino Linotype" w:cs="Arial"/>
          <w:lang w:val="es-ES_tradnl"/>
        </w:rPr>
        <w:t xml:space="preserve"> </w:t>
      </w:r>
      <w:r w:rsidRPr="00B704A7">
        <w:rPr>
          <w:rFonts w:ascii="Palatino Linotype" w:eastAsia="Arial Unicode MS" w:hAnsi="Palatino Linotype" w:cs="Arial"/>
        </w:rPr>
        <w:t>la respuesta</w:t>
      </w:r>
      <w:r>
        <w:rPr>
          <w:rFonts w:ascii="Palatino Linotype" w:eastAsia="Arial Unicode MS" w:hAnsi="Palatino Linotype" w:cs="Arial"/>
        </w:rPr>
        <w:t xml:space="preserve"> entregada</w:t>
      </w:r>
      <w:r w:rsidRPr="00B704A7">
        <w:rPr>
          <w:rFonts w:ascii="Palatino Linotype" w:eastAsia="Arial Unicode MS" w:hAnsi="Palatino Linotype" w:cs="Arial"/>
        </w:rPr>
        <w:t xml:space="preserve"> por </w:t>
      </w:r>
      <w:r w:rsidRPr="00B704A7">
        <w:rPr>
          <w:rFonts w:ascii="Palatino Linotype" w:eastAsia="Arial Unicode MS" w:hAnsi="Palatino Linotype" w:cs="Arial"/>
          <w:b/>
        </w:rPr>
        <w:t xml:space="preserve">el Sujeto Obligado </w:t>
      </w:r>
      <w:r w:rsidRPr="00B704A7">
        <w:rPr>
          <w:rFonts w:ascii="Palatino Linotype" w:eastAsia="Arial Unicode MS" w:hAnsi="Palatino Linotype" w:cs="Arial"/>
        </w:rPr>
        <w:t xml:space="preserve">a la solicitud de información número </w:t>
      </w:r>
      <w:r w:rsidR="001B007F" w:rsidRPr="001B007F">
        <w:rPr>
          <w:rFonts w:ascii="Palatino Linotype" w:hAnsi="Palatino Linotype" w:cs="Arial"/>
          <w:b/>
        </w:rPr>
        <w:t>00414/SSEM/IP/2024</w:t>
      </w:r>
      <w:r w:rsidRPr="00B704A7">
        <w:rPr>
          <w:rFonts w:ascii="Palatino Linotype" w:hAnsi="Palatino Linotype" w:cs="Arial"/>
        </w:rPr>
        <w:t>, al resultar</w:t>
      </w:r>
      <w:r>
        <w:rPr>
          <w:rFonts w:ascii="Palatino Linotype" w:hAnsi="Palatino Linotype" w:cs="Arial"/>
        </w:rPr>
        <w:t xml:space="preserve"> parcialmente</w:t>
      </w:r>
      <w:r w:rsidRPr="00B704A7">
        <w:rPr>
          <w:rFonts w:ascii="Palatino Linotype" w:hAnsi="Palatino Linotype" w:cs="Arial"/>
        </w:rPr>
        <w:t xml:space="preserve"> fundadas las razones o motivos de inconformidad vertidos por </w:t>
      </w:r>
      <w:r>
        <w:rPr>
          <w:rFonts w:ascii="Palatino Linotype" w:hAnsi="Palatino Linotype" w:cs="Arial"/>
          <w:b/>
        </w:rPr>
        <w:t xml:space="preserve">la </w:t>
      </w:r>
      <w:r w:rsidRPr="00B704A7">
        <w:rPr>
          <w:rFonts w:ascii="Palatino Linotype" w:hAnsi="Palatino Linotype" w:cs="Arial"/>
          <w:b/>
        </w:rPr>
        <w:t>Recurrente</w:t>
      </w:r>
      <w:r w:rsidRPr="00B704A7">
        <w:rPr>
          <w:rFonts w:ascii="Palatino Linotype" w:hAnsi="Palatino Linotype" w:cs="Arial"/>
        </w:rPr>
        <w:t xml:space="preserve">, </w:t>
      </w:r>
      <w:r w:rsidRPr="00B704A7">
        <w:rPr>
          <w:rFonts w:ascii="Palatino Linotype" w:eastAsia="Arial Unicode MS" w:hAnsi="Palatino Linotype" w:cs="Arial"/>
        </w:rPr>
        <w:t xml:space="preserve">en términos del </w:t>
      </w:r>
      <w:r w:rsidRPr="00B704A7">
        <w:rPr>
          <w:rFonts w:ascii="Palatino Linotype" w:hAnsi="Palatino Linotype" w:cs="Arial"/>
        </w:rPr>
        <w:t xml:space="preserve">Considerando </w:t>
      </w:r>
      <w:r w:rsidR="001B007F">
        <w:rPr>
          <w:rFonts w:ascii="Palatino Linotype" w:hAnsi="Palatino Linotype" w:cs="Arial"/>
          <w:b/>
          <w:lang w:val="es-419"/>
        </w:rPr>
        <w:t>QUIN</w:t>
      </w:r>
      <w:r>
        <w:rPr>
          <w:rFonts w:ascii="Palatino Linotype" w:hAnsi="Palatino Linotype" w:cs="Arial"/>
          <w:b/>
          <w:lang w:val="es-419"/>
        </w:rPr>
        <w:t>T</w:t>
      </w:r>
      <w:r w:rsidRPr="00B704A7">
        <w:rPr>
          <w:rFonts w:ascii="Palatino Linotype" w:hAnsi="Palatino Linotype" w:cs="Arial"/>
          <w:b/>
          <w:lang w:val="es-419"/>
        </w:rPr>
        <w:t>O</w:t>
      </w:r>
      <w:r w:rsidRPr="00B704A7">
        <w:rPr>
          <w:rFonts w:ascii="Palatino Linotype" w:hAnsi="Palatino Linotype" w:cs="Arial"/>
        </w:rPr>
        <w:t xml:space="preserve"> de la presente resolución.</w:t>
      </w:r>
    </w:p>
    <w:p w:rsidR="00C81B8A" w:rsidRDefault="00C81B8A" w:rsidP="006C67F7">
      <w:pPr>
        <w:autoSpaceDE w:val="0"/>
        <w:autoSpaceDN w:val="0"/>
        <w:adjustRightInd w:val="0"/>
        <w:spacing w:line="360" w:lineRule="auto"/>
        <w:ind w:right="49"/>
        <w:jc w:val="both"/>
        <w:rPr>
          <w:rFonts w:ascii="Palatino Linotype" w:hAnsi="Palatino Linotype"/>
          <w:b/>
          <w:sz w:val="28"/>
        </w:rPr>
      </w:pPr>
    </w:p>
    <w:p w:rsidR="00C81B8A" w:rsidRDefault="00C81B8A" w:rsidP="006C67F7">
      <w:pPr>
        <w:autoSpaceDE w:val="0"/>
        <w:autoSpaceDN w:val="0"/>
        <w:adjustRightInd w:val="0"/>
        <w:spacing w:line="360" w:lineRule="auto"/>
        <w:ind w:right="49"/>
        <w:jc w:val="both"/>
        <w:rPr>
          <w:rFonts w:ascii="Palatino Linotype" w:hAnsi="Palatino Linotype" w:cs="Arial"/>
          <w:lang w:eastAsia="es-ES"/>
        </w:rPr>
      </w:pPr>
      <w:r w:rsidRPr="00B704A7">
        <w:rPr>
          <w:rFonts w:ascii="Palatino Linotype" w:hAnsi="Palatino Linotype"/>
          <w:b/>
          <w:sz w:val="28"/>
        </w:rPr>
        <w:t>SEGUNDO.</w:t>
      </w:r>
      <w:r w:rsidRPr="00B704A7">
        <w:rPr>
          <w:rFonts w:ascii="Palatino Linotype" w:hAnsi="Palatino Linotype" w:cs="Arial"/>
          <w:sz w:val="28"/>
        </w:rPr>
        <w:t xml:space="preserve"> </w:t>
      </w:r>
      <w:r w:rsidRPr="00B704A7">
        <w:rPr>
          <w:rFonts w:ascii="Palatino Linotype" w:hAnsi="Palatino Linotype" w:cs="Arial"/>
        </w:rPr>
        <w:t>Se ordena al Sujeto Obligado, haga entrega a</w:t>
      </w:r>
      <w:r>
        <w:rPr>
          <w:rFonts w:ascii="Palatino Linotype" w:hAnsi="Palatino Linotype" w:cs="Arial"/>
        </w:rPr>
        <w:t xml:space="preserve"> la </w:t>
      </w:r>
      <w:r w:rsidR="001B007F">
        <w:rPr>
          <w:rFonts w:ascii="Palatino Linotype" w:hAnsi="Palatino Linotype" w:cs="Arial"/>
        </w:rPr>
        <w:t xml:space="preserve">parte </w:t>
      </w:r>
      <w:r w:rsidRPr="00752CFB">
        <w:rPr>
          <w:rFonts w:ascii="Palatino Linotype" w:hAnsi="Palatino Linotype" w:cs="Arial"/>
          <w:b/>
        </w:rPr>
        <w:t>R</w:t>
      </w:r>
      <w:r w:rsidRPr="00B704A7">
        <w:rPr>
          <w:rFonts w:ascii="Palatino Linotype" w:hAnsi="Palatino Linotype" w:cs="Arial"/>
          <w:b/>
        </w:rPr>
        <w:t>ecurrente</w:t>
      </w:r>
      <w:r w:rsidRPr="00B704A7">
        <w:rPr>
          <w:rFonts w:ascii="Palatino Linotype" w:hAnsi="Palatino Linotype" w:cs="Arial"/>
        </w:rPr>
        <w:t xml:space="preserve"> en términos del Considerando </w:t>
      </w:r>
      <w:r w:rsidR="001B007F">
        <w:rPr>
          <w:rFonts w:ascii="Palatino Linotype" w:hAnsi="Palatino Linotype" w:cs="Arial"/>
          <w:b/>
          <w:lang w:val="es-419"/>
        </w:rPr>
        <w:t>QUIN</w:t>
      </w:r>
      <w:r w:rsidRPr="00B704A7">
        <w:rPr>
          <w:rFonts w:ascii="Palatino Linotype" w:hAnsi="Palatino Linotype" w:cs="Arial"/>
          <w:b/>
          <w:lang w:val="es-419"/>
        </w:rPr>
        <w:t>TO</w:t>
      </w:r>
      <w:r w:rsidRPr="00B704A7">
        <w:rPr>
          <w:rFonts w:ascii="Palatino Linotype" w:hAnsi="Palatino Linotype" w:cs="Arial"/>
        </w:rPr>
        <w:t xml:space="preserve"> de la presente resolución,</w:t>
      </w:r>
      <w:r>
        <w:rPr>
          <w:rFonts w:ascii="Palatino Linotype" w:hAnsi="Palatino Linotype" w:cs="Arial"/>
        </w:rPr>
        <w:t xml:space="preserve"> </w:t>
      </w:r>
      <w:r w:rsidRPr="00B704A7">
        <w:rPr>
          <w:rFonts w:ascii="Palatino Linotype" w:hAnsi="Palatino Linotype" w:cs="Arial"/>
        </w:rPr>
        <w:t xml:space="preserve">a través del Sistema de Acceso a la Información Mexiquense </w:t>
      </w:r>
      <w:r w:rsidRPr="00B704A7">
        <w:rPr>
          <w:rFonts w:ascii="Palatino Linotype" w:hAnsi="Palatino Linotype" w:cs="Arial"/>
          <w:b/>
        </w:rPr>
        <w:t>(SAIMEX</w:t>
      </w:r>
      <w:r>
        <w:rPr>
          <w:rFonts w:ascii="Palatino Linotype" w:hAnsi="Palatino Linotype" w:cs="Arial"/>
          <w:b/>
        </w:rPr>
        <w:t>),</w:t>
      </w:r>
      <w:r w:rsidRPr="00EA04D3">
        <w:rPr>
          <w:rFonts w:ascii="Palatino Linotype" w:hAnsi="Palatino Linotype" w:cs="Arial"/>
        </w:rPr>
        <w:t xml:space="preserve"> </w:t>
      </w:r>
      <w:r>
        <w:rPr>
          <w:rFonts w:ascii="Palatino Linotype" w:hAnsi="Palatino Linotype" w:cs="Arial"/>
        </w:rPr>
        <w:t>de</w:t>
      </w:r>
      <w:r w:rsidRPr="00B704A7">
        <w:rPr>
          <w:rFonts w:ascii="Palatino Linotype" w:hAnsi="Palatino Linotype" w:cs="Arial"/>
          <w:lang w:eastAsia="es-ES"/>
        </w:rPr>
        <w:t>l</w:t>
      </w:r>
      <w:r>
        <w:rPr>
          <w:rFonts w:ascii="Palatino Linotype" w:hAnsi="Palatino Linotype" w:cs="Arial"/>
          <w:lang w:eastAsia="es-ES"/>
        </w:rPr>
        <w:t xml:space="preserve"> documento</w:t>
      </w:r>
      <w:r w:rsidRPr="00B704A7">
        <w:rPr>
          <w:rFonts w:ascii="Palatino Linotype" w:hAnsi="Palatino Linotype" w:cs="Arial"/>
          <w:lang w:eastAsia="es-ES"/>
        </w:rPr>
        <w:t xml:space="preserve"> </w:t>
      </w:r>
      <w:r>
        <w:rPr>
          <w:rFonts w:ascii="Palatino Linotype" w:hAnsi="Palatino Linotype" w:cs="Arial"/>
          <w:lang w:eastAsia="es-ES"/>
        </w:rPr>
        <w:t xml:space="preserve">o documentos donde conste lo </w:t>
      </w:r>
      <w:r w:rsidRPr="00B704A7">
        <w:rPr>
          <w:rFonts w:ascii="Palatino Linotype" w:hAnsi="Palatino Linotype" w:cs="Arial"/>
          <w:lang w:eastAsia="es-ES"/>
        </w:rPr>
        <w:t>siguiente:</w:t>
      </w:r>
    </w:p>
    <w:p w:rsidR="00C81B8A" w:rsidRDefault="00C81B8A" w:rsidP="006C67F7">
      <w:pPr>
        <w:autoSpaceDE w:val="0"/>
        <w:autoSpaceDN w:val="0"/>
        <w:adjustRightInd w:val="0"/>
        <w:spacing w:line="360" w:lineRule="auto"/>
        <w:ind w:right="49"/>
        <w:jc w:val="both"/>
        <w:rPr>
          <w:rFonts w:ascii="Palatino Linotype" w:hAnsi="Palatino Linotype" w:cs="Arial"/>
          <w:lang w:eastAsia="es-ES"/>
        </w:rPr>
      </w:pPr>
    </w:p>
    <w:p w:rsidR="00C81B8A" w:rsidRPr="00B23DC1" w:rsidRDefault="00C81B8A" w:rsidP="006C67F7">
      <w:pPr>
        <w:pStyle w:val="Citas"/>
        <w:numPr>
          <w:ilvl w:val="0"/>
          <w:numId w:val="3"/>
        </w:numPr>
        <w:spacing w:before="0" w:after="0"/>
        <w:ind w:left="720" w:right="332" w:hanging="283"/>
        <w:rPr>
          <w:i w:val="0"/>
          <w:color w:val="000000"/>
        </w:rPr>
      </w:pPr>
      <w:r w:rsidRPr="00B23DC1">
        <w:rPr>
          <w:rFonts w:cs="Tahoma"/>
          <w:i w:val="0"/>
          <w:iCs/>
          <w:color w:val="000000"/>
          <w:sz w:val="24"/>
          <w:szCs w:val="24"/>
        </w:rPr>
        <w:t xml:space="preserve">Los </w:t>
      </w:r>
      <w:r w:rsidR="001B007F" w:rsidRPr="00B23DC1">
        <w:rPr>
          <w:rFonts w:cs="Tahoma"/>
          <w:i w:val="0"/>
          <w:iCs/>
          <w:color w:val="000000"/>
          <w:sz w:val="24"/>
          <w:szCs w:val="24"/>
        </w:rPr>
        <w:t>nombres de las bases de datos registradas del primer semestre</w:t>
      </w:r>
      <w:r w:rsidR="007A498B" w:rsidRPr="00B23DC1">
        <w:rPr>
          <w:rFonts w:cs="Tahoma"/>
          <w:i w:val="0"/>
          <w:iCs/>
          <w:color w:val="000000"/>
          <w:sz w:val="24"/>
          <w:szCs w:val="24"/>
        </w:rPr>
        <w:t xml:space="preserve"> del año dos mil veinticuatro</w:t>
      </w:r>
      <w:r w:rsidR="001B007F" w:rsidRPr="00B23DC1">
        <w:rPr>
          <w:rFonts w:cs="Tahoma"/>
          <w:i w:val="0"/>
          <w:iCs/>
          <w:color w:val="000000"/>
          <w:sz w:val="24"/>
          <w:szCs w:val="24"/>
        </w:rPr>
        <w:t>.</w:t>
      </w:r>
    </w:p>
    <w:p w:rsidR="006C67F7" w:rsidRPr="006C67F7" w:rsidRDefault="006C67F7" w:rsidP="006C67F7">
      <w:pPr>
        <w:pStyle w:val="Citas"/>
        <w:spacing w:before="0" w:after="0"/>
        <w:ind w:left="720" w:right="332"/>
        <w:rPr>
          <w:i w:val="0"/>
          <w:color w:val="000000"/>
        </w:rPr>
      </w:pPr>
    </w:p>
    <w:p w:rsidR="001B007F" w:rsidRPr="001B007F" w:rsidRDefault="001B007F" w:rsidP="006C67F7">
      <w:pPr>
        <w:autoSpaceDE w:val="0"/>
        <w:autoSpaceDN w:val="0"/>
        <w:adjustRightInd w:val="0"/>
        <w:ind w:left="709" w:right="49"/>
        <w:jc w:val="both"/>
        <w:rPr>
          <w:rFonts w:ascii="Palatino Linotype" w:hAnsi="Palatino Linotype" w:cs="Arial"/>
          <w:sz w:val="22"/>
        </w:rPr>
      </w:pPr>
      <w:r w:rsidRPr="001B007F">
        <w:rPr>
          <w:rFonts w:ascii="Palatino Linotype" w:eastAsia="Arial Unicode MS" w:hAnsi="Palatino Linotype" w:cs="Arial"/>
          <w:i/>
          <w:sz w:val="22"/>
          <w:szCs w:val="22"/>
        </w:rPr>
        <w:lastRenderedPageBreak/>
        <w:t>Debiendo notificar a</w:t>
      </w:r>
      <w:r>
        <w:rPr>
          <w:rFonts w:ascii="Palatino Linotype" w:eastAsia="Arial Unicode MS" w:hAnsi="Palatino Linotype" w:cs="Arial"/>
          <w:i/>
          <w:sz w:val="22"/>
          <w:szCs w:val="22"/>
        </w:rPr>
        <w:t xml:space="preserve"> </w:t>
      </w:r>
      <w:r w:rsidRPr="001B007F">
        <w:rPr>
          <w:rFonts w:ascii="Palatino Linotype" w:eastAsia="Arial Unicode MS" w:hAnsi="Palatino Linotype" w:cs="Arial"/>
          <w:i/>
          <w:sz w:val="22"/>
          <w:szCs w:val="22"/>
        </w:rPr>
        <w:t>l</w:t>
      </w:r>
      <w:r>
        <w:rPr>
          <w:rFonts w:ascii="Palatino Linotype" w:eastAsia="Arial Unicode MS" w:hAnsi="Palatino Linotype" w:cs="Arial"/>
          <w:i/>
          <w:sz w:val="22"/>
          <w:szCs w:val="22"/>
        </w:rPr>
        <w:t>a parte</w:t>
      </w:r>
      <w:r w:rsidRPr="001B007F">
        <w:rPr>
          <w:rFonts w:ascii="Palatino Linotype" w:eastAsia="Arial Unicode MS" w:hAnsi="Palatino Linotype" w:cs="Arial"/>
          <w:i/>
          <w:sz w:val="22"/>
          <w:szCs w:val="22"/>
        </w:rPr>
        <w:t xml:space="preserve"> </w:t>
      </w:r>
      <w:r w:rsidRPr="001B007F">
        <w:rPr>
          <w:rFonts w:ascii="Palatino Linotype" w:eastAsia="Arial Unicode MS" w:hAnsi="Palatino Linotype" w:cs="Arial"/>
          <w:b/>
          <w:i/>
          <w:sz w:val="22"/>
          <w:szCs w:val="22"/>
        </w:rPr>
        <w:t>Recurrente</w:t>
      </w:r>
      <w:r w:rsidRPr="001B007F">
        <w:rPr>
          <w:rFonts w:ascii="Palatino Linotype" w:eastAsia="Arial Unicode MS" w:hAnsi="Palatino Linotype" w:cs="Arial"/>
          <w:i/>
          <w:sz w:val="22"/>
          <w:szCs w:val="22"/>
        </w:rPr>
        <w:t xml:space="preserve"> el Acuerdo de Clasificación de la información que apruebe su Comité de Transparencia con motivo de la versión pública; </w:t>
      </w:r>
      <w:r w:rsidRPr="001B007F">
        <w:rPr>
          <w:rFonts w:ascii="Palatino Linotype" w:eastAsia="Arial Unicode MS" w:hAnsi="Palatino Linotype" w:cs="Arial"/>
          <w:b/>
          <w:bCs/>
          <w:i/>
          <w:sz w:val="22"/>
          <w:szCs w:val="22"/>
        </w:rPr>
        <w:t>clasificando como información confidencial las medidas de seguridad</w:t>
      </w:r>
      <w:r w:rsidRPr="001B007F">
        <w:rPr>
          <w:rFonts w:ascii="Palatino Linotype" w:eastAsia="Arial Unicode MS" w:hAnsi="Palatino Linotype" w:cs="Arial"/>
          <w:i/>
          <w:sz w:val="22"/>
          <w:szCs w:val="22"/>
        </w:rPr>
        <w:t>, en términos de los artículos 122 y 143 de la Ley de Transparencia y Acceso a la Información Pública del Estado de México y Municipios, así como 43 de la Ley de Protección de Datos Personales del Estado de México y Municipios.”</w:t>
      </w:r>
    </w:p>
    <w:p w:rsidR="00C81B8A" w:rsidRPr="001D551D" w:rsidRDefault="00C81B8A" w:rsidP="006C67F7">
      <w:pPr>
        <w:tabs>
          <w:tab w:val="left" w:pos="720"/>
        </w:tabs>
        <w:ind w:left="709"/>
        <w:jc w:val="both"/>
        <w:rPr>
          <w:rFonts w:ascii="Palatino Linotype" w:hAnsi="Palatino Linotype"/>
          <w:i/>
        </w:rPr>
      </w:pPr>
    </w:p>
    <w:p w:rsidR="00C81B8A" w:rsidRPr="00CA1D2B" w:rsidRDefault="00C81B8A" w:rsidP="006C67F7">
      <w:pPr>
        <w:autoSpaceDE w:val="0"/>
        <w:autoSpaceDN w:val="0"/>
        <w:adjustRightInd w:val="0"/>
        <w:spacing w:line="360" w:lineRule="auto"/>
        <w:jc w:val="both"/>
        <w:rPr>
          <w:rFonts w:ascii="Palatino Linotype" w:hAnsi="Palatino Linotype" w:cs="Arial"/>
        </w:rPr>
      </w:pPr>
      <w:r w:rsidRPr="00CA1D2B">
        <w:rPr>
          <w:rFonts w:ascii="Palatino Linotype" w:hAnsi="Palatino Linotype" w:cs="Arial"/>
          <w:b/>
          <w:sz w:val="28"/>
          <w:szCs w:val="28"/>
        </w:rPr>
        <w:t>TERCERO.</w:t>
      </w:r>
      <w:r w:rsidRPr="00CA1D2B">
        <w:rPr>
          <w:rFonts w:ascii="Palatino Linotype" w:hAnsi="Palatino Linotype" w:cs="Arial"/>
          <w:b/>
        </w:rPr>
        <w:t xml:space="preserve"> Notifíquese</w:t>
      </w:r>
      <w:r w:rsidRPr="00CA1D2B">
        <w:rPr>
          <w:rFonts w:ascii="Palatino Linotype" w:hAnsi="Palatino Linotype" w:cs="Arial"/>
          <w:b/>
          <w:i/>
        </w:rPr>
        <w:t xml:space="preserve"> </w:t>
      </w:r>
      <w:r w:rsidRPr="00CA1D2B">
        <w:rPr>
          <w:rFonts w:ascii="Palatino Linotype" w:hAnsi="Palatino Linotype" w:cs="Arial"/>
        </w:rPr>
        <w:t>al Titular de la Unidad de Transparencia del</w:t>
      </w:r>
      <w:r w:rsidRPr="00CA1D2B">
        <w:rPr>
          <w:rFonts w:ascii="Palatino Linotype" w:hAnsi="Palatino Linotype" w:cs="Arial"/>
          <w:b/>
        </w:rPr>
        <w:t xml:space="preserve"> SUJETO OBLIGADO</w:t>
      </w:r>
      <w:r w:rsidRPr="00CA1D2B">
        <w:rPr>
          <w:rFonts w:ascii="Palatino Linotype" w:hAnsi="Palatino Linotype" w:cs="Arial"/>
        </w:rPr>
        <w:t xml:space="preserve">, </w:t>
      </w:r>
      <w:r w:rsidRPr="00B704A7">
        <w:rPr>
          <w:rFonts w:ascii="Palatino Linotype" w:hAnsi="Palatino Linotype" w:cs="Arial"/>
        </w:rPr>
        <w:t xml:space="preserve">a través del Sistema de Acceso a la Información Mexiquense </w:t>
      </w:r>
      <w:r w:rsidRPr="00B704A7">
        <w:rPr>
          <w:rFonts w:ascii="Palatino Linotype" w:hAnsi="Palatino Linotype" w:cs="Arial"/>
          <w:b/>
        </w:rPr>
        <w:t>(SAIMEX)</w:t>
      </w:r>
      <w:r w:rsidRPr="00B704A7">
        <w:rPr>
          <w:rFonts w:ascii="Palatino Linotype" w:hAnsi="Palatino Linotype" w:cs="Arial"/>
        </w:rPr>
        <w:t>,</w:t>
      </w:r>
      <w:r>
        <w:rPr>
          <w:rFonts w:ascii="Palatino Linotype" w:hAnsi="Palatino Linotype" w:cs="Arial"/>
        </w:rPr>
        <w:t xml:space="preserve"> </w:t>
      </w:r>
      <w:r w:rsidRPr="00CA1D2B">
        <w:rPr>
          <w:rFonts w:ascii="Palatino Linotype" w:hAnsi="Palatino Linotype" w:cs="Arial"/>
        </w:rPr>
        <w:t xml:space="preserve">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CA1D2B">
        <w:rPr>
          <w:rFonts w:ascii="Palatino Linotype" w:eastAsia="Palatino Linotype" w:hAnsi="Palatino Linotype" w:cs="Palatino Linotype"/>
          <w:b/>
          <w:color w:val="000000"/>
          <w:lang w:val="es-ES_tradnl"/>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C81B8A" w:rsidRPr="00580D96" w:rsidRDefault="00C81B8A" w:rsidP="006C67F7">
      <w:pPr>
        <w:spacing w:line="360" w:lineRule="auto"/>
        <w:jc w:val="both"/>
        <w:rPr>
          <w:rFonts w:ascii="Palatino Linotype" w:hAnsi="Palatino Linotype" w:cs="Arial"/>
          <w:b/>
          <w:bCs/>
          <w:szCs w:val="28"/>
        </w:rPr>
      </w:pPr>
    </w:p>
    <w:p w:rsidR="00C81B8A" w:rsidRPr="00CA1D2B" w:rsidRDefault="00C81B8A" w:rsidP="006C67F7">
      <w:pPr>
        <w:spacing w:line="360" w:lineRule="auto"/>
        <w:jc w:val="both"/>
        <w:rPr>
          <w:rFonts w:ascii="Palatino Linotype" w:hAnsi="Palatino Linotype" w:cs="Arial"/>
          <w:bCs/>
          <w:szCs w:val="32"/>
        </w:rPr>
      </w:pPr>
      <w:r w:rsidRPr="00CA1D2B">
        <w:rPr>
          <w:rFonts w:ascii="Palatino Linotype" w:hAnsi="Palatino Linotype" w:cs="Arial"/>
          <w:b/>
          <w:bCs/>
          <w:sz w:val="28"/>
          <w:szCs w:val="28"/>
        </w:rPr>
        <w:t>CUARTO.</w:t>
      </w:r>
      <w:r w:rsidRPr="00CA1D2B">
        <w:rPr>
          <w:rFonts w:ascii="Palatino Linotype" w:hAnsi="Palatino Linotype" w:cs="Arial"/>
          <w:bCs/>
          <w:szCs w:val="28"/>
        </w:rPr>
        <w:t xml:space="preserve"> </w:t>
      </w:r>
      <w:r w:rsidRPr="00CA1D2B">
        <w:rPr>
          <w:rFonts w:ascii="Palatino Linotype" w:hAnsi="Palatino Linotype" w:cs="Arial"/>
          <w:bCs/>
          <w:szCs w:val="32"/>
        </w:rPr>
        <w:t xml:space="preserve">De conformidad con el artículo 198, de la Ley de Transparencia y Acceso a la Información Pública del Estado de México y Municipios, de considerarlo procedente, el </w:t>
      </w:r>
      <w:r w:rsidRPr="00CA1D2B">
        <w:rPr>
          <w:rFonts w:ascii="Palatino Linotype" w:hAnsi="Palatino Linotype" w:cs="Arial"/>
          <w:b/>
          <w:bCs/>
          <w:szCs w:val="32"/>
        </w:rPr>
        <w:t>Sujeto Obligado</w:t>
      </w:r>
      <w:r w:rsidRPr="00CA1D2B">
        <w:rPr>
          <w:rFonts w:ascii="Palatino Linotype" w:hAnsi="Palatino Linotype" w:cs="Arial"/>
          <w:bCs/>
          <w:szCs w:val="32"/>
        </w:rPr>
        <w:t xml:space="preserve"> de manera fundada y motivada, podrá solicitar una ampliación de plazo para el cumplimiento de la presente resolución.</w:t>
      </w:r>
    </w:p>
    <w:p w:rsidR="00C81B8A" w:rsidRDefault="00C81B8A" w:rsidP="006C67F7">
      <w:pPr>
        <w:autoSpaceDE w:val="0"/>
        <w:autoSpaceDN w:val="0"/>
        <w:adjustRightInd w:val="0"/>
        <w:spacing w:line="360" w:lineRule="auto"/>
        <w:ind w:right="51"/>
        <w:jc w:val="both"/>
        <w:rPr>
          <w:rFonts w:ascii="Palatino Linotype" w:hAnsi="Palatino Linotype" w:cs="Arial"/>
          <w:b/>
          <w:sz w:val="28"/>
          <w:szCs w:val="28"/>
        </w:rPr>
      </w:pPr>
    </w:p>
    <w:p w:rsidR="00C81B8A" w:rsidRDefault="00C81B8A" w:rsidP="006C67F7">
      <w:pPr>
        <w:autoSpaceDE w:val="0"/>
        <w:autoSpaceDN w:val="0"/>
        <w:adjustRightInd w:val="0"/>
        <w:spacing w:line="360" w:lineRule="auto"/>
        <w:ind w:right="51"/>
        <w:jc w:val="both"/>
        <w:rPr>
          <w:rFonts w:ascii="Palatino Linotype" w:hAnsi="Palatino Linotype" w:cs="Arial"/>
        </w:rPr>
      </w:pPr>
      <w:r w:rsidRPr="00CA1D2B">
        <w:rPr>
          <w:rFonts w:ascii="Palatino Linotype" w:hAnsi="Palatino Linotype" w:cs="Arial"/>
          <w:b/>
          <w:sz w:val="28"/>
          <w:szCs w:val="28"/>
        </w:rPr>
        <w:t>QUINTO.</w:t>
      </w:r>
      <w:r w:rsidRPr="00CA1D2B">
        <w:rPr>
          <w:rFonts w:ascii="Palatino Linotype" w:hAnsi="Palatino Linotype" w:cs="Arial"/>
          <w:b/>
        </w:rPr>
        <w:t xml:space="preserve"> NOTIFÍQUESE</w:t>
      </w:r>
      <w:r w:rsidRPr="00CA1D2B">
        <w:rPr>
          <w:rFonts w:ascii="Palatino Linotype" w:hAnsi="Palatino Linotype" w:cs="Arial"/>
        </w:rPr>
        <w:t xml:space="preserve"> a</w:t>
      </w:r>
      <w:r>
        <w:rPr>
          <w:rFonts w:ascii="Palatino Linotype" w:hAnsi="Palatino Linotype" w:cs="Arial"/>
        </w:rPr>
        <w:t xml:space="preserve"> </w:t>
      </w:r>
      <w:r w:rsidRPr="00CA1D2B">
        <w:rPr>
          <w:rFonts w:ascii="Palatino Linotype" w:hAnsi="Palatino Linotype" w:cs="Arial"/>
        </w:rPr>
        <w:t>l</w:t>
      </w:r>
      <w:r>
        <w:rPr>
          <w:rFonts w:ascii="Palatino Linotype" w:hAnsi="Palatino Linotype" w:cs="Arial"/>
        </w:rPr>
        <w:t>a</w:t>
      </w:r>
      <w:r w:rsidR="001B007F">
        <w:rPr>
          <w:rFonts w:ascii="Palatino Linotype" w:hAnsi="Palatino Linotype" w:cs="Arial"/>
        </w:rPr>
        <w:t xml:space="preserve"> parte</w:t>
      </w:r>
      <w:r>
        <w:rPr>
          <w:rFonts w:ascii="Palatino Linotype" w:hAnsi="Palatino Linotype" w:cs="Arial"/>
        </w:rPr>
        <w:t xml:space="preserve"> </w:t>
      </w:r>
      <w:r w:rsidRPr="00CA1D2B">
        <w:rPr>
          <w:rFonts w:ascii="Palatino Linotype" w:hAnsi="Palatino Linotype" w:cs="Arial"/>
          <w:b/>
        </w:rPr>
        <w:t>Recurrente</w:t>
      </w:r>
      <w:r w:rsidRPr="00CA1D2B">
        <w:rPr>
          <w:rFonts w:ascii="Palatino Linotype" w:hAnsi="Palatino Linotype" w:cs="Arial"/>
        </w:rPr>
        <w:t xml:space="preserve"> la presente resolución a través del Sistema de Acceso a la Información Mexiquense </w:t>
      </w:r>
      <w:r w:rsidRPr="00CA1D2B">
        <w:rPr>
          <w:rFonts w:ascii="Palatino Linotype" w:hAnsi="Palatino Linotype" w:cs="Arial"/>
          <w:b/>
        </w:rPr>
        <w:t>(SAIMEX),</w:t>
      </w:r>
      <w:r w:rsidRPr="00CA1D2B">
        <w:rPr>
          <w:rFonts w:ascii="Palatino Linotype" w:hAnsi="Palatino Linotype" w:cs="Arial"/>
        </w:rPr>
        <w:t xml:space="preserve"> y hágase de su conocimiento que en caso de considerar que le causa algún perjuicio, podrá promover </w:t>
      </w:r>
      <w:r w:rsidRPr="00CA1D2B">
        <w:rPr>
          <w:rFonts w:ascii="Palatino Linotype" w:hAnsi="Palatino Linotype" w:cs="Arial"/>
        </w:rPr>
        <w:lastRenderedPageBreak/>
        <w:t>el Juicio de Amparo en los términos de las leyes aplicables, de acuerdo con lo estipulado por el artículo 196, de la Ley de Transparencia y Acceso a la Información Pública del Estado de México y Municipios.</w:t>
      </w:r>
    </w:p>
    <w:p w:rsidR="00C81B8A" w:rsidRDefault="00C81B8A" w:rsidP="006C67F7">
      <w:pPr>
        <w:spacing w:line="360" w:lineRule="auto"/>
        <w:jc w:val="both"/>
        <w:rPr>
          <w:rFonts w:ascii="Palatino Linotype" w:eastAsiaTheme="minorHAnsi" w:hAnsi="Palatino Linotype" w:cs="Arial"/>
          <w:lang w:eastAsia="en-US"/>
        </w:rPr>
      </w:pPr>
    </w:p>
    <w:p w:rsidR="00C81B8A" w:rsidRDefault="00C81B8A" w:rsidP="006C67F7">
      <w:pPr>
        <w:spacing w:line="360" w:lineRule="auto"/>
        <w:jc w:val="both"/>
        <w:rPr>
          <w:rFonts w:ascii="Palatino Linotype" w:eastAsiaTheme="minorHAnsi" w:hAnsi="Palatino Linotype" w:cs="Arial"/>
          <w:lang w:eastAsia="en-US"/>
        </w:rPr>
      </w:pPr>
      <w:r w:rsidRPr="00037B15">
        <w:rPr>
          <w:rFonts w:ascii="Palatino Linotype" w:eastAsiaTheme="minorHAnsi" w:hAnsi="Palatino Linotype" w:cs="Arial"/>
          <w:lang w:eastAsia="en-US"/>
        </w:rPr>
        <w:t xml:space="preserve">ASÍ LO RESUELVE, POR </w:t>
      </w:r>
      <w:r>
        <w:rPr>
          <w:rFonts w:ascii="Palatino Linotype" w:eastAsiaTheme="minorHAnsi" w:hAnsi="Palatino Linotype" w:cs="Arial"/>
          <w:lang w:eastAsia="en-US"/>
        </w:rPr>
        <w:t>UNANIMIDAD</w:t>
      </w:r>
      <w:r w:rsidRPr="00037B15">
        <w:rPr>
          <w:rFonts w:ascii="Palatino Linotype" w:eastAsiaTheme="minorHAnsi" w:hAnsi="Palatino Linotype" w:cs="Arial"/>
          <w:lang w:eastAsia="en-US"/>
        </w:rPr>
        <w:t xml:space="preserve"> DE VOTOS, EL PLENO DEL</w:t>
      </w:r>
      <w:r w:rsidRPr="00037B15">
        <w:rPr>
          <w:rFonts w:ascii="Palatino Linotype" w:eastAsia="Arial Unicode MS" w:hAnsi="Palatino Linotype" w:cs="Arial"/>
          <w:lang w:eastAsia="en-US"/>
        </w:rPr>
        <w:t xml:space="preserve"> INSTITUTO DE TRANSPARENCIA, ACCESO A LA INFORMACIÓN PÚBLICA Y PROTECCIÓN DE DATOS PERSONALES DEL ESTADO DE MÉXICO Y MUNICIPIOS</w:t>
      </w:r>
      <w:r w:rsidRPr="00037B15">
        <w:rPr>
          <w:rFonts w:ascii="Palatino Linotype" w:eastAsiaTheme="minorHAnsi" w:hAnsi="Palatino Linotype" w:cs="Arial"/>
          <w:lang w:eastAsia="en-US"/>
        </w:rPr>
        <w:t>, CONFORMADO POR LOS COMISIONADOS JOSÉ MARTÍNEZ VILCHIS; MARÍA DEL ROSARIO MEJÍA AYALA; SHARON CRISTINA MORALES MARTÍNEZ; LUIS GUSTAVO PARRA NORIEGA</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Y GUADALUPE RAMÍREZ PEÑA; EN LA </w:t>
      </w:r>
      <w:r>
        <w:rPr>
          <w:rFonts w:ascii="Palatino Linotype" w:eastAsiaTheme="minorHAnsi" w:hAnsi="Palatino Linotype" w:cs="Arial"/>
          <w:b/>
          <w:lang w:eastAsia="en-US"/>
        </w:rPr>
        <w:t>TRIGÉSIMA</w:t>
      </w:r>
      <w:r>
        <w:rPr>
          <w:rFonts w:ascii="Palatino Linotype" w:eastAsiaTheme="minorHAnsi" w:hAnsi="Palatino Linotype" w:cs="Arial"/>
          <w:lang w:eastAsia="en-US"/>
        </w:rPr>
        <w:t xml:space="preserve"> </w:t>
      </w:r>
      <w:r>
        <w:rPr>
          <w:rFonts w:ascii="Palatino Linotype" w:eastAsiaTheme="minorHAnsi" w:hAnsi="Palatino Linotype" w:cs="Arial"/>
          <w:b/>
          <w:lang w:eastAsia="en-US"/>
        </w:rPr>
        <w:t>NOVEN</w:t>
      </w:r>
      <w:r w:rsidRPr="00DF768B">
        <w:rPr>
          <w:rFonts w:ascii="Palatino Linotype" w:eastAsiaTheme="minorHAnsi" w:hAnsi="Palatino Linotype" w:cs="Arial"/>
          <w:b/>
          <w:lang w:eastAsia="en-US"/>
        </w:rPr>
        <w:t>A</w:t>
      </w:r>
      <w:r>
        <w:rPr>
          <w:rFonts w:ascii="Palatino Linotype" w:eastAsiaTheme="minorHAnsi" w:hAnsi="Palatino Linotype" w:cs="Arial"/>
          <w:lang w:eastAsia="en-US"/>
        </w:rPr>
        <w:t xml:space="preserve"> </w:t>
      </w:r>
      <w:r w:rsidRPr="00037B15">
        <w:rPr>
          <w:rFonts w:ascii="Palatino Linotype" w:eastAsiaTheme="minorHAnsi" w:hAnsi="Palatino Linotype" w:cs="Arial"/>
          <w:lang w:eastAsia="en-US"/>
        </w:rPr>
        <w:t xml:space="preserve">SESIÓN ORDINARIA CELEBRADA EL </w:t>
      </w:r>
      <w:r>
        <w:rPr>
          <w:rFonts w:ascii="Palatino Linotype" w:eastAsiaTheme="minorHAnsi" w:hAnsi="Palatino Linotype" w:cs="Arial"/>
          <w:b/>
          <w:lang w:eastAsia="en-US"/>
        </w:rPr>
        <w:t xml:space="preserve">TRECE </w:t>
      </w:r>
      <w:r w:rsidRPr="00752CFB">
        <w:rPr>
          <w:rFonts w:ascii="Palatino Linotype" w:hAnsi="Palatino Linotype" w:cs="Arial"/>
          <w:b/>
          <w:color w:val="000000"/>
        </w:rPr>
        <w:t xml:space="preserve">DE </w:t>
      </w:r>
      <w:r>
        <w:rPr>
          <w:rFonts w:ascii="Palatino Linotype" w:hAnsi="Palatino Linotype" w:cs="Arial"/>
          <w:b/>
          <w:color w:val="000000"/>
        </w:rPr>
        <w:t>NOVIEMBRE</w:t>
      </w:r>
      <w:r w:rsidRPr="00752CFB">
        <w:rPr>
          <w:rFonts w:ascii="Palatino Linotype" w:hAnsi="Palatino Linotype" w:cs="Arial"/>
          <w:b/>
          <w:color w:val="000000"/>
        </w:rPr>
        <w:t xml:space="preserve"> DE</w:t>
      </w:r>
      <w:r w:rsidRPr="00752CFB">
        <w:rPr>
          <w:rFonts w:ascii="Palatino Linotype" w:eastAsiaTheme="minorHAnsi" w:hAnsi="Palatino Linotype" w:cs="Arial"/>
          <w:b/>
          <w:lang w:eastAsia="en-US"/>
        </w:rPr>
        <w:t xml:space="preserve"> DOS MIL VEINTICUATRO</w:t>
      </w:r>
      <w:r w:rsidRPr="00037B15">
        <w:rPr>
          <w:rFonts w:ascii="Palatino Linotype" w:eastAsiaTheme="minorHAnsi" w:hAnsi="Palatino Linotype" w:cs="Arial"/>
          <w:lang w:eastAsia="en-US"/>
        </w:rPr>
        <w:t>, ANTE EL SECRETARIO TÉCNICO</w:t>
      </w:r>
      <w:r w:rsidR="00EB294F">
        <w:rPr>
          <w:rFonts w:ascii="Palatino Linotype" w:eastAsiaTheme="minorHAnsi" w:hAnsi="Palatino Linotype" w:cs="Arial"/>
          <w:lang w:eastAsia="en-US"/>
        </w:rPr>
        <w:t xml:space="preserve"> DEL PLENO</w:t>
      </w:r>
      <w:r w:rsidRPr="00037B15">
        <w:rPr>
          <w:rFonts w:ascii="Palatino Linotype" w:eastAsiaTheme="minorHAnsi" w:hAnsi="Palatino Linotype" w:cs="Arial"/>
          <w:lang w:eastAsia="en-US"/>
        </w:rPr>
        <w:t>, ALEXIS TAPIA RAMÍREZ.--</w:t>
      </w:r>
      <w:r>
        <w:rPr>
          <w:rFonts w:ascii="Palatino Linotype" w:eastAsiaTheme="minorHAnsi" w:hAnsi="Palatino Linotype" w:cs="Arial"/>
          <w:lang w:eastAsia="en-US"/>
        </w:rPr>
        <w:t>--------------------------------------------------------------------------------------------------------------------------------------------------------------------------------------------------------------------------------------------------------------------------------------------------------------------------------------------------------------------------------------------------------------------------------------------------------------------------------------------------------------------------------------------------------------------------------------------------------------------------------------------------------------------------------------------------------------------------------------------------------------------- ------------------------------------------------------------------------------------------------------------------------------------------------------------------------------------------------------------------------------------------------------------------------------------------------------------------------------------------------------------------------------------------------------------------------------------------------------------------------------------------------------------------------------------------------------------------------------------------ ------------------------------------------------------------------------------------------------------------------</w:t>
      </w:r>
    </w:p>
    <w:p w:rsidR="00C81B8A" w:rsidRPr="005909E0" w:rsidRDefault="00C81B8A" w:rsidP="006C67F7">
      <w:pPr>
        <w:spacing w:line="360" w:lineRule="auto"/>
        <w:jc w:val="both"/>
        <w:rPr>
          <w:rFonts w:ascii="Palatino Linotype" w:eastAsiaTheme="minorHAnsi" w:hAnsi="Palatino Linotype" w:cs="Arial"/>
          <w:sz w:val="2"/>
          <w:lang w:eastAsia="en-US"/>
        </w:rPr>
      </w:pPr>
      <w:r w:rsidRPr="00E06B5B">
        <w:rPr>
          <w:rFonts w:ascii="Palatino Linotype" w:eastAsiaTheme="minorHAnsi" w:hAnsi="Palatino Linotype" w:cs="Arial"/>
          <w:lang w:eastAsia="en-US"/>
        </w:rPr>
        <w:t xml:space="preserve"> </w:t>
      </w:r>
      <w:r>
        <w:rPr>
          <w:rFonts w:ascii="Palatino Linotype" w:eastAsiaTheme="minorHAnsi" w:hAnsi="Palatino Linotype" w:cs="Arial"/>
          <w:sz w:val="18"/>
          <w:lang w:eastAsia="en-US"/>
        </w:rPr>
        <w:t>JMV/CCR/</w:t>
      </w:r>
      <w:r w:rsidR="000064AB">
        <w:rPr>
          <w:rFonts w:ascii="Palatino Linotype" w:eastAsiaTheme="minorHAnsi" w:hAnsi="Palatino Linotype" w:cs="Arial"/>
          <w:sz w:val="18"/>
          <w:lang w:eastAsia="en-US"/>
        </w:rPr>
        <w:t>BPAC</w:t>
      </w:r>
    </w:p>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Pr="003E56C9"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C81B8A" w:rsidRDefault="00C81B8A" w:rsidP="006C67F7"/>
    <w:p w:rsidR="008A7A66" w:rsidRDefault="008A7A66" w:rsidP="006C67F7"/>
    <w:sectPr w:rsidR="008A7A66" w:rsidSect="00CD7C1D">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396" w:rsidRDefault="006C0396" w:rsidP="00C81B8A">
      <w:r>
        <w:separator/>
      </w:r>
    </w:p>
  </w:endnote>
  <w:endnote w:type="continuationSeparator" w:id="0">
    <w:p w:rsidR="006C0396" w:rsidRDefault="006C0396" w:rsidP="00C81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Italic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7F7" w:rsidRPr="000D3AD4" w:rsidRDefault="006C67F7" w:rsidP="00CD7C1D">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43C8F">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43C8F">
      <w:rPr>
        <w:rFonts w:ascii="Palatino Linotype" w:hAnsi="Palatino Linotype" w:cs="Arial"/>
        <w:bCs/>
        <w:noProof/>
        <w:sz w:val="20"/>
        <w:szCs w:val="20"/>
      </w:rPr>
      <w:t>42</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7F7" w:rsidRPr="000D3AD4" w:rsidRDefault="006C67F7" w:rsidP="00CD7C1D">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C43C8F">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C43C8F">
      <w:rPr>
        <w:rFonts w:ascii="Palatino Linotype" w:hAnsi="Palatino Linotype" w:cs="Arial"/>
        <w:bCs/>
        <w:noProof/>
        <w:sz w:val="20"/>
        <w:szCs w:val="20"/>
      </w:rPr>
      <w:t>42</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396" w:rsidRDefault="006C0396" w:rsidP="00C81B8A">
      <w:r>
        <w:separator/>
      </w:r>
    </w:p>
  </w:footnote>
  <w:footnote w:type="continuationSeparator" w:id="0">
    <w:p w:rsidR="006C0396" w:rsidRDefault="006C0396" w:rsidP="00C81B8A">
      <w:r>
        <w:continuationSeparator/>
      </w:r>
    </w:p>
  </w:footnote>
  <w:footnote w:id="1">
    <w:p w:rsidR="006C67F7" w:rsidRPr="00481AAF" w:rsidRDefault="006C67F7" w:rsidP="00C81B8A">
      <w:pPr>
        <w:jc w:val="both"/>
        <w:rPr>
          <w:rFonts w:ascii="Palatino Linotype" w:hAnsi="Palatino Linotype"/>
          <w:b/>
          <w:bCs/>
          <w:i/>
          <w:sz w:val="20"/>
          <w:szCs w:val="20"/>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rsidR="006C67F7" w:rsidRPr="00946E1F" w:rsidRDefault="006C67F7" w:rsidP="00C81B8A">
      <w:pPr>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6C67F7" w:rsidRDefault="006C67F7" w:rsidP="006C67F7">
      <w:pPr>
        <w:pStyle w:val="Textonotapie"/>
      </w:pPr>
      <w:r>
        <w:rPr>
          <w:rStyle w:val="Refdenotaalpie"/>
        </w:rPr>
        <w:footnoteRef/>
      </w:r>
      <w:r>
        <w:t xml:space="preserve"> </w:t>
      </w:r>
      <w:r>
        <w:rPr>
          <w:rFonts w:eastAsia="MS Mincho" w:cs="Arial"/>
          <w:sz w:val="16"/>
          <w:szCs w:val="16"/>
        </w:rPr>
        <w:t xml:space="preserve">BURGOA ORIHUELA Ignacio. </w:t>
      </w:r>
      <w:r>
        <w:rPr>
          <w:rFonts w:eastAsia="MS Mincho" w:cs="Arial"/>
          <w:i/>
          <w:sz w:val="16"/>
          <w:szCs w:val="16"/>
        </w:rPr>
        <w:t>Diccionario De Derecho Constitucional, Garantías y Amparo</w:t>
      </w:r>
      <w:r>
        <w:rPr>
          <w:rFonts w:eastAsia="MS Mincho" w:cs="Arial"/>
          <w:sz w:val="16"/>
          <w:szCs w:val="16"/>
        </w:rPr>
        <w:t>. Ed. Porrúa, S.A., México. 1992. p. 115.</w:t>
      </w:r>
    </w:p>
  </w:footnote>
  <w:footnote w:id="3">
    <w:p w:rsidR="006C67F7" w:rsidRDefault="006C67F7" w:rsidP="006C67F7">
      <w:pPr>
        <w:pStyle w:val="Textonotapie"/>
      </w:pPr>
      <w:r>
        <w:rPr>
          <w:rStyle w:val="Refdenotaalpie"/>
        </w:rPr>
        <w:footnoteRef/>
      </w:r>
      <w:r>
        <w:t xml:space="preserve"> </w:t>
      </w:r>
      <w:r>
        <w:rPr>
          <w:rFonts w:eastAsia="MS Mincho" w:cs="Arial"/>
          <w:sz w:val="16"/>
          <w:szCs w:val="16"/>
          <w:lang w:eastAsia="es-ES"/>
        </w:rPr>
        <w:t xml:space="preserve">CIENFUEGOS SALGADO David. </w:t>
      </w:r>
      <w:r>
        <w:rPr>
          <w:rFonts w:eastAsia="MS Mincho" w:cs="Arial"/>
          <w:i/>
          <w:sz w:val="16"/>
          <w:szCs w:val="16"/>
          <w:lang w:eastAsia="es-ES"/>
        </w:rPr>
        <w:t xml:space="preserve">El Derecho de Petición en México. </w:t>
      </w:r>
      <w:r>
        <w:rPr>
          <w:rFonts w:eastAsia="MS Mincho" w:cs="Arial"/>
          <w:sz w:val="16"/>
          <w:szCs w:val="16"/>
          <w:lang w:eastAsia="es-ES"/>
        </w:rPr>
        <w:t>Ed. Instituto de Investigaciones Jurídica UNAM. México 2004. p. 31</w:t>
      </w:r>
    </w:p>
  </w:footnote>
  <w:footnote w:id="4">
    <w:p w:rsidR="006C67F7" w:rsidRPr="007F43A5" w:rsidRDefault="006C67F7" w:rsidP="004F0D86">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5">
    <w:p w:rsidR="006C67F7" w:rsidRPr="0085625E" w:rsidRDefault="006C67F7" w:rsidP="004F0D86">
      <w:pPr>
        <w:pStyle w:val="Textonotapie"/>
        <w:rPr>
          <w:rFonts w:asciiTheme="majorHAnsi" w:hAnsiTheme="majorHAnsi"/>
          <w:lang w:val="es-ES"/>
        </w:rPr>
      </w:pPr>
      <w:r>
        <w:rPr>
          <w:rStyle w:val="Refdenotaalpie"/>
        </w:rPr>
        <w:footnoteRef/>
      </w:r>
      <w:r>
        <w:t xml:space="preserve"> </w:t>
      </w:r>
      <w:r w:rsidRPr="0085625E">
        <w:rPr>
          <w:rFonts w:asciiTheme="majorHAnsi" w:hAnsiTheme="majorHAnsi"/>
          <w:lang w:val="es-ES"/>
        </w:rPr>
        <w:t xml:space="preserve">Tribunales Colegiados de Circuito. Novena </w:t>
      </w:r>
      <w:proofErr w:type="spellStart"/>
      <w:r w:rsidRPr="0085625E">
        <w:rPr>
          <w:rFonts w:asciiTheme="majorHAnsi" w:hAnsiTheme="majorHAnsi"/>
          <w:lang w:val="es-ES"/>
        </w:rPr>
        <w:t>Epoca</w:t>
      </w:r>
      <w:proofErr w:type="spellEnd"/>
      <w:r w:rsidRPr="0085625E">
        <w:rPr>
          <w:rFonts w:asciiTheme="majorHAnsi" w:hAnsiTheme="majorHAnsi"/>
          <w:lang w:val="es-ES"/>
        </w:rPr>
        <w:t xml:space="preserve">. Semanario Judicial de la Federación y su Gaceta. Tomo III, marzo de 1996. </w:t>
      </w:r>
      <w:proofErr w:type="spellStart"/>
      <w:r w:rsidRPr="0085625E">
        <w:rPr>
          <w:rFonts w:asciiTheme="majorHAnsi" w:hAnsiTheme="majorHAnsi"/>
          <w:lang w:val="es-ES"/>
        </w:rPr>
        <w:t>Pág</w:t>
      </w:r>
      <w:proofErr w:type="spellEnd"/>
      <w:r w:rsidRPr="0085625E">
        <w:rPr>
          <w:rFonts w:asciiTheme="majorHAnsi" w:hAnsiTheme="majorHAnsi"/>
          <w:lang w:val="es-ES"/>
        </w:rPr>
        <w:t xml:space="preserve"> 769. Consultado en http://sjf.scjn.gob.mx/sjfsist/Documentos/Tesis/203/203143.pdf  el viernes 16 de junio de 2017.</w:t>
      </w:r>
    </w:p>
    <w:p w:rsidR="006C67F7" w:rsidRPr="0085625E" w:rsidRDefault="006C67F7" w:rsidP="004F0D86">
      <w:pPr>
        <w:pStyle w:val="Textonotapie"/>
        <w:rPr>
          <w:rFonts w:asciiTheme="majorHAnsi" w:hAnsiTheme="maj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67F7" w:rsidRDefault="00C43C8F">
    <w:pPr>
      <w:pStyle w:val="Encabezado"/>
    </w:pPr>
    <w:r>
      <w:rPr>
        <w:noProof/>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6C67F7" w:rsidRPr="008F2CCC" w:rsidTr="00CD7C1D">
      <w:tc>
        <w:tcPr>
          <w:tcW w:w="2551" w:type="dxa"/>
          <w:shd w:val="clear" w:color="auto" w:fill="auto"/>
          <w:vAlign w:val="center"/>
        </w:tcPr>
        <w:p w:rsidR="006C67F7" w:rsidRPr="008F5DAE" w:rsidRDefault="006C67F7" w:rsidP="00CD7C1D">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6C67F7" w:rsidRPr="0029071C" w:rsidRDefault="006C67F7" w:rsidP="00C81B8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05565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6C67F7" w:rsidRPr="008F2CCC" w:rsidTr="00CD7C1D">
      <w:trPr>
        <w:trHeight w:val="228"/>
      </w:trPr>
      <w:tc>
        <w:tcPr>
          <w:tcW w:w="2551" w:type="dxa"/>
          <w:shd w:val="clear" w:color="auto" w:fill="auto"/>
          <w:vAlign w:val="center"/>
        </w:tcPr>
        <w:p w:rsidR="006C67F7" w:rsidRPr="008F5DAE" w:rsidRDefault="006C67F7" w:rsidP="00CD7C1D">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6C67F7" w:rsidRPr="0029071C" w:rsidRDefault="006C67F7" w:rsidP="00CD7C1D">
          <w:pPr>
            <w:spacing w:line="276" w:lineRule="auto"/>
            <w:jc w:val="right"/>
            <w:rPr>
              <w:rFonts w:ascii="Palatino Linotype" w:hAnsi="Palatino Linotype"/>
              <w:sz w:val="22"/>
              <w:szCs w:val="22"/>
            </w:rPr>
          </w:pPr>
          <w:r w:rsidRPr="00C81B8A">
            <w:rPr>
              <w:rFonts w:ascii="Palatino Linotype" w:hAnsi="Palatino Linotype"/>
              <w:sz w:val="22"/>
              <w:szCs w:val="22"/>
            </w:rPr>
            <w:t>Secretaría de Seguridad</w:t>
          </w:r>
        </w:p>
      </w:tc>
    </w:tr>
    <w:tr w:rsidR="006C67F7" w:rsidRPr="008F2CCC" w:rsidTr="00CD7C1D">
      <w:tc>
        <w:tcPr>
          <w:tcW w:w="2551" w:type="dxa"/>
          <w:shd w:val="clear" w:color="auto" w:fill="auto"/>
          <w:vAlign w:val="center"/>
        </w:tcPr>
        <w:p w:rsidR="006C67F7" w:rsidRPr="008F5DAE" w:rsidRDefault="006C67F7" w:rsidP="00CD7C1D">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6C67F7" w:rsidRPr="0029071C" w:rsidRDefault="006C67F7" w:rsidP="00CD7C1D">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6C67F7" w:rsidRPr="001779E0" w:rsidRDefault="00C43C8F" w:rsidP="00CD7C1D">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0" type="#_x0000_t75" style="position:absolute;margin-left:-85.25pt;margin-top:-120.2pt;width:649.35pt;height:845.8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6C67F7" w:rsidRPr="008F2CCC" w:rsidTr="00CD7C1D">
      <w:tc>
        <w:tcPr>
          <w:tcW w:w="2551" w:type="dxa"/>
          <w:shd w:val="clear" w:color="auto" w:fill="auto"/>
          <w:vAlign w:val="center"/>
        </w:tcPr>
        <w:p w:rsidR="006C67F7" w:rsidRPr="008F5DAE" w:rsidRDefault="006C67F7" w:rsidP="00CD7C1D">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6C67F7" w:rsidRPr="0029071C" w:rsidRDefault="006C67F7" w:rsidP="00C81B8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05565/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6C67F7" w:rsidRPr="008F2CCC" w:rsidTr="00CD7C1D">
      <w:tc>
        <w:tcPr>
          <w:tcW w:w="2551" w:type="dxa"/>
          <w:shd w:val="clear" w:color="auto" w:fill="auto"/>
          <w:vAlign w:val="center"/>
        </w:tcPr>
        <w:p w:rsidR="006C67F7" w:rsidRPr="008F5DAE" w:rsidRDefault="006C67F7" w:rsidP="00CD7C1D">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6C67F7" w:rsidRPr="006D30E6" w:rsidRDefault="00C43C8F" w:rsidP="00CD7C1D">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6C67F7" w:rsidRPr="008F2CCC" w:rsidTr="00CD7C1D">
      <w:trPr>
        <w:trHeight w:val="228"/>
      </w:trPr>
      <w:tc>
        <w:tcPr>
          <w:tcW w:w="2551" w:type="dxa"/>
          <w:shd w:val="clear" w:color="auto" w:fill="auto"/>
          <w:vAlign w:val="center"/>
        </w:tcPr>
        <w:p w:rsidR="006C67F7" w:rsidRPr="008F5DAE" w:rsidRDefault="006C67F7" w:rsidP="00CD7C1D">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6C67F7" w:rsidRPr="0029071C" w:rsidRDefault="006C67F7" w:rsidP="00CD7C1D">
          <w:pPr>
            <w:spacing w:line="276" w:lineRule="auto"/>
            <w:jc w:val="right"/>
            <w:rPr>
              <w:rFonts w:ascii="Palatino Linotype" w:hAnsi="Palatino Linotype"/>
              <w:sz w:val="22"/>
              <w:szCs w:val="22"/>
            </w:rPr>
          </w:pPr>
          <w:r w:rsidRPr="00C81B8A">
            <w:rPr>
              <w:rFonts w:ascii="Palatino Linotype" w:hAnsi="Palatino Linotype"/>
              <w:sz w:val="22"/>
              <w:szCs w:val="22"/>
            </w:rPr>
            <w:t>Secretaría de Seguridad</w:t>
          </w:r>
        </w:p>
      </w:tc>
    </w:tr>
    <w:tr w:rsidR="006C67F7" w:rsidRPr="008F2CCC" w:rsidTr="00CD7C1D">
      <w:tc>
        <w:tcPr>
          <w:tcW w:w="2551" w:type="dxa"/>
          <w:shd w:val="clear" w:color="auto" w:fill="auto"/>
          <w:vAlign w:val="center"/>
        </w:tcPr>
        <w:p w:rsidR="006C67F7" w:rsidRPr="008F5DAE" w:rsidRDefault="006C67F7" w:rsidP="00CD7C1D">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6C67F7" w:rsidRPr="0029071C" w:rsidRDefault="006C67F7" w:rsidP="00CD7C1D">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6C67F7" w:rsidRPr="008F2CCC" w:rsidTr="00CD7C1D">
      <w:tc>
        <w:tcPr>
          <w:tcW w:w="2551" w:type="dxa"/>
          <w:shd w:val="clear" w:color="auto" w:fill="auto"/>
          <w:vAlign w:val="center"/>
        </w:tcPr>
        <w:p w:rsidR="006C67F7" w:rsidRPr="008F5DAE" w:rsidRDefault="006C67F7" w:rsidP="00CD7C1D">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6C67F7" w:rsidRPr="00BA27FC" w:rsidRDefault="006C67F7" w:rsidP="00CD7C1D">
          <w:pPr>
            <w:spacing w:line="276" w:lineRule="auto"/>
            <w:rPr>
              <w:rFonts w:ascii="Palatino Linotype" w:hAnsi="Palatino Linotype"/>
              <w:sz w:val="14"/>
              <w:szCs w:val="22"/>
              <w:lang w:val="es-ES_tradnl"/>
            </w:rPr>
          </w:pPr>
        </w:p>
      </w:tc>
    </w:tr>
  </w:tbl>
  <w:p w:rsidR="006C67F7" w:rsidRPr="009F1AB6" w:rsidRDefault="00C43C8F">
    <w:pPr>
      <w:pStyle w:val="Encabezado"/>
      <w:rPr>
        <w:sz w:val="10"/>
      </w:rPr>
    </w:pPr>
    <w:r>
      <w:rPr>
        <w:noProof/>
        <w:sz w:val="10"/>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51" type="#_x0000_t75" style="position:absolute;margin-left:-85.05pt;margin-top:-126.5pt;width:628.7pt;height:818.9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34A56"/>
    <w:multiLevelType w:val="hybridMultilevel"/>
    <w:tmpl w:val="8638B20C"/>
    <w:lvl w:ilvl="0" w:tplc="A4CEF16C">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2C7FC9"/>
    <w:multiLevelType w:val="hybridMultilevel"/>
    <w:tmpl w:val="2A50AEBA"/>
    <w:lvl w:ilvl="0" w:tplc="1916BFA2">
      <w:start w:val="1"/>
      <w:numFmt w:val="decimal"/>
      <w:lvlText w:val="%1."/>
      <w:lvlJc w:val="left"/>
      <w:pPr>
        <w:ind w:left="720" w:hanging="360"/>
      </w:pPr>
      <w:rPr>
        <w:rFonts w:eastAsia="Times New Roman" w:cs="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835064"/>
    <w:multiLevelType w:val="hybridMultilevel"/>
    <w:tmpl w:val="D2DA8046"/>
    <w:lvl w:ilvl="0" w:tplc="4330EE9E">
      <w:start w:val="1"/>
      <w:numFmt w:val="decimal"/>
      <w:lvlText w:val="%1."/>
      <w:lvlJc w:val="left"/>
      <w:pPr>
        <w:ind w:left="720" w:hanging="360"/>
      </w:pPr>
      <w:rPr>
        <w:rFonts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F6D7B89"/>
    <w:multiLevelType w:val="hybridMultilevel"/>
    <w:tmpl w:val="FD044B4C"/>
    <w:lvl w:ilvl="0" w:tplc="080A000F">
      <w:start w:val="1"/>
      <w:numFmt w:val="decimal"/>
      <w:lvlText w:val="%1."/>
      <w:lvlJc w:val="left"/>
      <w:pPr>
        <w:ind w:left="2880" w:hanging="360"/>
      </w:pPr>
    </w:lvl>
    <w:lvl w:ilvl="1" w:tplc="080A0019">
      <w:start w:val="1"/>
      <w:numFmt w:val="lowerLetter"/>
      <w:lvlText w:val="%2."/>
      <w:lvlJc w:val="left"/>
      <w:pPr>
        <w:ind w:left="3600" w:hanging="360"/>
      </w:pPr>
    </w:lvl>
    <w:lvl w:ilvl="2" w:tplc="080A001B">
      <w:start w:val="1"/>
      <w:numFmt w:val="lowerRoman"/>
      <w:lvlText w:val="%3."/>
      <w:lvlJc w:val="right"/>
      <w:pPr>
        <w:ind w:left="4320" w:hanging="180"/>
      </w:pPr>
    </w:lvl>
    <w:lvl w:ilvl="3" w:tplc="080A000F" w:tentative="1">
      <w:start w:val="1"/>
      <w:numFmt w:val="decimal"/>
      <w:lvlText w:val="%4."/>
      <w:lvlJc w:val="left"/>
      <w:pPr>
        <w:ind w:left="5040" w:hanging="360"/>
      </w:pPr>
    </w:lvl>
    <w:lvl w:ilvl="4" w:tplc="080A0019" w:tentative="1">
      <w:start w:val="1"/>
      <w:numFmt w:val="lowerLetter"/>
      <w:lvlText w:val="%5."/>
      <w:lvlJc w:val="left"/>
      <w:pPr>
        <w:ind w:left="5760" w:hanging="360"/>
      </w:pPr>
    </w:lvl>
    <w:lvl w:ilvl="5" w:tplc="080A001B" w:tentative="1">
      <w:start w:val="1"/>
      <w:numFmt w:val="lowerRoman"/>
      <w:lvlText w:val="%6."/>
      <w:lvlJc w:val="right"/>
      <w:pPr>
        <w:ind w:left="6480" w:hanging="180"/>
      </w:pPr>
    </w:lvl>
    <w:lvl w:ilvl="6" w:tplc="080A000F" w:tentative="1">
      <w:start w:val="1"/>
      <w:numFmt w:val="decimal"/>
      <w:lvlText w:val="%7."/>
      <w:lvlJc w:val="left"/>
      <w:pPr>
        <w:ind w:left="7200" w:hanging="360"/>
      </w:pPr>
    </w:lvl>
    <w:lvl w:ilvl="7" w:tplc="080A0019" w:tentative="1">
      <w:start w:val="1"/>
      <w:numFmt w:val="lowerLetter"/>
      <w:lvlText w:val="%8."/>
      <w:lvlJc w:val="left"/>
      <w:pPr>
        <w:ind w:left="7920" w:hanging="360"/>
      </w:pPr>
    </w:lvl>
    <w:lvl w:ilvl="8" w:tplc="080A001B" w:tentative="1">
      <w:start w:val="1"/>
      <w:numFmt w:val="lowerRoman"/>
      <w:lvlText w:val="%9."/>
      <w:lvlJc w:val="right"/>
      <w:pPr>
        <w:ind w:left="8640" w:hanging="180"/>
      </w:pPr>
    </w:lvl>
  </w:abstractNum>
  <w:abstractNum w:abstractNumId="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3"/>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B8A"/>
    <w:rsid w:val="00003BB1"/>
    <w:rsid w:val="000064AB"/>
    <w:rsid w:val="000A05E2"/>
    <w:rsid w:val="000E1312"/>
    <w:rsid w:val="0012624B"/>
    <w:rsid w:val="001B007F"/>
    <w:rsid w:val="00223794"/>
    <w:rsid w:val="00233278"/>
    <w:rsid w:val="002E441B"/>
    <w:rsid w:val="004F0D86"/>
    <w:rsid w:val="0063731C"/>
    <w:rsid w:val="006C0396"/>
    <w:rsid w:val="006C67F7"/>
    <w:rsid w:val="007A498B"/>
    <w:rsid w:val="007B618E"/>
    <w:rsid w:val="008A7A66"/>
    <w:rsid w:val="008B1E0A"/>
    <w:rsid w:val="00A351FF"/>
    <w:rsid w:val="00AE07E4"/>
    <w:rsid w:val="00B1340B"/>
    <w:rsid w:val="00B23DC1"/>
    <w:rsid w:val="00C43C8F"/>
    <w:rsid w:val="00C81B8A"/>
    <w:rsid w:val="00C9181B"/>
    <w:rsid w:val="00CD7C1D"/>
    <w:rsid w:val="00E51DEF"/>
    <w:rsid w:val="00E55B09"/>
    <w:rsid w:val="00EB294F"/>
    <w:rsid w:val="00F97C11"/>
    <w:rsid w:val="00FD47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258ABFE-1A62-4B9E-942A-24FA60CB1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B8A"/>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1B8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1B8A"/>
    <w:rPr>
      <w:rFonts w:eastAsiaTheme="minorEastAsia"/>
      <w:sz w:val="24"/>
      <w:szCs w:val="24"/>
      <w:lang w:val="es-ES_tradnl" w:eastAsia="es-MX"/>
    </w:rPr>
  </w:style>
  <w:style w:type="paragraph" w:styleId="Piedepgina">
    <w:name w:val="footer"/>
    <w:basedOn w:val="Normal"/>
    <w:link w:val="PiedepginaCar"/>
    <w:uiPriority w:val="99"/>
    <w:unhideWhenUsed/>
    <w:rsid w:val="00C81B8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1B8A"/>
    <w:rPr>
      <w:rFonts w:eastAsiaTheme="minorEastAsia"/>
      <w:sz w:val="24"/>
      <w:szCs w:val="24"/>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81B8A"/>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81B8A"/>
    <w:rPr>
      <w:rFonts w:ascii="Times New Roman" w:eastAsia="Times New Roman" w:hAnsi="Times New Roman" w:cs="Times New Roman"/>
      <w:sz w:val="24"/>
      <w:szCs w:val="24"/>
      <w:lang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C81B8A"/>
    <w:rPr>
      <w:vertAlign w:val="superscript"/>
    </w:rPr>
  </w:style>
  <w:style w:type="character" w:customStyle="1" w:styleId="apple-converted-space">
    <w:name w:val="apple-converted-space"/>
    <w:basedOn w:val="Fuentedeprrafopredeter"/>
    <w:rsid w:val="00C81B8A"/>
  </w:style>
  <w:style w:type="character" w:styleId="Hipervnculo">
    <w:name w:val="Hyperlink"/>
    <w:aliases w:val="Hipervínculo1,Hipervínculo11,Hipervínculo12,Hipervínculo13,Hipervínculo14,Hipervínculo15"/>
    <w:basedOn w:val="Fuentedeprrafopredeter"/>
    <w:uiPriority w:val="99"/>
    <w:unhideWhenUsed/>
    <w:rsid w:val="00C81B8A"/>
    <w:rPr>
      <w:color w:val="0563C1" w:themeColor="hyperlink"/>
      <w:u w:val="single"/>
    </w:rPr>
  </w:style>
  <w:style w:type="paragraph" w:styleId="Sinespaciado">
    <w:name w:val="No Spacing"/>
    <w:aliases w:val="Francesa,INAI"/>
    <w:link w:val="SinespaciadoCar"/>
    <w:uiPriority w:val="1"/>
    <w:qFormat/>
    <w:rsid w:val="00C81B8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C81B8A"/>
    <w:rPr>
      <w:rFonts w:ascii="Times New Roman" w:eastAsia="Times New Roman" w:hAnsi="Times New Roman" w:cs="Times New Roman"/>
      <w:sz w:val="24"/>
      <w:szCs w:val="24"/>
      <w:lang w:eastAsia="es-ES"/>
    </w:rPr>
  </w:style>
  <w:style w:type="paragraph" w:customStyle="1" w:styleId="Citas">
    <w:name w:val="Citas"/>
    <w:basedOn w:val="Normal"/>
    <w:qFormat/>
    <w:rsid w:val="00C81B8A"/>
    <w:pPr>
      <w:spacing w:before="240" w:after="160" w:line="360" w:lineRule="auto"/>
      <w:ind w:left="851" w:right="851"/>
      <w:jc w:val="both"/>
    </w:pPr>
    <w:rPr>
      <w:rFonts w:ascii="Palatino Linotype" w:eastAsiaTheme="minorHAnsi" w:hAnsi="Palatino Linotype" w:cs="Arial"/>
      <w:i/>
      <w:sz w:val="22"/>
      <w:szCs w:val="22"/>
      <w:lang w:eastAsia="en-US"/>
    </w:rPr>
  </w:style>
  <w:style w:type="table" w:styleId="Tabladecuadrcula5oscura">
    <w:name w:val="Grid Table 5 Dark"/>
    <w:basedOn w:val="Tablanormal"/>
    <w:uiPriority w:val="50"/>
    <w:rsid w:val="00C81B8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
    <w:name w:val="Table Grid"/>
    <w:basedOn w:val="Tablanormal"/>
    <w:uiPriority w:val="39"/>
    <w:rsid w:val="00223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4F0D86"/>
    <w:pPr>
      <w:jc w:val="both"/>
    </w:pPr>
    <w:rPr>
      <w:rFonts w:ascii="Palatino Linotype" w:eastAsia="Calibri" w:hAnsi="Palatino Linotype" w:cs="Calibri"/>
      <w:sz w:val="20"/>
      <w:szCs w:val="20"/>
      <w:lang w:val="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4F0D86"/>
    <w:rPr>
      <w:rFonts w:ascii="Palatino Linotype" w:eastAsia="Calibri" w:hAnsi="Palatino Linotype" w:cs="Calibri"/>
      <w:sz w:val="20"/>
      <w:szCs w:val="20"/>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686183">
      <w:bodyDiv w:val="1"/>
      <w:marLeft w:val="0"/>
      <w:marRight w:val="0"/>
      <w:marTop w:val="0"/>
      <w:marBottom w:val="0"/>
      <w:divBdr>
        <w:top w:val="none" w:sz="0" w:space="0" w:color="auto"/>
        <w:left w:val="none" w:sz="0" w:space="0" w:color="auto"/>
        <w:bottom w:val="none" w:sz="0" w:space="0" w:color="auto"/>
        <w:right w:val="none" w:sz="0" w:space="0" w:color="auto"/>
      </w:divBdr>
    </w:div>
    <w:div w:id="158841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42</Pages>
  <Words>10432</Words>
  <Characters>57378</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INFOEM557</cp:lastModifiedBy>
  <cp:revision>15</cp:revision>
  <dcterms:created xsi:type="dcterms:W3CDTF">2024-11-03T04:23:00Z</dcterms:created>
  <dcterms:modified xsi:type="dcterms:W3CDTF">2024-12-06T18:06:00Z</dcterms:modified>
</cp:coreProperties>
</file>